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C8E" w:rsidRPr="00AC2244" w:rsidRDefault="00496C8E" w:rsidP="00FE14F2">
      <w:pPr>
        <w:pStyle w:val="Nadpis5"/>
        <w:rPr>
          <w:caps/>
          <w:sz w:val="22"/>
          <w:szCs w:val="22"/>
        </w:rPr>
      </w:pPr>
      <w:r w:rsidRPr="00AC2244">
        <w:rPr>
          <w:caps/>
          <w:sz w:val="22"/>
          <w:szCs w:val="22"/>
        </w:rPr>
        <w:t>Súhrn charakteristických vlastností lieku</w:t>
      </w:r>
    </w:p>
    <w:p w:rsidR="00496C8E" w:rsidRPr="00AC2244" w:rsidRDefault="00496C8E" w:rsidP="00FE14F2">
      <w:pPr>
        <w:pStyle w:val="Nadpis5"/>
        <w:jc w:val="both"/>
        <w:rPr>
          <w:caps/>
          <w:sz w:val="22"/>
          <w:szCs w:val="22"/>
        </w:rPr>
      </w:pPr>
    </w:p>
    <w:p w:rsidR="00496C8E" w:rsidRPr="00AC2244" w:rsidRDefault="00496C8E" w:rsidP="00FE14F2">
      <w:pPr>
        <w:rPr>
          <w:b/>
          <w:bCs/>
          <w:caps/>
          <w:sz w:val="22"/>
          <w:szCs w:val="22"/>
        </w:rPr>
      </w:pPr>
    </w:p>
    <w:p w:rsidR="00496C8E" w:rsidRPr="00AC2244" w:rsidRDefault="00496C8E" w:rsidP="00FE14F2">
      <w:pPr>
        <w:keepNext/>
        <w:numPr>
          <w:ilvl w:val="0"/>
          <w:numId w:val="5"/>
        </w:numPr>
        <w:tabs>
          <w:tab w:val="clear" w:pos="360"/>
          <w:tab w:val="num" w:pos="0"/>
        </w:tabs>
        <w:ind w:left="0" w:firstLine="0"/>
        <w:jc w:val="both"/>
        <w:rPr>
          <w:b/>
          <w:bCs/>
          <w:sz w:val="22"/>
          <w:szCs w:val="22"/>
        </w:rPr>
      </w:pPr>
      <w:r w:rsidRPr="00AC2244">
        <w:rPr>
          <w:b/>
          <w:bCs/>
          <w:sz w:val="22"/>
          <w:szCs w:val="22"/>
        </w:rPr>
        <w:t>NÁZOV</w:t>
      </w:r>
      <w:r w:rsidR="007261F2" w:rsidRPr="00AC2244">
        <w:rPr>
          <w:b/>
          <w:bCs/>
          <w:sz w:val="22"/>
          <w:szCs w:val="22"/>
        </w:rPr>
        <w:t xml:space="preserve"> </w:t>
      </w:r>
      <w:r w:rsidRPr="00AC2244">
        <w:rPr>
          <w:b/>
          <w:bCs/>
          <w:sz w:val="22"/>
          <w:szCs w:val="22"/>
        </w:rPr>
        <w:t>LIEKU</w:t>
      </w:r>
    </w:p>
    <w:p w:rsidR="00D4529C" w:rsidRPr="00AC2244" w:rsidRDefault="00D4529C" w:rsidP="00FE14F2">
      <w:pPr>
        <w:pStyle w:val="Nadpis9"/>
        <w:ind w:left="0"/>
        <w:rPr>
          <w:sz w:val="22"/>
          <w:szCs w:val="22"/>
        </w:rPr>
      </w:pPr>
    </w:p>
    <w:p w:rsidR="00496C8E" w:rsidRPr="00AC2244" w:rsidRDefault="006D50C0" w:rsidP="00FE14F2">
      <w:pPr>
        <w:pStyle w:val="Nadpis9"/>
        <w:keepNext w:val="0"/>
        <w:ind w:left="0"/>
        <w:rPr>
          <w:b/>
          <w:sz w:val="22"/>
          <w:szCs w:val="22"/>
        </w:rPr>
      </w:pPr>
      <w:r w:rsidRPr="00AC2244">
        <w:rPr>
          <w:b/>
          <w:sz w:val="22"/>
          <w:szCs w:val="22"/>
        </w:rPr>
        <w:t>N</w:t>
      </w:r>
      <w:r w:rsidR="00FE14F2" w:rsidRPr="00AC2244">
        <w:rPr>
          <w:b/>
          <w:sz w:val="22"/>
          <w:szCs w:val="22"/>
        </w:rPr>
        <w:t>urofen</w:t>
      </w:r>
      <w:r w:rsidR="00496C8E" w:rsidRPr="00AC2244">
        <w:rPr>
          <w:b/>
          <w:sz w:val="22"/>
          <w:szCs w:val="22"/>
        </w:rPr>
        <w:t xml:space="preserve"> pre deti</w:t>
      </w:r>
      <w:r w:rsidR="00627D56" w:rsidRPr="00AC2244">
        <w:rPr>
          <w:b/>
          <w:sz w:val="22"/>
          <w:szCs w:val="22"/>
        </w:rPr>
        <w:t xml:space="preserve"> </w:t>
      </w:r>
    </w:p>
    <w:p w:rsidR="00CB7B05" w:rsidRPr="00AC2244" w:rsidRDefault="00CB7B05" w:rsidP="00096089">
      <w:pPr>
        <w:tabs>
          <w:tab w:val="left" w:pos="3615"/>
        </w:tabs>
        <w:rPr>
          <w:sz w:val="22"/>
          <w:szCs w:val="22"/>
        </w:rPr>
      </w:pPr>
      <w:r w:rsidRPr="00AC2244">
        <w:rPr>
          <w:bCs/>
          <w:sz w:val="22"/>
          <w:szCs w:val="22"/>
        </w:rPr>
        <w:t>20 mg/ml</w:t>
      </w:r>
    </w:p>
    <w:p w:rsidR="00FB177C" w:rsidRPr="00AC2244" w:rsidRDefault="0002473E" w:rsidP="00096089">
      <w:pPr>
        <w:tabs>
          <w:tab w:val="left" w:pos="3615"/>
        </w:tabs>
        <w:rPr>
          <w:sz w:val="22"/>
          <w:szCs w:val="22"/>
        </w:rPr>
      </w:pPr>
      <w:r>
        <w:rPr>
          <w:sz w:val="22"/>
          <w:szCs w:val="22"/>
        </w:rPr>
        <w:t>perorálna suspenzia</w:t>
      </w:r>
      <w:r>
        <w:rPr>
          <w:sz w:val="22"/>
          <w:szCs w:val="22"/>
        </w:rPr>
        <w:tab/>
      </w:r>
    </w:p>
    <w:p w:rsidR="00496C8E" w:rsidRPr="00AC2244" w:rsidRDefault="00496C8E" w:rsidP="00FE14F2">
      <w:pPr>
        <w:rPr>
          <w:bCs/>
          <w:sz w:val="22"/>
          <w:szCs w:val="22"/>
        </w:rPr>
      </w:pPr>
    </w:p>
    <w:p w:rsidR="00D4529C" w:rsidRPr="00AC2244" w:rsidRDefault="00D4529C" w:rsidP="00FE14F2">
      <w:pPr>
        <w:rPr>
          <w:b/>
          <w:bCs/>
          <w:sz w:val="22"/>
          <w:szCs w:val="22"/>
        </w:rPr>
      </w:pPr>
    </w:p>
    <w:p w:rsidR="00496C8E" w:rsidRPr="00AC2244" w:rsidRDefault="0002473E" w:rsidP="00FE14F2">
      <w:pPr>
        <w:keepNext/>
        <w:numPr>
          <w:ilvl w:val="0"/>
          <w:numId w:val="5"/>
        </w:numPr>
        <w:tabs>
          <w:tab w:val="clear" w:pos="360"/>
          <w:tab w:val="num" w:pos="0"/>
        </w:tabs>
        <w:ind w:left="0" w:firstLine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KVALITATÍVNE A KVANTITATÍVNE ZLOŽENIE</w:t>
      </w:r>
    </w:p>
    <w:p w:rsidR="00D4529C" w:rsidRPr="00AC2244" w:rsidRDefault="00D4529C" w:rsidP="00FE14F2">
      <w:pPr>
        <w:keepNext/>
        <w:rPr>
          <w:sz w:val="22"/>
          <w:szCs w:val="22"/>
        </w:rPr>
      </w:pPr>
    </w:p>
    <w:p w:rsidR="00496C8E" w:rsidRPr="00AC2244" w:rsidRDefault="0002473E" w:rsidP="00FE14F2">
      <w:pPr>
        <w:rPr>
          <w:sz w:val="22"/>
          <w:szCs w:val="22"/>
        </w:rPr>
      </w:pPr>
      <w:r>
        <w:rPr>
          <w:sz w:val="22"/>
          <w:szCs w:val="22"/>
        </w:rPr>
        <w:t>Liečivo: ibuprofén (ibuprofenum) 100 mg / 5 ml.</w:t>
      </w:r>
    </w:p>
    <w:p w:rsidR="00D4529C" w:rsidRPr="00AC2244" w:rsidRDefault="00D4529C" w:rsidP="00FE14F2">
      <w:pPr>
        <w:rPr>
          <w:bCs/>
          <w:sz w:val="22"/>
          <w:szCs w:val="22"/>
        </w:rPr>
      </w:pPr>
    </w:p>
    <w:p w:rsidR="00E10F8A" w:rsidRPr="00AC2244" w:rsidRDefault="0002473E" w:rsidP="00FE14F2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Pomocné látky so známym účinkom: 5 ml perorálnej suspenzie obsahuje 2 226 g roztoku maltitolu</w:t>
      </w:r>
      <w:r w:rsidR="0028567F" w:rsidRPr="00AC2244">
        <w:rPr>
          <w:bCs/>
          <w:sz w:val="22"/>
          <w:szCs w:val="22"/>
        </w:rPr>
        <w:t xml:space="preserve"> a 7,96 mg sodíka, čo zodpovedá približne 0,346 mmol sodíka.</w:t>
      </w:r>
    </w:p>
    <w:p w:rsidR="00281F06" w:rsidRPr="00AC2244" w:rsidRDefault="00281F06" w:rsidP="00FE14F2">
      <w:pPr>
        <w:rPr>
          <w:bCs/>
          <w:sz w:val="22"/>
          <w:szCs w:val="22"/>
        </w:rPr>
      </w:pPr>
    </w:p>
    <w:p w:rsidR="00D4529C" w:rsidRPr="00AC2244" w:rsidRDefault="0002473E" w:rsidP="00FE14F2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Úplný zoznam pomocných látok, pozri časť 6.1.</w:t>
      </w:r>
    </w:p>
    <w:p w:rsidR="00D4529C" w:rsidRPr="00AC2244" w:rsidRDefault="00D4529C" w:rsidP="00FE14F2">
      <w:pPr>
        <w:rPr>
          <w:sz w:val="22"/>
          <w:szCs w:val="22"/>
        </w:rPr>
      </w:pPr>
    </w:p>
    <w:p w:rsidR="00496C8E" w:rsidRPr="00AC2244" w:rsidRDefault="0002473E" w:rsidP="00096089">
      <w:pPr>
        <w:tabs>
          <w:tab w:val="left" w:pos="357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</w:p>
    <w:p w:rsidR="00496C8E" w:rsidRPr="00AC2244" w:rsidRDefault="0002473E" w:rsidP="00FE14F2">
      <w:pPr>
        <w:keepNext/>
        <w:numPr>
          <w:ilvl w:val="0"/>
          <w:numId w:val="5"/>
        </w:numPr>
        <w:tabs>
          <w:tab w:val="clear" w:pos="360"/>
          <w:tab w:val="num" w:pos="0"/>
        </w:tabs>
        <w:ind w:left="0" w:firstLine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LIEKOVÁ FORMA</w:t>
      </w:r>
    </w:p>
    <w:p w:rsidR="00D4529C" w:rsidRPr="00AC2244" w:rsidRDefault="00D4529C" w:rsidP="00FE14F2">
      <w:pPr>
        <w:keepNext/>
        <w:rPr>
          <w:sz w:val="22"/>
          <w:szCs w:val="22"/>
        </w:rPr>
      </w:pPr>
    </w:p>
    <w:p w:rsidR="00FE14F2" w:rsidRPr="00AC2244" w:rsidRDefault="0002473E" w:rsidP="00FE14F2">
      <w:pPr>
        <w:rPr>
          <w:sz w:val="22"/>
          <w:szCs w:val="22"/>
        </w:rPr>
      </w:pPr>
      <w:r>
        <w:rPr>
          <w:sz w:val="22"/>
          <w:szCs w:val="22"/>
        </w:rPr>
        <w:t>Perorálna suspenzia.</w:t>
      </w:r>
    </w:p>
    <w:p w:rsidR="00496C8E" w:rsidRPr="00AC2244" w:rsidRDefault="00496C8E" w:rsidP="00FE14F2">
      <w:pPr>
        <w:rPr>
          <w:sz w:val="22"/>
          <w:szCs w:val="22"/>
        </w:rPr>
      </w:pPr>
    </w:p>
    <w:p w:rsidR="00496C8E" w:rsidRPr="00AC2244" w:rsidRDefault="0002473E" w:rsidP="00FE14F2">
      <w:pPr>
        <w:rPr>
          <w:sz w:val="22"/>
          <w:szCs w:val="22"/>
        </w:rPr>
      </w:pPr>
      <w:r>
        <w:rPr>
          <w:sz w:val="22"/>
          <w:szCs w:val="22"/>
        </w:rPr>
        <w:t>Takmer biela sirupovitá suspenzia s pomarančovou príchuťou.</w:t>
      </w:r>
    </w:p>
    <w:p w:rsidR="00496C8E" w:rsidRPr="00AC2244" w:rsidRDefault="00496C8E" w:rsidP="00FE14F2">
      <w:pPr>
        <w:rPr>
          <w:sz w:val="22"/>
          <w:szCs w:val="22"/>
        </w:rPr>
      </w:pPr>
    </w:p>
    <w:p w:rsidR="00D4529C" w:rsidRPr="00AC2244" w:rsidRDefault="00D4529C" w:rsidP="00FE14F2">
      <w:pPr>
        <w:rPr>
          <w:sz w:val="22"/>
          <w:szCs w:val="22"/>
        </w:rPr>
      </w:pPr>
    </w:p>
    <w:p w:rsidR="00496C8E" w:rsidRPr="00AC2244" w:rsidRDefault="0002473E" w:rsidP="00FE14F2">
      <w:pPr>
        <w:keepNext/>
        <w:numPr>
          <w:ilvl w:val="0"/>
          <w:numId w:val="5"/>
        </w:numPr>
        <w:tabs>
          <w:tab w:val="clear" w:pos="360"/>
          <w:tab w:val="num" w:pos="0"/>
        </w:tabs>
        <w:ind w:left="0" w:firstLine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KLINICKÉ ÚDAJE</w:t>
      </w:r>
    </w:p>
    <w:p w:rsidR="00D4529C" w:rsidRPr="00AC2244" w:rsidRDefault="00D4529C" w:rsidP="00FE14F2">
      <w:pPr>
        <w:keepNext/>
        <w:rPr>
          <w:b/>
          <w:bCs/>
          <w:sz w:val="22"/>
          <w:szCs w:val="22"/>
        </w:rPr>
      </w:pPr>
    </w:p>
    <w:p w:rsidR="00496C8E" w:rsidRPr="00AC2244" w:rsidRDefault="0002473E" w:rsidP="00E81A20">
      <w:pPr>
        <w:keepNext/>
        <w:numPr>
          <w:ilvl w:val="1"/>
          <w:numId w:val="33"/>
        </w:numPr>
        <w:ind w:left="0" w:firstLine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Terapeutické indikácie</w:t>
      </w:r>
    </w:p>
    <w:p w:rsidR="007261F2" w:rsidRPr="00AC2244" w:rsidRDefault="007261F2" w:rsidP="0051602D">
      <w:pPr>
        <w:keepNext/>
        <w:rPr>
          <w:sz w:val="22"/>
          <w:szCs w:val="22"/>
        </w:rPr>
      </w:pPr>
    </w:p>
    <w:p w:rsidR="007261F2" w:rsidRPr="00AC2244" w:rsidRDefault="0002473E" w:rsidP="007261F2">
      <w:pPr>
        <w:keepNext/>
        <w:rPr>
          <w:sz w:val="22"/>
          <w:szCs w:val="22"/>
        </w:rPr>
      </w:pPr>
      <w:r>
        <w:rPr>
          <w:sz w:val="22"/>
          <w:szCs w:val="22"/>
        </w:rPr>
        <w:t>Liek Nurofen pre deti sa používa:</w:t>
      </w:r>
    </w:p>
    <w:p w:rsidR="00496C8E" w:rsidRPr="00AC2244" w:rsidRDefault="0002473E" w:rsidP="009C7E99">
      <w:pPr>
        <w:numPr>
          <w:ilvl w:val="0"/>
          <w:numId w:val="39"/>
        </w:numPr>
        <w:ind w:hanging="720"/>
        <w:rPr>
          <w:sz w:val="22"/>
          <w:szCs w:val="22"/>
        </w:rPr>
      </w:pPr>
      <w:r>
        <w:rPr>
          <w:sz w:val="22"/>
          <w:szCs w:val="22"/>
        </w:rPr>
        <w:t>ako antipyretikum na zníženie horúčky (vrátane postvakcinačnej horúčky);</w:t>
      </w:r>
    </w:p>
    <w:p w:rsidR="00496C8E" w:rsidRPr="00AC2244" w:rsidRDefault="0002473E" w:rsidP="009C7E99">
      <w:pPr>
        <w:numPr>
          <w:ilvl w:val="0"/>
          <w:numId w:val="39"/>
        </w:numPr>
        <w:ind w:hanging="720"/>
        <w:rPr>
          <w:sz w:val="22"/>
          <w:szCs w:val="22"/>
        </w:rPr>
      </w:pPr>
      <w:r>
        <w:rPr>
          <w:sz w:val="22"/>
          <w:szCs w:val="22"/>
        </w:rPr>
        <w:t>ako analgetikum na tlmenie miernych až stredne silných bolestí (bolesť hlavy, bolesť hrdla, bolesť uší alebo zubov a bolesti pri poraneniach a pomliaždeninách).</w:t>
      </w:r>
    </w:p>
    <w:p w:rsidR="007261F2" w:rsidRPr="00AC2244" w:rsidRDefault="007261F2" w:rsidP="007261F2">
      <w:pPr>
        <w:rPr>
          <w:sz w:val="22"/>
          <w:szCs w:val="22"/>
        </w:rPr>
      </w:pPr>
    </w:p>
    <w:p w:rsidR="00496C8E" w:rsidRPr="00AC2244" w:rsidRDefault="0002473E" w:rsidP="007261F2">
      <w:pPr>
        <w:rPr>
          <w:sz w:val="22"/>
          <w:szCs w:val="22"/>
        </w:rPr>
      </w:pPr>
      <w:r>
        <w:rPr>
          <w:sz w:val="22"/>
          <w:szCs w:val="22"/>
        </w:rPr>
        <w:t>Vzhľadom na liekovú formu je liek určený predovšetkým na liečbu detí a dojčiat od 3 mesiacov.</w:t>
      </w:r>
    </w:p>
    <w:p w:rsidR="00496C8E" w:rsidRPr="00AC2244" w:rsidRDefault="00496C8E" w:rsidP="00FE14F2">
      <w:pPr>
        <w:rPr>
          <w:sz w:val="22"/>
          <w:szCs w:val="22"/>
        </w:rPr>
      </w:pPr>
    </w:p>
    <w:p w:rsidR="00496C8E" w:rsidRPr="00AC2244" w:rsidRDefault="0002473E" w:rsidP="00FE14F2">
      <w:pPr>
        <w:keepNext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4.2</w:t>
      </w:r>
      <w:r>
        <w:rPr>
          <w:b/>
          <w:bCs/>
          <w:sz w:val="22"/>
          <w:szCs w:val="22"/>
        </w:rPr>
        <w:tab/>
        <w:t>Dávkovanie a spôsob podávania</w:t>
      </w:r>
    </w:p>
    <w:p w:rsidR="00175AEB" w:rsidRPr="00AC2244" w:rsidRDefault="00175AEB" w:rsidP="00FE14F2">
      <w:pPr>
        <w:keepNext/>
        <w:rPr>
          <w:b/>
          <w:bCs/>
          <w:sz w:val="22"/>
          <w:szCs w:val="22"/>
        </w:rPr>
      </w:pPr>
    </w:p>
    <w:p w:rsidR="00591ABB" w:rsidRPr="00AC2244" w:rsidRDefault="0002473E" w:rsidP="00591ABB">
      <w:pPr>
        <w:tabs>
          <w:tab w:val="left" w:pos="7560"/>
        </w:tabs>
        <w:jc w:val="both"/>
        <w:rPr>
          <w:sz w:val="22"/>
          <w:szCs w:val="22"/>
        </w:rPr>
      </w:pPr>
      <w:r>
        <w:rPr>
          <w:sz w:val="22"/>
          <w:szCs w:val="22"/>
        </w:rPr>
        <w:t>Nežiaduce účinky možno minimalizovať podávaním najnižšej účinnej dávky počas najkratšej potrebnej doby na liečbu príznakov (pozri časť 4.4).</w:t>
      </w:r>
    </w:p>
    <w:p w:rsidR="00591ABB" w:rsidRPr="00AC2244" w:rsidRDefault="00591ABB" w:rsidP="00FE14F2">
      <w:pPr>
        <w:keepNext/>
        <w:rPr>
          <w:b/>
          <w:bCs/>
          <w:sz w:val="22"/>
          <w:szCs w:val="22"/>
        </w:rPr>
      </w:pPr>
    </w:p>
    <w:p w:rsidR="0012335B" w:rsidRPr="00AC2244" w:rsidRDefault="0002473E" w:rsidP="00FE14F2">
      <w:pPr>
        <w:tabs>
          <w:tab w:val="left" w:pos="7560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Dávkovanie</w:t>
      </w:r>
    </w:p>
    <w:p w:rsidR="0012335B" w:rsidRPr="00AC2244" w:rsidRDefault="0012335B" w:rsidP="00FE14F2">
      <w:pPr>
        <w:tabs>
          <w:tab w:val="left" w:pos="7560"/>
        </w:tabs>
        <w:jc w:val="both"/>
        <w:rPr>
          <w:sz w:val="22"/>
          <w:szCs w:val="22"/>
        </w:rPr>
      </w:pPr>
    </w:p>
    <w:p w:rsidR="00F80ED2" w:rsidRPr="00AC2244" w:rsidRDefault="0002473E" w:rsidP="00FE14F2">
      <w:pPr>
        <w:rPr>
          <w:sz w:val="22"/>
          <w:szCs w:val="22"/>
          <w:u w:val="single"/>
        </w:rPr>
      </w:pPr>
      <w:r>
        <w:rPr>
          <w:sz w:val="22"/>
          <w:szCs w:val="22"/>
        </w:rPr>
        <w:t>Na krátkodobé použitie.</w:t>
      </w:r>
    </w:p>
    <w:p w:rsidR="00C06983" w:rsidRPr="00AC2244" w:rsidRDefault="00C06983" w:rsidP="00175AEB">
      <w:pPr>
        <w:keepNext/>
        <w:rPr>
          <w:b/>
          <w:sz w:val="22"/>
          <w:szCs w:val="22"/>
        </w:rPr>
      </w:pPr>
    </w:p>
    <w:p w:rsidR="00496C8E" w:rsidRPr="00AC2244" w:rsidRDefault="0002473E" w:rsidP="00175AEB">
      <w:pPr>
        <w:keepNext/>
        <w:rPr>
          <w:b/>
          <w:sz w:val="22"/>
          <w:szCs w:val="22"/>
        </w:rPr>
      </w:pPr>
      <w:r>
        <w:rPr>
          <w:b/>
          <w:sz w:val="22"/>
          <w:szCs w:val="22"/>
        </w:rPr>
        <w:t>Horúčkovité a bolestivé stavy:</w:t>
      </w:r>
    </w:p>
    <w:p w:rsidR="006F3A78" w:rsidRPr="00AC2244" w:rsidRDefault="0002473E" w:rsidP="00FE14F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Dávkovanie závisí od veku a hmotnosti dieťaťa. U dojčiat a detí od 3 mesiacov do 12 rokov je obvyklá denná dávka 20 – 30 mg/kg, ktorá sa podáva oddelene v 3 – 4 jednotlivých dávkach, s intervalom dávkovania 6 - 8 hodín. </w:t>
      </w:r>
    </w:p>
    <w:p w:rsidR="00496C8E" w:rsidRPr="00AC2244" w:rsidRDefault="00496C8E" w:rsidP="00FE14F2">
      <w:pPr>
        <w:rPr>
          <w:sz w:val="22"/>
          <w:szCs w:val="22"/>
        </w:rPr>
      </w:pPr>
    </w:p>
    <w:p w:rsidR="00496C8E" w:rsidRPr="00AC2244" w:rsidRDefault="0002473E" w:rsidP="00175AEB">
      <w:pPr>
        <w:keepNext/>
        <w:rPr>
          <w:sz w:val="22"/>
          <w:szCs w:val="22"/>
        </w:rPr>
      </w:pPr>
      <w:r>
        <w:rPr>
          <w:sz w:val="22"/>
          <w:szCs w:val="22"/>
          <w:u w:val="single"/>
        </w:rPr>
        <w:t>Odporúčané dávkovanie podľa veku dieťaťa</w:t>
      </w:r>
      <w:r>
        <w:rPr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4252"/>
        <w:gridCol w:w="2831"/>
      </w:tblGrid>
      <w:tr w:rsidR="0012335B" w:rsidRPr="00AC2244" w:rsidTr="00751796">
        <w:tc>
          <w:tcPr>
            <w:tcW w:w="2127" w:type="dxa"/>
            <w:shd w:val="clear" w:color="auto" w:fill="auto"/>
          </w:tcPr>
          <w:p w:rsidR="0012335B" w:rsidRPr="00AC2244" w:rsidRDefault="0002473E" w:rsidP="00751796">
            <w:pPr>
              <w:keepNext/>
              <w:tabs>
                <w:tab w:val="center" w:pos="4536"/>
                <w:tab w:val="right" w:pos="9072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Vek </w:t>
            </w:r>
          </w:p>
        </w:tc>
        <w:tc>
          <w:tcPr>
            <w:tcW w:w="4252" w:type="dxa"/>
            <w:shd w:val="clear" w:color="auto" w:fill="auto"/>
          </w:tcPr>
          <w:p w:rsidR="0012335B" w:rsidRPr="00AC2244" w:rsidRDefault="0002473E" w:rsidP="00751796">
            <w:pPr>
              <w:keepNext/>
              <w:tabs>
                <w:tab w:val="center" w:pos="4536"/>
                <w:tab w:val="right" w:pos="9072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Jednorazová dávka</w:t>
            </w:r>
          </w:p>
        </w:tc>
        <w:tc>
          <w:tcPr>
            <w:tcW w:w="2831" w:type="dxa"/>
            <w:shd w:val="clear" w:color="auto" w:fill="auto"/>
          </w:tcPr>
          <w:p w:rsidR="0012335B" w:rsidRPr="00AC2244" w:rsidRDefault="0002473E" w:rsidP="00751796">
            <w:pPr>
              <w:keepNext/>
              <w:tabs>
                <w:tab w:val="center" w:pos="4536"/>
                <w:tab w:val="right" w:pos="9072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Frekvencia podania</w:t>
            </w:r>
          </w:p>
        </w:tc>
      </w:tr>
      <w:tr w:rsidR="0012335B" w:rsidRPr="00AC2244" w:rsidTr="00751796">
        <w:tc>
          <w:tcPr>
            <w:tcW w:w="2127" w:type="dxa"/>
            <w:shd w:val="clear" w:color="auto" w:fill="auto"/>
          </w:tcPr>
          <w:p w:rsidR="0012335B" w:rsidRPr="00AC2244" w:rsidRDefault="0002473E" w:rsidP="007517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– 12 mesiacov</w:t>
            </w:r>
          </w:p>
        </w:tc>
        <w:tc>
          <w:tcPr>
            <w:tcW w:w="4252" w:type="dxa"/>
            <w:shd w:val="clear" w:color="auto" w:fill="auto"/>
          </w:tcPr>
          <w:p w:rsidR="0012335B" w:rsidRPr="00AC2244" w:rsidRDefault="0002473E" w:rsidP="000A26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 ml suspenzie (50 mg ibuprofénu)</w:t>
            </w:r>
          </w:p>
        </w:tc>
        <w:tc>
          <w:tcPr>
            <w:tcW w:w="2831" w:type="dxa"/>
            <w:shd w:val="clear" w:color="auto" w:fill="auto"/>
          </w:tcPr>
          <w:p w:rsidR="0012335B" w:rsidRPr="00AC2244" w:rsidRDefault="0002473E" w:rsidP="003167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3 -krát </w:t>
            </w:r>
            <w:r w:rsidR="00316791">
              <w:rPr>
                <w:sz w:val="22"/>
                <w:szCs w:val="22"/>
              </w:rPr>
              <w:t>počas</w:t>
            </w:r>
            <w:r>
              <w:rPr>
                <w:sz w:val="22"/>
                <w:szCs w:val="22"/>
              </w:rPr>
              <w:t xml:space="preserve"> 24 hodín</w:t>
            </w:r>
          </w:p>
        </w:tc>
      </w:tr>
      <w:tr w:rsidR="0012335B" w:rsidRPr="00AC2244" w:rsidTr="00751796">
        <w:tc>
          <w:tcPr>
            <w:tcW w:w="2127" w:type="dxa"/>
            <w:shd w:val="clear" w:color="auto" w:fill="auto"/>
          </w:tcPr>
          <w:p w:rsidR="0012335B" w:rsidRPr="00AC2244" w:rsidRDefault="0002473E" w:rsidP="007517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 – 2 roky</w:t>
            </w:r>
          </w:p>
        </w:tc>
        <w:tc>
          <w:tcPr>
            <w:tcW w:w="4252" w:type="dxa"/>
            <w:shd w:val="clear" w:color="auto" w:fill="auto"/>
          </w:tcPr>
          <w:p w:rsidR="0012335B" w:rsidRPr="00AC2244" w:rsidRDefault="0002473E" w:rsidP="007517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 ml suspenzie (50 mg ibuprofénu)</w:t>
            </w:r>
          </w:p>
        </w:tc>
        <w:tc>
          <w:tcPr>
            <w:tcW w:w="2831" w:type="dxa"/>
            <w:shd w:val="clear" w:color="auto" w:fill="auto"/>
          </w:tcPr>
          <w:p w:rsidR="0012335B" w:rsidRPr="00AC2244" w:rsidRDefault="0002473E" w:rsidP="003167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3 - 4 -krát </w:t>
            </w:r>
            <w:r w:rsidR="00316791">
              <w:rPr>
                <w:sz w:val="22"/>
                <w:szCs w:val="22"/>
              </w:rPr>
              <w:t>počas</w:t>
            </w:r>
            <w:r>
              <w:rPr>
                <w:sz w:val="22"/>
                <w:szCs w:val="22"/>
              </w:rPr>
              <w:t xml:space="preserve"> 24 hodín</w:t>
            </w:r>
          </w:p>
        </w:tc>
      </w:tr>
      <w:tr w:rsidR="0012335B" w:rsidRPr="00AC2244" w:rsidTr="00751796">
        <w:tc>
          <w:tcPr>
            <w:tcW w:w="2127" w:type="dxa"/>
            <w:shd w:val="clear" w:color="auto" w:fill="auto"/>
          </w:tcPr>
          <w:p w:rsidR="0012335B" w:rsidRPr="00AC2244" w:rsidRDefault="0002473E" w:rsidP="00751796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– 7 rokov</w:t>
            </w:r>
          </w:p>
        </w:tc>
        <w:tc>
          <w:tcPr>
            <w:tcW w:w="4252" w:type="dxa"/>
            <w:shd w:val="clear" w:color="auto" w:fill="auto"/>
          </w:tcPr>
          <w:p w:rsidR="0012335B" w:rsidRPr="00AC2244" w:rsidRDefault="0002473E" w:rsidP="00751796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ml suspenzie (100 mg ibuprofénu)</w:t>
            </w:r>
          </w:p>
        </w:tc>
        <w:tc>
          <w:tcPr>
            <w:tcW w:w="2831" w:type="dxa"/>
            <w:shd w:val="clear" w:color="auto" w:fill="auto"/>
          </w:tcPr>
          <w:p w:rsidR="0012335B" w:rsidRPr="00AC2244" w:rsidRDefault="0002473E" w:rsidP="0031679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3 - 4 -krát </w:t>
            </w:r>
            <w:r w:rsidR="00316791">
              <w:rPr>
                <w:sz w:val="22"/>
                <w:szCs w:val="22"/>
              </w:rPr>
              <w:t>počas</w:t>
            </w:r>
            <w:r>
              <w:rPr>
                <w:sz w:val="22"/>
                <w:szCs w:val="22"/>
              </w:rPr>
              <w:t xml:space="preserve"> 24 hodín</w:t>
            </w:r>
          </w:p>
        </w:tc>
      </w:tr>
      <w:tr w:rsidR="0012335B" w:rsidRPr="00AC2244" w:rsidTr="00751796">
        <w:tc>
          <w:tcPr>
            <w:tcW w:w="2127" w:type="dxa"/>
            <w:shd w:val="clear" w:color="auto" w:fill="auto"/>
          </w:tcPr>
          <w:p w:rsidR="0012335B" w:rsidRPr="00AC2244" w:rsidRDefault="0002473E" w:rsidP="00751796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– 12 rokov</w:t>
            </w:r>
          </w:p>
        </w:tc>
        <w:tc>
          <w:tcPr>
            <w:tcW w:w="4252" w:type="dxa"/>
            <w:shd w:val="clear" w:color="auto" w:fill="auto"/>
          </w:tcPr>
          <w:p w:rsidR="0012335B" w:rsidRPr="00AC2244" w:rsidRDefault="0002473E" w:rsidP="000A2622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– 10 ml suspenzie (100 – 200 mg ibuprofénu)</w:t>
            </w:r>
          </w:p>
        </w:tc>
        <w:tc>
          <w:tcPr>
            <w:tcW w:w="2831" w:type="dxa"/>
            <w:shd w:val="clear" w:color="auto" w:fill="auto"/>
          </w:tcPr>
          <w:p w:rsidR="0012335B" w:rsidRPr="00AC2244" w:rsidRDefault="0002473E" w:rsidP="0031679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3 - 4 -krát </w:t>
            </w:r>
            <w:r w:rsidR="00316791">
              <w:rPr>
                <w:sz w:val="22"/>
                <w:szCs w:val="22"/>
              </w:rPr>
              <w:t>počas</w:t>
            </w:r>
            <w:r>
              <w:rPr>
                <w:sz w:val="22"/>
                <w:szCs w:val="22"/>
              </w:rPr>
              <w:t xml:space="preserve"> 24 hodín</w:t>
            </w:r>
          </w:p>
        </w:tc>
      </w:tr>
    </w:tbl>
    <w:p w:rsidR="00B61978" w:rsidRPr="00AC2244" w:rsidRDefault="00B61978" w:rsidP="002C2624">
      <w:pPr>
        <w:keepNext/>
        <w:rPr>
          <w:sz w:val="22"/>
          <w:szCs w:val="22"/>
        </w:rPr>
      </w:pPr>
      <w:bookmarkStart w:id="0" w:name="OLE_LINK9"/>
      <w:bookmarkStart w:id="1" w:name="OLE_LINK10"/>
    </w:p>
    <w:p w:rsidR="007261F2" w:rsidRPr="00AC2244" w:rsidRDefault="0002473E" w:rsidP="002C2624">
      <w:pPr>
        <w:keepNext/>
        <w:rPr>
          <w:sz w:val="22"/>
          <w:szCs w:val="22"/>
        </w:rPr>
      </w:pPr>
      <w:r>
        <w:rPr>
          <w:sz w:val="22"/>
          <w:szCs w:val="22"/>
          <w:u w:val="single"/>
        </w:rPr>
        <w:t>Orientačný príklad dávkovania podľa hmotnosti dieťaťa</w:t>
      </w:r>
      <w:r>
        <w:rPr>
          <w:sz w:val="22"/>
          <w:szCs w:val="22"/>
        </w:rPr>
        <w:t>:</w:t>
      </w:r>
    </w:p>
    <w:p w:rsidR="006F3A78" w:rsidRPr="00AC2244" w:rsidRDefault="0002473E" w:rsidP="0051602D">
      <w:pPr>
        <w:keepNext/>
        <w:rPr>
          <w:sz w:val="22"/>
          <w:szCs w:val="22"/>
        </w:rPr>
      </w:pPr>
      <w:r>
        <w:rPr>
          <w:sz w:val="22"/>
          <w:szCs w:val="22"/>
        </w:rPr>
        <w:t>(v tabuľke sú vypočítané denné dávky s použitím dolnej hranice odporúčaného množstva ibuprofénu 20 mg/kg/deň):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01"/>
        <w:gridCol w:w="2835"/>
        <w:gridCol w:w="3096"/>
      </w:tblGrid>
      <w:tr w:rsidR="006F3A78" w:rsidRPr="00AC2244" w:rsidTr="00827855">
        <w:tc>
          <w:tcPr>
            <w:tcW w:w="1701" w:type="dxa"/>
          </w:tcPr>
          <w:p w:rsidR="006F3A78" w:rsidRPr="00AC2244" w:rsidRDefault="0002473E" w:rsidP="007261F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Hmotnosť (kg)</w:t>
            </w:r>
          </w:p>
        </w:tc>
        <w:tc>
          <w:tcPr>
            <w:tcW w:w="2835" w:type="dxa"/>
          </w:tcPr>
          <w:p w:rsidR="006F3A78" w:rsidRPr="00AC2244" w:rsidRDefault="0002473E" w:rsidP="007261F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Dávka ibuprofénu/deň (mg)</w:t>
            </w:r>
          </w:p>
        </w:tc>
        <w:tc>
          <w:tcPr>
            <w:tcW w:w="3096" w:type="dxa"/>
          </w:tcPr>
          <w:p w:rsidR="006F3A78" w:rsidRPr="00AC2244" w:rsidRDefault="0002473E" w:rsidP="0082785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Množstvo suspenzie/deň (ml)</w:t>
            </w:r>
          </w:p>
        </w:tc>
      </w:tr>
      <w:tr w:rsidR="00903622" w:rsidRPr="00AC2244" w:rsidTr="00827855">
        <w:tc>
          <w:tcPr>
            <w:tcW w:w="1701" w:type="dxa"/>
          </w:tcPr>
          <w:p w:rsidR="00903622" w:rsidRPr="00AC2244" w:rsidRDefault="0002473E" w:rsidP="007261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835" w:type="dxa"/>
          </w:tcPr>
          <w:p w:rsidR="00903622" w:rsidRPr="00AC2244" w:rsidRDefault="0002473E" w:rsidP="007261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3096" w:type="dxa"/>
          </w:tcPr>
          <w:p w:rsidR="00903622" w:rsidRPr="00AC2244" w:rsidRDefault="0002473E" w:rsidP="008278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6F3A78" w:rsidRPr="00AC2244" w:rsidTr="00827855">
        <w:tc>
          <w:tcPr>
            <w:tcW w:w="1701" w:type="dxa"/>
          </w:tcPr>
          <w:p w:rsidR="006F3A78" w:rsidRPr="00AC2244" w:rsidRDefault="0002473E" w:rsidP="007261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835" w:type="dxa"/>
          </w:tcPr>
          <w:p w:rsidR="006F3A78" w:rsidRPr="00AC2244" w:rsidRDefault="0002473E" w:rsidP="007261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3096" w:type="dxa"/>
          </w:tcPr>
          <w:p w:rsidR="006F3A78" w:rsidRPr="00AC2244" w:rsidRDefault="0002473E" w:rsidP="007261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6F3A78" w:rsidRPr="00AC2244" w:rsidTr="00827855">
        <w:tc>
          <w:tcPr>
            <w:tcW w:w="1701" w:type="dxa"/>
          </w:tcPr>
          <w:p w:rsidR="006F3A78" w:rsidRPr="00AC2244" w:rsidRDefault="0002473E" w:rsidP="007261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835" w:type="dxa"/>
          </w:tcPr>
          <w:p w:rsidR="006F3A78" w:rsidRPr="00AC2244" w:rsidRDefault="0002473E" w:rsidP="007261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</w:t>
            </w:r>
          </w:p>
        </w:tc>
        <w:tc>
          <w:tcPr>
            <w:tcW w:w="3096" w:type="dxa"/>
          </w:tcPr>
          <w:p w:rsidR="006F3A78" w:rsidRPr="00AC2244" w:rsidRDefault="0002473E" w:rsidP="007261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6F3A78" w:rsidRPr="00AC2244" w:rsidTr="00827855">
        <w:tc>
          <w:tcPr>
            <w:tcW w:w="1701" w:type="dxa"/>
          </w:tcPr>
          <w:p w:rsidR="006F3A78" w:rsidRPr="00AC2244" w:rsidRDefault="0002473E" w:rsidP="007261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835" w:type="dxa"/>
          </w:tcPr>
          <w:p w:rsidR="006F3A78" w:rsidRPr="00AC2244" w:rsidRDefault="0002473E" w:rsidP="007261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3096" w:type="dxa"/>
          </w:tcPr>
          <w:p w:rsidR="006F3A78" w:rsidRPr="00AC2244" w:rsidRDefault="0002473E" w:rsidP="007261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6F3A78" w:rsidRPr="00AC2244" w:rsidTr="00827855">
        <w:tc>
          <w:tcPr>
            <w:tcW w:w="1701" w:type="dxa"/>
          </w:tcPr>
          <w:p w:rsidR="006F3A78" w:rsidRPr="00AC2244" w:rsidRDefault="0002473E" w:rsidP="007261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2835" w:type="dxa"/>
          </w:tcPr>
          <w:p w:rsidR="006F3A78" w:rsidRPr="00AC2244" w:rsidRDefault="0002473E" w:rsidP="007261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3096" w:type="dxa"/>
          </w:tcPr>
          <w:p w:rsidR="006F3A78" w:rsidRPr="00AC2244" w:rsidRDefault="0002473E" w:rsidP="007261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 w:rsidR="006F3A78" w:rsidRPr="00AC2244" w:rsidTr="00827855">
        <w:tc>
          <w:tcPr>
            <w:tcW w:w="1701" w:type="dxa"/>
          </w:tcPr>
          <w:p w:rsidR="006F3A78" w:rsidRPr="00AC2244" w:rsidRDefault="0002473E" w:rsidP="007261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2835" w:type="dxa"/>
          </w:tcPr>
          <w:p w:rsidR="006F3A78" w:rsidRPr="00AC2244" w:rsidRDefault="0002473E" w:rsidP="007261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</w:t>
            </w:r>
          </w:p>
        </w:tc>
        <w:tc>
          <w:tcPr>
            <w:tcW w:w="3096" w:type="dxa"/>
          </w:tcPr>
          <w:p w:rsidR="006F3A78" w:rsidRPr="00AC2244" w:rsidRDefault="0002473E" w:rsidP="007261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</w:tr>
      <w:tr w:rsidR="006F3A78" w:rsidRPr="00AC2244" w:rsidTr="00827855">
        <w:tc>
          <w:tcPr>
            <w:tcW w:w="1701" w:type="dxa"/>
          </w:tcPr>
          <w:p w:rsidR="006F3A78" w:rsidRPr="00AC2244" w:rsidRDefault="0002473E" w:rsidP="007261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2835" w:type="dxa"/>
          </w:tcPr>
          <w:p w:rsidR="006F3A78" w:rsidRPr="00AC2244" w:rsidRDefault="0002473E" w:rsidP="007261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</w:t>
            </w:r>
          </w:p>
        </w:tc>
        <w:tc>
          <w:tcPr>
            <w:tcW w:w="3096" w:type="dxa"/>
          </w:tcPr>
          <w:p w:rsidR="006F3A78" w:rsidRPr="00AC2244" w:rsidRDefault="0002473E" w:rsidP="007261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</w:tr>
      <w:tr w:rsidR="006F3A78" w:rsidRPr="00AC2244" w:rsidTr="00827855">
        <w:tc>
          <w:tcPr>
            <w:tcW w:w="1701" w:type="dxa"/>
          </w:tcPr>
          <w:p w:rsidR="006F3A78" w:rsidRPr="00AC2244" w:rsidRDefault="0002473E" w:rsidP="007261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2835" w:type="dxa"/>
          </w:tcPr>
          <w:p w:rsidR="006F3A78" w:rsidRPr="00AC2244" w:rsidRDefault="0002473E" w:rsidP="007261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</w:t>
            </w:r>
          </w:p>
        </w:tc>
        <w:tc>
          <w:tcPr>
            <w:tcW w:w="3096" w:type="dxa"/>
          </w:tcPr>
          <w:p w:rsidR="006F3A78" w:rsidRPr="00AC2244" w:rsidRDefault="0002473E" w:rsidP="007261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</w:tr>
      <w:tr w:rsidR="006F3A78" w:rsidRPr="00AC2244" w:rsidTr="00827855">
        <w:tc>
          <w:tcPr>
            <w:tcW w:w="1701" w:type="dxa"/>
          </w:tcPr>
          <w:p w:rsidR="006F3A78" w:rsidRPr="00AC2244" w:rsidRDefault="0002473E" w:rsidP="007261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2835" w:type="dxa"/>
          </w:tcPr>
          <w:p w:rsidR="006F3A78" w:rsidRPr="00AC2244" w:rsidRDefault="0002473E" w:rsidP="007261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</w:tc>
        <w:tc>
          <w:tcPr>
            <w:tcW w:w="3096" w:type="dxa"/>
          </w:tcPr>
          <w:p w:rsidR="006F3A78" w:rsidRPr="00AC2244" w:rsidRDefault="0002473E" w:rsidP="007261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6F3A78" w:rsidRPr="00AC2244" w:rsidTr="00827855">
        <w:tc>
          <w:tcPr>
            <w:tcW w:w="1701" w:type="dxa"/>
          </w:tcPr>
          <w:p w:rsidR="006F3A78" w:rsidRPr="00AC2244" w:rsidRDefault="0002473E" w:rsidP="007261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2835" w:type="dxa"/>
          </w:tcPr>
          <w:p w:rsidR="006F3A78" w:rsidRPr="00AC2244" w:rsidRDefault="0002473E" w:rsidP="007261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max 500</w:t>
            </w:r>
          </w:p>
        </w:tc>
        <w:tc>
          <w:tcPr>
            <w:tcW w:w="3096" w:type="dxa"/>
          </w:tcPr>
          <w:p w:rsidR="006F3A78" w:rsidRPr="00AC2244" w:rsidRDefault="0002473E" w:rsidP="007261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max 25 ml</w:t>
            </w:r>
          </w:p>
        </w:tc>
      </w:tr>
      <w:bookmarkEnd w:id="0"/>
      <w:bookmarkEnd w:id="1"/>
    </w:tbl>
    <w:p w:rsidR="00496C8E" w:rsidRPr="00AC2244" w:rsidRDefault="00496C8E" w:rsidP="00FE14F2">
      <w:pPr>
        <w:rPr>
          <w:sz w:val="22"/>
          <w:szCs w:val="22"/>
        </w:rPr>
      </w:pPr>
    </w:p>
    <w:p w:rsidR="00496C8E" w:rsidRPr="00AC2244" w:rsidRDefault="0002473E" w:rsidP="00FE14F2">
      <w:pPr>
        <w:rPr>
          <w:sz w:val="22"/>
          <w:szCs w:val="22"/>
        </w:rPr>
      </w:pPr>
      <w:r>
        <w:rPr>
          <w:sz w:val="22"/>
          <w:szCs w:val="22"/>
        </w:rPr>
        <w:t xml:space="preserve">U detí s hmotnosťou do </w:t>
      </w:r>
      <w:smartTag w:uri="urn:schemas-microsoft-com:office:smarttags" w:element="metricconverter">
        <w:smartTagPr>
          <w:attr w:name="ProductID" w:val="30 kg"/>
        </w:smartTagPr>
        <w:r>
          <w:rPr>
            <w:sz w:val="22"/>
            <w:szCs w:val="22"/>
          </w:rPr>
          <w:t>30 kg</w:t>
        </w:r>
      </w:smartTag>
      <w:r>
        <w:rPr>
          <w:sz w:val="22"/>
          <w:szCs w:val="22"/>
        </w:rPr>
        <w:t xml:space="preserve"> sa neodporúča prekročiť dávku 25 ml (500 mg ibuprofénu) denne.</w:t>
      </w:r>
    </w:p>
    <w:p w:rsidR="00BB2BAA" w:rsidRPr="00AC2244" w:rsidRDefault="00BB2BAA" w:rsidP="00BB2BAA">
      <w:pPr>
        <w:rPr>
          <w:sz w:val="22"/>
          <w:szCs w:val="22"/>
          <w:u w:val="single"/>
        </w:rPr>
      </w:pPr>
    </w:p>
    <w:p w:rsidR="00096089" w:rsidRPr="00AC2244" w:rsidRDefault="0002473E" w:rsidP="00096089">
      <w:pPr>
        <w:rPr>
          <w:sz w:val="22"/>
          <w:szCs w:val="22"/>
        </w:rPr>
      </w:pPr>
      <w:r>
        <w:rPr>
          <w:sz w:val="22"/>
          <w:szCs w:val="22"/>
        </w:rPr>
        <w:t>Liek nie je určený pre deti mladšie ako 3 mesiace, ak nie je inak odporúčané lekárom.</w:t>
      </w:r>
    </w:p>
    <w:p w:rsidR="00096089" w:rsidRPr="00AC2244" w:rsidRDefault="00096089" w:rsidP="0012335B">
      <w:pPr>
        <w:rPr>
          <w:sz w:val="22"/>
          <w:szCs w:val="22"/>
        </w:rPr>
      </w:pPr>
    </w:p>
    <w:p w:rsidR="0012335B" w:rsidRPr="00AC2244" w:rsidRDefault="0002473E" w:rsidP="0012335B">
      <w:pPr>
        <w:rPr>
          <w:sz w:val="22"/>
          <w:szCs w:val="22"/>
        </w:rPr>
      </w:pPr>
      <w:r>
        <w:rPr>
          <w:sz w:val="22"/>
          <w:szCs w:val="22"/>
        </w:rPr>
        <w:t>Prípravok nie je určený pre deti s hmotnosťou nižšou ako 5 kg.</w:t>
      </w:r>
    </w:p>
    <w:p w:rsidR="0012335B" w:rsidRPr="00AC2244" w:rsidRDefault="0012335B" w:rsidP="0012335B">
      <w:pPr>
        <w:rPr>
          <w:sz w:val="22"/>
          <w:szCs w:val="22"/>
          <w:u w:val="single"/>
        </w:rPr>
      </w:pPr>
    </w:p>
    <w:p w:rsidR="00A0415F" w:rsidRPr="00AC2244" w:rsidRDefault="0002473E" w:rsidP="00A0415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U dojčiat vo veku 3 – 5 mesiacov je potrebné vyhľadať lekára okamžite pri zhoršení príznakov ochorenia alebo, ak príznaky pretrvávajú, do 24 hodín. </w:t>
      </w:r>
    </w:p>
    <w:p w:rsidR="00A0415F" w:rsidRPr="00AC2244" w:rsidRDefault="00A0415F" w:rsidP="00A0415F">
      <w:pPr>
        <w:jc w:val="both"/>
        <w:rPr>
          <w:sz w:val="22"/>
          <w:szCs w:val="22"/>
        </w:rPr>
      </w:pPr>
    </w:p>
    <w:p w:rsidR="00A0415F" w:rsidRPr="00AC2244" w:rsidRDefault="0002473E" w:rsidP="00A0415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Ak je u detí od 6 mesiacov a u dospievajúcich potrebné podávať tento liek dlhšie ako 3 dni alebo ak sa zhoršia príznaky ochorenia, musíte vyhľadať lekára. </w:t>
      </w:r>
    </w:p>
    <w:p w:rsidR="00A0415F" w:rsidRPr="00AC2244" w:rsidRDefault="00A0415F" w:rsidP="00BB2BAA">
      <w:pPr>
        <w:rPr>
          <w:sz w:val="22"/>
          <w:szCs w:val="22"/>
          <w:u w:val="single"/>
        </w:rPr>
      </w:pPr>
    </w:p>
    <w:p w:rsidR="00496C8E" w:rsidRPr="00AC2244" w:rsidRDefault="0002473E" w:rsidP="00175AEB">
      <w:pPr>
        <w:keepNext/>
        <w:rPr>
          <w:b/>
          <w:sz w:val="22"/>
          <w:szCs w:val="22"/>
        </w:rPr>
      </w:pPr>
      <w:r>
        <w:rPr>
          <w:b/>
          <w:sz w:val="22"/>
          <w:szCs w:val="22"/>
        </w:rPr>
        <w:t>Postvakcinačná horúčka (3 - 6 mesiacov):</w:t>
      </w:r>
    </w:p>
    <w:p w:rsidR="00496C8E" w:rsidRPr="00AC2244" w:rsidRDefault="0002473E" w:rsidP="00827855">
      <w:pPr>
        <w:pStyle w:val="Zkladntex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Liek sa podáva v dávke 2,5 ml suspenzie (50 mg ibuprofénu). V prípade potreby sa dávka môže zopakovať po 6-tich hodinách. Nemá sa podať viac ako 2 -krát 50 mg ibuprofénu za deň.</w:t>
      </w:r>
    </w:p>
    <w:p w:rsidR="00496C8E" w:rsidRPr="00AC2244" w:rsidRDefault="0002473E" w:rsidP="00FE14F2">
      <w:pPr>
        <w:rPr>
          <w:sz w:val="22"/>
          <w:szCs w:val="22"/>
        </w:rPr>
      </w:pPr>
      <w:r>
        <w:rPr>
          <w:sz w:val="22"/>
          <w:szCs w:val="22"/>
        </w:rPr>
        <w:t>Ak sa horúčka neznižuje, je potrebné vyhľadať lekára.</w:t>
      </w:r>
    </w:p>
    <w:p w:rsidR="0012335B" w:rsidRPr="00AC2244" w:rsidRDefault="0012335B" w:rsidP="00FE14F2">
      <w:pPr>
        <w:rPr>
          <w:sz w:val="22"/>
          <w:szCs w:val="22"/>
        </w:rPr>
      </w:pPr>
    </w:p>
    <w:p w:rsidR="00496C8E" w:rsidRPr="00AC2244" w:rsidRDefault="0002473E" w:rsidP="00175AEB">
      <w:pPr>
        <w:keepNext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Spôsob podávania</w:t>
      </w:r>
    </w:p>
    <w:p w:rsidR="0012335B" w:rsidRPr="00AC2244" w:rsidRDefault="0002473E" w:rsidP="00175AEB">
      <w:pPr>
        <w:keepNext/>
        <w:rPr>
          <w:sz w:val="22"/>
          <w:szCs w:val="22"/>
        </w:rPr>
      </w:pPr>
      <w:r>
        <w:rPr>
          <w:sz w:val="22"/>
          <w:szCs w:val="22"/>
        </w:rPr>
        <w:t>Perorálne podanie.</w:t>
      </w:r>
    </w:p>
    <w:p w:rsidR="0012335B" w:rsidRPr="00AC2244" w:rsidRDefault="0012335B" w:rsidP="00175AEB">
      <w:pPr>
        <w:keepNext/>
        <w:rPr>
          <w:b/>
          <w:iCs/>
          <w:sz w:val="22"/>
          <w:szCs w:val="22"/>
        </w:rPr>
      </w:pPr>
    </w:p>
    <w:p w:rsidR="00496C8E" w:rsidRPr="00AC2244" w:rsidRDefault="0002473E" w:rsidP="00827855">
      <w:pPr>
        <w:pStyle w:val="Zkladntex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Liek sa užíva nezávisle od príjmu potravy. Ak sa počas liečby vyskytnú zažívacie ťažkosti, vhodné je liek užívať počas jedla.</w:t>
      </w:r>
    </w:p>
    <w:p w:rsidR="00827855" w:rsidRPr="00AC2244" w:rsidRDefault="00827855" w:rsidP="00FE14F2">
      <w:pPr>
        <w:jc w:val="both"/>
        <w:rPr>
          <w:sz w:val="22"/>
          <w:szCs w:val="22"/>
        </w:rPr>
      </w:pPr>
    </w:p>
    <w:p w:rsidR="006F3A78" w:rsidRPr="00AC2244" w:rsidRDefault="0002473E" w:rsidP="00FE14F2">
      <w:pPr>
        <w:jc w:val="both"/>
        <w:rPr>
          <w:sz w:val="22"/>
          <w:szCs w:val="22"/>
        </w:rPr>
      </w:pPr>
      <w:r>
        <w:rPr>
          <w:sz w:val="22"/>
          <w:szCs w:val="22"/>
        </w:rPr>
        <w:t>Liek sa dodáva s odmernou lyžičkou alebo dávkovacou trubičkou. Návod na použitie, pozri časť 6.6.</w:t>
      </w:r>
    </w:p>
    <w:p w:rsidR="00496C8E" w:rsidRPr="00AC2244" w:rsidRDefault="00496C8E" w:rsidP="00FE14F2">
      <w:pPr>
        <w:rPr>
          <w:sz w:val="22"/>
          <w:szCs w:val="22"/>
        </w:rPr>
      </w:pPr>
    </w:p>
    <w:p w:rsidR="00496C8E" w:rsidRPr="00AC2244" w:rsidRDefault="0002473E" w:rsidP="00175AEB">
      <w:pPr>
        <w:keepNext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4.3</w:t>
      </w:r>
      <w:r>
        <w:rPr>
          <w:b/>
          <w:bCs/>
          <w:sz w:val="22"/>
          <w:szCs w:val="22"/>
        </w:rPr>
        <w:tab/>
        <w:t>Kontraindikácie</w:t>
      </w:r>
    </w:p>
    <w:p w:rsidR="00D4529C" w:rsidRPr="00AC2244" w:rsidRDefault="00D4529C" w:rsidP="00175AEB">
      <w:pPr>
        <w:keepNext/>
        <w:rPr>
          <w:sz w:val="22"/>
          <w:szCs w:val="22"/>
        </w:rPr>
      </w:pPr>
    </w:p>
    <w:p w:rsidR="0017486D" w:rsidRPr="00AC2244" w:rsidRDefault="0002473E" w:rsidP="00EE1105">
      <w:pPr>
        <w:numPr>
          <w:ilvl w:val="0"/>
          <w:numId w:val="35"/>
        </w:numPr>
        <w:ind w:hanging="720"/>
        <w:rPr>
          <w:sz w:val="22"/>
          <w:szCs w:val="22"/>
        </w:rPr>
      </w:pPr>
      <w:r>
        <w:rPr>
          <w:sz w:val="22"/>
          <w:szCs w:val="22"/>
        </w:rPr>
        <w:t>precitlivenosť na liečivo alebo na ktorúkoľvek z pomocných látok</w:t>
      </w:r>
      <w:r>
        <w:rPr>
          <w:sz w:val="22"/>
          <w:szCs w:val="22"/>
          <w:lang w:eastAsia="en-US"/>
        </w:rPr>
        <w:t xml:space="preserve"> uvedených v časti 6.1</w:t>
      </w:r>
      <w:r>
        <w:rPr>
          <w:sz w:val="22"/>
          <w:szCs w:val="22"/>
        </w:rPr>
        <w:t>;</w:t>
      </w:r>
    </w:p>
    <w:p w:rsidR="0017486D" w:rsidRPr="00AC2244" w:rsidRDefault="0002473E" w:rsidP="00EE1105">
      <w:pPr>
        <w:numPr>
          <w:ilvl w:val="0"/>
          <w:numId w:val="35"/>
        </w:numPr>
        <w:ind w:hanging="720"/>
        <w:rPr>
          <w:sz w:val="22"/>
          <w:szCs w:val="22"/>
        </w:rPr>
      </w:pPr>
      <w:r>
        <w:rPr>
          <w:sz w:val="22"/>
          <w:szCs w:val="22"/>
        </w:rPr>
        <w:t>precitlivenosť na kyselinu acetylsalicylovú alebo iné nesteroidové protizápalové lieky (NSAID - non-steroid anti-inflammatory drugs) prejavujúca sa ako priedušková astma, žihľavka alebo rinitída;</w:t>
      </w:r>
    </w:p>
    <w:p w:rsidR="0017486D" w:rsidRPr="00AC2244" w:rsidRDefault="0002473E" w:rsidP="00EE1105">
      <w:pPr>
        <w:numPr>
          <w:ilvl w:val="0"/>
          <w:numId w:val="35"/>
        </w:numPr>
        <w:ind w:hanging="720"/>
        <w:jc w:val="both"/>
        <w:rPr>
          <w:sz w:val="22"/>
          <w:szCs w:val="22"/>
        </w:rPr>
      </w:pPr>
      <w:r>
        <w:rPr>
          <w:sz w:val="22"/>
          <w:szCs w:val="22"/>
        </w:rPr>
        <w:t>súbežné podávanie s inými NSAID vrátanie selektívnych inhibítorov cyklooxygenázy-2;</w:t>
      </w:r>
    </w:p>
    <w:p w:rsidR="0017486D" w:rsidRPr="00AC2244" w:rsidRDefault="0002473E" w:rsidP="00EE1105">
      <w:pPr>
        <w:numPr>
          <w:ilvl w:val="0"/>
          <w:numId w:val="35"/>
        </w:numPr>
        <w:ind w:hanging="720"/>
        <w:jc w:val="both"/>
        <w:rPr>
          <w:sz w:val="22"/>
          <w:szCs w:val="22"/>
        </w:rPr>
      </w:pPr>
      <w:r>
        <w:rPr>
          <w:sz w:val="22"/>
          <w:szCs w:val="22"/>
        </w:rPr>
        <w:t>aktívny alebo anamnesticky rekurentný peptický vred / krvácanie (dva alebo viac prípadov potvrdeného vredu alebo krvácania);</w:t>
      </w:r>
    </w:p>
    <w:p w:rsidR="0017486D" w:rsidRPr="00AC2244" w:rsidRDefault="0002473E" w:rsidP="00EE1105">
      <w:pPr>
        <w:numPr>
          <w:ilvl w:val="0"/>
          <w:numId w:val="35"/>
        </w:numPr>
        <w:ind w:hanging="72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pacienti s anamnézou gastrointestinálne krvácanie alebo perforácia vo vzťahu k predchádzajúcej terapii NSAID v anamnéze; </w:t>
      </w:r>
    </w:p>
    <w:p w:rsidR="0017486D" w:rsidRPr="00AC2244" w:rsidRDefault="0002473E" w:rsidP="00EE1105">
      <w:pPr>
        <w:numPr>
          <w:ilvl w:val="0"/>
          <w:numId w:val="35"/>
        </w:numPr>
        <w:ind w:hanging="720"/>
        <w:jc w:val="both"/>
        <w:rPr>
          <w:sz w:val="22"/>
          <w:szCs w:val="22"/>
        </w:rPr>
      </w:pPr>
      <w:r>
        <w:rPr>
          <w:sz w:val="22"/>
          <w:szCs w:val="22"/>
        </w:rPr>
        <w:t>závažné srdcové zlyhanie;</w:t>
      </w:r>
    </w:p>
    <w:p w:rsidR="0017486D" w:rsidRPr="00AC2244" w:rsidRDefault="0002473E" w:rsidP="00EE1105">
      <w:pPr>
        <w:numPr>
          <w:ilvl w:val="0"/>
          <w:numId w:val="35"/>
        </w:numPr>
        <w:ind w:hanging="720"/>
        <w:jc w:val="both"/>
        <w:rPr>
          <w:sz w:val="22"/>
          <w:szCs w:val="22"/>
        </w:rPr>
      </w:pPr>
      <w:r>
        <w:rPr>
          <w:sz w:val="22"/>
          <w:szCs w:val="22"/>
        </w:rPr>
        <w:t>ťažká porucha funkcie pečene alebo obličiek;</w:t>
      </w:r>
    </w:p>
    <w:p w:rsidR="0017486D" w:rsidRPr="00AC2244" w:rsidRDefault="0002473E" w:rsidP="00EE1105">
      <w:pPr>
        <w:numPr>
          <w:ilvl w:val="0"/>
          <w:numId w:val="35"/>
        </w:numPr>
        <w:ind w:hanging="720"/>
        <w:jc w:val="both"/>
        <w:rPr>
          <w:sz w:val="22"/>
          <w:szCs w:val="22"/>
        </w:rPr>
      </w:pPr>
      <w:r>
        <w:rPr>
          <w:sz w:val="22"/>
          <w:szCs w:val="22"/>
        </w:rPr>
        <w:t>tretí trimester gravidity (pozri tiež časť 4.6).</w:t>
      </w:r>
    </w:p>
    <w:p w:rsidR="00496C8E" w:rsidRPr="00AC2244" w:rsidRDefault="00496C8E" w:rsidP="00FE14F2">
      <w:pPr>
        <w:rPr>
          <w:sz w:val="22"/>
          <w:szCs w:val="22"/>
        </w:rPr>
      </w:pPr>
    </w:p>
    <w:p w:rsidR="00496C8E" w:rsidRPr="00AC2244" w:rsidRDefault="0002473E" w:rsidP="00175AEB">
      <w:pPr>
        <w:keepNext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4.4</w:t>
      </w:r>
      <w:r>
        <w:rPr>
          <w:b/>
          <w:bCs/>
          <w:sz w:val="22"/>
          <w:szCs w:val="22"/>
        </w:rPr>
        <w:tab/>
        <w:t>Osobitné upozornenia a opatrenia pri používaní</w:t>
      </w:r>
    </w:p>
    <w:p w:rsidR="00833338" w:rsidRPr="00AC2244" w:rsidRDefault="00833338" w:rsidP="00175AEB">
      <w:pPr>
        <w:keepNext/>
        <w:jc w:val="both"/>
        <w:rPr>
          <w:bCs/>
          <w:sz w:val="22"/>
          <w:szCs w:val="22"/>
        </w:rPr>
      </w:pPr>
    </w:p>
    <w:p w:rsidR="00BB2BAA" w:rsidRPr="00AC2244" w:rsidRDefault="0002473E" w:rsidP="00827855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Nežiaduce účinky možno minimalizovať použitím najmenšej účinnej dávky počas najkratšieho obdobia, ktoré je potrebné na kontrolu symptómov (pozri Kardiovaskulárne a Gastrointestinálne reakcie nižšie).</w:t>
      </w:r>
    </w:p>
    <w:p w:rsidR="00CE79D4" w:rsidRPr="00AC2244" w:rsidRDefault="00CE79D4" w:rsidP="00CE79D4">
      <w:pPr>
        <w:jc w:val="both"/>
        <w:rPr>
          <w:b/>
          <w:bCs/>
          <w:sz w:val="22"/>
          <w:szCs w:val="22"/>
          <w:u w:val="single"/>
        </w:rPr>
      </w:pPr>
    </w:p>
    <w:p w:rsidR="00903622" w:rsidRPr="00AC2244" w:rsidRDefault="0002473E" w:rsidP="00903622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Iné NSAID</w:t>
      </w:r>
    </w:p>
    <w:p w:rsidR="00903622" w:rsidRPr="00AC2244" w:rsidRDefault="0002473E" w:rsidP="00903622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Nurofen pre deti sa nesmie podávať súčasne s iným NSAID vrátane selektívnych inhibítorov cyklooxygenázy-2.</w:t>
      </w:r>
    </w:p>
    <w:p w:rsidR="00903622" w:rsidRPr="00AC2244" w:rsidRDefault="00903622" w:rsidP="00903622">
      <w:pPr>
        <w:jc w:val="both"/>
        <w:rPr>
          <w:b/>
          <w:bCs/>
          <w:sz w:val="22"/>
          <w:szCs w:val="22"/>
          <w:u w:val="single"/>
        </w:rPr>
      </w:pPr>
    </w:p>
    <w:p w:rsidR="00FB0579" w:rsidRPr="00AC2244" w:rsidRDefault="0002473E" w:rsidP="00827855">
      <w:pPr>
        <w:keepNext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Kardiovaskulárne a cerebrovaskulárne reakcie</w:t>
      </w:r>
    </w:p>
    <w:p w:rsidR="00992DCE" w:rsidRPr="00AC2244" w:rsidRDefault="0002473E" w:rsidP="00992DCE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Pred začatím liečby u pacientov s hypertenziou a/alebo zlyhávaním srdca je potrebná opatrnosť (konzultácia s lekárom alebo lekárnikom), pretože v súvislosti s liečbou NSAID boli hlásené retencia tekutín, hypertenzia a edémy.</w:t>
      </w:r>
    </w:p>
    <w:p w:rsidR="00992DCE" w:rsidRPr="00AC2244" w:rsidRDefault="00992DCE" w:rsidP="00992DCE">
      <w:pPr>
        <w:rPr>
          <w:sz w:val="22"/>
          <w:szCs w:val="22"/>
        </w:rPr>
      </w:pPr>
    </w:p>
    <w:p w:rsidR="00FB0579" w:rsidRPr="00AC2244" w:rsidRDefault="0002473E" w:rsidP="00FE14F2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Údaje z klinických a epidemiologických štúdií poukazujú na možnosť, že užívanie ibuprofénu, obzvlášť liečba vysokými dávkami (2 400 mg/deň) a dlhodobá liečba, môže byť spojené s malým zvýšením rizika arteriálnej trombotickej príhody (napr. infarkt myokardu alebo mozgová príhoda). Vo všeobecnosti, dostupné epidemiologické údaje nenasvedčujú zvýšenému riziku infarktu myokardu pri nízkych dávkach ibuprofénu (</w:t>
      </w:r>
      <w:r w:rsidR="00FB0579" w:rsidRPr="00AC2244">
        <w:rPr>
          <w:bCs/>
          <w:sz w:val="22"/>
          <w:szCs w:val="22"/>
        </w:rPr>
        <w:sym w:font="Symbol" w:char="F0A3"/>
      </w:r>
      <w:r w:rsidR="00E31D31" w:rsidRPr="00AC2244">
        <w:rPr>
          <w:bCs/>
          <w:sz w:val="22"/>
          <w:szCs w:val="22"/>
        </w:rPr>
        <w:t> </w:t>
      </w:r>
      <w:r w:rsidR="00FB0579" w:rsidRPr="00AC2244">
        <w:rPr>
          <w:bCs/>
          <w:sz w:val="22"/>
          <w:szCs w:val="22"/>
        </w:rPr>
        <w:t>1</w:t>
      </w:r>
      <w:r>
        <w:rPr>
          <w:bCs/>
          <w:sz w:val="22"/>
          <w:szCs w:val="22"/>
        </w:rPr>
        <w:t> 200 mg denne).</w:t>
      </w:r>
    </w:p>
    <w:p w:rsidR="002D6726" w:rsidRPr="00AC2244" w:rsidRDefault="002D6726" w:rsidP="00FE14F2">
      <w:pPr>
        <w:jc w:val="both"/>
        <w:rPr>
          <w:bCs/>
          <w:sz w:val="22"/>
          <w:szCs w:val="22"/>
        </w:rPr>
      </w:pPr>
    </w:p>
    <w:p w:rsidR="002D6726" w:rsidRPr="00AC2244" w:rsidRDefault="0002473E" w:rsidP="002D6726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Renálne reakcie</w:t>
      </w:r>
    </w:p>
    <w:p w:rsidR="002D6726" w:rsidRPr="00AC2244" w:rsidRDefault="0002473E" w:rsidP="002D6726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U dehydratovaných detí a dospievajúcich existuje riziko poruchy funkcie obličiek (pozri 4.3. a 4.8.).</w:t>
      </w:r>
    </w:p>
    <w:p w:rsidR="00E31D31" w:rsidRPr="00AC2244" w:rsidRDefault="00E31D31" w:rsidP="00FE14F2">
      <w:pPr>
        <w:jc w:val="both"/>
        <w:rPr>
          <w:bCs/>
          <w:sz w:val="22"/>
          <w:szCs w:val="22"/>
        </w:rPr>
      </w:pPr>
    </w:p>
    <w:p w:rsidR="00396721" w:rsidRPr="00AC2244" w:rsidRDefault="0002473E" w:rsidP="00396721">
      <w:pPr>
        <w:keepNext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Gastrointestinálne (GI) reakcie</w:t>
      </w:r>
    </w:p>
    <w:p w:rsidR="0017486D" w:rsidRPr="00AC2244" w:rsidRDefault="0002473E" w:rsidP="00396721">
      <w:pPr>
        <w:jc w:val="both"/>
        <w:rPr>
          <w:sz w:val="22"/>
          <w:szCs w:val="22"/>
        </w:rPr>
      </w:pPr>
      <w:r>
        <w:rPr>
          <w:sz w:val="22"/>
          <w:szCs w:val="22"/>
        </w:rPr>
        <w:t>Gastrointestinálne krvácanie, ulcerácia a perforácia, ktoré môžu byť smrteľné, sú popísané u všetkých NSAID a môžu sa vyskytnúť kedykoľvek počas liečby, a to s alebo bez varovných príznakov alebo predchádzajúcej anamnézy závažných gastrointestinálnych príhod.</w:t>
      </w:r>
    </w:p>
    <w:p w:rsidR="00396721" w:rsidRPr="00AC2244" w:rsidRDefault="00396721" w:rsidP="00396721">
      <w:pPr>
        <w:jc w:val="both"/>
        <w:rPr>
          <w:sz w:val="22"/>
          <w:szCs w:val="22"/>
        </w:rPr>
      </w:pPr>
    </w:p>
    <w:p w:rsidR="00AA0928" w:rsidRPr="00AC2244" w:rsidRDefault="0002473E" w:rsidP="00396721">
      <w:pPr>
        <w:pStyle w:val="Zkladntext3"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Riziko gastrointestinálneho krvácania, ulcerácie či perforácie sa zvyšuje so zvyšujúcou sa dávkou, u pacientov s anamnézou vredovej choroby, obzvlášť ak bola komplikovaná krvácaním alebo perforáciou (pozri časť 4.3) a u starších pacientov.</w:t>
      </w:r>
    </w:p>
    <w:p w:rsidR="00396721" w:rsidRPr="00AC2244" w:rsidRDefault="00396721" w:rsidP="00396721">
      <w:pPr>
        <w:pStyle w:val="Zkladntext3"/>
        <w:spacing w:after="0"/>
        <w:jc w:val="both"/>
        <w:rPr>
          <w:sz w:val="22"/>
          <w:szCs w:val="22"/>
        </w:rPr>
      </w:pPr>
    </w:p>
    <w:p w:rsidR="000500A5" w:rsidRPr="00AC2244" w:rsidRDefault="0002473E" w:rsidP="00396721">
      <w:pPr>
        <w:pStyle w:val="Zkladntext3"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Zvýšená opatrnosť je potrebná u pacientov liečených súbežne liekmi, ktoré môžu zvyšovať riziko ulcerácie alebo krvácania, ako sú perorálne kortikosteroidy, antikoagulanciá ako warfarín, SSRI alebo antiagregačné lieky ako je kyselina acetylsalicylová (pozri časť 4.5). </w:t>
      </w:r>
    </w:p>
    <w:p w:rsidR="00396721" w:rsidRPr="00AC2244" w:rsidRDefault="00396721" w:rsidP="00396721">
      <w:pPr>
        <w:pStyle w:val="Zkladntext3"/>
        <w:spacing w:after="0"/>
        <w:jc w:val="both"/>
        <w:rPr>
          <w:sz w:val="22"/>
          <w:szCs w:val="22"/>
        </w:rPr>
      </w:pPr>
    </w:p>
    <w:p w:rsidR="0017486D" w:rsidRPr="00AC2244" w:rsidRDefault="0002473E" w:rsidP="00396721">
      <w:pPr>
        <w:pStyle w:val="Zkladntext3"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U takýchto pacientov treba začať liečbu s najnižšou možnou dávkou. U týchto pacientov a tiež u pacientov vyžadujúcich súčasnú liečbu nízkymi dávkami kyseliny acetylsalicylovej alebo iných látok zvyšujúcich gastrointestinálne riziko by sa malo zvážiť súčasné podávanie protektívnej liečby (napr. misoprostol alebo inhibítory protónovej pumpy).</w:t>
      </w:r>
    </w:p>
    <w:p w:rsidR="00396721" w:rsidRPr="00AC2244" w:rsidRDefault="00396721" w:rsidP="00396721">
      <w:pPr>
        <w:pStyle w:val="Zkladntext3"/>
        <w:spacing w:after="0"/>
        <w:jc w:val="both"/>
        <w:rPr>
          <w:sz w:val="22"/>
          <w:szCs w:val="22"/>
        </w:rPr>
      </w:pPr>
    </w:p>
    <w:p w:rsidR="00AA0928" w:rsidRPr="00AC2244" w:rsidRDefault="0002473E" w:rsidP="00396721">
      <w:pPr>
        <w:jc w:val="both"/>
        <w:rPr>
          <w:bCs/>
          <w:sz w:val="22"/>
          <w:szCs w:val="22"/>
        </w:rPr>
      </w:pPr>
      <w:r>
        <w:rPr>
          <w:sz w:val="22"/>
          <w:szCs w:val="22"/>
        </w:rPr>
        <w:t>Pacienti s </w:t>
      </w:r>
      <w:r>
        <w:rPr>
          <w:bCs/>
          <w:sz w:val="22"/>
          <w:szCs w:val="22"/>
        </w:rPr>
        <w:t>anamnézou gastrointestinálnej toxicity, najmä starší pacienti, majú informovať lekára o akýchkoľvek nezvyčajných abdominálnych príznakoch (najmä o gastrointestinálnom krvácaní) obzvlášť na začiatku liečby.</w:t>
      </w:r>
    </w:p>
    <w:p w:rsidR="0017486D" w:rsidRPr="00AC2244" w:rsidRDefault="0017486D" w:rsidP="00396721">
      <w:pPr>
        <w:jc w:val="both"/>
        <w:rPr>
          <w:sz w:val="22"/>
          <w:szCs w:val="22"/>
        </w:rPr>
      </w:pPr>
    </w:p>
    <w:p w:rsidR="003A1FF7" w:rsidRPr="00AC2244" w:rsidRDefault="0002473E" w:rsidP="0039672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Ak sa u pacienta liečeného liekom Nurofen pre deti objaví </w:t>
      </w:r>
      <w:r>
        <w:rPr>
          <w:bCs/>
          <w:sz w:val="22"/>
          <w:szCs w:val="22"/>
        </w:rPr>
        <w:t xml:space="preserve">gastrointestinálne </w:t>
      </w:r>
      <w:r>
        <w:rPr>
          <w:sz w:val="22"/>
          <w:szCs w:val="22"/>
        </w:rPr>
        <w:t>krvácanie alebo ulcerácia, liek musí byť vysadený.</w:t>
      </w:r>
    </w:p>
    <w:p w:rsidR="0017486D" w:rsidRPr="00AC2244" w:rsidRDefault="0017486D" w:rsidP="00FE14F2">
      <w:pPr>
        <w:jc w:val="both"/>
        <w:rPr>
          <w:sz w:val="22"/>
          <w:szCs w:val="22"/>
        </w:rPr>
      </w:pPr>
    </w:p>
    <w:p w:rsidR="0017486D" w:rsidRPr="00AC2244" w:rsidRDefault="0002473E" w:rsidP="00FE14F2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NSAID sa majú podávať s opatrnosťou u pacientov s anamnézou gastrointestinálnych ochorení (ulcerózna kolitída, Crohnova choroba), pretože by mohlo dôjsť k exacerbácii týchto ochorení.</w:t>
      </w:r>
    </w:p>
    <w:p w:rsidR="0017486D" w:rsidRPr="00AC2244" w:rsidRDefault="0017486D" w:rsidP="00FE14F2">
      <w:pPr>
        <w:jc w:val="both"/>
        <w:rPr>
          <w:sz w:val="22"/>
          <w:szCs w:val="22"/>
        </w:rPr>
      </w:pPr>
    </w:p>
    <w:p w:rsidR="00396721" w:rsidRPr="00AC2244" w:rsidRDefault="0002473E" w:rsidP="00396721">
      <w:pPr>
        <w:keepNext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Kožné reakcie</w:t>
      </w:r>
    </w:p>
    <w:p w:rsidR="00B22630" w:rsidRPr="00AC2244" w:rsidRDefault="0002473E" w:rsidP="00FE14F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V súvislosti s liečbou NSAID boli veľmi zriedkavo hlásené závažné kožné reakcie, a to exfoliatívna dermatitída, Stevensov-Johnsonov syndróm a toxická epidermálna nekrolýza, niektoré z nich fatálne. Zdá sa, že najvyššie riziko je na začiatku liečby; väčšina z nich sa objavila v prvom mesiaci liečby. </w:t>
      </w:r>
    </w:p>
    <w:p w:rsidR="00B22630" w:rsidRPr="00AC2244" w:rsidRDefault="00B22630" w:rsidP="00FE14F2">
      <w:pPr>
        <w:jc w:val="both"/>
        <w:rPr>
          <w:sz w:val="22"/>
          <w:szCs w:val="22"/>
        </w:rPr>
      </w:pPr>
    </w:p>
    <w:p w:rsidR="003A1FF7" w:rsidRPr="00AC2244" w:rsidRDefault="0002473E" w:rsidP="00FE14F2">
      <w:pPr>
        <w:jc w:val="both"/>
        <w:rPr>
          <w:sz w:val="22"/>
          <w:szCs w:val="22"/>
        </w:rPr>
      </w:pPr>
      <w:r>
        <w:rPr>
          <w:sz w:val="22"/>
          <w:szCs w:val="22"/>
        </w:rPr>
        <w:t>Nurofen pre deti by mal byť vysadený pri prvom výskyte kožných vyrážok, mukóznych lézií alebo iných prejavoch hypersenzitivity.</w:t>
      </w:r>
    </w:p>
    <w:p w:rsidR="0017486D" w:rsidRPr="00AC2244" w:rsidRDefault="0017486D" w:rsidP="00FE14F2">
      <w:pPr>
        <w:jc w:val="both"/>
        <w:rPr>
          <w:sz w:val="22"/>
          <w:szCs w:val="22"/>
        </w:rPr>
      </w:pPr>
    </w:p>
    <w:p w:rsidR="00BB6050" w:rsidRPr="00AC2244" w:rsidRDefault="0002473E" w:rsidP="00FE14F2">
      <w:pPr>
        <w:jc w:val="both"/>
        <w:rPr>
          <w:sz w:val="22"/>
          <w:szCs w:val="22"/>
        </w:rPr>
      </w:pPr>
      <w:r>
        <w:rPr>
          <w:sz w:val="22"/>
          <w:szCs w:val="22"/>
        </w:rPr>
        <w:t>Výnimočne môžu byť ovčie kiahne prítomné na počiatku závažných infekčných komplikácií kože a mäkkých tkanív. Dosiaľ nemožno vylúčiť, že NSAID prispievajú k zhoršeniu týchto infekcií. Preto sa odporúča vyhýbať sa užívaniu ibuprofénu v prípade ovčích kiahní.</w:t>
      </w:r>
    </w:p>
    <w:p w:rsidR="0075709F" w:rsidRPr="00AC2244" w:rsidRDefault="0075709F" w:rsidP="00FE14F2">
      <w:pPr>
        <w:jc w:val="both"/>
        <w:rPr>
          <w:sz w:val="22"/>
          <w:szCs w:val="22"/>
        </w:rPr>
      </w:pPr>
    </w:p>
    <w:p w:rsidR="00396721" w:rsidRPr="00AC2244" w:rsidRDefault="0002473E" w:rsidP="00396721">
      <w:pPr>
        <w:keepNext/>
        <w:rPr>
          <w:b/>
          <w:sz w:val="22"/>
          <w:szCs w:val="22"/>
        </w:rPr>
      </w:pPr>
      <w:r>
        <w:rPr>
          <w:b/>
          <w:sz w:val="22"/>
          <w:szCs w:val="22"/>
        </w:rPr>
        <w:t>Zvláštna opatrnosť je potrebná u pacientov:</w:t>
      </w:r>
    </w:p>
    <w:p w:rsidR="00396721" w:rsidRPr="00AC2244" w:rsidRDefault="0002473E" w:rsidP="00E90685">
      <w:pPr>
        <w:numPr>
          <w:ilvl w:val="0"/>
          <w:numId w:val="40"/>
        </w:numPr>
        <w:ind w:hanging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so systémovým ochorením lupus </w:t>
      </w:r>
      <w:r w:rsidR="004B55B2">
        <w:rPr>
          <w:sz w:val="22"/>
          <w:szCs w:val="22"/>
        </w:rPr>
        <w:t>erythematosus</w:t>
      </w:r>
      <w:r>
        <w:rPr>
          <w:sz w:val="22"/>
          <w:szCs w:val="22"/>
        </w:rPr>
        <w:t xml:space="preserve"> a so zmiešaným ochorením spojivových tkanív, vzhľadom na zvýšené riziko aseptickej meningitídy (pozri časť 4.8);</w:t>
      </w:r>
    </w:p>
    <w:p w:rsidR="00396721" w:rsidRPr="00AC2244" w:rsidRDefault="0002473E" w:rsidP="00E90685">
      <w:pPr>
        <w:numPr>
          <w:ilvl w:val="0"/>
          <w:numId w:val="40"/>
        </w:numPr>
        <w:ind w:hanging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 gastrointestinálnym ochorením a chronickými zápalovými črevnými ochoreniami (ulcerózna kolitída, Crohnova choroba); pretože by mohlo dôjsť k exacerbácii týchto chorôb; </w:t>
      </w:r>
    </w:p>
    <w:p w:rsidR="00396721" w:rsidRPr="00AC2244" w:rsidRDefault="0002473E" w:rsidP="00E90685">
      <w:pPr>
        <w:numPr>
          <w:ilvl w:val="0"/>
          <w:numId w:val="40"/>
        </w:numPr>
        <w:ind w:hanging="720"/>
        <w:jc w:val="both"/>
        <w:rPr>
          <w:sz w:val="22"/>
          <w:szCs w:val="22"/>
        </w:rPr>
      </w:pPr>
      <w:r>
        <w:rPr>
          <w:sz w:val="22"/>
          <w:szCs w:val="22"/>
        </w:rPr>
        <w:t>s prieduškovou astmou; u pacientov s bronchiálnou astmou alebo alergickým ochorením alebo u pacientov s anamnézou týchto ochorení, pretože liek môže vyvolať bronchospazmus;</w:t>
      </w:r>
    </w:p>
    <w:p w:rsidR="00396721" w:rsidRPr="00AC2244" w:rsidRDefault="0002473E" w:rsidP="00E90685">
      <w:pPr>
        <w:numPr>
          <w:ilvl w:val="0"/>
          <w:numId w:val="40"/>
        </w:numPr>
        <w:ind w:hanging="720"/>
        <w:jc w:val="both"/>
        <w:rPr>
          <w:sz w:val="22"/>
          <w:szCs w:val="22"/>
        </w:rPr>
      </w:pPr>
      <w:r>
        <w:rPr>
          <w:sz w:val="22"/>
          <w:szCs w:val="22"/>
        </w:rPr>
        <w:t>s poruchou krvnej zrážanlivosti;</w:t>
      </w:r>
    </w:p>
    <w:p w:rsidR="00396721" w:rsidRPr="00AC2244" w:rsidRDefault="0002473E" w:rsidP="00E90685">
      <w:pPr>
        <w:numPr>
          <w:ilvl w:val="0"/>
          <w:numId w:val="40"/>
        </w:numPr>
        <w:ind w:hanging="720"/>
        <w:jc w:val="both"/>
        <w:rPr>
          <w:sz w:val="22"/>
          <w:szCs w:val="22"/>
        </w:rPr>
      </w:pPr>
      <w:r>
        <w:rPr>
          <w:sz w:val="22"/>
          <w:szCs w:val="22"/>
        </w:rPr>
        <w:t>s poruchou funkcie pečene.</w:t>
      </w:r>
    </w:p>
    <w:p w:rsidR="00396721" w:rsidRPr="00AC2244" w:rsidRDefault="00396721" w:rsidP="00396721">
      <w:pPr>
        <w:jc w:val="both"/>
        <w:rPr>
          <w:sz w:val="22"/>
          <w:szCs w:val="22"/>
        </w:rPr>
      </w:pPr>
    </w:p>
    <w:p w:rsidR="00496C8E" w:rsidRPr="00AC2244" w:rsidRDefault="0002473E" w:rsidP="00396721">
      <w:pPr>
        <w:keepNext/>
        <w:rPr>
          <w:b/>
          <w:sz w:val="22"/>
          <w:szCs w:val="22"/>
        </w:rPr>
      </w:pPr>
      <w:r>
        <w:rPr>
          <w:b/>
          <w:sz w:val="22"/>
          <w:szCs w:val="22"/>
        </w:rPr>
        <w:t>Rodičov detí, ktoré užívajú ibuprofén, treba informovať o nasledovných skutočnostiach:</w:t>
      </w:r>
    </w:p>
    <w:p w:rsidR="00496C8E" w:rsidRPr="00AC2244" w:rsidRDefault="0002473E" w:rsidP="00E90685">
      <w:pPr>
        <w:numPr>
          <w:ilvl w:val="0"/>
          <w:numId w:val="41"/>
        </w:numPr>
        <w:ind w:hanging="720"/>
        <w:jc w:val="both"/>
        <w:rPr>
          <w:sz w:val="22"/>
          <w:szCs w:val="22"/>
        </w:rPr>
      </w:pPr>
      <w:r>
        <w:rPr>
          <w:sz w:val="22"/>
          <w:szCs w:val="22"/>
        </w:rPr>
        <w:t>pokiaľ príznaky ochorenia pretrvávajú dlhšie ako 24 hodín u dojčiat vo veku 3 – 5 mesiacov a dlhšie ako 3 dni u detí od 6 mesiacov, treba vyhľadať lekára, ak sa podáva liek dojčatám, treba vyhľadať lekára čo najskôr;</w:t>
      </w:r>
    </w:p>
    <w:p w:rsidR="00496C8E" w:rsidRPr="00AC2244" w:rsidRDefault="0002473E" w:rsidP="00E90685">
      <w:pPr>
        <w:numPr>
          <w:ilvl w:val="0"/>
          <w:numId w:val="41"/>
        </w:numPr>
        <w:ind w:hanging="720"/>
        <w:jc w:val="both"/>
        <w:rPr>
          <w:sz w:val="22"/>
          <w:szCs w:val="22"/>
        </w:rPr>
      </w:pPr>
      <w:r>
        <w:rPr>
          <w:sz w:val="22"/>
          <w:szCs w:val="22"/>
        </w:rPr>
        <w:t>odporúčané denné dávky sa nesmú prekračovať;</w:t>
      </w:r>
    </w:p>
    <w:p w:rsidR="00496C8E" w:rsidRPr="00AC2244" w:rsidRDefault="0002473E" w:rsidP="00E90685">
      <w:pPr>
        <w:numPr>
          <w:ilvl w:val="0"/>
          <w:numId w:val="41"/>
        </w:numPr>
        <w:ind w:hanging="720"/>
        <w:jc w:val="both"/>
        <w:rPr>
          <w:sz w:val="22"/>
          <w:szCs w:val="22"/>
        </w:rPr>
      </w:pPr>
      <w:r>
        <w:rPr>
          <w:sz w:val="22"/>
          <w:szCs w:val="22"/>
        </w:rPr>
        <w:t>liek sa nemá podávať deťom mladším ako 3 mesiace.</w:t>
      </w:r>
    </w:p>
    <w:p w:rsidR="00396721" w:rsidRPr="00AC2244" w:rsidRDefault="00396721" w:rsidP="00FE14F2">
      <w:pPr>
        <w:pStyle w:val="Zkladntext"/>
        <w:rPr>
          <w:rFonts w:ascii="Times New Roman" w:hAnsi="Times New Roman" w:cs="Times New Roman"/>
          <w:sz w:val="22"/>
          <w:szCs w:val="22"/>
        </w:rPr>
      </w:pPr>
    </w:p>
    <w:p w:rsidR="00DE14DD" w:rsidRPr="00AC2244" w:rsidRDefault="0002473E" w:rsidP="00FE14F2">
      <w:pPr>
        <w:pStyle w:val="Zkladntext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>Pomocné látky so známym účinkom</w:t>
      </w:r>
    </w:p>
    <w:p w:rsidR="00D9458B" w:rsidRPr="00AC2244" w:rsidRDefault="0002473E" w:rsidP="00B212B6">
      <w:pPr>
        <w:pStyle w:val="Zkladntex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Liek obsahuje maltitolový sirup. Pacienti so zriedkavými dedičnými problémami intolerancie fruktózy nesmú užívať tento liek.</w:t>
      </w:r>
    </w:p>
    <w:p w:rsidR="00EE6A8F" w:rsidRPr="00AC2244" w:rsidRDefault="00EE6A8F" w:rsidP="00B212B6">
      <w:pPr>
        <w:pStyle w:val="Zkladntext"/>
        <w:jc w:val="both"/>
        <w:rPr>
          <w:rFonts w:ascii="Times New Roman" w:hAnsi="Times New Roman" w:cs="Times New Roman"/>
          <w:sz w:val="22"/>
          <w:szCs w:val="22"/>
        </w:rPr>
      </w:pPr>
    </w:p>
    <w:p w:rsidR="00C91366" w:rsidRPr="00AC2244" w:rsidRDefault="0002473E" w:rsidP="00C91366">
      <w:pPr>
        <w:jc w:val="both"/>
        <w:rPr>
          <w:sz w:val="22"/>
          <w:szCs w:val="22"/>
        </w:rPr>
      </w:pPr>
      <w:r>
        <w:rPr>
          <w:sz w:val="22"/>
          <w:szCs w:val="22"/>
        </w:rPr>
        <w:t>Tento liek obsahuje 0,346 mmol (7,96 mg) sodíka v 5 ml suspenzie. Má sa vziať do úvahy u pacientov so zníženou funkciou obličiek alebo u pacientov na diéte s kontrolovaným obsahom sodíka.</w:t>
      </w:r>
    </w:p>
    <w:p w:rsidR="00496C8E" w:rsidRPr="00AC2244" w:rsidRDefault="00496C8E" w:rsidP="00FE14F2">
      <w:pPr>
        <w:rPr>
          <w:sz w:val="22"/>
          <w:szCs w:val="22"/>
        </w:rPr>
      </w:pPr>
    </w:p>
    <w:p w:rsidR="00396721" w:rsidRPr="00AC2244" w:rsidRDefault="0002473E" w:rsidP="00396721">
      <w:pPr>
        <w:keepNext/>
        <w:rPr>
          <w:b/>
          <w:sz w:val="22"/>
          <w:szCs w:val="22"/>
        </w:rPr>
      </w:pPr>
      <w:r>
        <w:rPr>
          <w:b/>
          <w:sz w:val="22"/>
          <w:szCs w:val="22"/>
        </w:rPr>
        <w:t>Starší pacienti</w:t>
      </w:r>
    </w:p>
    <w:p w:rsidR="00396721" w:rsidRPr="00AC2244" w:rsidRDefault="0002473E" w:rsidP="00396721">
      <w:pPr>
        <w:jc w:val="both"/>
        <w:rPr>
          <w:sz w:val="22"/>
          <w:szCs w:val="22"/>
        </w:rPr>
      </w:pPr>
      <w:r>
        <w:rPr>
          <w:sz w:val="22"/>
          <w:szCs w:val="22"/>
        </w:rPr>
        <w:t>U starších pacientov sa nežiaduce účinky, zvlášť gastrointestinálne krvácanie a perforácia, vyskytujú častejšie. Následky týchto nežiaducich účinkov môžu byť fatálne.</w:t>
      </w:r>
    </w:p>
    <w:p w:rsidR="008D526D" w:rsidRPr="00AC2244" w:rsidRDefault="008D526D" w:rsidP="00175AEB">
      <w:pPr>
        <w:keepNext/>
        <w:rPr>
          <w:b/>
          <w:bCs/>
          <w:sz w:val="22"/>
          <w:szCs w:val="22"/>
        </w:rPr>
      </w:pPr>
    </w:p>
    <w:p w:rsidR="00496C8E" w:rsidRPr="00AC2244" w:rsidRDefault="0002473E" w:rsidP="00175AEB">
      <w:pPr>
        <w:keepNext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4.5</w:t>
      </w:r>
      <w:r>
        <w:rPr>
          <w:b/>
          <w:bCs/>
          <w:sz w:val="22"/>
          <w:szCs w:val="22"/>
        </w:rPr>
        <w:tab/>
        <w:t>Liekové a iné interakcie</w:t>
      </w:r>
    </w:p>
    <w:p w:rsidR="00833338" w:rsidRPr="00AC2244" w:rsidRDefault="00833338" w:rsidP="00175AEB">
      <w:pPr>
        <w:pStyle w:val="Zkladntext"/>
        <w:keepNext/>
        <w:rPr>
          <w:rFonts w:ascii="Times New Roman" w:hAnsi="Times New Roman" w:cs="Times New Roman"/>
          <w:sz w:val="22"/>
          <w:szCs w:val="22"/>
        </w:rPr>
      </w:pPr>
    </w:p>
    <w:p w:rsidR="00550D95" w:rsidRPr="00AC2244" w:rsidRDefault="00D94187" w:rsidP="00550D95">
      <w:pPr>
        <w:pStyle w:val="MoRPNormal"/>
        <w:spacing w:before="0" w:after="0" w:line="240" w:lineRule="auto"/>
        <w:rPr>
          <w:rFonts w:ascii="Times New Roman" w:hAnsi="Times New Roman"/>
          <w:b/>
          <w:szCs w:val="22"/>
          <w:lang w:val="sk-SK"/>
        </w:rPr>
      </w:pPr>
      <w:r w:rsidRPr="00D94187">
        <w:rPr>
          <w:rFonts w:ascii="Times New Roman" w:hAnsi="Times New Roman"/>
          <w:b/>
          <w:szCs w:val="22"/>
          <w:lang w:val="sk-SK"/>
        </w:rPr>
        <w:t>Ibuprofén sa nemá podávať v kombinácii s:</w:t>
      </w:r>
    </w:p>
    <w:p w:rsidR="00523A3E" w:rsidRPr="00AC2244" w:rsidRDefault="0002473E" w:rsidP="008225D3">
      <w:pPr>
        <w:numPr>
          <w:ilvl w:val="0"/>
          <w:numId w:val="36"/>
        </w:numPr>
        <w:tabs>
          <w:tab w:val="clear" w:pos="360"/>
          <w:tab w:val="num" w:pos="709"/>
        </w:tabs>
        <w:spacing w:before="40"/>
        <w:ind w:left="709" w:hanging="709"/>
        <w:jc w:val="both"/>
        <w:rPr>
          <w:sz w:val="22"/>
          <w:szCs w:val="22"/>
        </w:rPr>
      </w:pPr>
      <w:r>
        <w:rPr>
          <w:b/>
          <w:sz w:val="22"/>
          <w:szCs w:val="22"/>
        </w:rPr>
        <w:t>kyselinou acetylsalicylovou:</w:t>
      </w:r>
      <w:r>
        <w:rPr>
          <w:sz w:val="22"/>
          <w:szCs w:val="22"/>
        </w:rPr>
        <w:t xml:space="preserve"> existuje zvýšené riziko výskytu nežiaducich účinkov v oblasti gastrointestinálneho traktu (pozri časť 4.3); výnimkou sú situácie, kde nízke dávky kyseliny acetylsalicylovej neprevyšujúce 75 mg denne predpíše lekár;</w:t>
      </w:r>
    </w:p>
    <w:p w:rsidR="00523A3E" w:rsidRPr="00AC2244" w:rsidRDefault="0002473E" w:rsidP="008225D3">
      <w:pPr>
        <w:numPr>
          <w:ilvl w:val="0"/>
          <w:numId w:val="36"/>
        </w:numPr>
        <w:tabs>
          <w:tab w:val="clear" w:pos="360"/>
          <w:tab w:val="num" w:pos="709"/>
        </w:tabs>
        <w:ind w:left="709" w:hanging="709"/>
        <w:jc w:val="both"/>
        <w:rPr>
          <w:sz w:val="22"/>
          <w:szCs w:val="22"/>
        </w:rPr>
      </w:pPr>
      <w:r>
        <w:rPr>
          <w:bCs/>
          <w:sz w:val="22"/>
          <w:szCs w:val="22"/>
        </w:rPr>
        <w:t xml:space="preserve">experimentálne údaje naznačujú, že ibuprofén môže pri súčasnom dávkovaní kompetitívne inhibovať účinok nízkej dávky kyseliny acetylsalicylovej na agregáciu trombocytov. Hoci existujú nejasnosti s ohľadom na extrapoláciu týchto údajov na klinickú situáciu, nedá sa vylúčiť možnosť, že pravidelné, dlhodobé používanie ibuprofénu môže znížiť kardioprotektívny účinok nízkej dávky kyseliny acetylsalicylovej. V prípade príležitostného </w:t>
      </w:r>
      <w:r>
        <w:rPr>
          <w:bCs/>
          <w:sz w:val="22"/>
          <w:szCs w:val="22"/>
        </w:rPr>
        <w:lastRenderedPageBreak/>
        <w:t>používania ibuprofénu sa žiaden klinicky relevantný účinok nepovažuje za pravdepodobný (pozri časť 5.1);</w:t>
      </w:r>
    </w:p>
    <w:p w:rsidR="00523A3E" w:rsidRPr="00AC2244" w:rsidRDefault="0002473E" w:rsidP="008225D3">
      <w:pPr>
        <w:numPr>
          <w:ilvl w:val="0"/>
          <w:numId w:val="36"/>
        </w:numPr>
        <w:tabs>
          <w:tab w:val="clear" w:pos="360"/>
          <w:tab w:val="num" w:pos="709"/>
        </w:tabs>
        <w:spacing w:before="40"/>
        <w:ind w:left="709" w:hanging="709"/>
        <w:jc w:val="both"/>
        <w:rPr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>inými NSAID vrátane selektívnych inhibítorov cyklooxygenázy</w:t>
      </w:r>
      <w:r>
        <w:rPr>
          <w:b/>
          <w:sz w:val="22"/>
          <w:szCs w:val="22"/>
          <w:u w:val="single"/>
          <w:lang w:eastAsia="en-US"/>
        </w:rPr>
        <w:t xml:space="preserve"> 2</w:t>
      </w:r>
      <w:r>
        <w:rPr>
          <w:b/>
          <w:sz w:val="22"/>
          <w:szCs w:val="22"/>
          <w:lang w:eastAsia="en-US"/>
        </w:rPr>
        <w:t>:</w:t>
      </w:r>
      <w:r>
        <w:rPr>
          <w:sz w:val="22"/>
          <w:szCs w:val="22"/>
          <w:lang w:eastAsia="en-US"/>
        </w:rPr>
        <w:t xml:space="preserve"> užívanie dvoch alebo viac NSAID môže zvýšiť riziko výskytu nežiaducich účinkov, vrátane tvorby peptického vredu a/alebo gastrointestinálneho krvácania a preto je treba sa vyvarovať spoločného podávania (viď časť 4.3 a 4.4).</w:t>
      </w:r>
    </w:p>
    <w:p w:rsidR="00550D95" w:rsidRPr="00AC2244" w:rsidRDefault="00550D95" w:rsidP="00B212B6">
      <w:pPr>
        <w:pStyle w:val="Zkladntext"/>
        <w:jc w:val="both"/>
        <w:rPr>
          <w:rFonts w:ascii="Times New Roman" w:hAnsi="Times New Roman" w:cs="Times New Roman"/>
          <w:sz w:val="22"/>
          <w:szCs w:val="22"/>
        </w:rPr>
      </w:pPr>
    </w:p>
    <w:p w:rsidR="00550D95" w:rsidRPr="00AC2244" w:rsidRDefault="0002473E" w:rsidP="00550D95">
      <w:pPr>
        <w:pStyle w:val="Zkladntext"/>
        <w:keepNext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Ibuprofén sa musí podávať s opatrnosťou v kombinácii s:</w:t>
      </w:r>
    </w:p>
    <w:p w:rsidR="00550D95" w:rsidRPr="00AC2244" w:rsidRDefault="0002473E" w:rsidP="00550D95">
      <w:pPr>
        <w:numPr>
          <w:ilvl w:val="0"/>
          <w:numId w:val="38"/>
        </w:numPr>
        <w:tabs>
          <w:tab w:val="clear" w:pos="1080"/>
          <w:tab w:val="num" w:pos="709"/>
        </w:tabs>
        <w:ind w:left="709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antikoagulanciami: </w:t>
      </w:r>
      <w:r>
        <w:rPr>
          <w:sz w:val="22"/>
          <w:szCs w:val="22"/>
        </w:rPr>
        <w:t>pri súbežnom užívaní ibuprofénu s perorálnymi antikoagulanciami (warfarín) sa zvyšuje ich účinnosť a dochádza k zvýšenému riziku krvácania (pozri časť 4.4);</w:t>
      </w:r>
    </w:p>
    <w:p w:rsidR="00550D95" w:rsidRPr="00AC2244" w:rsidRDefault="0002473E" w:rsidP="00550D95">
      <w:pPr>
        <w:numPr>
          <w:ilvl w:val="0"/>
          <w:numId w:val="38"/>
        </w:numPr>
        <w:tabs>
          <w:tab w:val="clear" w:pos="1080"/>
          <w:tab w:val="num" w:pos="709"/>
        </w:tabs>
        <w:ind w:left="709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antihypertenzívami </w:t>
      </w:r>
      <w:r>
        <w:rPr>
          <w:b/>
          <w:sz w:val="22"/>
          <w:szCs w:val="22"/>
        </w:rPr>
        <w:t>(ACE inhibítory a antagonisty angiotenzínu II)</w:t>
      </w:r>
      <w:r>
        <w:rPr>
          <w:b/>
          <w:bCs/>
          <w:sz w:val="22"/>
          <w:szCs w:val="22"/>
        </w:rPr>
        <w:t xml:space="preserve"> a diuretikami: </w:t>
      </w:r>
      <w:r>
        <w:rPr>
          <w:sz w:val="22"/>
          <w:szCs w:val="22"/>
        </w:rPr>
        <w:t>NSAID znižujú účinok týchto liekov; diuretiká môžu zvyšovať nefrotoxicitu NSAID; súbežné podávanie diuretík šetriacich draslík môže viesť k hyperkaliémii; rodičom je preto potrebné odporučiť, aby dbali na dostatočný prísun tekutín;</w:t>
      </w:r>
    </w:p>
    <w:p w:rsidR="00550D95" w:rsidRPr="00AC2244" w:rsidRDefault="0002473E" w:rsidP="00550D95">
      <w:pPr>
        <w:numPr>
          <w:ilvl w:val="0"/>
          <w:numId w:val="38"/>
        </w:numPr>
        <w:tabs>
          <w:tab w:val="clear" w:pos="1080"/>
          <w:tab w:val="num" w:pos="709"/>
        </w:tabs>
        <w:ind w:left="709" w:hanging="709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kortikosteroidmi/glukokortikoidmi:</w:t>
      </w:r>
      <w:r>
        <w:rPr>
          <w:sz w:val="22"/>
          <w:szCs w:val="22"/>
        </w:rPr>
        <w:t xml:space="preserve"> pri súbežnom podávaní existuje zvýšené riziko gastrointestinálnych vredov alebo krvácania (pozri časť 4.4);</w:t>
      </w:r>
    </w:p>
    <w:p w:rsidR="00903622" w:rsidRPr="00AC2244" w:rsidRDefault="0002473E" w:rsidP="00903622">
      <w:pPr>
        <w:numPr>
          <w:ilvl w:val="0"/>
          <w:numId w:val="38"/>
        </w:numPr>
        <w:tabs>
          <w:tab w:val="clear" w:pos="1080"/>
          <w:tab w:val="num" w:pos="709"/>
        </w:tabs>
        <w:ind w:left="709" w:hanging="709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probenecidom a sulfapyrazónom:</w:t>
      </w:r>
      <w:r>
        <w:rPr>
          <w:sz w:val="22"/>
          <w:szCs w:val="22"/>
        </w:rPr>
        <w:t xml:space="preserve"> ibuprofén  </w:t>
      </w:r>
      <w:r w:rsidR="004B55B2">
        <w:rPr>
          <w:sz w:val="22"/>
          <w:szCs w:val="22"/>
        </w:rPr>
        <w:t>znižuje</w:t>
      </w:r>
      <w:r>
        <w:rPr>
          <w:sz w:val="22"/>
          <w:szCs w:val="22"/>
        </w:rPr>
        <w:t xml:space="preserve"> urikozurický účinok;</w:t>
      </w:r>
    </w:p>
    <w:p w:rsidR="00523A3E" w:rsidRPr="00AC2244" w:rsidRDefault="0002473E" w:rsidP="008225D3">
      <w:pPr>
        <w:numPr>
          <w:ilvl w:val="0"/>
          <w:numId w:val="38"/>
        </w:numPr>
        <w:tabs>
          <w:tab w:val="clear" w:pos="1080"/>
          <w:tab w:val="num" w:pos="709"/>
        </w:tabs>
        <w:ind w:left="709" w:hanging="709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antiagregačnými liekmi a SSRI: </w:t>
      </w:r>
      <w:r>
        <w:rPr>
          <w:sz w:val="22"/>
          <w:szCs w:val="22"/>
        </w:rPr>
        <w:t>pri súbežnom podávaní existuje zvýšené riziko výskytu gastrointestinálneho krvácania (pozri časť 4.4);</w:t>
      </w:r>
    </w:p>
    <w:p w:rsidR="00523A3E" w:rsidRPr="00AC2244" w:rsidRDefault="0002473E" w:rsidP="008225D3">
      <w:pPr>
        <w:numPr>
          <w:ilvl w:val="0"/>
          <w:numId w:val="38"/>
        </w:numPr>
        <w:tabs>
          <w:tab w:val="clear" w:pos="1080"/>
          <w:tab w:val="num" w:pos="709"/>
        </w:tabs>
        <w:ind w:left="709" w:hanging="709"/>
        <w:rPr>
          <w:sz w:val="22"/>
          <w:szCs w:val="22"/>
        </w:rPr>
      </w:pPr>
      <w:r>
        <w:rPr>
          <w:b/>
          <w:sz w:val="22"/>
          <w:szCs w:val="22"/>
        </w:rPr>
        <w:t>kardioglykozidmi (vrátane digoxínu):</w:t>
      </w:r>
      <w:r>
        <w:rPr>
          <w:sz w:val="22"/>
          <w:szCs w:val="22"/>
        </w:rPr>
        <w:t xml:space="preserve"> NSAID môžu exacerbovať zlyhanie srdca, redukovať glomerulárnu filtráciu a zvyšovať hladiny glykozidov v plazme;</w:t>
      </w:r>
    </w:p>
    <w:p w:rsidR="00550D95" w:rsidRPr="00AC2244" w:rsidRDefault="0002473E" w:rsidP="008D526D">
      <w:pPr>
        <w:numPr>
          <w:ilvl w:val="0"/>
          <w:numId w:val="38"/>
        </w:numPr>
        <w:tabs>
          <w:tab w:val="clear" w:pos="1080"/>
          <w:tab w:val="num" w:pos="709"/>
        </w:tabs>
        <w:ind w:left="709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lítiom:</w:t>
      </w:r>
      <w:r>
        <w:rPr>
          <w:sz w:val="22"/>
          <w:szCs w:val="22"/>
        </w:rPr>
        <w:t xml:space="preserve"> ibuprofén zvyšuje plazmatickú hladinu lítia;</w:t>
      </w:r>
    </w:p>
    <w:p w:rsidR="008D526D" w:rsidRPr="00AC2244" w:rsidRDefault="0002473E" w:rsidP="008D526D">
      <w:pPr>
        <w:numPr>
          <w:ilvl w:val="0"/>
          <w:numId w:val="38"/>
        </w:numPr>
        <w:tabs>
          <w:tab w:val="clear" w:pos="1080"/>
          <w:tab w:val="num" w:pos="709"/>
        </w:tabs>
        <w:ind w:left="709"/>
        <w:jc w:val="both"/>
        <w:rPr>
          <w:sz w:val="22"/>
          <w:szCs w:val="22"/>
        </w:rPr>
      </w:pPr>
      <w:r>
        <w:rPr>
          <w:b/>
          <w:sz w:val="22"/>
          <w:szCs w:val="22"/>
        </w:rPr>
        <w:t>fenytoínom:</w:t>
      </w:r>
      <w:r>
        <w:rPr>
          <w:sz w:val="22"/>
          <w:szCs w:val="22"/>
        </w:rPr>
        <w:t xml:space="preserve"> ibuprofén zvyšuje plazmatickú hladinu fenytoínu;</w:t>
      </w:r>
    </w:p>
    <w:p w:rsidR="00523A3E" w:rsidRPr="00AC2244" w:rsidRDefault="0002473E" w:rsidP="008225D3">
      <w:pPr>
        <w:numPr>
          <w:ilvl w:val="0"/>
          <w:numId w:val="38"/>
        </w:numPr>
        <w:tabs>
          <w:tab w:val="clear" w:pos="1080"/>
          <w:tab w:val="num" w:pos="709"/>
        </w:tabs>
        <w:ind w:left="709" w:hanging="709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metotrexátom:</w:t>
      </w:r>
      <w:r>
        <w:rPr>
          <w:sz w:val="22"/>
          <w:szCs w:val="22"/>
        </w:rPr>
        <w:t xml:space="preserve"> ibuprofén znižuje klírens metotrexátu;</w:t>
      </w:r>
    </w:p>
    <w:p w:rsidR="00523A3E" w:rsidRPr="00AC2244" w:rsidRDefault="0002473E" w:rsidP="008225D3">
      <w:pPr>
        <w:numPr>
          <w:ilvl w:val="0"/>
          <w:numId w:val="38"/>
        </w:numPr>
        <w:tabs>
          <w:tab w:val="clear" w:pos="1080"/>
          <w:tab w:val="num" w:pos="709"/>
        </w:tabs>
        <w:ind w:left="709" w:hanging="709"/>
        <w:rPr>
          <w:sz w:val="22"/>
          <w:szCs w:val="22"/>
        </w:rPr>
      </w:pPr>
      <w:r>
        <w:rPr>
          <w:b/>
          <w:sz w:val="22"/>
          <w:szCs w:val="22"/>
        </w:rPr>
        <w:t>cykloklosporínom:</w:t>
      </w:r>
      <w:r>
        <w:rPr>
          <w:sz w:val="22"/>
          <w:szCs w:val="22"/>
        </w:rPr>
        <w:t xml:space="preserve"> zvýšené riziko nefrotoxicity;</w:t>
      </w:r>
    </w:p>
    <w:p w:rsidR="00523A3E" w:rsidRPr="00AC2244" w:rsidRDefault="0002473E" w:rsidP="008225D3">
      <w:pPr>
        <w:numPr>
          <w:ilvl w:val="0"/>
          <w:numId w:val="38"/>
        </w:numPr>
        <w:tabs>
          <w:tab w:val="clear" w:pos="1080"/>
          <w:tab w:val="num" w:pos="709"/>
        </w:tabs>
        <w:ind w:left="709" w:hanging="709"/>
        <w:rPr>
          <w:sz w:val="22"/>
          <w:szCs w:val="22"/>
        </w:rPr>
      </w:pPr>
      <w:r>
        <w:rPr>
          <w:b/>
          <w:sz w:val="22"/>
          <w:szCs w:val="22"/>
        </w:rPr>
        <w:t>mifepristónom:</w:t>
      </w:r>
      <w:r>
        <w:rPr>
          <w:sz w:val="22"/>
          <w:szCs w:val="22"/>
        </w:rPr>
        <w:t xml:space="preserve"> NSAID sa nemajú podávať 8 – 12 dní po podaní mifepristónu, pretože môžu znížiť jeho účinok;</w:t>
      </w:r>
    </w:p>
    <w:p w:rsidR="00523A3E" w:rsidRPr="00AC2244" w:rsidRDefault="0002473E" w:rsidP="008225D3">
      <w:pPr>
        <w:numPr>
          <w:ilvl w:val="0"/>
          <w:numId w:val="38"/>
        </w:numPr>
        <w:tabs>
          <w:tab w:val="clear" w:pos="1080"/>
          <w:tab w:val="num" w:pos="709"/>
        </w:tabs>
        <w:ind w:left="709" w:hanging="709"/>
        <w:rPr>
          <w:sz w:val="22"/>
          <w:szCs w:val="22"/>
        </w:rPr>
      </w:pPr>
      <w:r>
        <w:rPr>
          <w:b/>
          <w:sz w:val="22"/>
          <w:szCs w:val="22"/>
        </w:rPr>
        <w:t>takrolimusom:</w:t>
      </w:r>
      <w:r>
        <w:rPr>
          <w:sz w:val="22"/>
          <w:szCs w:val="22"/>
        </w:rPr>
        <w:t xml:space="preserve"> môže dôjsť k zvýšeniu rizika nefrotoxicity pri súčasnom podávaní s NSAID;</w:t>
      </w:r>
    </w:p>
    <w:p w:rsidR="00523A3E" w:rsidRPr="00AC2244" w:rsidRDefault="0002473E" w:rsidP="008225D3">
      <w:pPr>
        <w:numPr>
          <w:ilvl w:val="0"/>
          <w:numId w:val="38"/>
        </w:numPr>
        <w:tabs>
          <w:tab w:val="clear" w:pos="1080"/>
          <w:tab w:val="num" w:pos="709"/>
        </w:tabs>
        <w:ind w:left="709" w:hanging="709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zidovudínom:</w:t>
      </w:r>
      <w:r>
        <w:rPr>
          <w:sz w:val="22"/>
          <w:szCs w:val="22"/>
        </w:rPr>
        <w:t xml:space="preserve"> pri súbežnom podávaní je zvýšené riziko hematologickej toxicity; existujú dôkazy o zvýšenom vzniku hemartróz a hematómov u HIV pozitívnych hemofilikov užívajúcich kombinovanú terapiu s ibuprofénom a zidovudínom;</w:t>
      </w:r>
    </w:p>
    <w:p w:rsidR="00523A3E" w:rsidRPr="00AC2244" w:rsidRDefault="0002473E" w:rsidP="008225D3">
      <w:pPr>
        <w:numPr>
          <w:ilvl w:val="0"/>
          <w:numId w:val="38"/>
        </w:numPr>
        <w:tabs>
          <w:tab w:val="clear" w:pos="1080"/>
          <w:tab w:val="num" w:pos="709"/>
        </w:tabs>
        <w:ind w:left="709" w:hanging="709"/>
        <w:rPr>
          <w:sz w:val="22"/>
          <w:szCs w:val="22"/>
        </w:rPr>
      </w:pPr>
      <w:r>
        <w:rPr>
          <w:b/>
          <w:sz w:val="22"/>
          <w:szCs w:val="22"/>
        </w:rPr>
        <w:t>chinolónovými antibiotikami:</w:t>
      </w:r>
      <w:r>
        <w:rPr>
          <w:sz w:val="22"/>
          <w:szCs w:val="22"/>
        </w:rPr>
        <w:t xml:space="preserve"> štúdie na zvieratách indikujú, že NSAID môžu v súvislosti s chinolónovými antibiotikami zvyšovať riziko kŕčov; u pacientov užívajúcich NSAID a chinolóny môže byť zvýšené riziko vzniku kŕčov.</w:t>
      </w:r>
    </w:p>
    <w:p w:rsidR="002610C9" w:rsidRPr="00AC2244" w:rsidRDefault="002610C9" w:rsidP="00FE14F2">
      <w:pPr>
        <w:rPr>
          <w:sz w:val="22"/>
          <w:szCs w:val="22"/>
        </w:rPr>
      </w:pPr>
    </w:p>
    <w:p w:rsidR="00496C8E" w:rsidRPr="00AC2244" w:rsidRDefault="0002473E" w:rsidP="00175AEB">
      <w:pPr>
        <w:keepNext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4.6</w:t>
      </w:r>
      <w:r>
        <w:rPr>
          <w:b/>
          <w:bCs/>
          <w:sz w:val="22"/>
          <w:szCs w:val="22"/>
        </w:rPr>
        <w:tab/>
        <w:t>Fertilita, gravidita a laktácia</w:t>
      </w:r>
    </w:p>
    <w:p w:rsidR="00717A0A" w:rsidRPr="00AC2244" w:rsidRDefault="00717A0A" w:rsidP="00175AEB">
      <w:pPr>
        <w:keepNext/>
        <w:rPr>
          <w:sz w:val="22"/>
          <w:szCs w:val="22"/>
          <w:u w:val="single"/>
        </w:rPr>
      </w:pPr>
    </w:p>
    <w:p w:rsidR="00D47AE1" w:rsidRPr="00AC2244" w:rsidRDefault="0002473E" w:rsidP="0051602D">
      <w:pPr>
        <w:keepNext/>
        <w:rPr>
          <w:b/>
          <w:sz w:val="22"/>
          <w:szCs w:val="22"/>
        </w:rPr>
      </w:pPr>
      <w:r>
        <w:rPr>
          <w:b/>
          <w:sz w:val="22"/>
          <w:szCs w:val="22"/>
        </w:rPr>
        <w:t>Gravidita</w:t>
      </w:r>
    </w:p>
    <w:p w:rsidR="00D47AE1" w:rsidRPr="00AC2244" w:rsidRDefault="0002473E" w:rsidP="00B212B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Inhibícia syntézy prostaglandínov môže mať nežiaduci vplyv na graviditu a fetálny / embryonálny vývoj. Dáta z epidemiologických štúdií naznačujú zvýšené riziko potratov a kardiálnych malformácií po užívaní inhibítorov syntézy prostaglandínov na počiatku gravidity. Predpokladá sa, že sa riziko zvyšuje s dávkou a dĺžkou terapie. Štúdie na zvieratách preukázali reprodukčnú toxicitu (pozri 5.3). </w:t>
      </w:r>
    </w:p>
    <w:p w:rsidR="00D47AE1" w:rsidRPr="00AC2244" w:rsidRDefault="00D47AE1" w:rsidP="00B212B6">
      <w:pPr>
        <w:jc w:val="both"/>
        <w:rPr>
          <w:sz w:val="22"/>
          <w:szCs w:val="22"/>
        </w:rPr>
      </w:pPr>
    </w:p>
    <w:p w:rsidR="00D47AE1" w:rsidRPr="00AC2244" w:rsidRDefault="0002473E" w:rsidP="00B212B6">
      <w:pPr>
        <w:pStyle w:val="Zkladntex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Počas prvého a druhého trimestra sa nesmie ibuprofén podávať, pokiaľ to nie je nevyhnutné.</w:t>
      </w:r>
    </w:p>
    <w:p w:rsidR="00B212B6" w:rsidRPr="00AC2244" w:rsidRDefault="00B212B6" w:rsidP="00B212B6">
      <w:pPr>
        <w:jc w:val="both"/>
        <w:rPr>
          <w:sz w:val="22"/>
          <w:szCs w:val="22"/>
        </w:rPr>
      </w:pPr>
    </w:p>
    <w:p w:rsidR="00D47AE1" w:rsidRPr="00AC2244" w:rsidRDefault="0002473E" w:rsidP="00B212B6">
      <w:pPr>
        <w:keepNext/>
        <w:jc w:val="both"/>
        <w:rPr>
          <w:sz w:val="22"/>
          <w:szCs w:val="22"/>
        </w:rPr>
      </w:pPr>
      <w:r>
        <w:rPr>
          <w:sz w:val="22"/>
          <w:szCs w:val="22"/>
        </w:rPr>
        <w:t>Počas tretieho trimestra gravidity všetky inhibítory syntézy prostaglandínov môžu vystavovať:</w:t>
      </w:r>
    </w:p>
    <w:p w:rsidR="00D47AE1" w:rsidRPr="00AC2244" w:rsidRDefault="0002473E" w:rsidP="008225D3">
      <w:pPr>
        <w:pStyle w:val="Odstavecseseznamem"/>
        <w:keepNext/>
        <w:numPr>
          <w:ilvl w:val="0"/>
          <w:numId w:val="34"/>
        </w:numPr>
        <w:tabs>
          <w:tab w:val="clear" w:pos="720"/>
          <w:tab w:val="num" w:pos="284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plod</w:t>
      </w:r>
    </w:p>
    <w:p w:rsidR="00D47AE1" w:rsidRPr="00AC2244" w:rsidRDefault="0002473E" w:rsidP="002578A8">
      <w:pPr>
        <w:numPr>
          <w:ilvl w:val="0"/>
          <w:numId w:val="42"/>
        </w:numPr>
        <w:tabs>
          <w:tab w:val="clear" w:pos="720"/>
          <w:tab w:val="num" w:pos="993"/>
        </w:tabs>
        <w:ind w:left="993" w:hanging="567"/>
        <w:jc w:val="both"/>
        <w:rPr>
          <w:sz w:val="22"/>
          <w:szCs w:val="22"/>
        </w:rPr>
      </w:pPr>
      <w:r>
        <w:rPr>
          <w:sz w:val="22"/>
          <w:szCs w:val="22"/>
        </w:rPr>
        <w:t>kardiopulmonálnej toxicite (predčasný uzáver ductus arteriosus a pulmonálna hypertenzia);</w:t>
      </w:r>
    </w:p>
    <w:p w:rsidR="00D47AE1" w:rsidRPr="00AC2244" w:rsidRDefault="0002473E" w:rsidP="002578A8">
      <w:pPr>
        <w:numPr>
          <w:ilvl w:val="0"/>
          <w:numId w:val="42"/>
        </w:numPr>
        <w:tabs>
          <w:tab w:val="clear" w:pos="720"/>
          <w:tab w:val="num" w:pos="993"/>
        </w:tabs>
        <w:ind w:left="993" w:hanging="567"/>
        <w:jc w:val="both"/>
        <w:rPr>
          <w:sz w:val="22"/>
          <w:szCs w:val="22"/>
        </w:rPr>
      </w:pPr>
      <w:r>
        <w:rPr>
          <w:sz w:val="22"/>
          <w:szCs w:val="22"/>
        </w:rPr>
        <w:t>riziku renálnej dysfunkcie, ktorá môže progredovať do renálneho zlyhania s oligohydramniónom,</w:t>
      </w:r>
    </w:p>
    <w:p w:rsidR="00D47AE1" w:rsidRPr="00AC2244" w:rsidRDefault="0002473E" w:rsidP="008225D3">
      <w:pPr>
        <w:pStyle w:val="Odstavecseseznamem"/>
        <w:keepNext/>
        <w:numPr>
          <w:ilvl w:val="0"/>
          <w:numId w:val="34"/>
        </w:numPr>
        <w:tabs>
          <w:tab w:val="clear" w:pos="720"/>
          <w:tab w:val="num" w:pos="284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matku a novorodenca na konci gravidity</w:t>
      </w:r>
    </w:p>
    <w:p w:rsidR="00D47AE1" w:rsidRPr="00AC2244" w:rsidRDefault="0002473E" w:rsidP="002578A8">
      <w:pPr>
        <w:numPr>
          <w:ilvl w:val="0"/>
          <w:numId w:val="43"/>
        </w:numPr>
        <w:tabs>
          <w:tab w:val="clear" w:pos="720"/>
          <w:tab w:val="num" w:pos="993"/>
        </w:tabs>
        <w:ind w:left="993" w:hanging="567"/>
        <w:jc w:val="both"/>
        <w:rPr>
          <w:sz w:val="22"/>
          <w:szCs w:val="22"/>
        </w:rPr>
      </w:pPr>
      <w:r>
        <w:rPr>
          <w:sz w:val="22"/>
          <w:szCs w:val="22"/>
        </w:rPr>
        <w:t>potenciálnemu predĺženiu krvácania, antikoagulačný efekt sa môže prejaviť i pri užívaní veľmi malých dávok;</w:t>
      </w:r>
    </w:p>
    <w:p w:rsidR="00D47AE1" w:rsidRPr="00AC2244" w:rsidRDefault="0002473E" w:rsidP="002578A8">
      <w:pPr>
        <w:numPr>
          <w:ilvl w:val="0"/>
          <w:numId w:val="43"/>
        </w:numPr>
        <w:tabs>
          <w:tab w:val="clear" w:pos="720"/>
          <w:tab w:val="num" w:pos="993"/>
        </w:tabs>
        <w:ind w:left="993" w:hanging="567"/>
        <w:jc w:val="both"/>
        <w:rPr>
          <w:sz w:val="22"/>
          <w:szCs w:val="22"/>
        </w:rPr>
      </w:pPr>
      <w:r>
        <w:rPr>
          <w:sz w:val="22"/>
          <w:szCs w:val="22"/>
        </w:rPr>
        <w:t>riziku inhibície kontrakcií maternice vedúcimi k oneskoreniu alebo predĺženiu pôrodu.</w:t>
      </w:r>
    </w:p>
    <w:p w:rsidR="00B212B6" w:rsidRPr="00AC2244" w:rsidRDefault="00B212B6" w:rsidP="00B212B6">
      <w:pPr>
        <w:jc w:val="both"/>
        <w:rPr>
          <w:sz w:val="22"/>
          <w:szCs w:val="22"/>
        </w:rPr>
      </w:pPr>
    </w:p>
    <w:p w:rsidR="00D47AE1" w:rsidRPr="00AC2244" w:rsidRDefault="0002473E" w:rsidP="00B212B6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V dôsledku toho je ibuprofén kontraindikovaný počas tretieho trimestra gravidity.</w:t>
      </w:r>
    </w:p>
    <w:p w:rsidR="006D50C0" w:rsidRPr="00AC2244" w:rsidRDefault="006D50C0" w:rsidP="00B212B6">
      <w:pPr>
        <w:jc w:val="both"/>
        <w:rPr>
          <w:sz w:val="22"/>
          <w:szCs w:val="22"/>
        </w:rPr>
      </w:pPr>
    </w:p>
    <w:p w:rsidR="00D47AE1" w:rsidRPr="00AC2244" w:rsidRDefault="0002473E" w:rsidP="00B212B6">
      <w:pPr>
        <w:keepNext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Dojčenie</w:t>
      </w:r>
    </w:p>
    <w:p w:rsidR="00D47AE1" w:rsidRPr="00AC2244" w:rsidRDefault="0002473E" w:rsidP="00B212B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Ibuprofén a jeho metabolity prechádzajú v malých koncentráciách do materského mlieka. Keďže sa škodlivé účinky na dojčatá doposiaľ nepotvrdili, prerušenie dojčenia vo všeobecnosti nie je potrebné počas krátkodobej liečby odporúčanými </w:t>
      </w:r>
      <w:r w:rsidR="004B55B2">
        <w:rPr>
          <w:sz w:val="22"/>
          <w:szCs w:val="22"/>
        </w:rPr>
        <w:t xml:space="preserve">dávkami </w:t>
      </w:r>
      <w:r>
        <w:rPr>
          <w:sz w:val="22"/>
          <w:szCs w:val="22"/>
        </w:rPr>
        <w:t>na liečbu bolesti a teploty.</w:t>
      </w:r>
      <w:r>
        <w:rPr>
          <w:color w:val="000000"/>
          <w:sz w:val="22"/>
          <w:szCs w:val="22"/>
        </w:rPr>
        <w:t xml:space="preserve"> Bezpečnosť pri opakovanom užívaní nebola stanovená.</w:t>
      </w:r>
    </w:p>
    <w:p w:rsidR="00496C8E" w:rsidRPr="00AC2244" w:rsidRDefault="00496C8E" w:rsidP="00B212B6">
      <w:pPr>
        <w:jc w:val="both"/>
        <w:rPr>
          <w:sz w:val="22"/>
          <w:szCs w:val="22"/>
        </w:rPr>
      </w:pPr>
    </w:p>
    <w:p w:rsidR="002C2624" w:rsidRPr="00AC2244" w:rsidRDefault="0002473E" w:rsidP="002C2624">
      <w:pPr>
        <w:keepNext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Fertilita</w:t>
      </w:r>
    </w:p>
    <w:p w:rsidR="00735701" w:rsidRPr="00AC2244" w:rsidRDefault="0002473E" w:rsidP="002C262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Existujú dôkazy o tom, že inhibítory cyklooxygenázy / syntézy prostaglandínov môžu ovplyvniť ovuláciu, a tým znížiť plodnosť žien. Tieto účinky po ukončení liečby vymiznú. </w:t>
      </w:r>
    </w:p>
    <w:p w:rsidR="00591ABB" w:rsidRPr="00AC2244" w:rsidRDefault="00591ABB" w:rsidP="002C2624">
      <w:pPr>
        <w:jc w:val="both"/>
        <w:rPr>
          <w:sz w:val="22"/>
          <w:szCs w:val="22"/>
        </w:rPr>
      </w:pPr>
    </w:p>
    <w:p w:rsidR="002C2624" w:rsidRPr="00AC2244" w:rsidRDefault="0002473E" w:rsidP="002C2624">
      <w:pPr>
        <w:jc w:val="both"/>
        <w:rPr>
          <w:sz w:val="22"/>
          <w:szCs w:val="22"/>
        </w:rPr>
      </w:pPr>
      <w:r>
        <w:rPr>
          <w:sz w:val="22"/>
          <w:szCs w:val="22"/>
        </w:rPr>
        <w:t>Pokiaľ sa ibuprofén podáva ženám, ktoré chcú otehotnieť alebo v prvom a druhom trimestri tehotenstva, musí byť dávka čo najnižšia a dĺžka liečby čo najkratšia.</w:t>
      </w:r>
    </w:p>
    <w:p w:rsidR="002C2624" w:rsidRPr="00AC2244" w:rsidRDefault="002C2624" w:rsidP="002C2624">
      <w:pPr>
        <w:jc w:val="both"/>
        <w:rPr>
          <w:sz w:val="22"/>
          <w:szCs w:val="22"/>
        </w:rPr>
      </w:pPr>
    </w:p>
    <w:p w:rsidR="00496C8E" w:rsidRPr="00AC2244" w:rsidRDefault="0002473E" w:rsidP="00B212B6">
      <w:pPr>
        <w:keepNext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4.7</w:t>
      </w:r>
      <w:r>
        <w:rPr>
          <w:b/>
          <w:bCs/>
          <w:sz w:val="22"/>
          <w:szCs w:val="22"/>
        </w:rPr>
        <w:tab/>
        <w:t>Ovplyvnenie schopnosti viesť vozidlá a obsluhovať stroje</w:t>
      </w:r>
    </w:p>
    <w:p w:rsidR="00175AEB" w:rsidRPr="00AC2244" w:rsidRDefault="00175AEB" w:rsidP="00B212B6">
      <w:pPr>
        <w:keepNext/>
        <w:jc w:val="both"/>
        <w:rPr>
          <w:b/>
          <w:bCs/>
          <w:sz w:val="22"/>
          <w:szCs w:val="22"/>
        </w:rPr>
      </w:pPr>
    </w:p>
    <w:p w:rsidR="003E2FD9" w:rsidRPr="00AC2244" w:rsidRDefault="0002473E" w:rsidP="00B212B6">
      <w:pPr>
        <w:jc w:val="both"/>
        <w:rPr>
          <w:sz w:val="22"/>
          <w:szCs w:val="22"/>
        </w:rPr>
      </w:pPr>
      <w:r>
        <w:rPr>
          <w:sz w:val="22"/>
          <w:szCs w:val="22"/>
        </w:rPr>
        <w:t>Pri krátkodobom užívaní a odporučenom dávkovaní nemá liek žiadny alebo má zanedbateľný vplyv na schopnosť viesť vozidlo a obsluhovať stroje.</w:t>
      </w:r>
    </w:p>
    <w:p w:rsidR="00496C8E" w:rsidRPr="00AC2244" w:rsidRDefault="00496C8E" w:rsidP="00B212B6">
      <w:pPr>
        <w:jc w:val="both"/>
        <w:rPr>
          <w:sz w:val="22"/>
          <w:szCs w:val="22"/>
        </w:rPr>
      </w:pPr>
    </w:p>
    <w:p w:rsidR="00496C8E" w:rsidRPr="00AC2244" w:rsidRDefault="0002473E" w:rsidP="00B212B6">
      <w:pPr>
        <w:keepNext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4.8</w:t>
      </w:r>
      <w:r>
        <w:rPr>
          <w:b/>
          <w:bCs/>
          <w:sz w:val="22"/>
          <w:szCs w:val="22"/>
        </w:rPr>
        <w:tab/>
        <w:t>Nežiaduce účinky</w:t>
      </w:r>
    </w:p>
    <w:p w:rsidR="005D100D" w:rsidRPr="00AC2244" w:rsidRDefault="005D100D" w:rsidP="00B212B6">
      <w:pPr>
        <w:keepNext/>
        <w:jc w:val="both"/>
        <w:rPr>
          <w:bCs/>
          <w:sz w:val="22"/>
          <w:szCs w:val="22"/>
        </w:rPr>
      </w:pPr>
    </w:p>
    <w:p w:rsidR="00735701" w:rsidRPr="00AC2244" w:rsidRDefault="0002473E" w:rsidP="00B212B6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Najčastejšie pozorované nežiaduce účinky sú gastrointestinálne. Môžu sa objaviť peptické vredy, perforácia alebo gastrointestinálne krvácanie, niekedy fatálne, najmä u starších osôb (pozri časť 4.4). Po liečbe sa tiež pozorovala nauzea, zvracanie, hnačka, plynatosť, zápcha, dyspepsia, bolesti brucha, meléna, hemateméza, ulcerózna stomatitída, exacerbácia kolitídy a Crohnovej choroby (pozri časť 4.4). Menej často bola pozorovaná gastritída.</w:t>
      </w:r>
    </w:p>
    <w:p w:rsidR="00735701" w:rsidRPr="00AC2244" w:rsidRDefault="00735701" w:rsidP="00B212B6">
      <w:pPr>
        <w:jc w:val="both"/>
        <w:rPr>
          <w:bCs/>
          <w:sz w:val="22"/>
          <w:szCs w:val="22"/>
        </w:rPr>
      </w:pPr>
    </w:p>
    <w:p w:rsidR="00735701" w:rsidRPr="00AC2244" w:rsidRDefault="0002473E" w:rsidP="00B212B6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V súvislosti s terapiou NSAID boli hlásené edémy, hypertenzia a zlyhávanie srdca.</w:t>
      </w:r>
    </w:p>
    <w:p w:rsidR="00735701" w:rsidRPr="00AC2244" w:rsidRDefault="00735701" w:rsidP="00735701">
      <w:pPr>
        <w:jc w:val="both"/>
        <w:rPr>
          <w:bCs/>
          <w:sz w:val="22"/>
          <w:szCs w:val="22"/>
        </w:rPr>
      </w:pPr>
    </w:p>
    <w:p w:rsidR="00735701" w:rsidRPr="00AC2244" w:rsidRDefault="0002473E" w:rsidP="00735701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Hypersenzitívne reakcie, ktoré môžu pozostávať z:</w:t>
      </w:r>
    </w:p>
    <w:p w:rsidR="00735701" w:rsidRPr="00AC2244" w:rsidRDefault="0002473E" w:rsidP="00735701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a) nešpecifických alergických reakcií a anafylaxie;</w:t>
      </w:r>
    </w:p>
    <w:p w:rsidR="00735701" w:rsidRPr="00AC2244" w:rsidRDefault="0002473E" w:rsidP="00735701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b) reaktivity zo strany respiračného traktu, napr. astma, zhoršenie astmy, bronchospazmus, dyspnoe;</w:t>
      </w:r>
    </w:p>
    <w:p w:rsidR="00735701" w:rsidRPr="00AC2244" w:rsidRDefault="0002473E" w:rsidP="00735701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c) rôznych kožných reakcií, napr. pruritus, urtikária, purpura, angioedém a zriedkavejšie exfoliatívna a bulózna dermatitída (vrátane toxickej epidermálnej nekrolýzy, Stevensovho-Johnsonovho syndrómu a multiformného erytému).</w:t>
      </w:r>
    </w:p>
    <w:p w:rsidR="00735701" w:rsidRPr="00AC2244" w:rsidRDefault="00735701" w:rsidP="00B212B6">
      <w:pPr>
        <w:jc w:val="both"/>
        <w:rPr>
          <w:bCs/>
          <w:sz w:val="22"/>
          <w:szCs w:val="22"/>
        </w:rPr>
      </w:pPr>
    </w:p>
    <w:p w:rsidR="00FB0579" w:rsidRPr="00AC2244" w:rsidRDefault="0002473E" w:rsidP="00B212B6">
      <w:pPr>
        <w:jc w:val="both"/>
        <w:rPr>
          <w:sz w:val="22"/>
          <w:szCs w:val="22"/>
          <w:u w:val="single"/>
        </w:rPr>
      </w:pPr>
      <w:r>
        <w:rPr>
          <w:bCs/>
          <w:sz w:val="22"/>
          <w:szCs w:val="22"/>
        </w:rPr>
        <w:t>Klinické štúdie naznačili, že používanie ibuprofénu, najmä vo vysokých dávkach (2 400 mg denne) môže byť spojené s malým zvýšeným rizikom arteriálnych trombotických udalostí (napríklad infarkt myokardu alebo mozgová príhoda) (pozri časť 4.4).</w:t>
      </w:r>
    </w:p>
    <w:p w:rsidR="00FB0579" w:rsidRPr="00AC2244" w:rsidRDefault="00FB0579" w:rsidP="00B212B6">
      <w:pPr>
        <w:jc w:val="both"/>
        <w:rPr>
          <w:bCs/>
          <w:sz w:val="22"/>
          <w:szCs w:val="22"/>
        </w:rPr>
      </w:pPr>
    </w:p>
    <w:p w:rsidR="003E2FD9" w:rsidRPr="00AC2244" w:rsidRDefault="0002473E" w:rsidP="00B212B6">
      <w:pPr>
        <w:jc w:val="both"/>
        <w:rPr>
          <w:sz w:val="22"/>
          <w:szCs w:val="22"/>
        </w:rPr>
      </w:pPr>
      <w:r>
        <w:rPr>
          <w:sz w:val="22"/>
          <w:szCs w:val="22"/>
        </w:rPr>
        <w:t>Zoznam nasledovných nežiaducich účinkov sa týka tých, ktoré sa vyskytli pri používaní ibuprofénu pri krátkodobej liečbe miernej až stredne silnej bolesti a horúčky. Pri liečbe iných indikácií alebo počas dlhodobej liečby sa môžu vyskytnúť aj iné nežiaduce účinky.</w:t>
      </w:r>
    </w:p>
    <w:p w:rsidR="00106AAD" w:rsidRPr="00AC2244" w:rsidRDefault="00106AAD" w:rsidP="00106AAD">
      <w:pPr>
        <w:jc w:val="both"/>
        <w:rPr>
          <w:sz w:val="22"/>
          <w:szCs w:val="22"/>
        </w:rPr>
      </w:pPr>
    </w:p>
    <w:p w:rsidR="0014071E" w:rsidRPr="00AC2244" w:rsidRDefault="0002473E" w:rsidP="00106AA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Nežiaduce účinky, ktoré môžu súvisieť s ibuprofénom, sú uvedené nižšie podľa tried orgánových systémov a frekvencie. </w:t>
      </w:r>
    </w:p>
    <w:p w:rsidR="007961B2" w:rsidRPr="00AC2244" w:rsidRDefault="007961B2" w:rsidP="00106AAD">
      <w:pPr>
        <w:jc w:val="both"/>
        <w:rPr>
          <w:sz w:val="22"/>
          <w:szCs w:val="22"/>
        </w:rPr>
      </w:pPr>
    </w:p>
    <w:p w:rsidR="007961B2" w:rsidRPr="00AC2244" w:rsidRDefault="0002473E" w:rsidP="007961B2">
      <w:pPr>
        <w:keepNext/>
        <w:rPr>
          <w:sz w:val="22"/>
          <w:szCs w:val="22"/>
        </w:rPr>
      </w:pPr>
      <w:r>
        <w:rPr>
          <w:sz w:val="22"/>
          <w:szCs w:val="22"/>
        </w:rPr>
        <w:t>Frekvencia je definovaná nasledovne:</w:t>
      </w:r>
    </w:p>
    <w:p w:rsidR="007961B2" w:rsidRPr="00AC2244" w:rsidRDefault="0002473E" w:rsidP="007961B2">
      <w:pPr>
        <w:rPr>
          <w:sz w:val="22"/>
          <w:szCs w:val="22"/>
        </w:rPr>
      </w:pPr>
      <w:r>
        <w:rPr>
          <w:sz w:val="22"/>
          <w:szCs w:val="22"/>
        </w:rPr>
        <w:t>veľmi časté: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7961B2" w:rsidRPr="00AC2244">
        <w:rPr>
          <w:b/>
          <w:sz w:val="22"/>
          <w:szCs w:val="22"/>
        </w:rPr>
        <w:sym w:font="Symbol" w:char="F0B3"/>
      </w:r>
      <w:r w:rsidR="007961B2" w:rsidRPr="00AC2244">
        <w:rPr>
          <w:b/>
          <w:sz w:val="22"/>
          <w:szCs w:val="22"/>
        </w:rPr>
        <w:t> </w:t>
      </w:r>
      <w:r w:rsidR="007961B2" w:rsidRPr="00AC2244">
        <w:rPr>
          <w:sz w:val="22"/>
          <w:szCs w:val="22"/>
        </w:rPr>
        <w:t>1/10</w:t>
      </w:r>
    </w:p>
    <w:p w:rsidR="007961B2" w:rsidRPr="00AC2244" w:rsidRDefault="0002473E" w:rsidP="007961B2">
      <w:pPr>
        <w:rPr>
          <w:sz w:val="22"/>
          <w:szCs w:val="22"/>
        </w:rPr>
      </w:pPr>
      <w:r>
        <w:rPr>
          <w:sz w:val="22"/>
          <w:szCs w:val="22"/>
        </w:rPr>
        <w:t>časté: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7961B2" w:rsidRPr="00AC2244">
        <w:rPr>
          <w:b/>
          <w:sz w:val="22"/>
          <w:szCs w:val="22"/>
        </w:rPr>
        <w:sym w:font="Symbol" w:char="F0B3"/>
      </w:r>
      <w:r w:rsidR="007961B2" w:rsidRPr="00AC2244">
        <w:rPr>
          <w:b/>
          <w:sz w:val="22"/>
          <w:szCs w:val="22"/>
        </w:rPr>
        <w:t> </w:t>
      </w:r>
      <w:r w:rsidR="007961B2" w:rsidRPr="00AC2244">
        <w:rPr>
          <w:sz w:val="22"/>
          <w:szCs w:val="22"/>
        </w:rPr>
        <w:t>1/100 až &lt; 1/10</w:t>
      </w:r>
    </w:p>
    <w:p w:rsidR="007961B2" w:rsidRPr="00AC2244" w:rsidRDefault="0002473E" w:rsidP="007961B2">
      <w:pPr>
        <w:rPr>
          <w:sz w:val="22"/>
          <w:szCs w:val="22"/>
        </w:rPr>
      </w:pPr>
      <w:r>
        <w:rPr>
          <w:sz w:val="22"/>
          <w:szCs w:val="22"/>
        </w:rPr>
        <w:t>menej časté: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7961B2" w:rsidRPr="00AC2244">
        <w:rPr>
          <w:b/>
          <w:sz w:val="22"/>
          <w:szCs w:val="22"/>
        </w:rPr>
        <w:sym w:font="Symbol" w:char="F0B3"/>
      </w:r>
      <w:r w:rsidR="007961B2" w:rsidRPr="00AC2244">
        <w:rPr>
          <w:b/>
          <w:sz w:val="22"/>
          <w:szCs w:val="22"/>
        </w:rPr>
        <w:t> </w:t>
      </w:r>
      <w:r w:rsidR="007961B2" w:rsidRPr="00AC2244">
        <w:rPr>
          <w:sz w:val="22"/>
          <w:szCs w:val="22"/>
        </w:rPr>
        <w:t>1/1 000 až &lt; 1/100</w:t>
      </w:r>
    </w:p>
    <w:p w:rsidR="007961B2" w:rsidRPr="00AC2244" w:rsidRDefault="0002473E" w:rsidP="007961B2">
      <w:pPr>
        <w:rPr>
          <w:sz w:val="22"/>
          <w:szCs w:val="22"/>
        </w:rPr>
      </w:pPr>
      <w:r>
        <w:rPr>
          <w:sz w:val="22"/>
          <w:szCs w:val="22"/>
        </w:rPr>
        <w:t>zriedkavé: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7961B2" w:rsidRPr="00AC2244">
        <w:rPr>
          <w:b/>
          <w:sz w:val="22"/>
          <w:szCs w:val="22"/>
        </w:rPr>
        <w:sym w:font="Symbol" w:char="F0B3"/>
      </w:r>
      <w:r w:rsidR="007961B2" w:rsidRPr="00AC2244">
        <w:rPr>
          <w:b/>
          <w:sz w:val="22"/>
          <w:szCs w:val="22"/>
        </w:rPr>
        <w:t> </w:t>
      </w:r>
      <w:r w:rsidR="007961B2" w:rsidRPr="00AC2244">
        <w:rPr>
          <w:sz w:val="22"/>
          <w:szCs w:val="22"/>
        </w:rPr>
        <w:t>1/1</w:t>
      </w:r>
      <w:r>
        <w:rPr>
          <w:sz w:val="22"/>
          <w:szCs w:val="22"/>
        </w:rPr>
        <w:t>0 000 až &lt; 1/1 000</w:t>
      </w:r>
    </w:p>
    <w:p w:rsidR="007961B2" w:rsidRPr="00AC2244" w:rsidRDefault="0002473E" w:rsidP="007961B2">
      <w:pPr>
        <w:rPr>
          <w:sz w:val="22"/>
          <w:szCs w:val="22"/>
        </w:rPr>
      </w:pPr>
      <w:r>
        <w:rPr>
          <w:sz w:val="22"/>
          <w:szCs w:val="22"/>
        </w:rPr>
        <w:t>veľmi zriedkavé:</w:t>
      </w:r>
      <w:r>
        <w:rPr>
          <w:sz w:val="22"/>
          <w:szCs w:val="22"/>
        </w:rPr>
        <w:tab/>
        <w:t>&lt; 1/10 000</w:t>
      </w:r>
    </w:p>
    <w:p w:rsidR="007961B2" w:rsidRPr="00AC2244" w:rsidRDefault="0002473E" w:rsidP="007961B2">
      <w:pPr>
        <w:rPr>
          <w:sz w:val="22"/>
          <w:szCs w:val="22"/>
        </w:rPr>
      </w:pPr>
      <w:r>
        <w:rPr>
          <w:sz w:val="22"/>
          <w:szCs w:val="22"/>
        </w:rPr>
        <w:t xml:space="preserve">neznáme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(z dostupných údajov).</w:t>
      </w:r>
    </w:p>
    <w:p w:rsidR="007961B2" w:rsidRPr="00AC2244" w:rsidRDefault="007961B2" w:rsidP="00106AAD">
      <w:pPr>
        <w:jc w:val="both"/>
        <w:rPr>
          <w:sz w:val="22"/>
          <w:szCs w:val="22"/>
        </w:rPr>
      </w:pPr>
    </w:p>
    <w:p w:rsidR="00735701" w:rsidRPr="00AC2244" w:rsidRDefault="0002473E" w:rsidP="00106AAD">
      <w:pPr>
        <w:jc w:val="both"/>
        <w:rPr>
          <w:sz w:val="22"/>
          <w:szCs w:val="22"/>
        </w:rPr>
      </w:pPr>
      <w:r>
        <w:rPr>
          <w:sz w:val="22"/>
          <w:szCs w:val="22"/>
        </w:rPr>
        <w:t>V rámci každej skupiny frekvencie sú nežiaduce účinky uvedené v klesajúcom poradí závažnosti.</w:t>
      </w:r>
    </w:p>
    <w:p w:rsidR="00735701" w:rsidRPr="00AC2244" w:rsidRDefault="00735701" w:rsidP="00735701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04"/>
        <w:gridCol w:w="1412"/>
        <w:gridCol w:w="5170"/>
      </w:tblGrid>
      <w:tr w:rsidR="00735701" w:rsidRPr="00AC2244" w:rsidTr="005C346C">
        <w:trPr>
          <w:cantSplit/>
          <w:trHeight w:val="160"/>
        </w:trPr>
        <w:tc>
          <w:tcPr>
            <w:tcW w:w="2704" w:type="dxa"/>
          </w:tcPr>
          <w:p w:rsidR="00735701" w:rsidRPr="00AC2244" w:rsidRDefault="0002473E" w:rsidP="005C346C">
            <w:pPr>
              <w:keepNext/>
              <w:spacing w:before="40" w:after="40"/>
              <w:jc w:val="center"/>
              <w:rPr>
                <w:rFonts w:eastAsia="SimSun"/>
                <w:b/>
                <w:color w:val="000000"/>
                <w:sz w:val="22"/>
                <w:szCs w:val="22"/>
              </w:rPr>
            </w:pPr>
            <w:r>
              <w:rPr>
                <w:rFonts w:eastAsia="SimSun"/>
                <w:b/>
                <w:color w:val="000000"/>
                <w:sz w:val="22"/>
                <w:szCs w:val="22"/>
              </w:rPr>
              <w:t>Trieda orgánových systémov</w:t>
            </w:r>
          </w:p>
        </w:tc>
        <w:tc>
          <w:tcPr>
            <w:tcW w:w="1412" w:type="dxa"/>
            <w:shd w:val="clear" w:color="auto" w:fill="auto"/>
          </w:tcPr>
          <w:p w:rsidR="00735701" w:rsidRPr="00AC2244" w:rsidRDefault="0002473E" w:rsidP="005C346C">
            <w:pPr>
              <w:keepNext/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eastAsia="SimSun"/>
                <w:b/>
                <w:color w:val="000000"/>
                <w:sz w:val="22"/>
                <w:szCs w:val="22"/>
              </w:rPr>
            </w:pPr>
            <w:r>
              <w:rPr>
                <w:rFonts w:eastAsia="SimSun"/>
                <w:b/>
                <w:color w:val="000000"/>
                <w:sz w:val="22"/>
                <w:szCs w:val="22"/>
              </w:rPr>
              <w:t>Frekvencia</w:t>
            </w:r>
          </w:p>
        </w:tc>
        <w:tc>
          <w:tcPr>
            <w:tcW w:w="5170" w:type="dxa"/>
            <w:shd w:val="clear" w:color="auto" w:fill="auto"/>
          </w:tcPr>
          <w:p w:rsidR="00735701" w:rsidRPr="00AC2244" w:rsidRDefault="0002473E" w:rsidP="005C346C">
            <w:pPr>
              <w:keepNext/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eastAsia="SimSun"/>
                <w:b/>
                <w:color w:val="000000"/>
                <w:sz w:val="22"/>
                <w:szCs w:val="22"/>
              </w:rPr>
            </w:pPr>
            <w:r>
              <w:rPr>
                <w:rFonts w:eastAsia="SimSun"/>
                <w:b/>
                <w:color w:val="000000"/>
                <w:sz w:val="22"/>
                <w:szCs w:val="22"/>
              </w:rPr>
              <w:t>Nežiaduce účinky</w:t>
            </w:r>
          </w:p>
        </w:tc>
      </w:tr>
      <w:tr w:rsidR="0075709F" w:rsidRPr="00AC2244" w:rsidTr="005C346C">
        <w:trPr>
          <w:cantSplit/>
          <w:trHeight w:val="160"/>
        </w:trPr>
        <w:tc>
          <w:tcPr>
            <w:tcW w:w="2704" w:type="dxa"/>
          </w:tcPr>
          <w:p w:rsidR="00523A3E" w:rsidRPr="00AC2244" w:rsidRDefault="0002473E" w:rsidP="008225D3">
            <w:pPr>
              <w:keepNext/>
              <w:spacing w:before="40" w:after="40"/>
              <w:rPr>
                <w:rFonts w:eastAsia="SimSun"/>
                <w:b/>
                <w:color w:val="000000"/>
                <w:sz w:val="22"/>
                <w:szCs w:val="22"/>
              </w:rPr>
            </w:pPr>
            <w:r>
              <w:rPr>
                <w:rFonts w:eastAsia="SimSun"/>
                <w:b/>
                <w:color w:val="000000"/>
                <w:sz w:val="22"/>
                <w:szCs w:val="22"/>
              </w:rPr>
              <w:t>Infekcie a nákazy</w:t>
            </w:r>
          </w:p>
        </w:tc>
        <w:tc>
          <w:tcPr>
            <w:tcW w:w="1412" w:type="dxa"/>
            <w:shd w:val="clear" w:color="auto" w:fill="auto"/>
          </w:tcPr>
          <w:p w:rsidR="00523A3E" w:rsidRPr="00AC2244" w:rsidRDefault="0002473E" w:rsidP="00096089">
            <w:pPr>
              <w:keepNext/>
              <w:spacing w:before="40" w:after="40"/>
              <w:rPr>
                <w:rFonts w:eastAsia="SimSun"/>
                <w:b/>
                <w:i/>
                <w:iCs/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</w:rPr>
              <w:t xml:space="preserve">veľmi zriedkavé </w:t>
            </w:r>
          </w:p>
        </w:tc>
        <w:tc>
          <w:tcPr>
            <w:tcW w:w="5170" w:type="dxa"/>
            <w:shd w:val="clear" w:color="auto" w:fill="auto"/>
          </w:tcPr>
          <w:p w:rsidR="00523A3E" w:rsidRPr="00AC2244" w:rsidRDefault="0002473E" w:rsidP="008225D3">
            <w:pPr>
              <w:keepNext/>
              <w:spacing w:before="40" w:after="40"/>
              <w:rPr>
                <w:rFonts w:eastAsia="SimSun"/>
                <w:b/>
                <w:i/>
                <w:i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exacerbácia zápalov súvisiacich s infekciou (napr. rozvoj nekrotizujúcej fasciitídy); vo výnimočných prípadoch sa závažné kožné infekcie a komplikácie v oblasti mäkkých tkanív môžu objaviť počas ovčích kiahní</w:t>
            </w:r>
          </w:p>
        </w:tc>
      </w:tr>
      <w:tr w:rsidR="00735701" w:rsidRPr="00AC2244" w:rsidTr="005C346C">
        <w:trPr>
          <w:cantSplit/>
          <w:trHeight w:val="834"/>
        </w:trPr>
        <w:tc>
          <w:tcPr>
            <w:tcW w:w="2704" w:type="dxa"/>
            <w:shd w:val="clear" w:color="auto" w:fill="auto"/>
          </w:tcPr>
          <w:p w:rsidR="00735701" w:rsidRPr="00AC2244" w:rsidRDefault="0002473E" w:rsidP="005C346C">
            <w:pPr>
              <w:keepNext/>
              <w:spacing w:before="40" w:after="40"/>
              <w:outlineLvl w:val="1"/>
              <w:rPr>
                <w:rFonts w:eastAsia="SimSun"/>
                <w:b/>
                <w:color w:val="000000"/>
                <w:sz w:val="22"/>
                <w:szCs w:val="22"/>
              </w:rPr>
            </w:pPr>
            <w:r>
              <w:rPr>
                <w:rFonts w:eastAsia="SimSun"/>
                <w:b/>
                <w:color w:val="000000"/>
                <w:sz w:val="22"/>
                <w:szCs w:val="22"/>
              </w:rPr>
              <w:t>Poruchy krvi a lymfatického systému</w:t>
            </w:r>
          </w:p>
        </w:tc>
        <w:tc>
          <w:tcPr>
            <w:tcW w:w="1412" w:type="dxa"/>
          </w:tcPr>
          <w:p w:rsidR="00735701" w:rsidRPr="00AC2244" w:rsidRDefault="0002473E" w:rsidP="00096089">
            <w:pPr>
              <w:keepNext/>
              <w:spacing w:before="40" w:after="40"/>
              <w:outlineLvl w:val="1"/>
              <w:rPr>
                <w:rFonts w:eastAsia="SimSun"/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</w:rPr>
              <w:t xml:space="preserve">veľmi zriedkavé </w:t>
            </w:r>
          </w:p>
        </w:tc>
        <w:tc>
          <w:tcPr>
            <w:tcW w:w="5170" w:type="dxa"/>
            <w:shd w:val="clear" w:color="auto" w:fill="auto"/>
          </w:tcPr>
          <w:p w:rsidR="00735701" w:rsidRPr="00AC2244" w:rsidRDefault="0002473E" w:rsidP="005C346C">
            <w:pPr>
              <w:keepNext/>
              <w:spacing w:before="40" w:after="40"/>
              <w:outlineLvl w:val="1"/>
              <w:rPr>
                <w:rFonts w:eastAsia="SimSu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poruchy krvotvorby (anémia, leukopénia, trombocytopénia, pancytopénia, agranulocytóza)</w:t>
            </w:r>
            <w:r>
              <w:rPr>
                <w:rFonts w:eastAsia="SimSun"/>
                <w:color w:val="000000"/>
                <w:sz w:val="22"/>
                <w:szCs w:val="22"/>
                <w:vertAlign w:val="superscript"/>
              </w:rPr>
              <w:t xml:space="preserve"> 1</w:t>
            </w:r>
          </w:p>
        </w:tc>
      </w:tr>
      <w:tr w:rsidR="00735701" w:rsidRPr="00AC2244" w:rsidTr="005C346C">
        <w:trPr>
          <w:cantSplit/>
          <w:trHeight w:val="653"/>
        </w:trPr>
        <w:tc>
          <w:tcPr>
            <w:tcW w:w="2704" w:type="dxa"/>
            <w:vMerge w:val="restart"/>
          </w:tcPr>
          <w:p w:rsidR="00735701" w:rsidRPr="00AC2244" w:rsidRDefault="0002473E" w:rsidP="005C346C">
            <w:pPr>
              <w:keepNext/>
              <w:spacing w:before="40" w:after="40"/>
              <w:outlineLvl w:val="1"/>
              <w:rPr>
                <w:rFonts w:eastAsia="SimSun"/>
                <w:b/>
                <w:color w:val="000000"/>
                <w:sz w:val="22"/>
                <w:szCs w:val="22"/>
                <w:highlight w:val="yellow"/>
              </w:rPr>
            </w:pPr>
            <w:r>
              <w:rPr>
                <w:rFonts w:eastAsia="SimSun"/>
                <w:b/>
                <w:color w:val="000000"/>
                <w:sz w:val="22"/>
                <w:szCs w:val="22"/>
              </w:rPr>
              <w:t>Poruchy imunitného systému</w:t>
            </w:r>
          </w:p>
        </w:tc>
        <w:tc>
          <w:tcPr>
            <w:tcW w:w="1412" w:type="dxa"/>
          </w:tcPr>
          <w:p w:rsidR="00735701" w:rsidRPr="00AC2244" w:rsidRDefault="0002473E" w:rsidP="00096089">
            <w:pPr>
              <w:keepNext/>
              <w:spacing w:before="40" w:after="40"/>
              <w:ind w:hanging="10"/>
              <w:outlineLvl w:val="1"/>
              <w:rPr>
                <w:rFonts w:eastAsia="SimSun"/>
                <w:color w:val="000000"/>
                <w:sz w:val="22"/>
                <w:szCs w:val="22"/>
                <w:highlight w:val="yellow"/>
              </w:rPr>
            </w:pPr>
            <w:r>
              <w:rPr>
                <w:rFonts w:eastAsia="SimSun"/>
                <w:color w:val="000000"/>
                <w:sz w:val="22"/>
                <w:szCs w:val="22"/>
              </w:rPr>
              <w:t xml:space="preserve">menej časté </w:t>
            </w:r>
          </w:p>
        </w:tc>
        <w:tc>
          <w:tcPr>
            <w:tcW w:w="5170" w:type="dxa"/>
          </w:tcPr>
          <w:p w:rsidR="00735701" w:rsidRPr="00AC2244" w:rsidRDefault="0002473E" w:rsidP="005C346C">
            <w:pPr>
              <w:keepNext/>
              <w:spacing w:before="40" w:after="40"/>
              <w:outlineLvl w:val="1"/>
              <w:rPr>
                <w:rFonts w:eastAsia="SimSun"/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</w:rPr>
              <w:t>reakcie z precitlivenosti prejavujúce sa ako žihľavka a pruritus</w:t>
            </w:r>
          </w:p>
        </w:tc>
      </w:tr>
      <w:tr w:rsidR="00735701" w:rsidRPr="00AC2244" w:rsidTr="005C346C">
        <w:trPr>
          <w:cantSplit/>
          <w:trHeight w:val="884"/>
        </w:trPr>
        <w:tc>
          <w:tcPr>
            <w:tcW w:w="2704" w:type="dxa"/>
            <w:vMerge/>
          </w:tcPr>
          <w:p w:rsidR="00735701" w:rsidRPr="00AC2244" w:rsidRDefault="00735701" w:rsidP="005C346C">
            <w:pPr>
              <w:spacing w:before="40" w:after="40"/>
              <w:rPr>
                <w:rFonts w:eastAsia="SimSun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412" w:type="dxa"/>
          </w:tcPr>
          <w:p w:rsidR="00735701" w:rsidRPr="00AC2244" w:rsidRDefault="0002473E" w:rsidP="00096089">
            <w:pPr>
              <w:spacing w:before="40" w:after="40"/>
              <w:rPr>
                <w:rFonts w:eastAsia="SimSun"/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</w:rPr>
              <w:t xml:space="preserve">veľmi zriedkavé </w:t>
            </w:r>
          </w:p>
        </w:tc>
        <w:tc>
          <w:tcPr>
            <w:tcW w:w="5170" w:type="dxa"/>
          </w:tcPr>
          <w:p w:rsidR="00735701" w:rsidRPr="00AC2244" w:rsidRDefault="0002473E" w:rsidP="00283899">
            <w:pPr>
              <w:spacing w:before="40" w:after="40"/>
              <w:rPr>
                <w:rFonts w:eastAsia="SimSu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závažné reakcie z precitlivenosti prejavujúce sa nasledovne: opuch tváre, jazyka, hrtanu a hltanu, tachykardia, hypotenzia, anafylaxia, angioedém alebo závažný šok</w:t>
            </w:r>
          </w:p>
        </w:tc>
      </w:tr>
      <w:tr w:rsidR="00735701" w:rsidRPr="00AC2244" w:rsidTr="005C346C">
        <w:trPr>
          <w:cantSplit/>
        </w:trPr>
        <w:tc>
          <w:tcPr>
            <w:tcW w:w="2704" w:type="dxa"/>
            <w:vMerge w:val="restart"/>
            <w:shd w:val="clear" w:color="auto" w:fill="auto"/>
          </w:tcPr>
          <w:p w:rsidR="00735701" w:rsidRPr="00AC2244" w:rsidRDefault="0002473E" w:rsidP="005C346C">
            <w:pPr>
              <w:spacing w:before="40" w:after="40"/>
              <w:rPr>
                <w:rFonts w:eastAsia="SimSun"/>
                <w:b/>
                <w:color w:val="000000"/>
                <w:sz w:val="22"/>
                <w:szCs w:val="22"/>
                <w:highlight w:val="yellow"/>
              </w:rPr>
            </w:pPr>
            <w:r>
              <w:rPr>
                <w:rFonts w:eastAsia="SimSun"/>
                <w:b/>
                <w:color w:val="000000"/>
                <w:sz w:val="22"/>
                <w:szCs w:val="22"/>
              </w:rPr>
              <w:t>Poruchy nervového systému</w:t>
            </w:r>
          </w:p>
        </w:tc>
        <w:tc>
          <w:tcPr>
            <w:tcW w:w="1412" w:type="dxa"/>
          </w:tcPr>
          <w:p w:rsidR="00735701" w:rsidRPr="00AC2244" w:rsidRDefault="0002473E" w:rsidP="00096089">
            <w:pPr>
              <w:spacing w:before="40" w:after="40"/>
              <w:rPr>
                <w:rFonts w:eastAsia="SimSun"/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</w:rPr>
              <w:t xml:space="preserve">menej časté </w:t>
            </w:r>
          </w:p>
        </w:tc>
        <w:tc>
          <w:tcPr>
            <w:tcW w:w="5170" w:type="dxa"/>
          </w:tcPr>
          <w:p w:rsidR="00735701" w:rsidRPr="00AC2244" w:rsidRDefault="0002473E" w:rsidP="005C346C">
            <w:pPr>
              <w:spacing w:before="40" w:after="40"/>
              <w:rPr>
                <w:rFonts w:eastAsia="SimSu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bolesť hlavy </w:t>
            </w:r>
          </w:p>
        </w:tc>
      </w:tr>
      <w:tr w:rsidR="00735701" w:rsidRPr="00AC2244" w:rsidTr="005C346C">
        <w:trPr>
          <w:cantSplit/>
          <w:trHeight w:val="240"/>
        </w:trPr>
        <w:tc>
          <w:tcPr>
            <w:tcW w:w="2704" w:type="dxa"/>
            <w:vMerge/>
            <w:shd w:val="clear" w:color="auto" w:fill="auto"/>
          </w:tcPr>
          <w:p w:rsidR="00735701" w:rsidRPr="00AC2244" w:rsidRDefault="00735701" w:rsidP="005C346C">
            <w:pPr>
              <w:spacing w:before="40" w:after="40"/>
              <w:rPr>
                <w:rFonts w:eastAsia="SimSun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412" w:type="dxa"/>
            <w:shd w:val="clear" w:color="auto" w:fill="auto"/>
          </w:tcPr>
          <w:p w:rsidR="00735701" w:rsidRPr="00AC2244" w:rsidRDefault="0002473E" w:rsidP="00096089">
            <w:pPr>
              <w:spacing w:before="40" w:after="40"/>
              <w:rPr>
                <w:rFonts w:eastAsia="SimSun"/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</w:rPr>
              <w:t xml:space="preserve">veľmi zriedkavé </w:t>
            </w:r>
          </w:p>
        </w:tc>
        <w:tc>
          <w:tcPr>
            <w:tcW w:w="5170" w:type="dxa"/>
            <w:shd w:val="clear" w:color="auto" w:fill="auto"/>
          </w:tcPr>
          <w:p w:rsidR="00735701" w:rsidRPr="00AC2244" w:rsidRDefault="0002473E" w:rsidP="005C346C">
            <w:pPr>
              <w:spacing w:before="40" w:after="40"/>
              <w:rPr>
                <w:rFonts w:eastAsia="SimSun"/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</w:rPr>
              <w:t>aseptická meningitída</w:t>
            </w:r>
            <w:r>
              <w:rPr>
                <w:rFonts w:eastAsia="SimSun"/>
                <w:color w:val="000000"/>
                <w:sz w:val="22"/>
                <w:szCs w:val="22"/>
                <w:vertAlign w:val="superscript"/>
              </w:rPr>
              <w:t xml:space="preserve">2 </w:t>
            </w:r>
          </w:p>
        </w:tc>
      </w:tr>
      <w:tr w:rsidR="00735701" w:rsidRPr="00AC2244" w:rsidTr="005C346C">
        <w:trPr>
          <w:cantSplit/>
          <w:trHeight w:val="240"/>
        </w:trPr>
        <w:tc>
          <w:tcPr>
            <w:tcW w:w="2704" w:type="dxa"/>
            <w:shd w:val="clear" w:color="auto" w:fill="auto"/>
          </w:tcPr>
          <w:p w:rsidR="00735701" w:rsidRPr="00AC2244" w:rsidRDefault="0002473E" w:rsidP="005C346C">
            <w:pPr>
              <w:spacing w:before="40" w:after="40"/>
              <w:rPr>
                <w:rFonts w:eastAsia="SimSun"/>
                <w:color w:val="000000"/>
                <w:sz w:val="22"/>
                <w:szCs w:val="22"/>
              </w:rPr>
            </w:pPr>
            <w:r>
              <w:rPr>
                <w:rFonts w:eastAsia="SimSun"/>
                <w:b/>
                <w:color w:val="000000"/>
                <w:sz w:val="22"/>
                <w:szCs w:val="22"/>
              </w:rPr>
              <w:t>Poruchy srdca a srdcovej činnosti</w:t>
            </w:r>
          </w:p>
        </w:tc>
        <w:tc>
          <w:tcPr>
            <w:tcW w:w="1412" w:type="dxa"/>
            <w:shd w:val="clear" w:color="auto" w:fill="auto"/>
          </w:tcPr>
          <w:p w:rsidR="00735701" w:rsidRPr="00AC2244" w:rsidRDefault="0002473E" w:rsidP="005C346C">
            <w:pPr>
              <w:spacing w:before="40" w:after="40"/>
              <w:rPr>
                <w:rFonts w:eastAsia="SimSun"/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</w:rPr>
              <w:t>neznáme</w:t>
            </w:r>
          </w:p>
        </w:tc>
        <w:tc>
          <w:tcPr>
            <w:tcW w:w="5170" w:type="dxa"/>
            <w:shd w:val="clear" w:color="auto" w:fill="auto"/>
          </w:tcPr>
          <w:p w:rsidR="00735701" w:rsidRPr="00AC2244" w:rsidRDefault="0002473E" w:rsidP="005C346C">
            <w:pPr>
              <w:spacing w:before="40" w:after="40"/>
              <w:rPr>
                <w:rFonts w:eastAsia="SimSun"/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</w:rPr>
              <w:t>srdcové zlyhanie a edém</w:t>
            </w:r>
          </w:p>
        </w:tc>
      </w:tr>
      <w:tr w:rsidR="00735701" w:rsidRPr="00AC2244" w:rsidTr="005C346C">
        <w:trPr>
          <w:cantSplit/>
          <w:trHeight w:val="240"/>
        </w:trPr>
        <w:tc>
          <w:tcPr>
            <w:tcW w:w="2704" w:type="dxa"/>
            <w:shd w:val="clear" w:color="auto" w:fill="auto"/>
          </w:tcPr>
          <w:p w:rsidR="00735701" w:rsidRPr="00AC2244" w:rsidRDefault="0002473E" w:rsidP="005C346C">
            <w:pPr>
              <w:spacing w:before="40" w:after="40"/>
              <w:rPr>
                <w:rFonts w:eastAsia="SimSun"/>
                <w:color w:val="000000"/>
                <w:sz w:val="22"/>
                <w:szCs w:val="22"/>
              </w:rPr>
            </w:pPr>
            <w:r>
              <w:rPr>
                <w:rFonts w:eastAsia="SimSun"/>
                <w:b/>
                <w:color w:val="000000"/>
                <w:sz w:val="22"/>
                <w:szCs w:val="22"/>
              </w:rPr>
              <w:t>Cievne poruchy</w:t>
            </w:r>
          </w:p>
        </w:tc>
        <w:tc>
          <w:tcPr>
            <w:tcW w:w="1412" w:type="dxa"/>
            <w:shd w:val="clear" w:color="auto" w:fill="auto"/>
          </w:tcPr>
          <w:p w:rsidR="00735701" w:rsidRPr="00AC2244" w:rsidRDefault="0002473E" w:rsidP="005C346C">
            <w:pPr>
              <w:spacing w:before="40" w:after="40"/>
              <w:rPr>
                <w:rFonts w:eastAsia="SimSun"/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</w:rPr>
              <w:t>neznáme</w:t>
            </w:r>
          </w:p>
        </w:tc>
        <w:tc>
          <w:tcPr>
            <w:tcW w:w="5170" w:type="dxa"/>
            <w:shd w:val="clear" w:color="auto" w:fill="auto"/>
          </w:tcPr>
          <w:p w:rsidR="00735701" w:rsidRPr="00AC2244" w:rsidRDefault="0002473E" w:rsidP="005C346C">
            <w:pPr>
              <w:spacing w:before="40" w:after="40"/>
              <w:rPr>
                <w:rFonts w:eastAsia="SimSun"/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</w:rPr>
              <w:t>hypertenzia</w:t>
            </w:r>
          </w:p>
        </w:tc>
      </w:tr>
      <w:tr w:rsidR="00246E99" w:rsidRPr="00AC2244" w:rsidTr="00246E99">
        <w:trPr>
          <w:cantSplit/>
          <w:trHeight w:val="548"/>
        </w:trPr>
        <w:tc>
          <w:tcPr>
            <w:tcW w:w="2704" w:type="dxa"/>
            <w:vMerge w:val="restart"/>
            <w:shd w:val="clear" w:color="auto" w:fill="auto"/>
          </w:tcPr>
          <w:p w:rsidR="00246E99" w:rsidRPr="00AC2244" w:rsidRDefault="0002473E" w:rsidP="005C346C">
            <w:pPr>
              <w:spacing w:before="40" w:after="40"/>
              <w:rPr>
                <w:rFonts w:eastAsia="SimSun"/>
                <w:b/>
                <w:color w:val="000000"/>
                <w:sz w:val="22"/>
                <w:szCs w:val="22"/>
                <w:highlight w:val="yellow"/>
              </w:rPr>
            </w:pPr>
            <w:r>
              <w:rPr>
                <w:rFonts w:eastAsia="SimSun"/>
                <w:b/>
                <w:color w:val="000000"/>
                <w:sz w:val="22"/>
                <w:szCs w:val="22"/>
              </w:rPr>
              <w:t>Poruchy dýchacej sústavy, hrudníka a mediastína</w:t>
            </w:r>
          </w:p>
        </w:tc>
        <w:tc>
          <w:tcPr>
            <w:tcW w:w="1412" w:type="dxa"/>
          </w:tcPr>
          <w:p w:rsidR="00246E99" w:rsidRPr="00AC2244" w:rsidRDefault="0002473E" w:rsidP="00096089">
            <w:pPr>
              <w:spacing w:before="40" w:after="40"/>
              <w:rPr>
                <w:rFonts w:eastAsia="SimSun"/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</w:rPr>
              <w:t xml:space="preserve">veľmi zriedkavé </w:t>
            </w:r>
          </w:p>
        </w:tc>
        <w:tc>
          <w:tcPr>
            <w:tcW w:w="5170" w:type="dxa"/>
          </w:tcPr>
          <w:p w:rsidR="00246E99" w:rsidRPr="00AC2244" w:rsidRDefault="0002473E" w:rsidP="00246E99">
            <w:pPr>
              <w:spacing w:before="40" w:after="40"/>
              <w:rPr>
                <w:rFonts w:eastAsia="SimSu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astma, dyspnoe</w:t>
            </w:r>
          </w:p>
        </w:tc>
      </w:tr>
      <w:tr w:rsidR="00246E99" w:rsidRPr="00AC2244" w:rsidTr="005C346C">
        <w:trPr>
          <w:cantSplit/>
          <w:trHeight w:val="547"/>
        </w:trPr>
        <w:tc>
          <w:tcPr>
            <w:tcW w:w="2704" w:type="dxa"/>
            <w:vMerge/>
            <w:shd w:val="clear" w:color="auto" w:fill="auto"/>
          </w:tcPr>
          <w:p w:rsidR="00246E99" w:rsidRPr="00AC2244" w:rsidRDefault="00246E99" w:rsidP="005C346C">
            <w:pPr>
              <w:spacing w:before="40" w:after="40"/>
              <w:rPr>
                <w:rFonts w:eastAsia="SimSun"/>
                <w:b/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</w:tcPr>
          <w:p w:rsidR="00246E99" w:rsidRPr="00AC2244" w:rsidRDefault="0002473E" w:rsidP="005C346C">
            <w:pPr>
              <w:spacing w:before="40" w:after="40"/>
              <w:rPr>
                <w:rFonts w:eastAsia="SimSun"/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</w:rPr>
              <w:t>neznáme</w:t>
            </w:r>
          </w:p>
        </w:tc>
        <w:tc>
          <w:tcPr>
            <w:tcW w:w="5170" w:type="dxa"/>
          </w:tcPr>
          <w:p w:rsidR="00246E99" w:rsidRPr="00AC2244" w:rsidRDefault="0002473E" w:rsidP="00B22630">
            <w:pPr>
              <w:spacing w:before="40" w:after="40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</w:rPr>
              <w:t>bronchospazmus</w:t>
            </w:r>
          </w:p>
        </w:tc>
      </w:tr>
      <w:tr w:rsidR="00246E99" w:rsidRPr="00AC2244" w:rsidTr="005C346C">
        <w:trPr>
          <w:cantSplit/>
        </w:trPr>
        <w:tc>
          <w:tcPr>
            <w:tcW w:w="2704" w:type="dxa"/>
            <w:vMerge w:val="restart"/>
          </w:tcPr>
          <w:p w:rsidR="00246E99" w:rsidRPr="00AC2244" w:rsidRDefault="0002473E" w:rsidP="005C346C">
            <w:pPr>
              <w:spacing w:before="40" w:after="40"/>
              <w:rPr>
                <w:rFonts w:eastAsia="SimSun"/>
                <w:b/>
                <w:color w:val="000000"/>
                <w:sz w:val="22"/>
                <w:szCs w:val="22"/>
                <w:highlight w:val="yellow"/>
              </w:rPr>
            </w:pPr>
            <w:r>
              <w:rPr>
                <w:rFonts w:eastAsia="SimSun"/>
                <w:b/>
                <w:color w:val="000000"/>
                <w:sz w:val="22"/>
                <w:szCs w:val="22"/>
              </w:rPr>
              <w:t>Poruchy gastrointestinálneho traktu</w:t>
            </w:r>
          </w:p>
        </w:tc>
        <w:tc>
          <w:tcPr>
            <w:tcW w:w="1412" w:type="dxa"/>
          </w:tcPr>
          <w:p w:rsidR="00246E99" w:rsidRPr="00AC2244" w:rsidRDefault="0002473E" w:rsidP="00096089">
            <w:pPr>
              <w:spacing w:before="40" w:after="40"/>
              <w:rPr>
                <w:rFonts w:eastAsia="SimSun"/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</w:rPr>
              <w:t xml:space="preserve">menej časté </w:t>
            </w:r>
          </w:p>
        </w:tc>
        <w:tc>
          <w:tcPr>
            <w:tcW w:w="5170" w:type="dxa"/>
          </w:tcPr>
          <w:p w:rsidR="00246E99" w:rsidRPr="00AC2244" w:rsidRDefault="0002473E" w:rsidP="00246E99">
            <w:pPr>
              <w:spacing w:before="40" w:after="40"/>
              <w:rPr>
                <w:rFonts w:eastAsia="SimSu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bolesť brucha, nauzea a dyspepsia</w:t>
            </w:r>
          </w:p>
        </w:tc>
      </w:tr>
      <w:tr w:rsidR="00246E99" w:rsidRPr="00AC2244" w:rsidTr="005C346C">
        <w:trPr>
          <w:cantSplit/>
        </w:trPr>
        <w:tc>
          <w:tcPr>
            <w:tcW w:w="2704" w:type="dxa"/>
            <w:vMerge/>
          </w:tcPr>
          <w:p w:rsidR="00246E99" w:rsidRPr="00AC2244" w:rsidRDefault="00246E99" w:rsidP="005C346C">
            <w:pPr>
              <w:spacing w:before="40" w:after="40"/>
              <w:rPr>
                <w:rFonts w:eastAsia="SimSun"/>
                <w:b/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</w:tcPr>
          <w:p w:rsidR="00246E99" w:rsidRPr="00AC2244" w:rsidRDefault="0002473E" w:rsidP="00096089">
            <w:pPr>
              <w:spacing w:before="40" w:after="40"/>
              <w:rPr>
                <w:rFonts w:eastAsia="SimSun"/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</w:rPr>
              <w:t>zriedkavé)</w:t>
            </w:r>
          </w:p>
        </w:tc>
        <w:tc>
          <w:tcPr>
            <w:tcW w:w="5170" w:type="dxa"/>
          </w:tcPr>
          <w:p w:rsidR="00246E99" w:rsidRPr="00AC2244" w:rsidRDefault="0002473E" w:rsidP="00246E99">
            <w:pPr>
              <w:spacing w:before="40" w:after="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hnačka, flatulencia, zápcha, vracanie</w:t>
            </w:r>
          </w:p>
        </w:tc>
      </w:tr>
      <w:tr w:rsidR="00246E99" w:rsidRPr="00AC2244" w:rsidTr="00246E99">
        <w:trPr>
          <w:cantSplit/>
          <w:trHeight w:val="593"/>
        </w:trPr>
        <w:tc>
          <w:tcPr>
            <w:tcW w:w="2704" w:type="dxa"/>
            <w:vMerge/>
          </w:tcPr>
          <w:p w:rsidR="00246E99" w:rsidRPr="00AC2244" w:rsidRDefault="00246E99" w:rsidP="005C346C">
            <w:pPr>
              <w:spacing w:before="40" w:after="40"/>
              <w:rPr>
                <w:rFonts w:eastAsia="SimSun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412" w:type="dxa"/>
          </w:tcPr>
          <w:p w:rsidR="00246E99" w:rsidRPr="00AC2244" w:rsidRDefault="0002473E" w:rsidP="00096089">
            <w:pPr>
              <w:spacing w:before="40" w:after="40"/>
              <w:rPr>
                <w:rFonts w:eastAsia="SimSun"/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</w:rPr>
              <w:t xml:space="preserve">veľmi zriedkavé </w:t>
            </w:r>
          </w:p>
        </w:tc>
        <w:tc>
          <w:tcPr>
            <w:tcW w:w="5170" w:type="dxa"/>
          </w:tcPr>
          <w:p w:rsidR="00246E99" w:rsidRPr="00AC2244" w:rsidRDefault="0002473E" w:rsidP="00246E99">
            <w:pPr>
              <w:spacing w:before="40" w:after="40"/>
              <w:rPr>
                <w:rFonts w:eastAsia="SimSu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gastrointestinálny vred, perforácia, krvácanie</w:t>
            </w:r>
            <w:r>
              <w:rPr>
                <w:color w:val="000000"/>
                <w:sz w:val="22"/>
                <w:szCs w:val="22"/>
                <w:vertAlign w:val="superscript"/>
              </w:rPr>
              <w:t>3</w:t>
            </w:r>
            <w:r>
              <w:rPr>
                <w:color w:val="000000"/>
                <w:sz w:val="22"/>
                <w:szCs w:val="22"/>
              </w:rPr>
              <w:t xml:space="preserve">; meléna, hemateméza, ulcerózna stomatitída, gastritída, </w:t>
            </w:r>
          </w:p>
        </w:tc>
      </w:tr>
      <w:tr w:rsidR="00246E99" w:rsidRPr="00AC2244" w:rsidTr="005C346C">
        <w:trPr>
          <w:cantSplit/>
          <w:trHeight w:val="592"/>
        </w:trPr>
        <w:tc>
          <w:tcPr>
            <w:tcW w:w="2704" w:type="dxa"/>
            <w:vMerge/>
          </w:tcPr>
          <w:p w:rsidR="00246E99" w:rsidRPr="00AC2244" w:rsidRDefault="00246E99" w:rsidP="005C346C">
            <w:pPr>
              <w:spacing w:before="40" w:after="40"/>
              <w:rPr>
                <w:rFonts w:eastAsia="SimSun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412" w:type="dxa"/>
          </w:tcPr>
          <w:p w:rsidR="00246E99" w:rsidRPr="00AC2244" w:rsidRDefault="0002473E" w:rsidP="005C346C">
            <w:pPr>
              <w:spacing w:before="40" w:after="40"/>
              <w:rPr>
                <w:rFonts w:eastAsia="SimSun"/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</w:rPr>
              <w:t>neznáme</w:t>
            </w:r>
          </w:p>
        </w:tc>
        <w:tc>
          <w:tcPr>
            <w:tcW w:w="5170" w:type="dxa"/>
          </w:tcPr>
          <w:p w:rsidR="00246E99" w:rsidRPr="00AC2244" w:rsidRDefault="0002473E" w:rsidP="00246E99">
            <w:pPr>
              <w:spacing w:before="40" w:after="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exacerbácia ulceróznej kolitídy a Crohnovej choroby (</w:t>
            </w:r>
            <w:r>
              <w:rPr>
                <w:bCs/>
                <w:sz w:val="22"/>
                <w:szCs w:val="22"/>
              </w:rPr>
              <w:t>pozri časť 4.4)</w:t>
            </w:r>
          </w:p>
        </w:tc>
      </w:tr>
      <w:tr w:rsidR="00735701" w:rsidRPr="00AC2244" w:rsidTr="005C346C">
        <w:trPr>
          <w:cantSplit/>
        </w:trPr>
        <w:tc>
          <w:tcPr>
            <w:tcW w:w="2704" w:type="dxa"/>
          </w:tcPr>
          <w:p w:rsidR="00735701" w:rsidRPr="00AC2244" w:rsidRDefault="0002473E" w:rsidP="005C346C">
            <w:pPr>
              <w:keepNext/>
              <w:tabs>
                <w:tab w:val="center" w:pos="4536"/>
                <w:tab w:val="right" w:pos="9072"/>
              </w:tabs>
              <w:spacing w:before="40" w:after="40"/>
              <w:outlineLvl w:val="1"/>
              <w:rPr>
                <w:rFonts w:eastAsia="SimSun"/>
                <w:b/>
                <w:color w:val="000000"/>
                <w:sz w:val="22"/>
                <w:szCs w:val="22"/>
              </w:rPr>
            </w:pPr>
            <w:r>
              <w:rPr>
                <w:rFonts w:eastAsia="SimSun"/>
                <w:b/>
                <w:color w:val="000000"/>
                <w:sz w:val="22"/>
                <w:szCs w:val="22"/>
              </w:rPr>
              <w:t>Poruchy pečene a žlčových ciest</w:t>
            </w:r>
          </w:p>
        </w:tc>
        <w:tc>
          <w:tcPr>
            <w:tcW w:w="1412" w:type="dxa"/>
          </w:tcPr>
          <w:p w:rsidR="00735701" w:rsidRPr="00AC2244" w:rsidRDefault="0002473E" w:rsidP="00096089">
            <w:pPr>
              <w:keepNext/>
              <w:tabs>
                <w:tab w:val="center" w:pos="4536"/>
                <w:tab w:val="right" w:pos="9072"/>
              </w:tabs>
              <w:spacing w:before="40" w:after="40"/>
              <w:outlineLvl w:val="1"/>
              <w:rPr>
                <w:rFonts w:eastAsia="SimSun"/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</w:rPr>
              <w:t xml:space="preserve">veľmi zriedkavé </w:t>
            </w:r>
          </w:p>
        </w:tc>
        <w:tc>
          <w:tcPr>
            <w:tcW w:w="5170" w:type="dxa"/>
          </w:tcPr>
          <w:p w:rsidR="00735701" w:rsidRPr="00AC2244" w:rsidRDefault="0002473E" w:rsidP="005C346C">
            <w:pPr>
              <w:keepNext/>
              <w:tabs>
                <w:tab w:val="center" w:pos="4536"/>
                <w:tab w:val="right" w:pos="9072"/>
              </w:tabs>
              <w:spacing w:before="40" w:after="40"/>
              <w:outlineLvl w:val="1"/>
              <w:rPr>
                <w:rFonts w:eastAsia="SimSu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poruchy funkcie pečene</w:t>
            </w:r>
            <w:r>
              <w:rPr>
                <w:rFonts w:eastAsia="SimSun"/>
                <w:color w:val="000000"/>
                <w:sz w:val="22"/>
                <w:szCs w:val="22"/>
                <w:vertAlign w:val="superscript"/>
              </w:rPr>
              <w:t>3</w:t>
            </w:r>
          </w:p>
        </w:tc>
      </w:tr>
      <w:tr w:rsidR="006D1EE2" w:rsidRPr="00AC2244" w:rsidTr="005C346C">
        <w:trPr>
          <w:cantSplit/>
          <w:trHeight w:val="458"/>
        </w:trPr>
        <w:tc>
          <w:tcPr>
            <w:tcW w:w="2704" w:type="dxa"/>
            <w:vMerge w:val="restart"/>
          </w:tcPr>
          <w:p w:rsidR="006D1EE2" w:rsidRPr="00AC2244" w:rsidRDefault="0002473E" w:rsidP="005C346C">
            <w:pPr>
              <w:keepNext/>
              <w:tabs>
                <w:tab w:val="center" w:pos="4536"/>
                <w:tab w:val="right" w:pos="9072"/>
              </w:tabs>
              <w:spacing w:before="40" w:after="40"/>
              <w:outlineLvl w:val="1"/>
              <w:rPr>
                <w:rFonts w:eastAsia="SimSun"/>
                <w:b/>
                <w:color w:val="000000"/>
                <w:sz w:val="22"/>
                <w:szCs w:val="22"/>
              </w:rPr>
            </w:pPr>
            <w:r>
              <w:rPr>
                <w:rFonts w:eastAsia="SimSun"/>
                <w:b/>
                <w:color w:val="000000"/>
                <w:sz w:val="22"/>
                <w:szCs w:val="22"/>
              </w:rPr>
              <w:t>Poruchy kože a podkožného tkaniva</w:t>
            </w:r>
          </w:p>
        </w:tc>
        <w:tc>
          <w:tcPr>
            <w:tcW w:w="1412" w:type="dxa"/>
          </w:tcPr>
          <w:p w:rsidR="006D1EE2" w:rsidRPr="00AC2244" w:rsidRDefault="0002473E" w:rsidP="00096089">
            <w:pPr>
              <w:keepNext/>
              <w:tabs>
                <w:tab w:val="center" w:pos="4536"/>
                <w:tab w:val="right" w:pos="9072"/>
              </w:tabs>
              <w:spacing w:before="40" w:after="40"/>
              <w:outlineLvl w:val="1"/>
              <w:rPr>
                <w:rFonts w:eastAsia="SimSun"/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</w:rPr>
              <w:t xml:space="preserve">menej časté </w:t>
            </w:r>
          </w:p>
        </w:tc>
        <w:tc>
          <w:tcPr>
            <w:tcW w:w="5170" w:type="dxa"/>
          </w:tcPr>
          <w:p w:rsidR="006D1EE2" w:rsidRPr="00AC2244" w:rsidRDefault="0002473E" w:rsidP="005C346C">
            <w:pPr>
              <w:spacing w:before="40" w:after="40"/>
              <w:rPr>
                <w:rFonts w:eastAsia="SimSun"/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</w:rPr>
              <w:t>kožná vyrážky</w:t>
            </w:r>
          </w:p>
        </w:tc>
      </w:tr>
      <w:tr w:rsidR="006D1EE2" w:rsidRPr="00AC2244" w:rsidTr="005C346C">
        <w:trPr>
          <w:cantSplit/>
          <w:trHeight w:val="457"/>
        </w:trPr>
        <w:tc>
          <w:tcPr>
            <w:tcW w:w="2704" w:type="dxa"/>
            <w:vMerge/>
          </w:tcPr>
          <w:p w:rsidR="006D1EE2" w:rsidRPr="00AC2244" w:rsidRDefault="006D1EE2" w:rsidP="005C346C">
            <w:pPr>
              <w:spacing w:before="40" w:after="40"/>
              <w:rPr>
                <w:rFonts w:eastAsia="SimSun"/>
                <w:b/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</w:tcPr>
          <w:p w:rsidR="006D1EE2" w:rsidRPr="00AC2244" w:rsidRDefault="0002473E" w:rsidP="00096089">
            <w:pPr>
              <w:spacing w:before="40" w:after="40"/>
              <w:rPr>
                <w:rFonts w:eastAsia="SimSun"/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</w:rPr>
              <w:t xml:space="preserve">veľmi zriedkavé </w:t>
            </w:r>
          </w:p>
        </w:tc>
        <w:tc>
          <w:tcPr>
            <w:tcW w:w="5170" w:type="dxa"/>
          </w:tcPr>
          <w:p w:rsidR="006D1EE2" w:rsidRPr="00AC2244" w:rsidRDefault="0002473E" w:rsidP="008E5AEB">
            <w:pPr>
              <w:spacing w:before="40" w:after="40"/>
              <w:rPr>
                <w:rFonts w:eastAsia="SimSun"/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</w:rPr>
              <w:t>závažné formy kožných reakcií ako sú erythema multiforme a bulózne reakcie vrátane Stevens</w:t>
            </w:r>
            <w:r w:rsidR="004B55B2">
              <w:rPr>
                <w:rFonts w:eastAsia="SimSun"/>
                <w:color w:val="000000"/>
                <w:sz w:val="22"/>
                <w:szCs w:val="22"/>
              </w:rPr>
              <w:t>ov</w:t>
            </w:r>
            <w:r>
              <w:rPr>
                <w:rFonts w:eastAsia="SimSun"/>
                <w:color w:val="000000"/>
                <w:sz w:val="22"/>
                <w:szCs w:val="22"/>
              </w:rPr>
              <w:t>-Johnsonovho syndrómu a toxická epidermálna nekrolýza;</w:t>
            </w:r>
          </w:p>
        </w:tc>
      </w:tr>
      <w:tr w:rsidR="006D1EE2" w:rsidRPr="00AC2244" w:rsidTr="005C346C">
        <w:trPr>
          <w:cantSplit/>
          <w:trHeight w:val="585"/>
        </w:trPr>
        <w:tc>
          <w:tcPr>
            <w:tcW w:w="2704" w:type="dxa"/>
            <w:vMerge/>
          </w:tcPr>
          <w:p w:rsidR="006D1EE2" w:rsidRPr="00AC2244" w:rsidRDefault="006D1EE2" w:rsidP="006D1EE2">
            <w:pPr>
              <w:spacing w:before="40" w:after="40"/>
              <w:rPr>
                <w:rFonts w:eastAsia="SimSun"/>
                <w:b/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</w:tcPr>
          <w:p w:rsidR="006D1EE2" w:rsidRPr="00AC2244" w:rsidRDefault="0002473E" w:rsidP="006D1EE2">
            <w:pPr>
              <w:spacing w:before="40" w:after="40"/>
              <w:rPr>
                <w:rFonts w:eastAsia="SimSun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neznáme</w:t>
            </w:r>
          </w:p>
        </w:tc>
        <w:tc>
          <w:tcPr>
            <w:tcW w:w="5170" w:type="dxa"/>
          </w:tcPr>
          <w:p w:rsidR="006D1EE2" w:rsidRPr="00AC2244" w:rsidRDefault="0002473E" w:rsidP="006D1EE2">
            <w:pPr>
              <w:tabs>
                <w:tab w:val="center" w:pos="4536"/>
                <w:tab w:val="right" w:pos="9072"/>
              </w:tabs>
              <w:spacing w:before="40" w:after="40"/>
              <w:rPr>
                <w:rFonts w:eastAsia="SimSun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lieková reakcia s eozinof</w:t>
            </w:r>
            <w:r w:rsidR="004B55B2">
              <w:rPr>
                <w:sz w:val="22"/>
                <w:szCs w:val="22"/>
              </w:rPr>
              <w:t>í</w:t>
            </w:r>
            <w:r>
              <w:rPr>
                <w:sz w:val="22"/>
                <w:szCs w:val="22"/>
              </w:rPr>
              <w:t>liou a systémovými príznakmi (syndróm DRESS)</w:t>
            </w:r>
          </w:p>
        </w:tc>
      </w:tr>
      <w:tr w:rsidR="006D1EE2" w:rsidRPr="00AC2244" w:rsidTr="005C346C">
        <w:trPr>
          <w:cantSplit/>
          <w:trHeight w:val="585"/>
        </w:trPr>
        <w:tc>
          <w:tcPr>
            <w:tcW w:w="2704" w:type="dxa"/>
          </w:tcPr>
          <w:p w:rsidR="006D1EE2" w:rsidRPr="00AC2244" w:rsidRDefault="0002473E" w:rsidP="006D1EE2">
            <w:pPr>
              <w:spacing w:before="40" w:after="40"/>
              <w:rPr>
                <w:rFonts w:eastAsia="SimSun"/>
                <w:b/>
                <w:color w:val="000000"/>
                <w:sz w:val="22"/>
                <w:szCs w:val="22"/>
              </w:rPr>
            </w:pPr>
            <w:r>
              <w:rPr>
                <w:rFonts w:eastAsia="SimSun"/>
                <w:b/>
                <w:color w:val="000000"/>
                <w:sz w:val="22"/>
                <w:szCs w:val="22"/>
              </w:rPr>
              <w:t>Poruchy obličiek a močových ciest</w:t>
            </w:r>
          </w:p>
        </w:tc>
        <w:tc>
          <w:tcPr>
            <w:tcW w:w="1412" w:type="dxa"/>
          </w:tcPr>
          <w:p w:rsidR="006D1EE2" w:rsidRPr="00AC2244" w:rsidRDefault="0002473E" w:rsidP="006D1EE2">
            <w:pPr>
              <w:spacing w:before="40" w:after="40"/>
              <w:rPr>
                <w:rFonts w:eastAsia="SimSun"/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</w:rPr>
              <w:t xml:space="preserve">veľmi zriedkavé </w:t>
            </w:r>
          </w:p>
        </w:tc>
        <w:tc>
          <w:tcPr>
            <w:tcW w:w="5170" w:type="dxa"/>
          </w:tcPr>
          <w:p w:rsidR="006D1EE2" w:rsidRPr="00AC2244" w:rsidRDefault="0002473E" w:rsidP="006D1EE2">
            <w:pPr>
              <w:tabs>
                <w:tab w:val="center" w:pos="4536"/>
                <w:tab w:val="right" w:pos="9072"/>
              </w:tabs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akútne zlyhanie obličiek</w:t>
            </w:r>
            <w:r>
              <w:rPr>
                <w:rFonts w:eastAsia="SimSun"/>
                <w:color w:val="000000"/>
                <w:sz w:val="22"/>
                <w:szCs w:val="22"/>
                <w:vertAlign w:val="superscript"/>
              </w:rPr>
              <w:t>4</w:t>
            </w:r>
          </w:p>
        </w:tc>
      </w:tr>
      <w:tr w:rsidR="006D1EE2" w:rsidRPr="00AC2244" w:rsidTr="005C346C">
        <w:trPr>
          <w:cantSplit/>
        </w:trPr>
        <w:tc>
          <w:tcPr>
            <w:tcW w:w="2704" w:type="dxa"/>
          </w:tcPr>
          <w:p w:rsidR="006D1EE2" w:rsidRPr="00AC2244" w:rsidRDefault="0002473E" w:rsidP="006D1EE2">
            <w:pPr>
              <w:tabs>
                <w:tab w:val="center" w:pos="4536"/>
                <w:tab w:val="right" w:pos="9072"/>
              </w:tabs>
              <w:spacing w:before="40" w:after="40"/>
              <w:rPr>
                <w:rFonts w:eastAsia="SimSun"/>
                <w:b/>
                <w:color w:val="000000"/>
                <w:sz w:val="22"/>
                <w:szCs w:val="22"/>
              </w:rPr>
            </w:pPr>
            <w:r>
              <w:rPr>
                <w:rFonts w:eastAsia="SimSun"/>
                <w:b/>
                <w:color w:val="000000"/>
                <w:sz w:val="22"/>
                <w:szCs w:val="22"/>
              </w:rPr>
              <w:lastRenderedPageBreak/>
              <w:t xml:space="preserve">Laboratórne a funkčné vyšetrenia </w:t>
            </w:r>
          </w:p>
        </w:tc>
        <w:tc>
          <w:tcPr>
            <w:tcW w:w="1412" w:type="dxa"/>
          </w:tcPr>
          <w:p w:rsidR="006D1EE2" w:rsidRPr="00AC2244" w:rsidRDefault="0002473E" w:rsidP="006D1EE2">
            <w:pPr>
              <w:tabs>
                <w:tab w:val="center" w:pos="4536"/>
                <w:tab w:val="right" w:pos="9072"/>
              </w:tabs>
              <w:spacing w:before="40" w:after="40"/>
              <w:rPr>
                <w:rFonts w:eastAsia="SimSun"/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</w:rPr>
              <w:t xml:space="preserve">veľmi zriedkavé </w:t>
            </w:r>
          </w:p>
        </w:tc>
        <w:tc>
          <w:tcPr>
            <w:tcW w:w="5170" w:type="dxa"/>
          </w:tcPr>
          <w:p w:rsidR="006D1EE2" w:rsidRPr="00AC2244" w:rsidRDefault="0002473E" w:rsidP="006D1EE2">
            <w:pPr>
              <w:tabs>
                <w:tab w:val="center" w:pos="4536"/>
                <w:tab w:val="right" w:pos="9072"/>
              </w:tabs>
              <w:spacing w:before="40" w:after="40"/>
              <w:rPr>
                <w:rFonts w:eastAsia="SimSun"/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</w:rPr>
              <w:t>znížená koncentrácia hemoglobínu</w:t>
            </w:r>
          </w:p>
        </w:tc>
      </w:tr>
    </w:tbl>
    <w:p w:rsidR="007A4525" w:rsidRPr="00AC2244" w:rsidRDefault="007A4525" w:rsidP="00106AAD">
      <w:pPr>
        <w:jc w:val="both"/>
        <w:rPr>
          <w:sz w:val="22"/>
          <w:szCs w:val="22"/>
        </w:rPr>
      </w:pPr>
    </w:p>
    <w:p w:rsidR="007A4525" w:rsidRPr="00AC2244" w:rsidRDefault="0002473E" w:rsidP="007A4525">
      <w:pPr>
        <w:widowControl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Popis vybraných nežiaducich reakcií:</w:t>
      </w:r>
    </w:p>
    <w:p w:rsidR="007A4525" w:rsidRPr="00AC2244" w:rsidRDefault="0002473E" w:rsidP="007A4525">
      <w:pPr>
        <w:widowControl w:val="0"/>
        <w:rPr>
          <w:bCs/>
          <w:sz w:val="22"/>
          <w:szCs w:val="22"/>
        </w:rPr>
      </w:pPr>
      <w:r>
        <w:rPr>
          <w:rFonts w:eastAsia="SimSun"/>
          <w:color w:val="000000"/>
          <w:sz w:val="22"/>
          <w:szCs w:val="22"/>
          <w:vertAlign w:val="superscript"/>
        </w:rPr>
        <w:t xml:space="preserve">1  </w:t>
      </w:r>
      <w:r>
        <w:rPr>
          <w:bCs/>
          <w:sz w:val="22"/>
          <w:szCs w:val="22"/>
        </w:rPr>
        <w:t>Prvými príznakmi sú: horúčka, bolesť hrdla, povrchové vriedky v ústach, príznaky podobné chrípke, ťažká únava, krvácanie z nosa a do kože a podliatiny.</w:t>
      </w:r>
    </w:p>
    <w:p w:rsidR="007A4525" w:rsidRPr="00AC2244" w:rsidRDefault="007A4525" w:rsidP="007A4525">
      <w:pPr>
        <w:widowControl w:val="0"/>
        <w:rPr>
          <w:bCs/>
          <w:sz w:val="22"/>
          <w:szCs w:val="22"/>
        </w:rPr>
      </w:pPr>
    </w:p>
    <w:p w:rsidR="007A4525" w:rsidRPr="00AC2244" w:rsidRDefault="0002473E" w:rsidP="007A4525">
      <w:pPr>
        <w:widowControl w:val="0"/>
        <w:rPr>
          <w:bCs/>
          <w:sz w:val="22"/>
          <w:szCs w:val="22"/>
        </w:rPr>
      </w:pPr>
      <w:r>
        <w:rPr>
          <w:rFonts w:eastAsia="SimSun"/>
          <w:color w:val="000000"/>
          <w:sz w:val="22"/>
          <w:szCs w:val="22"/>
          <w:vertAlign w:val="superscript"/>
        </w:rPr>
        <w:t xml:space="preserve">2 </w:t>
      </w:r>
      <w:r>
        <w:rPr>
          <w:bCs/>
          <w:sz w:val="22"/>
          <w:szCs w:val="22"/>
        </w:rPr>
        <w:t>Mechanizmus patogenézy liekmi vyvolanej aseptickej meningitídy nie je úplne známy. Avšak dostupné dáta ohľadom aseptickej meningitídy súvisiace s NSAID poukazujú na imunitnú reakciu (z dôvodu časového vzťahu s užívaním liečivá a vymiznutím príznakov po jeho vysadení). Jednotlivé prípady príznakov aseptickej meningitídy (ako je stuhnutá šija, bolesť hlavy, nevoľnosť, vracanie, horúčka alebo porucha orientácie) boli pozorované počas liečby ibuprofénom u pacientov s existujúcimi autoimunitnými poruchami (ako napr. systémový lupus erythematosus alebo zmiešané ochorenia spojivového tkaniva).</w:t>
      </w:r>
    </w:p>
    <w:p w:rsidR="007A4525" w:rsidRPr="00AC2244" w:rsidRDefault="007A4525" w:rsidP="007A4525">
      <w:pPr>
        <w:widowControl w:val="0"/>
        <w:rPr>
          <w:rFonts w:eastAsia="SimSun"/>
          <w:color w:val="000000"/>
          <w:sz w:val="22"/>
          <w:szCs w:val="22"/>
          <w:vertAlign w:val="superscript"/>
        </w:rPr>
      </w:pPr>
    </w:p>
    <w:p w:rsidR="007A4525" w:rsidRPr="00AC2244" w:rsidRDefault="0002473E" w:rsidP="007A4525">
      <w:pPr>
        <w:widowControl w:val="0"/>
        <w:rPr>
          <w:bCs/>
          <w:sz w:val="22"/>
          <w:szCs w:val="22"/>
        </w:rPr>
      </w:pPr>
      <w:r>
        <w:rPr>
          <w:rFonts w:eastAsia="SimSun"/>
          <w:color w:val="000000"/>
          <w:sz w:val="22"/>
          <w:szCs w:val="22"/>
          <w:vertAlign w:val="superscript"/>
        </w:rPr>
        <w:t>3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Najmä pri dlhodobej liečbe.</w:t>
      </w:r>
    </w:p>
    <w:p w:rsidR="007A4525" w:rsidRPr="00AC2244" w:rsidRDefault="007A4525" w:rsidP="007A4525">
      <w:pPr>
        <w:widowControl w:val="0"/>
        <w:rPr>
          <w:bCs/>
          <w:sz w:val="22"/>
          <w:szCs w:val="22"/>
        </w:rPr>
      </w:pPr>
    </w:p>
    <w:p w:rsidR="007A4525" w:rsidRPr="00AC2244" w:rsidRDefault="00D94187" w:rsidP="007A4525">
      <w:pPr>
        <w:pStyle w:val="MoRPNormal"/>
        <w:spacing w:before="0" w:after="0" w:line="240" w:lineRule="auto"/>
        <w:rPr>
          <w:rFonts w:ascii="Times New Roman" w:hAnsi="Times New Roman"/>
          <w:szCs w:val="22"/>
          <w:lang w:val="sk-SK"/>
        </w:rPr>
      </w:pPr>
      <w:r w:rsidRPr="00D94187">
        <w:rPr>
          <w:rFonts w:ascii="Times New Roman" w:eastAsia="SimSun" w:hAnsi="Times New Roman"/>
          <w:color w:val="000000"/>
          <w:szCs w:val="22"/>
          <w:vertAlign w:val="superscript"/>
          <w:lang w:val="sk-SK"/>
        </w:rPr>
        <w:t xml:space="preserve">4 </w:t>
      </w:r>
      <w:r w:rsidRPr="00D94187">
        <w:rPr>
          <w:rFonts w:ascii="Times New Roman" w:hAnsi="Times New Roman"/>
          <w:bCs/>
          <w:szCs w:val="22"/>
          <w:lang w:val="sk-SK"/>
        </w:rPr>
        <w:t>Najmä pri dlhodobej liečbe sa pozorovali znížené vylučovanie moču, zvýšená koncentrácia močoviny v plazme, opuchy a papilárne nekrózy.</w:t>
      </w:r>
    </w:p>
    <w:p w:rsidR="007A4525" w:rsidRPr="00AC2244" w:rsidRDefault="007A4525" w:rsidP="00106AAD">
      <w:pPr>
        <w:jc w:val="both"/>
        <w:rPr>
          <w:sz w:val="22"/>
          <w:szCs w:val="22"/>
        </w:rPr>
      </w:pPr>
    </w:p>
    <w:p w:rsidR="0067433A" w:rsidRPr="00AC2244" w:rsidRDefault="0002473E" w:rsidP="00522F2A">
      <w:pPr>
        <w:pStyle w:val="Nadpis4"/>
        <w:jc w:val="both"/>
        <w:rPr>
          <w:sz w:val="22"/>
          <w:szCs w:val="22"/>
        </w:rPr>
      </w:pPr>
      <w:r>
        <w:rPr>
          <w:sz w:val="22"/>
          <w:szCs w:val="22"/>
        </w:rPr>
        <w:t>Hlásenie podozrení na nežiaduce reakcie</w:t>
      </w:r>
    </w:p>
    <w:p w:rsidR="0067433A" w:rsidRPr="00AC2244" w:rsidRDefault="0002473E" w:rsidP="0067433A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na </w:t>
      </w:r>
      <w:r>
        <w:rPr>
          <w:sz w:val="22"/>
          <w:szCs w:val="22"/>
          <w:highlight w:val="lightGray"/>
        </w:rPr>
        <w:t>národné centrum hlásenia uvedené v </w:t>
      </w:r>
      <w:hyperlink r:id="rId8" w:history="1">
        <w:r>
          <w:rPr>
            <w:sz w:val="22"/>
            <w:szCs w:val="22"/>
            <w:highlight w:val="lightGray"/>
            <w:u w:val="single"/>
          </w:rPr>
          <w:t>Prílohe V</w:t>
        </w:r>
      </w:hyperlink>
      <w:r w:rsidR="0067433A" w:rsidRPr="00AC2244">
        <w:rPr>
          <w:sz w:val="22"/>
          <w:szCs w:val="22"/>
          <w:highlight w:val="lightGray"/>
        </w:rPr>
        <w:t>.</w:t>
      </w:r>
    </w:p>
    <w:p w:rsidR="0067433A" w:rsidRPr="00AC2244" w:rsidRDefault="0067433A" w:rsidP="00B212B6">
      <w:pPr>
        <w:jc w:val="both"/>
        <w:rPr>
          <w:sz w:val="22"/>
          <w:szCs w:val="22"/>
        </w:rPr>
      </w:pPr>
    </w:p>
    <w:p w:rsidR="00496C8E" w:rsidRPr="00AC2244" w:rsidRDefault="0002473E" w:rsidP="00B212B6">
      <w:pPr>
        <w:keepNext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4.9</w:t>
      </w:r>
      <w:r>
        <w:rPr>
          <w:b/>
          <w:bCs/>
          <w:sz w:val="22"/>
          <w:szCs w:val="22"/>
        </w:rPr>
        <w:tab/>
        <w:t>Predávkovanie</w:t>
      </w:r>
      <w:bookmarkStart w:id="2" w:name="_GoBack"/>
      <w:bookmarkEnd w:id="2"/>
    </w:p>
    <w:p w:rsidR="00902E28" w:rsidRPr="00AC2244" w:rsidRDefault="00902E28" w:rsidP="00B212B6">
      <w:pPr>
        <w:keepNext/>
        <w:jc w:val="both"/>
        <w:rPr>
          <w:sz w:val="22"/>
          <w:szCs w:val="22"/>
        </w:rPr>
      </w:pPr>
    </w:p>
    <w:p w:rsidR="007A4525" w:rsidRPr="00AC2244" w:rsidRDefault="0002473E" w:rsidP="007A4525">
      <w:pPr>
        <w:keepNext/>
        <w:jc w:val="both"/>
        <w:rPr>
          <w:sz w:val="22"/>
          <w:szCs w:val="22"/>
        </w:rPr>
      </w:pPr>
      <w:r>
        <w:rPr>
          <w:sz w:val="22"/>
          <w:szCs w:val="22"/>
        </w:rPr>
        <w:t>U detí môže požitie dávky väčšej ako 400 mg / kg vyvolať príznaky. U dospelých je od dávky závislá odpoveď menej zreteľná.</w:t>
      </w:r>
    </w:p>
    <w:p w:rsidR="007A4525" w:rsidRPr="00AC2244" w:rsidRDefault="007A4525" w:rsidP="007A4525">
      <w:pPr>
        <w:keepNext/>
        <w:jc w:val="both"/>
        <w:rPr>
          <w:sz w:val="22"/>
          <w:szCs w:val="22"/>
        </w:rPr>
      </w:pPr>
    </w:p>
    <w:p w:rsidR="007A4525" w:rsidRPr="00AC2244" w:rsidRDefault="0002473E" w:rsidP="007A4525">
      <w:pPr>
        <w:keepNext/>
        <w:jc w:val="both"/>
        <w:rPr>
          <w:sz w:val="22"/>
          <w:szCs w:val="22"/>
        </w:rPr>
      </w:pPr>
      <w:r>
        <w:rPr>
          <w:sz w:val="22"/>
          <w:szCs w:val="22"/>
        </w:rPr>
        <w:t>Polčas pri predávkovaní je 1,5 - 3 hodiny.</w:t>
      </w:r>
    </w:p>
    <w:p w:rsidR="007A4525" w:rsidRPr="00AC2244" w:rsidRDefault="007A4525" w:rsidP="00106AAD">
      <w:pPr>
        <w:pStyle w:val="Nadpis4"/>
        <w:jc w:val="both"/>
        <w:rPr>
          <w:sz w:val="22"/>
          <w:szCs w:val="22"/>
        </w:rPr>
      </w:pPr>
    </w:p>
    <w:p w:rsidR="00496C8E" w:rsidRPr="00AC2244" w:rsidRDefault="0002473E" w:rsidP="00106AAD">
      <w:pPr>
        <w:pStyle w:val="Nadpis4"/>
        <w:jc w:val="both"/>
        <w:rPr>
          <w:sz w:val="22"/>
          <w:szCs w:val="22"/>
        </w:rPr>
      </w:pPr>
      <w:r>
        <w:rPr>
          <w:sz w:val="22"/>
          <w:szCs w:val="22"/>
        </w:rPr>
        <w:t>Príznaky predávkovania</w:t>
      </w:r>
    </w:p>
    <w:p w:rsidR="007A4525" w:rsidRPr="00AC2244" w:rsidRDefault="0002473E" w:rsidP="007A4525">
      <w:pPr>
        <w:jc w:val="both"/>
        <w:rPr>
          <w:sz w:val="22"/>
          <w:szCs w:val="22"/>
        </w:rPr>
      </w:pPr>
      <w:r>
        <w:rPr>
          <w:sz w:val="22"/>
          <w:szCs w:val="22"/>
        </w:rPr>
        <w:t>U väčšiny pacientov, ktorí požili klinicky významné množstvo NSAID, sa zaznamenala nauzea, zvracanie, bolesti brucha alebo zriedkavejšie hnačka. Môže sa objaviť aj tinitus a bolesť hlavy. V závažnejších prípadoch predávkovania sa toxicita prejavuje poruchami CNS prejavujúce sa ako bolesť hlavy, závraty, ospalosť, hypotenzia, ojedinele excitácia, dezorientácia, kóma, či kŕče.</w:t>
      </w:r>
    </w:p>
    <w:p w:rsidR="00496C8E" w:rsidRPr="00AC2244" w:rsidRDefault="0002473E" w:rsidP="007A4525">
      <w:pPr>
        <w:jc w:val="both"/>
        <w:rPr>
          <w:sz w:val="22"/>
          <w:szCs w:val="22"/>
        </w:rPr>
      </w:pPr>
      <w:r>
        <w:rPr>
          <w:sz w:val="22"/>
          <w:szCs w:val="22"/>
        </w:rPr>
        <w:t>Pri vážnej otrave sa môže vyskytnúť metabolická acidóza</w:t>
      </w:r>
      <w:r w:rsidR="00523A3E" w:rsidRPr="00AC2244">
        <w:rPr>
          <w:sz w:val="22"/>
          <w:szCs w:val="22"/>
        </w:rPr>
        <w:t xml:space="preserve"> a predĺženie protrombínového času pravdepodobne kvôli interferencii s účinkami cirkulujúcich faktorov zrážania krvi. Môže sa vyskytnúť tiež akútne zlyhanie obličiek a poškodenie pe</w:t>
      </w:r>
      <w:r>
        <w:rPr>
          <w:sz w:val="22"/>
          <w:szCs w:val="22"/>
        </w:rPr>
        <w:t>čene. U astmatikov môže dôjsť k exacerbácii astmy.</w:t>
      </w:r>
    </w:p>
    <w:p w:rsidR="00496C8E" w:rsidRPr="00AC2244" w:rsidRDefault="00496C8E" w:rsidP="00B212B6">
      <w:pPr>
        <w:jc w:val="both"/>
        <w:rPr>
          <w:sz w:val="22"/>
          <w:szCs w:val="22"/>
        </w:rPr>
      </w:pPr>
    </w:p>
    <w:p w:rsidR="00496C8E" w:rsidRPr="00AC2244" w:rsidRDefault="0002473E" w:rsidP="00106AAD">
      <w:pPr>
        <w:pStyle w:val="Nadpis4"/>
        <w:jc w:val="both"/>
        <w:rPr>
          <w:sz w:val="22"/>
          <w:szCs w:val="22"/>
        </w:rPr>
      </w:pPr>
      <w:r>
        <w:rPr>
          <w:sz w:val="22"/>
          <w:szCs w:val="22"/>
        </w:rPr>
        <w:t>Liečba predávkovania</w:t>
      </w:r>
    </w:p>
    <w:p w:rsidR="00496C8E" w:rsidRPr="00AC2244" w:rsidRDefault="0002473E" w:rsidP="007A4525">
      <w:pPr>
        <w:jc w:val="both"/>
        <w:rPr>
          <w:sz w:val="22"/>
          <w:szCs w:val="22"/>
        </w:rPr>
      </w:pPr>
      <w:r>
        <w:rPr>
          <w:sz w:val="22"/>
          <w:szCs w:val="22"/>
        </w:rPr>
        <w:t>Žiadne špeciálne antidotum neexistuje. Pacientov je nutné liečiť symptomaticky. Zahájte podpornú liečbu podľa potreby a zaistite priechodnosť dýchacích ciest a monitorovanie srdcovej činnosti a životných funkcií, kým stav pacienta nebude stabilizovaný. Do 1 hodiny po požití potenciálne toxického množstva, podať aktívne uhlie alebo vykonať výplach žalúdka. Ďalšia liečba sa orientuje na udržanie vitálnych funkcií, k úprave rovnováhy vody a elektrolytov. V prípade častých alebo dlhších kŕčov je potreba tieto liečiť intravenózne podávaným diazepamom alebo lorazepamom. V prípade astmy poskytnite bronchodilatanciá.</w:t>
      </w:r>
    </w:p>
    <w:p w:rsidR="00496C8E" w:rsidRPr="00AC2244" w:rsidRDefault="00496C8E" w:rsidP="00B212B6">
      <w:pPr>
        <w:jc w:val="both"/>
        <w:rPr>
          <w:sz w:val="22"/>
          <w:szCs w:val="22"/>
        </w:rPr>
      </w:pPr>
    </w:p>
    <w:p w:rsidR="00902E28" w:rsidRPr="00AC2244" w:rsidRDefault="00902E28" w:rsidP="00B212B6">
      <w:pPr>
        <w:jc w:val="both"/>
        <w:rPr>
          <w:sz w:val="22"/>
          <w:szCs w:val="22"/>
        </w:rPr>
      </w:pPr>
    </w:p>
    <w:p w:rsidR="00496C8E" w:rsidRPr="00AC2244" w:rsidRDefault="0002473E" w:rsidP="00B212B6">
      <w:pPr>
        <w:keepNext/>
        <w:numPr>
          <w:ilvl w:val="0"/>
          <w:numId w:val="5"/>
        </w:numPr>
        <w:tabs>
          <w:tab w:val="clear" w:pos="360"/>
          <w:tab w:val="num" w:pos="0"/>
        </w:tabs>
        <w:ind w:left="0" w:firstLine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FARMAKOLOGICKÉ VLASTNOSTI</w:t>
      </w:r>
    </w:p>
    <w:p w:rsidR="00902E28" w:rsidRPr="00AC2244" w:rsidRDefault="00902E28" w:rsidP="00B212B6">
      <w:pPr>
        <w:keepNext/>
        <w:jc w:val="both"/>
        <w:rPr>
          <w:b/>
          <w:bCs/>
          <w:sz w:val="22"/>
          <w:szCs w:val="22"/>
        </w:rPr>
      </w:pPr>
    </w:p>
    <w:p w:rsidR="00496C8E" w:rsidRPr="00AC2244" w:rsidRDefault="0002473E" w:rsidP="00B212B6">
      <w:pPr>
        <w:keepNext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5.1</w:t>
      </w:r>
      <w:r>
        <w:rPr>
          <w:b/>
          <w:bCs/>
          <w:sz w:val="22"/>
          <w:szCs w:val="22"/>
        </w:rPr>
        <w:tab/>
        <w:t>Farmakodynamické vlastnosti</w:t>
      </w:r>
    </w:p>
    <w:p w:rsidR="00902E28" w:rsidRPr="00AC2244" w:rsidRDefault="00902E28" w:rsidP="00B212B6">
      <w:pPr>
        <w:keepNext/>
        <w:jc w:val="both"/>
        <w:rPr>
          <w:sz w:val="22"/>
          <w:szCs w:val="22"/>
        </w:rPr>
      </w:pPr>
    </w:p>
    <w:p w:rsidR="00496C8E" w:rsidRPr="00AC2244" w:rsidRDefault="0002473E" w:rsidP="00B212B6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Farmakoterapeutická skupina:</w:t>
      </w:r>
      <w:r>
        <w:rPr>
          <w:sz w:val="22"/>
          <w:szCs w:val="22"/>
        </w:rPr>
        <w:t xml:space="preserve"> antiflogistiká a antireumatiká, deriváty kyseliny propiónovej</w:t>
      </w:r>
    </w:p>
    <w:p w:rsidR="00496C8E" w:rsidRPr="00AC2244" w:rsidRDefault="0002473E" w:rsidP="00B212B6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ATC kód:</w:t>
      </w:r>
      <w:r>
        <w:rPr>
          <w:sz w:val="22"/>
          <w:szCs w:val="22"/>
        </w:rPr>
        <w:t xml:space="preserve"> M01AE01</w:t>
      </w:r>
    </w:p>
    <w:p w:rsidR="00496C8E" w:rsidRPr="00AC2244" w:rsidRDefault="00496C8E" w:rsidP="00B212B6">
      <w:pPr>
        <w:jc w:val="both"/>
        <w:rPr>
          <w:sz w:val="22"/>
          <w:szCs w:val="22"/>
        </w:rPr>
      </w:pPr>
    </w:p>
    <w:p w:rsidR="00496C8E" w:rsidRPr="00AC2244" w:rsidRDefault="0002473E" w:rsidP="00FE14F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Ibuprofén je derivát kyseliny propiónovej. Je to nesteroidové antireumatikum s analgetickým, antipyretickým a antiflogistickým účinkom. </w:t>
      </w:r>
    </w:p>
    <w:p w:rsidR="00106AAD" w:rsidRPr="00AC2244" w:rsidRDefault="00106AAD" w:rsidP="00FE14F2">
      <w:pPr>
        <w:jc w:val="both"/>
        <w:rPr>
          <w:sz w:val="22"/>
          <w:szCs w:val="22"/>
        </w:rPr>
      </w:pPr>
    </w:p>
    <w:p w:rsidR="00496C8E" w:rsidRPr="00AC2244" w:rsidRDefault="0002473E" w:rsidP="00FE14F2">
      <w:pPr>
        <w:jc w:val="both"/>
        <w:rPr>
          <w:sz w:val="22"/>
          <w:szCs w:val="22"/>
        </w:rPr>
      </w:pPr>
      <w:r>
        <w:rPr>
          <w:sz w:val="22"/>
          <w:szCs w:val="22"/>
        </w:rPr>
        <w:t>Podobne, ako pri ostatných NSAID, účinok je daný inhibíciou cyklooxygenázy s následnou inhibíciou syntézy prostaglandínov.</w:t>
      </w:r>
    </w:p>
    <w:p w:rsidR="00106AAD" w:rsidRPr="00AC2244" w:rsidRDefault="00106AAD" w:rsidP="00FE14F2">
      <w:pPr>
        <w:jc w:val="both"/>
        <w:rPr>
          <w:sz w:val="22"/>
          <w:szCs w:val="22"/>
        </w:rPr>
      </w:pPr>
    </w:p>
    <w:p w:rsidR="00496C8E" w:rsidRPr="00AC2244" w:rsidRDefault="0002473E" w:rsidP="00FE14F2">
      <w:pPr>
        <w:pStyle w:val="Zkladntex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Ibuprofén znižuje uvoľňovanie mediátorov zápalu zo žírnych buniek, granulocytov a bazofilov, a tým zmierňuje zápal. Znižuje tiež citlivosť ciev voči bradykinínu a histamínu, potláča vazodilatáciu a znižuje agregáciu trombocytov.</w:t>
      </w:r>
    </w:p>
    <w:p w:rsidR="00106AAD" w:rsidRPr="00AC2244" w:rsidRDefault="00106AAD" w:rsidP="00FE14F2">
      <w:pPr>
        <w:pStyle w:val="Zkladntext"/>
        <w:jc w:val="both"/>
        <w:rPr>
          <w:rFonts w:ascii="Times New Roman" w:hAnsi="Times New Roman" w:cs="Times New Roman"/>
          <w:sz w:val="22"/>
          <w:szCs w:val="22"/>
        </w:rPr>
      </w:pPr>
    </w:p>
    <w:p w:rsidR="00C44950" w:rsidRPr="00AC2244" w:rsidRDefault="00D94187" w:rsidP="00096089">
      <w:pPr>
        <w:pStyle w:val="SmPCText"/>
        <w:spacing w:before="0" w:after="0" w:line="240" w:lineRule="auto"/>
        <w:ind w:left="0"/>
        <w:rPr>
          <w:lang w:val="sk-SK"/>
        </w:rPr>
      </w:pPr>
      <w:r w:rsidRPr="00D94187">
        <w:rPr>
          <w:lang w:val="sk-SK"/>
        </w:rPr>
        <w:t>Klinická účinnosť ibuprofénu bola dokázaná pri liečbe miernych až stredne silných bolestí, napríklad bolestí pri raste zubov, bolestí zubov, hlavy, uší, bolestí hrdla, pooperačných bolestí, bolestí pri poraneniach mäkkých tkanív a tiež horúčky, vrátane pyrexie po imunizácii, a pri liečbe bolestí a horúčky pri nádche a chrípke.</w:t>
      </w:r>
    </w:p>
    <w:p w:rsidR="00096089" w:rsidRPr="00AC2244" w:rsidRDefault="00096089" w:rsidP="00096089">
      <w:pPr>
        <w:pStyle w:val="SmPCText"/>
        <w:spacing w:before="0" w:after="0" w:line="240" w:lineRule="auto"/>
        <w:ind w:left="0"/>
        <w:rPr>
          <w:lang w:val="sk-SK"/>
        </w:rPr>
      </w:pPr>
    </w:p>
    <w:p w:rsidR="00096089" w:rsidRPr="00AC2244" w:rsidRDefault="00D94187" w:rsidP="00096089">
      <w:pPr>
        <w:pStyle w:val="SmPCText"/>
        <w:spacing w:before="0" w:after="0" w:line="240" w:lineRule="auto"/>
        <w:ind w:left="0"/>
        <w:rPr>
          <w:lang w:val="sk-SK"/>
        </w:rPr>
      </w:pPr>
      <w:r w:rsidRPr="00D94187">
        <w:rPr>
          <w:lang w:val="sk-SK"/>
        </w:rPr>
        <w:t>Analgetická dávka pre deti je 7 až 10 mg/kg pre jednotlivú dávku, pričom maximálna dávka je 30 mg/kg/deň.</w:t>
      </w:r>
    </w:p>
    <w:p w:rsidR="00642881" w:rsidRPr="00AC2244" w:rsidRDefault="00D94187" w:rsidP="00096089">
      <w:pPr>
        <w:pStyle w:val="SmPCText"/>
        <w:spacing w:before="0" w:after="0" w:line="240" w:lineRule="auto"/>
        <w:ind w:left="0"/>
        <w:rPr>
          <w:lang w:val="sk-SK"/>
        </w:rPr>
      </w:pPr>
      <w:r w:rsidRPr="00D94187">
        <w:rPr>
          <w:lang w:val="sk-SK"/>
        </w:rPr>
        <w:t>Nurofen pre deti obsahuje ibuprofén, ktorý podľa otvorenej štúdie začína účinkovať proti zvýšenej teplote v priebehu 15 minút a znižuje horúčku u detí po dobu až 8 hodín.</w:t>
      </w:r>
    </w:p>
    <w:p w:rsidR="00096089" w:rsidRPr="00AC2244" w:rsidRDefault="00096089" w:rsidP="00096089">
      <w:pPr>
        <w:pStyle w:val="SmPCText"/>
        <w:spacing w:before="0" w:after="0" w:line="240" w:lineRule="auto"/>
        <w:ind w:left="0"/>
        <w:rPr>
          <w:lang w:val="sk-SK"/>
        </w:rPr>
      </w:pPr>
    </w:p>
    <w:p w:rsidR="002610C9" w:rsidRPr="00AC2244" w:rsidRDefault="0002473E">
      <w:pPr>
        <w:autoSpaceDE w:val="0"/>
        <w:autoSpaceDN w:val="0"/>
        <w:adjustRightInd w:val="0"/>
        <w:jc w:val="both"/>
        <w:rPr>
          <w:sz w:val="22"/>
          <w:szCs w:val="22"/>
          <w:lang w:eastAsia="sk-SK"/>
        </w:rPr>
      </w:pPr>
      <w:r>
        <w:rPr>
          <w:color w:val="000000"/>
          <w:sz w:val="22"/>
          <w:szCs w:val="22"/>
          <w:lang w:eastAsia="sk-SK"/>
        </w:rPr>
        <w:t>Experimentálne údaje naznačujú, že ibuprofén môže inhibovať účinok nízkej dávky kyseliny acetylsalicylovej na agregáciu doštičiek, keď sa podávajú súčasne. V jednej štúdii, keď sa jednotlivá dávka 400 mg ibuprofénu podala buď 8 hodín pred podaním kyseliny acetylsalicylovej na okamžité uvoľnenie (81 mg), alebo do 30 minút po jeho podávaní, došlo k zníženému účinku ASA na tvorbu trombox</w:t>
      </w:r>
      <w:r w:rsidR="004B55B2">
        <w:rPr>
          <w:color w:val="000000"/>
          <w:sz w:val="22"/>
          <w:szCs w:val="22"/>
          <w:lang w:eastAsia="sk-SK"/>
        </w:rPr>
        <w:t>á</w:t>
      </w:r>
      <w:r>
        <w:rPr>
          <w:color w:val="000000"/>
          <w:sz w:val="22"/>
          <w:szCs w:val="22"/>
          <w:lang w:eastAsia="sk-SK"/>
        </w:rPr>
        <w:t xml:space="preserve">nu alebo k agregácii trombocytov. Avšak limitácie týchto údajov a neistoty extrapolácie údajov </w:t>
      </w:r>
      <w:r>
        <w:rPr>
          <w:i/>
          <w:color w:val="000000"/>
          <w:sz w:val="22"/>
          <w:szCs w:val="22"/>
          <w:lang w:eastAsia="sk-SK"/>
        </w:rPr>
        <w:t>ex vivo</w:t>
      </w:r>
      <w:r>
        <w:rPr>
          <w:color w:val="000000"/>
          <w:sz w:val="22"/>
          <w:szCs w:val="22"/>
          <w:lang w:eastAsia="sk-SK"/>
        </w:rPr>
        <w:t xml:space="preserve"> na klinickú situáciu znamenajú, že žiadne jednoznačné závery nie je možné urobiť pre pravidelné užívanie ibuprofénu, a žiadny klinicky významný účinok sa nepovažuje za pravdepodobný pre príležitostné použitie ibuprofénu.</w:t>
      </w:r>
    </w:p>
    <w:p w:rsidR="00D83C4B" w:rsidRPr="00AC2244" w:rsidRDefault="00D83C4B" w:rsidP="00FE14F2">
      <w:pPr>
        <w:rPr>
          <w:sz w:val="22"/>
          <w:szCs w:val="22"/>
        </w:rPr>
      </w:pPr>
    </w:p>
    <w:p w:rsidR="00496C8E" w:rsidRPr="00AC2244" w:rsidRDefault="0002473E" w:rsidP="00175AEB">
      <w:pPr>
        <w:keepNext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5.2</w:t>
      </w:r>
      <w:r>
        <w:rPr>
          <w:b/>
          <w:bCs/>
          <w:sz w:val="22"/>
          <w:szCs w:val="22"/>
        </w:rPr>
        <w:tab/>
        <w:t>Farmakokinetické vlastnosti</w:t>
      </w:r>
    </w:p>
    <w:p w:rsidR="00902E28" w:rsidRPr="00AC2244" w:rsidRDefault="00902E28" w:rsidP="00175AEB">
      <w:pPr>
        <w:pStyle w:val="Zkladntext"/>
        <w:keepNext/>
        <w:rPr>
          <w:rFonts w:ascii="Times New Roman" w:hAnsi="Times New Roman" w:cs="Times New Roman"/>
          <w:sz w:val="22"/>
          <w:szCs w:val="22"/>
        </w:rPr>
      </w:pPr>
    </w:p>
    <w:p w:rsidR="00496C8E" w:rsidRPr="00AC2244" w:rsidRDefault="0002473E" w:rsidP="00106AAD">
      <w:pPr>
        <w:pStyle w:val="Zkladntex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Ibuprofén sa po perorálnom podaní rýchlo absorbuje z gastrointestinálneho traktu. Maximálne plazmatické koncentrácie sa dosahujú za 1 – 2 hodiny po podaní. Ibuprofén sa reverzibilne viaže na plazmatické proteíny. Biologický polčas eliminácie je približne 2 hod.</w:t>
      </w:r>
    </w:p>
    <w:p w:rsidR="00106AAD" w:rsidRPr="00AC2244" w:rsidRDefault="00106AAD" w:rsidP="00106AAD">
      <w:pPr>
        <w:pStyle w:val="Zkladntext"/>
        <w:jc w:val="both"/>
        <w:rPr>
          <w:rFonts w:ascii="Times New Roman" w:hAnsi="Times New Roman" w:cs="Times New Roman"/>
          <w:sz w:val="22"/>
          <w:szCs w:val="22"/>
        </w:rPr>
      </w:pPr>
    </w:p>
    <w:p w:rsidR="00496C8E" w:rsidRPr="00AC2244" w:rsidRDefault="0002473E" w:rsidP="00106AAD">
      <w:pPr>
        <w:jc w:val="both"/>
        <w:rPr>
          <w:sz w:val="22"/>
          <w:szCs w:val="22"/>
        </w:rPr>
      </w:pPr>
      <w:r>
        <w:rPr>
          <w:sz w:val="22"/>
          <w:szCs w:val="22"/>
        </w:rPr>
        <w:t>Ibuprofén sa rýchlo metabolizuje v pečeni na dva inaktívne metabolity. Vylučuje sa obličkami predovšetkým vo forme metabolitov alebo ich konjugátov.</w:t>
      </w:r>
    </w:p>
    <w:p w:rsidR="00496C8E" w:rsidRPr="00AC2244" w:rsidRDefault="00496C8E" w:rsidP="00175AEB">
      <w:pPr>
        <w:keepNext/>
        <w:rPr>
          <w:sz w:val="22"/>
          <w:szCs w:val="22"/>
        </w:rPr>
      </w:pPr>
    </w:p>
    <w:p w:rsidR="00496C8E" w:rsidRPr="00AC2244" w:rsidRDefault="0002473E" w:rsidP="00175AEB">
      <w:pPr>
        <w:keepNext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5.3</w:t>
      </w:r>
      <w:r>
        <w:rPr>
          <w:b/>
          <w:bCs/>
          <w:sz w:val="22"/>
          <w:szCs w:val="22"/>
        </w:rPr>
        <w:tab/>
        <w:t>Predklinické údaje o bezpečnosti</w:t>
      </w:r>
    </w:p>
    <w:p w:rsidR="00106AAD" w:rsidRPr="00AC2244" w:rsidRDefault="00106AAD" w:rsidP="00175AEB">
      <w:pPr>
        <w:keepNext/>
        <w:rPr>
          <w:b/>
          <w:bCs/>
          <w:sz w:val="22"/>
          <w:szCs w:val="22"/>
        </w:rPr>
      </w:pPr>
    </w:p>
    <w:p w:rsidR="004B55B2" w:rsidRPr="00D53FD1" w:rsidRDefault="004B55B2" w:rsidP="004B55B2">
      <w:pPr>
        <w:keepNext/>
        <w:autoSpaceDE w:val="0"/>
        <w:autoSpaceDN w:val="0"/>
        <w:adjustRightInd w:val="0"/>
        <w:jc w:val="both"/>
        <w:rPr>
          <w:sz w:val="22"/>
          <w:szCs w:val="22"/>
        </w:rPr>
      </w:pPr>
      <w:r w:rsidRPr="00D53FD1">
        <w:rPr>
          <w:sz w:val="22"/>
          <w:szCs w:val="22"/>
        </w:rPr>
        <w:t>Nežiaduce reakcie, ktoré neboli pozorované v klinických štúdiách, ale boli pozorované u zvierat pri expozíciách podobných klinickým a s možným významom pre klinické použitie, boli nasledovné:</w:t>
      </w:r>
    </w:p>
    <w:p w:rsidR="00C44950" w:rsidRPr="00AC2244" w:rsidRDefault="0002473E" w:rsidP="00FE14F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Toxicita ibuprofénu v experimentoch na zvieracích modeloch sa prejavovala léziami a ulceráciou gastrointestinálneho traktu. Ibuprofén nevykázal mutagénny potenciál </w:t>
      </w:r>
      <w:r>
        <w:rPr>
          <w:i/>
          <w:sz w:val="22"/>
          <w:szCs w:val="22"/>
        </w:rPr>
        <w:t>in vitro</w:t>
      </w:r>
      <w:r>
        <w:rPr>
          <w:sz w:val="22"/>
          <w:szCs w:val="22"/>
        </w:rPr>
        <w:t xml:space="preserve"> a nebol karcinogénny pre potkany a myši. V experimentálnych štúdiách sa dokázalo, že ibuprofén prechádza placentárnou bariérou, neexistujú však žiadne dôkazy o jeho teratogénnom pôsobení.</w:t>
      </w:r>
    </w:p>
    <w:p w:rsidR="00496C8E" w:rsidRPr="00AC2244" w:rsidRDefault="00496C8E" w:rsidP="00FE14F2">
      <w:pPr>
        <w:rPr>
          <w:sz w:val="22"/>
          <w:szCs w:val="22"/>
        </w:rPr>
      </w:pPr>
    </w:p>
    <w:p w:rsidR="00902E28" w:rsidRPr="00AC2244" w:rsidRDefault="00902E28" w:rsidP="00FE14F2">
      <w:pPr>
        <w:rPr>
          <w:sz w:val="22"/>
          <w:szCs w:val="22"/>
        </w:rPr>
      </w:pPr>
    </w:p>
    <w:p w:rsidR="00496C8E" w:rsidRPr="00AC2244" w:rsidRDefault="0002473E" w:rsidP="00175AEB">
      <w:pPr>
        <w:keepNext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6.</w:t>
      </w:r>
      <w:r>
        <w:rPr>
          <w:b/>
          <w:bCs/>
          <w:sz w:val="22"/>
          <w:szCs w:val="22"/>
        </w:rPr>
        <w:tab/>
        <w:t>FARMACEUTICKÉ INFORMÁCIE</w:t>
      </w:r>
    </w:p>
    <w:p w:rsidR="00902E28" w:rsidRPr="00AC2244" w:rsidRDefault="00902E28" w:rsidP="00175AEB">
      <w:pPr>
        <w:keepNext/>
        <w:rPr>
          <w:b/>
          <w:bCs/>
          <w:sz w:val="22"/>
          <w:szCs w:val="22"/>
        </w:rPr>
      </w:pPr>
    </w:p>
    <w:p w:rsidR="00496C8E" w:rsidRPr="00AC2244" w:rsidRDefault="0002473E" w:rsidP="00175AEB">
      <w:pPr>
        <w:keepNext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6.1</w:t>
      </w:r>
      <w:r>
        <w:rPr>
          <w:b/>
          <w:bCs/>
          <w:sz w:val="22"/>
          <w:szCs w:val="22"/>
        </w:rPr>
        <w:tab/>
        <w:t>Zoznam pomocných látok</w:t>
      </w:r>
    </w:p>
    <w:p w:rsidR="00902E28" w:rsidRPr="00AC2244" w:rsidRDefault="00902E28" w:rsidP="00175AEB">
      <w:pPr>
        <w:keepNext/>
        <w:rPr>
          <w:sz w:val="22"/>
          <w:szCs w:val="22"/>
        </w:rPr>
      </w:pPr>
    </w:p>
    <w:p w:rsidR="00A41EE0" w:rsidRPr="00AC2244" w:rsidRDefault="0002473E" w:rsidP="00106AAD">
      <w:pPr>
        <w:jc w:val="both"/>
        <w:rPr>
          <w:sz w:val="22"/>
          <w:szCs w:val="22"/>
        </w:rPr>
      </w:pPr>
      <w:r>
        <w:rPr>
          <w:sz w:val="22"/>
          <w:szCs w:val="22"/>
        </w:rPr>
        <w:t>kyselina citrónová, monohydrát</w:t>
      </w:r>
    </w:p>
    <w:p w:rsidR="00A41EE0" w:rsidRPr="00AC2244" w:rsidRDefault="0002473E" w:rsidP="00106AAD">
      <w:pPr>
        <w:jc w:val="both"/>
        <w:rPr>
          <w:sz w:val="22"/>
          <w:szCs w:val="22"/>
        </w:rPr>
      </w:pPr>
      <w:r>
        <w:rPr>
          <w:sz w:val="22"/>
          <w:szCs w:val="22"/>
        </w:rPr>
        <w:t>citronan sodný, dihydrát</w:t>
      </w:r>
    </w:p>
    <w:p w:rsidR="00A41EE0" w:rsidRPr="00AC2244" w:rsidRDefault="0002473E" w:rsidP="00106AAD">
      <w:pPr>
        <w:jc w:val="both"/>
        <w:rPr>
          <w:sz w:val="22"/>
          <w:szCs w:val="22"/>
        </w:rPr>
      </w:pPr>
      <w:r>
        <w:rPr>
          <w:sz w:val="22"/>
          <w:szCs w:val="22"/>
        </w:rPr>
        <w:t>chlorid sodný</w:t>
      </w:r>
    </w:p>
    <w:p w:rsidR="00CF77B0" w:rsidRPr="00AC2244" w:rsidRDefault="0002473E" w:rsidP="00106AAD">
      <w:pPr>
        <w:jc w:val="both"/>
        <w:rPr>
          <w:sz w:val="22"/>
          <w:szCs w:val="22"/>
        </w:rPr>
      </w:pPr>
      <w:r>
        <w:rPr>
          <w:sz w:val="22"/>
          <w:szCs w:val="22"/>
        </w:rPr>
        <w:t>sacharín, sodná soľ, dihydrát</w:t>
      </w:r>
    </w:p>
    <w:p w:rsidR="00A41EE0" w:rsidRPr="00AC2244" w:rsidRDefault="0002473E" w:rsidP="00106AAD">
      <w:pPr>
        <w:jc w:val="both"/>
        <w:rPr>
          <w:sz w:val="22"/>
          <w:szCs w:val="22"/>
        </w:rPr>
      </w:pPr>
      <w:r>
        <w:rPr>
          <w:sz w:val="22"/>
          <w:szCs w:val="22"/>
        </w:rPr>
        <w:t>domiféniumbromid</w:t>
      </w:r>
    </w:p>
    <w:p w:rsidR="00A41EE0" w:rsidRPr="00AC2244" w:rsidRDefault="0002473E" w:rsidP="00106AAD">
      <w:pPr>
        <w:jc w:val="both"/>
        <w:rPr>
          <w:sz w:val="22"/>
          <w:szCs w:val="22"/>
        </w:rPr>
      </w:pPr>
      <w:r>
        <w:rPr>
          <w:sz w:val="22"/>
          <w:szCs w:val="22"/>
        </w:rPr>
        <w:t>polysorbát 80</w:t>
      </w:r>
    </w:p>
    <w:p w:rsidR="00A41EE0" w:rsidRPr="00AC2244" w:rsidRDefault="0002473E" w:rsidP="00106AAD">
      <w:pPr>
        <w:jc w:val="both"/>
        <w:rPr>
          <w:sz w:val="22"/>
          <w:szCs w:val="22"/>
        </w:rPr>
      </w:pPr>
      <w:r>
        <w:rPr>
          <w:sz w:val="22"/>
          <w:szCs w:val="22"/>
        </w:rPr>
        <w:t>maltitolový sirup</w:t>
      </w:r>
    </w:p>
    <w:p w:rsidR="00A41EE0" w:rsidRPr="00AC2244" w:rsidRDefault="0002473E" w:rsidP="00106AAD">
      <w:pPr>
        <w:jc w:val="both"/>
        <w:rPr>
          <w:sz w:val="22"/>
          <w:szCs w:val="22"/>
        </w:rPr>
      </w:pPr>
      <w:r>
        <w:rPr>
          <w:sz w:val="22"/>
          <w:szCs w:val="22"/>
        </w:rPr>
        <w:t>xantánová guma</w:t>
      </w:r>
    </w:p>
    <w:p w:rsidR="00A41EE0" w:rsidRPr="00AC2244" w:rsidRDefault="0002473E" w:rsidP="00106AAD">
      <w:pPr>
        <w:jc w:val="both"/>
        <w:rPr>
          <w:sz w:val="22"/>
          <w:szCs w:val="22"/>
        </w:rPr>
      </w:pPr>
      <w:r>
        <w:rPr>
          <w:sz w:val="22"/>
          <w:szCs w:val="22"/>
        </w:rPr>
        <w:t>pomarančová aróma</w:t>
      </w:r>
    </w:p>
    <w:p w:rsidR="00A41EE0" w:rsidRPr="00AC2244" w:rsidRDefault="0002473E" w:rsidP="00106AAD">
      <w:pPr>
        <w:jc w:val="both"/>
        <w:rPr>
          <w:sz w:val="22"/>
          <w:szCs w:val="22"/>
        </w:rPr>
      </w:pPr>
      <w:r>
        <w:rPr>
          <w:sz w:val="22"/>
          <w:szCs w:val="22"/>
        </w:rPr>
        <w:t>glycerol</w:t>
      </w:r>
    </w:p>
    <w:p w:rsidR="00496C8E" w:rsidRPr="00AC2244" w:rsidRDefault="0002473E" w:rsidP="00106AAD">
      <w:pPr>
        <w:jc w:val="both"/>
        <w:rPr>
          <w:sz w:val="22"/>
          <w:szCs w:val="22"/>
        </w:rPr>
      </w:pPr>
      <w:r>
        <w:rPr>
          <w:sz w:val="22"/>
          <w:szCs w:val="22"/>
        </w:rPr>
        <w:t>čistená voda</w:t>
      </w:r>
    </w:p>
    <w:p w:rsidR="00496C8E" w:rsidRPr="00AC2244" w:rsidRDefault="00496C8E" w:rsidP="00FE14F2">
      <w:pPr>
        <w:rPr>
          <w:sz w:val="22"/>
          <w:szCs w:val="22"/>
        </w:rPr>
      </w:pPr>
    </w:p>
    <w:p w:rsidR="00496C8E" w:rsidRPr="00AC2244" w:rsidRDefault="0002473E" w:rsidP="00175AEB">
      <w:pPr>
        <w:keepNext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6.2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Inkompatibility</w:t>
      </w:r>
    </w:p>
    <w:p w:rsidR="00E90EDA" w:rsidRPr="00AC2244" w:rsidRDefault="00E90EDA" w:rsidP="00175AEB">
      <w:pPr>
        <w:pStyle w:val="Zkladntextodsazen"/>
        <w:keepNext/>
        <w:ind w:left="0"/>
        <w:rPr>
          <w:sz w:val="22"/>
          <w:szCs w:val="22"/>
        </w:rPr>
      </w:pPr>
    </w:p>
    <w:p w:rsidR="00496C8E" w:rsidRPr="00AC2244" w:rsidRDefault="0002473E" w:rsidP="00FE14F2">
      <w:pPr>
        <w:pStyle w:val="Zkladntextodsazen"/>
        <w:ind w:left="0"/>
        <w:rPr>
          <w:sz w:val="22"/>
          <w:szCs w:val="22"/>
        </w:rPr>
      </w:pPr>
      <w:r>
        <w:rPr>
          <w:sz w:val="22"/>
          <w:szCs w:val="22"/>
        </w:rPr>
        <w:t>Neaplikovateľné.</w:t>
      </w:r>
    </w:p>
    <w:p w:rsidR="00B17DC8" w:rsidRPr="00AC2244" w:rsidRDefault="00B17DC8" w:rsidP="00FE14F2">
      <w:pPr>
        <w:pStyle w:val="Nadpis7"/>
        <w:ind w:left="0"/>
        <w:rPr>
          <w:sz w:val="22"/>
          <w:szCs w:val="22"/>
        </w:rPr>
      </w:pPr>
    </w:p>
    <w:p w:rsidR="00496C8E" w:rsidRPr="00AC2244" w:rsidRDefault="0002473E" w:rsidP="00175AEB">
      <w:pPr>
        <w:pStyle w:val="Nadpis7"/>
        <w:ind w:left="0"/>
        <w:rPr>
          <w:sz w:val="22"/>
          <w:szCs w:val="22"/>
        </w:rPr>
      </w:pPr>
      <w:r>
        <w:rPr>
          <w:sz w:val="22"/>
          <w:szCs w:val="22"/>
        </w:rPr>
        <w:t>6.3</w:t>
      </w:r>
      <w:r>
        <w:rPr>
          <w:sz w:val="22"/>
          <w:szCs w:val="22"/>
        </w:rPr>
        <w:tab/>
        <w:t>Čas použiteľnosti</w:t>
      </w:r>
    </w:p>
    <w:p w:rsidR="00E90EDA" w:rsidRPr="00AC2244" w:rsidRDefault="00E90EDA" w:rsidP="00175AEB">
      <w:pPr>
        <w:keepNext/>
        <w:rPr>
          <w:sz w:val="22"/>
          <w:szCs w:val="22"/>
        </w:rPr>
      </w:pPr>
    </w:p>
    <w:p w:rsidR="00496C8E" w:rsidRPr="00AC2244" w:rsidRDefault="0002473E" w:rsidP="00FE14F2">
      <w:pPr>
        <w:rPr>
          <w:sz w:val="22"/>
          <w:szCs w:val="22"/>
        </w:rPr>
      </w:pPr>
      <w:r>
        <w:rPr>
          <w:sz w:val="22"/>
          <w:szCs w:val="22"/>
        </w:rPr>
        <w:t>3 roky</w:t>
      </w:r>
    </w:p>
    <w:p w:rsidR="00106AAD" w:rsidRPr="00AC2244" w:rsidRDefault="00106AAD" w:rsidP="00FE14F2">
      <w:pPr>
        <w:rPr>
          <w:sz w:val="22"/>
          <w:szCs w:val="22"/>
        </w:rPr>
      </w:pPr>
    </w:p>
    <w:p w:rsidR="00C44950" w:rsidRPr="00AC2244" w:rsidRDefault="0002473E" w:rsidP="00FE14F2">
      <w:pPr>
        <w:jc w:val="both"/>
        <w:rPr>
          <w:sz w:val="22"/>
          <w:szCs w:val="22"/>
        </w:rPr>
      </w:pPr>
      <w:r>
        <w:rPr>
          <w:sz w:val="22"/>
          <w:szCs w:val="22"/>
        </w:rPr>
        <w:t>Po prvom otvorení 6 mesiacov.</w:t>
      </w:r>
    </w:p>
    <w:p w:rsidR="00496C8E" w:rsidRPr="00AC2244" w:rsidRDefault="00496C8E" w:rsidP="00FE14F2">
      <w:pPr>
        <w:rPr>
          <w:b/>
          <w:bCs/>
          <w:sz w:val="22"/>
          <w:szCs w:val="22"/>
        </w:rPr>
      </w:pPr>
    </w:p>
    <w:p w:rsidR="00496C8E" w:rsidRPr="00AC2244" w:rsidRDefault="0002473E" w:rsidP="00175AEB">
      <w:pPr>
        <w:keepNext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6.4</w:t>
      </w:r>
      <w:r>
        <w:rPr>
          <w:b/>
          <w:bCs/>
          <w:sz w:val="22"/>
          <w:szCs w:val="22"/>
        </w:rPr>
        <w:tab/>
        <w:t xml:space="preserve">Špeciálne upozornenia na uchovávanie </w:t>
      </w:r>
    </w:p>
    <w:p w:rsidR="00106AAD" w:rsidRPr="00AC2244" w:rsidRDefault="00106AAD" w:rsidP="00175AEB">
      <w:pPr>
        <w:keepNext/>
        <w:rPr>
          <w:b/>
          <w:bCs/>
          <w:sz w:val="22"/>
          <w:szCs w:val="22"/>
        </w:rPr>
      </w:pPr>
    </w:p>
    <w:p w:rsidR="00C44950" w:rsidRPr="00AC2244" w:rsidRDefault="0002473E" w:rsidP="00FE14F2">
      <w:pPr>
        <w:jc w:val="both"/>
        <w:rPr>
          <w:sz w:val="22"/>
          <w:szCs w:val="22"/>
        </w:rPr>
      </w:pPr>
      <w:r>
        <w:rPr>
          <w:sz w:val="22"/>
          <w:szCs w:val="22"/>
        </w:rPr>
        <w:t>Tento liek nevyžaduje zvláštne podmienky uchovávania.</w:t>
      </w:r>
    </w:p>
    <w:p w:rsidR="00496C8E" w:rsidRPr="00AC2244" w:rsidRDefault="00496C8E" w:rsidP="00FE14F2">
      <w:pPr>
        <w:rPr>
          <w:b/>
          <w:bCs/>
          <w:sz w:val="22"/>
          <w:szCs w:val="22"/>
        </w:rPr>
      </w:pPr>
    </w:p>
    <w:p w:rsidR="00496C8E" w:rsidRPr="00AC2244" w:rsidRDefault="0002473E" w:rsidP="00175AEB">
      <w:pPr>
        <w:keepNext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6.5</w:t>
      </w:r>
      <w:r>
        <w:rPr>
          <w:b/>
          <w:bCs/>
          <w:sz w:val="22"/>
          <w:szCs w:val="22"/>
        </w:rPr>
        <w:tab/>
        <w:t>Druh obalu a obsah balenia</w:t>
      </w:r>
    </w:p>
    <w:p w:rsidR="00E90EDA" w:rsidRPr="00AC2244" w:rsidRDefault="00E90EDA" w:rsidP="00175AEB">
      <w:pPr>
        <w:keepNext/>
        <w:rPr>
          <w:sz w:val="22"/>
          <w:szCs w:val="22"/>
        </w:rPr>
      </w:pPr>
    </w:p>
    <w:p w:rsidR="00496C8E" w:rsidRPr="00AC2244" w:rsidRDefault="0002473E" w:rsidP="008E5AEB">
      <w:pPr>
        <w:tabs>
          <w:tab w:val="left" w:pos="0"/>
          <w:tab w:val="left" w:pos="426"/>
        </w:tabs>
        <w:ind w:left="284" w:hanging="284"/>
        <w:rPr>
          <w:sz w:val="22"/>
          <w:szCs w:val="22"/>
        </w:rPr>
      </w:pPr>
      <w:r>
        <w:rPr>
          <w:sz w:val="22"/>
          <w:szCs w:val="22"/>
        </w:rPr>
        <w:t>1)</w:t>
      </w:r>
      <w:r>
        <w:rPr>
          <w:sz w:val="22"/>
          <w:szCs w:val="22"/>
        </w:rPr>
        <w:tab/>
        <w:t>hnedá PET fľaštička so skrutkovacím uzáverom opatrená detskou poistkou a PE vložkou, odmerná lyžička na 2,5 a 5 ml, písomná informácia pre používateľa, papierová škatuľka</w:t>
      </w:r>
    </w:p>
    <w:p w:rsidR="00496C8E" w:rsidRPr="00AC2244" w:rsidRDefault="0002473E" w:rsidP="002C2624">
      <w:pPr>
        <w:tabs>
          <w:tab w:val="left" w:pos="-142"/>
        </w:tabs>
        <w:ind w:left="284" w:hanging="284"/>
        <w:rPr>
          <w:sz w:val="22"/>
          <w:szCs w:val="22"/>
        </w:rPr>
      </w:pPr>
      <w:r>
        <w:rPr>
          <w:sz w:val="22"/>
          <w:szCs w:val="22"/>
        </w:rPr>
        <w:t>2)</w:t>
      </w:r>
      <w:r>
        <w:rPr>
          <w:sz w:val="22"/>
          <w:szCs w:val="22"/>
        </w:rPr>
        <w:tab/>
        <w:t>hnedá PET fľaštička so skrutkovacím uzáverom opatrená detskou poistkou a PE vložkou, dávkovacia trubička, písomná informácia pre používateľa, papierová škatuľka.</w:t>
      </w:r>
    </w:p>
    <w:p w:rsidR="0067433A" w:rsidRPr="00AC2244" w:rsidRDefault="0067433A" w:rsidP="00FE14F2">
      <w:pPr>
        <w:rPr>
          <w:sz w:val="22"/>
          <w:szCs w:val="22"/>
        </w:rPr>
      </w:pPr>
    </w:p>
    <w:p w:rsidR="00496C8E" w:rsidRPr="00AC2244" w:rsidRDefault="0002473E" w:rsidP="00FE14F2">
      <w:pPr>
        <w:rPr>
          <w:sz w:val="22"/>
          <w:szCs w:val="22"/>
        </w:rPr>
      </w:pPr>
      <w:r>
        <w:rPr>
          <w:sz w:val="22"/>
          <w:szCs w:val="22"/>
        </w:rPr>
        <w:t>Balenie: 50 ml, 100 ml, 150 ml alebo 200 ml.</w:t>
      </w:r>
    </w:p>
    <w:p w:rsidR="00496C8E" w:rsidRPr="00AC2244" w:rsidRDefault="00496C8E" w:rsidP="00FE14F2">
      <w:pPr>
        <w:rPr>
          <w:sz w:val="22"/>
          <w:szCs w:val="22"/>
        </w:rPr>
      </w:pPr>
    </w:p>
    <w:p w:rsidR="0067433A" w:rsidRPr="00AC2244" w:rsidRDefault="0002473E" w:rsidP="0067433A">
      <w:pPr>
        <w:jc w:val="both"/>
        <w:rPr>
          <w:sz w:val="22"/>
          <w:szCs w:val="22"/>
        </w:rPr>
      </w:pPr>
      <w:r>
        <w:rPr>
          <w:sz w:val="22"/>
          <w:szCs w:val="22"/>
        </w:rPr>
        <w:t>Na trh nemusia byť uvedené všetky veľkosti balenia.</w:t>
      </w:r>
    </w:p>
    <w:p w:rsidR="0067433A" w:rsidRPr="00AC2244" w:rsidRDefault="0067433A" w:rsidP="00FE14F2">
      <w:pPr>
        <w:rPr>
          <w:sz w:val="22"/>
          <w:szCs w:val="22"/>
        </w:rPr>
      </w:pPr>
    </w:p>
    <w:p w:rsidR="00496C8E" w:rsidRPr="00AC2244" w:rsidRDefault="0002473E" w:rsidP="00175AEB">
      <w:pPr>
        <w:keepNext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6.6</w:t>
      </w:r>
      <w:r>
        <w:rPr>
          <w:b/>
          <w:bCs/>
          <w:sz w:val="22"/>
          <w:szCs w:val="22"/>
        </w:rPr>
        <w:tab/>
        <w:t>Špeciálne opatrenia na likvidáciu a iné zaobchádzanie s liekom</w:t>
      </w:r>
    </w:p>
    <w:p w:rsidR="00E90EDA" w:rsidRPr="00AC2244" w:rsidRDefault="00E90EDA" w:rsidP="00175AEB">
      <w:pPr>
        <w:pStyle w:val="Zkladntext"/>
        <w:keepNext/>
        <w:rPr>
          <w:rFonts w:ascii="Times New Roman" w:hAnsi="Times New Roman" w:cs="Times New Roman"/>
          <w:sz w:val="22"/>
          <w:szCs w:val="22"/>
        </w:rPr>
      </w:pPr>
    </w:p>
    <w:p w:rsidR="00496C8E" w:rsidRPr="00AC2244" w:rsidRDefault="0002473E" w:rsidP="00FE14F2">
      <w:pPr>
        <w:pStyle w:val="Zkladntex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Na perorálne užívanie. Pred použitím zatrepať.</w:t>
      </w:r>
    </w:p>
    <w:p w:rsidR="00106AAD" w:rsidRPr="00AC2244" w:rsidRDefault="00106AAD" w:rsidP="00FE14F2">
      <w:pPr>
        <w:pStyle w:val="Zkladntext"/>
        <w:rPr>
          <w:rFonts w:ascii="Times New Roman" w:hAnsi="Times New Roman" w:cs="Times New Roman"/>
          <w:sz w:val="22"/>
          <w:szCs w:val="22"/>
        </w:rPr>
      </w:pPr>
    </w:p>
    <w:p w:rsidR="00496C8E" w:rsidRPr="00AC2244" w:rsidRDefault="0002473E" w:rsidP="00106AAD">
      <w:pPr>
        <w:keepNext/>
        <w:rPr>
          <w:b/>
          <w:sz w:val="22"/>
          <w:szCs w:val="22"/>
        </w:rPr>
      </w:pPr>
      <w:r>
        <w:rPr>
          <w:b/>
          <w:sz w:val="22"/>
          <w:szCs w:val="22"/>
        </w:rPr>
        <w:t>Použitie dávkovacej trubičky:</w:t>
      </w:r>
    </w:p>
    <w:p w:rsidR="00496C8E" w:rsidRPr="00AC2244" w:rsidRDefault="0002473E" w:rsidP="00106AAD">
      <w:pPr>
        <w:numPr>
          <w:ilvl w:val="0"/>
          <w:numId w:val="14"/>
        </w:numPr>
        <w:tabs>
          <w:tab w:val="clear" w:pos="720"/>
          <w:tab w:val="num" w:pos="742"/>
        </w:tabs>
        <w:ind w:left="709" w:hanging="709"/>
        <w:rPr>
          <w:sz w:val="22"/>
          <w:szCs w:val="22"/>
        </w:rPr>
      </w:pPr>
      <w:r>
        <w:rPr>
          <w:sz w:val="22"/>
          <w:szCs w:val="22"/>
        </w:rPr>
        <w:t>Zatlačte trubičku pevne do hrdla fľaštičky.</w:t>
      </w:r>
    </w:p>
    <w:p w:rsidR="00496C8E" w:rsidRPr="00AC2244" w:rsidRDefault="0002473E" w:rsidP="00106AAD">
      <w:pPr>
        <w:numPr>
          <w:ilvl w:val="0"/>
          <w:numId w:val="14"/>
        </w:numPr>
        <w:tabs>
          <w:tab w:val="clear" w:pos="720"/>
          <w:tab w:val="num" w:pos="742"/>
        </w:tabs>
        <w:ind w:left="709" w:hanging="709"/>
        <w:rPr>
          <w:sz w:val="22"/>
          <w:szCs w:val="22"/>
        </w:rPr>
      </w:pPr>
      <w:r>
        <w:rPr>
          <w:sz w:val="22"/>
          <w:szCs w:val="22"/>
        </w:rPr>
        <w:t>Obsah fľaštičky dobre zatrepte.</w:t>
      </w:r>
    </w:p>
    <w:p w:rsidR="00496C8E" w:rsidRPr="00AC2244" w:rsidRDefault="0002473E" w:rsidP="00106AAD">
      <w:pPr>
        <w:numPr>
          <w:ilvl w:val="0"/>
          <w:numId w:val="14"/>
        </w:numPr>
        <w:tabs>
          <w:tab w:val="clear" w:pos="720"/>
          <w:tab w:val="num" w:pos="742"/>
        </w:tabs>
        <w:ind w:left="709" w:hanging="709"/>
        <w:rPr>
          <w:sz w:val="22"/>
          <w:szCs w:val="22"/>
        </w:rPr>
      </w:pPr>
      <w:r>
        <w:rPr>
          <w:sz w:val="22"/>
          <w:szCs w:val="22"/>
        </w:rPr>
        <w:t>K naplneniu dávkovacej trubičky otočte fľaštičku hore dnom a vyťahovaním piestu natiahnite do trubičky požadované množstvo suspenzie podľa značenia na trubičke.</w:t>
      </w:r>
    </w:p>
    <w:p w:rsidR="00496C8E" w:rsidRPr="00AC2244" w:rsidRDefault="0002473E" w:rsidP="00106AAD">
      <w:pPr>
        <w:numPr>
          <w:ilvl w:val="0"/>
          <w:numId w:val="14"/>
        </w:numPr>
        <w:tabs>
          <w:tab w:val="clear" w:pos="720"/>
          <w:tab w:val="num" w:pos="742"/>
        </w:tabs>
        <w:ind w:left="709" w:hanging="709"/>
        <w:rPr>
          <w:sz w:val="22"/>
          <w:szCs w:val="22"/>
        </w:rPr>
      </w:pPr>
      <w:r>
        <w:rPr>
          <w:sz w:val="22"/>
          <w:szCs w:val="22"/>
        </w:rPr>
        <w:t>Otočte fľaštičku opäť hrdlom nahor a vytiahnite trubičku z hrdla fľaštičky.</w:t>
      </w:r>
    </w:p>
    <w:p w:rsidR="00496C8E" w:rsidRPr="00AC2244" w:rsidRDefault="0002473E" w:rsidP="00106AAD">
      <w:pPr>
        <w:numPr>
          <w:ilvl w:val="0"/>
          <w:numId w:val="14"/>
        </w:numPr>
        <w:tabs>
          <w:tab w:val="clear" w:pos="720"/>
          <w:tab w:val="num" w:pos="742"/>
        </w:tabs>
        <w:ind w:left="709" w:hanging="709"/>
        <w:rPr>
          <w:sz w:val="22"/>
          <w:szCs w:val="22"/>
        </w:rPr>
      </w:pPr>
      <w:r>
        <w:rPr>
          <w:sz w:val="22"/>
          <w:szCs w:val="22"/>
        </w:rPr>
        <w:t>Koniec dávkovacej trubičky vložte do úst dieťaťa a jemným tlakom na piest vložte suspenziu do úst dieťaťa.</w:t>
      </w:r>
    </w:p>
    <w:p w:rsidR="00496C8E" w:rsidRPr="00AC2244" w:rsidRDefault="00496C8E" w:rsidP="00FE14F2">
      <w:pPr>
        <w:rPr>
          <w:sz w:val="22"/>
          <w:szCs w:val="22"/>
        </w:rPr>
      </w:pPr>
    </w:p>
    <w:p w:rsidR="00E90EDA" w:rsidRPr="00AC2244" w:rsidRDefault="00E90EDA" w:rsidP="00FE14F2">
      <w:pPr>
        <w:rPr>
          <w:sz w:val="22"/>
          <w:szCs w:val="22"/>
        </w:rPr>
      </w:pPr>
    </w:p>
    <w:p w:rsidR="00E90EDA" w:rsidRPr="00AC2244" w:rsidRDefault="0002473E" w:rsidP="00175AEB">
      <w:pPr>
        <w:keepNext/>
        <w:rPr>
          <w:b/>
          <w:bCs/>
          <w:cap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7.</w:t>
      </w:r>
      <w:r>
        <w:rPr>
          <w:b/>
          <w:bCs/>
          <w:sz w:val="22"/>
          <w:szCs w:val="22"/>
        </w:rPr>
        <w:tab/>
      </w:r>
      <w:r>
        <w:rPr>
          <w:b/>
          <w:bCs/>
          <w:caps/>
          <w:sz w:val="22"/>
          <w:szCs w:val="22"/>
        </w:rPr>
        <w:t>Držiteľ rozhodnutia o registrácii</w:t>
      </w:r>
    </w:p>
    <w:p w:rsidR="00E46C4D" w:rsidRPr="00AC2244" w:rsidRDefault="00E46C4D" w:rsidP="00175AEB">
      <w:pPr>
        <w:keepNext/>
        <w:rPr>
          <w:b/>
          <w:bCs/>
          <w:sz w:val="22"/>
          <w:szCs w:val="22"/>
        </w:rPr>
      </w:pPr>
    </w:p>
    <w:p w:rsidR="00621544" w:rsidRPr="00AC2244" w:rsidRDefault="0002473E" w:rsidP="00FE14F2">
      <w:pPr>
        <w:rPr>
          <w:sz w:val="22"/>
          <w:szCs w:val="22"/>
        </w:rPr>
      </w:pPr>
      <w:r>
        <w:rPr>
          <w:sz w:val="22"/>
          <w:szCs w:val="22"/>
        </w:rPr>
        <w:t>Reckitt Benckiser Healthcare International Ltd.</w:t>
      </w:r>
    </w:p>
    <w:p w:rsidR="00621544" w:rsidRPr="00AC2244" w:rsidRDefault="0002473E" w:rsidP="00FE14F2">
      <w:pPr>
        <w:rPr>
          <w:sz w:val="22"/>
          <w:szCs w:val="22"/>
        </w:rPr>
      </w:pPr>
      <w:r>
        <w:rPr>
          <w:sz w:val="22"/>
          <w:szCs w:val="22"/>
        </w:rPr>
        <w:t xml:space="preserve">103-105 Bath Road </w:t>
      </w:r>
    </w:p>
    <w:p w:rsidR="00621544" w:rsidRPr="00AC2244" w:rsidRDefault="0002473E" w:rsidP="00FE14F2">
      <w:pPr>
        <w:rPr>
          <w:sz w:val="22"/>
          <w:szCs w:val="22"/>
        </w:rPr>
      </w:pPr>
      <w:r>
        <w:rPr>
          <w:sz w:val="22"/>
          <w:szCs w:val="22"/>
        </w:rPr>
        <w:t>SL1 3UH Slough</w:t>
      </w:r>
    </w:p>
    <w:p w:rsidR="00496C8E" w:rsidRPr="00AC2244" w:rsidRDefault="0002473E" w:rsidP="00FE14F2">
      <w:pPr>
        <w:rPr>
          <w:sz w:val="22"/>
          <w:szCs w:val="22"/>
        </w:rPr>
      </w:pPr>
      <w:r>
        <w:rPr>
          <w:sz w:val="22"/>
          <w:szCs w:val="22"/>
        </w:rPr>
        <w:t>Veľká Británia</w:t>
      </w:r>
    </w:p>
    <w:p w:rsidR="00496C8E" w:rsidRPr="00AC2244" w:rsidRDefault="00496C8E" w:rsidP="00FE14F2">
      <w:pPr>
        <w:rPr>
          <w:sz w:val="22"/>
          <w:szCs w:val="22"/>
        </w:rPr>
      </w:pPr>
    </w:p>
    <w:p w:rsidR="00E90EDA" w:rsidRPr="00AC2244" w:rsidRDefault="00E90EDA" w:rsidP="00FE14F2">
      <w:pPr>
        <w:rPr>
          <w:sz w:val="22"/>
          <w:szCs w:val="22"/>
        </w:rPr>
      </w:pPr>
    </w:p>
    <w:p w:rsidR="00E90EDA" w:rsidRPr="00AC2244" w:rsidRDefault="0002473E" w:rsidP="00175AEB">
      <w:pPr>
        <w:keepNext/>
        <w:rPr>
          <w:b/>
          <w:bCs/>
          <w:cap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>
        <w:rPr>
          <w:b/>
          <w:bCs/>
          <w:caps/>
          <w:sz w:val="22"/>
          <w:szCs w:val="22"/>
        </w:rPr>
        <w:t>.</w:t>
      </w:r>
      <w:r>
        <w:rPr>
          <w:b/>
          <w:bCs/>
          <w:caps/>
          <w:sz w:val="22"/>
          <w:szCs w:val="22"/>
        </w:rPr>
        <w:tab/>
        <w:t>Registračné číslo</w:t>
      </w:r>
    </w:p>
    <w:p w:rsidR="00E90EDA" w:rsidRPr="00AC2244" w:rsidRDefault="00E90EDA" w:rsidP="00175AEB">
      <w:pPr>
        <w:keepNext/>
        <w:rPr>
          <w:b/>
          <w:bCs/>
          <w:sz w:val="22"/>
          <w:szCs w:val="22"/>
        </w:rPr>
      </w:pPr>
    </w:p>
    <w:p w:rsidR="00A25B99" w:rsidRPr="00AC2244" w:rsidRDefault="0002473E" w:rsidP="00FE14F2">
      <w:pPr>
        <w:rPr>
          <w:sz w:val="22"/>
          <w:szCs w:val="22"/>
        </w:rPr>
      </w:pPr>
      <w:r>
        <w:rPr>
          <w:sz w:val="22"/>
          <w:szCs w:val="22"/>
        </w:rPr>
        <w:t>29/0179/00-S</w:t>
      </w:r>
    </w:p>
    <w:p w:rsidR="00496C8E" w:rsidRPr="00AC2244" w:rsidRDefault="00496C8E" w:rsidP="00FE14F2">
      <w:pPr>
        <w:rPr>
          <w:b/>
          <w:bCs/>
          <w:sz w:val="22"/>
          <w:szCs w:val="22"/>
        </w:rPr>
      </w:pPr>
    </w:p>
    <w:p w:rsidR="002E76E5" w:rsidRPr="00AC2244" w:rsidRDefault="002E76E5" w:rsidP="00FE14F2">
      <w:pPr>
        <w:rPr>
          <w:b/>
          <w:bCs/>
          <w:sz w:val="22"/>
          <w:szCs w:val="22"/>
        </w:rPr>
      </w:pPr>
    </w:p>
    <w:p w:rsidR="00E90EDA" w:rsidRPr="00AC2244" w:rsidRDefault="0002473E" w:rsidP="00175AEB">
      <w:pPr>
        <w:keepNext/>
        <w:rPr>
          <w:b/>
          <w:bCs/>
          <w:caps/>
          <w:sz w:val="22"/>
          <w:szCs w:val="22"/>
        </w:rPr>
      </w:pPr>
      <w:r>
        <w:rPr>
          <w:b/>
          <w:bCs/>
          <w:sz w:val="22"/>
          <w:szCs w:val="22"/>
        </w:rPr>
        <w:t>9.</w:t>
      </w:r>
      <w:r>
        <w:rPr>
          <w:b/>
          <w:bCs/>
          <w:sz w:val="22"/>
          <w:szCs w:val="22"/>
        </w:rPr>
        <w:tab/>
      </w:r>
      <w:r>
        <w:rPr>
          <w:b/>
          <w:bCs/>
          <w:caps/>
          <w:sz w:val="22"/>
          <w:szCs w:val="22"/>
        </w:rPr>
        <w:t>Dátum prvej registrácie/PredĺženiA registrácie</w:t>
      </w:r>
    </w:p>
    <w:p w:rsidR="00E90EDA" w:rsidRPr="00AC2244" w:rsidRDefault="00E90EDA" w:rsidP="00175AEB">
      <w:pPr>
        <w:keepNext/>
        <w:rPr>
          <w:b/>
          <w:bCs/>
          <w:caps/>
          <w:sz w:val="22"/>
          <w:szCs w:val="22"/>
        </w:rPr>
      </w:pPr>
    </w:p>
    <w:p w:rsidR="007A4525" w:rsidRPr="00AC2244" w:rsidRDefault="0002473E" w:rsidP="00FE14F2">
      <w:pPr>
        <w:rPr>
          <w:sz w:val="22"/>
          <w:szCs w:val="22"/>
        </w:rPr>
      </w:pPr>
      <w:r>
        <w:rPr>
          <w:sz w:val="22"/>
          <w:szCs w:val="22"/>
        </w:rPr>
        <w:t xml:space="preserve">Dátum prvej registrácie: 4. mája  2000 </w:t>
      </w:r>
    </w:p>
    <w:p w:rsidR="00A25B99" w:rsidRPr="00AC2244" w:rsidRDefault="0002473E" w:rsidP="00FE14F2">
      <w:pPr>
        <w:rPr>
          <w:sz w:val="22"/>
          <w:szCs w:val="22"/>
        </w:rPr>
      </w:pPr>
      <w:r>
        <w:rPr>
          <w:sz w:val="22"/>
          <w:szCs w:val="22"/>
        </w:rPr>
        <w:t>Dátum posledného predĺženia registrácie: 4. februára 2010</w:t>
      </w:r>
    </w:p>
    <w:p w:rsidR="00A25B99" w:rsidRPr="00AC2244" w:rsidRDefault="00A25B99" w:rsidP="00FE14F2">
      <w:pPr>
        <w:rPr>
          <w:b/>
          <w:bCs/>
          <w:sz w:val="22"/>
          <w:szCs w:val="22"/>
        </w:rPr>
      </w:pPr>
    </w:p>
    <w:p w:rsidR="002E76E5" w:rsidRPr="00AC2244" w:rsidRDefault="002E76E5" w:rsidP="00FE14F2">
      <w:pPr>
        <w:rPr>
          <w:b/>
          <w:bCs/>
          <w:sz w:val="22"/>
          <w:szCs w:val="22"/>
        </w:rPr>
      </w:pPr>
    </w:p>
    <w:p w:rsidR="002E76E5" w:rsidRPr="00AC2244" w:rsidRDefault="0002473E" w:rsidP="00175AEB">
      <w:pPr>
        <w:keepNext/>
        <w:numPr>
          <w:ilvl w:val="0"/>
          <w:numId w:val="29"/>
        </w:numPr>
        <w:tabs>
          <w:tab w:val="clear" w:pos="1308"/>
          <w:tab w:val="num" w:pos="0"/>
        </w:tabs>
        <w:ind w:left="0" w:firstLine="0"/>
        <w:rPr>
          <w:b/>
          <w:bCs/>
          <w:caps/>
          <w:sz w:val="22"/>
          <w:szCs w:val="22"/>
        </w:rPr>
      </w:pPr>
      <w:r>
        <w:rPr>
          <w:b/>
          <w:bCs/>
          <w:caps/>
          <w:sz w:val="22"/>
          <w:szCs w:val="22"/>
        </w:rPr>
        <w:t>Dátum revízie textu</w:t>
      </w:r>
    </w:p>
    <w:p w:rsidR="00175AEB" w:rsidRPr="00AC2244" w:rsidRDefault="00175AEB">
      <w:pPr>
        <w:keepNext/>
        <w:rPr>
          <w:bCs/>
          <w:sz w:val="22"/>
          <w:szCs w:val="22"/>
        </w:rPr>
      </w:pPr>
    </w:p>
    <w:p w:rsidR="00237AC0" w:rsidRPr="00AC2244" w:rsidRDefault="0002473E" w:rsidP="007A4525">
      <w:pPr>
        <w:keepNext/>
        <w:rPr>
          <w:bCs/>
          <w:sz w:val="22"/>
          <w:szCs w:val="22"/>
        </w:rPr>
      </w:pPr>
      <w:r>
        <w:rPr>
          <w:bCs/>
          <w:sz w:val="22"/>
          <w:szCs w:val="22"/>
        </w:rPr>
        <w:t>0</w:t>
      </w:r>
      <w:r w:rsidR="004B55B2">
        <w:rPr>
          <w:bCs/>
          <w:sz w:val="22"/>
          <w:szCs w:val="22"/>
        </w:rPr>
        <w:t>6</w:t>
      </w:r>
      <w:r>
        <w:rPr>
          <w:bCs/>
          <w:sz w:val="22"/>
          <w:szCs w:val="22"/>
        </w:rPr>
        <w:t>/2018</w:t>
      </w:r>
    </w:p>
    <w:sectPr w:rsidR="00237AC0" w:rsidRPr="00AC2244" w:rsidSect="00CB65C6">
      <w:headerReference w:type="default" r:id="rId9"/>
      <w:footerReference w:type="default" r:id="rId10"/>
      <w:footerReference w:type="first" r:id="rId11"/>
      <w:pgSz w:w="11906" w:h="16838"/>
      <w:pgMar w:top="1418" w:right="1418" w:bottom="1276" w:left="1418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6EAA784" w15:done="0"/>
  <w15:commentEx w15:paraId="50998EC2" w15:done="0"/>
  <w15:commentEx w15:paraId="2E06774D" w15:done="0"/>
  <w15:commentEx w15:paraId="491BA21C" w15:done="0"/>
  <w15:commentEx w15:paraId="4426DD8B" w15:done="0"/>
  <w15:commentEx w15:paraId="1BC8F2D2" w15:done="0"/>
  <w15:commentEx w15:paraId="727C7D83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47F5" w:rsidRDefault="005E47F5">
      <w:r>
        <w:separator/>
      </w:r>
    </w:p>
  </w:endnote>
  <w:endnote w:type="continuationSeparator" w:id="0">
    <w:p w:rsidR="005E47F5" w:rsidRDefault="005E47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3316" w:rsidRDefault="00003316">
    <w:pPr>
      <w:pStyle w:val="Zpat"/>
      <w:rPr>
        <w:rFonts w:ascii="Arial" w:hAnsi="Arial" w:cs="Arial"/>
        <w:sz w:val="16"/>
      </w:rPr>
    </w:pPr>
    <w:r>
      <w:tab/>
    </w:r>
    <w:r>
      <w:rPr>
        <w:rFonts w:ascii="Arial" w:hAnsi="Arial" w:cs="Arial"/>
        <w:sz w:val="16"/>
      </w:rPr>
      <w:t xml:space="preserve">- </w:t>
    </w:r>
    <w:r w:rsidR="00D94187"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PAGE </w:instrText>
    </w:r>
    <w:r w:rsidR="00D94187">
      <w:rPr>
        <w:rFonts w:ascii="Arial" w:hAnsi="Arial" w:cs="Arial"/>
        <w:sz w:val="16"/>
      </w:rPr>
      <w:fldChar w:fldCharType="separate"/>
    </w:r>
    <w:r w:rsidR="008F06BB">
      <w:rPr>
        <w:rFonts w:ascii="Arial" w:hAnsi="Arial" w:cs="Arial"/>
        <w:noProof/>
        <w:sz w:val="16"/>
      </w:rPr>
      <w:t>11</w:t>
    </w:r>
    <w:r w:rsidR="00D94187">
      <w:rPr>
        <w:rFonts w:ascii="Arial" w:hAnsi="Arial" w:cs="Arial"/>
        <w:sz w:val="16"/>
      </w:rPr>
      <w:fldChar w:fldCharType="end"/>
    </w:r>
    <w:r>
      <w:rPr>
        <w:rFonts w:ascii="Arial" w:hAnsi="Arial" w:cs="Arial"/>
        <w:sz w:val="16"/>
      </w:rPr>
      <w:t xml:space="preserve"> -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3316" w:rsidRDefault="00003316">
    <w:pPr>
      <w:pStyle w:val="Zpat"/>
    </w:pPr>
    <w:r>
      <w:tab/>
    </w:r>
    <w:r>
      <w:rPr>
        <w:rFonts w:ascii="Arial" w:hAnsi="Arial" w:cs="Arial"/>
        <w:sz w:val="16"/>
      </w:rPr>
      <w:t xml:space="preserve">- </w:t>
    </w:r>
    <w:r w:rsidR="00D94187"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PAGE </w:instrText>
    </w:r>
    <w:r w:rsidR="00D94187">
      <w:rPr>
        <w:rFonts w:ascii="Arial" w:hAnsi="Arial" w:cs="Arial"/>
        <w:sz w:val="16"/>
      </w:rPr>
      <w:fldChar w:fldCharType="separate"/>
    </w:r>
    <w:r w:rsidR="00CB65C6">
      <w:rPr>
        <w:rFonts w:ascii="Arial" w:hAnsi="Arial" w:cs="Arial"/>
        <w:noProof/>
        <w:sz w:val="16"/>
      </w:rPr>
      <w:t>1</w:t>
    </w:r>
    <w:r w:rsidR="00D94187">
      <w:rPr>
        <w:rFonts w:ascii="Arial" w:hAnsi="Arial" w:cs="Arial"/>
        <w:sz w:val="16"/>
      </w:rPr>
      <w:fldChar w:fldCharType="end"/>
    </w:r>
    <w:r>
      <w:rPr>
        <w:rFonts w:ascii="Arial" w:hAnsi="Arial" w:cs="Arial"/>
        <w:sz w:val="16"/>
      </w:rP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47F5" w:rsidRDefault="005E47F5">
      <w:r>
        <w:separator/>
      </w:r>
    </w:p>
  </w:footnote>
  <w:footnote w:type="continuationSeparator" w:id="0">
    <w:p w:rsidR="005E47F5" w:rsidRDefault="005E47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291E" w:rsidRDefault="00CB65C6">
    <w:pPr>
      <w:pStyle w:val="Zhlav"/>
      <w:rPr>
        <w:sz w:val="18"/>
        <w:szCs w:val="18"/>
      </w:rPr>
    </w:pPr>
    <w:r>
      <w:rPr>
        <w:sz w:val="18"/>
        <w:szCs w:val="18"/>
      </w:rPr>
      <w:t>Schválený text k</w:t>
    </w:r>
    <w:r w:rsidR="00CB7B05">
      <w:rPr>
        <w:sz w:val="18"/>
        <w:szCs w:val="18"/>
      </w:rPr>
      <w:t xml:space="preserve"> rozhodnutiu o </w:t>
    </w:r>
    <w:r>
      <w:rPr>
        <w:sz w:val="18"/>
        <w:szCs w:val="18"/>
      </w:rPr>
      <w:t xml:space="preserve">zmene, ev. č.: </w:t>
    </w:r>
    <w:r w:rsidR="00CB7B05">
      <w:rPr>
        <w:sz w:val="18"/>
        <w:szCs w:val="18"/>
      </w:rPr>
      <w:t>2017/06410-ZME</w:t>
    </w:r>
  </w:p>
  <w:p w:rsidR="00CB65C6" w:rsidRDefault="0032291E">
    <w:pPr>
      <w:pStyle w:val="Zhlav"/>
    </w:pPr>
    <w:r>
      <w:rPr>
        <w:sz w:val="18"/>
        <w:szCs w:val="18"/>
      </w:rPr>
      <w:t>Príloha č. 1 k notifikácii o zmene, ev. č.: 2018/00947-Z1B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B5D61"/>
    <w:multiLevelType w:val="hybridMultilevel"/>
    <w:tmpl w:val="1E78289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096E1E"/>
    <w:multiLevelType w:val="hybridMultilevel"/>
    <w:tmpl w:val="740EB3D4"/>
    <w:lvl w:ilvl="0" w:tplc="16681730">
      <w:start w:val="1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A3061D"/>
    <w:multiLevelType w:val="hybridMultilevel"/>
    <w:tmpl w:val="85489F3C"/>
    <w:lvl w:ilvl="0" w:tplc="FED60BF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bullet"/>
      <w:lvlText w:val="-"/>
      <w:legacy w:legacy="1" w:legacySpace="0" w:legacyIndent="360"/>
      <w:lvlJc w:val="left"/>
      <w:pPr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CB16EC"/>
    <w:multiLevelType w:val="hybridMultilevel"/>
    <w:tmpl w:val="0A6884B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7B7292A"/>
    <w:multiLevelType w:val="hybridMultilevel"/>
    <w:tmpl w:val="C0843164"/>
    <w:lvl w:ilvl="0" w:tplc="FFFFFFFF">
      <w:start w:val="1"/>
      <w:numFmt w:val="bullet"/>
      <w:lvlText w:val="-"/>
      <w:legacy w:legacy="1" w:legacySpace="0" w:legacyIndent="360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09010E7A"/>
    <w:multiLevelType w:val="hybridMultilevel"/>
    <w:tmpl w:val="000050AE"/>
    <w:lvl w:ilvl="0" w:tplc="B26EB8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CD47562">
      <w:numFmt w:val="none"/>
      <w:lvlText w:val=""/>
      <w:lvlJc w:val="left"/>
      <w:pPr>
        <w:tabs>
          <w:tab w:val="num" w:pos="360"/>
        </w:tabs>
      </w:pPr>
    </w:lvl>
    <w:lvl w:ilvl="2" w:tplc="9D3A50FA">
      <w:numFmt w:val="none"/>
      <w:lvlText w:val=""/>
      <w:lvlJc w:val="left"/>
      <w:pPr>
        <w:tabs>
          <w:tab w:val="num" w:pos="360"/>
        </w:tabs>
      </w:pPr>
    </w:lvl>
    <w:lvl w:ilvl="3" w:tplc="E0802E6E">
      <w:numFmt w:val="none"/>
      <w:lvlText w:val=""/>
      <w:lvlJc w:val="left"/>
      <w:pPr>
        <w:tabs>
          <w:tab w:val="num" w:pos="360"/>
        </w:tabs>
      </w:pPr>
    </w:lvl>
    <w:lvl w:ilvl="4" w:tplc="9236C78A">
      <w:numFmt w:val="none"/>
      <w:lvlText w:val=""/>
      <w:lvlJc w:val="left"/>
      <w:pPr>
        <w:tabs>
          <w:tab w:val="num" w:pos="360"/>
        </w:tabs>
      </w:pPr>
    </w:lvl>
    <w:lvl w:ilvl="5" w:tplc="9700494E">
      <w:numFmt w:val="none"/>
      <w:lvlText w:val=""/>
      <w:lvlJc w:val="left"/>
      <w:pPr>
        <w:tabs>
          <w:tab w:val="num" w:pos="360"/>
        </w:tabs>
      </w:pPr>
    </w:lvl>
    <w:lvl w:ilvl="6" w:tplc="8C52CA30">
      <w:numFmt w:val="none"/>
      <w:lvlText w:val=""/>
      <w:lvlJc w:val="left"/>
      <w:pPr>
        <w:tabs>
          <w:tab w:val="num" w:pos="360"/>
        </w:tabs>
      </w:pPr>
    </w:lvl>
    <w:lvl w:ilvl="7" w:tplc="0FEAE484">
      <w:numFmt w:val="none"/>
      <w:lvlText w:val=""/>
      <w:lvlJc w:val="left"/>
      <w:pPr>
        <w:tabs>
          <w:tab w:val="num" w:pos="360"/>
        </w:tabs>
      </w:pPr>
    </w:lvl>
    <w:lvl w:ilvl="8" w:tplc="29BED276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09EC430D"/>
    <w:multiLevelType w:val="hybridMultilevel"/>
    <w:tmpl w:val="F2AAFD4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80090E"/>
    <w:multiLevelType w:val="hybridMultilevel"/>
    <w:tmpl w:val="15248924"/>
    <w:lvl w:ilvl="0" w:tplc="04050005">
      <w:start w:val="1"/>
      <w:numFmt w:val="bullet"/>
      <w:lvlText w:val=""/>
      <w:lvlJc w:val="left"/>
      <w:pPr>
        <w:tabs>
          <w:tab w:val="num" w:pos="1080"/>
        </w:tabs>
        <w:ind w:left="1080" w:hanging="720"/>
      </w:pPr>
      <w:rPr>
        <w:rFonts w:ascii="Wingdings" w:hAnsi="Wingdings" w:cs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0703C4B"/>
    <w:multiLevelType w:val="hybridMultilevel"/>
    <w:tmpl w:val="81BA59EC"/>
    <w:lvl w:ilvl="0" w:tplc="FED60BF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tabs>
          <w:tab w:val="num" w:pos="1466"/>
        </w:tabs>
        <w:ind w:left="1466" w:hanging="386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0C87DAA"/>
    <w:multiLevelType w:val="hybridMultilevel"/>
    <w:tmpl w:val="6C3A7222"/>
    <w:lvl w:ilvl="0" w:tplc="980466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1662116"/>
    <w:multiLevelType w:val="multilevel"/>
    <w:tmpl w:val="235037F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125F0668"/>
    <w:multiLevelType w:val="hybridMultilevel"/>
    <w:tmpl w:val="F58ED658"/>
    <w:lvl w:ilvl="0" w:tplc="FED60BF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15E44860">
      <w:start w:val="4"/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>
    <w:nsid w:val="182910A5"/>
    <w:multiLevelType w:val="multilevel"/>
    <w:tmpl w:val="9100336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>
    <w:nsid w:val="1B0664B1"/>
    <w:multiLevelType w:val="hybridMultilevel"/>
    <w:tmpl w:val="49B8A2F0"/>
    <w:lvl w:ilvl="0" w:tplc="0405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12674DE"/>
    <w:multiLevelType w:val="hybridMultilevel"/>
    <w:tmpl w:val="6DD607B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3A77732"/>
    <w:multiLevelType w:val="hybridMultilevel"/>
    <w:tmpl w:val="0598F8A2"/>
    <w:lvl w:ilvl="0" w:tplc="AE52F1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E50D04"/>
    <w:multiLevelType w:val="hybridMultilevel"/>
    <w:tmpl w:val="90E04540"/>
    <w:lvl w:ilvl="0" w:tplc="0405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8EC2B53"/>
    <w:multiLevelType w:val="hybridMultilevel"/>
    <w:tmpl w:val="94EA5D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DD03B13"/>
    <w:multiLevelType w:val="hybridMultilevel"/>
    <w:tmpl w:val="BC2EBE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2FF11D4"/>
    <w:multiLevelType w:val="hybridMultilevel"/>
    <w:tmpl w:val="FE06E6B2"/>
    <w:lvl w:ilvl="0" w:tplc="25A0E2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8863500"/>
    <w:multiLevelType w:val="multilevel"/>
    <w:tmpl w:val="F464589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389740D2"/>
    <w:multiLevelType w:val="multilevel"/>
    <w:tmpl w:val="150CDDD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391B7CA2"/>
    <w:multiLevelType w:val="hybridMultilevel"/>
    <w:tmpl w:val="BBFE8568"/>
    <w:lvl w:ilvl="0" w:tplc="0405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D287672"/>
    <w:multiLevelType w:val="hybridMultilevel"/>
    <w:tmpl w:val="6A76C352"/>
    <w:lvl w:ilvl="0" w:tplc="63FE89C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3D4F2F34"/>
    <w:multiLevelType w:val="hybridMultilevel"/>
    <w:tmpl w:val="5574D442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414128D7"/>
    <w:multiLevelType w:val="hybridMultilevel"/>
    <w:tmpl w:val="C7966B9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41A635AB"/>
    <w:multiLevelType w:val="hybridMultilevel"/>
    <w:tmpl w:val="36CEF34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46D4AF5"/>
    <w:multiLevelType w:val="hybridMultilevel"/>
    <w:tmpl w:val="8112F0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ACE7AF7"/>
    <w:multiLevelType w:val="hybridMultilevel"/>
    <w:tmpl w:val="577EF910"/>
    <w:lvl w:ilvl="0" w:tplc="17E041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D754DCF"/>
    <w:multiLevelType w:val="hybridMultilevel"/>
    <w:tmpl w:val="A106E05C"/>
    <w:lvl w:ilvl="0" w:tplc="AE52F1E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E4B65AD"/>
    <w:multiLevelType w:val="hybridMultilevel"/>
    <w:tmpl w:val="CE2ABED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213771F"/>
    <w:multiLevelType w:val="multilevel"/>
    <w:tmpl w:val="6F78EA9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56D8657C"/>
    <w:multiLevelType w:val="hybridMultilevel"/>
    <w:tmpl w:val="0AB65D18"/>
    <w:lvl w:ilvl="0" w:tplc="FED60BF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84B7BE5"/>
    <w:multiLevelType w:val="multilevel"/>
    <w:tmpl w:val="CABE598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>
    <w:nsid w:val="58BC6C36"/>
    <w:multiLevelType w:val="hybridMultilevel"/>
    <w:tmpl w:val="211A3B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C00401E"/>
    <w:multiLevelType w:val="hybridMultilevel"/>
    <w:tmpl w:val="E7A0639E"/>
    <w:lvl w:ilvl="0" w:tplc="15E4486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0846D1E"/>
    <w:multiLevelType w:val="hybridMultilevel"/>
    <w:tmpl w:val="D6BECC8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3212512"/>
    <w:multiLevelType w:val="hybridMultilevel"/>
    <w:tmpl w:val="09DE0D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5B17B8B"/>
    <w:multiLevelType w:val="hybridMultilevel"/>
    <w:tmpl w:val="D34CB2E2"/>
    <w:lvl w:ilvl="0" w:tplc="FFFFFFFF">
      <w:start w:val="1"/>
      <w:numFmt w:val="bullet"/>
      <w:lvlText w:val="-"/>
      <w:legacy w:legacy="1" w:legacySpace="0" w:legacyIndent="360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>
    <w:nsid w:val="661204A5"/>
    <w:multiLevelType w:val="hybridMultilevel"/>
    <w:tmpl w:val="5358AD5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4D08F78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AE52F1E8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>
    <w:nsid w:val="689D267B"/>
    <w:multiLevelType w:val="hybridMultilevel"/>
    <w:tmpl w:val="0EE01EEA"/>
    <w:lvl w:ilvl="0" w:tplc="FFFFFFFF">
      <w:start w:val="1"/>
      <w:numFmt w:val="bullet"/>
      <w:lvlText w:val="-"/>
      <w:legacy w:legacy="1" w:legacySpace="0" w:legacyIndent="360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6D216B2F"/>
    <w:multiLevelType w:val="hybridMultilevel"/>
    <w:tmpl w:val="A5287EA4"/>
    <w:lvl w:ilvl="0" w:tplc="5564323C">
      <w:start w:val="10"/>
      <w:numFmt w:val="decimal"/>
      <w:lvlText w:val="%1."/>
      <w:lvlJc w:val="left"/>
      <w:pPr>
        <w:tabs>
          <w:tab w:val="num" w:pos="1308"/>
        </w:tabs>
        <w:ind w:left="1308" w:hanging="768"/>
      </w:pPr>
      <w:rPr>
        <w:rFonts w:ascii="Times New Roman" w:hAnsi="Times New Roman" w:cs="Times New Roman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2">
    <w:nsid w:val="7A294EF4"/>
    <w:multiLevelType w:val="hybridMultilevel"/>
    <w:tmpl w:val="4E5EFE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C3C4B55"/>
    <w:multiLevelType w:val="hybridMultilevel"/>
    <w:tmpl w:val="81BA59EC"/>
    <w:lvl w:ilvl="0" w:tplc="FED60BF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tabs>
          <w:tab w:val="num" w:pos="1466"/>
        </w:tabs>
        <w:ind w:left="1466" w:hanging="386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9"/>
  </w:num>
  <w:num w:numId="3">
    <w:abstractNumId w:val="5"/>
  </w:num>
  <w:num w:numId="4">
    <w:abstractNumId w:val="20"/>
  </w:num>
  <w:num w:numId="5">
    <w:abstractNumId w:val="39"/>
  </w:num>
  <w:num w:numId="6">
    <w:abstractNumId w:val="31"/>
  </w:num>
  <w:num w:numId="7">
    <w:abstractNumId w:val="10"/>
  </w:num>
  <w:num w:numId="8">
    <w:abstractNumId w:val="16"/>
  </w:num>
  <w:num w:numId="9">
    <w:abstractNumId w:val="13"/>
  </w:num>
  <w:num w:numId="10">
    <w:abstractNumId w:val="22"/>
  </w:num>
  <w:num w:numId="11">
    <w:abstractNumId w:val="18"/>
  </w:num>
  <w:num w:numId="12">
    <w:abstractNumId w:val="21"/>
  </w:num>
  <w:num w:numId="13">
    <w:abstractNumId w:val="33"/>
  </w:num>
  <w:num w:numId="14">
    <w:abstractNumId w:val="37"/>
  </w:num>
  <w:num w:numId="15">
    <w:abstractNumId w:val="23"/>
  </w:num>
  <w:num w:numId="16">
    <w:abstractNumId w:val="3"/>
  </w:num>
  <w:num w:numId="17">
    <w:abstractNumId w:val="25"/>
  </w:num>
  <w:num w:numId="18">
    <w:abstractNumId w:val="17"/>
  </w:num>
  <w:num w:numId="19">
    <w:abstractNumId w:val="27"/>
  </w:num>
  <w:num w:numId="20">
    <w:abstractNumId w:val="2"/>
  </w:num>
  <w:num w:numId="21">
    <w:abstractNumId w:val="40"/>
  </w:num>
  <w:num w:numId="22">
    <w:abstractNumId w:val="38"/>
  </w:num>
  <w:num w:numId="23">
    <w:abstractNumId w:val="4"/>
  </w:num>
  <w:num w:numId="24">
    <w:abstractNumId w:val="32"/>
  </w:num>
  <w:num w:numId="25">
    <w:abstractNumId w:val="43"/>
  </w:num>
  <w:num w:numId="26">
    <w:abstractNumId w:val="8"/>
  </w:num>
  <w:num w:numId="27">
    <w:abstractNumId w:val="11"/>
  </w:num>
  <w:num w:numId="28">
    <w:abstractNumId w:val="35"/>
  </w:num>
  <w:num w:numId="29">
    <w:abstractNumId w:val="41"/>
  </w:num>
  <w:num w:numId="30">
    <w:abstractNumId w:val="42"/>
  </w:num>
  <w:num w:numId="31">
    <w:abstractNumId w:val="28"/>
  </w:num>
  <w:num w:numId="32">
    <w:abstractNumId w:val="15"/>
  </w:num>
  <w:num w:numId="33">
    <w:abstractNumId w:val="12"/>
  </w:num>
  <w:num w:numId="34">
    <w:abstractNumId w:val="29"/>
  </w:num>
  <w:num w:numId="35">
    <w:abstractNumId w:val="26"/>
  </w:num>
  <w:num w:numId="36">
    <w:abstractNumId w:val="24"/>
  </w:num>
  <w:num w:numId="37">
    <w:abstractNumId w:val="1"/>
  </w:num>
  <w:num w:numId="38">
    <w:abstractNumId w:val="7"/>
  </w:num>
  <w:num w:numId="39">
    <w:abstractNumId w:val="6"/>
  </w:num>
  <w:num w:numId="40">
    <w:abstractNumId w:val="14"/>
  </w:num>
  <w:num w:numId="41">
    <w:abstractNumId w:val="30"/>
  </w:num>
  <w:num w:numId="42">
    <w:abstractNumId w:val="0"/>
  </w:num>
  <w:num w:numId="43">
    <w:abstractNumId w:val="36"/>
  </w:num>
  <w:num w:numId="44">
    <w:abstractNumId w:val="3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ulhavy, Lukas">
    <w15:presenceInfo w15:providerId="AD" w15:userId="S-1-5-21-3081388108-1913582122-755921781-181489"/>
  </w15:person>
  <w15:person w15:author="Kulhavy, Lukas [2]">
    <w15:presenceInfo w15:providerId="AD" w15:userId="S-1-5-21-3081388108-1913582122-755921781-181489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stylePaneFormatFilter w:val="3F01"/>
  <w:trackRevisions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70658"/>
  </w:hdrShapeDefaults>
  <w:footnotePr>
    <w:footnote w:id="-1"/>
    <w:footnote w:id="0"/>
  </w:footnotePr>
  <w:endnotePr>
    <w:endnote w:id="-1"/>
    <w:endnote w:id="0"/>
  </w:endnotePr>
  <w:compat/>
  <w:rsids>
    <w:rsidRoot w:val="00FA15EF"/>
    <w:rsid w:val="00003316"/>
    <w:rsid w:val="0001091B"/>
    <w:rsid w:val="0002473E"/>
    <w:rsid w:val="00025FC0"/>
    <w:rsid w:val="000355EC"/>
    <w:rsid w:val="00041EB2"/>
    <w:rsid w:val="000500A5"/>
    <w:rsid w:val="000506C6"/>
    <w:rsid w:val="0005248F"/>
    <w:rsid w:val="000647FD"/>
    <w:rsid w:val="00096089"/>
    <w:rsid w:val="000A2622"/>
    <w:rsid w:val="000C032C"/>
    <w:rsid w:val="000D6C69"/>
    <w:rsid w:val="000E375D"/>
    <w:rsid w:val="000E4237"/>
    <w:rsid w:val="000E4372"/>
    <w:rsid w:val="000F195B"/>
    <w:rsid w:val="000F470E"/>
    <w:rsid w:val="001053FD"/>
    <w:rsid w:val="00106AAD"/>
    <w:rsid w:val="0012335B"/>
    <w:rsid w:val="0014071E"/>
    <w:rsid w:val="001629BB"/>
    <w:rsid w:val="00172681"/>
    <w:rsid w:val="0017486D"/>
    <w:rsid w:val="00175AEB"/>
    <w:rsid w:val="00182E76"/>
    <w:rsid w:val="00183A2F"/>
    <w:rsid w:val="001A2719"/>
    <w:rsid w:val="001B4DB9"/>
    <w:rsid w:val="001B5B77"/>
    <w:rsid w:val="001D6A8A"/>
    <w:rsid w:val="001E25DE"/>
    <w:rsid w:val="001F0B87"/>
    <w:rsid w:val="00202FB9"/>
    <w:rsid w:val="00203EA0"/>
    <w:rsid w:val="00216E5E"/>
    <w:rsid w:val="002309DD"/>
    <w:rsid w:val="00234B98"/>
    <w:rsid w:val="00237AC0"/>
    <w:rsid w:val="00243D9C"/>
    <w:rsid w:val="00246E99"/>
    <w:rsid w:val="002578A8"/>
    <w:rsid w:val="002610C9"/>
    <w:rsid w:val="00281232"/>
    <w:rsid w:val="00281F06"/>
    <w:rsid w:val="00283899"/>
    <w:rsid w:val="0028567F"/>
    <w:rsid w:val="0029246A"/>
    <w:rsid w:val="002952EB"/>
    <w:rsid w:val="002A3F68"/>
    <w:rsid w:val="002A73A4"/>
    <w:rsid w:val="002B156C"/>
    <w:rsid w:val="002B4C17"/>
    <w:rsid w:val="002C2624"/>
    <w:rsid w:val="002C732E"/>
    <w:rsid w:val="002D6726"/>
    <w:rsid w:val="002E76E5"/>
    <w:rsid w:val="002F4F81"/>
    <w:rsid w:val="00307F5F"/>
    <w:rsid w:val="003148FA"/>
    <w:rsid w:val="00316791"/>
    <w:rsid w:val="0032291E"/>
    <w:rsid w:val="0033272C"/>
    <w:rsid w:val="00336D4E"/>
    <w:rsid w:val="00342BBB"/>
    <w:rsid w:val="003668F2"/>
    <w:rsid w:val="00396721"/>
    <w:rsid w:val="003A1FF7"/>
    <w:rsid w:val="003B0885"/>
    <w:rsid w:val="003B5D3D"/>
    <w:rsid w:val="003C7D0E"/>
    <w:rsid w:val="003E1F6E"/>
    <w:rsid w:val="003E2FD9"/>
    <w:rsid w:val="003F3EDD"/>
    <w:rsid w:val="004454E6"/>
    <w:rsid w:val="0045448D"/>
    <w:rsid w:val="004645CE"/>
    <w:rsid w:val="00477E5E"/>
    <w:rsid w:val="00482A1B"/>
    <w:rsid w:val="00496C8E"/>
    <w:rsid w:val="004A57CB"/>
    <w:rsid w:val="004A6A68"/>
    <w:rsid w:val="004B55B2"/>
    <w:rsid w:val="004C05D2"/>
    <w:rsid w:val="004C3312"/>
    <w:rsid w:val="004D38D9"/>
    <w:rsid w:val="004E2ABA"/>
    <w:rsid w:val="0051602D"/>
    <w:rsid w:val="00522F2A"/>
    <w:rsid w:val="00523A3E"/>
    <w:rsid w:val="005254EB"/>
    <w:rsid w:val="0052690D"/>
    <w:rsid w:val="005372F2"/>
    <w:rsid w:val="00540B60"/>
    <w:rsid w:val="00543DB9"/>
    <w:rsid w:val="00550D95"/>
    <w:rsid w:val="005523B7"/>
    <w:rsid w:val="00555175"/>
    <w:rsid w:val="00560CE6"/>
    <w:rsid w:val="0056358B"/>
    <w:rsid w:val="00563911"/>
    <w:rsid w:val="00571EA5"/>
    <w:rsid w:val="00574F9F"/>
    <w:rsid w:val="00582A9C"/>
    <w:rsid w:val="00591ABB"/>
    <w:rsid w:val="005C2233"/>
    <w:rsid w:val="005C346C"/>
    <w:rsid w:val="005D04F3"/>
    <w:rsid w:val="005D100D"/>
    <w:rsid w:val="005E47F5"/>
    <w:rsid w:val="005E51CB"/>
    <w:rsid w:val="005F4BCB"/>
    <w:rsid w:val="0061023E"/>
    <w:rsid w:val="00621544"/>
    <w:rsid w:val="006228BB"/>
    <w:rsid w:val="00622AA0"/>
    <w:rsid w:val="00623035"/>
    <w:rsid w:val="00625846"/>
    <w:rsid w:val="00627D56"/>
    <w:rsid w:val="00627E92"/>
    <w:rsid w:val="00637735"/>
    <w:rsid w:val="00642881"/>
    <w:rsid w:val="0064446A"/>
    <w:rsid w:val="00647B66"/>
    <w:rsid w:val="00670604"/>
    <w:rsid w:val="0067433A"/>
    <w:rsid w:val="00674401"/>
    <w:rsid w:val="00682609"/>
    <w:rsid w:val="00693D16"/>
    <w:rsid w:val="006A568A"/>
    <w:rsid w:val="006B093F"/>
    <w:rsid w:val="006B1768"/>
    <w:rsid w:val="006C7C2D"/>
    <w:rsid w:val="006D1EE2"/>
    <w:rsid w:val="006D50C0"/>
    <w:rsid w:val="006E3E9A"/>
    <w:rsid w:val="006F3A78"/>
    <w:rsid w:val="00712E3C"/>
    <w:rsid w:val="00717A0A"/>
    <w:rsid w:val="00722E69"/>
    <w:rsid w:val="007247CE"/>
    <w:rsid w:val="007261F2"/>
    <w:rsid w:val="007324B3"/>
    <w:rsid w:val="007333E0"/>
    <w:rsid w:val="00735701"/>
    <w:rsid w:val="00747E70"/>
    <w:rsid w:val="00751796"/>
    <w:rsid w:val="007550D8"/>
    <w:rsid w:val="0075709F"/>
    <w:rsid w:val="007669B2"/>
    <w:rsid w:val="00777F4A"/>
    <w:rsid w:val="007961B2"/>
    <w:rsid w:val="0079649A"/>
    <w:rsid w:val="007A07AE"/>
    <w:rsid w:val="007A4525"/>
    <w:rsid w:val="007D4B7B"/>
    <w:rsid w:val="008056FD"/>
    <w:rsid w:val="00810B3E"/>
    <w:rsid w:val="00817CE3"/>
    <w:rsid w:val="008225D3"/>
    <w:rsid w:val="00827855"/>
    <w:rsid w:val="00833338"/>
    <w:rsid w:val="0085654A"/>
    <w:rsid w:val="00870F46"/>
    <w:rsid w:val="00873A13"/>
    <w:rsid w:val="00874999"/>
    <w:rsid w:val="008A5843"/>
    <w:rsid w:val="008B62F0"/>
    <w:rsid w:val="008B68EC"/>
    <w:rsid w:val="008C70F1"/>
    <w:rsid w:val="008D526D"/>
    <w:rsid w:val="008E5AEB"/>
    <w:rsid w:val="008F06BB"/>
    <w:rsid w:val="00901033"/>
    <w:rsid w:val="00902E28"/>
    <w:rsid w:val="00903622"/>
    <w:rsid w:val="009125A2"/>
    <w:rsid w:val="00952A63"/>
    <w:rsid w:val="00963DB5"/>
    <w:rsid w:val="00981C91"/>
    <w:rsid w:val="00992DCE"/>
    <w:rsid w:val="009A117A"/>
    <w:rsid w:val="009B79EB"/>
    <w:rsid w:val="009C7E99"/>
    <w:rsid w:val="009E277E"/>
    <w:rsid w:val="00A0415F"/>
    <w:rsid w:val="00A13FC4"/>
    <w:rsid w:val="00A25B99"/>
    <w:rsid w:val="00A3406B"/>
    <w:rsid w:val="00A41308"/>
    <w:rsid w:val="00A41D27"/>
    <w:rsid w:val="00A41EE0"/>
    <w:rsid w:val="00A4272C"/>
    <w:rsid w:val="00A45347"/>
    <w:rsid w:val="00A55C59"/>
    <w:rsid w:val="00A55CE7"/>
    <w:rsid w:val="00A72D9C"/>
    <w:rsid w:val="00A758D7"/>
    <w:rsid w:val="00A97811"/>
    <w:rsid w:val="00AA0928"/>
    <w:rsid w:val="00AA6CA9"/>
    <w:rsid w:val="00AC2244"/>
    <w:rsid w:val="00AC6263"/>
    <w:rsid w:val="00AD05D3"/>
    <w:rsid w:val="00AD270C"/>
    <w:rsid w:val="00AE2EF0"/>
    <w:rsid w:val="00AF586B"/>
    <w:rsid w:val="00AF7F7D"/>
    <w:rsid w:val="00B17DC8"/>
    <w:rsid w:val="00B212B6"/>
    <w:rsid w:val="00B22630"/>
    <w:rsid w:val="00B4002A"/>
    <w:rsid w:val="00B5297B"/>
    <w:rsid w:val="00B61978"/>
    <w:rsid w:val="00B62C02"/>
    <w:rsid w:val="00B62F26"/>
    <w:rsid w:val="00B70C51"/>
    <w:rsid w:val="00B747F1"/>
    <w:rsid w:val="00B948F9"/>
    <w:rsid w:val="00BA4A11"/>
    <w:rsid w:val="00BB2BAA"/>
    <w:rsid w:val="00BB6050"/>
    <w:rsid w:val="00BC2B07"/>
    <w:rsid w:val="00BC311F"/>
    <w:rsid w:val="00BC4047"/>
    <w:rsid w:val="00BC47E3"/>
    <w:rsid w:val="00C06983"/>
    <w:rsid w:val="00C1048A"/>
    <w:rsid w:val="00C30916"/>
    <w:rsid w:val="00C35A5C"/>
    <w:rsid w:val="00C4417A"/>
    <w:rsid w:val="00C44950"/>
    <w:rsid w:val="00C654D0"/>
    <w:rsid w:val="00C742F6"/>
    <w:rsid w:val="00C76E2A"/>
    <w:rsid w:val="00C8468C"/>
    <w:rsid w:val="00C91366"/>
    <w:rsid w:val="00CB1C41"/>
    <w:rsid w:val="00CB65C6"/>
    <w:rsid w:val="00CB7B05"/>
    <w:rsid w:val="00CC7A53"/>
    <w:rsid w:val="00CE79D4"/>
    <w:rsid w:val="00CF25E2"/>
    <w:rsid w:val="00CF77B0"/>
    <w:rsid w:val="00D07EE5"/>
    <w:rsid w:val="00D10AA3"/>
    <w:rsid w:val="00D33D6D"/>
    <w:rsid w:val="00D36E58"/>
    <w:rsid w:val="00D41D6F"/>
    <w:rsid w:val="00D42CBD"/>
    <w:rsid w:val="00D4529C"/>
    <w:rsid w:val="00D47AE1"/>
    <w:rsid w:val="00D56813"/>
    <w:rsid w:val="00D64310"/>
    <w:rsid w:val="00D71745"/>
    <w:rsid w:val="00D735FB"/>
    <w:rsid w:val="00D74997"/>
    <w:rsid w:val="00D83C4B"/>
    <w:rsid w:val="00D94187"/>
    <w:rsid w:val="00D9458B"/>
    <w:rsid w:val="00DA0F8B"/>
    <w:rsid w:val="00DA3F37"/>
    <w:rsid w:val="00DA5527"/>
    <w:rsid w:val="00DC01F5"/>
    <w:rsid w:val="00DD0614"/>
    <w:rsid w:val="00DD3F35"/>
    <w:rsid w:val="00DE14DD"/>
    <w:rsid w:val="00DE5827"/>
    <w:rsid w:val="00E10F8A"/>
    <w:rsid w:val="00E31D31"/>
    <w:rsid w:val="00E35684"/>
    <w:rsid w:val="00E46C4D"/>
    <w:rsid w:val="00E702D4"/>
    <w:rsid w:val="00E73ADB"/>
    <w:rsid w:val="00E804F0"/>
    <w:rsid w:val="00E819CD"/>
    <w:rsid w:val="00E81A20"/>
    <w:rsid w:val="00E8538B"/>
    <w:rsid w:val="00E90685"/>
    <w:rsid w:val="00E90EDA"/>
    <w:rsid w:val="00EB2087"/>
    <w:rsid w:val="00EC75DA"/>
    <w:rsid w:val="00EE1105"/>
    <w:rsid w:val="00EE6A8F"/>
    <w:rsid w:val="00F23445"/>
    <w:rsid w:val="00F67A7B"/>
    <w:rsid w:val="00F80ED2"/>
    <w:rsid w:val="00F82DAE"/>
    <w:rsid w:val="00FA15EF"/>
    <w:rsid w:val="00FB0579"/>
    <w:rsid w:val="00FB09FF"/>
    <w:rsid w:val="00FB177C"/>
    <w:rsid w:val="00FB4F65"/>
    <w:rsid w:val="00FC374E"/>
    <w:rsid w:val="00FD6466"/>
    <w:rsid w:val="00FE14F2"/>
    <w:rsid w:val="00FE27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70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42BBB"/>
    <w:rPr>
      <w:sz w:val="24"/>
      <w:szCs w:val="24"/>
      <w:lang w:eastAsia="cs-CZ"/>
    </w:rPr>
  </w:style>
  <w:style w:type="paragraph" w:styleId="Nadpis1">
    <w:name w:val="heading 1"/>
    <w:basedOn w:val="Normln"/>
    <w:next w:val="Normln"/>
    <w:qFormat/>
    <w:rsid w:val="00342BBB"/>
    <w:pPr>
      <w:keepNext/>
      <w:outlineLvl w:val="0"/>
    </w:pPr>
    <w:rPr>
      <w:u w:val="single"/>
    </w:rPr>
  </w:style>
  <w:style w:type="paragraph" w:styleId="Nadpis2">
    <w:name w:val="heading 2"/>
    <w:basedOn w:val="Normln"/>
    <w:next w:val="Normln"/>
    <w:qFormat/>
    <w:rsid w:val="00342BBB"/>
    <w:pPr>
      <w:keepNext/>
      <w:outlineLvl w:val="1"/>
    </w:pPr>
    <w:rPr>
      <w:i/>
      <w:iCs/>
    </w:rPr>
  </w:style>
  <w:style w:type="paragraph" w:styleId="Nadpis3">
    <w:name w:val="heading 3"/>
    <w:basedOn w:val="Normln"/>
    <w:next w:val="Normln"/>
    <w:qFormat/>
    <w:rsid w:val="00342BBB"/>
    <w:pPr>
      <w:keepNext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rsid w:val="00342BBB"/>
    <w:pPr>
      <w:keepNext/>
      <w:outlineLvl w:val="3"/>
    </w:pPr>
    <w:rPr>
      <w:b/>
      <w:bCs/>
      <w:sz w:val="28"/>
    </w:rPr>
  </w:style>
  <w:style w:type="paragraph" w:styleId="Nadpis5">
    <w:name w:val="heading 5"/>
    <w:basedOn w:val="Normln"/>
    <w:next w:val="Normln"/>
    <w:qFormat/>
    <w:rsid w:val="00342BBB"/>
    <w:pPr>
      <w:keepNext/>
      <w:jc w:val="center"/>
      <w:outlineLvl w:val="4"/>
    </w:pPr>
    <w:rPr>
      <w:b/>
      <w:bCs/>
    </w:rPr>
  </w:style>
  <w:style w:type="paragraph" w:styleId="Nadpis6">
    <w:name w:val="heading 6"/>
    <w:basedOn w:val="Normln"/>
    <w:next w:val="Normln"/>
    <w:qFormat/>
    <w:rsid w:val="00342BBB"/>
    <w:pPr>
      <w:keepNext/>
      <w:ind w:left="360"/>
      <w:outlineLvl w:val="5"/>
    </w:pPr>
    <w:rPr>
      <w:b/>
      <w:bCs/>
      <w:sz w:val="28"/>
    </w:rPr>
  </w:style>
  <w:style w:type="paragraph" w:styleId="Nadpis7">
    <w:name w:val="heading 7"/>
    <w:basedOn w:val="Normln"/>
    <w:next w:val="Normln"/>
    <w:qFormat/>
    <w:rsid w:val="00342BBB"/>
    <w:pPr>
      <w:keepNext/>
      <w:ind w:left="360"/>
      <w:outlineLvl w:val="6"/>
    </w:pPr>
    <w:rPr>
      <w:b/>
      <w:bCs/>
    </w:rPr>
  </w:style>
  <w:style w:type="paragraph" w:styleId="Nadpis8">
    <w:name w:val="heading 8"/>
    <w:basedOn w:val="Normln"/>
    <w:next w:val="Normln"/>
    <w:qFormat/>
    <w:rsid w:val="00342BBB"/>
    <w:pPr>
      <w:keepNext/>
      <w:ind w:left="360"/>
      <w:outlineLvl w:val="7"/>
    </w:pPr>
    <w:rPr>
      <w:u w:val="single"/>
    </w:rPr>
  </w:style>
  <w:style w:type="paragraph" w:styleId="Nadpis9">
    <w:name w:val="heading 9"/>
    <w:basedOn w:val="Normln"/>
    <w:next w:val="Normln"/>
    <w:qFormat/>
    <w:rsid w:val="00342BBB"/>
    <w:pPr>
      <w:keepNext/>
      <w:ind w:left="360"/>
      <w:outlineLvl w:val="8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342BBB"/>
    <w:pPr>
      <w:ind w:left="360"/>
    </w:pPr>
  </w:style>
  <w:style w:type="paragraph" w:styleId="Zkladntext">
    <w:name w:val="Body Text"/>
    <w:basedOn w:val="Normln"/>
    <w:rsid w:val="00342BBB"/>
    <w:rPr>
      <w:rFonts w:ascii="Arial" w:hAnsi="Arial" w:cs="Arial"/>
      <w:sz w:val="20"/>
    </w:rPr>
  </w:style>
  <w:style w:type="paragraph" w:styleId="Zhlav">
    <w:name w:val="header"/>
    <w:basedOn w:val="Normln"/>
    <w:rsid w:val="00342BB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42BB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6F3A78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rsid w:val="0017486D"/>
    <w:pPr>
      <w:spacing w:after="120"/>
    </w:pPr>
    <w:rPr>
      <w:sz w:val="16"/>
      <w:szCs w:val="16"/>
    </w:rPr>
  </w:style>
  <w:style w:type="paragraph" w:customStyle="1" w:styleId="SmPCText">
    <w:name w:val="SmPCText"/>
    <w:basedOn w:val="Normln"/>
    <w:rsid w:val="00C44950"/>
    <w:pPr>
      <w:spacing w:before="120" w:after="120" w:line="320" w:lineRule="atLeast"/>
      <w:ind w:left="567"/>
      <w:jc w:val="both"/>
    </w:pPr>
    <w:rPr>
      <w:sz w:val="22"/>
      <w:szCs w:val="22"/>
      <w:lang w:val="en-GB" w:eastAsia="de-DE"/>
    </w:rPr>
  </w:style>
  <w:style w:type="character" w:styleId="Hypertextovodkaz">
    <w:name w:val="Hyperlink"/>
    <w:rsid w:val="0067433A"/>
    <w:rPr>
      <w:color w:val="0000FF"/>
      <w:u w:val="single"/>
    </w:rPr>
  </w:style>
  <w:style w:type="character" w:styleId="Odkaznakoment">
    <w:name w:val="annotation reference"/>
    <w:semiHidden/>
    <w:rsid w:val="007247CE"/>
    <w:rPr>
      <w:sz w:val="16"/>
      <w:szCs w:val="16"/>
    </w:rPr>
  </w:style>
  <w:style w:type="paragraph" w:styleId="Textkomente">
    <w:name w:val="annotation text"/>
    <w:basedOn w:val="Normln"/>
    <w:semiHidden/>
    <w:rsid w:val="007247CE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7247CE"/>
    <w:rPr>
      <w:b/>
      <w:bCs/>
    </w:rPr>
  </w:style>
  <w:style w:type="paragraph" w:styleId="Revize">
    <w:name w:val="Revision"/>
    <w:hidden/>
    <w:uiPriority w:val="99"/>
    <w:semiHidden/>
    <w:rsid w:val="001D6A8A"/>
    <w:rPr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1233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oRPNormal">
    <w:name w:val="MoRP Normal"/>
    <w:rsid w:val="00550D95"/>
    <w:pPr>
      <w:spacing w:before="60" w:after="180" w:line="288" w:lineRule="auto"/>
      <w:jc w:val="both"/>
    </w:pPr>
    <w:rPr>
      <w:rFonts w:ascii="Arial" w:hAnsi="Arial"/>
      <w:sz w:val="22"/>
      <w:lang w:val="en-GB" w:eastAsia="en-US"/>
    </w:rPr>
  </w:style>
  <w:style w:type="paragraph" w:styleId="Odstavecseseznamem">
    <w:name w:val="List Paragraph"/>
    <w:basedOn w:val="Normln"/>
    <w:uiPriority w:val="34"/>
    <w:qFormat/>
    <w:rsid w:val="00A978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4227B1-9F98-42D0-A8AD-8E059DE96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11</Pages>
  <Words>3844</Words>
  <Characters>21914</Characters>
  <Application>Microsoft Office Word</Application>
  <DocSecurity>0</DocSecurity>
  <Lines>182</Lines>
  <Paragraphs>51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3" baseType="lpstr">
      <vt:lpstr>SPC</vt:lpstr>
      <vt:lpstr>SPC</vt:lpstr>
      <vt:lpstr>SPC</vt:lpstr>
    </vt:vector>
  </TitlesOfParts>
  <Company>escho</Company>
  <LinksUpToDate>false</LinksUpToDate>
  <CharactersWithSpaces>25707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SPC</dc:title>
  <dc:creator>BOOTS</dc:creator>
  <cp:lastModifiedBy>Andrea</cp:lastModifiedBy>
  <cp:revision>35</cp:revision>
  <cp:lastPrinted>2009-03-27T08:26:00Z</cp:lastPrinted>
  <dcterms:created xsi:type="dcterms:W3CDTF">2018-01-08T10:21:00Z</dcterms:created>
  <dcterms:modified xsi:type="dcterms:W3CDTF">2018-05-31T11:36:00Z</dcterms:modified>
</cp:coreProperties>
</file>