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82" w:rsidRPr="000A6CA9" w:rsidRDefault="003E4182" w:rsidP="008B06EB">
      <w:pPr>
        <w:widowControl w:val="0"/>
        <w:rPr>
          <w:b/>
          <w:szCs w:val="22"/>
          <w:lang w:val="sk-SK"/>
        </w:rPr>
      </w:pPr>
      <w:bookmarkStart w:id="0" w:name="_GoBack"/>
      <w:bookmarkEnd w:id="0"/>
    </w:p>
    <w:p w:rsidR="003E4182" w:rsidRPr="000A6CA9" w:rsidRDefault="003E4182" w:rsidP="008B06EB">
      <w:pPr>
        <w:widowControl w:val="0"/>
        <w:jc w:val="center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SÚHRN CHARAKTERISTICKÝCH VLASTNOSTÍ LIEKU</w:t>
      </w:r>
    </w:p>
    <w:p w:rsidR="003E4182" w:rsidRPr="000A6CA9" w:rsidRDefault="003E4182" w:rsidP="008B06EB">
      <w:pPr>
        <w:widowControl w:val="0"/>
        <w:rPr>
          <w:b/>
          <w:szCs w:val="22"/>
          <w:lang w:val="sk-SK"/>
        </w:rPr>
      </w:pPr>
    </w:p>
    <w:p w:rsidR="003E4182" w:rsidRPr="000A6CA9" w:rsidRDefault="003E4182" w:rsidP="008B06EB">
      <w:pPr>
        <w:widowControl w:val="0"/>
        <w:rPr>
          <w:b/>
          <w:szCs w:val="22"/>
          <w:lang w:val="sk-SK"/>
        </w:rPr>
      </w:pPr>
    </w:p>
    <w:p w:rsidR="003E4182" w:rsidRPr="00641522" w:rsidRDefault="003E4182" w:rsidP="008B06EB">
      <w:pPr>
        <w:keepNext/>
        <w:widowControl w:val="0"/>
        <w:rPr>
          <w:szCs w:val="22"/>
          <w:lang w:val="sk-SK"/>
        </w:rPr>
      </w:pPr>
      <w:r w:rsidRPr="000A6CA9">
        <w:rPr>
          <w:b/>
          <w:szCs w:val="22"/>
          <w:lang w:val="sk-SK"/>
        </w:rPr>
        <w:t>1.</w:t>
      </w:r>
      <w:r w:rsidRPr="000A6CA9">
        <w:rPr>
          <w:b/>
          <w:szCs w:val="22"/>
          <w:lang w:val="sk-SK"/>
        </w:rPr>
        <w:tab/>
        <w:t>NÁZOV LIEKU</w:t>
      </w:r>
    </w:p>
    <w:p w:rsidR="003E4182" w:rsidRPr="000A6CA9" w:rsidRDefault="003E4182" w:rsidP="008B06EB">
      <w:pPr>
        <w:keepNext/>
        <w:widowControl w:val="0"/>
        <w:rPr>
          <w:iCs/>
          <w:szCs w:val="22"/>
          <w:lang w:val="sk-SK"/>
        </w:rPr>
      </w:pPr>
    </w:p>
    <w:p w:rsidR="003E4182" w:rsidRPr="000A6CA9" w:rsidRDefault="00474110" w:rsidP="0060244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A6CA9">
        <w:rPr>
          <w:szCs w:val="22"/>
          <w:lang w:val="sk-SK"/>
        </w:rPr>
        <w:t xml:space="preserve"> 25 mikrogramov/125 </w:t>
      </w:r>
      <w:proofErr w:type="spellStart"/>
      <w:r w:rsidR="003E4182" w:rsidRPr="000A6CA9">
        <w:rPr>
          <w:szCs w:val="22"/>
          <w:lang w:val="sk-SK"/>
        </w:rPr>
        <w:t>mikrogramov</w:t>
      </w:r>
      <w:proofErr w:type="spellEnd"/>
    </w:p>
    <w:p w:rsidR="003E4182" w:rsidRPr="000A6CA9" w:rsidRDefault="00474110" w:rsidP="00D253B6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highlight w:val="lightGray"/>
          <w:lang w:val="sk-SK"/>
        </w:rPr>
        <w:t>Serkep</w:t>
      </w:r>
      <w:proofErr w:type="spellEnd"/>
      <w:r w:rsidR="003E4182" w:rsidRPr="00044DEC">
        <w:rPr>
          <w:szCs w:val="22"/>
          <w:highlight w:val="lightGray"/>
          <w:lang w:val="sk-SK"/>
        </w:rPr>
        <w:t xml:space="preserve"> 25 mikrogramov/250 </w:t>
      </w:r>
      <w:proofErr w:type="spellStart"/>
      <w:r w:rsidR="003E4182" w:rsidRPr="00044DEC">
        <w:rPr>
          <w:szCs w:val="22"/>
          <w:highlight w:val="lightGray"/>
          <w:lang w:val="sk-SK"/>
        </w:rPr>
        <w:t>mikro</w:t>
      </w:r>
      <w:r w:rsidR="003E4182" w:rsidRPr="00044DEC">
        <w:rPr>
          <w:color w:val="000000"/>
          <w:szCs w:val="22"/>
          <w:highlight w:val="lightGray"/>
          <w:lang w:val="sk-SK"/>
        </w:rPr>
        <w:t>gramov</w:t>
      </w:r>
      <w:proofErr w:type="spellEnd"/>
    </w:p>
    <w:p w:rsidR="003E4182" w:rsidRPr="000A6CA9" w:rsidRDefault="003E4182" w:rsidP="0060244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inhalačná suspenzia v tlakovom obale</w:t>
      </w:r>
    </w:p>
    <w:p w:rsidR="003E4182" w:rsidRPr="000A6CA9" w:rsidRDefault="003E4182" w:rsidP="008B06EB">
      <w:pPr>
        <w:widowControl w:val="0"/>
        <w:tabs>
          <w:tab w:val="clear" w:pos="567"/>
          <w:tab w:val="left" w:pos="0"/>
        </w:tabs>
        <w:rPr>
          <w:iCs/>
          <w:szCs w:val="22"/>
          <w:lang w:val="sk-SK"/>
        </w:rPr>
      </w:pPr>
    </w:p>
    <w:p w:rsidR="003E4182" w:rsidRPr="000A6CA9" w:rsidRDefault="003E4182" w:rsidP="008B06EB">
      <w:pPr>
        <w:widowControl w:val="0"/>
        <w:tabs>
          <w:tab w:val="clear" w:pos="567"/>
          <w:tab w:val="left" w:pos="0"/>
        </w:tabs>
        <w:rPr>
          <w:iCs/>
          <w:szCs w:val="22"/>
          <w:lang w:val="sk-SK"/>
        </w:rPr>
      </w:pPr>
    </w:p>
    <w:p w:rsidR="003E4182" w:rsidRPr="000A6CA9" w:rsidRDefault="003E4182" w:rsidP="008B06EB">
      <w:pPr>
        <w:keepNext/>
        <w:widowContro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2.</w:t>
      </w:r>
      <w:r w:rsidRPr="000A6CA9">
        <w:rPr>
          <w:b/>
          <w:szCs w:val="22"/>
          <w:lang w:val="sk-SK"/>
        </w:rPr>
        <w:tab/>
        <w:t>KVALITATÍVNE A KVANTITATÍVNE ZLOŽENIE</w:t>
      </w:r>
    </w:p>
    <w:p w:rsidR="003E4182" w:rsidRPr="000A6CA9" w:rsidRDefault="003E4182" w:rsidP="008B06EB">
      <w:pPr>
        <w:keepNext/>
        <w:widowControl w:val="0"/>
        <w:rPr>
          <w:b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Jedna odmeraná dávka </w:t>
      </w:r>
      <w:r>
        <w:rPr>
          <w:szCs w:val="22"/>
          <w:lang w:val="sk-SK"/>
        </w:rPr>
        <w:t xml:space="preserve">(uvoľnená z ventilu) </w:t>
      </w:r>
      <w:r w:rsidRPr="000A6CA9">
        <w:rPr>
          <w:szCs w:val="22"/>
          <w:lang w:val="sk-SK"/>
        </w:rPr>
        <w:t>obsahuje:</w:t>
      </w:r>
    </w:p>
    <w:p w:rsidR="003E4182" w:rsidRPr="00641522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E4182" w:rsidRPr="000A6CA9" w:rsidRDefault="003E4182" w:rsidP="008B06EB">
      <w:pPr>
        <w:widowControl w:val="0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>25 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(vo forme </w:t>
      </w:r>
      <w:proofErr w:type="spellStart"/>
      <w:r w:rsidRPr="000A6CA9">
        <w:rPr>
          <w:szCs w:val="22"/>
          <w:lang w:val="sk-SK"/>
        </w:rPr>
        <w:t>salmeterol</w:t>
      </w:r>
      <w:r w:rsidRPr="000A6CA9">
        <w:rPr>
          <w:color w:val="000000"/>
          <w:szCs w:val="22"/>
          <w:lang w:val="sk-SK"/>
        </w:rPr>
        <w:t>xinafoátu</w:t>
      </w:r>
      <w:proofErr w:type="spellEnd"/>
      <w:r w:rsidRPr="000A6CA9">
        <w:rPr>
          <w:color w:val="000000"/>
          <w:szCs w:val="22"/>
          <w:lang w:val="sk-SK"/>
        </w:rPr>
        <w:t>)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125 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>. To zodpovedá dodanej dávke (uvoľnenej z trysky) 21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110 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>.</w:t>
      </w:r>
    </w:p>
    <w:p w:rsidR="00CC6230" w:rsidRDefault="00CC6230" w:rsidP="00CC6230">
      <w:pPr>
        <w:widowControl w:val="0"/>
        <w:rPr>
          <w:szCs w:val="22"/>
          <w:lang w:val="sk-SK"/>
        </w:rPr>
      </w:pPr>
    </w:p>
    <w:p w:rsidR="00CC6230" w:rsidRPr="00641522" w:rsidRDefault="00CC6230" w:rsidP="00CC6230">
      <w:pPr>
        <w:widowControl w:val="0"/>
        <w:rPr>
          <w:iCs/>
          <w:szCs w:val="22"/>
          <w:lang w:val="sk-SK"/>
        </w:rPr>
      </w:pPr>
      <w:r w:rsidRPr="00CC6230">
        <w:rPr>
          <w:szCs w:val="22"/>
          <w:highlight w:val="lightGray"/>
          <w:lang w:val="sk-SK"/>
        </w:rPr>
        <w:t>25 </w:t>
      </w:r>
      <w:proofErr w:type="spellStart"/>
      <w:r w:rsidRPr="00CC6230">
        <w:rPr>
          <w:szCs w:val="22"/>
          <w:highlight w:val="lightGray"/>
          <w:lang w:val="sk-SK"/>
        </w:rPr>
        <w:t>mikrogramov</w:t>
      </w:r>
      <w:proofErr w:type="spellEnd"/>
      <w:r w:rsidRPr="00CC6230">
        <w:rPr>
          <w:szCs w:val="22"/>
          <w:highlight w:val="lightGray"/>
          <w:lang w:val="sk-SK"/>
        </w:rPr>
        <w:t xml:space="preserve"> </w:t>
      </w:r>
      <w:proofErr w:type="spellStart"/>
      <w:r w:rsidRPr="00CC6230">
        <w:rPr>
          <w:szCs w:val="22"/>
          <w:highlight w:val="lightGray"/>
          <w:lang w:val="sk-SK"/>
        </w:rPr>
        <w:t>salmeterolu</w:t>
      </w:r>
      <w:proofErr w:type="spellEnd"/>
      <w:r w:rsidRPr="00CC6230">
        <w:rPr>
          <w:szCs w:val="22"/>
          <w:highlight w:val="lightGray"/>
          <w:lang w:val="sk-SK"/>
        </w:rPr>
        <w:t xml:space="preserve"> (vo forme </w:t>
      </w:r>
      <w:proofErr w:type="spellStart"/>
      <w:r w:rsidRPr="00CC6230">
        <w:rPr>
          <w:szCs w:val="22"/>
          <w:highlight w:val="lightGray"/>
          <w:lang w:val="sk-SK"/>
        </w:rPr>
        <w:t>salmeterol</w:t>
      </w:r>
      <w:r w:rsidRPr="00CC6230">
        <w:rPr>
          <w:color w:val="000000"/>
          <w:szCs w:val="22"/>
          <w:highlight w:val="lightGray"/>
          <w:lang w:val="sk-SK"/>
        </w:rPr>
        <w:t>xinafoátu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>) a 250 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mikrogramov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 xml:space="preserve"> 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flutikazónpropionátu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>. To zodpovedá dodanej dávke (uvoľnenej z trysky) 21 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mikrogramov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 xml:space="preserve"> 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salmeterolu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 xml:space="preserve"> a 220 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mikrogramov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 xml:space="preserve"> </w:t>
      </w:r>
      <w:proofErr w:type="spellStart"/>
      <w:r w:rsidRPr="00CC6230">
        <w:rPr>
          <w:color w:val="000000"/>
          <w:szCs w:val="22"/>
          <w:highlight w:val="lightGray"/>
          <w:lang w:val="sk-SK"/>
        </w:rPr>
        <w:t>flutikazónpropionátu</w:t>
      </w:r>
      <w:proofErr w:type="spellEnd"/>
      <w:r w:rsidRPr="00CC6230">
        <w:rPr>
          <w:color w:val="000000"/>
          <w:szCs w:val="22"/>
          <w:highlight w:val="lightGray"/>
          <w:lang w:val="sk-SK"/>
        </w:rPr>
        <w:t>.</w:t>
      </w:r>
    </w:p>
    <w:p w:rsidR="003E4182" w:rsidRPr="00641522" w:rsidRDefault="003E4182" w:rsidP="005C5EC6">
      <w:pPr>
        <w:widowControl w:val="0"/>
        <w:rPr>
          <w:iCs/>
          <w:szCs w:val="22"/>
          <w:lang w:val="sk-SK"/>
        </w:rPr>
      </w:pPr>
    </w:p>
    <w:p w:rsidR="003E4182" w:rsidRPr="000A6CA9" w:rsidRDefault="003E4182" w:rsidP="008B06EB">
      <w:pPr>
        <w:widowControl w:val="0"/>
        <w:outlineLvl w:val="0"/>
        <w:rPr>
          <w:szCs w:val="22"/>
          <w:lang w:val="sk-SK"/>
        </w:rPr>
      </w:pPr>
      <w:r w:rsidRPr="000A6CA9">
        <w:rPr>
          <w:szCs w:val="22"/>
          <w:lang w:val="sk-SK"/>
        </w:rPr>
        <w:t>Úplný zoznam pomocných látok, pozri časť 6.1.</w:t>
      </w:r>
    </w:p>
    <w:p w:rsidR="003E4182" w:rsidRPr="000A6CA9" w:rsidRDefault="003E4182" w:rsidP="008B06EB">
      <w:pPr>
        <w:widowControl w:val="0"/>
        <w:rPr>
          <w:szCs w:val="22"/>
          <w:lang w:val="sk-SK"/>
        </w:rPr>
      </w:pPr>
    </w:p>
    <w:p w:rsidR="003E4182" w:rsidRPr="000A6CA9" w:rsidRDefault="003E4182" w:rsidP="008B06EB">
      <w:pPr>
        <w:widowControl w:val="0"/>
        <w:rPr>
          <w:szCs w:val="22"/>
          <w:lang w:val="sk-SK"/>
        </w:rPr>
      </w:pPr>
    </w:p>
    <w:p w:rsidR="003E4182" w:rsidRPr="000A6CA9" w:rsidRDefault="003E4182" w:rsidP="008B06EB">
      <w:pPr>
        <w:keepNext/>
        <w:widowContro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3.</w:t>
      </w:r>
      <w:r w:rsidRPr="000A6CA9">
        <w:rPr>
          <w:b/>
          <w:szCs w:val="22"/>
          <w:lang w:val="sk-SK"/>
        </w:rPr>
        <w:tab/>
        <w:t>LIEKOVÁ FORMA</w:t>
      </w:r>
    </w:p>
    <w:p w:rsidR="003E4182" w:rsidRPr="000A6CA9" w:rsidRDefault="003E4182" w:rsidP="008B06EB">
      <w:pPr>
        <w:keepNext/>
        <w:widowControl w:val="0"/>
        <w:rPr>
          <w:caps/>
          <w:szCs w:val="22"/>
          <w:lang w:val="sk-SK"/>
        </w:rPr>
      </w:pPr>
    </w:p>
    <w:p w:rsidR="003E4182" w:rsidRPr="000A6CA9" w:rsidRDefault="003E4182" w:rsidP="008B06E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color w:val="000000"/>
          <w:szCs w:val="22"/>
          <w:lang w:val="sk-SK"/>
        </w:rPr>
        <w:t>Inhalačná suspenzia v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tlakovom obale</w:t>
      </w:r>
      <w:r w:rsidRPr="000A6CA9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E4182" w:rsidRPr="00641522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>ádoba obsahuje bielu až sivo-bielu suspenziu.</w:t>
      </w:r>
    </w:p>
    <w:p w:rsidR="003E4182" w:rsidRPr="000A6CA9" w:rsidRDefault="003E4182" w:rsidP="008B06EB">
      <w:pPr>
        <w:widowControl w:val="0"/>
        <w:autoSpaceDE w:val="0"/>
        <w:autoSpaceDN w:val="0"/>
        <w:adjustRightInd w:val="0"/>
        <w:jc w:val="both"/>
        <w:rPr>
          <w:szCs w:val="22"/>
          <w:lang w:val="sk-SK"/>
        </w:rPr>
      </w:pPr>
    </w:p>
    <w:p w:rsidR="003E4182" w:rsidRPr="000A6CA9" w:rsidRDefault="003E4182" w:rsidP="008B16F8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N</w:t>
      </w:r>
      <w:r w:rsidRPr="000A6CA9">
        <w:rPr>
          <w:color w:val="000000"/>
          <w:szCs w:val="22"/>
          <w:lang w:val="sk-SK"/>
        </w:rPr>
        <w:t>ádobky sú zapracované do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bielych plastových dávkovačov, ktorých súčasťou je rozprašovací otvor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sú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vybavené svetlofialovou ochrannou manžetou proti prachu.</w:t>
      </w:r>
    </w:p>
    <w:p w:rsidR="003E4182" w:rsidRPr="000A6CA9" w:rsidRDefault="003E4182" w:rsidP="005C5EC6">
      <w:pPr>
        <w:widowControl w:val="0"/>
        <w:autoSpaceDE w:val="0"/>
        <w:autoSpaceDN w:val="0"/>
        <w:adjustRightInd w:val="0"/>
        <w:rPr>
          <w:szCs w:val="22"/>
          <w:lang w:val="sk-SK"/>
        </w:rPr>
      </w:pPr>
    </w:p>
    <w:p w:rsidR="003E4182" w:rsidRDefault="00CC6230" w:rsidP="00CC6230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/>
        </w:rPr>
      </w:pPr>
      <w:r w:rsidRPr="00CC6230">
        <w:rPr>
          <w:color w:val="000000"/>
          <w:szCs w:val="22"/>
          <w:highlight w:val="lightGray"/>
          <w:lang w:val="sk-SK"/>
        </w:rPr>
        <w:t>Nádobky sú zapracované do bielych plastových dávkovačov, ktorých súčasťou je rozprašovací otvor a sú vybavené bordovou ochrannou manžetou proti prachu.</w:t>
      </w:r>
    </w:p>
    <w:p w:rsidR="00CC6230" w:rsidRDefault="00CC6230" w:rsidP="00CC6230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/>
        </w:rPr>
      </w:pPr>
    </w:p>
    <w:p w:rsidR="00CC6230" w:rsidRPr="000A6CA9" w:rsidRDefault="00CC6230" w:rsidP="00CC6230">
      <w:pPr>
        <w:widowControl w:val="0"/>
        <w:autoSpaceDE w:val="0"/>
        <w:autoSpaceDN w:val="0"/>
        <w:adjustRightInd w:val="0"/>
        <w:jc w:val="both"/>
        <w:rPr>
          <w:szCs w:val="22"/>
          <w:lang w:val="sk-SK"/>
        </w:rPr>
      </w:pPr>
    </w:p>
    <w:p w:rsidR="003E4182" w:rsidRPr="000A6CA9" w:rsidRDefault="003E4182" w:rsidP="008B06EB">
      <w:pPr>
        <w:keepNext/>
        <w:widowControl w:val="0"/>
        <w:ind w:left="567" w:hanging="567"/>
        <w:rPr>
          <w:caps/>
          <w:szCs w:val="22"/>
          <w:lang w:val="sk-SK"/>
        </w:rPr>
      </w:pPr>
      <w:r w:rsidRPr="000A6CA9">
        <w:rPr>
          <w:b/>
          <w:caps/>
          <w:szCs w:val="22"/>
          <w:lang w:val="sk-SK"/>
        </w:rPr>
        <w:t>4.</w:t>
      </w:r>
      <w:r w:rsidRPr="000A6CA9">
        <w:rPr>
          <w:b/>
          <w:caps/>
          <w:szCs w:val="22"/>
          <w:lang w:val="sk-SK"/>
        </w:rPr>
        <w:tab/>
      </w:r>
      <w:r w:rsidRPr="000A6CA9">
        <w:rPr>
          <w:b/>
          <w:szCs w:val="22"/>
          <w:lang w:val="sk-SK"/>
        </w:rPr>
        <w:t>KLINICKÉ ÚDAJE</w:t>
      </w:r>
    </w:p>
    <w:p w:rsidR="003E4182" w:rsidRPr="000A6CA9" w:rsidRDefault="003E4182" w:rsidP="008B06EB">
      <w:pPr>
        <w:keepNext/>
        <w:widowControl w:val="0"/>
        <w:rPr>
          <w:szCs w:val="22"/>
          <w:lang w:val="sk-SK"/>
        </w:rPr>
      </w:pPr>
    </w:p>
    <w:p w:rsidR="003E4182" w:rsidRPr="000A6CA9" w:rsidRDefault="003E4182" w:rsidP="008B06EB">
      <w:pPr>
        <w:keepNext/>
        <w:widowControl w:val="0"/>
        <w:numPr>
          <w:ilvl w:val="1"/>
          <w:numId w:val="2"/>
        </w:numPr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Terapeutické indikácie</w:t>
      </w:r>
    </w:p>
    <w:p w:rsidR="003E4182" w:rsidRPr="000A6CA9" w:rsidRDefault="003E4182" w:rsidP="008B06E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3E1710" w:rsidRDefault="00474110" w:rsidP="003E1710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"/>
        <w:rPr>
          <w:color w:val="000000"/>
          <w:szCs w:val="22"/>
          <w:vertAlign w:val="subscript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A6CA9">
        <w:rPr>
          <w:szCs w:val="22"/>
          <w:lang w:val="sk-SK"/>
        </w:rPr>
        <w:t xml:space="preserve"> je indikovan</w:t>
      </w:r>
      <w:r>
        <w:rPr>
          <w:szCs w:val="22"/>
          <w:lang w:val="sk-SK"/>
        </w:rPr>
        <w:t>ý</w:t>
      </w:r>
      <w:r w:rsidR="003E4182" w:rsidRPr="000A6CA9">
        <w:rPr>
          <w:szCs w:val="22"/>
          <w:lang w:val="sk-SK"/>
        </w:rPr>
        <w:t xml:space="preserve"> na pravidelnú liečbu astmy, keď je vhodné použiť</w:t>
      </w:r>
      <w:r w:rsidR="003E4182" w:rsidRPr="000A6CA9">
        <w:rPr>
          <w:color w:val="000000"/>
          <w:szCs w:val="22"/>
          <w:lang w:val="sk-SK"/>
        </w:rPr>
        <w:t xml:space="preserve"> kombinovaný liek (dlhodobo účinný beta</w:t>
      </w:r>
      <w:r w:rsidR="003E4182" w:rsidRPr="00E1502E">
        <w:rPr>
          <w:color w:val="000000"/>
          <w:szCs w:val="22"/>
          <w:vertAlign w:val="subscript"/>
          <w:lang w:val="sk-SK"/>
        </w:rPr>
        <w:t>2</w:t>
      </w:r>
      <w:r w:rsidR="003E4182">
        <w:rPr>
          <w:color w:val="000000"/>
          <w:szCs w:val="22"/>
          <w:lang w:val="sk-SK"/>
        </w:rPr>
        <w:t>-</w:t>
      </w:r>
      <w:r w:rsidR="003E4182" w:rsidRPr="000A6CA9">
        <w:rPr>
          <w:color w:val="000000"/>
          <w:szCs w:val="22"/>
          <w:lang w:val="sk-SK"/>
        </w:rPr>
        <w:t>agonista a</w:t>
      </w:r>
      <w:r w:rsidR="003E4182" w:rsidRPr="000E0523">
        <w:rPr>
          <w:lang w:val="sk-SK"/>
        </w:rPr>
        <w:t> </w:t>
      </w:r>
      <w:r w:rsidR="003E4182" w:rsidRPr="000A6CA9">
        <w:rPr>
          <w:color w:val="000000"/>
          <w:szCs w:val="22"/>
          <w:lang w:val="sk-SK"/>
        </w:rPr>
        <w:t xml:space="preserve">inhalačný </w:t>
      </w:r>
      <w:proofErr w:type="spellStart"/>
      <w:r w:rsidR="00CC6230">
        <w:rPr>
          <w:color w:val="000000"/>
          <w:szCs w:val="22"/>
          <w:lang w:val="sk-SK"/>
        </w:rPr>
        <w:t>gluko</w:t>
      </w:r>
      <w:r w:rsidR="003E4182" w:rsidRPr="000A6CA9">
        <w:rPr>
          <w:color w:val="000000"/>
          <w:szCs w:val="22"/>
          <w:lang w:val="sk-SK"/>
        </w:rPr>
        <w:t>kortikosteroid</w:t>
      </w:r>
      <w:proofErr w:type="spellEnd"/>
      <w:r w:rsidR="003E4182" w:rsidRPr="000A6CA9">
        <w:rPr>
          <w:color w:val="000000"/>
          <w:szCs w:val="22"/>
          <w:lang w:val="sk-SK"/>
        </w:rPr>
        <w:t>):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"/>
        <w:rPr>
          <w:color w:val="000000"/>
          <w:szCs w:val="22"/>
          <w:lang w:val="sk-SK"/>
        </w:rPr>
      </w:pPr>
    </w:p>
    <w:p w:rsidR="003E4182" w:rsidRPr="000A6CA9" w:rsidRDefault="003E4182" w:rsidP="008B06E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 w:rsidRPr="000A6CA9">
        <w:rPr>
          <w:szCs w:val="22"/>
          <w:lang w:val="sk-SK" w:eastAsia="cs-CZ"/>
        </w:rPr>
        <w:t>-</w:t>
      </w:r>
      <w:r w:rsidRPr="000A6CA9">
        <w:rPr>
          <w:szCs w:val="22"/>
          <w:lang w:val="sk-SK" w:eastAsia="cs-CZ"/>
        </w:rPr>
        <w:tab/>
        <w:t xml:space="preserve">pacientom, ktorých stav nie je dostatočne kontrolovaný inhalačnými </w:t>
      </w:r>
      <w:proofErr w:type="spellStart"/>
      <w:r w:rsidR="00CC6230">
        <w:rPr>
          <w:color w:val="000000"/>
          <w:szCs w:val="22"/>
          <w:lang w:val="sk-SK"/>
        </w:rPr>
        <w:t>gluko</w:t>
      </w:r>
      <w:r w:rsidRPr="000A6CA9">
        <w:rPr>
          <w:szCs w:val="22"/>
          <w:lang w:val="sk-SK" w:eastAsia="cs-CZ"/>
        </w:rPr>
        <w:t>kortikosteroidmi</w:t>
      </w:r>
      <w:proofErr w:type="spellEnd"/>
      <w:r w:rsidRPr="000A6CA9">
        <w:rPr>
          <w:szCs w:val="22"/>
          <w:lang w:val="sk-SK" w:eastAsia="cs-CZ"/>
        </w:rPr>
        <w:t xml:space="preserve"> a inhalačným krátkodobo pôsobiacim beta</w:t>
      </w:r>
      <w:r w:rsidRPr="00E1502E">
        <w:rPr>
          <w:szCs w:val="22"/>
          <w:vertAlign w:val="subscript"/>
          <w:lang w:val="sk-SK" w:eastAsia="cs-CZ"/>
        </w:rPr>
        <w:t>2</w:t>
      </w:r>
      <w:r>
        <w:rPr>
          <w:szCs w:val="22"/>
          <w:lang w:val="sk-SK" w:eastAsia="cs-CZ"/>
        </w:rPr>
        <w:t>-</w:t>
      </w:r>
      <w:r w:rsidRPr="000A6CA9">
        <w:rPr>
          <w:szCs w:val="22"/>
          <w:lang w:val="sk-SK" w:eastAsia="cs-CZ"/>
        </w:rPr>
        <w:t>agonistom používaným podľa potreby</w:t>
      </w:r>
    </w:p>
    <w:p w:rsidR="003E4182" w:rsidRPr="000A6CA9" w:rsidRDefault="003E4182" w:rsidP="0098255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cs-CZ"/>
        </w:rPr>
      </w:pPr>
    </w:p>
    <w:p w:rsidR="003E4182" w:rsidRPr="000A6CA9" w:rsidRDefault="003E4182" w:rsidP="0098255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cs-CZ"/>
        </w:rPr>
      </w:pPr>
      <w:r w:rsidRPr="000A6CA9">
        <w:rPr>
          <w:szCs w:val="22"/>
          <w:lang w:val="sk-SK" w:eastAsia="cs-CZ"/>
        </w:rPr>
        <w:t>alebo</w:t>
      </w:r>
    </w:p>
    <w:p w:rsidR="003E4182" w:rsidRPr="000A6CA9" w:rsidRDefault="003E4182" w:rsidP="0098255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cs-CZ"/>
        </w:rPr>
      </w:pPr>
    </w:p>
    <w:p w:rsidR="003E4182" w:rsidRPr="000A6CA9" w:rsidRDefault="003E4182" w:rsidP="008B06E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 w:rsidRPr="000A6CA9">
        <w:rPr>
          <w:szCs w:val="22"/>
          <w:lang w:val="sk-SK" w:eastAsia="cs-CZ"/>
        </w:rPr>
        <w:t>-</w:t>
      </w:r>
      <w:r w:rsidRPr="000A6CA9">
        <w:rPr>
          <w:szCs w:val="22"/>
          <w:lang w:val="sk-SK" w:eastAsia="cs-CZ"/>
        </w:rPr>
        <w:tab/>
        <w:t xml:space="preserve">pacientom, ktorých stav už je dostatočne kontrolovaný inhalačným </w:t>
      </w:r>
      <w:proofErr w:type="spellStart"/>
      <w:r w:rsidR="00CC6230">
        <w:rPr>
          <w:color w:val="000000"/>
          <w:szCs w:val="22"/>
          <w:lang w:val="sk-SK"/>
        </w:rPr>
        <w:t>gluko</w:t>
      </w:r>
      <w:r w:rsidRPr="000A6CA9">
        <w:rPr>
          <w:szCs w:val="22"/>
          <w:lang w:val="sk-SK" w:eastAsia="cs-CZ"/>
        </w:rPr>
        <w:t>kortikosteroidom</w:t>
      </w:r>
      <w:proofErr w:type="spellEnd"/>
      <w:r w:rsidRPr="000A6CA9">
        <w:rPr>
          <w:szCs w:val="22"/>
          <w:lang w:val="sk-SK" w:eastAsia="cs-CZ"/>
        </w:rPr>
        <w:t xml:space="preserve"> aj dlhodobo pôsobiacim beta</w:t>
      </w:r>
      <w:r w:rsidRPr="00E1502E">
        <w:rPr>
          <w:szCs w:val="22"/>
          <w:vertAlign w:val="subscript"/>
          <w:lang w:val="sk-SK" w:eastAsia="cs-CZ"/>
        </w:rPr>
        <w:t>2</w:t>
      </w:r>
      <w:r>
        <w:rPr>
          <w:szCs w:val="22"/>
          <w:lang w:val="sk-SK" w:eastAsia="cs-CZ"/>
        </w:rPr>
        <w:t>-</w:t>
      </w:r>
      <w:r w:rsidRPr="000A6CA9">
        <w:rPr>
          <w:szCs w:val="22"/>
          <w:lang w:val="sk-SK" w:eastAsia="cs-CZ"/>
        </w:rPr>
        <w:t>agonistom.</w:t>
      </w:r>
    </w:p>
    <w:p w:rsidR="003E4182" w:rsidRPr="000A6CA9" w:rsidRDefault="003E4182" w:rsidP="008B06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CA21E4">
      <w:pPr>
        <w:keepNext/>
        <w:widowControl w:val="0"/>
        <w:spacing w:line="240" w:lineRule="auto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lastRenderedPageBreak/>
        <w:t>4.2</w:t>
      </w:r>
      <w:r w:rsidRPr="000A6CA9">
        <w:rPr>
          <w:b/>
          <w:szCs w:val="22"/>
          <w:lang w:val="sk-SK"/>
        </w:rPr>
        <w:tab/>
        <w:t>Dávkovanie a spôsob podávania</w:t>
      </w: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474110" w:rsidP="000C2F36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A6CA9">
        <w:rPr>
          <w:szCs w:val="22"/>
          <w:lang w:val="sk-SK"/>
        </w:rPr>
        <w:t xml:space="preserve"> je indikovan</w:t>
      </w:r>
      <w:r>
        <w:rPr>
          <w:szCs w:val="22"/>
          <w:lang w:val="sk-SK"/>
        </w:rPr>
        <w:t>ý</w:t>
      </w:r>
      <w:r w:rsidR="003E4182" w:rsidRPr="000A6CA9">
        <w:rPr>
          <w:szCs w:val="22"/>
          <w:lang w:val="sk-SK"/>
        </w:rPr>
        <w:t xml:space="preserve"> iba dospelým vo</w:t>
      </w:r>
      <w:r w:rsidR="003E4182">
        <w:rPr>
          <w:szCs w:val="22"/>
          <w:lang w:val="sk-SK"/>
        </w:rPr>
        <w:t xml:space="preserve"> </w:t>
      </w:r>
      <w:r w:rsidR="003E4182" w:rsidRPr="000A6CA9">
        <w:rPr>
          <w:szCs w:val="22"/>
          <w:lang w:val="sk-SK"/>
        </w:rPr>
        <w:t>veku 18 rokov a starším.</w:t>
      </w:r>
    </w:p>
    <w:p w:rsidR="00CC6230" w:rsidRDefault="00CC6230" w:rsidP="000C2F3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E4182" w:rsidRPr="000A6CA9" w:rsidRDefault="00474110" w:rsidP="000C2F36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A6CA9">
        <w:rPr>
          <w:szCs w:val="22"/>
          <w:lang w:val="sk-SK"/>
        </w:rPr>
        <w:t xml:space="preserve"> nie je indikovan</w:t>
      </w:r>
      <w:r>
        <w:rPr>
          <w:szCs w:val="22"/>
          <w:lang w:val="sk-SK"/>
        </w:rPr>
        <w:t>ý</w:t>
      </w:r>
      <w:r w:rsidR="003E4182" w:rsidRPr="000A6CA9">
        <w:rPr>
          <w:szCs w:val="22"/>
          <w:lang w:val="sk-SK"/>
        </w:rPr>
        <w:t xml:space="preserve"> deťom vo</w:t>
      </w:r>
      <w:r w:rsidR="003E4182">
        <w:rPr>
          <w:szCs w:val="22"/>
          <w:lang w:val="sk-SK"/>
        </w:rPr>
        <w:t xml:space="preserve"> </w:t>
      </w:r>
      <w:r w:rsidR="003E4182" w:rsidRPr="000A6CA9">
        <w:rPr>
          <w:szCs w:val="22"/>
          <w:lang w:val="sk-SK"/>
        </w:rPr>
        <w:t>veku 12 rokov a mladším alebo</w:t>
      </w:r>
      <w:r w:rsidR="003E4182">
        <w:rPr>
          <w:szCs w:val="22"/>
          <w:lang w:val="sk-SK"/>
        </w:rPr>
        <w:t xml:space="preserve"> </w:t>
      </w:r>
      <w:r w:rsidR="003E4182" w:rsidRPr="000A6CA9">
        <w:rPr>
          <w:szCs w:val="22"/>
          <w:lang w:val="sk-SK"/>
        </w:rPr>
        <w:t>dospievajúcim vo</w:t>
      </w:r>
      <w:r w:rsidR="003E4182">
        <w:rPr>
          <w:szCs w:val="22"/>
          <w:lang w:val="sk-SK"/>
        </w:rPr>
        <w:t xml:space="preserve"> </w:t>
      </w:r>
      <w:r w:rsidR="003E4182" w:rsidRPr="000A6CA9">
        <w:rPr>
          <w:szCs w:val="22"/>
          <w:lang w:val="sk-SK"/>
        </w:rPr>
        <w:t>veku 13 až 17 rokov.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A6CA9">
        <w:rPr>
          <w:szCs w:val="22"/>
          <w:u w:val="single"/>
          <w:lang w:val="sk-SK"/>
        </w:rPr>
        <w:t>Dávkovanie</w:t>
      </w: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0A6CA9">
        <w:rPr>
          <w:bCs/>
          <w:szCs w:val="22"/>
          <w:lang w:val="sk-SK"/>
        </w:rPr>
        <w:t xml:space="preserve">Pacienti majú byť upozornení, že na dosiahnutie optimálneho účinku sa </w:t>
      </w:r>
      <w:proofErr w:type="spellStart"/>
      <w:r w:rsidR="00AC31E6" w:rsidRPr="00E6584E">
        <w:rPr>
          <w:bCs/>
          <w:szCs w:val="22"/>
          <w:lang w:val="sk-SK"/>
        </w:rPr>
        <w:t>salmeterol</w:t>
      </w:r>
      <w:proofErr w:type="spellEnd"/>
      <w:r w:rsidR="00AC31E6">
        <w:rPr>
          <w:bCs/>
          <w:szCs w:val="22"/>
          <w:lang w:val="sk-SK"/>
        </w:rPr>
        <w:t>/</w:t>
      </w:r>
      <w:proofErr w:type="spellStart"/>
      <w:r w:rsidR="00AC31E6" w:rsidRPr="00E6584E">
        <w:rPr>
          <w:color w:val="000000"/>
          <w:szCs w:val="22"/>
          <w:lang w:val="sk-SK"/>
        </w:rPr>
        <w:t>flutikazónpropionát</w:t>
      </w:r>
      <w:proofErr w:type="spellEnd"/>
      <w:r w:rsidRPr="000A6CA9">
        <w:rPr>
          <w:bCs/>
          <w:szCs w:val="22"/>
          <w:lang w:val="sk-SK"/>
        </w:rPr>
        <w:t xml:space="preserve"> musí používať každý deň, dokonca aj počas </w:t>
      </w:r>
      <w:proofErr w:type="spellStart"/>
      <w:r w:rsidRPr="000A6CA9">
        <w:rPr>
          <w:bCs/>
          <w:szCs w:val="22"/>
          <w:lang w:val="sk-SK"/>
        </w:rPr>
        <w:t>asymptomatického</w:t>
      </w:r>
      <w:proofErr w:type="spellEnd"/>
      <w:r w:rsidRPr="000A6CA9">
        <w:rPr>
          <w:bCs/>
          <w:szCs w:val="22"/>
          <w:lang w:val="sk-SK"/>
        </w:rPr>
        <w:t xml:space="preserve"> obdobia.</w:t>
      </w:r>
    </w:p>
    <w:p w:rsidR="003E4182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0A6CA9">
        <w:rPr>
          <w:szCs w:val="22"/>
          <w:lang w:val="sk-SK"/>
        </w:rPr>
        <w:t xml:space="preserve">Pacienti majú byť pravidelne kontrolovaní lekárom, aby sila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u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u</w:t>
      </w:r>
      <w:proofErr w:type="spellEnd"/>
      <w:r w:rsidRPr="000A6CA9">
        <w:rPr>
          <w:szCs w:val="22"/>
          <w:lang w:val="sk-SK"/>
        </w:rPr>
        <w:t>, ktorú užívajú, bola vždy optimálna a</w:t>
      </w:r>
      <w:r w:rsidRPr="000E0523">
        <w:rPr>
          <w:lang w:val="sk-SK"/>
        </w:rPr>
        <w:t> </w:t>
      </w:r>
      <w:r w:rsidRPr="000A6CA9">
        <w:rPr>
          <w:szCs w:val="22"/>
          <w:lang w:val="sk-SK"/>
        </w:rPr>
        <w:t xml:space="preserve">bola menená len na odporúčanie lekára. </w:t>
      </w:r>
      <w:r w:rsidRPr="000A6CA9">
        <w:rPr>
          <w:b/>
          <w:bCs/>
          <w:szCs w:val="22"/>
          <w:lang w:val="sk-SK"/>
        </w:rPr>
        <w:t xml:space="preserve">Dávka má byť </w:t>
      </w:r>
      <w:proofErr w:type="spellStart"/>
      <w:r w:rsidRPr="000A6CA9">
        <w:rPr>
          <w:b/>
          <w:bCs/>
          <w:szCs w:val="22"/>
          <w:lang w:val="sk-SK"/>
        </w:rPr>
        <w:t>titrovaná</w:t>
      </w:r>
      <w:proofErr w:type="spellEnd"/>
      <w:r w:rsidRPr="000A6CA9">
        <w:rPr>
          <w:b/>
          <w:bCs/>
          <w:szCs w:val="22"/>
          <w:lang w:val="sk-SK"/>
        </w:rPr>
        <w:t xml:space="preserve"> na najnižšiu možnú dávku, ktorá účinne udrží príznaky pod kontrolou. </w:t>
      </w:r>
      <w:r w:rsidRPr="000A6CA9">
        <w:rPr>
          <w:b/>
          <w:szCs w:val="22"/>
          <w:lang w:val="sk-SK"/>
        </w:rPr>
        <w:t xml:space="preserve">Poznámka: </w:t>
      </w:r>
      <w:proofErr w:type="spellStart"/>
      <w:r w:rsidR="00474110">
        <w:rPr>
          <w:b/>
          <w:szCs w:val="22"/>
          <w:lang w:val="sk-SK"/>
        </w:rPr>
        <w:t>Serkep</w:t>
      </w:r>
      <w:proofErr w:type="spellEnd"/>
      <w:r w:rsidRPr="000A6CA9">
        <w:rPr>
          <w:b/>
          <w:szCs w:val="22"/>
          <w:lang w:val="sk-SK"/>
        </w:rPr>
        <w:t xml:space="preserve"> je k dispozícii len v dvoch silách</w:t>
      </w:r>
      <w:r w:rsidR="00AC31E6">
        <w:rPr>
          <w:b/>
          <w:szCs w:val="22"/>
          <w:lang w:val="sk-SK"/>
        </w:rPr>
        <w:t>;</w:t>
      </w:r>
      <w:r w:rsidR="00AC31E6" w:rsidRPr="000A6CA9">
        <w:rPr>
          <w:b/>
          <w:szCs w:val="22"/>
          <w:lang w:val="sk-SK"/>
        </w:rPr>
        <w:t xml:space="preserve"> </w:t>
      </w:r>
      <w:r w:rsidRPr="000A6CA9">
        <w:rPr>
          <w:b/>
          <w:szCs w:val="22"/>
          <w:u w:val="single"/>
          <w:lang w:val="sk-SK"/>
        </w:rPr>
        <w:t>nie</w:t>
      </w:r>
      <w:r w:rsidRPr="000A6CA9">
        <w:rPr>
          <w:b/>
          <w:szCs w:val="22"/>
          <w:lang w:val="sk-SK"/>
        </w:rPr>
        <w:t xml:space="preserve"> je k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dispozícii v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nižšej sile obsahujúcej 25 </w:t>
      </w:r>
      <w:proofErr w:type="spellStart"/>
      <w:r w:rsidRPr="000A6CA9">
        <w:rPr>
          <w:b/>
          <w:szCs w:val="22"/>
          <w:lang w:val="sk-SK"/>
        </w:rPr>
        <w:t>mikrogramov</w:t>
      </w:r>
      <w:proofErr w:type="spellEnd"/>
      <w:r w:rsidRPr="000A6CA9">
        <w:rPr>
          <w:b/>
          <w:szCs w:val="22"/>
          <w:lang w:val="sk-SK"/>
        </w:rPr>
        <w:t xml:space="preserve"> </w:t>
      </w:r>
      <w:proofErr w:type="spellStart"/>
      <w:r w:rsidRPr="000A6CA9">
        <w:rPr>
          <w:b/>
          <w:szCs w:val="22"/>
          <w:lang w:val="sk-SK"/>
        </w:rPr>
        <w:t>salmeterolu</w:t>
      </w:r>
      <w:proofErr w:type="spellEnd"/>
      <w:r w:rsidRPr="000A6CA9">
        <w:rPr>
          <w:b/>
          <w:szCs w:val="22"/>
          <w:lang w:val="sk-SK"/>
        </w:rPr>
        <w:t xml:space="preserve"> a 50 </w:t>
      </w:r>
      <w:proofErr w:type="spellStart"/>
      <w:r w:rsidRPr="000A6CA9">
        <w:rPr>
          <w:b/>
          <w:szCs w:val="22"/>
          <w:lang w:val="sk-SK"/>
        </w:rPr>
        <w:t>mikrogramov</w:t>
      </w:r>
      <w:proofErr w:type="spellEnd"/>
      <w:r w:rsidRPr="000A6CA9">
        <w:rPr>
          <w:b/>
          <w:szCs w:val="22"/>
          <w:lang w:val="sk-SK"/>
        </w:rPr>
        <w:t xml:space="preserve"> </w:t>
      </w:r>
      <w:proofErr w:type="spellStart"/>
      <w:r w:rsidRPr="000A6CA9">
        <w:rPr>
          <w:b/>
          <w:szCs w:val="22"/>
          <w:lang w:val="sk-SK"/>
        </w:rPr>
        <w:t>flutikazónpropionátu</w:t>
      </w:r>
      <w:proofErr w:type="spellEnd"/>
      <w:r>
        <w:rPr>
          <w:b/>
          <w:szCs w:val="22"/>
          <w:lang w:val="sk-SK"/>
        </w:rPr>
        <w:t>, d</w:t>
      </w:r>
      <w:r w:rsidRPr="000A6CA9">
        <w:rPr>
          <w:b/>
          <w:szCs w:val="22"/>
          <w:lang w:val="sk-SK"/>
        </w:rPr>
        <w:t>aná sila je dostupná u iných podobných liekov s fixnou kombináciou obsahujúcich tieto dve liečivá a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v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súčasnosti uvedených na trhu.</w:t>
      </w:r>
      <w:r w:rsidRPr="000A6CA9">
        <w:rPr>
          <w:szCs w:val="22"/>
          <w:lang w:val="sk-SK"/>
        </w:rPr>
        <w:t xml:space="preserve"> Ak je vhodné </w:t>
      </w:r>
      <w:proofErr w:type="spellStart"/>
      <w:r w:rsidRPr="000A6CA9">
        <w:rPr>
          <w:szCs w:val="22"/>
          <w:lang w:val="sk-SK"/>
        </w:rPr>
        <w:t>titrovaním</w:t>
      </w:r>
      <w:proofErr w:type="spellEnd"/>
      <w:r w:rsidRPr="000A6CA9">
        <w:rPr>
          <w:szCs w:val="22"/>
          <w:lang w:val="sk-SK"/>
        </w:rPr>
        <w:t xml:space="preserve"> znížiť dávku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 xml:space="preserve"> pod 125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, je z tohto dôvodu potrebné prejsť na alternatívnu fixnú kombináciu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, ktorá obsahuje nižšiu dávku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0A6CA9">
        <w:rPr>
          <w:b/>
          <w:szCs w:val="22"/>
          <w:lang w:val="sk-SK"/>
        </w:rPr>
        <w:t>Ak sa s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najnižšou silou takejto alternatívnej fixnej kombinácie, podávanej dvakrát denne, dlhodobo udržia príznaky pod kontrolou, tak v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 xml:space="preserve">ďalšom kroku by sa mohol skúsiť len samotný inhalačný </w:t>
      </w:r>
      <w:proofErr w:type="spellStart"/>
      <w:r w:rsidR="00CC6230" w:rsidRPr="000E0523">
        <w:rPr>
          <w:b/>
          <w:szCs w:val="22"/>
          <w:lang w:val="sk-SK"/>
        </w:rPr>
        <w:t>gluko</w:t>
      </w:r>
      <w:r w:rsidRPr="000A6CA9">
        <w:rPr>
          <w:b/>
          <w:szCs w:val="22"/>
          <w:lang w:val="sk-SK"/>
        </w:rPr>
        <w:t>kortikosteroid</w:t>
      </w:r>
      <w:proofErr w:type="spellEnd"/>
      <w:r w:rsidRPr="000A6CA9">
        <w:rPr>
          <w:b/>
          <w:szCs w:val="22"/>
          <w:lang w:val="sk-SK"/>
        </w:rPr>
        <w:t>.</w:t>
      </w:r>
      <w:r w:rsidRPr="000A6CA9">
        <w:rPr>
          <w:szCs w:val="22"/>
          <w:lang w:val="sk-SK"/>
        </w:rPr>
        <w:t xml:space="preserve"> Pacienti, ktorí skôr ako liečbu samotným inhalačným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kortikosteroidom</w:t>
      </w:r>
      <w:proofErr w:type="spellEnd"/>
      <w:r w:rsidRPr="000A6CA9">
        <w:rPr>
          <w:szCs w:val="22"/>
          <w:lang w:val="sk-SK"/>
        </w:rPr>
        <w:t xml:space="preserve"> vyžadujú liečbu dlhodobo pôsobiacim beta</w:t>
      </w:r>
      <w:r w:rsidRPr="00E1502E">
        <w:rPr>
          <w:szCs w:val="22"/>
          <w:vertAlign w:val="subscript"/>
          <w:lang w:val="sk-SK"/>
        </w:rPr>
        <w:t>2</w:t>
      </w:r>
      <w:r>
        <w:rPr>
          <w:szCs w:val="22"/>
          <w:lang w:val="sk-SK"/>
        </w:rPr>
        <w:t>-</w:t>
      </w:r>
      <w:r w:rsidRPr="000A6CA9">
        <w:rPr>
          <w:szCs w:val="22"/>
          <w:lang w:val="sk-SK"/>
        </w:rPr>
        <w:t xml:space="preserve">agonistom, majú možnosť byť </w:t>
      </w:r>
      <w:proofErr w:type="spellStart"/>
      <w:r w:rsidRPr="000A6CA9">
        <w:rPr>
          <w:szCs w:val="22"/>
          <w:lang w:val="sk-SK"/>
        </w:rPr>
        <w:t>titrovaní</w:t>
      </w:r>
      <w:proofErr w:type="spellEnd"/>
      <w:r w:rsidRPr="000A6CA9">
        <w:rPr>
          <w:szCs w:val="22"/>
          <w:lang w:val="sk-SK"/>
        </w:rPr>
        <w:t xml:space="preserve"> na najnižšiu silu tejto alternatívnej fixnej kombinácie, podávanej jedenkrát denne, pokiaľ je to podľa predpisujúceho lekára dostatočné na udržanie ochorenia pod kontrolou. Ak sa u pacienta vyskytujú príznak</w:t>
      </w:r>
      <w:r>
        <w:rPr>
          <w:szCs w:val="22"/>
          <w:lang w:val="sk-SK"/>
        </w:rPr>
        <w:t>y</w:t>
      </w:r>
      <w:r w:rsidRPr="000A6CA9">
        <w:rPr>
          <w:szCs w:val="22"/>
          <w:lang w:val="sk-SK"/>
        </w:rPr>
        <w:t xml:space="preserve">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noci, má byť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prípade dávkovania jedenkrát denne dávka podaná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noci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 a</w:t>
      </w:r>
      <w:r w:rsidRPr="000E0523">
        <w:rPr>
          <w:lang w:val="sk-SK"/>
        </w:rPr>
        <w:t> </w:t>
      </w:r>
      <w:r w:rsidRPr="000A6CA9">
        <w:rPr>
          <w:szCs w:val="22"/>
          <w:lang w:val="sk-SK"/>
        </w:rPr>
        <w:t>ak sa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pacient</w:t>
      </w:r>
      <w:r>
        <w:rPr>
          <w:szCs w:val="22"/>
          <w:lang w:val="sk-SK"/>
        </w:rPr>
        <w:t>a</w:t>
      </w:r>
      <w:r w:rsidRPr="000A6CA9">
        <w:rPr>
          <w:szCs w:val="22"/>
          <w:lang w:val="sk-SK"/>
        </w:rPr>
        <w:t xml:space="preserve"> vyskytujú príznaky najmä cez deň, dávka má byť podaná ráno.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3E4182" w:rsidRPr="000A6CA9" w:rsidRDefault="00474110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>
        <w:rPr>
          <w:bCs/>
          <w:szCs w:val="22"/>
          <w:lang w:val="sk-SK"/>
        </w:rPr>
        <w:t>Serkep</w:t>
      </w:r>
      <w:proofErr w:type="spellEnd"/>
      <w:r w:rsidR="003E4182" w:rsidRPr="000A6CA9">
        <w:rPr>
          <w:bCs/>
          <w:szCs w:val="22"/>
          <w:lang w:val="sk-SK"/>
        </w:rPr>
        <w:t xml:space="preserve"> sa nemá používať u pacientov s miernou astmou. Použitie </w:t>
      </w:r>
      <w:proofErr w:type="spellStart"/>
      <w:r w:rsidR="003E4182" w:rsidRPr="000A6CA9">
        <w:rPr>
          <w:bCs/>
          <w:szCs w:val="22"/>
          <w:lang w:val="sk-SK"/>
        </w:rPr>
        <w:t>S</w:t>
      </w:r>
      <w:r>
        <w:rPr>
          <w:bCs/>
          <w:szCs w:val="22"/>
          <w:lang w:val="sk-SK"/>
        </w:rPr>
        <w:t>erkepu</w:t>
      </w:r>
      <w:proofErr w:type="spellEnd"/>
      <w:r w:rsidR="003E4182" w:rsidRPr="000A6CA9">
        <w:rPr>
          <w:bCs/>
          <w:szCs w:val="22"/>
          <w:lang w:val="sk-SK"/>
        </w:rPr>
        <w:t xml:space="preserve"> sa môže zvážiť u pacientov so stredne ťažkou perzistujúcou astmou, ale len ak s nižšou silou lieku, ktorý obsahuje nižšiu dávku </w:t>
      </w:r>
      <w:proofErr w:type="spellStart"/>
      <w:r w:rsidR="00CC6230">
        <w:rPr>
          <w:szCs w:val="22"/>
          <w:lang w:val="sk-SK"/>
        </w:rPr>
        <w:t>gluko</w:t>
      </w:r>
      <w:r w:rsidR="003E4182" w:rsidRPr="000A6CA9">
        <w:rPr>
          <w:bCs/>
          <w:szCs w:val="22"/>
          <w:lang w:val="sk-SK"/>
        </w:rPr>
        <w:t>kortikosteroidu</w:t>
      </w:r>
      <w:proofErr w:type="spellEnd"/>
      <w:r w:rsidR="003E4182" w:rsidRPr="000A6CA9">
        <w:rPr>
          <w:bCs/>
          <w:szCs w:val="22"/>
          <w:lang w:val="sk-SK"/>
        </w:rPr>
        <w:t>, nemožno udržať príznaky pod kontrolou.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Pacientom sa má podávať taká sila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u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u</w:t>
      </w:r>
      <w:proofErr w:type="spellEnd"/>
      <w:r w:rsidRPr="000A6CA9">
        <w:rPr>
          <w:szCs w:val="22"/>
          <w:lang w:val="sk-SK"/>
        </w:rPr>
        <w:t xml:space="preserve">, ktorá obsahuje dávku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zodpovedajúcu závažnosti ich ochorenia. Ak sú u niektorého pacienta potrebné dávky mimo odporúčanej schémy, je potrebné predpísať príslušné dávky beta</w:t>
      </w:r>
      <w:r w:rsidRPr="00E1502E">
        <w:rPr>
          <w:szCs w:val="22"/>
          <w:vertAlign w:val="subscript"/>
          <w:lang w:val="sk-SK"/>
        </w:rPr>
        <w:t>2</w:t>
      </w:r>
      <w:r>
        <w:rPr>
          <w:szCs w:val="22"/>
          <w:lang w:val="sk-SK"/>
        </w:rPr>
        <w:t>-</w:t>
      </w:r>
      <w:r w:rsidRPr="000A6CA9">
        <w:rPr>
          <w:szCs w:val="22"/>
          <w:lang w:val="sk-SK"/>
        </w:rPr>
        <w:t xml:space="preserve">agonistu a/alebo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0A6CA9">
        <w:rPr>
          <w:color w:val="000000"/>
          <w:szCs w:val="22"/>
          <w:u w:val="single"/>
          <w:lang w:val="sk-SK"/>
        </w:rPr>
        <w:t>Odporúčané dávky:</w:t>
      </w: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lang w:val="sk-SK"/>
        </w:rPr>
      </w:pPr>
      <w:r w:rsidRPr="000A6CA9">
        <w:rPr>
          <w:i/>
          <w:color w:val="000000"/>
          <w:szCs w:val="22"/>
          <w:lang w:val="sk-SK"/>
        </w:rPr>
        <w:t>Dospelí vo veku 18 rokov a starší:</w:t>
      </w:r>
    </w:p>
    <w:p w:rsidR="003E4182" w:rsidRPr="000A6CA9" w:rsidRDefault="003E4182" w:rsidP="00CA21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lang w:val="sk-SK"/>
        </w:rPr>
      </w:pPr>
    </w:p>
    <w:p w:rsidR="003E4182" w:rsidRPr="000A6CA9" w:rsidRDefault="003E4182" w:rsidP="00CA21E4">
      <w:pPr>
        <w:keepNext/>
        <w:widowControl w:val="0"/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-</w:t>
      </w:r>
      <w:r w:rsidRPr="000A6CA9">
        <w:rPr>
          <w:color w:val="000000"/>
          <w:szCs w:val="22"/>
          <w:lang w:val="sk-SK"/>
        </w:rPr>
        <w:tab/>
        <w:t>Dve inhalácie 25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125 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 xml:space="preserve"> dvakrát denne.</w:t>
      </w:r>
    </w:p>
    <w:p w:rsidR="003E4182" w:rsidRPr="000A6CA9" w:rsidRDefault="003E4182" w:rsidP="003F5C43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44DEC" w:rsidRDefault="003E4182" w:rsidP="003F5C43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sk-SK"/>
        </w:rPr>
      </w:pPr>
      <w:r w:rsidRPr="00044DEC">
        <w:rPr>
          <w:color w:val="000000"/>
          <w:szCs w:val="22"/>
          <w:highlight w:val="lightGray"/>
          <w:lang w:val="sk-SK"/>
        </w:rPr>
        <w:t>alebo</w:t>
      </w:r>
    </w:p>
    <w:p w:rsidR="003E4182" w:rsidRPr="00044DEC" w:rsidRDefault="003E4182" w:rsidP="003F5C43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sk-SK"/>
        </w:rPr>
      </w:pPr>
    </w:p>
    <w:p w:rsidR="003E4182" w:rsidRPr="00044DEC" w:rsidRDefault="003E4182" w:rsidP="00CA21E4">
      <w:p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highlight w:val="lightGray"/>
          <w:lang w:val="sk-SK"/>
        </w:rPr>
      </w:pPr>
      <w:r w:rsidRPr="00044DEC">
        <w:rPr>
          <w:color w:val="000000"/>
          <w:szCs w:val="22"/>
          <w:highlight w:val="lightGray"/>
          <w:lang w:val="sk-SK"/>
        </w:rPr>
        <w:t>-</w:t>
      </w:r>
      <w:r w:rsidRPr="00044DEC">
        <w:rPr>
          <w:color w:val="000000"/>
          <w:szCs w:val="22"/>
          <w:highlight w:val="lightGray"/>
          <w:lang w:val="sk-SK"/>
        </w:rPr>
        <w:tab/>
        <w:t>Dve inhalácie 25 </w:t>
      </w:r>
      <w:proofErr w:type="spellStart"/>
      <w:r w:rsidRPr="00044DEC">
        <w:rPr>
          <w:color w:val="000000"/>
          <w:szCs w:val="22"/>
          <w:highlight w:val="lightGray"/>
          <w:lang w:val="sk-SK"/>
        </w:rPr>
        <w:t>mikrogramov</w:t>
      </w:r>
      <w:proofErr w:type="spellEnd"/>
      <w:r w:rsidRPr="00044DEC">
        <w:rPr>
          <w:color w:val="000000"/>
          <w:szCs w:val="22"/>
          <w:highlight w:val="lightGray"/>
          <w:lang w:val="sk-SK"/>
        </w:rPr>
        <w:t xml:space="preserve"> </w:t>
      </w:r>
      <w:proofErr w:type="spellStart"/>
      <w:r w:rsidRPr="00044DEC">
        <w:rPr>
          <w:color w:val="000000"/>
          <w:szCs w:val="22"/>
          <w:highlight w:val="lightGray"/>
          <w:lang w:val="sk-SK"/>
        </w:rPr>
        <w:t>salmeterolu</w:t>
      </w:r>
      <w:proofErr w:type="spellEnd"/>
      <w:r w:rsidRPr="00044DEC">
        <w:rPr>
          <w:color w:val="000000"/>
          <w:szCs w:val="22"/>
          <w:highlight w:val="lightGray"/>
          <w:lang w:val="sk-SK"/>
        </w:rPr>
        <w:t xml:space="preserve"> a 250 </w:t>
      </w:r>
      <w:proofErr w:type="spellStart"/>
      <w:r w:rsidRPr="00044DEC">
        <w:rPr>
          <w:color w:val="000000"/>
          <w:szCs w:val="22"/>
          <w:highlight w:val="lightGray"/>
          <w:lang w:val="sk-SK"/>
        </w:rPr>
        <w:t>mikrogramov</w:t>
      </w:r>
      <w:proofErr w:type="spellEnd"/>
      <w:r w:rsidRPr="00044DEC">
        <w:rPr>
          <w:color w:val="000000"/>
          <w:szCs w:val="22"/>
          <w:highlight w:val="lightGray"/>
          <w:lang w:val="sk-SK"/>
        </w:rPr>
        <w:t xml:space="preserve"> </w:t>
      </w:r>
      <w:proofErr w:type="spellStart"/>
      <w:r w:rsidRPr="00044DEC">
        <w:rPr>
          <w:color w:val="000000"/>
          <w:szCs w:val="22"/>
          <w:highlight w:val="lightGray"/>
          <w:lang w:val="sk-SK"/>
        </w:rPr>
        <w:t>flutikazónpropionátu</w:t>
      </w:r>
      <w:proofErr w:type="spellEnd"/>
      <w:r w:rsidRPr="00044DEC">
        <w:rPr>
          <w:color w:val="000000"/>
          <w:szCs w:val="22"/>
          <w:highlight w:val="lightGray"/>
          <w:lang w:val="sk-SK"/>
        </w:rPr>
        <w:t xml:space="preserve"> dvakrát denne.</w:t>
      </w:r>
    </w:p>
    <w:p w:rsidR="003E4182" w:rsidRPr="00044DEC" w:rsidRDefault="003E4182" w:rsidP="00E912AD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Krátkodob</w:t>
      </w:r>
      <w:r>
        <w:rPr>
          <w:szCs w:val="22"/>
          <w:lang w:val="sk-SK"/>
        </w:rPr>
        <w:t>é</w:t>
      </w:r>
      <w:r w:rsidRPr="000A6CA9">
        <w:rPr>
          <w:szCs w:val="22"/>
          <w:lang w:val="sk-SK"/>
        </w:rPr>
        <w:t xml:space="preserve"> skúš</w:t>
      </w:r>
      <w:r>
        <w:rPr>
          <w:szCs w:val="22"/>
          <w:lang w:val="sk-SK"/>
        </w:rPr>
        <w:t>anie</w:t>
      </w:r>
      <w:r w:rsidRPr="000A6CA9">
        <w:rPr>
          <w:szCs w:val="22"/>
          <w:lang w:val="sk-SK"/>
        </w:rPr>
        <w:t xml:space="preserve"> so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možno považovať za </w:t>
      </w:r>
      <w:r>
        <w:rPr>
          <w:szCs w:val="22"/>
          <w:lang w:val="sk-SK"/>
        </w:rPr>
        <w:t>za</w:t>
      </w:r>
      <w:r w:rsidRPr="000A6CA9">
        <w:rPr>
          <w:szCs w:val="22"/>
          <w:lang w:val="sk-SK"/>
        </w:rPr>
        <w:t>čiatočnú udržiavaciu liečbu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dospelých so stredne ťažkou perzistujúcou astmou (definovaní ako pacienti s dennými príznakmi, dennou potrebou neodkladného podania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stredne ťažkou až ťažkou obštrukciou </w:t>
      </w:r>
      <w:r w:rsidRPr="000A6CA9">
        <w:rPr>
          <w:szCs w:val="22"/>
          <w:lang w:val="sk-SK"/>
        </w:rPr>
        <w:lastRenderedPageBreak/>
        <w:t>dýchacích ciest), pre ktorých je nevyhnutná rýchla kontrola astmy.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týchto prípadoch je odporúčaná </w:t>
      </w:r>
      <w:r>
        <w:rPr>
          <w:szCs w:val="22"/>
          <w:lang w:val="sk-SK"/>
        </w:rPr>
        <w:t>za</w:t>
      </w:r>
      <w:r w:rsidRPr="000A6CA9">
        <w:rPr>
          <w:szCs w:val="22"/>
          <w:lang w:val="sk-SK"/>
        </w:rPr>
        <w:t>čiatočná dávka dve inhalácie 25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 50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dvakrát denne. </w:t>
      </w:r>
      <w:r w:rsidRPr="000A6CA9">
        <w:rPr>
          <w:b/>
          <w:szCs w:val="22"/>
          <w:lang w:val="sk-SK"/>
        </w:rPr>
        <w:t xml:space="preserve">Poznámka: </w:t>
      </w:r>
      <w:proofErr w:type="spellStart"/>
      <w:r w:rsidR="00474110">
        <w:rPr>
          <w:b/>
          <w:szCs w:val="22"/>
          <w:lang w:val="sk-SK"/>
        </w:rPr>
        <w:t>Serkep</w:t>
      </w:r>
      <w:proofErr w:type="spellEnd"/>
      <w:r w:rsidRPr="000A6CA9">
        <w:rPr>
          <w:b/>
          <w:szCs w:val="22"/>
          <w:lang w:val="sk-SK"/>
        </w:rPr>
        <w:t xml:space="preserve"> v súčasnej dobe nie je dostupn</w:t>
      </w:r>
      <w:r w:rsidR="00474110">
        <w:rPr>
          <w:b/>
          <w:szCs w:val="22"/>
          <w:lang w:val="sk-SK"/>
        </w:rPr>
        <w:t>ý</w:t>
      </w:r>
      <w:r w:rsidRPr="000A6CA9">
        <w:rPr>
          <w:b/>
          <w:szCs w:val="22"/>
          <w:lang w:val="sk-SK"/>
        </w:rPr>
        <w:t xml:space="preserve"> na trhu v najnižšej sile tejto kombinácie, a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preto je u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 xml:space="preserve">dospelých so stredne ťažkou perzistujúcou astmou potrebné predpísať na </w:t>
      </w:r>
      <w:r>
        <w:rPr>
          <w:b/>
          <w:szCs w:val="22"/>
          <w:lang w:val="sk-SK"/>
        </w:rPr>
        <w:t>za</w:t>
      </w:r>
      <w:r w:rsidRPr="000A6CA9">
        <w:rPr>
          <w:b/>
          <w:szCs w:val="22"/>
          <w:lang w:val="sk-SK"/>
        </w:rPr>
        <w:t xml:space="preserve">čiatočnú udržiavaciu liečbu alternatívnu fixnú kombináciou </w:t>
      </w:r>
      <w:proofErr w:type="spellStart"/>
      <w:r w:rsidRPr="000A6CA9">
        <w:rPr>
          <w:b/>
          <w:szCs w:val="22"/>
          <w:lang w:val="sk-SK"/>
        </w:rPr>
        <w:t>salmeterolu</w:t>
      </w:r>
      <w:proofErr w:type="spellEnd"/>
      <w:r w:rsidRPr="000A6CA9">
        <w:rPr>
          <w:b/>
          <w:szCs w:val="22"/>
          <w:lang w:val="sk-SK"/>
        </w:rPr>
        <w:t xml:space="preserve"> a </w:t>
      </w:r>
      <w:proofErr w:type="spellStart"/>
      <w:r w:rsidRPr="000A6CA9">
        <w:rPr>
          <w:b/>
          <w:szCs w:val="22"/>
          <w:lang w:val="sk-SK"/>
        </w:rPr>
        <w:t>flutikazónpropionátu</w:t>
      </w:r>
      <w:proofErr w:type="spellEnd"/>
      <w:r w:rsidRPr="000A6CA9">
        <w:rPr>
          <w:b/>
          <w:szCs w:val="22"/>
          <w:lang w:val="sk-SK"/>
        </w:rPr>
        <w:t xml:space="preserve">, obsahujúcu nižšiu dávku inhalačného </w:t>
      </w:r>
      <w:proofErr w:type="spellStart"/>
      <w:r w:rsidR="00CC6230" w:rsidRPr="000E0523">
        <w:rPr>
          <w:b/>
          <w:szCs w:val="22"/>
          <w:lang w:val="sk-SK"/>
        </w:rPr>
        <w:t>gluko</w:t>
      </w:r>
      <w:r w:rsidRPr="000A6CA9">
        <w:rPr>
          <w:b/>
          <w:szCs w:val="22"/>
          <w:lang w:val="sk-SK"/>
        </w:rPr>
        <w:t>kortikosteroidu</w:t>
      </w:r>
      <w:proofErr w:type="spellEnd"/>
      <w:r w:rsidRPr="000A6CA9">
        <w:rPr>
          <w:b/>
          <w:szCs w:val="22"/>
          <w:lang w:val="sk-SK"/>
        </w:rPr>
        <w:t>.</w:t>
      </w:r>
      <w:r w:rsidRPr="000A6CA9">
        <w:rPr>
          <w:szCs w:val="22"/>
          <w:lang w:val="sk-SK"/>
        </w:rPr>
        <w:t xml:space="preserve"> Môže byť potrebné dávku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 xml:space="preserve"> zvýšiť, aby sa dosiahla kontrola príznakov astmy, ale hneď ako sa táto kontrola dosiahne, liečba sa má zhodnotiť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dávka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titrovať</w:t>
      </w:r>
      <w:proofErr w:type="spellEnd"/>
      <w:r w:rsidRPr="000A6CA9">
        <w:rPr>
          <w:szCs w:val="22"/>
          <w:lang w:val="sk-SK"/>
        </w:rPr>
        <w:t xml:space="preserve"> nadol na najnižšiu dávku, pri ktorej je zachovaná účinná kontrola symptómov. Je možné zvážiť, či by pacienti mali z najnižšej sily fixnej kombinácie prejsť na samotný inhalačný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</w:t>
      </w:r>
      <w:proofErr w:type="spellEnd"/>
      <w:r w:rsidRPr="000A6CA9">
        <w:rPr>
          <w:szCs w:val="22"/>
          <w:lang w:val="sk-SK"/>
        </w:rPr>
        <w:t>. Pri znižovaní liečby je dôležité pravidelné hodnotenie pacientov.</w:t>
      </w: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dstrike/>
          <w:color w:val="000000"/>
          <w:szCs w:val="22"/>
          <w:lang w:val="sk-SK" w:eastAsia="en-IN" w:bidi="gu-IN"/>
        </w:rPr>
      </w:pPr>
      <w:r w:rsidRPr="000A6CA9">
        <w:rPr>
          <w:szCs w:val="22"/>
          <w:lang w:val="sk-SK"/>
        </w:rPr>
        <w:t xml:space="preserve">Ak nie je splnené jedno alebo dve z kritérií závažnosti astmy, nebol preukázaný jasný prínos v porovnaní so samotným inhalačným 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používaným ako </w:t>
      </w:r>
      <w:r>
        <w:rPr>
          <w:szCs w:val="22"/>
          <w:lang w:val="sk-SK"/>
        </w:rPr>
        <w:t>za</w:t>
      </w:r>
      <w:r w:rsidRPr="000A6CA9">
        <w:rPr>
          <w:szCs w:val="22"/>
          <w:lang w:val="sk-SK"/>
        </w:rPr>
        <w:t>čiatočná udržiavacia liečba</w:t>
      </w:r>
      <w:r w:rsidRPr="000A6CA9">
        <w:rPr>
          <w:color w:val="000000"/>
          <w:szCs w:val="22"/>
          <w:lang w:val="sk-SK" w:eastAsia="en-IN" w:bidi="gu-IN"/>
        </w:rPr>
        <w:t xml:space="preserve">. </w:t>
      </w:r>
      <w:r w:rsidRPr="000A6CA9">
        <w:rPr>
          <w:szCs w:val="22"/>
          <w:lang w:val="sk-SK"/>
        </w:rPr>
        <w:t xml:space="preserve">Vo všeobecnosti inhalačné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kortikosteroidy</w:t>
      </w:r>
      <w:proofErr w:type="spellEnd"/>
      <w:r w:rsidRPr="000A6CA9">
        <w:rPr>
          <w:szCs w:val="22"/>
          <w:lang w:val="sk-SK"/>
        </w:rPr>
        <w:t xml:space="preserve"> zostávajú liekom prvej línie u väčšiny pacientov. </w:t>
      </w:r>
      <w:proofErr w:type="spellStart"/>
      <w:r w:rsidR="00474110">
        <w:rPr>
          <w:szCs w:val="22"/>
          <w:lang w:val="sk-SK"/>
        </w:rPr>
        <w:t>Serkep</w:t>
      </w:r>
      <w:proofErr w:type="spellEnd"/>
      <w:r w:rsidRPr="000A6CA9">
        <w:rPr>
          <w:szCs w:val="22"/>
          <w:lang w:val="sk-SK"/>
        </w:rPr>
        <w:t xml:space="preserve"> nie je určen</w:t>
      </w:r>
      <w:r w:rsidR="00675B7F">
        <w:rPr>
          <w:szCs w:val="22"/>
          <w:lang w:val="sk-SK"/>
        </w:rPr>
        <w:t>ý</w:t>
      </w:r>
      <w:r w:rsidRPr="000A6CA9">
        <w:rPr>
          <w:szCs w:val="22"/>
          <w:lang w:val="sk-SK"/>
        </w:rPr>
        <w:t xml:space="preserve"> na </w:t>
      </w:r>
      <w:r>
        <w:rPr>
          <w:szCs w:val="22"/>
          <w:lang w:val="sk-SK"/>
        </w:rPr>
        <w:t>za</w:t>
      </w:r>
      <w:r w:rsidRPr="000A6CA9">
        <w:rPr>
          <w:szCs w:val="22"/>
          <w:lang w:val="sk-SK"/>
        </w:rPr>
        <w:t>čiatočnú liečbu ľahkej astmy</w:t>
      </w:r>
      <w:r w:rsidRPr="000A6CA9">
        <w:rPr>
          <w:color w:val="000000"/>
          <w:szCs w:val="22"/>
          <w:lang w:val="sk-SK" w:eastAsia="en-IN" w:bidi="gu-IN"/>
        </w:rPr>
        <w:t xml:space="preserve">. </w:t>
      </w:r>
      <w:r w:rsidRPr="000A6CA9">
        <w:rPr>
          <w:szCs w:val="22"/>
          <w:lang w:val="sk-SK"/>
        </w:rPr>
        <w:t>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pacientov s ťažkou astmou sa odporúča stanoviť vhodné dávkovanie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 xml:space="preserve"> pred použitím akejkoľvek fixnej kombinácie.</w:t>
      </w: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</w:p>
    <w:p w:rsidR="003E4182" w:rsidRPr="000A6CA9" w:rsidRDefault="003E4182" w:rsidP="00CA21E4">
      <w:pPr>
        <w:keepNext/>
        <w:widowControl w:val="0"/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  <w:r w:rsidRPr="000A6CA9">
        <w:rPr>
          <w:i/>
          <w:color w:val="000000"/>
          <w:szCs w:val="22"/>
          <w:lang w:val="sk-SK" w:eastAsia="en-IN" w:bidi="gu-IN"/>
        </w:rPr>
        <w:t>Pediatrická populácia</w:t>
      </w:r>
    </w:p>
    <w:p w:rsidR="003E4182" w:rsidRPr="000A6CA9" w:rsidRDefault="003E4182" w:rsidP="00CA21E4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 xml:space="preserve">Bezpečnosť a účinnosť </w:t>
      </w:r>
      <w:proofErr w:type="spellStart"/>
      <w:r w:rsidRPr="000A6CA9">
        <w:rPr>
          <w:color w:val="000000"/>
          <w:szCs w:val="22"/>
          <w:lang w:val="sk-SK" w:eastAsia="en-IN" w:bidi="gu-IN"/>
        </w:rPr>
        <w:t>S</w:t>
      </w:r>
      <w:r w:rsidR="00474110">
        <w:rPr>
          <w:color w:val="000000"/>
          <w:szCs w:val="22"/>
          <w:lang w:val="sk-SK" w:eastAsia="en-IN" w:bidi="gu-IN"/>
        </w:rPr>
        <w:t>erkepu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u detí vo veku 12 rokov a mladších a u dospievajúcich vo veku 13-17 rokov neboli stanovené. K dispozícii nie sú žiadne údaje. </w:t>
      </w:r>
      <w:r>
        <w:rPr>
          <w:color w:val="000000"/>
          <w:szCs w:val="22"/>
          <w:lang w:val="sk-SK" w:eastAsia="en-IN" w:bidi="gu-IN"/>
        </w:rPr>
        <w:t xml:space="preserve">Používanie </w:t>
      </w:r>
      <w:proofErr w:type="spellStart"/>
      <w:r w:rsidRPr="000A6CA9">
        <w:rPr>
          <w:color w:val="000000"/>
          <w:szCs w:val="22"/>
          <w:lang w:val="sk-SK" w:eastAsia="en-IN" w:bidi="gu-IN"/>
        </w:rPr>
        <w:t>S</w:t>
      </w:r>
      <w:r w:rsidR="00474110">
        <w:rPr>
          <w:color w:val="000000"/>
          <w:szCs w:val="22"/>
          <w:lang w:val="sk-SK" w:eastAsia="en-IN" w:bidi="gu-IN"/>
        </w:rPr>
        <w:t>erkepu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sa neodporúča </w:t>
      </w:r>
      <w:r>
        <w:rPr>
          <w:color w:val="000000"/>
          <w:szCs w:val="22"/>
          <w:lang w:val="sk-SK" w:eastAsia="en-IN" w:bidi="gu-IN"/>
        </w:rPr>
        <w:t xml:space="preserve">deťom </w:t>
      </w:r>
      <w:r w:rsidRPr="000A6CA9">
        <w:rPr>
          <w:color w:val="000000"/>
          <w:szCs w:val="22"/>
          <w:lang w:val="sk-SK" w:eastAsia="en-IN" w:bidi="gu-IN"/>
        </w:rPr>
        <w:t>a dospievajúci</w:t>
      </w:r>
      <w:r>
        <w:rPr>
          <w:color w:val="000000"/>
          <w:szCs w:val="22"/>
          <w:lang w:val="sk-SK" w:eastAsia="en-IN" w:bidi="gu-IN"/>
        </w:rPr>
        <w:t>m</w:t>
      </w:r>
      <w:r w:rsidRPr="000A6CA9">
        <w:rPr>
          <w:color w:val="000000"/>
          <w:szCs w:val="22"/>
          <w:lang w:val="sk-SK" w:eastAsia="en-IN" w:bidi="gu-IN"/>
        </w:rPr>
        <w:t xml:space="preserve"> mladší</w:t>
      </w:r>
      <w:r>
        <w:rPr>
          <w:color w:val="000000"/>
          <w:szCs w:val="22"/>
          <w:lang w:val="sk-SK" w:eastAsia="en-IN" w:bidi="gu-IN"/>
        </w:rPr>
        <w:t>m</w:t>
      </w:r>
      <w:r w:rsidRPr="000A6CA9">
        <w:rPr>
          <w:color w:val="000000"/>
          <w:szCs w:val="22"/>
          <w:lang w:val="sk-SK" w:eastAsia="en-IN" w:bidi="gu-IN"/>
        </w:rPr>
        <w:t xml:space="preserve"> ako 18 rokov.</w:t>
      </w: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6E02B0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/>
        </w:rPr>
        <w:t xml:space="preserve">Pacientom, ktorí </w:t>
      </w:r>
      <w:r w:rsidRPr="000A6CA9">
        <w:rPr>
          <w:color w:val="000000"/>
          <w:szCs w:val="22"/>
          <w:lang w:val="sk-SK" w:eastAsia="en-IN" w:bidi="gu-IN"/>
        </w:rPr>
        <w:t>majú ťažkosti s</w:t>
      </w:r>
      <w:r>
        <w:rPr>
          <w:color w:val="000000"/>
          <w:szCs w:val="22"/>
          <w:lang w:val="sk-SK" w:eastAsia="en-IN" w:bidi="gu-IN"/>
        </w:rPr>
        <w:t> </w:t>
      </w:r>
      <w:r w:rsidRPr="000A6CA9">
        <w:rPr>
          <w:color w:val="000000"/>
          <w:szCs w:val="22"/>
          <w:lang w:val="sk-SK" w:eastAsia="en-IN" w:bidi="gu-IN"/>
        </w:rPr>
        <w:t>koordináciou stlačenia dávkovača a</w:t>
      </w:r>
      <w:r>
        <w:rPr>
          <w:color w:val="000000"/>
          <w:szCs w:val="22"/>
          <w:lang w:val="sk-SK" w:eastAsia="en-IN" w:bidi="gu-IN"/>
        </w:rPr>
        <w:t> </w:t>
      </w:r>
      <w:r w:rsidRPr="000A6CA9">
        <w:rPr>
          <w:color w:val="000000"/>
          <w:szCs w:val="22"/>
          <w:lang w:val="sk-SK" w:eastAsia="en-IN" w:bidi="gu-IN"/>
        </w:rPr>
        <w:t>vdýchnutia</w:t>
      </w:r>
      <w:r>
        <w:rPr>
          <w:color w:val="000000"/>
          <w:szCs w:val="22"/>
          <w:lang w:val="sk-SK" w:eastAsia="en-IN" w:bidi="gu-IN"/>
        </w:rPr>
        <w:t>,</w:t>
      </w:r>
      <w:r w:rsidRPr="000A6CA9">
        <w:rPr>
          <w:color w:val="000000"/>
          <w:szCs w:val="22"/>
          <w:lang w:val="sk-SK" w:eastAsia="en-IN" w:bidi="gu-IN"/>
        </w:rPr>
        <w:t xml:space="preserve"> alebo ktorí by mohli mať takéto ťažkosti,</w:t>
      </w:r>
      <w:r w:rsidRPr="000A6CA9">
        <w:rPr>
          <w:color w:val="000000"/>
          <w:szCs w:val="22"/>
          <w:lang w:val="sk-SK"/>
        </w:rPr>
        <w:t xml:space="preserve"> sa odporúča použiť so </w:t>
      </w:r>
      <w:proofErr w:type="spellStart"/>
      <w:r w:rsidRPr="000A6CA9">
        <w:rPr>
          <w:color w:val="000000"/>
          <w:szCs w:val="22"/>
          <w:lang w:val="sk-SK"/>
        </w:rPr>
        <w:t>S</w:t>
      </w:r>
      <w:r w:rsidR="00474110">
        <w:rPr>
          <w:color w:val="000000"/>
          <w:szCs w:val="22"/>
          <w:lang w:val="sk-SK"/>
        </w:rPr>
        <w:t>erkepom</w:t>
      </w:r>
      <w:proofErr w:type="spellEnd"/>
      <w:r w:rsidRPr="000A6CA9">
        <w:rPr>
          <w:color w:val="000000"/>
          <w:szCs w:val="22"/>
          <w:lang w:val="sk-SK"/>
        </w:rPr>
        <w:t xml:space="preserve"> inhalačný nadstavec </w:t>
      </w:r>
      <w:proofErr w:type="spellStart"/>
      <w:r w:rsidRPr="000A6CA9">
        <w:rPr>
          <w:color w:val="000000"/>
          <w:szCs w:val="22"/>
          <w:lang w:val="sk-SK"/>
        </w:rPr>
        <w:t>AeroChamber</w:t>
      </w:r>
      <w:proofErr w:type="spellEnd"/>
      <w:r w:rsidRPr="000A6CA9">
        <w:rPr>
          <w:color w:val="000000"/>
          <w:szCs w:val="22"/>
          <w:lang w:val="sk-SK"/>
        </w:rPr>
        <w:t xml:space="preserve"> Plus. </w:t>
      </w:r>
      <w:r w:rsidRPr="000A6CA9">
        <w:rPr>
          <w:b/>
          <w:color w:val="000000"/>
          <w:szCs w:val="22"/>
          <w:u w:val="single"/>
          <w:lang w:val="sk-SK"/>
        </w:rPr>
        <w:t>So</w:t>
      </w:r>
      <w:r>
        <w:rPr>
          <w:b/>
          <w:color w:val="000000"/>
          <w:szCs w:val="22"/>
          <w:u w:val="single"/>
          <w:lang w:val="sk-SK"/>
        </w:rPr>
        <w:t xml:space="preserve"> </w:t>
      </w:r>
      <w:proofErr w:type="spellStart"/>
      <w:r w:rsidRPr="000A6CA9">
        <w:rPr>
          <w:b/>
          <w:color w:val="000000"/>
          <w:szCs w:val="22"/>
          <w:u w:val="single"/>
          <w:lang w:val="sk-SK"/>
        </w:rPr>
        <w:t>S</w:t>
      </w:r>
      <w:r w:rsidR="00474110">
        <w:rPr>
          <w:b/>
          <w:color w:val="000000"/>
          <w:szCs w:val="22"/>
          <w:u w:val="single"/>
          <w:lang w:val="sk-SK"/>
        </w:rPr>
        <w:t>erkepom</w:t>
      </w:r>
      <w:proofErr w:type="spellEnd"/>
      <w:r w:rsidRPr="000A6CA9">
        <w:rPr>
          <w:b/>
          <w:color w:val="000000"/>
          <w:szCs w:val="22"/>
          <w:u w:val="single"/>
          <w:lang w:val="sk-SK"/>
        </w:rPr>
        <w:t xml:space="preserve"> sa má používať iba inhalačný nadstavec </w:t>
      </w:r>
      <w:proofErr w:type="spellStart"/>
      <w:r w:rsidRPr="000A6CA9">
        <w:rPr>
          <w:b/>
          <w:color w:val="000000"/>
          <w:szCs w:val="22"/>
          <w:u w:val="single"/>
          <w:lang w:val="sk-SK"/>
        </w:rPr>
        <w:t>AeroChamber</w:t>
      </w:r>
      <w:proofErr w:type="spellEnd"/>
      <w:r w:rsidRPr="000A6CA9">
        <w:rPr>
          <w:b/>
          <w:color w:val="000000"/>
          <w:szCs w:val="22"/>
          <w:u w:val="single"/>
          <w:lang w:val="sk-SK"/>
        </w:rPr>
        <w:t xml:space="preserve"> Plus.</w:t>
      </w:r>
      <w:r w:rsidRPr="000A6CA9">
        <w:rPr>
          <w:b/>
          <w:color w:val="000000"/>
          <w:szCs w:val="22"/>
          <w:lang w:val="sk-SK"/>
        </w:rPr>
        <w:t xml:space="preserve"> Iné inhalačné nadstavce sa so</w:t>
      </w:r>
      <w:r>
        <w:rPr>
          <w:b/>
          <w:color w:val="000000"/>
          <w:szCs w:val="22"/>
          <w:lang w:val="sk-SK"/>
        </w:rPr>
        <w:t xml:space="preserve"> </w:t>
      </w:r>
      <w:proofErr w:type="spellStart"/>
      <w:r w:rsidRPr="000A6CA9">
        <w:rPr>
          <w:b/>
          <w:color w:val="000000"/>
          <w:szCs w:val="22"/>
          <w:lang w:val="sk-SK"/>
        </w:rPr>
        <w:t>S</w:t>
      </w:r>
      <w:r w:rsidR="00474110">
        <w:rPr>
          <w:b/>
          <w:color w:val="000000"/>
          <w:szCs w:val="22"/>
          <w:lang w:val="sk-SK"/>
        </w:rPr>
        <w:t>erkepom</w:t>
      </w:r>
      <w:proofErr w:type="spellEnd"/>
      <w:r w:rsidRPr="000A6CA9">
        <w:rPr>
          <w:b/>
          <w:color w:val="000000"/>
          <w:szCs w:val="22"/>
          <w:lang w:val="sk-SK"/>
        </w:rPr>
        <w:t xml:space="preserve"> nemajú používať a pacienti si nemajú inhalačné nadstavce vymieňať.</w:t>
      </w:r>
    </w:p>
    <w:p w:rsidR="003E4182" w:rsidRPr="00641522" w:rsidRDefault="003E4182" w:rsidP="0075090F">
      <w:pPr>
        <w:rPr>
          <w:iCs/>
          <w:szCs w:val="22"/>
          <w:lang w:val="sk-SK"/>
        </w:rPr>
      </w:pPr>
    </w:p>
    <w:p w:rsidR="003E4182" w:rsidRPr="000A6CA9" w:rsidRDefault="003E4182" w:rsidP="0075090F">
      <w:pPr>
        <w:rPr>
          <w:szCs w:val="22"/>
          <w:lang w:val="sk-SK"/>
        </w:rPr>
      </w:pPr>
      <w:r w:rsidRPr="000A6CA9">
        <w:rPr>
          <w:szCs w:val="22"/>
          <w:lang w:val="sk-SK"/>
        </w:rPr>
        <w:t>Pacientov treba poučiť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správnom používaní a</w:t>
      </w:r>
      <w:r w:rsidRPr="009D77EC">
        <w:rPr>
          <w:lang w:val="sk-SK"/>
        </w:rPr>
        <w:t> </w:t>
      </w:r>
      <w:r w:rsidRPr="000A6CA9">
        <w:rPr>
          <w:szCs w:val="22"/>
          <w:lang w:val="sk-SK"/>
        </w:rPr>
        <w:t>starostlivosti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ich inhalátor a inhalačný nadstavec a aj pravidelne kontrolovať spôsob ich používania, aby sa zaistilo dodanie optimálneho množstva inhalovaného lieku do pľúc. </w:t>
      </w:r>
      <w:r w:rsidRPr="000A6CA9">
        <w:rPr>
          <w:b/>
          <w:szCs w:val="22"/>
          <w:lang w:val="sk-SK"/>
        </w:rPr>
        <w:t>Pacienti majú používať odporúčaný inhalačný nadstavec, keďže prechod na iný inhalačný nadstavec môže viesť k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zmene dávky dodanej do pľúc (pozri časť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4.4).</w:t>
      </w:r>
    </w:p>
    <w:p w:rsidR="003E4182" w:rsidRPr="000A6CA9" w:rsidRDefault="003E4182" w:rsidP="0075090F">
      <w:pPr>
        <w:rPr>
          <w:szCs w:val="22"/>
          <w:lang w:val="sk-SK"/>
        </w:rPr>
      </w:pPr>
    </w:p>
    <w:p w:rsidR="003E4182" w:rsidRPr="000A6CA9" w:rsidRDefault="003E4182" w:rsidP="0075090F">
      <w:pPr>
        <w:rPr>
          <w:szCs w:val="22"/>
          <w:lang w:val="sk-SK"/>
        </w:rPr>
      </w:pPr>
      <w:r w:rsidRPr="000A6CA9">
        <w:rPr>
          <w:szCs w:val="22"/>
          <w:lang w:val="sk-SK"/>
        </w:rPr>
        <w:t>Opätovn</w:t>
      </w:r>
      <w:r>
        <w:rPr>
          <w:szCs w:val="22"/>
          <w:lang w:val="sk-SK"/>
        </w:rPr>
        <w:t>ú</w:t>
      </w:r>
      <w:r w:rsidRPr="000A6CA9">
        <w:rPr>
          <w:szCs w:val="22"/>
          <w:lang w:val="sk-SK"/>
        </w:rPr>
        <w:t xml:space="preserve"> titráciu na najnižšiu účinnú dávku je treba vykonávať vždy, ak pacienti, ktorí už predtým používali iný liek a inhalačný nadstavec, prejdú na </w:t>
      </w:r>
      <w:proofErr w:type="spellStart"/>
      <w:r w:rsidRPr="000A6CA9">
        <w:rPr>
          <w:szCs w:val="22"/>
          <w:lang w:val="sk-SK"/>
        </w:rPr>
        <w:t>S</w:t>
      </w:r>
      <w:r w:rsidR="00474110">
        <w:rPr>
          <w:szCs w:val="22"/>
          <w:lang w:val="sk-SK"/>
        </w:rPr>
        <w:t>erkep</w:t>
      </w:r>
      <w:proofErr w:type="spellEnd"/>
      <w:r w:rsidRPr="000A6CA9">
        <w:rPr>
          <w:szCs w:val="22"/>
          <w:lang w:val="sk-SK"/>
        </w:rPr>
        <w:t xml:space="preserve"> s inhalačným nadstavcom </w:t>
      </w:r>
      <w:proofErr w:type="spellStart"/>
      <w:r w:rsidRPr="000A6CA9">
        <w:rPr>
          <w:szCs w:val="22"/>
          <w:lang w:val="sk-SK"/>
        </w:rPr>
        <w:t>AeroChamber</w:t>
      </w:r>
      <w:proofErr w:type="spellEnd"/>
      <w:r w:rsidRPr="000A6CA9">
        <w:rPr>
          <w:szCs w:val="22"/>
          <w:lang w:val="sk-SK"/>
        </w:rPr>
        <w:t xml:space="preserve"> Plus alebo bez neho.</w:t>
      </w:r>
    </w:p>
    <w:p w:rsidR="003E4182" w:rsidRPr="00641522" w:rsidRDefault="003E4182" w:rsidP="006E02B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8969E4">
      <w:pPr>
        <w:keepNext/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lang w:val="sk-SK"/>
        </w:rPr>
      </w:pPr>
      <w:r w:rsidRPr="000A6CA9">
        <w:rPr>
          <w:i/>
          <w:color w:val="000000"/>
          <w:szCs w:val="22"/>
          <w:lang w:val="sk-SK"/>
        </w:rPr>
        <w:t>Osobitné skupiny pacientov</w:t>
      </w:r>
    </w:p>
    <w:p w:rsidR="003E4182" w:rsidRPr="000A6CA9" w:rsidRDefault="003E4182" w:rsidP="008969E4">
      <w:pPr>
        <w:widowControl w:val="0"/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U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starších pacientov alebo u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pacientov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poruchou funkcie obličiek nie je potrebná úprava dávky. Nie sú k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dispozícii údaje o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použití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u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u</w:t>
      </w:r>
      <w:proofErr w:type="spellEnd"/>
      <w:r w:rsidRPr="000A6CA9">
        <w:rPr>
          <w:color w:val="000000"/>
          <w:szCs w:val="22"/>
          <w:lang w:val="sk-SK"/>
        </w:rPr>
        <w:t xml:space="preserve"> u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pacientov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poruchou funkcie pečene.</w:t>
      </w:r>
    </w:p>
    <w:p w:rsidR="00CC6230" w:rsidRPr="000A6CA9" w:rsidRDefault="00CC6230" w:rsidP="00CC623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C6230" w:rsidRPr="007335C2" w:rsidRDefault="00CC6230" w:rsidP="00CC623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7335C2">
        <w:rPr>
          <w:szCs w:val="22"/>
          <w:u w:val="single"/>
          <w:lang w:val="sk-SK"/>
        </w:rPr>
        <w:t>Spôsob podávania</w:t>
      </w:r>
    </w:p>
    <w:p w:rsidR="00CC6230" w:rsidRDefault="00CC6230" w:rsidP="00CC623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C6230" w:rsidRDefault="00CC6230" w:rsidP="00CC623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Inhalačné použitie</w:t>
      </w:r>
      <w:r>
        <w:rPr>
          <w:szCs w:val="22"/>
          <w:lang w:val="sk-SK"/>
        </w:rPr>
        <w:t>.</w:t>
      </w:r>
    </w:p>
    <w:p w:rsidR="003E4182" w:rsidRPr="00641522" w:rsidRDefault="003E4182" w:rsidP="00B44DAB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8969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sk-SK"/>
        </w:rPr>
      </w:pPr>
      <w:r w:rsidRPr="000A6CA9">
        <w:rPr>
          <w:i/>
          <w:szCs w:val="22"/>
          <w:u w:val="single"/>
          <w:lang w:val="sk-SK"/>
        </w:rPr>
        <w:t>Pokyny na použitie: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Pacienti majú byť poučení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správnom používaní inhalátora (pozri písomnú informáciu pre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používateľa).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Pri inhalácii je uprednostňovaná poloha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sede alebo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stoji.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Inhalátor je určený na použitie vo vertikálnej polohe.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Testovanie inhalátora: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>Pred prvým použitím inhalátora majú pacienti vyskúšať, či funguje. Pacienti majú odstrániť kryt náustka jemným stlačením okrajov krytu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uchopiť inhalátor medzi prsty a palec,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palcom umiestneným na spodnej strane pod náustkom. Aby sa </w:t>
      </w:r>
      <w:r w:rsidRPr="000A6CA9">
        <w:rPr>
          <w:szCs w:val="22"/>
          <w:lang w:val="sk-SK"/>
        </w:rPr>
        <w:t>pacienti uistili, že inhalátor funguje, majú ho riadne pretrepať, namieriť náustok od seba</w:t>
      </w:r>
      <w:r w:rsidRPr="000A6CA9">
        <w:rPr>
          <w:color w:val="000000"/>
          <w:szCs w:val="22"/>
          <w:lang w:val="sk-SK"/>
        </w:rPr>
        <w:t xml:space="preserve"> a pevne stlačiť nádob</w:t>
      </w:r>
      <w:r>
        <w:rPr>
          <w:color w:val="000000"/>
          <w:szCs w:val="22"/>
          <w:lang w:val="sk-SK"/>
        </w:rPr>
        <w:t>k</w:t>
      </w:r>
      <w:r w:rsidRPr="000A6CA9">
        <w:rPr>
          <w:color w:val="000000"/>
          <w:szCs w:val="22"/>
          <w:lang w:val="sk-SK"/>
        </w:rPr>
        <w:t>u, čím sa vypustí dávka do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vzduchu. Tieto kroky treba opakovať najmenej trikrát, inhalátorom sa musí potrepať pred uvoľnením každej dávky, kým počítadlo neukáže 120.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Ak sa inhalátor nepoužíval jeden týždeň alebo dlhšie, alebo ak sa inhalátor veľmi schladí (na teplotu pod </w:t>
      </w:r>
      <w:r w:rsidRPr="000A6CA9">
        <w:rPr>
          <w:szCs w:val="22"/>
          <w:lang w:val="sk-SK"/>
        </w:rPr>
        <w:t>0</w:t>
      </w:r>
      <w:r>
        <w:rPr>
          <w:szCs w:val="22"/>
          <w:lang w:val="sk-SK"/>
        </w:rPr>
        <w:t xml:space="preserve"> </w:t>
      </w:r>
      <w:r w:rsidRPr="000A6CA9">
        <w:rPr>
          <w:spacing w:val="1"/>
          <w:szCs w:val="22"/>
          <w:lang w:val="sk-SK"/>
        </w:rPr>
        <w:t>º</w:t>
      </w:r>
      <w:r w:rsidRPr="000A6CA9">
        <w:rPr>
          <w:spacing w:val="-1"/>
          <w:szCs w:val="22"/>
          <w:lang w:val="sk-SK"/>
        </w:rPr>
        <w:t>C</w:t>
      </w:r>
      <w:r w:rsidRPr="000A6CA9">
        <w:rPr>
          <w:szCs w:val="22"/>
          <w:lang w:val="sk-SK"/>
        </w:rPr>
        <w:t>)</w:t>
      </w:r>
      <w:r w:rsidRPr="000A6CA9">
        <w:rPr>
          <w:spacing w:val="3"/>
          <w:szCs w:val="22"/>
          <w:lang w:val="sk-SK"/>
        </w:rPr>
        <w:t>,</w:t>
      </w:r>
      <w:r w:rsidRPr="000A6CA9">
        <w:rPr>
          <w:color w:val="000000"/>
          <w:szCs w:val="22"/>
          <w:lang w:val="sk-SK"/>
        </w:rPr>
        <w:t xml:space="preserve"> kryt náustka sa musí odstrániť, inhalátor dôkladne pretrepať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uvoľniť do vzduchu dve dávky.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Pri každom stlačení inhalátora sa číslo na počítadle zníži o jedno.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dstrike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Použitie inhalátora: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1.</w:t>
      </w:r>
      <w:r w:rsidRPr="000A6CA9">
        <w:rPr>
          <w:szCs w:val="22"/>
          <w:lang w:val="sk-SK"/>
        </w:rPr>
        <w:tab/>
        <w:t>Pacienti majú odstrániť kryt náustka jemným stlačením bokov náustka.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2.</w:t>
      </w:r>
      <w:r w:rsidRPr="000A6CA9">
        <w:rPr>
          <w:szCs w:val="22"/>
          <w:lang w:val="sk-SK"/>
        </w:rPr>
        <w:tab/>
        <w:t>Pacienti majú skontrolovať, že inhalátor vrátane náustka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vonkajšej ani z vnútornej strany neobsahuje voľné častice.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3.</w:t>
      </w:r>
      <w:r w:rsidRPr="000A6CA9">
        <w:rPr>
          <w:szCs w:val="22"/>
          <w:lang w:val="sk-SK"/>
        </w:rPr>
        <w:tab/>
        <w:t>Pacienti majú inhalátorom riadne potrepať, čím sa zaistí odstránenie akýchkoľvek voľných častíc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rovnomerné premiešanie obsahu inhalátora.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4.</w:t>
      </w:r>
      <w:r w:rsidRPr="000A6CA9">
        <w:rPr>
          <w:szCs w:val="22"/>
          <w:lang w:val="sk-SK"/>
        </w:rPr>
        <w:tab/>
        <w:t>Pacienti majú inhalátor držať vzpriamene medzi prstami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palcom,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palcom umiestneným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spodnej strane, pod náustkom.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5.</w:t>
      </w:r>
      <w:r w:rsidRPr="000A6CA9">
        <w:rPr>
          <w:szCs w:val="22"/>
          <w:lang w:val="sk-SK"/>
        </w:rPr>
        <w:tab/>
        <w:t>Pacienti majú vydýchnuť čo najviac, pokiaľ im to nespôsobuje ťažkosti a potom umiestniť náustok do úst medzi zuby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zovrieť okolo neho pery. Pacientov je potrebné poučiť, aby do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náustka nehrýzli.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6.</w:t>
      </w:r>
      <w:r w:rsidRPr="000A6CA9">
        <w:rPr>
          <w:szCs w:val="22"/>
          <w:lang w:val="sk-SK"/>
        </w:rPr>
        <w:tab/>
        <w:t>Ihneď potom, ako pacienti začnú vdychovať cez ústa, majú inhalátor zvrchu stlačiť, aby sa uvoľnila dávka liečiva a zároveň stále plynulo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hlboko vdychujú.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7.</w:t>
      </w:r>
      <w:r w:rsidRPr="000A6CA9">
        <w:rPr>
          <w:szCs w:val="22"/>
          <w:lang w:val="sk-SK"/>
        </w:rPr>
        <w:tab/>
        <w:t>Zatiaľ čo pacienti zadržiavajú dych, majú vybrať inhalátor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úst a dať preč prst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hornej časti inhalátora. Pacienti majú zadržiavať dych tak dlho, ako je to možné bez námahy.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8.</w:t>
      </w:r>
      <w:r w:rsidRPr="000A6CA9">
        <w:rPr>
          <w:szCs w:val="22"/>
          <w:lang w:val="sk-SK"/>
        </w:rPr>
        <w:tab/>
      </w:r>
      <w:r>
        <w:rPr>
          <w:szCs w:val="22"/>
          <w:lang w:val="sk-SK"/>
        </w:rPr>
        <w:t xml:space="preserve">Na </w:t>
      </w:r>
      <w:r w:rsidRPr="000A6CA9">
        <w:rPr>
          <w:szCs w:val="22"/>
          <w:lang w:val="sk-SK"/>
        </w:rPr>
        <w:t>užitie ďalšej inhalácie majú pacienti držať inhalátor kolmo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počkať asi pol minúty, kým zopakujú kroky 3 až 7.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9.</w:t>
      </w:r>
      <w:r w:rsidRPr="000A6CA9">
        <w:rPr>
          <w:szCs w:val="22"/>
          <w:lang w:val="sk-SK"/>
        </w:rPr>
        <w:tab/>
        <w:t xml:space="preserve">Pacienti majú ihneď vrátiť kryt náustka tak, že ho silno zatlačia, až zacvakne do správnej polohy. </w:t>
      </w:r>
      <w:r>
        <w:rPr>
          <w:szCs w:val="22"/>
          <w:lang w:val="sk-SK"/>
        </w:rPr>
        <w:t xml:space="preserve">Nasadenie </w:t>
      </w:r>
      <w:r w:rsidRPr="000A6CA9">
        <w:rPr>
          <w:szCs w:val="22"/>
          <w:lang w:val="sk-SK"/>
        </w:rPr>
        <w:t xml:space="preserve">nevyžaduje použitie nadmernej sily </w:t>
      </w:r>
      <w:r>
        <w:rPr>
          <w:szCs w:val="22"/>
          <w:lang w:val="sk-SK"/>
        </w:rPr>
        <w:t>v správnej polohe kryt</w:t>
      </w:r>
      <w:r w:rsidRPr="000A6CA9">
        <w:rPr>
          <w:szCs w:val="22"/>
          <w:lang w:val="sk-SK"/>
        </w:rPr>
        <w:t xml:space="preserve"> zacvakne.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8969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DÔLEŽITÉ</w:t>
      </w:r>
    </w:p>
    <w:p w:rsidR="003E4182" w:rsidRPr="000A6CA9" w:rsidRDefault="003E4182" w:rsidP="008969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263894">
      <w:pPr>
        <w:widowControl w:val="0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Pri krokoch 5, </w:t>
      </w:r>
      <w:smartTag w:uri="urn:schemas-microsoft-com:office:smarttags" w:element="metricconverter">
        <w:smartTagPr>
          <w:attr w:name="ProductID" w:val="6 a"/>
        </w:smartTagPr>
        <w:r w:rsidRPr="000A6CA9">
          <w:rPr>
            <w:szCs w:val="22"/>
            <w:lang w:val="sk-SK"/>
          </w:rPr>
          <w:t>6 a</w:t>
        </w:r>
      </w:smartTag>
      <w:r w:rsidRPr="000A6CA9">
        <w:rPr>
          <w:szCs w:val="22"/>
          <w:lang w:val="sk-SK"/>
        </w:rPr>
        <w:t xml:space="preserve"> 7 sa pacienti nemajú ponáhľať. Je dôležité, aby pacienti tesne pred použitím inhalátora začali </w:t>
      </w:r>
      <w:r>
        <w:rPr>
          <w:szCs w:val="22"/>
          <w:lang w:val="sk-SK"/>
        </w:rPr>
        <w:t xml:space="preserve">čo najpomalšie </w:t>
      </w:r>
      <w:r w:rsidRPr="000A6CA9">
        <w:rPr>
          <w:szCs w:val="22"/>
          <w:lang w:val="sk-SK"/>
        </w:rPr>
        <w:t xml:space="preserve">vdychovať. </w:t>
      </w:r>
      <w:r w:rsidRPr="000A6CA9">
        <w:rPr>
          <w:color w:val="000000"/>
          <w:szCs w:val="22"/>
          <w:lang w:val="sk-SK"/>
        </w:rPr>
        <w:t>Pri niekoľkých prvých použitiach majú pacienti precvičovať inhaláciu lieku pred zrkadlom. Ak uvidia nad inhalátorom alebo po stranách úst vychádzať „hmlu“, majú znovu začať od kroku 3.</w:t>
      </w:r>
    </w:p>
    <w:p w:rsidR="003E4182" w:rsidRDefault="003E4182" w:rsidP="0049495F">
      <w:pPr>
        <w:spacing w:line="240" w:lineRule="auto"/>
        <w:ind w:right="-2"/>
        <w:rPr>
          <w:szCs w:val="22"/>
          <w:lang w:val="sk-SK"/>
        </w:rPr>
      </w:pPr>
    </w:p>
    <w:p w:rsidR="003E4182" w:rsidRPr="000A6CA9" w:rsidRDefault="003E4182" w:rsidP="0049495F">
      <w:pPr>
        <w:spacing w:line="240" w:lineRule="auto"/>
        <w:ind w:right="-2"/>
        <w:rPr>
          <w:szCs w:val="22"/>
          <w:lang w:val="sk-SK"/>
        </w:rPr>
      </w:pPr>
      <w:r w:rsidRPr="000A6CA9">
        <w:rPr>
          <w:szCs w:val="22"/>
          <w:lang w:val="sk-SK"/>
        </w:rPr>
        <w:t>Pacienti si majú vypláchnuť ústa vodou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vypľuť a/alebo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si umyť zuby po každej dávke liečiva, aby sa minimalizovalo riziko vzniku </w:t>
      </w:r>
      <w:proofErr w:type="spellStart"/>
      <w:r w:rsidRPr="000A6CA9">
        <w:rPr>
          <w:szCs w:val="22"/>
          <w:lang w:val="sk-SK"/>
        </w:rPr>
        <w:t>orofaryngeálnej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kandidózy</w:t>
      </w:r>
      <w:proofErr w:type="spellEnd"/>
      <w:r w:rsidRPr="000A6CA9">
        <w:rPr>
          <w:szCs w:val="22"/>
          <w:lang w:val="sk-SK"/>
        </w:rPr>
        <w:t xml:space="preserve"> a zachrípnutia.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Pacienti majú zvážiť zaobstaranie si ďalšieho </w:t>
      </w:r>
      <w:r>
        <w:rPr>
          <w:color w:val="000000"/>
          <w:szCs w:val="22"/>
          <w:lang w:val="sk-SK"/>
        </w:rPr>
        <w:t>inhalátora</w:t>
      </w:r>
      <w:r w:rsidRPr="000A6CA9">
        <w:rPr>
          <w:color w:val="000000"/>
          <w:szCs w:val="22"/>
          <w:lang w:val="sk-SK"/>
        </w:rPr>
        <w:t xml:space="preserve">, keď počítadlo ukáže číslo 20. Až sa použijú všetky odporučené dávky, počítadlo sa zastaví na 0. Až sa počítadlo zastaví na 0, </w:t>
      </w:r>
      <w:r>
        <w:rPr>
          <w:color w:val="000000"/>
          <w:szCs w:val="22"/>
          <w:lang w:val="sk-SK"/>
        </w:rPr>
        <w:t>vymeňte inhalátor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Pacienti sa nikdy nemajú pokúšať meniť čísla na počítadle ani oddeliť počítadlo od dávkovača. Počítadlo nie je možné znovu nastaviť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je trvalo pripojené vo vnútri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dávkovača.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Čistenie (tiež podrobne </w:t>
      </w:r>
      <w:r>
        <w:rPr>
          <w:color w:val="000000"/>
          <w:szCs w:val="22"/>
          <w:lang w:val="sk-SK"/>
        </w:rPr>
        <w:t xml:space="preserve">popísané </w:t>
      </w:r>
      <w:r w:rsidRPr="000A6CA9">
        <w:rPr>
          <w:color w:val="000000"/>
          <w:szCs w:val="22"/>
          <w:lang w:val="sk-SK"/>
        </w:rPr>
        <w:t xml:space="preserve">v písomnej informácii pre používateľa): 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color w:val="000000"/>
          <w:szCs w:val="22"/>
          <w:lang w:val="sk-SK"/>
        </w:rPr>
        <w:t>Inhalátor sa má čistiť aspoň jedenkrát týždenne</w:t>
      </w:r>
      <w:r w:rsidRPr="000A6CA9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1.</w:t>
      </w:r>
      <w:r w:rsidRPr="000A6CA9">
        <w:rPr>
          <w:szCs w:val="22"/>
          <w:lang w:val="sk-SK"/>
        </w:rPr>
        <w:tab/>
        <w:t>Odstráňte kryt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náustka.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2.</w:t>
      </w:r>
      <w:r w:rsidRPr="000A6CA9">
        <w:rPr>
          <w:szCs w:val="22"/>
          <w:lang w:val="sk-SK"/>
        </w:rPr>
        <w:tab/>
      </w: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>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>u nevyberajte z plastového obalu.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3.</w:t>
      </w:r>
      <w:r w:rsidRPr="000A6CA9">
        <w:rPr>
          <w:szCs w:val="22"/>
          <w:lang w:val="sk-SK"/>
        </w:rPr>
        <w:tab/>
        <w:t>Poutierajte náustok a</w:t>
      </w:r>
      <w:r>
        <w:rPr>
          <w:szCs w:val="22"/>
          <w:lang w:val="sk-SK"/>
        </w:rPr>
        <w:t xml:space="preserve">j </w:t>
      </w:r>
      <w:r w:rsidRPr="000A6CA9">
        <w:rPr>
          <w:szCs w:val="22"/>
          <w:lang w:val="sk-SK"/>
        </w:rPr>
        <w:t>plastový obal zvonka a zvnútra suchou handričkou alebo papierovým obrúskom.</w:t>
      </w:r>
    </w:p>
    <w:p w:rsidR="003E4182" w:rsidRPr="000A6CA9" w:rsidRDefault="003E4182" w:rsidP="0026389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0A6CA9">
        <w:rPr>
          <w:szCs w:val="22"/>
          <w:lang w:val="sk-SK"/>
        </w:rPr>
        <w:t>4.</w:t>
      </w:r>
      <w:r w:rsidRPr="000A6CA9">
        <w:rPr>
          <w:szCs w:val="22"/>
          <w:lang w:val="sk-SK"/>
        </w:rPr>
        <w:tab/>
        <w:t xml:space="preserve">Znovu nasaďte kryt náustka. </w:t>
      </w:r>
      <w:r>
        <w:rPr>
          <w:szCs w:val="22"/>
          <w:lang w:val="sk-SK"/>
        </w:rPr>
        <w:t>Nasadenie</w:t>
      </w:r>
      <w:r w:rsidRPr="000A6CA9">
        <w:rPr>
          <w:szCs w:val="22"/>
          <w:lang w:val="sk-SK"/>
        </w:rPr>
        <w:t xml:space="preserve"> nevyžaduje použitie nadmernej sily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kryt v správnej polohe</w:t>
      </w:r>
      <w:r w:rsidRPr="000A6CA9">
        <w:rPr>
          <w:szCs w:val="22"/>
          <w:lang w:val="sk-SK"/>
        </w:rPr>
        <w:t xml:space="preserve"> zacvakne.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ŽIADNU ČASŤ INHALÁTORA </w:t>
      </w:r>
      <w:r w:rsidRPr="000A6CA9">
        <w:rPr>
          <w:szCs w:val="22"/>
          <w:lang w:val="sk-SK"/>
        </w:rPr>
        <w:t>NEUMÝVAJTE ANI NEVKLADAJTE DO VODY.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8969E4">
      <w:pPr>
        <w:keepNext/>
        <w:widowControl w:val="0"/>
        <w:ind w:left="567" w:hanging="567"/>
        <w:rPr>
          <w:szCs w:val="22"/>
          <w:lang w:val="sk-SK"/>
        </w:rPr>
      </w:pPr>
      <w:r w:rsidRPr="000A6CA9">
        <w:rPr>
          <w:b/>
          <w:szCs w:val="22"/>
          <w:lang w:val="sk-SK"/>
        </w:rPr>
        <w:t>4.3</w:t>
      </w:r>
      <w:r w:rsidRPr="000A6CA9">
        <w:rPr>
          <w:b/>
          <w:szCs w:val="22"/>
          <w:lang w:val="sk-SK"/>
        </w:rPr>
        <w:tab/>
        <w:t>Kontraindikácie</w:t>
      </w:r>
    </w:p>
    <w:p w:rsidR="003E4182" w:rsidRPr="000A6CA9" w:rsidRDefault="003E4182" w:rsidP="008969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CC6230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3E4182">
        <w:rPr>
          <w:szCs w:val="22"/>
          <w:lang w:val="sk-SK"/>
        </w:rPr>
        <w:t>recitlivenosť</w:t>
      </w:r>
      <w:r w:rsidR="003E4182" w:rsidRPr="000A6CA9">
        <w:rPr>
          <w:szCs w:val="22"/>
          <w:lang w:val="sk-SK"/>
        </w:rPr>
        <w:t xml:space="preserve"> na ktor</w:t>
      </w:r>
      <w:r w:rsidR="003E4182">
        <w:rPr>
          <w:szCs w:val="22"/>
          <w:lang w:val="sk-SK"/>
        </w:rPr>
        <w:t>é</w:t>
      </w:r>
      <w:r w:rsidR="003E4182" w:rsidRPr="000A6CA9">
        <w:rPr>
          <w:szCs w:val="22"/>
          <w:lang w:val="sk-SK"/>
        </w:rPr>
        <w:t>koľvek</w:t>
      </w:r>
      <w:r w:rsidR="003E4182">
        <w:rPr>
          <w:szCs w:val="22"/>
          <w:lang w:val="sk-SK"/>
        </w:rPr>
        <w:t xml:space="preserve"> z liečiv alebo na ktorúkoľvek</w:t>
      </w:r>
      <w:r w:rsidR="003E4182" w:rsidRPr="000A6CA9">
        <w:rPr>
          <w:szCs w:val="22"/>
          <w:lang w:val="sk-SK"/>
        </w:rPr>
        <w:t xml:space="preserve"> z</w:t>
      </w:r>
      <w:r w:rsidR="003E4182">
        <w:rPr>
          <w:szCs w:val="22"/>
          <w:lang w:val="sk-SK"/>
        </w:rPr>
        <w:t> </w:t>
      </w:r>
      <w:r w:rsidR="003E4182" w:rsidRPr="000A6CA9">
        <w:rPr>
          <w:szCs w:val="22"/>
          <w:lang w:val="sk-SK"/>
        </w:rPr>
        <w:t>pomocných látok uvedených v</w:t>
      </w:r>
      <w:r w:rsidR="003E4182">
        <w:rPr>
          <w:szCs w:val="22"/>
          <w:lang w:val="sk-SK"/>
        </w:rPr>
        <w:t> </w:t>
      </w:r>
      <w:r w:rsidR="003E4182" w:rsidRPr="000A6CA9">
        <w:rPr>
          <w:szCs w:val="22"/>
          <w:lang w:val="sk-SK"/>
        </w:rPr>
        <w:t>časti 6.1.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8969E4">
      <w:pPr>
        <w:keepNext/>
        <w:widowControl w:val="0"/>
        <w:ind w:left="567" w:hanging="567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4.4</w:t>
      </w:r>
      <w:r w:rsidRPr="000A6CA9">
        <w:rPr>
          <w:b/>
          <w:szCs w:val="22"/>
          <w:lang w:val="sk-SK"/>
        </w:rPr>
        <w:tab/>
        <w:t>Osobitné upozornenia a opatrenia pri používaní</w:t>
      </w:r>
    </w:p>
    <w:p w:rsidR="003E4182" w:rsidRPr="000A6CA9" w:rsidRDefault="003E4182" w:rsidP="008969E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CC6230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>
        <w:rPr>
          <w:bCs/>
          <w:szCs w:val="22"/>
          <w:lang w:val="sk-SK"/>
        </w:rPr>
        <w:t>S</w:t>
      </w:r>
      <w:r w:rsidRPr="00E6584E">
        <w:rPr>
          <w:bCs/>
          <w:szCs w:val="22"/>
          <w:lang w:val="sk-SK"/>
        </w:rPr>
        <w:t>almeterol</w:t>
      </w:r>
      <w:proofErr w:type="spellEnd"/>
      <w:r>
        <w:rPr>
          <w:bCs/>
          <w:szCs w:val="22"/>
          <w:lang w:val="sk-SK"/>
        </w:rPr>
        <w:t>/</w:t>
      </w:r>
      <w:proofErr w:type="spellStart"/>
      <w:r w:rsidRPr="00E6584E">
        <w:rPr>
          <w:color w:val="000000"/>
          <w:szCs w:val="22"/>
          <w:lang w:val="sk-SK"/>
        </w:rPr>
        <w:t>flutikazónpropionát</w:t>
      </w:r>
      <w:proofErr w:type="spellEnd"/>
      <w:r w:rsidR="003E4182" w:rsidRPr="000A6CA9">
        <w:rPr>
          <w:szCs w:val="22"/>
          <w:lang w:val="sk-SK"/>
        </w:rPr>
        <w:t xml:space="preserve"> sa nemá používať na liečbu akútnych príznakov astmy, ktor</w:t>
      </w:r>
      <w:r w:rsidR="003E4182">
        <w:rPr>
          <w:szCs w:val="22"/>
          <w:lang w:val="sk-SK"/>
        </w:rPr>
        <w:t>é si vyžadujú použitie rýchlo a </w:t>
      </w:r>
      <w:r w:rsidR="003E4182" w:rsidRPr="000A6CA9">
        <w:rPr>
          <w:szCs w:val="22"/>
          <w:lang w:val="sk-SK"/>
        </w:rPr>
        <w:t xml:space="preserve">krátkodobo pôsobiaceho </w:t>
      </w:r>
      <w:proofErr w:type="spellStart"/>
      <w:r w:rsidR="003E4182" w:rsidRPr="000A6CA9">
        <w:rPr>
          <w:szCs w:val="22"/>
          <w:lang w:val="sk-SK"/>
        </w:rPr>
        <w:t>bronchodilatancia</w:t>
      </w:r>
      <w:proofErr w:type="spellEnd"/>
      <w:r w:rsidR="003E4182" w:rsidRPr="000A6CA9">
        <w:rPr>
          <w:szCs w:val="22"/>
          <w:lang w:val="sk-SK"/>
        </w:rPr>
        <w:t xml:space="preserve">. Pacienti majú byť poučení, aby mali stále k dispozícii svoj inhalátor na </w:t>
      </w:r>
      <w:r w:rsidR="003E4182">
        <w:rPr>
          <w:szCs w:val="22"/>
          <w:lang w:val="sk-SK"/>
        </w:rPr>
        <w:t xml:space="preserve">zmiernie </w:t>
      </w:r>
      <w:r w:rsidR="003E4182" w:rsidRPr="000A6CA9">
        <w:rPr>
          <w:szCs w:val="22"/>
          <w:lang w:val="sk-SK"/>
        </w:rPr>
        <w:t>príznakov akútneho astmatického záchvatu.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Liečba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om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sa nemá začínať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pacientov počas </w:t>
      </w:r>
      <w:proofErr w:type="spellStart"/>
      <w:r w:rsidRPr="000A6CA9">
        <w:rPr>
          <w:szCs w:val="22"/>
          <w:lang w:val="sk-SK"/>
        </w:rPr>
        <w:t>exacerbácie</w:t>
      </w:r>
      <w:proofErr w:type="spellEnd"/>
      <w:r w:rsidRPr="000A6CA9">
        <w:rPr>
          <w:szCs w:val="22"/>
          <w:lang w:val="sk-SK"/>
        </w:rPr>
        <w:t xml:space="preserve"> alebo výrazného zhoršenia stavu, alebo akútneho zhoršenia astmy.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Počas liečby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om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sa môžu vyskytnúť závažné nežiaduce </w:t>
      </w:r>
      <w:r>
        <w:rPr>
          <w:szCs w:val="22"/>
          <w:lang w:val="sk-SK"/>
        </w:rPr>
        <w:t>udalosti</w:t>
      </w:r>
      <w:r w:rsidRPr="000A6CA9">
        <w:rPr>
          <w:szCs w:val="22"/>
          <w:lang w:val="sk-SK"/>
        </w:rPr>
        <w:t xml:space="preserve"> spojené s astmou a </w:t>
      </w:r>
      <w:proofErr w:type="spellStart"/>
      <w:r w:rsidRPr="000A6CA9">
        <w:rPr>
          <w:szCs w:val="22"/>
          <w:lang w:val="sk-SK"/>
        </w:rPr>
        <w:t>exacerbáciou</w:t>
      </w:r>
      <w:proofErr w:type="spellEnd"/>
      <w:r w:rsidRPr="000A6CA9">
        <w:rPr>
          <w:szCs w:val="22"/>
          <w:lang w:val="sk-SK"/>
        </w:rPr>
        <w:t xml:space="preserve"> astmy. Pacientom sa má odporučiť, aby pokračovali v liečbe, ale aby vyhľadali lekársku pomoc, ak po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začatí liečby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szCs w:val="22"/>
          <w:lang w:val="sk-SK"/>
        </w:rPr>
        <w:t xml:space="preserve"> príznaky astmy zostanú naďalej nekontrolované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 alebo ak sa zhoršia.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Zvýšené požiadavky na použitie lieku na zmiernenie príznakov astmy (krátkodobo pôsobiaceho </w:t>
      </w:r>
      <w:proofErr w:type="spellStart"/>
      <w:r w:rsidRPr="000A6CA9">
        <w:rPr>
          <w:szCs w:val="22"/>
          <w:lang w:val="sk-SK"/>
        </w:rPr>
        <w:t>bronchodilatancia</w:t>
      </w:r>
      <w:proofErr w:type="spellEnd"/>
      <w:r w:rsidRPr="000A6CA9">
        <w:rPr>
          <w:szCs w:val="22"/>
          <w:lang w:val="sk-SK"/>
        </w:rPr>
        <w:t>) alebo znížená odpoveď na tento liek svedčia o zhoršení kontroly astmy a pacienti majú opätovne podstúpiť kontrolu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lekára.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Náhle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</w:t>
      </w:r>
      <w:r>
        <w:rPr>
          <w:szCs w:val="22"/>
          <w:lang w:val="sk-SK"/>
        </w:rPr>
        <w:t>rogresívne</w:t>
      </w:r>
      <w:r w:rsidRPr="000A6CA9">
        <w:rPr>
          <w:szCs w:val="22"/>
          <w:lang w:val="sk-SK"/>
        </w:rPr>
        <w:t xml:space="preserve"> zhoršovanie kontroly astmy je potenciálne život ohrozujúce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pacient má byť urgentne vyšetrený. Má sa zvážiť zvýšenie dávky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Ak sú príznaky astmy pod kontrolou, môže sa uvažovať o postupnom znižovaní dávky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r w:rsidR="00CC6230">
        <w:rPr>
          <w:bCs/>
          <w:szCs w:val="22"/>
          <w:lang w:val="sk-SK"/>
        </w:rPr>
        <w:t>u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r w:rsidR="00CC6230">
        <w:rPr>
          <w:color w:val="000000"/>
          <w:szCs w:val="22"/>
          <w:lang w:val="sk-SK"/>
        </w:rPr>
        <w:t>u</w:t>
      </w:r>
      <w:proofErr w:type="spellEnd"/>
      <w:r w:rsidRPr="000A6CA9">
        <w:rPr>
          <w:szCs w:val="22"/>
          <w:lang w:val="sk-SK"/>
        </w:rPr>
        <w:t>.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postupnom znižovaní dávky je dôležitá pravidelná kontrola pacientov. Má sa použiť najnižšia účinná dávka kombinácie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 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(čo môže znamenať prechod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alternatívnu fixnú kombináciu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 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obsahujúcu nižšiu dávku inhalačného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>)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4.2).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Liečba </w:t>
      </w:r>
      <w:proofErr w:type="spellStart"/>
      <w:r w:rsidR="00AC31E6" w:rsidRPr="00E6584E">
        <w:rPr>
          <w:bCs/>
          <w:szCs w:val="22"/>
          <w:lang w:val="sk-SK"/>
        </w:rPr>
        <w:t>salmeterol</w:t>
      </w:r>
      <w:r w:rsidR="00AC31E6">
        <w:rPr>
          <w:bCs/>
          <w:szCs w:val="22"/>
          <w:lang w:val="sk-SK"/>
        </w:rPr>
        <w:t>om</w:t>
      </w:r>
      <w:proofErr w:type="spellEnd"/>
      <w:r w:rsidR="00AC31E6">
        <w:rPr>
          <w:bCs/>
          <w:szCs w:val="22"/>
          <w:lang w:val="sk-SK"/>
        </w:rPr>
        <w:t>/</w:t>
      </w:r>
      <w:proofErr w:type="spellStart"/>
      <w:r w:rsidR="00AC31E6" w:rsidRPr="00E6584E">
        <w:rPr>
          <w:color w:val="000000"/>
          <w:szCs w:val="22"/>
          <w:lang w:val="sk-SK"/>
        </w:rPr>
        <w:t>flutikazónpropionát</w:t>
      </w:r>
      <w:r w:rsidR="00AC31E6">
        <w:rPr>
          <w:color w:val="000000"/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sa nesmie náhle </w:t>
      </w:r>
      <w:r>
        <w:rPr>
          <w:szCs w:val="22"/>
          <w:lang w:val="sk-SK"/>
        </w:rPr>
        <w:t>ukončiť</w:t>
      </w:r>
      <w:r w:rsidRPr="000A6CA9">
        <w:rPr>
          <w:szCs w:val="22"/>
          <w:lang w:val="sk-SK"/>
        </w:rPr>
        <w:t xml:space="preserve"> kvôli riziku </w:t>
      </w:r>
      <w:proofErr w:type="spellStart"/>
      <w:r w:rsidRPr="000A6CA9">
        <w:rPr>
          <w:szCs w:val="22"/>
          <w:lang w:val="sk-SK"/>
        </w:rPr>
        <w:t>exacerbácie</w:t>
      </w:r>
      <w:proofErr w:type="spellEnd"/>
      <w:r w:rsidRPr="000A6CA9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Znižovanie liečebných dávok sa má vykonať pod </w:t>
      </w:r>
      <w:r w:rsidRPr="000A6CA9">
        <w:rPr>
          <w:szCs w:val="22"/>
          <w:lang w:val="sk-SK"/>
        </w:rPr>
        <w:t>dohľadom lekára.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Tak ako všetky inhalačné lieky obsahujúce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kortikosteroidy</w:t>
      </w:r>
      <w:proofErr w:type="spellEnd"/>
      <w:r w:rsidRPr="000A6CA9">
        <w:rPr>
          <w:szCs w:val="22"/>
          <w:lang w:val="sk-SK"/>
        </w:rPr>
        <w:t xml:space="preserve">, aj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sa má podávať opatrne pacientom s aktívnou alebo </w:t>
      </w:r>
      <w:r>
        <w:rPr>
          <w:szCs w:val="22"/>
          <w:lang w:val="sk-SK"/>
        </w:rPr>
        <w:t>latentnou</w:t>
      </w:r>
      <w:r w:rsidRPr="000A6CA9">
        <w:rPr>
          <w:szCs w:val="22"/>
          <w:lang w:val="sk-SK"/>
        </w:rPr>
        <w:t xml:space="preserve"> formou tuberkulózy pľúc a </w:t>
      </w:r>
      <w:proofErr w:type="spellStart"/>
      <w:r w:rsidRPr="000A6CA9">
        <w:rPr>
          <w:szCs w:val="22"/>
          <w:lang w:val="sk-SK"/>
        </w:rPr>
        <w:t>mykotickými</w:t>
      </w:r>
      <w:proofErr w:type="spellEnd"/>
      <w:r w:rsidRPr="000A6CA9">
        <w:rPr>
          <w:szCs w:val="22"/>
          <w:lang w:val="sk-SK"/>
        </w:rPr>
        <w:t xml:space="preserve">, vírusovými alebo inými infekciami dýchacích ciest. </w:t>
      </w:r>
      <w:r>
        <w:rPr>
          <w:szCs w:val="22"/>
          <w:lang w:val="sk-SK"/>
        </w:rPr>
        <w:t>A</w:t>
      </w:r>
      <w:r w:rsidRPr="000A6CA9">
        <w:rPr>
          <w:szCs w:val="22"/>
          <w:lang w:val="sk-SK"/>
        </w:rPr>
        <w:t>k je</w:t>
      </w:r>
      <w:r>
        <w:rPr>
          <w:szCs w:val="22"/>
          <w:lang w:val="sk-SK"/>
        </w:rPr>
        <w:t xml:space="preserve"> to</w:t>
      </w:r>
      <w:r w:rsidRPr="000A6CA9">
        <w:rPr>
          <w:szCs w:val="22"/>
          <w:lang w:val="sk-SK"/>
        </w:rPr>
        <w:t xml:space="preserve"> indikovan</w:t>
      </w:r>
      <w:r>
        <w:rPr>
          <w:szCs w:val="22"/>
          <w:lang w:val="sk-SK"/>
        </w:rPr>
        <w:t>é,</w:t>
      </w:r>
      <w:r w:rsidRPr="004E068A"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má sa ihneď začať</w:t>
      </w:r>
      <w:r w:rsidRPr="004E068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</w:t>
      </w:r>
      <w:r w:rsidRPr="000A6CA9">
        <w:rPr>
          <w:szCs w:val="22"/>
          <w:lang w:val="sk-SK"/>
        </w:rPr>
        <w:t>hodná liečba</w:t>
      </w:r>
      <w:r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V zriedkavých prípadoch môže </w:t>
      </w:r>
      <w:proofErr w:type="spellStart"/>
      <w:r w:rsidR="00CC6230" w:rsidRPr="00E6584E">
        <w:rPr>
          <w:bCs/>
          <w:szCs w:val="22"/>
          <w:lang w:val="sk-SK"/>
        </w:rPr>
        <w:t>salmeterol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vo vysokých terapeutických dávkach spôsobiť srdcové </w:t>
      </w:r>
      <w:proofErr w:type="spellStart"/>
      <w:r w:rsidRPr="000A6CA9">
        <w:rPr>
          <w:szCs w:val="22"/>
          <w:lang w:val="sk-SK"/>
        </w:rPr>
        <w:t>arytmie</w:t>
      </w:r>
      <w:proofErr w:type="spellEnd"/>
      <w:r w:rsidRPr="000A6CA9">
        <w:rPr>
          <w:szCs w:val="22"/>
          <w:lang w:val="sk-SK"/>
        </w:rPr>
        <w:t xml:space="preserve">, napr. </w:t>
      </w:r>
      <w:proofErr w:type="spellStart"/>
      <w:r w:rsidRPr="000A6CA9">
        <w:rPr>
          <w:szCs w:val="22"/>
          <w:lang w:val="sk-SK"/>
        </w:rPr>
        <w:t>supraventrikulárnu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tachykardiu</w:t>
      </w:r>
      <w:proofErr w:type="spellEnd"/>
      <w:r w:rsidRPr="000A6CA9">
        <w:rPr>
          <w:szCs w:val="22"/>
          <w:lang w:val="sk-SK"/>
        </w:rPr>
        <w:t xml:space="preserve">, </w:t>
      </w:r>
      <w:proofErr w:type="spellStart"/>
      <w:r w:rsidRPr="000A6CA9">
        <w:rPr>
          <w:szCs w:val="22"/>
          <w:lang w:val="sk-SK"/>
        </w:rPr>
        <w:t>extrasystoly</w:t>
      </w:r>
      <w:proofErr w:type="spellEnd"/>
      <w:r w:rsidRPr="000A6CA9">
        <w:rPr>
          <w:szCs w:val="22"/>
          <w:lang w:val="sk-SK"/>
        </w:rPr>
        <w:t xml:space="preserve">, </w:t>
      </w:r>
      <w:proofErr w:type="spellStart"/>
      <w:r w:rsidRPr="000A6CA9">
        <w:rPr>
          <w:szCs w:val="22"/>
          <w:lang w:val="sk-SK"/>
        </w:rPr>
        <w:t>fibriláciu</w:t>
      </w:r>
      <w:proofErr w:type="spellEnd"/>
      <w:r w:rsidRPr="000A6CA9">
        <w:rPr>
          <w:szCs w:val="22"/>
          <w:lang w:val="sk-SK"/>
        </w:rPr>
        <w:t xml:space="preserve"> predsiení a mierne prechodné zníženie hladín draslíka v sére. </w:t>
      </w:r>
      <w:proofErr w:type="spellStart"/>
      <w:r w:rsidR="00CC6230">
        <w:rPr>
          <w:bCs/>
          <w:szCs w:val="22"/>
          <w:lang w:val="sk-SK"/>
        </w:rPr>
        <w:t>S</w:t>
      </w:r>
      <w:r w:rsidR="00CC6230" w:rsidRPr="00E6584E">
        <w:rPr>
          <w:bCs/>
          <w:szCs w:val="22"/>
          <w:lang w:val="sk-SK"/>
        </w:rPr>
        <w:t>almeterol</w:t>
      </w:r>
      <w:proofErr w:type="spellEnd"/>
      <w:r w:rsidR="00CC6230">
        <w:rPr>
          <w:bCs/>
          <w:szCs w:val="22"/>
          <w:lang w:val="sk-SK"/>
        </w:rPr>
        <w:t>/</w:t>
      </w:r>
      <w:proofErr w:type="spellStart"/>
      <w:r w:rsidR="00CC6230" w:rsidRPr="00E6584E">
        <w:rPr>
          <w:color w:val="000000"/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sa musí používať opatrne u pacientov s ťažkými kardiovaskulárnymi poruchami alebo abnormalitami srdcového rytmu a u pacientov s diabet</w:t>
      </w:r>
      <w:r>
        <w:rPr>
          <w:szCs w:val="22"/>
          <w:lang w:val="sk-SK"/>
        </w:rPr>
        <w:t>om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mellitus</w:t>
      </w:r>
      <w:proofErr w:type="spellEnd"/>
      <w:r w:rsidRPr="000A6CA9">
        <w:rPr>
          <w:szCs w:val="22"/>
          <w:lang w:val="sk-SK"/>
        </w:rPr>
        <w:t xml:space="preserve">, </w:t>
      </w:r>
      <w:proofErr w:type="spellStart"/>
      <w:r w:rsidRPr="000A6CA9">
        <w:rPr>
          <w:szCs w:val="22"/>
          <w:lang w:val="sk-SK"/>
        </w:rPr>
        <w:t>tyreotoxikózou</w:t>
      </w:r>
      <w:proofErr w:type="spellEnd"/>
      <w:r w:rsidRPr="000A6CA9">
        <w:rPr>
          <w:szCs w:val="22"/>
          <w:lang w:val="sk-SK"/>
        </w:rPr>
        <w:t xml:space="preserve">, neliečenou </w:t>
      </w:r>
      <w:proofErr w:type="spellStart"/>
      <w:r w:rsidRPr="000A6CA9">
        <w:rPr>
          <w:szCs w:val="22"/>
          <w:lang w:val="sk-SK"/>
        </w:rPr>
        <w:t>hypokaliémiou</w:t>
      </w:r>
      <w:proofErr w:type="spellEnd"/>
      <w:r w:rsidRPr="000A6CA9">
        <w:rPr>
          <w:szCs w:val="22"/>
          <w:lang w:val="sk-SK"/>
        </w:rPr>
        <w:t xml:space="preserve"> alebo u pacientov predisponovaných k nízkym hladinám draslíka v sére.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Veľmi zriedkavo bol hlásený nárast hladín cukru v krvi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4.8) a</w:t>
      </w:r>
      <w:r>
        <w:rPr>
          <w:szCs w:val="22"/>
          <w:lang w:val="sk-SK"/>
        </w:rPr>
        <w:t xml:space="preserve"> to </w:t>
      </w:r>
      <w:r w:rsidRPr="000A6CA9">
        <w:rPr>
          <w:szCs w:val="22"/>
          <w:lang w:val="sk-SK"/>
        </w:rPr>
        <w:t>je potrebné vziať do úvahy vtedy, ak sa tento liek predpisuje pacientom s diabet</w:t>
      </w:r>
      <w:r>
        <w:rPr>
          <w:szCs w:val="22"/>
          <w:lang w:val="sk-SK"/>
        </w:rPr>
        <w:t>om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mellitus</w:t>
      </w:r>
      <w:proofErr w:type="spellEnd"/>
      <w:r w:rsidRPr="000A6CA9">
        <w:rPr>
          <w:szCs w:val="22"/>
          <w:lang w:val="sk-SK"/>
        </w:rPr>
        <w:t xml:space="preserve"> v anamnéze. 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Tak ako pri inej inhalačnej liečbe môže dôjsť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paradoxnému </w:t>
      </w:r>
      <w:proofErr w:type="spellStart"/>
      <w:r w:rsidRPr="000A6CA9">
        <w:rPr>
          <w:szCs w:val="22"/>
          <w:lang w:val="sk-SK"/>
        </w:rPr>
        <w:t>bronchospazmu</w:t>
      </w:r>
      <w:proofErr w:type="spellEnd"/>
      <w:r w:rsidRPr="000A6CA9">
        <w:rPr>
          <w:szCs w:val="22"/>
          <w:lang w:val="sk-SK"/>
        </w:rPr>
        <w:t xml:space="preserve">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okamžitým zhoršením piskotu a dýchavičnosťou po podaní dávky. Paradoxný </w:t>
      </w:r>
      <w:proofErr w:type="spellStart"/>
      <w:r w:rsidRPr="000A6CA9">
        <w:rPr>
          <w:szCs w:val="22"/>
          <w:lang w:val="sk-SK"/>
        </w:rPr>
        <w:t>bronchospazmus</w:t>
      </w:r>
      <w:proofErr w:type="spellEnd"/>
      <w:r w:rsidRPr="000A6CA9">
        <w:rPr>
          <w:szCs w:val="22"/>
          <w:lang w:val="sk-SK"/>
        </w:rPr>
        <w:t xml:space="preserve"> odpovedá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rýchlo pôsobiace </w:t>
      </w:r>
      <w:proofErr w:type="spellStart"/>
      <w:r w:rsidRPr="000A6CA9">
        <w:rPr>
          <w:szCs w:val="22"/>
          <w:lang w:val="sk-SK"/>
        </w:rPr>
        <w:t>bronchodilatans</w:t>
      </w:r>
      <w:proofErr w:type="spellEnd"/>
      <w:r w:rsidRPr="000A6CA9">
        <w:rPr>
          <w:szCs w:val="22"/>
          <w:lang w:val="sk-SK"/>
        </w:rPr>
        <w:t xml:space="preserve"> a má byť ihneď liečený. Používanie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erkepu</w:t>
      </w:r>
      <w:proofErr w:type="spellEnd"/>
      <w:r w:rsidRPr="000A6CA9">
        <w:rPr>
          <w:szCs w:val="22"/>
          <w:lang w:val="sk-SK"/>
        </w:rPr>
        <w:t xml:space="preserve"> sa musí ihneď </w:t>
      </w:r>
      <w:r>
        <w:rPr>
          <w:szCs w:val="22"/>
          <w:lang w:val="sk-SK"/>
        </w:rPr>
        <w:t>ukončiť</w:t>
      </w:r>
      <w:r w:rsidRPr="000A6CA9">
        <w:rPr>
          <w:szCs w:val="22"/>
          <w:lang w:val="sk-SK"/>
        </w:rPr>
        <w:t>, pacient musí byť vyšetrený a v prípade potreby sa má začať alternatívna liečba.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124BD3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Boli hlásené farmakologické nežiaduce účinky liečby beta</w:t>
      </w:r>
      <w:r w:rsidRPr="00E1502E">
        <w:rPr>
          <w:color w:val="000000"/>
          <w:szCs w:val="22"/>
          <w:vertAlign w:val="subscript"/>
          <w:lang w:val="sk-SK" w:eastAsia="en-IN" w:bidi="gu-IN"/>
        </w:rPr>
        <w:t>2</w:t>
      </w:r>
      <w:r>
        <w:rPr>
          <w:color w:val="000000"/>
          <w:szCs w:val="22"/>
          <w:lang w:val="sk-SK" w:eastAsia="en-IN" w:bidi="gu-IN"/>
        </w:rPr>
        <w:t>-</w:t>
      </w:r>
      <w:r w:rsidRPr="000A6CA9">
        <w:rPr>
          <w:color w:val="000000"/>
          <w:szCs w:val="22"/>
          <w:lang w:val="sk-SK" w:eastAsia="en-IN" w:bidi="gu-IN"/>
        </w:rPr>
        <w:t xml:space="preserve">agonistami, ako sú </w:t>
      </w:r>
      <w:proofErr w:type="spellStart"/>
      <w:r w:rsidRPr="000A6CA9">
        <w:rPr>
          <w:color w:val="000000"/>
          <w:szCs w:val="22"/>
          <w:lang w:val="sk-SK" w:eastAsia="en-IN" w:bidi="gu-IN"/>
        </w:rPr>
        <w:t>tremor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, </w:t>
      </w:r>
      <w:proofErr w:type="spellStart"/>
      <w:r w:rsidRPr="000A6CA9">
        <w:rPr>
          <w:color w:val="000000"/>
          <w:szCs w:val="22"/>
          <w:lang w:val="sk-SK" w:eastAsia="en-IN" w:bidi="gu-IN"/>
        </w:rPr>
        <w:t>palpitácie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a bolesť hlavy, zvyčajne prechodné a ustup</w:t>
      </w:r>
      <w:r>
        <w:rPr>
          <w:color w:val="000000"/>
          <w:szCs w:val="22"/>
          <w:lang w:val="sk-SK" w:eastAsia="en-IN" w:bidi="gu-IN"/>
        </w:rPr>
        <w:t>ujúce</w:t>
      </w:r>
      <w:r w:rsidRPr="000A6CA9">
        <w:rPr>
          <w:color w:val="000000"/>
          <w:szCs w:val="22"/>
          <w:lang w:val="sk-SK" w:eastAsia="en-IN" w:bidi="gu-IN"/>
        </w:rPr>
        <w:t xml:space="preserve"> pri pravidelnej liečbe.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Systémové účinky sa môžu objaviť pri akomkoľvek inhalačnom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kortikosteroide</w:t>
      </w:r>
      <w:proofErr w:type="spellEnd"/>
      <w:r w:rsidRPr="000A6CA9">
        <w:rPr>
          <w:szCs w:val="22"/>
          <w:lang w:val="sk-SK"/>
        </w:rPr>
        <w:t>, najmä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dlhodobom predpisovan</w:t>
      </w:r>
      <w:r>
        <w:rPr>
          <w:szCs w:val="22"/>
          <w:lang w:val="sk-SK"/>
        </w:rPr>
        <w:t>í</w:t>
      </w:r>
      <w:r w:rsidRPr="000A6CA9">
        <w:rPr>
          <w:szCs w:val="22"/>
          <w:lang w:val="sk-SK"/>
        </w:rPr>
        <w:t xml:space="preserve"> vysokých dávok. Výskyt týchto účinkov je oveľa menej pravdepodobný ako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perorálnych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kortikosteroidoch</w:t>
      </w:r>
      <w:proofErr w:type="spellEnd"/>
      <w:r w:rsidRPr="000A6CA9">
        <w:rPr>
          <w:szCs w:val="22"/>
          <w:lang w:val="sk-SK"/>
        </w:rPr>
        <w:t xml:space="preserve">. Možné systémové účinky zahŕňajú </w:t>
      </w:r>
      <w:proofErr w:type="spellStart"/>
      <w:r w:rsidRPr="000A6CA9">
        <w:rPr>
          <w:szCs w:val="22"/>
          <w:lang w:val="sk-SK"/>
        </w:rPr>
        <w:t>Cushingov</w:t>
      </w:r>
      <w:proofErr w:type="spellEnd"/>
      <w:r w:rsidRPr="000A6CA9">
        <w:rPr>
          <w:szCs w:val="22"/>
          <w:lang w:val="sk-SK"/>
        </w:rPr>
        <w:t xml:space="preserve"> syndróm, </w:t>
      </w:r>
      <w:proofErr w:type="spellStart"/>
      <w:r>
        <w:rPr>
          <w:szCs w:val="22"/>
          <w:lang w:val="sk-SK"/>
        </w:rPr>
        <w:t>c</w:t>
      </w:r>
      <w:r w:rsidRPr="000A6CA9">
        <w:rPr>
          <w:szCs w:val="22"/>
          <w:lang w:val="sk-SK"/>
        </w:rPr>
        <w:t>ushingoidný</w:t>
      </w:r>
      <w:proofErr w:type="spellEnd"/>
      <w:r w:rsidRPr="000A6CA9">
        <w:rPr>
          <w:szCs w:val="22"/>
          <w:lang w:val="sk-SK"/>
        </w:rPr>
        <w:t xml:space="preserve"> vzhľad, útlm funkcie nadobličiek, zníženie minerálnej </w:t>
      </w:r>
      <w:proofErr w:type="spellStart"/>
      <w:r w:rsidRPr="000A6CA9">
        <w:rPr>
          <w:szCs w:val="22"/>
          <w:lang w:val="sk-SK"/>
        </w:rPr>
        <w:t>denzity</w:t>
      </w:r>
      <w:proofErr w:type="spellEnd"/>
      <w:r w:rsidRPr="000A6CA9">
        <w:rPr>
          <w:szCs w:val="22"/>
          <w:lang w:val="sk-SK"/>
        </w:rPr>
        <w:t xml:space="preserve"> kostí, kataraktu a </w:t>
      </w:r>
      <w:proofErr w:type="spellStart"/>
      <w:r w:rsidRPr="000A6CA9">
        <w:rPr>
          <w:szCs w:val="22"/>
          <w:lang w:val="sk-SK"/>
        </w:rPr>
        <w:t>glaukóm</w:t>
      </w:r>
      <w:proofErr w:type="spellEnd"/>
      <w:r w:rsidRPr="000A6CA9">
        <w:rPr>
          <w:szCs w:val="22"/>
          <w:lang w:val="sk-SK"/>
        </w:rPr>
        <w:t xml:space="preserve"> a zriedkavejšie aj rôzne účinky na psychiku alebo správanie zahŕňajúce </w:t>
      </w:r>
      <w:proofErr w:type="spellStart"/>
      <w:r w:rsidRPr="000A6CA9">
        <w:rPr>
          <w:szCs w:val="22"/>
          <w:lang w:val="sk-SK"/>
        </w:rPr>
        <w:t>psychomotorickú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hyperaktivitu</w:t>
      </w:r>
      <w:proofErr w:type="spellEnd"/>
      <w:r w:rsidRPr="000A6CA9">
        <w:rPr>
          <w:szCs w:val="22"/>
          <w:lang w:val="sk-SK"/>
        </w:rPr>
        <w:t xml:space="preserve">, poruchy spánku, úzkosť, depresiu alebo agresivitu (najmä u detí) (informácie o systémových účinkoch inhalačných </w:t>
      </w:r>
      <w:proofErr w:type="spellStart"/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szCs w:val="22"/>
          <w:lang w:val="sk-SK"/>
        </w:rPr>
        <w:t xml:space="preserve"> u detí a dospievajúcich, pozri podnadpis </w:t>
      </w:r>
      <w:r w:rsidRPr="000A6CA9">
        <w:rPr>
          <w:i/>
          <w:szCs w:val="22"/>
          <w:lang w:val="sk-SK"/>
        </w:rPr>
        <w:t>Pediatrická populácia</w:t>
      </w:r>
      <w:r w:rsidRPr="000A6CA9">
        <w:rPr>
          <w:szCs w:val="22"/>
          <w:lang w:val="sk-SK"/>
        </w:rPr>
        <w:t xml:space="preserve">). </w:t>
      </w:r>
      <w:r w:rsidRPr="000A6CA9">
        <w:rPr>
          <w:b/>
          <w:bCs/>
          <w:szCs w:val="22"/>
          <w:lang w:val="sk-SK"/>
        </w:rPr>
        <w:t>Preto je dôležité, aby bol pacient pravidelne kontrolovaný a</w:t>
      </w:r>
      <w:r>
        <w:rPr>
          <w:b/>
          <w:bCs/>
          <w:szCs w:val="22"/>
          <w:lang w:val="sk-SK"/>
        </w:rPr>
        <w:t> </w:t>
      </w:r>
      <w:r w:rsidRPr="000A6CA9">
        <w:rPr>
          <w:b/>
          <w:bCs/>
          <w:szCs w:val="22"/>
          <w:lang w:val="sk-SK"/>
        </w:rPr>
        <w:t xml:space="preserve">dávka inhalačného </w:t>
      </w:r>
      <w:proofErr w:type="spellStart"/>
      <w:r w:rsidR="00CC6230">
        <w:rPr>
          <w:b/>
          <w:bCs/>
          <w:szCs w:val="22"/>
          <w:lang w:val="sk-SK"/>
        </w:rPr>
        <w:t>gluko</w:t>
      </w:r>
      <w:r w:rsidRPr="000A6CA9">
        <w:rPr>
          <w:b/>
          <w:bCs/>
          <w:szCs w:val="22"/>
          <w:lang w:val="sk-SK"/>
        </w:rPr>
        <w:t>kortikosteroidu</w:t>
      </w:r>
      <w:proofErr w:type="spellEnd"/>
      <w:r w:rsidRPr="000A6CA9">
        <w:rPr>
          <w:b/>
          <w:bCs/>
          <w:szCs w:val="22"/>
          <w:lang w:val="sk-SK"/>
        </w:rPr>
        <w:t xml:space="preserve"> znížená na najnižšiu dávku, pri ktorej je udržiavaná účinná kontrola astmy</w:t>
      </w:r>
      <w:r w:rsidRPr="000A6CA9">
        <w:rPr>
          <w:b/>
          <w:bCs/>
          <w:color w:val="000000"/>
          <w:szCs w:val="22"/>
          <w:lang w:val="sk-SK"/>
        </w:rPr>
        <w:t>.</w:t>
      </w:r>
    </w:p>
    <w:p w:rsidR="0001221A" w:rsidRDefault="0001221A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</w:p>
    <w:p w:rsidR="0001221A" w:rsidRPr="00474110" w:rsidRDefault="00294899" w:rsidP="0029489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15F40">
        <w:rPr>
          <w:szCs w:val="22"/>
          <w:lang w:val="sk-SK"/>
        </w:rPr>
        <w:t xml:space="preserve">Pri systémovom a lokálnom použití </w:t>
      </w:r>
      <w:proofErr w:type="spellStart"/>
      <w:r w:rsidRPr="00715F40">
        <w:rPr>
          <w:szCs w:val="22"/>
          <w:lang w:val="sk-SK"/>
        </w:rPr>
        <w:t>kortikosteroidov</w:t>
      </w:r>
      <w:proofErr w:type="spellEnd"/>
      <w:r w:rsidR="00DC530E" w:rsidRPr="00DC530E">
        <w:rPr>
          <w:szCs w:val="22"/>
          <w:lang w:val="sk-SK"/>
        </w:rPr>
        <w:t xml:space="preserve"> </w:t>
      </w:r>
      <w:r w:rsidR="00DC530E" w:rsidRPr="00C3209A">
        <w:rPr>
          <w:szCs w:val="22"/>
          <w:lang w:val="sk-SK"/>
        </w:rPr>
        <w:t>môžu byť hlásené</w:t>
      </w:r>
      <w:r w:rsidR="00DC530E">
        <w:rPr>
          <w:szCs w:val="22"/>
          <w:lang w:val="sk-SK"/>
        </w:rPr>
        <w:t xml:space="preserve"> p</w:t>
      </w:r>
      <w:r w:rsidR="00DC530E" w:rsidRPr="00E134EF">
        <w:rPr>
          <w:szCs w:val="22"/>
          <w:lang w:val="sk-SK"/>
        </w:rPr>
        <w:t>oruchy</w:t>
      </w:r>
      <w:r w:rsidR="00DC530E" w:rsidRPr="00DC530E">
        <w:rPr>
          <w:szCs w:val="22"/>
          <w:lang w:val="sk-SK"/>
        </w:rPr>
        <w:t xml:space="preserve"> </w:t>
      </w:r>
      <w:r w:rsidR="00DC530E" w:rsidRPr="004F57D7">
        <w:rPr>
          <w:szCs w:val="22"/>
          <w:lang w:val="sk-SK"/>
        </w:rPr>
        <w:t>videnia</w:t>
      </w:r>
      <w:r w:rsidRPr="00715F40">
        <w:rPr>
          <w:szCs w:val="22"/>
          <w:lang w:val="sk-SK"/>
        </w:rPr>
        <w:t>. Ak sa u</w:t>
      </w:r>
      <w:r w:rsidR="00917479">
        <w:rPr>
          <w:szCs w:val="22"/>
          <w:lang w:val="sk-SK"/>
        </w:rPr>
        <w:t> </w:t>
      </w:r>
      <w:r w:rsidRPr="00715F40">
        <w:rPr>
          <w:szCs w:val="22"/>
          <w:lang w:val="sk-SK"/>
        </w:rPr>
        <w:t>pacienta objavia symptómy, ako rozmazané videnie alebo iné poruchy videnia, pacient má byť odporučený k</w:t>
      </w:r>
      <w:r w:rsidR="00A118BC">
        <w:rPr>
          <w:szCs w:val="22"/>
          <w:lang w:val="sk-SK"/>
        </w:rPr>
        <w:t> </w:t>
      </w:r>
      <w:proofErr w:type="spellStart"/>
      <w:r w:rsidRPr="00715F40">
        <w:rPr>
          <w:szCs w:val="22"/>
          <w:lang w:val="sk-SK"/>
        </w:rPr>
        <w:t>oftalmológovi</w:t>
      </w:r>
      <w:proofErr w:type="spellEnd"/>
      <w:r w:rsidRPr="00715F40">
        <w:rPr>
          <w:szCs w:val="22"/>
          <w:lang w:val="sk-SK"/>
        </w:rPr>
        <w:t xml:space="preserve"> na posúdenie možných príčin, medzi ktoré môže patriť sivý zákal, </w:t>
      </w:r>
      <w:proofErr w:type="spellStart"/>
      <w:r w:rsidRPr="00715F40">
        <w:rPr>
          <w:szCs w:val="22"/>
          <w:lang w:val="sk-SK"/>
        </w:rPr>
        <w:t>glaukóm</w:t>
      </w:r>
      <w:proofErr w:type="spellEnd"/>
      <w:r w:rsidRPr="00715F40">
        <w:rPr>
          <w:szCs w:val="22"/>
          <w:lang w:val="sk-SK"/>
        </w:rPr>
        <w:t xml:space="preserve"> alebo zriedkavé ochorenia, ako napríklad centrálna </w:t>
      </w:r>
      <w:proofErr w:type="spellStart"/>
      <w:r w:rsidRPr="00715F40">
        <w:rPr>
          <w:szCs w:val="22"/>
          <w:lang w:val="sk-SK"/>
        </w:rPr>
        <w:t>serózna</w:t>
      </w:r>
      <w:proofErr w:type="spellEnd"/>
      <w:r w:rsidRPr="00715F40">
        <w:rPr>
          <w:szCs w:val="22"/>
          <w:lang w:val="sk-SK"/>
        </w:rPr>
        <w:t xml:space="preserve"> </w:t>
      </w:r>
      <w:proofErr w:type="spellStart"/>
      <w:r w:rsidRPr="00715F40">
        <w:rPr>
          <w:szCs w:val="22"/>
          <w:lang w:val="sk-SK"/>
        </w:rPr>
        <w:t>chorioretinopatia</w:t>
      </w:r>
      <w:proofErr w:type="spellEnd"/>
      <w:r w:rsidRPr="00715F40">
        <w:rPr>
          <w:szCs w:val="22"/>
          <w:lang w:val="sk-SK"/>
        </w:rPr>
        <w:t xml:space="preserve"> (CSCR), ktoré boli hlásené po použití systémových a lokálnych </w:t>
      </w:r>
      <w:proofErr w:type="spellStart"/>
      <w:r w:rsidRPr="00715F40">
        <w:rPr>
          <w:szCs w:val="22"/>
          <w:lang w:val="sk-SK"/>
        </w:rPr>
        <w:t>kortikosteroidov</w:t>
      </w:r>
      <w:proofErr w:type="spellEnd"/>
      <w:r w:rsidRPr="00715F40">
        <w:rPr>
          <w:szCs w:val="22"/>
          <w:lang w:val="sk-SK"/>
        </w:rPr>
        <w:t>.</w:t>
      </w:r>
    </w:p>
    <w:p w:rsidR="003E4182" w:rsidRPr="00675B7F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Dlhodobá liečba pacientov vysokými dávkami inhalačných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szCs w:val="22"/>
          <w:lang w:val="sk-SK"/>
        </w:rPr>
        <w:t xml:space="preserve"> môže viesť k útlmu funkcie nadobličiek a akútnej </w:t>
      </w:r>
      <w:proofErr w:type="spellStart"/>
      <w:r w:rsidRPr="000A6CA9">
        <w:rPr>
          <w:szCs w:val="22"/>
          <w:lang w:val="sk-SK"/>
        </w:rPr>
        <w:t>adrenálnej</w:t>
      </w:r>
      <w:proofErr w:type="spellEnd"/>
      <w:r w:rsidRPr="000A6CA9">
        <w:rPr>
          <w:szCs w:val="22"/>
          <w:lang w:val="sk-SK"/>
        </w:rPr>
        <w:t xml:space="preserve"> kríze. Veľmi zriedkavo boli opísané prípady útlmu funkcie nadobličiek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akútnej </w:t>
      </w:r>
      <w:proofErr w:type="spellStart"/>
      <w:r w:rsidRPr="000A6CA9">
        <w:rPr>
          <w:szCs w:val="22"/>
          <w:lang w:val="sk-SK"/>
        </w:rPr>
        <w:t>adrenálnej</w:t>
      </w:r>
      <w:proofErr w:type="spellEnd"/>
      <w:r w:rsidRPr="000A6CA9">
        <w:rPr>
          <w:szCs w:val="22"/>
          <w:lang w:val="sk-SK"/>
        </w:rPr>
        <w:t xml:space="preserve"> krízy aj po podávaní dávok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medzi</w:t>
      </w:r>
      <w:r w:rsidRPr="000A6CA9">
        <w:rPr>
          <w:szCs w:val="22"/>
          <w:lang w:val="sk-SK"/>
        </w:rPr>
        <w:t xml:space="preserve"> 500 </w:t>
      </w:r>
      <w:r>
        <w:rPr>
          <w:szCs w:val="22"/>
          <w:lang w:val="sk-SK"/>
        </w:rPr>
        <w:t>a</w:t>
      </w:r>
      <w:r w:rsidRPr="000A6CA9">
        <w:rPr>
          <w:szCs w:val="22"/>
          <w:lang w:val="sk-SK"/>
        </w:rPr>
        <w:t xml:space="preserve"> menej ako 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000 </w:t>
      </w:r>
      <w:proofErr w:type="spellStart"/>
      <w:r w:rsidRPr="000A6CA9">
        <w:rPr>
          <w:szCs w:val="22"/>
          <w:lang w:val="sk-SK"/>
        </w:rPr>
        <w:t>mikrogram</w:t>
      </w:r>
      <w:r>
        <w:rPr>
          <w:szCs w:val="22"/>
          <w:lang w:val="sk-SK"/>
        </w:rPr>
        <w:t>ami</w:t>
      </w:r>
      <w:proofErr w:type="spellEnd"/>
      <w:r w:rsidRPr="000A6CA9">
        <w:rPr>
          <w:szCs w:val="22"/>
          <w:lang w:val="sk-SK"/>
        </w:rPr>
        <w:t xml:space="preserve">. Situácie, ktoré môžu potenciálne spustiť akútnu </w:t>
      </w:r>
      <w:proofErr w:type="spellStart"/>
      <w:r w:rsidRPr="000A6CA9">
        <w:rPr>
          <w:szCs w:val="22"/>
          <w:lang w:val="sk-SK"/>
        </w:rPr>
        <w:t>adrenálnu</w:t>
      </w:r>
      <w:proofErr w:type="spellEnd"/>
      <w:r w:rsidRPr="000A6CA9">
        <w:rPr>
          <w:szCs w:val="22"/>
          <w:lang w:val="sk-SK"/>
        </w:rPr>
        <w:t xml:space="preserve"> krízu, zahŕňajú úraz, chirurgický zákrok, infekciu alebo akékoľvek rýchle zníženie dáv</w:t>
      </w:r>
      <w:r>
        <w:rPr>
          <w:szCs w:val="22"/>
          <w:lang w:val="sk-SK"/>
        </w:rPr>
        <w:t>ky</w:t>
      </w:r>
      <w:r w:rsidRPr="000A6CA9">
        <w:rPr>
          <w:szCs w:val="22"/>
          <w:lang w:val="sk-SK"/>
        </w:rPr>
        <w:t>. Tento stav sa zvyčajne prejaví nešpecifickými príznakmi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môž</w:t>
      </w:r>
      <w:r>
        <w:rPr>
          <w:szCs w:val="22"/>
          <w:lang w:val="sk-SK"/>
        </w:rPr>
        <w:t>e</w:t>
      </w:r>
      <w:r w:rsidRPr="000A6CA9">
        <w:rPr>
          <w:szCs w:val="22"/>
          <w:lang w:val="sk-SK"/>
        </w:rPr>
        <w:t xml:space="preserve"> zahŕňať </w:t>
      </w:r>
      <w:proofErr w:type="spellStart"/>
      <w:r w:rsidRPr="000A6CA9">
        <w:rPr>
          <w:szCs w:val="22"/>
          <w:lang w:val="sk-SK"/>
        </w:rPr>
        <w:t>anorexiu</w:t>
      </w:r>
      <w:proofErr w:type="spellEnd"/>
      <w:r w:rsidRPr="000A6CA9">
        <w:rPr>
          <w:szCs w:val="22"/>
          <w:lang w:val="sk-SK"/>
        </w:rPr>
        <w:t xml:space="preserve">, bolesť brucha, zníženie telesnej hmotnosti, únavu, bolesť hlavy, </w:t>
      </w:r>
      <w:proofErr w:type="spellStart"/>
      <w:r w:rsidRPr="000A6CA9">
        <w:rPr>
          <w:szCs w:val="22"/>
          <w:lang w:val="sk-SK"/>
        </w:rPr>
        <w:t>nauzeu</w:t>
      </w:r>
      <w:proofErr w:type="spellEnd"/>
      <w:r w:rsidRPr="000A6CA9">
        <w:rPr>
          <w:szCs w:val="22"/>
          <w:lang w:val="sk-SK"/>
        </w:rPr>
        <w:t xml:space="preserve">, vracanie, hypotenziu, zníženú úroveň vedomia, </w:t>
      </w:r>
      <w:proofErr w:type="spellStart"/>
      <w:r w:rsidRPr="000A6CA9">
        <w:rPr>
          <w:szCs w:val="22"/>
          <w:lang w:val="sk-SK"/>
        </w:rPr>
        <w:t>hypoglykémiu</w:t>
      </w:r>
      <w:proofErr w:type="spellEnd"/>
      <w:r w:rsidRPr="000A6CA9">
        <w:rPr>
          <w:szCs w:val="22"/>
          <w:lang w:val="sk-SK"/>
        </w:rPr>
        <w:t xml:space="preserve"> a záchvaty kŕčov.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období stresu a</w:t>
      </w:r>
      <w:r>
        <w:rPr>
          <w:szCs w:val="22"/>
          <w:lang w:val="sk-SK"/>
        </w:rPr>
        <w:t xml:space="preserve">lebo pri </w:t>
      </w:r>
      <w:proofErr w:type="spellStart"/>
      <w:r w:rsidRPr="000A6CA9">
        <w:rPr>
          <w:szCs w:val="22"/>
          <w:lang w:val="sk-SK"/>
        </w:rPr>
        <w:t>elektívn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chirurgick</w:t>
      </w:r>
      <w:r>
        <w:rPr>
          <w:szCs w:val="22"/>
          <w:lang w:val="sk-SK"/>
        </w:rPr>
        <w:t>om</w:t>
      </w:r>
      <w:r w:rsidRPr="000A6CA9">
        <w:rPr>
          <w:szCs w:val="22"/>
          <w:lang w:val="sk-SK"/>
        </w:rPr>
        <w:t xml:space="preserve"> zákroku sa má zvážiť pridanie systémových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C207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C207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Systémová absorpcia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 xml:space="preserve"> prebieha predovšetkým </w:t>
      </w:r>
      <w:r>
        <w:rPr>
          <w:color w:val="000000"/>
          <w:szCs w:val="22"/>
          <w:lang w:val="sk-SK"/>
        </w:rPr>
        <w:t>v </w:t>
      </w:r>
      <w:r w:rsidRPr="000A6CA9">
        <w:rPr>
          <w:color w:val="000000"/>
          <w:szCs w:val="22"/>
          <w:lang w:val="sk-SK"/>
        </w:rPr>
        <w:t>pľúca</w:t>
      </w:r>
      <w:r>
        <w:rPr>
          <w:color w:val="000000"/>
          <w:szCs w:val="22"/>
          <w:lang w:val="sk-SK"/>
        </w:rPr>
        <w:t>ch</w:t>
      </w:r>
      <w:r w:rsidRPr="000A6CA9">
        <w:rPr>
          <w:color w:val="000000"/>
          <w:szCs w:val="22"/>
          <w:lang w:val="sk-SK"/>
        </w:rPr>
        <w:t>. Je potrebné si uvedomiť, že pri podávaní meranej dávky inhalátorom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použitím inhalačného nadstavca sa môže zvýšiť množstvo liečiva dodaného do pľúc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to môže potenciálne viesť k vyššiemu riziku vzniku systémových nežiaducich účinkov. </w:t>
      </w:r>
      <w:proofErr w:type="spellStart"/>
      <w:r w:rsidRPr="000A6CA9">
        <w:rPr>
          <w:color w:val="000000"/>
          <w:szCs w:val="22"/>
          <w:lang w:val="sk-SK"/>
        </w:rPr>
        <w:t>Farmakokinetické</w:t>
      </w:r>
      <w:proofErr w:type="spellEnd"/>
      <w:r w:rsidRPr="000A6CA9">
        <w:rPr>
          <w:color w:val="000000"/>
          <w:szCs w:val="22"/>
          <w:lang w:val="sk-SK"/>
        </w:rPr>
        <w:t xml:space="preserve"> údaje po jednej dávke preukázali, že systémová expozícia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 xml:space="preserve"> sa môže zvýšiť až dvojnásobne pri použití inhalačného nadstavca </w:t>
      </w:r>
      <w:proofErr w:type="spellStart"/>
      <w:r w:rsidRPr="00641522">
        <w:rPr>
          <w:color w:val="000000"/>
          <w:szCs w:val="22"/>
          <w:lang w:val="sk-SK"/>
        </w:rPr>
        <w:t>AeroChamber</w:t>
      </w:r>
      <w:proofErr w:type="spellEnd"/>
      <w:r w:rsidRPr="00641522">
        <w:rPr>
          <w:color w:val="000000"/>
          <w:szCs w:val="22"/>
          <w:lang w:val="sk-SK"/>
        </w:rPr>
        <w:t xml:space="preserve"> Plus</w:t>
      </w:r>
      <w:r w:rsidRPr="000A6CA9">
        <w:rPr>
          <w:color w:val="000000"/>
          <w:szCs w:val="22"/>
          <w:lang w:val="sk-SK"/>
        </w:rPr>
        <w:t xml:space="preserve"> s fixnou kombináciou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 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 xml:space="preserve">, v porovnaní s použitím inhalačného nadstavca </w:t>
      </w:r>
      <w:proofErr w:type="spellStart"/>
      <w:r w:rsidRPr="00641522">
        <w:rPr>
          <w:color w:val="000000"/>
          <w:szCs w:val="22"/>
          <w:lang w:val="sk-SK"/>
        </w:rPr>
        <w:t>Volumatic</w:t>
      </w:r>
      <w:proofErr w:type="spellEnd"/>
      <w:r w:rsidRPr="00641522">
        <w:rPr>
          <w:color w:val="000000"/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Prínos liečby inhalačným 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má minimalizovať potrebu perorálnych </w:t>
      </w:r>
      <w:proofErr w:type="spellStart"/>
      <w:r w:rsidRPr="000A6CA9">
        <w:rPr>
          <w:szCs w:val="22"/>
          <w:lang w:val="sk-SK"/>
        </w:rPr>
        <w:t>steroidov</w:t>
      </w:r>
      <w:proofErr w:type="spellEnd"/>
      <w:r w:rsidRPr="000A6CA9">
        <w:rPr>
          <w:szCs w:val="22"/>
          <w:lang w:val="sk-SK"/>
        </w:rPr>
        <w:t>, ale u</w:t>
      </w:r>
      <w:r>
        <w:rPr>
          <w:color w:val="000000"/>
          <w:szCs w:val="22"/>
          <w:lang w:val="sk-SK"/>
        </w:rPr>
        <w:t> </w:t>
      </w:r>
      <w:r w:rsidRPr="000A6CA9">
        <w:rPr>
          <w:szCs w:val="22"/>
          <w:lang w:val="sk-SK"/>
        </w:rPr>
        <w:t>pacientov prechádzajúcich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perorálnych </w:t>
      </w:r>
      <w:proofErr w:type="spellStart"/>
      <w:r w:rsidRPr="000A6CA9">
        <w:rPr>
          <w:szCs w:val="22"/>
          <w:lang w:val="sk-SK"/>
        </w:rPr>
        <w:t>steroidov</w:t>
      </w:r>
      <w:proofErr w:type="spellEnd"/>
      <w:r w:rsidRPr="000A6CA9">
        <w:rPr>
          <w:szCs w:val="22"/>
          <w:lang w:val="sk-SK"/>
        </w:rPr>
        <w:t xml:space="preserve"> môže dlhšie pretrvávať riziko narušenej </w:t>
      </w:r>
      <w:proofErr w:type="spellStart"/>
      <w:r w:rsidRPr="000A6CA9">
        <w:rPr>
          <w:szCs w:val="22"/>
          <w:lang w:val="sk-SK"/>
        </w:rPr>
        <w:t>adrenálnej</w:t>
      </w:r>
      <w:proofErr w:type="spellEnd"/>
      <w:r w:rsidRPr="000A6CA9">
        <w:rPr>
          <w:szCs w:val="22"/>
          <w:lang w:val="sk-SK"/>
        </w:rPr>
        <w:t xml:space="preserve"> rezervy. Liečba týchto pacientov má byť preto obzvlášť starostlivá a pacienti majú byť pravidelne monitorovaní. Riziku môžu byť vystavení aj pacienti, ktorí v minulosti vyžadovali akútnu liečbu vysokými dávkami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szCs w:val="22"/>
          <w:lang w:val="sk-SK"/>
        </w:rPr>
        <w:t>. Vždy sa má myslieť na možnosť tejto reziduálnej dysfunkcie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prípade urgentného stavu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určitých situáciách, ktoré môžu vyvolať stres a má sa zvážiť vhodná liečba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kortikosteroidmi</w:t>
      </w:r>
      <w:proofErr w:type="spellEnd"/>
      <w:r w:rsidRPr="000A6CA9">
        <w:rPr>
          <w:szCs w:val="22"/>
          <w:lang w:val="sk-SK"/>
        </w:rPr>
        <w:t xml:space="preserve">. Pred </w:t>
      </w:r>
      <w:proofErr w:type="spellStart"/>
      <w:r w:rsidRPr="000A6CA9">
        <w:rPr>
          <w:szCs w:val="22"/>
          <w:lang w:val="sk-SK"/>
        </w:rPr>
        <w:t>elektívn</w:t>
      </w:r>
      <w:r>
        <w:rPr>
          <w:szCs w:val="22"/>
          <w:lang w:val="sk-SK"/>
        </w:rPr>
        <w:t>ym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zákrokom</w:t>
      </w:r>
      <w:r w:rsidRPr="000A6CA9">
        <w:rPr>
          <w:szCs w:val="22"/>
          <w:lang w:val="sk-SK"/>
        </w:rPr>
        <w:t xml:space="preserve"> môže byť potrebné konzultovať rozsah poruchy funkcie obličiek so špecialistom.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Ritonavir</w:t>
      </w:r>
      <w:proofErr w:type="spellEnd"/>
      <w:r w:rsidRPr="000A6CA9">
        <w:rPr>
          <w:szCs w:val="22"/>
          <w:lang w:val="sk-SK"/>
        </w:rPr>
        <w:t xml:space="preserve"> môže značne zvýšiť koncentráciu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plazme. Z tohto dôvodu je potrebné sa vyhnúť ich súbežnému použitiu, pokiaľ možný prínos pre pacienta neprevyšuje riziko systémových </w:t>
      </w:r>
      <w:r>
        <w:rPr>
          <w:szCs w:val="22"/>
          <w:lang w:val="sk-SK"/>
        </w:rPr>
        <w:t>nežiaducich</w:t>
      </w:r>
      <w:r w:rsidRPr="000A6CA9">
        <w:rPr>
          <w:szCs w:val="22"/>
          <w:lang w:val="sk-SK"/>
        </w:rPr>
        <w:t xml:space="preserve"> účinkov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kortikosteroidov</w:t>
      </w:r>
      <w:proofErr w:type="spellEnd"/>
      <w:r w:rsidRPr="000A6CA9">
        <w:rPr>
          <w:szCs w:val="22"/>
          <w:lang w:val="sk-SK"/>
        </w:rPr>
        <w:t xml:space="preserve">. Zvýšené riziko systémových </w:t>
      </w:r>
      <w:r>
        <w:rPr>
          <w:szCs w:val="22"/>
          <w:lang w:val="sk-SK"/>
        </w:rPr>
        <w:t xml:space="preserve">nežiaducich </w:t>
      </w:r>
      <w:r w:rsidRPr="000A6CA9">
        <w:rPr>
          <w:szCs w:val="22"/>
          <w:lang w:val="sk-SK"/>
        </w:rPr>
        <w:t xml:space="preserve">účinkov existuje aj pri súbežnom podávaní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s inými silnými inhibítormi CYP3A (pozri časť</w:t>
      </w:r>
      <w:r w:rsidRPr="009D77EC">
        <w:rPr>
          <w:lang w:val="sk-SK"/>
        </w:rPr>
        <w:t> </w:t>
      </w:r>
      <w:r w:rsidRPr="000A6CA9">
        <w:rPr>
          <w:szCs w:val="22"/>
          <w:lang w:val="sk-SK"/>
        </w:rPr>
        <w:t>4.5).</w:t>
      </w:r>
    </w:p>
    <w:p w:rsidR="003E4182" w:rsidRPr="000A6CA9" w:rsidRDefault="003E4182" w:rsidP="006E02B0">
      <w:pPr>
        <w:tabs>
          <w:tab w:val="clear" w:pos="567"/>
        </w:tabs>
        <w:spacing w:before="100" w:beforeAutospacing="1" w:after="55" w:line="240" w:lineRule="auto"/>
        <w:rPr>
          <w:szCs w:val="22"/>
          <w:lang w:val="sk-SK"/>
        </w:rPr>
      </w:pPr>
      <w:r w:rsidRPr="000A6CA9">
        <w:rPr>
          <w:color w:val="000000"/>
          <w:szCs w:val="22"/>
          <w:lang w:val="sk-SK"/>
        </w:rPr>
        <w:t>V trojročnej štúdii bol u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pacientov s chronickou obštrukčnou chorobou pľúc (CHOCHP), ktorí dostávali </w:t>
      </w:r>
      <w:proofErr w:type="spellStart"/>
      <w:r w:rsidRPr="000A6CA9">
        <w:rPr>
          <w:color w:val="000000"/>
          <w:szCs w:val="22"/>
          <w:lang w:val="sk-SK"/>
        </w:rPr>
        <w:t>salmeterol</w:t>
      </w:r>
      <w:proofErr w:type="spellEnd"/>
      <w:r w:rsidRPr="000A6CA9">
        <w:rPr>
          <w:color w:val="000000"/>
          <w:szCs w:val="22"/>
          <w:lang w:val="sk-SK"/>
        </w:rPr>
        <w:t xml:space="preserve"> a</w:t>
      </w:r>
      <w:r>
        <w:rPr>
          <w:color w:val="000000"/>
          <w:szCs w:val="22"/>
          <w:lang w:val="sk-SK"/>
        </w:rPr>
        <w:t> </w:t>
      </w:r>
      <w:proofErr w:type="spellStart"/>
      <w:r w:rsidRPr="000A6CA9">
        <w:rPr>
          <w:color w:val="000000"/>
          <w:szCs w:val="22"/>
          <w:lang w:val="sk-SK"/>
        </w:rPr>
        <w:t>flutikazónpropionát</w:t>
      </w:r>
      <w:proofErr w:type="spellEnd"/>
      <w:r w:rsidRPr="000A6CA9">
        <w:rPr>
          <w:color w:val="000000"/>
          <w:szCs w:val="22"/>
          <w:lang w:val="sk-SK"/>
        </w:rPr>
        <w:t xml:space="preserve"> ako fixnú kombináciu podávanú cez </w:t>
      </w:r>
      <w:proofErr w:type="spellStart"/>
      <w:r w:rsidRPr="00641522">
        <w:rPr>
          <w:color w:val="000000"/>
          <w:szCs w:val="22"/>
          <w:lang w:val="sk-SK"/>
        </w:rPr>
        <w:t>Diskus</w:t>
      </w:r>
      <w:proofErr w:type="spellEnd"/>
      <w:r w:rsidRPr="00641522">
        <w:rPr>
          <w:color w:val="000000"/>
          <w:szCs w:val="22"/>
          <w:lang w:val="sk-SK"/>
        </w:rPr>
        <w:t>/</w:t>
      </w:r>
      <w:proofErr w:type="spellStart"/>
      <w:r w:rsidRPr="00641522">
        <w:rPr>
          <w:color w:val="000000"/>
          <w:szCs w:val="22"/>
          <w:lang w:val="sk-SK"/>
        </w:rPr>
        <w:t>Accuhaler</w:t>
      </w:r>
      <w:proofErr w:type="spellEnd"/>
      <w:r w:rsidRPr="000A6CA9">
        <w:rPr>
          <w:position w:val="8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v porovnaní s</w:t>
      </w:r>
      <w:r>
        <w:rPr>
          <w:color w:val="000000"/>
          <w:szCs w:val="22"/>
          <w:lang w:val="sk-SK"/>
        </w:rPr>
        <w:t> </w:t>
      </w:r>
      <w:proofErr w:type="spellStart"/>
      <w:r w:rsidRPr="000A6CA9">
        <w:rPr>
          <w:color w:val="000000"/>
          <w:szCs w:val="22"/>
          <w:lang w:val="sk-SK"/>
        </w:rPr>
        <w:t>placebom</w:t>
      </w:r>
      <w:proofErr w:type="spellEnd"/>
      <w:r w:rsidRPr="000A6CA9">
        <w:rPr>
          <w:color w:val="000000"/>
          <w:szCs w:val="22"/>
          <w:lang w:val="sk-SK"/>
        </w:rPr>
        <w:t>,</w:t>
      </w:r>
      <w:r w:rsidRPr="000A6CA9">
        <w:rPr>
          <w:bCs/>
          <w:szCs w:val="22"/>
          <w:lang w:val="sk-SK"/>
        </w:rPr>
        <w:t xml:space="preserve"> hlásený zvýšený výskyt infekcií dolných dýchacích ciest (najmä pneumónie a bronchitídy)</w:t>
      </w:r>
      <w:r w:rsidRPr="000A6CA9">
        <w:rPr>
          <w:color w:val="000000"/>
          <w:szCs w:val="22"/>
          <w:lang w:val="sk-SK" w:eastAsia="en-IN" w:bidi="gu-IN"/>
        </w:rPr>
        <w:t xml:space="preserve"> (pozri časť</w:t>
      </w:r>
      <w:r>
        <w:rPr>
          <w:color w:val="000000"/>
          <w:szCs w:val="22"/>
          <w:lang w:val="sk-SK" w:eastAsia="en-IN" w:bidi="gu-IN"/>
        </w:rPr>
        <w:t> </w:t>
      </w:r>
      <w:r w:rsidRPr="000A6CA9">
        <w:rPr>
          <w:color w:val="000000"/>
          <w:szCs w:val="22"/>
          <w:lang w:val="sk-SK" w:eastAsia="en-IN" w:bidi="gu-IN"/>
        </w:rPr>
        <w:t>4.8).</w:t>
      </w:r>
      <w:r w:rsidRPr="000A6CA9">
        <w:rPr>
          <w:color w:val="000000"/>
          <w:szCs w:val="22"/>
          <w:lang w:val="sk-SK"/>
        </w:rPr>
        <w:t>V trojročnej štúdii CHOCHP boli starší pacienti, pacienti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nižším indexom telesnej hmotnosti (</w:t>
      </w:r>
      <w:r>
        <w:rPr>
          <w:color w:val="000000"/>
          <w:szCs w:val="22"/>
          <w:lang w:val="sk-SK"/>
        </w:rPr>
        <w:t>&lt;</w:t>
      </w:r>
      <w:r w:rsidRPr="000A6CA9">
        <w:rPr>
          <w:color w:val="000000"/>
          <w:szCs w:val="22"/>
          <w:lang w:val="sk-SK"/>
        </w:rPr>
        <w:t>25 kg/m</w:t>
      </w:r>
      <w:r w:rsidRPr="000A6CA9">
        <w:rPr>
          <w:color w:val="000000"/>
          <w:szCs w:val="22"/>
          <w:vertAlign w:val="superscript"/>
          <w:lang w:val="sk-SK"/>
        </w:rPr>
        <w:t>2</w:t>
      </w:r>
      <w:r w:rsidRPr="000A6CA9">
        <w:rPr>
          <w:color w:val="000000"/>
          <w:szCs w:val="22"/>
          <w:lang w:val="sk-SK"/>
        </w:rPr>
        <w:t>)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pacienti s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>veľmi ťažkým ochorením (predpoklad FEV</w:t>
      </w:r>
      <w:r w:rsidRPr="000A6CA9">
        <w:rPr>
          <w:color w:val="000000"/>
          <w:szCs w:val="22"/>
          <w:vertAlign w:val="subscript"/>
          <w:lang w:val="sk-SK"/>
        </w:rPr>
        <w:t>1 </w:t>
      </w:r>
      <w:r>
        <w:rPr>
          <w:color w:val="000000"/>
          <w:szCs w:val="22"/>
          <w:lang w:val="sk-SK"/>
        </w:rPr>
        <w:t>&lt;</w:t>
      </w:r>
      <w:r w:rsidRPr="000A6CA9">
        <w:rPr>
          <w:color w:val="000000"/>
          <w:szCs w:val="22"/>
          <w:lang w:val="sk-SK"/>
        </w:rPr>
        <w:t xml:space="preserve">30%) vystavení najväčšiemu riziku vzniku pneumónie a to bez ohľadu na liečbu. </w:t>
      </w:r>
      <w:r w:rsidRPr="000A6CA9">
        <w:rPr>
          <w:bCs/>
          <w:szCs w:val="22"/>
          <w:lang w:val="sk-SK"/>
        </w:rPr>
        <w:t>U pacientov s CHOCHP musia byť lekári ostražití kvôli možnému vzniku pneumónie a iných infekcií dolných dýchacích ciest, pretože klinické prejavy takýchto infekcií a </w:t>
      </w:r>
      <w:proofErr w:type="spellStart"/>
      <w:r w:rsidRPr="000A6CA9">
        <w:rPr>
          <w:bCs/>
          <w:szCs w:val="22"/>
          <w:lang w:val="sk-SK"/>
        </w:rPr>
        <w:t>exacerbácie</w:t>
      </w:r>
      <w:proofErr w:type="spellEnd"/>
      <w:r w:rsidRPr="000A6CA9">
        <w:rPr>
          <w:bCs/>
          <w:szCs w:val="22"/>
          <w:lang w:val="sk-SK"/>
        </w:rPr>
        <w:t xml:space="preserve"> sa často prekrývajú.</w:t>
      </w:r>
      <w:r w:rsidRPr="000A6CA9">
        <w:rPr>
          <w:szCs w:val="22"/>
          <w:lang w:val="sk-SK"/>
        </w:rPr>
        <w:t xml:space="preserve"> Ak pacient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ťažkou CHOCHP </w:t>
      </w:r>
      <w:r>
        <w:rPr>
          <w:szCs w:val="22"/>
          <w:lang w:val="sk-SK"/>
        </w:rPr>
        <w:t>prekonal</w:t>
      </w:r>
      <w:r w:rsidRPr="000A6CA9">
        <w:rPr>
          <w:szCs w:val="22"/>
          <w:lang w:val="sk-SK"/>
        </w:rPr>
        <w:t xml:space="preserve"> pneumóni</w:t>
      </w:r>
      <w:r>
        <w:rPr>
          <w:szCs w:val="22"/>
          <w:lang w:val="sk-SK"/>
        </w:rPr>
        <w:t>u</w:t>
      </w:r>
      <w:r w:rsidRPr="000A6CA9">
        <w:rPr>
          <w:szCs w:val="22"/>
          <w:lang w:val="sk-SK"/>
        </w:rPr>
        <w:t xml:space="preserve">, liečba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szCs w:val="22"/>
          <w:lang w:val="sk-SK"/>
        </w:rPr>
        <w:t xml:space="preserve"> sa musí prehodnotiť</w:t>
      </w:r>
      <w:r w:rsidRPr="000A6CA9">
        <w:rPr>
          <w:color w:val="000000"/>
          <w:szCs w:val="22"/>
          <w:lang w:val="sk-SK" w:eastAsia="en-IN" w:bidi="gu-IN"/>
        </w:rPr>
        <w:t xml:space="preserve">. Účinnosť a bezpečnosť </w:t>
      </w:r>
      <w:proofErr w:type="spellStart"/>
      <w:r w:rsidRPr="000A6CA9">
        <w:rPr>
          <w:color w:val="000000"/>
          <w:szCs w:val="22"/>
          <w:lang w:val="sk-SK" w:eastAsia="en-IN" w:bidi="gu-IN"/>
        </w:rPr>
        <w:t>S</w:t>
      </w:r>
      <w:r w:rsidR="00675B7F">
        <w:rPr>
          <w:color w:val="000000"/>
          <w:szCs w:val="22"/>
          <w:lang w:val="sk-SK" w:eastAsia="en-IN" w:bidi="gu-IN"/>
        </w:rPr>
        <w:t>erkepu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neboli u pacientov s CHOCHP stanovené a z tohto dôvodu nie je </w:t>
      </w:r>
      <w:proofErr w:type="spellStart"/>
      <w:r w:rsidR="00474110">
        <w:rPr>
          <w:color w:val="000000"/>
          <w:szCs w:val="22"/>
          <w:lang w:val="sk-SK" w:eastAsia="en-IN" w:bidi="gu-IN"/>
        </w:rPr>
        <w:t>Serkep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indikovan</w:t>
      </w:r>
      <w:r w:rsidR="00675B7F">
        <w:rPr>
          <w:color w:val="000000"/>
          <w:szCs w:val="22"/>
          <w:lang w:val="sk-SK" w:eastAsia="en-IN" w:bidi="gu-IN"/>
        </w:rPr>
        <w:t>ý</w:t>
      </w:r>
      <w:r w:rsidRPr="000A6CA9">
        <w:rPr>
          <w:color w:val="000000"/>
          <w:szCs w:val="22"/>
          <w:lang w:val="sk-SK" w:eastAsia="en-IN" w:bidi="gu-IN"/>
        </w:rPr>
        <w:t xml:space="preserve"> </w:t>
      </w:r>
      <w:r>
        <w:rPr>
          <w:color w:val="000000"/>
          <w:szCs w:val="22"/>
          <w:lang w:val="sk-SK" w:eastAsia="en-IN" w:bidi="gu-IN"/>
        </w:rPr>
        <w:t xml:space="preserve">na </w:t>
      </w:r>
      <w:r w:rsidRPr="000A6CA9">
        <w:rPr>
          <w:color w:val="000000"/>
          <w:szCs w:val="22"/>
          <w:lang w:val="sk-SK" w:eastAsia="en-IN" w:bidi="gu-IN"/>
        </w:rPr>
        <w:t>liečb</w:t>
      </w:r>
      <w:r>
        <w:rPr>
          <w:color w:val="000000"/>
          <w:szCs w:val="22"/>
          <w:lang w:val="sk-SK" w:eastAsia="en-IN" w:bidi="gu-IN"/>
        </w:rPr>
        <w:t>u</w:t>
      </w:r>
      <w:r w:rsidRPr="000A6CA9">
        <w:rPr>
          <w:color w:val="000000"/>
          <w:szCs w:val="22"/>
          <w:lang w:val="sk-SK" w:eastAsia="en-IN" w:bidi="gu-IN"/>
        </w:rPr>
        <w:t xml:space="preserve"> pacientov s CHOCHP. </w:t>
      </w:r>
    </w:p>
    <w:p w:rsidR="003E4182" w:rsidRPr="000A6CA9" w:rsidRDefault="003E4182" w:rsidP="006E02B0">
      <w:pPr>
        <w:tabs>
          <w:tab w:val="clear" w:pos="567"/>
        </w:tabs>
        <w:spacing w:before="100" w:beforeAutospacing="1" w:after="55" w:line="240" w:lineRule="auto"/>
        <w:rPr>
          <w:color w:val="000000"/>
          <w:szCs w:val="22"/>
          <w:lang w:val="sk-SK" w:eastAsia="en-IN" w:bidi="gu-IN"/>
        </w:rPr>
      </w:pPr>
      <w:r w:rsidRPr="000A6CA9">
        <w:rPr>
          <w:bCs/>
          <w:szCs w:val="22"/>
          <w:lang w:val="sk-SK"/>
        </w:rPr>
        <w:t>Údaje z veľkého klinického skúšania (</w:t>
      </w:r>
      <w:proofErr w:type="spellStart"/>
      <w:r w:rsidRPr="000A6CA9">
        <w:rPr>
          <w:bCs/>
          <w:szCs w:val="22"/>
          <w:lang w:val="sk-SK"/>
        </w:rPr>
        <w:t>Salmeterol</w:t>
      </w:r>
      <w:proofErr w:type="spellEnd"/>
      <w:r w:rsidRPr="000A6CA9">
        <w:rPr>
          <w:bCs/>
          <w:szCs w:val="22"/>
          <w:lang w:val="sk-SK"/>
        </w:rPr>
        <w:t xml:space="preserve"> </w:t>
      </w:r>
      <w:proofErr w:type="spellStart"/>
      <w:r w:rsidRPr="000A6CA9">
        <w:rPr>
          <w:bCs/>
          <w:szCs w:val="22"/>
          <w:lang w:val="sk-SK"/>
        </w:rPr>
        <w:t>Multi-Center</w:t>
      </w:r>
      <w:proofErr w:type="spellEnd"/>
      <w:r w:rsidRPr="000A6CA9">
        <w:rPr>
          <w:bCs/>
          <w:szCs w:val="22"/>
          <w:lang w:val="sk-SK"/>
        </w:rPr>
        <w:t xml:space="preserve"> Astma </w:t>
      </w:r>
      <w:proofErr w:type="spellStart"/>
      <w:r w:rsidRPr="000A6CA9">
        <w:rPr>
          <w:bCs/>
          <w:szCs w:val="22"/>
          <w:lang w:val="sk-SK"/>
        </w:rPr>
        <w:t>Research</w:t>
      </w:r>
      <w:proofErr w:type="spellEnd"/>
      <w:r w:rsidRPr="000A6CA9">
        <w:rPr>
          <w:bCs/>
          <w:szCs w:val="22"/>
          <w:lang w:val="sk-SK"/>
        </w:rPr>
        <w:t xml:space="preserve"> Trial, SMART) poukázali na to, že afroamerickí pacienti boli vystavení zvýšenému riziku závažných respiračných nežiaducich udalostí alebo došlo k</w:t>
      </w:r>
      <w:r>
        <w:rPr>
          <w:bCs/>
          <w:szCs w:val="22"/>
          <w:lang w:val="sk-SK"/>
        </w:rPr>
        <w:t> </w:t>
      </w:r>
      <w:r w:rsidRPr="000A6CA9">
        <w:rPr>
          <w:bCs/>
          <w:szCs w:val="22"/>
          <w:lang w:val="sk-SK"/>
        </w:rPr>
        <w:t xml:space="preserve">úmrtiu pri používaní </w:t>
      </w:r>
      <w:proofErr w:type="spellStart"/>
      <w:r w:rsidRPr="000A6CA9">
        <w:rPr>
          <w:bCs/>
          <w:szCs w:val="22"/>
          <w:lang w:val="sk-SK"/>
        </w:rPr>
        <w:t>salmeterolu</w:t>
      </w:r>
      <w:proofErr w:type="spellEnd"/>
      <w:r w:rsidRPr="000A6CA9">
        <w:rPr>
          <w:bCs/>
          <w:szCs w:val="22"/>
          <w:lang w:val="sk-SK"/>
        </w:rPr>
        <w:t xml:space="preserve"> v porovnaní s </w:t>
      </w:r>
      <w:proofErr w:type="spellStart"/>
      <w:r w:rsidRPr="000A6CA9">
        <w:rPr>
          <w:bCs/>
          <w:szCs w:val="22"/>
          <w:lang w:val="sk-SK"/>
        </w:rPr>
        <w:t>placebom</w:t>
      </w:r>
      <w:proofErr w:type="spellEnd"/>
      <w:r w:rsidRPr="000A6CA9">
        <w:rPr>
          <w:bCs/>
          <w:szCs w:val="22"/>
          <w:lang w:val="sk-SK"/>
        </w:rPr>
        <w:t xml:space="preserve"> (pozri časť</w:t>
      </w:r>
      <w:r>
        <w:rPr>
          <w:bCs/>
          <w:szCs w:val="22"/>
          <w:lang w:val="sk-SK"/>
        </w:rPr>
        <w:t> </w:t>
      </w:r>
      <w:r w:rsidRPr="000A6CA9">
        <w:rPr>
          <w:bCs/>
          <w:szCs w:val="22"/>
          <w:lang w:val="sk-SK"/>
        </w:rPr>
        <w:t xml:space="preserve">5.1). Nie je známe, či to spôsobili </w:t>
      </w:r>
      <w:proofErr w:type="spellStart"/>
      <w:r w:rsidRPr="000A6CA9">
        <w:rPr>
          <w:bCs/>
          <w:szCs w:val="22"/>
          <w:lang w:val="sk-SK"/>
        </w:rPr>
        <w:t>farmakogenetické</w:t>
      </w:r>
      <w:proofErr w:type="spellEnd"/>
      <w:r w:rsidRPr="000A6CA9">
        <w:rPr>
          <w:bCs/>
          <w:szCs w:val="22"/>
          <w:lang w:val="sk-SK"/>
        </w:rPr>
        <w:t xml:space="preserve"> alebo iné faktory. </w:t>
      </w:r>
      <w:r>
        <w:rPr>
          <w:bCs/>
          <w:szCs w:val="22"/>
          <w:lang w:val="sk-SK"/>
        </w:rPr>
        <w:t>P</w:t>
      </w:r>
      <w:r w:rsidRPr="000A6CA9">
        <w:rPr>
          <w:bCs/>
          <w:szCs w:val="22"/>
          <w:lang w:val="sk-SK"/>
        </w:rPr>
        <w:t xml:space="preserve">acientom </w:t>
      </w:r>
      <w:r>
        <w:rPr>
          <w:bCs/>
          <w:szCs w:val="22"/>
          <w:lang w:val="sk-SK"/>
        </w:rPr>
        <w:t xml:space="preserve">čiernej rasy </w:t>
      </w:r>
      <w:r w:rsidRPr="000A6CA9">
        <w:rPr>
          <w:bCs/>
          <w:szCs w:val="22"/>
          <w:lang w:val="sk-SK"/>
        </w:rPr>
        <w:t xml:space="preserve">afrického alebo </w:t>
      </w:r>
      <w:proofErr w:type="spellStart"/>
      <w:r w:rsidRPr="000A6CA9">
        <w:rPr>
          <w:bCs/>
          <w:szCs w:val="22"/>
          <w:lang w:val="sk-SK"/>
        </w:rPr>
        <w:t>afrokaribského</w:t>
      </w:r>
      <w:proofErr w:type="spellEnd"/>
      <w:r w:rsidRPr="000A6CA9">
        <w:rPr>
          <w:bCs/>
          <w:szCs w:val="22"/>
          <w:lang w:val="sk-SK"/>
        </w:rPr>
        <w:t xml:space="preserve"> pôvodu sa má preto odporučiť, aby pokračovali v liečbe, ale aby vyhľadali lekársku pomoc, ak počas používania </w:t>
      </w:r>
      <w:proofErr w:type="spellStart"/>
      <w:r w:rsidRPr="000A6CA9">
        <w:rPr>
          <w:bCs/>
          <w:szCs w:val="22"/>
          <w:lang w:val="sk-SK"/>
        </w:rPr>
        <w:t>S</w:t>
      </w:r>
      <w:r w:rsidR="00675B7F">
        <w:rPr>
          <w:bCs/>
          <w:szCs w:val="22"/>
          <w:lang w:val="sk-SK"/>
        </w:rPr>
        <w:t>erkepu</w:t>
      </w:r>
      <w:proofErr w:type="spellEnd"/>
      <w:r w:rsidRPr="000A6CA9">
        <w:rPr>
          <w:bCs/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príznaky astmy zostanú naďalej nekontrolované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 alebo ak sa zhoršia.</w:t>
      </w:r>
    </w:p>
    <w:p w:rsidR="003E4182" w:rsidRPr="000A6CA9" w:rsidRDefault="003E4182" w:rsidP="006E02B0">
      <w:pPr>
        <w:tabs>
          <w:tab w:val="clear" w:pos="567"/>
        </w:tabs>
        <w:spacing w:before="100" w:beforeAutospacing="1" w:after="55" w:line="240" w:lineRule="auto"/>
        <w:rPr>
          <w:color w:val="000000"/>
          <w:szCs w:val="22"/>
          <w:lang w:val="sk-SK" w:eastAsia="en-IN" w:bidi="gu-IN"/>
        </w:rPr>
      </w:pPr>
      <w:r w:rsidRPr="000A6CA9">
        <w:rPr>
          <w:szCs w:val="22"/>
          <w:lang w:val="sk-SK"/>
        </w:rPr>
        <w:t xml:space="preserve">Súbežné systémové podávanie </w:t>
      </w:r>
      <w:proofErr w:type="spellStart"/>
      <w:r w:rsidRPr="000A6CA9">
        <w:rPr>
          <w:szCs w:val="22"/>
          <w:lang w:val="sk-SK"/>
        </w:rPr>
        <w:t>ketokonazolu</w:t>
      </w:r>
      <w:proofErr w:type="spellEnd"/>
      <w:r w:rsidRPr="000A6CA9">
        <w:rPr>
          <w:szCs w:val="22"/>
          <w:lang w:val="sk-SK"/>
        </w:rPr>
        <w:t xml:space="preserve"> významne zvyšuje systémovú expozíciu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. Môže to viesť k zvýšenému výskytu systémových účinkov (napr. predĺženi</w:t>
      </w:r>
      <w:r>
        <w:rPr>
          <w:szCs w:val="22"/>
          <w:lang w:val="sk-SK"/>
        </w:rPr>
        <w:t>u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QTc</w:t>
      </w:r>
      <w:proofErr w:type="spellEnd"/>
      <w:r w:rsidRPr="000A6CA9">
        <w:rPr>
          <w:szCs w:val="22"/>
          <w:lang w:val="sk-SK"/>
        </w:rPr>
        <w:t xml:space="preserve"> intervalu a </w:t>
      </w:r>
      <w:proofErr w:type="spellStart"/>
      <w:r w:rsidRPr="000A6CA9">
        <w:rPr>
          <w:szCs w:val="22"/>
          <w:lang w:val="sk-SK"/>
        </w:rPr>
        <w:t>palpitáci</w:t>
      </w:r>
      <w:r>
        <w:rPr>
          <w:szCs w:val="22"/>
          <w:lang w:val="sk-SK"/>
        </w:rPr>
        <w:t>ám</w:t>
      </w:r>
      <w:proofErr w:type="spellEnd"/>
      <w:r w:rsidRPr="000A6CA9">
        <w:rPr>
          <w:szCs w:val="22"/>
          <w:lang w:val="sk-SK"/>
        </w:rPr>
        <w:t xml:space="preserve">). Preto je potrebné vyhnúť sa súbežnej liečbe </w:t>
      </w:r>
      <w:proofErr w:type="spellStart"/>
      <w:r w:rsidRPr="000A6CA9">
        <w:rPr>
          <w:szCs w:val="22"/>
          <w:lang w:val="sk-SK"/>
        </w:rPr>
        <w:t>ketokonazolom</w:t>
      </w:r>
      <w:proofErr w:type="spellEnd"/>
      <w:r w:rsidRPr="000A6CA9">
        <w:rPr>
          <w:szCs w:val="22"/>
          <w:lang w:val="sk-SK"/>
        </w:rPr>
        <w:t xml:space="preserve"> alebo inými silnými inhibítormi CYP3A4, pokiaľ prínosy neprevažujú nad potenciálne zvýšeným rizikom systémových </w:t>
      </w:r>
      <w:r>
        <w:rPr>
          <w:szCs w:val="22"/>
          <w:lang w:val="sk-SK"/>
        </w:rPr>
        <w:t>nežiaducich</w:t>
      </w:r>
      <w:r w:rsidRPr="000A6CA9">
        <w:rPr>
          <w:szCs w:val="22"/>
          <w:lang w:val="sk-SK"/>
        </w:rPr>
        <w:t xml:space="preserve"> účinkov liečby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 xml:space="preserve">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4.5</w:t>
      </w:r>
      <w:r w:rsidRPr="000A6CA9">
        <w:rPr>
          <w:color w:val="000000"/>
          <w:szCs w:val="22"/>
          <w:lang w:val="sk-SK" w:eastAsia="en-IN" w:bidi="gu-IN"/>
        </w:rPr>
        <w:t>).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45FE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0A6CA9">
        <w:rPr>
          <w:color w:val="000000"/>
          <w:szCs w:val="22"/>
          <w:u w:val="single"/>
          <w:lang w:val="sk-SK"/>
        </w:rPr>
        <w:t>Pediatrická populácia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Deti a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dospievajúci vo veku </w:t>
      </w:r>
      <w:r>
        <w:rPr>
          <w:szCs w:val="22"/>
          <w:lang w:val="sk-SK"/>
        </w:rPr>
        <w:t xml:space="preserve">&lt; </w:t>
      </w:r>
      <w:r w:rsidRPr="000A6CA9">
        <w:rPr>
          <w:szCs w:val="22"/>
          <w:lang w:val="sk-SK"/>
        </w:rPr>
        <w:t>16</w:t>
      </w:r>
      <w:r w:rsidRPr="000A6CA9">
        <w:rPr>
          <w:spacing w:val="5"/>
          <w:szCs w:val="22"/>
          <w:lang w:val="sk-SK"/>
        </w:rPr>
        <w:t xml:space="preserve"> rokov </w:t>
      </w:r>
      <w:r w:rsidRPr="000A6CA9">
        <w:rPr>
          <w:color w:val="000000"/>
          <w:szCs w:val="22"/>
          <w:lang w:val="sk-SK"/>
        </w:rPr>
        <w:t xml:space="preserve">užívajúci vysoké dávky </w:t>
      </w:r>
      <w:proofErr w:type="spellStart"/>
      <w:r w:rsidRPr="000A6CA9">
        <w:rPr>
          <w:color w:val="000000"/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 xml:space="preserve"> (zvyčajne</w:t>
      </w:r>
      <w:r>
        <w:rPr>
          <w:color w:val="000000"/>
          <w:szCs w:val="22"/>
          <w:lang w:val="sk-SK"/>
        </w:rPr>
        <w:t xml:space="preserve"> ≥</w:t>
      </w:r>
      <w:r w:rsidRPr="000A6CA9">
        <w:rPr>
          <w:color w:val="000000"/>
          <w:szCs w:val="22"/>
          <w:lang w:val="sk-SK"/>
        </w:rPr>
        <w:t>1 000 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/deň) môžu byť vystavení určitému riziku systémových účinkov. </w:t>
      </w:r>
      <w:r>
        <w:rPr>
          <w:szCs w:val="22"/>
          <w:lang w:val="sk-SK"/>
        </w:rPr>
        <w:t>S</w:t>
      </w:r>
      <w:r w:rsidRPr="000A6CA9">
        <w:rPr>
          <w:szCs w:val="22"/>
          <w:lang w:val="sk-SK"/>
        </w:rPr>
        <w:t>ystémové účinky</w:t>
      </w:r>
      <w:r w:rsidRPr="002176FD"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sa môžu vyskytnúť</w:t>
      </w:r>
      <w:r w:rsidRPr="002176F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 xml:space="preserve">ajmä </w:t>
      </w:r>
      <w:r>
        <w:rPr>
          <w:szCs w:val="22"/>
          <w:lang w:val="sk-SK"/>
        </w:rPr>
        <w:t>dlhodobom užívaní vysokých dávok</w:t>
      </w:r>
      <w:r w:rsidRPr="000A6CA9">
        <w:rPr>
          <w:szCs w:val="22"/>
          <w:lang w:val="sk-SK"/>
        </w:rPr>
        <w:t xml:space="preserve">. Možné systémové účinky zahŕňajú </w:t>
      </w:r>
      <w:proofErr w:type="spellStart"/>
      <w:r w:rsidRPr="000A6CA9">
        <w:rPr>
          <w:szCs w:val="22"/>
          <w:lang w:val="sk-SK"/>
        </w:rPr>
        <w:t>Cushingov</w:t>
      </w:r>
      <w:proofErr w:type="spellEnd"/>
      <w:r w:rsidRPr="000A6CA9">
        <w:rPr>
          <w:szCs w:val="22"/>
          <w:lang w:val="sk-SK"/>
        </w:rPr>
        <w:t xml:space="preserve"> syndróm, </w:t>
      </w:r>
      <w:proofErr w:type="spellStart"/>
      <w:r>
        <w:rPr>
          <w:szCs w:val="22"/>
          <w:lang w:val="sk-SK"/>
        </w:rPr>
        <w:t>c</w:t>
      </w:r>
      <w:r w:rsidRPr="000A6CA9">
        <w:rPr>
          <w:szCs w:val="22"/>
          <w:lang w:val="sk-SK"/>
        </w:rPr>
        <w:t>ushingoidný</w:t>
      </w:r>
      <w:proofErr w:type="spellEnd"/>
      <w:r w:rsidRPr="000A6CA9">
        <w:rPr>
          <w:szCs w:val="22"/>
          <w:lang w:val="sk-SK"/>
        </w:rPr>
        <w:t xml:space="preserve"> vzhľad, útlm funkcie nadobličiek, akútnu </w:t>
      </w:r>
      <w:proofErr w:type="spellStart"/>
      <w:r w:rsidRPr="000A6CA9">
        <w:rPr>
          <w:szCs w:val="22"/>
          <w:lang w:val="sk-SK"/>
        </w:rPr>
        <w:t>adrenálnu</w:t>
      </w:r>
      <w:proofErr w:type="spellEnd"/>
      <w:r w:rsidRPr="000A6CA9">
        <w:rPr>
          <w:szCs w:val="22"/>
          <w:lang w:val="sk-SK"/>
        </w:rPr>
        <w:t xml:space="preserve"> krízu a rastovú retardáciu u detí a dospievajúcich a zriedkavejšie aj rôzne účinky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psychiku alebo správanie zahŕňajúce </w:t>
      </w:r>
      <w:proofErr w:type="spellStart"/>
      <w:r w:rsidRPr="000A6CA9">
        <w:rPr>
          <w:szCs w:val="22"/>
          <w:lang w:val="sk-SK"/>
        </w:rPr>
        <w:t>psychomotorickú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hyperaktivitu</w:t>
      </w:r>
      <w:proofErr w:type="spellEnd"/>
      <w:r w:rsidRPr="000A6CA9">
        <w:rPr>
          <w:szCs w:val="22"/>
          <w:lang w:val="sk-SK"/>
        </w:rPr>
        <w:t>, poruchy spánku, úzkosť, depresiu alebo agresivitu</w:t>
      </w:r>
      <w:r w:rsidRPr="000A6CA9">
        <w:rPr>
          <w:color w:val="000000"/>
          <w:szCs w:val="22"/>
          <w:lang w:val="sk-SK"/>
        </w:rPr>
        <w:t xml:space="preserve">. Treba zvážiť </w:t>
      </w:r>
      <w:r>
        <w:rPr>
          <w:color w:val="000000"/>
          <w:szCs w:val="22"/>
          <w:lang w:val="sk-SK"/>
        </w:rPr>
        <w:t>odporučenie</w:t>
      </w:r>
      <w:r w:rsidRPr="000A6CA9">
        <w:rPr>
          <w:color w:val="000000"/>
          <w:szCs w:val="22"/>
          <w:lang w:val="sk-SK"/>
        </w:rPr>
        <w:t xml:space="preserve"> dieťaťa alebo dospievajúceho k špecialistovi na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detské pľúcne choroby.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974CA3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szCs w:val="22"/>
          <w:lang w:val="sk-SK"/>
        </w:rPr>
        <w:t xml:space="preserve">Odporúča sa, aby sa pravidelne sledoval </w:t>
      </w:r>
      <w:r>
        <w:rPr>
          <w:szCs w:val="22"/>
          <w:lang w:val="sk-SK"/>
        </w:rPr>
        <w:t>rast</w:t>
      </w:r>
      <w:r w:rsidRPr="000A6CA9">
        <w:rPr>
          <w:szCs w:val="22"/>
          <w:lang w:val="sk-SK"/>
        </w:rPr>
        <w:t xml:space="preserve"> detí, ktoré sa dlhodobo liečia inhalačnými </w:t>
      </w:r>
      <w:proofErr w:type="spellStart"/>
      <w:r w:rsidR="00CC6230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kortikosteroidmi</w:t>
      </w:r>
      <w:proofErr w:type="spellEnd"/>
      <w:r w:rsidRPr="000A6CA9">
        <w:rPr>
          <w:color w:val="000000"/>
          <w:szCs w:val="22"/>
          <w:lang w:val="sk-SK"/>
        </w:rPr>
        <w:t xml:space="preserve">. </w:t>
      </w:r>
      <w:r w:rsidRPr="000A6CA9">
        <w:rPr>
          <w:b/>
          <w:szCs w:val="22"/>
          <w:lang w:val="sk-SK"/>
        </w:rPr>
        <w:t xml:space="preserve">Dávka inhalačného </w:t>
      </w:r>
      <w:proofErr w:type="spellStart"/>
      <w:r w:rsidR="00CC6230">
        <w:rPr>
          <w:b/>
          <w:szCs w:val="22"/>
          <w:lang w:val="sk-SK"/>
        </w:rPr>
        <w:t>gluko</w:t>
      </w:r>
      <w:r w:rsidRPr="000A6CA9">
        <w:rPr>
          <w:b/>
          <w:szCs w:val="22"/>
          <w:lang w:val="sk-SK"/>
        </w:rPr>
        <w:t>kortikosteroidu</w:t>
      </w:r>
      <w:proofErr w:type="spellEnd"/>
      <w:r w:rsidRPr="000A6CA9">
        <w:rPr>
          <w:b/>
          <w:szCs w:val="22"/>
          <w:lang w:val="sk-SK"/>
        </w:rPr>
        <w:t xml:space="preserve"> sa má znížiť na najnižšiu dávku, pri ktorej sa udržuje efektívna kontrola astmy</w:t>
      </w:r>
      <w:r w:rsidRPr="000A6CA9">
        <w:rPr>
          <w:b/>
          <w:bCs/>
          <w:color w:val="000000"/>
          <w:szCs w:val="22"/>
          <w:lang w:val="sk-SK"/>
        </w:rPr>
        <w:t xml:space="preserve">. </w:t>
      </w:r>
      <w:r w:rsidRPr="000A6CA9">
        <w:rPr>
          <w:b/>
          <w:szCs w:val="22"/>
          <w:lang w:val="sk-SK"/>
        </w:rPr>
        <w:t xml:space="preserve">Poznámka: </w:t>
      </w:r>
      <w:proofErr w:type="spellStart"/>
      <w:r w:rsidR="00474110">
        <w:rPr>
          <w:b/>
          <w:szCs w:val="22"/>
          <w:lang w:val="sk-SK"/>
        </w:rPr>
        <w:t>Serkep</w:t>
      </w:r>
      <w:proofErr w:type="spellEnd"/>
      <w:r w:rsidRPr="000A6CA9">
        <w:rPr>
          <w:b/>
          <w:szCs w:val="22"/>
          <w:lang w:val="sk-SK"/>
        </w:rPr>
        <w:t xml:space="preserve"> je </w:t>
      </w:r>
      <w:r>
        <w:rPr>
          <w:b/>
          <w:szCs w:val="22"/>
          <w:lang w:val="sk-SK"/>
        </w:rPr>
        <w:t>dostupn</w:t>
      </w:r>
      <w:r w:rsidR="00675B7F">
        <w:rPr>
          <w:b/>
          <w:szCs w:val="22"/>
          <w:lang w:val="sk-SK"/>
        </w:rPr>
        <w:t>ý</w:t>
      </w:r>
      <w:r w:rsidRPr="000A6CA9">
        <w:rPr>
          <w:b/>
          <w:szCs w:val="22"/>
          <w:lang w:val="sk-SK"/>
        </w:rPr>
        <w:t xml:space="preserve"> len v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dvoch silách</w:t>
      </w:r>
      <w:r w:rsidR="00CC6230">
        <w:rPr>
          <w:b/>
          <w:szCs w:val="22"/>
          <w:lang w:val="sk-SK"/>
        </w:rPr>
        <w:t>;</w:t>
      </w:r>
      <w:r w:rsidR="00CC6230" w:rsidRPr="000A6CA9">
        <w:rPr>
          <w:b/>
          <w:szCs w:val="22"/>
          <w:lang w:val="sk-SK"/>
        </w:rPr>
        <w:t xml:space="preserve"> </w:t>
      </w:r>
      <w:r w:rsidRPr="000A6CA9">
        <w:rPr>
          <w:b/>
          <w:szCs w:val="22"/>
          <w:u w:val="single"/>
          <w:lang w:val="sk-SK"/>
        </w:rPr>
        <w:t>nie</w:t>
      </w:r>
      <w:r w:rsidRPr="000A6CA9">
        <w:rPr>
          <w:b/>
          <w:szCs w:val="22"/>
          <w:lang w:val="sk-SK"/>
        </w:rPr>
        <w:t xml:space="preserve"> je </w:t>
      </w:r>
      <w:r>
        <w:rPr>
          <w:b/>
          <w:szCs w:val="22"/>
          <w:lang w:val="sk-SK"/>
        </w:rPr>
        <w:t>dostupná</w:t>
      </w:r>
      <w:r w:rsidRPr="000A6CA9">
        <w:rPr>
          <w:b/>
          <w:szCs w:val="22"/>
          <w:lang w:val="sk-SK"/>
        </w:rPr>
        <w:t xml:space="preserve"> v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nižšej sile obsahujúcej 25 </w:t>
      </w:r>
      <w:proofErr w:type="spellStart"/>
      <w:r w:rsidRPr="000A6CA9">
        <w:rPr>
          <w:b/>
          <w:szCs w:val="22"/>
          <w:lang w:val="sk-SK"/>
        </w:rPr>
        <w:t>mikrogramov</w:t>
      </w:r>
      <w:proofErr w:type="spellEnd"/>
      <w:r w:rsidRPr="000A6CA9">
        <w:rPr>
          <w:b/>
          <w:szCs w:val="22"/>
          <w:lang w:val="sk-SK"/>
        </w:rPr>
        <w:t xml:space="preserve"> </w:t>
      </w:r>
      <w:proofErr w:type="spellStart"/>
      <w:r w:rsidRPr="000A6CA9">
        <w:rPr>
          <w:b/>
          <w:szCs w:val="22"/>
          <w:lang w:val="sk-SK"/>
        </w:rPr>
        <w:t>salmeterolu</w:t>
      </w:r>
      <w:proofErr w:type="spellEnd"/>
      <w:r w:rsidRPr="000A6CA9">
        <w:rPr>
          <w:b/>
          <w:szCs w:val="22"/>
          <w:lang w:val="sk-SK"/>
        </w:rPr>
        <w:t xml:space="preserve"> a 50 </w:t>
      </w:r>
      <w:proofErr w:type="spellStart"/>
      <w:r w:rsidRPr="000A6CA9">
        <w:rPr>
          <w:b/>
          <w:szCs w:val="22"/>
          <w:lang w:val="sk-SK"/>
        </w:rPr>
        <w:t>mikrogramov</w:t>
      </w:r>
      <w:proofErr w:type="spellEnd"/>
      <w:r w:rsidRPr="000A6CA9">
        <w:rPr>
          <w:b/>
          <w:szCs w:val="22"/>
          <w:lang w:val="sk-SK"/>
        </w:rPr>
        <w:t xml:space="preserve"> </w:t>
      </w:r>
      <w:proofErr w:type="spellStart"/>
      <w:r w:rsidRPr="000A6CA9">
        <w:rPr>
          <w:b/>
          <w:szCs w:val="22"/>
          <w:lang w:val="sk-SK"/>
        </w:rPr>
        <w:t>flutikazónpropionátu</w:t>
      </w:r>
      <w:proofErr w:type="spellEnd"/>
      <w:r w:rsidRPr="000A6CA9">
        <w:rPr>
          <w:b/>
          <w:szCs w:val="22"/>
          <w:lang w:val="sk-SK"/>
        </w:rPr>
        <w:t xml:space="preserve">, teda v sile, ktorá sa predpisuje </w:t>
      </w:r>
      <w:r>
        <w:rPr>
          <w:b/>
          <w:szCs w:val="22"/>
          <w:lang w:val="sk-SK"/>
        </w:rPr>
        <w:t>deťom</w:t>
      </w:r>
      <w:r w:rsidRPr="000A6CA9">
        <w:rPr>
          <w:b/>
          <w:szCs w:val="22"/>
          <w:lang w:val="sk-SK"/>
        </w:rPr>
        <w:t xml:space="preserve">. Navyše, </w:t>
      </w:r>
      <w:r w:rsidRPr="000A6CA9">
        <w:rPr>
          <w:b/>
          <w:color w:val="000000"/>
          <w:szCs w:val="22"/>
          <w:lang w:val="sk-SK" w:eastAsia="en-IN" w:bidi="gu-IN"/>
        </w:rPr>
        <w:t xml:space="preserve">bezpečnosť a účinnosť </w:t>
      </w:r>
      <w:proofErr w:type="spellStart"/>
      <w:r w:rsidRPr="000A6CA9">
        <w:rPr>
          <w:b/>
          <w:color w:val="000000"/>
          <w:szCs w:val="22"/>
          <w:lang w:val="sk-SK" w:eastAsia="en-IN" w:bidi="gu-IN"/>
        </w:rPr>
        <w:t>S</w:t>
      </w:r>
      <w:r w:rsidR="00675B7F">
        <w:rPr>
          <w:b/>
          <w:color w:val="000000"/>
          <w:szCs w:val="22"/>
          <w:lang w:val="sk-SK" w:eastAsia="en-IN" w:bidi="gu-IN"/>
        </w:rPr>
        <w:t>erkepu</w:t>
      </w:r>
      <w:proofErr w:type="spellEnd"/>
      <w:r w:rsidRPr="000A6CA9">
        <w:rPr>
          <w:b/>
          <w:color w:val="000000"/>
          <w:szCs w:val="22"/>
          <w:lang w:val="sk-SK" w:eastAsia="en-IN" w:bidi="gu-IN"/>
        </w:rPr>
        <w:t xml:space="preserve"> u detí vo veku 12</w:t>
      </w:r>
      <w:r>
        <w:rPr>
          <w:b/>
          <w:color w:val="000000"/>
          <w:szCs w:val="22"/>
          <w:lang w:val="sk-SK" w:eastAsia="en-IN" w:bidi="gu-IN"/>
        </w:rPr>
        <w:t> </w:t>
      </w:r>
      <w:r w:rsidRPr="000A6CA9">
        <w:rPr>
          <w:b/>
          <w:color w:val="000000"/>
          <w:szCs w:val="22"/>
          <w:lang w:val="sk-SK" w:eastAsia="en-IN" w:bidi="gu-IN"/>
        </w:rPr>
        <w:t xml:space="preserve">rokov a mladších a u dospievajúcich vo veku 13-17 rokov neboli stanovené. Nie sú k dispozícii žiadne údaje. Použitie </w:t>
      </w:r>
      <w:proofErr w:type="spellStart"/>
      <w:r w:rsidRPr="000A6CA9">
        <w:rPr>
          <w:b/>
          <w:color w:val="000000"/>
          <w:szCs w:val="22"/>
          <w:lang w:val="sk-SK" w:eastAsia="en-IN" w:bidi="gu-IN"/>
        </w:rPr>
        <w:t>S</w:t>
      </w:r>
      <w:r w:rsidR="00675B7F">
        <w:rPr>
          <w:b/>
          <w:color w:val="000000"/>
          <w:szCs w:val="22"/>
          <w:lang w:val="sk-SK" w:eastAsia="en-IN" w:bidi="gu-IN"/>
        </w:rPr>
        <w:t>erkepu</w:t>
      </w:r>
      <w:proofErr w:type="spellEnd"/>
      <w:r w:rsidRPr="000A6CA9">
        <w:rPr>
          <w:b/>
          <w:color w:val="000000"/>
          <w:szCs w:val="22"/>
          <w:lang w:val="sk-SK" w:eastAsia="en-IN" w:bidi="gu-IN"/>
        </w:rPr>
        <w:t xml:space="preserve"> sa momentálne neodporúča u detí a dospievajúcich mladších ako 18 rokov (pozri časť</w:t>
      </w:r>
      <w:r>
        <w:rPr>
          <w:b/>
          <w:color w:val="000000"/>
          <w:szCs w:val="22"/>
          <w:lang w:val="sk-SK" w:eastAsia="en-IN" w:bidi="gu-IN"/>
        </w:rPr>
        <w:t> </w:t>
      </w:r>
      <w:r w:rsidRPr="000A6CA9">
        <w:rPr>
          <w:b/>
          <w:color w:val="000000"/>
          <w:szCs w:val="22"/>
          <w:lang w:val="sk-SK" w:eastAsia="en-IN" w:bidi="gu-IN"/>
        </w:rPr>
        <w:t>4.2).</w:t>
      </w:r>
    </w:p>
    <w:p w:rsidR="003E4182" w:rsidRPr="000A6CA9" w:rsidRDefault="003E4182" w:rsidP="00D45FEE">
      <w:pPr>
        <w:widowControl w:val="0"/>
        <w:tabs>
          <w:tab w:val="clear" w:pos="567"/>
        </w:tabs>
        <w:outlineLvl w:val="0"/>
        <w:rPr>
          <w:b/>
          <w:szCs w:val="22"/>
          <w:lang w:val="sk-SK"/>
        </w:rPr>
      </w:pPr>
    </w:p>
    <w:p w:rsidR="003E4182" w:rsidRPr="000A6CA9" w:rsidRDefault="003E4182" w:rsidP="006E02B0">
      <w:pPr>
        <w:numPr>
          <w:ilvl w:val="1"/>
          <w:numId w:val="3"/>
        </w:numPr>
        <w:suppressLineNumbers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Liekové a iné interakcie</w:t>
      </w:r>
    </w:p>
    <w:p w:rsidR="003E4182" w:rsidRPr="000A6CA9" w:rsidRDefault="003E4182" w:rsidP="006E02B0">
      <w:pPr>
        <w:suppressLineNumbers/>
        <w:outlineLvl w:val="0"/>
        <w:rPr>
          <w:szCs w:val="22"/>
          <w:lang w:val="sk-SK"/>
        </w:rPr>
      </w:pPr>
    </w:p>
    <w:p w:rsidR="003E4182" w:rsidRPr="000A6CA9" w:rsidRDefault="003E4182" w:rsidP="0064152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lastRenderedPageBreak/>
        <w:t>Beta-adrenergné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blokátory</w:t>
      </w:r>
      <w:proofErr w:type="spellEnd"/>
      <w:r w:rsidRPr="000A6CA9">
        <w:rPr>
          <w:szCs w:val="22"/>
          <w:lang w:val="sk-SK"/>
        </w:rPr>
        <w:t xml:space="preserve"> môžu oslabiť alebo </w:t>
      </w:r>
      <w:proofErr w:type="spellStart"/>
      <w:r w:rsidRPr="000A6CA9">
        <w:rPr>
          <w:szCs w:val="22"/>
          <w:lang w:val="sk-SK"/>
        </w:rPr>
        <w:t>antagonizovať</w:t>
      </w:r>
      <w:proofErr w:type="spellEnd"/>
      <w:r w:rsidRPr="000A6CA9">
        <w:rPr>
          <w:szCs w:val="22"/>
          <w:lang w:val="sk-SK"/>
        </w:rPr>
        <w:t xml:space="preserve"> účinok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Pacienti s astmou sa majú </w:t>
      </w:r>
      <w:r w:rsidRPr="000A6CA9">
        <w:rPr>
          <w:szCs w:val="22"/>
          <w:lang w:val="sk-SK"/>
        </w:rPr>
        <w:t xml:space="preserve">vyhnúť podávaniu neselektívnych aj selektívnych </w:t>
      </w:r>
      <w:proofErr w:type="spellStart"/>
      <w:r w:rsidRPr="000A6CA9">
        <w:rPr>
          <w:szCs w:val="22"/>
          <w:lang w:val="sk-SK"/>
        </w:rPr>
        <w:t>betablokátorov</w:t>
      </w:r>
      <w:proofErr w:type="spellEnd"/>
      <w:r w:rsidRPr="000A6CA9">
        <w:rPr>
          <w:szCs w:val="22"/>
          <w:lang w:val="sk-SK"/>
        </w:rPr>
        <w:t>, pokiaľ pre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ich použitie nie sú presvedčivé dôvody.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Liečba beta</w:t>
      </w:r>
      <w:r w:rsidRPr="00E1502E">
        <w:rPr>
          <w:szCs w:val="22"/>
          <w:vertAlign w:val="subscript"/>
          <w:lang w:val="sk-SK"/>
        </w:rPr>
        <w:t>2</w:t>
      </w:r>
      <w:r>
        <w:rPr>
          <w:szCs w:val="22"/>
          <w:lang w:val="sk-SK"/>
        </w:rPr>
        <w:t>-</w:t>
      </w:r>
      <w:r w:rsidRPr="000A6CA9">
        <w:rPr>
          <w:szCs w:val="22"/>
          <w:lang w:val="sk-SK"/>
        </w:rPr>
        <w:t xml:space="preserve">agonistom môže mať za následok vznik potenciálne závažnej </w:t>
      </w:r>
      <w:proofErr w:type="spellStart"/>
      <w:r w:rsidRPr="000A6CA9">
        <w:rPr>
          <w:szCs w:val="22"/>
          <w:lang w:val="sk-SK"/>
        </w:rPr>
        <w:t>hypokaliémie</w:t>
      </w:r>
      <w:proofErr w:type="spellEnd"/>
      <w:r w:rsidRPr="000A6CA9">
        <w:rPr>
          <w:szCs w:val="22"/>
          <w:lang w:val="sk-SK"/>
        </w:rPr>
        <w:t>. Osobit</w:t>
      </w: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 xml:space="preserve">á opatrnosť sa odporúča pri akútnej ťažkej astme, </w:t>
      </w:r>
      <w:r>
        <w:rPr>
          <w:szCs w:val="22"/>
          <w:lang w:val="sk-SK"/>
        </w:rPr>
        <w:t>keďže</w:t>
      </w:r>
      <w:r w:rsidRPr="000A6CA9">
        <w:rPr>
          <w:szCs w:val="22"/>
          <w:lang w:val="sk-SK"/>
        </w:rPr>
        <w:t xml:space="preserve"> tento účinok môže byť zosilnený súbežnou liečbou derivátmi </w:t>
      </w:r>
      <w:proofErr w:type="spellStart"/>
      <w:r w:rsidRPr="000A6CA9">
        <w:rPr>
          <w:szCs w:val="22"/>
          <w:lang w:val="sk-SK"/>
        </w:rPr>
        <w:t>xantínu</w:t>
      </w:r>
      <w:proofErr w:type="spellEnd"/>
      <w:r w:rsidRPr="000A6CA9">
        <w:rPr>
          <w:szCs w:val="22"/>
          <w:lang w:val="sk-SK"/>
        </w:rPr>
        <w:t xml:space="preserve">, </w:t>
      </w:r>
      <w:proofErr w:type="spellStart"/>
      <w:r w:rsidRPr="000A6CA9">
        <w:rPr>
          <w:szCs w:val="22"/>
          <w:lang w:val="sk-SK"/>
        </w:rPr>
        <w:t>steroidmi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diuretikami.</w:t>
      </w:r>
    </w:p>
    <w:p w:rsidR="003E4182" w:rsidRPr="000A6CA9" w:rsidRDefault="003E4182" w:rsidP="00D45FEE">
      <w:pPr>
        <w:widowControl w:val="0"/>
        <w:rPr>
          <w:szCs w:val="22"/>
          <w:lang w:val="sk-SK"/>
        </w:rPr>
      </w:pPr>
    </w:p>
    <w:p w:rsidR="003E4182" w:rsidRPr="000A6CA9" w:rsidRDefault="003E4182" w:rsidP="00D45FEE">
      <w:pPr>
        <w:widowControl w:val="0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Súbežné použitie iných </w:t>
      </w:r>
      <w:proofErr w:type="spellStart"/>
      <w:r w:rsidRPr="000A6CA9">
        <w:rPr>
          <w:szCs w:val="22"/>
          <w:lang w:val="sk-SK"/>
        </w:rPr>
        <w:t>beta</w:t>
      </w:r>
      <w:r w:rsidRPr="000A6CA9">
        <w:rPr>
          <w:szCs w:val="22"/>
          <w:lang w:val="sk-SK"/>
        </w:rPr>
        <w:noBreakHyphen/>
        <w:t>adrenergných</w:t>
      </w:r>
      <w:proofErr w:type="spellEnd"/>
      <w:r w:rsidRPr="000A6CA9">
        <w:rPr>
          <w:szCs w:val="22"/>
          <w:lang w:val="sk-SK"/>
        </w:rPr>
        <w:t xml:space="preserve"> liekov môže mať potenciálne aditívny účinok.</w:t>
      </w:r>
    </w:p>
    <w:p w:rsidR="003E4182" w:rsidRPr="000A6CA9" w:rsidRDefault="003E4182" w:rsidP="00D45FEE">
      <w:pPr>
        <w:widowControl w:val="0"/>
        <w:rPr>
          <w:szCs w:val="22"/>
          <w:lang w:val="sk-SK"/>
        </w:rPr>
      </w:pPr>
    </w:p>
    <w:p w:rsidR="003E4182" w:rsidRPr="000E0523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sk-SK"/>
        </w:rPr>
      </w:pPr>
      <w:proofErr w:type="spellStart"/>
      <w:r w:rsidRPr="000E0523">
        <w:rPr>
          <w:szCs w:val="22"/>
          <w:u w:val="single"/>
          <w:lang w:val="sk-SK"/>
        </w:rPr>
        <w:t>Flutikazónpropioná</w:t>
      </w:r>
      <w:r w:rsidRPr="000E0523">
        <w:rPr>
          <w:bCs/>
          <w:szCs w:val="22"/>
          <w:u w:val="single"/>
          <w:lang w:val="sk-SK"/>
        </w:rPr>
        <w:t>t</w:t>
      </w:r>
      <w:proofErr w:type="spellEnd"/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Za normálnych okolností sa po inhalačnom podávaní dosiahnu nízke plazmatické koncentrácie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, a to kvôli rozsiahlemu metabolizmu pri prvom prechode pečeňou a vysokému systémovému </w:t>
      </w:r>
      <w:proofErr w:type="spellStart"/>
      <w:r w:rsidRPr="000A6CA9">
        <w:rPr>
          <w:szCs w:val="22"/>
          <w:lang w:val="sk-SK"/>
        </w:rPr>
        <w:t>klírensu</w:t>
      </w:r>
      <w:proofErr w:type="spellEnd"/>
      <w:r w:rsidRPr="000A6CA9">
        <w:rPr>
          <w:szCs w:val="22"/>
          <w:lang w:val="sk-SK"/>
        </w:rPr>
        <w:t xml:space="preserve"> sprostredkovanému </w:t>
      </w:r>
      <w:proofErr w:type="spellStart"/>
      <w:r w:rsidRPr="000A6CA9">
        <w:rPr>
          <w:szCs w:val="22"/>
          <w:lang w:val="sk-SK"/>
        </w:rPr>
        <w:t>cytochrómom</w:t>
      </w:r>
      <w:proofErr w:type="spellEnd"/>
      <w:r w:rsidRPr="000A6CA9">
        <w:rPr>
          <w:szCs w:val="22"/>
          <w:lang w:val="sk-SK"/>
        </w:rPr>
        <w:t xml:space="preserve"> P450 3A4 v črevách a pečeni. Z tohto dôvodu nie sú klinicky významné liekové interakcie sprostredkované 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pravdepodobné.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V štúdii zameranej na liekové interakcie u zdravých </w:t>
      </w:r>
      <w:r>
        <w:rPr>
          <w:szCs w:val="22"/>
          <w:lang w:val="sk-SK"/>
        </w:rPr>
        <w:t>osôb</w:t>
      </w:r>
      <w:r w:rsidRPr="000A6CA9">
        <w:rPr>
          <w:szCs w:val="22"/>
          <w:lang w:val="sk-SK"/>
        </w:rPr>
        <w:t>, ktor</w:t>
      </w:r>
      <w:r>
        <w:rPr>
          <w:szCs w:val="22"/>
          <w:lang w:val="sk-SK"/>
        </w:rPr>
        <w:t>é</w:t>
      </w:r>
      <w:r w:rsidRPr="000A6CA9">
        <w:rPr>
          <w:szCs w:val="22"/>
          <w:lang w:val="sk-SK"/>
        </w:rPr>
        <w:t xml:space="preserve"> užívali </w:t>
      </w:r>
      <w:proofErr w:type="spellStart"/>
      <w:r w:rsidRPr="000A6CA9">
        <w:rPr>
          <w:szCs w:val="22"/>
          <w:lang w:val="sk-SK"/>
        </w:rPr>
        <w:t>intranazálny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ritonavir</w:t>
      </w:r>
      <w:proofErr w:type="spellEnd"/>
      <w:r w:rsidRPr="000A6CA9">
        <w:rPr>
          <w:szCs w:val="22"/>
          <w:lang w:val="sk-SK"/>
        </w:rPr>
        <w:t xml:space="preserve"> (veľmi silný inhibítor </w:t>
      </w:r>
      <w:proofErr w:type="spellStart"/>
      <w:r w:rsidRPr="000A6CA9">
        <w:rPr>
          <w:szCs w:val="22"/>
          <w:lang w:val="sk-SK"/>
        </w:rPr>
        <w:t>cytochrómu</w:t>
      </w:r>
      <w:proofErr w:type="spellEnd"/>
      <w:r w:rsidRPr="000A6CA9">
        <w:rPr>
          <w:szCs w:val="22"/>
          <w:lang w:val="sk-SK"/>
        </w:rPr>
        <w:t xml:space="preserve"> P450 3A4) v dávke 100 mg dvakrát denne, došlo k </w:t>
      </w:r>
      <w:proofErr w:type="spellStart"/>
      <w:r w:rsidRPr="000A6CA9">
        <w:rPr>
          <w:szCs w:val="22"/>
          <w:lang w:val="sk-SK"/>
        </w:rPr>
        <w:t>niekoľkostonásobnému</w:t>
      </w:r>
      <w:proofErr w:type="spellEnd"/>
      <w:r w:rsidRPr="000A6CA9">
        <w:rPr>
          <w:szCs w:val="22"/>
          <w:lang w:val="sk-SK"/>
        </w:rPr>
        <w:t xml:space="preserve"> zvýšeniu plazmatickej koncentrácie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, čo malo za následok výrazne znížené koncentrácie </w:t>
      </w:r>
      <w:proofErr w:type="spellStart"/>
      <w:r w:rsidRPr="000A6CA9">
        <w:rPr>
          <w:szCs w:val="22"/>
          <w:lang w:val="sk-SK"/>
        </w:rPr>
        <w:t>kortizolu</w:t>
      </w:r>
      <w:proofErr w:type="spellEnd"/>
      <w:r w:rsidRPr="000A6CA9">
        <w:rPr>
          <w:szCs w:val="22"/>
          <w:lang w:val="sk-SK"/>
        </w:rPr>
        <w:t xml:space="preserve"> v sére. Informácia o tejto interakcii chýba pre inhalačný 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, ale očakávajú sa výrazne zvýšené plazmatické koncentrácie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. Boli hlásené prípady </w:t>
      </w:r>
      <w:proofErr w:type="spellStart"/>
      <w:r w:rsidRPr="000A6CA9">
        <w:rPr>
          <w:szCs w:val="22"/>
          <w:lang w:val="sk-SK"/>
        </w:rPr>
        <w:t>Cushingovho</w:t>
      </w:r>
      <w:proofErr w:type="spellEnd"/>
      <w:r w:rsidRPr="000A6CA9">
        <w:rPr>
          <w:szCs w:val="22"/>
          <w:lang w:val="sk-SK"/>
        </w:rPr>
        <w:t xml:space="preserve"> syndrómu a útlmu funkcie nadobličiek. Je potrebné vyhnúť sa tejto kombinácii, pokiaľ prínos neprevyšuje zvýšené riziko systémových </w:t>
      </w:r>
      <w:r>
        <w:rPr>
          <w:szCs w:val="22"/>
          <w:lang w:val="sk-SK"/>
        </w:rPr>
        <w:t>nežiaducich</w:t>
      </w:r>
      <w:r w:rsidRPr="000A6CA9">
        <w:rPr>
          <w:szCs w:val="22"/>
          <w:lang w:val="sk-SK"/>
        </w:rPr>
        <w:t xml:space="preserve"> účinkov </w:t>
      </w:r>
      <w:proofErr w:type="spellStart"/>
      <w:r w:rsidRPr="000A6CA9">
        <w:rPr>
          <w:szCs w:val="22"/>
          <w:lang w:val="sk-SK"/>
        </w:rPr>
        <w:t>glukokortikoidov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134DDC" w:rsidRDefault="003E4182" w:rsidP="00ED05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malej štúdii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zdravých dobrovoľníkov došlo pri podávaní o niečo slabšieho inhibítora CYP3A, </w:t>
      </w:r>
      <w:proofErr w:type="spellStart"/>
      <w:r w:rsidRPr="000A6CA9">
        <w:rPr>
          <w:szCs w:val="22"/>
          <w:lang w:val="sk-SK"/>
        </w:rPr>
        <w:t>ketokonazolu</w:t>
      </w:r>
      <w:proofErr w:type="spellEnd"/>
      <w:r w:rsidRPr="000A6CA9">
        <w:rPr>
          <w:szCs w:val="22"/>
          <w:lang w:val="sk-SK"/>
        </w:rPr>
        <w:t>,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zvýšeniu expozície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po jednorazovej inhalácii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150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%. Toto viedlo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výraznejšiemu zníženiu plazmatickej koncentrácie </w:t>
      </w:r>
      <w:proofErr w:type="spellStart"/>
      <w:r w:rsidRPr="000A6CA9">
        <w:rPr>
          <w:szCs w:val="22"/>
          <w:lang w:val="sk-SK"/>
        </w:rPr>
        <w:t>kortizolu</w:t>
      </w:r>
      <w:proofErr w:type="spellEnd"/>
      <w:r w:rsidRPr="000A6CA9">
        <w:rPr>
          <w:szCs w:val="22"/>
          <w:lang w:val="sk-SK"/>
        </w:rPr>
        <w:t xml:space="preserve"> v porovnaní so samotným 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. </w:t>
      </w:r>
      <w:r w:rsidRPr="008254E9">
        <w:rPr>
          <w:szCs w:val="22"/>
          <w:lang w:val="sk-SK"/>
        </w:rPr>
        <w:t xml:space="preserve">Očakáva sa, že súbežná liečba inhibítormi CYP3A vrátane liekov obsahujúcich </w:t>
      </w:r>
      <w:proofErr w:type="spellStart"/>
      <w:r w:rsidRPr="008254E9">
        <w:rPr>
          <w:szCs w:val="22"/>
          <w:lang w:val="sk-SK"/>
        </w:rPr>
        <w:t>kobicistát</w:t>
      </w:r>
      <w:proofErr w:type="spellEnd"/>
      <w:r w:rsidRPr="008254E9">
        <w:rPr>
          <w:szCs w:val="22"/>
          <w:lang w:val="sk-SK"/>
        </w:rPr>
        <w:t xml:space="preserve"> zvyšuje riziko systémových vedľajších účinkov.</w:t>
      </w:r>
      <w:r>
        <w:rPr>
          <w:szCs w:val="22"/>
          <w:lang w:val="sk-SK"/>
        </w:rPr>
        <w:t xml:space="preserve"> </w:t>
      </w:r>
      <w:r w:rsidRPr="00134DDC">
        <w:rPr>
          <w:szCs w:val="22"/>
          <w:lang w:val="sk-SK"/>
        </w:rPr>
        <w:t xml:space="preserve">Kombinácii sa treba vyhnúť, ak prínos neprevyšuje zvýšené riziko vzniku systémových vedľajších účinkov </w:t>
      </w:r>
      <w:proofErr w:type="spellStart"/>
      <w:r w:rsidRPr="00134DDC">
        <w:rPr>
          <w:szCs w:val="22"/>
          <w:lang w:val="sk-SK"/>
        </w:rPr>
        <w:t>kortikosteroidov</w:t>
      </w:r>
      <w:proofErr w:type="spellEnd"/>
      <w:r w:rsidRPr="00134DDC">
        <w:rPr>
          <w:szCs w:val="22"/>
          <w:lang w:val="sk-SK"/>
        </w:rPr>
        <w:t>. V</w:t>
      </w:r>
      <w:r>
        <w:rPr>
          <w:szCs w:val="22"/>
          <w:lang w:val="sk-SK"/>
        </w:rPr>
        <w:t> </w:t>
      </w:r>
      <w:r w:rsidRPr="00134DDC">
        <w:rPr>
          <w:szCs w:val="22"/>
          <w:lang w:val="sk-SK"/>
        </w:rPr>
        <w:t xml:space="preserve">takomto prípade treba pacientov sledovať z hľadiska systémových vedľajších účinkov </w:t>
      </w:r>
      <w:proofErr w:type="spellStart"/>
      <w:r w:rsidRPr="00134DDC">
        <w:rPr>
          <w:szCs w:val="22"/>
          <w:lang w:val="sk-SK"/>
        </w:rPr>
        <w:t>kortikosteroidov</w:t>
      </w:r>
      <w:proofErr w:type="spellEnd"/>
      <w:r w:rsidRPr="00134DDC">
        <w:rPr>
          <w:szCs w:val="22"/>
          <w:lang w:val="sk-SK"/>
        </w:rPr>
        <w:t>.</w:t>
      </w:r>
    </w:p>
    <w:p w:rsidR="003E4182" w:rsidRPr="00134DDC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E0523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u w:val="single"/>
          <w:lang w:val="sk-SK"/>
        </w:rPr>
      </w:pPr>
      <w:proofErr w:type="spellStart"/>
      <w:r w:rsidRPr="000E0523">
        <w:rPr>
          <w:bCs/>
          <w:color w:val="000000"/>
          <w:szCs w:val="22"/>
          <w:u w:val="single"/>
          <w:lang w:val="sk-SK"/>
        </w:rPr>
        <w:t>Salmeterol</w:t>
      </w:r>
      <w:proofErr w:type="spellEnd"/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sk-SK"/>
        </w:rPr>
      </w:pPr>
      <w:r w:rsidRPr="000A6CA9">
        <w:rPr>
          <w:i/>
          <w:color w:val="000000"/>
          <w:szCs w:val="22"/>
          <w:u w:val="single"/>
          <w:lang w:val="sk-SK"/>
        </w:rPr>
        <w:t>Silné inhibítory CYP3A4</w:t>
      </w:r>
    </w:p>
    <w:p w:rsidR="003E4182" w:rsidRPr="000A6CA9" w:rsidRDefault="003E4182" w:rsidP="00ED05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Súbežné podávanie </w:t>
      </w:r>
      <w:proofErr w:type="spellStart"/>
      <w:r w:rsidRPr="000A6CA9">
        <w:rPr>
          <w:color w:val="000000"/>
          <w:szCs w:val="22"/>
          <w:lang w:val="sk-SK"/>
        </w:rPr>
        <w:t>ketokonazolu</w:t>
      </w:r>
      <w:proofErr w:type="spellEnd"/>
      <w:r w:rsidRPr="000A6CA9">
        <w:rPr>
          <w:color w:val="000000"/>
          <w:szCs w:val="22"/>
          <w:lang w:val="sk-SK"/>
        </w:rPr>
        <w:t xml:space="preserve"> (400 mg perorálne jedenkrát denne) a</w:t>
      </w:r>
      <w:r>
        <w:rPr>
          <w:color w:val="000000"/>
          <w:szCs w:val="22"/>
          <w:lang w:val="sk-SK"/>
        </w:rPr>
        <w:t> 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(50 </w:t>
      </w:r>
      <w:proofErr w:type="spellStart"/>
      <w:r w:rsidRPr="000A6CA9">
        <w:rPr>
          <w:color w:val="000000"/>
          <w:szCs w:val="22"/>
          <w:lang w:val="sk-SK"/>
        </w:rPr>
        <w:t>mikrogramov</w:t>
      </w:r>
      <w:proofErr w:type="spellEnd"/>
      <w:r w:rsidRPr="000A6CA9">
        <w:rPr>
          <w:color w:val="000000"/>
          <w:szCs w:val="22"/>
          <w:lang w:val="sk-SK"/>
        </w:rPr>
        <w:t xml:space="preserve"> inhalačne dvakrát denne) 15</w:t>
      </w:r>
      <w:r w:rsidRPr="000A6CA9">
        <w:rPr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zdravým </w:t>
      </w:r>
      <w:r>
        <w:rPr>
          <w:color w:val="000000"/>
          <w:szCs w:val="22"/>
          <w:lang w:val="sk-SK"/>
        </w:rPr>
        <w:t>osobám</w:t>
      </w:r>
      <w:r w:rsidRPr="000A6CA9">
        <w:rPr>
          <w:color w:val="000000"/>
          <w:szCs w:val="22"/>
          <w:lang w:val="sk-SK"/>
        </w:rPr>
        <w:t xml:space="preserve"> počas 7</w:t>
      </w:r>
      <w:r w:rsidRPr="000A6CA9">
        <w:rPr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dní malo za následok významné zvýšenie plazmatickej expozície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(1,4</w:t>
      </w:r>
      <w:r w:rsidRPr="000A6CA9">
        <w:rPr>
          <w:color w:val="000000"/>
          <w:szCs w:val="22"/>
          <w:lang w:val="sk-SK"/>
        </w:rPr>
        <w:noBreakHyphen/>
        <w:t xml:space="preserve">násobný nárast </w:t>
      </w:r>
      <w:proofErr w:type="spellStart"/>
      <w:r w:rsidRPr="000A6CA9">
        <w:rPr>
          <w:color w:val="000000"/>
          <w:szCs w:val="22"/>
          <w:lang w:val="sk-SK"/>
        </w:rPr>
        <w:t>C</w:t>
      </w:r>
      <w:r w:rsidRPr="000A6CA9">
        <w:rPr>
          <w:color w:val="000000"/>
          <w:szCs w:val="22"/>
          <w:vertAlign w:val="subscript"/>
          <w:lang w:val="sk-SK"/>
        </w:rPr>
        <w:t>max</w:t>
      </w:r>
      <w:proofErr w:type="spellEnd"/>
      <w:r w:rsidRPr="000A6CA9">
        <w:rPr>
          <w:color w:val="000000"/>
          <w:szCs w:val="22"/>
          <w:lang w:val="sk-SK"/>
        </w:rPr>
        <w:t xml:space="preserve"> a 15</w:t>
      </w:r>
      <w:r w:rsidRPr="000A6CA9">
        <w:rPr>
          <w:color w:val="000000"/>
          <w:szCs w:val="22"/>
          <w:lang w:val="sk-SK"/>
        </w:rPr>
        <w:noBreakHyphen/>
        <w:t xml:space="preserve">násobný nárast AUC). </w:t>
      </w:r>
      <w:r w:rsidRPr="000A6CA9">
        <w:rPr>
          <w:szCs w:val="22"/>
          <w:lang w:val="sk-SK"/>
        </w:rPr>
        <w:t xml:space="preserve">Môže to viesť k zvýšenému výskytu ďalších systémových účinkov liečby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 xml:space="preserve"> (napr. predĺženi</w:t>
      </w:r>
      <w:r>
        <w:rPr>
          <w:szCs w:val="22"/>
          <w:lang w:val="sk-SK"/>
        </w:rPr>
        <w:t>u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QTc</w:t>
      </w:r>
      <w:proofErr w:type="spellEnd"/>
      <w:r w:rsidRPr="000A6CA9">
        <w:rPr>
          <w:szCs w:val="22"/>
          <w:lang w:val="sk-SK"/>
        </w:rPr>
        <w:t xml:space="preserve"> intervalu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palpitáci</w:t>
      </w:r>
      <w:r>
        <w:rPr>
          <w:szCs w:val="22"/>
          <w:lang w:val="sk-SK"/>
        </w:rPr>
        <w:t>ám</w:t>
      </w:r>
      <w:proofErr w:type="spellEnd"/>
      <w:r w:rsidRPr="000A6CA9">
        <w:rPr>
          <w:szCs w:val="22"/>
          <w:lang w:val="sk-SK"/>
        </w:rPr>
        <w:t>) v porovnaní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podávaním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alebo </w:t>
      </w:r>
      <w:proofErr w:type="spellStart"/>
      <w:r w:rsidRPr="000A6CA9">
        <w:rPr>
          <w:szCs w:val="22"/>
          <w:lang w:val="sk-SK"/>
        </w:rPr>
        <w:t>ketokonazolu</w:t>
      </w:r>
      <w:proofErr w:type="spellEnd"/>
      <w:r w:rsidRPr="000A6CA9">
        <w:rPr>
          <w:szCs w:val="22"/>
          <w:lang w:val="sk-SK"/>
        </w:rPr>
        <w:t xml:space="preserve"> v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monoterapii</w:t>
      </w:r>
      <w:proofErr w:type="spellEnd"/>
      <w:r w:rsidRPr="000A6CA9">
        <w:rPr>
          <w:szCs w:val="22"/>
          <w:lang w:val="sk-SK"/>
        </w:rPr>
        <w:t xml:space="preserve">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4.4).</w:t>
      </w:r>
    </w:p>
    <w:p w:rsidR="003E4182" w:rsidRPr="000A6CA9" w:rsidRDefault="003E4182" w:rsidP="00ED05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ED05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Nezaznamenali sa klinicky významné účinky na krvný tlak, srdcovú frekvenciu, glykémiu a hladiny draslíka v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krvi. Súbežné podávanie </w:t>
      </w:r>
      <w:proofErr w:type="spellStart"/>
      <w:r w:rsidRPr="000A6CA9">
        <w:rPr>
          <w:color w:val="000000"/>
          <w:szCs w:val="22"/>
          <w:lang w:val="sk-SK"/>
        </w:rPr>
        <w:t>ketokonazolu</w:t>
      </w:r>
      <w:proofErr w:type="spellEnd"/>
      <w:r w:rsidRPr="000A6CA9">
        <w:rPr>
          <w:color w:val="000000"/>
          <w:szCs w:val="22"/>
          <w:lang w:val="sk-SK"/>
        </w:rPr>
        <w:t xml:space="preserve"> nepredĺžilo polčas eliminácie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ani nezvýšilo akumuláciu </w:t>
      </w:r>
      <w:proofErr w:type="spellStart"/>
      <w:r w:rsidRPr="000A6CA9">
        <w:rPr>
          <w:color w:val="000000"/>
          <w:szCs w:val="22"/>
          <w:lang w:val="sk-SK"/>
        </w:rPr>
        <w:t>salmeterolu</w:t>
      </w:r>
      <w:proofErr w:type="spellEnd"/>
      <w:r w:rsidRPr="000A6CA9">
        <w:rPr>
          <w:color w:val="000000"/>
          <w:szCs w:val="22"/>
          <w:lang w:val="sk-SK"/>
        </w:rPr>
        <w:t xml:space="preserve"> pri jeho opakovanom podávaní.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Je potrebné vyhnúť sa súbežnému podávaniu </w:t>
      </w:r>
      <w:proofErr w:type="spellStart"/>
      <w:r w:rsidRPr="000A6CA9">
        <w:rPr>
          <w:szCs w:val="22"/>
          <w:lang w:val="sk-SK"/>
        </w:rPr>
        <w:t>ketokonazolu</w:t>
      </w:r>
      <w:proofErr w:type="spellEnd"/>
      <w:r w:rsidRPr="000A6CA9">
        <w:rPr>
          <w:szCs w:val="22"/>
          <w:lang w:val="sk-SK"/>
        </w:rPr>
        <w:t xml:space="preserve">, pokiaľ prínos neprevyšuje potenciálne zvýšené riziko systémových </w:t>
      </w:r>
      <w:r>
        <w:rPr>
          <w:szCs w:val="22"/>
          <w:lang w:val="sk-SK"/>
        </w:rPr>
        <w:t xml:space="preserve">nežiaducich </w:t>
      </w:r>
      <w:r w:rsidRPr="000A6CA9">
        <w:rPr>
          <w:szCs w:val="22"/>
          <w:lang w:val="sk-SK"/>
        </w:rPr>
        <w:t xml:space="preserve">účinkov liečby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color w:val="000000"/>
          <w:szCs w:val="22"/>
          <w:lang w:val="sk-SK"/>
        </w:rPr>
        <w:t xml:space="preserve">. Podobné riziko interakcie pravdepodobne existuje aj pri iných silných inhibítoroch CYP3A4 (napr. </w:t>
      </w:r>
      <w:proofErr w:type="spellStart"/>
      <w:r w:rsidRPr="000A6CA9">
        <w:rPr>
          <w:color w:val="000000"/>
          <w:szCs w:val="22"/>
          <w:lang w:val="sk-SK"/>
        </w:rPr>
        <w:t>itrakonazol</w:t>
      </w:r>
      <w:proofErr w:type="spellEnd"/>
      <w:r w:rsidRPr="000A6CA9">
        <w:rPr>
          <w:color w:val="000000"/>
          <w:szCs w:val="22"/>
          <w:lang w:val="sk-SK"/>
        </w:rPr>
        <w:t xml:space="preserve">, </w:t>
      </w:r>
      <w:proofErr w:type="spellStart"/>
      <w:r w:rsidRPr="000A6CA9">
        <w:rPr>
          <w:color w:val="000000"/>
          <w:szCs w:val="22"/>
          <w:lang w:val="sk-SK"/>
        </w:rPr>
        <w:t>telitromycín</w:t>
      </w:r>
      <w:proofErr w:type="spellEnd"/>
      <w:r w:rsidRPr="000A6CA9">
        <w:rPr>
          <w:color w:val="000000"/>
          <w:szCs w:val="22"/>
          <w:lang w:val="sk-SK"/>
        </w:rPr>
        <w:t xml:space="preserve">, </w:t>
      </w:r>
      <w:proofErr w:type="spellStart"/>
      <w:r w:rsidRPr="000A6CA9">
        <w:rPr>
          <w:color w:val="000000"/>
          <w:szCs w:val="22"/>
          <w:lang w:val="sk-SK"/>
        </w:rPr>
        <w:t>ritonavir</w:t>
      </w:r>
      <w:proofErr w:type="spellEnd"/>
      <w:r w:rsidRPr="000A6CA9">
        <w:rPr>
          <w:szCs w:val="22"/>
          <w:lang w:val="sk-SK"/>
        </w:rPr>
        <w:t>)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sk-SK"/>
        </w:rPr>
      </w:pPr>
      <w:r w:rsidRPr="000A6CA9">
        <w:rPr>
          <w:i/>
          <w:color w:val="000000"/>
          <w:szCs w:val="22"/>
          <w:u w:val="single"/>
          <w:lang w:val="sk-SK"/>
        </w:rPr>
        <w:lastRenderedPageBreak/>
        <w:t>Stredne silné inhibítory CYP 3A4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 xml:space="preserve">Súbežné podávanie </w:t>
      </w:r>
      <w:proofErr w:type="spellStart"/>
      <w:r w:rsidRPr="000A6CA9">
        <w:rPr>
          <w:color w:val="000000"/>
          <w:szCs w:val="22"/>
          <w:lang w:val="sk-SK" w:bidi="or-IN"/>
        </w:rPr>
        <w:t>erytromycínu</w:t>
      </w:r>
      <w:proofErr w:type="spellEnd"/>
      <w:r w:rsidRPr="000A6CA9">
        <w:rPr>
          <w:color w:val="000000"/>
          <w:szCs w:val="22"/>
          <w:lang w:val="sk-SK" w:bidi="or-IN"/>
        </w:rPr>
        <w:t xml:space="preserve"> (500 mg perorálne trikrát denne) a</w:t>
      </w:r>
      <w:r>
        <w:rPr>
          <w:color w:val="000000"/>
          <w:szCs w:val="22"/>
          <w:lang w:val="sk-SK" w:bidi="or-IN"/>
        </w:rPr>
        <w:t> </w:t>
      </w:r>
      <w:proofErr w:type="spellStart"/>
      <w:r w:rsidRPr="000A6CA9">
        <w:rPr>
          <w:color w:val="000000"/>
          <w:szCs w:val="22"/>
          <w:lang w:val="sk-SK" w:bidi="or-IN"/>
        </w:rPr>
        <w:t>salmeterolu</w:t>
      </w:r>
      <w:proofErr w:type="spellEnd"/>
      <w:r w:rsidRPr="000A6CA9">
        <w:rPr>
          <w:color w:val="000000"/>
          <w:szCs w:val="22"/>
          <w:lang w:val="sk-SK" w:bidi="or-IN"/>
        </w:rPr>
        <w:t xml:space="preserve"> (50 </w:t>
      </w:r>
      <w:proofErr w:type="spellStart"/>
      <w:r w:rsidRPr="000A6CA9">
        <w:rPr>
          <w:color w:val="000000"/>
          <w:szCs w:val="22"/>
          <w:lang w:val="sk-SK" w:bidi="or-IN"/>
        </w:rPr>
        <w:t>mikrogramov</w:t>
      </w:r>
      <w:proofErr w:type="spellEnd"/>
      <w:r w:rsidRPr="000A6CA9">
        <w:rPr>
          <w:color w:val="000000"/>
          <w:szCs w:val="22"/>
          <w:lang w:val="sk-SK" w:bidi="or-IN"/>
        </w:rPr>
        <w:t xml:space="preserve"> </w:t>
      </w:r>
      <w:r w:rsidRPr="000A6CA9">
        <w:rPr>
          <w:color w:val="000000"/>
          <w:szCs w:val="22"/>
          <w:lang w:val="sk-SK"/>
        </w:rPr>
        <w:t>inhalačne dvakrát denne</w:t>
      </w:r>
      <w:r w:rsidRPr="000A6CA9">
        <w:rPr>
          <w:color w:val="000000"/>
          <w:szCs w:val="22"/>
          <w:lang w:val="sk-SK" w:bidi="or-IN"/>
        </w:rPr>
        <w:t>) 15</w:t>
      </w:r>
      <w:r w:rsidRPr="000A6CA9">
        <w:rPr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zdravým </w:t>
      </w:r>
      <w:r>
        <w:rPr>
          <w:color w:val="000000"/>
          <w:szCs w:val="22"/>
          <w:lang w:val="sk-SK"/>
        </w:rPr>
        <w:t>osobám</w:t>
      </w:r>
      <w:r w:rsidRPr="000A6CA9">
        <w:rPr>
          <w:color w:val="000000"/>
          <w:szCs w:val="22"/>
          <w:lang w:val="sk-SK"/>
        </w:rPr>
        <w:t xml:space="preserve"> počas </w:t>
      </w:r>
      <w:r w:rsidRPr="000A6CA9">
        <w:rPr>
          <w:color w:val="000000"/>
          <w:szCs w:val="22"/>
          <w:lang w:val="sk-SK" w:bidi="or-IN"/>
        </w:rPr>
        <w:t>6</w:t>
      </w:r>
      <w:r w:rsidRPr="000A6CA9">
        <w:rPr>
          <w:szCs w:val="22"/>
          <w:lang w:val="sk-SK"/>
        </w:rPr>
        <w:t> </w:t>
      </w:r>
      <w:r w:rsidRPr="000A6CA9">
        <w:rPr>
          <w:color w:val="000000"/>
          <w:szCs w:val="22"/>
          <w:lang w:val="sk-SK" w:bidi="or-IN"/>
        </w:rPr>
        <w:t xml:space="preserve">dní malo za následok malé, ale štatisticky nevýznamné zvýšenie expozície </w:t>
      </w:r>
      <w:proofErr w:type="spellStart"/>
      <w:r w:rsidRPr="000A6CA9">
        <w:rPr>
          <w:color w:val="000000"/>
          <w:szCs w:val="22"/>
          <w:lang w:val="sk-SK" w:bidi="or-IN"/>
        </w:rPr>
        <w:t>salmeterolu</w:t>
      </w:r>
      <w:proofErr w:type="spellEnd"/>
      <w:r w:rsidRPr="000A6CA9">
        <w:rPr>
          <w:color w:val="000000"/>
          <w:szCs w:val="22"/>
          <w:lang w:val="sk-SK" w:bidi="or-IN"/>
        </w:rPr>
        <w:t xml:space="preserve"> </w:t>
      </w:r>
      <w:r w:rsidRPr="000A6CA9">
        <w:rPr>
          <w:szCs w:val="22"/>
          <w:lang w:val="sk-SK" w:bidi="or-IN"/>
        </w:rPr>
        <w:t>(1,4</w:t>
      </w:r>
      <w:r w:rsidRPr="000A6CA9">
        <w:rPr>
          <w:szCs w:val="22"/>
          <w:lang w:val="sk-SK" w:bidi="or-IN"/>
        </w:rPr>
        <w:noBreakHyphen/>
        <w:t xml:space="preserve">násobný nárast </w:t>
      </w:r>
      <w:proofErr w:type="spellStart"/>
      <w:r w:rsidRPr="000A6CA9">
        <w:rPr>
          <w:szCs w:val="22"/>
          <w:lang w:val="sk-SK"/>
        </w:rPr>
        <w:t>C</w:t>
      </w:r>
      <w:r w:rsidRPr="000A6CA9">
        <w:rPr>
          <w:szCs w:val="22"/>
          <w:vertAlign w:val="subscript"/>
          <w:lang w:val="sk-SK"/>
        </w:rPr>
        <w:t>max</w:t>
      </w:r>
      <w:proofErr w:type="spellEnd"/>
      <w:r w:rsidRPr="000A6CA9">
        <w:rPr>
          <w:szCs w:val="22"/>
          <w:lang w:val="sk-SK"/>
        </w:rPr>
        <w:t xml:space="preserve"> a 1,2</w:t>
      </w:r>
      <w:r w:rsidRPr="000A6CA9">
        <w:rPr>
          <w:szCs w:val="22"/>
          <w:lang w:val="sk-SK"/>
        </w:rPr>
        <w:noBreakHyphen/>
        <w:t>násobný nárast AUC)</w:t>
      </w:r>
      <w:r w:rsidRPr="000A6CA9">
        <w:rPr>
          <w:szCs w:val="22"/>
          <w:lang w:val="sk-SK" w:bidi="or-IN"/>
        </w:rPr>
        <w:t xml:space="preserve">. Súbežné podávanie </w:t>
      </w:r>
      <w:proofErr w:type="spellStart"/>
      <w:r w:rsidRPr="000A6CA9">
        <w:rPr>
          <w:szCs w:val="22"/>
          <w:lang w:val="sk-SK" w:bidi="or-IN"/>
        </w:rPr>
        <w:t>erytromycínu</w:t>
      </w:r>
      <w:proofErr w:type="spellEnd"/>
      <w:r w:rsidRPr="000A6CA9">
        <w:rPr>
          <w:szCs w:val="22"/>
          <w:lang w:val="sk-SK" w:bidi="or-IN"/>
        </w:rPr>
        <w:t xml:space="preserve"> sa nespájalo so</w:t>
      </w:r>
      <w:r>
        <w:rPr>
          <w:szCs w:val="22"/>
          <w:lang w:val="sk-SK" w:bidi="or-IN"/>
        </w:rPr>
        <w:t xml:space="preserve"> </w:t>
      </w:r>
      <w:r w:rsidRPr="000A6CA9">
        <w:rPr>
          <w:szCs w:val="22"/>
          <w:lang w:val="sk-SK" w:bidi="or-IN"/>
        </w:rPr>
        <w:t>žiadnymi závažnými nežiaducimi účinkami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D45FEE">
      <w:pPr>
        <w:tabs>
          <w:tab w:val="clear" w:pos="567"/>
        </w:tabs>
        <w:outlineLvl w:val="0"/>
        <w:rPr>
          <w:b/>
          <w:szCs w:val="22"/>
          <w:lang w:val="sk-SK"/>
        </w:rPr>
      </w:pPr>
    </w:p>
    <w:p w:rsidR="003E4182" w:rsidRPr="000A6CA9" w:rsidRDefault="003E4182" w:rsidP="006E02B0">
      <w:pPr>
        <w:numPr>
          <w:ilvl w:val="1"/>
          <w:numId w:val="3"/>
        </w:numPr>
        <w:suppressLineNumbers/>
        <w:outlineLvl w:val="0"/>
        <w:rPr>
          <w:b/>
          <w:szCs w:val="22"/>
          <w:lang w:val="sk-SK"/>
        </w:rPr>
      </w:pPr>
      <w:proofErr w:type="spellStart"/>
      <w:r w:rsidRPr="000A6CA9">
        <w:rPr>
          <w:b/>
          <w:bCs/>
          <w:szCs w:val="22"/>
          <w:lang w:val="sk-SK"/>
        </w:rPr>
        <w:t>Fertilita</w:t>
      </w:r>
      <w:proofErr w:type="spellEnd"/>
      <w:r w:rsidRPr="000A6CA9">
        <w:rPr>
          <w:b/>
          <w:bCs/>
          <w:szCs w:val="22"/>
          <w:lang w:val="sk-SK"/>
        </w:rPr>
        <w:t>, gravidita</w:t>
      </w:r>
      <w:r w:rsidRPr="000A6CA9">
        <w:rPr>
          <w:b/>
          <w:szCs w:val="22"/>
          <w:lang w:val="sk-SK"/>
        </w:rPr>
        <w:t xml:space="preserve"> a laktácia</w:t>
      </w:r>
    </w:p>
    <w:p w:rsidR="003E4182" w:rsidRPr="000A6CA9" w:rsidRDefault="003E4182" w:rsidP="006E02B0">
      <w:pPr>
        <w:suppressLineNumbers/>
        <w:rPr>
          <w:color w:val="000000"/>
          <w:szCs w:val="22"/>
          <w:lang w:val="sk-SK"/>
        </w:rPr>
      </w:pPr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0A6CA9">
        <w:rPr>
          <w:color w:val="000000"/>
          <w:szCs w:val="22"/>
          <w:u w:val="single"/>
          <w:lang w:val="sk-SK"/>
        </w:rPr>
        <w:t>Gravidita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1502E">
        <w:rPr>
          <w:szCs w:val="22"/>
          <w:lang w:val="sk-SK"/>
        </w:rPr>
        <w:t>Určité množstvo údajov</w:t>
      </w:r>
      <w:r w:rsidRPr="000A6CA9">
        <w:rPr>
          <w:szCs w:val="22"/>
          <w:lang w:val="sk-SK"/>
        </w:rPr>
        <w:t xml:space="preserve"> u gravidných žien (medzi 300 až 1 000 ukončených gravidít) nepoukazuje na to, že by </w:t>
      </w:r>
      <w:proofErr w:type="spellStart"/>
      <w:r w:rsidRPr="000A6CA9">
        <w:rPr>
          <w:szCs w:val="22"/>
          <w:lang w:val="sk-SK"/>
        </w:rPr>
        <w:t>salmetrol</w:t>
      </w:r>
      <w:proofErr w:type="spellEnd"/>
      <w:r w:rsidRPr="000A6CA9">
        <w:rPr>
          <w:szCs w:val="22"/>
          <w:lang w:val="sk-SK"/>
        </w:rPr>
        <w:t xml:space="preserve"> a 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spôsobovali </w:t>
      </w:r>
      <w:proofErr w:type="spellStart"/>
      <w:r w:rsidRPr="000A6CA9">
        <w:rPr>
          <w:szCs w:val="22"/>
          <w:lang w:val="sk-SK"/>
        </w:rPr>
        <w:t>malformácie</w:t>
      </w:r>
      <w:proofErr w:type="spellEnd"/>
      <w:r w:rsidRPr="000A6CA9">
        <w:rPr>
          <w:szCs w:val="22"/>
          <w:lang w:val="sk-SK"/>
        </w:rPr>
        <w:t xml:space="preserve"> alebo </w:t>
      </w:r>
      <w:proofErr w:type="spellStart"/>
      <w:r w:rsidRPr="000A6CA9">
        <w:rPr>
          <w:szCs w:val="22"/>
          <w:lang w:val="sk-SK"/>
        </w:rPr>
        <w:t>fetálnu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neonatálnu</w:t>
      </w:r>
      <w:proofErr w:type="spellEnd"/>
      <w:r w:rsidRPr="000A6CA9">
        <w:rPr>
          <w:szCs w:val="22"/>
          <w:lang w:val="sk-SK"/>
        </w:rPr>
        <w:t xml:space="preserve"> toxicitu. Štúdie na zvieratách preukázali reprodukčnú toxicitu po podaní </w:t>
      </w:r>
      <w:proofErr w:type="spellStart"/>
      <w:r w:rsidRPr="000A6CA9">
        <w:rPr>
          <w:szCs w:val="22"/>
          <w:lang w:val="sk-SK"/>
        </w:rPr>
        <w:t>agonistov</w:t>
      </w:r>
      <w:proofErr w:type="spellEnd"/>
      <w:r w:rsidRPr="000A6CA9">
        <w:rPr>
          <w:szCs w:val="22"/>
          <w:lang w:val="sk-SK"/>
        </w:rPr>
        <w:t xml:space="preserve"> beta</w:t>
      </w:r>
      <w:r w:rsidRPr="00E1502E">
        <w:rPr>
          <w:szCs w:val="22"/>
          <w:vertAlign w:val="subscript"/>
          <w:lang w:val="sk-SK"/>
        </w:rPr>
        <w:t>2</w:t>
      </w:r>
      <w:r>
        <w:rPr>
          <w:szCs w:val="22"/>
          <w:lang w:val="sk-SK"/>
        </w:rPr>
        <w:t>-</w:t>
      </w:r>
      <w:r w:rsidRPr="000A6CA9">
        <w:rPr>
          <w:szCs w:val="22"/>
          <w:lang w:val="sk-SK"/>
        </w:rPr>
        <w:t>adrenoreceptorov a </w:t>
      </w:r>
      <w:proofErr w:type="spellStart"/>
      <w:r w:rsidRPr="000A6CA9">
        <w:rPr>
          <w:szCs w:val="22"/>
          <w:lang w:val="sk-SK"/>
        </w:rPr>
        <w:t>glukokortikosteroidov</w:t>
      </w:r>
      <w:proofErr w:type="spellEnd"/>
      <w:r w:rsidRPr="000A6CA9">
        <w:rPr>
          <w:szCs w:val="22"/>
          <w:lang w:val="sk-SK"/>
        </w:rPr>
        <w:t xml:space="preserve">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5.3</w:t>
      </w:r>
      <w:r w:rsidRPr="000A6CA9">
        <w:rPr>
          <w:color w:val="000000"/>
          <w:szCs w:val="22"/>
          <w:lang w:val="sk-SK"/>
        </w:rPr>
        <w:t>).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Podávanie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erkepu</w:t>
      </w:r>
      <w:proofErr w:type="spellEnd"/>
      <w:r w:rsidRPr="000A6CA9">
        <w:rPr>
          <w:szCs w:val="22"/>
          <w:lang w:val="sk-SK"/>
        </w:rPr>
        <w:t xml:space="preserve"> gravidným ženám sa má zvážiť len vtedy, ak je očakávaný prínos pre matku väčší ako akékoľvek možné riziko pre plod.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liečbe gravidných žien sa má používať najnižšia účinná dávka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>, ktorá je potrebná na udržiavanie dostatočnej kontroly astmy.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45FE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0A6CA9">
        <w:rPr>
          <w:szCs w:val="22"/>
          <w:u w:val="single"/>
          <w:lang w:val="sk-SK"/>
        </w:rPr>
        <w:t>Dojčenie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Nie je známe, či sa </w:t>
      </w: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 xml:space="preserve"> a 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/ich </w:t>
      </w:r>
      <w:proofErr w:type="spellStart"/>
      <w:r w:rsidRPr="000A6CA9">
        <w:rPr>
          <w:szCs w:val="22"/>
          <w:lang w:val="sk-SK"/>
        </w:rPr>
        <w:t>metabolity</w:t>
      </w:r>
      <w:proofErr w:type="spellEnd"/>
      <w:r w:rsidRPr="000A6CA9">
        <w:rPr>
          <w:szCs w:val="22"/>
          <w:lang w:val="sk-SK"/>
        </w:rPr>
        <w:t xml:space="preserve"> vylučujú do materského mlieka.</w:t>
      </w:r>
      <w:r w:rsidRPr="000A6CA9">
        <w:rPr>
          <w:color w:val="000000"/>
          <w:szCs w:val="22"/>
          <w:lang w:val="sk-SK"/>
        </w:rPr>
        <w:t xml:space="preserve"> 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Štúdie preukázali, že </w:t>
      </w: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 xml:space="preserve"> a 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a ich </w:t>
      </w:r>
      <w:proofErr w:type="spellStart"/>
      <w:r w:rsidRPr="000A6CA9">
        <w:rPr>
          <w:szCs w:val="22"/>
          <w:lang w:val="sk-SK"/>
        </w:rPr>
        <w:t>metabolity</w:t>
      </w:r>
      <w:proofErr w:type="spellEnd"/>
      <w:r w:rsidRPr="000A6CA9">
        <w:rPr>
          <w:szCs w:val="22"/>
          <w:lang w:val="sk-SK"/>
        </w:rPr>
        <w:t xml:space="preserve"> sa vylučujú do mlieka u</w:t>
      </w:r>
      <w:r>
        <w:rPr>
          <w:szCs w:val="22"/>
          <w:lang w:val="sk-SK"/>
        </w:rPr>
        <w:t> samíc potkanov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Riziko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dojčených novorodencov/dojčiat nemôže byť vylúčené. Rozhodnutie, či ukončiť dojčenie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 alebo či ukončiť liečbu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szCs w:val="22"/>
          <w:lang w:val="sk-SK"/>
        </w:rPr>
        <w:t xml:space="preserve"> sa má urobiť po zvážení prínosu dojčenia pre dieťa a prínosu liečby pre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ženu.</w:t>
      </w:r>
    </w:p>
    <w:p w:rsidR="009D5DCA" w:rsidRPr="000A6CA9" w:rsidRDefault="009D5DCA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D5DCA" w:rsidRPr="000A6CA9" w:rsidDel="00641504" w:rsidRDefault="009D5DCA" w:rsidP="009D5DC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proofErr w:type="spellStart"/>
      <w:r w:rsidRPr="000A6CA9" w:rsidDel="00641504">
        <w:rPr>
          <w:szCs w:val="22"/>
          <w:u w:val="single"/>
          <w:lang w:val="sk-SK"/>
        </w:rPr>
        <w:t>Fertilita</w:t>
      </w:r>
      <w:proofErr w:type="spellEnd"/>
    </w:p>
    <w:p w:rsidR="009D5DCA" w:rsidDel="00641504" w:rsidRDefault="009D5DCA" w:rsidP="009D5DCA">
      <w:pPr>
        <w:rPr>
          <w:szCs w:val="22"/>
          <w:lang w:val="sk-SK"/>
        </w:rPr>
      </w:pPr>
      <w:r w:rsidRPr="000A6CA9" w:rsidDel="00641504">
        <w:rPr>
          <w:szCs w:val="22"/>
          <w:lang w:val="sk-SK"/>
        </w:rPr>
        <w:t xml:space="preserve">Neexistujú žiadne údaje u ľudí. </w:t>
      </w:r>
      <w:r w:rsidDel="00641504">
        <w:rPr>
          <w:szCs w:val="22"/>
          <w:lang w:val="sk-SK"/>
        </w:rPr>
        <w:t>Š</w:t>
      </w:r>
      <w:r w:rsidRPr="000A6CA9" w:rsidDel="00641504">
        <w:rPr>
          <w:szCs w:val="22"/>
          <w:lang w:val="sk-SK"/>
        </w:rPr>
        <w:t xml:space="preserve">túdie na zvieratách </w:t>
      </w:r>
      <w:r w:rsidDel="00641504">
        <w:rPr>
          <w:szCs w:val="22"/>
          <w:lang w:val="sk-SK"/>
        </w:rPr>
        <w:t xml:space="preserve">však </w:t>
      </w:r>
      <w:r w:rsidRPr="000A6CA9" w:rsidDel="00641504">
        <w:rPr>
          <w:szCs w:val="22"/>
          <w:lang w:val="sk-SK"/>
        </w:rPr>
        <w:t xml:space="preserve">nepreukázali žiadne účinky </w:t>
      </w:r>
      <w:proofErr w:type="spellStart"/>
      <w:r w:rsidRPr="000A6CA9" w:rsidDel="00641504">
        <w:rPr>
          <w:szCs w:val="22"/>
          <w:lang w:val="sk-SK"/>
        </w:rPr>
        <w:t>salmeterolu</w:t>
      </w:r>
      <w:proofErr w:type="spellEnd"/>
      <w:r w:rsidRPr="000A6CA9" w:rsidDel="00641504">
        <w:rPr>
          <w:szCs w:val="22"/>
          <w:lang w:val="sk-SK"/>
        </w:rPr>
        <w:t xml:space="preserve"> alebo </w:t>
      </w:r>
      <w:proofErr w:type="spellStart"/>
      <w:r w:rsidRPr="000A6CA9" w:rsidDel="00641504">
        <w:rPr>
          <w:szCs w:val="22"/>
          <w:lang w:val="sk-SK"/>
        </w:rPr>
        <w:t>flutikazónpropionátu</w:t>
      </w:r>
      <w:proofErr w:type="spellEnd"/>
      <w:r w:rsidRPr="000A6CA9" w:rsidDel="00641504">
        <w:rPr>
          <w:szCs w:val="22"/>
          <w:lang w:val="sk-SK"/>
        </w:rPr>
        <w:t xml:space="preserve"> na </w:t>
      </w:r>
      <w:proofErr w:type="spellStart"/>
      <w:r w:rsidRPr="000A6CA9" w:rsidDel="00641504">
        <w:rPr>
          <w:szCs w:val="22"/>
          <w:lang w:val="sk-SK"/>
        </w:rPr>
        <w:t>fertilitu</w:t>
      </w:r>
      <w:proofErr w:type="spellEnd"/>
      <w:r w:rsidRPr="000A6CA9" w:rsidDel="00641504">
        <w:rPr>
          <w:szCs w:val="22"/>
          <w:lang w:val="sk-SK"/>
        </w:rPr>
        <w:t>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6E02B0">
      <w:pPr>
        <w:suppressLineNumbers/>
        <w:ind w:left="567" w:hanging="567"/>
        <w:outlineLvl w:val="0"/>
        <w:rPr>
          <w:szCs w:val="22"/>
          <w:lang w:val="sk-SK"/>
        </w:rPr>
      </w:pPr>
      <w:r w:rsidRPr="000A6CA9">
        <w:rPr>
          <w:b/>
          <w:szCs w:val="22"/>
          <w:lang w:val="sk-SK"/>
        </w:rPr>
        <w:t>4.7</w:t>
      </w:r>
      <w:r w:rsidRPr="000A6CA9">
        <w:rPr>
          <w:b/>
          <w:szCs w:val="22"/>
          <w:lang w:val="sk-SK"/>
        </w:rPr>
        <w:tab/>
        <w:t>Ovplyvnenie schopnosti viesť vozidlá a obsluhovať stroje</w:t>
      </w:r>
    </w:p>
    <w:p w:rsidR="003E4182" w:rsidRPr="000A6CA9" w:rsidRDefault="003E4182" w:rsidP="006E02B0">
      <w:pPr>
        <w:suppressLineNumbers/>
        <w:rPr>
          <w:szCs w:val="22"/>
          <w:lang w:val="sk-SK"/>
        </w:rPr>
      </w:pPr>
    </w:p>
    <w:p w:rsidR="003E4182" w:rsidRPr="000A6CA9" w:rsidRDefault="00474110" w:rsidP="00D45FEE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A6CA9">
        <w:rPr>
          <w:szCs w:val="22"/>
          <w:lang w:val="sk-SK"/>
        </w:rPr>
        <w:t xml:space="preserve"> nemá žiadny</w:t>
      </w:r>
      <w:r w:rsidR="003E4182">
        <w:rPr>
          <w:szCs w:val="22"/>
          <w:lang w:val="sk-SK"/>
        </w:rPr>
        <w:t>,</w:t>
      </w:r>
      <w:r w:rsidR="003E4182" w:rsidRPr="000A6CA9">
        <w:rPr>
          <w:szCs w:val="22"/>
          <w:lang w:val="sk-SK"/>
        </w:rPr>
        <w:t xml:space="preserve"> alebo má zanedbateľný vplyv na schopnosť viesť vozidlá a</w:t>
      </w:r>
      <w:r w:rsidR="003E4182">
        <w:rPr>
          <w:szCs w:val="22"/>
          <w:lang w:val="sk-SK"/>
        </w:rPr>
        <w:t> </w:t>
      </w:r>
      <w:r w:rsidR="003E4182" w:rsidRPr="000A6CA9">
        <w:rPr>
          <w:szCs w:val="22"/>
          <w:lang w:val="sk-SK"/>
        </w:rPr>
        <w:t>obsluhovať stroje.</w:t>
      </w:r>
    </w:p>
    <w:p w:rsidR="003E4182" w:rsidRPr="000A6CA9" w:rsidRDefault="003E4182" w:rsidP="00D45FEE">
      <w:pPr>
        <w:rPr>
          <w:szCs w:val="22"/>
          <w:lang w:val="sk-SK"/>
        </w:rPr>
      </w:pPr>
    </w:p>
    <w:p w:rsidR="003E4182" w:rsidRPr="000A6CA9" w:rsidRDefault="003E4182" w:rsidP="006E02B0">
      <w:pPr>
        <w:suppressLineNumbers/>
        <w:spacing w:line="240" w:lineRule="auto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4.8</w:t>
      </w:r>
      <w:r w:rsidRPr="000A6CA9">
        <w:rPr>
          <w:b/>
          <w:szCs w:val="22"/>
          <w:lang w:val="sk-SK"/>
        </w:rPr>
        <w:tab/>
        <w:t>Nežiaduce účinky</w:t>
      </w:r>
    </w:p>
    <w:p w:rsidR="003E4182" w:rsidRPr="000A6CA9" w:rsidRDefault="003E4182" w:rsidP="006E02B0">
      <w:pPr>
        <w:suppressLineNumbers/>
        <w:spacing w:line="240" w:lineRule="auto"/>
        <w:outlineLvl w:val="0"/>
        <w:rPr>
          <w:b/>
          <w:szCs w:val="22"/>
          <w:lang w:val="sk-SK"/>
        </w:rPr>
      </w:pP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Vzhľadom na to, že </w:t>
      </w:r>
      <w:proofErr w:type="spellStart"/>
      <w:r w:rsidR="00474110">
        <w:rPr>
          <w:szCs w:val="22"/>
          <w:lang w:val="sk-SK"/>
        </w:rPr>
        <w:t>Serkep</w:t>
      </w:r>
      <w:proofErr w:type="spellEnd"/>
      <w:r w:rsidRPr="000A6CA9">
        <w:rPr>
          <w:szCs w:val="22"/>
          <w:lang w:val="sk-SK"/>
        </w:rPr>
        <w:t xml:space="preserve"> obsahuje </w:t>
      </w: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, je možné očakávať </w:t>
      </w:r>
      <w:r>
        <w:rPr>
          <w:szCs w:val="22"/>
          <w:lang w:val="sk-SK"/>
        </w:rPr>
        <w:t xml:space="preserve">taký </w:t>
      </w:r>
      <w:r w:rsidRPr="000A6CA9">
        <w:rPr>
          <w:szCs w:val="22"/>
          <w:lang w:val="sk-SK"/>
        </w:rPr>
        <w:t>typ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závažnosť nežiaducich reakcií</w:t>
      </w:r>
      <w:r>
        <w:rPr>
          <w:szCs w:val="22"/>
          <w:lang w:val="sk-SK"/>
        </w:rPr>
        <w:t>, ktoré sú spojené s jednotlivými liečivami.</w:t>
      </w:r>
      <w:r w:rsidRPr="000A6CA9">
        <w:rPr>
          <w:szCs w:val="22"/>
          <w:lang w:val="sk-SK"/>
        </w:rPr>
        <w:t xml:space="preserve"> Výskyt ďalších nežiaducich účinkov po súbežnom podaní oboch liečiv nebol pozorovaný.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6308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iCs/>
          <w:szCs w:val="22"/>
          <w:lang w:val="sk-SK"/>
        </w:rPr>
        <w:t xml:space="preserve">Nežiaduce účinky, ktoré boli spájané so </w:t>
      </w:r>
      <w:proofErr w:type="spellStart"/>
      <w:r w:rsidRPr="000A6CA9">
        <w:rPr>
          <w:iCs/>
          <w:szCs w:val="22"/>
          <w:lang w:val="sk-SK"/>
        </w:rPr>
        <w:t>salmeterolom</w:t>
      </w:r>
      <w:proofErr w:type="spellEnd"/>
      <w:r w:rsidRPr="000A6CA9">
        <w:rPr>
          <w:iCs/>
          <w:szCs w:val="22"/>
          <w:lang w:val="sk-SK"/>
        </w:rPr>
        <w:t>/</w:t>
      </w:r>
      <w:proofErr w:type="spellStart"/>
      <w:r w:rsidRPr="000A6CA9">
        <w:rPr>
          <w:iCs/>
          <w:szCs w:val="22"/>
          <w:lang w:val="sk-SK"/>
        </w:rPr>
        <w:t>flutikazónpropionátom</w:t>
      </w:r>
      <w:proofErr w:type="spellEnd"/>
      <w:r w:rsidRPr="000A6CA9">
        <w:rPr>
          <w:iCs/>
          <w:szCs w:val="22"/>
          <w:lang w:val="sk-SK"/>
        </w:rPr>
        <w:t>, sú uvedené nižšie podľa triedy orgánových systémov a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frekvencie. Frekvencie sú definované ako</w:t>
      </w:r>
      <w:r w:rsidRPr="000A6CA9">
        <w:rPr>
          <w:color w:val="000000"/>
          <w:szCs w:val="22"/>
          <w:lang w:val="sk-SK"/>
        </w:rPr>
        <w:t>: veľmi časté (≥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1/10), časté (≥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1/100 až &lt;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1/10), menej časté (≥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1/1000 až &lt;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>1/100), zriedkavé (&lt;</w:t>
      </w:r>
      <w:r>
        <w:rPr>
          <w:color w:val="000000"/>
          <w:szCs w:val="22"/>
          <w:lang w:val="sk-SK"/>
        </w:rPr>
        <w:t xml:space="preserve"> </w:t>
      </w:r>
      <w:r w:rsidRPr="000A6CA9">
        <w:rPr>
          <w:color w:val="000000"/>
          <w:szCs w:val="22"/>
          <w:lang w:val="sk-SK"/>
        </w:rPr>
        <w:t xml:space="preserve">1/10 000) </w:t>
      </w:r>
      <w:r w:rsidRPr="000A6CA9">
        <w:rPr>
          <w:iCs/>
          <w:szCs w:val="22"/>
          <w:lang w:val="sk-SK"/>
        </w:rPr>
        <w:t>a neznáme (nemožno odhadnúť z dostupných údajov</w:t>
      </w:r>
      <w:r w:rsidRPr="000A6CA9">
        <w:rPr>
          <w:color w:val="000000"/>
          <w:szCs w:val="22"/>
          <w:lang w:val="sk-SK"/>
        </w:rPr>
        <w:t xml:space="preserve">). </w:t>
      </w:r>
      <w:r w:rsidRPr="000A6CA9">
        <w:rPr>
          <w:iCs/>
          <w:szCs w:val="22"/>
          <w:lang w:val="sk-SK"/>
        </w:rPr>
        <w:t>Frekvencie výskytu boli stanovené z údajov z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klinických skúšaní. Výskyt u</w:t>
      </w:r>
      <w:r>
        <w:rPr>
          <w:iCs/>
          <w:szCs w:val="22"/>
          <w:lang w:val="sk-SK"/>
        </w:rPr>
        <w:t> </w:t>
      </w:r>
      <w:proofErr w:type="spellStart"/>
      <w:r w:rsidRPr="000A6CA9">
        <w:rPr>
          <w:iCs/>
          <w:szCs w:val="22"/>
          <w:lang w:val="sk-SK"/>
        </w:rPr>
        <w:t>placeba</w:t>
      </w:r>
      <w:proofErr w:type="spellEnd"/>
      <w:r w:rsidRPr="000A6CA9">
        <w:rPr>
          <w:iCs/>
          <w:szCs w:val="22"/>
          <w:lang w:val="sk-SK"/>
        </w:rPr>
        <w:t xml:space="preserve"> sa nebral do úvahy.</w:t>
      </w:r>
    </w:p>
    <w:p w:rsidR="003E4182" w:rsidRPr="000A6CA9" w:rsidRDefault="003E4182" w:rsidP="006E02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3546"/>
        <w:gridCol w:w="2358"/>
      </w:tblGrid>
      <w:tr w:rsidR="003E4182" w:rsidRPr="000A6CA9">
        <w:tc>
          <w:tcPr>
            <w:tcW w:w="2952" w:type="dxa"/>
          </w:tcPr>
          <w:p w:rsidR="003E4182" w:rsidRPr="000A6CA9" w:rsidRDefault="003E4182" w:rsidP="006E02B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val="sk-SK"/>
              </w:rPr>
            </w:pPr>
            <w:r w:rsidRPr="000A6CA9">
              <w:rPr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3546" w:type="dxa"/>
          </w:tcPr>
          <w:p w:rsidR="003E4182" w:rsidRPr="000A6CA9" w:rsidRDefault="003E4182" w:rsidP="006E02B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val="sk-SK"/>
              </w:rPr>
            </w:pPr>
            <w:r w:rsidRPr="000A6CA9">
              <w:rPr>
                <w:b/>
                <w:szCs w:val="22"/>
                <w:lang w:val="sk-SK"/>
              </w:rPr>
              <w:t>Nežiaduci účinok</w:t>
            </w:r>
          </w:p>
        </w:tc>
        <w:tc>
          <w:tcPr>
            <w:tcW w:w="2358" w:type="dxa"/>
          </w:tcPr>
          <w:p w:rsidR="003E4182" w:rsidRPr="000A6CA9" w:rsidRDefault="003E4182" w:rsidP="006E02B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val="sk-SK"/>
              </w:rPr>
            </w:pPr>
            <w:r w:rsidRPr="000A6CA9">
              <w:rPr>
                <w:b/>
                <w:color w:val="000000"/>
                <w:szCs w:val="22"/>
                <w:lang w:val="sk-SK"/>
              </w:rPr>
              <w:t>Frekvencia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Infekcie a nákazy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k</w:t>
            </w:r>
            <w:r w:rsidRPr="000A6CA9">
              <w:rPr>
                <w:szCs w:val="22"/>
                <w:lang w:val="sk-SK"/>
              </w:rPr>
              <w:t>andidóza</w:t>
            </w:r>
            <w:proofErr w:type="spellEnd"/>
            <w:r w:rsidRPr="000A6CA9">
              <w:rPr>
                <w:szCs w:val="22"/>
                <w:lang w:val="sk-SK"/>
              </w:rPr>
              <w:t xml:space="preserve"> ústnej dutiny a</w:t>
            </w:r>
            <w:r>
              <w:rPr>
                <w:szCs w:val="22"/>
                <w:lang w:val="sk-SK"/>
              </w:rPr>
              <w:t> </w:t>
            </w:r>
            <w:r w:rsidRPr="000A6CA9">
              <w:rPr>
                <w:szCs w:val="22"/>
                <w:lang w:val="sk-SK"/>
              </w:rPr>
              <w:t>hrdla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p</w:t>
            </w:r>
            <w:r w:rsidRPr="000A6CA9">
              <w:rPr>
                <w:color w:val="000000"/>
                <w:szCs w:val="22"/>
                <w:lang w:val="sk-SK"/>
              </w:rPr>
              <w:t>neumónia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b</w:t>
            </w:r>
            <w:r w:rsidRPr="000A6CA9">
              <w:rPr>
                <w:color w:val="000000"/>
                <w:szCs w:val="22"/>
                <w:lang w:val="sk-SK"/>
              </w:rPr>
              <w:t>ronchitída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ezofageálna</w:t>
            </w:r>
            <w:proofErr w:type="spellEnd"/>
            <w:r>
              <w:rPr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lastRenderedPageBreak/>
              <w:t>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1,3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1,3</w:t>
            </w:r>
          </w:p>
          <w:p w:rsidR="003E4182" w:rsidRPr="0064152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 w:rsidRPr="00641522">
              <w:rPr>
                <w:color w:val="000000"/>
                <w:szCs w:val="22"/>
                <w:lang w:val="sk-SK"/>
              </w:rPr>
              <w:t>zriedkavé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lastRenderedPageBreak/>
              <w:t>Poruchy imunitného systému</w:t>
            </w:r>
          </w:p>
        </w:tc>
        <w:tc>
          <w:tcPr>
            <w:tcW w:w="3546" w:type="dxa"/>
          </w:tcPr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reakcie z precitlivenosti s </w:t>
            </w:r>
            <w:r w:rsidRPr="000A6CA9">
              <w:rPr>
                <w:szCs w:val="22"/>
                <w:lang w:val="sk-SK"/>
              </w:rPr>
              <w:t>nasled</w:t>
            </w:r>
            <w:r>
              <w:rPr>
                <w:szCs w:val="22"/>
                <w:lang w:val="sk-SK"/>
              </w:rPr>
              <w:t>ovnými</w:t>
            </w:r>
            <w:r w:rsidRPr="000A6CA9">
              <w:rPr>
                <w:szCs w:val="22"/>
                <w:lang w:val="sk-SK"/>
              </w:rPr>
              <w:t xml:space="preserve"> prejavmi</w:t>
            </w:r>
            <w:r w:rsidRPr="000A6CA9">
              <w:rPr>
                <w:color w:val="000000"/>
                <w:szCs w:val="22"/>
                <w:lang w:val="sk-SK"/>
              </w:rPr>
              <w:t>: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k</w:t>
            </w:r>
            <w:r w:rsidRPr="000A6CA9">
              <w:rPr>
                <w:szCs w:val="22"/>
                <w:lang w:val="sk-SK"/>
              </w:rPr>
              <w:t>ožné reakcie z</w:t>
            </w:r>
            <w:r>
              <w:rPr>
                <w:szCs w:val="22"/>
                <w:lang w:val="sk-SK"/>
              </w:rPr>
              <w:t> </w:t>
            </w:r>
            <w:r w:rsidRPr="000A6CA9">
              <w:rPr>
                <w:szCs w:val="22"/>
                <w:lang w:val="sk-SK"/>
              </w:rPr>
              <w:t>precitlivenosti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a</w:t>
            </w:r>
            <w:r w:rsidRPr="000A6CA9">
              <w:rPr>
                <w:szCs w:val="22"/>
                <w:lang w:val="sk-SK"/>
              </w:rPr>
              <w:t>ngioedém</w:t>
            </w:r>
            <w:proofErr w:type="spellEnd"/>
            <w:r w:rsidRPr="000A6CA9">
              <w:rPr>
                <w:szCs w:val="22"/>
                <w:lang w:val="sk-SK"/>
              </w:rPr>
              <w:t xml:space="preserve"> (hlavne edém tváre a </w:t>
            </w:r>
            <w:proofErr w:type="spellStart"/>
            <w:r w:rsidRPr="000A6CA9">
              <w:rPr>
                <w:szCs w:val="22"/>
                <w:lang w:val="sk-SK"/>
              </w:rPr>
              <w:t>orofaryngeálny</w:t>
            </w:r>
            <w:proofErr w:type="spellEnd"/>
            <w:r w:rsidRPr="000A6CA9">
              <w:rPr>
                <w:szCs w:val="22"/>
                <w:lang w:val="sk-SK"/>
              </w:rPr>
              <w:t xml:space="preserve"> edém</w:t>
            </w:r>
            <w:r w:rsidRPr="000A6CA9">
              <w:rPr>
                <w:color w:val="000000"/>
                <w:szCs w:val="22"/>
                <w:lang w:val="sk-SK"/>
              </w:rPr>
              <w:t>)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</w:t>
            </w:r>
            <w:r w:rsidRPr="000A6CA9">
              <w:rPr>
                <w:szCs w:val="22"/>
                <w:lang w:val="sk-SK"/>
              </w:rPr>
              <w:t>espiračné symptómy (</w:t>
            </w:r>
            <w:proofErr w:type="spellStart"/>
            <w:r w:rsidRPr="000A6CA9">
              <w:rPr>
                <w:szCs w:val="22"/>
                <w:lang w:val="sk-SK"/>
              </w:rPr>
              <w:t>dyspnoe</w:t>
            </w:r>
            <w:proofErr w:type="spellEnd"/>
            <w:r w:rsidRPr="000A6CA9">
              <w:rPr>
                <w:color w:val="000000"/>
                <w:szCs w:val="22"/>
                <w:lang w:val="sk-SK"/>
              </w:rPr>
              <w:t>)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</w:t>
            </w:r>
            <w:r w:rsidRPr="000A6CA9">
              <w:rPr>
                <w:szCs w:val="22"/>
                <w:lang w:val="sk-SK"/>
              </w:rPr>
              <w:t>espiračné symptómy (</w:t>
            </w:r>
            <w:proofErr w:type="spellStart"/>
            <w:r w:rsidRPr="000A6CA9">
              <w:rPr>
                <w:szCs w:val="22"/>
                <w:lang w:val="sk-SK"/>
              </w:rPr>
              <w:t>bronchospazmus</w:t>
            </w:r>
            <w:proofErr w:type="spellEnd"/>
            <w:r w:rsidRPr="000A6CA9">
              <w:rPr>
                <w:color w:val="000000"/>
                <w:szCs w:val="22"/>
                <w:lang w:val="sk-SK"/>
              </w:rPr>
              <w:t>)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a</w:t>
            </w:r>
            <w:r w:rsidRPr="000A6CA9">
              <w:rPr>
                <w:szCs w:val="22"/>
                <w:lang w:val="sk-SK"/>
              </w:rPr>
              <w:t>nafylaktické</w:t>
            </w:r>
            <w:proofErr w:type="spellEnd"/>
            <w:r w:rsidRPr="000A6CA9">
              <w:rPr>
                <w:szCs w:val="22"/>
                <w:lang w:val="sk-SK"/>
              </w:rPr>
              <w:t xml:space="preserve"> reakcie zahŕňajúce </w:t>
            </w:r>
            <w:proofErr w:type="spellStart"/>
            <w:r w:rsidRPr="000A6CA9">
              <w:rPr>
                <w:szCs w:val="22"/>
                <w:lang w:val="sk-SK"/>
              </w:rPr>
              <w:t>anafylaktický</w:t>
            </w:r>
            <w:proofErr w:type="spellEnd"/>
            <w:r w:rsidRPr="000A6CA9">
              <w:rPr>
                <w:szCs w:val="22"/>
                <w:lang w:val="sk-SK"/>
              </w:rPr>
              <w:t xml:space="preserve"> šok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endokrinného systému</w:t>
            </w:r>
          </w:p>
        </w:tc>
        <w:tc>
          <w:tcPr>
            <w:tcW w:w="3546" w:type="dxa"/>
          </w:tcPr>
          <w:p w:rsidR="003E4182" w:rsidRPr="000A6CA9" w:rsidRDefault="003E4182" w:rsidP="00684D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0A6CA9">
              <w:rPr>
                <w:szCs w:val="22"/>
                <w:lang w:val="sk-SK"/>
              </w:rPr>
              <w:t>Cushingov</w:t>
            </w:r>
            <w:proofErr w:type="spellEnd"/>
            <w:r w:rsidRPr="000A6CA9">
              <w:rPr>
                <w:szCs w:val="22"/>
                <w:lang w:val="sk-SK"/>
              </w:rPr>
              <w:t xml:space="preserve"> syndróm, </w:t>
            </w:r>
            <w:proofErr w:type="spellStart"/>
            <w:r>
              <w:rPr>
                <w:szCs w:val="22"/>
                <w:lang w:val="sk-SK"/>
              </w:rPr>
              <w:t>c</w:t>
            </w:r>
            <w:r w:rsidRPr="000A6CA9">
              <w:rPr>
                <w:szCs w:val="22"/>
                <w:lang w:val="sk-SK"/>
              </w:rPr>
              <w:t>ushingoidný</w:t>
            </w:r>
            <w:proofErr w:type="spellEnd"/>
            <w:r w:rsidRPr="000A6CA9">
              <w:rPr>
                <w:szCs w:val="22"/>
                <w:lang w:val="sk-SK"/>
              </w:rPr>
              <w:t xml:space="preserve"> vzhľad, útlm funkcie nadobli</w:t>
            </w:r>
            <w:r>
              <w:rPr>
                <w:szCs w:val="22"/>
                <w:lang w:val="sk-SK"/>
              </w:rPr>
              <w:t>čiek, spomalenie rastu u detí a </w:t>
            </w:r>
            <w:r w:rsidRPr="000A6CA9">
              <w:rPr>
                <w:szCs w:val="22"/>
                <w:lang w:val="sk-SK"/>
              </w:rPr>
              <w:t xml:space="preserve">dospievajúcich, zníženie minerálnej </w:t>
            </w:r>
            <w:proofErr w:type="spellStart"/>
            <w:r w:rsidRPr="000A6CA9">
              <w:rPr>
                <w:szCs w:val="22"/>
                <w:lang w:val="sk-SK"/>
              </w:rPr>
              <w:t>denzity</w:t>
            </w:r>
            <w:proofErr w:type="spellEnd"/>
            <w:r w:rsidRPr="000A6CA9">
              <w:rPr>
                <w:szCs w:val="22"/>
                <w:lang w:val="sk-SK"/>
              </w:rPr>
              <w:t xml:space="preserve"> kostí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 xml:space="preserve"> 4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metabolizmu a výživy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h</w:t>
            </w:r>
            <w:r w:rsidRPr="000A6CA9">
              <w:rPr>
                <w:color w:val="000000"/>
                <w:szCs w:val="22"/>
                <w:lang w:val="sk-SK"/>
              </w:rPr>
              <w:t>ypokaliémia</w:t>
            </w:r>
            <w:proofErr w:type="spellEnd"/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h</w:t>
            </w:r>
            <w:r w:rsidRPr="000A6CA9">
              <w:rPr>
                <w:color w:val="000000"/>
                <w:szCs w:val="22"/>
                <w:lang w:val="sk-SK"/>
              </w:rPr>
              <w:t>yperglykémia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3</w:t>
            </w:r>
          </w:p>
          <w:p w:rsidR="003E4182" w:rsidRDefault="003E4182" w:rsidP="009705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9705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4</w:t>
            </w:r>
          </w:p>
        </w:tc>
      </w:tr>
      <w:tr w:rsidR="003E4182" w:rsidRPr="005200D3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szCs w:val="22"/>
                <w:lang w:val="sk-SK"/>
              </w:rPr>
              <w:t>úzkosť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p</w:t>
            </w:r>
            <w:r w:rsidRPr="000A6CA9">
              <w:rPr>
                <w:color w:val="000000"/>
                <w:szCs w:val="22"/>
                <w:lang w:val="sk-SK"/>
              </w:rPr>
              <w:t>oruchy spánku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 xml:space="preserve">meny správania, </w:t>
            </w:r>
            <w:r w:rsidRPr="000A6CA9">
              <w:rPr>
                <w:szCs w:val="22"/>
                <w:lang w:val="sk-SK"/>
              </w:rPr>
              <w:t xml:space="preserve">zahŕňajúce </w:t>
            </w:r>
            <w:proofErr w:type="spellStart"/>
            <w:r w:rsidRPr="000A6CA9">
              <w:rPr>
                <w:szCs w:val="22"/>
                <w:lang w:val="sk-SK"/>
              </w:rPr>
              <w:t>psychomotorickú</w:t>
            </w:r>
            <w:proofErr w:type="spellEnd"/>
            <w:r w:rsidRPr="000A6CA9">
              <w:rPr>
                <w:szCs w:val="22"/>
                <w:lang w:val="sk-SK"/>
              </w:rPr>
              <w:t xml:space="preserve"> </w:t>
            </w:r>
            <w:proofErr w:type="spellStart"/>
            <w:r w:rsidRPr="000A6CA9">
              <w:rPr>
                <w:szCs w:val="22"/>
                <w:lang w:val="sk-SK"/>
              </w:rPr>
              <w:t>hyperaktivitu</w:t>
            </w:r>
            <w:proofErr w:type="spellEnd"/>
            <w:r w:rsidRPr="000A6CA9">
              <w:rPr>
                <w:szCs w:val="22"/>
                <w:lang w:val="sk-SK"/>
              </w:rPr>
              <w:t xml:space="preserve"> a podráždenosť (prevažne u detí</w:t>
            </w:r>
            <w:r w:rsidRPr="000A6CA9">
              <w:rPr>
                <w:color w:val="000000"/>
                <w:szCs w:val="22"/>
                <w:lang w:val="sk-SK"/>
              </w:rPr>
              <w:t>)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</w:t>
            </w:r>
            <w:r w:rsidRPr="000A6CA9">
              <w:rPr>
                <w:szCs w:val="22"/>
                <w:lang w:val="sk-SK"/>
              </w:rPr>
              <w:t>epresia, agresivita (hlavne u detí</w:t>
            </w:r>
            <w:r w:rsidRPr="000A6CA9">
              <w:rPr>
                <w:color w:val="000000"/>
                <w:szCs w:val="22"/>
                <w:lang w:val="sk-SK"/>
              </w:rPr>
              <w:t>)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n</w:t>
            </w:r>
            <w:r w:rsidRPr="000A6CA9">
              <w:rPr>
                <w:color w:val="000000"/>
                <w:szCs w:val="22"/>
                <w:lang w:val="sk-SK"/>
              </w:rPr>
              <w:t>eznáme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b</w:t>
            </w:r>
            <w:r w:rsidRPr="000A6CA9">
              <w:rPr>
                <w:color w:val="000000"/>
                <w:szCs w:val="22"/>
                <w:lang w:val="sk-SK"/>
              </w:rPr>
              <w:t>olesť hlavy</w:t>
            </w:r>
          </w:p>
          <w:p w:rsidR="003E4182" w:rsidRDefault="003E4182" w:rsidP="001C682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1C682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t</w:t>
            </w:r>
            <w:r w:rsidRPr="000A6CA9">
              <w:rPr>
                <w:color w:val="000000"/>
                <w:szCs w:val="22"/>
                <w:lang w:val="sk-SK"/>
              </w:rPr>
              <w:t>ras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v</w:t>
            </w:r>
            <w:r w:rsidRPr="000A6CA9">
              <w:rPr>
                <w:color w:val="000000"/>
                <w:szCs w:val="22"/>
                <w:lang w:val="sk-SK"/>
              </w:rPr>
              <w:t>eľmi 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</w:t>
            </w:r>
          </w:p>
          <w:p w:rsidR="003E4182" w:rsidRDefault="003E4182" w:rsidP="009705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9705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3546" w:type="dxa"/>
          </w:tcPr>
          <w:p w:rsidR="003E4182" w:rsidRPr="000A6CA9" w:rsidRDefault="003E4182" w:rsidP="00263CF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k</w:t>
            </w:r>
            <w:r w:rsidRPr="000A6CA9">
              <w:rPr>
                <w:color w:val="000000"/>
                <w:szCs w:val="22"/>
                <w:lang w:val="sk-SK"/>
              </w:rPr>
              <w:t>atarakta</w:t>
            </w:r>
          </w:p>
          <w:p w:rsidR="003E4182" w:rsidRDefault="003E4182" w:rsidP="00263CF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263CF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g</w:t>
            </w:r>
            <w:r w:rsidRPr="000A6CA9">
              <w:rPr>
                <w:color w:val="000000"/>
                <w:szCs w:val="22"/>
                <w:lang w:val="sk-SK"/>
              </w:rPr>
              <w:t>laukóm</w:t>
            </w:r>
            <w:proofErr w:type="spellEnd"/>
          </w:p>
          <w:p w:rsidR="00917479" w:rsidRDefault="00917479" w:rsidP="00263CF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917479" w:rsidRPr="000A6CA9" w:rsidRDefault="0091747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rozmazané videnie (pozri tiež časť 4.4)</w:t>
            </w:r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715F40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  <w:r w:rsidRPr="00A6493C">
              <w:rPr>
                <w:color w:val="000000"/>
                <w:szCs w:val="22"/>
                <w:vertAlign w:val="superscript"/>
                <w:lang w:val="sk-SK"/>
              </w:rPr>
              <w:t>4</w:t>
            </w:r>
          </w:p>
          <w:p w:rsidR="00A6493C" w:rsidRPr="00715F40" w:rsidRDefault="00A6493C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A6493C" w:rsidRPr="00715F40" w:rsidRDefault="00A6493C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715F40">
              <w:rPr>
                <w:color w:val="000000"/>
                <w:szCs w:val="22"/>
                <w:lang w:val="sk-SK"/>
              </w:rPr>
              <w:t>neznáme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srdca a srdcovej činnosti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p</w:t>
            </w:r>
            <w:r w:rsidRPr="000A6CA9">
              <w:rPr>
                <w:color w:val="000000"/>
                <w:szCs w:val="22"/>
                <w:lang w:val="sk-SK"/>
              </w:rPr>
              <w:t>alpitácie</w:t>
            </w:r>
            <w:proofErr w:type="spellEnd"/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color w:val="000000"/>
                <w:szCs w:val="22"/>
                <w:lang w:val="sk-SK"/>
              </w:rPr>
              <w:t>t</w:t>
            </w:r>
            <w:r w:rsidRPr="000A6CA9">
              <w:rPr>
                <w:color w:val="000000"/>
                <w:szCs w:val="22"/>
                <w:lang w:val="sk-SK"/>
              </w:rPr>
              <w:t>achykardia</w:t>
            </w:r>
            <w:proofErr w:type="spellEnd"/>
          </w:p>
          <w:p w:rsidR="003E4182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s</w:t>
            </w:r>
            <w:r w:rsidRPr="000A6CA9">
              <w:rPr>
                <w:color w:val="000000"/>
                <w:szCs w:val="22"/>
                <w:lang w:val="sk-SK"/>
              </w:rPr>
              <w:t xml:space="preserve">rdcové </w:t>
            </w:r>
            <w:proofErr w:type="spellStart"/>
            <w:r w:rsidRPr="000A6CA9">
              <w:rPr>
                <w:color w:val="000000"/>
                <w:szCs w:val="22"/>
                <w:lang w:val="sk-SK"/>
              </w:rPr>
              <w:t>arytmie</w:t>
            </w:r>
            <w:proofErr w:type="spellEnd"/>
            <w:r w:rsidRPr="000A6CA9">
              <w:rPr>
                <w:color w:val="000000"/>
                <w:szCs w:val="22"/>
                <w:lang w:val="sk-SK"/>
              </w:rPr>
              <w:t xml:space="preserve"> (</w:t>
            </w:r>
            <w:r w:rsidRPr="000A6CA9">
              <w:rPr>
                <w:szCs w:val="22"/>
                <w:lang w:val="sk-SK"/>
              </w:rPr>
              <w:t xml:space="preserve">zahŕňajúce </w:t>
            </w:r>
            <w:proofErr w:type="spellStart"/>
            <w:r w:rsidRPr="000A6CA9">
              <w:rPr>
                <w:szCs w:val="22"/>
                <w:lang w:val="sk-SK"/>
              </w:rPr>
              <w:t>s</w:t>
            </w:r>
            <w:r>
              <w:rPr>
                <w:szCs w:val="22"/>
                <w:lang w:val="sk-SK"/>
              </w:rPr>
              <w:t>upraventrikulárnu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proofErr w:type="spellStart"/>
            <w:r>
              <w:rPr>
                <w:szCs w:val="22"/>
                <w:lang w:val="sk-SK"/>
              </w:rPr>
              <w:t>tachykardiu</w:t>
            </w:r>
            <w:proofErr w:type="spellEnd"/>
            <w:r>
              <w:rPr>
                <w:szCs w:val="22"/>
                <w:lang w:val="sk-SK"/>
              </w:rPr>
              <w:t xml:space="preserve"> a </w:t>
            </w:r>
            <w:proofErr w:type="spellStart"/>
            <w:r w:rsidRPr="000A6CA9">
              <w:rPr>
                <w:szCs w:val="22"/>
                <w:lang w:val="sk-SK"/>
              </w:rPr>
              <w:t>extrasystoly</w:t>
            </w:r>
            <w:proofErr w:type="spellEnd"/>
            <w:r w:rsidRPr="000A6CA9">
              <w:rPr>
                <w:color w:val="000000"/>
                <w:szCs w:val="22"/>
                <w:lang w:val="sk-SK"/>
              </w:rPr>
              <w:t>)</w:t>
            </w:r>
          </w:p>
          <w:p w:rsidR="003E4182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f</w:t>
            </w:r>
            <w:r w:rsidRPr="000A6CA9">
              <w:rPr>
                <w:szCs w:val="22"/>
                <w:lang w:val="sk-SK"/>
              </w:rPr>
              <w:t>ibrilácia</w:t>
            </w:r>
            <w:proofErr w:type="spellEnd"/>
            <w:r w:rsidRPr="000A6CA9">
              <w:rPr>
                <w:szCs w:val="22"/>
                <w:lang w:val="sk-SK"/>
              </w:rPr>
              <w:t xml:space="preserve"> predsiení</w:t>
            </w:r>
          </w:p>
          <w:p w:rsidR="003E4182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E1502E" w:rsidRDefault="003E4182" w:rsidP="00E410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Cs w:val="22"/>
                <w:lang w:val="sk-SK"/>
              </w:rPr>
            </w:pPr>
            <w:proofErr w:type="spellStart"/>
            <w:r w:rsidRPr="00E1502E">
              <w:rPr>
                <w:i/>
                <w:szCs w:val="22"/>
                <w:lang w:val="sk-SK"/>
              </w:rPr>
              <w:t>angina</w:t>
            </w:r>
            <w:proofErr w:type="spellEnd"/>
            <w:r w:rsidRPr="00E1502E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E1502E">
              <w:rPr>
                <w:i/>
                <w:szCs w:val="22"/>
                <w:lang w:val="sk-SK"/>
              </w:rPr>
              <w:t>pectoris</w:t>
            </w:r>
            <w:proofErr w:type="spellEnd"/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m</w:t>
            </w:r>
            <w:r w:rsidRPr="000A6CA9">
              <w:rPr>
                <w:color w:val="000000"/>
                <w:szCs w:val="22"/>
                <w:lang w:val="sk-SK"/>
              </w:rPr>
              <w:t>enej časté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lastRenderedPageBreak/>
              <w:t>Poruchy dýchacej sústavy, hrudníka a </w:t>
            </w:r>
            <w:proofErr w:type="spellStart"/>
            <w:r w:rsidRPr="000A6CA9">
              <w:rPr>
                <w:color w:val="000000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n</w:t>
            </w:r>
            <w:r w:rsidRPr="000A6CA9">
              <w:rPr>
                <w:szCs w:val="22"/>
                <w:lang w:val="sk-SK"/>
              </w:rPr>
              <w:t>azofaryngitída</w:t>
            </w:r>
            <w:proofErr w:type="spellEnd"/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Pr="000A6CA9">
              <w:rPr>
                <w:szCs w:val="22"/>
                <w:lang w:val="sk-SK"/>
              </w:rPr>
              <w:t>odráždenie hrdla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</w:t>
            </w:r>
            <w:r w:rsidRPr="000A6CA9">
              <w:rPr>
                <w:szCs w:val="22"/>
                <w:lang w:val="sk-SK"/>
              </w:rPr>
              <w:t>achrípnutie/</w:t>
            </w:r>
            <w:proofErr w:type="spellStart"/>
            <w:r w:rsidRPr="000A6CA9">
              <w:rPr>
                <w:szCs w:val="22"/>
                <w:lang w:val="sk-SK"/>
              </w:rPr>
              <w:t>dysfónia</w:t>
            </w:r>
            <w:proofErr w:type="spellEnd"/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s</w:t>
            </w:r>
            <w:r w:rsidRPr="000A6CA9">
              <w:rPr>
                <w:szCs w:val="22"/>
                <w:lang w:val="sk-SK"/>
              </w:rPr>
              <w:t>inusitída</w:t>
            </w:r>
            <w:proofErr w:type="spellEnd"/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Pr="000A6CA9">
              <w:rPr>
                <w:szCs w:val="22"/>
                <w:lang w:val="sk-SK"/>
              </w:rPr>
              <w:t xml:space="preserve">aradoxný </w:t>
            </w:r>
            <w:proofErr w:type="spellStart"/>
            <w:r w:rsidRPr="000A6CA9">
              <w:rPr>
                <w:szCs w:val="22"/>
                <w:lang w:val="sk-SK"/>
              </w:rPr>
              <w:t>bronchospazmus</w:t>
            </w:r>
            <w:proofErr w:type="spellEnd"/>
          </w:p>
        </w:tc>
        <w:tc>
          <w:tcPr>
            <w:tcW w:w="2358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v</w:t>
            </w:r>
            <w:r w:rsidRPr="000A6CA9">
              <w:rPr>
                <w:color w:val="000000"/>
                <w:szCs w:val="22"/>
                <w:lang w:val="sk-SK"/>
              </w:rPr>
              <w:t>eľmi 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2,3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1,3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z</w:t>
            </w:r>
            <w:r w:rsidRPr="000A6CA9">
              <w:rPr>
                <w:color w:val="000000"/>
                <w:szCs w:val="22"/>
                <w:lang w:val="sk-SK"/>
              </w:rPr>
              <w:t>riedkavé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4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kože a podkožného tkaniva</w:t>
            </w:r>
          </w:p>
        </w:tc>
        <w:tc>
          <w:tcPr>
            <w:tcW w:w="3546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k</w:t>
            </w:r>
            <w:r w:rsidRPr="000A6CA9">
              <w:rPr>
                <w:szCs w:val="22"/>
                <w:lang w:val="sk-SK"/>
              </w:rPr>
              <w:t>ontúzie</w:t>
            </w:r>
            <w:proofErr w:type="spellEnd"/>
          </w:p>
        </w:tc>
        <w:tc>
          <w:tcPr>
            <w:tcW w:w="2358" w:type="dxa"/>
          </w:tcPr>
          <w:p w:rsidR="003E4182" w:rsidRPr="000A6CA9" w:rsidRDefault="003E41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časté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1,3</w:t>
            </w:r>
          </w:p>
        </w:tc>
      </w:tr>
      <w:tr w:rsidR="003E4182" w:rsidRPr="000A6CA9">
        <w:tc>
          <w:tcPr>
            <w:tcW w:w="2952" w:type="dxa"/>
          </w:tcPr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0A6CA9">
              <w:rPr>
                <w:color w:val="000000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3546" w:type="dxa"/>
          </w:tcPr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</w:t>
            </w:r>
            <w:r w:rsidRPr="000A6CA9">
              <w:rPr>
                <w:szCs w:val="22"/>
                <w:lang w:val="sk-SK"/>
              </w:rPr>
              <w:t>valové kŕče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Pr="000A6CA9">
              <w:rPr>
                <w:szCs w:val="22"/>
                <w:lang w:val="sk-SK"/>
              </w:rPr>
              <w:t>raumatické zlomeniny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a</w:t>
            </w:r>
            <w:r w:rsidRPr="000A6CA9">
              <w:rPr>
                <w:szCs w:val="22"/>
                <w:lang w:val="sk-SK"/>
              </w:rPr>
              <w:t>rtralgia</w:t>
            </w:r>
            <w:proofErr w:type="spellEnd"/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m</w:t>
            </w:r>
            <w:r w:rsidRPr="000A6CA9">
              <w:rPr>
                <w:szCs w:val="22"/>
                <w:lang w:val="sk-SK"/>
              </w:rPr>
              <w:t>yalgia</w:t>
            </w:r>
            <w:proofErr w:type="spellEnd"/>
          </w:p>
        </w:tc>
        <w:tc>
          <w:tcPr>
            <w:tcW w:w="2358" w:type="dxa"/>
          </w:tcPr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vertAlign w:val="superscript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  <w:r w:rsidRPr="000A6CA9">
              <w:rPr>
                <w:color w:val="000000"/>
                <w:szCs w:val="22"/>
                <w:vertAlign w:val="superscript"/>
                <w:lang w:val="sk-SK"/>
              </w:rPr>
              <w:t>1,3</w:t>
            </w: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</w:p>
          <w:p w:rsidR="003E4182" w:rsidRPr="000A6CA9" w:rsidRDefault="003E4182" w:rsidP="00DC64F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>
              <w:rPr>
                <w:color w:val="000000"/>
                <w:szCs w:val="22"/>
                <w:lang w:val="sk-SK"/>
              </w:rPr>
              <w:t>č</w:t>
            </w:r>
            <w:r w:rsidRPr="000A6CA9">
              <w:rPr>
                <w:color w:val="000000"/>
                <w:szCs w:val="22"/>
                <w:lang w:val="sk-SK"/>
              </w:rPr>
              <w:t>asté</w:t>
            </w:r>
          </w:p>
        </w:tc>
      </w:tr>
    </w:tbl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C207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vertAlign w:val="superscript"/>
          <w:lang w:val="sk-SK"/>
        </w:rPr>
        <w:t>1.</w:t>
      </w:r>
      <w:r w:rsidRPr="000A6CA9">
        <w:rPr>
          <w:color w:val="000000"/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Hlásené často pri </w:t>
      </w:r>
      <w:proofErr w:type="spellStart"/>
      <w:r w:rsidRPr="000A6CA9">
        <w:rPr>
          <w:szCs w:val="22"/>
          <w:lang w:val="sk-SK"/>
        </w:rPr>
        <w:t>placebe</w:t>
      </w:r>
      <w:proofErr w:type="spellEnd"/>
    </w:p>
    <w:p w:rsidR="003E4182" w:rsidRPr="000A6CA9" w:rsidRDefault="003E4182" w:rsidP="00C207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vertAlign w:val="superscript"/>
          <w:lang w:val="sk-SK"/>
        </w:rPr>
        <w:t>2.</w:t>
      </w:r>
      <w:r w:rsidRPr="000A6CA9">
        <w:rPr>
          <w:color w:val="000000"/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Hlásené veľmi často pri </w:t>
      </w:r>
      <w:proofErr w:type="spellStart"/>
      <w:r w:rsidRPr="000A6CA9">
        <w:rPr>
          <w:szCs w:val="22"/>
          <w:lang w:val="sk-SK"/>
        </w:rPr>
        <w:t>placebe</w:t>
      </w:r>
      <w:proofErr w:type="spellEnd"/>
    </w:p>
    <w:p w:rsidR="003E4182" w:rsidRPr="000A6CA9" w:rsidRDefault="003E4182" w:rsidP="00C207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vertAlign w:val="superscript"/>
          <w:lang w:val="sk-SK"/>
        </w:rPr>
        <w:t>3.</w:t>
      </w:r>
      <w:r w:rsidRPr="000A6CA9">
        <w:rPr>
          <w:color w:val="000000"/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Hlásené počas 3 rokov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štúdii s CHOCHP</w:t>
      </w:r>
    </w:p>
    <w:p w:rsidR="003E4182" w:rsidRPr="000A6CA9" w:rsidRDefault="003E4182" w:rsidP="00C207D2">
      <w:pPr>
        <w:spacing w:line="240" w:lineRule="auto"/>
        <w:ind w:left="567" w:hanging="567"/>
        <w:outlineLvl w:val="0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vertAlign w:val="superscript"/>
          <w:lang w:val="sk-SK"/>
        </w:rPr>
        <w:t>4.</w:t>
      </w:r>
      <w:r w:rsidRPr="000A6CA9">
        <w:rPr>
          <w:color w:val="000000"/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Pozri časť </w:t>
      </w:r>
      <w:r w:rsidRPr="000A6CA9">
        <w:rPr>
          <w:color w:val="000000"/>
          <w:szCs w:val="22"/>
          <w:lang w:val="sk-SK"/>
        </w:rPr>
        <w:t>4.4</w:t>
      </w:r>
    </w:p>
    <w:p w:rsidR="003E4182" w:rsidRPr="000A6CA9" w:rsidRDefault="003E4182" w:rsidP="004520DA">
      <w:pPr>
        <w:spacing w:line="240" w:lineRule="auto"/>
        <w:outlineLvl w:val="0"/>
        <w:rPr>
          <w:szCs w:val="22"/>
          <w:lang w:val="sk-SK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szCs w:val="22"/>
          <w:u w:val="single"/>
          <w:lang w:val="sk-SK"/>
        </w:rPr>
        <w:t xml:space="preserve">Popis </w:t>
      </w:r>
      <w:r>
        <w:rPr>
          <w:szCs w:val="22"/>
          <w:u w:val="single"/>
          <w:lang w:val="sk-SK"/>
        </w:rPr>
        <w:t>vybraných</w:t>
      </w:r>
      <w:r w:rsidRPr="000A6CA9">
        <w:rPr>
          <w:szCs w:val="22"/>
          <w:u w:val="single"/>
          <w:lang w:val="sk-SK"/>
        </w:rPr>
        <w:t xml:space="preserve"> nežiaducich </w:t>
      </w:r>
      <w:r>
        <w:rPr>
          <w:szCs w:val="22"/>
          <w:u w:val="single"/>
          <w:lang w:val="sk-SK"/>
        </w:rPr>
        <w:t>reakcií</w:t>
      </w:r>
    </w:p>
    <w:p w:rsidR="003E4182" w:rsidRPr="000A6CA9" w:rsidRDefault="003E4182" w:rsidP="00E356B2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Boli hlásené farmakologické nežiaduce účinky liečby beta</w:t>
      </w:r>
      <w:r w:rsidRPr="00E1502E">
        <w:rPr>
          <w:color w:val="000000"/>
          <w:szCs w:val="22"/>
          <w:vertAlign w:val="subscript"/>
          <w:lang w:val="sk-SK" w:eastAsia="en-IN" w:bidi="gu-IN"/>
        </w:rPr>
        <w:t>2</w:t>
      </w:r>
      <w:r>
        <w:rPr>
          <w:color w:val="000000"/>
          <w:szCs w:val="22"/>
          <w:lang w:val="sk-SK" w:eastAsia="en-IN" w:bidi="gu-IN"/>
        </w:rPr>
        <w:t>-</w:t>
      </w:r>
      <w:r w:rsidRPr="000A6CA9">
        <w:rPr>
          <w:color w:val="000000"/>
          <w:szCs w:val="22"/>
          <w:lang w:val="sk-SK" w:eastAsia="en-IN" w:bidi="gu-IN"/>
        </w:rPr>
        <w:t xml:space="preserve">agonistami, ako sú </w:t>
      </w:r>
      <w:proofErr w:type="spellStart"/>
      <w:r w:rsidRPr="000A6CA9">
        <w:rPr>
          <w:color w:val="000000"/>
          <w:szCs w:val="22"/>
          <w:lang w:val="sk-SK" w:eastAsia="en-IN" w:bidi="gu-IN"/>
        </w:rPr>
        <w:t>tremor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, </w:t>
      </w:r>
      <w:proofErr w:type="spellStart"/>
      <w:r w:rsidRPr="000A6CA9">
        <w:rPr>
          <w:color w:val="000000"/>
          <w:szCs w:val="22"/>
          <w:lang w:val="sk-SK" w:eastAsia="en-IN" w:bidi="gu-IN"/>
        </w:rPr>
        <w:t>palpitácie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a bolesť hlavy, zvyčajne prechodné a ustup</w:t>
      </w:r>
      <w:r>
        <w:rPr>
          <w:color w:val="000000"/>
          <w:szCs w:val="22"/>
          <w:lang w:val="sk-SK" w:eastAsia="en-IN" w:bidi="gu-IN"/>
        </w:rPr>
        <w:t>ujúce</w:t>
      </w:r>
      <w:r w:rsidRPr="000A6CA9">
        <w:rPr>
          <w:color w:val="000000"/>
          <w:szCs w:val="22"/>
          <w:lang w:val="sk-SK" w:eastAsia="en-IN" w:bidi="gu-IN"/>
        </w:rPr>
        <w:t xml:space="preserve"> pri pravidelnej liečbe.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EE5C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Tak ako pri inej inhalačnej liečbe môže dôjsť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paradoxnému </w:t>
      </w:r>
      <w:proofErr w:type="spellStart"/>
      <w:r w:rsidRPr="000A6CA9">
        <w:rPr>
          <w:szCs w:val="22"/>
          <w:lang w:val="sk-SK"/>
        </w:rPr>
        <w:t>bronchospazmu</w:t>
      </w:r>
      <w:proofErr w:type="spellEnd"/>
      <w:r w:rsidRPr="000A6CA9">
        <w:rPr>
          <w:szCs w:val="22"/>
          <w:lang w:val="sk-SK"/>
        </w:rPr>
        <w:t xml:space="preserve">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okamžitým zhoršením piskotu a dýchavičnosťou po podaní dávky. Paradoxný </w:t>
      </w:r>
      <w:proofErr w:type="spellStart"/>
      <w:r w:rsidRPr="000A6CA9">
        <w:rPr>
          <w:szCs w:val="22"/>
          <w:lang w:val="sk-SK"/>
        </w:rPr>
        <w:t>bronchospazmus</w:t>
      </w:r>
      <w:proofErr w:type="spellEnd"/>
      <w:r w:rsidRPr="000A6CA9">
        <w:rPr>
          <w:szCs w:val="22"/>
          <w:lang w:val="sk-SK"/>
        </w:rPr>
        <w:t xml:space="preserve"> odpovedá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rýchlo pôsobiace </w:t>
      </w:r>
      <w:proofErr w:type="spellStart"/>
      <w:r w:rsidRPr="000A6CA9">
        <w:rPr>
          <w:szCs w:val="22"/>
          <w:lang w:val="sk-SK"/>
        </w:rPr>
        <w:t>bronchodilatans</w:t>
      </w:r>
      <w:proofErr w:type="spellEnd"/>
      <w:r w:rsidRPr="000A6CA9">
        <w:rPr>
          <w:szCs w:val="22"/>
          <w:lang w:val="sk-SK"/>
        </w:rPr>
        <w:t xml:space="preserve"> a má byť ihneď liečený. Používanie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erkepu</w:t>
      </w:r>
      <w:proofErr w:type="spellEnd"/>
      <w:r w:rsidRPr="000A6CA9">
        <w:rPr>
          <w:szCs w:val="22"/>
          <w:lang w:val="sk-SK"/>
        </w:rPr>
        <w:t xml:space="preserve"> sa musí ihneď prerušiť, pacient musí byť vyšetrený a v prípade potreby sa má začať alternatívna liečba.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szCs w:val="22"/>
          <w:lang w:val="sk-SK"/>
        </w:rPr>
        <w:t xml:space="preserve">Vzhľadom na </w:t>
      </w:r>
      <w:proofErr w:type="spellStart"/>
      <w:r w:rsidRPr="000A6CA9">
        <w:rPr>
          <w:szCs w:val="22"/>
          <w:lang w:val="sk-SK"/>
        </w:rPr>
        <w:t>flutikazónpropionátovú</w:t>
      </w:r>
      <w:proofErr w:type="spellEnd"/>
      <w:r w:rsidRPr="000A6CA9">
        <w:rPr>
          <w:szCs w:val="22"/>
          <w:lang w:val="sk-SK"/>
        </w:rPr>
        <w:t xml:space="preserve"> zložku sa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niektorých pacientov môže objaviť zachrípnutie a </w:t>
      </w:r>
      <w:proofErr w:type="spellStart"/>
      <w:r w:rsidRPr="000A6CA9">
        <w:rPr>
          <w:szCs w:val="22"/>
          <w:lang w:val="sk-SK"/>
        </w:rPr>
        <w:t>kandidóza</w:t>
      </w:r>
      <w:proofErr w:type="spellEnd"/>
      <w:r w:rsidRPr="000A6CA9">
        <w:rPr>
          <w:szCs w:val="22"/>
          <w:lang w:val="sk-SK"/>
        </w:rPr>
        <w:t xml:space="preserve"> (</w:t>
      </w:r>
      <w:proofErr w:type="spellStart"/>
      <w:r w:rsidRPr="000A6CA9">
        <w:rPr>
          <w:szCs w:val="22"/>
          <w:lang w:val="sk-SK"/>
        </w:rPr>
        <w:t>soor</w:t>
      </w:r>
      <w:proofErr w:type="spellEnd"/>
      <w:r w:rsidRPr="000A6CA9">
        <w:rPr>
          <w:szCs w:val="22"/>
          <w:lang w:val="sk-SK"/>
        </w:rPr>
        <w:t xml:space="preserve">) ústnej dutiny, hrdla a zriedkavo aj </w:t>
      </w:r>
      <w:proofErr w:type="spellStart"/>
      <w:r w:rsidRPr="000A6CA9">
        <w:rPr>
          <w:szCs w:val="22"/>
          <w:lang w:val="sk-SK"/>
        </w:rPr>
        <w:t>ezofágu</w:t>
      </w:r>
      <w:proofErr w:type="spellEnd"/>
      <w:r w:rsidRPr="000A6CA9">
        <w:rPr>
          <w:szCs w:val="22"/>
          <w:lang w:val="sk-SK"/>
        </w:rPr>
        <w:t xml:space="preserve">. Zachrípnutie aj </w:t>
      </w:r>
      <w:proofErr w:type="spellStart"/>
      <w:r w:rsidRPr="000A6CA9">
        <w:rPr>
          <w:szCs w:val="22"/>
          <w:lang w:val="sk-SK"/>
        </w:rPr>
        <w:t>kandidóza</w:t>
      </w:r>
      <w:proofErr w:type="spellEnd"/>
      <w:r w:rsidRPr="000A6CA9">
        <w:rPr>
          <w:szCs w:val="22"/>
          <w:lang w:val="sk-SK"/>
        </w:rPr>
        <w:t xml:space="preserve"> môžu byť zmiernené vykloktaním vodou a/alebo vyčistením zubov po použití lieku. Symptomatickú </w:t>
      </w:r>
      <w:proofErr w:type="spellStart"/>
      <w:r w:rsidRPr="000A6CA9">
        <w:rPr>
          <w:szCs w:val="22"/>
          <w:lang w:val="sk-SK"/>
        </w:rPr>
        <w:t>kandidózu</w:t>
      </w:r>
      <w:proofErr w:type="spellEnd"/>
      <w:r w:rsidRPr="000A6CA9">
        <w:rPr>
          <w:szCs w:val="22"/>
          <w:lang w:val="sk-SK"/>
        </w:rPr>
        <w:t xml:space="preserve"> ústnej dutiny a hrdla je možné liečiť lokálnymi </w:t>
      </w:r>
      <w:proofErr w:type="spellStart"/>
      <w:r w:rsidRPr="000A6CA9">
        <w:rPr>
          <w:szCs w:val="22"/>
          <w:lang w:val="sk-SK"/>
        </w:rPr>
        <w:t>antimykotickými</w:t>
      </w:r>
      <w:proofErr w:type="spellEnd"/>
      <w:r w:rsidRPr="000A6CA9">
        <w:rPr>
          <w:szCs w:val="22"/>
          <w:lang w:val="sk-SK"/>
        </w:rPr>
        <w:t xml:space="preserve"> liekmi aj pri pokračovaní liečby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color w:val="000000"/>
          <w:szCs w:val="22"/>
          <w:lang w:val="sk-SK" w:eastAsia="en-IN" w:bidi="gu-IN"/>
        </w:rPr>
        <w:t>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  <w:r w:rsidRPr="000A6CA9">
        <w:rPr>
          <w:color w:val="000000"/>
          <w:szCs w:val="22"/>
          <w:u w:val="single"/>
          <w:lang w:val="sk-SK" w:eastAsia="en-IN" w:bidi="gu-IN"/>
        </w:rPr>
        <w:t>Pediatrická populácia</w:t>
      </w: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Možné systémové účinky zahŕňajú </w:t>
      </w:r>
      <w:proofErr w:type="spellStart"/>
      <w:r w:rsidRPr="000A6CA9">
        <w:rPr>
          <w:szCs w:val="22"/>
          <w:lang w:val="sk-SK"/>
        </w:rPr>
        <w:t>Cushingov</w:t>
      </w:r>
      <w:proofErr w:type="spellEnd"/>
      <w:r w:rsidRPr="000A6CA9">
        <w:rPr>
          <w:szCs w:val="22"/>
          <w:lang w:val="sk-SK"/>
        </w:rPr>
        <w:t xml:space="preserve"> syndróm, </w:t>
      </w:r>
      <w:proofErr w:type="spellStart"/>
      <w:r>
        <w:rPr>
          <w:szCs w:val="22"/>
          <w:lang w:val="sk-SK"/>
        </w:rPr>
        <w:t>c</w:t>
      </w:r>
      <w:r w:rsidRPr="000A6CA9">
        <w:rPr>
          <w:szCs w:val="22"/>
          <w:lang w:val="sk-SK"/>
        </w:rPr>
        <w:t>ushingoidný</w:t>
      </w:r>
      <w:proofErr w:type="spellEnd"/>
      <w:r w:rsidRPr="000A6CA9">
        <w:rPr>
          <w:szCs w:val="22"/>
          <w:lang w:val="sk-SK"/>
        </w:rPr>
        <w:t xml:space="preserve"> vzhľad, útlm funkcie nadobličiek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spomalenie rastu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detí a dospievajúcich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4.4). U detí sa môže tiež vyskytnúť úzkosť, poruchy spánku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zmeny správania, vrátane </w:t>
      </w:r>
      <w:proofErr w:type="spellStart"/>
      <w:r w:rsidRPr="000A6CA9">
        <w:rPr>
          <w:szCs w:val="22"/>
          <w:lang w:val="sk-SK"/>
        </w:rPr>
        <w:t>hyperaktivity</w:t>
      </w:r>
      <w:proofErr w:type="spellEnd"/>
      <w:r w:rsidRPr="000A6CA9">
        <w:rPr>
          <w:szCs w:val="22"/>
          <w:lang w:val="sk-SK"/>
        </w:rPr>
        <w:t xml:space="preserve"> a podráždenosti.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4520DA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A6CA9">
        <w:rPr>
          <w:szCs w:val="22"/>
          <w:u w:val="single"/>
          <w:lang w:val="sk-SK"/>
        </w:rPr>
        <w:t>Hlásenie podozrení na nežiaduce reakcie</w:t>
      </w:r>
    </w:p>
    <w:p w:rsidR="003E4182" w:rsidRPr="000A6CA9" w:rsidRDefault="003E4182" w:rsidP="004520DA">
      <w:pPr>
        <w:autoSpaceDE w:val="0"/>
        <w:autoSpaceDN w:val="0"/>
        <w:adjustRightInd w:val="0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044DEC">
        <w:rPr>
          <w:szCs w:val="22"/>
          <w:highlight w:val="lightGray"/>
          <w:lang w:val="sk-SK"/>
        </w:rPr>
        <w:t>národné centrum hlásenia uvedené v </w:t>
      </w:r>
      <w:hyperlink r:id="rId9" w:history="1">
        <w:r w:rsidRPr="00044DEC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0A6CA9">
        <w:rPr>
          <w:szCs w:val="22"/>
          <w:lang w:val="sk-SK"/>
        </w:rPr>
        <w:t>.</w:t>
      </w:r>
    </w:p>
    <w:p w:rsidR="003E4182" w:rsidRPr="000A6CA9" w:rsidRDefault="003E4182" w:rsidP="004520DA">
      <w:pPr>
        <w:spacing w:line="240" w:lineRule="auto"/>
        <w:ind w:left="567" w:hanging="567"/>
        <w:outlineLvl w:val="0"/>
        <w:rPr>
          <w:b/>
          <w:color w:val="000000"/>
          <w:szCs w:val="22"/>
          <w:lang w:val="sk-SK"/>
        </w:rPr>
      </w:pPr>
    </w:p>
    <w:p w:rsidR="003E4182" w:rsidRPr="000A6CA9" w:rsidRDefault="003E4182" w:rsidP="004520DA">
      <w:pPr>
        <w:keepNext/>
        <w:outlineLvl w:val="0"/>
        <w:rPr>
          <w:b/>
          <w:color w:val="000000"/>
          <w:szCs w:val="22"/>
          <w:lang w:val="sk-SK"/>
        </w:rPr>
      </w:pPr>
      <w:r w:rsidRPr="000A6CA9">
        <w:rPr>
          <w:b/>
          <w:color w:val="000000"/>
          <w:szCs w:val="22"/>
          <w:lang w:val="sk-SK"/>
        </w:rPr>
        <w:t>4.9</w:t>
      </w:r>
      <w:r w:rsidRPr="000A6CA9">
        <w:rPr>
          <w:b/>
          <w:color w:val="000000"/>
          <w:szCs w:val="22"/>
          <w:lang w:val="sk-SK"/>
        </w:rPr>
        <w:tab/>
      </w:r>
      <w:r w:rsidRPr="000A6CA9">
        <w:rPr>
          <w:b/>
          <w:szCs w:val="22"/>
          <w:lang w:val="sk-SK"/>
        </w:rPr>
        <w:t>Predávkovanie</w:t>
      </w:r>
    </w:p>
    <w:p w:rsidR="003E4182" w:rsidRPr="000A6CA9" w:rsidRDefault="003E4182" w:rsidP="004520DA">
      <w:pPr>
        <w:keepNext/>
        <w:outlineLvl w:val="0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Z klinických </w:t>
      </w:r>
      <w:r>
        <w:rPr>
          <w:szCs w:val="22"/>
          <w:lang w:val="sk-SK"/>
        </w:rPr>
        <w:t xml:space="preserve">skúšaní </w:t>
      </w:r>
      <w:r w:rsidRPr="000A6CA9">
        <w:rPr>
          <w:szCs w:val="22"/>
          <w:lang w:val="sk-SK"/>
        </w:rPr>
        <w:t>nie sú dostupné žiadne údaje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predávkovaní </w:t>
      </w:r>
      <w:proofErr w:type="spellStart"/>
      <w:r w:rsidR="009D5DCA" w:rsidRPr="00E6584E">
        <w:rPr>
          <w:bCs/>
          <w:szCs w:val="22"/>
          <w:lang w:val="sk-SK"/>
        </w:rPr>
        <w:t>salmeterol</w:t>
      </w:r>
      <w:r w:rsidR="009D5DCA">
        <w:rPr>
          <w:bCs/>
          <w:szCs w:val="22"/>
          <w:lang w:val="sk-SK"/>
        </w:rPr>
        <w:t>om</w:t>
      </w:r>
      <w:proofErr w:type="spellEnd"/>
      <w:r w:rsidR="009D5DCA">
        <w:rPr>
          <w:bCs/>
          <w:szCs w:val="22"/>
          <w:lang w:val="sk-SK"/>
        </w:rPr>
        <w:t>/</w:t>
      </w:r>
      <w:proofErr w:type="spellStart"/>
      <w:r w:rsidR="009D5DCA" w:rsidRPr="00E6584E">
        <w:rPr>
          <w:color w:val="000000"/>
          <w:szCs w:val="22"/>
          <w:lang w:val="sk-SK"/>
        </w:rPr>
        <w:t>flutikazónpropionát</w:t>
      </w:r>
      <w:r w:rsidR="009D5DCA">
        <w:rPr>
          <w:color w:val="000000"/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, nižšie sú však uvedené údaje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predávkovaní </w:t>
      </w:r>
      <w:r>
        <w:rPr>
          <w:szCs w:val="22"/>
          <w:lang w:val="sk-SK"/>
        </w:rPr>
        <w:t>jednotlivými</w:t>
      </w:r>
      <w:r w:rsidRPr="000A6CA9">
        <w:rPr>
          <w:szCs w:val="22"/>
          <w:lang w:val="sk-SK"/>
        </w:rPr>
        <w:t xml:space="preserve"> liečivami</w:t>
      </w:r>
      <w:r w:rsidRPr="000A6CA9">
        <w:rPr>
          <w:color w:val="000000"/>
          <w:szCs w:val="22"/>
          <w:lang w:val="sk-SK"/>
        </w:rPr>
        <w:t>:</w:t>
      </w:r>
    </w:p>
    <w:p w:rsidR="003E4182" w:rsidRPr="00AF391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9D5DCA" w:rsidRPr="007335C2" w:rsidRDefault="009D5DCA" w:rsidP="009D5D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proofErr w:type="spellStart"/>
      <w:r w:rsidRPr="007335C2">
        <w:rPr>
          <w:color w:val="000000"/>
          <w:szCs w:val="22"/>
          <w:u w:val="single"/>
          <w:lang w:val="sk-SK"/>
        </w:rPr>
        <w:t>Salmeterol</w:t>
      </w:r>
      <w:proofErr w:type="spellEnd"/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Prejavy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príznaky predávkovania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 xml:space="preserve"> sú závraty, zvýšenie </w:t>
      </w:r>
      <w:proofErr w:type="spellStart"/>
      <w:r w:rsidRPr="000A6CA9">
        <w:rPr>
          <w:szCs w:val="22"/>
          <w:lang w:val="sk-SK"/>
        </w:rPr>
        <w:t>systolického</w:t>
      </w:r>
      <w:proofErr w:type="spellEnd"/>
      <w:r w:rsidRPr="000A6CA9">
        <w:rPr>
          <w:szCs w:val="22"/>
          <w:lang w:val="sk-SK"/>
        </w:rPr>
        <w:t xml:space="preserve"> krvného tlaku, </w:t>
      </w:r>
      <w:proofErr w:type="spellStart"/>
      <w:r w:rsidRPr="000A6CA9">
        <w:rPr>
          <w:szCs w:val="22"/>
          <w:lang w:val="sk-SK"/>
        </w:rPr>
        <w:t>tremor</w:t>
      </w:r>
      <w:proofErr w:type="spellEnd"/>
      <w:r w:rsidRPr="000A6CA9">
        <w:rPr>
          <w:szCs w:val="22"/>
          <w:lang w:val="sk-SK"/>
        </w:rPr>
        <w:t>, bolesť hlavy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tachykardia</w:t>
      </w:r>
      <w:proofErr w:type="spellEnd"/>
      <w:r w:rsidRPr="000A6CA9">
        <w:rPr>
          <w:szCs w:val="22"/>
          <w:lang w:val="sk-SK"/>
        </w:rPr>
        <w:t xml:space="preserve">. Ak je potrebné liečbu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szCs w:val="22"/>
          <w:lang w:val="sk-SK"/>
        </w:rPr>
        <w:t xml:space="preserve"> prerušiť v dôsledku predávkovania </w:t>
      </w:r>
      <w:proofErr w:type="spellStart"/>
      <w:r w:rsidRPr="000A6CA9">
        <w:rPr>
          <w:szCs w:val="22"/>
          <w:lang w:val="sk-SK"/>
        </w:rPr>
        <w:t>beta</w:t>
      </w:r>
      <w:r w:rsidRPr="000A6CA9">
        <w:rPr>
          <w:szCs w:val="22"/>
          <w:lang w:val="sk-SK"/>
        </w:rPr>
        <w:noBreakHyphen/>
        <w:t>agonistickou</w:t>
      </w:r>
      <w:proofErr w:type="spellEnd"/>
      <w:r w:rsidRPr="000A6CA9">
        <w:rPr>
          <w:szCs w:val="22"/>
          <w:lang w:val="sk-SK"/>
        </w:rPr>
        <w:t xml:space="preserve"> zložkou lieku, má sa zvážiť zabezpečenie vhodnej náhradnej liečby </w:t>
      </w:r>
      <w:proofErr w:type="spellStart"/>
      <w:r w:rsidRPr="000A6CA9">
        <w:rPr>
          <w:szCs w:val="22"/>
          <w:lang w:val="sk-SK"/>
        </w:rPr>
        <w:t>steroidmi</w:t>
      </w:r>
      <w:proofErr w:type="spellEnd"/>
      <w:r w:rsidRPr="000A6CA9">
        <w:rPr>
          <w:szCs w:val="22"/>
          <w:lang w:val="sk-SK"/>
        </w:rPr>
        <w:t>.</w:t>
      </w:r>
      <w:r w:rsidRPr="000A6CA9">
        <w:rPr>
          <w:rStyle w:val="slostrany"/>
          <w:szCs w:val="22"/>
          <w:lang w:val="sk-SK"/>
        </w:rPr>
        <w:t xml:space="preserve"> Okrem toho môže dôjsť k</w:t>
      </w:r>
      <w:r>
        <w:rPr>
          <w:rStyle w:val="slostrany"/>
          <w:szCs w:val="22"/>
          <w:lang w:val="sk-SK"/>
        </w:rPr>
        <w:t> </w:t>
      </w:r>
      <w:proofErr w:type="spellStart"/>
      <w:r w:rsidRPr="000A6CA9">
        <w:rPr>
          <w:rStyle w:val="slostrany"/>
          <w:szCs w:val="22"/>
          <w:lang w:val="sk-SK"/>
        </w:rPr>
        <w:t>hypokaliémii</w:t>
      </w:r>
      <w:proofErr w:type="spellEnd"/>
      <w:r w:rsidRPr="000A6CA9">
        <w:rPr>
          <w:rStyle w:val="slostrany"/>
          <w:szCs w:val="22"/>
          <w:lang w:val="sk-SK"/>
        </w:rPr>
        <w:t xml:space="preserve"> a z tohto dôvodu treba zvážiť monitorovanie hladín draslíka v sére. Má sa zvážiť </w:t>
      </w:r>
      <w:proofErr w:type="spellStart"/>
      <w:r w:rsidRPr="000A6CA9">
        <w:rPr>
          <w:rStyle w:val="slostrany"/>
          <w:szCs w:val="22"/>
          <w:lang w:val="sk-SK"/>
        </w:rPr>
        <w:t>suplementácia</w:t>
      </w:r>
      <w:proofErr w:type="spellEnd"/>
      <w:r w:rsidRPr="000A6CA9">
        <w:rPr>
          <w:rStyle w:val="slostrany"/>
          <w:szCs w:val="22"/>
          <w:lang w:val="sk-SK"/>
        </w:rPr>
        <w:t xml:space="preserve"> draslíka</w:t>
      </w:r>
      <w:r w:rsidRPr="000A6CA9">
        <w:rPr>
          <w:szCs w:val="22"/>
          <w:lang w:val="sk-SK"/>
        </w:rPr>
        <w:t>.</w:t>
      </w:r>
    </w:p>
    <w:p w:rsidR="003E4182" w:rsidRPr="00AF391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D5DCA" w:rsidRDefault="009D5DCA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proofErr w:type="spellStart"/>
      <w:r w:rsidRPr="007335C2">
        <w:rPr>
          <w:szCs w:val="22"/>
          <w:u w:val="single"/>
          <w:lang w:val="sk-SK"/>
        </w:rPr>
        <w:t>Flutikazónpropionát</w:t>
      </w:r>
      <w:proofErr w:type="spellEnd"/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b/>
          <w:bCs/>
          <w:szCs w:val="22"/>
          <w:lang w:val="sk-SK"/>
        </w:rPr>
        <w:t>Akútne predávkovanie:</w:t>
      </w:r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</w:t>
      </w:r>
      <w:r w:rsidRPr="000A6CA9">
        <w:rPr>
          <w:szCs w:val="22"/>
          <w:lang w:val="sk-SK"/>
        </w:rPr>
        <w:t xml:space="preserve">kútna inhalácia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v dávkach prevyšujúcich odporúčané dávky môže viesť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dočasnému útlmu funkcie nadobličiek. Nie je potrebný urgentný zásah, keďže funkcia nadobličiek sa v priebehu niekoľkých dní obnoví, čo sa potvrdilo stanovením plazmatického </w:t>
      </w:r>
      <w:proofErr w:type="spellStart"/>
      <w:r w:rsidRPr="000A6CA9">
        <w:rPr>
          <w:szCs w:val="22"/>
          <w:lang w:val="sk-SK"/>
        </w:rPr>
        <w:t>kortizolu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0A6CA9">
        <w:rPr>
          <w:b/>
          <w:bCs/>
          <w:szCs w:val="22"/>
          <w:lang w:val="sk-SK"/>
        </w:rPr>
        <w:t xml:space="preserve">Chronické predávkovanie inhalačným </w:t>
      </w:r>
      <w:proofErr w:type="spellStart"/>
      <w:r w:rsidRPr="000A6CA9">
        <w:rPr>
          <w:b/>
          <w:bCs/>
          <w:szCs w:val="22"/>
          <w:lang w:val="sk-SK"/>
        </w:rPr>
        <w:t>flutikazónpropionátom</w:t>
      </w:r>
      <w:proofErr w:type="spellEnd"/>
      <w:r w:rsidRPr="000A6CA9">
        <w:rPr>
          <w:b/>
          <w:bCs/>
          <w:szCs w:val="22"/>
          <w:lang w:val="sk-SK"/>
        </w:rPr>
        <w:t>:</w:t>
      </w:r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</w:t>
      </w:r>
      <w:r w:rsidRPr="000A6CA9">
        <w:rPr>
          <w:szCs w:val="22"/>
          <w:lang w:val="sk-SK"/>
        </w:rPr>
        <w:t xml:space="preserve">á byť monitorovaná </w:t>
      </w:r>
      <w:proofErr w:type="spellStart"/>
      <w:r w:rsidRPr="000A6CA9">
        <w:rPr>
          <w:szCs w:val="22"/>
          <w:lang w:val="sk-SK"/>
        </w:rPr>
        <w:t>adrenálna</w:t>
      </w:r>
      <w:proofErr w:type="spellEnd"/>
      <w:r w:rsidRPr="000A6CA9">
        <w:rPr>
          <w:szCs w:val="22"/>
          <w:lang w:val="sk-SK"/>
        </w:rPr>
        <w:t xml:space="preserve"> rezerva a môže byť potrebná liečba systémovými </w:t>
      </w:r>
      <w:proofErr w:type="spellStart"/>
      <w:r w:rsidR="009D5DCA">
        <w:rPr>
          <w:szCs w:val="22"/>
          <w:lang w:val="sk-SK"/>
        </w:rPr>
        <w:t>gluko</w:t>
      </w:r>
      <w:r w:rsidR="009D5DCA" w:rsidRPr="000A6CA9">
        <w:rPr>
          <w:szCs w:val="22"/>
          <w:lang w:val="sk-SK"/>
        </w:rPr>
        <w:t>kortikosteroidmi</w:t>
      </w:r>
      <w:proofErr w:type="spellEnd"/>
      <w:r w:rsidRPr="000A6CA9">
        <w:rPr>
          <w:szCs w:val="22"/>
          <w:lang w:val="sk-SK"/>
        </w:rPr>
        <w:t xml:space="preserve">. Po stabilizácii sa má pokračovať v liečbe inhalačnými </w:t>
      </w:r>
      <w:proofErr w:type="spellStart"/>
      <w:r w:rsidR="009D5DCA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kortikosteroidmi</w:t>
      </w:r>
      <w:proofErr w:type="spellEnd"/>
      <w:r w:rsidRPr="000A6CA9">
        <w:rPr>
          <w:szCs w:val="22"/>
          <w:lang w:val="sk-SK"/>
        </w:rPr>
        <w:t xml:space="preserve"> v odporúčaných dávkach. </w:t>
      </w:r>
      <w:r w:rsidR="009D5DCA">
        <w:rPr>
          <w:szCs w:val="22"/>
          <w:lang w:val="sk-SK"/>
        </w:rPr>
        <w:t>(</w:t>
      </w:r>
      <w:r w:rsidR="009D5DCA">
        <w:rPr>
          <w:bCs/>
          <w:szCs w:val="22"/>
          <w:lang w:val="sk-SK"/>
        </w:rPr>
        <w:t>p</w:t>
      </w:r>
      <w:r w:rsidRPr="000A6CA9">
        <w:rPr>
          <w:bCs/>
          <w:szCs w:val="22"/>
          <w:lang w:val="sk-SK"/>
        </w:rPr>
        <w:t>ozri časť</w:t>
      </w:r>
      <w:r>
        <w:rPr>
          <w:bCs/>
          <w:szCs w:val="22"/>
          <w:lang w:val="sk-SK"/>
        </w:rPr>
        <w:t> </w:t>
      </w:r>
      <w:r w:rsidRPr="000A6CA9">
        <w:rPr>
          <w:bCs/>
          <w:szCs w:val="22"/>
          <w:lang w:val="sk-SK"/>
        </w:rPr>
        <w:t>4.4</w:t>
      </w:r>
      <w:r w:rsidR="009D5DCA">
        <w:rPr>
          <w:bCs/>
          <w:szCs w:val="22"/>
          <w:lang w:val="sk-SK"/>
        </w:rPr>
        <w:t>)</w:t>
      </w:r>
      <w:r w:rsidRPr="000A6CA9">
        <w:rPr>
          <w:bCs/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prípadoch akútneho aj chronického predávkovania 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sa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liečbe </w:t>
      </w:r>
      <w:proofErr w:type="spellStart"/>
      <w:r w:rsidRPr="000A6CA9">
        <w:rPr>
          <w:szCs w:val="22"/>
          <w:lang w:val="sk-SK"/>
        </w:rPr>
        <w:t>S</w:t>
      </w:r>
      <w:r w:rsidR="00675B7F">
        <w:rPr>
          <w:szCs w:val="22"/>
          <w:lang w:val="sk-SK"/>
        </w:rPr>
        <w:t>erkepom</w:t>
      </w:r>
      <w:proofErr w:type="spellEnd"/>
      <w:r w:rsidRPr="000A6CA9">
        <w:rPr>
          <w:szCs w:val="22"/>
          <w:lang w:val="sk-SK"/>
        </w:rPr>
        <w:t xml:space="preserve"> môže pokračovať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dávkach dostatočných na kontrolu príznakov.</w:t>
      </w:r>
    </w:p>
    <w:p w:rsidR="003E4182" w:rsidRPr="000A6CA9" w:rsidRDefault="003E4182" w:rsidP="004520DA">
      <w:pPr>
        <w:rPr>
          <w:szCs w:val="22"/>
          <w:lang w:val="sk-SK"/>
        </w:rPr>
      </w:pPr>
    </w:p>
    <w:p w:rsidR="003E4182" w:rsidRPr="000A6CA9" w:rsidRDefault="003E4182" w:rsidP="004520DA">
      <w:pPr>
        <w:rPr>
          <w:szCs w:val="22"/>
          <w:lang w:val="sk-SK"/>
        </w:rPr>
      </w:pPr>
    </w:p>
    <w:p w:rsidR="003E4182" w:rsidRPr="000A6CA9" w:rsidRDefault="003E4182" w:rsidP="004520DA">
      <w:pPr>
        <w:keepNext/>
        <w:ind w:left="567" w:hanging="567"/>
        <w:rPr>
          <w:color w:val="000000"/>
          <w:szCs w:val="22"/>
          <w:lang w:val="sk-SK"/>
        </w:rPr>
      </w:pPr>
      <w:r w:rsidRPr="000A6CA9">
        <w:rPr>
          <w:b/>
          <w:color w:val="000000"/>
          <w:szCs w:val="22"/>
          <w:lang w:val="sk-SK"/>
        </w:rPr>
        <w:t>5.</w:t>
      </w:r>
      <w:r w:rsidRPr="000A6CA9">
        <w:rPr>
          <w:b/>
          <w:color w:val="000000"/>
          <w:szCs w:val="22"/>
          <w:lang w:val="sk-SK"/>
        </w:rPr>
        <w:tab/>
      </w:r>
      <w:r w:rsidRPr="000A6CA9">
        <w:rPr>
          <w:b/>
          <w:szCs w:val="22"/>
          <w:lang w:val="sk-SK"/>
        </w:rPr>
        <w:t>FARMAKOLOGICKÉ VLASTNOSTI</w:t>
      </w:r>
    </w:p>
    <w:p w:rsidR="003E4182" w:rsidRPr="000A6CA9" w:rsidRDefault="003E4182" w:rsidP="004520DA">
      <w:pPr>
        <w:keepNext/>
        <w:rPr>
          <w:color w:val="000000"/>
          <w:szCs w:val="22"/>
          <w:lang w:val="sk-SK"/>
        </w:rPr>
      </w:pPr>
    </w:p>
    <w:p w:rsidR="003E4182" w:rsidRPr="000A6CA9" w:rsidRDefault="003E4182" w:rsidP="004520DA">
      <w:pPr>
        <w:keepNext/>
        <w:ind w:left="567" w:hanging="567"/>
        <w:outlineLvl w:val="0"/>
        <w:rPr>
          <w:b/>
          <w:szCs w:val="22"/>
          <w:lang w:val="sk-SK"/>
        </w:rPr>
      </w:pPr>
      <w:r w:rsidRPr="000A6CA9">
        <w:rPr>
          <w:b/>
          <w:color w:val="000000"/>
          <w:szCs w:val="22"/>
          <w:lang w:val="sk-SK"/>
        </w:rPr>
        <w:t xml:space="preserve">5.1 </w:t>
      </w:r>
      <w:r w:rsidRPr="000A6CA9">
        <w:rPr>
          <w:b/>
          <w:color w:val="000000"/>
          <w:szCs w:val="22"/>
          <w:lang w:val="sk-SK"/>
        </w:rPr>
        <w:tab/>
      </w:r>
      <w:proofErr w:type="spellStart"/>
      <w:r w:rsidRPr="000A6CA9">
        <w:rPr>
          <w:b/>
          <w:szCs w:val="22"/>
          <w:lang w:val="sk-SK"/>
        </w:rPr>
        <w:t>Farmakodynamické</w:t>
      </w:r>
      <w:proofErr w:type="spellEnd"/>
      <w:r w:rsidRPr="000A6CA9">
        <w:rPr>
          <w:b/>
          <w:szCs w:val="22"/>
          <w:lang w:val="sk-SK"/>
        </w:rPr>
        <w:t xml:space="preserve"> vlastnosti</w:t>
      </w: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36057A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proofErr w:type="spellStart"/>
      <w:r w:rsidRPr="000A6CA9">
        <w:rPr>
          <w:color w:val="000000"/>
          <w:szCs w:val="22"/>
          <w:lang w:val="sk-SK" w:eastAsia="en-IN" w:bidi="gu-IN"/>
        </w:rPr>
        <w:t>Farmakoterapeutická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skupina: </w:t>
      </w:r>
      <w:r w:rsidR="009D5DCA" w:rsidRPr="0036057A">
        <w:rPr>
          <w:color w:val="000000"/>
          <w:szCs w:val="22"/>
          <w:lang w:val="sk-SK" w:eastAsia="en-IN" w:bidi="gu-IN"/>
        </w:rPr>
        <w:t xml:space="preserve">liečivá </w:t>
      </w:r>
      <w:r w:rsidR="009D5DCA">
        <w:rPr>
          <w:color w:val="000000"/>
          <w:szCs w:val="22"/>
          <w:lang w:val="sk-SK" w:eastAsia="en-IN" w:bidi="gu-IN"/>
        </w:rPr>
        <w:t xml:space="preserve">na </w:t>
      </w:r>
      <w:r w:rsidR="009D5DCA" w:rsidRPr="0036057A">
        <w:rPr>
          <w:color w:val="000000"/>
          <w:szCs w:val="22"/>
          <w:lang w:val="sk-SK" w:eastAsia="en-IN" w:bidi="gu-IN"/>
        </w:rPr>
        <w:t>obštrukčné ochorenie dýchacích ciest,</w:t>
      </w:r>
      <w:r w:rsidR="009D5DCA">
        <w:rPr>
          <w:color w:val="000000"/>
          <w:szCs w:val="22"/>
          <w:lang w:val="sk-SK" w:eastAsia="en-IN" w:bidi="gu-IN"/>
        </w:rPr>
        <w:t xml:space="preserve"> </w:t>
      </w:r>
      <w:proofErr w:type="spellStart"/>
      <w:r w:rsidR="009D5DCA" w:rsidRPr="0036057A">
        <w:rPr>
          <w:color w:val="000000"/>
          <w:szCs w:val="22"/>
          <w:lang w:val="sk-SK" w:eastAsia="en-IN" w:bidi="gu-IN"/>
        </w:rPr>
        <w:t>adrenergi</w:t>
      </w:r>
      <w:r w:rsidR="009D5DCA">
        <w:rPr>
          <w:color w:val="000000"/>
          <w:szCs w:val="22"/>
          <w:lang w:val="sk-SK" w:eastAsia="en-IN" w:bidi="gu-IN"/>
        </w:rPr>
        <w:t>ká</w:t>
      </w:r>
      <w:proofErr w:type="spellEnd"/>
      <w:r w:rsidR="009D5DCA" w:rsidRPr="0036057A">
        <w:rPr>
          <w:color w:val="000000"/>
          <w:szCs w:val="22"/>
          <w:lang w:val="sk-SK" w:eastAsia="en-IN" w:bidi="gu-IN"/>
        </w:rPr>
        <w:t xml:space="preserve"> v</w:t>
      </w:r>
      <w:r w:rsidR="009D5DCA">
        <w:rPr>
          <w:color w:val="000000"/>
          <w:szCs w:val="22"/>
          <w:lang w:val="sk-SK" w:eastAsia="en-IN" w:bidi="gu-IN"/>
        </w:rPr>
        <w:t> </w:t>
      </w:r>
      <w:r w:rsidR="009D5DCA" w:rsidRPr="0036057A">
        <w:rPr>
          <w:color w:val="000000"/>
          <w:szCs w:val="22"/>
          <w:lang w:val="sk-SK" w:eastAsia="en-IN" w:bidi="gu-IN"/>
        </w:rPr>
        <w:t>kombinácii s</w:t>
      </w:r>
      <w:r w:rsidR="009D5DCA">
        <w:rPr>
          <w:color w:val="000000"/>
          <w:szCs w:val="22"/>
          <w:lang w:val="sk-SK" w:eastAsia="en-IN" w:bidi="gu-IN"/>
        </w:rPr>
        <w:t> </w:t>
      </w:r>
      <w:proofErr w:type="spellStart"/>
      <w:r w:rsidR="009D5DCA" w:rsidRPr="0036057A">
        <w:rPr>
          <w:color w:val="000000"/>
          <w:szCs w:val="22"/>
          <w:lang w:val="sk-SK" w:eastAsia="en-IN" w:bidi="gu-IN"/>
        </w:rPr>
        <w:t>kortikosteroidmi</w:t>
      </w:r>
      <w:proofErr w:type="spellEnd"/>
      <w:r w:rsidR="009D5DCA" w:rsidRPr="0036057A">
        <w:rPr>
          <w:color w:val="000000"/>
          <w:szCs w:val="22"/>
          <w:lang w:val="sk-SK" w:eastAsia="en-IN" w:bidi="gu-IN"/>
        </w:rPr>
        <w:t xml:space="preserve"> alebo inými </w:t>
      </w:r>
      <w:r w:rsidR="009D5DCA">
        <w:rPr>
          <w:color w:val="000000"/>
          <w:szCs w:val="22"/>
          <w:lang w:val="sk-SK" w:eastAsia="en-IN" w:bidi="gu-IN"/>
        </w:rPr>
        <w:t>liečivami</w:t>
      </w:r>
      <w:r w:rsidR="009D5DCA" w:rsidRPr="000A6CA9">
        <w:rPr>
          <w:color w:val="000000"/>
          <w:szCs w:val="22"/>
          <w:lang w:val="sk-SK" w:eastAsia="en-IN" w:bidi="gu-IN"/>
        </w:rPr>
        <w:t>,</w:t>
      </w:r>
      <w:r w:rsidR="009D5DCA">
        <w:rPr>
          <w:color w:val="000000"/>
          <w:szCs w:val="22"/>
          <w:lang w:val="sk-SK" w:eastAsia="en-IN" w:bidi="gu-IN"/>
        </w:rPr>
        <w:t xml:space="preserve"> bez </w:t>
      </w:r>
      <w:proofErr w:type="spellStart"/>
      <w:r w:rsidR="009D5DCA">
        <w:rPr>
          <w:color w:val="000000"/>
          <w:szCs w:val="22"/>
          <w:lang w:val="sk-SK" w:eastAsia="en-IN" w:bidi="gu-IN"/>
        </w:rPr>
        <w:t>anticholínergík</w:t>
      </w:r>
      <w:proofErr w:type="spellEnd"/>
      <w:r w:rsidR="009D5DCA">
        <w:rPr>
          <w:color w:val="000000"/>
          <w:szCs w:val="22"/>
          <w:lang w:val="sk-SK" w:eastAsia="en-IN" w:bidi="gu-IN"/>
        </w:rPr>
        <w:t>,</w:t>
      </w:r>
      <w:r w:rsidRPr="000A6CA9">
        <w:rPr>
          <w:color w:val="000000"/>
          <w:szCs w:val="22"/>
          <w:lang w:val="sk-SK" w:eastAsia="en-IN" w:bidi="gu-IN"/>
        </w:rPr>
        <w:t>, ATC kód: R03AK06</w:t>
      </w:r>
    </w:p>
    <w:p w:rsidR="003E4182" w:rsidRPr="000A6CA9" w:rsidRDefault="003E4182" w:rsidP="004520DA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  <w:r w:rsidRPr="000A6CA9">
        <w:rPr>
          <w:color w:val="000000"/>
          <w:szCs w:val="22"/>
          <w:u w:val="single"/>
          <w:lang w:val="sk-SK" w:eastAsia="en-IN" w:bidi="gu-IN"/>
        </w:rPr>
        <w:t>Mechanizmus účinku a </w:t>
      </w:r>
      <w:proofErr w:type="spellStart"/>
      <w:r w:rsidRPr="000A6CA9">
        <w:rPr>
          <w:color w:val="000000"/>
          <w:szCs w:val="22"/>
          <w:u w:val="single"/>
          <w:lang w:val="sk-SK" w:eastAsia="en-IN" w:bidi="gu-IN"/>
        </w:rPr>
        <w:t>farmakodynamické</w:t>
      </w:r>
      <w:proofErr w:type="spellEnd"/>
      <w:r w:rsidRPr="000A6CA9">
        <w:rPr>
          <w:color w:val="000000"/>
          <w:szCs w:val="22"/>
          <w:u w:val="single"/>
          <w:lang w:val="sk-SK" w:eastAsia="en-IN" w:bidi="gu-IN"/>
        </w:rPr>
        <w:t xml:space="preserve"> účinky</w:t>
      </w:r>
    </w:p>
    <w:p w:rsidR="003E4182" w:rsidRPr="000A6CA9" w:rsidRDefault="00474110" w:rsidP="004520DA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proofErr w:type="spellStart"/>
      <w:r>
        <w:rPr>
          <w:color w:val="000000"/>
          <w:szCs w:val="22"/>
          <w:lang w:val="sk-SK" w:eastAsia="en-IN" w:bidi="gu-IN"/>
        </w:rPr>
        <w:t>Serkep</w:t>
      </w:r>
      <w:proofErr w:type="spellEnd"/>
      <w:r w:rsidR="003E4182" w:rsidRPr="000A6CA9">
        <w:rPr>
          <w:color w:val="000000"/>
          <w:szCs w:val="22"/>
          <w:lang w:val="sk-SK" w:eastAsia="en-IN" w:bidi="gu-IN"/>
        </w:rPr>
        <w:t xml:space="preserve"> obsahuje </w:t>
      </w:r>
      <w:proofErr w:type="spellStart"/>
      <w:r w:rsidR="003E4182" w:rsidRPr="000A6CA9">
        <w:rPr>
          <w:color w:val="000000"/>
          <w:szCs w:val="22"/>
          <w:lang w:val="sk-SK" w:eastAsia="en-IN" w:bidi="gu-IN"/>
        </w:rPr>
        <w:t>salmeterol</w:t>
      </w:r>
      <w:proofErr w:type="spellEnd"/>
      <w:r w:rsidR="003E4182" w:rsidRPr="000A6CA9">
        <w:rPr>
          <w:color w:val="000000"/>
          <w:szCs w:val="22"/>
          <w:lang w:val="sk-SK" w:eastAsia="en-IN" w:bidi="gu-IN"/>
        </w:rPr>
        <w:t xml:space="preserve"> a </w:t>
      </w:r>
      <w:proofErr w:type="spellStart"/>
      <w:r w:rsidR="003E4182" w:rsidRPr="000A6CA9">
        <w:rPr>
          <w:color w:val="000000"/>
          <w:szCs w:val="22"/>
          <w:lang w:val="sk-SK" w:eastAsia="en-IN" w:bidi="gu-IN"/>
        </w:rPr>
        <w:t>flutikazónpropionát</w:t>
      </w:r>
      <w:proofErr w:type="spellEnd"/>
      <w:r w:rsidR="003E4182" w:rsidRPr="000A6CA9">
        <w:rPr>
          <w:color w:val="000000"/>
          <w:szCs w:val="22"/>
          <w:lang w:val="sk-SK" w:eastAsia="en-IN" w:bidi="gu-IN"/>
        </w:rPr>
        <w:t>, ktoré majú odlišný spôsob účinku.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Príslušný mechanizmus účinku oboch liečiv je popísané nižšie.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  <w:proofErr w:type="spellStart"/>
      <w:r w:rsidRPr="000A6CA9">
        <w:rPr>
          <w:i/>
          <w:color w:val="000000"/>
          <w:szCs w:val="22"/>
          <w:lang w:val="sk-SK" w:eastAsia="en-IN" w:bidi="gu-IN"/>
        </w:rPr>
        <w:t>Salmeterol</w:t>
      </w:r>
      <w:proofErr w:type="spellEnd"/>
      <w:r w:rsidRPr="000A6CA9">
        <w:rPr>
          <w:i/>
          <w:color w:val="000000"/>
          <w:szCs w:val="22"/>
          <w:lang w:val="sk-SK" w:eastAsia="en-IN" w:bidi="gu-IN"/>
        </w:rPr>
        <w:t>: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proofErr w:type="spellStart"/>
      <w:r w:rsidRPr="000A6CA9">
        <w:rPr>
          <w:color w:val="000000"/>
          <w:szCs w:val="22"/>
          <w:lang w:val="sk-SK" w:eastAsia="en-IN" w:bidi="gu-IN"/>
        </w:rPr>
        <w:t>Salmeterol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je selektívny dlhodobo pôsobiaci (12 hodín) </w:t>
      </w:r>
      <w:proofErr w:type="spellStart"/>
      <w:r w:rsidRPr="000A6CA9">
        <w:rPr>
          <w:color w:val="000000"/>
          <w:szCs w:val="22"/>
          <w:lang w:val="sk-SK" w:eastAsia="en-IN" w:bidi="gu-IN"/>
        </w:rPr>
        <w:t>agonista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beta</w:t>
      </w:r>
      <w:r w:rsidRPr="00E1502E">
        <w:rPr>
          <w:color w:val="000000"/>
          <w:szCs w:val="22"/>
          <w:vertAlign w:val="subscript"/>
          <w:lang w:val="sk-SK" w:eastAsia="en-IN" w:bidi="gu-IN"/>
        </w:rPr>
        <w:t>2</w:t>
      </w:r>
      <w:r>
        <w:rPr>
          <w:color w:val="000000"/>
          <w:szCs w:val="22"/>
          <w:lang w:val="sk-SK" w:eastAsia="en-IN" w:bidi="gu-IN"/>
        </w:rPr>
        <w:t>-</w:t>
      </w:r>
      <w:r w:rsidRPr="000A6CA9">
        <w:rPr>
          <w:color w:val="000000"/>
          <w:szCs w:val="22"/>
          <w:lang w:val="sk-SK" w:eastAsia="en-IN" w:bidi="gu-IN"/>
        </w:rPr>
        <w:t>adrenoceptorov s dlhým bočným reťazcom, ktorý sa viaže na vonkajšiu stranu väzb</w:t>
      </w:r>
      <w:r>
        <w:rPr>
          <w:color w:val="000000"/>
          <w:szCs w:val="22"/>
          <w:lang w:val="sk-SK" w:eastAsia="en-IN" w:bidi="gu-IN"/>
        </w:rPr>
        <w:t>ov</w:t>
      </w:r>
      <w:r w:rsidRPr="000A6CA9">
        <w:rPr>
          <w:color w:val="000000"/>
          <w:szCs w:val="22"/>
          <w:lang w:val="sk-SK" w:eastAsia="en-IN" w:bidi="gu-IN"/>
        </w:rPr>
        <w:t>ého miesta receptoru.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530A1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 xml:space="preserve"> vyvoláva dlhodobejšiu, najmenej 12 hodín trvajúcu </w:t>
      </w:r>
      <w:proofErr w:type="spellStart"/>
      <w:r w:rsidRPr="000A6CA9">
        <w:rPr>
          <w:szCs w:val="22"/>
          <w:lang w:val="sk-SK"/>
        </w:rPr>
        <w:t>bronchodilatáciu</w:t>
      </w:r>
      <w:proofErr w:type="spellEnd"/>
      <w:r w:rsidRPr="000A6CA9">
        <w:rPr>
          <w:szCs w:val="22"/>
          <w:lang w:val="sk-SK"/>
        </w:rPr>
        <w:t xml:space="preserve"> v porovnaní s odporúčanými dávkami konvenčných krátkodobo pôsobiacich beta</w:t>
      </w:r>
      <w:r w:rsidRPr="00E1502E">
        <w:rPr>
          <w:szCs w:val="22"/>
          <w:vertAlign w:val="subscript"/>
          <w:lang w:val="sk-SK"/>
        </w:rPr>
        <w:t>2</w:t>
      </w:r>
      <w:r>
        <w:rPr>
          <w:szCs w:val="22"/>
          <w:lang w:val="sk-SK"/>
        </w:rPr>
        <w:t>-</w:t>
      </w:r>
      <w:r w:rsidRPr="000A6CA9">
        <w:rPr>
          <w:szCs w:val="22"/>
          <w:lang w:val="sk-SK"/>
        </w:rPr>
        <w:t>agonistov.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  <w:proofErr w:type="spellStart"/>
      <w:r w:rsidRPr="000A6CA9">
        <w:rPr>
          <w:i/>
          <w:color w:val="000000"/>
          <w:szCs w:val="22"/>
          <w:lang w:val="sk-SK" w:eastAsia="en-IN" w:bidi="gu-IN"/>
        </w:rPr>
        <w:t>Flutikazónpropionát</w:t>
      </w:r>
      <w:proofErr w:type="spellEnd"/>
      <w:r w:rsidRPr="000A6CA9">
        <w:rPr>
          <w:i/>
          <w:color w:val="000000"/>
          <w:szCs w:val="22"/>
          <w:lang w:val="sk-SK" w:eastAsia="en-IN" w:bidi="gu-IN"/>
        </w:rPr>
        <w:t>: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proofErr w:type="spellStart"/>
      <w:r w:rsidRPr="000A6CA9">
        <w:rPr>
          <w:color w:val="000000"/>
          <w:szCs w:val="22"/>
          <w:lang w:val="sk-SK" w:eastAsia="en-IN" w:bidi="gu-IN"/>
        </w:rPr>
        <w:t>Flutikazónpropionát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podávaný inhalačne v odporúčaných dávkach má protizápalový účinok v</w:t>
      </w:r>
      <w:r>
        <w:rPr>
          <w:color w:val="000000"/>
          <w:szCs w:val="22"/>
          <w:lang w:val="sk-SK" w:eastAsia="en-IN" w:bidi="gu-IN"/>
        </w:rPr>
        <w:t> </w:t>
      </w:r>
      <w:r w:rsidRPr="000A6CA9">
        <w:rPr>
          <w:color w:val="000000"/>
          <w:szCs w:val="22"/>
          <w:lang w:val="sk-SK" w:eastAsia="en-IN" w:bidi="gu-IN"/>
        </w:rPr>
        <w:t>pľúcach</w:t>
      </w:r>
      <w:r>
        <w:rPr>
          <w:color w:val="000000"/>
          <w:szCs w:val="22"/>
          <w:lang w:val="sk-SK" w:eastAsia="en-IN" w:bidi="gu-IN"/>
        </w:rPr>
        <w:t xml:space="preserve"> typický pre </w:t>
      </w:r>
      <w:proofErr w:type="spellStart"/>
      <w:r>
        <w:rPr>
          <w:color w:val="000000"/>
          <w:szCs w:val="22"/>
          <w:lang w:val="sk-SK" w:eastAsia="en-IN" w:bidi="gu-IN"/>
        </w:rPr>
        <w:t>glukokortikoidy</w:t>
      </w:r>
      <w:proofErr w:type="spellEnd"/>
      <w:r w:rsidRPr="000A6CA9">
        <w:rPr>
          <w:color w:val="000000"/>
          <w:szCs w:val="22"/>
          <w:lang w:val="sk-SK" w:eastAsia="en-IN" w:bidi="gu-IN"/>
        </w:rPr>
        <w:t>, výsledkom ktorého je zmiernenie príznakov a </w:t>
      </w:r>
      <w:proofErr w:type="spellStart"/>
      <w:r w:rsidRPr="000A6CA9">
        <w:rPr>
          <w:color w:val="000000"/>
          <w:szCs w:val="22"/>
          <w:lang w:val="sk-SK" w:eastAsia="en-IN" w:bidi="gu-IN"/>
        </w:rPr>
        <w:t>exacerbácií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astmy, s menším počtom nežiaducich účinkov ako pri podávaním systémových </w:t>
      </w:r>
      <w:proofErr w:type="spellStart"/>
      <w:r w:rsidR="00655D4B">
        <w:rPr>
          <w:color w:val="000000"/>
          <w:szCs w:val="22"/>
          <w:lang w:val="sk-SK" w:eastAsia="en-IN" w:bidi="gu-IN"/>
        </w:rPr>
        <w:t>gluko</w:t>
      </w:r>
      <w:r w:rsidRPr="000A6CA9">
        <w:rPr>
          <w:color w:val="000000"/>
          <w:szCs w:val="22"/>
          <w:lang w:val="sk-SK" w:eastAsia="en-IN" w:bidi="gu-IN"/>
        </w:rPr>
        <w:t>kortikosteroidov</w:t>
      </w:r>
      <w:proofErr w:type="spellEnd"/>
      <w:r w:rsidRPr="000A6CA9">
        <w:rPr>
          <w:color w:val="000000"/>
          <w:szCs w:val="22"/>
          <w:lang w:val="sk-SK" w:eastAsia="en-IN" w:bidi="gu-IN"/>
        </w:rPr>
        <w:t>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  <w:r w:rsidRPr="000A6CA9">
        <w:rPr>
          <w:color w:val="000000"/>
          <w:szCs w:val="22"/>
          <w:u w:val="single"/>
          <w:lang w:val="sk-SK" w:eastAsia="en-IN" w:bidi="gu-IN"/>
        </w:rPr>
        <w:t>Klinická účinnosť a bezpečnosť</w:t>
      </w: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en-IN" w:bidi="gu-IN"/>
        </w:rPr>
      </w:pPr>
    </w:p>
    <w:p w:rsidR="003E4182" w:rsidRPr="000A6CA9" w:rsidRDefault="003E4182" w:rsidP="004520DA">
      <w:pPr>
        <w:keepNext/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  <w:r w:rsidRPr="000A6CA9">
        <w:rPr>
          <w:i/>
          <w:color w:val="000000"/>
          <w:szCs w:val="22"/>
          <w:lang w:val="sk-SK" w:eastAsia="en-IN" w:bidi="gu-IN"/>
        </w:rPr>
        <w:t xml:space="preserve">Klinické skúšania so </w:t>
      </w:r>
      <w:proofErr w:type="spellStart"/>
      <w:r w:rsidRPr="000A6CA9">
        <w:rPr>
          <w:i/>
          <w:color w:val="000000"/>
          <w:szCs w:val="22"/>
          <w:lang w:val="sk-SK" w:eastAsia="en-IN" w:bidi="gu-IN"/>
        </w:rPr>
        <w:t>salmeterolom</w:t>
      </w:r>
      <w:proofErr w:type="spellEnd"/>
      <w:r w:rsidRPr="000A6CA9">
        <w:rPr>
          <w:i/>
          <w:color w:val="000000"/>
          <w:szCs w:val="22"/>
          <w:lang w:val="sk-SK" w:eastAsia="en-IN" w:bidi="gu-IN"/>
        </w:rPr>
        <w:t>/</w:t>
      </w:r>
      <w:proofErr w:type="spellStart"/>
      <w:r w:rsidRPr="000A6CA9">
        <w:rPr>
          <w:i/>
          <w:color w:val="000000"/>
          <w:szCs w:val="22"/>
          <w:lang w:val="sk-SK" w:eastAsia="en-IN" w:bidi="gu-IN"/>
        </w:rPr>
        <w:t>flutikazónpropionátom</w:t>
      </w:r>
      <w:proofErr w:type="spellEnd"/>
      <w:r w:rsidRPr="000A6CA9">
        <w:rPr>
          <w:i/>
          <w:color w:val="000000"/>
          <w:szCs w:val="22"/>
          <w:lang w:val="sk-SK" w:eastAsia="en-IN" w:bidi="gu-IN"/>
        </w:rPr>
        <w:t xml:space="preserve"> zamerané na astmu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Dvanásťmesačná štúdia (Dosiahnutie optimálnej kontroly astmy, z angl. </w:t>
      </w:r>
      <w:proofErr w:type="spellStart"/>
      <w:r w:rsidRPr="000A6CA9">
        <w:rPr>
          <w:szCs w:val="22"/>
          <w:lang w:val="sk-SK"/>
        </w:rPr>
        <w:t>Gaining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Optimal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Asthma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ControL</w:t>
      </w:r>
      <w:proofErr w:type="spellEnd"/>
      <w:r w:rsidRPr="000A6CA9">
        <w:rPr>
          <w:szCs w:val="22"/>
          <w:lang w:val="sk-SK"/>
        </w:rPr>
        <w:t>, GOAL) u 3 416 dospelých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dospievajúcich pacientov s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perzistentnou</w:t>
      </w:r>
      <w:proofErr w:type="spellEnd"/>
      <w:r w:rsidRPr="000A6CA9">
        <w:rPr>
          <w:szCs w:val="22"/>
          <w:lang w:val="sk-SK"/>
        </w:rPr>
        <w:t xml:space="preserve"> astmou porovnala bezpečnosť a účinnosť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oproti samotnému inhalačnému </w:t>
      </w:r>
      <w:proofErr w:type="spellStart"/>
      <w:r w:rsidR="00655D4B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 xml:space="preserve"> (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>) s cieľom zistiť, či sú ciele liečby astmy dosiahnuteľné. Liečba bola zintenzívnená každých 12 týždňov až dovtedy, kým sa nedosiahla **</w:t>
      </w:r>
      <w:r w:rsidRPr="000A6CA9">
        <w:rPr>
          <w:i/>
          <w:szCs w:val="22"/>
          <w:lang w:val="sk-SK"/>
        </w:rPr>
        <w:t>úplná kontrola</w:t>
      </w:r>
      <w:r w:rsidRPr="000A6CA9">
        <w:rPr>
          <w:szCs w:val="22"/>
          <w:lang w:val="sk-SK"/>
        </w:rPr>
        <w:t xml:space="preserve"> alebo najvyššia dávka skúšaného lieku.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štúdii GOAL sa dokázalo, že kontrolu astmy dosiahlo viac </w:t>
      </w:r>
      <w:r w:rsidRPr="000A6CA9">
        <w:rPr>
          <w:szCs w:val="22"/>
          <w:lang w:val="sk-SK"/>
        </w:rPr>
        <w:lastRenderedPageBreak/>
        <w:t xml:space="preserve">pacientov liečených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ako pacientov liečených samotným ICS </w:t>
      </w:r>
      <w:r w:rsidRPr="000A6CA9">
        <w:rPr>
          <w:color w:val="000000"/>
          <w:szCs w:val="22"/>
          <w:lang w:val="sk-SK" w:eastAsia="en-IN" w:bidi="gu-IN"/>
        </w:rPr>
        <w:t xml:space="preserve">(inhalačného </w:t>
      </w:r>
      <w:proofErr w:type="spellStart"/>
      <w:r w:rsidR="00655D4B">
        <w:rPr>
          <w:color w:val="000000"/>
          <w:szCs w:val="22"/>
          <w:lang w:val="sk-SK" w:eastAsia="en-IN" w:bidi="gu-IN"/>
        </w:rPr>
        <w:t>gluko</w:t>
      </w:r>
      <w:r w:rsidRPr="000A6CA9">
        <w:rPr>
          <w:color w:val="000000"/>
          <w:szCs w:val="22"/>
          <w:lang w:val="sk-SK" w:eastAsia="en-IN" w:bidi="gu-IN"/>
        </w:rPr>
        <w:t>kortikosteroidu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) </w:t>
      </w:r>
      <w:r w:rsidRPr="000A6CA9">
        <w:rPr>
          <w:szCs w:val="22"/>
          <w:lang w:val="sk-SK"/>
        </w:rPr>
        <w:t>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táto kontrola sa dosiahla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nižšej dávke </w:t>
      </w:r>
      <w:proofErr w:type="spellStart"/>
      <w:r w:rsidR="00655D4B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kortikosteroidu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DC64F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i/>
          <w:color w:val="000000"/>
          <w:szCs w:val="22"/>
          <w:lang w:val="sk-SK"/>
        </w:rPr>
        <w:t>*</w:t>
      </w:r>
      <w:r w:rsidRPr="000A6CA9">
        <w:rPr>
          <w:i/>
          <w:szCs w:val="22"/>
          <w:lang w:val="sk-SK"/>
        </w:rPr>
        <w:t>Dobrá kontrola</w:t>
      </w:r>
      <w:r w:rsidRPr="000A6CA9">
        <w:rPr>
          <w:szCs w:val="22"/>
          <w:lang w:val="sk-SK"/>
        </w:rPr>
        <w:t xml:space="preserve"> astmy bola dosiahnutá rýchlejšie so</w:t>
      </w:r>
      <w:r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ako </w:t>
      </w:r>
      <w:r w:rsidRPr="000A6CA9">
        <w:rPr>
          <w:szCs w:val="22"/>
          <w:lang w:val="sk-SK"/>
        </w:rPr>
        <w:t>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samotnom ICS. Dĺžka liečby potrebná na dosiahnutie prvého celého týždňa s </w:t>
      </w:r>
      <w:r w:rsidRPr="000A6CA9">
        <w:rPr>
          <w:i/>
          <w:szCs w:val="22"/>
          <w:lang w:val="sk-SK"/>
        </w:rPr>
        <w:t>dobrou kontrolou</w:t>
      </w:r>
      <w:r w:rsidRPr="000A6CA9">
        <w:rPr>
          <w:szCs w:val="22"/>
          <w:lang w:val="sk-SK"/>
        </w:rPr>
        <w:t xml:space="preserve">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50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 jedincov bola 16 dní v skupine so</w:t>
      </w:r>
      <w:r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v porovnaní s 37 dňami v skupine s ICS. V podskupine astmatikov bez predošlej liečby </w:t>
      </w:r>
      <w:proofErr w:type="spellStart"/>
      <w:r w:rsidRPr="000A6CA9">
        <w:rPr>
          <w:szCs w:val="22"/>
          <w:lang w:val="sk-SK"/>
        </w:rPr>
        <w:t>steroidmi</w:t>
      </w:r>
      <w:proofErr w:type="spellEnd"/>
      <w:r w:rsidRPr="000A6CA9">
        <w:rPr>
          <w:szCs w:val="22"/>
          <w:lang w:val="sk-SK"/>
        </w:rPr>
        <w:t xml:space="preserve"> bola dĺžka liečby potrebná na dosiahnutie celého týždňa s </w:t>
      </w:r>
      <w:r w:rsidRPr="000A6CA9">
        <w:rPr>
          <w:i/>
          <w:szCs w:val="22"/>
          <w:lang w:val="sk-SK"/>
        </w:rPr>
        <w:t>dobrou kontrolou</w:t>
      </w:r>
      <w:r w:rsidRPr="000A6CA9">
        <w:rPr>
          <w:szCs w:val="22"/>
          <w:lang w:val="sk-SK"/>
        </w:rPr>
        <w:t xml:space="preserve"> 16 dní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liečbe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v porovnaní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23 dňami pri liečbe ICS.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 xml:space="preserve">Celkové výsledky štúdie ukázali: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9"/>
        <w:gridCol w:w="1380"/>
        <w:gridCol w:w="1380"/>
        <w:gridCol w:w="1380"/>
        <w:gridCol w:w="1380"/>
      </w:tblGrid>
      <w:tr w:rsidR="003E4182" w:rsidRPr="005200D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3E4182" w:rsidRPr="000A6CA9" w:rsidRDefault="003E4182" w:rsidP="003214E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>
              <w:rPr>
                <w:b/>
                <w:color w:val="000000"/>
                <w:szCs w:val="22"/>
                <w:lang w:val="sk-SK" w:eastAsia="en-IN" w:bidi="gu-IN"/>
              </w:rPr>
              <w:t xml:space="preserve">   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Percento pacientov, ktorí počas 12 mesiacov dosiahli *dobrú kontrolu (DK) a **úplnú kontrolu (ÚK) astmy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proofErr w:type="spellStart"/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Salmeterol</w:t>
            </w:r>
            <w:proofErr w:type="spellEnd"/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/FP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FP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Liečba pred štúdiou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DK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ÚK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AF2D75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DK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AF2D75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ÚK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Bez ICS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(samotné </w:t>
            </w: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agonisty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beta-adrenergných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receptorov s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krátkodobým účinkom, SABA)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78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50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70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40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Nízka dávka ICS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(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≤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500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µg </w:t>
            </w: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beklometazóndipropionátu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(BDP) alebo ekvivalent/denne)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75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44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60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28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Stredná dávka ICS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(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&gt;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500 až 1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000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µg </w:t>
            </w: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beklometazóndipropionátu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(BDP) alebo ekvivalent/denne)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62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29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47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16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</w:tr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Súhrnné výsledky zo všetkých 3</w:t>
            </w:r>
            <w:r>
              <w:rPr>
                <w:b/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úrovní liečby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71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41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59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28</w:t>
            </w:r>
            <w:r>
              <w:rPr>
                <w:color w:val="000000"/>
                <w:szCs w:val="22"/>
                <w:lang w:val="sk-SK" w:eastAsia="en-IN" w:bidi="gu-IN"/>
              </w:rPr>
              <w:t> 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%</w:t>
            </w:r>
          </w:p>
        </w:tc>
      </w:tr>
    </w:tbl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*</w:t>
      </w:r>
      <w:r w:rsidRPr="000A6CA9">
        <w:rPr>
          <w:snapToGrid w:val="0"/>
          <w:szCs w:val="22"/>
          <w:lang w:val="sk-SK"/>
        </w:rPr>
        <w:t xml:space="preserve">Dobrá kontrola astmy; </w:t>
      </w:r>
      <w:r>
        <w:rPr>
          <w:color w:val="000000"/>
          <w:szCs w:val="22"/>
          <w:lang w:val="sk-SK" w:eastAsia="en-IN" w:bidi="gu-IN"/>
        </w:rPr>
        <w:t xml:space="preserve">≤ </w:t>
      </w:r>
      <w:r w:rsidRPr="000A6CA9">
        <w:rPr>
          <w:color w:val="000000"/>
          <w:szCs w:val="22"/>
          <w:lang w:val="sk-SK" w:eastAsia="en-IN" w:bidi="gu-IN"/>
        </w:rPr>
        <w:t>2</w:t>
      </w:r>
      <w:r w:rsidRPr="000A6CA9">
        <w:rPr>
          <w:snapToGrid w:val="0"/>
          <w:szCs w:val="22"/>
          <w:lang w:val="sk-SK"/>
        </w:rPr>
        <w:t xml:space="preserve"> dni so skóre príznakov </w:t>
      </w:r>
      <w:r>
        <w:rPr>
          <w:color w:val="000000"/>
          <w:szCs w:val="22"/>
          <w:lang w:val="sk-SK" w:eastAsia="en-IN" w:bidi="gu-IN"/>
        </w:rPr>
        <w:t xml:space="preserve">&gt; </w:t>
      </w:r>
      <w:r w:rsidRPr="000A6CA9">
        <w:rPr>
          <w:color w:val="000000"/>
          <w:szCs w:val="22"/>
          <w:lang w:val="sk-SK" w:eastAsia="en-IN" w:bidi="gu-IN"/>
        </w:rPr>
        <w:t xml:space="preserve">1 (skóre príznakov 1 je definované ako „príznaky počas krátkej doby dňa“), </w:t>
      </w:r>
      <w:r w:rsidRPr="000A6CA9">
        <w:rPr>
          <w:snapToGrid w:val="0"/>
          <w:szCs w:val="22"/>
          <w:lang w:val="sk-SK"/>
        </w:rPr>
        <w:t xml:space="preserve">použitie SABA počas </w:t>
      </w:r>
      <w:r>
        <w:rPr>
          <w:color w:val="000000"/>
          <w:szCs w:val="22"/>
          <w:lang w:val="sk-SK" w:eastAsia="en-IN" w:bidi="gu-IN"/>
        </w:rPr>
        <w:t xml:space="preserve">≤ </w:t>
      </w:r>
      <w:r w:rsidRPr="000A6CA9">
        <w:rPr>
          <w:color w:val="000000"/>
          <w:szCs w:val="22"/>
          <w:lang w:val="sk-SK" w:eastAsia="en-IN" w:bidi="gu-IN"/>
        </w:rPr>
        <w:t>2</w:t>
      </w:r>
      <w:r w:rsidRPr="000A6CA9">
        <w:rPr>
          <w:snapToGrid w:val="0"/>
          <w:szCs w:val="22"/>
          <w:lang w:val="sk-SK"/>
        </w:rPr>
        <w:t xml:space="preserve"> dní a </w:t>
      </w:r>
      <w:r>
        <w:rPr>
          <w:color w:val="000000"/>
          <w:szCs w:val="22"/>
          <w:lang w:val="sk-SK" w:eastAsia="en-IN" w:bidi="gu-IN"/>
        </w:rPr>
        <w:t xml:space="preserve">≤ </w:t>
      </w:r>
      <w:r w:rsidRPr="000A6CA9">
        <w:rPr>
          <w:color w:val="000000"/>
          <w:szCs w:val="22"/>
          <w:lang w:val="sk-SK" w:eastAsia="en-IN" w:bidi="gu-IN"/>
        </w:rPr>
        <w:t>4</w:t>
      </w:r>
      <w:r w:rsidRPr="000A6CA9">
        <w:rPr>
          <w:snapToGrid w:val="0"/>
          <w:szCs w:val="22"/>
          <w:lang w:val="sk-SK"/>
        </w:rPr>
        <w:t xml:space="preserve"> príležitostí/týždeň, </w:t>
      </w:r>
      <w:r>
        <w:rPr>
          <w:snapToGrid w:val="0"/>
          <w:szCs w:val="22"/>
          <w:lang w:val="sk-SK"/>
        </w:rPr>
        <w:t xml:space="preserve">≥ </w:t>
      </w:r>
      <w:r w:rsidRPr="000A6CA9">
        <w:rPr>
          <w:snapToGrid w:val="0"/>
          <w:szCs w:val="22"/>
          <w:lang w:val="sk-SK"/>
        </w:rPr>
        <w:t>80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 xml:space="preserve">% predpokladaného </w:t>
      </w:r>
      <w:r w:rsidRPr="000A6CA9">
        <w:rPr>
          <w:szCs w:val="22"/>
          <w:lang w:val="sk-SK"/>
        </w:rPr>
        <w:t>ranného vrcholového výdychového prietoku</w:t>
      </w:r>
      <w:r w:rsidRPr="000A6CA9">
        <w:rPr>
          <w:snapToGrid w:val="0"/>
          <w:szCs w:val="22"/>
          <w:lang w:val="sk-SK"/>
        </w:rPr>
        <w:t>, bez prebúdzania sa v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>noci, bez</w:t>
      </w:r>
      <w:r>
        <w:rPr>
          <w:snapToGrid w:val="0"/>
          <w:szCs w:val="22"/>
          <w:lang w:val="sk-SK"/>
        </w:rPr>
        <w:t xml:space="preserve"> </w:t>
      </w:r>
      <w:proofErr w:type="spellStart"/>
      <w:r w:rsidRPr="000A6CA9">
        <w:rPr>
          <w:snapToGrid w:val="0"/>
          <w:szCs w:val="22"/>
          <w:lang w:val="sk-SK"/>
        </w:rPr>
        <w:t>exacerbácií</w:t>
      </w:r>
      <w:proofErr w:type="spellEnd"/>
      <w:r w:rsidRPr="000A6CA9">
        <w:rPr>
          <w:snapToGrid w:val="0"/>
          <w:szCs w:val="22"/>
          <w:lang w:val="sk-SK"/>
        </w:rPr>
        <w:t xml:space="preserve"> a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 xml:space="preserve">bez </w:t>
      </w:r>
      <w:r>
        <w:rPr>
          <w:snapToGrid w:val="0"/>
          <w:szCs w:val="22"/>
          <w:lang w:val="sk-SK"/>
        </w:rPr>
        <w:t>nežiaducich</w:t>
      </w:r>
      <w:r w:rsidRPr="000A6CA9">
        <w:rPr>
          <w:snapToGrid w:val="0"/>
          <w:szCs w:val="22"/>
          <w:lang w:val="sk-SK"/>
        </w:rPr>
        <w:t xml:space="preserve"> účinkov vyžadujúcich zmenu liečby</w:t>
      </w:r>
      <w:r>
        <w:rPr>
          <w:snapToGrid w:val="0"/>
          <w:szCs w:val="22"/>
          <w:lang w:val="sk-SK"/>
        </w:rPr>
        <w:t>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**</w:t>
      </w:r>
      <w:r w:rsidRPr="000A6CA9">
        <w:rPr>
          <w:snapToGrid w:val="0"/>
          <w:szCs w:val="22"/>
          <w:lang w:val="sk-SK"/>
        </w:rPr>
        <w:t xml:space="preserve">Úplná kontrola astmy; bez príznakov, bez použitia SABA, </w:t>
      </w:r>
      <w:r>
        <w:rPr>
          <w:snapToGrid w:val="0"/>
          <w:szCs w:val="22"/>
          <w:lang w:val="sk-SK"/>
        </w:rPr>
        <w:t xml:space="preserve">≥ </w:t>
      </w:r>
      <w:r w:rsidRPr="000A6CA9">
        <w:rPr>
          <w:snapToGrid w:val="0"/>
          <w:szCs w:val="22"/>
          <w:lang w:val="sk-SK"/>
        </w:rPr>
        <w:t>80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 xml:space="preserve">% predpokladaného </w:t>
      </w:r>
      <w:r w:rsidRPr="000A6CA9">
        <w:rPr>
          <w:szCs w:val="22"/>
          <w:lang w:val="sk-SK"/>
        </w:rPr>
        <w:t>ranného vrcholového výdychového prietoku</w:t>
      </w:r>
      <w:r w:rsidRPr="000A6CA9">
        <w:rPr>
          <w:snapToGrid w:val="0"/>
          <w:szCs w:val="22"/>
          <w:lang w:val="sk-SK"/>
        </w:rPr>
        <w:t>, bez prebúdzania sa v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 xml:space="preserve">noci, bez </w:t>
      </w:r>
      <w:proofErr w:type="spellStart"/>
      <w:r w:rsidRPr="000A6CA9">
        <w:rPr>
          <w:snapToGrid w:val="0"/>
          <w:szCs w:val="22"/>
          <w:lang w:val="sk-SK"/>
        </w:rPr>
        <w:t>exacerbácií</w:t>
      </w:r>
      <w:proofErr w:type="spellEnd"/>
      <w:r w:rsidRPr="000A6CA9">
        <w:rPr>
          <w:snapToGrid w:val="0"/>
          <w:szCs w:val="22"/>
          <w:lang w:val="sk-SK"/>
        </w:rPr>
        <w:t xml:space="preserve"> a</w:t>
      </w:r>
      <w:r>
        <w:rPr>
          <w:snapToGrid w:val="0"/>
          <w:szCs w:val="22"/>
          <w:lang w:val="sk-SK"/>
        </w:rPr>
        <w:t> </w:t>
      </w:r>
      <w:r w:rsidRPr="000A6CA9">
        <w:rPr>
          <w:snapToGrid w:val="0"/>
          <w:szCs w:val="22"/>
          <w:lang w:val="sk-SK"/>
        </w:rPr>
        <w:t xml:space="preserve">bez </w:t>
      </w:r>
      <w:r>
        <w:rPr>
          <w:snapToGrid w:val="0"/>
          <w:szCs w:val="22"/>
          <w:lang w:val="sk-SK"/>
        </w:rPr>
        <w:t>nežiaducic</w:t>
      </w:r>
      <w:r w:rsidRPr="000A6CA9">
        <w:rPr>
          <w:snapToGrid w:val="0"/>
          <w:szCs w:val="22"/>
          <w:lang w:val="sk-SK"/>
        </w:rPr>
        <w:t>h účinkov vyžadujúcich zmenu liečby</w:t>
      </w:r>
      <w:r>
        <w:rPr>
          <w:snapToGrid w:val="0"/>
          <w:szCs w:val="22"/>
          <w:lang w:val="sk-SK"/>
        </w:rPr>
        <w:t>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Výsledky tejto štúdie naznačujú, že 50/100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dvakrát denne možno považovať za </w:t>
      </w:r>
      <w:r>
        <w:rPr>
          <w:szCs w:val="22"/>
          <w:lang w:val="sk-SK"/>
        </w:rPr>
        <w:t>za</w:t>
      </w:r>
      <w:r w:rsidRPr="000A6CA9">
        <w:rPr>
          <w:szCs w:val="22"/>
          <w:lang w:val="sk-SK"/>
        </w:rPr>
        <w:t>čiatočnú udržiavaciu liečbu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pacientov so stredne ťažkou perzistujúcou astmou,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ktorých je rýchla kontrola astmy považovaná za nevyhnutnú (pozri časť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4.2).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Dvojito zaslepená, </w:t>
      </w:r>
      <w:proofErr w:type="spellStart"/>
      <w:r w:rsidRPr="000A6CA9">
        <w:rPr>
          <w:szCs w:val="22"/>
          <w:lang w:val="sk-SK"/>
        </w:rPr>
        <w:t>randomizovaná</w:t>
      </w:r>
      <w:proofErr w:type="spellEnd"/>
      <w:r w:rsidRPr="000A6CA9">
        <w:rPr>
          <w:szCs w:val="22"/>
          <w:lang w:val="sk-SK"/>
        </w:rPr>
        <w:t xml:space="preserve"> štúdia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paralelnými skupinami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318 pacientov s </w:t>
      </w:r>
      <w:proofErr w:type="spellStart"/>
      <w:r w:rsidRPr="000A6CA9">
        <w:rPr>
          <w:szCs w:val="22"/>
          <w:lang w:val="sk-SK"/>
        </w:rPr>
        <w:t>perzistentnou</w:t>
      </w:r>
      <w:proofErr w:type="spellEnd"/>
      <w:r w:rsidRPr="000A6CA9">
        <w:rPr>
          <w:szCs w:val="22"/>
          <w:lang w:val="sk-SK"/>
        </w:rPr>
        <w:t xml:space="preserve"> astmou vo veku </w:t>
      </w:r>
      <w:r>
        <w:rPr>
          <w:szCs w:val="22"/>
          <w:lang w:val="sk-SK"/>
        </w:rPr>
        <w:t xml:space="preserve">≥ </w:t>
      </w:r>
      <w:r w:rsidRPr="000A6CA9">
        <w:rPr>
          <w:szCs w:val="22"/>
          <w:lang w:val="sk-SK"/>
        </w:rPr>
        <w:t>18 rokov hodnotila bezpečnosť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znášanlivosť podávania dvoch inhalácií (dvojnásobná dávka)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dvakrát denne počas dvoch týždňov.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štúdii sa dokázalo, že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zdvojnásobenie počtu inhalácií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každej sile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počas až 14 dní viedlo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malému zvýšeniu výskytu nežiaducich udalostí spojených s </w:t>
      </w:r>
      <w:proofErr w:type="spellStart"/>
      <w:r w:rsidRPr="000A6CA9">
        <w:rPr>
          <w:szCs w:val="22"/>
          <w:lang w:val="sk-SK"/>
        </w:rPr>
        <w:t>beta</w:t>
      </w:r>
      <w:r w:rsidRPr="000A6CA9">
        <w:rPr>
          <w:szCs w:val="22"/>
          <w:lang w:val="sk-SK"/>
        </w:rPr>
        <w:noBreakHyphen/>
        <w:t>agonistom</w:t>
      </w:r>
      <w:proofErr w:type="spellEnd"/>
      <w:r w:rsidRPr="000A6CA9">
        <w:rPr>
          <w:szCs w:val="22"/>
          <w:lang w:val="sk-SK"/>
        </w:rPr>
        <w:t xml:space="preserve"> (</w:t>
      </w:r>
      <w:proofErr w:type="spellStart"/>
      <w:r w:rsidRPr="000A6CA9">
        <w:rPr>
          <w:szCs w:val="22"/>
          <w:lang w:val="sk-SK"/>
        </w:rPr>
        <w:t>tremor</w:t>
      </w:r>
      <w:proofErr w:type="spellEnd"/>
      <w:r w:rsidRPr="000A6CA9">
        <w:rPr>
          <w:szCs w:val="22"/>
          <w:lang w:val="sk-SK"/>
        </w:rPr>
        <w:t>; 1 pacient [1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%] oproti 0, </w:t>
      </w:r>
      <w:proofErr w:type="spellStart"/>
      <w:r w:rsidRPr="000A6CA9">
        <w:rPr>
          <w:szCs w:val="22"/>
          <w:lang w:val="sk-SK"/>
        </w:rPr>
        <w:t>palpitácie</w:t>
      </w:r>
      <w:proofErr w:type="spellEnd"/>
      <w:r w:rsidRPr="000A6CA9">
        <w:rPr>
          <w:szCs w:val="22"/>
          <w:lang w:val="sk-SK"/>
        </w:rPr>
        <w:t>; 6 [3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 oproti 1 [</w:t>
      </w:r>
      <w:r>
        <w:rPr>
          <w:szCs w:val="22"/>
          <w:lang w:val="sk-SK"/>
        </w:rPr>
        <w:t>&lt;</w:t>
      </w:r>
      <w:r w:rsidRPr="000A6CA9">
        <w:rPr>
          <w:szCs w:val="22"/>
          <w:lang w:val="sk-SK"/>
        </w:rPr>
        <w:t>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%], svalové kŕče; 6 [3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 oproti 1 [</w:t>
      </w:r>
      <w:r>
        <w:rPr>
          <w:szCs w:val="22"/>
          <w:lang w:val="sk-SK"/>
        </w:rPr>
        <w:t>&lt;</w:t>
      </w:r>
      <w:r w:rsidRPr="000A6CA9">
        <w:rPr>
          <w:szCs w:val="22"/>
          <w:lang w:val="sk-SK"/>
        </w:rPr>
        <w:t>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%]) a k podobnému výskytu nežiaducich udalostí spojených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inhalačným </w:t>
      </w:r>
      <w:proofErr w:type="spellStart"/>
      <w:r w:rsidR="00655D4B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kortikosteroidom</w:t>
      </w:r>
      <w:proofErr w:type="spellEnd"/>
      <w:r w:rsidRPr="000A6CA9">
        <w:rPr>
          <w:szCs w:val="22"/>
          <w:lang w:val="sk-SK"/>
        </w:rPr>
        <w:t xml:space="preserve"> (napr. </w:t>
      </w:r>
      <w:proofErr w:type="spellStart"/>
      <w:r w:rsidRPr="000A6CA9">
        <w:rPr>
          <w:szCs w:val="22"/>
          <w:lang w:val="sk-SK"/>
        </w:rPr>
        <w:t>kandidóza</w:t>
      </w:r>
      <w:proofErr w:type="spellEnd"/>
      <w:r w:rsidRPr="000A6CA9">
        <w:rPr>
          <w:szCs w:val="22"/>
          <w:lang w:val="sk-SK"/>
        </w:rPr>
        <w:t xml:space="preserve"> ústnej dutiny; 6 [6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 oproti 16 [8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%], zachrípnutie; 2 [2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%] oproti 4 [2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</w:t>
      </w:r>
      <w:r>
        <w:rPr>
          <w:szCs w:val="22"/>
          <w:lang w:val="sk-SK"/>
        </w:rPr>
        <w:t>]) v </w:t>
      </w:r>
      <w:r w:rsidRPr="000A6CA9">
        <w:rPr>
          <w:szCs w:val="22"/>
          <w:lang w:val="sk-SK"/>
        </w:rPr>
        <w:t>porovnaní s jednou inhaláciou dvakrát denne. Malé zvýšenie výskytu nežiaducich udalostí spojených s </w:t>
      </w:r>
      <w:proofErr w:type="spellStart"/>
      <w:r w:rsidRPr="000A6CA9">
        <w:rPr>
          <w:szCs w:val="22"/>
          <w:lang w:val="sk-SK"/>
        </w:rPr>
        <w:t>beta</w:t>
      </w:r>
      <w:r w:rsidRPr="000A6CA9">
        <w:rPr>
          <w:szCs w:val="22"/>
          <w:lang w:val="sk-SK"/>
        </w:rPr>
        <w:noBreakHyphen/>
        <w:t>agonistom</w:t>
      </w:r>
      <w:proofErr w:type="spellEnd"/>
      <w:r w:rsidRPr="000A6CA9">
        <w:rPr>
          <w:szCs w:val="22"/>
          <w:lang w:val="sk-SK"/>
        </w:rPr>
        <w:t xml:space="preserve"> sa musí vziať do úvahy, ak lekár uvažuje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zdvojnásobení dávky </w:t>
      </w:r>
      <w:proofErr w:type="spellStart"/>
      <w:r w:rsidRPr="000A6CA9">
        <w:rPr>
          <w:szCs w:val="22"/>
          <w:lang w:val="sk-SK"/>
        </w:rPr>
        <w:lastRenderedPageBreak/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dospelých pacientov, ktorí si navyše vyžadujú krátkodobú (až 14</w:t>
      </w:r>
      <w:r w:rsidRPr="000A6CA9">
        <w:rPr>
          <w:szCs w:val="22"/>
          <w:lang w:val="sk-SK"/>
        </w:rPr>
        <w:noBreakHyphen/>
        <w:t xml:space="preserve">dňovú) liečbu inhalačným </w:t>
      </w:r>
      <w:proofErr w:type="spellStart"/>
      <w:r w:rsidR="00655D4B">
        <w:rPr>
          <w:szCs w:val="22"/>
          <w:lang w:val="sk-SK"/>
        </w:rPr>
        <w:t>gluko</w:t>
      </w:r>
      <w:r w:rsidRPr="000A6CA9">
        <w:rPr>
          <w:szCs w:val="22"/>
          <w:lang w:val="sk-SK"/>
        </w:rPr>
        <w:t>kortikosteroidom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AF3919">
      <w:pPr>
        <w:tabs>
          <w:tab w:val="clear" w:pos="567"/>
        </w:tabs>
        <w:spacing w:line="240" w:lineRule="auto"/>
        <w:rPr>
          <w:i/>
          <w:color w:val="000000"/>
          <w:szCs w:val="22"/>
          <w:lang w:val="sk-SK" w:eastAsia="en-IN" w:bidi="gu-IN"/>
        </w:rPr>
      </w:pPr>
      <w:proofErr w:type="spellStart"/>
      <w:r w:rsidRPr="000A6CA9">
        <w:rPr>
          <w:bCs/>
          <w:i/>
          <w:szCs w:val="22"/>
          <w:lang w:val="sk-SK"/>
        </w:rPr>
        <w:t>Multicentrická</w:t>
      </w:r>
      <w:proofErr w:type="spellEnd"/>
      <w:r w:rsidRPr="000A6CA9">
        <w:rPr>
          <w:bCs/>
          <w:i/>
          <w:szCs w:val="22"/>
          <w:lang w:val="sk-SK"/>
        </w:rPr>
        <w:t xml:space="preserve"> výskumná štúdia skúmajúca </w:t>
      </w:r>
      <w:proofErr w:type="spellStart"/>
      <w:r w:rsidRPr="000A6CA9">
        <w:rPr>
          <w:bCs/>
          <w:i/>
          <w:szCs w:val="22"/>
          <w:lang w:val="sk-SK"/>
        </w:rPr>
        <w:t>salmeterol</w:t>
      </w:r>
      <w:proofErr w:type="spellEnd"/>
      <w:r w:rsidRPr="000A6CA9">
        <w:rPr>
          <w:bCs/>
          <w:i/>
          <w:szCs w:val="22"/>
          <w:lang w:val="sk-SK"/>
        </w:rPr>
        <w:t xml:space="preserve"> na liečbu astmy (z</w:t>
      </w:r>
      <w:r>
        <w:rPr>
          <w:bCs/>
          <w:i/>
          <w:szCs w:val="22"/>
          <w:lang w:val="sk-SK"/>
        </w:rPr>
        <w:t> </w:t>
      </w:r>
      <w:r w:rsidRPr="000A6CA9">
        <w:rPr>
          <w:bCs/>
          <w:i/>
          <w:szCs w:val="22"/>
          <w:lang w:val="sk-SK"/>
        </w:rPr>
        <w:t xml:space="preserve">angl. </w:t>
      </w:r>
      <w:proofErr w:type="spellStart"/>
      <w:r w:rsidRPr="000A6CA9">
        <w:rPr>
          <w:bCs/>
          <w:i/>
          <w:szCs w:val="22"/>
          <w:lang w:val="sk-SK"/>
        </w:rPr>
        <w:t>Salmeterol</w:t>
      </w:r>
      <w:proofErr w:type="spellEnd"/>
      <w:r w:rsidRPr="000A6CA9">
        <w:rPr>
          <w:bCs/>
          <w:i/>
          <w:szCs w:val="22"/>
          <w:lang w:val="sk-SK"/>
        </w:rPr>
        <w:t xml:space="preserve"> </w:t>
      </w:r>
      <w:proofErr w:type="spellStart"/>
      <w:r w:rsidRPr="000A6CA9">
        <w:rPr>
          <w:bCs/>
          <w:i/>
          <w:szCs w:val="22"/>
          <w:lang w:val="sk-SK"/>
        </w:rPr>
        <w:t>Multi-center</w:t>
      </w:r>
      <w:proofErr w:type="spellEnd"/>
      <w:r w:rsidRPr="000A6CA9">
        <w:rPr>
          <w:bCs/>
          <w:i/>
          <w:szCs w:val="22"/>
          <w:lang w:val="sk-SK"/>
        </w:rPr>
        <w:t xml:space="preserve"> </w:t>
      </w:r>
      <w:proofErr w:type="spellStart"/>
      <w:r w:rsidRPr="000A6CA9">
        <w:rPr>
          <w:bCs/>
          <w:i/>
          <w:szCs w:val="22"/>
          <w:lang w:val="sk-SK"/>
        </w:rPr>
        <w:t>Asthma</w:t>
      </w:r>
      <w:proofErr w:type="spellEnd"/>
      <w:r w:rsidRPr="000A6CA9">
        <w:rPr>
          <w:bCs/>
          <w:i/>
          <w:szCs w:val="22"/>
          <w:lang w:val="sk-SK"/>
        </w:rPr>
        <w:t xml:space="preserve"> </w:t>
      </w:r>
      <w:proofErr w:type="spellStart"/>
      <w:r w:rsidRPr="000A6CA9">
        <w:rPr>
          <w:bCs/>
          <w:i/>
          <w:szCs w:val="22"/>
          <w:lang w:val="sk-SK"/>
        </w:rPr>
        <w:t>Research</w:t>
      </w:r>
      <w:proofErr w:type="spellEnd"/>
      <w:r w:rsidRPr="000A6CA9">
        <w:rPr>
          <w:bCs/>
          <w:i/>
          <w:szCs w:val="22"/>
          <w:lang w:val="sk-SK"/>
        </w:rPr>
        <w:t xml:space="preserve"> Trial, SMART</w:t>
      </w:r>
      <w:r w:rsidRPr="000A6CA9">
        <w:rPr>
          <w:i/>
          <w:color w:val="000000"/>
          <w:szCs w:val="22"/>
          <w:lang w:val="sk-SK" w:eastAsia="en-IN" w:bidi="gu-IN"/>
        </w:rPr>
        <w:t>)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0A6CA9">
        <w:rPr>
          <w:iCs/>
          <w:szCs w:val="22"/>
          <w:lang w:val="sk-SK"/>
        </w:rPr>
        <w:t xml:space="preserve">SMART bola </w:t>
      </w:r>
      <w:proofErr w:type="spellStart"/>
      <w:r w:rsidRPr="000A6CA9">
        <w:rPr>
          <w:iCs/>
          <w:szCs w:val="22"/>
          <w:lang w:val="sk-SK"/>
        </w:rPr>
        <w:t>multicentrická</w:t>
      </w:r>
      <w:proofErr w:type="spellEnd"/>
      <w:r w:rsidRPr="000A6CA9">
        <w:rPr>
          <w:iCs/>
          <w:szCs w:val="22"/>
          <w:lang w:val="sk-SK"/>
        </w:rPr>
        <w:t xml:space="preserve">, </w:t>
      </w:r>
      <w:proofErr w:type="spellStart"/>
      <w:r w:rsidRPr="000A6CA9">
        <w:rPr>
          <w:iCs/>
          <w:szCs w:val="22"/>
          <w:lang w:val="sk-SK"/>
        </w:rPr>
        <w:t>randomizovaná</w:t>
      </w:r>
      <w:proofErr w:type="spellEnd"/>
      <w:r w:rsidRPr="000A6CA9">
        <w:rPr>
          <w:iCs/>
          <w:szCs w:val="22"/>
          <w:lang w:val="sk-SK"/>
        </w:rPr>
        <w:t xml:space="preserve">, dvojito zaslepená, </w:t>
      </w:r>
      <w:proofErr w:type="spellStart"/>
      <w:r w:rsidRPr="000A6CA9">
        <w:rPr>
          <w:iCs/>
          <w:szCs w:val="22"/>
          <w:lang w:val="sk-SK"/>
        </w:rPr>
        <w:t>placebom</w:t>
      </w:r>
      <w:proofErr w:type="spellEnd"/>
      <w:r w:rsidRPr="000A6CA9">
        <w:rPr>
          <w:iCs/>
          <w:szCs w:val="22"/>
          <w:lang w:val="sk-SK"/>
        </w:rPr>
        <w:t xml:space="preserve"> kontrolovaná, 28</w:t>
      </w:r>
      <w:r w:rsidRPr="000A6CA9">
        <w:rPr>
          <w:iCs/>
          <w:szCs w:val="22"/>
          <w:lang w:val="sk-SK"/>
        </w:rPr>
        <w:noBreakHyphen/>
        <w:t>týždňová štúdia s paralelnými skupinami v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USA, v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 xml:space="preserve">ktorej bolo 13 176 pacientov </w:t>
      </w:r>
      <w:proofErr w:type="spellStart"/>
      <w:r w:rsidRPr="000A6CA9">
        <w:rPr>
          <w:iCs/>
          <w:szCs w:val="22"/>
          <w:lang w:val="sk-SK"/>
        </w:rPr>
        <w:t>randomizovaných</w:t>
      </w:r>
      <w:proofErr w:type="spellEnd"/>
      <w:r w:rsidRPr="000A6CA9">
        <w:rPr>
          <w:iCs/>
          <w:szCs w:val="22"/>
          <w:lang w:val="sk-SK"/>
        </w:rPr>
        <w:t xml:space="preserve"> do skupiny so </w:t>
      </w:r>
      <w:proofErr w:type="spellStart"/>
      <w:r w:rsidRPr="000A6CA9">
        <w:rPr>
          <w:iCs/>
          <w:szCs w:val="22"/>
          <w:lang w:val="sk-SK"/>
        </w:rPr>
        <w:t>salmeterolom</w:t>
      </w:r>
      <w:proofErr w:type="spellEnd"/>
      <w:r w:rsidRPr="000A6CA9">
        <w:rPr>
          <w:iCs/>
          <w:szCs w:val="22"/>
          <w:lang w:val="sk-SK"/>
        </w:rPr>
        <w:t xml:space="preserve"> (50 µg dvakrát denne) a 13 179 pacientov do</w:t>
      </w:r>
      <w:r>
        <w:rPr>
          <w:iCs/>
          <w:szCs w:val="22"/>
          <w:lang w:val="sk-SK"/>
        </w:rPr>
        <w:t xml:space="preserve"> </w:t>
      </w:r>
      <w:r w:rsidRPr="000A6CA9">
        <w:rPr>
          <w:iCs/>
          <w:szCs w:val="22"/>
          <w:lang w:val="sk-SK"/>
        </w:rPr>
        <w:t>skupiny s</w:t>
      </w:r>
      <w:r>
        <w:rPr>
          <w:iCs/>
          <w:szCs w:val="22"/>
          <w:lang w:val="sk-SK"/>
        </w:rPr>
        <w:t> </w:t>
      </w:r>
      <w:proofErr w:type="spellStart"/>
      <w:r w:rsidRPr="000A6CA9">
        <w:rPr>
          <w:iCs/>
          <w:szCs w:val="22"/>
          <w:lang w:val="sk-SK"/>
        </w:rPr>
        <w:t>placebom</w:t>
      </w:r>
      <w:proofErr w:type="spellEnd"/>
      <w:r w:rsidRPr="000A6CA9">
        <w:rPr>
          <w:iCs/>
          <w:szCs w:val="22"/>
          <w:lang w:val="sk-SK"/>
        </w:rPr>
        <w:t xml:space="preserve">, ktoré boli pridané k obvyklej terapii astmy pacientov. Pacienti boli zaradení, ak boli vo veku </w:t>
      </w:r>
      <w:r>
        <w:rPr>
          <w:iCs/>
          <w:szCs w:val="22"/>
          <w:lang w:val="sk-SK"/>
        </w:rPr>
        <w:t xml:space="preserve">≥ </w:t>
      </w:r>
      <w:r w:rsidRPr="000A6CA9">
        <w:rPr>
          <w:iCs/>
          <w:szCs w:val="22"/>
          <w:lang w:val="sk-SK"/>
        </w:rPr>
        <w:t xml:space="preserve">12 rokov, mali astmu a ak v súčasnej dobe používali liek na astmu (ale nie </w:t>
      </w:r>
      <w:proofErr w:type="spellStart"/>
      <w:r w:rsidRPr="000A6CA9">
        <w:rPr>
          <w:iCs/>
          <w:szCs w:val="22"/>
          <w:lang w:val="sk-SK"/>
        </w:rPr>
        <w:t>agonisty</w:t>
      </w:r>
      <w:proofErr w:type="spellEnd"/>
      <w:r w:rsidRPr="000A6CA9">
        <w:rPr>
          <w:iCs/>
          <w:szCs w:val="22"/>
          <w:lang w:val="sk-SK"/>
        </w:rPr>
        <w:t xml:space="preserve"> </w:t>
      </w:r>
      <w:proofErr w:type="spellStart"/>
      <w:r w:rsidRPr="000A6CA9">
        <w:rPr>
          <w:iCs/>
          <w:szCs w:val="22"/>
          <w:lang w:val="sk-SK"/>
        </w:rPr>
        <w:t>beta-adrenergných</w:t>
      </w:r>
      <w:proofErr w:type="spellEnd"/>
      <w:r w:rsidRPr="000A6CA9">
        <w:rPr>
          <w:iCs/>
          <w:szCs w:val="22"/>
          <w:lang w:val="sk-SK"/>
        </w:rPr>
        <w:t xml:space="preserve"> receptorov s dlhodobým účinkom (LABA)). Zaznamenalo sa, ak pacienti pri zaradení do</w:t>
      </w:r>
      <w:r>
        <w:rPr>
          <w:iCs/>
          <w:szCs w:val="22"/>
          <w:lang w:val="sk-SK"/>
        </w:rPr>
        <w:t xml:space="preserve"> </w:t>
      </w:r>
      <w:r w:rsidRPr="000A6CA9">
        <w:rPr>
          <w:iCs/>
          <w:szCs w:val="22"/>
          <w:lang w:val="sk-SK"/>
        </w:rPr>
        <w:t xml:space="preserve">štúdie používali inhalačné </w:t>
      </w:r>
      <w:proofErr w:type="spellStart"/>
      <w:r w:rsidRPr="000A6CA9">
        <w:rPr>
          <w:iCs/>
          <w:szCs w:val="22"/>
          <w:lang w:val="sk-SK"/>
        </w:rPr>
        <w:t>kortikosteroidy</w:t>
      </w:r>
      <w:proofErr w:type="spellEnd"/>
      <w:r w:rsidRPr="000A6CA9">
        <w:rPr>
          <w:iCs/>
          <w:szCs w:val="22"/>
          <w:lang w:val="sk-SK"/>
        </w:rPr>
        <w:t>, ale nebolo to požiadavkou štúdie. Primárnym cieľovým ukazovateľom v štúdii SMART bol kombinovaný počet respiračných úmrtí a respiračných život ohrozujúcich príhod.</w:t>
      </w: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B57B48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iCs/>
          <w:szCs w:val="22"/>
          <w:lang w:val="sk-SK"/>
        </w:rPr>
        <w:t>Hlavné zistenia zo štúdie SMART: primárny cieľový ukazovateľ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59"/>
        <w:gridCol w:w="2300"/>
        <w:gridCol w:w="2300"/>
        <w:gridCol w:w="1840"/>
      </w:tblGrid>
      <w:tr w:rsidR="003E4182" w:rsidRPr="000A6CA9">
        <w:trPr>
          <w:tblCellSpacing w:w="0" w:type="dxa"/>
        </w:trPr>
        <w:tc>
          <w:tcPr>
            <w:tcW w:w="15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Skupina pacientov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Počet udalostí predstavujúcich primárne cieľové ukazovatele/počet pacientov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140EA7">
            <w:pPr>
              <w:keepNext/>
              <w:keepLines/>
              <w:spacing w:before="60" w:after="60"/>
              <w:rPr>
                <w:iCs/>
                <w:szCs w:val="22"/>
                <w:lang w:val="sk-SK"/>
              </w:rPr>
            </w:pPr>
            <w:r w:rsidRPr="000A6CA9">
              <w:rPr>
                <w:iCs/>
                <w:szCs w:val="22"/>
                <w:lang w:val="sk-SK"/>
              </w:rPr>
              <w:t>Relatívne riziko (interval spoľahlivosti 95</w:t>
            </w:r>
            <w:r>
              <w:rPr>
                <w:iCs/>
                <w:szCs w:val="22"/>
                <w:lang w:val="sk-SK"/>
              </w:rPr>
              <w:t> </w:t>
            </w:r>
            <w:r w:rsidRPr="000A6CA9">
              <w:rPr>
                <w:iCs/>
                <w:szCs w:val="22"/>
                <w:lang w:val="sk-SK"/>
              </w:rPr>
              <w:t>%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) </w:t>
            </w:r>
          </w:p>
        </w:tc>
      </w:tr>
      <w:tr w:rsidR="003E4182" w:rsidRPr="000A6C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182" w:rsidRPr="000A6CA9" w:rsidRDefault="003E4182" w:rsidP="00AA66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sk-SK" w:eastAsia="en-IN" w:bidi="gu-IN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jc w:val="both"/>
              <w:rPr>
                <w:color w:val="000000"/>
                <w:szCs w:val="22"/>
                <w:lang w:val="sk-SK" w:eastAsia="en-IN" w:bidi="gu-IN"/>
              </w:rPr>
            </w:pP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salmeterol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jc w:val="both"/>
              <w:rPr>
                <w:color w:val="000000"/>
                <w:szCs w:val="22"/>
                <w:lang w:val="sk-SK" w:eastAsia="en-IN" w:bidi="gu-IN"/>
              </w:rPr>
            </w:pP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placebo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AA66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sk-SK" w:eastAsia="en-IN" w:bidi="gu-IN"/>
              </w:rPr>
            </w:pPr>
          </w:p>
        </w:tc>
      </w:tr>
      <w:tr w:rsidR="003E4182" w:rsidRPr="000A6CA9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Všetci pacienti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50/13 176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36/13 179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1,40 (0,91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2,14)</w:t>
            </w:r>
          </w:p>
        </w:tc>
      </w:tr>
      <w:tr w:rsidR="003E4182" w:rsidRPr="000A6CA9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23/6 127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19/6 138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1,21 (0,66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2,23)</w:t>
            </w:r>
          </w:p>
        </w:tc>
      </w:tr>
      <w:tr w:rsidR="003E4182" w:rsidRPr="000A6CA9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nepoužívajúci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27/7 049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17/7 041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684D29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1,60 (0,87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2,93)</w:t>
            </w:r>
          </w:p>
        </w:tc>
      </w:tr>
      <w:tr w:rsidR="003E4182" w:rsidRPr="000A6CA9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Afroamerickí pacienti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20/2 366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5/2 319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4,10 (1,54</w:t>
            </w:r>
            <w:r w:rsidRPr="000A6CA9">
              <w:rPr>
                <w:b/>
                <w:iCs/>
                <w:szCs w:val="22"/>
                <w:lang w:val="sk-SK"/>
              </w:rPr>
              <w:t>;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 xml:space="preserve"> 10,90)</w:t>
            </w:r>
          </w:p>
        </w:tc>
      </w:tr>
    </w:tbl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>(</w:t>
      </w:r>
      <w:r w:rsidRPr="000A6CA9">
        <w:rPr>
          <w:iCs/>
          <w:szCs w:val="22"/>
          <w:lang w:val="sk-SK"/>
        </w:rPr>
        <w:t>Riziko uvedené tučným písmom je štatisticky významné s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95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% spoľahlivosťou</w:t>
      </w:r>
      <w:r w:rsidRPr="000A6CA9">
        <w:rPr>
          <w:color w:val="000000"/>
          <w:szCs w:val="22"/>
          <w:lang w:val="sk-SK" w:eastAsia="en-IN" w:bidi="gu-IN"/>
        </w:rPr>
        <w:t>.)</w:t>
      </w:r>
    </w:p>
    <w:p w:rsidR="003E4182" w:rsidRPr="000A6CA9" w:rsidRDefault="003E4182" w:rsidP="00A806F5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</w:p>
    <w:p w:rsidR="003E4182" w:rsidRPr="000A6CA9" w:rsidRDefault="003E4182" w:rsidP="00A806F5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color w:val="000000"/>
          <w:szCs w:val="22"/>
          <w:lang w:val="sk-SK" w:eastAsia="en-IN" w:bidi="gu-IN"/>
        </w:rPr>
        <w:t xml:space="preserve">Hlavné zistenia zo štúdie SMART podľa používania inhalačných </w:t>
      </w:r>
      <w:proofErr w:type="spellStart"/>
      <w:r w:rsidRPr="000A6CA9">
        <w:rPr>
          <w:color w:val="000000"/>
          <w:szCs w:val="22"/>
          <w:lang w:val="sk-SK" w:eastAsia="en-IN" w:bidi="gu-IN"/>
        </w:rPr>
        <w:t>steroidov</w:t>
      </w:r>
      <w:proofErr w:type="spellEnd"/>
      <w:r w:rsidRPr="000A6CA9">
        <w:rPr>
          <w:color w:val="000000"/>
          <w:szCs w:val="22"/>
          <w:lang w:val="sk-SK" w:eastAsia="en-IN" w:bidi="gu-IN"/>
        </w:rPr>
        <w:t xml:space="preserve"> pri zaradení do štúdie: sekundárne cieľové ukazovatele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9"/>
        <w:gridCol w:w="2300"/>
        <w:gridCol w:w="1840"/>
        <w:gridCol w:w="1380"/>
      </w:tblGrid>
      <w:tr w:rsidR="003E4182" w:rsidRPr="000A6C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 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Počet udalostí predstavujúcich sekundárne cieľové ukazovatele/počet pacientov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A806F5">
            <w:pPr>
              <w:keepNext/>
              <w:spacing w:before="60" w:after="60"/>
              <w:rPr>
                <w:iCs/>
                <w:szCs w:val="22"/>
                <w:lang w:val="sk-SK"/>
              </w:rPr>
            </w:pPr>
            <w:r w:rsidRPr="000A6CA9">
              <w:rPr>
                <w:iCs/>
                <w:szCs w:val="22"/>
                <w:lang w:val="sk-SK"/>
              </w:rPr>
              <w:t>Relatívne riziko (interval spoľahlivosti 95</w:t>
            </w:r>
            <w:r>
              <w:rPr>
                <w:iCs/>
                <w:szCs w:val="22"/>
                <w:lang w:val="sk-SK"/>
              </w:rPr>
              <w:t> </w:t>
            </w:r>
            <w:r w:rsidRPr="000A6CA9">
              <w:rPr>
                <w:iCs/>
                <w:szCs w:val="22"/>
                <w:lang w:val="sk-SK"/>
              </w:rPr>
              <w:t>%)</w:t>
            </w:r>
          </w:p>
        </w:tc>
      </w:tr>
      <w:tr w:rsidR="003E4182" w:rsidRPr="000A6CA9">
        <w:trPr>
          <w:trHeight w:val="528"/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salmeterol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proofErr w:type="spellStart"/>
            <w:r w:rsidRPr="000A6CA9">
              <w:rPr>
                <w:color w:val="000000"/>
                <w:szCs w:val="22"/>
                <w:lang w:val="sk-SK" w:eastAsia="en-IN" w:bidi="gu-IN"/>
              </w:rPr>
              <w:t>placebo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en-IN" w:bidi="gu-IN"/>
              </w:rPr>
            </w:pPr>
          </w:p>
        </w:tc>
      </w:tr>
      <w:tr w:rsidR="003E4182" w:rsidRPr="000A6CA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>
              <w:rPr>
                <w:iCs/>
                <w:szCs w:val="22"/>
                <w:lang w:val="sk-SK"/>
              </w:rPr>
              <w:t>Úmrtie z respiračných príčin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10/6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127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5/6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138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2,01 (0,69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5,86)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nepoužívajúci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14/7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049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6/7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>041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2,28 (0,88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5,94)</w:t>
            </w:r>
          </w:p>
        </w:tc>
      </w:tr>
      <w:tr w:rsidR="003E4182" w:rsidRPr="000A6CA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Kombinované úmrtie spojené s astmou alebo život ohrozujúca príhoda spojená s astmou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16/6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127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13/6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138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1,24 (0,60</w:t>
            </w:r>
            <w:r w:rsidRPr="000A6CA9">
              <w:rPr>
                <w:iCs/>
                <w:szCs w:val="22"/>
                <w:lang w:val="sk-SK"/>
              </w:rPr>
              <w:t>;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 2,58) 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 xml:space="preserve">Pacienti nepoužívajúci inhalačné </w:t>
            </w:r>
            <w:proofErr w:type="spellStart"/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21/7</w:t>
            </w:r>
            <w:r>
              <w:rPr>
                <w:b/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049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9/7</w:t>
            </w:r>
            <w:r>
              <w:rPr>
                <w:b/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041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b/>
                <w:color w:val="000000"/>
                <w:szCs w:val="22"/>
                <w:lang w:val="sk-SK" w:eastAsia="en-IN" w:bidi="gu-IN"/>
              </w:rPr>
            </w:pP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>2,39 (1,10</w:t>
            </w:r>
            <w:r w:rsidRPr="000A6CA9">
              <w:rPr>
                <w:b/>
                <w:iCs/>
                <w:szCs w:val="22"/>
                <w:lang w:val="sk-SK"/>
              </w:rPr>
              <w:t>;</w:t>
            </w:r>
            <w:r w:rsidRPr="000A6CA9">
              <w:rPr>
                <w:b/>
                <w:color w:val="000000"/>
                <w:szCs w:val="22"/>
                <w:lang w:val="sk-SK" w:eastAsia="en-IN" w:bidi="gu-IN"/>
              </w:rPr>
              <w:t xml:space="preserve"> 5,22)</w:t>
            </w:r>
          </w:p>
        </w:tc>
      </w:tr>
      <w:tr w:rsidR="003E4182" w:rsidRPr="000A6CA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>Úmrtie spojené s astmou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lastRenderedPageBreak/>
              <w:t xml:space="preserve">Pacienti 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4/6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127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3/6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138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1,35 (</w:t>
            </w:r>
            <w:r w:rsidRPr="000A6CA9">
              <w:rPr>
                <w:iCs/>
                <w:szCs w:val="22"/>
                <w:lang w:val="sk-SK"/>
              </w:rPr>
              <w:t>0,30; 6,04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) </w:t>
            </w:r>
          </w:p>
        </w:tc>
      </w:tr>
      <w:tr w:rsidR="003E4182" w:rsidRPr="000A6CA9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iCs/>
                <w:szCs w:val="22"/>
                <w:lang w:val="sk-SK"/>
              </w:rPr>
              <w:t xml:space="preserve">Pacienti nepoužívajúci inhalačné </w:t>
            </w:r>
            <w:proofErr w:type="spellStart"/>
            <w:r w:rsidRPr="000A6CA9">
              <w:rPr>
                <w:iCs/>
                <w:szCs w:val="22"/>
                <w:lang w:val="sk-SK"/>
              </w:rPr>
              <w:t>steroidy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9/7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049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>0/7</w:t>
            </w:r>
            <w:r>
              <w:rPr>
                <w:color w:val="000000"/>
                <w:szCs w:val="22"/>
                <w:lang w:val="sk-SK" w:eastAsia="en-IN" w:bidi="gu-IN"/>
              </w:rPr>
              <w:t xml:space="preserve"> </w:t>
            </w: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041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4182" w:rsidRPr="000A6CA9" w:rsidRDefault="003E4182" w:rsidP="00DC64F7">
            <w:pPr>
              <w:tabs>
                <w:tab w:val="clear" w:pos="567"/>
              </w:tabs>
              <w:spacing w:before="100" w:beforeAutospacing="1" w:after="55" w:line="240" w:lineRule="auto"/>
              <w:rPr>
                <w:color w:val="000000"/>
                <w:szCs w:val="22"/>
                <w:lang w:val="sk-SK" w:eastAsia="en-IN" w:bidi="gu-IN"/>
              </w:rPr>
            </w:pPr>
            <w:r w:rsidRPr="000A6CA9">
              <w:rPr>
                <w:color w:val="000000"/>
                <w:szCs w:val="22"/>
                <w:lang w:val="sk-SK" w:eastAsia="en-IN" w:bidi="gu-IN"/>
              </w:rPr>
              <w:t xml:space="preserve">* </w:t>
            </w:r>
          </w:p>
        </w:tc>
      </w:tr>
    </w:tbl>
    <w:p w:rsidR="003E4182" w:rsidRPr="000A6CA9" w:rsidRDefault="003E4182" w:rsidP="00DC64F7">
      <w:pPr>
        <w:tabs>
          <w:tab w:val="clear" w:pos="567"/>
        </w:tabs>
        <w:spacing w:line="240" w:lineRule="auto"/>
        <w:rPr>
          <w:color w:val="000000"/>
          <w:szCs w:val="22"/>
          <w:lang w:val="sk-SK" w:eastAsia="en-IN" w:bidi="gu-IN"/>
        </w:rPr>
      </w:pPr>
      <w:r w:rsidRPr="000A6CA9">
        <w:rPr>
          <w:iCs/>
          <w:szCs w:val="22"/>
          <w:lang w:val="sk-SK"/>
        </w:rPr>
        <w:t>(*= výpočet nebol možný kvôli tomu, že v skupine s </w:t>
      </w:r>
      <w:proofErr w:type="spellStart"/>
      <w:r w:rsidRPr="000A6CA9">
        <w:rPr>
          <w:iCs/>
          <w:szCs w:val="22"/>
          <w:lang w:val="sk-SK"/>
        </w:rPr>
        <w:t>placebom</w:t>
      </w:r>
      <w:proofErr w:type="spellEnd"/>
      <w:r w:rsidRPr="000A6CA9">
        <w:rPr>
          <w:iCs/>
          <w:szCs w:val="22"/>
          <w:lang w:val="sk-SK"/>
        </w:rPr>
        <w:t xml:space="preserve"> nebola žiadn</w:t>
      </w:r>
      <w:r w:rsidR="00260F3E">
        <w:rPr>
          <w:iCs/>
          <w:szCs w:val="22"/>
          <w:lang w:val="sk-SK"/>
        </w:rPr>
        <w:t>a</w:t>
      </w:r>
      <w:r w:rsidRPr="000A6CA9">
        <w:rPr>
          <w:iCs/>
          <w:szCs w:val="22"/>
          <w:lang w:val="sk-SK"/>
        </w:rPr>
        <w:t xml:space="preserve"> udalosť. Riziko uvedené tučným písmom je štatisticky významné s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95</w:t>
      </w:r>
      <w:r>
        <w:rPr>
          <w:iCs/>
          <w:szCs w:val="22"/>
          <w:lang w:val="sk-SK"/>
        </w:rPr>
        <w:t> </w:t>
      </w:r>
      <w:r w:rsidRPr="000A6CA9">
        <w:rPr>
          <w:iCs/>
          <w:szCs w:val="22"/>
          <w:lang w:val="sk-SK"/>
        </w:rPr>
        <w:t>% spoľahlivosťou. Sekundárne cieľové ukazovatele vo</w:t>
      </w:r>
      <w:r>
        <w:rPr>
          <w:iCs/>
          <w:szCs w:val="22"/>
          <w:lang w:val="sk-SK"/>
        </w:rPr>
        <w:t xml:space="preserve"> </w:t>
      </w:r>
      <w:r w:rsidRPr="000A6CA9">
        <w:rPr>
          <w:iCs/>
          <w:szCs w:val="22"/>
          <w:lang w:val="sk-SK"/>
        </w:rPr>
        <w:t>vyššie uvedenej tabuľke dosiahli štatistickú významnosť v celej populácii.) Sekundárne cieľové ukazovatele, ktorými boli kombinované úmrtia z akejkoľvek príčiny alebo život ohrozujúce príhody z akejkoľvek príčiny, úmrtie z akejkoľvek príčiny, alebo hospitalizácia z akejkoľvek príčiny, nedosiahli štatistickú významnosť v celej populácii</w:t>
      </w:r>
      <w:r w:rsidRPr="000A6CA9">
        <w:rPr>
          <w:color w:val="000000"/>
          <w:szCs w:val="22"/>
          <w:lang w:val="sk-SK" w:eastAsia="en-IN" w:bidi="gu-IN"/>
        </w:rPr>
        <w:t>.</w:t>
      </w:r>
    </w:p>
    <w:p w:rsidR="003E4182" w:rsidRPr="000A6CA9" w:rsidRDefault="003E4182" w:rsidP="00072782">
      <w:pPr>
        <w:ind w:left="567" w:hanging="567"/>
        <w:outlineLvl w:val="0"/>
        <w:rPr>
          <w:color w:val="000000"/>
          <w:szCs w:val="22"/>
          <w:u w:val="single"/>
          <w:lang w:val="sk-SK"/>
        </w:rPr>
      </w:pPr>
    </w:p>
    <w:p w:rsidR="003E4182" w:rsidRPr="000A6CA9" w:rsidRDefault="003E4182" w:rsidP="00072782">
      <w:pPr>
        <w:keepNext/>
        <w:ind w:left="567" w:hanging="567"/>
        <w:outlineLvl w:val="0"/>
        <w:rPr>
          <w:color w:val="000000"/>
          <w:szCs w:val="22"/>
          <w:u w:val="single"/>
          <w:lang w:val="sk-SK"/>
        </w:rPr>
      </w:pPr>
      <w:r w:rsidRPr="000A6CA9">
        <w:rPr>
          <w:color w:val="000000"/>
          <w:szCs w:val="22"/>
          <w:u w:val="single"/>
          <w:lang w:val="sk-SK"/>
        </w:rPr>
        <w:t>Pediatrická populácia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 xml:space="preserve"> skúšaní </w:t>
      </w:r>
      <w:r w:rsidRPr="000A6CA9">
        <w:rPr>
          <w:szCs w:val="22"/>
          <w:lang w:val="sk-SK"/>
        </w:rPr>
        <w:t xml:space="preserve">SAM101667 so 158 deťmi vo veku 6 až 16 rokov so symptomatickou astmou </w:t>
      </w:r>
      <w:r>
        <w:rPr>
          <w:szCs w:val="22"/>
          <w:lang w:val="sk-SK"/>
        </w:rPr>
        <w:t xml:space="preserve">bola </w:t>
      </w:r>
      <w:r w:rsidRPr="000A6CA9">
        <w:rPr>
          <w:szCs w:val="22"/>
          <w:lang w:val="sk-SK"/>
        </w:rPr>
        <w:t xml:space="preserve">kombinácia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rovnako účinná </w:t>
      </w:r>
      <w:r>
        <w:rPr>
          <w:szCs w:val="22"/>
          <w:lang w:val="sk-SK"/>
        </w:rPr>
        <w:t>ako</w:t>
      </w:r>
      <w:r w:rsidRPr="000A6CA9">
        <w:rPr>
          <w:szCs w:val="22"/>
          <w:lang w:val="sk-SK"/>
        </w:rPr>
        <w:t xml:space="preserve"> zdvojnásobenie dávky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ak</w:t>
      </w:r>
      <w:r w:rsidRPr="000A6CA9">
        <w:rPr>
          <w:szCs w:val="22"/>
          <w:lang w:val="sk-SK"/>
        </w:rPr>
        <w:t xml:space="preserve"> i</w:t>
      </w:r>
      <w:r>
        <w:rPr>
          <w:szCs w:val="22"/>
          <w:lang w:val="sk-SK"/>
        </w:rPr>
        <w:t>šlo</w:t>
      </w:r>
      <w:r w:rsidRPr="000A6CA9">
        <w:rPr>
          <w:szCs w:val="22"/>
          <w:lang w:val="sk-SK"/>
        </w:rPr>
        <w:t xml:space="preserve"> o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kontrolu symptómov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funkcie pľúc. T</w:t>
      </w:r>
      <w:r>
        <w:rPr>
          <w:szCs w:val="22"/>
          <w:lang w:val="sk-SK"/>
        </w:rPr>
        <w:t>oto</w:t>
      </w:r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skúšanie</w:t>
      </w:r>
      <w:r w:rsidRPr="000A6CA9">
        <w:rPr>
          <w:szCs w:val="22"/>
          <w:lang w:val="sk-SK"/>
        </w:rPr>
        <w:t xml:space="preserve"> nebol</w:t>
      </w:r>
      <w:r>
        <w:rPr>
          <w:szCs w:val="22"/>
          <w:lang w:val="sk-SK"/>
        </w:rPr>
        <w:t>o</w:t>
      </w:r>
      <w:r w:rsidRPr="000A6CA9">
        <w:rPr>
          <w:szCs w:val="22"/>
          <w:lang w:val="sk-SK"/>
        </w:rPr>
        <w:t xml:space="preserve"> navrhnut</w:t>
      </w:r>
      <w:r>
        <w:rPr>
          <w:szCs w:val="22"/>
          <w:lang w:val="sk-SK"/>
        </w:rPr>
        <w:t>é</w:t>
      </w:r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na</w:t>
      </w:r>
      <w:r w:rsidRPr="000A6CA9">
        <w:rPr>
          <w:szCs w:val="22"/>
          <w:lang w:val="sk-SK"/>
        </w:rPr>
        <w:t xml:space="preserve"> skúma</w:t>
      </w:r>
      <w:r>
        <w:rPr>
          <w:szCs w:val="22"/>
          <w:lang w:val="sk-SK"/>
        </w:rPr>
        <w:t>nie</w:t>
      </w:r>
      <w:r w:rsidRPr="000A6CA9">
        <w:rPr>
          <w:szCs w:val="22"/>
          <w:lang w:val="sk-SK"/>
        </w:rPr>
        <w:t xml:space="preserve"> vplyv</w:t>
      </w:r>
      <w:r>
        <w:rPr>
          <w:szCs w:val="22"/>
          <w:lang w:val="sk-SK"/>
        </w:rPr>
        <w:t>u</w:t>
      </w:r>
      <w:r w:rsidRPr="000A6CA9">
        <w:rPr>
          <w:szCs w:val="22"/>
          <w:lang w:val="sk-SK"/>
        </w:rPr>
        <w:t xml:space="preserve"> na </w:t>
      </w:r>
      <w:proofErr w:type="spellStart"/>
      <w:r w:rsidRPr="000A6CA9">
        <w:rPr>
          <w:szCs w:val="22"/>
          <w:lang w:val="sk-SK"/>
        </w:rPr>
        <w:t>exacerbácie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skúšaní,</w:t>
      </w:r>
      <w:r w:rsidRPr="000A6CA9">
        <w:rPr>
          <w:szCs w:val="22"/>
          <w:lang w:val="sk-SK"/>
        </w:rPr>
        <w:t xml:space="preserve"> ktor</w:t>
      </w:r>
      <w:r>
        <w:rPr>
          <w:szCs w:val="22"/>
          <w:lang w:val="sk-SK"/>
        </w:rPr>
        <w:t>é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randomizoval</w:t>
      </w:r>
      <w:r>
        <w:rPr>
          <w:szCs w:val="22"/>
          <w:lang w:val="sk-SK"/>
        </w:rPr>
        <w:t>o</w:t>
      </w:r>
      <w:proofErr w:type="spellEnd"/>
      <w:r w:rsidRPr="000A6CA9">
        <w:rPr>
          <w:szCs w:val="22"/>
          <w:lang w:val="sk-SK"/>
        </w:rPr>
        <w:t xml:space="preserve"> deti vo veku 4 až 11 rokov [n = 428] bol </w:t>
      </w: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 </w:t>
      </w:r>
      <w:proofErr w:type="spellStart"/>
      <w:r w:rsidRPr="000A6CA9">
        <w:rPr>
          <w:szCs w:val="22"/>
          <w:lang w:val="sk-SK"/>
        </w:rPr>
        <w:t>Diskus</w:t>
      </w:r>
      <w:r>
        <w:rPr>
          <w:szCs w:val="22"/>
          <w:lang w:val="sk-SK"/>
        </w:rPr>
        <w:t>e</w:t>
      </w:r>
      <w:proofErr w:type="spellEnd"/>
      <w:r w:rsidRPr="000A6CA9">
        <w:rPr>
          <w:szCs w:val="22"/>
          <w:lang w:val="sk-SK"/>
        </w:rPr>
        <w:t xml:space="preserve"> (50/100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>, jedna inhalácia dvakrát denne) porovnaný so</w:t>
      </w:r>
      <w:r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MDI (25/50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>, dve inhalácie dvakrát denne) počas liečebného obdobia 12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týždňov. Upravená priemerná zmena od východiskovej hodnoty priemerného ranného vrcholového výdychového prietoku počas 1.-12. týždňa bola 37,7 l/</w:t>
      </w:r>
      <w:r>
        <w:rPr>
          <w:szCs w:val="22"/>
          <w:lang w:val="sk-SK"/>
        </w:rPr>
        <w:t>min v </w:t>
      </w:r>
      <w:r w:rsidRPr="000A6CA9">
        <w:rPr>
          <w:szCs w:val="22"/>
          <w:lang w:val="sk-SK"/>
        </w:rPr>
        <w:t xml:space="preserve">skupine </w:t>
      </w:r>
      <w:r>
        <w:rPr>
          <w:szCs w:val="22"/>
          <w:lang w:val="sk-SK"/>
        </w:rPr>
        <w:t xml:space="preserve">s </w:t>
      </w:r>
      <w:proofErr w:type="spellStart"/>
      <w:r w:rsidRPr="000A6CA9">
        <w:rPr>
          <w:szCs w:val="22"/>
          <w:lang w:val="sk-SK"/>
        </w:rPr>
        <w:t>Diskus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a 38,6 l/min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skupine MDI. Zlepšenia sa tiež pozorovali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oboch liečebných skupinách počas „záchranných“ a bezpríznakových dní a nocí.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072782">
      <w:pPr>
        <w:keepNext/>
        <w:suppressLineNumbers/>
        <w:ind w:left="567" w:hanging="567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5.2</w:t>
      </w:r>
      <w:r w:rsidRPr="000A6CA9">
        <w:rPr>
          <w:b/>
          <w:szCs w:val="22"/>
          <w:lang w:val="sk-SK"/>
        </w:rPr>
        <w:tab/>
      </w:r>
      <w:proofErr w:type="spellStart"/>
      <w:r w:rsidRPr="000A6CA9">
        <w:rPr>
          <w:b/>
          <w:szCs w:val="22"/>
          <w:lang w:val="sk-SK"/>
        </w:rPr>
        <w:t>Farmakokinetické</w:t>
      </w:r>
      <w:proofErr w:type="spellEnd"/>
      <w:r w:rsidRPr="000A6CA9">
        <w:rPr>
          <w:b/>
          <w:szCs w:val="22"/>
          <w:lang w:val="sk-SK"/>
        </w:rPr>
        <w:t xml:space="preserve"> vlastnosti</w:t>
      </w:r>
    </w:p>
    <w:p w:rsidR="003E4182" w:rsidRPr="000A6CA9" w:rsidRDefault="003E4182" w:rsidP="00072782">
      <w:pPr>
        <w:keepNext/>
        <w:suppressLineNumbers/>
        <w:ind w:left="567" w:hanging="567"/>
        <w:outlineLvl w:val="0"/>
        <w:rPr>
          <w:b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Po inhalačnom podaní kombinácie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boli </w:t>
      </w:r>
      <w:proofErr w:type="spellStart"/>
      <w:r w:rsidRPr="000A6CA9">
        <w:rPr>
          <w:szCs w:val="22"/>
          <w:lang w:val="sk-SK"/>
        </w:rPr>
        <w:t>farmakokinetické</w:t>
      </w:r>
      <w:proofErr w:type="spellEnd"/>
      <w:r w:rsidRPr="000A6CA9">
        <w:rPr>
          <w:szCs w:val="22"/>
          <w:lang w:val="sk-SK"/>
        </w:rPr>
        <w:t xml:space="preserve"> vlastnosti každ</w:t>
      </w:r>
      <w:r>
        <w:rPr>
          <w:szCs w:val="22"/>
          <w:lang w:val="sk-SK"/>
        </w:rPr>
        <w:t>ého liečiva</w:t>
      </w:r>
      <w:r w:rsidRPr="000A6CA9">
        <w:rPr>
          <w:szCs w:val="22"/>
          <w:lang w:val="sk-SK"/>
        </w:rPr>
        <w:t xml:space="preserve"> podobné </w:t>
      </w:r>
      <w:proofErr w:type="spellStart"/>
      <w:r w:rsidRPr="000A6CA9">
        <w:rPr>
          <w:szCs w:val="22"/>
          <w:lang w:val="sk-SK"/>
        </w:rPr>
        <w:t>farmakokinetickým</w:t>
      </w:r>
      <w:proofErr w:type="spellEnd"/>
      <w:r w:rsidRPr="000A6CA9">
        <w:rPr>
          <w:szCs w:val="22"/>
          <w:lang w:val="sk-SK"/>
        </w:rPr>
        <w:t xml:space="preserve"> vlastnostiam pozorovaným po ich samostatnom podaní. Pre účely </w:t>
      </w:r>
      <w:proofErr w:type="spellStart"/>
      <w:r w:rsidRPr="000A6CA9">
        <w:rPr>
          <w:szCs w:val="22"/>
          <w:lang w:val="sk-SK"/>
        </w:rPr>
        <w:t>farmakokinetiky</w:t>
      </w:r>
      <w:proofErr w:type="spellEnd"/>
      <w:r w:rsidRPr="000A6CA9">
        <w:rPr>
          <w:szCs w:val="22"/>
          <w:lang w:val="sk-SK"/>
        </w:rPr>
        <w:t xml:space="preserve"> je preto možné hodnotiť obe </w:t>
      </w:r>
      <w:r>
        <w:rPr>
          <w:szCs w:val="22"/>
          <w:lang w:val="sk-SK"/>
        </w:rPr>
        <w:t xml:space="preserve">liečivá </w:t>
      </w:r>
      <w:r w:rsidRPr="000A6CA9">
        <w:rPr>
          <w:szCs w:val="22"/>
          <w:lang w:val="sk-SK"/>
        </w:rPr>
        <w:t>oddelene.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07278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sk-SK"/>
        </w:rPr>
      </w:pPr>
      <w:proofErr w:type="spellStart"/>
      <w:r w:rsidRPr="000A6CA9">
        <w:rPr>
          <w:i/>
          <w:color w:val="000000"/>
          <w:szCs w:val="22"/>
          <w:u w:val="single"/>
          <w:lang w:val="sk-SK"/>
        </w:rPr>
        <w:t>Salmeterol</w:t>
      </w:r>
      <w:proofErr w:type="spellEnd"/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Salmeterol</w:t>
      </w:r>
      <w:proofErr w:type="spellEnd"/>
      <w:r w:rsidRPr="000A6CA9">
        <w:rPr>
          <w:szCs w:val="22"/>
          <w:lang w:val="sk-SK"/>
        </w:rPr>
        <w:t xml:space="preserve"> pôsobí lokálne v pľúcach, preto plazmatické </w:t>
      </w:r>
      <w:r>
        <w:rPr>
          <w:szCs w:val="22"/>
          <w:lang w:val="sk-SK"/>
        </w:rPr>
        <w:t xml:space="preserve">koncentrácie </w:t>
      </w:r>
      <w:r w:rsidRPr="000A6CA9">
        <w:rPr>
          <w:szCs w:val="22"/>
          <w:lang w:val="sk-SK"/>
        </w:rPr>
        <w:t>nevyjadrujú terapeutický účinok. Okrem toho sú údaje o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farmakokinetike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obmedzené, vzhľadom na technické ťažkosti so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stanovením liečiva v plazme z dôvodu nízkych plazmatických koncentrácií (približne 200 </w:t>
      </w:r>
      <w:proofErr w:type="spellStart"/>
      <w:r w:rsidRPr="000A6CA9">
        <w:rPr>
          <w:szCs w:val="22"/>
          <w:lang w:val="sk-SK"/>
        </w:rPr>
        <w:t>pikogramov</w:t>
      </w:r>
      <w:proofErr w:type="spellEnd"/>
      <w:r w:rsidRPr="000A6CA9">
        <w:rPr>
          <w:szCs w:val="22"/>
          <w:lang w:val="sk-SK"/>
        </w:rPr>
        <w:t>/ml alebo menej) po inhalačnom podávaní terapeutických dávok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07278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sk-SK"/>
        </w:rPr>
      </w:pPr>
      <w:proofErr w:type="spellStart"/>
      <w:r w:rsidRPr="000A6CA9">
        <w:rPr>
          <w:i/>
          <w:szCs w:val="22"/>
          <w:u w:val="single"/>
          <w:lang w:val="sk-SK"/>
        </w:rPr>
        <w:t>Flutikazónpropionát</w:t>
      </w:r>
      <w:proofErr w:type="spellEnd"/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Absolútna biologická dostupnosť po inhalácii jednotlivej dávky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sa u zdravých </w:t>
      </w:r>
      <w:r>
        <w:rPr>
          <w:szCs w:val="22"/>
          <w:lang w:val="sk-SK"/>
        </w:rPr>
        <w:t xml:space="preserve">osôb </w:t>
      </w:r>
      <w:r w:rsidRPr="000A6CA9">
        <w:rPr>
          <w:szCs w:val="22"/>
          <w:lang w:val="sk-SK"/>
        </w:rPr>
        <w:t>pohybuje v rozmedzí približne 5 až 11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 nominálnej dávky,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závislosti od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spôsobu inhalačného podania. U pacientov s astmou sa pozoroval nižší stupeň systémovej expozície inhalačnému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Systémová absorpcia prebieha hlavne </w:t>
      </w:r>
      <w:r>
        <w:rPr>
          <w:szCs w:val="22"/>
          <w:lang w:val="sk-SK"/>
        </w:rPr>
        <w:t>v pľúcach</w:t>
      </w:r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na začiatku je rýchla, potom sa predlžuje. Zvyšok inhalovanej dávky môže byť prehltnutý, ale minimálne sa podieľa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systémovej expozícii v dôsledku nízkej rozpustnosti vo vode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presystémového</w:t>
      </w:r>
      <w:proofErr w:type="spellEnd"/>
      <w:r w:rsidRPr="000A6CA9">
        <w:rPr>
          <w:szCs w:val="22"/>
          <w:lang w:val="sk-SK"/>
        </w:rPr>
        <w:t xml:space="preserve"> metabolizmu, výsledkom čoho je menej ako 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 perorálna dostupnosť. So zvyšujúcou sa inhalovanou dávkou sa lineárne zvyšuje systémová expozícia</w:t>
      </w:r>
      <w:r w:rsidRPr="000A6CA9">
        <w:rPr>
          <w:color w:val="000000"/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Vylučovanie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je charakterizované vysokým plazmatickým </w:t>
      </w:r>
      <w:proofErr w:type="spellStart"/>
      <w:r w:rsidRPr="000A6CA9">
        <w:rPr>
          <w:szCs w:val="22"/>
          <w:lang w:val="sk-SK"/>
        </w:rPr>
        <w:t>klírensom</w:t>
      </w:r>
      <w:proofErr w:type="spellEnd"/>
      <w:r w:rsidRPr="000A6CA9">
        <w:rPr>
          <w:szCs w:val="22"/>
          <w:lang w:val="sk-SK"/>
        </w:rPr>
        <w:t xml:space="preserve"> (1 150 ml/min), veľkým distribučným objemom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rovnovážnom stave (približne </w:t>
      </w:r>
      <w:smartTag w:uri="urn:schemas-microsoft-com:office:smarttags" w:element="metricconverter">
        <w:smartTagPr>
          <w:attr w:name="ProductID" w:val="300ﾠl"/>
        </w:smartTagPr>
        <w:r w:rsidRPr="000A6CA9">
          <w:rPr>
            <w:szCs w:val="22"/>
            <w:lang w:val="sk-SK"/>
          </w:rPr>
          <w:t>300 l</w:t>
        </w:r>
      </w:smartTag>
      <w:r w:rsidRPr="000A6CA9">
        <w:rPr>
          <w:szCs w:val="22"/>
          <w:lang w:val="sk-SK"/>
        </w:rPr>
        <w:t>) a terminálnym polčasom približne 8 hodín</w:t>
      </w:r>
      <w:r>
        <w:rPr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>Väzba na plazmatické bielkoviny je 91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%.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FD638F">
      <w:pPr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Flutikazónpropionát</w:t>
      </w:r>
      <w:proofErr w:type="spellEnd"/>
      <w:r w:rsidRPr="000A6CA9">
        <w:rPr>
          <w:szCs w:val="22"/>
          <w:lang w:val="sk-SK"/>
        </w:rPr>
        <w:t xml:space="preserve"> je zo systémovej cirkulácie odstránený veľmi rýchlo. Hlavnou cestou je metabolizmus na</w:t>
      </w:r>
      <w:r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inaktívny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metabolit</w:t>
      </w:r>
      <w:proofErr w:type="spellEnd"/>
      <w:r w:rsidRPr="000A6CA9">
        <w:rPr>
          <w:szCs w:val="22"/>
          <w:lang w:val="sk-SK"/>
        </w:rPr>
        <w:t xml:space="preserve">, kyselinu karboxylovú, prostredníctvom enzýmu CYP3A4 </w:t>
      </w:r>
      <w:proofErr w:type="spellStart"/>
      <w:r w:rsidRPr="000A6CA9">
        <w:rPr>
          <w:szCs w:val="22"/>
          <w:lang w:val="sk-SK"/>
        </w:rPr>
        <w:t>cytochrómu</w:t>
      </w:r>
      <w:proofErr w:type="spellEnd"/>
      <w:r w:rsidRPr="000A6CA9">
        <w:rPr>
          <w:szCs w:val="22"/>
          <w:lang w:val="sk-SK"/>
        </w:rPr>
        <w:t xml:space="preserve"> P450. V stolici sa nachádzajú aj ďalšie neidentifikované </w:t>
      </w:r>
      <w:proofErr w:type="spellStart"/>
      <w:r w:rsidRPr="000A6CA9">
        <w:rPr>
          <w:szCs w:val="22"/>
          <w:lang w:val="sk-SK"/>
        </w:rPr>
        <w:t>metabolity</w:t>
      </w:r>
      <w:proofErr w:type="spellEnd"/>
      <w:r w:rsidRPr="000A6CA9">
        <w:rPr>
          <w:szCs w:val="22"/>
          <w:lang w:val="sk-SK"/>
        </w:rPr>
        <w:t>.</w:t>
      </w:r>
    </w:p>
    <w:p w:rsidR="003E4182" w:rsidRDefault="003E4182" w:rsidP="00FD638F">
      <w:pPr>
        <w:rPr>
          <w:szCs w:val="22"/>
          <w:lang w:val="sk-SK"/>
        </w:rPr>
      </w:pPr>
    </w:p>
    <w:p w:rsidR="003E4182" w:rsidRPr="000A6CA9" w:rsidRDefault="003E4182" w:rsidP="00FD638F">
      <w:pPr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Renálny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klírens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je zanedbateľný. Menej ako 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dávky sa vylúči močom a to najmä vo forme </w:t>
      </w:r>
      <w:proofErr w:type="spellStart"/>
      <w:r w:rsidRPr="000A6CA9">
        <w:rPr>
          <w:szCs w:val="22"/>
          <w:lang w:val="sk-SK"/>
        </w:rPr>
        <w:t>metabolitov</w:t>
      </w:r>
      <w:proofErr w:type="spellEnd"/>
      <w:r w:rsidRPr="000A6CA9">
        <w:rPr>
          <w:szCs w:val="22"/>
          <w:lang w:val="sk-SK"/>
        </w:rPr>
        <w:t xml:space="preserve">. Hlavná časť dávky sa vylúči stolicou vo forme </w:t>
      </w:r>
      <w:proofErr w:type="spellStart"/>
      <w:r w:rsidRPr="000A6CA9">
        <w:rPr>
          <w:szCs w:val="22"/>
          <w:lang w:val="sk-SK"/>
        </w:rPr>
        <w:t>metabolitov</w:t>
      </w:r>
      <w:proofErr w:type="spellEnd"/>
      <w:r w:rsidRPr="000A6CA9">
        <w:rPr>
          <w:szCs w:val="22"/>
          <w:lang w:val="sk-SK"/>
        </w:rPr>
        <w:t xml:space="preserve"> a nezmeneného liečiva.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07278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0A6CA9">
        <w:rPr>
          <w:color w:val="000000"/>
          <w:szCs w:val="22"/>
          <w:u w:val="single"/>
          <w:lang w:val="sk-SK"/>
        </w:rPr>
        <w:t>Pediatrická populácia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szCs w:val="22"/>
          <w:lang w:val="sk-SK"/>
        </w:rPr>
        <w:t xml:space="preserve">Účinok 21-dňovej liečby </w:t>
      </w:r>
      <w:proofErr w:type="spellStart"/>
      <w:r w:rsidRPr="000A6CA9">
        <w:rPr>
          <w:szCs w:val="22"/>
          <w:lang w:val="sk-SK"/>
        </w:rPr>
        <w:t>salmeterol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r>
        <w:rPr>
          <w:szCs w:val="22"/>
          <w:lang w:val="sk-SK"/>
        </w:rPr>
        <w:t>om</w:t>
      </w:r>
      <w:proofErr w:type="spellEnd"/>
      <w:r>
        <w:rPr>
          <w:szCs w:val="22"/>
          <w:lang w:val="sk-SK"/>
        </w:rPr>
        <w:t xml:space="preserve"> podávaných v inhalátore</w:t>
      </w:r>
      <w:r w:rsidRPr="000A6CA9">
        <w:rPr>
          <w:szCs w:val="22"/>
          <w:lang w:val="sk-SK"/>
        </w:rPr>
        <w:t xml:space="preserve"> v sile 25/50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(2 inhalácie dvakrát denne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alebo bez inhalačného nadstavca) alebo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>
        <w:rPr>
          <w:szCs w:val="22"/>
          <w:lang w:val="sk-SK"/>
        </w:rPr>
        <w:t xml:space="preserve"> v</w:t>
      </w:r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Diskus</w:t>
      </w:r>
      <w:r>
        <w:rPr>
          <w:szCs w:val="22"/>
          <w:lang w:val="sk-SK"/>
        </w:rPr>
        <w:t>e</w:t>
      </w:r>
      <w:proofErr w:type="spellEnd"/>
      <w:r w:rsidRPr="000A6CA9">
        <w:rPr>
          <w:szCs w:val="22"/>
          <w:lang w:val="sk-SK"/>
        </w:rPr>
        <w:t xml:space="preserve"> v sile 50/100 </w:t>
      </w:r>
      <w:proofErr w:type="spellStart"/>
      <w:r w:rsidRPr="000A6CA9">
        <w:rPr>
          <w:szCs w:val="22"/>
          <w:lang w:val="sk-SK"/>
        </w:rPr>
        <w:t>mikrogramov</w:t>
      </w:r>
      <w:proofErr w:type="spellEnd"/>
      <w:r w:rsidRPr="000A6CA9">
        <w:rPr>
          <w:szCs w:val="22"/>
          <w:lang w:val="sk-SK"/>
        </w:rPr>
        <w:t xml:space="preserve"> (1 inhalácia dvakrát denne) bol hodnotený u 31 detí vo veku 4 až 11 rokov s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miernou astmou. Systémová expozícia 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bola pri použití inhalátora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s inhalačným nadstavcom (107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 xml:space="preserve">/ml [95%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45,7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252,2]) a pri použití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flutikazónpropionátu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 </w:t>
      </w:r>
      <w:proofErr w:type="spellStart"/>
      <w:r w:rsidRPr="000A6CA9">
        <w:rPr>
          <w:szCs w:val="22"/>
          <w:lang w:val="sk-SK"/>
        </w:rPr>
        <w:t>Diskus</w:t>
      </w:r>
      <w:r>
        <w:rPr>
          <w:szCs w:val="22"/>
          <w:lang w:val="sk-SK"/>
        </w:rPr>
        <w:t>e</w:t>
      </w:r>
      <w:proofErr w:type="spellEnd"/>
      <w:r w:rsidRPr="000A6CA9">
        <w:rPr>
          <w:szCs w:val="22"/>
          <w:lang w:val="sk-SK"/>
        </w:rPr>
        <w:t xml:space="preserve"> (138 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>/ml [95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69,3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273,2]) podobná, ale nižšia pri použití inhalátora </w:t>
      </w:r>
      <w:r>
        <w:rPr>
          <w:szCs w:val="22"/>
          <w:lang w:val="sk-SK"/>
        </w:rPr>
        <w:t xml:space="preserve">so </w:t>
      </w:r>
      <w:proofErr w:type="spellStart"/>
      <w:r w:rsidRPr="000A6CA9">
        <w:rPr>
          <w:szCs w:val="22"/>
          <w:lang w:val="sk-SK"/>
        </w:rPr>
        <w:t>salmeterol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(24 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>/ml [95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9,6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60</w:t>
      </w:r>
      <w:r>
        <w:rPr>
          <w:szCs w:val="22"/>
          <w:lang w:val="sk-SK"/>
        </w:rPr>
        <w:t>,</w:t>
      </w:r>
      <w:r w:rsidRPr="000A6CA9">
        <w:rPr>
          <w:szCs w:val="22"/>
          <w:lang w:val="sk-SK"/>
        </w:rPr>
        <w:t xml:space="preserve">2]). Systémová expozícia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bola podobná pri použití inhalátora </w:t>
      </w:r>
      <w:r>
        <w:rPr>
          <w:szCs w:val="22"/>
          <w:lang w:val="sk-SK"/>
        </w:rPr>
        <w:t xml:space="preserve">so </w:t>
      </w:r>
      <w:proofErr w:type="spellStart"/>
      <w:r w:rsidRPr="000A6CA9">
        <w:rPr>
          <w:szCs w:val="22"/>
          <w:lang w:val="sk-SK"/>
        </w:rPr>
        <w:t>salmeterol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, inhalátora </w:t>
      </w:r>
      <w:r>
        <w:rPr>
          <w:szCs w:val="22"/>
          <w:lang w:val="sk-SK"/>
        </w:rPr>
        <w:t xml:space="preserve">so </w:t>
      </w:r>
      <w:proofErr w:type="spellStart"/>
      <w:r w:rsidRPr="000A6CA9">
        <w:rPr>
          <w:szCs w:val="22"/>
          <w:lang w:val="sk-SK"/>
        </w:rPr>
        <w:t>salmeterol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s inhalačným nadstavcom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salmeterol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>/</w:t>
      </w:r>
      <w:proofErr w:type="spellStart"/>
      <w:r w:rsidRPr="000A6CA9">
        <w:rPr>
          <w:szCs w:val="22"/>
          <w:lang w:val="sk-SK"/>
        </w:rPr>
        <w:t>flutikazónpropionát</w:t>
      </w:r>
      <w:r>
        <w:rPr>
          <w:szCs w:val="22"/>
          <w:lang w:val="sk-SK"/>
        </w:rPr>
        <w:t>om</w:t>
      </w:r>
      <w:proofErr w:type="spellEnd"/>
      <w:r w:rsidRPr="000A6CA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 </w:t>
      </w:r>
      <w:proofErr w:type="spellStart"/>
      <w:r w:rsidRPr="000A6CA9">
        <w:rPr>
          <w:szCs w:val="22"/>
          <w:lang w:val="sk-SK"/>
        </w:rPr>
        <w:t>Diskus</w:t>
      </w:r>
      <w:r>
        <w:rPr>
          <w:szCs w:val="22"/>
          <w:lang w:val="sk-SK"/>
        </w:rPr>
        <w:t>e</w:t>
      </w:r>
      <w:proofErr w:type="spellEnd"/>
      <w:r w:rsidRPr="000A6CA9">
        <w:rPr>
          <w:szCs w:val="22"/>
          <w:lang w:val="sk-SK"/>
        </w:rPr>
        <w:t xml:space="preserve"> (126 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>/ml [95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70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225], 103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>/ml [95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54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200] a 110 </w:t>
      </w:r>
      <w:proofErr w:type="spellStart"/>
      <w:r w:rsidRPr="000A6CA9">
        <w:rPr>
          <w:szCs w:val="22"/>
          <w:lang w:val="sk-SK"/>
        </w:rPr>
        <w:t>pg</w:t>
      </w:r>
      <w:r>
        <w:rPr>
          <w:szCs w:val="22"/>
          <w:lang w:val="sk-SK"/>
        </w:rPr>
        <w:t>.</w:t>
      </w:r>
      <w:r w:rsidRPr="000A6CA9">
        <w:rPr>
          <w:szCs w:val="22"/>
          <w:lang w:val="sk-SK"/>
        </w:rPr>
        <w:t>h</w:t>
      </w:r>
      <w:proofErr w:type="spellEnd"/>
      <w:r w:rsidRPr="000A6CA9">
        <w:rPr>
          <w:szCs w:val="22"/>
          <w:lang w:val="sk-SK"/>
        </w:rPr>
        <w:t>/ml [95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% </w:t>
      </w:r>
      <w:r>
        <w:rPr>
          <w:szCs w:val="22"/>
          <w:lang w:val="sk-SK"/>
        </w:rPr>
        <w:t>IS</w:t>
      </w:r>
      <w:r w:rsidRPr="000A6CA9">
        <w:rPr>
          <w:szCs w:val="22"/>
          <w:lang w:val="sk-SK"/>
        </w:rPr>
        <w:t>: 55</w:t>
      </w:r>
      <w:r>
        <w:rPr>
          <w:szCs w:val="22"/>
          <w:lang w:val="sk-SK"/>
        </w:rPr>
        <w:t>;</w:t>
      </w:r>
      <w:r w:rsidRPr="000A6CA9">
        <w:rPr>
          <w:szCs w:val="22"/>
          <w:lang w:val="sk-SK"/>
        </w:rPr>
        <w:t xml:space="preserve"> 219],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uvedenom poradí).</w:t>
      </w:r>
    </w:p>
    <w:p w:rsidR="003E4182" w:rsidRPr="000A6CA9" w:rsidRDefault="003E4182" w:rsidP="00DB4D6B">
      <w:pPr>
        <w:ind w:left="567" w:hanging="567"/>
        <w:outlineLvl w:val="0"/>
        <w:rPr>
          <w:b/>
          <w:color w:val="000000"/>
          <w:szCs w:val="22"/>
          <w:lang w:val="sk-SK"/>
        </w:rPr>
      </w:pPr>
    </w:p>
    <w:p w:rsidR="003E4182" w:rsidRPr="000A6CA9" w:rsidRDefault="003E4182" w:rsidP="00DB4D6B">
      <w:pPr>
        <w:keepNext/>
        <w:ind w:left="567" w:hanging="567"/>
        <w:outlineLvl w:val="0"/>
        <w:rPr>
          <w:b/>
          <w:color w:val="000000"/>
          <w:szCs w:val="22"/>
          <w:lang w:val="sk-SK"/>
        </w:rPr>
      </w:pPr>
      <w:r w:rsidRPr="000A6CA9">
        <w:rPr>
          <w:b/>
          <w:color w:val="000000"/>
          <w:szCs w:val="22"/>
          <w:lang w:val="sk-SK"/>
        </w:rPr>
        <w:t>5.3</w:t>
      </w:r>
      <w:r w:rsidRPr="000A6CA9">
        <w:rPr>
          <w:b/>
          <w:color w:val="000000"/>
          <w:szCs w:val="22"/>
          <w:lang w:val="sk-SK"/>
        </w:rPr>
        <w:tab/>
        <w:t>Predklinické údaje o</w:t>
      </w:r>
      <w:r>
        <w:rPr>
          <w:b/>
          <w:color w:val="000000"/>
          <w:szCs w:val="22"/>
          <w:lang w:val="sk-SK"/>
        </w:rPr>
        <w:t> </w:t>
      </w:r>
      <w:r w:rsidRPr="000A6CA9">
        <w:rPr>
          <w:b/>
          <w:color w:val="000000"/>
          <w:szCs w:val="22"/>
          <w:lang w:val="sk-SK"/>
        </w:rPr>
        <w:t>bezpečnosti</w:t>
      </w:r>
    </w:p>
    <w:p w:rsidR="003E4182" w:rsidRPr="000A6CA9" w:rsidRDefault="003E4182" w:rsidP="00DB4D6B">
      <w:pPr>
        <w:keepNext/>
        <w:ind w:left="567" w:hanging="567"/>
        <w:outlineLvl w:val="0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Jedinými obavami ohľadom bezpečnosti používania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ľudí vyplývajúcimi zo štúdií na zvieratách so</w:t>
      </w:r>
      <w:r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salmeterolom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flutikazónpropionátom</w:t>
      </w:r>
      <w:proofErr w:type="spellEnd"/>
      <w:r w:rsidRPr="000A6CA9">
        <w:rPr>
          <w:szCs w:val="22"/>
          <w:lang w:val="sk-SK"/>
        </w:rPr>
        <w:t xml:space="preserve"> podávanými jednotlivo boli prejavy spojené so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zvýšeným farmakologickým účinkom.</w:t>
      </w:r>
    </w:p>
    <w:p w:rsidR="003E4182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reprodukčných štúdiách na zvieratách sa dokázalo, že </w:t>
      </w:r>
      <w:proofErr w:type="spellStart"/>
      <w:r w:rsidRPr="000A6CA9">
        <w:rPr>
          <w:szCs w:val="22"/>
          <w:lang w:val="sk-SK"/>
        </w:rPr>
        <w:t>glukokortikosteroidy</w:t>
      </w:r>
      <w:proofErr w:type="spellEnd"/>
      <w:r w:rsidRPr="000A6CA9">
        <w:rPr>
          <w:szCs w:val="22"/>
          <w:lang w:val="sk-SK"/>
        </w:rPr>
        <w:t xml:space="preserve"> vyvolávajú </w:t>
      </w:r>
      <w:proofErr w:type="spellStart"/>
      <w:r w:rsidRPr="000A6CA9">
        <w:rPr>
          <w:szCs w:val="22"/>
          <w:lang w:val="sk-SK"/>
        </w:rPr>
        <w:t>malformácie</w:t>
      </w:r>
      <w:proofErr w:type="spellEnd"/>
      <w:r w:rsidRPr="000A6CA9">
        <w:rPr>
          <w:szCs w:val="22"/>
          <w:lang w:val="sk-SK"/>
        </w:rPr>
        <w:t xml:space="preserve"> (rázštep podnebia, </w:t>
      </w:r>
      <w:proofErr w:type="spellStart"/>
      <w:r w:rsidRPr="000A6CA9">
        <w:rPr>
          <w:szCs w:val="22"/>
          <w:lang w:val="sk-SK"/>
        </w:rPr>
        <w:t>malformácie</w:t>
      </w:r>
      <w:proofErr w:type="spellEnd"/>
      <w:r w:rsidRPr="000A6CA9">
        <w:rPr>
          <w:szCs w:val="22"/>
          <w:lang w:val="sk-SK"/>
        </w:rPr>
        <w:t xml:space="preserve"> skeletu). Zdá sa však, že výsledky týchto štúdií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zvieratách nie sú relevantné pre podávanie odporúčaných dávok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človeka.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štúdiách na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zvieratách sa toxické účinky </w:t>
      </w:r>
      <w:proofErr w:type="spellStart"/>
      <w:r w:rsidRPr="000A6CA9">
        <w:rPr>
          <w:szCs w:val="22"/>
          <w:lang w:val="sk-SK"/>
        </w:rPr>
        <w:t>salmeterolu</w:t>
      </w:r>
      <w:proofErr w:type="spellEnd"/>
      <w:r w:rsidRPr="000A6CA9">
        <w:rPr>
          <w:szCs w:val="22"/>
          <w:lang w:val="sk-SK"/>
        </w:rPr>
        <w:t xml:space="preserve"> na embryo a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plod dokázali len pri vysokých expozičných hladinách. Po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súbežnom podávaní oboch liečiv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dávkach spojených so známymi abnormalitami vyvolanými </w:t>
      </w:r>
      <w:proofErr w:type="spellStart"/>
      <w:r w:rsidRPr="000A6CA9">
        <w:rPr>
          <w:szCs w:val="22"/>
          <w:lang w:val="sk-SK"/>
        </w:rPr>
        <w:t>glukokortikosteroidmi</w:t>
      </w:r>
      <w:proofErr w:type="spellEnd"/>
      <w:r w:rsidRPr="000A6CA9">
        <w:rPr>
          <w:szCs w:val="22"/>
          <w:lang w:val="sk-SK"/>
        </w:rPr>
        <w:t xml:space="preserve"> sa u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potkanov zistil zvýšený výskyt transpozície </w:t>
      </w:r>
      <w:proofErr w:type="spellStart"/>
      <w:r w:rsidRPr="000A6CA9">
        <w:rPr>
          <w:szCs w:val="22"/>
          <w:lang w:val="sk-SK"/>
        </w:rPr>
        <w:t>pupočníkovej</w:t>
      </w:r>
      <w:proofErr w:type="spellEnd"/>
      <w:r w:rsidRPr="000A6CA9">
        <w:rPr>
          <w:szCs w:val="22"/>
          <w:lang w:val="sk-SK"/>
        </w:rPr>
        <w:t xml:space="preserve"> artérie a nedokončenej osifikácie záhlav</w:t>
      </w:r>
      <w:r>
        <w:rPr>
          <w:szCs w:val="22"/>
          <w:lang w:val="sk-SK"/>
        </w:rPr>
        <w:t>ovej</w:t>
      </w:r>
      <w:r w:rsidRPr="000A6CA9">
        <w:rPr>
          <w:szCs w:val="22"/>
          <w:lang w:val="sk-SK"/>
        </w:rPr>
        <w:t xml:space="preserve"> kosti.</w:t>
      </w:r>
    </w:p>
    <w:p w:rsidR="003E4182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A6CA9">
        <w:rPr>
          <w:color w:val="000000"/>
          <w:szCs w:val="22"/>
          <w:lang w:val="sk-SK"/>
        </w:rPr>
        <w:t>U</w:t>
      </w:r>
      <w:r>
        <w:rPr>
          <w:color w:val="000000"/>
          <w:szCs w:val="22"/>
          <w:lang w:val="sk-SK"/>
        </w:rPr>
        <w:t> </w:t>
      </w:r>
      <w:r w:rsidRPr="000A6CA9">
        <w:rPr>
          <w:color w:val="000000"/>
          <w:szCs w:val="22"/>
          <w:lang w:val="sk-SK"/>
        </w:rPr>
        <w:t xml:space="preserve">rôznych druhov zvierat, ktoré boli denne počas dvoch rokov vystavené </w:t>
      </w:r>
      <w:proofErr w:type="spellStart"/>
      <w:r w:rsidRPr="000A6CA9">
        <w:rPr>
          <w:color w:val="000000"/>
          <w:szCs w:val="22"/>
          <w:lang w:val="sk-SK"/>
        </w:rPr>
        <w:t>norfluránu</w:t>
      </w:r>
      <w:proofErr w:type="spellEnd"/>
      <w:r w:rsidRPr="000A6CA9">
        <w:rPr>
          <w:color w:val="000000"/>
          <w:szCs w:val="22"/>
          <w:lang w:val="sk-SK"/>
        </w:rPr>
        <w:t xml:space="preserve">, bolo preukázané, že tento hnací plyn bez obsahu CFC, nemá žiadne toxické účinky pri vysokých koncentráciách výparov, ktoré výrazne prevyšujú </w:t>
      </w:r>
      <w:r w:rsidRPr="009B1C09">
        <w:rPr>
          <w:color w:val="000000"/>
          <w:szCs w:val="22"/>
          <w:lang w:val="sk-SK"/>
        </w:rPr>
        <w:t>koncentrácie pravdepodobné u pacientov.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3E4182" w:rsidRPr="000A6CA9" w:rsidRDefault="003E4182" w:rsidP="00AB6354">
      <w:pPr>
        <w:keepNext/>
        <w:ind w:left="567" w:hanging="567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6.</w:t>
      </w:r>
      <w:r w:rsidRPr="000A6CA9">
        <w:rPr>
          <w:b/>
          <w:szCs w:val="22"/>
          <w:lang w:val="sk-SK"/>
        </w:rPr>
        <w:tab/>
        <w:t>FARMACEUTICKÉ INFORMÁCIE</w:t>
      </w:r>
    </w:p>
    <w:p w:rsidR="003E4182" w:rsidRPr="000A6CA9" w:rsidRDefault="003E4182" w:rsidP="00AB6354">
      <w:pPr>
        <w:keepNext/>
        <w:rPr>
          <w:szCs w:val="22"/>
          <w:lang w:val="sk-SK"/>
        </w:rPr>
      </w:pPr>
    </w:p>
    <w:p w:rsidR="003E4182" w:rsidRPr="000A6CA9" w:rsidRDefault="003E4182" w:rsidP="00AB6354">
      <w:pPr>
        <w:keepNext/>
        <w:ind w:left="567" w:hanging="567"/>
        <w:outlineLvl w:val="0"/>
        <w:rPr>
          <w:szCs w:val="22"/>
          <w:lang w:val="sk-SK"/>
        </w:rPr>
      </w:pPr>
      <w:r w:rsidRPr="000A6CA9">
        <w:rPr>
          <w:b/>
          <w:szCs w:val="22"/>
          <w:lang w:val="sk-SK"/>
        </w:rPr>
        <w:t>6.1</w:t>
      </w:r>
      <w:r w:rsidRPr="000A6CA9">
        <w:rPr>
          <w:b/>
          <w:szCs w:val="22"/>
          <w:lang w:val="sk-SK"/>
        </w:rPr>
        <w:tab/>
        <w:t>Zoznam pomocných látok</w:t>
      </w:r>
    </w:p>
    <w:p w:rsidR="003E4182" w:rsidRPr="000A6CA9" w:rsidRDefault="003E4182" w:rsidP="00AB6354">
      <w:pPr>
        <w:keepNext/>
        <w:rPr>
          <w:szCs w:val="22"/>
          <w:lang w:val="sk-SK"/>
        </w:rPr>
      </w:pPr>
    </w:p>
    <w:p w:rsidR="003E4182" w:rsidRPr="000A6CA9" w:rsidRDefault="003E4182" w:rsidP="00AB6354">
      <w:pPr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Hnací plyn: </w:t>
      </w:r>
      <w:proofErr w:type="spellStart"/>
      <w:r w:rsidRPr="000A6CA9">
        <w:rPr>
          <w:szCs w:val="22"/>
          <w:lang w:val="sk-SK"/>
        </w:rPr>
        <w:t>norflurán</w:t>
      </w:r>
      <w:proofErr w:type="spellEnd"/>
      <w:r w:rsidRPr="000A6CA9">
        <w:rPr>
          <w:szCs w:val="22"/>
          <w:lang w:val="sk-SK"/>
        </w:rPr>
        <w:t xml:space="preserve"> (HFA 134a)</w:t>
      </w:r>
    </w:p>
    <w:p w:rsidR="003E4182" w:rsidRPr="000A6CA9" w:rsidRDefault="003E4182" w:rsidP="00AB6354">
      <w:pPr>
        <w:rPr>
          <w:szCs w:val="22"/>
          <w:lang w:val="sk-SK"/>
        </w:rPr>
      </w:pPr>
      <w:r w:rsidRPr="000A6CA9">
        <w:rPr>
          <w:szCs w:val="22"/>
          <w:lang w:val="sk-SK"/>
        </w:rPr>
        <w:t>etanol, bezvodý</w:t>
      </w:r>
    </w:p>
    <w:p w:rsidR="003E4182" w:rsidRPr="00715F40" w:rsidRDefault="003E4182" w:rsidP="00AB6354">
      <w:pPr>
        <w:ind w:left="567" w:hanging="567"/>
        <w:outlineLvl w:val="0"/>
        <w:rPr>
          <w:szCs w:val="22"/>
          <w:lang w:val="sk-SK"/>
        </w:rPr>
      </w:pPr>
    </w:p>
    <w:p w:rsidR="003E4182" w:rsidRPr="000A6CA9" w:rsidRDefault="003E4182" w:rsidP="00AB6354">
      <w:pPr>
        <w:keepNext/>
        <w:suppressLineNumbers/>
        <w:ind w:left="567" w:hanging="567"/>
        <w:outlineLvl w:val="0"/>
        <w:rPr>
          <w:szCs w:val="22"/>
          <w:lang w:val="sk-SK"/>
        </w:rPr>
      </w:pPr>
      <w:r w:rsidRPr="000A6CA9">
        <w:rPr>
          <w:b/>
          <w:szCs w:val="22"/>
          <w:lang w:val="sk-SK"/>
        </w:rPr>
        <w:t>6.2</w:t>
      </w:r>
      <w:r w:rsidRPr="000A6CA9">
        <w:rPr>
          <w:b/>
          <w:szCs w:val="22"/>
          <w:lang w:val="sk-SK"/>
        </w:rPr>
        <w:tab/>
        <w:t>Inkompatibility</w:t>
      </w:r>
    </w:p>
    <w:p w:rsidR="003E4182" w:rsidRPr="000A6CA9" w:rsidRDefault="003E4182" w:rsidP="00AB6354">
      <w:pPr>
        <w:keepNext/>
        <w:suppressLineNumbers/>
        <w:rPr>
          <w:szCs w:val="22"/>
          <w:lang w:val="sk-SK"/>
        </w:rPr>
      </w:pPr>
    </w:p>
    <w:p w:rsidR="003E4182" w:rsidRPr="000A6CA9" w:rsidRDefault="003E4182" w:rsidP="00AB6354">
      <w:pPr>
        <w:rPr>
          <w:szCs w:val="22"/>
          <w:lang w:val="sk-SK"/>
        </w:rPr>
      </w:pPr>
      <w:r w:rsidRPr="000A6CA9">
        <w:rPr>
          <w:szCs w:val="22"/>
          <w:lang w:val="sk-SK"/>
        </w:rPr>
        <w:t>Neaplikovateľné.</w:t>
      </w:r>
    </w:p>
    <w:p w:rsidR="003E4182" w:rsidRPr="000A6CA9" w:rsidRDefault="003E4182" w:rsidP="00AB6354">
      <w:pPr>
        <w:rPr>
          <w:szCs w:val="22"/>
          <w:lang w:val="sk-SK"/>
        </w:rPr>
      </w:pPr>
    </w:p>
    <w:p w:rsidR="003E4182" w:rsidRPr="000A6CA9" w:rsidRDefault="003E4182" w:rsidP="00AB6354">
      <w:pPr>
        <w:keepNext/>
        <w:suppressLineNumbers/>
        <w:ind w:left="567" w:hanging="567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lastRenderedPageBreak/>
        <w:t>6.3</w:t>
      </w:r>
      <w:r w:rsidRPr="000A6CA9">
        <w:rPr>
          <w:b/>
          <w:szCs w:val="22"/>
          <w:lang w:val="sk-SK"/>
        </w:rPr>
        <w:tab/>
        <w:t>Čas použiteľnosti</w:t>
      </w:r>
    </w:p>
    <w:p w:rsidR="003E4182" w:rsidRPr="000A6CA9" w:rsidRDefault="003E4182" w:rsidP="00AB6354">
      <w:pPr>
        <w:keepNext/>
        <w:suppressLineNumbers/>
        <w:rPr>
          <w:szCs w:val="22"/>
          <w:lang w:val="sk-SK"/>
        </w:rPr>
      </w:pPr>
    </w:p>
    <w:p w:rsidR="003E4182" w:rsidRPr="000A6CA9" w:rsidRDefault="003E4182" w:rsidP="00AB6354">
      <w:pPr>
        <w:rPr>
          <w:szCs w:val="22"/>
          <w:lang w:val="sk-SK"/>
        </w:rPr>
      </w:pPr>
      <w:r w:rsidRPr="000A6CA9">
        <w:rPr>
          <w:szCs w:val="22"/>
          <w:lang w:val="sk-SK"/>
        </w:rPr>
        <w:t>2 roky</w:t>
      </w:r>
      <w:r w:rsidR="00FE0312">
        <w:rPr>
          <w:szCs w:val="22"/>
          <w:lang w:val="sk-SK"/>
        </w:rPr>
        <w:t>.</w:t>
      </w:r>
    </w:p>
    <w:p w:rsidR="003E4182" w:rsidRPr="000A6CA9" w:rsidRDefault="003E4182" w:rsidP="00AB6354">
      <w:pPr>
        <w:rPr>
          <w:szCs w:val="22"/>
          <w:lang w:val="sk-SK"/>
        </w:rPr>
      </w:pPr>
    </w:p>
    <w:p w:rsidR="003E4182" w:rsidRPr="000A6CA9" w:rsidRDefault="003E4182" w:rsidP="00AB6354">
      <w:pPr>
        <w:keepNext/>
        <w:ind w:left="567" w:hanging="567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6.4</w:t>
      </w:r>
      <w:r w:rsidRPr="000A6CA9">
        <w:rPr>
          <w:b/>
          <w:szCs w:val="22"/>
          <w:lang w:val="sk-SK"/>
        </w:rPr>
        <w:tab/>
        <w:t>Špeciálne upozornenia na uchovávanie</w:t>
      </w:r>
    </w:p>
    <w:p w:rsidR="003E4182" w:rsidRPr="000A6CA9" w:rsidRDefault="003E4182" w:rsidP="00AB6354">
      <w:pPr>
        <w:keepNext/>
        <w:ind w:left="567" w:hanging="567"/>
        <w:outlineLvl w:val="0"/>
        <w:rPr>
          <w:b/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Uchovávajte pri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teplote do 25 °C</w:t>
      </w:r>
      <w:r>
        <w:rPr>
          <w:szCs w:val="22"/>
          <w:lang w:val="sk-SK"/>
        </w:rPr>
        <w:t>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263894">
      <w:pPr>
        <w:tabs>
          <w:tab w:val="clear" w:pos="567"/>
          <w:tab w:val="left" w:pos="0"/>
        </w:tabs>
        <w:spacing w:line="240" w:lineRule="auto"/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>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 xml:space="preserve">a obsahuje </w:t>
      </w:r>
      <w:r>
        <w:rPr>
          <w:szCs w:val="22"/>
          <w:lang w:val="sk-SK"/>
        </w:rPr>
        <w:t>kvapalinu</w:t>
      </w:r>
      <w:r w:rsidRPr="000A6CA9">
        <w:rPr>
          <w:szCs w:val="22"/>
          <w:lang w:val="sk-SK"/>
        </w:rPr>
        <w:t xml:space="preserve"> pod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>tlakom. Nevystavujte teplotám presahujúcim 50 °C, chráňte pred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priamym slnečným svetlom. </w:t>
      </w:r>
      <w:r w:rsidRPr="009D77EC">
        <w:rPr>
          <w:noProof/>
          <w:szCs w:val="22"/>
          <w:lang w:val="sk-SK"/>
        </w:rPr>
        <w:t>Ani vyprázdnenú nádobku neprepichujte a nevhadzujte do ohňa.</w:t>
      </w:r>
    </w:p>
    <w:p w:rsidR="003E4182" w:rsidRPr="000A6CA9" w:rsidRDefault="003E4182" w:rsidP="00A801A9">
      <w:pPr>
        <w:spacing w:line="240" w:lineRule="auto"/>
        <w:ind w:right="-2"/>
        <w:outlineLvl w:val="0"/>
        <w:rPr>
          <w:szCs w:val="22"/>
          <w:lang w:val="sk-SK"/>
        </w:rPr>
      </w:pPr>
    </w:p>
    <w:p w:rsidR="003E4182" w:rsidRPr="000A6CA9" w:rsidRDefault="003E4182" w:rsidP="00A801A9">
      <w:pPr>
        <w:spacing w:line="240" w:lineRule="auto"/>
        <w:ind w:right="-2"/>
        <w:outlineLvl w:val="0"/>
        <w:rPr>
          <w:szCs w:val="22"/>
          <w:lang w:val="sk-SK"/>
        </w:rPr>
      </w:pPr>
      <w:r w:rsidRPr="000A6CA9">
        <w:rPr>
          <w:szCs w:val="22"/>
          <w:lang w:val="sk-SK"/>
        </w:rPr>
        <w:t>Tak ako u väčšiny inhalačných liekov v tlakových nádobách, liečivý účinok tohto lieku sa môž</w:t>
      </w:r>
      <w:r>
        <w:rPr>
          <w:szCs w:val="22"/>
          <w:lang w:val="sk-SK"/>
        </w:rPr>
        <w:t>e</w:t>
      </w:r>
      <w:r w:rsidRPr="000A6CA9">
        <w:rPr>
          <w:szCs w:val="22"/>
          <w:lang w:val="sk-SK"/>
        </w:rPr>
        <w:t xml:space="preserve"> znížiť, ak je nádob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>a schladená.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keepNext/>
        <w:numPr>
          <w:ilvl w:val="1"/>
          <w:numId w:val="4"/>
        </w:numPr>
        <w:spacing w:line="240" w:lineRule="auto"/>
        <w:outlineLvl w:val="0"/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Druh obalu a obsah balenia</w:t>
      </w: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580250">
      <w:pPr>
        <w:tabs>
          <w:tab w:val="clear" w:pos="567"/>
          <w:tab w:val="left" w:pos="4253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Suspenzia je obsiahnutá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16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ml tlakovej nádob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>e z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 xml:space="preserve">hliníkovej zliatiny s vnútornou </w:t>
      </w:r>
      <w:proofErr w:type="spellStart"/>
      <w:r w:rsidR="00655D4B">
        <w:rPr>
          <w:szCs w:val="22"/>
          <w:lang w:val="sk-SK"/>
        </w:rPr>
        <w:t>florovanou</w:t>
      </w:r>
      <w:proofErr w:type="spellEnd"/>
      <w:r w:rsidR="00655D4B"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vrstvou </w:t>
      </w:r>
      <w:proofErr w:type="spellStart"/>
      <w:r w:rsidR="00655D4B" w:rsidRPr="00664652">
        <w:rPr>
          <w:szCs w:val="22"/>
          <w:lang w:val="sk-SK"/>
        </w:rPr>
        <w:t>etylén-propylénový</w:t>
      </w:r>
      <w:r w:rsidR="00655D4B">
        <w:rPr>
          <w:szCs w:val="22"/>
          <w:lang w:val="sk-SK"/>
        </w:rPr>
        <w:t>m</w:t>
      </w:r>
      <w:proofErr w:type="spellEnd"/>
      <w:r w:rsidR="00655D4B" w:rsidRPr="00664652">
        <w:rPr>
          <w:szCs w:val="22"/>
          <w:lang w:val="sk-SK"/>
        </w:rPr>
        <w:t xml:space="preserve"> </w:t>
      </w:r>
      <w:proofErr w:type="spellStart"/>
      <w:r w:rsidR="00655D4B" w:rsidRPr="00664652">
        <w:rPr>
          <w:szCs w:val="22"/>
          <w:lang w:val="sk-SK"/>
        </w:rPr>
        <w:t>kopolymér</w:t>
      </w:r>
      <w:r w:rsidR="00655D4B">
        <w:rPr>
          <w:szCs w:val="22"/>
          <w:lang w:val="sk-SK"/>
        </w:rPr>
        <w:t>om</w:t>
      </w:r>
      <w:proofErr w:type="spellEnd"/>
      <w:r w:rsidR="00FE0312">
        <w:rPr>
          <w:szCs w:val="22"/>
          <w:lang w:val="sk-SK"/>
        </w:rPr>
        <w:t>(FEP)</w:t>
      </w:r>
      <w:r w:rsidRPr="000A6CA9">
        <w:rPr>
          <w:szCs w:val="22"/>
          <w:lang w:val="sk-SK"/>
        </w:rPr>
        <w:t xml:space="preserve">, uzavretej </w:t>
      </w:r>
      <w:r>
        <w:rPr>
          <w:szCs w:val="22"/>
          <w:lang w:val="sk-SK"/>
        </w:rPr>
        <w:t>s dávkovacím</w:t>
      </w:r>
      <w:r w:rsidRPr="000A6CA9">
        <w:rPr>
          <w:szCs w:val="22"/>
          <w:lang w:val="sk-SK"/>
        </w:rPr>
        <w:t xml:space="preserve"> ventilom. </w:t>
      </w:r>
      <w:r>
        <w:rPr>
          <w:szCs w:val="22"/>
          <w:lang w:val="sk-SK"/>
        </w:rPr>
        <w:t>N</w:t>
      </w:r>
      <w:r w:rsidRPr="000A6CA9">
        <w:rPr>
          <w:szCs w:val="22"/>
          <w:lang w:val="sk-SK"/>
        </w:rPr>
        <w:t>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>y sú vsadené do</w:t>
      </w:r>
      <w:r>
        <w:rPr>
          <w:szCs w:val="22"/>
          <w:lang w:val="sk-SK"/>
        </w:rPr>
        <w:t xml:space="preserve"> </w:t>
      </w:r>
      <w:r w:rsidRPr="000A6CA9">
        <w:rPr>
          <w:szCs w:val="22"/>
          <w:lang w:val="sk-SK"/>
        </w:rPr>
        <w:t xml:space="preserve">bielych plastových dávkovačov, ktorých súčasťou je rozprašovací náustok a vybavené svetlofialovou </w:t>
      </w:r>
      <w:r w:rsidRPr="00044DEC">
        <w:rPr>
          <w:szCs w:val="22"/>
          <w:highlight w:val="lightGray"/>
          <w:lang w:val="sk-SK"/>
        </w:rPr>
        <w:t>alebo bordovou</w:t>
      </w:r>
      <w:r w:rsidRPr="000A6CA9">
        <w:rPr>
          <w:szCs w:val="22"/>
          <w:lang w:val="sk-SK"/>
        </w:rPr>
        <w:t xml:space="preserve"> ochrannou manžetou proti prachu. Dávkovač má integrovane pripojené počítadlo dávok, ktoré ukazuje, koľko odmeraných dávok lieku zostáva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balení. Číslo je vidieť cez okno v zadnej časti plastového dávkovača. Jedna tlaková nádob</w:t>
      </w:r>
      <w:r>
        <w:rPr>
          <w:szCs w:val="22"/>
          <w:lang w:val="sk-SK"/>
        </w:rPr>
        <w:t>k</w:t>
      </w:r>
      <w:r w:rsidRPr="000A6CA9">
        <w:rPr>
          <w:szCs w:val="22"/>
          <w:lang w:val="sk-SK"/>
        </w:rPr>
        <w:t>a dodáva 120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odmeraných dávok.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>Zariadenia sú k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dispozícii v</w:t>
      </w:r>
      <w:r>
        <w:rPr>
          <w:szCs w:val="22"/>
          <w:lang w:val="sk-SK"/>
        </w:rPr>
        <w:t> </w:t>
      </w:r>
      <w:r w:rsidRPr="000A6CA9">
        <w:rPr>
          <w:szCs w:val="22"/>
          <w:lang w:val="sk-SK"/>
        </w:rPr>
        <w:t>škatuliach, ktoré obsahujú:</w:t>
      </w: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DC64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green"/>
          <w:lang w:val="sk-SK"/>
        </w:rPr>
      </w:pPr>
      <w:r w:rsidRPr="000A6CA9">
        <w:rPr>
          <w:szCs w:val="22"/>
          <w:lang w:val="sk-SK"/>
        </w:rPr>
        <w:t>Inhalátor s 1x120 odmeranými dávkami</w:t>
      </w:r>
    </w:p>
    <w:p w:rsidR="003E4182" w:rsidRPr="00641522" w:rsidRDefault="003E4182" w:rsidP="00AB6354">
      <w:p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3E4182" w:rsidRPr="000A6CA9" w:rsidRDefault="003E4182" w:rsidP="00AB6354">
      <w:pPr>
        <w:keepNext/>
        <w:numPr>
          <w:ilvl w:val="1"/>
          <w:numId w:val="4"/>
        </w:numPr>
        <w:ind w:left="573"/>
        <w:outlineLvl w:val="0"/>
        <w:rPr>
          <w:b/>
          <w:szCs w:val="22"/>
          <w:lang w:val="sk-SK"/>
        </w:rPr>
      </w:pPr>
      <w:bookmarkStart w:id="1" w:name="OLE_LINK1"/>
      <w:r w:rsidRPr="000A6CA9">
        <w:rPr>
          <w:b/>
          <w:szCs w:val="22"/>
          <w:lang w:val="sk-SK"/>
        </w:rPr>
        <w:t>Špeciálne opatrenia na likvidáciu a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iné zaobchádzanie s</w:t>
      </w:r>
      <w:r>
        <w:rPr>
          <w:b/>
          <w:szCs w:val="22"/>
          <w:lang w:val="sk-SK"/>
        </w:rPr>
        <w:t> </w:t>
      </w:r>
      <w:r w:rsidRPr="000A6CA9">
        <w:rPr>
          <w:b/>
          <w:szCs w:val="22"/>
          <w:lang w:val="sk-SK"/>
        </w:rPr>
        <w:t>liekom</w:t>
      </w:r>
    </w:p>
    <w:p w:rsidR="003E4182" w:rsidRPr="000A6CA9" w:rsidRDefault="003E4182" w:rsidP="00641522">
      <w:pPr>
        <w:keepNext/>
        <w:tabs>
          <w:tab w:val="clear" w:pos="567"/>
        </w:tabs>
        <w:ind w:left="3"/>
        <w:outlineLvl w:val="0"/>
        <w:rPr>
          <w:b/>
          <w:szCs w:val="22"/>
          <w:lang w:val="sk-SK"/>
        </w:rPr>
      </w:pPr>
    </w:p>
    <w:p w:rsidR="003E4182" w:rsidRPr="000A6CA9" w:rsidRDefault="003E4182" w:rsidP="00AB6354">
      <w:pPr>
        <w:outlineLvl w:val="0"/>
        <w:rPr>
          <w:szCs w:val="22"/>
          <w:lang w:val="sk-SK"/>
        </w:rPr>
      </w:pPr>
      <w:r w:rsidRPr="000A6CA9">
        <w:rPr>
          <w:szCs w:val="22"/>
          <w:lang w:val="sk-SK"/>
        </w:rPr>
        <w:t>Všetok nepoužitý liek alebo odpad vzniknutý z lieku sa má zlikvidovať v súlade s národnými požiadavkami.</w:t>
      </w:r>
    </w:p>
    <w:p w:rsidR="003E4182" w:rsidRPr="000A6CA9" w:rsidRDefault="003E4182" w:rsidP="00AB6354">
      <w:pPr>
        <w:outlineLvl w:val="0"/>
        <w:rPr>
          <w:szCs w:val="22"/>
          <w:lang w:val="sk-SK"/>
        </w:rPr>
      </w:pPr>
    </w:p>
    <w:p w:rsidR="003E4182" w:rsidRPr="000A6CA9" w:rsidRDefault="003E4182" w:rsidP="00AB6354">
      <w:pPr>
        <w:outlineLvl w:val="0"/>
        <w:rPr>
          <w:szCs w:val="22"/>
          <w:lang w:val="sk-SK"/>
        </w:rPr>
      </w:pPr>
    </w:p>
    <w:bookmarkEnd w:id="1"/>
    <w:p w:rsidR="003E4182" w:rsidRPr="000A6CA9" w:rsidRDefault="003E4182" w:rsidP="00AB6354">
      <w:pPr>
        <w:keepNext/>
        <w:tabs>
          <w:tab w:val="clear" w:pos="567"/>
        </w:tabs>
        <w:rPr>
          <w:b/>
          <w:szCs w:val="22"/>
          <w:lang w:val="sk-SK"/>
        </w:rPr>
      </w:pPr>
      <w:r w:rsidRPr="000A6CA9">
        <w:rPr>
          <w:b/>
          <w:szCs w:val="22"/>
          <w:lang w:val="sk-SK"/>
        </w:rPr>
        <w:t>7.</w:t>
      </w:r>
      <w:r w:rsidRPr="000A6CA9">
        <w:rPr>
          <w:b/>
          <w:szCs w:val="22"/>
          <w:lang w:val="sk-SK"/>
        </w:rPr>
        <w:tab/>
        <w:t>DRŽITEĽ ROZHODNUTIA O REGISTRÁCII</w:t>
      </w:r>
    </w:p>
    <w:p w:rsidR="003E4182" w:rsidRPr="000A6CA9" w:rsidRDefault="003E4182" w:rsidP="00AB6354">
      <w:pPr>
        <w:keepNext/>
        <w:ind w:left="567" w:hanging="567"/>
        <w:rPr>
          <w:szCs w:val="22"/>
          <w:lang w:val="sk-SK"/>
        </w:rPr>
      </w:pPr>
    </w:p>
    <w:p w:rsidR="00566D17" w:rsidRPr="005200D3" w:rsidRDefault="00566D17" w:rsidP="005200D3">
      <w:pPr>
        <w:tabs>
          <w:tab w:val="left" w:pos="2198"/>
        </w:tabs>
        <w:spacing w:line="240" w:lineRule="auto"/>
        <w:rPr>
          <w:noProof/>
          <w:szCs w:val="22"/>
          <w:lang w:val="sk-SK"/>
        </w:rPr>
      </w:pPr>
      <w:r w:rsidRPr="005200D3">
        <w:rPr>
          <w:noProof/>
          <w:szCs w:val="22"/>
          <w:lang w:val="sk-SK"/>
        </w:rPr>
        <w:t>Mylan Ireland Limited</w:t>
      </w:r>
    </w:p>
    <w:p w:rsidR="00566D17" w:rsidRPr="005200D3" w:rsidRDefault="00D64085" w:rsidP="005200D3">
      <w:pPr>
        <w:tabs>
          <w:tab w:val="left" w:pos="2198"/>
        </w:tabs>
        <w:spacing w:line="240" w:lineRule="auto"/>
        <w:rPr>
          <w:noProof/>
          <w:szCs w:val="22"/>
          <w:lang w:val="sk-SK"/>
        </w:rPr>
      </w:pPr>
      <w:r w:rsidRPr="005200D3">
        <w:rPr>
          <w:noProof/>
          <w:szCs w:val="22"/>
          <w:lang w:val="sk-SK"/>
        </w:rPr>
        <w:t xml:space="preserve">Unit </w:t>
      </w:r>
      <w:r w:rsidR="00566D17" w:rsidRPr="005200D3">
        <w:rPr>
          <w:noProof/>
          <w:szCs w:val="22"/>
          <w:lang w:val="sk-SK"/>
        </w:rPr>
        <w:t>35/36 Grange Parade</w:t>
      </w:r>
    </w:p>
    <w:p w:rsidR="00566D17" w:rsidRPr="005200D3" w:rsidRDefault="00566D17" w:rsidP="005200D3">
      <w:pPr>
        <w:tabs>
          <w:tab w:val="left" w:pos="2198"/>
        </w:tabs>
        <w:spacing w:line="240" w:lineRule="auto"/>
        <w:rPr>
          <w:noProof/>
          <w:szCs w:val="22"/>
          <w:lang w:val="sk-SK"/>
        </w:rPr>
      </w:pPr>
      <w:r w:rsidRPr="005200D3">
        <w:rPr>
          <w:noProof/>
          <w:szCs w:val="22"/>
          <w:lang w:val="sk-SK"/>
        </w:rPr>
        <w:t>Baldoyle Industrial Estate</w:t>
      </w:r>
    </w:p>
    <w:p w:rsidR="00566D17" w:rsidRPr="005200D3" w:rsidRDefault="00566D17" w:rsidP="005200D3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lang w:val="sk-SK"/>
        </w:rPr>
      </w:pPr>
      <w:r w:rsidRPr="005200D3">
        <w:rPr>
          <w:rFonts w:ascii="Times New Roman" w:hAnsi="Times New Roman"/>
          <w:noProof/>
          <w:sz w:val="22"/>
          <w:szCs w:val="22"/>
          <w:lang w:val="sk-SK"/>
        </w:rPr>
        <w:t>Dublin 13, Írsko</w:t>
      </w:r>
    </w:p>
    <w:p w:rsidR="003E4182" w:rsidRPr="000A6CA9" w:rsidRDefault="003E4182" w:rsidP="005200D3">
      <w:pPr>
        <w:spacing w:line="240" w:lineRule="auto"/>
        <w:ind w:left="567" w:hanging="567"/>
        <w:rPr>
          <w:szCs w:val="22"/>
          <w:lang w:val="sk-SK"/>
        </w:rPr>
      </w:pPr>
    </w:p>
    <w:p w:rsidR="003E4182" w:rsidRPr="000A6CA9" w:rsidRDefault="003E4182" w:rsidP="00AB6354">
      <w:pPr>
        <w:rPr>
          <w:szCs w:val="22"/>
          <w:lang w:val="sk-SK"/>
        </w:rPr>
      </w:pP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0A6CA9">
        <w:rPr>
          <w:b/>
          <w:bCs/>
          <w:szCs w:val="22"/>
          <w:lang w:val="sk-SK"/>
        </w:rPr>
        <w:t>8.</w:t>
      </w:r>
      <w:r w:rsidRPr="000A6CA9">
        <w:rPr>
          <w:b/>
          <w:bCs/>
          <w:szCs w:val="22"/>
          <w:lang w:val="sk-SK"/>
        </w:rPr>
        <w:tab/>
      </w:r>
      <w:r w:rsidRPr="000A6CA9">
        <w:rPr>
          <w:b/>
          <w:szCs w:val="22"/>
          <w:lang w:val="sk-SK"/>
        </w:rPr>
        <w:t>REGISTRAČNÉ ČÍSLA</w:t>
      </w: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3E4182" w:rsidRPr="000E67D8" w:rsidRDefault="00474110" w:rsidP="000E67D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0E67D8">
        <w:rPr>
          <w:szCs w:val="22"/>
          <w:lang w:val="sk-SK"/>
        </w:rPr>
        <w:t xml:space="preserve"> 25 mikrogramov/125 </w:t>
      </w:r>
      <w:proofErr w:type="spellStart"/>
      <w:r w:rsidR="003E4182" w:rsidRPr="000E67D8">
        <w:rPr>
          <w:szCs w:val="22"/>
          <w:lang w:val="sk-SK"/>
        </w:rPr>
        <w:t>mikrogramov</w:t>
      </w:r>
      <w:proofErr w:type="spellEnd"/>
      <w:r w:rsidR="003E4182">
        <w:rPr>
          <w:szCs w:val="22"/>
          <w:lang w:val="sk-SK"/>
        </w:rPr>
        <w:t xml:space="preserve">: </w:t>
      </w:r>
      <w:r w:rsidR="003E4182" w:rsidRPr="00877231">
        <w:rPr>
          <w:szCs w:val="22"/>
          <w:lang w:val="sk-SK"/>
        </w:rPr>
        <w:t>14/0492/16-S</w:t>
      </w:r>
    </w:p>
    <w:p w:rsidR="003E4182" w:rsidRDefault="00474110" w:rsidP="000E67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3E4182" w:rsidRPr="00E1502E">
        <w:rPr>
          <w:szCs w:val="22"/>
          <w:lang w:val="sk-SK"/>
        </w:rPr>
        <w:t xml:space="preserve"> 25 mikrogramov/250 </w:t>
      </w:r>
      <w:proofErr w:type="spellStart"/>
      <w:r w:rsidR="003E4182" w:rsidRPr="00E1502E">
        <w:rPr>
          <w:szCs w:val="22"/>
          <w:lang w:val="sk-SK"/>
        </w:rPr>
        <w:t>mikro</w:t>
      </w:r>
      <w:r w:rsidR="003E4182" w:rsidRPr="00E1502E">
        <w:rPr>
          <w:color w:val="000000"/>
          <w:szCs w:val="22"/>
          <w:lang w:val="sk-SK"/>
        </w:rPr>
        <w:t>gramov</w:t>
      </w:r>
      <w:proofErr w:type="spellEnd"/>
      <w:r w:rsidR="003E4182">
        <w:rPr>
          <w:color w:val="000000"/>
          <w:szCs w:val="22"/>
          <w:lang w:val="sk-SK"/>
        </w:rPr>
        <w:t>: 14/0493</w:t>
      </w:r>
      <w:r w:rsidR="003E4182" w:rsidRPr="00877231">
        <w:rPr>
          <w:color w:val="000000"/>
          <w:szCs w:val="22"/>
          <w:lang w:val="sk-SK"/>
        </w:rPr>
        <w:t>/16-S</w:t>
      </w:r>
    </w:p>
    <w:p w:rsidR="003E4182" w:rsidRPr="00ED3FB4" w:rsidRDefault="003E4182" w:rsidP="000E67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0A6CA9">
        <w:rPr>
          <w:b/>
          <w:bCs/>
          <w:szCs w:val="22"/>
          <w:lang w:val="sk-SK"/>
        </w:rPr>
        <w:t>9.</w:t>
      </w:r>
      <w:r w:rsidRPr="000A6CA9">
        <w:rPr>
          <w:b/>
          <w:bCs/>
          <w:szCs w:val="22"/>
          <w:lang w:val="sk-SK"/>
        </w:rPr>
        <w:tab/>
      </w:r>
      <w:r w:rsidRPr="000A6CA9">
        <w:rPr>
          <w:b/>
          <w:szCs w:val="22"/>
          <w:lang w:val="sk-SK"/>
        </w:rPr>
        <w:t>DÁTUM PRVEJ REGISTRÁCIE/PREDĹŽENIA REGISTRÁCIE</w:t>
      </w: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A6CA9">
        <w:rPr>
          <w:szCs w:val="22"/>
          <w:lang w:val="sk-SK"/>
        </w:rPr>
        <w:t xml:space="preserve">Dátum prvej registrácie: </w:t>
      </w:r>
      <w:r>
        <w:rPr>
          <w:szCs w:val="22"/>
          <w:lang w:val="sk-SK"/>
        </w:rPr>
        <w:t>21. novembra 2016</w:t>
      </w: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0A6CA9">
        <w:rPr>
          <w:b/>
          <w:bCs/>
          <w:szCs w:val="22"/>
          <w:lang w:val="sk-SK"/>
        </w:rPr>
        <w:lastRenderedPageBreak/>
        <w:t>10.</w:t>
      </w:r>
      <w:r w:rsidRPr="000A6CA9">
        <w:rPr>
          <w:b/>
          <w:bCs/>
          <w:szCs w:val="22"/>
          <w:lang w:val="sk-SK"/>
        </w:rPr>
        <w:tab/>
      </w:r>
      <w:r w:rsidRPr="000A6CA9">
        <w:rPr>
          <w:b/>
          <w:szCs w:val="22"/>
          <w:lang w:val="sk-SK"/>
        </w:rPr>
        <w:t>DÁTUM REVÍZIE TEXTU</w:t>
      </w:r>
    </w:p>
    <w:p w:rsidR="003E4182" w:rsidRPr="000A6CA9" w:rsidRDefault="003E4182" w:rsidP="00AB635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:rsidR="003E4182" w:rsidRPr="000A6CA9" w:rsidRDefault="00566D17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Jún </w:t>
      </w:r>
      <w:r w:rsidR="00675B7F">
        <w:rPr>
          <w:szCs w:val="22"/>
          <w:lang w:val="sk-SK"/>
        </w:rPr>
        <w:t>201</w:t>
      </w:r>
      <w:r>
        <w:rPr>
          <w:szCs w:val="22"/>
          <w:lang w:val="sk-SK"/>
        </w:rPr>
        <w:t>8</w:t>
      </w:r>
    </w:p>
    <w:p w:rsidR="00B41633" w:rsidRDefault="00B41633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Diskus</w:t>
      </w:r>
      <w:proofErr w:type="spellEnd"/>
      <w:r w:rsidRPr="000A6CA9">
        <w:rPr>
          <w:szCs w:val="22"/>
          <w:lang w:val="sk-SK"/>
        </w:rPr>
        <w:t xml:space="preserve">, </w:t>
      </w:r>
      <w:proofErr w:type="spellStart"/>
      <w:r w:rsidRPr="000A6CA9">
        <w:rPr>
          <w:szCs w:val="22"/>
          <w:lang w:val="sk-SK"/>
        </w:rPr>
        <w:t>Accuhaler</w:t>
      </w:r>
      <w:proofErr w:type="spellEnd"/>
      <w:r w:rsidRPr="000A6CA9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proofErr w:type="spellStart"/>
      <w:r w:rsidRPr="000A6CA9">
        <w:rPr>
          <w:szCs w:val="22"/>
          <w:lang w:val="sk-SK"/>
        </w:rPr>
        <w:t>Volumatic</w:t>
      </w:r>
      <w:proofErr w:type="spellEnd"/>
      <w:r w:rsidRPr="000A6CA9">
        <w:rPr>
          <w:szCs w:val="22"/>
          <w:lang w:val="sk-SK"/>
        </w:rPr>
        <w:t xml:space="preserve"> sú registrované ochranné známky skupiny firiem </w:t>
      </w:r>
      <w:proofErr w:type="spellStart"/>
      <w:r w:rsidRPr="000A6CA9">
        <w:rPr>
          <w:szCs w:val="22"/>
          <w:lang w:val="sk-SK"/>
        </w:rPr>
        <w:t>GlaxoSmithKline</w:t>
      </w:r>
      <w:proofErr w:type="spellEnd"/>
      <w:r w:rsidRPr="000A6CA9">
        <w:rPr>
          <w:szCs w:val="22"/>
          <w:lang w:val="sk-SK"/>
        </w:rPr>
        <w:t>.</w:t>
      </w: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4182" w:rsidRPr="000A6CA9" w:rsidRDefault="003E4182" w:rsidP="00AB635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 w:rsidRPr="000A6CA9">
        <w:rPr>
          <w:szCs w:val="22"/>
          <w:lang w:val="sk-SK"/>
        </w:rPr>
        <w:t>AeroChamber</w:t>
      </w:r>
      <w:proofErr w:type="spellEnd"/>
      <w:r w:rsidRPr="000A6CA9">
        <w:rPr>
          <w:szCs w:val="22"/>
          <w:lang w:val="sk-SK"/>
        </w:rPr>
        <w:t xml:space="preserve"> Plus je registrovaná ochranná známka spoločnosti </w:t>
      </w:r>
      <w:proofErr w:type="spellStart"/>
      <w:r w:rsidRPr="000A6CA9">
        <w:rPr>
          <w:szCs w:val="22"/>
          <w:lang w:val="sk-SK"/>
        </w:rPr>
        <w:t>Trudell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Medical</w:t>
      </w:r>
      <w:proofErr w:type="spellEnd"/>
      <w:r w:rsidRPr="000A6CA9">
        <w:rPr>
          <w:szCs w:val="22"/>
          <w:lang w:val="sk-SK"/>
        </w:rPr>
        <w:t xml:space="preserve"> </w:t>
      </w:r>
      <w:proofErr w:type="spellStart"/>
      <w:r w:rsidRPr="000A6CA9">
        <w:rPr>
          <w:szCs w:val="22"/>
          <w:lang w:val="sk-SK"/>
        </w:rPr>
        <w:t>International</w:t>
      </w:r>
      <w:proofErr w:type="spellEnd"/>
      <w:r w:rsidRPr="000A6CA9">
        <w:rPr>
          <w:szCs w:val="22"/>
          <w:lang w:val="sk-SK"/>
        </w:rPr>
        <w:t>.</w:t>
      </w:r>
    </w:p>
    <w:sectPr w:rsidR="003E4182" w:rsidRPr="000A6CA9" w:rsidSect="005200D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64" w:rsidRDefault="00526264" w:rsidP="00F04899">
      <w:pPr>
        <w:spacing w:line="240" w:lineRule="auto"/>
      </w:pPr>
      <w:r>
        <w:separator/>
      </w:r>
    </w:p>
  </w:endnote>
  <w:endnote w:type="continuationSeparator" w:id="0">
    <w:p w:rsidR="00526264" w:rsidRDefault="00526264" w:rsidP="00F04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0E" w:rsidRDefault="00DC530E" w:rsidP="005D599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C530E" w:rsidRDefault="00DC530E" w:rsidP="005D599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0E" w:rsidRPr="005D599A" w:rsidRDefault="00DC530E" w:rsidP="00AF5848">
    <w:pPr>
      <w:pStyle w:val="Pta"/>
      <w:framePr w:wrap="around" w:vAnchor="text" w:hAnchor="margin" w:xAlign="center" w:y="1"/>
      <w:spacing w:line="240" w:lineRule="auto"/>
      <w:jc w:val="center"/>
      <w:rPr>
        <w:rStyle w:val="slostrany"/>
        <w:sz w:val="18"/>
        <w:szCs w:val="18"/>
      </w:rPr>
    </w:pPr>
    <w:r w:rsidRPr="005D599A">
      <w:rPr>
        <w:rStyle w:val="slostrany"/>
        <w:sz w:val="18"/>
        <w:szCs w:val="18"/>
      </w:rPr>
      <w:fldChar w:fldCharType="begin"/>
    </w:r>
    <w:r w:rsidRPr="005D599A">
      <w:rPr>
        <w:rStyle w:val="slostrany"/>
        <w:sz w:val="18"/>
        <w:szCs w:val="18"/>
      </w:rPr>
      <w:instrText xml:space="preserve">PAGE  </w:instrText>
    </w:r>
    <w:r w:rsidRPr="005D599A">
      <w:rPr>
        <w:rStyle w:val="slostrany"/>
        <w:sz w:val="18"/>
        <w:szCs w:val="18"/>
      </w:rPr>
      <w:fldChar w:fldCharType="separate"/>
    </w:r>
    <w:r w:rsidR="005200D3">
      <w:rPr>
        <w:rStyle w:val="slostrany"/>
        <w:noProof/>
        <w:sz w:val="18"/>
        <w:szCs w:val="18"/>
      </w:rPr>
      <w:t>17</w:t>
    </w:r>
    <w:r w:rsidRPr="005D599A">
      <w:rPr>
        <w:rStyle w:val="slostrany"/>
        <w:sz w:val="18"/>
        <w:szCs w:val="18"/>
      </w:rPr>
      <w:fldChar w:fldCharType="end"/>
    </w:r>
  </w:p>
  <w:p w:rsidR="00DC530E" w:rsidRDefault="00DC530E" w:rsidP="005D599A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0E" w:rsidRPr="00AF5848" w:rsidRDefault="00DC530E" w:rsidP="00AF5848">
    <w:pPr>
      <w:pStyle w:val="Pta"/>
      <w:spacing w:line="240" w:lineRule="auto"/>
      <w:jc w:val="center"/>
      <w:rPr>
        <w:sz w:val="18"/>
        <w:szCs w:val="18"/>
      </w:rPr>
    </w:pPr>
    <w:r w:rsidRPr="005D599A">
      <w:rPr>
        <w:rStyle w:val="slostrany"/>
        <w:sz w:val="18"/>
        <w:szCs w:val="18"/>
      </w:rPr>
      <w:fldChar w:fldCharType="begin"/>
    </w:r>
    <w:r w:rsidRPr="005D599A">
      <w:rPr>
        <w:rStyle w:val="slostrany"/>
        <w:sz w:val="18"/>
        <w:szCs w:val="18"/>
      </w:rPr>
      <w:instrText xml:space="preserve">PAGE  </w:instrText>
    </w:r>
    <w:r w:rsidRPr="005D599A">
      <w:rPr>
        <w:rStyle w:val="slostrany"/>
        <w:sz w:val="18"/>
        <w:szCs w:val="18"/>
      </w:rPr>
      <w:fldChar w:fldCharType="separate"/>
    </w:r>
    <w:r w:rsidR="00566D17">
      <w:rPr>
        <w:rStyle w:val="slostrany"/>
        <w:noProof/>
        <w:sz w:val="18"/>
        <w:szCs w:val="18"/>
      </w:rPr>
      <w:t>1</w:t>
    </w:r>
    <w:r w:rsidRPr="005D599A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64" w:rsidRDefault="00526264" w:rsidP="00F04899">
      <w:pPr>
        <w:spacing w:line="240" w:lineRule="auto"/>
      </w:pPr>
      <w:r>
        <w:separator/>
      </w:r>
    </w:p>
  </w:footnote>
  <w:footnote w:type="continuationSeparator" w:id="0">
    <w:p w:rsidR="00526264" w:rsidRDefault="00526264" w:rsidP="00F04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17" w:rsidRPr="005200D3" w:rsidRDefault="00566D17" w:rsidP="005200D3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  <w:lang w:val="pt-BR"/>
      </w:rPr>
    </w:pPr>
    <w:r w:rsidRPr="005200D3">
      <w:rPr>
        <w:rFonts w:ascii="Times New Roman" w:hAnsi="Times New Roman"/>
        <w:noProof/>
        <w:sz w:val="18"/>
        <w:szCs w:val="18"/>
        <w:lang w:val="pt-BR"/>
      </w:rPr>
      <w:t>Schválený text k rozhodnutiu o prevode, ev. č.:</w:t>
    </w:r>
    <w:r w:rsidR="00D64085" w:rsidRPr="005200D3">
      <w:rPr>
        <w:rFonts w:ascii="Times New Roman" w:hAnsi="Times New Roman"/>
        <w:noProof/>
        <w:sz w:val="18"/>
        <w:szCs w:val="18"/>
        <w:lang w:val="pt-BR"/>
      </w:rPr>
      <w:t xml:space="preserve"> 2018/02901-TR, 2018/02902-TR</w:t>
    </w:r>
  </w:p>
  <w:p w:rsidR="00DC530E" w:rsidRPr="008B06EB" w:rsidRDefault="00DC530E" w:rsidP="008B06EB">
    <w:pPr>
      <w:widowControl w:val="0"/>
      <w:rPr>
        <w:b/>
        <w:szCs w:val="22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0E" w:rsidRPr="00715F40" w:rsidRDefault="00DC530E" w:rsidP="00715F40">
    <w:pPr>
      <w:widowControl w:val="0"/>
      <w:tabs>
        <w:tab w:val="center" w:pos="4819"/>
        <w:tab w:val="left" w:pos="6107"/>
      </w:tabs>
      <w:spacing w:line="240" w:lineRule="auto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5034"/>
    <w:multiLevelType w:val="hybridMultilevel"/>
    <w:tmpl w:val="B614A9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94EB0"/>
    <w:multiLevelType w:val="hybridMultilevel"/>
    <w:tmpl w:val="1252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B5AA5"/>
    <w:multiLevelType w:val="multilevel"/>
    <w:tmpl w:val="5694CC9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B000C7B"/>
    <w:multiLevelType w:val="multilevel"/>
    <w:tmpl w:val="1E34F2A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59C3495B"/>
    <w:multiLevelType w:val="hybridMultilevel"/>
    <w:tmpl w:val="C082D0DC"/>
    <w:lvl w:ilvl="0" w:tplc="B90EEB7E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EB6027"/>
    <w:multiLevelType w:val="hybridMultilevel"/>
    <w:tmpl w:val="78A02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E95F60"/>
    <w:multiLevelType w:val="multilevel"/>
    <w:tmpl w:val="7632C24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A40371D"/>
    <w:multiLevelType w:val="hybridMultilevel"/>
    <w:tmpl w:val="B67E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A2ECE"/>
    <w:multiLevelType w:val="hybridMultilevel"/>
    <w:tmpl w:val="683C1E0A"/>
    <w:lvl w:ilvl="0" w:tplc="FFFFFFFF">
      <w:start w:val="1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E7"/>
    <w:rsid w:val="0001221A"/>
    <w:rsid w:val="00013A5F"/>
    <w:rsid w:val="00020614"/>
    <w:rsid w:val="0002611A"/>
    <w:rsid w:val="00031AD1"/>
    <w:rsid w:val="000356A7"/>
    <w:rsid w:val="00035860"/>
    <w:rsid w:val="000375D6"/>
    <w:rsid w:val="00040C1D"/>
    <w:rsid w:val="0004181A"/>
    <w:rsid w:val="00044DEC"/>
    <w:rsid w:val="000504F4"/>
    <w:rsid w:val="00056510"/>
    <w:rsid w:val="0006041D"/>
    <w:rsid w:val="000611FA"/>
    <w:rsid w:val="00066606"/>
    <w:rsid w:val="00071777"/>
    <w:rsid w:val="00072782"/>
    <w:rsid w:val="00072C76"/>
    <w:rsid w:val="00073877"/>
    <w:rsid w:val="00077159"/>
    <w:rsid w:val="00077329"/>
    <w:rsid w:val="000834AB"/>
    <w:rsid w:val="00094069"/>
    <w:rsid w:val="00095081"/>
    <w:rsid w:val="00097A84"/>
    <w:rsid w:val="000A30E8"/>
    <w:rsid w:val="000A6CA9"/>
    <w:rsid w:val="000B6E54"/>
    <w:rsid w:val="000C0CC4"/>
    <w:rsid w:val="000C1884"/>
    <w:rsid w:val="000C2B00"/>
    <w:rsid w:val="000C2F36"/>
    <w:rsid w:val="000C679B"/>
    <w:rsid w:val="000D65ED"/>
    <w:rsid w:val="000E0523"/>
    <w:rsid w:val="000E5E2A"/>
    <w:rsid w:val="000E67D8"/>
    <w:rsid w:val="000F0D45"/>
    <w:rsid w:val="000F22FB"/>
    <w:rsid w:val="000F4639"/>
    <w:rsid w:val="000F59E1"/>
    <w:rsid w:val="000F61B0"/>
    <w:rsid w:val="00103499"/>
    <w:rsid w:val="00104DC2"/>
    <w:rsid w:val="00106C65"/>
    <w:rsid w:val="00113C79"/>
    <w:rsid w:val="00120266"/>
    <w:rsid w:val="00120E95"/>
    <w:rsid w:val="00124BD3"/>
    <w:rsid w:val="001254C0"/>
    <w:rsid w:val="001265BD"/>
    <w:rsid w:val="00132F8F"/>
    <w:rsid w:val="00134322"/>
    <w:rsid w:val="00134DDC"/>
    <w:rsid w:val="00140EA7"/>
    <w:rsid w:val="00150A73"/>
    <w:rsid w:val="00151504"/>
    <w:rsid w:val="00153B62"/>
    <w:rsid w:val="001570FA"/>
    <w:rsid w:val="001604E5"/>
    <w:rsid w:val="00161129"/>
    <w:rsid w:val="00163608"/>
    <w:rsid w:val="00166CCB"/>
    <w:rsid w:val="00170CE8"/>
    <w:rsid w:val="001761C8"/>
    <w:rsid w:val="00176568"/>
    <w:rsid w:val="0018273D"/>
    <w:rsid w:val="0018397C"/>
    <w:rsid w:val="0018750D"/>
    <w:rsid w:val="001920BB"/>
    <w:rsid w:val="00192E1C"/>
    <w:rsid w:val="00193DB2"/>
    <w:rsid w:val="001947AE"/>
    <w:rsid w:val="00194802"/>
    <w:rsid w:val="001A3059"/>
    <w:rsid w:val="001A5EED"/>
    <w:rsid w:val="001A6BE8"/>
    <w:rsid w:val="001A7B5A"/>
    <w:rsid w:val="001B22B7"/>
    <w:rsid w:val="001B4F9E"/>
    <w:rsid w:val="001B6200"/>
    <w:rsid w:val="001B7678"/>
    <w:rsid w:val="001C1429"/>
    <w:rsid w:val="001C6820"/>
    <w:rsid w:val="001D38CB"/>
    <w:rsid w:val="001D4029"/>
    <w:rsid w:val="001E01FC"/>
    <w:rsid w:val="001F5A89"/>
    <w:rsid w:val="002020C7"/>
    <w:rsid w:val="00204BCD"/>
    <w:rsid w:val="0020690F"/>
    <w:rsid w:val="002176FD"/>
    <w:rsid w:val="00217E1F"/>
    <w:rsid w:val="00227485"/>
    <w:rsid w:val="00233FD8"/>
    <w:rsid w:val="0024204F"/>
    <w:rsid w:val="00244BA9"/>
    <w:rsid w:val="00252E67"/>
    <w:rsid w:val="00253FBB"/>
    <w:rsid w:val="00254E4C"/>
    <w:rsid w:val="00260F3E"/>
    <w:rsid w:val="002625FB"/>
    <w:rsid w:val="00263894"/>
    <w:rsid w:val="00263CF3"/>
    <w:rsid w:val="00266534"/>
    <w:rsid w:val="002671E7"/>
    <w:rsid w:val="00273B8D"/>
    <w:rsid w:val="00286317"/>
    <w:rsid w:val="00293852"/>
    <w:rsid w:val="00293E12"/>
    <w:rsid w:val="00294899"/>
    <w:rsid w:val="00297DA0"/>
    <w:rsid w:val="002A0AFD"/>
    <w:rsid w:val="002A3BA2"/>
    <w:rsid w:val="002A5B3B"/>
    <w:rsid w:val="002A626D"/>
    <w:rsid w:val="002A6391"/>
    <w:rsid w:val="002B2B5B"/>
    <w:rsid w:val="002B7009"/>
    <w:rsid w:val="002C15F6"/>
    <w:rsid w:val="002D5FFF"/>
    <w:rsid w:val="002F309D"/>
    <w:rsid w:val="002F3CC6"/>
    <w:rsid w:val="003002BE"/>
    <w:rsid w:val="0030096D"/>
    <w:rsid w:val="00304787"/>
    <w:rsid w:val="00304CC2"/>
    <w:rsid w:val="00305087"/>
    <w:rsid w:val="003058A3"/>
    <w:rsid w:val="00314620"/>
    <w:rsid w:val="003214E7"/>
    <w:rsid w:val="00322190"/>
    <w:rsid w:val="003265D3"/>
    <w:rsid w:val="00332D6E"/>
    <w:rsid w:val="00332DDC"/>
    <w:rsid w:val="00333F20"/>
    <w:rsid w:val="00350FD2"/>
    <w:rsid w:val="00354474"/>
    <w:rsid w:val="0036057A"/>
    <w:rsid w:val="00360CB6"/>
    <w:rsid w:val="00363521"/>
    <w:rsid w:val="003642D7"/>
    <w:rsid w:val="00365ACF"/>
    <w:rsid w:val="00372A09"/>
    <w:rsid w:val="003835B4"/>
    <w:rsid w:val="00384B05"/>
    <w:rsid w:val="0038643A"/>
    <w:rsid w:val="003917BF"/>
    <w:rsid w:val="00392147"/>
    <w:rsid w:val="00392B94"/>
    <w:rsid w:val="00397F38"/>
    <w:rsid w:val="003A2376"/>
    <w:rsid w:val="003A43F3"/>
    <w:rsid w:val="003A565F"/>
    <w:rsid w:val="003A70E0"/>
    <w:rsid w:val="003B1DCD"/>
    <w:rsid w:val="003B3928"/>
    <w:rsid w:val="003B474B"/>
    <w:rsid w:val="003B5A88"/>
    <w:rsid w:val="003B692C"/>
    <w:rsid w:val="003C5CDA"/>
    <w:rsid w:val="003D034E"/>
    <w:rsid w:val="003D49FE"/>
    <w:rsid w:val="003E1386"/>
    <w:rsid w:val="003E1710"/>
    <w:rsid w:val="003E4182"/>
    <w:rsid w:val="003E7AB7"/>
    <w:rsid w:val="003E7FC1"/>
    <w:rsid w:val="003F1CDE"/>
    <w:rsid w:val="003F5C43"/>
    <w:rsid w:val="004052C0"/>
    <w:rsid w:val="0041274D"/>
    <w:rsid w:val="0041449B"/>
    <w:rsid w:val="00416C25"/>
    <w:rsid w:val="00421F89"/>
    <w:rsid w:val="004248E6"/>
    <w:rsid w:val="00425F11"/>
    <w:rsid w:val="00437186"/>
    <w:rsid w:val="00437884"/>
    <w:rsid w:val="004400CF"/>
    <w:rsid w:val="004415D7"/>
    <w:rsid w:val="00442B40"/>
    <w:rsid w:val="00443038"/>
    <w:rsid w:val="00450994"/>
    <w:rsid w:val="004520DA"/>
    <w:rsid w:val="004532D2"/>
    <w:rsid w:val="00455450"/>
    <w:rsid w:val="0046068C"/>
    <w:rsid w:val="004674F2"/>
    <w:rsid w:val="00474110"/>
    <w:rsid w:val="004779B5"/>
    <w:rsid w:val="00480B65"/>
    <w:rsid w:val="00483877"/>
    <w:rsid w:val="00485325"/>
    <w:rsid w:val="00491C24"/>
    <w:rsid w:val="00492EE7"/>
    <w:rsid w:val="00493FFF"/>
    <w:rsid w:val="0049495F"/>
    <w:rsid w:val="004951FB"/>
    <w:rsid w:val="00497CED"/>
    <w:rsid w:val="004A47DB"/>
    <w:rsid w:val="004A4AD9"/>
    <w:rsid w:val="004B064D"/>
    <w:rsid w:val="004B1086"/>
    <w:rsid w:val="004B2BC0"/>
    <w:rsid w:val="004B3B84"/>
    <w:rsid w:val="004C1F5F"/>
    <w:rsid w:val="004E068A"/>
    <w:rsid w:val="004F1E23"/>
    <w:rsid w:val="004F7F84"/>
    <w:rsid w:val="00501807"/>
    <w:rsid w:val="005110B0"/>
    <w:rsid w:val="005200D3"/>
    <w:rsid w:val="00521B9A"/>
    <w:rsid w:val="00526264"/>
    <w:rsid w:val="00530A1E"/>
    <w:rsid w:val="00532FCC"/>
    <w:rsid w:val="00534AE7"/>
    <w:rsid w:val="00535D9E"/>
    <w:rsid w:val="005461FC"/>
    <w:rsid w:val="00547186"/>
    <w:rsid w:val="00547F5B"/>
    <w:rsid w:val="005502FF"/>
    <w:rsid w:val="00552907"/>
    <w:rsid w:val="00555125"/>
    <w:rsid w:val="005618E8"/>
    <w:rsid w:val="00565FF0"/>
    <w:rsid w:val="00566D17"/>
    <w:rsid w:val="00574B25"/>
    <w:rsid w:val="00575769"/>
    <w:rsid w:val="00575DC0"/>
    <w:rsid w:val="0057603E"/>
    <w:rsid w:val="005763B7"/>
    <w:rsid w:val="005763C9"/>
    <w:rsid w:val="00580250"/>
    <w:rsid w:val="0058081B"/>
    <w:rsid w:val="00593E5E"/>
    <w:rsid w:val="005A0953"/>
    <w:rsid w:val="005A0C79"/>
    <w:rsid w:val="005A5514"/>
    <w:rsid w:val="005B0050"/>
    <w:rsid w:val="005B3C06"/>
    <w:rsid w:val="005C44C8"/>
    <w:rsid w:val="005C48D7"/>
    <w:rsid w:val="005C528A"/>
    <w:rsid w:val="005C5BE6"/>
    <w:rsid w:val="005C5EC6"/>
    <w:rsid w:val="005D3763"/>
    <w:rsid w:val="005D3C9D"/>
    <w:rsid w:val="005D599A"/>
    <w:rsid w:val="005E04C7"/>
    <w:rsid w:val="005E6B10"/>
    <w:rsid w:val="005F30BF"/>
    <w:rsid w:val="005F5B6F"/>
    <w:rsid w:val="005F5BE3"/>
    <w:rsid w:val="005F679E"/>
    <w:rsid w:val="00601B55"/>
    <w:rsid w:val="00602442"/>
    <w:rsid w:val="00612296"/>
    <w:rsid w:val="00616013"/>
    <w:rsid w:val="00620AA2"/>
    <w:rsid w:val="006241D4"/>
    <w:rsid w:val="0062439B"/>
    <w:rsid w:val="0062564A"/>
    <w:rsid w:val="006308B9"/>
    <w:rsid w:val="00641504"/>
    <w:rsid w:val="00641522"/>
    <w:rsid w:val="006427E6"/>
    <w:rsid w:val="00651D16"/>
    <w:rsid w:val="006537EC"/>
    <w:rsid w:val="00655D4B"/>
    <w:rsid w:val="0066234A"/>
    <w:rsid w:val="006626A5"/>
    <w:rsid w:val="00664652"/>
    <w:rsid w:val="00666728"/>
    <w:rsid w:val="0067297E"/>
    <w:rsid w:val="006736B3"/>
    <w:rsid w:val="00674A85"/>
    <w:rsid w:val="00675064"/>
    <w:rsid w:val="00675B7F"/>
    <w:rsid w:val="00684D29"/>
    <w:rsid w:val="00695B8D"/>
    <w:rsid w:val="006A1470"/>
    <w:rsid w:val="006A161B"/>
    <w:rsid w:val="006A308E"/>
    <w:rsid w:val="006A480B"/>
    <w:rsid w:val="006A50A7"/>
    <w:rsid w:val="006B37EC"/>
    <w:rsid w:val="006C2F6F"/>
    <w:rsid w:val="006C478C"/>
    <w:rsid w:val="006C784A"/>
    <w:rsid w:val="006D2444"/>
    <w:rsid w:val="006D4000"/>
    <w:rsid w:val="006D5C76"/>
    <w:rsid w:val="006E02B0"/>
    <w:rsid w:val="006E1A3B"/>
    <w:rsid w:val="006E601A"/>
    <w:rsid w:val="006F5F96"/>
    <w:rsid w:val="00700406"/>
    <w:rsid w:val="007042A5"/>
    <w:rsid w:val="0070708D"/>
    <w:rsid w:val="00713309"/>
    <w:rsid w:val="00715046"/>
    <w:rsid w:val="00715F40"/>
    <w:rsid w:val="007169EB"/>
    <w:rsid w:val="00716E80"/>
    <w:rsid w:val="00720E66"/>
    <w:rsid w:val="00721B9E"/>
    <w:rsid w:val="0072348E"/>
    <w:rsid w:val="007242E1"/>
    <w:rsid w:val="00730AF7"/>
    <w:rsid w:val="00742151"/>
    <w:rsid w:val="00745045"/>
    <w:rsid w:val="00746598"/>
    <w:rsid w:val="0075090F"/>
    <w:rsid w:val="007530E2"/>
    <w:rsid w:val="00757F18"/>
    <w:rsid w:val="0076042F"/>
    <w:rsid w:val="00763FA0"/>
    <w:rsid w:val="00767593"/>
    <w:rsid w:val="007712D7"/>
    <w:rsid w:val="00775017"/>
    <w:rsid w:val="007754AF"/>
    <w:rsid w:val="00775BAA"/>
    <w:rsid w:val="007844C9"/>
    <w:rsid w:val="0078506D"/>
    <w:rsid w:val="00794F1B"/>
    <w:rsid w:val="007A064A"/>
    <w:rsid w:val="007A2613"/>
    <w:rsid w:val="007A67BD"/>
    <w:rsid w:val="007B0F06"/>
    <w:rsid w:val="007B2CEA"/>
    <w:rsid w:val="007B55A1"/>
    <w:rsid w:val="007B5F20"/>
    <w:rsid w:val="007B7208"/>
    <w:rsid w:val="007C3016"/>
    <w:rsid w:val="007C7AA2"/>
    <w:rsid w:val="007D13DA"/>
    <w:rsid w:val="007D1F1C"/>
    <w:rsid w:val="007D65F0"/>
    <w:rsid w:val="007F0FF2"/>
    <w:rsid w:val="007F27BF"/>
    <w:rsid w:val="00801475"/>
    <w:rsid w:val="00804068"/>
    <w:rsid w:val="00806010"/>
    <w:rsid w:val="008169B4"/>
    <w:rsid w:val="00816C24"/>
    <w:rsid w:val="00822E43"/>
    <w:rsid w:val="008254E9"/>
    <w:rsid w:val="00826BA6"/>
    <w:rsid w:val="00831416"/>
    <w:rsid w:val="008350E6"/>
    <w:rsid w:val="00837C59"/>
    <w:rsid w:val="00841FDA"/>
    <w:rsid w:val="008435C5"/>
    <w:rsid w:val="00846C23"/>
    <w:rsid w:val="00851B6D"/>
    <w:rsid w:val="00855F22"/>
    <w:rsid w:val="0085683E"/>
    <w:rsid w:val="00877231"/>
    <w:rsid w:val="00880C7A"/>
    <w:rsid w:val="0088223B"/>
    <w:rsid w:val="008826D9"/>
    <w:rsid w:val="00882DBD"/>
    <w:rsid w:val="00883355"/>
    <w:rsid w:val="00883A18"/>
    <w:rsid w:val="00884CA9"/>
    <w:rsid w:val="008900A0"/>
    <w:rsid w:val="008932FE"/>
    <w:rsid w:val="008969E4"/>
    <w:rsid w:val="00897AE8"/>
    <w:rsid w:val="00897D9A"/>
    <w:rsid w:val="008A0F9D"/>
    <w:rsid w:val="008A7814"/>
    <w:rsid w:val="008B06EB"/>
    <w:rsid w:val="008B16F8"/>
    <w:rsid w:val="008B6EF2"/>
    <w:rsid w:val="008B7189"/>
    <w:rsid w:val="008C01C6"/>
    <w:rsid w:val="008C1AB6"/>
    <w:rsid w:val="008C2BB8"/>
    <w:rsid w:val="008C6E17"/>
    <w:rsid w:val="008D6535"/>
    <w:rsid w:val="008E1737"/>
    <w:rsid w:val="008E1B7F"/>
    <w:rsid w:val="008E47F0"/>
    <w:rsid w:val="008E7123"/>
    <w:rsid w:val="008F2D1B"/>
    <w:rsid w:val="008F3432"/>
    <w:rsid w:val="0090304E"/>
    <w:rsid w:val="00907D04"/>
    <w:rsid w:val="009118F5"/>
    <w:rsid w:val="0091366A"/>
    <w:rsid w:val="00916591"/>
    <w:rsid w:val="009167C2"/>
    <w:rsid w:val="00917479"/>
    <w:rsid w:val="00926346"/>
    <w:rsid w:val="00934449"/>
    <w:rsid w:val="00937092"/>
    <w:rsid w:val="009372FB"/>
    <w:rsid w:val="00943EBD"/>
    <w:rsid w:val="009453A3"/>
    <w:rsid w:val="009523CF"/>
    <w:rsid w:val="009705A3"/>
    <w:rsid w:val="00974CA3"/>
    <w:rsid w:val="009813EE"/>
    <w:rsid w:val="0098255E"/>
    <w:rsid w:val="00983929"/>
    <w:rsid w:val="009858CF"/>
    <w:rsid w:val="00987A1E"/>
    <w:rsid w:val="00991075"/>
    <w:rsid w:val="00992997"/>
    <w:rsid w:val="009937E0"/>
    <w:rsid w:val="00994313"/>
    <w:rsid w:val="009A46C2"/>
    <w:rsid w:val="009A5AC2"/>
    <w:rsid w:val="009A63E1"/>
    <w:rsid w:val="009B1B26"/>
    <w:rsid w:val="009B1C09"/>
    <w:rsid w:val="009B6200"/>
    <w:rsid w:val="009C1764"/>
    <w:rsid w:val="009C2C7D"/>
    <w:rsid w:val="009C5B88"/>
    <w:rsid w:val="009D3A8D"/>
    <w:rsid w:val="009D5955"/>
    <w:rsid w:val="009D5DCA"/>
    <w:rsid w:val="009D6625"/>
    <w:rsid w:val="009D77EC"/>
    <w:rsid w:val="009E246D"/>
    <w:rsid w:val="009E263C"/>
    <w:rsid w:val="009E36AA"/>
    <w:rsid w:val="009F1227"/>
    <w:rsid w:val="00A01944"/>
    <w:rsid w:val="00A04D26"/>
    <w:rsid w:val="00A10443"/>
    <w:rsid w:val="00A118BC"/>
    <w:rsid w:val="00A11ABF"/>
    <w:rsid w:val="00A17020"/>
    <w:rsid w:val="00A20A1B"/>
    <w:rsid w:val="00A22191"/>
    <w:rsid w:val="00A26D84"/>
    <w:rsid w:val="00A30C7D"/>
    <w:rsid w:val="00A320C4"/>
    <w:rsid w:val="00A4568B"/>
    <w:rsid w:val="00A45BCE"/>
    <w:rsid w:val="00A52F68"/>
    <w:rsid w:val="00A53F7A"/>
    <w:rsid w:val="00A61210"/>
    <w:rsid w:val="00A6160D"/>
    <w:rsid w:val="00A63CD2"/>
    <w:rsid w:val="00A63DF9"/>
    <w:rsid w:val="00A6493C"/>
    <w:rsid w:val="00A66808"/>
    <w:rsid w:val="00A771C6"/>
    <w:rsid w:val="00A801A9"/>
    <w:rsid w:val="00A80499"/>
    <w:rsid w:val="00A806F5"/>
    <w:rsid w:val="00A87EF2"/>
    <w:rsid w:val="00A92700"/>
    <w:rsid w:val="00AA1D4C"/>
    <w:rsid w:val="00AA23E4"/>
    <w:rsid w:val="00AA35CE"/>
    <w:rsid w:val="00AA58C9"/>
    <w:rsid w:val="00AA5BFC"/>
    <w:rsid w:val="00AA66F3"/>
    <w:rsid w:val="00AB4648"/>
    <w:rsid w:val="00AB6354"/>
    <w:rsid w:val="00AB7257"/>
    <w:rsid w:val="00AB7510"/>
    <w:rsid w:val="00AB7C83"/>
    <w:rsid w:val="00AC31E6"/>
    <w:rsid w:val="00AC70E6"/>
    <w:rsid w:val="00AE18A1"/>
    <w:rsid w:val="00AE6830"/>
    <w:rsid w:val="00AF2D75"/>
    <w:rsid w:val="00AF3919"/>
    <w:rsid w:val="00AF4A6A"/>
    <w:rsid w:val="00AF5848"/>
    <w:rsid w:val="00AF5E46"/>
    <w:rsid w:val="00AF7886"/>
    <w:rsid w:val="00B06571"/>
    <w:rsid w:val="00B0670A"/>
    <w:rsid w:val="00B1324A"/>
    <w:rsid w:val="00B17D98"/>
    <w:rsid w:val="00B314AA"/>
    <w:rsid w:val="00B3474C"/>
    <w:rsid w:val="00B41633"/>
    <w:rsid w:val="00B44DAB"/>
    <w:rsid w:val="00B44DE1"/>
    <w:rsid w:val="00B47AF0"/>
    <w:rsid w:val="00B54544"/>
    <w:rsid w:val="00B56928"/>
    <w:rsid w:val="00B57B48"/>
    <w:rsid w:val="00B65CCC"/>
    <w:rsid w:val="00B721CC"/>
    <w:rsid w:val="00B76D7E"/>
    <w:rsid w:val="00B809E7"/>
    <w:rsid w:val="00B9150E"/>
    <w:rsid w:val="00B951CC"/>
    <w:rsid w:val="00B97B96"/>
    <w:rsid w:val="00BA5506"/>
    <w:rsid w:val="00BC012F"/>
    <w:rsid w:val="00BC1B67"/>
    <w:rsid w:val="00BC48A1"/>
    <w:rsid w:val="00BD3009"/>
    <w:rsid w:val="00BD34C6"/>
    <w:rsid w:val="00BD3F6E"/>
    <w:rsid w:val="00BD7D29"/>
    <w:rsid w:val="00BE0787"/>
    <w:rsid w:val="00BE37BC"/>
    <w:rsid w:val="00BE4BEC"/>
    <w:rsid w:val="00BE4EAF"/>
    <w:rsid w:val="00BE51C4"/>
    <w:rsid w:val="00BF1A76"/>
    <w:rsid w:val="00BF701B"/>
    <w:rsid w:val="00BF708F"/>
    <w:rsid w:val="00C03F94"/>
    <w:rsid w:val="00C1679C"/>
    <w:rsid w:val="00C17700"/>
    <w:rsid w:val="00C1778F"/>
    <w:rsid w:val="00C207D2"/>
    <w:rsid w:val="00C252FC"/>
    <w:rsid w:val="00C30177"/>
    <w:rsid w:val="00C31EC7"/>
    <w:rsid w:val="00C32B20"/>
    <w:rsid w:val="00C33D64"/>
    <w:rsid w:val="00C407B7"/>
    <w:rsid w:val="00C41E89"/>
    <w:rsid w:val="00C41F34"/>
    <w:rsid w:val="00C43FB0"/>
    <w:rsid w:val="00C44A03"/>
    <w:rsid w:val="00C4631C"/>
    <w:rsid w:val="00C46E3C"/>
    <w:rsid w:val="00C47DAF"/>
    <w:rsid w:val="00C545D9"/>
    <w:rsid w:val="00C54B3A"/>
    <w:rsid w:val="00C54DFE"/>
    <w:rsid w:val="00C55E9A"/>
    <w:rsid w:val="00C602EF"/>
    <w:rsid w:val="00C64D1B"/>
    <w:rsid w:val="00C732A1"/>
    <w:rsid w:val="00C73D6D"/>
    <w:rsid w:val="00C755BC"/>
    <w:rsid w:val="00C85409"/>
    <w:rsid w:val="00C85FEC"/>
    <w:rsid w:val="00C96DB5"/>
    <w:rsid w:val="00CA21E4"/>
    <w:rsid w:val="00CB0B23"/>
    <w:rsid w:val="00CC0A5D"/>
    <w:rsid w:val="00CC3E4F"/>
    <w:rsid w:val="00CC6230"/>
    <w:rsid w:val="00CC768E"/>
    <w:rsid w:val="00CD2BE0"/>
    <w:rsid w:val="00CD6DFB"/>
    <w:rsid w:val="00CD737D"/>
    <w:rsid w:val="00CD75E6"/>
    <w:rsid w:val="00CE0BB4"/>
    <w:rsid w:val="00CF1987"/>
    <w:rsid w:val="00CF3905"/>
    <w:rsid w:val="00CF62A4"/>
    <w:rsid w:val="00D00F61"/>
    <w:rsid w:val="00D020A8"/>
    <w:rsid w:val="00D06334"/>
    <w:rsid w:val="00D253B6"/>
    <w:rsid w:val="00D303FE"/>
    <w:rsid w:val="00D318DB"/>
    <w:rsid w:val="00D31F16"/>
    <w:rsid w:val="00D40FCF"/>
    <w:rsid w:val="00D412F0"/>
    <w:rsid w:val="00D45FEE"/>
    <w:rsid w:val="00D47A25"/>
    <w:rsid w:val="00D52573"/>
    <w:rsid w:val="00D56969"/>
    <w:rsid w:val="00D6182B"/>
    <w:rsid w:val="00D64085"/>
    <w:rsid w:val="00D64637"/>
    <w:rsid w:val="00D702C1"/>
    <w:rsid w:val="00D721F0"/>
    <w:rsid w:val="00D72D65"/>
    <w:rsid w:val="00D765EB"/>
    <w:rsid w:val="00D76FAA"/>
    <w:rsid w:val="00D80684"/>
    <w:rsid w:val="00D83036"/>
    <w:rsid w:val="00D83B99"/>
    <w:rsid w:val="00D8716F"/>
    <w:rsid w:val="00D87469"/>
    <w:rsid w:val="00D92866"/>
    <w:rsid w:val="00D93767"/>
    <w:rsid w:val="00D95150"/>
    <w:rsid w:val="00D96BA8"/>
    <w:rsid w:val="00DB0640"/>
    <w:rsid w:val="00DB1E54"/>
    <w:rsid w:val="00DB4D6B"/>
    <w:rsid w:val="00DC2904"/>
    <w:rsid w:val="00DC530E"/>
    <w:rsid w:val="00DC5CE0"/>
    <w:rsid w:val="00DC64F7"/>
    <w:rsid w:val="00DD3541"/>
    <w:rsid w:val="00DD4384"/>
    <w:rsid w:val="00DE20D4"/>
    <w:rsid w:val="00DE4EF5"/>
    <w:rsid w:val="00DE5987"/>
    <w:rsid w:val="00DF038A"/>
    <w:rsid w:val="00DF0BFE"/>
    <w:rsid w:val="00DF6E35"/>
    <w:rsid w:val="00E06CCF"/>
    <w:rsid w:val="00E121B6"/>
    <w:rsid w:val="00E13215"/>
    <w:rsid w:val="00E13765"/>
    <w:rsid w:val="00E1502E"/>
    <w:rsid w:val="00E24647"/>
    <w:rsid w:val="00E315E0"/>
    <w:rsid w:val="00E319E2"/>
    <w:rsid w:val="00E32EE3"/>
    <w:rsid w:val="00E338F7"/>
    <w:rsid w:val="00E356B2"/>
    <w:rsid w:val="00E41038"/>
    <w:rsid w:val="00E45E5B"/>
    <w:rsid w:val="00E4693D"/>
    <w:rsid w:val="00E54980"/>
    <w:rsid w:val="00E56C0A"/>
    <w:rsid w:val="00E628E9"/>
    <w:rsid w:val="00E6584E"/>
    <w:rsid w:val="00E66080"/>
    <w:rsid w:val="00E702FC"/>
    <w:rsid w:val="00E731F7"/>
    <w:rsid w:val="00E81B59"/>
    <w:rsid w:val="00E863A8"/>
    <w:rsid w:val="00E912AD"/>
    <w:rsid w:val="00E920B4"/>
    <w:rsid w:val="00E93529"/>
    <w:rsid w:val="00E951D1"/>
    <w:rsid w:val="00E95B48"/>
    <w:rsid w:val="00E96136"/>
    <w:rsid w:val="00E96194"/>
    <w:rsid w:val="00EA7780"/>
    <w:rsid w:val="00EB1F2B"/>
    <w:rsid w:val="00EB4F07"/>
    <w:rsid w:val="00EB53DC"/>
    <w:rsid w:val="00EC2CE2"/>
    <w:rsid w:val="00EC3389"/>
    <w:rsid w:val="00EC6B7C"/>
    <w:rsid w:val="00ED05DD"/>
    <w:rsid w:val="00ED3FB4"/>
    <w:rsid w:val="00EE31DB"/>
    <w:rsid w:val="00EE3EF5"/>
    <w:rsid w:val="00EE44E8"/>
    <w:rsid w:val="00EE5CA3"/>
    <w:rsid w:val="00F01757"/>
    <w:rsid w:val="00F04899"/>
    <w:rsid w:val="00F0757D"/>
    <w:rsid w:val="00F1087F"/>
    <w:rsid w:val="00F10AD1"/>
    <w:rsid w:val="00F13282"/>
    <w:rsid w:val="00F2174C"/>
    <w:rsid w:val="00F221B3"/>
    <w:rsid w:val="00F25D67"/>
    <w:rsid w:val="00F27620"/>
    <w:rsid w:val="00F35BDC"/>
    <w:rsid w:val="00F35D67"/>
    <w:rsid w:val="00F402DD"/>
    <w:rsid w:val="00F406B6"/>
    <w:rsid w:val="00F414B3"/>
    <w:rsid w:val="00F418C5"/>
    <w:rsid w:val="00F41A68"/>
    <w:rsid w:val="00F42BAF"/>
    <w:rsid w:val="00F43913"/>
    <w:rsid w:val="00F50247"/>
    <w:rsid w:val="00F51C2A"/>
    <w:rsid w:val="00F56414"/>
    <w:rsid w:val="00F5667E"/>
    <w:rsid w:val="00F56A37"/>
    <w:rsid w:val="00F62B22"/>
    <w:rsid w:val="00F67173"/>
    <w:rsid w:val="00F71B6B"/>
    <w:rsid w:val="00F72AE4"/>
    <w:rsid w:val="00F86F06"/>
    <w:rsid w:val="00FA17FE"/>
    <w:rsid w:val="00FA4839"/>
    <w:rsid w:val="00FA4D9A"/>
    <w:rsid w:val="00FA5772"/>
    <w:rsid w:val="00FA68E3"/>
    <w:rsid w:val="00FB0A05"/>
    <w:rsid w:val="00FB34FC"/>
    <w:rsid w:val="00FB7C78"/>
    <w:rsid w:val="00FC1FBA"/>
    <w:rsid w:val="00FC3674"/>
    <w:rsid w:val="00FC6FAB"/>
    <w:rsid w:val="00FD031E"/>
    <w:rsid w:val="00FD0772"/>
    <w:rsid w:val="00FD5CCD"/>
    <w:rsid w:val="00FD638F"/>
    <w:rsid w:val="00FE0312"/>
    <w:rsid w:val="00FE0ED0"/>
    <w:rsid w:val="00FE6359"/>
    <w:rsid w:val="00FF0586"/>
    <w:rsid w:val="00FF2499"/>
    <w:rsid w:val="00FF4554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71E7"/>
    <w:pPr>
      <w:tabs>
        <w:tab w:val="left" w:pos="567"/>
      </w:tabs>
      <w:spacing w:line="260" w:lineRule="exact"/>
    </w:pPr>
    <w:rPr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2671E7"/>
    <w:rPr>
      <w:color w:val="0000FF"/>
      <w:u w:val="single"/>
    </w:rPr>
  </w:style>
  <w:style w:type="paragraph" w:styleId="Normlnywebov">
    <w:name w:val="Normal (Web)"/>
    <w:basedOn w:val="Normlny"/>
    <w:uiPriority w:val="99"/>
    <w:rsid w:val="002671E7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CD7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r">
    <w:name w:val="annotation reference"/>
    <w:uiPriority w:val="99"/>
    <w:rsid w:val="0067297E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7297E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67297E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7297E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67297E"/>
    <w:rPr>
      <w:b/>
      <w:lang w:val="en-GB" w:eastAsia="en-US"/>
    </w:rPr>
  </w:style>
  <w:style w:type="paragraph" w:styleId="Textbubliny">
    <w:name w:val="Balloon Text"/>
    <w:basedOn w:val="Normlny"/>
    <w:link w:val="TextbublinyChar"/>
    <w:uiPriority w:val="99"/>
    <w:rsid w:val="0067297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7297E"/>
    <w:rPr>
      <w:rFonts w:ascii="Tahoma" w:hAnsi="Tahoma"/>
      <w:sz w:val="16"/>
      <w:lang w:val="en-GB" w:eastAsia="en-US"/>
    </w:rPr>
  </w:style>
  <w:style w:type="paragraph" w:styleId="Hlavika">
    <w:name w:val="header"/>
    <w:basedOn w:val="Normlny"/>
    <w:link w:val="HlavikaChar"/>
    <w:uiPriority w:val="99"/>
    <w:rsid w:val="00F04899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04899"/>
    <w:rPr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F04899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04899"/>
    <w:rPr>
      <w:sz w:val="22"/>
      <w:lang w:val="en-GB" w:eastAsia="en-US"/>
    </w:rPr>
  </w:style>
  <w:style w:type="character" w:styleId="slostrany">
    <w:name w:val="page number"/>
    <w:uiPriority w:val="99"/>
    <w:rsid w:val="00FD0772"/>
  </w:style>
  <w:style w:type="character" w:styleId="PouitHypertextovPrepojenie">
    <w:name w:val="FollowedHyperlink"/>
    <w:uiPriority w:val="99"/>
    <w:rsid w:val="007C7AA2"/>
    <w:rPr>
      <w:color w:val="800080"/>
      <w:u w:val="single"/>
    </w:rPr>
  </w:style>
  <w:style w:type="paragraph" w:customStyle="1" w:styleId="Default">
    <w:name w:val="Default"/>
    <w:rsid w:val="002948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/>
    </w:rPr>
  </w:style>
  <w:style w:type="paragraph" w:customStyle="1" w:styleId="DocsubtitleAgency">
    <w:name w:val="Doc subtitle (Agency)"/>
    <w:basedOn w:val="Normlny"/>
    <w:next w:val="Normlny"/>
    <w:qFormat/>
    <w:rsid w:val="00566D17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eastAsia="en-GB"/>
    </w:rPr>
  </w:style>
  <w:style w:type="paragraph" w:customStyle="1" w:styleId="BodytextAgency">
    <w:name w:val="Body text (Agency)"/>
    <w:basedOn w:val="Normlny"/>
    <w:link w:val="BodytextAgencyChar"/>
    <w:qFormat/>
    <w:rsid w:val="00566D1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566D17"/>
    <w:rPr>
      <w:rFonts w:ascii="Verdana" w:eastAsia="Verdana" w:hAnsi="Verdan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71E7"/>
    <w:pPr>
      <w:tabs>
        <w:tab w:val="left" w:pos="567"/>
      </w:tabs>
      <w:spacing w:line="260" w:lineRule="exact"/>
    </w:pPr>
    <w:rPr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2671E7"/>
    <w:rPr>
      <w:color w:val="0000FF"/>
      <w:u w:val="single"/>
    </w:rPr>
  </w:style>
  <w:style w:type="paragraph" w:styleId="Normlnywebov">
    <w:name w:val="Normal (Web)"/>
    <w:basedOn w:val="Normlny"/>
    <w:uiPriority w:val="99"/>
    <w:rsid w:val="002671E7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CD7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r">
    <w:name w:val="annotation reference"/>
    <w:uiPriority w:val="99"/>
    <w:rsid w:val="0067297E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7297E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67297E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7297E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67297E"/>
    <w:rPr>
      <w:b/>
      <w:lang w:val="en-GB" w:eastAsia="en-US"/>
    </w:rPr>
  </w:style>
  <w:style w:type="paragraph" w:styleId="Textbubliny">
    <w:name w:val="Balloon Text"/>
    <w:basedOn w:val="Normlny"/>
    <w:link w:val="TextbublinyChar"/>
    <w:uiPriority w:val="99"/>
    <w:rsid w:val="0067297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7297E"/>
    <w:rPr>
      <w:rFonts w:ascii="Tahoma" w:hAnsi="Tahoma"/>
      <w:sz w:val="16"/>
      <w:lang w:val="en-GB" w:eastAsia="en-US"/>
    </w:rPr>
  </w:style>
  <w:style w:type="paragraph" w:styleId="Hlavika">
    <w:name w:val="header"/>
    <w:basedOn w:val="Normlny"/>
    <w:link w:val="HlavikaChar"/>
    <w:uiPriority w:val="99"/>
    <w:rsid w:val="00F04899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04899"/>
    <w:rPr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F04899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04899"/>
    <w:rPr>
      <w:sz w:val="22"/>
      <w:lang w:val="en-GB" w:eastAsia="en-US"/>
    </w:rPr>
  </w:style>
  <w:style w:type="character" w:styleId="slostrany">
    <w:name w:val="page number"/>
    <w:uiPriority w:val="99"/>
    <w:rsid w:val="00FD0772"/>
  </w:style>
  <w:style w:type="character" w:styleId="PouitHypertextovPrepojenie">
    <w:name w:val="FollowedHyperlink"/>
    <w:uiPriority w:val="99"/>
    <w:rsid w:val="007C7AA2"/>
    <w:rPr>
      <w:color w:val="800080"/>
      <w:u w:val="single"/>
    </w:rPr>
  </w:style>
  <w:style w:type="paragraph" w:customStyle="1" w:styleId="Default">
    <w:name w:val="Default"/>
    <w:rsid w:val="002948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/>
    </w:rPr>
  </w:style>
  <w:style w:type="paragraph" w:customStyle="1" w:styleId="DocsubtitleAgency">
    <w:name w:val="Doc subtitle (Agency)"/>
    <w:basedOn w:val="Normlny"/>
    <w:next w:val="Normlny"/>
    <w:qFormat/>
    <w:rsid w:val="00566D17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eastAsia="en-GB"/>
    </w:rPr>
  </w:style>
  <w:style w:type="paragraph" w:customStyle="1" w:styleId="BodytextAgency">
    <w:name w:val="Body text (Agency)"/>
    <w:basedOn w:val="Normlny"/>
    <w:link w:val="BodytextAgencyChar"/>
    <w:qFormat/>
    <w:rsid w:val="00566D1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566D17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8EE1A-F0FA-4065-BC30-7D061B85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7233</Words>
  <Characters>41230</Characters>
  <Application>Microsoft Office Word</Application>
  <DocSecurity>0</DocSecurity>
  <Lines>343</Lines>
  <Paragraphs>96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Hewlett-Packard Company</Company>
  <LinksUpToDate>false</LinksUpToDate>
  <CharactersWithSpaces>48367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Shilpa.k</dc:creator>
  <cp:lastModifiedBy>EM</cp:lastModifiedBy>
  <cp:revision>6</cp:revision>
  <cp:lastPrinted>2016-07-20T08:37:00Z</cp:lastPrinted>
  <dcterms:created xsi:type="dcterms:W3CDTF">2017-09-05T08:21:00Z</dcterms:created>
  <dcterms:modified xsi:type="dcterms:W3CDTF">2018-06-06T07:12:00Z</dcterms:modified>
</cp:coreProperties>
</file>