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C56CF" w14:textId="77777777" w:rsidR="00084B62" w:rsidRDefault="00084B62" w:rsidP="00A505E4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  <w:lang w:val="sk-SK"/>
        </w:rPr>
      </w:pPr>
      <w:bookmarkStart w:id="0" w:name="_GoBack"/>
      <w:bookmarkEnd w:id="0"/>
    </w:p>
    <w:p w14:paraId="505C8B53" w14:textId="77777777" w:rsidR="009E6B3B" w:rsidRPr="001A6657" w:rsidRDefault="00A734B6" w:rsidP="00A505E4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1A6657">
        <w:rPr>
          <w:b/>
          <w:szCs w:val="22"/>
          <w:lang w:val="sk-SK"/>
        </w:rPr>
        <w:t>SÚHRN CHARAKTERISTICKÝCH VLASTNOSTÍ LIEKU</w:t>
      </w:r>
    </w:p>
    <w:p w14:paraId="0959DA3B" w14:textId="77777777" w:rsidR="009E6B3B" w:rsidRDefault="009E6B3B" w:rsidP="00A505E4">
      <w:pPr>
        <w:widowControl w:val="0"/>
        <w:spacing w:line="240" w:lineRule="auto"/>
        <w:rPr>
          <w:szCs w:val="22"/>
          <w:lang w:val="sk-SK"/>
        </w:rPr>
      </w:pPr>
    </w:p>
    <w:p w14:paraId="086D174F" w14:textId="77777777" w:rsidR="00DF064E" w:rsidRDefault="00DF064E" w:rsidP="00A505E4">
      <w:pPr>
        <w:widowControl w:val="0"/>
        <w:spacing w:line="240" w:lineRule="auto"/>
        <w:rPr>
          <w:szCs w:val="22"/>
          <w:lang w:val="sk-SK"/>
        </w:rPr>
      </w:pPr>
    </w:p>
    <w:p w14:paraId="5C23E34D" w14:textId="77777777" w:rsidR="00DF064E" w:rsidRPr="001A6657" w:rsidRDefault="00DF064E" w:rsidP="00A505E4">
      <w:pPr>
        <w:widowControl w:val="0"/>
        <w:spacing w:line="240" w:lineRule="auto"/>
        <w:rPr>
          <w:szCs w:val="22"/>
          <w:lang w:val="sk-SK"/>
        </w:rPr>
      </w:pPr>
    </w:p>
    <w:p w14:paraId="5715AC33" w14:textId="77777777" w:rsidR="009E6B3B" w:rsidRPr="001A6657" w:rsidRDefault="00F7505D" w:rsidP="00A505E4">
      <w:pPr>
        <w:widowControl w:val="0"/>
        <w:spacing w:line="240" w:lineRule="auto"/>
        <w:rPr>
          <w:szCs w:val="22"/>
          <w:lang w:val="sk-SK"/>
        </w:rPr>
      </w:pPr>
      <w:r w:rsidRPr="001A6657">
        <w:rPr>
          <w:b/>
          <w:szCs w:val="22"/>
          <w:lang w:val="sk-SK"/>
        </w:rPr>
        <w:t>1.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NÁZOV LIEKU</w:t>
      </w:r>
    </w:p>
    <w:p w14:paraId="757C0527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31DEA733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Solifenacin Mylan 5 mg</w:t>
      </w:r>
    </w:p>
    <w:p w14:paraId="45C11715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Solifenacin Mylan 10 mg</w:t>
      </w:r>
    </w:p>
    <w:p w14:paraId="1B9F6C61" w14:textId="77777777" w:rsidR="009608C4" w:rsidRPr="001A6657" w:rsidRDefault="009608C4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filmom obalené tablety</w:t>
      </w:r>
    </w:p>
    <w:p w14:paraId="4E0D805B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70208F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241EA068" w14:textId="77777777" w:rsidR="009E6B3B" w:rsidRPr="001A6657" w:rsidRDefault="00F7505D" w:rsidP="00A505E4">
      <w:pPr>
        <w:widowControl w:val="0"/>
        <w:spacing w:line="240" w:lineRule="auto"/>
        <w:rPr>
          <w:szCs w:val="22"/>
          <w:lang w:val="sk-SK"/>
        </w:rPr>
      </w:pPr>
      <w:r w:rsidRPr="001A6657">
        <w:rPr>
          <w:b/>
          <w:szCs w:val="22"/>
          <w:lang w:val="sk-SK"/>
        </w:rPr>
        <w:t>2.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KVALITATÍVNE A KVANTITATÍVNE ZLOŽENIE</w:t>
      </w:r>
    </w:p>
    <w:p w14:paraId="45FC83EE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35E2C9D" w14:textId="77777777" w:rsidR="009608C4" w:rsidRPr="001A6657" w:rsidRDefault="00F23CC6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Jedna filmom obalená</w:t>
      </w:r>
      <w:r w:rsidR="009608C4" w:rsidRPr="001A6657">
        <w:rPr>
          <w:szCs w:val="22"/>
          <w:lang w:val="sk-SK"/>
        </w:rPr>
        <w:t xml:space="preserve"> tableta obsahuje 5 mg solifenacíniumsukcinátu, čo zodpovedá 3,8 mg solifenacínu.</w:t>
      </w:r>
    </w:p>
    <w:p w14:paraId="4EE22CC5" w14:textId="77777777" w:rsidR="00F23CC6" w:rsidRPr="001A6657" w:rsidRDefault="00F23CC6" w:rsidP="00F23CC6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Jedna filmom obalená tableta obsahuje 10 mg solifenacíniumsukcinátu, čo zodpovedá 7,5 mg solifenacínu.</w:t>
      </w:r>
    </w:p>
    <w:p w14:paraId="55DC621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2AB4AF2" w14:textId="77777777" w:rsidR="00F23CC6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Pomocná látka so známym účinkom</w:t>
      </w:r>
    </w:p>
    <w:p w14:paraId="0066E9CE" w14:textId="0E39FBC2" w:rsidR="00F23CC6" w:rsidRPr="001A6657" w:rsidRDefault="00F23CC6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szCs w:val="22"/>
          <w:lang w:val="sk-SK"/>
        </w:rPr>
        <w:t>Jedna filmom obalená tableta obsahuje 57 mg laktózy (ako monohydrát laktózy)</w:t>
      </w:r>
      <w:r w:rsidR="00581B57">
        <w:rPr>
          <w:szCs w:val="22"/>
          <w:lang w:val="sk-SK"/>
        </w:rPr>
        <w:t>.</w:t>
      </w:r>
    </w:p>
    <w:p w14:paraId="072426AF" w14:textId="043E3136" w:rsidR="00F23CC6" w:rsidRPr="001A6657" w:rsidRDefault="00F23CC6" w:rsidP="00F23CC6">
      <w:pPr>
        <w:widowControl w:val="0"/>
        <w:rPr>
          <w:bCs/>
          <w:szCs w:val="22"/>
          <w:u w:val="single"/>
          <w:lang w:val="sk-SK"/>
        </w:rPr>
      </w:pPr>
      <w:r w:rsidRPr="001A6657">
        <w:rPr>
          <w:szCs w:val="22"/>
          <w:lang w:val="sk-SK"/>
        </w:rPr>
        <w:t>Jedna filmom obalená tableta obsahuje 113 mg laktózy (ako monohydrát laktózy)</w:t>
      </w:r>
      <w:r w:rsidR="00581B57">
        <w:rPr>
          <w:szCs w:val="22"/>
          <w:lang w:val="sk-SK"/>
        </w:rPr>
        <w:t>.</w:t>
      </w:r>
    </w:p>
    <w:p w14:paraId="10ECBD7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52C78A4" w14:textId="77777777" w:rsidR="009608C4" w:rsidRPr="001A6657" w:rsidRDefault="009608C4" w:rsidP="009608C4">
      <w:pPr>
        <w:outlineLvl w:val="0"/>
        <w:rPr>
          <w:szCs w:val="22"/>
          <w:lang w:val="sk-SK"/>
        </w:rPr>
      </w:pPr>
      <w:r w:rsidRPr="001A6657">
        <w:rPr>
          <w:szCs w:val="22"/>
          <w:lang w:val="sk-SK"/>
        </w:rPr>
        <w:t>Úplný zoznam pomocných látok, pozri časť 6.1.</w:t>
      </w:r>
    </w:p>
    <w:p w14:paraId="761D19D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574F843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03651429" w14:textId="77777777" w:rsidR="009E6B3B" w:rsidRPr="001A6657" w:rsidRDefault="00F7505D" w:rsidP="00A505E4">
      <w:pPr>
        <w:spacing w:line="240" w:lineRule="auto"/>
        <w:ind w:left="567" w:hanging="567"/>
        <w:rPr>
          <w:caps/>
          <w:szCs w:val="22"/>
          <w:lang w:val="sk-SK"/>
        </w:rPr>
      </w:pPr>
      <w:r w:rsidRPr="001A6657">
        <w:rPr>
          <w:b/>
          <w:szCs w:val="22"/>
          <w:lang w:val="sk-SK"/>
        </w:rPr>
        <w:t>3.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LIEKOVÁ FORMA</w:t>
      </w:r>
    </w:p>
    <w:p w14:paraId="57C318FF" w14:textId="77777777" w:rsidR="009E6B3B" w:rsidRPr="001A6657" w:rsidRDefault="009E6B3B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2A2E00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Filmom obalená tableta</w:t>
      </w:r>
      <w:r w:rsidR="00F23CC6" w:rsidRPr="001A6657">
        <w:rPr>
          <w:szCs w:val="22"/>
          <w:lang w:val="sk-SK"/>
        </w:rPr>
        <w:t xml:space="preserve"> (tableta)</w:t>
      </w:r>
    </w:p>
    <w:p w14:paraId="6D785962" w14:textId="77777777" w:rsidR="009608C4" w:rsidRDefault="009608C4" w:rsidP="009608C4">
      <w:pPr>
        <w:widowControl w:val="0"/>
        <w:rPr>
          <w:szCs w:val="22"/>
          <w:lang w:val="sk-SK"/>
        </w:rPr>
      </w:pPr>
    </w:p>
    <w:p w14:paraId="3D09E855" w14:textId="77777777" w:rsidR="006B11FE" w:rsidRPr="001A6657" w:rsidRDefault="006B11FE" w:rsidP="009608C4">
      <w:pPr>
        <w:widowControl w:val="0"/>
        <w:rPr>
          <w:szCs w:val="22"/>
          <w:lang w:val="sk-SK"/>
        </w:rPr>
      </w:pPr>
      <w:r w:rsidRPr="001F0A14">
        <w:rPr>
          <w:szCs w:val="22"/>
          <w:u w:val="single"/>
          <w:lang w:val="sk-SK"/>
        </w:rPr>
        <w:t>Solifenacin Mylan 5 mg</w:t>
      </w:r>
      <w:r w:rsidRPr="000C7FFA">
        <w:rPr>
          <w:szCs w:val="22"/>
          <w:lang w:val="sk-SK"/>
        </w:rPr>
        <w:t>:</w:t>
      </w:r>
    </w:p>
    <w:p w14:paraId="4022D5BA" w14:textId="77777777" w:rsidR="009608C4" w:rsidRPr="001A6657" w:rsidRDefault="00F23CC6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Žlté </w:t>
      </w:r>
      <w:r w:rsidR="009608C4" w:rsidRPr="001A6657">
        <w:rPr>
          <w:szCs w:val="22"/>
          <w:lang w:val="sk-SK"/>
        </w:rPr>
        <w:t xml:space="preserve">filmom obalené tablety </w:t>
      </w:r>
      <w:r w:rsidRPr="001A6657">
        <w:rPr>
          <w:szCs w:val="22"/>
          <w:lang w:val="sk-SK"/>
        </w:rPr>
        <w:t>približne 5,6 mm,</w:t>
      </w:r>
      <w:r w:rsidR="009608C4" w:rsidRPr="001A6657">
        <w:rPr>
          <w:szCs w:val="22"/>
          <w:lang w:val="sk-SK"/>
        </w:rPr>
        <w:t xml:space="preserve"> okrúhle bikonvexné tablety</w:t>
      </w:r>
      <w:r w:rsidRPr="001A6657">
        <w:rPr>
          <w:szCs w:val="22"/>
          <w:lang w:val="sk-SK"/>
        </w:rPr>
        <w:t>, označené „M“</w:t>
      </w:r>
      <w:r w:rsidR="009608C4" w:rsidRPr="001A6657">
        <w:rPr>
          <w:szCs w:val="22"/>
          <w:lang w:val="sk-SK"/>
        </w:rPr>
        <w:t xml:space="preserve"> na jednej strane</w:t>
      </w:r>
      <w:r w:rsidRPr="001A6657">
        <w:rPr>
          <w:szCs w:val="22"/>
          <w:lang w:val="sk-SK"/>
        </w:rPr>
        <w:t xml:space="preserve"> tablety a „SF“ nad 5 na strane druhej</w:t>
      </w:r>
      <w:r w:rsidR="009608C4" w:rsidRPr="001A6657">
        <w:rPr>
          <w:szCs w:val="22"/>
          <w:lang w:val="sk-SK"/>
        </w:rPr>
        <w:t>.</w:t>
      </w:r>
    </w:p>
    <w:p w14:paraId="136E1A0A" w14:textId="77777777" w:rsidR="009608C4" w:rsidRDefault="009608C4" w:rsidP="009608C4">
      <w:pPr>
        <w:widowControl w:val="0"/>
        <w:rPr>
          <w:szCs w:val="22"/>
          <w:lang w:val="sk-SK"/>
        </w:rPr>
      </w:pPr>
    </w:p>
    <w:p w14:paraId="01E9A078" w14:textId="77777777" w:rsidR="006B11FE" w:rsidRPr="001A6657" w:rsidRDefault="006B11FE" w:rsidP="009608C4">
      <w:pPr>
        <w:widowControl w:val="0"/>
        <w:rPr>
          <w:szCs w:val="22"/>
          <w:lang w:val="sk-SK"/>
        </w:rPr>
      </w:pPr>
      <w:r w:rsidRPr="001F0A14">
        <w:rPr>
          <w:szCs w:val="22"/>
          <w:u w:val="single"/>
          <w:lang w:val="sk-SK"/>
        </w:rPr>
        <w:t xml:space="preserve">Solifenacin Mylan </w:t>
      </w:r>
      <w:r>
        <w:rPr>
          <w:szCs w:val="22"/>
          <w:u w:val="single"/>
          <w:lang w:val="sk-SK"/>
        </w:rPr>
        <w:t>10</w:t>
      </w:r>
      <w:r w:rsidRPr="001F0A14">
        <w:rPr>
          <w:szCs w:val="22"/>
          <w:u w:val="single"/>
          <w:lang w:val="sk-SK"/>
        </w:rPr>
        <w:t xml:space="preserve"> mg</w:t>
      </w:r>
      <w:r w:rsidRPr="000C7FFA">
        <w:rPr>
          <w:szCs w:val="22"/>
          <w:lang w:val="sk-SK"/>
        </w:rPr>
        <w:t>:</w:t>
      </w:r>
    </w:p>
    <w:p w14:paraId="7ABDBCDC" w14:textId="77777777" w:rsidR="00F23CC6" w:rsidRPr="001A6657" w:rsidRDefault="00F23CC6" w:rsidP="00F23CC6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Ružové filmom obalené tablety približne 7,6 mm, okrúhle bikonvexné tablety, označené „M“ na jednej strane tablety a „SF“ nad 10 na strane druhej.</w:t>
      </w:r>
    </w:p>
    <w:p w14:paraId="5C0336A3" w14:textId="77777777" w:rsidR="009E6B3B" w:rsidRPr="001A6657" w:rsidRDefault="009E6B3B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253FF9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B80ADF9" w14:textId="77777777" w:rsidR="009E6B3B" w:rsidRPr="001A6657" w:rsidRDefault="00F7505D" w:rsidP="00A505E4">
      <w:pPr>
        <w:spacing w:line="240" w:lineRule="auto"/>
        <w:ind w:left="567" w:hanging="567"/>
        <w:rPr>
          <w:caps/>
          <w:szCs w:val="22"/>
          <w:lang w:val="sk-SK"/>
        </w:rPr>
      </w:pPr>
      <w:r w:rsidRPr="001A6657">
        <w:rPr>
          <w:b/>
          <w:caps/>
          <w:szCs w:val="22"/>
          <w:lang w:val="sk-SK"/>
        </w:rPr>
        <w:t>4.</w:t>
      </w:r>
      <w:r w:rsidRPr="001A6657">
        <w:rPr>
          <w:b/>
          <w:caps/>
          <w:szCs w:val="22"/>
          <w:lang w:val="sk-SK"/>
        </w:rPr>
        <w:tab/>
      </w:r>
      <w:r w:rsidRPr="001A6657">
        <w:rPr>
          <w:b/>
          <w:szCs w:val="22"/>
          <w:lang w:val="sk-SK"/>
        </w:rPr>
        <w:t>KLINICKÉ ÚDAJE</w:t>
      </w:r>
    </w:p>
    <w:p w14:paraId="429F282A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ED4A3A7" w14:textId="77777777" w:rsidR="009E6B3B" w:rsidRPr="001A6657" w:rsidRDefault="00F7505D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4.1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Terapeutické indikácie</w:t>
      </w:r>
    </w:p>
    <w:p w14:paraId="6E973A0C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3A9ACC48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Symptomatická liečba urgentnej</w:t>
      </w:r>
      <w:r w:rsidRPr="001A6657">
        <w:rPr>
          <w:b/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inkontinencie a/alebo zvýšenej frekvencie močenia a urgencie, ktorá sa môže vyskytnúť u pacientov so syndrómom hyperaktívneho močového mechúra.</w:t>
      </w:r>
    </w:p>
    <w:p w14:paraId="5F9BAB9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2138E7C" w14:textId="77777777" w:rsidR="009E6B3B" w:rsidRPr="001A6657" w:rsidRDefault="00F7505D" w:rsidP="00A505E4">
      <w:pPr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4.2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Dávkovanie a spôsob podávania</w:t>
      </w:r>
    </w:p>
    <w:p w14:paraId="734E0CD3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144EFC82" w14:textId="77777777" w:rsidR="009E6B3B" w:rsidRPr="001A6657" w:rsidRDefault="00A734B6" w:rsidP="00A505E4">
      <w:pPr>
        <w:spacing w:line="240" w:lineRule="auto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Dávkovanie</w:t>
      </w:r>
    </w:p>
    <w:p w14:paraId="3539B276" w14:textId="77777777" w:rsidR="005E5E00" w:rsidRPr="001A6657" w:rsidRDefault="005E5E00" w:rsidP="009608C4">
      <w:pPr>
        <w:widowControl w:val="0"/>
        <w:rPr>
          <w:i/>
          <w:szCs w:val="22"/>
          <w:lang w:val="sk-SK"/>
        </w:rPr>
      </w:pPr>
    </w:p>
    <w:p w14:paraId="01802B4B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Dospelí, vrátane starších pacientov</w:t>
      </w:r>
    </w:p>
    <w:p w14:paraId="2D09883B" w14:textId="77777777" w:rsidR="005E5E00" w:rsidRPr="001A6657" w:rsidRDefault="005E5E00" w:rsidP="009608C4">
      <w:pPr>
        <w:widowControl w:val="0"/>
        <w:rPr>
          <w:szCs w:val="22"/>
          <w:lang w:val="sk-SK"/>
        </w:rPr>
      </w:pPr>
    </w:p>
    <w:p w14:paraId="61BC0AD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Odporúčaná dávka je 5 mg solifenacíniumsukcinátu jedenkrát denne. V prípade potreby sa dávka </w:t>
      </w:r>
      <w:r w:rsidR="00AE6E1B" w:rsidRPr="001A6657">
        <w:rPr>
          <w:szCs w:val="22"/>
          <w:lang w:val="sk-SK"/>
        </w:rPr>
        <w:t xml:space="preserve">môže </w:t>
      </w:r>
      <w:r w:rsidRPr="001A6657">
        <w:rPr>
          <w:szCs w:val="22"/>
          <w:lang w:val="sk-SK"/>
        </w:rPr>
        <w:t>zvýšiť na 10 mg solifenacíniumsukcinátu jedenkrát denne.</w:t>
      </w:r>
    </w:p>
    <w:p w14:paraId="05F7A891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90A7A20" w14:textId="77777777" w:rsidR="009E6B3B" w:rsidRPr="001A6657" w:rsidRDefault="00A734B6" w:rsidP="00A505E4">
      <w:pPr>
        <w:spacing w:line="240" w:lineRule="auto"/>
        <w:rPr>
          <w:b/>
          <w:i/>
          <w:szCs w:val="22"/>
          <w:lang w:val="sk-SK"/>
        </w:rPr>
      </w:pPr>
      <w:r w:rsidRPr="001A6657">
        <w:rPr>
          <w:i/>
          <w:szCs w:val="22"/>
          <w:lang w:val="sk-SK"/>
        </w:rPr>
        <w:t>Pediatrická populácia</w:t>
      </w:r>
    </w:p>
    <w:p w14:paraId="71FBE0F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lastRenderedPageBreak/>
        <w:t xml:space="preserve">Bezpečnosť a účinnosť </w:t>
      </w:r>
      <w:r w:rsidR="005E5E00" w:rsidRPr="001A6657">
        <w:rPr>
          <w:szCs w:val="22"/>
          <w:lang w:val="sk-SK"/>
        </w:rPr>
        <w:t>solifenac</w:t>
      </w:r>
      <w:r w:rsidR="00F820BF">
        <w:rPr>
          <w:szCs w:val="22"/>
          <w:lang w:val="sk-SK"/>
        </w:rPr>
        <w:t>í</w:t>
      </w:r>
      <w:r w:rsidR="005E5E00" w:rsidRPr="001A6657">
        <w:rPr>
          <w:szCs w:val="22"/>
          <w:lang w:val="sk-SK"/>
        </w:rPr>
        <w:t>nu</w:t>
      </w:r>
      <w:r w:rsidRPr="001A6657">
        <w:rPr>
          <w:szCs w:val="22"/>
          <w:lang w:val="sk-SK"/>
        </w:rPr>
        <w:t xml:space="preserve"> u detí neboli doteraz stanovené. </w:t>
      </w:r>
      <w:r w:rsidR="005E5E00" w:rsidRPr="001A6657">
        <w:rPr>
          <w:szCs w:val="22"/>
          <w:lang w:val="sk-SK"/>
        </w:rPr>
        <w:t>Solifenacin Mylan</w:t>
      </w:r>
      <w:r w:rsidRPr="001A6657">
        <w:rPr>
          <w:szCs w:val="22"/>
          <w:lang w:val="sk-SK"/>
        </w:rPr>
        <w:t xml:space="preserve"> sa preto nemá používať u detí.</w:t>
      </w:r>
    </w:p>
    <w:p w14:paraId="66F308B3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14A19D43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Pacienti s poruchou funkcie obličiek</w:t>
      </w:r>
    </w:p>
    <w:p w14:paraId="171ACBD7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szCs w:val="22"/>
          <w:lang w:val="sk-SK"/>
        </w:rPr>
        <w:t>U pacientov s miernou až stredne závažnou poruchou funkcie obličiek (klírens kreatinínu &gt; 30 ml/min) nie je potrebná úprava dávk</w:t>
      </w:r>
      <w:r w:rsidR="005E5E00" w:rsidRPr="001A6657">
        <w:rPr>
          <w:szCs w:val="22"/>
          <w:lang w:val="sk-SK"/>
        </w:rPr>
        <w:t>y</w:t>
      </w:r>
      <w:r w:rsidRPr="001A6657">
        <w:rPr>
          <w:szCs w:val="22"/>
          <w:lang w:val="sk-SK"/>
        </w:rPr>
        <w:t>. Pacienti so závažnou poruchou funkcie obličiek (klírens kreatinínu ≤ 30 ml/min) sa majú podrobovať liečbe opatrne a užívať nie viac ako 5 mg jedenkrát denne</w:t>
      </w:r>
      <w:r w:rsidRPr="001A6657" w:rsidDel="00FE1525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(pozri časť 5.2).</w:t>
      </w:r>
    </w:p>
    <w:p w14:paraId="7A0AA8EE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05FFAAA6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Pacienti s poruchou funkcie pečene</w:t>
      </w:r>
    </w:p>
    <w:p w14:paraId="3C42634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 miernou poruchou funkcie pečene nie je potrebná úprava dávk</w:t>
      </w:r>
      <w:r w:rsidR="005E5E00" w:rsidRPr="001A6657">
        <w:rPr>
          <w:szCs w:val="22"/>
          <w:lang w:val="sk-SK"/>
        </w:rPr>
        <w:t>y</w:t>
      </w:r>
      <w:r w:rsidRPr="001A6657">
        <w:rPr>
          <w:szCs w:val="22"/>
          <w:lang w:val="sk-SK"/>
        </w:rPr>
        <w:t>. Pacienti so stredne závažnou poruchou funkcie pečene (Childovo-Pughovo skóre 7 až 9) sa majú podrobovať liečbe opatrne a užívať nie viac ako 5 mg jedenkrát denne (pozri časť 5.2).</w:t>
      </w:r>
    </w:p>
    <w:p w14:paraId="59E7140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0F9033A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Silné inhibítory cytochrómu P450 3A4</w:t>
      </w:r>
    </w:p>
    <w:p w14:paraId="3BFD8D01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Maximálna dávka </w:t>
      </w:r>
      <w:r w:rsidR="005E5E00" w:rsidRPr="001A6657">
        <w:rPr>
          <w:szCs w:val="22"/>
          <w:lang w:val="sk-SK"/>
        </w:rPr>
        <w:t>solifenac</w:t>
      </w:r>
      <w:r w:rsidR="00F820BF">
        <w:rPr>
          <w:szCs w:val="22"/>
          <w:lang w:val="sk-SK"/>
        </w:rPr>
        <w:t>í</w:t>
      </w:r>
      <w:r w:rsidR="005E5E00" w:rsidRPr="001A6657">
        <w:rPr>
          <w:szCs w:val="22"/>
          <w:lang w:val="sk-SK"/>
        </w:rPr>
        <w:t>nu</w:t>
      </w:r>
      <w:r w:rsidRPr="001A6657">
        <w:rPr>
          <w:szCs w:val="22"/>
          <w:lang w:val="sk-SK"/>
        </w:rPr>
        <w:t xml:space="preserve"> sa má obmedziť na 5 mg v prípade, ak je pacient súčasne liečený ketokonazolom alebo terapeutickými dávkami iných silných inhibítorov CYP3A4, akými sú ritonavir, nelfinavir, itrakonazol (pozri časť 4.5).</w:t>
      </w:r>
    </w:p>
    <w:p w14:paraId="09173D67" w14:textId="77777777" w:rsidR="00AE6CB0" w:rsidRPr="001A6657" w:rsidRDefault="00AE6CB0" w:rsidP="00A505E4">
      <w:pPr>
        <w:spacing w:line="240" w:lineRule="auto"/>
        <w:rPr>
          <w:szCs w:val="22"/>
          <w:u w:val="single"/>
          <w:lang w:val="sk-SK"/>
        </w:rPr>
      </w:pPr>
    </w:p>
    <w:p w14:paraId="5B9B4A52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Spôsob podávania</w:t>
      </w:r>
    </w:p>
    <w:p w14:paraId="6F7F0494" w14:textId="77777777" w:rsidR="009608C4" w:rsidRPr="001A6657" w:rsidRDefault="005E5E00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Solifenacin Mylan</w:t>
      </w:r>
      <w:r w:rsidR="00857CA3" w:rsidRPr="001A6657">
        <w:rPr>
          <w:szCs w:val="22"/>
          <w:lang w:val="sk-SK"/>
        </w:rPr>
        <w:t xml:space="preserve"> sa užíva</w:t>
      </w:r>
      <w:r w:rsidR="009608C4" w:rsidRPr="001A6657">
        <w:rPr>
          <w:szCs w:val="22"/>
          <w:lang w:val="sk-SK"/>
        </w:rPr>
        <w:t xml:space="preserve"> perorálne</w:t>
      </w:r>
      <w:r w:rsidR="00857CA3" w:rsidRPr="001A6657">
        <w:rPr>
          <w:szCs w:val="22"/>
          <w:lang w:val="sk-SK"/>
        </w:rPr>
        <w:t>.</w:t>
      </w:r>
      <w:r w:rsidR="009608C4" w:rsidRPr="001A6657">
        <w:rPr>
          <w:szCs w:val="22"/>
          <w:lang w:val="sk-SK"/>
        </w:rPr>
        <w:t xml:space="preserve"> </w:t>
      </w:r>
      <w:r w:rsidR="00857CA3" w:rsidRPr="001A6657">
        <w:rPr>
          <w:szCs w:val="22"/>
          <w:lang w:val="sk-SK"/>
        </w:rPr>
        <w:t>Tableta sa má prehltnúť celá</w:t>
      </w:r>
      <w:r w:rsidR="009608C4" w:rsidRPr="001A6657">
        <w:rPr>
          <w:szCs w:val="22"/>
          <w:lang w:val="sk-SK"/>
        </w:rPr>
        <w:t xml:space="preserve"> a zapiť tekutinou. Môže sa užívať s jedlom alebo nezávisle od jedla.</w:t>
      </w:r>
    </w:p>
    <w:p w14:paraId="76DF84F8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7FD0AD0" w14:textId="77777777" w:rsidR="009E6B3B" w:rsidRPr="001A6657" w:rsidRDefault="00A734B6" w:rsidP="00A505E4">
      <w:pPr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4.3</w:t>
      </w:r>
      <w:r w:rsidRPr="001A6657">
        <w:rPr>
          <w:b/>
          <w:szCs w:val="22"/>
          <w:lang w:val="sk-SK"/>
        </w:rPr>
        <w:tab/>
        <w:t>Kontraindikácie</w:t>
      </w:r>
    </w:p>
    <w:p w14:paraId="4194BCFB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0222C6E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Solifenacín je kontraindikovaný u pacientov s retenciou moču, so závažnými gastrointestinálnymi poruchami (vrátane toxického megakolónu), s myasténiou gravis alebo glaukómom s úzkym uhlom a u pacientov s rizikom výskytu týchto stavov.</w:t>
      </w:r>
    </w:p>
    <w:p w14:paraId="0B360821" w14:textId="77777777" w:rsidR="00857CA3" w:rsidRPr="001A6657" w:rsidRDefault="00857CA3" w:rsidP="00857CA3">
      <w:pPr>
        <w:pStyle w:val="Odsekzoznamu"/>
        <w:numPr>
          <w:ilvl w:val="0"/>
          <w:numId w:val="38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Precitlivenosť na liečivo alebo na ktorúkoľvek z pomocných látok uvedených v časti 6.1.</w:t>
      </w:r>
    </w:p>
    <w:p w14:paraId="32E29CE7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Pacienti, ktorí sa podrobujú hemodialýze (pozri časť 5.2).</w:t>
      </w:r>
    </w:p>
    <w:p w14:paraId="3AAA1C41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Pacienti so závažnou poruchou funkcie pečene (pozri časť 5.2).</w:t>
      </w:r>
    </w:p>
    <w:p w14:paraId="2B0ACC1C" w14:textId="77777777" w:rsidR="009608C4" w:rsidRPr="001A6657" w:rsidRDefault="009608C4" w:rsidP="00857CA3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Pacienti so závažnou poruchou funkcie obličiek alebo stredne závažnou poruchou funkcie pečene a pacienti, ktorí sú liečení silnými inhibítoromi CYP3A4, napr. ketokonazolom (pozri časť 4.5).</w:t>
      </w:r>
    </w:p>
    <w:p w14:paraId="58450BE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BE6DD42" w14:textId="77777777" w:rsidR="009E6B3B" w:rsidRPr="001A6657" w:rsidRDefault="00A734B6" w:rsidP="00A505E4">
      <w:pPr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4.4</w:t>
      </w:r>
      <w:r w:rsidRPr="001A6657">
        <w:rPr>
          <w:b/>
          <w:szCs w:val="22"/>
          <w:lang w:val="sk-SK"/>
        </w:rPr>
        <w:tab/>
        <w:t>Osobitné upozornenia a opatrenia pri používaní</w:t>
      </w:r>
    </w:p>
    <w:p w14:paraId="12C3113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078DFC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Pred začatím liečby </w:t>
      </w:r>
      <w:r w:rsidR="00857CA3" w:rsidRPr="001A6657">
        <w:rPr>
          <w:szCs w:val="22"/>
          <w:lang w:val="sk-SK"/>
        </w:rPr>
        <w:t>solifenacínom</w:t>
      </w:r>
      <w:r w:rsidRPr="001A6657">
        <w:rPr>
          <w:szCs w:val="22"/>
          <w:lang w:val="sk-SK"/>
        </w:rPr>
        <w:t xml:space="preserve"> sa majú zhodnotiť ďalšie príčiny častého močenia (zlyhávanie srdca alebo ochorenie obličiek). V prípade výskytu infekcie močovej sústavy sa má začať príslušná antibakteriálna liečba.</w:t>
      </w:r>
    </w:p>
    <w:p w14:paraId="182D7285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228F05A6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</w:t>
      </w:r>
      <w:r w:rsidR="00857CA3" w:rsidRPr="001A6657">
        <w:rPr>
          <w:szCs w:val="22"/>
          <w:lang w:val="sk-SK"/>
        </w:rPr>
        <w:t>fenacín</w:t>
      </w:r>
      <w:r w:rsidRPr="001A6657">
        <w:rPr>
          <w:szCs w:val="22"/>
          <w:lang w:val="sk-SK"/>
        </w:rPr>
        <w:t xml:space="preserve"> sa má podávať opatrne u pacientov:</w:t>
      </w:r>
    </w:p>
    <w:p w14:paraId="63D88705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klinicky významnou obštrukciou vývodu z močového mechúra s možným rizikom retencie moču,</w:t>
      </w:r>
    </w:p>
    <w:p w14:paraId="04C0C33B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gastrointestinálnou obštrukčnou poruchou,</w:t>
      </w:r>
    </w:p>
    <w:p w14:paraId="720E5DEF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rizikom zníženej gastrointestinálnej motility,</w:t>
      </w:r>
    </w:p>
    <w:p w14:paraId="2C36A02C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so závažnou poruchou funkcie obličiek (klírens kreatinínu ≤ 30 ml/min; pozri časti 4.2 a 5.2), u týchto pacientov dávka nemá presiahnuť 5 mg,</w:t>
      </w:r>
    </w:p>
    <w:p w14:paraId="46AB85AF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so stredne závažnou poruchou funkcie pečene (Childovo-Pughovo skóre 7 až 9; pozri časti 4.2 a 5.2), u týchto pacientov dávka nemá presiahnuť 5 mg,</w:t>
      </w:r>
    </w:p>
    <w:p w14:paraId="3D347247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so súčasným užívaním silného inhibítora CYP3A4, napr. ketokonazol</w:t>
      </w:r>
      <w:r w:rsidR="00AE6E1B">
        <w:rPr>
          <w:szCs w:val="22"/>
          <w:lang w:val="sk-SK"/>
        </w:rPr>
        <w:t>u</w:t>
      </w:r>
      <w:r w:rsidRPr="001A6657">
        <w:rPr>
          <w:szCs w:val="22"/>
          <w:lang w:val="sk-SK"/>
        </w:rPr>
        <w:t xml:space="preserve"> (pozri časti 4.2 a 4.5),</w:t>
      </w:r>
    </w:p>
    <w:p w14:paraId="2010D042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hiátovou prietržou/gastroezofageálnym refluxom a/alebo u pacientov, ktorí súčasne užívajú lieky (napr. bisfosfonáty), ktoré môžu spôsobiť alebo zhoršiť ezofagitídu,</w:t>
      </w:r>
    </w:p>
    <w:p w14:paraId="40122BE0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s autonómnou neuropatiou.</w:t>
      </w:r>
    </w:p>
    <w:p w14:paraId="1429F72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28FC9281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 pacientov s rizikovými faktormi, ako je syndróm dlhého intervalu QT a hypokaliémia v anamnéze, </w:t>
      </w:r>
      <w:r w:rsidRPr="001A6657">
        <w:rPr>
          <w:szCs w:val="22"/>
          <w:lang w:val="sk-SK"/>
        </w:rPr>
        <w:lastRenderedPageBreak/>
        <w:t>bolo pozorované predĺženie QT intervalu a </w:t>
      </w:r>
      <w:r w:rsidRPr="00813A03">
        <w:rPr>
          <w:i/>
          <w:szCs w:val="22"/>
          <w:lang w:val="sk-SK"/>
        </w:rPr>
        <w:t>torsade de pointes</w:t>
      </w:r>
      <w:r w:rsidRPr="001A6657">
        <w:rPr>
          <w:szCs w:val="22"/>
          <w:lang w:val="sk-SK"/>
        </w:rPr>
        <w:t>.</w:t>
      </w:r>
    </w:p>
    <w:p w14:paraId="7C8D1CD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4C97D32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 neurogénnou príčinou hyperaktivity detruzora sa bezpečnosť a účinnosť tohto lieku zatiaľ nestanovil</w:t>
      </w:r>
      <w:r w:rsidR="00857CA3" w:rsidRPr="001A6657">
        <w:rPr>
          <w:szCs w:val="22"/>
          <w:lang w:val="sk-SK"/>
        </w:rPr>
        <w:t>i</w:t>
      </w:r>
      <w:r w:rsidRPr="001A6657">
        <w:rPr>
          <w:szCs w:val="22"/>
          <w:lang w:val="sk-SK"/>
        </w:rPr>
        <w:t>.</w:t>
      </w:r>
    </w:p>
    <w:p w14:paraId="778D1706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AB92B6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Angioedém s obštrukciou dýchacích ciest bol hlásený u niektorých pacientov užívajúcich solifenacín. Pri výskyte angioedému sa má užívanie solifenacínu ukončiť a má byť podaná vhodná liečba a/alebo prijaté vhodné opatrenia.</w:t>
      </w:r>
    </w:p>
    <w:p w14:paraId="2CC3E451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21ACAA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Anafylaktické reakcie boli hlásené u niektorých pacientov liečených solifenacíniumsukcinátom. U pacientov, u ktorých sa vyskytnú anafylaktické reakcie, sa má ukončiť užívanie solifenacíniumsukcinátu a má sa začať s náležitou liečbou a/alebo sa majú prijať vhodné opatrenia.</w:t>
      </w:r>
    </w:p>
    <w:p w14:paraId="08DDFAC2" w14:textId="77777777" w:rsidR="00857CA3" w:rsidRPr="001A6657" w:rsidRDefault="00857CA3" w:rsidP="00857CA3">
      <w:pPr>
        <w:widowControl w:val="0"/>
        <w:rPr>
          <w:szCs w:val="22"/>
          <w:lang w:val="sk-SK"/>
        </w:rPr>
      </w:pPr>
    </w:p>
    <w:p w14:paraId="46E9A909" w14:textId="77777777" w:rsidR="001A6657" w:rsidRPr="001A6657" w:rsidRDefault="001A6657" w:rsidP="001A6657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Maximálny účinok Solifenacinu Mylan je možné stanoviť najskôr po uplynutí 4 týždňov od začiatku jeho užívania.</w:t>
      </w:r>
    </w:p>
    <w:p w14:paraId="0D069FD4" w14:textId="77777777" w:rsidR="001A6657" w:rsidRPr="001A6657" w:rsidRDefault="001A6657" w:rsidP="00857CA3">
      <w:pPr>
        <w:widowControl w:val="0"/>
        <w:rPr>
          <w:szCs w:val="22"/>
          <w:lang w:val="sk-SK"/>
        </w:rPr>
      </w:pPr>
    </w:p>
    <w:p w14:paraId="522E4E86" w14:textId="0DB54F42" w:rsidR="00857CA3" w:rsidRPr="001A6657" w:rsidRDefault="00857CA3" w:rsidP="00857CA3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Pacienti so zriedkavými dedičnými problémami </w:t>
      </w:r>
      <w:r w:rsidR="008F11EE">
        <w:rPr>
          <w:szCs w:val="22"/>
        </w:rPr>
        <w:t>intolerancie galaktózy</w:t>
      </w:r>
      <w:r w:rsidRPr="001A6657">
        <w:rPr>
          <w:szCs w:val="22"/>
          <w:lang w:val="sk-SK"/>
        </w:rPr>
        <w:t xml:space="preserve">, deficitu laktázy alebo </w:t>
      </w:r>
      <w:r w:rsidR="005C674C">
        <w:rPr>
          <w:szCs w:val="22"/>
        </w:rPr>
        <w:t>galaktózovou malabsorpciou</w:t>
      </w:r>
      <w:r w:rsidR="005C674C" w:rsidRPr="001A6657" w:rsidDel="005C674C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nesmú užívať tento liek.</w:t>
      </w:r>
    </w:p>
    <w:p w14:paraId="55874198" w14:textId="77777777" w:rsidR="001A6657" w:rsidRPr="001A6657" w:rsidRDefault="001A6657" w:rsidP="001A6657">
      <w:pPr>
        <w:widowControl w:val="0"/>
        <w:rPr>
          <w:szCs w:val="22"/>
          <w:lang w:val="sk-SK"/>
        </w:rPr>
      </w:pPr>
    </w:p>
    <w:p w14:paraId="40EC5908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4.5</w:t>
      </w:r>
      <w:r w:rsidRPr="001A6657">
        <w:rPr>
          <w:b/>
          <w:szCs w:val="22"/>
          <w:lang w:val="sk-SK"/>
        </w:rPr>
        <w:tab/>
        <w:t>Liekové a iné interakcie</w:t>
      </w:r>
    </w:p>
    <w:p w14:paraId="46206890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458424A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Farmakologické interakcie</w:t>
      </w:r>
    </w:p>
    <w:p w14:paraId="28F3F2E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Súčasná liečba inými liekmi s anticholínergickými vlastnosťami môže vyústiť do výraznejších terapeutických účinkov a nežiaducich účinkov. Medzi ukončením liečby </w:t>
      </w:r>
      <w:r w:rsidR="001A6657">
        <w:rPr>
          <w:szCs w:val="22"/>
          <w:lang w:val="sk-SK"/>
        </w:rPr>
        <w:t>solifenacínom</w:t>
      </w:r>
      <w:r w:rsidRPr="001A6657">
        <w:rPr>
          <w:szCs w:val="22"/>
          <w:lang w:val="sk-SK"/>
        </w:rPr>
        <w:t xml:space="preserve"> a začiatkom liečby iným anticholínergickým liekom má uplynúť približne jeden týždeň. Liečebný účinok solifenacínu sa môže znížiť pri súčasnom podávaní agonistov cholínergných receptorov.</w:t>
      </w:r>
    </w:p>
    <w:p w14:paraId="31B9DEC9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42A48336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Solifenacín môže znížiť účinok liekov, ktoré stimulujú motilitu gastrointestinálneho traktu, akými sú napríklad metoklopramid a cisaprid.</w:t>
      </w:r>
    </w:p>
    <w:p w14:paraId="3C4A7F51" w14:textId="77777777" w:rsidR="009608C4" w:rsidRPr="001A6657" w:rsidRDefault="009608C4" w:rsidP="009608C4">
      <w:pPr>
        <w:widowControl w:val="0"/>
        <w:rPr>
          <w:b/>
          <w:szCs w:val="22"/>
          <w:lang w:val="sk-SK"/>
        </w:rPr>
      </w:pPr>
    </w:p>
    <w:p w14:paraId="110311F5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Farmakokinetické interakcie</w:t>
      </w:r>
    </w:p>
    <w:p w14:paraId="3DD49B1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Štúdie </w:t>
      </w:r>
      <w:r w:rsidRPr="001A6657">
        <w:rPr>
          <w:i/>
          <w:szCs w:val="22"/>
          <w:lang w:val="sk-SK"/>
        </w:rPr>
        <w:t xml:space="preserve">in vitro </w:t>
      </w:r>
      <w:r w:rsidRPr="001A6657">
        <w:rPr>
          <w:szCs w:val="22"/>
          <w:lang w:val="sk-SK"/>
        </w:rPr>
        <w:t>dokázali, že solifenacín pri terapeutických koncentráciách neinhibuje CYP1A1/2, 2C9, 2C19, 2D6 alebo 3A4 odvodené z mikrozómov ľudskej pečene. Preto je nepravdepodobné, že by solifenacín menil klírens liekov metabolizovaných pomocou týchto CYP enzýmov.</w:t>
      </w:r>
    </w:p>
    <w:p w14:paraId="204E1526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E8E2633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Účinok iných liekov na farmakokinetické vlastnosti solifenacínu</w:t>
      </w:r>
    </w:p>
    <w:p w14:paraId="5E5C52B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Solifenacín sa metabolizuje pomocou CYP3A4. Súčasné podanie ketokonazolu (200 mg/denne), silného inhibítora CYP3A4, viedlo k dvojnásobnému zvýšeniu AUC solifenacínu, zatiaľ čo podanie ketokonazolu v dávke 400 mg/deň viedlo k trojnásobnému zvýšeniu AUC solifenacínu. Preto má byť maximálna dávka </w:t>
      </w:r>
      <w:r w:rsidR="001A6657">
        <w:rPr>
          <w:szCs w:val="22"/>
          <w:lang w:val="sk-SK"/>
        </w:rPr>
        <w:t>solifenacínu</w:t>
      </w:r>
      <w:r w:rsidRPr="001A6657">
        <w:rPr>
          <w:szCs w:val="22"/>
          <w:lang w:val="sk-SK"/>
        </w:rPr>
        <w:t xml:space="preserve"> obmedzená na 5 mg v prípade, ak je pacient súčasne liečený ketokonazolom alebo terapeutickými dávkami iných silných inhibítorov CYP3A4 (napr. ritonavir, nelfinavir, itrakonazol) (pozri časť 4.2).</w:t>
      </w:r>
    </w:p>
    <w:p w14:paraId="16DED8D5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7E311162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Súčasná liečba solifenacínom a silným inhibítorom CYP3A4 je kontraindikovaná u pacientov so závažnou poruchou funkcie obličiek alebo stredne závažnou poruchou funkcie pečene.</w:t>
      </w:r>
    </w:p>
    <w:p w14:paraId="3B74CAAC" w14:textId="77777777" w:rsidR="009608C4" w:rsidRPr="001A6657" w:rsidRDefault="009608C4" w:rsidP="009608C4">
      <w:pPr>
        <w:widowControl w:val="0"/>
        <w:rPr>
          <w:rFonts w:eastAsia="MS Mincho"/>
          <w:szCs w:val="22"/>
          <w:lang w:val="sk-SK"/>
        </w:rPr>
      </w:pPr>
    </w:p>
    <w:p w14:paraId="0A8FFBE2" w14:textId="77777777" w:rsidR="009608C4" w:rsidRPr="001A6657" w:rsidRDefault="009608C4" w:rsidP="009608C4">
      <w:pPr>
        <w:widowControl w:val="0"/>
        <w:rPr>
          <w:bCs/>
          <w:szCs w:val="22"/>
          <w:lang w:val="sk-SK"/>
        </w:rPr>
      </w:pPr>
      <w:r w:rsidRPr="001A6657">
        <w:rPr>
          <w:szCs w:val="22"/>
          <w:lang w:val="sk-SK"/>
        </w:rPr>
        <w:t>Vplyv enzýmovej indukcie na farmakokinetické vlastnosti solifenacínu a jeho metabolitov nebol predmetom štúdie, rovnako ako ani vplyv substrátov s vyššou afinitou k CYP3A4 na expozíciu solifenacínu. Keďže solifenacín sa metabolizuje prostredníctvom CYP3A4, sú možné farmakokinetické interakcie s inými substrátmi CYP3A4 s vyššou afinitou k CYP3A4 (napr. verapamil, diltiazem) a induktormi CYP3A4 (napr. rifampicín, fenytoín, karbamazepín)</w:t>
      </w:r>
      <w:r w:rsidRPr="001A6657">
        <w:rPr>
          <w:bCs/>
          <w:szCs w:val="22"/>
          <w:lang w:val="sk-SK"/>
        </w:rPr>
        <w:t>.</w:t>
      </w:r>
    </w:p>
    <w:p w14:paraId="50BEC6F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41E31472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Vplyv solifenacínu na farmakokinetické vlastnosti iných liekov</w:t>
      </w:r>
    </w:p>
    <w:p w14:paraId="3F942DC9" w14:textId="77777777" w:rsidR="001A6657" w:rsidRDefault="001A6657" w:rsidP="009608C4">
      <w:pPr>
        <w:widowControl w:val="0"/>
        <w:rPr>
          <w:i/>
          <w:szCs w:val="22"/>
          <w:lang w:val="sk-SK"/>
        </w:rPr>
      </w:pPr>
    </w:p>
    <w:p w14:paraId="32AD3FBA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Perorálne kontraceptíva</w:t>
      </w:r>
    </w:p>
    <w:p w14:paraId="3B7295E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lastRenderedPageBreak/>
        <w:t xml:space="preserve">Užívanie </w:t>
      </w:r>
      <w:r w:rsidRPr="001A6657">
        <w:rPr>
          <w:bCs/>
          <w:szCs w:val="22"/>
          <w:lang w:val="sk-SK"/>
        </w:rPr>
        <w:t>solifenacínu</w:t>
      </w:r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nepreukázalo žiadnu farmakokinetickú interakciu solifenacínu s kombinovanými perorálnymi kontraceptívami (etinylestradiol/levonorgestrel).</w:t>
      </w:r>
    </w:p>
    <w:p w14:paraId="35ED2512" w14:textId="77777777" w:rsidR="001A6657" w:rsidRDefault="001A6657" w:rsidP="009608C4">
      <w:pPr>
        <w:widowControl w:val="0"/>
        <w:rPr>
          <w:i/>
          <w:szCs w:val="22"/>
          <w:lang w:val="sk-SK"/>
        </w:rPr>
      </w:pPr>
    </w:p>
    <w:p w14:paraId="65B3E3D3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Warfarín</w:t>
      </w:r>
    </w:p>
    <w:p w14:paraId="41381003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Užívanie </w:t>
      </w:r>
      <w:r w:rsidRPr="001A6657">
        <w:rPr>
          <w:bCs/>
          <w:szCs w:val="22"/>
          <w:lang w:val="sk-SK"/>
        </w:rPr>
        <w:t>solifenacínu</w:t>
      </w:r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nezmenilo farmakokinetické vlastnosti R-warfarínu ani S</w:t>
      </w:r>
      <w:r w:rsidRPr="001A6657">
        <w:rPr>
          <w:szCs w:val="22"/>
          <w:lang w:val="sk-SK"/>
        </w:rPr>
        <w:noBreakHyphen/>
        <w:t>warfarínu, ani ich účinok na protrombínový čas.</w:t>
      </w:r>
    </w:p>
    <w:p w14:paraId="1ECB0E52" w14:textId="77777777" w:rsidR="001A6657" w:rsidRDefault="001A6657" w:rsidP="009608C4">
      <w:pPr>
        <w:widowControl w:val="0"/>
        <w:rPr>
          <w:i/>
          <w:szCs w:val="22"/>
          <w:lang w:val="sk-SK"/>
        </w:rPr>
      </w:pPr>
    </w:p>
    <w:p w14:paraId="6EF12159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Digoxín</w:t>
      </w:r>
    </w:p>
    <w:p w14:paraId="3399511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Užívanie </w:t>
      </w:r>
      <w:r w:rsidRPr="001A6657">
        <w:rPr>
          <w:bCs/>
          <w:szCs w:val="22"/>
          <w:lang w:val="sk-SK"/>
        </w:rPr>
        <w:t>solifenacínu</w:t>
      </w:r>
      <w:r w:rsidRPr="001A6657" w:rsidDel="00052A1A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nevykázalo žiaden vplyv na farmakokinetické vlastnosti digoxínu.</w:t>
      </w:r>
    </w:p>
    <w:p w14:paraId="1BC7A4D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50C61CA" w14:textId="77777777" w:rsidR="009E6B3B" w:rsidRPr="001A6657" w:rsidRDefault="00F7505D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4.6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Fertilita, gravidita a laktácia</w:t>
      </w:r>
    </w:p>
    <w:p w14:paraId="5710625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2A9A7DC7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Gravidita</w:t>
      </w:r>
    </w:p>
    <w:p w14:paraId="03D7F5A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Nie sú k dispozícii žiadne klinické údaje o ženách, ktoré otehotneli počas užívania solifenacínu. Štúdie na zvieratách nepreukázali priame škodlivé účinky na plodnosť, embryonálny/fetálny vývoj alebo pôrod (pozri časť 5.3). Potenciálne riziko u ľudí nie je známe. Pri predpisovaní lieku gravidným ženám je potrebná opatrnosť.</w:t>
      </w:r>
    </w:p>
    <w:p w14:paraId="0EF84158" w14:textId="77777777" w:rsidR="009608C4" w:rsidRPr="001A6657" w:rsidRDefault="009608C4" w:rsidP="00A505E4">
      <w:pPr>
        <w:spacing w:line="240" w:lineRule="auto"/>
        <w:rPr>
          <w:szCs w:val="22"/>
          <w:lang w:val="sk-SK"/>
        </w:rPr>
      </w:pPr>
    </w:p>
    <w:p w14:paraId="64EF847D" w14:textId="77777777" w:rsidR="009E6B3B" w:rsidRPr="001A6657" w:rsidRDefault="00D60D9E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Dojčenie</w:t>
      </w:r>
    </w:p>
    <w:p w14:paraId="53BAA01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Údaje o vylučovaní solifenacínu do ľudského mlieka nie sú k dispozícii. U myší sa solifenacín a/alebo jeho metabolity vylučovali do mlieka, čo spôsobilo od dávky závislé nedostatočné prospievanie novorodenej myši (pozri časť 5.3). Preto sa počas obdobia dojčenia nemá So</w:t>
      </w:r>
      <w:r w:rsidR="001A6657">
        <w:rPr>
          <w:szCs w:val="22"/>
          <w:lang w:val="sk-SK"/>
        </w:rPr>
        <w:t>lifenacin Mylan</w:t>
      </w:r>
      <w:r w:rsidRPr="001A6657">
        <w:rPr>
          <w:szCs w:val="22"/>
          <w:lang w:val="sk-SK"/>
        </w:rPr>
        <w:t xml:space="preserve"> užívať.</w:t>
      </w:r>
    </w:p>
    <w:p w14:paraId="399CE67A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342B8C6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4.7</w:t>
      </w:r>
      <w:r w:rsidRPr="001A6657">
        <w:rPr>
          <w:b/>
          <w:szCs w:val="22"/>
          <w:lang w:val="sk-SK"/>
        </w:rPr>
        <w:tab/>
        <w:t>Ovplyvnenie schopnosti viesť vozidlá a obsluhovať stroje</w:t>
      </w:r>
    </w:p>
    <w:p w14:paraId="41B777B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3677B37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Keďže solifenacín, tak ako aj iné anticholínergiká, môže spôsobovať rozmazané videnie a menej často ospalosť a únavu (pozri časť 4.8.), môže mať negatívny vplyv na schopnosť viesť vozidlá a obsluhovať stroje.</w:t>
      </w:r>
    </w:p>
    <w:p w14:paraId="292DBBB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A875E9B" w14:textId="77777777" w:rsidR="009E6B3B" w:rsidRPr="001A6657" w:rsidRDefault="00A734B6" w:rsidP="00A505E4">
      <w:pPr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4.8</w:t>
      </w:r>
      <w:r w:rsidRPr="001A6657">
        <w:rPr>
          <w:b/>
          <w:szCs w:val="22"/>
          <w:lang w:val="sk-SK"/>
        </w:rPr>
        <w:tab/>
        <w:t>Nežiaduce účinky</w:t>
      </w:r>
    </w:p>
    <w:p w14:paraId="16453535" w14:textId="77777777" w:rsidR="001A6657" w:rsidRDefault="001A6657" w:rsidP="009608C4">
      <w:pPr>
        <w:widowControl w:val="0"/>
        <w:rPr>
          <w:szCs w:val="22"/>
          <w:u w:val="single"/>
          <w:lang w:val="sk-SK"/>
        </w:rPr>
      </w:pPr>
    </w:p>
    <w:p w14:paraId="7816DE02" w14:textId="77777777" w:rsidR="009608C4" w:rsidRPr="001A6657" w:rsidRDefault="009608C4" w:rsidP="009608C4">
      <w:pPr>
        <w:widowControl w:val="0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Súhrn bezpečnostného profilu</w:t>
      </w:r>
    </w:p>
    <w:p w14:paraId="204FF5EE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369A6109" w14:textId="77777777" w:rsidR="009608C4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Vzhľadom na farmakologické účinky solifenacínu môže </w:t>
      </w:r>
      <w:r w:rsidR="001A6657">
        <w:rPr>
          <w:szCs w:val="22"/>
          <w:lang w:val="sk-SK"/>
        </w:rPr>
        <w:t xml:space="preserve">tento liek </w:t>
      </w:r>
      <w:r w:rsidRPr="001A6657">
        <w:rPr>
          <w:szCs w:val="22"/>
          <w:lang w:val="sk-SK"/>
        </w:rPr>
        <w:t>spôsobiť anticholínergické nežiaduce účinky (obvykle) miernej alebo strednej závažnosti. Frekvencia anticholínergických nežiaducich účinkov je závislá od dávky.</w:t>
      </w:r>
    </w:p>
    <w:p w14:paraId="5B896B3D" w14:textId="77777777" w:rsidR="001A6657" w:rsidRPr="001A6657" w:rsidRDefault="001A6657" w:rsidP="009608C4">
      <w:pPr>
        <w:widowControl w:val="0"/>
        <w:rPr>
          <w:szCs w:val="22"/>
          <w:lang w:val="sk-SK"/>
        </w:rPr>
      </w:pPr>
    </w:p>
    <w:p w14:paraId="41E3DC40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Najčastejšie hlásená nežiaduca reakcia pri užívaní </w:t>
      </w:r>
      <w:r w:rsidRPr="001A6657">
        <w:rPr>
          <w:iCs/>
          <w:szCs w:val="22"/>
          <w:lang w:val="sk-SK"/>
        </w:rPr>
        <w:t>solifenacínu</w:t>
      </w:r>
      <w:r w:rsidRPr="001A6657">
        <w:rPr>
          <w:szCs w:val="22"/>
          <w:lang w:val="sk-SK"/>
        </w:rPr>
        <w:t xml:space="preserve"> bola sucho v ústach. K tejto reakcii došlo u 11 % pacientov, ktorí užívali dávku 5 mg jedenkrát denne, u 22 % pacientov, ktorí užívali dávku 10 mg jedenkrát denne a u 4 % pacientov, ktorí užívali placebo. Závažnosť sucha v ústach bola obvykle mierna a len občas viedla k prerušeniu liečby. </w:t>
      </w:r>
      <w:r w:rsidRPr="001A6657">
        <w:rPr>
          <w:i/>
          <w:szCs w:val="22"/>
          <w:lang w:val="sk-SK"/>
        </w:rPr>
        <w:t>Compliance</w:t>
      </w:r>
      <w:r w:rsidRPr="001A6657">
        <w:rPr>
          <w:szCs w:val="22"/>
          <w:lang w:val="sk-SK"/>
        </w:rPr>
        <w:t xml:space="preserve"> lieku bola vo všeobecnosti veľmi vysoká (približne 99 %) a približne 90 % pacientov liečených </w:t>
      </w:r>
      <w:r w:rsidRPr="001A6657">
        <w:rPr>
          <w:iCs/>
          <w:szCs w:val="22"/>
          <w:lang w:val="sk-SK"/>
        </w:rPr>
        <w:t>solifenacínom</w:t>
      </w:r>
      <w:r w:rsidRPr="001A6657" w:rsidDel="00871F26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ukončilo celú štúdiu v trvaní 12 týždňov.</w:t>
      </w:r>
    </w:p>
    <w:p w14:paraId="5D855BF7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025EEF7" w14:textId="77777777" w:rsidR="009608C4" w:rsidRPr="001A6657" w:rsidRDefault="009608C4" w:rsidP="009608C4">
      <w:pPr>
        <w:widowControl w:val="0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Tabuľkový zoznam nežiaducich účinkov</w:t>
      </w:r>
    </w:p>
    <w:p w14:paraId="2A4D6A9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275"/>
        <w:gridCol w:w="1276"/>
        <w:gridCol w:w="1276"/>
        <w:gridCol w:w="1559"/>
        <w:gridCol w:w="1418"/>
      </w:tblGrid>
      <w:tr w:rsidR="009608C4" w:rsidRPr="001A6657" w14:paraId="23C35E2C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20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Trieda orgánových systémov podľa databázy MedDRA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0F1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Veľmi časté</w:t>
            </w:r>
          </w:p>
          <w:p w14:paraId="40D41BB4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D2D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Časté</w:t>
            </w:r>
          </w:p>
          <w:p w14:paraId="022FC773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1/100 až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0EB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Menej časté</w:t>
            </w:r>
          </w:p>
          <w:p w14:paraId="5DDE75C7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1/1 000 až &lt; 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2E2F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Zriedkavé</w:t>
            </w:r>
          </w:p>
          <w:p w14:paraId="0A4D8137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≥ 1/10 000 až &lt;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10A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Veľmi zriedkavé</w:t>
            </w:r>
          </w:p>
          <w:p w14:paraId="1E60101B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&lt; 1/10 000,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C9F" w14:textId="77777777" w:rsidR="009608C4" w:rsidRPr="001A6657" w:rsidRDefault="009608C4" w:rsidP="009608C4">
            <w:pPr>
              <w:widowControl w:val="0"/>
              <w:jc w:val="center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Neznáme (častosť sa nedá odhadnúť z dostupných údajov)</w:t>
            </w:r>
          </w:p>
        </w:tc>
      </w:tr>
      <w:tr w:rsidR="009608C4" w:rsidRPr="001A6657" w14:paraId="09619488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2B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Infekcie a nákazy</w:t>
            </w:r>
          </w:p>
          <w:p w14:paraId="4609D4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7F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CE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1D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infekcia močových ciest,</w:t>
            </w:r>
          </w:p>
          <w:p w14:paraId="7BA7C8B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cystitída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9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C6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C3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6A55148B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B47" w14:textId="77777777" w:rsidR="009608C4" w:rsidRPr="001A6657" w:rsidRDefault="009608C4" w:rsidP="009608C4">
            <w:pPr>
              <w:widowControl w:val="0"/>
              <w:rPr>
                <w:szCs w:val="22"/>
                <w:lang w:val="sk-SK" w:eastAsia="ja-JP" w:bidi="si-LK"/>
              </w:rPr>
            </w:pPr>
            <w:r w:rsidRPr="001A6657">
              <w:rPr>
                <w:szCs w:val="22"/>
                <w:lang w:val="sk-SK" w:eastAsia="ja-JP" w:bidi="si-LK"/>
              </w:rPr>
              <w:lastRenderedPageBreak/>
              <w:t>Poruchy imunitného systému</w:t>
            </w:r>
          </w:p>
          <w:p w14:paraId="336823A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C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E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CC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3A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9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D94D" w14:textId="77777777" w:rsidR="009608C4" w:rsidRPr="001A6657" w:rsidRDefault="009608C4" w:rsidP="001A6657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anafylaktick</w:t>
            </w:r>
            <w:r w:rsidR="001A6657">
              <w:rPr>
                <w:szCs w:val="22"/>
                <w:lang w:val="sk-SK"/>
              </w:rPr>
              <w:t>á</w:t>
            </w:r>
            <w:r w:rsidRPr="001A6657">
              <w:rPr>
                <w:szCs w:val="22"/>
                <w:lang w:val="sk-SK"/>
              </w:rPr>
              <w:t xml:space="preserve"> reakci</w:t>
            </w:r>
            <w:r w:rsidR="001A6657">
              <w:rPr>
                <w:szCs w:val="22"/>
                <w:lang w:val="sk-SK"/>
              </w:rPr>
              <w:t>a</w:t>
            </w:r>
            <w:r w:rsidRPr="001A6657">
              <w:rPr>
                <w:szCs w:val="22"/>
                <w:lang w:val="sk-SK"/>
              </w:rPr>
              <w:t>*</w:t>
            </w:r>
          </w:p>
        </w:tc>
      </w:tr>
      <w:tr w:rsidR="009608C4" w:rsidRPr="001A6657" w14:paraId="303D1161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3D4" w14:textId="77777777" w:rsidR="009608C4" w:rsidRPr="001A6657" w:rsidRDefault="009608C4" w:rsidP="009608C4">
            <w:pPr>
              <w:widowControl w:val="0"/>
              <w:rPr>
                <w:szCs w:val="22"/>
                <w:lang w:val="sk-SK" w:eastAsia="ja-JP" w:bidi="si-LK"/>
              </w:rPr>
            </w:pPr>
            <w:r w:rsidRPr="001A6657">
              <w:rPr>
                <w:szCs w:val="22"/>
                <w:lang w:val="sk-SK" w:eastAsia="ja-JP" w:bidi="si-LK"/>
              </w:rPr>
              <w:t>Poruchy metabolizmu a výživy</w:t>
            </w:r>
          </w:p>
          <w:p w14:paraId="33BF851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5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1E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ED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49C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7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8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znížená chuť do jedla*,</w:t>
            </w:r>
          </w:p>
          <w:p w14:paraId="331E660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hyperkaliémia*</w:t>
            </w:r>
          </w:p>
        </w:tc>
      </w:tr>
      <w:tr w:rsidR="009608C4" w:rsidRPr="001A6657" w14:paraId="730FD1A5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3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Psychické poruchy</w:t>
            </w:r>
          </w:p>
          <w:p w14:paraId="29ACDB8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CF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48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0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1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0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halucinácie*</w:t>
            </w:r>
          </w:p>
          <w:p w14:paraId="495AF3B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stavy zmätenosti*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4C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delírium*</w:t>
            </w:r>
          </w:p>
        </w:tc>
      </w:tr>
      <w:tr w:rsidR="009608C4" w:rsidRPr="001A6657" w14:paraId="6604E3DD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61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nervového systému</w:t>
            </w:r>
          </w:p>
          <w:p w14:paraId="04F2CA0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F5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6E6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005" w14:textId="77777777" w:rsidR="009608C4" w:rsidRPr="001A6657" w:rsidRDefault="009608C4" w:rsidP="009608C4">
            <w:pPr>
              <w:widowControl w:val="0"/>
              <w:ind w:right="-7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somnolencia, porucha vnímania </w:t>
            </w:r>
            <w:r w:rsidRPr="001A6657">
              <w:rPr>
                <w:szCs w:val="22"/>
                <w:lang w:val="sk-SK"/>
              </w:rPr>
              <w:br/>
              <w:t>chuti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CC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závrat,*</w:t>
            </w:r>
          </w:p>
          <w:p w14:paraId="784E957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bolesť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9D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DD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4A0D7327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66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oka</w:t>
            </w:r>
          </w:p>
          <w:p w14:paraId="637FE8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10F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6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rozmazané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B9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suché oči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DA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2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1E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glaukóm*</w:t>
            </w:r>
          </w:p>
        </w:tc>
      </w:tr>
      <w:tr w:rsidR="009608C4" w:rsidRPr="001A6657" w14:paraId="77571743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DC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srdca a srdcovej činnosti</w:t>
            </w:r>
          </w:p>
          <w:p w14:paraId="19D64F9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D2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C4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C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C719" w14:textId="77777777" w:rsidR="009608C4" w:rsidRPr="001A6657" w:rsidRDefault="009608C4" w:rsidP="009608C4">
            <w:pPr>
              <w:widowControl w:val="0"/>
              <w:tabs>
                <w:tab w:val="left" w:pos="870"/>
              </w:tabs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B05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F6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torsade de</w:t>
            </w:r>
            <w:r w:rsidRPr="001A6657">
              <w:rPr>
                <w:rStyle w:val="st1"/>
                <w:b/>
                <w:bCs/>
                <w:color w:val="000000"/>
                <w:szCs w:val="22"/>
                <w:lang w:val="sk-SK"/>
              </w:rPr>
              <w:t xml:space="preserve"> </w:t>
            </w:r>
            <w:r w:rsidRPr="001A6657">
              <w:rPr>
                <w:szCs w:val="22"/>
                <w:lang w:val="sk-SK"/>
              </w:rPr>
              <w:t>pointes*, predĺženie QT intervalu na elektro-kardiograme*</w:t>
            </w:r>
          </w:p>
          <w:p w14:paraId="68F6288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atriálna fibrilácia*,</w:t>
            </w:r>
          </w:p>
          <w:p w14:paraId="467E437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palpitácia*,</w:t>
            </w:r>
          </w:p>
          <w:p w14:paraId="74EE5C4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tachykardia*</w:t>
            </w:r>
          </w:p>
        </w:tc>
      </w:tr>
      <w:tr w:rsidR="009608C4" w:rsidRPr="001A6657" w14:paraId="72DC49B5" w14:textId="77777777" w:rsidTr="009608C4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E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dýchacej sústavy, hrudníka a mediastína</w:t>
            </w:r>
          </w:p>
          <w:p w14:paraId="02EE7E9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7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B9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93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nose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6DF" w14:textId="77777777" w:rsidR="009608C4" w:rsidRPr="001A6657" w:rsidRDefault="009608C4" w:rsidP="009608C4">
            <w:pPr>
              <w:widowControl w:val="0"/>
              <w:tabs>
                <w:tab w:val="left" w:pos="870"/>
              </w:tabs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3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67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dysfónia*</w:t>
            </w:r>
          </w:p>
        </w:tc>
      </w:tr>
      <w:tr w:rsidR="009608C4" w:rsidRPr="001A6657" w14:paraId="1836872B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9A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gastrointestinál-neho traktu</w:t>
            </w:r>
          </w:p>
          <w:p w14:paraId="33A6AED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96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ústach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9E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zápcha,</w:t>
            </w:r>
          </w:p>
          <w:p w14:paraId="7EF4164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nauzea,</w:t>
            </w:r>
          </w:p>
          <w:p w14:paraId="7506D84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dyspepsia,</w:t>
            </w:r>
          </w:p>
          <w:p w14:paraId="22A4618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bolesť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F5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gastro-ezofageálny reflux,</w:t>
            </w:r>
          </w:p>
          <w:p w14:paraId="4EDD85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sucho v hrdle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5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obštrukcia hrubého čreva,</w:t>
            </w:r>
          </w:p>
          <w:p w14:paraId="614BC98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porucha vyprázdňo-vania hrubého čreva, vracanie*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4A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66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ileus*,</w:t>
            </w:r>
          </w:p>
          <w:p w14:paraId="4071C3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tráviace ťažkosti*</w:t>
            </w:r>
          </w:p>
          <w:p w14:paraId="6757391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174D9240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459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pečene a žlčových ciest</w:t>
            </w:r>
          </w:p>
          <w:p w14:paraId="4936FBA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C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E2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E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A8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E6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64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porucha funkcie pečene*,</w:t>
            </w:r>
          </w:p>
          <w:p w14:paraId="14157C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abnormálne výsledky testov pečeňových funkcií*</w:t>
            </w:r>
          </w:p>
        </w:tc>
      </w:tr>
      <w:tr w:rsidR="009608C4" w:rsidRPr="001A6657" w14:paraId="734611E5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EA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kože a podkožného tkaniva</w:t>
            </w:r>
          </w:p>
          <w:p w14:paraId="43D1C8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31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96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6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suchá pokožka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AD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pruritus,*</w:t>
            </w:r>
          </w:p>
          <w:p w14:paraId="2BD023D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vyrážka*,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E0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multiformný erytém*,</w:t>
            </w:r>
          </w:p>
          <w:p w14:paraId="69E5937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urtikária*</w:t>
            </w:r>
          </w:p>
          <w:p w14:paraId="2756801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angioedém*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C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exfoliatívna dermatitída *</w:t>
            </w:r>
          </w:p>
        </w:tc>
      </w:tr>
      <w:tr w:rsidR="009608C4" w:rsidRPr="001A6657" w14:paraId="2308AC71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840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Poruchy kostrovej a svalovej sústavy a spojeného tkaniva</w:t>
            </w:r>
          </w:p>
          <w:p w14:paraId="6DBA50D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0B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EB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A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10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1E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E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svalová slabosť*</w:t>
            </w:r>
          </w:p>
        </w:tc>
      </w:tr>
      <w:tr w:rsidR="009608C4" w:rsidRPr="001A6657" w14:paraId="3E8AD6BC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7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Poruchy obličiek a močových ciest</w:t>
            </w:r>
          </w:p>
          <w:p w14:paraId="1B7C07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7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F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92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 xml:space="preserve">problémy pri močení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B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retencia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E3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5EC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porucha funkcie obličiek*</w:t>
            </w:r>
          </w:p>
        </w:tc>
      </w:tr>
      <w:tr w:rsidR="009608C4" w:rsidRPr="001A6657" w14:paraId="467BA924" w14:textId="77777777" w:rsidTr="009608C4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2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Celkové poruchy a reakcie v mieste podania</w:t>
            </w:r>
          </w:p>
          <w:p w14:paraId="522E434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78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67B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CF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únava,</w:t>
            </w:r>
          </w:p>
          <w:p w14:paraId="34E516F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periférny edém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21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38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DCE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</w:tbl>
    <w:p w14:paraId="1114A36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* hlásené po uvedení lieku na trh</w:t>
      </w:r>
    </w:p>
    <w:p w14:paraId="5FCD20F2" w14:textId="77777777" w:rsidR="009E6B3B" w:rsidRPr="001A6657" w:rsidRDefault="009E6B3B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75DA26" w14:textId="77777777" w:rsidR="009E6B3B" w:rsidRPr="001A6657" w:rsidRDefault="00A734B6" w:rsidP="00A505E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1A6657">
        <w:rPr>
          <w:szCs w:val="22"/>
          <w:u w:val="single"/>
          <w:lang w:val="sk-SK"/>
        </w:rPr>
        <w:t>Hlásenie podozrení na nežiaduce reakcie</w:t>
      </w:r>
    </w:p>
    <w:p w14:paraId="533ED5C5" w14:textId="1673D4D7" w:rsidR="009E6B3B" w:rsidRPr="001A6657" w:rsidRDefault="00A734B6" w:rsidP="00A505E4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581B57">
        <w:rPr>
          <w:szCs w:val="22"/>
          <w:lang w:val="sk-SK"/>
        </w:rPr>
        <w:t>na</w:t>
      </w:r>
      <w:r w:rsidR="00581B57" w:rsidRPr="001A6657">
        <w:rPr>
          <w:szCs w:val="22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 xml:space="preserve">národné </w:t>
      </w:r>
      <w:r w:rsidR="00581B57">
        <w:rPr>
          <w:szCs w:val="22"/>
          <w:highlight w:val="lightGray"/>
          <w:lang w:val="sk-SK"/>
        </w:rPr>
        <w:t>centrum</w:t>
      </w:r>
      <w:r w:rsidR="00581B57" w:rsidRPr="001A6657">
        <w:rPr>
          <w:szCs w:val="22"/>
          <w:highlight w:val="lightGray"/>
          <w:lang w:val="sk-SK"/>
        </w:rPr>
        <w:t xml:space="preserve"> </w:t>
      </w:r>
      <w:r w:rsidRPr="001A6657">
        <w:rPr>
          <w:szCs w:val="22"/>
          <w:highlight w:val="lightGray"/>
          <w:lang w:val="sk-SK"/>
        </w:rPr>
        <w:t>hlásenia uvedené v </w:t>
      </w:r>
      <w:hyperlink r:id="rId9" w:history="1">
        <w:r w:rsidRPr="001A6657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1A6657">
        <w:rPr>
          <w:szCs w:val="22"/>
          <w:highlight w:val="lightGray"/>
          <w:lang w:val="sk-SK"/>
        </w:rPr>
        <w:t>.</w:t>
      </w:r>
    </w:p>
    <w:p w14:paraId="2C9BCAF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FC67537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4.9</w:t>
      </w:r>
      <w:r w:rsidRPr="001A6657">
        <w:rPr>
          <w:b/>
          <w:szCs w:val="22"/>
          <w:lang w:val="sk-SK"/>
        </w:rPr>
        <w:tab/>
        <w:t>Predávkovanie</w:t>
      </w:r>
    </w:p>
    <w:p w14:paraId="2B8BB91D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2A496A5F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Symptómy</w:t>
      </w:r>
    </w:p>
    <w:p w14:paraId="5D829A5F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Predávkovanie solifenacíniumsukcinátom môže viesť k ťažkým anticholínergickým účinkom. Najvyššia dávka solifenacíniumsukcinátu náhodne podaná jednému pacientovi bola 280 mg počas 5 hodín a mala za následok zmeny duševného stavu, ktoré nevyžadovali hospitalizáciu.</w:t>
      </w:r>
    </w:p>
    <w:p w14:paraId="766922D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3A6BC896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Liečba</w:t>
      </w:r>
    </w:p>
    <w:p w14:paraId="53FAFAD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V prípade predávkovania solifenacíniumsukcinátom sa má pacient liečiť adsorpčným uhlím. Výplach žalúdka pomôže, ak sa vykoná do 1 hodiny, ale nemá sa vyvolávať vracanie.</w:t>
      </w:r>
    </w:p>
    <w:p w14:paraId="5E759D2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611A26CC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Tak ako pri ostatných anticholínergikách, príznaky sa môžu liečiť nasledovne:</w:t>
      </w:r>
    </w:p>
    <w:p w14:paraId="434F4D35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Závažné centrálne anticholínergické účinky, ako napr. halucinácie alebo výrazná excitácia: liečba fyzostigmínom alebo karbacholom.</w:t>
      </w:r>
    </w:p>
    <w:p w14:paraId="5451AFB6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Kŕče alebo výrazná excitácia: liečba benzodiazepínmi.</w:t>
      </w:r>
    </w:p>
    <w:p w14:paraId="5CCEC191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Respiračná nedostatočnosť: liečba umelým dýchaním.</w:t>
      </w:r>
    </w:p>
    <w:p w14:paraId="02E4B976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Tachykardia: liečba beta-blokátormi.</w:t>
      </w:r>
    </w:p>
    <w:p w14:paraId="1BAB98EB" w14:textId="77777777" w:rsidR="009608C4" w:rsidRPr="001A6657" w:rsidRDefault="009608C4" w:rsidP="009608C4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Retencia moču: liečba katetrizáciou.</w:t>
      </w:r>
    </w:p>
    <w:p w14:paraId="6FDBAF52" w14:textId="26EC7BDA" w:rsidR="00193CEE" w:rsidRDefault="009608C4" w:rsidP="005A4927">
      <w:pPr>
        <w:widowControl w:val="0"/>
        <w:numPr>
          <w:ilvl w:val="0"/>
          <w:numId w:val="38"/>
        </w:numPr>
        <w:tabs>
          <w:tab w:val="clear" w:pos="360"/>
          <w:tab w:val="num" w:pos="567"/>
        </w:tabs>
        <w:autoSpaceDE w:val="0"/>
        <w:autoSpaceDN w:val="0"/>
        <w:spacing w:line="240" w:lineRule="auto"/>
        <w:ind w:left="567" w:hanging="567"/>
        <w:rPr>
          <w:szCs w:val="22"/>
          <w:lang w:val="sk-SK"/>
        </w:rPr>
      </w:pPr>
      <w:r w:rsidRPr="001A6657">
        <w:rPr>
          <w:szCs w:val="22"/>
          <w:lang w:val="sk-SK"/>
        </w:rPr>
        <w:t>Mydriáza: liečba pilokarpínovými očnými kvapkami a/alebo umiestnenie pacienta do tmavej miestnosti.</w:t>
      </w:r>
    </w:p>
    <w:p w14:paraId="256236F7" w14:textId="77777777" w:rsidR="00A064D4" w:rsidRPr="001A6657" w:rsidRDefault="00A064D4" w:rsidP="009608C4">
      <w:pPr>
        <w:widowControl w:val="0"/>
        <w:rPr>
          <w:szCs w:val="22"/>
          <w:lang w:val="sk-SK"/>
        </w:rPr>
      </w:pPr>
    </w:p>
    <w:p w14:paraId="61F1ECB9" w14:textId="5B7442C3" w:rsidR="009E6B3B" w:rsidRPr="001A6657" w:rsidRDefault="001E3F4F" w:rsidP="00A505E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Tak </w:t>
      </w:r>
      <w:r w:rsidR="00193CEE" w:rsidRPr="00193CEE">
        <w:rPr>
          <w:szCs w:val="22"/>
          <w:lang w:val="sk-SK"/>
        </w:rPr>
        <w:t xml:space="preserve">ako </w:t>
      </w:r>
      <w:r>
        <w:rPr>
          <w:szCs w:val="22"/>
          <w:lang w:val="sk-SK"/>
        </w:rPr>
        <w:t>pri</w:t>
      </w:r>
      <w:r w:rsidR="00193CEE" w:rsidRPr="00193CEE">
        <w:rPr>
          <w:szCs w:val="22"/>
          <w:lang w:val="sk-SK"/>
        </w:rPr>
        <w:t xml:space="preserve"> ostatných antimuskarin</w:t>
      </w:r>
      <w:r>
        <w:rPr>
          <w:szCs w:val="22"/>
          <w:lang w:val="sk-SK"/>
        </w:rPr>
        <w:t>ikách sa má</w:t>
      </w:r>
      <w:r w:rsidR="00193CEE" w:rsidRPr="00193CEE">
        <w:rPr>
          <w:szCs w:val="22"/>
          <w:lang w:val="sk-SK"/>
        </w:rPr>
        <w:t xml:space="preserve"> v prípade predávkovania</w:t>
      </w:r>
      <w:r>
        <w:rPr>
          <w:szCs w:val="22"/>
          <w:lang w:val="sk-SK"/>
        </w:rPr>
        <w:t xml:space="preserve"> venovať zvláštna pozornosť</w:t>
      </w:r>
      <w:r w:rsidR="00193CEE" w:rsidRPr="00193CEE">
        <w:rPr>
          <w:szCs w:val="22"/>
          <w:lang w:val="sk-SK"/>
        </w:rPr>
        <w:t xml:space="preserve"> pacientom so </w:t>
      </w:r>
      <w:r w:rsidRPr="00193CEE">
        <w:rPr>
          <w:szCs w:val="22"/>
          <w:lang w:val="sk-SK"/>
        </w:rPr>
        <w:t>znám</w:t>
      </w:r>
      <w:r>
        <w:rPr>
          <w:szCs w:val="22"/>
          <w:lang w:val="sk-SK"/>
        </w:rPr>
        <w:t>ym</w:t>
      </w:r>
      <w:r w:rsidR="00193CEE" w:rsidRPr="00193CEE">
        <w:rPr>
          <w:szCs w:val="22"/>
          <w:lang w:val="sk-SK"/>
        </w:rPr>
        <w:t xml:space="preserve"> rizikom predĺženia QT intervalu (tj </w:t>
      </w:r>
      <w:r>
        <w:rPr>
          <w:szCs w:val="22"/>
          <w:lang w:val="sk-SK"/>
        </w:rPr>
        <w:t xml:space="preserve">pri </w:t>
      </w:r>
      <w:r w:rsidR="00193CEE" w:rsidRPr="00193CEE">
        <w:rPr>
          <w:szCs w:val="22"/>
          <w:lang w:val="sk-SK"/>
        </w:rPr>
        <w:t>hypokal</w:t>
      </w:r>
      <w:r w:rsidR="00193CEE">
        <w:rPr>
          <w:szCs w:val="22"/>
          <w:lang w:val="sk-SK"/>
        </w:rPr>
        <w:t>i</w:t>
      </w:r>
      <w:r w:rsidR="00193CEE" w:rsidRPr="00193CEE">
        <w:rPr>
          <w:szCs w:val="22"/>
          <w:lang w:val="sk-SK"/>
        </w:rPr>
        <w:t>émi</w:t>
      </w:r>
      <w:r>
        <w:rPr>
          <w:szCs w:val="22"/>
          <w:lang w:val="sk-SK"/>
        </w:rPr>
        <w:t>i</w:t>
      </w:r>
      <w:r w:rsidR="00193CEE" w:rsidRPr="00193CEE">
        <w:rPr>
          <w:szCs w:val="22"/>
          <w:lang w:val="sk-SK"/>
        </w:rPr>
        <w:t>, bradykardi</w:t>
      </w:r>
      <w:r>
        <w:rPr>
          <w:szCs w:val="22"/>
          <w:lang w:val="sk-SK"/>
        </w:rPr>
        <w:t>i</w:t>
      </w:r>
      <w:r w:rsidR="00193CEE" w:rsidRPr="00193CEE">
        <w:rPr>
          <w:szCs w:val="22"/>
          <w:lang w:val="sk-SK"/>
        </w:rPr>
        <w:t xml:space="preserve"> a súčasn</w:t>
      </w:r>
      <w:r>
        <w:rPr>
          <w:szCs w:val="22"/>
          <w:lang w:val="sk-SK"/>
        </w:rPr>
        <w:t>om</w:t>
      </w:r>
      <w:r w:rsidR="00193CEE" w:rsidRPr="00193CEE">
        <w:rPr>
          <w:szCs w:val="22"/>
          <w:lang w:val="sk-SK"/>
        </w:rPr>
        <w:t xml:space="preserve"> podávan</w:t>
      </w:r>
      <w:r>
        <w:rPr>
          <w:szCs w:val="22"/>
          <w:lang w:val="sk-SK"/>
        </w:rPr>
        <w:t>í</w:t>
      </w:r>
      <w:r w:rsidR="00193CEE" w:rsidRPr="00193CEE">
        <w:rPr>
          <w:szCs w:val="22"/>
          <w:lang w:val="sk-SK"/>
        </w:rPr>
        <w:t xml:space="preserve"> liekov, </w:t>
      </w:r>
      <w:r>
        <w:rPr>
          <w:szCs w:val="22"/>
          <w:lang w:val="sk-SK"/>
        </w:rPr>
        <w:t xml:space="preserve">u ktorých je známe, že </w:t>
      </w:r>
      <w:r w:rsidR="00193CEE" w:rsidRPr="00193CEE">
        <w:rPr>
          <w:szCs w:val="22"/>
          <w:lang w:val="sk-SK"/>
        </w:rPr>
        <w:t>predlžujú QT interval) a</w:t>
      </w:r>
      <w:r>
        <w:rPr>
          <w:szCs w:val="22"/>
          <w:lang w:val="sk-SK"/>
        </w:rPr>
        <w:t xml:space="preserve"> pacientom s </w:t>
      </w:r>
      <w:r w:rsidR="00193CEE" w:rsidRPr="00193CEE">
        <w:rPr>
          <w:szCs w:val="22"/>
          <w:lang w:val="sk-SK"/>
        </w:rPr>
        <w:t xml:space="preserve">už existujúcich </w:t>
      </w:r>
      <w:r>
        <w:rPr>
          <w:szCs w:val="22"/>
          <w:lang w:val="sk-SK"/>
        </w:rPr>
        <w:t>ochorením srdca</w:t>
      </w:r>
      <w:r w:rsidR="00193CEE" w:rsidRPr="00193CEE">
        <w:rPr>
          <w:szCs w:val="22"/>
          <w:lang w:val="sk-SK"/>
        </w:rPr>
        <w:t xml:space="preserve"> (t</w:t>
      </w:r>
      <w:r w:rsidR="003A36A7">
        <w:rPr>
          <w:szCs w:val="22"/>
          <w:lang w:val="sk-SK"/>
        </w:rPr>
        <w:t>.</w:t>
      </w:r>
      <w:r w:rsidR="00193CEE" w:rsidRPr="00193CEE">
        <w:rPr>
          <w:szCs w:val="22"/>
          <w:lang w:val="sk-SK"/>
        </w:rPr>
        <w:t>j</w:t>
      </w:r>
      <w:r w:rsidR="003A36A7">
        <w:rPr>
          <w:szCs w:val="22"/>
          <w:lang w:val="sk-SK"/>
        </w:rPr>
        <w:t>.</w:t>
      </w:r>
      <w:r w:rsidR="00193CEE" w:rsidRPr="00193CEE">
        <w:rPr>
          <w:szCs w:val="22"/>
          <w:lang w:val="sk-SK"/>
        </w:rPr>
        <w:t xml:space="preserve"> ischémi</w:t>
      </w:r>
      <w:r>
        <w:rPr>
          <w:szCs w:val="22"/>
          <w:lang w:val="sk-SK"/>
        </w:rPr>
        <w:t>ou</w:t>
      </w:r>
      <w:r w:rsidR="00193CEE" w:rsidRPr="00193CEE">
        <w:rPr>
          <w:szCs w:val="22"/>
          <w:lang w:val="sk-SK"/>
        </w:rPr>
        <w:t xml:space="preserve"> myokardu, arytmi</w:t>
      </w:r>
      <w:r>
        <w:rPr>
          <w:szCs w:val="22"/>
          <w:lang w:val="sk-SK"/>
        </w:rPr>
        <w:t>ou</w:t>
      </w:r>
      <w:r w:rsidR="00193CEE" w:rsidRPr="00193CEE">
        <w:rPr>
          <w:szCs w:val="22"/>
          <w:lang w:val="sk-SK"/>
        </w:rPr>
        <w:t>, kongestívn</w:t>
      </w:r>
      <w:r>
        <w:rPr>
          <w:szCs w:val="22"/>
          <w:lang w:val="sk-SK"/>
        </w:rPr>
        <w:t>ym</w:t>
      </w:r>
      <w:r w:rsidR="00193CEE" w:rsidRPr="00193CEE">
        <w:rPr>
          <w:szCs w:val="22"/>
          <w:lang w:val="sk-SK"/>
        </w:rPr>
        <w:t xml:space="preserve"> zlyh</w:t>
      </w:r>
      <w:r>
        <w:rPr>
          <w:szCs w:val="22"/>
          <w:lang w:val="sk-SK"/>
        </w:rPr>
        <w:t>áva</w:t>
      </w:r>
      <w:r w:rsidR="00193CEE" w:rsidRPr="00193CEE">
        <w:rPr>
          <w:szCs w:val="22"/>
          <w:lang w:val="sk-SK"/>
        </w:rPr>
        <w:t>n</w:t>
      </w:r>
      <w:r>
        <w:rPr>
          <w:szCs w:val="22"/>
          <w:lang w:val="sk-SK"/>
        </w:rPr>
        <w:t>ím srdca</w:t>
      </w:r>
      <w:r w:rsidR="00193CEE" w:rsidRPr="00193CEE">
        <w:rPr>
          <w:szCs w:val="22"/>
          <w:lang w:val="sk-SK"/>
        </w:rPr>
        <w:t>).</w:t>
      </w:r>
    </w:p>
    <w:p w14:paraId="19135CC3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3B62C95C" w14:textId="77777777" w:rsidR="00A064D4" w:rsidRPr="001A6657" w:rsidRDefault="00A064D4" w:rsidP="00A505E4">
      <w:pPr>
        <w:spacing w:line="240" w:lineRule="auto"/>
        <w:rPr>
          <w:szCs w:val="22"/>
          <w:lang w:val="sk-SK"/>
        </w:rPr>
      </w:pPr>
    </w:p>
    <w:p w14:paraId="16DA595E" w14:textId="77777777" w:rsidR="009E6B3B" w:rsidRPr="001A6657" w:rsidRDefault="00A734B6" w:rsidP="00A505E4">
      <w:pPr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5.</w:t>
      </w:r>
      <w:r w:rsidRPr="001A6657">
        <w:rPr>
          <w:b/>
          <w:szCs w:val="22"/>
          <w:lang w:val="sk-SK"/>
        </w:rPr>
        <w:tab/>
        <w:t>FARMAKOLOGICKÉ VLASTNOSTI</w:t>
      </w:r>
    </w:p>
    <w:p w14:paraId="51A32B49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BC07BF0" w14:textId="77777777" w:rsidR="009E6B3B" w:rsidRDefault="00A734B6" w:rsidP="00A505E4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5.1</w:t>
      </w:r>
      <w:r w:rsidRPr="001A6657">
        <w:rPr>
          <w:b/>
          <w:szCs w:val="22"/>
          <w:lang w:val="sk-SK"/>
        </w:rPr>
        <w:tab/>
        <w:t>Farmakodynamické vlastnosti</w:t>
      </w:r>
    </w:p>
    <w:p w14:paraId="225FA006" w14:textId="77777777" w:rsidR="003B489A" w:rsidRPr="001A6657" w:rsidRDefault="003B489A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</w:p>
    <w:p w14:paraId="498AC72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lastRenderedPageBreak/>
        <w:t>Farmakoterapeutická skupina: Urologiká, liečivá na časté močenie a inkontinenciu, ATC kód: G04BD08.</w:t>
      </w:r>
    </w:p>
    <w:p w14:paraId="6C069C6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4ABCE19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Mechanizmus účinku</w:t>
      </w:r>
    </w:p>
    <w:p w14:paraId="5E0E807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Solifenacín je kompetitívny špecifický antagonista cholínergných receptorov.</w:t>
      </w:r>
    </w:p>
    <w:p w14:paraId="6D62C724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Močový mechúr je inervovaný parasympatickými cholínergnými nervami. Acetylcholín kontrahuje hladký sval detruzora prostredníctvom muskarínových receptorov, predovšetkým podtypom M</w:t>
      </w:r>
      <w:r w:rsidRPr="001A6657">
        <w:rPr>
          <w:szCs w:val="22"/>
          <w:vertAlign w:val="subscript"/>
          <w:lang w:val="sk-SK"/>
        </w:rPr>
        <w:t>3</w:t>
      </w:r>
      <w:r w:rsidRPr="001A6657">
        <w:rPr>
          <w:szCs w:val="22"/>
          <w:lang w:val="sk-SK"/>
        </w:rPr>
        <w:t xml:space="preserve">. Farmakologické štúdie </w:t>
      </w:r>
      <w:r w:rsidRPr="001A6657">
        <w:rPr>
          <w:i/>
          <w:szCs w:val="22"/>
          <w:lang w:val="sk-SK"/>
        </w:rPr>
        <w:t>in vitro</w:t>
      </w:r>
      <w:r w:rsidRPr="001A6657">
        <w:rPr>
          <w:szCs w:val="22"/>
          <w:lang w:val="sk-SK"/>
        </w:rPr>
        <w:t xml:space="preserve"> a </w:t>
      </w:r>
      <w:r w:rsidRPr="001A6657">
        <w:rPr>
          <w:i/>
          <w:szCs w:val="22"/>
          <w:lang w:val="sk-SK"/>
        </w:rPr>
        <w:t xml:space="preserve">in vivo </w:t>
      </w:r>
      <w:r w:rsidRPr="001A6657">
        <w:rPr>
          <w:szCs w:val="22"/>
          <w:lang w:val="sk-SK"/>
        </w:rPr>
        <w:t>naznačujú, že solifenacín je kompetitívny inhibítor muskarínového receptora podtypu M</w:t>
      </w:r>
      <w:r w:rsidRPr="001A6657">
        <w:rPr>
          <w:szCs w:val="22"/>
          <w:vertAlign w:val="subscript"/>
          <w:lang w:val="sk-SK"/>
        </w:rPr>
        <w:t>3</w:t>
      </w:r>
      <w:r w:rsidRPr="001A6657">
        <w:rPr>
          <w:szCs w:val="22"/>
          <w:lang w:val="sk-SK"/>
        </w:rPr>
        <w:t>. Ukázalo sa, že solifenacín je navyše špecifickým antagonistom muskarínových receptorov - vykazuje nízku alebo žiadnu afinitu vo vzťahu k rôznym iným testovaným receptorom a testovaným iónovým kanálom.</w:t>
      </w:r>
    </w:p>
    <w:p w14:paraId="017EAA97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736315BB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t>Farmakodynamické účinky</w:t>
      </w:r>
    </w:p>
    <w:p w14:paraId="3B458D96" w14:textId="77777777" w:rsidR="009608C4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Liečba </w:t>
      </w:r>
      <w:r w:rsidRPr="001A6657">
        <w:rPr>
          <w:iCs/>
          <w:szCs w:val="22"/>
          <w:lang w:val="sk-SK"/>
        </w:rPr>
        <w:t>solifenacínom</w:t>
      </w:r>
      <w:r w:rsidRPr="001A6657" w:rsidDel="00871F26">
        <w:rPr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v dávkach 5 mg a 10 mg denne bola predmetom niekoľkých dvojito zaslepených, randomizovaných, kontrolovaných klinických štúdií, ktorých sa zúčastnili muži a ženy s hyperaktívnym močovým mechúrom.</w:t>
      </w:r>
    </w:p>
    <w:p w14:paraId="76559306" w14:textId="77777777" w:rsidR="001A6657" w:rsidRPr="001A6657" w:rsidRDefault="001A6657" w:rsidP="009608C4">
      <w:pPr>
        <w:widowControl w:val="0"/>
        <w:rPr>
          <w:szCs w:val="22"/>
          <w:lang w:val="sk-SK"/>
        </w:rPr>
      </w:pPr>
    </w:p>
    <w:p w14:paraId="4BF63DB9" w14:textId="77777777" w:rsid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Podľa nižšie uvedenej tabuľky obe dávky 5 mg a 10 mg </w:t>
      </w:r>
      <w:r w:rsidRPr="001A6657">
        <w:rPr>
          <w:iCs/>
          <w:szCs w:val="22"/>
          <w:lang w:val="sk-SK"/>
        </w:rPr>
        <w:t>solifenacínu</w:t>
      </w:r>
      <w:r w:rsidRPr="001A6657">
        <w:rPr>
          <w:szCs w:val="22"/>
          <w:lang w:val="sk-SK"/>
        </w:rPr>
        <w:t xml:space="preserve"> spôsobili štatisticky významné zlepšenia primárnych a sekundárnych ukazovateľov v porovnaní s placebom. Účinnosť lieku sa prejavila do jedného týždňa od začatia liečby a stabilizuje sa v priebehu 12 týždňov. Dlhodobá otvorená štúdia dokázala, že účinnosť pretrvávala najmenej počas 12 mesiacov. Po 12 týždňoch liečby u približne 50 % pacientov, ktorí pred liečbou trpeli inkontinenciou, došlo k vymiznutiu inkontinencie a navyše 35 % pacientov dosiahlo zníženie frekvencie močenia na menej než 8-krát za deň.</w:t>
      </w:r>
    </w:p>
    <w:p w14:paraId="40AAB574" w14:textId="77777777" w:rsidR="001A6657" w:rsidRDefault="001A6657" w:rsidP="009608C4">
      <w:pPr>
        <w:widowControl w:val="0"/>
        <w:rPr>
          <w:szCs w:val="22"/>
          <w:lang w:val="sk-SK"/>
        </w:rPr>
      </w:pPr>
    </w:p>
    <w:p w14:paraId="6FFFF56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Liečenie príznakov hyperaktívneho močového mechúra malo prínos i s ohľadom na hodnotenie kvality života, napríklad na celkové vnímanie zdravia, vnímanie inkontinencie, funkčné obmedzenia, fyzické obmedzenia, spoločenské obmedzenia, emócie, závažnosť symptómov, úroveň závažnosti a spánok/vitalitu.</w:t>
      </w:r>
    </w:p>
    <w:p w14:paraId="4976A7EB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</w:p>
    <w:p w14:paraId="6814B610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Výsledky (súhrn údajov) štyroch kontrolovaných štúdií fázy 3 s dĺžkou trvania liečby 12 týždňov</w:t>
      </w:r>
    </w:p>
    <w:p w14:paraId="7D997FE4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260"/>
        <w:gridCol w:w="1260"/>
        <w:gridCol w:w="1260"/>
      </w:tblGrid>
      <w:tr w:rsidR="009608C4" w:rsidRPr="001A6657" w14:paraId="58BFD22A" w14:textId="77777777" w:rsidTr="009608C4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6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81B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Placebo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467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iCs/>
                <w:szCs w:val="22"/>
                <w:lang w:val="sk-SK"/>
              </w:rPr>
              <w:t>Solifenacín</w:t>
            </w:r>
            <w:r w:rsidRPr="001A6657">
              <w:rPr>
                <w:b/>
                <w:szCs w:val="22"/>
                <w:lang w:val="sk-SK"/>
              </w:rPr>
              <w:t xml:space="preserve"> 5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D68F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iCs/>
                <w:szCs w:val="22"/>
                <w:lang w:val="sk-SK"/>
              </w:rPr>
              <w:t>Solifenacín</w:t>
            </w:r>
            <w:r w:rsidRPr="001A6657">
              <w:rPr>
                <w:b/>
                <w:szCs w:val="22"/>
                <w:lang w:val="sk-SK"/>
              </w:rPr>
              <w:t xml:space="preserve"> 10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D10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 xml:space="preserve">Tolterodín 2 mg </w:t>
            </w:r>
          </w:p>
          <w:p w14:paraId="0653D284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dvakrát denne</w:t>
            </w:r>
          </w:p>
        </w:tc>
      </w:tr>
      <w:tr w:rsidR="009608C4" w:rsidRPr="001A6657" w14:paraId="1CE72A1E" w14:textId="77777777" w:rsidTr="001A665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E88A6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močení/24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D17A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1493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2C43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EF20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2291FD5B" w14:textId="77777777" w:rsidTr="001A66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0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3375A87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43CBAB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7787CC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</w:p>
          <w:p w14:paraId="2FC2BA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B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11,9</w:t>
            </w:r>
          </w:p>
          <w:p w14:paraId="11A72DB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1,4</w:t>
            </w:r>
          </w:p>
          <w:p w14:paraId="5590906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(12 %)</w:t>
            </w:r>
            <w:r w:rsidRPr="001A6657">
              <w:rPr>
                <w:szCs w:val="22"/>
                <w:lang w:val="sk-SK"/>
              </w:rPr>
              <w:br/>
              <w:t>1 138</w:t>
            </w:r>
            <w:r w:rsidRPr="001A6657">
              <w:rPr>
                <w:szCs w:val="22"/>
                <w:lang w:val="sk-SK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21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12,1</w:t>
            </w:r>
          </w:p>
          <w:p w14:paraId="5D60799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2,3</w:t>
            </w:r>
          </w:p>
          <w:p w14:paraId="59268AF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(19 %)</w:t>
            </w:r>
            <w:r w:rsidRPr="001A6657">
              <w:rPr>
                <w:szCs w:val="22"/>
                <w:lang w:val="sk-SK"/>
              </w:rPr>
              <w:br/>
              <w:t>552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8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11,9</w:t>
            </w:r>
          </w:p>
          <w:p w14:paraId="7D779E3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70FE08B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(23 %)</w:t>
            </w:r>
            <w:r w:rsidRPr="001A6657">
              <w:rPr>
                <w:szCs w:val="22"/>
                <w:lang w:val="sk-SK"/>
              </w:rPr>
              <w:br/>
              <w:t>1 158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34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12,1</w:t>
            </w:r>
          </w:p>
          <w:p w14:paraId="4E6421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1,9</w:t>
            </w:r>
          </w:p>
          <w:p w14:paraId="7278E26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(16 %)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0,004</w:t>
            </w:r>
          </w:p>
        </w:tc>
      </w:tr>
      <w:tr w:rsidR="009608C4" w:rsidRPr="001A6657" w14:paraId="1037CA8A" w14:textId="77777777" w:rsidTr="001A665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15C9B" w14:textId="77777777" w:rsidR="009608C4" w:rsidRPr="001A6657" w:rsidRDefault="009608C4" w:rsidP="009608C4">
            <w:pPr>
              <w:widowControl w:val="0"/>
              <w:rPr>
                <w:b/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urgencie/24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A8A4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7120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B0F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B7B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6533EDCC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8B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0D5D808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57196E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05C13B7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FA2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6,3</w:t>
            </w:r>
          </w:p>
          <w:p w14:paraId="09B6621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2,0</w:t>
            </w:r>
          </w:p>
          <w:p w14:paraId="34DCEC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(32 %)</w:t>
            </w:r>
            <w:r w:rsidRPr="001A6657">
              <w:rPr>
                <w:szCs w:val="22"/>
                <w:lang w:val="sk-SK"/>
              </w:rPr>
              <w:br/>
              <w:t>1 124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BF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5,9</w:t>
            </w:r>
          </w:p>
          <w:p w14:paraId="2D7B73C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7415C82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(49 %)</w:t>
            </w:r>
            <w:r w:rsidRPr="001A6657">
              <w:rPr>
                <w:szCs w:val="22"/>
                <w:lang w:val="sk-SK"/>
              </w:rPr>
              <w:br/>
              <w:t>548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E3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6,2</w:t>
            </w:r>
          </w:p>
          <w:p w14:paraId="4B39868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3,4</w:t>
            </w:r>
          </w:p>
          <w:p w14:paraId="78EB814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(55 %)</w:t>
            </w:r>
            <w:r w:rsidRPr="001A6657">
              <w:rPr>
                <w:szCs w:val="22"/>
                <w:lang w:val="sk-SK"/>
              </w:rPr>
              <w:br/>
              <w:t>1 151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82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5,4</w:t>
            </w:r>
          </w:p>
          <w:p w14:paraId="7D01EEF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2,1</w:t>
            </w:r>
          </w:p>
          <w:p w14:paraId="4E38697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(39 %)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0,031</w:t>
            </w:r>
          </w:p>
        </w:tc>
      </w:tr>
      <w:tr w:rsidR="009608C4" w:rsidRPr="001A6657" w14:paraId="2038A2C4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1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inkontinencie/24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D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A5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AD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1E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0323E33A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FD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32A55B7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0CB236E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2BF0F38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04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7D39D42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1,1</w:t>
            </w:r>
          </w:p>
          <w:p w14:paraId="2E8D0B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(38 %)</w:t>
            </w:r>
            <w:r w:rsidRPr="001A6657">
              <w:rPr>
                <w:szCs w:val="22"/>
                <w:lang w:val="sk-SK"/>
              </w:rPr>
              <w:br/>
              <w:t>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88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2,6</w:t>
            </w:r>
          </w:p>
          <w:p w14:paraId="64D9013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1,5</w:t>
            </w:r>
          </w:p>
          <w:p w14:paraId="74112BA4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(58 %)</w:t>
            </w:r>
            <w:r w:rsidRPr="001A6657">
              <w:rPr>
                <w:szCs w:val="22"/>
                <w:lang w:val="sk-SK"/>
              </w:rPr>
              <w:br/>
              <w:t>314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26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2,9</w:t>
            </w:r>
          </w:p>
          <w:p w14:paraId="6ECE951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1,8</w:t>
            </w:r>
          </w:p>
          <w:p w14:paraId="063BC2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(62 %)</w:t>
            </w:r>
            <w:r w:rsidRPr="001A6657">
              <w:rPr>
                <w:szCs w:val="22"/>
                <w:lang w:val="sk-SK"/>
              </w:rPr>
              <w:br/>
              <w:t>778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C6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2,3</w:t>
            </w:r>
          </w:p>
          <w:p w14:paraId="346A674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1,1</w:t>
            </w:r>
          </w:p>
          <w:p w14:paraId="71090C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(48 %)</w:t>
            </w:r>
            <w:r w:rsidRPr="001A6657">
              <w:rPr>
                <w:szCs w:val="22"/>
                <w:lang w:val="sk-SK"/>
              </w:rPr>
              <w:br/>
              <w:t>157</w:t>
            </w:r>
            <w:r w:rsidRPr="001A6657">
              <w:rPr>
                <w:szCs w:val="22"/>
                <w:lang w:val="sk-SK"/>
              </w:rPr>
              <w:br/>
              <w:t>0,009</w:t>
            </w:r>
          </w:p>
        </w:tc>
      </w:tr>
      <w:tr w:rsidR="009608C4" w:rsidRPr="001A6657" w14:paraId="11FF9C80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E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epizód nočného močenia (noktúrie)/24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6E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4D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4E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25B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01B338F8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C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6BA8F16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Priemerné zníženie v porovnaní s úvodným vyšetrením</w:t>
            </w:r>
          </w:p>
          <w:p w14:paraId="4B41B79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332DC8B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32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1,8</w:t>
            </w:r>
          </w:p>
          <w:p w14:paraId="05E0ABB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0,4</w:t>
            </w:r>
          </w:p>
          <w:p w14:paraId="1729532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(22 %)</w:t>
            </w:r>
            <w:r w:rsidRPr="001A6657">
              <w:rPr>
                <w:szCs w:val="22"/>
                <w:lang w:val="sk-SK"/>
              </w:rPr>
              <w:br/>
              <w:t>1 005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1F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2,0</w:t>
            </w:r>
          </w:p>
          <w:p w14:paraId="468C853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0,6</w:t>
            </w:r>
          </w:p>
          <w:p w14:paraId="17DFA9C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(30 %)</w:t>
            </w:r>
            <w:r w:rsidRPr="001A6657">
              <w:rPr>
                <w:szCs w:val="22"/>
                <w:lang w:val="sk-SK"/>
              </w:rPr>
              <w:br/>
              <w:t>494</w:t>
            </w:r>
            <w:r w:rsidRPr="001A6657">
              <w:rPr>
                <w:szCs w:val="22"/>
                <w:lang w:val="sk-SK"/>
              </w:rPr>
              <w:br/>
              <w:t>0,025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41D5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1,8</w:t>
            </w:r>
          </w:p>
          <w:p w14:paraId="4BC782F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0,6</w:t>
            </w:r>
          </w:p>
          <w:p w14:paraId="3FF7F78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(33 %)</w:t>
            </w:r>
            <w:r w:rsidRPr="001A6657">
              <w:rPr>
                <w:szCs w:val="22"/>
                <w:lang w:val="sk-SK"/>
              </w:rPr>
              <w:br/>
              <w:t>1 035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51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1,9</w:t>
            </w:r>
          </w:p>
          <w:p w14:paraId="4B3ACF4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lastRenderedPageBreak/>
              <w:t>0,5</w:t>
            </w:r>
          </w:p>
          <w:p w14:paraId="2A2FAA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(26 %)</w:t>
            </w:r>
            <w:r w:rsidRPr="001A6657">
              <w:rPr>
                <w:szCs w:val="22"/>
                <w:lang w:val="sk-SK"/>
              </w:rPr>
              <w:br/>
              <w:t>232</w:t>
            </w:r>
            <w:r w:rsidRPr="001A6657">
              <w:rPr>
                <w:szCs w:val="22"/>
                <w:lang w:val="sk-SK"/>
              </w:rPr>
              <w:br/>
              <w:t>0,199</w:t>
            </w:r>
          </w:p>
        </w:tc>
      </w:tr>
      <w:tr w:rsidR="009608C4" w:rsidRPr="001A6657" w14:paraId="5F1FEB57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33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lastRenderedPageBreak/>
              <w:t>Objem vylúčeného moču/močenie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36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264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E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A7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363776EF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3F1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60FF5E7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zvýšenie v porovnaní s úvodným vyšetrením</w:t>
            </w:r>
          </w:p>
          <w:p w14:paraId="3FD9283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08E7DBE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počet</w:t>
            </w:r>
            <w:r w:rsidRPr="001A6657">
              <w:rPr>
                <w:szCs w:val="22"/>
                <w:lang w:val="sk-SK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3F2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166 ml</w:t>
            </w:r>
          </w:p>
          <w:p w14:paraId="78E26AA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9 ml</w:t>
            </w:r>
          </w:p>
          <w:p w14:paraId="212328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(5 %)</w:t>
            </w:r>
            <w:r w:rsidRPr="001A6657">
              <w:rPr>
                <w:szCs w:val="22"/>
                <w:lang w:val="sk-SK"/>
              </w:rPr>
              <w:br/>
              <w:t>1 135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514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146 ml</w:t>
            </w:r>
          </w:p>
          <w:p w14:paraId="583F91F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32 ml</w:t>
            </w:r>
          </w:p>
          <w:p w14:paraId="19CED9B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(21 %)</w:t>
            </w:r>
            <w:r w:rsidRPr="001A6657">
              <w:rPr>
                <w:szCs w:val="22"/>
                <w:lang w:val="sk-SK"/>
              </w:rPr>
              <w:br/>
              <w:t>552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5EC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163 ml</w:t>
            </w:r>
          </w:p>
          <w:p w14:paraId="76E3F58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43 ml</w:t>
            </w:r>
          </w:p>
          <w:p w14:paraId="224FA1E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(26 %)</w:t>
            </w:r>
            <w:r w:rsidRPr="001A6657">
              <w:rPr>
                <w:szCs w:val="22"/>
                <w:lang w:val="sk-SK"/>
              </w:rPr>
              <w:br/>
              <w:t>1 156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F10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147 ml</w:t>
            </w:r>
          </w:p>
          <w:p w14:paraId="7EC5AAF7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24 ml</w:t>
            </w:r>
          </w:p>
          <w:p w14:paraId="003CC3F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(16 %)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</w:tr>
      <w:tr w:rsidR="009608C4" w:rsidRPr="001A6657" w14:paraId="329FE203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73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b/>
                <w:szCs w:val="22"/>
                <w:lang w:val="sk-SK"/>
              </w:rPr>
              <w:t>Počet vložiek/24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44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79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2E1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26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</w:p>
        </w:tc>
      </w:tr>
      <w:tr w:rsidR="009608C4" w:rsidRPr="001A6657" w14:paraId="526A0403" w14:textId="77777777" w:rsidTr="009608C4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BF3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Priemerná hodnota pri úvodnom vyšetrení</w:t>
            </w:r>
          </w:p>
          <w:p w14:paraId="5070217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Priemerné zníženie v porovnaní s úvodným vyšetrením</w:t>
            </w:r>
          </w:p>
          <w:p w14:paraId="78C0CA6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% zmena v porovnaní s úvodným vyšetrením</w:t>
            </w:r>
          </w:p>
          <w:p w14:paraId="17222BD6" w14:textId="77777777" w:rsidR="003B489A" w:rsidRDefault="003B489A" w:rsidP="003B489A">
            <w:pPr>
              <w:widowControl w:val="0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9608C4" w:rsidRPr="001A6657">
              <w:rPr>
                <w:szCs w:val="22"/>
                <w:lang w:val="sk-SK"/>
              </w:rPr>
              <w:t>očet</w:t>
            </w:r>
          </w:p>
          <w:p w14:paraId="14F876CE" w14:textId="77777777" w:rsidR="009608C4" w:rsidRPr="001A6657" w:rsidRDefault="009608C4" w:rsidP="003B489A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9F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3,0</w:t>
            </w:r>
          </w:p>
          <w:p w14:paraId="60D729BA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0,8 </w:t>
            </w:r>
          </w:p>
          <w:p w14:paraId="3968A2F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(27 %)</w:t>
            </w:r>
            <w:r w:rsidRPr="001A6657">
              <w:rPr>
                <w:szCs w:val="22"/>
                <w:lang w:val="sk-SK"/>
              </w:rPr>
              <w:br/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BE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2,8</w:t>
            </w:r>
          </w:p>
          <w:p w14:paraId="2A0AADA6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1,3</w:t>
            </w:r>
          </w:p>
          <w:p w14:paraId="76B4782B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(46 %)</w:t>
            </w:r>
            <w:r w:rsidRPr="001A6657">
              <w:rPr>
                <w:szCs w:val="22"/>
                <w:lang w:val="sk-SK"/>
              </w:rPr>
              <w:br/>
              <w:t>236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2AD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48D47D6F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1,3</w:t>
            </w:r>
          </w:p>
          <w:p w14:paraId="1ADCFA12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(48 %)</w:t>
            </w:r>
            <w:r w:rsidRPr="001A6657">
              <w:rPr>
                <w:szCs w:val="22"/>
                <w:lang w:val="sk-SK"/>
              </w:rPr>
              <w:br/>
              <w:t>242</w:t>
            </w:r>
            <w:r w:rsidRPr="001A6657">
              <w:rPr>
                <w:szCs w:val="22"/>
                <w:lang w:val="sk-SK"/>
              </w:rPr>
              <w:br/>
              <w:t>&lt; 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9D9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2,7</w:t>
            </w:r>
          </w:p>
          <w:p w14:paraId="7D87E458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1,0</w:t>
            </w:r>
          </w:p>
          <w:p w14:paraId="614FEDFE" w14:textId="77777777" w:rsidR="009608C4" w:rsidRPr="001A6657" w:rsidRDefault="009608C4" w:rsidP="009608C4">
            <w:pPr>
              <w:widowControl w:val="0"/>
              <w:rPr>
                <w:szCs w:val="22"/>
                <w:lang w:val="sk-SK"/>
              </w:rPr>
            </w:pPr>
            <w:r w:rsidRPr="001A6657">
              <w:rPr>
                <w:szCs w:val="22"/>
                <w:lang w:val="sk-SK"/>
              </w:rPr>
              <w:t>(37 %)</w:t>
            </w:r>
            <w:r w:rsidRPr="001A6657">
              <w:rPr>
                <w:szCs w:val="22"/>
                <w:lang w:val="sk-SK"/>
              </w:rPr>
              <w:br/>
              <w:t>250</w:t>
            </w:r>
            <w:r w:rsidRPr="001A6657">
              <w:rPr>
                <w:szCs w:val="22"/>
                <w:lang w:val="sk-SK"/>
              </w:rPr>
              <w:br/>
              <w:t>0,010</w:t>
            </w:r>
          </w:p>
        </w:tc>
      </w:tr>
    </w:tbl>
    <w:p w14:paraId="4828BFA8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E4D5E54" w14:textId="77777777" w:rsidR="001A6657" w:rsidRDefault="009608C4" w:rsidP="001A6657">
      <w:pPr>
        <w:widowControl w:val="0"/>
        <w:tabs>
          <w:tab w:val="clear" w:pos="567"/>
          <w:tab w:val="left" w:pos="0"/>
        </w:tabs>
        <w:rPr>
          <w:szCs w:val="22"/>
          <w:lang w:val="sk-SK"/>
        </w:rPr>
      </w:pPr>
      <w:r w:rsidRPr="001A6657">
        <w:rPr>
          <w:szCs w:val="22"/>
          <w:u w:val="single"/>
          <w:lang w:val="sk-SK"/>
        </w:rPr>
        <w:t>Poznámka:</w:t>
      </w:r>
      <w:r w:rsidRPr="001A6657">
        <w:rPr>
          <w:szCs w:val="22"/>
          <w:lang w:val="sk-SK"/>
        </w:rPr>
        <w:t xml:space="preserve"> V 4 pivotných štúdiách bol použitý </w:t>
      </w:r>
      <w:r w:rsidRPr="001A6657">
        <w:rPr>
          <w:iCs/>
          <w:szCs w:val="22"/>
          <w:lang w:val="sk-SK"/>
        </w:rPr>
        <w:t>solifenacín</w:t>
      </w:r>
      <w:r w:rsidRPr="001A6657">
        <w:rPr>
          <w:szCs w:val="22"/>
          <w:lang w:val="sk-SK"/>
        </w:rPr>
        <w:t xml:space="preserve"> 10 mg a placebo. V 2 zo 4 štúdií sa použil taktiež </w:t>
      </w:r>
      <w:r w:rsidRPr="001A6657">
        <w:rPr>
          <w:iCs/>
          <w:szCs w:val="22"/>
          <w:lang w:val="sk-SK"/>
        </w:rPr>
        <w:t>solifenacín</w:t>
      </w:r>
      <w:r w:rsidRPr="001A6657">
        <w:rPr>
          <w:szCs w:val="22"/>
          <w:lang w:val="sk-SK"/>
        </w:rPr>
        <w:t xml:space="preserve"> 5 mg a v jednej štúdii bol použitý tolterodín 2 mg dvakrát denne. </w:t>
      </w:r>
    </w:p>
    <w:p w14:paraId="5928B599" w14:textId="77777777" w:rsidR="001A6657" w:rsidRDefault="001A6657" w:rsidP="009608C4">
      <w:pPr>
        <w:widowControl w:val="0"/>
        <w:ind w:left="567" w:hanging="567"/>
        <w:rPr>
          <w:szCs w:val="22"/>
          <w:lang w:val="sk-SK"/>
        </w:rPr>
      </w:pPr>
    </w:p>
    <w:p w14:paraId="09CB9CCE" w14:textId="77777777" w:rsidR="009608C4" w:rsidRPr="001A6657" w:rsidRDefault="009608C4" w:rsidP="001A6657">
      <w:pPr>
        <w:widowControl w:val="0"/>
        <w:tabs>
          <w:tab w:val="clear" w:pos="567"/>
          <w:tab w:val="left" w:pos="0"/>
        </w:tabs>
        <w:rPr>
          <w:szCs w:val="22"/>
          <w:lang w:val="sk-SK"/>
        </w:rPr>
      </w:pPr>
      <w:r w:rsidRPr="001A6657">
        <w:rPr>
          <w:szCs w:val="22"/>
          <w:lang w:val="sk-SK"/>
        </w:rPr>
        <w:t>V každej jednotlivej štúdii neboli hodnotené všetky parametre a liečené skupiny. Preto sa uvedený počet pacientov môže v závislosti od parametrov a od liečených skupín líšiť.</w:t>
      </w:r>
    </w:p>
    <w:p w14:paraId="634B45BA" w14:textId="77777777" w:rsidR="001A6657" w:rsidRPr="001A6657" w:rsidRDefault="001A6657" w:rsidP="009608C4">
      <w:pPr>
        <w:widowControl w:val="0"/>
        <w:ind w:left="567" w:hanging="567"/>
        <w:rPr>
          <w:szCs w:val="22"/>
          <w:lang w:val="sk-SK"/>
        </w:rPr>
      </w:pPr>
    </w:p>
    <w:p w14:paraId="59BEE7EE" w14:textId="59581B3B" w:rsidR="009608C4" w:rsidRPr="001A6657" w:rsidRDefault="009608C4" w:rsidP="009608C4">
      <w:pPr>
        <w:widowControl w:val="0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*</w:t>
      </w:r>
      <w:r w:rsidR="003A36A7">
        <w:rPr>
          <w:b/>
          <w:szCs w:val="22"/>
          <w:lang w:val="sk-SK"/>
        </w:rPr>
        <w:t xml:space="preserve"> </w:t>
      </w:r>
      <w:r w:rsidRPr="001A6657">
        <w:rPr>
          <w:szCs w:val="22"/>
          <w:lang w:val="sk-SK"/>
        </w:rPr>
        <w:t>p-hodnota znamená párové porovnanie s placebom</w:t>
      </w:r>
    </w:p>
    <w:p w14:paraId="0BD47CDE" w14:textId="77777777" w:rsidR="001A6657" w:rsidRDefault="001A6657" w:rsidP="00A505E4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</w:p>
    <w:p w14:paraId="71C6F73C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5.2</w:t>
      </w:r>
      <w:r w:rsidRPr="001A6657">
        <w:rPr>
          <w:b/>
          <w:szCs w:val="22"/>
          <w:lang w:val="sk-SK"/>
        </w:rPr>
        <w:tab/>
        <w:t>Farmakokinetické vlastnosti</w:t>
      </w:r>
    </w:p>
    <w:p w14:paraId="7907A78A" w14:textId="77777777" w:rsidR="001A6657" w:rsidRDefault="001A6657" w:rsidP="009608C4">
      <w:pPr>
        <w:widowControl w:val="0"/>
        <w:rPr>
          <w:iCs/>
          <w:szCs w:val="22"/>
          <w:u w:val="single"/>
          <w:lang w:val="sk-SK"/>
        </w:rPr>
      </w:pPr>
    </w:p>
    <w:p w14:paraId="35B344F5" w14:textId="77777777" w:rsidR="009608C4" w:rsidRPr="001A6657" w:rsidRDefault="009608C4" w:rsidP="009608C4">
      <w:pPr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Absorpcia</w:t>
      </w:r>
    </w:p>
    <w:p w14:paraId="39692D2B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Po užití tabliet </w:t>
      </w:r>
      <w:r w:rsidRPr="001A6657">
        <w:rPr>
          <w:iCs/>
          <w:szCs w:val="22"/>
          <w:lang w:val="sk-SK"/>
        </w:rPr>
        <w:t>solifenacínu</w:t>
      </w:r>
      <w:r w:rsidRPr="001A6657">
        <w:rPr>
          <w:szCs w:val="22"/>
          <w:lang w:val="sk-SK"/>
        </w:rPr>
        <w:t xml:space="preserve"> dosiahne solifenacín maximálnu koncentráciu v plazme (C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>) po 3 až 8 hodinách. t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nezávisí od dávky. C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a plocha pod krivkou (AUC) rastie proporcionálne s dávkou v rozmedzí 5 až 40 mg. Absolútna biologická dostupnosť je približne 90 %. Príjem potravy neovplyvňuje C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ani AUC solifenacínu.</w:t>
      </w:r>
    </w:p>
    <w:p w14:paraId="12F68D03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78C5D05" w14:textId="77777777" w:rsidR="009608C4" w:rsidRPr="001A6657" w:rsidRDefault="009608C4" w:rsidP="009608C4">
      <w:pPr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Distribúcia</w:t>
      </w:r>
    </w:p>
    <w:p w14:paraId="7ED953B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Zdanlivý distribučný objem solifenacínu po intravenóznom podaní dosahuje približnú hodnotu 600 l. Solifenacín sa značne (približne z 98 %) viaže na plazmatické bielkoviny, najmä na α</w:t>
      </w:r>
      <w:r w:rsidRPr="001A6657">
        <w:rPr>
          <w:szCs w:val="22"/>
          <w:vertAlign w:val="subscript"/>
          <w:lang w:val="sk-SK"/>
        </w:rPr>
        <w:t>1</w:t>
      </w:r>
      <w:r w:rsidRPr="001A6657">
        <w:rPr>
          <w:szCs w:val="22"/>
          <w:lang w:val="sk-SK"/>
        </w:rPr>
        <w:noBreakHyphen/>
        <w:t>kyslý glykoproteín.</w:t>
      </w:r>
    </w:p>
    <w:p w14:paraId="726E9270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6F4BA9E" w14:textId="77777777" w:rsidR="009608C4" w:rsidRPr="001A6657" w:rsidRDefault="009608C4" w:rsidP="009608C4">
      <w:pPr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Biotransformácia</w:t>
      </w:r>
    </w:p>
    <w:p w14:paraId="45A7F07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Solifenacín sa vo veľkej miere metabolizuje v pečeni, primárne prostredníctvom cytochrómu P450 3A4 (CYP3A4). Okrem toho existujú aj alternatívne cesty metabolizácie, ktoré môžu prispieť k metabolizmu solifenacínu. Systémový klírens solifenacínu je približne 9,5 l/h a terminálny polčas solifenacínu je 45 – 68 hodín. Po perorálnom užití bol okrem solifenacínu v plazme identifikovaný jeden farmakologicky aktívny (4R-hydroxysolifenacín) a tri inaktívne metabolity (N-glukuronid, N-oxid a 4R-hydroxy-N-oxid solifenacínu).</w:t>
      </w:r>
    </w:p>
    <w:p w14:paraId="56C1512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154623F" w14:textId="77777777" w:rsidR="009608C4" w:rsidRPr="001A6657" w:rsidRDefault="009608C4" w:rsidP="009608C4">
      <w:pPr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Eliminácia</w:t>
      </w:r>
    </w:p>
    <w:p w14:paraId="2D49F37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Po jednorazovom podaní 10 mg [</w:t>
      </w:r>
      <w:r w:rsidRPr="001A6657">
        <w:rPr>
          <w:szCs w:val="22"/>
          <w:vertAlign w:val="superscript"/>
          <w:lang w:val="sk-SK"/>
        </w:rPr>
        <w:t>14</w:t>
      </w:r>
      <w:r w:rsidRPr="001A6657">
        <w:rPr>
          <w:szCs w:val="22"/>
          <w:lang w:val="sk-SK"/>
        </w:rPr>
        <w:t>C-označeného]-solifenacínu sa zistilo približne 70 % rádioaktivity v moči a 23 % v stolici počas 26 dní. V moči sa približne 11 % izotopom značenej látky vyskytovalo vo forme nezmenenej aktívnej látky; približne 18 % vo forme N-oxid –metabolitu, 9 % vo forme 4R-hydroxy-N-oxid - metabolitu a 8 % vo forme 4R-hydroxy - metabolitu (aktívny metabolit).</w:t>
      </w:r>
    </w:p>
    <w:p w14:paraId="090ECBC5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7ABF160" w14:textId="77777777" w:rsidR="009608C4" w:rsidRPr="001A6657" w:rsidRDefault="009608C4" w:rsidP="009608C4">
      <w:pPr>
        <w:widowControl w:val="0"/>
        <w:rPr>
          <w:iCs/>
          <w:szCs w:val="22"/>
          <w:u w:val="single"/>
          <w:lang w:val="sk-SK"/>
        </w:rPr>
      </w:pPr>
      <w:r w:rsidRPr="001A6657">
        <w:rPr>
          <w:iCs/>
          <w:szCs w:val="22"/>
          <w:u w:val="single"/>
          <w:lang w:val="sk-SK"/>
        </w:rPr>
        <w:t>Linearita/nelinearita</w:t>
      </w:r>
    </w:p>
    <w:p w14:paraId="3A57BB2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Farmakokinetika je v rozsahu terapeutických dávok lineárna.</w:t>
      </w:r>
    </w:p>
    <w:p w14:paraId="52B49C3E" w14:textId="77777777" w:rsidR="009608C4" w:rsidRPr="001A6657" w:rsidRDefault="009608C4" w:rsidP="009608C4">
      <w:pPr>
        <w:widowControl w:val="0"/>
        <w:rPr>
          <w:b/>
          <w:szCs w:val="22"/>
          <w:lang w:val="sk-SK"/>
        </w:rPr>
      </w:pPr>
    </w:p>
    <w:p w14:paraId="75DAC9C4" w14:textId="77777777" w:rsidR="009608C4" w:rsidRPr="001A6657" w:rsidRDefault="009608C4" w:rsidP="009608C4">
      <w:pPr>
        <w:widowControl w:val="0"/>
        <w:rPr>
          <w:bCs/>
          <w:szCs w:val="22"/>
          <w:u w:val="single"/>
          <w:lang w:val="sk-SK"/>
        </w:rPr>
      </w:pPr>
      <w:r w:rsidRPr="001A6657">
        <w:rPr>
          <w:bCs/>
          <w:szCs w:val="22"/>
          <w:u w:val="single"/>
          <w:lang w:val="sk-SK"/>
        </w:rPr>
        <w:lastRenderedPageBreak/>
        <w:t>Osobitné skupiny pacientov</w:t>
      </w:r>
    </w:p>
    <w:p w14:paraId="657B5CD6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Starší pacienti</w:t>
      </w:r>
    </w:p>
    <w:p w14:paraId="48A568AA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color w:val="000000"/>
          <w:szCs w:val="22"/>
          <w:lang w:val="sk-SK"/>
        </w:rPr>
        <w:t xml:space="preserve">Nie je potrebná </w:t>
      </w:r>
      <w:r w:rsidRPr="001A6657">
        <w:rPr>
          <w:rStyle w:val="Zvraznenie"/>
          <w:b w:val="0"/>
          <w:color w:val="000000"/>
          <w:szCs w:val="22"/>
          <w:lang w:val="sk-SK"/>
        </w:rPr>
        <w:t>úprava dávkovania</w:t>
      </w:r>
      <w:r w:rsidRPr="001A6657">
        <w:rPr>
          <w:color w:val="000000"/>
          <w:szCs w:val="22"/>
          <w:lang w:val="sk-SK"/>
        </w:rPr>
        <w:t xml:space="preserve"> v závislosti od </w:t>
      </w:r>
      <w:r w:rsidRPr="001A6657">
        <w:rPr>
          <w:rStyle w:val="Zvraznenie"/>
          <w:b w:val="0"/>
          <w:color w:val="000000"/>
          <w:szCs w:val="22"/>
          <w:lang w:val="sk-SK"/>
        </w:rPr>
        <w:t xml:space="preserve">veku pacientov. </w:t>
      </w:r>
      <w:r w:rsidRPr="001A6657">
        <w:rPr>
          <w:szCs w:val="22"/>
          <w:lang w:val="sk-SK"/>
        </w:rPr>
        <w:t>Štúdie u starších pacientov dokázali, že pôsobenie solifenacínu, vyjadrené vo forme AUC, po podaní solifenacíniumsukcinátu (5 mg a 10 mg jedenkrát denne) bolo podobné u zdravých starších jedincov (vo veku 65 až 80 rokov) a u zdravých mladých jedincov (vo veku do 55 rokov). Stredná hodnota rýchlosti absorpcie vyjadrená ako t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bola u starších jedincov mierne pomalšia a terminálny polčas bol u starších jedincov približne o 20 % dlhší. Tieto mierne odchýlky sa nepovažujú za klinicky významné.</w:t>
      </w:r>
    </w:p>
    <w:p w14:paraId="0CAD2351" w14:textId="77777777" w:rsidR="003B489A" w:rsidRDefault="003B489A" w:rsidP="009608C4">
      <w:pPr>
        <w:widowControl w:val="0"/>
        <w:rPr>
          <w:szCs w:val="22"/>
          <w:lang w:val="sk-SK"/>
        </w:rPr>
      </w:pPr>
    </w:p>
    <w:p w14:paraId="6930A0EE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detí a dospievajúcich sa farmakokinetické vlastnosti solifenacínu nestanovili.</w:t>
      </w:r>
    </w:p>
    <w:p w14:paraId="099AC7BF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11ED927A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Pohlavie</w:t>
      </w:r>
    </w:p>
    <w:p w14:paraId="62190C9D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Pohlavie nemá vplyv na farmakokinetické vlastnosti solifenacínu.</w:t>
      </w:r>
    </w:p>
    <w:p w14:paraId="7605C90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56FD5A18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Rasa</w:t>
      </w:r>
    </w:p>
    <w:p w14:paraId="50763B0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Rasa nemá vplyv na farmakokinetické vlastnosti solifenacínu.</w:t>
      </w:r>
    </w:p>
    <w:p w14:paraId="62C3ACD2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7C9EB5B" w14:textId="77777777" w:rsidR="009608C4" w:rsidRPr="001A6657" w:rsidRDefault="009608C4" w:rsidP="009608C4">
      <w:pPr>
        <w:widowControl w:val="0"/>
        <w:rPr>
          <w:i/>
          <w:szCs w:val="22"/>
          <w:lang w:val="sk-SK"/>
        </w:rPr>
      </w:pPr>
      <w:r w:rsidRPr="001A6657">
        <w:rPr>
          <w:i/>
          <w:szCs w:val="22"/>
          <w:lang w:val="sk-SK"/>
        </w:rPr>
        <w:t>Porucha funkcie obličiek</w:t>
      </w:r>
    </w:p>
    <w:p w14:paraId="6856A739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AUC a C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solifenacínu nemali u pacientov s miernou a stredne závažnou poruchou funkcie obličiek významne odlišné hodnoty v porovnaní so zdravými dobrovoľníkmi. U pacientov so závažnou poruchou funkcie obličiek (klírens kreatinínu ≤ 30 ml/min) bola expozícia solifenacínu významne vyššia než u kontrolnej skupiny, pričom došlo k nárastu C</w:t>
      </w:r>
      <w:r w:rsidRPr="001A6657">
        <w:rPr>
          <w:szCs w:val="22"/>
          <w:vertAlign w:val="subscript"/>
          <w:lang w:val="sk-SK"/>
        </w:rPr>
        <w:t xml:space="preserve">max </w:t>
      </w:r>
      <w:r w:rsidRPr="001A6657">
        <w:rPr>
          <w:szCs w:val="22"/>
          <w:lang w:val="sk-SK"/>
        </w:rPr>
        <w:t>o približne 30 %, AUC o viac než 100 % a t</w:t>
      </w:r>
      <w:r w:rsidRPr="001A6657">
        <w:rPr>
          <w:szCs w:val="22"/>
          <w:vertAlign w:val="subscript"/>
          <w:lang w:val="sk-SK"/>
        </w:rPr>
        <w:t>1/2</w:t>
      </w:r>
      <w:r w:rsidRPr="001A6657">
        <w:rPr>
          <w:szCs w:val="22"/>
          <w:lang w:val="sk-SK"/>
        </w:rPr>
        <w:t xml:space="preserve"> o viac než 60 %. Štatisticky významný vzťah bol zistený medzi klírensom kreatinínu a klírensom solifenacínu.</w:t>
      </w:r>
    </w:p>
    <w:p w14:paraId="5F5A1324" w14:textId="77777777" w:rsidR="003B489A" w:rsidRDefault="003B489A" w:rsidP="009608C4">
      <w:pPr>
        <w:widowControl w:val="0"/>
        <w:rPr>
          <w:szCs w:val="22"/>
          <w:lang w:val="sk-SK"/>
        </w:rPr>
      </w:pPr>
    </w:p>
    <w:p w14:paraId="1D9D3953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Farmakokinetické vlastnosti u hemodialyzovaných pacientov neboli predmetom štúdie.</w:t>
      </w:r>
    </w:p>
    <w:p w14:paraId="33ACF88C" w14:textId="77777777" w:rsidR="009608C4" w:rsidRPr="001A6657" w:rsidRDefault="009608C4" w:rsidP="009608C4">
      <w:pPr>
        <w:widowControl w:val="0"/>
        <w:rPr>
          <w:szCs w:val="22"/>
          <w:lang w:val="sk-SK"/>
        </w:rPr>
      </w:pPr>
    </w:p>
    <w:p w14:paraId="0DC7F312" w14:textId="77777777" w:rsidR="009608C4" w:rsidRPr="001A6657" w:rsidRDefault="009608C4" w:rsidP="009608C4">
      <w:pPr>
        <w:widowControl w:val="0"/>
        <w:rPr>
          <w:i/>
          <w:iCs/>
          <w:szCs w:val="22"/>
          <w:lang w:val="sk-SK"/>
        </w:rPr>
      </w:pPr>
      <w:r w:rsidRPr="001A6657">
        <w:rPr>
          <w:i/>
          <w:iCs/>
          <w:szCs w:val="22"/>
          <w:lang w:val="sk-SK"/>
        </w:rPr>
        <w:t>Porucha funkcie pečene</w:t>
      </w:r>
    </w:p>
    <w:p w14:paraId="4AC4B5B5" w14:textId="77777777" w:rsidR="009608C4" w:rsidRPr="001A6657" w:rsidRDefault="009608C4" w:rsidP="009608C4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U pacientov so stredne závažnou poruchou funkcie pečene (Childovo-Pughovo skóre 7 až 9) nebola hodnota C</w:t>
      </w:r>
      <w:r w:rsidRPr="001A6657">
        <w:rPr>
          <w:szCs w:val="22"/>
          <w:vertAlign w:val="subscript"/>
          <w:lang w:val="sk-SK"/>
        </w:rPr>
        <w:t>max</w:t>
      </w:r>
      <w:r w:rsidRPr="001A6657">
        <w:rPr>
          <w:szCs w:val="22"/>
          <w:lang w:val="sk-SK"/>
        </w:rPr>
        <w:t xml:space="preserve"> ovplyvnená, avšak hodnota AUC sa zvýšila o 60 % a hodnota t</w:t>
      </w:r>
      <w:r w:rsidRPr="001A6657">
        <w:rPr>
          <w:szCs w:val="22"/>
          <w:vertAlign w:val="subscript"/>
          <w:lang w:val="sk-SK"/>
        </w:rPr>
        <w:t xml:space="preserve">1/2 </w:t>
      </w:r>
      <w:r w:rsidRPr="001A6657">
        <w:rPr>
          <w:szCs w:val="22"/>
          <w:lang w:val="sk-SK"/>
        </w:rPr>
        <w:t>sa zdvojnásobila. Farmakokinetické vlastnosti solifenacínu u pacientov so závažnou poruchou funkcie pečene neboli predmetom štúdie.</w:t>
      </w:r>
    </w:p>
    <w:p w14:paraId="777BB51F" w14:textId="77777777" w:rsidR="009E6B3B" w:rsidRPr="001A6657" w:rsidRDefault="009E6B3B" w:rsidP="00A505E4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5FE05454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5.3</w:t>
      </w:r>
      <w:r w:rsidRPr="001A6657">
        <w:rPr>
          <w:b/>
          <w:szCs w:val="22"/>
          <w:lang w:val="sk-SK"/>
        </w:rPr>
        <w:tab/>
        <w:t>Predklinické údaje o bezpečnosti</w:t>
      </w:r>
    </w:p>
    <w:p w14:paraId="3C101446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4FE6A1A3" w14:textId="094C94AA" w:rsidR="00F2622E" w:rsidRPr="001A6657" w:rsidRDefault="00193CEE" w:rsidP="00F2622E">
      <w:pPr>
        <w:rPr>
          <w:szCs w:val="22"/>
          <w:lang w:val="sk-SK"/>
        </w:rPr>
      </w:pPr>
      <w:r w:rsidRPr="00EF0937">
        <w:rPr>
          <w:szCs w:val="22"/>
          <w:lang w:val="sk-SK"/>
        </w:rPr>
        <w:t xml:space="preserve">Predklinické údaje </w:t>
      </w:r>
      <w:r w:rsidRPr="00EF0937">
        <w:rPr>
          <w:noProof/>
          <w:szCs w:val="22"/>
          <w:lang w:val="sk-SK"/>
        </w:rPr>
        <w:t xml:space="preserve">získané </w:t>
      </w:r>
      <w:r w:rsidRPr="00EF0937">
        <w:rPr>
          <w:szCs w:val="22"/>
          <w:lang w:val="sk-SK"/>
        </w:rPr>
        <w:t xml:space="preserve">na základe obvyklých </w:t>
      </w:r>
      <w:r w:rsidRPr="00EF0937">
        <w:rPr>
          <w:noProof/>
          <w:szCs w:val="22"/>
          <w:lang w:val="sk-SK"/>
        </w:rPr>
        <w:t>farmakologických</w:t>
      </w:r>
      <w:r w:rsidRPr="00EF0937">
        <w:rPr>
          <w:szCs w:val="22"/>
          <w:lang w:val="sk-SK"/>
        </w:rPr>
        <w:t xml:space="preserve"> štúdií bezpečnosti, toxicity po</w:t>
      </w:r>
      <w:r w:rsidR="00AA4EAC" w:rsidRPr="00EF0937">
        <w:rPr>
          <w:szCs w:val="22"/>
          <w:lang w:val="sk-SK"/>
        </w:rPr>
        <w:t> </w:t>
      </w:r>
      <w:r w:rsidRPr="00EF0937">
        <w:rPr>
          <w:szCs w:val="22"/>
          <w:lang w:val="sk-SK"/>
        </w:rPr>
        <w:t xml:space="preserve">opakovanom podávaní, </w:t>
      </w:r>
      <w:r w:rsidR="00A064D4" w:rsidRPr="00EF0937">
        <w:rPr>
          <w:szCs w:val="22"/>
          <w:lang w:val="sk-SK"/>
        </w:rPr>
        <w:t>fertility, výv</w:t>
      </w:r>
      <w:r w:rsidR="00E75C5A">
        <w:rPr>
          <w:szCs w:val="22"/>
          <w:lang w:val="sk-SK"/>
        </w:rPr>
        <w:t>inu</w:t>
      </w:r>
      <w:r w:rsidR="00A064D4" w:rsidRPr="00EF0937">
        <w:rPr>
          <w:szCs w:val="22"/>
          <w:lang w:val="sk-SK"/>
        </w:rPr>
        <w:t xml:space="preserve"> embry</w:t>
      </w:r>
      <w:r w:rsidR="00EF0937">
        <w:rPr>
          <w:szCs w:val="22"/>
          <w:lang w:val="sk-SK"/>
        </w:rPr>
        <w:t>a</w:t>
      </w:r>
      <w:r w:rsidR="00A064D4" w:rsidRPr="00EF0937">
        <w:rPr>
          <w:szCs w:val="22"/>
          <w:lang w:val="sk-SK"/>
        </w:rPr>
        <w:t xml:space="preserve"> a plodu, </w:t>
      </w:r>
      <w:r w:rsidRPr="00EF0937">
        <w:rPr>
          <w:szCs w:val="22"/>
          <w:lang w:val="sk-SK"/>
        </w:rPr>
        <w:t>genotoxicity, karcinogénneho potenciálu, neodhalili žiadne osobitné riziko pre ľudí</w:t>
      </w:r>
      <w:r w:rsidR="005E5705">
        <w:rPr>
          <w:szCs w:val="22"/>
        </w:rPr>
        <w:t>.</w:t>
      </w:r>
      <w:r w:rsidR="00F2622E" w:rsidRPr="001A6657">
        <w:rPr>
          <w:szCs w:val="22"/>
          <w:lang w:val="sk-SK"/>
        </w:rPr>
        <w:t xml:space="preserve"> Štúdia pre- a postnatálneho vývoja u myší odhalila, že podávanie solifenacínu matke počas laktácie spôsobilo klinicky významné od dávky závislé zníženie miery prežitia po narodení, nižšiu hmotnosť mláďat a pomalší fyzický rozvoj mláďat. Bez predchádzajúcich klinických prejavov sa vyskytla zvýšená mortalita v závislosti od dávky u mláďat myší, ktorých liečba začala od 10. alebo 21. dňa po narodení dávkami, ktoré dosiahli farmakologický účinok a u obidvoch skupín bola vyššia mortalita v porovnaní s dospelými jedincami.</w:t>
      </w:r>
    </w:p>
    <w:p w14:paraId="5DD3CCBE" w14:textId="77777777" w:rsidR="00F2622E" w:rsidRPr="001A6657" w:rsidRDefault="00F2622E" w:rsidP="00F2622E">
      <w:pPr>
        <w:rPr>
          <w:rFonts w:eastAsia="MS Mincho"/>
          <w:szCs w:val="22"/>
          <w:lang w:val="sk-SK"/>
        </w:rPr>
      </w:pPr>
      <w:r w:rsidRPr="001A6657">
        <w:rPr>
          <w:szCs w:val="22"/>
          <w:lang w:val="sk-SK"/>
        </w:rPr>
        <w:t>U mláďat myší, u ktorých začala liečba 10. deň po pôrode, bola expozícia v plazme vyššia než u dospelých myší, pri liečbe po 21. dni po pôrode bola systémová expozícia porovnateľná s expozíciou u dospelých myší. Klinický dopad zvýšenej mortality u mláďat myší nie je známy.</w:t>
      </w:r>
    </w:p>
    <w:p w14:paraId="21628FC2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5D31CD2E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A995765" w14:textId="77777777" w:rsidR="009E6B3B" w:rsidRPr="001A6657" w:rsidRDefault="00A734B6" w:rsidP="00A505E4">
      <w:pPr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</w:t>
      </w:r>
      <w:r w:rsidRPr="001A6657">
        <w:rPr>
          <w:b/>
          <w:szCs w:val="22"/>
          <w:lang w:val="sk-SK"/>
        </w:rPr>
        <w:tab/>
        <w:t>FARMACEUTICKÉ INFORMÁCIE</w:t>
      </w:r>
    </w:p>
    <w:p w14:paraId="47BA96EE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C3D0F1C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6.1</w:t>
      </w:r>
      <w:r w:rsidRPr="001A6657">
        <w:rPr>
          <w:b/>
          <w:szCs w:val="22"/>
          <w:lang w:val="sk-SK"/>
        </w:rPr>
        <w:tab/>
        <w:t>Zoznam pomocných látok</w:t>
      </w:r>
    </w:p>
    <w:p w14:paraId="2D799F88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2DE9EFA3" w14:textId="77777777" w:rsidR="00F2622E" w:rsidRPr="008470A1" w:rsidRDefault="00F2622E" w:rsidP="00F2622E">
      <w:pPr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Jadro tablety:</w:t>
      </w:r>
    </w:p>
    <w:p w14:paraId="029B01C8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Monohydrát laktózy</w:t>
      </w:r>
    </w:p>
    <w:p w14:paraId="0FA006AA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Kukuričný škrob</w:t>
      </w:r>
    </w:p>
    <w:p w14:paraId="092C534C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Hypromelóza</w:t>
      </w:r>
    </w:p>
    <w:p w14:paraId="0484432F" w14:textId="77777777" w:rsidR="008470A1" w:rsidRPr="001A6657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lastRenderedPageBreak/>
        <w:t>Mastenec</w:t>
      </w:r>
    </w:p>
    <w:p w14:paraId="61121ADE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Magnéziumstearát</w:t>
      </w:r>
    </w:p>
    <w:p w14:paraId="0E9DAAB7" w14:textId="77777777" w:rsidR="00F2622E" w:rsidRPr="001A6657" w:rsidRDefault="00F2622E" w:rsidP="00F2622E">
      <w:pPr>
        <w:widowControl w:val="0"/>
        <w:rPr>
          <w:i/>
          <w:szCs w:val="22"/>
          <w:lang w:val="sk-SK"/>
        </w:rPr>
      </w:pPr>
    </w:p>
    <w:p w14:paraId="51AAEFD1" w14:textId="77777777" w:rsidR="00F2622E" w:rsidRDefault="00F2622E" w:rsidP="00F2622E">
      <w:pPr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Filmový obal:</w:t>
      </w:r>
    </w:p>
    <w:p w14:paraId="25BF0DC1" w14:textId="77777777" w:rsidR="008470A1" w:rsidRDefault="008470A1" w:rsidP="00F2622E">
      <w:pPr>
        <w:widowControl w:val="0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5 mg</w:t>
      </w:r>
    </w:p>
    <w:p w14:paraId="2D7F5D03" w14:textId="77777777" w:rsidR="008470A1" w:rsidRPr="008470A1" w:rsidRDefault="008470A1" w:rsidP="00F2622E">
      <w:pPr>
        <w:widowControl w:val="0"/>
        <w:rPr>
          <w:szCs w:val="22"/>
          <w:lang w:val="sk-SK"/>
        </w:rPr>
      </w:pPr>
      <w:r w:rsidRPr="008470A1">
        <w:rPr>
          <w:szCs w:val="22"/>
          <w:lang w:val="sk-SK"/>
        </w:rPr>
        <w:t>Hypromelóza</w:t>
      </w:r>
    </w:p>
    <w:p w14:paraId="0A2002E7" w14:textId="77777777" w:rsidR="00F2622E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Oxid titaničitý (E 171)</w:t>
      </w:r>
    </w:p>
    <w:p w14:paraId="091BFDFC" w14:textId="77777777" w:rsidR="008470A1" w:rsidRDefault="008470A1" w:rsidP="00F2622E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Propylén glykol</w:t>
      </w:r>
    </w:p>
    <w:p w14:paraId="11EB6A84" w14:textId="77777777" w:rsidR="008470A1" w:rsidRDefault="008470A1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Žltý oxid železitý (E 172</w:t>
      </w:r>
      <w:r>
        <w:rPr>
          <w:szCs w:val="22"/>
          <w:lang w:val="sk-SK"/>
        </w:rPr>
        <w:t>)</w:t>
      </w:r>
    </w:p>
    <w:p w14:paraId="0F6205C0" w14:textId="77777777" w:rsidR="008470A1" w:rsidRDefault="008470A1" w:rsidP="00F2622E">
      <w:pPr>
        <w:widowControl w:val="0"/>
        <w:rPr>
          <w:szCs w:val="22"/>
          <w:lang w:val="sk-SK"/>
        </w:rPr>
      </w:pPr>
    </w:p>
    <w:p w14:paraId="3E834847" w14:textId="77777777" w:rsidR="008470A1" w:rsidRPr="008470A1" w:rsidRDefault="008470A1" w:rsidP="00F2622E">
      <w:pPr>
        <w:widowControl w:val="0"/>
        <w:rPr>
          <w:szCs w:val="22"/>
          <w:u w:val="single"/>
          <w:lang w:val="sk-SK"/>
        </w:rPr>
      </w:pPr>
      <w:r w:rsidRPr="008470A1">
        <w:rPr>
          <w:szCs w:val="22"/>
          <w:u w:val="single"/>
          <w:lang w:val="sk-SK"/>
        </w:rPr>
        <w:t>10 mg</w:t>
      </w:r>
    </w:p>
    <w:p w14:paraId="4D78A81B" w14:textId="77777777" w:rsidR="008470A1" w:rsidRPr="008470A1" w:rsidRDefault="008470A1" w:rsidP="008470A1">
      <w:pPr>
        <w:widowControl w:val="0"/>
        <w:rPr>
          <w:szCs w:val="22"/>
          <w:lang w:val="sk-SK"/>
        </w:rPr>
      </w:pPr>
      <w:r w:rsidRPr="008470A1">
        <w:rPr>
          <w:szCs w:val="22"/>
          <w:lang w:val="sk-SK"/>
        </w:rPr>
        <w:t>Hypromelóza</w:t>
      </w:r>
    </w:p>
    <w:p w14:paraId="28D5E542" w14:textId="77777777" w:rsidR="008470A1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Oxid titaničitý (E 171)</w:t>
      </w:r>
    </w:p>
    <w:p w14:paraId="30C8D976" w14:textId="77777777" w:rsidR="009E6B3B" w:rsidRDefault="00F2622E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Červený oxid železitý ( E 1</w:t>
      </w:r>
      <w:r w:rsidR="008470A1">
        <w:rPr>
          <w:szCs w:val="22"/>
          <w:lang w:val="sk-SK"/>
        </w:rPr>
        <w:t>72)</w:t>
      </w:r>
    </w:p>
    <w:p w14:paraId="244B5E75" w14:textId="77777777" w:rsidR="008470A1" w:rsidRDefault="008470A1" w:rsidP="008470A1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Žltý oxid železitý (E 172</w:t>
      </w:r>
      <w:r>
        <w:rPr>
          <w:szCs w:val="22"/>
          <w:lang w:val="sk-SK"/>
        </w:rPr>
        <w:t>)</w:t>
      </w:r>
    </w:p>
    <w:p w14:paraId="7A737921" w14:textId="77777777" w:rsidR="008470A1" w:rsidRPr="001A6657" w:rsidRDefault="008470A1" w:rsidP="008470A1">
      <w:pPr>
        <w:widowControl w:val="0"/>
        <w:rPr>
          <w:szCs w:val="22"/>
          <w:lang w:val="sk-SK"/>
        </w:rPr>
      </w:pPr>
    </w:p>
    <w:p w14:paraId="3AFAE3E5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6.2</w:t>
      </w:r>
      <w:r w:rsidRPr="001A6657">
        <w:rPr>
          <w:b/>
          <w:szCs w:val="22"/>
          <w:lang w:val="sk-SK"/>
        </w:rPr>
        <w:tab/>
        <w:t>Inkompatibility</w:t>
      </w:r>
    </w:p>
    <w:p w14:paraId="46059A3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FFAEC07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Neaplikovateľné.</w:t>
      </w:r>
    </w:p>
    <w:p w14:paraId="383DA887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307710AC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1A6657">
        <w:rPr>
          <w:b/>
          <w:szCs w:val="22"/>
          <w:lang w:val="sk-SK"/>
        </w:rPr>
        <w:t>6.3</w:t>
      </w:r>
      <w:r w:rsidRPr="001A6657">
        <w:rPr>
          <w:b/>
          <w:szCs w:val="22"/>
          <w:lang w:val="sk-SK"/>
        </w:rPr>
        <w:tab/>
        <w:t>Čas použiteľnosti</w:t>
      </w:r>
    </w:p>
    <w:p w14:paraId="62C750DA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1375A825" w14:textId="77777777" w:rsidR="009E6B3B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2 roky</w:t>
      </w:r>
    </w:p>
    <w:p w14:paraId="23C04AF7" w14:textId="77777777" w:rsidR="00EF73D7" w:rsidRDefault="00EF73D7" w:rsidP="00A505E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Balenie v HDPE fľaši: Po prvom otvorení použite do 100 dní.</w:t>
      </w:r>
    </w:p>
    <w:p w14:paraId="2308B010" w14:textId="77777777" w:rsidR="00EF73D7" w:rsidRDefault="00EF73D7" w:rsidP="00A505E4">
      <w:pPr>
        <w:spacing w:line="240" w:lineRule="auto"/>
        <w:rPr>
          <w:szCs w:val="22"/>
          <w:lang w:val="sk-SK"/>
        </w:rPr>
      </w:pPr>
    </w:p>
    <w:p w14:paraId="1F57107C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6.4</w:t>
      </w:r>
      <w:r w:rsidRPr="001A6657">
        <w:rPr>
          <w:b/>
          <w:szCs w:val="22"/>
          <w:lang w:val="sk-SK"/>
        </w:rPr>
        <w:tab/>
        <w:t>Špeciálne upozornenia na uchovávanie</w:t>
      </w:r>
    </w:p>
    <w:p w14:paraId="6A202123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6DA42F7A" w14:textId="77777777" w:rsidR="00F2622E" w:rsidRPr="001A6657" w:rsidRDefault="00F2622E" w:rsidP="00F2622E">
      <w:pPr>
        <w:widowControl w:val="0"/>
        <w:rPr>
          <w:szCs w:val="22"/>
          <w:lang w:val="sk-SK"/>
        </w:rPr>
      </w:pPr>
      <w:r w:rsidRPr="001A6657">
        <w:rPr>
          <w:szCs w:val="22"/>
          <w:lang w:val="sk-SK"/>
        </w:rPr>
        <w:t>Tento liek nevyžaduje žiadne zvláštne podmienky na uchovávanie.</w:t>
      </w:r>
    </w:p>
    <w:p w14:paraId="4EBE4D83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75B06D88" w14:textId="77777777" w:rsidR="009E6B3B" w:rsidRPr="001A6657" w:rsidRDefault="00A734B6" w:rsidP="00A505E4">
      <w:pPr>
        <w:spacing w:line="240" w:lineRule="auto"/>
        <w:outlineLvl w:val="0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6.5</w:t>
      </w:r>
      <w:r w:rsidRPr="001A6657">
        <w:rPr>
          <w:b/>
          <w:szCs w:val="22"/>
          <w:lang w:val="sk-SK"/>
        </w:rPr>
        <w:tab/>
        <w:t>Druh obalu a obsah balenia</w:t>
      </w:r>
    </w:p>
    <w:p w14:paraId="0C66FD89" w14:textId="77777777" w:rsidR="00F2622E" w:rsidRPr="001A6657" w:rsidRDefault="00F2622E" w:rsidP="00F2622E">
      <w:pPr>
        <w:widowControl w:val="0"/>
        <w:rPr>
          <w:szCs w:val="22"/>
          <w:lang w:val="sk-SK"/>
        </w:rPr>
      </w:pPr>
    </w:p>
    <w:p w14:paraId="66191F73" w14:textId="59EFF1E8" w:rsidR="00F2622E" w:rsidRPr="001A6657" w:rsidRDefault="00637E7A" w:rsidP="00F2622E">
      <w:pPr>
        <w:widowControl w:val="0"/>
        <w:rPr>
          <w:szCs w:val="22"/>
          <w:lang w:val="sk-SK"/>
        </w:rPr>
      </w:pPr>
      <w:r w:rsidRPr="00637E7A">
        <w:rPr>
          <w:szCs w:val="22"/>
          <w:lang w:val="sk-SK"/>
        </w:rPr>
        <w:t>V</w:t>
      </w:r>
      <w:r w:rsidR="00F2622E" w:rsidRPr="00637E7A">
        <w:rPr>
          <w:szCs w:val="22"/>
          <w:lang w:val="sk-SK"/>
        </w:rPr>
        <w:t> PVC blistroch</w:t>
      </w:r>
      <w:r w:rsidR="00EF73D7" w:rsidRPr="00637E7A">
        <w:rPr>
          <w:szCs w:val="22"/>
          <w:lang w:val="sk-SK"/>
        </w:rPr>
        <w:t xml:space="preserve"> (PVC-Al) zložené z </w:t>
      </w:r>
      <w:r w:rsidRPr="00637E7A">
        <w:rPr>
          <w:szCs w:val="22"/>
          <w:lang w:val="sk-SK"/>
        </w:rPr>
        <w:t>číreho</w:t>
      </w:r>
      <w:r w:rsidR="00EF73D7" w:rsidRPr="00637E7A">
        <w:rPr>
          <w:szCs w:val="22"/>
          <w:lang w:val="sk-SK"/>
        </w:rPr>
        <w:t>, transparentného PVC na jednej strane a</w:t>
      </w:r>
      <w:r w:rsidRPr="00637E7A">
        <w:rPr>
          <w:szCs w:val="22"/>
          <w:lang w:val="sk-SK"/>
        </w:rPr>
        <w:t> potiahnutý tvrdenou hliníkovou fóliou</w:t>
      </w:r>
      <w:r w:rsidR="00A97DF0">
        <w:rPr>
          <w:szCs w:val="22"/>
          <w:lang w:val="sk-SK"/>
        </w:rPr>
        <w:t>,</w:t>
      </w:r>
      <w:r w:rsidRPr="00637E7A">
        <w:rPr>
          <w:szCs w:val="22"/>
          <w:lang w:val="sk-SK"/>
        </w:rPr>
        <w:t xml:space="preserve"> </w:t>
      </w:r>
      <w:r w:rsidR="00F023CB">
        <w:rPr>
          <w:szCs w:val="22"/>
          <w:lang w:val="sk-SK"/>
        </w:rPr>
        <w:t xml:space="preserve">za tepla </w:t>
      </w:r>
      <w:r>
        <w:rPr>
          <w:szCs w:val="22"/>
          <w:lang w:val="sk-SK"/>
        </w:rPr>
        <w:t>zapečatený lakom na strane druhej</w:t>
      </w:r>
      <w:r w:rsidR="00F2622E" w:rsidRPr="00637E7A">
        <w:rPr>
          <w:szCs w:val="22"/>
          <w:lang w:val="sk-SK"/>
        </w:rPr>
        <w:t>.</w:t>
      </w:r>
    </w:p>
    <w:p w14:paraId="6CD85ED5" w14:textId="77777777" w:rsidR="00EF73D7" w:rsidRDefault="00EF73D7" w:rsidP="00F2622E">
      <w:pPr>
        <w:widowControl w:val="0"/>
        <w:rPr>
          <w:szCs w:val="22"/>
          <w:lang w:val="sk-SK"/>
        </w:rPr>
      </w:pPr>
    </w:p>
    <w:p w14:paraId="43BB0C56" w14:textId="7FA4FFD2" w:rsidR="00EF73D7" w:rsidRPr="001A6657" w:rsidRDefault="00EF73D7" w:rsidP="00F2622E">
      <w:pPr>
        <w:widowControl w:val="0"/>
        <w:rPr>
          <w:szCs w:val="22"/>
          <w:lang w:val="sk-SK"/>
        </w:rPr>
      </w:pPr>
      <w:r>
        <w:rPr>
          <w:szCs w:val="22"/>
          <w:lang w:val="sk-SK"/>
        </w:rPr>
        <w:t>3, 5, 10, 20, 30, 30 x</w:t>
      </w:r>
      <w:r w:rsidR="00797975">
        <w:rPr>
          <w:szCs w:val="22"/>
          <w:lang w:val="sk-SK"/>
        </w:rPr>
        <w:t xml:space="preserve"> </w:t>
      </w:r>
      <w:r>
        <w:rPr>
          <w:szCs w:val="22"/>
          <w:lang w:val="sk-SK"/>
        </w:rPr>
        <w:t>1, 50, 60, 90, 100, 200 tabliet.</w:t>
      </w:r>
    </w:p>
    <w:p w14:paraId="368F0CA4" w14:textId="77777777" w:rsidR="00EF0937" w:rsidRDefault="00EF0937" w:rsidP="00EF0937">
      <w:pPr>
        <w:spacing w:line="240" w:lineRule="auto"/>
        <w:outlineLvl w:val="0"/>
        <w:rPr>
          <w:szCs w:val="22"/>
          <w:lang w:val="sk-SK"/>
        </w:rPr>
      </w:pPr>
    </w:p>
    <w:p w14:paraId="7A4F101B" w14:textId="1570354B" w:rsidR="00977E42" w:rsidRDefault="00EF0937" w:rsidP="00EF0937">
      <w:pPr>
        <w:spacing w:line="240" w:lineRule="auto"/>
        <w:outlineLvl w:val="0"/>
        <w:rPr>
          <w:szCs w:val="22"/>
          <w:lang w:val="sk-SK"/>
        </w:rPr>
      </w:pPr>
      <w:r w:rsidRPr="00EF0937">
        <w:rPr>
          <w:szCs w:val="22"/>
          <w:lang w:val="sk-SK"/>
        </w:rPr>
        <w:t>HDPE fľaš</w:t>
      </w:r>
      <w:r>
        <w:rPr>
          <w:szCs w:val="22"/>
          <w:lang w:val="sk-SK"/>
        </w:rPr>
        <w:t>ka</w:t>
      </w:r>
      <w:r w:rsidRPr="00EF0937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 okrúhlym širokým hrdlom</w:t>
      </w:r>
      <w:r w:rsidRPr="00EF0937">
        <w:rPr>
          <w:szCs w:val="22"/>
          <w:lang w:val="sk-SK"/>
        </w:rPr>
        <w:t xml:space="preserve"> </w:t>
      </w:r>
      <w:r w:rsidR="005D5D6F">
        <w:rPr>
          <w:szCs w:val="22"/>
          <w:lang w:val="sk-SK"/>
        </w:rPr>
        <w:t>z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biele</w:t>
      </w:r>
      <w:r w:rsidR="008818EE">
        <w:rPr>
          <w:szCs w:val="22"/>
          <w:lang w:val="sk-SK"/>
        </w:rPr>
        <w:t>ho</w:t>
      </w:r>
      <w:r w:rsidRPr="00EF0937">
        <w:rPr>
          <w:szCs w:val="22"/>
          <w:lang w:val="sk-SK"/>
        </w:rPr>
        <w:t xml:space="preserve"> polyetylénu s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vysokou hustotou (HDPE) s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bielym nepriehľadným uzáverom z</w:t>
      </w:r>
      <w:r w:rsidR="00E75C5A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polypropylénu s</w:t>
      </w:r>
      <w:r w:rsidR="005D5D6F">
        <w:rPr>
          <w:szCs w:val="22"/>
          <w:lang w:val="sk-SK"/>
        </w:rPr>
        <w:t> </w:t>
      </w:r>
      <w:r w:rsidRPr="00EF0937">
        <w:rPr>
          <w:szCs w:val="22"/>
          <w:lang w:val="sk-SK"/>
        </w:rPr>
        <w:t>hliníkov</w:t>
      </w:r>
      <w:r w:rsidR="00727D5B">
        <w:rPr>
          <w:szCs w:val="22"/>
          <w:lang w:val="sk-SK"/>
        </w:rPr>
        <w:t>ou tesniacou pečatnou páskou.</w:t>
      </w:r>
    </w:p>
    <w:p w14:paraId="4CC249AB" w14:textId="77777777" w:rsidR="00977E42" w:rsidRDefault="00977E42" w:rsidP="00EF0937">
      <w:pPr>
        <w:spacing w:line="240" w:lineRule="auto"/>
        <w:outlineLvl w:val="0"/>
        <w:rPr>
          <w:szCs w:val="22"/>
          <w:lang w:val="sk-SK"/>
        </w:rPr>
      </w:pPr>
    </w:p>
    <w:p w14:paraId="79D51BED" w14:textId="26CB982F" w:rsidR="009E6B3B" w:rsidRDefault="00831DFC" w:rsidP="00EF0937">
      <w:pPr>
        <w:spacing w:line="240" w:lineRule="auto"/>
        <w:outlineLvl w:val="0"/>
        <w:rPr>
          <w:szCs w:val="22"/>
          <w:lang w:val="sk-SK"/>
        </w:rPr>
      </w:pPr>
      <w:r>
        <w:rPr>
          <w:szCs w:val="22"/>
          <w:lang w:val="sk-SK"/>
        </w:rPr>
        <w:t>O</w:t>
      </w:r>
      <w:r w:rsidRPr="00EF0937">
        <w:rPr>
          <w:szCs w:val="22"/>
          <w:lang w:val="sk-SK"/>
        </w:rPr>
        <w:t>bsahuj</w:t>
      </w:r>
      <w:r>
        <w:rPr>
          <w:szCs w:val="22"/>
          <w:lang w:val="sk-SK"/>
        </w:rPr>
        <w:t>e</w:t>
      </w:r>
      <w:r w:rsidRPr="00EF0937">
        <w:rPr>
          <w:szCs w:val="22"/>
          <w:lang w:val="sk-SK"/>
        </w:rPr>
        <w:t xml:space="preserve"> </w:t>
      </w:r>
      <w:r w:rsidR="00EF0937" w:rsidRPr="00EF0937">
        <w:rPr>
          <w:szCs w:val="22"/>
          <w:lang w:val="sk-SK"/>
        </w:rPr>
        <w:t>30, 50, 90, 100, 200, 250, 500 tabliet.</w:t>
      </w:r>
    </w:p>
    <w:p w14:paraId="03A6F79C" w14:textId="77777777" w:rsidR="00EF0937" w:rsidRPr="001A6657" w:rsidRDefault="00EF0937" w:rsidP="00EF0937">
      <w:pPr>
        <w:spacing w:line="240" w:lineRule="auto"/>
        <w:outlineLvl w:val="0"/>
        <w:rPr>
          <w:szCs w:val="22"/>
          <w:lang w:val="sk-SK"/>
        </w:rPr>
      </w:pPr>
    </w:p>
    <w:p w14:paraId="7F9D4762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Na trh nemusia byť uvedené všetky veľkosti balenia.</w:t>
      </w:r>
    </w:p>
    <w:p w14:paraId="4FC87735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89208CA" w14:textId="77777777" w:rsidR="009E6B3B" w:rsidRPr="001A6657" w:rsidRDefault="00A734B6" w:rsidP="00A505E4">
      <w:pPr>
        <w:spacing w:line="240" w:lineRule="auto"/>
        <w:ind w:left="567" w:hanging="567"/>
        <w:outlineLvl w:val="0"/>
        <w:rPr>
          <w:szCs w:val="22"/>
          <w:lang w:val="sk-SK"/>
        </w:rPr>
      </w:pPr>
      <w:bookmarkStart w:id="1" w:name="OLE_LINK1"/>
      <w:r w:rsidRPr="001A6657">
        <w:rPr>
          <w:b/>
          <w:szCs w:val="22"/>
          <w:lang w:val="sk-SK"/>
        </w:rPr>
        <w:t>6.6</w:t>
      </w:r>
      <w:r w:rsidRPr="001A6657">
        <w:rPr>
          <w:b/>
          <w:szCs w:val="22"/>
          <w:lang w:val="sk-SK"/>
        </w:rPr>
        <w:tab/>
        <w:t>Špeciálne opatrenia na likvidáciu</w:t>
      </w:r>
    </w:p>
    <w:bookmarkEnd w:id="1"/>
    <w:p w14:paraId="756813BB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34C9F1C8" w14:textId="77777777" w:rsidR="009E6B3B" w:rsidRPr="001A6657" w:rsidRDefault="00A734B6" w:rsidP="00A505E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Žiadne zvláštne požiadavky</w:t>
      </w:r>
      <w:r w:rsidR="00EF73D7">
        <w:rPr>
          <w:szCs w:val="22"/>
          <w:lang w:val="sk-SK"/>
        </w:rPr>
        <w:t>.</w:t>
      </w:r>
    </w:p>
    <w:p w14:paraId="424D6172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2DA01973" w14:textId="77777777" w:rsidR="00EF73D7" w:rsidRPr="001A6657" w:rsidRDefault="00EF73D7" w:rsidP="00A505E4">
      <w:pPr>
        <w:spacing w:line="240" w:lineRule="auto"/>
        <w:rPr>
          <w:szCs w:val="22"/>
          <w:lang w:val="sk-SK"/>
        </w:rPr>
      </w:pPr>
    </w:p>
    <w:p w14:paraId="71FD0BBE" w14:textId="77777777" w:rsidR="009E6B3B" w:rsidRPr="001A6657" w:rsidRDefault="009E6B3B" w:rsidP="00A505E4">
      <w:pPr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7.</w:t>
      </w:r>
      <w:r w:rsidRPr="001A6657">
        <w:rPr>
          <w:b/>
          <w:szCs w:val="22"/>
          <w:lang w:val="sk-SK"/>
        </w:rPr>
        <w:tab/>
      </w:r>
      <w:r w:rsidR="00A734B6" w:rsidRPr="001A6657">
        <w:rPr>
          <w:b/>
          <w:szCs w:val="22"/>
          <w:lang w:val="sk-SK"/>
        </w:rPr>
        <w:t>DRŽITEĽ ROZHODNUTIA O REGISTRÁCII</w:t>
      </w:r>
    </w:p>
    <w:p w14:paraId="13B8765B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5E5B27A0" w14:textId="77777777" w:rsidR="00C87EA7" w:rsidRPr="008F76B3" w:rsidRDefault="00C87EA7" w:rsidP="00C87EA7">
      <w:pPr>
        <w:tabs>
          <w:tab w:val="left" w:pos="2198"/>
        </w:tabs>
        <w:ind w:left="480" w:hanging="48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699A3764" w14:textId="74B8F0DA" w:rsidR="00C87EA7" w:rsidRPr="008F76B3" w:rsidRDefault="005630E5" w:rsidP="00C87EA7">
      <w:pPr>
        <w:tabs>
          <w:tab w:val="left" w:pos="2198"/>
        </w:tabs>
        <w:ind w:left="480" w:hanging="48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="00C87EA7" w:rsidRPr="008F76B3">
        <w:rPr>
          <w:noProof/>
          <w:szCs w:val="22"/>
        </w:rPr>
        <w:t>35/36 Grange Parade</w:t>
      </w:r>
      <w:r w:rsidR="008E1942">
        <w:rPr>
          <w:noProof/>
          <w:szCs w:val="22"/>
        </w:rPr>
        <w:t xml:space="preserve">, </w:t>
      </w:r>
      <w:r w:rsidR="00C87EA7" w:rsidRPr="008F76B3">
        <w:rPr>
          <w:noProof/>
          <w:szCs w:val="22"/>
        </w:rPr>
        <w:t>Baldoyle Industrial Estate</w:t>
      </w:r>
    </w:p>
    <w:p w14:paraId="5C676C6F" w14:textId="75FCD699" w:rsidR="008E1942" w:rsidRDefault="00C87EA7" w:rsidP="00C87EA7">
      <w:pPr>
        <w:tabs>
          <w:tab w:val="left" w:pos="2198"/>
        </w:tabs>
        <w:ind w:left="480" w:hanging="480"/>
        <w:rPr>
          <w:noProof/>
          <w:szCs w:val="22"/>
        </w:rPr>
      </w:pPr>
      <w:r w:rsidRPr="008F76B3">
        <w:rPr>
          <w:noProof/>
          <w:szCs w:val="22"/>
        </w:rPr>
        <w:t>Dublin 13</w:t>
      </w:r>
    </w:p>
    <w:p w14:paraId="5C4BEA6B" w14:textId="06B7BACA" w:rsidR="00C87EA7" w:rsidRPr="001023B1" w:rsidRDefault="00C87EA7" w:rsidP="00C87EA7">
      <w:pPr>
        <w:tabs>
          <w:tab w:val="left" w:pos="2198"/>
        </w:tabs>
        <w:ind w:left="480" w:hanging="480"/>
        <w:rPr>
          <w:szCs w:val="22"/>
        </w:rPr>
      </w:pPr>
      <w:r w:rsidRPr="008F76B3">
        <w:rPr>
          <w:noProof/>
          <w:szCs w:val="22"/>
        </w:rPr>
        <w:t>Írsko</w:t>
      </w:r>
    </w:p>
    <w:p w14:paraId="041F00C8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3FE99925" w14:textId="77777777" w:rsidR="00797975" w:rsidRPr="001A6657" w:rsidRDefault="00797975" w:rsidP="00A505E4">
      <w:pPr>
        <w:spacing w:line="240" w:lineRule="auto"/>
        <w:rPr>
          <w:szCs w:val="22"/>
          <w:lang w:val="sk-SK"/>
        </w:rPr>
      </w:pPr>
    </w:p>
    <w:p w14:paraId="346DA7DD" w14:textId="77777777" w:rsidR="009E6B3B" w:rsidRPr="001A6657" w:rsidRDefault="00A734B6" w:rsidP="00A505E4">
      <w:pPr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lastRenderedPageBreak/>
        <w:t>8.</w:t>
      </w:r>
      <w:r w:rsidRPr="001A6657">
        <w:rPr>
          <w:b/>
          <w:szCs w:val="22"/>
          <w:lang w:val="sk-SK"/>
        </w:rPr>
        <w:tab/>
        <w:t>REGISTRAČNÉ ČÍSLA</w:t>
      </w:r>
    </w:p>
    <w:p w14:paraId="6DCD8D64" w14:textId="77777777" w:rsidR="009E6B3B" w:rsidRDefault="009E6B3B" w:rsidP="00A505E4">
      <w:pPr>
        <w:spacing w:line="240" w:lineRule="auto"/>
        <w:rPr>
          <w:szCs w:val="22"/>
          <w:lang w:val="sk-SK"/>
        </w:rPr>
      </w:pPr>
    </w:p>
    <w:p w14:paraId="5F78E0B6" w14:textId="6770C41A" w:rsidR="00356445" w:rsidRPr="001A6657" w:rsidRDefault="00356445" w:rsidP="00356445">
      <w:pPr>
        <w:tabs>
          <w:tab w:val="left" w:pos="2410"/>
        </w:tabs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Solifenacin Mylan 5 mg</w:t>
      </w:r>
      <w:r>
        <w:rPr>
          <w:szCs w:val="22"/>
          <w:lang w:val="sk-SK"/>
        </w:rPr>
        <w:t>:</w:t>
      </w:r>
      <w:r>
        <w:rPr>
          <w:szCs w:val="22"/>
          <w:lang w:val="sk-SK"/>
        </w:rPr>
        <w:tab/>
      </w:r>
      <w:r w:rsidR="00613AB4" w:rsidRPr="00613AB4">
        <w:rPr>
          <w:szCs w:val="22"/>
          <w:lang w:val="sk-SK"/>
        </w:rPr>
        <w:t>73/0028/16-S</w:t>
      </w:r>
    </w:p>
    <w:p w14:paraId="3B519011" w14:textId="6AA9DA2C" w:rsidR="00356445" w:rsidRPr="001A6657" w:rsidRDefault="00356445" w:rsidP="00356445">
      <w:pPr>
        <w:tabs>
          <w:tab w:val="left" w:pos="2410"/>
        </w:tabs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>Solifenacin Mylan 10 mg</w:t>
      </w:r>
      <w:r>
        <w:rPr>
          <w:szCs w:val="22"/>
          <w:lang w:val="sk-SK"/>
        </w:rPr>
        <w:t>:</w:t>
      </w:r>
      <w:r>
        <w:rPr>
          <w:szCs w:val="22"/>
          <w:lang w:val="sk-SK"/>
        </w:rPr>
        <w:tab/>
      </w:r>
      <w:r w:rsidR="00613AB4" w:rsidRPr="00613AB4">
        <w:rPr>
          <w:szCs w:val="22"/>
          <w:lang w:val="sk-SK"/>
        </w:rPr>
        <w:t>73/0029/16-S</w:t>
      </w:r>
    </w:p>
    <w:p w14:paraId="156504E1" w14:textId="77777777" w:rsidR="00356445" w:rsidRPr="001A6657" w:rsidRDefault="00356445" w:rsidP="00A505E4">
      <w:pPr>
        <w:spacing w:line="240" w:lineRule="auto"/>
        <w:rPr>
          <w:szCs w:val="22"/>
          <w:lang w:val="sk-SK"/>
        </w:rPr>
      </w:pPr>
    </w:p>
    <w:p w14:paraId="01B639CE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46D44CB5" w14:textId="77777777" w:rsidR="009E6B3B" w:rsidRPr="001A6657" w:rsidRDefault="00A734B6" w:rsidP="00A505E4">
      <w:pPr>
        <w:spacing w:line="240" w:lineRule="auto"/>
        <w:ind w:left="567" w:hanging="567"/>
        <w:rPr>
          <w:szCs w:val="22"/>
          <w:lang w:val="sk-SK"/>
        </w:rPr>
      </w:pPr>
      <w:r w:rsidRPr="001A6657">
        <w:rPr>
          <w:b/>
          <w:szCs w:val="22"/>
          <w:lang w:val="sk-SK"/>
        </w:rPr>
        <w:t>9.</w:t>
      </w:r>
      <w:r w:rsidRPr="001A6657">
        <w:rPr>
          <w:b/>
          <w:szCs w:val="22"/>
          <w:lang w:val="sk-SK"/>
        </w:rPr>
        <w:tab/>
        <w:t>DÁTUM PRVEJ REGISTRÁCIE/PREDĹŽENIA REGISTRÁCIE</w:t>
      </w:r>
    </w:p>
    <w:p w14:paraId="598F906D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73A479D0" w14:textId="0873C937" w:rsidR="009E6B3B" w:rsidRPr="001A6657" w:rsidRDefault="00A734B6" w:rsidP="009608C4">
      <w:pPr>
        <w:spacing w:line="240" w:lineRule="auto"/>
        <w:rPr>
          <w:szCs w:val="22"/>
          <w:lang w:val="sk-SK"/>
        </w:rPr>
      </w:pPr>
      <w:r w:rsidRPr="001A6657">
        <w:rPr>
          <w:szCs w:val="22"/>
          <w:lang w:val="sk-SK"/>
        </w:rPr>
        <w:t xml:space="preserve">Dátum prvej registrácie: </w:t>
      </w:r>
      <w:r w:rsidR="007F3542">
        <w:rPr>
          <w:szCs w:val="22"/>
          <w:lang w:val="sk-SK"/>
        </w:rPr>
        <w:t>19. januára 2016</w:t>
      </w:r>
    </w:p>
    <w:p w14:paraId="07E22710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0A014617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6DEA9973" w14:textId="77777777" w:rsidR="009E6B3B" w:rsidRPr="001A6657" w:rsidRDefault="00A734B6" w:rsidP="00A505E4">
      <w:pPr>
        <w:spacing w:line="240" w:lineRule="auto"/>
        <w:ind w:left="567" w:hanging="567"/>
        <w:rPr>
          <w:b/>
          <w:szCs w:val="22"/>
          <w:lang w:val="sk-SK"/>
        </w:rPr>
      </w:pPr>
      <w:r w:rsidRPr="001A6657">
        <w:rPr>
          <w:b/>
          <w:szCs w:val="22"/>
          <w:lang w:val="sk-SK"/>
        </w:rPr>
        <w:t>10.</w:t>
      </w:r>
      <w:r w:rsidRPr="001A6657">
        <w:rPr>
          <w:b/>
          <w:szCs w:val="22"/>
          <w:lang w:val="sk-SK"/>
        </w:rPr>
        <w:tab/>
        <w:t>DÁTUM REVÍZIE TEXTU</w:t>
      </w:r>
    </w:p>
    <w:p w14:paraId="5C0DBA5A" w14:textId="77777777" w:rsidR="009E6B3B" w:rsidRPr="001A6657" w:rsidRDefault="009E6B3B" w:rsidP="00A505E4">
      <w:pPr>
        <w:spacing w:line="240" w:lineRule="auto"/>
        <w:rPr>
          <w:szCs w:val="22"/>
          <w:lang w:val="sk-SK"/>
        </w:rPr>
      </w:pPr>
    </w:p>
    <w:p w14:paraId="15B2E5FD" w14:textId="044D19CE" w:rsidR="009E6B3B" w:rsidRPr="001A6657" w:rsidRDefault="008E1942" w:rsidP="00A505E4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06/</w:t>
      </w:r>
      <w:r w:rsidR="009608C4" w:rsidRPr="001A6657">
        <w:rPr>
          <w:szCs w:val="22"/>
          <w:lang w:val="sk-SK"/>
        </w:rPr>
        <w:t>201</w:t>
      </w:r>
      <w:r w:rsidR="00C87EA7">
        <w:rPr>
          <w:szCs w:val="22"/>
          <w:lang w:val="sk-SK"/>
        </w:rPr>
        <w:t>8</w:t>
      </w:r>
    </w:p>
    <w:p w14:paraId="0B2DE5D8" w14:textId="77777777" w:rsidR="009E6B3B" w:rsidRPr="001A6657" w:rsidRDefault="009E6B3B" w:rsidP="00A505E4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sectPr w:rsidR="009E6B3B" w:rsidRPr="001A6657" w:rsidSect="00887ED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789DB" w14:textId="77777777" w:rsidR="003E3263" w:rsidRDefault="003E3263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C955BFD" w14:textId="77777777" w:rsidR="003E3263" w:rsidRDefault="003E3263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2BE0F0E3" w14:textId="77777777" w:rsidR="003E3263" w:rsidRDefault="003E32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9721" w14:textId="583D1917" w:rsidR="00DF064E" w:rsidRPr="00887ED9" w:rsidRDefault="00DF064E">
    <w:pPr>
      <w:tabs>
        <w:tab w:val="right" w:pos="8931"/>
      </w:tabs>
      <w:ind w:right="96"/>
      <w:jc w:val="center"/>
      <w:rPr>
        <w:sz w:val="18"/>
        <w:szCs w:val="18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887ED9">
      <w:rPr>
        <w:rStyle w:val="slostrany"/>
        <w:sz w:val="18"/>
        <w:szCs w:val="18"/>
      </w:rPr>
      <w:fldChar w:fldCharType="begin"/>
    </w:r>
    <w:r w:rsidRPr="00887ED9">
      <w:rPr>
        <w:rStyle w:val="slostrany"/>
        <w:sz w:val="18"/>
        <w:szCs w:val="18"/>
      </w:rPr>
      <w:instrText xml:space="preserve">PAGE  </w:instrText>
    </w:r>
    <w:r w:rsidRPr="00887ED9">
      <w:rPr>
        <w:rStyle w:val="slostrany"/>
        <w:sz w:val="18"/>
        <w:szCs w:val="18"/>
      </w:rPr>
      <w:fldChar w:fldCharType="separate"/>
    </w:r>
    <w:r w:rsidR="00887ED9">
      <w:rPr>
        <w:rStyle w:val="slostrany"/>
        <w:noProof/>
        <w:sz w:val="18"/>
        <w:szCs w:val="18"/>
      </w:rPr>
      <w:t>1</w:t>
    </w:r>
    <w:r w:rsidRPr="00887ED9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2C572" w14:textId="0E1C8793" w:rsidR="00DF064E" w:rsidRDefault="00DF064E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E83F" w14:textId="77777777" w:rsidR="003E3263" w:rsidRDefault="003E3263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AF2843D" w14:textId="77777777" w:rsidR="003E3263" w:rsidRDefault="003E3263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5D818F5" w14:textId="77777777" w:rsidR="003E3263" w:rsidRDefault="003E32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73A4A" w14:textId="44E43A99" w:rsidR="00DF064E" w:rsidRPr="008F76B3" w:rsidRDefault="00DF064E" w:rsidP="00887ED9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D8218B">
      <w:rPr>
        <w:rFonts w:ascii="Times New Roman" w:hAnsi="Times New Roman"/>
        <w:noProof/>
        <w:sz w:val="18"/>
        <w:szCs w:val="18"/>
      </w:rPr>
      <w:t>Schválený tex</w:t>
    </w:r>
    <w:r>
      <w:rPr>
        <w:rFonts w:ascii="Times New Roman" w:hAnsi="Times New Roman"/>
        <w:noProof/>
        <w:sz w:val="18"/>
        <w:szCs w:val="18"/>
      </w:rPr>
      <w:t>t k rozhodnutiu o prevode</w:t>
    </w:r>
    <w:r w:rsidRPr="00D8218B">
      <w:rPr>
        <w:rFonts w:ascii="Times New Roman" w:hAnsi="Times New Roman"/>
        <w:noProof/>
        <w:sz w:val="18"/>
        <w:szCs w:val="18"/>
      </w:rPr>
      <w:t>, ev. č.:</w:t>
    </w:r>
    <w:r>
      <w:rPr>
        <w:rFonts w:ascii="Times New Roman" w:hAnsi="Times New Roman"/>
        <w:noProof/>
        <w:sz w:val="18"/>
        <w:szCs w:val="18"/>
      </w:rPr>
      <w:t xml:space="preserve"> 2018/02751-TR, 2018/02752-TR</w:t>
    </w:r>
  </w:p>
  <w:p w14:paraId="07398C52" w14:textId="77777777" w:rsidR="00DF064E" w:rsidRDefault="00DF06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D923" w14:textId="0E9952C9" w:rsidR="00DF064E" w:rsidRPr="00AE6E1B" w:rsidRDefault="00DF064E" w:rsidP="00AE6E1B">
    <w:pPr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2D24"/>
    <w:multiLevelType w:val="hybridMultilevel"/>
    <w:tmpl w:val="918056E6"/>
    <w:lvl w:ilvl="0" w:tplc="BE64AE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20562B87"/>
    <w:multiLevelType w:val="hybridMultilevel"/>
    <w:tmpl w:val="59F0C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F206E9"/>
    <w:multiLevelType w:val="hybridMultilevel"/>
    <w:tmpl w:val="8F703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8"/>
  </w:num>
  <w:num w:numId="8">
    <w:abstractNumId w:val="11"/>
  </w:num>
  <w:num w:numId="9">
    <w:abstractNumId w:val="24"/>
  </w:num>
  <w:num w:numId="10">
    <w:abstractNumId w:val="1"/>
  </w:num>
  <w:num w:numId="11">
    <w:abstractNumId w:val="20"/>
  </w:num>
  <w:num w:numId="12">
    <w:abstractNumId w:val="9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0"/>
  </w:num>
  <w:num w:numId="39">
    <w:abstractNumId w:val="15"/>
  </w:num>
  <w:num w:numId="40">
    <w:abstractNumId w:val="4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Kulcsarová">
    <w15:presenceInfo w15:providerId="AD" w15:userId="S-1-5-21-1074136629-4081378027-2755238289-192304"/>
  </w15:person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D86"/>
    <w:rsid w:val="00025EBE"/>
    <w:rsid w:val="00026BF2"/>
    <w:rsid w:val="000271F6"/>
    <w:rsid w:val="00027F9B"/>
    <w:rsid w:val="00030445"/>
    <w:rsid w:val="000318C7"/>
    <w:rsid w:val="00031954"/>
    <w:rsid w:val="0003399F"/>
    <w:rsid w:val="00033FDB"/>
    <w:rsid w:val="000344F6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6028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4B62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C7FFA"/>
    <w:rsid w:val="000D1AEE"/>
    <w:rsid w:val="000D1F4F"/>
    <w:rsid w:val="000D269A"/>
    <w:rsid w:val="000D2C1D"/>
    <w:rsid w:val="000D2EAA"/>
    <w:rsid w:val="000D33C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E3D"/>
    <w:rsid w:val="000F1BB2"/>
    <w:rsid w:val="000F222F"/>
    <w:rsid w:val="000F3F94"/>
    <w:rsid w:val="000F4279"/>
    <w:rsid w:val="001018E2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3516"/>
    <w:rsid w:val="001449DF"/>
    <w:rsid w:val="0014569B"/>
    <w:rsid w:val="00146259"/>
    <w:rsid w:val="001470E0"/>
    <w:rsid w:val="00150060"/>
    <w:rsid w:val="001507A2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35A"/>
    <w:rsid w:val="00190913"/>
    <w:rsid w:val="00193CEE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6657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D19A4"/>
    <w:rsid w:val="001D3C05"/>
    <w:rsid w:val="001D61BF"/>
    <w:rsid w:val="001D6AF4"/>
    <w:rsid w:val="001D6F48"/>
    <w:rsid w:val="001E0CC1"/>
    <w:rsid w:val="001E1C10"/>
    <w:rsid w:val="001E2B3E"/>
    <w:rsid w:val="001E2E9B"/>
    <w:rsid w:val="001E3CC0"/>
    <w:rsid w:val="001E3F4F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D16"/>
    <w:rsid w:val="001F749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169A5"/>
    <w:rsid w:val="0022043D"/>
    <w:rsid w:val="002222BE"/>
    <w:rsid w:val="00222BB9"/>
    <w:rsid w:val="002258D6"/>
    <w:rsid w:val="002274FB"/>
    <w:rsid w:val="002277EC"/>
    <w:rsid w:val="002309D2"/>
    <w:rsid w:val="00231B61"/>
    <w:rsid w:val="00232F52"/>
    <w:rsid w:val="0023315B"/>
    <w:rsid w:val="00233195"/>
    <w:rsid w:val="002347FE"/>
    <w:rsid w:val="00234D40"/>
    <w:rsid w:val="0024178D"/>
    <w:rsid w:val="00242244"/>
    <w:rsid w:val="00242619"/>
    <w:rsid w:val="0024392B"/>
    <w:rsid w:val="002450C6"/>
    <w:rsid w:val="00245DCF"/>
    <w:rsid w:val="00246A2B"/>
    <w:rsid w:val="00246C65"/>
    <w:rsid w:val="002542A8"/>
    <w:rsid w:val="002572CD"/>
    <w:rsid w:val="00260A11"/>
    <w:rsid w:val="00261316"/>
    <w:rsid w:val="0026169A"/>
    <w:rsid w:val="00262763"/>
    <w:rsid w:val="002636C8"/>
    <w:rsid w:val="00264BEA"/>
    <w:rsid w:val="002657EE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5DE6"/>
    <w:rsid w:val="00286322"/>
    <w:rsid w:val="00291302"/>
    <w:rsid w:val="00296B03"/>
    <w:rsid w:val="00296C1F"/>
    <w:rsid w:val="002A1A88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18FB"/>
    <w:rsid w:val="002F1F28"/>
    <w:rsid w:val="002F43CA"/>
    <w:rsid w:val="002F57AA"/>
    <w:rsid w:val="002F714C"/>
    <w:rsid w:val="002F77BF"/>
    <w:rsid w:val="003004A2"/>
    <w:rsid w:val="00302CA4"/>
    <w:rsid w:val="00303DD5"/>
    <w:rsid w:val="00305D2B"/>
    <w:rsid w:val="003071E9"/>
    <w:rsid w:val="00307B74"/>
    <w:rsid w:val="0031034C"/>
    <w:rsid w:val="00310764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36BB"/>
    <w:rsid w:val="0033486D"/>
    <w:rsid w:val="003367C4"/>
    <w:rsid w:val="00336D8E"/>
    <w:rsid w:val="003370C9"/>
    <w:rsid w:val="003376B3"/>
    <w:rsid w:val="00340BF3"/>
    <w:rsid w:val="00345F9C"/>
    <w:rsid w:val="0034654B"/>
    <w:rsid w:val="00347776"/>
    <w:rsid w:val="00351578"/>
    <w:rsid w:val="003519C0"/>
    <w:rsid w:val="00351A91"/>
    <w:rsid w:val="003520C4"/>
    <w:rsid w:val="003533AE"/>
    <w:rsid w:val="00355E14"/>
    <w:rsid w:val="00356445"/>
    <w:rsid w:val="00356CFA"/>
    <w:rsid w:val="00360D84"/>
    <w:rsid w:val="00361109"/>
    <w:rsid w:val="00361280"/>
    <w:rsid w:val="003615F1"/>
    <w:rsid w:val="00361A6E"/>
    <w:rsid w:val="00361F27"/>
    <w:rsid w:val="00362659"/>
    <w:rsid w:val="00363D7F"/>
    <w:rsid w:val="003665D5"/>
    <w:rsid w:val="00367C66"/>
    <w:rsid w:val="003700B2"/>
    <w:rsid w:val="0037021D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6A7"/>
    <w:rsid w:val="003A3880"/>
    <w:rsid w:val="003A410D"/>
    <w:rsid w:val="003A5119"/>
    <w:rsid w:val="003A5BC5"/>
    <w:rsid w:val="003A5D55"/>
    <w:rsid w:val="003A75E6"/>
    <w:rsid w:val="003A76CC"/>
    <w:rsid w:val="003A77D2"/>
    <w:rsid w:val="003B255B"/>
    <w:rsid w:val="003B2A62"/>
    <w:rsid w:val="003B3317"/>
    <w:rsid w:val="003B489A"/>
    <w:rsid w:val="003B4B2F"/>
    <w:rsid w:val="003B52D4"/>
    <w:rsid w:val="003B5C79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263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400D04"/>
    <w:rsid w:val="004016F5"/>
    <w:rsid w:val="00402B07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19EF"/>
    <w:rsid w:val="00426A7B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5C74"/>
    <w:rsid w:val="00442DF1"/>
    <w:rsid w:val="004431FE"/>
    <w:rsid w:val="00444F0D"/>
    <w:rsid w:val="0044516D"/>
    <w:rsid w:val="004460E9"/>
    <w:rsid w:val="00447B6F"/>
    <w:rsid w:val="00447FF2"/>
    <w:rsid w:val="004501D4"/>
    <w:rsid w:val="00451555"/>
    <w:rsid w:val="004524CB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8745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D02"/>
    <w:rsid w:val="004B7F67"/>
    <w:rsid w:val="004C0FD6"/>
    <w:rsid w:val="004C147B"/>
    <w:rsid w:val="004C1994"/>
    <w:rsid w:val="004C6B22"/>
    <w:rsid w:val="004C6B2B"/>
    <w:rsid w:val="004D0477"/>
    <w:rsid w:val="004D168F"/>
    <w:rsid w:val="004D4080"/>
    <w:rsid w:val="004D7448"/>
    <w:rsid w:val="004E05FD"/>
    <w:rsid w:val="004E0651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2A"/>
    <w:rsid w:val="00533A3F"/>
    <w:rsid w:val="00534700"/>
    <w:rsid w:val="0053791F"/>
    <w:rsid w:val="00540AA5"/>
    <w:rsid w:val="00544D9B"/>
    <w:rsid w:val="00544F5D"/>
    <w:rsid w:val="0054506E"/>
    <w:rsid w:val="00545C9B"/>
    <w:rsid w:val="005465D2"/>
    <w:rsid w:val="00547538"/>
    <w:rsid w:val="005502FA"/>
    <w:rsid w:val="005522E0"/>
    <w:rsid w:val="00553BFA"/>
    <w:rsid w:val="005546C5"/>
    <w:rsid w:val="00554D05"/>
    <w:rsid w:val="0056077E"/>
    <w:rsid w:val="00560EDA"/>
    <w:rsid w:val="005629EE"/>
    <w:rsid w:val="005630E5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6E5E"/>
    <w:rsid w:val="00576FEB"/>
    <w:rsid w:val="00581B57"/>
    <w:rsid w:val="00582A9B"/>
    <w:rsid w:val="005832AB"/>
    <w:rsid w:val="00584001"/>
    <w:rsid w:val="0058437C"/>
    <w:rsid w:val="005935F4"/>
    <w:rsid w:val="00593E0A"/>
    <w:rsid w:val="005965DA"/>
    <w:rsid w:val="00596683"/>
    <w:rsid w:val="005A0DFB"/>
    <w:rsid w:val="005A167F"/>
    <w:rsid w:val="005A346E"/>
    <w:rsid w:val="005A454E"/>
    <w:rsid w:val="005A4927"/>
    <w:rsid w:val="005A4EE0"/>
    <w:rsid w:val="005A5A3E"/>
    <w:rsid w:val="005A73CF"/>
    <w:rsid w:val="005B3F6F"/>
    <w:rsid w:val="005B4002"/>
    <w:rsid w:val="005B41F4"/>
    <w:rsid w:val="005B4600"/>
    <w:rsid w:val="005B528A"/>
    <w:rsid w:val="005B798B"/>
    <w:rsid w:val="005C1FAE"/>
    <w:rsid w:val="005C39E8"/>
    <w:rsid w:val="005C5660"/>
    <w:rsid w:val="005C674C"/>
    <w:rsid w:val="005C7072"/>
    <w:rsid w:val="005D33D8"/>
    <w:rsid w:val="005D3CF4"/>
    <w:rsid w:val="005D48D7"/>
    <w:rsid w:val="005D4B68"/>
    <w:rsid w:val="005D5D6F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5705"/>
    <w:rsid w:val="005E5E00"/>
    <w:rsid w:val="005E65BB"/>
    <w:rsid w:val="005F0143"/>
    <w:rsid w:val="005F0161"/>
    <w:rsid w:val="005F0DA0"/>
    <w:rsid w:val="005F4914"/>
    <w:rsid w:val="005F4924"/>
    <w:rsid w:val="005F62B7"/>
    <w:rsid w:val="005F6869"/>
    <w:rsid w:val="005F6BB9"/>
    <w:rsid w:val="00603148"/>
    <w:rsid w:val="00606FC7"/>
    <w:rsid w:val="00610456"/>
    <w:rsid w:val="0061053A"/>
    <w:rsid w:val="00611473"/>
    <w:rsid w:val="00611B36"/>
    <w:rsid w:val="0061378B"/>
    <w:rsid w:val="00613A34"/>
    <w:rsid w:val="00613AB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7A"/>
    <w:rsid w:val="00637EFA"/>
    <w:rsid w:val="00640197"/>
    <w:rsid w:val="006414EE"/>
    <w:rsid w:val="00642524"/>
    <w:rsid w:val="00642D0A"/>
    <w:rsid w:val="0064431A"/>
    <w:rsid w:val="00646FE1"/>
    <w:rsid w:val="006477B0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7E7"/>
    <w:rsid w:val="0067499B"/>
    <w:rsid w:val="0067501E"/>
    <w:rsid w:val="006773D2"/>
    <w:rsid w:val="00680498"/>
    <w:rsid w:val="00680581"/>
    <w:rsid w:val="00681A41"/>
    <w:rsid w:val="006821B2"/>
    <w:rsid w:val="006838C0"/>
    <w:rsid w:val="006857EB"/>
    <w:rsid w:val="00685901"/>
    <w:rsid w:val="00685BB9"/>
    <w:rsid w:val="00685BD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11FE"/>
    <w:rsid w:val="006B301A"/>
    <w:rsid w:val="006B34B6"/>
    <w:rsid w:val="006C0251"/>
    <w:rsid w:val="006C2B9A"/>
    <w:rsid w:val="006C39BB"/>
    <w:rsid w:val="006C4502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7CC"/>
    <w:rsid w:val="006F6E73"/>
    <w:rsid w:val="00701A6B"/>
    <w:rsid w:val="00701B88"/>
    <w:rsid w:val="00701C2D"/>
    <w:rsid w:val="00702162"/>
    <w:rsid w:val="00703930"/>
    <w:rsid w:val="0070610E"/>
    <w:rsid w:val="00707759"/>
    <w:rsid w:val="00707C0F"/>
    <w:rsid w:val="00707F78"/>
    <w:rsid w:val="00710081"/>
    <w:rsid w:val="00710B0D"/>
    <w:rsid w:val="0071343E"/>
    <w:rsid w:val="00713907"/>
    <w:rsid w:val="00713CB5"/>
    <w:rsid w:val="0071434A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27D5B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6DC7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975"/>
    <w:rsid w:val="007979E6"/>
    <w:rsid w:val="007A047D"/>
    <w:rsid w:val="007A06AC"/>
    <w:rsid w:val="007A31B8"/>
    <w:rsid w:val="007A5510"/>
    <w:rsid w:val="007B1014"/>
    <w:rsid w:val="007B103F"/>
    <w:rsid w:val="007B1484"/>
    <w:rsid w:val="007B1A10"/>
    <w:rsid w:val="007B5F08"/>
    <w:rsid w:val="007B6659"/>
    <w:rsid w:val="007B76AB"/>
    <w:rsid w:val="007B7DBD"/>
    <w:rsid w:val="007C039F"/>
    <w:rsid w:val="007C322E"/>
    <w:rsid w:val="007C33AD"/>
    <w:rsid w:val="007C3A2B"/>
    <w:rsid w:val="007C45D3"/>
    <w:rsid w:val="007C597B"/>
    <w:rsid w:val="007C760C"/>
    <w:rsid w:val="007D08BF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CE7"/>
    <w:rsid w:val="007E4041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E65"/>
    <w:rsid w:val="007F3542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C23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3A03"/>
    <w:rsid w:val="00816C51"/>
    <w:rsid w:val="008175B3"/>
    <w:rsid w:val="00820708"/>
    <w:rsid w:val="00821865"/>
    <w:rsid w:val="0082327D"/>
    <w:rsid w:val="00823CB6"/>
    <w:rsid w:val="0082433D"/>
    <w:rsid w:val="00825558"/>
    <w:rsid w:val="00826509"/>
    <w:rsid w:val="00826B20"/>
    <w:rsid w:val="00831B01"/>
    <w:rsid w:val="00831DFC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70A1"/>
    <w:rsid w:val="00851377"/>
    <w:rsid w:val="0085375B"/>
    <w:rsid w:val="00854A79"/>
    <w:rsid w:val="00854B2F"/>
    <w:rsid w:val="00855481"/>
    <w:rsid w:val="00855508"/>
    <w:rsid w:val="00856354"/>
    <w:rsid w:val="008568E1"/>
    <w:rsid w:val="00856BE9"/>
    <w:rsid w:val="00856F6B"/>
    <w:rsid w:val="008578F8"/>
    <w:rsid w:val="00857CA3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967"/>
    <w:rsid w:val="00875E32"/>
    <w:rsid w:val="008770D4"/>
    <w:rsid w:val="0088104E"/>
    <w:rsid w:val="0088127F"/>
    <w:rsid w:val="008815EF"/>
    <w:rsid w:val="008818EE"/>
    <w:rsid w:val="00885273"/>
    <w:rsid w:val="00885F2C"/>
    <w:rsid w:val="00886386"/>
    <w:rsid w:val="0088701C"/>
    <w:rsid w:val="00887ED9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1696"/>
    <w:rsid w:val="008B500A"/>
    <w:rsid w:val="008B7973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36CD"/>
    <w:rsid w:val="008D4380"/>
    <w:rsid w:val="008D48D1"/>
    <w:rsid w:val="008D4EED"/>
    <w:rsid w:val="008D52E1"/>
    <w:rsid w:val="008D6BE8"/>
    <w:rsid w:val="008E1942"/>
    <w:rsid w:val="008E27E9"/>
    <w:rsid w:val="008E5373"/>
    <w:rsid w:val="008E66A2"/>
    <w:rsid w:val="008F0CAC"/>
    <w:rsid w:val="008F11EE"/>
    <w:rsid w:val="008F1F3A"/>
    <w:rsid w:val="008F2C49"/>
    <w:rsid w:val="008F32CD"/>
    <w:rsid w:val="008F36F0"/>
    <w:rsid w:val="008F7CFF"/>
    <w:rsid w:val="008F7ED1"/>
    <w:rsid w:val="008F7FEA"/>
    <w:rsid w:val="00900DCE"/>
    <w:rsid w:val="009016A7"/>
    <w:rsid w:val="009018CF"/>
    <w:rsid w:val="00901C8D"/>
    <w:rsid w:val="00904945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17D5B"/>
    <w:rsid w:val="0092040E"/>
    <w:rsid w:val="00920C6C"/>
    <w:rsid w:val="00921C6D"/>
    <w:rsid w:val="009227D9"/>
    <w:rsid w:val="009232A2"/>
    <w:rsid w:val="00923C44"/>
    <w:rsid w:val="0092505A"/>
    <w:rsid w:val="00925180"/>
    <w:rsid w:val="00926583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4053B"/>
    <w:rsid w:val="009417F7"/>
    <w:rsid w:val="00942040"/>
    <w:rsid w:val="00942C9F"/>
    <w:rsid w:val="00942EFC"/>
    <w:rsid w:val="009445C9"/>
    <w:rsid w:val="00945631"/>
    <w:rsid w:val="00947549"/>
    <w:rsid w:val="00956C5C"/>
    <w:rsid w:val="0095793C"/>
    <w:rsid w:val="0096045D"/>
    <w:rsid w:val="009608C4"/>
    <w:rsid w:val="0096111E"/>
    <w:rsid w:val="00961125"/>
    <w:rsid w:val="00963362"/>
    <w:rsid w:val="00963BD1"/>
    <w:rsid w:val="009641CC"/>
    <w:rsid w:val="00966B1F"/>
    <w:rsid w:val="00967D26"/>
    <w:rsid w:val="0097116E"/>
    <w:rsid w:val="00971D15"/>
    <w:rsid w:val="00972EF6"/>
    <w:rsid w:val="00974518"/>
    <w:rsid w:val="00975617"/>
    <w:rsid w:val="00975D53"/>
    <w:rsid w:val="00976B72"/>
    <w:rsid w:val="00976C34"/>
    <w:rsid w:val="00977E42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6DC9"/>
    <w:rsid w:val="00997171"/>
    <w:rsid w:val="009972FE"/>
    <w:rsid w:val="009A18AD"/>
    <w:rsid w:val="009B0152"/>
    <w:rsid w:val="009B061C"/>
    <w:rsid w:val="009B2C91"/>
    <w:rsid w:val="009B3096"/>
    <w:rsid w:val="009B536C"/>
    <w:rsid w:val="009B5C19"/>
    <w:rsid w:val="009B6496"/>
    <w:rsid w:val="009C01DA"/>
    <w:rsid w:val="009C1528"/>
    <w:rsid w:val="009C20CC"/>
    <w:rsid w:val="009C3057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0F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5BF3"/>
    <w:rsid w:val="009F603B"/>
    <w:rsid w:val="009F6987"/>
    <w:rsid w:val="009F720F"/>
    <w:rsid w:val="00A00EA8"/>
    <w:rsid w:val="00A010E7"/>
    <w:rsid w:val="00A01A17"/>
    <w:rsid w:val="00A01A60"/>
    <w:rsid w:val="00A02A8E"/>
    <w:rsid w:val="00A05C86"/>
    <w:rsid w:val="00A064D4"/>
    <w:rsid w:val="00A076F9"/>
    <w:rsid w:val="00A07997"/>
    <w:rsid w:val="00A07F87"/>
    <w:rsid w:val="00A206ED"/>
    <w:rsid w:val="00A20806"/>
    <w:rsid w:val="00A20C7F"/>
    <w:rsid w:val="00A21D41"/>
    <w:rsid w:val="00A22422"/>
    <w:rsid w:val="00A22DBA"/>
    <w:rsid w:val="00A2329D"/>
    <w:rsid w:val="00A25BFF"/>
    <w:rsid w:val="00A27522"/>
    <w:rsid w:val="00A30F9A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BF3"/>
    <w:rsid w:val="00A5597C"/>
    <w:rsid w:val="00A55A3C"/>
    <w:rsid w:val="00A55DD5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4B6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97DF0"/>
    <w:rsid w:val="00AA0230"/>
    <w:rsid w:val="00AA0A43"/>
    <w:rsid w:val="00AA0DD3"/>
    <w:rsid w:val="00AA1C07"/>
    <w:rsid w:val="00AA2F04"/>
    <w:rsid w:val="00AA3688"/>
    <w:rsid w:val="00AA4EAC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0D71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6CB0"/>
    <w:rsid w:val="00AE6E1B"/>
    <w:rsid w:val="00AE7D78"/>
    <w:rsid w:val="00AF0C33"/>
    <w:rsid w:val="00AF308B"/>
    <w:rsid w:val="00AF41F6"/>
    <w:rsid w:val="00AF438E"/>
    <w:rsid w:val="00AF45CA"/>
    <w:rsid w:val="00AF5912"/>
    <w:rsid w:val="00AF5CEE"/>
    <w:rsid w:val="00AF6366"/>
    <w:rsid w:val="00AF660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FAB"/>
    <w:rsid w:val="00B21221"/>
    <w:rsid w:val="00B21D4A"/>
    <w:rsid w:val="00B22C5F"/>
    <w:rsid w:val="00B23487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146"/>
    <w:rsid w:val="00B5176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126E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C4BBC"/>
    <w:rsid w:val="00BC5291"/>
    <w:rsid w:val="00BE4ED6"/>
    <w:rsid w:val="00BE54F3"/>
    <w:rsid w:val="00BE5F67"/>
    <w:rsid w:val="00BE774C"/>
    <w:rsid w:val="00BE7920"/>
    <w:rsid w:val="00BF1E46"/>
    <w:rsid w:val="00BF22CD"/>
    <w:rsid w:val="00BF2CD1"/>
    <w:rsid w:val="00BF4B6A"/>
    <w:rsid w:val="00BF5135"/>
    <w:rsid w:val="00BF7DD0"/>
    <w:rsid w:val="00C00312"/>
    <w:rsid w:val="00C009F5"/>
    <w:rsid w:val="00C0108E"/>
    <w:rsid w:val="00C01129"/>
    <w:rsid w:val="00C015E8"/>
    <w:rsid w:val="00C018A5"/>
    <w:rsid w:val="00C02239"/>
    <w:rsid w:val="00C022E1"/>
    <w:rsid w:val="00C0398D"/>
    <w:rsid w:val="00C03E65"/>
    <w:rsid w:val="00C03EA6"/>
    <w:rsid w:val="00C071AC"/>
    <w:rsid w:val="00C07EF8"/>
    <w:rsid w:val="00C1040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3E9"/>
    <w:rsid w:val="00C23B23"/>
    <w:rsid w:val="00C25BB2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42D9"/>
    <w:rsid w:val="00C76238"/>
    <w:rsid w:val="00C7697F"/>
    <w:rsid w:val="00C77AB6"/>
    <w:rsid w:val="00C8136C"/>
    <w:rsid w:val="00C823C1"/>
    <w:rsid w:val="00C828FF"/>
    <w:rsid w:val="00C82FFA"/>
    <w:rsid w:val="00C837DE"/>
    <w:rsid w:val="00C85521"/>
    <w:rsid w:val="00C85ECE"/>
    <w:rsid w:val="00C863EE"/>
    <w:rsid w:val="00C87EA7"/>
    <w:rsid w:val="00C91D48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A4D80"/>
    <w:rsid w:val="00CA6AF5"/>
    <w:rsid w:val="00CB0721"/>
    <w:rsid w:val="00CB0AAA"/>
    <w:rsid w:val="00CB1582"/>
    <w:rsid w:val="00CB22B7"/>
    <w:rsid w:val="00CB31DA"/>
    <w:rsid w:val="00CB5032"/>
    <w:rsid w:val="00CB69E2"/>
    <w:rsid w:val="00CB7DF6"/>
    <w:rsid w:val="00CC1229"/>
    <w:rsid w:val="00CC303F"/>
    <w:rsid w:val="00CC31C8"/>
    <w:rsid w:val="00CC3324"/>
    <w:rsid w:val="00CC3C96"/>
    <w:rsid w:val="00CC544E"/>
    <w:rsid w:val="00CD077C"/>
    <w:rsid w:val="00CD2B1A"/>
    <w:rsid w:val="00CD342A"/>
    <w:rsid w:val="00CD3940"/>
    <w:rsid w:val="00CD46E4"/>
    <w:rsid w:val="00CD5462"/>
    <w:rsid w:val="00CD5DC3"/>
    <w:rsid w:val="00CD7577"/>
    <w:rsid w:val="00CE4239"/>
    <w:rsid w:val="00CE6A0B"/>
    <w:rsid w:val="00CF0950"/>
    <w:rsid w:val="00CF3B07"/>
    <w:rsid w:val="00CF4C13"/>
    <w:rsid w:val="00CF4D03"/>
    <w:rsid w:val="00CF4FA9"/>
    <w:rsid w:val="00CF6384"/>
    <w:rsid w:val="00CF6902"/>
    <w:rsid w:val="00D01E12"/>
    <w:rsid w:val="00D03851"/>
    <w:rsid w:val="00D039E7"/>
    <w:rsid w:val="00D061A3"/>
    <w:rsid w:val="00D06E88"/>
    <w:rsid w:val="00D11F90"/>
    <w:rsid w:val="00D13527"/>
    <w:rsid w:val="00D15B0B"/>
    <w:rsid w:val="00D15E4E"/>
    <w:rsid w:val="00D17601"/>
    <w:rsid w:val="00D200D5"/>
    <w:rsid w:val="00D20B37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7EDB"/>
    <w:rsid w:val="00D602DE"/>
    <w:rsid w:val="00D6096A"/>
    <w:rsid w:val="00D60ABE"/>
    <w:rsid w:val="00D60CE5"/>
    <w:rsid w:val="00D60D9E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1DDE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5D3B"/>
    <w:rsid w:val="00D97A7B"/>
    <w:rsid w:val="00DA095D"/>
    <w:rsid w:val="00DA1259"/>
    <w:rsid w:val="00DA1AAD"/>
    <w:rsid w:val="00DA1E08"/>
    <w:rsid w:val="00DA25D9"/>
    <w:rsid w:val="00DA3B17"/>
    <w:rsid w:val="00DA4A52"/>
    <w:rsid w:val="00DA4FBC"/>
    <w:rsid w:val="00DA6834"/>
    <w:rsid w:val="00DA7457"/>
    <w:rsid w:val="00DB1083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6D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64E"/>
    <w:rsid w:val="00DF0FE3"/>
    <w:rsid w:val="00DF2CB1"/>
    <w:rsid w:val="00DF3EAF"/>
    <w:rsid w:val="00DF641F"/>
    <w:rsid w:val="00DF69F9"/>
    <w:rsid w:val="00E02579"/>
    <w:rsid w:val="00E02B50"/>
    <w:rsid w:val="00E04B3F"/>
    <w:rsid w:val="00E053DD"/>
    <w:rsid w:val="00E060C1"/>
    <w:rsid w:val="00E06B1E"/>
    <w:rsid w:val="00E075C5"/>
    <w:rsid w:val="00E07787"/>
    <w:rsid w:val="00E109F8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5CE8"/>
    <w:rsid w:val="00E26C55"/>
    <w:rsid w:val="00E26F6C"/>
    <w:rsid w:val="00E31BD0"/>
    <w:rsid w:val="00E333FB"/>
    <w:rsid w:val="00E34CA3"/>
    <w:rsid w:val="00E35C4A"/>
    <w:rsid w:val="00E37DA6"/>
    <w:rsid w:val="00E37FE3"/>
    <w:rsid w:val="00E43AAA"/>
    <w:rsid w:val="00E44B4A"/>
    <w:rsid w:val="00E44C62"/>
    <w:rsid w:val="00E45B54"/>
    <w:rsid w:val="00E46C49"/>
    <w:rsid w:val="00E51141"/>
    <w:rsid w:val="00E53E2C"/>
    <w:rsid w:val="00E54EF2"/>
    <w:rsid w:val="00E56AB2"/>
    <w:rsid w:val="00E60A5E"/>
    <w:rsid w:val="00E60DC5"/>
    <w:rsid w:val="00E61036"/>
    <w:rsid w:val="00E63559"/>
    <w:rsid w:val="00E646F4"/>
    <w:rsid w:val="00E67180"/>
    <w:rsid w:val="00E676E2"/>
    <w:rsid w:val="00E72D27"/>
    <w:rsid w:val="00E736B2"/>
    <w:rsid w:val="00E74B53"/>
    <w:rsid w:val="00E74FA5"/>
    <w:rsid w:val="00E756A8"/>
    <w:rsid w:val="00E75C5A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0591"/>
    <w:rsid w:val="00E9167E"/>
    <w:rsid w:val="00E922A4"/>
    <w:rsid w:val="00E9255E"/>
    <w:rsid w:val="00E925CE"/>
    <w:rsid w:val="00E92672"/>
    <w:rsid w:val="00E93F3F"/>
    <w:rsid w:val="00E95403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D7804"/>
    <w:rsid w:val="00EE1855"/>
    <w:rsid w:val="00EE266A"/>
    <w:rsid w:val="00EE2B68"/>
    <w:rsid w:val="00EE359F"/>
    <w:rsid w:val="00EE35A8"/>
    <w:rsid w:val="00EE3733"/>
    <w:rsid w:val="00EE6D70"/>
    <w:rsid w:val="00EF04B4"/>
    <w:rsid w:val="00EF0937"/>
    <w:rsid w:val="00EF1386"/>
    <w:rsid w:val="00EF1485"/>
    <w:rsid w:val="00EF2491"/>
    <w:rsid w:val="00EF256B"/>
    <w:rsid w:val="00EF5277"/>
    <w:rsid w:val="00EF5CAD"/>
    <w:rsid w:val="00EF611F"/>
    <w:rsid w:val="00EF73D7"/>
    <w:rsid w:val="00EF76E1"/>
    <w:rsid w:val="00F023CB"/>
    <w:rsid w:val="00F03441"/>
    <w:rsid w:val="00F03E0D"/>
    <w:rsid w:val="00F1030E"/>
    <w:rsid w:val="00F10925"/>
    <w:rsid w:val="00F12F6C"/>
    <w:rsid w:val="00F13DAE"/>
    <w:rsid w:val="00F14BCA"/>
    <w:rsid w:val="00F157D8"/>
    <w:rsid w:val="00F201AD"/>
    <w:rsid w:val="00F213FA"/>
    <w:rsid w:val="00F21481"/>
    <w:rsid w:val="00F215B1"/>
    <w:rsid w:val="00F21B21"/>
    <w:rsid w:val="00F222BB"/>
    <w:rsid w:val="00F23CC6"/>
    <w:rsid w:val="00F24594"/>
    <w:rsid w:val="00F2491A"/>
    <w:rsid w:val="00F24EF6"/>
    <w:rsid w:val="00F254E4"/>
    <w:rsid w:val="00F25719"/>
    <w:rsid w:val="00F2622E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6785E"/>
    <w:rsid w:val="00F7058F"/>
    <w:rsid w:val="00F70D21"/>
    <w:rsid w:val="00F70FEF"/>
    <w:rsid w:val="00F7105D"/>
    <w:rsid w:val="00F721FB"/>
    <w:rsid w:val="00F72DF4"/>
    <w:rsid w:val="00F74F3A"/>
    <w:rsid w:val="00F7505D"/>
    <w:rsid w:val="00F75C02"/>
    <w:rsid w:val="00F77ECB"/>
    <w:rsid w:val="00F81583"/>
    <w:rsid w:val="00F819E3"/>
    <w:rsid w:val="00F81E47"/>
    <w:rsid w:val="00F820BF"/>
    <w:rsid w:val="00F824EF"/>
    <w:rsid w:val="00F8298B"/>
    <w:rsid w:val="00F8415D"/>
    <w:rsid w:val="00F84408"/>
    <w:rsid w:val="00F86474"/>
    <w:rsid w:val="00F868B4"/>
    <w:rsid w:val="00F86AF5"/>
    <w:rsid w:val="00F8730A"/>
    <w:rsid w:val="00F87320"/>
    <w:rsid w:val="00F9016F"/>
    <w:rsid w:val="00F90601"/>
    <w:rsid w:val="00F94DA3"/>
    <w:rsid w:val="00F95BB8"/>
    <w:rsid w:val="00F97A0A"/>
    <w:rsid w:val="00FA2A20"/>
    <w:rsid w:val="00FA3883"/>
    <w:rsid w:val="00FA5654"/>
    <w:rsid w:val="00FA74EB"/>
    <w:rsid w:val="00FA78FD"/>
    <w:rsid w:val="00FB11BE"/>
    <w:rsid w:val="00FB1357"/>
    <w:rsid w:val="00FB1B56"/>
    <w:rsid w:val="00FB27F1"/>
    <w:rsid w:val="00FB4C6F"/>
    <w:rsid w:val="00FB52A0"/>
    <w:rsid w:val="00FB76CC"/>
    <w:rsid w:val="00FC34DF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AA7"/>
    <w:rsid w:val="00FE3C5F"/>
    <w:rsid w:val="00FE401B"/>
    <w:rsid w:val="00FE4705"/>
    <w:rsid w:val="00FE557C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CE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C87EA7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1036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sid w:val="00E61036"/>
    <w:rPr>
      <w:snapToGrid w:val="0"/>
      <w:sz w:val="22"/>
      <w:lang w:val="en-GB"/>
    </w:rPr>
  </w:style>
  <w:style w:type="character" w:customStyle="1" w:styleId="HeaderChar">
    <w:name w:val="Header Char"/>
    <w:rsid w:val="00E61036"/>
    <w:rPr>
      <w:snapToGrid w:val="0"/>
      <w:sz w:val="22"/>
      <w:lang w:val="en-GB"/>
    </w:rPr>
  </w:style>
  <w:style w:type="character" w:styleId="slostrany">
    <w:name w:val="page number"/>
    <w:uiPriority w:val="99"/>
    <w:rsid w:val="00E61036"/>
    <w:rPr>
      <w:rFonts w:cs="Times New Roman"/>
    </w:rPr>
  </w:style>
  <w:style w:type="character" w:styleId="Hypertextovprepojenie">
    <w:name w:val="Hyperlink"/>
    <w:rsid w:val="00E61036"/>
    <w:rPr>
      <w:color w:val="0000FF"/>
      <w:u w:val="single"/>
    </w:rPr>
  </w:style>
  <w:style w:type="paragraph" w:customStyle="1" w:styleId="EMEAEnBodyText">
    <w:name w:val="EMEA En Body Text"/>
    <w:basedOn w:val="Normlny"/>
    <w:rsid w:val="00E6103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rsid w:val="00E61036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sid w:val="00E61036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rsid w:val="00E61036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E6103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E6103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61036"/>
    <w:rPr>
      <w:color w:val="0000FF"/>
    </w:rPr>
  </w:style>
  <w:style w:type="character" w:customStyle="1" w:styleId="tw4winPopup">
    <w:name w:val="tw4winPopup"/>
    <w:uiPriority w:val="99"/>
    <w:rsid w:val="00E6103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6103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6103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6103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61036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1E2B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A93"/>
    <w:rPr>
      <w:snapToGrid w:val="0"/>
      <w:sz w:val="22"/>
      <w:lang w:val="en-GB" w:eastAsia="en-US"/>
    </w:rPr>
  </w:style>
  <w:style w:type="character" w:customStyle="1" w:styleId="st1">
    <w:name w:val="st1"/>
    <w:basedOn w:val="Predvolenpsmoodseku"/>
    <w:rsid w:val="009608C4"/>
  </w:style>
  <w:style w:type="character" w:styleId="Zvraznenie">
    <w:name w:val="Emphasis"/>
    <w:uiPriority w:val="20"/>
    <w:qFormat/>
    <w:rsid w:val="009608C4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857CA3"/>
    <w:pPr>
      <w:ind w:left="720"/>
      <w:contextualSpacing/>
    </w:pPr>
  </w:style>
  <w:style w:type="paragraph" w:styleId="Zkladntext">
    <w:name w:val="Body Text"/>
    <w:basedOn w:val="Normlny"/>
    <w:link w:val="ZkladntextChar"/>
    <w:rsid w:val="000D33CD"/>
    <w:pPr>
      <w:tabs>
        <w:tab w:val="clear" w:pos="567"/>
      </w:tabs>
      <w:spacing w:line="240" w:lineRule="auto"/>
    </w:pPr>
    <w:rPr>
      <w:snapToGrid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0D33CD"/>
    <w:rPr>
      <w:sz w:val="22"/>
      <w:szCs w:val="24"/>
      <w:lang w:val="sk-SK" w:eastAsia="sk-SK"/>
    </w:rPr>
  </w:style>
  <w:style w:type="paragraph" w:customStyle="1" w:styleId="DocsubtitleAgency">
    <w:name w:val="Doc subtitle (Agency)"/>
    <w:basedOn w:val="Normlny"/>
    <w:next w:val="Normlny"/>
    <w:qFormat/>
    <w:rsid w:val="00C87EA7"/>
    <w:pPr>
      <w:tabs>
        <w:tab w:val="clear" w:pos="567"/>
      </w:tabs>
      <w:spacing w:after="640" w:line="360" w:lineRule="atLeast"/>
    </w:pPr>
    <w:rPr>
      <w:rFonts w:ascii="Verdana" w:eastAsia="Verdana" w:hAnsi="Verdana"/>
      <w:snapToGrid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742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8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904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04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735A3-9EF5-4A4B-BFEE-2D4D3336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3495</Words>
  <Characters>19928</Characters>
  <Application>Microsoft Office Word</Application>
  <DocSecurity>0</DocSecurity>
  <Lines>166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23377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Ševčeková Lucia</cp:lastModifiedBy>
  <cp:revision>3</cp:revision>
  <cp:lastPrinted>2014-11-20T07:06:00Z</cp:lastPrinted>
  <dcterms:created xsi:type="dcterms:W3CDTF">2018-06-14T10:30:00Z</dcterms:created>
  <dcterms:modified xsi:type="dcterms:W3CDTF">2018-06-14T10:30:00Z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