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2C" w:rsidRPr="00635F5B" w:rsidRDefault="0042642C" w:rsidP="0042642C">
      <w:pPr>
        <w:pStyle w:val="SPCnadpis"/>
        <w:rPr>
          <w:caps/>
          <w:lang w:val="sk-SK"/>
        </w:rPr>
      </w:pPr>
      <w:r w:rsidRPr="00635F5B">
        <w:rPr>
          <w:caps/>
          <w:lang w:val="sk-SK"/>
        </w:rPr>
        <w:t>Súhrn charakteristických vlastností lieku</w:t>
      </w:r>
    </w:p>
    <w:p w:rsidR="0042642C" w:rsidRPr="00635F5B" w:rsidRDefault="0042642C" w:rsidP="0055389B">
      <w:pPr>
        <w:pStyle w:val="Styl1"/>
        <w:numPr>
          <w:ilvl w:val="0"/>
          <w:numId w:val="1"/>
        </w:numPr>
        <w:spacing w:before="480"/>
        <w:ind w:left="357" w:hanging="357"/>
        <w:rPr>
          <w:lang w:val="sk-SK"/>
        </w:rPr>
      </w:pPr>
      <w:r w:rsidRPr="00635F5B">
        <w:rPr>
          <w:lang w:val="sk-SK"/>
        </w:rPr>
        <w:t>NÁZOV LIEKU</w:t>
      </w:r>
    </w:p>
    <w:p w:rsidR="0042642C" w:rsidRPr="00635F5B" w:rsidRDefault="0042642C" w:rsidP="0042642C">
      <w:pPr>
        <w:pStyle w:val="Normlndobloku"/>
        <w:rPr>
          <w:lang w:val="sk-SK"/>
        </w:rPr>
      </w:pPr>
      <w:r w:rsidRPr="00635F5B">
        <w:rPr>
          <w:lang w:val="sk-SK"/>
        </w:rPr>
        <w:t xml:space="preserve">SULCEF </w:t>
      </w:r>
      <w:smartTag w:uri="urn:schemas-microsoft-com:office:smarttags" w:element="metricconverter">
        <w:smartTagPr>
          <w:attr w:name="ProductID" w:val="2 g"/>
        </w:smartTagPr>
        <w:r w:rsidRPr="00635F5B">
          <w:rPr>
            <w:lang w:val="sk-SK"/>
          </w:rPr>
          <w:t>2 g</w:t>
        </w:r>
      </w:smartTag>
    </w:p>
    <w:p w:rsidR="0042642C" w:rsidRPr="00635F5B" w:rsidRDefault="0042642C" w:rsidP="0042642C">
      <w:pPr>
        <w:pStyle w:val="Normlndobloku"/>
        <w:rPr>
          <w:lang w:val="sk-SK"/>
        </w:rPr>
      </w:pPr>
      <w:r w:rsidRPr="00635F5B">
        <w:rPr>
          <w:lang w:val="sk-SK"/>
        </w:rPr>
        <w:t>prášok na injekčný/infúzny roztok</w:t>
      </w:r>
    </w:p>
    <w:p w:rsidR="0042642C" w:rsidRPr="00635F5B" w:rsidRDefault="0042642C" w:rsidP="0055389B">
      <w:pPr>
        <w:pStyle w:val="Styl1"/>
        <w:numPr>
          <w:ilvl w:val="0"/>
          <w:numId w:val="1"/>
        </w:numPr>
        <w:spacing w:before="480"/>
        <w:ind w:left="357" w:hanging="357"/>
        <w:rPr>
          <w:lang w:val="sk-SK"/>
        </w:rPr>
      </w:pPr>
      <w:r w:rsidRPr="00635F5B">
        <w:rPr>
          <w:lang w:val="sk-SK"/>
        </w:rPr>
        <w:t>KVALITATÍVNE A KVANTITATÍVNE ZLOŽENIE</w:t>
      </w:r>
    </w:p>
    <w:p w:rsidR="0042642C" w:rsidRPr="00635F5B" w:rsidRDefault="0042642C" w:rsidP="0042642C">
      <w:pPr>
        <w:pStyle w:val="Normlndobloku"/>
        <w:rPr>
          <w:lang w:val="sk-SK"/>
        </w:rPr>
      </w:pPr>
      <w:r w:rsidRPr="00635F5B">
        <w:rPr>
          <w:lang w:val="sk-SK"/>
        </w:rPr>
        <w:t xml:space="preserve">Jedna injekčná liekovka obsahuje 1 g </w:t>
      </w:r>
      <w:proofErr w:type="spellStart"/>
      <w:r w:rsidRPr="00635F5B">
        <w:rPr>
          <w:lang w:val="sk-SK"/>
        </w:rPr>
        <w:t>cefoperazónu</w:t>
      </w:r>
      <w:proofErr w:type="spellEnd"/>
      <w:r w:rsidRPr="00635F5B">
        <w:rPr>
          <w:lang w:val="sk-SK"/>
        </w:rPr>
        <w:t xml:space="preserve"> (ako </w:t>
      </w:r>
      <w:proofErr w:type="spellStart"/>
      <w:r w:rsidRPr="00635F5B">
        <w:rPr>
          <w:lang w:val="sk-SK"/>
        </w:rPr>
        <w:t>cefoperazón</w:t>
      </w:r>
      <w:proofErr w:type="spellEnd"/>
      <w:r w:rsidRPr="00635F5B">
        <w:rPr>
          <w:lang w:val="sk-SK"/>
        </w:rPr>
        <w:t xml:space="preserve">, sodná soľ) a 1 g </w:t>
      </w:r>
      <w:proofErr w:type="spellStart"/>
      <w:r w:rsidRPr="00635F5B">
        <w:rPr>
          <w:lang w:val="sk-SK"/>
        </w:rPr>
        <w:t>sulbaktámu</w:t>
      </w:r>
      <w:proofErr w:type="spellEnd"/>
      <w:r w:rsidRPr="00635F5B">
        <w:rPr>
          <w:lang w:val="sk-SK"/>
        </w:rPr>
        <w:t xml:space="preserve"> (ako </w:t>
      </w:r>
      <w:proofErr w:type="spellStart"/>
      <w:r w:rsidRPr="00635F5B">
        <w:rPr>
          <w:lang w:val="sk-SK"/>
        </w:rPr>
        <w:t>sulbaktám</w:t>
      </w:r>
      <w:proofErr w:type="spellEnd"/>
      <w:r w:rsidRPr="00635F5B">
        <w:rPr>
          <w:lang w:val="sk-SK"/>
        </w:rPr>
        <w:t>, sodná soľ).</w:t>
      </w:r>
    </w:p>
    <w:p w:rsidR="0042642C" w:rsidRPr="00635F5B" w:rsidRDefault="0042642C" w:rsidP="0042642C">
      <w:pPr>
        <w:pStyle w:val="Normlndobloku"/>
        <w:rPr>
          <w:lang w:val="sk-SK"/>
        </w:rPr>
      </w:pPr>
      <w:r w:rsidRPr="00635F5B">
        <w:rPr>
          <w:lang w:val="sk-SK"/>
        </w:rPr>
        <w:t xml:space="preserve">1 g </w:t>
      </w:r>
      <w:proofErr w:type="spellStart"/>
      <w:r w:rsidRPr="00635F5B">
        <w:rPr>
          <w:lang w:val="sk-SK"/>
        </w:rPr>
        <w:t>cefoperazónu</w:t>
      </w:r>
      <w:proofErr w:type="spellEnd"/>
      <w:r w:rsidRPr="00635F5B">
        <w:rPr>
          <w:lang w:val="sk-SK"/>
        </w:rPr>
        <w:t xml:space="preserve"> zodpovedá 1,034 g sodnej soli </w:t>
      </w:r>
      <w:proofErr w:type="spellStart"/>
      <w:r w:rsidRPr="00635F5B">
        <w:rPr>
          <w:lang w:val="sk-SK"/>
        </w:rPr>
        <w:t>cefoperazónu</w:t>
      </w:r>
      <w:proofErr w:type="spellEnd"/>
      <w:r w:rsidRPr="00635F5B">
        <w:rPr>
          <w:lang w:val="sk-SK"/>
        </w:rPr>
        <w:t>.</w:t>
      </w:r>
    </w:p>
    <w:p w:rsidR="0042642C" w:rsidRPr="00635F5B" w:rsidRDefault="0042642C" w:rsidP="0042642C">
      <w:pPr>
        <w:pStyle w:val="Normlndobloku"/>
        <w:rPr>
          <w:lang w:val="sk-SK"/>
        </w:rPr>
      </w:pPr>
      <w:r w:rsidRPr="00635F5B">
        <w:rPr>
          <w:lang w:val="sk-SK"/>
        </w:rPr>
        <w:t xml:space="preserve">1 g </w:t>
      </w:r>
      <w:proofErr w:type="spellStart"/>
      <w:r w:rsidRPr="00635F5B">
        <w:rPr>
          <w:lang w:val="sk-SK"/>
        </w:rPr>
        <w:t>sulbaktámu</w:t>
      </w:r>
      <w:proofErr w:type="spellEnd"/>
      <w:r w:rsidRPr="00635F5B">
        <w:rPr>
          <w:lang w:val="sk-SK"/>
        </w:rPr>
        <w:t xml:space="preserve"> zodpovedá 1,094 g sodnej soli </w:t>
      </w:r>
      <w:proofErr w:type="spellStart"/>
      <w:r w:rsidRPr="00635F5B">
        <w:rPr>
          <w:lang w:val="sk-SK"/>
        </w:rPr>
        <w:t>sulbaktámu</w:t>
      </w:r>
      <w:proofErr w:type="spellEnd"/>
      <w:r w:rsidRPr="00635F5B">
        <w:rPr>
          <w:lang w:val="sk-SK"/>
        </w:rPr>
        <w:t>.</w:t>
      </w:r>
    </w:p>
    <w:p w:rsidR="0042642C" w:rsidRPr="00635F5B" w:rsidRDefault="0042642C" w:rsidP="0042642C">
      <w:pPr>
        <w:pStyle w:val="Normlndobloku"/>
        <w:rPr>
          <w:lang w:val="sk-SK"/>
        </w:rPr>
      </w:pPr>
      <w:r w:rsidRPr="00635F5B">
        <w:rPr>
          <w:lang w:val="sk-SK"/>
        </w:rPr>
        <w:t>Jedna injekčná liekovka obsahuje 5,5 mmol (126 mg) sodíka.</w:t>
      </w:r>
    </w:p>
    <w:p w:rsidR="0042642C" w:rsidRPr="00635F5B" w:rsidRDefault="0042642C" w:rsidP="0042642C">
      <w:pPr>
        <w:pStyle w:val="Normlndobloku"/>
        <w:rPr>
          <w:lang w:val="sk-SK"/>
        </w:rPr>
      </w:pPr>
    </w:p>
    <w:p w:rsidR="0042642C" w:rsidRPr="00635F5B" w:rsidRDefault="0042642C" w:rsidP="0055389B">
      <w:pPr>
        <w:pStyle w:val="Styl1"/>
        <w:numPr>
          <w:ilvl w:val="0"/>
          <w:numId w:val="1"/>
        </w:numPr>
        <w:spacing w:before="480"/>
        <w:ind w:left="357" w:hanging="357"/>
        <w:rPr>
          <w:lang w:val="sk-SK"/>
        </w:rPr>
      </w:pPr>
      <w:r w:rsidRPr="00635F5B">
        <w:rPr>
          <w:lang w:val="sk-SK"/>
        </w:rPr>
        <w:t>LIEKOVÁ FORMA</w:t>
      </w:r>
    </w:p>
    <w:p w:rsidR="0042642C" w:rsidRPr="00635F5B" w:rsidRDefault="0042642C" w:rsidP="0042642C">
      <w:pPr>
        <w:pStyle w:val="Normlndobloku"/>
        <w:rPr>
          <w:lang w:val="sk-SK"/>
        </w:rPr>
      </w:pPr>
      <w:r w:rsidRPr="00635F5B">
        <w:rPr>
          <w:lang w:val="sk-SK"/>
        </w:rPr>
        <w:t>Prášok na injekčný/infúzny roztok</w:t>
      </w:r>
    </w:p>
    <w:p w:rsidR="0042642C" w:rsidRPr="00635F5B" w:rsidRDefault="0042642C" w:rsidP="0042642C">
      <w:pPr>
        <w:pStyle w:val="Normlndobloku"/>
        <w:rPr>
          <w:lang w:val="sk-SK"/>
        </w:rPr>
      </w:pPr>
      <w:r w:rsidRPr="00635F5B">
        <w:rPr>
          <w:lang w:val="sk-SK"/>
        </w:rPr>
        <w:t>Biely až takmer biely prášok</w:t>
      </w:r>
    </w:p>
    <w:p w:rsidR="0042642C" w:rsidRPr="00635F5B" w:rsidRDefault="0042642C" w:rsidP="0055389B">
      <w:pPr>
        <w:pStyle w:val="Styl1"/>
        <w:numPr>
          <w:ilvl w:val="0"/>
          <w:numId w:val="1"/>
        </w:numPr>
        <w:spacing w:before="480"/>
        <w:ind w:left="357" w:hanging="357"/>
        <w:rPr>
          <w:lang w:val="sk-SK"/>
        </w:rPr>
      </w:pPr>
      <w:r w:rsidRPr="00635F5B">
        <w:rPr>
          <w:lang w:val="sk-SK"/>
        </w:rPr>
        <w:t>KLINICKÉ ÚDAJE</w:t>
      </w:r>
    </w:p>
    <w:p w:rsidR="0042642C" w:rsidRPr="00635F5B" w:rsidRDefault="0042642C" w:rsidP="0055389B">
      <w:pPr>
        <w:pStyle w:val="Styl2"/>
        <w:numPr>
          <w:ilvl w:val="1"/>
          <w:numId w:val="1"/>
        </w:numPr>
        <w:spacing w:before="240"/>
        <w:ind w:left="0" w:firstLine="0"/>
        <w:rPr>
          <w:lang w:val="sk-SK"/>
        </w:rPr>
      </w:pPr>
      <w:r w:rsidRPr="00635F5B">
        <w:rPr>
          <w:lang w:val="sk-SK"/>
        </w:rPr>
        <w:t>Terapeutické indikácie</w:t>
      </w:r>
    </w:p>
    <w:p w:rsidR="0042642C" w:rsidRPr="00635F5B" w:rsidRDefault="0042642C" w:rsidP="009A4807">
      <w:pPr>
        <w:pStyle w:val="Styl3"/>
      </w:pPr>
      <w:r w:rsidRPr="00635F5B">
        <w:t>Monoterapia</w:t>
      </w:r>
    </w:p>
    <w:p w:rsidR="0042642C" w:rsidRPr="00635F5B" w:rsidRDefault="0042642C" w:rsidP="0042642C">
      <w:pPr>
        <w:pStyle w:val="Normlndobloku"/>
        <w:rPr>
          <w:lang w:val="sk-SK"/>
        </w:rPr>
      </w:pPr>
      <w:r w:rsidRPr="00635F5B">
        <w:rPr>
          <w:lang w:val="sk-SK"/>
        </w:rPr>
        <w:t>SULCEF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je indikovaný na liečbu nasledujúcich infekcií vyvolaných citlivými mikroorganizmami:</w:t>
      </w:r>
    </w:p>
    <w:p w:rsidR="0042642C" w:rsidRPr="00635F5B" w:rsidRDefault="0042642C" w:rsidP="0042642C">
      <w:pPr>
        <w:pStyle w:val="Normlndoblokusodrkami"/>
      </w:pPr>
      <w:r w:rsidRPr="00635F5B">
        <w:t>infekcie dýchacích ciest (horných a dolných)</w:t>
      </w:r>
    </w:p>
    <w:p w:rsidR="0042642C" w:rsidRPr="00635F5B" w:rsidRDefault="0042642C" w:rsidP="0042642C">
      <w:pPr>
        <w:pStyle w:val="Normlndoblokusodrkami"/>
      </w:pPr>
      <w:r w:rsidRPr="00635F5B">
        <w:t>infekcie močových ciest (horných a dolných)</w:t>
      </w:r>
    </w:p>
    <w:p w:rsidR="0042642C" w:rsidRPr="00635F5B" w:rsidRDefault="0042642C" w:rsidP="0042642C">
      <w:pPr>
        <w:pStyle w:val="Normlndoblokusodrkami"/>
      </w:pPr>
      <w:proofErr w:type="spellStart"/>
      <w:r w:rsidRPr="00635F5B">
        <w:t>peritonitída</w:t>
      </w:r>
      <w:proofErr w:type="spellEnd"/>
      <w:r w:rsidRPr="00635F5B">
        <w:t xml:space="preserve">, </w:t>
      </w:r>
      <w:proofErr w:type="spellStart"/>
      <w:r w:rsidRPr="00635F5B">
        <w:t>cholecystitída</w:t>
      </w:r>
      <w:proofErr w:type="spellEnd"/>
      <w:r w:rsidRPr="00635F5B">
        <w:t xml:space="preserve">, </w:t>
      </w:r>
      <w:proofErr w:type="spellStart"/>
      <w:r w:rsidRPr="00635F5B">
        <w:t>cholangoitídy</w:t>
      </w:r>
      <w:proofErr w:type="spellEnd"/>
      <w:r w:rsidRPr="00635F5B">
        <w:t xml:space="preserve"> a iné </w:t>
      </w:r>
      <w:proofErr w:type="spellStart"/>
      <w:r w:rsidRPr="00635F5B">
        <w:t>intraabdominálne</w:t>
      </w:r>
      <w:proofErr w:type="spellEnd"/>
      <w:r w:rsidRPr="00635F5B">
        <w:t xml:space="preserve"> infekcie</w:t>
      </w:r>
    </w:p>
    <w:p w:rsidR="0042642C" w:rsidRPr="00635F5B" w:rsidRDefault="0042642C" w:rsidP="0042642C">
      <w:pPr>
        <w:pStyle w:val="Normlndoblokusodrkami"/>
      </w:pPr>
      <w:r w:rsidRPr="00635F5B">
        <w:t>septické stavy</w:t>
      </w:r>
    </w:p>
    <w:p w:rsidR="0042642C" w:rsidRPr="00635F5B" w:rsidRDefault="0042642C" w:rsidP="0042642C">
      <w:pPr>
        <w:pStyle w:val="Normlndoblokusodrkami"/>
      </w:pPr>
      <w:r w:rsidRPr="00635F5B">
        <w:t>meningitídy</w:t>
      </w:r>
    </w:p>
    <w:p w:rsidR="0042642C" w:rsidRPr="00635F5B" w:rsidRDefault="0042642C" w:rsidP="0042642C">
      <w:pPr>
        <w:pStyle w:val="Normlndoblokusodrkami"/>
      </w:pPr>
      <w:r w:rsidRPr="00635F5B">
        <w:t>infekcie kože a mäkkých tkanív</w:t>
      </w:r>
    </w:p>
    <w:p w:rsidR="0042642C" w:rsidRPr="00635F5B" w:rsidRDefault="0042642C" w:rsidP="0042642C">
      <w:pPr>
        <w:pStyle w:val="Normlndoblokusodrkami"/>
      </w:pPr>
      <w:r w:rsidRPr="00635F5B">
        <w:t>infekcie kostí a kĺbov</w:t>
      </w:r>
    </w:p>
    <w:p w:rsidR="0042642C" w:rsidRPr="00635F5B" w:rsidRDefault="0042642C" w:rsidP="0042642C">
      <w:pPr>
        <w:pStyle w:val="Normlndoblokusodrkami"/>
      </w:pPr>
      <w:r w:rsidRPr="00635F5B">
        <w:t xml:space="preserve">zápalové ochorenia malej panvy, </w:t>
      </w:r>
      <w:proofErr w:type="spellStart"/>
      <w:r w:rsidRPr="00635F5B">
        <w:t>endometritídy</w:t>
      </w:r>
      <w:proofErr w:type="spellEnd"/>
      <w:r w:rsidRPr="00635F5B">
        <w:t>, kvapavka a iné infekcie pohlavných orgánov</w:t>
      </w:r>
    </w:p>
    <w:p w:rsidR="0042642C" w:rsidRPr="00635F5B" w:rsidRDefault="0042642C" w:rsidP="009A4807">
      <w:pPr>
        <w:pStyle w:val="Styl3"/>
      </w:pPr>
      <w:r w:rsidRPr="00635F5B">
        <w:t>Kombinovaná terapia</w:t>
      </w:r>
    </w:p>
    <w:p w:rsidR="0042642C" w:rsidRPr="00635F5B" w:rsidRDefault="0042642C" w:rsidP="0042642C">
      <w:pPr>
        <w:pStyle w:val="Normlndobloku"/>
        <w:rPr>
          <w:lang w:val="sk-SK"/>
        </w:rPr>
      </w:pPr>
      <w:r w:rsidRPr="00635F5B">
        <w:rPr>
          <w:lang w:val="sk-SK"/>
        </w:rPr>
        <w:t xml:space="preserve">Vzhľadom na široké spektrum účinku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môže byť väčšina infekcií adekvátne liečená týmto antibiotikom formou monoterapie. Avšak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možno podávať súčasne aj s inými antibiotikami, ak je takáto kombinácia indikovaná. Ak sa súčasne podávajú aj </w:t>
      </w:r>
      <w:proofErr w:type="spellStart"/>
      <w:r w:rsidRPr="00635F5B">
        <w:rPr>
          <w:lang w:val="sk-SK"/>
        </w:rPr>
        <w:t>aminoglykozidy</w:t>
      </w:r>
      <w:proofErr w:type="spellEnd"/>
      <w:r w:rsidRPr="00635F5B">
        <w:rPr>
          <w:lang w:val="sk-SK"/>
        </w:rPr>
        <w:t xml:space="preserve"> (pozri časť 6.2, </w:t>
      </w:r>
      <w:proofErr w:type="spellStart"/>
      <w:r w:rsidRPr="00635F5B">
        <w:rPr>
          <w:i/>
          <w:lang w:val="sk-SK"/>
        </w:rPr>
        <w:t>Aminoglykozidy</w:t>
      </w:r>
      <w:proofErr w:type="spellEnd"/>
      <w:r w:rsidRPr="00635F5B">
        <w:rPr>
          <w:lang w:val="sk-SK"/>
        </w:rPr>
        <w:t>), treba počas liečby sledovať funkcie obličiek (pozri časť 4.2, Porucha funkcie obličiek).</w:t>
      </w:r>
    </w:p>
    <w:p w:rsidR="0042642C" w:rsidRPr="00635F5B" w:rsidRDefault="0042642C" w:rsidP="0042642C">
      <w:pPr>
        <w:pStyle w:val="Normlndobloku"/>
        <w:rPr>
          <w:lang w:val="sk-SK"/>
        </w:rPr>
      </w:pPr>
      <w:r w:rsidRPr="00635F5B">
        <w:rPr>
          <w:lang w:val="sk-SK"/>
        </w:rPr>
        <w:t>Je potrebné vziať do úvahy oficiálne usmernenie pre náležité používanie antibakteriálnych liekov.</w:t>
      </w:r>
    </w:p>
    <w:p w:rsidR="0042642C" w:rsidRPr="00635F5B" w:rsidRDefault="0042642C" w:rsidP="0055389B">
      <w:pPr>
        <w:pStyle w:val="Styl2"/>
        <w:numPr>
          <w:ilvl w:val="1"/>
          <w:numId w:val="1"/>
        </w:numPr>
        <w:spacing w:before="240"/>
        <w:ind w:left="0" w:firstLine="0"/>
        <w:rPr>
          <w:lang w:val="sk-SK"/>
        </w:rPr>
      </w:pPr>
      <w:r w:rsidRPr="00635F5B">
        <w:rPr>
          <w:lang w:val="sk-SK"/>
        </w:rPr>
        <w:lastRenderedPageBreak/>
        <w:t>Dávkovanie a spôsob podávania</w:t>
      </w:r>
    </w:p>
    <w:p w:rsidR="0042642C" w:rsidRPr="00635F5B" w:rsidRDefault="0042642C" w:rsidP="009A4807">
      <w:pPr>
        <w:pStyle w:val="Styl3"/>
      </w:pPr>
      <w:r w:rsidRPr="00635F5B">
        <w:t>Dávkovanie</w:t>
      </w:r>
    </w:p>
    <w:p w:rsidR="0042642C" w:rsidRPr="00635F5B" w:rsidRDefault="0042642C" w:rsidP="009A4807">
      <w:pPr>
        <w:pStyle w:val="Styl3"/>
      </w:pPr>
      <w:r w:rsidRPr="00635F5B">
        <w:t>Použitie u dospelých</w:t>
      </w:r>
    </w:p>
    <w:p w:rsidR="0042642C" w:rsidRPr="00635F5B" w:rsidRDefault="0042642C" w:rsidP="0042642C">
      <w:pPr>
        <w:pStyle w:val="Normlndobloku"/>
        <w:rPr>
          <w:lang w:val="sk-SK"/>
        </w:rPr>
      </w:pPr>
      <w:r w:rsidRPr="00635F5B">
        <w:rPr>
          <w:lang w:val="sk-SK"/>
        </w:rPr>
        <w:t>Denné odporúčané dávky pre dospelých sú:</w:t>
      </w:r>
    </w:p>
    <w:tbl>
      <w:tblPr>
        <w:tblpPr w:leftFromText="142" w:rightFromText="142" w:bottomFromText="284"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697"/>
        <w:gridCol w:w="2523"/>
        <w:gridCol w:w="2083"/>
      </w:tblGrid>
      <w:tr w:rsidR="004779E8" w:rsidRPr="00635F5B" w:rsidTr="0055389B">
        <w:tc>
          <w:tcPr>
            <w:tcW w:w="1800" w:type="dxa"/>
          </w:tcPr>
          <w:p w:rsidR="0042642C" w:rsidRPr="00635F5B" w:rsidRDefault="0042642C" w:rsidP="0042642C">
            <w:pPr>
              <w:pStyle w:val="Normlndobloku"/>
              <w:rPr>
                <w:lang w:val="sk-SK"/>
              </w:rPr>
            </w:pPr>
            <w:r w:rsidRPr="00635F5B">
              <w:rPr>
                <w:lang w:val="sk-SK"/>
              </w:rPr>
              <w:t>Celková dávka (g)</w:t>
            </w:r>
          </w:p>
        </w:tc>
        <w:tc>
          <w:tcPr>
            <w:tcW w:w="2697" w:type="dxa"/>
          </w:tcPr>
          <w:p w:rsidR="0042642C" w:rsidRPr="00635F5B" w:rsidRDefault="0042642C" w:rsidP="0042642C">
            <w:pPr>
              <w:pStyle w:val="Normlndobloku"/>
              <w:rPr>
                <w:lang w:val="sk-SK"/>
              </w:rPr>
            </w:pPr>
            <w:r w:rsidRPr="00635F5B">
              <w:rPr>
                <w:lang w:val="sk-SK"/>
              </w:rPr>
              <w:t xml:space="preserve">Ekvivalent dávky </w:t>
            </w:r>
            <w:proofErr w:type="spellStart"/>
            <w:r w:rsidRPr="00635F5B">
              <w:rPr>
                <w:lang w:val="sk-SK"/>
              </w:rPr>
              <w:t>sulbaktámu</w:t>
            </w:r>
            <w:proofErr w:type="spellEnd"/>
            <w:r w:rsidRPr="00635F5B">
              <w:rPr>
                <w:lang w:val="sk-SK"/>
              </w:rPr>
              <w:t xml:space="preserve"> + </w:t>
            </w:r>
            <w:proofErr w:type="spellStart"/>
            <w:r w:rsidRPr="00635F5B">
              <w:rPr>
                <w:lang w:val="sk-SK"/>
              </w:rPr>
              <w:t>cefoperazónu</w:t>
            </w:r>
            <w:proofErr w:type="spellEnd"/>
          </w:p>
        </w:tc>
        <w:tc>
          <w:tcPr>
            <w:tcW w:w="2523" w:type="dxa"/>
          </w:tcPr>
          <w:p w:rsidR="0042642C" w:rsidRPr="00635F5B" w:rsidRDefault="0042642C" w:rsidP="0042642C">
            <w:pPr>
              <w:pStyle w:val="Normlndobloku"/>
              <w:rPr>
                <w:lang w:val="sk-SK"/>
              </w:rPr>
            </w:pPr>
            <w:r w:rsidRPr="00635F5B">
              <w:rPr>
                <w:lang w:val="sk-SK"/>
              </w:rPr>
              <w:t>Celkový objem pripraveného roztoku (ml)</w:t>
            </w:r>
          </w:p>
        </w:tc>
        <w:tc>
          <w:tcPr>
            <w:tcW w:w="2083" w:type="dxa"/>
          </w:tcPr>
          <w:p w:rsidR="0042642C" w:rsidRPr="00635F5B" w:rsidRDefault="0042642C" w:rsidP="0042642C">
            <w:pPr>
              <w:pStyle w:val="Normlndobloku"/>
              <w:rPr>
                <w:lang w:val="sk-SK"/>
              </w:rPr>
            </w:pPr>
            <w:r w:rsidRPr="00635F5B">
              <w:rPr>
                <w:lang w:val="sk-SK"/>
              </w:rPr>
              <w:t>Maximálna konečná koncentrácia (mg/ml)</w:t>
            </w:r>
          </w:p>
        </w:tc>
      </w:tr>
      <w:tr w:rsidR="004779E8" w:rsidRPr="00635F5B" w:rsidTr="0055389B">
        <w:tc>
          <w:tcPr>
            <w:tcW w:w="1800" w:type="dxa"/>
          </w:tcPr>
          <w:p w:rsidR="0042642C" w:rsidRPr="00635F5B" w:rsidRDefault="0042642C" w:rsidP="0042642C">
            <w:pPr>
              <w:pStyle w:val="Normlndobloku"/>
              <w:rPr>
                <w:lang w:val="sk-SK"/>
              </w:rPr>
            </w:pPr>
            <w:r w:rsidRPr="00635F5B">
              <w:rPr>
                <w:lang w:val="sk-SK"/>
              </w:rPr>
              <w:t>2,0</w:t>
            </w:r>
          </w:p>
        </w:tc>
        <w:tc>
          <w:tcPr>
            <w:tcW w:w="2697" w:type="dxa"/>
          </w:tcPr>
          <w:p w:rsidR="0042642C" w:rsidRPr="00635F5B" w:rsidRDefault="0042642C" w:rsidP="0042642C">
            <w:pPr>
              <w:pStyle w:val="Normlndobloku"/>
              <w:rPr>
                <w:lang w:val="sk-SK"/>
              </w:rPr>
            </w:pPr>
            <w:r w:rsidRPr="00635F5B">
              <w:rPr>
                <w:lang w:val="sk-SK"/>
              </w:rPr>
              <w:t>1,0 + 1,0</w:t>
            </w:r>
          </w:p>
        </w:tc>
        <w:tc>
          <w:tcPr>
            <w:tcW w:w="2523" w:type="dxa"/>
          </w:tcPr>
          <w:p w:rsidR="0042642C" w:rsidRPr="00635F5B" w:rsidRDefault="0042642C" w:rsidP="0042642C">
            <w:pPr>
              <w:pStyle w:val="Normlndobloku"/>
              <w:rPr>
                <w:lang w:val="sk-SK"/>
              </w:rPr>
            </w:pPr>
            <w:r w:rsidRPr="00635F5B">
              <w:rPr>
                <w:lang w:val="sk-SK"/>
              </w:rPr>
              <w:t>8,0</w:t>
            </w:r>
          </w:p>
        </w:tc>
        <w:tc>
          <w:tcPr>
            <w:tcW w:w="2083" w:type="dxa"/>
          </w:tcPr>
          <w:p w:rsidR="0042642C" w:rsidRPr="00635F5B" w:rsidRDefault="0042642C" w:rsidP="0042642C">
            <w:pPr>
              <w:pStyle w:val="Normlndobloku"/>
              <w:rPr>
                <w:lang w:val="sk-SK"/>
              </w:rPr>
            </w:pPr>
            <w:r w:rsidRPr="00635F5B">
              <w:rPr>
                <w:lang w:val="sk-SK"/>
              </w:rPr>
              <w:t>125 + 125</w:t>
            </w:r>
          </w:p>
        </w:tc>
      </w:tr>
    </w:tbl>
    <w:p w:rsidR="0042642C" w:rsidRPr="00635F5B" w:rsidRDefault="0042642C" w:rsidP="0042642C">
      <w:pPr>
        <w:pStyle w:val="Normlndobloku"/>
        <w:rPr>
          <w:lang w:val="sk-SK"/>
        </w:rPr>
      </w:pPr>
      <w:r w:rsidRPr="00635F5B">
        <w:rPr>
          <w:lang w:val="sk-SK"/>
        </w:rPr>
        <w:t xml:space="preserve">Zvyčajná dávka lieku SULCEF pre dospelých je 2,0 – 4,0 g/deň (t.j. ekvivalent dennej aktivity 1 – 2 g </w:t>
      </w:r>
      <w:proofErr w:type="spellStart"/>
      <w:r w:rsidRPr="00635F5B">
        <w:rPr>
          <w:lang w:val="sk-SK"/>
        </w:rPr>
        <w:t>cefoperazónu</w:t>
      </w:r>
      <w:proofErr w:type="spellEnd"/>
      <w:r w:rsidRPr="00635F5B">
        <w:rPr>
          <w:lang w:val="sk-SK"/>
        </w:rPr>
        <w:t xml:space="preserve">), podávaných intravenózne alebo </w:t>
      </w:r>
      <w:proofErr w:type="spellStart"/>
      <w:r w:rsidRPr="00635F5B">
        <w:rPr>
          <w:lang w:val="sk-SK"/>
        </w:rPr>
        <w:t>intramuskulárne</w:t>
      </w:r>
      <w:proofErr w:type="spellEnd"/>
      <w:r w:rsidRPr="00635F5B">
        <w:rPr>
          <w:lang w:val="sk-SK"/>
        </w:rPr>
        <w:t xml:space="preserve"> v rovnomerne rozdelených dávkach v intervale 12 hodín.</w:t>
      </w:r>
    </w:p>
    <w:p w:rsidR="0042642C" w:rsidRPr="00635F5B" w:rsidRDefault="0042642C" w:rsidP="0042642C">
      <w:pPr>
        <w:pStyle w:val="Normlndobloku"/>
        <w:rPr>
          <w:lang w:val="sk-SK"/>
        </w:rPr>
      </w:pPr>
      <w:r w:rsidRPr="00635F5B">
        <w:rPr>
          <w:lang w:val="sk-SK"/>
        </w:rPr>
        <w:t xml:space="preserve">Pri ťažkých infekciách nedostatočne reagujúcich na bežné dávkovanie sa môže zvýšiť denná dávka až na 8  g (1:1)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(čo zodpovedá podaniu 4 g </w:t>
      </w:r>
      <w:proofErr w:type="spellStart"/>
      <w:r w:rsidRPr="00635F5B">
        <w:rPr>
          <w:lang w:val="sk-SK"/>
        </w:rPr>
        <w:t>cefoperazónu</w:t>
      </w:r>
      <w:proofErr w:type="spellEnd"/>
      <w:r w:rsidRPr="00635F5B">
        <w:rPr>
          <w:lang w:val="sk-SK"/>
        </w:rPr>
        <w:t xml:space="preserve">) podávaných intravenózne v rovnakých čiastkových dávkach po šiestich alebo dvanástich hodinách. Pacienti užívajúci liek s obsahom liečiv v pomere 1:1, môžu dostávať ešte zvlášť dávku </w:t>
      </w:r>
      <w:proofErr w:type="spellStart"/>
      <w:r w:rsidRPr="00635F5B">
        <w:rPr>
          <w:lang w:val="sk-SK"/>
        </w:rPr>
        <w:t>cefoperazónu</w:t>
      </w:r>
      <w:proofErr w:type="spellEnd"/>
      <w:r w:rsidRPr="00635F5B">
        <w:rPr>
          <w:lang w:val="sk-SK"/>
        </w:rPr>
        <w:t xml:space="preserve">. Odporučená maximálna denná dávka </w:t>
      </w:r>
      <w:proofErr w:type="spellStart"/>
      <w:r w:rsidRPr="00635F5B">
        <w:rPr>
          <w:lang w:val="sk-SK"/>
        </w:rPr>
        <w:t>sulbaktámu</w:t>
      </w:r>
      <w:proofErr w:type="spellEnd"/>
      <w:r w:rsidRPr="00635F5B">
        <w:rPr>
          <w:lang w:val="sk-SK"/>
        </w:rPr>
        <w:t xml:space="preserve"> je 4 g (zodpovedá dávke 8 g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w:t>
      </w:r>
    </w:p>
    <w:p w:rsidR="0042642C" w:rsidRPr="00635F5B" w:rsidRDefault="0042642C" w:rsidP="009A4807">
      <w:pPr>
        <w:pStyle w:val="Styl3"/>
      </w:pPr>
      <w:r w:rsidRPr="00635F5B">
        <w:t>Porucha funkcie pečene</w:t>
      </w:r>
    </w:p>
    <w:p w:rsidR="0042642C" w:rsidRPr="00635F5B" w:rsidRDefault="0042642C" w:rsidP="0042642C">
      <w:pPr>
        <w:pStyle w:val="Normlndobloku"/>
        <w:rPr>
          <w:lang w:val="sk-SK"/>
        </w:rPr>
      </w:pPr>
      <w:r w:rsidRPr="00635F5B">
        <w:rPr>
          <w:lang w:val="sk-SK"/>
        </w:rPr>
        <w:t>Pozri časť 4.4.</w:t>
      </w:r>
    </w:p>
    <w:p w:rsidR="0042642C" w:rsidRPr="00635F5B" w:rsidRDefault="0042642C" w:rsidP="009A4807">
      <w:pPr>
        <w:pStyle w:val="Styl3"/>
      </w:pPr>
      <w:r w:rsidRPr="00635F5B">
        <w:t>Porucha funkcie obličiek</w:t>
      </w:r>
    </w:p>
    <w:p w:rsidR="0042642C" w:rsidRPr="00635F5B" w:rsidRDefault="0042642C" w:rsidP="0042642C">
      <w:pPr>
        <w:pStyle w:val="Normlndobloku"/>
        <w:rPr>
          <w:lang w:val="sk-SK"/>
        </w:rPr>
      </w:pPr>
      <w:r w:rsidRPr="00635F5B">
        <w:rPr>
          <w:lang w:val="sk-SK"/>
        </w:rPr>
        <w:t xml:space="preserve">Dávkovací režim lieku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je potrebné upraviť u pacientov s významným poklesom obličkových funkcií (</w:t>
      </w:r>
      <w:proofErr w:type="spellStart"/>
      <w:r w:rsidRPr="00635F5B">
        <w:rPr>
          <w:lang w:val="sk-SK"/>
        </w:rPr>
        <w:t>klírens</w:t>
      </w:r>
      <w:proofErr w:type="spellEnd"/>
      <w:r w:rsidRPr="00635F5B">
        <w:rPr>
          <w:lang w:val="sk-SK"/>
        </w:rPr>
        <w:t xml:space="preserve"> </w:t>
      </w:r>
      <w:proofErr w:type="spellStart"/>
      <w:r w:rsidRPr="00635F5B">
        <w:rPr>
          <w:lang w:val="sk-SK"/>
        </w:rPr>
        <w:t>kreatinínu</w:t>
      </w:r>
      <w:proofErr w:type="spellEnd"/>
      <w:r w:rsidRPr="00635F5B">
        <w:rPr>
          <w:lang w:val="sk-SK"/>
        </w:rPr>
        <w:t xml:space="preserve"> nižší ako 30 ml/min), aby sa zohľadnil znížený </w:t>
      </w:r>
      <w:proofErr w:type="spellStart"/>
      <w:r w:rsidRPr="00635F5B">
        <w:rPr>
          <w:lang w:val="sk-SK"/>
        </w:rPr>
        <w:t>klírens</w:t>
      </w:r>
      <w:proofErr w:type="spellEnd"/>
      <w:r w:rsidRPr="00635F5B">
        <w:rPr>
          <w:lang w:val="sk-SK"/>
        </w:rPr>
        <w:t xml:space="preserve"> </w:t>
      </w:r>
      <w:proofErr w:type="spellStart"/>
      <w:r w:rsidRPr="00635F5B">
        <w:rPr>
          <w:lang w:val="sk-SK"/>
        </w:rPr>
        <w:t>sulbaktámu</w:t>
      </w:r>
      <w:proofErr w:type="spellEnd"/>
      <w:r w:rsidRPr="00635F5B">
        <w:rPr>
          <w:lang w:val="sk-SK"/>
        </w:rPr>
        <w:t>. Pacientom s </w:t>
      </w:r>
      <w:proofErr w:type="spellStart"/>
      <w:r w:rsidRPr="00635F5B">
        <w:rPr>
          <w:lang w:val="sk-SK"/>
        </w:rPr>
        <w:t>klírensom</w:t>
      </w:r>
      <w:proofErr w:type="spellEnd"/>
      <w:r w:rsidRPr="00635F5B">
        <w:rPr>
          <w:lang w:val="sk-SK"/>
        </w:rPr>
        <w:t xml:space="preserve"> </w:t>
      </w:r>
      <w:proofErr w:type="spellStart"/>
      <w:r w:rsidRPr="00635F5B">
        <w:rPr>
          <w:lang w:val="sk-SK"/>
        </w:rPr>
        <w:t>kreatinínu</w:t>
      </w:r>
      <w:proofErr w:type="spellEnd"/>
      <w:r w:rsidRPr="00635F5B">
        <w:rPr>
          <w:lang w:val="sk-SK"/>
        </w:rPr>
        <w:t xml:space="preserve"> v rozmedzí 15 – 30 ml/min sa má podávať </w:t>
      </w:r>
      <w:proofErr w:type="spellStart"/>
      <w:r w:rsidRPr="00635F5B">
        <w:rPr>
          <w:lang w:val="sk-SK"/>
        </w:rPr>
        <w:t>sulbaktám</w:t>
      </w:r>
      <w:proofErr w:type="spellEnd"/>
      <w:r w:rsidRPr="00635F5B">
        <w:rPr>
          <w:lang w:val="sk-SK"/>
        </w:rPr>
        <w:t xml:space="preserve"> v maximálnej dávke </w:t>
      </w:r>
      <w:smartTag w:uri="urn:schemas-microsoft-com:office:smarttags" w:element="metricconverter">
        <w:smartTagPr>
          <w:attr w:name="ProductID" w:val="1ﾠg"/>
        </w:smartTagPr>
        <w:r w:rsidRPr="00635F5B">
          <w:rPr>
            <w:lang w:val="sk-SK"/>
          </w:rPr>
          <w:t>1 g</w:t>
        </w:r>
      </w:smartTag>
      <w:r w:rsidRPr="00635F5B">
        <w:rPr>
          <w:lang w:val="sk-SK"/>
        </w:rPr>
        <w:t xml:space="preserve"> každých 12 hodín (maximálna denná dávka </w:t>
      </w:r>
      <w:proofErr w:type="spellStart"/>
      <w:r w:rsidRPr="00635F5B">
        <w:rPr>
          <w:lang w:val="sk-SK"/>
        </w:rPr>
        <w:t>sulbaktámu</w:t>
      </w:r>
      <w:proofErr w:type="spellEnd"/>
      <w:r w:rsidRPr="00635F5B">
        <w:rPr>
          <w:lang w:val="sk-SK"/>
        </w:rPr>
        <w:t xml:space="preserve"> </w:t>
      </w:r>
      <w:smartTag w:uri="urn:schemas-microsoft-com:office:smarttags" w:element="metricconverter">
        <w:smartTagPr>
          <w:attr w:name="ProductID" w:val="pc誦ଛĀ．潄畣敭瑮3詛ଛĀ（ƨ̔ƨ̔킼2詜ଛĠ（䵌䵅બշ詑ଛţ（䵌䵅઴շ7詒ଛŌ（az1ﾠg詗ଛP（q楆敬䠀䙐䩄〲0詈ଛn（tn佐呒䅒呉倀灡詍ଛz（w䕔R敒潳畬楴湯詎ଛ0（z䵐倀慬湩潎浲污詃ଛr"/>
        </w:smartTagPr>
        <w:r w:rsidRPr="00635F5B">
          <w:rPr>
            <w:lang w:val="sk-SK"/>
          </w:rPr>
          <w:t>2 g</w:t>
        </w:r>
      </w:smartTag>
      <w:r w:rsidRPr="00635F5B">
        <w:rPr>
          <w:lang w:val="sk-SK"/>
        </w:rPr>
        <w:t>), zatiaľ čo pacientom s </w:t>
      </w:r>
      <w:proofErr w:type="spellStart"/>
      <w:r w:rsidRPr="00635F5B">
        <w:rPr>
          <w:lang w:val="sk-SK"/>
        </w:rPr>
        <w:t>klírensom</w:t>
      </w:r>
      <w:proofErr w:type="spellEnd"/>
      <w:r w:rsidRPr="00635F5B">
        <w:rPr>
          <w:lang w:val="sk-SK"/>
        </w:rPr>
        <w:t xml:space="preserve"> </w:t>
      </w:r>
      <w:proofErr w:type="spellStart"/>
      <w:r w:rsidRPr="00635F5B">
        <w:rPr>
          <w:lang w:val="sk-SK"/>
        </w:rPr>
        <w:t>kreatinínu</w:t>
      </w:r>
      <w:proofErr w:type="spellEnd"/>
      <w:r w:rsidRPr="00635F5B">
        <w:rPr>
          <w:lang w:val="sk-SK"/>
        </w:rPr>
        <w:t xml:space="preserve"> nižším ako 15 ml/min sa má podávať maximálne 500 mg </w:t>
      </w:r>
      <w:proofErr w:type="spellStart"/>
      <w:r w:rsidRPr="00635F5B">
        <w:rPr>
          <w:lang w:val="sk-SK"/>
        </w:rPr>
        <w:t>sulbaktámu</w:t>
      </w:r>
      <w:proofErr w:type="spellEnd"/>
      <w:r w:rsidRPr="00635F5B">
        <w:rPr>
          <w:lang w:val="sk-SK"/>
        </w:rPr>
        <w:t xml:space="preserve"> každých 12 hodín (maximálna denná dávka </w:t>
      </w:r>
      <w:proofErr w:type="spellStart"/>
      <w:r w:rsidRPr="00635F5B">
        <w:rPr>
          <w:lang w:val="sk-SK"/>
        </w:rPr>
        <w:t>sulbaktámu</w:t>
      </w:r>
      <w:proofErr w:type="spellEnd"/>
      <w:r w:rsidRPr="00635F5B">
        <w:rPr>
          <w:lang w:val="sk-SK"/>
        </w:rPr>
        <w:t xml:space="preserve"> </w:t>
      </w:r>
      <w:smartTag w:uri="urn:schemas-microsoft-com:office:smarttags" w:element="metricconverter">
        <w:smartTagPr>
          <w:attr w:name="ProductID" w:val="1ﾠg"/>
        </w:smartTagPr>
        <w:r w:rsidRPr="00635F5B">
          <w:rPr>
            <w:lang w:val="sk-SK"/>
          </w:rPr>
          <w:t>1 g</w:t>
        </w:r>
      </w:smartTag>
      <w:r w:rsidRPr="00635F5B">
        <w:rPr>
          <w:lang w:val="sk-SK"/>
        </w:rPr>
        <w:t xml:space="preserve">). Pri ťažších infekciách môže byť v niektorých prípadoch nutné podať </w:t>
      </w:r>
      <w:proofErr w:type="spellStart"/>
      <w:r w:rsidRPr="00635F5B">
        <w:rPr>
          <w:lang w:val="sk-SK"/>
        </w:rPr>
        <w:t>naviac</w:t>
      </w:r>
      <w:proofErr w:type="spellEnd"/>
      <w:r w:rsidRPr="00635F5B">
        <w:rPr>
          <w:lang w:val="sk-SK"/>
        </w:rPr>
        <w:t xml:space="preserve"> samotný </w:t>
      </w:r>
      <w:proofErr w:type="spellStart"/>
      <w:r w:rsidRPr="00635F5B">
        <w:rPr>
          <w:lang w:val="sk-SK"/>
        </w:rPr>
        <w:t>cefoperazón</w:t>
      </w:r>
      <w:proofErr w:type="spellEnd"/>
      <w:r w:rsidRPr="00635F5B">
        <w:rPr>
          <w:lang w:val="sk-SK"/>
        </w:rPr>
        <w:t>.</w:t>
      </w:r>
    </w:p>
    <w:p w:rsidR="0042642C" w:rsidRPr="00635F5B" w:rsidRDefault="0042642C" w:rsidP="0042642C">
      <w:pPr>
        <w:pStyle w:val="Normlndobloku"/>
        <w:rPr>
          <w:lang w:val="sk-SK"/>
        </w:rPr>
      </w:pPr>
      <w:proofErr w:type="spellStart"/>
      <w:r w:rsidRPr="00635F5B">
        <w:rPr>
          <w:lang w:val="sk-SK"/>
        </w:rPr>
        <w:t>Farmakokinetický</w:t>
      </w:r>
      <w:proofErr w:type="spellEnd"/>
      <w:r w:rsidRPr="00635F5B">
        <w:rPr>
          <w:lang w:val="sk-SK"/>
        </w:rPr>
        <w:t xml:space="preserve"> profil </w:t>
      </w:r>
      <w:proofErr w:type="spellStart"/>
      <w:r w:rsidRPr="00635F5B">
        <w:rPr>
          <w:lang w:val="sk-SK"/>
        </w:rPr>
        <w:t>sulbaktámu</w:t>
      </w:r>
      <w:proofErr w:type="spellEnd"/>
      <w:r w:rsidRPr="00635F5B">
        <w:rPr>
          <w:lang w:val="sk-SK"/>
        </w:rPr>
        <w:t xml:space="preserve"> sa signifikantne mení pri hemodialýze. Počas dialýzy sa plazmatický polčas </w:t>
      </w:r>
      <w:proofErr w:type="spellStart"/>
      <w:r w:rsidRPr="00635F5B">
        <w:rPr>
          <w:lang w:val="sk-SK"/>
        </w:rPr>
        <w:t>cefoperazónu</w:t>
      </w:r>
      <w:proofErr w:type="spellEnd"/>
      <w:r w:rsidRPr="00635F5B">
        <w:rPr>
          <w:lang w:val="sk-SK"/>
        </w:rPr>
        <w:t xml:space="preserve"> mierne skracuje, a preto má dávkovacia schéma rešpektovať rozvrh dialýz.</w:t>
      </w:r>
    </w:p>
    <w:p w:rsidR="0042642C" w:rsidRPr="00635F5B" w:rsidRDefault="0042642C" w:rsidP="009A4807">
      <w:pPr>
        <w:pStyle w:val="Styl3"/>
      </w:pPr>
      <w:r w:rsidRPr="00635F5B">
        <w:t>Starší pacienti</w:t>
      </w:r>
    </w:p>
    <w:p w:rsidR="0042642C" w:rsidRPr="00635F5B" w:rsidRDefault="0042642C" w:rsidP="0042642C">
      <w:pPr>
        <w:pStyle w:val="Normlndobloku"/>
        <w:rPr>
          <w:lang w:val="sk-SK"/>
        </w:rPr>
      </w:pPr>
      <w:r w:rsidRPr="00635F5B">
        <w:rPr>
          <w:lang w:val="sk-SK"/>
        </w:rPr>
        <w:t>Pozri časť 5.2.</w:t>
      </w:r>
    </w:p>
    <w:p w:rsidR="0042642C" w:rsidRPr="00635F5B" w:rsidRDefault="0042642C" w:rsidP="009A4807">
      <w:pPr>
        <w:pStyle w:val="Styl3"/>
      </w:pPr>
      <w:r w:rsidRPr="00635F5B">
        <w:t>Pediatrická populácia</w:t>
      </w:r>
    </w:p>
    <w:p w:rsidR="0042642C" w:rsidRPr="00635F5B" w:rsidRDefault="0042642C" w:rsidP="0042642C">
      <w:pPr>
        <w:pStyle w:val="Normlndobloku"/>
        <w:rPr>
          <w:lang w:val="sk-SK"/>
        </w:rPr>
      </w:pPr>
      <w:r w:rsidRPr="00635F5B">
        <w:rPr>
          <w:lang w:val="sk-SK"/>
        </w:rPr>
        <w:t xml:space="preserve">Zvyčajná dávka lieku SULCEF u detí je 40 – 80 mg/kg/deň (ekvivalent aktivity </w:t>
      </w:r>
      <w:proofErr w:type="spellStart"/>
      <w:r w:rsidRPr="00635F5B">
        <w:rPr>
          <w:lang w:val="sk-SK"/>
        </w:rPr>
        <w:t>cefoperazónu</w:t>
      </w:r>
      <w:proofErr w:type="spellEnd"/>
      <w:r w:rsidRPr="00635F5B">
        <w:rPr>
          <w:lang w:val="sk-SK"/>
        </w:rPr>
        <w:t xml:space="preserve"> 20 – 40 mg/kg/deň) vo 2 – 4 rovnomerne rozdelených dávkach. Pri ťažkých alebo intenzívnych infekciách je možné dávku prípravku SULCEF zvýšiť až na 160 mg/kg/deň (ekvivalent </w:t>
      </w:r>
      <w:proofErr w:type="spellStart"/>
      <w:r w:rsidRPr="00635F5B">
        <w:rPr>
          <w:lang w:val="sk-SK"/>
        </w:rPr>
        <w:t>cefoperazónu</w:t>
      </w:r>
      <w:proofErr w:type="spellEnd"/>
      <w:r w:rsidRPr="00635F5B">
        <w:rPr>
          <w:lang w:val="sk-SK"/>
        </w:rPr>
        <w:t xml:space="preserve"> 80 mg/kg/deň) vo 2 – 4 rovnomerne rozdelených dávkach. (pozri časti 4.4 a 5.3)</w:t>
      </w:r>
    </w:p>
    <w:p w:rsidR="0042642C" w:rsidRPr="00635F5B" w:rsidRDefault="0042642C" w:rsidP="009A4807">
      <w:pPr>
        <w:pStyle w:val="Styl3"/>
      </w:pPr>
      <w:r w:rsidRPr="00635F5B">
        <w:t>Novorodenci</w:t>
      </w:r>
    </w:p>
    <w:p w:rsidR="0042642C" w:rsidRPr="00635F5B" w:rsidRDefault="0042642C" w:rsidP="0042642C">
      <w:pPr>
        <w:pStyle w:val="Normlndobloku"/>
        <w:rPr>
          <w:lang w:val="sk-SK"/>
        </w:rPr>
      </w:pPr>
      <w:r w:rsidRPr="00635F5B">
        <w:rPr>
          <w:lang w:val="sk-SK"/>
        </w:rPr>
        <w:t xml:space="preserve">U novorodencov v prvom týždni života je potrebné podávať liek v intervale 12 hodín. Maximálna denná dávka </w:t>
      </w:r>
      <w:proofErr w:type="spellStart"/>
      <w:r w:rsidRPr="00635F5B">
        <w:rPr>
          <w:lang w:val="sk-SK"/>
        </w:rPr>
        <w:t>sulbaktámu</w:t>
      </w:r>
      <w:proofErr w:type="spellEnd"/>
      <w:r w:rsidRPr="00635F5B">
        <w:rPr>
          <w:lang w:val="sk-SK"/>
        </w:rPr>
        <w:t xml:space="preserve"> v pediatrickej praxi nemá byť vyššia ako 80 mg/kg/deň. V prípadoch, keď je nevyhnutné podávať dávku </w:t>
      </w:r>
      <w:proofErr w:type="spellStart"/>
      <w:r w:rsidRPr="00635F5B">
        <w:rPr>
          <w:lang w:val="sk-SK"/>
        </w:rPr>
        <w:t>cefoperazónu</w:t>
      </w:r>
      <w:proofErr w:type="spellEnd"/>
      <w:r w:rsidRPr="00635F5B">
        <w:rPr>
          <w:lang w:val="sk-SK"/>
        </w:rPr>
        <w:t xml:space="preserve"> vyššiu ako 80 mg/kg/deň, je potrebné pridať samostatne </w:t>
      </w:r>
      <w:proofErr w:type="spellStart"/>
      <w:r w:rsidRPr="00635F5B">
        <w:rPr>
          <w:lang w:val="sk-SK"/>
        </w:rPr>
        <w:t>cefoperazón</w:t>
      </w:r>
      <w:proofErr w:type="spellEnd"/>
      <w:r w:rsidRPr="00635F5B">
        <w:rPr>
          <w:lang w:val="sk-SK"/>
        </w:rPr>
        <w:t xml:space="preserve"> (pozri časť 4.4).</w:t>
      </w:r>
    </w:p>
    <w:p w:rsidR="0042642C" w:rsidRPr="00635F5B" w:rsidRDefault="0042642C" w:rsidP="009A4807">
      <w:pPr>
        <w:pStyle w:val="Styl3"/>
      </w:pPr>
      <w:r w:rsidRPr="00635F5B">
        <w:lastRenderedPageBreak/>
        <w:t>Spôsob podávania</w:t>
      </w:r>
    </w:p>
    <w:p w:rsidR="0042642C" w:rsidRPr="00635F5B" w:rsidRDefault="0042642C" w:rsidP="009A4807">
      <w:pPr>
        <w:pStyle w:val="Styl3"/>
      </w:pPr>
      <w:r w:rsidRPr="00635F5B">
        <w:t>Intravenózne podanie</w:t>
      </w:r>
    </w:p>
    <w:p w:rsidR="0042642C" w:rsidRPr="00635F5B" w:rsidRDefault="0042642C" w:rsidP="0042642C">
      <w:pPr>
        <w:pStyle w:val="Normlndobloku"/>
        <w:rPr>
          <w:lang w:val="sk-SK"/>
        </w:rPr>
      </w:pPr>
      <w:r w:rsidRPr="00635F5B">
        <w:rPr>
          <w:lang w:val="sk-SK"/>
        </w:rPr>
        <w:t xml:space="preserve">Pri </w:t>
      </w:r>
      <w:proofErr w:type="spellStart"/>
      <w:r w:rsidRPr="00635F5B">
        <w:rPr>
          <w:lang w:val="sk-SK"/>
        </w:rPr>
        <w:t>intermitentnej</w:t>
      </w:r>
      <w:proofErr w:type="spellEnd"/>
      <w:r w:rsidRPr="00635F5B">
        <w:rPr>
          <w:lang w:val="sk-SK"/>
        </w:rPr>
        <w:t xml:space="preserve"> infúzii je potrebné každú liekovku lieku SULCEF najprv nariediť na objem 8 ml (pozri časť 6.6.), vzniknutý roztok sa potom ďalej riedi rovnakým riediacim roztokom na konečný objem 20 ml. Pripravený roztok je vhodné podať v priebehu 15 až 60 minút, minimálne po dobu 3 minút.</w:t>
      </w:r>
    </w:p>
    <w:p w:rsidR="0042642C" w:rsidRPr="00635F5B" w:rsidRDefault="0042642C" w:rsidP="0042642C">
      <w:pPr>
        <w:pStyle w:val="Normlndobloku"/>
        <w:rPr>
          <w:lang w:val="sk-SK"/>
        </w:rPr>
      </w:pPr>
      <w:r w:rsidRPr="00635F5B">
        <w:rPr>
          <w:lang w:val="sk-SK"/>
        </w:rPr>
        <w:t>Pre intravenózne injekcie sa obsah liekovky riedi rovnako, ako bolo uvedené vyššie, pričom doba podania by mala byť minimálne tri minúty.</w:t>
      </w:r>
    </w:p>
    <w:p w:rsidR="0042642C" w:rsidRPr="00635F5B" w:rsidRDefault="0042642C" w:rsidP="009A4807">
      <w:pPr>
        <w:pStyle w:val="Styl3"/>
      </w:pPr>
      <w:proofErr w:type="spellStart"/>
      <w:r w:rsidRPr="00635F5B">
        <w:t>Intramuskulárne</w:t>
      </w:r>
      <w:proofErr w:type="spellEnd"/>
      <w:r w:rsidRPr="00635F5B">
        <w:t xml:space="preserve"> podanie</w:t>
      </w:r>
    </w:p>
    <w:p w:rsidR="0042642C" w:rsidRPr="00635F5B" w:rsidRDefault="0042642C" w:rsidP="0042642C">
      <w:pPr>
        <w:pStyle w:val="Normlndobloku"/>
        <w:rPr>
          <w:lang w:val="sk-SK"/>
        </w:rPr>
      </w:pPr>
      <w:r w:rsidRPr="00635F5B">
        <w:rPr>
          <w:lang w:val="sk-SK"/>
        </w:rPr>
        <w:t xml:space="preserve">Pri riedení je treba použiť sterilnú vodu na injekciu. Pri požadovanej koncentrácii lieku SULCEF 250 mg/ml alebo nižšej, je nutné uskutočniť riedenie v dvoch krokoch - v prvom sa použije sterilná voda na injekciu, v druhom potom 2 % roztok </w:t>
      </w:r>
      <w:proofErr w:type="spellStart"/>
      <w:r w:rsidRPr="00635F5B">
        <w:rPr>
          <w:lang w:val="sk-SK"/>
        </w:rPr>
        <w:t>lidokaínu</w:t>
      </w:r>
      <w:proofErr w:type="spellEnd"/>
      <w:r w:rsidRPr="00635F5B">
        <w:rPr>
          <w:lang w:val="sk-SK"/>
        </w:rPr>
        <w:t xml:space="preserve"> tak, aby sa dosiahlo približne 0,5 % roztoku </w:t>
      </w:r>
      <w:proofErr w:type="spellStart"/>
      <w:r w:rsidRPr="00635F5B">
        <w:rPr>
          <w:lang w:val="sk-SK"/>
        </w:rPr>
        <w:t>lidokaínu</w:t>
      </w:r>
      <w:proofErr w:type="spellEnd"/>
      <w:r w:rsidRPr="00635F5B">
        <w:rPr>
          <w:lang w:val="sk-SK"/>
        </w:rPr>
        <w:t xml:space="preserve"> (pozri časť 6.2).</w:t>
      </w:r>
    </w:p>
    <w:p w:rsidR="0042642C" w:rsidRPr="00635F5B" w:rsidRDefault="0042642C" w:rsidP="0055389B">
      <w:pPr>
        <w:pStyle w:val="Styl2"/>
        <w:numPr>
          <w:ilvl w:val="1"/>
          <w:numId w:val="1"/>
        </w:numPr>
        <w:spacing w:before="240"/>
        <w:ind w:left="0" w:firstLine="0"/>
        <w:rPr>
          <w:lang w:val="sk-SK"/>
        </w:rPr>
      </w:pPr>
      <w:r w:rsidRPr="00635F5B">
        <w:rPr>
          <w:lang w:val="sk-SK"/>
        </w:rPr>
        <w:t>Kontraindikácie</w:t>
      </w:r>
    </w:p>
    <w:p w:rsidR="0042642C" w:rsidRPr="00635F5B" w:rsidRDefault="0042642C" w:rsidP="0042642C">
      <w:pPr>
        <w:pStyle w:val="Normlndobloku"/>
        <w:rPr>
          <w:lang w:val="sk-SK"/>
        </w:rPr>
      </w:pPr>
      <w:r w:rsidRPr="00635F5B">
        <w:rPr>
          <w:lang w:val="sk-SK"/>
        </w:rPr>
        <w:t xml:space="preserve">SULCEF je kontraindikovaný u pacientov so známou alergiou na penicilíny, </w:t>
      </w:r>
      <w:proofErr w:type="spellStart"/>
      <w:r w:rsidRPr="00635F5B">
        <w:rPr>
          <w:lang w:val="sk-SK"/>
        </w:rPr>
        <w:t>sulbaktám</w:t>
      </w:r>
      <w:proofErr w:type="spellEnd"/>
      <w:r w:rsidRPr="00635F5B">
        <w:rPr>
          <w:lang w:val="sk-SK"/>
        </w:rPr>
        <w:t xml:space="preserve">, </w:t>
      </w:r>
      <w:proofErr w:type="spellStart"/>
      <w:r w:rsidRPr="00635F5B">
        <w:rPr>
          <w:lang w:val="sk-SK"/>
        </w:rPr>
        <w:t>cefoperazón</w:t>
      </w:r>
      <w:proofErr w:type="spellEnd"/>
      <w:r w:rsidRPr="00635F5B">
        <w:rPr>
          <w:lang w:val="sk-SK"/>
        </w:rPr>
        <w:t xml:space="preserve"> alebo iné </w:t>
      </w:r>
      <w:proofErr w:type="spellStart"/>
      <w:r w:rsidRPr="00635F5B">
        <w:rPr>
          <w:lang w:val="sk-SK"/>
        </w:rPr>
        <w:t>cefalosporínové</w:t>
      </w:r>
      <w:proofErr w:type="spellEnd"/>
      <w:r w:rsidRPr="00635F5B">
        <w:rPr>
          <w:lang w:val="sk-SK"/>
        </w:rPr>
        <w:t xml:space="preserve"> antibiotiká.</w:t>
      </w:r>
    </w:p>
    <w:p w:rsidR="0042642C" w:rsidRPr="00635F5B" w:rsidRDefault="0042642C" w:rsidP="0055389B">
      <w:pPr>
        <w:pStyle w:val="Styl2"/>
        <w:numPr>
          <w:ilvl w:val="1"/>
          <w:numId w:val="1"/>
        </w:numPr>
        <w:spacing w:before="240"/>
        <w:ind w:left="0" w:firstLine="0"/>
        <w:rPr>
          <w:lang w:val="sk-SK"/>
        </w:rPr>
      </w:pPr>
      <w:r w:rsidRPr="00635F5B">
        <w:rPr>
          <w:lang w:val="sk-SK"/>
        </w:rPr>
        <w:t>Osobitné upozornenia a opatrenia pri používaní</w:t>
      </w:r>
    </w:p>
    <w:p w:rsidR="0042642C" w:rsidRPr="00635F5B" w:rsidRDefault="0042642C" w:rsidP="0042642C">
      <w:pPr>
        <w:pStyle w:val="Normlndobloku"/>
        <w:rPr>
          <w:lang w:val="sk-SK"/>
        </w:rPr>
      </w:pPr>
      <w:r w:rsidRPr="00635F5B">
        <w:rPr>
          <w:lang w:val="sk-SK"/>
        </w:rPr>
        <w:t xml:space="preserve">Upozornenia, ktoré sa týkajú </w:t>
      </w:r>
      <w:proofErr w:type="spellStart"/>
      <w:r w:rsidRPr="00635F5B">
        <w:rPr>
          <w:lang w:val="sk-SK"/>
        </w:rPr>
        <w:t>sulbaktámu</w:t>
      </w:r>
      <w:proofErr w:type="spellEnd"/>
      <w:r w:rsidRPr="00635F5B">
        <w:rPr>
          <w:lang w:val="sk-SK"/>
        </w:rPr>
        <w:t xml:space="preserve"> a </w:t>
      </w:r>
      <w:proofErr w:type="spellStart"/>
      <w:r w:rsidRPr="00635F5B">
        <w:rPr>
          <w:lang w:val="sk-SK"/>
        </w:rPr>
        <w:t>cefoperazónu</w:t>
      </w:r>
      <w:proofErr w:type="spellEnd"/>
      <w:r w:rsidRPr="00635F5B">
        <w:rPr>
          <w:lang w:val="sk-SK"/>
        </w:rPr>
        <w:t xml:space="preserve"> samostatne, platia tiež u kombinácii obidvoch látok.</w:t>
      </w:r>
    </w:p>
    <w:p w:rsidR="0042642C" w:rsidRPr="00635F5B" w:rsidRDefault="0042642C" w:rsidP="009A4807">
      <w:pPr>
        <w:pStyle w:val="Styl3"/>
      </w:pPr>
      <w:proofErr w:type="spellStart"/>
      <w:r w:rsidRPr="00635F5B">
        <w:t>Hypersenzitivita</w:t>
      </w:r>
      <w:proofErr w:type="spellEnd"/>
    </w:p>
    <w:p w:rsidR="0042642C" w:rsidRPr="00635F5B" w:rsidRDefault="0042642C" w:rsidP="0042642C">
      <w:pPr>
        <w:pStyle w:val="Normlndobloku"/>
        <w:rPr>
          <w:lang w:val="sk-SK"/>
        </w:rPr>
      </w:pPr>
      <w:r w:rsidRPr="00635F5B">
        <w:rPr>
          <w:lang w:val="sk-SK"/>
        </w:rPr>
        <w:t xml:space="preserve">U pacientov, ktorí užívajú </w:t>
      </w:r>
      <w:proofErr w:type="spellStart"/>
      <w:r w:rsidRPr="00635F5B">
        <w:rPr>
          <w:lang w:val="sk-SK"/>
        </w:rPr>
        <w:t>betalaktámové</w:t>
      </w:r>
      <w:proofErr w:type="spellEnd"/>
      <w:r w:rsidRPr="00635F5B">
        <w:rPr>
          <w:lang w:val="sk-SK"/>
        </w:rPr>
        <w:t xml:space="preserve"> antibiotiká alebo </w:t>
      </w:r>
      <w:proofErr w:type="spellStart"/>
      <w:r w:rsidRPr="00635F5B">
        <w:rPr>
          <w:lang w:val="sk-SK"/>
        </w:rPr>
        <w:t>cefalosporíny</w:t>
      </w:r>
      <w:proofErr w:type="spellEnd"/>
      <w:r w:rsidRPr="00635F5B">
        <w:rPr>
          <w:lang w:val="sk-SK"/>
        </w:rPr>
        <w:t>, boli popísané ťažké a ojedinele dokonca fatálne reakcie z precitlivenosti (</w:t>
      </w:r>
      <w:proofErr w:type="spellStart"/>
      <w:r w:rsidRPr="00635F5B">
        <w:rPr>
          <w:lang w:val="sk-SK"/>
        </w:rPr>
        <w:t>anafylaktické</w:t>
      </w:r>
      <w:proofErr w:type="spellEnd"/>
      <w:r w:rsidRPr="00635F5B">
        <w:rPr>
          <w:lang w:val="sk-SK"/>
        </w:rPr>
        <w:t xml:space="preserve"> reakcie). Vznik takejto reakcie je pravdepodobnejší u jedincov s anamnézou precitlivenosti na väčšie množstvo rôznych alergénov. Ak sa alergická reakcia objaví, treba podávanie lieku okamžite prerušiť a začať s príslušnou liečbou.</w:t>
      </w:r>
    </w:p>
    <w:p w:rsidR="0042642C" w:rsidRPr="00635F5B" w:rsidRDefault="0042642C" w:rsidP="0042642C">
      <w:pPr>
        <w:pStyle w:val="Normlndobloku"/>
        <w:rPr>
          <w:lang w:val="sk-SK"/>
        </w:rPr>
      </w:pPr>
      <w:r w:rsidRPr="00635F5B">
        <w:rPr>
          <w:lang w:val="sk-SK"/>
        </w:rPr>
        <w:t xml:space="preserve">Ťažké </w:t>
      </w:r>
      <w:proofErr w:type="spellStart"/>
      <w:r w:rsidRPr="00635F5B">
        <w:rPr>
          <w:lang w:val="sk-SK"/>
        </w:rPr>
        <w:t>anafylaktické</w:t>
      </w:r>
      <w:proofErr w:type="spellEnd"/>
      <w:r w:rsidRPr="00635F5B">
        <w:rPr>
          <w:lang w:val="sk-SK"/>
        </w:rPr>
        <w:t xml:space="preserve"> reakcie vyžadujú okamžitú terapiu adrenalínom. V prípade potreby sa indikuje podanie kyslíka, intravenóznych kortikoidov a uvoľnenie dýchacích ciest vrátane </w:t>
      </w:r>
      <w:proofErr w:type="spellStart"/>
      <w:r w:rsidRPr="00635F5B">
        <w:rPr>
          <w:lang w:val="sk-SK"/>
        </w:rPr>
        <w:t>intubácie</w:t>
      </w:r>
      <w:proofErr w:type="spellEnd"/>
      <w:r w:rsidRPr="00635F5B">
        <w:rPr>
          <w:lang w:val="sk-SK"/>
        </w:rPr>
        <w:t>.</w:t>
      </w:r>
    </w:p>
    <w:p w:rsidR="0042642C" w:rsidRPr="00635F5B" w:rsidRDefault="0042642C" w:rsidP="009A4807">
      <w:pPr>
        <w:pStyle w:val="Styl3"/>
      </w:pPr>
      <w:r w:rsidRPr="00635F5B">
        <w:t>Použitie pri poruche funkcie pečene</w:t>
      </w:r>
    </w:p>
    <w:p w:rsidR="0042642C" w:rsidRPr="00635F5B" w:rsidRDefault="0042642C" w:rsidP="0042642C">
      <w:pPr>
        <w:pStyle w:val="Normlndobloku"/>
        <w:rPr>
          <w:lang w:val="sk-SK"/>
        </w:rPr>
      </w:pPr>
      <w:proofErr w:type="spellStart"/>
      <w:r w:rsidRPr="00635F5B">
        <w:rPr>
          <w:lang w:val="sk-SK"/>
        </w:rPr>
        <w:t>Cefoperazón</w:t>
      </w:r>
      <w:proofErr w:type="spellEnd"/>
      <w:r w:rsidRPr="00635F5B">
        <w:rPr>
          <w:lang w:val="sk-SK"/>
        </w:rPr>
        <w:t xml:space="preserve"> sa v značnej miere vylučuje žlčou. U pacientov s ochoreniami pečene alebo s obštrukciou žlčovodu sa predlžuje plazmatický polčas </w:t>
      </w:r>
      <w:proofErr w:type="spellStart"/>
      <w:r w:rsidRPr="00635F5B">
        <w:rPr>
          <w:lang w:val="sk-SK"/>
        </w:rPr>
        <w:t>cefoperazónu</w:t>
      </w:r>
      <w:proofErr w:type="spellEnd"/>
      <w:r w:rsidRPr="00635F5B">
        <w:rPr>
          <w:lang w:val="sk-SK"/>
        </w:rPr>
        <w:t xml:space="preserve"> a zvyšuje sa jeho vylučovanie obličkami. Terapeutická koncentrácia </w:t>
      </w:r>
      <w:proofErr w:type="spellStart"/>
      <w:r w:rsidRPr="00635F5B">
        <w:rPr>
          <w:lang w:val="sk-SK"/>
        </w:rPr>
        <w:t>cefoperazónu</w:t>
      </w:r>
      <w:proofErr w:type="spellEnd"/>
      <w:r w:rsidRPr="00635F5B">
        <w:rPr>
          <w:lang w:val="sk-SK"/>
        </w:rPr>
        <w:t xml:space="preserve"> v žlči sa však dosahuje aj pri ťažkej hepatálnej dysfunkcii a plazmatický polčas sa v takomto prípade predlžuje iba dvoj</w:t>
      </w:r>
      <w:r w:rsidRPr="00635F5B">
        <w:rPr>
          <w:lang w:val="sk-SK"/>
        </w:rPr>
        <w:noBreakHyphen/>
        <w:t xml:space="preserve"> až štvornásobne.</w:t>
      </w:r>
    </w:p>
    <w:p w:rsidR="0042642C" w:rsidRPr="00635F5B" w:rsidRDefault="0042642C" w:rsidP="0042642C">
      <w:pPr>
        <w:pStyle w:val="Normlndobloku"/>
        <w:rPr>
          <w:lang w:val="sk-SK"/>
        </w:rPr>
      </w:pPr>
      <w:r w:rsidRPr="00635F5B">
        <w:rPr>
          <w:lang w:val="sk-SK"/>
        </w:rPr>
        <w:t>Úpravu dávkovania treba urobiť u pacientov so závažnou obštrukciou žlčovodu, s ťažkým ochorením pečene alebo u pacientov, u ktorých je súčasne s niektorým z uvedených stavov prítomná aj obličková nedostatočnosť.</w:t>
      </w:r>
    </w:p>
    <w:p w:rsidR="0042642C" w:rsidRPr="00635F5B" w:rsidRDefault="0042642C" w:rsidP="0042642C">
      <w:pPr>
        <w:pStyle w:val="Normlndobloku"/>
        <w:rPr>
          <w:lang w:val="sk-SK"/>
        </w:rPr>
      </w:pPr>
      <w:r w:rsidRPr="00635F5B">
        <w:rPr>
          <w:lang w:val="sk-SK"/>
        </w:rPr>
        <w:t xml:space="preserve">Pokiaľ sa u pacientov súčasne vyskytuje </w:t>
      </w:r>
      <w:proofErr w:type="spellStart"/>
      <w:r w:rsidRPr="00635F5B">
        <w:rPr>
          <w:lang w:val="sk-SK"/>
        </w:rPr>
        <w:t>hepatálna</w:t>
      </w:r>
      <w:proofErr w:type="spellEnd"/>
      <w:r w:rsidRPr="00635F5B">
        <w:rPr>
          <w:lang w:val="sk-SK"/>
        </w:rPr>
        <w:t xml:space="preserve"> aj </w:t>
      </w:r>
      <w:proofErr w:type="spellStart"/>
      <w:r w:rsidRPr="00635F5B">
        <w:rPr>
          <w:lang w:val="sk-SK"/>
        </w:rPr>
        <w:t>renálna</w:t>
      </w:r>
      <w:proofErr w:type="spellEnd"/>
      <w:r w:rsidRPr="00635F5B">
        <w:rPr>
          <w:lang w:val="sk-SK"/>
        </w:rPr>
        <w:t xml:space="preserve"> dysfunkcia, treba monitorovať plazmatické koncentrácie </w:t>
      </w:r>
      <w:proofErr w:type="spellStart"/>
      <w:r w:rsidRPr="00635F5B">
        <w:rPr>
          <w:lang w:val="sk-SK"/>
        </w:rPr>
        <w:t>cefoperazónu</w:t>
      </w:r>
      <w:proofErr w:type="spellEnd"/>
      <w:r w:rsidRPr="00635F5B">
        <w:rPr>
          <w:lang w:val="sk-SK"/>
        </w:rPr>
        <w:t xml:space="preserve"> a podľa potreby upraviť dávkovanie. Bez prísneho monitorovania koncentrácií v sére nemá dávka v týchto prípadoch prekročiť </w:t>
      </w:r>
      <w:smartTag w:uri="urn:schemas-microsoft-com:office:smarttags" w:element="metricconverter">
        <w:smartTagPr>
          <w:attr w:name="ProductID" w:val="pc誦ଛĀ．潄畣敭瑮3詛ଛĀ（ƨ̔ƨ̔킼2詜ଛĠ（䵌䵅બշ詑ଛţ（䵌䵅઴շ7詒ଛŌ（az1ﾠg詗ଛP（q楆敬䠀䙐䩄〲0詈ଛn（tn佐呒䅒呉倀灡詍ଛz（w䕔R敒潳畬楴湯詎ଛ0（z䵐倀慬湩潎浲污詃ଛr"/>
        </w:smartTagPr>
        <w:r w:rsidRPr="00635F5B">
          <w:rPr>
            <w:lang w:val="sk-SK"/>
          </w:rPr>
          <w:t>2 g</w:t>
        </w:r>
      </w:smartTag>
      <w:r w:rsidRPr="00635F5B">
        <w:rPr>
          <w:lang w:val="sk-SK"/>
        </w:rPr>
        <w:t xml:space="preserve"> </w:t>
      </w:r>
      <w:proofErr w:type="spellStart"/>
      <w:r w:rsidRPr="00635F5B">
        <w:rPr>
          <w:lang w:val="sk-SK"/>
        </w:rPr>
        <w:t>cefoperazónu</w:t>
      </w:r>
      <w:proofErr w:type="spellEnd"/>
      <w:r w:rsidRPr="00635F5B">
        <w:rPr>
          <w:lang w:val="sk-SK"/>
        </w:rPr>
        <w:t xml:space="preserve"> denne.</w:t>
      </w:r>
    </w:p>
    <w:p w:rsidR="0042642C" w:rsidRPr="00635F5B" w:rsidRDefault="0042642C" w:rsidP="009A4807">
      <w:pPr>
        <w:pStyle w:val="Styl3"/>
      </w:pPr>
      <w:r w:rsidRPr="00635F5B">
        <w:t>Všeobecne</w:t>
      </w:r>
    </w:p>
    <w:p w:rsidR="0042642C" w:rsidRPr="00635F5B" w:rsidRDefault="0042642C" w:rsidP="0042642C">
      <w:pPr>
        <w:pStyle w:val="Normlndobloku"/>
        <w:rPr>
          <w:lang w:val="sk-SK"/>
        </w:rPr>
      </w:pPr>
      <w:r w:rsidRPr="00635F5B">
        <w:rPr>
          <w:lang w:val="sk-SK"/>
        </w:rPr>
        <w:t xml:space="preserve">Pri liečbe </w:t>
      </w:r>
      <w:proofErr w:type="spellStart"/>
      <w:r w:rsidRPr="00635F5B">
        <w:rPr>
          <w:lang w:val="sk-SK"/>
        </w:rPr>
        <w:t>cefoperazónom</w:t>
      </w:r>
      <w:proofErr w:type="spellEnd"/>
      <w:r w:rsidRPr="00635F5B">
        <w:rPr>
          <w:lang w:val="sk-SK"/>
        </w:rPr>
        <w:t>/</w:t>
      </w:r>
      <w:proofErr w:type="spellStart"/>
      <w:r w:rsidRPr="00635F5B">
        <w:rPr>
          <w:lang w:val="sk-SK"/>
        </w:rPr>
        <w:t>sulbaktámom</w:t>
      </w:r>
      <w:proofErr w:type="spellEnd"/>
      <w:r w:rsidRPr="00635F5B">
        <w:rPr>
          <w:lang w:val="sk-SK"/>
        </w:rPr>
        <w:t xml:space="preserve"> boli hlásené závažné prípady </w:t>
      </w:r>
      <w:proofErr w:type="spellStart"/>
      <w:r w:rsidRPr="00635F5B">
        <w:rPr>
          <w:lang w:val="sk-SK"/>
        </w:rPr>
        <w:t>hemorágie</w:t>
      </w:r>
      <w:proofErr w:type="spellEnd"/>
      <w:r w:rsidRPr="00635F5B">
        <w:rPr>
          <w:lang w:val="sk-SK"/>
        </w:rPr>
        <w:t xml:space="preserve"> vrátane smrteľných prípadov. Zvýšené riziko možno pozorovať u pacientov s nedostatočnou stravou, s </w:t>
      </w:r>
      <w:proofErr w:type="spellStart"/>
      <w:r w:rsidRPr="00635F5B">
        <w:rPr>
          <w:lang w:val="sk-SK"/>
        </w:rPr>
        <w:t>malabsorpciou</w:t>
      </w:r>
      <w:proofErr w:type="spellEnd"/>
      <w:r w:rsidRPr="00635F5B">
        <w:rPr>
          <w:lang w:val="sk-SK"/>
        </w:rPr>
        <w:t xml:space="preserve"> a u pacientov, ktorí dlhodobo potrebujú </w:t>
      </w:r>
      <w:proofErr w:type="spellStart"/>
      <w:r w:rsidRPr="00635F5B">
        <w:rPr>
          <w:lang w:val="sk-SK"/>
        </w:rPr>
        <w:t>parenterálnu</w:t>
      </w:r>
      <w:proofErr w:type="spellEnd"/>
      <w:r w:rsidRPr="00635F5B">
        <w:rPr>
          <w:lang w:val="sk-SK"/>
        </w:rPr>
        <w:t xml:space="preserve"> výživu. Týchto pacientov je potrebné sledovať kvôli príznakom krvácania, </w:t>
      </w:r>
      <w:proofErr w:type="spellStart"/>
      <w:r w:rsidRPr="00635F5B">
        <w:rPr>
          <w:lang w:val="sk-SK"/>
        </w:rPr>
        <w:t>trombocytopénie</w:t>
      </w:r>
      <w:proofErr w:type="spellEnd"/>
      <w:r w:rsidRPr="00635F5B">
        <w:rPr>
          <w:lang w:val="sk-SK"/>
        </w:rPr>
        <w:t xml:space="preserve"> a </w:t>
      </w:r>
      <w:proofErr w:type="spellStart"/>
      <w:r w:rsidRPr="00635F5B">
        <w:rPr>
          <w:lang w:val="sk-SK"/>
        </w:rPr>
        <w:t>hypoprotrombinémie</w:t>
      </w:r>
      <w:proofErr w:type="spellEnd"/>
      <w:r w:rsidRPr="00635F5B">
        <w:rPr>
          <w:lang w:val="sk-SK"/>
        </w:rPr>
        <w:t xml:space="preserve">. V prípade pretrvávajúceho krvácania bez </w:t>
      </w:r>
      <w:r w:rsidR="00373408" w:rsidRPr="00635F5B">
        <w:rPr>
          <w:lang w:val="sk-SK"/>
        </w:rPr>
        <w:t>iného</w:t>
      </w:r>
      <w:r w:rsidRPr="00635F5B">
        <w:rPr>
          <w:lang w:val="sk-SK"/>
        </w:rPr>
        <w:t xml:space="preserve"> </w:t>
      </w:r>
      <w:r w:rsidR="001700DE" w:rsidRPr="00635F5B">
        <w:rPr>
          <w:lang w:val="sk-SK"/>
        </w:rPr>
        <w:t>identifikovaného</w:t>
      </w:r>
      <w:r w:rsidRPr="00635F5B">
        <w:rPr>
          <w:lang w:val="sk-SK"/>
        </w:rPr>
        <w:t xml:space="preserve"> vysvetlenia je potrebné </w:t>
      </w:r>
      <w:proofErr w:type="spellStart"/>
      <w:r w:rsidRPr="00635F5B">
        <w:rPr>
          <w:lang w:val="sk-SK"/>
        </w:rPr>
        <w:t>cefoperazón</w:t>
      </w:r>
      <w:proofErr w:type="spellEnd"/>
      <w:r w:rsidRPr="00635F5B">
        <w:rPr>
          <w:lang w:val="sk-SK"/>
        </w:rPr>
        <w:t>/</w:t>
      </w:r>
      <w:proofErr w:type="spellStart"/>
      <w:r w:rsidRPr="00635F5B">
        <w:rPr>
          <w:lang w:val="sk-SK"/>
        </w:rPr>
        <w:t>sulbaktám</w:t>
      </w:r>
      <w:proofErr w:type="spellEnd"/>
      <w:r w:rsidRPr="00635F5B">
        <w:rPr>
          <w:lang w:val="sk-SK"/>
        </w:rPr>
        <w:t xml:space="preserve"> </w:t>
      </w:r>
      <w:r w:rsidR="001700DE" w:rsidRPr="00635F5B">
        <w:rPr>
          <w:lang w:val="sk-SK"/>
        </w:rPr>
        <w:t>vysadiť. Počas</w:t>
      </w:r>
      <w:r w:rsidRPr="00635F5B">
        <w:rPr>
          <w:lang w:val="sk-SK"/>
        </w:rPr>
        <w:t xml:space="preserve"> dlhodobej terapie liekom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sa môže podobne ako pri podávaní iných antibiotík, objaviť nežiaduce premnoženie rezistentných kmeňov v tráviacom trakte. Pacienti majú byť preto aj </w:t>
      </w:r>
      <w:r w:rsidRPr="00635F5B">
        <w:rPr>
          <w:lang w:val="sk-SK"/>
        </w:rPr>
        <w:lastRenderedPageBreak/>
        <w:t>z tohto hľadiska počas liečby starostlivo sledovaní. Podobne ako pri ostatných systémovo vysoko účinných liekoch aj v tomto prípade sa odporúča pravidelne kontrolovať, či pri dlhšej liečbe nedochádza k poruchám funkcie niektorých orgánových systémov, najmä obličiek, pečene a </w:t>
      </w:r>
      <w:proofErr w:type="spellStart"/>
      <w:r w:rsidRPr="00635F5B">
        <w:rPr>
          <w:lang w:val="sk-SK"/>
        </w:rPr>
        <w:t>hematopoetického</w:t>
      </w:r>
      <w:proofErr w:type="spellEnd"/>
      <w:r w:rsidRPr="00635F5B">
        <w:rPr>
          <w:lang w:val="sk-SK"/>
        </w:rPr>
        <w:t xml:space="preserve"> systému. Toto sledovanie je obzvlášť dôležité u novorodencov, predovšetkým predčasne narodených a u dojčiat.</w:t>
      </w:r>
    </w:p>
    <w:p w:rsidR="0042642C" w:rsidRPr="00635F5B" w:rsidRDefault="0042642C" w:rsidP="0042642C">
      <w:pPr>
        <w:pStyle w:val="Normlndobloku"/>
        <w:rPr>
          <w:i/>
          <w:lang w:val="sk-SK"/>
        </w:rPr>
      </w:pPr>
      <w:r w:rsidRPr="00635F5B">
        <w:rPr>
          <w:lang w:val="sk-SK"/>
        </w:rPr>
        <w:t xml:space="preserve">Takmer u všetkých antibiotík, vrátane lieku SULCEF, boli hlásené prípady výskytu hnačiek vyvolaných </w:t>
      </w:r>
      <w:proofErr w:type="spellStart"/>
      <w:r w:rsidRPr="00635F5B">
        <w:rPr>
          <w:i/>
          <w:lang w:val="sk-SK"/>
        </w:rPr>
        <w:t>C.difficile</w:t>
      </w:r>
      <w:proofErr w:type="spellEnd"/>
      <w:r w:rsidRPr="00635F5B">
        <w:rPr>
          <w:lang w:val="sk-SK"/>
        </w:rPr>
        <w:t xml:space="preserve"> (CDAD - </w:t>
      </w:r>
      <w:proofErr w:type="spellStart"/>
      <w:r w:rsidRPr="00635F5B">
        <w:rPr>
          <w:lang w:val="sk-SK"/>
        </w:rPr>
        <w:t>Clostridium</w:t>
      </w:r>
      <w:proofErr w:type="spellEnd"/>
      <w:r w:rsidRPr="00635F5B">
        <w:rPr>
          <w:lang w:val="sk-SK"/>
        </w:rPr>
        <w:t xml:space="preserve"> </w:t>
      </w:r>
      <w:proofErr w:type="spellStart"/>
      <w:r w:rsidRPr="00635F5B">
        <w:rPr>
          <w:lang w:val="sk-SK"/>
        </w:rPr>
        <w:t>difficile</w:t>
      </w:r>
      <w:proofErr w:type="spellEnd"/>
      <w:r w:rsidRPr="00635F5B">
        <w:rPr>
          <w:lang w:val="sk-SK"/>
        </w:rPr>
        <w:t xml:space="preserve"> </w:t>
      </w:r>
      <w:proofErr w:type="spellStart"/>
      <w:r w:rsidRPr="00635F5B">
        <w:rPr>
          <w:lang w:val="sk-SK"/>
        </w:rPr>
        <w:t>associated</w:t>
      </w:r>
      <w:proofErr w:type="spellEnd"/>
      <w:r w:rsidRPr="00635F5B">
        <w:rPr>
          <w:lang w:val="sk-SK"/>
        </w:rPr>
        <w:t xml:space="preserve"> </w:t>
      </w:r>
      <w:proofErr w:type="spellStart"/>
      <w:r w:rsidRPr="00635F5B">
        <w:rPr>
          <w:lang w:val="sk-SK"/>
        </w:rPr>
        <w:t>diarrhoea</w:t>
      </w:r>
      <w:proofErr w:type="spellEnd"/>
      <w:r w:rsidRPr="00635F5B">
        <w:rPr>
          <w:lang w:val="sk-SK"/>
        </w:rPr>
        <w:t xml:space="preserve">) Závažnosť hnačiek môže kolísať v rozmedzí od miernej hnačky až po akútnu kolitídu. Liečba antibiotikami vyvoláva zmeny mikrobiálnej flóry hrubého čreva, ktoré umožnia premnoženie </w:t>
      </w:r>
      <w:proofErr w:type="spellStart"/>
      <w:r w:rsidRPr="00635F5B">
        <w:rPr>
          <w:i/>
          <w:lang w:val="sk-SK"/>
        </w:rPr>
        <w:t>C.difficile</w:t>
      </w:r>
      <w:proofErr w:type="spellEnd"/>
    </w:p>
    <w:p w:rsidR="0042642C" w:rsidRPr="00635F5B" w:rsidRDefault="0042642C" w:rsidP="0042642C">
      <w:pPr>
        <w:pStyle w:val="Normlndobloku"/>
        <w:rPr>
          <w:lang w:val="sk-SK"/>
        </w:rPr>
      </w:pPr>
      <w:proofErr w:type="spellStart"/>
      <w:r w:rsidRPr="00635F5B">
        <w:rPr>
          <w:i/>
          <w:lang w:val="sk-SK"/>
        </w:rPr>
        <w:t>C.difficile</w:t>
      </w:r>
      <w:proofErr w:type="spellEnd"/>
      <w:r w:rsidRPr="00635F5B">
        <w:rPr>
          <w:i/>
          <w:lang w:val="sk-SK"/>
        </w:rPr>
        <w:t xml:space="preserve"> produkuje </w:t>
      </w:r>
      <w:r w:rsidRPr="00635F5B">
        <w:rPr>
          <w:lang w:val="sk-SK"/>
        </w:rPr>
        <w:t xml:space="preserve">toxíny A a B, ktoré sa podieľajú na rozvoji CDAD. </w:t>
      </w:r>
      <w:proofErr w:type="spellStart"/>
      <w:r w:rsidRPr="00635F5B">
        <w:rPr>
          <w:lang w:val="sk-SK"/>
        </w:rPr>
        <w:t>Hypertoxín</w:t>
      </w:r>
      <w:proofErr w:type="spellEnd"/>
      <w:r w:rsidRPr="00635F5B">
        <w:rPr>
          <w:lang w:val="sk-SK"/>
        </w:rPr>
        <w:t xml:space="preserve"> produkujúci kmene </w:t>
      </w:r>
      <w:proofErr w:type="spellStart"/>
      <w:r w:rsidRPr="00635F5B">
        <w:rPr>
          <w:i/>
          <w:lang w:val="sk-SK"/>
        </w:rPr>
        <w:t>C.difficile</w:t>
      </w:r>
      <w:proofErr w:type="spellEnd"/>
      <w:r w:rsidRPr="00635F5B">
        <w:rPr>
          <w:lang w:val="sk-SK"/>
        </w:rPr>
        <w:t xml:space="preserve"> spôsobuje zvýšenú morbiditu a mortalitu, pretože tieto infekcie môžu byť odolné voči </w:t>
      </w:r>
      <w:proofErr w:type="spellStart"/>
      <w:r w:rsidRPr="00635F5B">
        <w:rPr>
          <w:lang w:val="sk-SK"/>
        </w:rPr>
        <w:t>antimikrobiálnej</w:t>
      </w:r>
      <w:proofErr w:type="spellEnd"/>
      <w:r w:rsidRPr="00635F5B">
        <w:rPr>
          <w:lang w:val="sk-SK"/>
        </w:rPr>
        <w:t xml:space="preserve"> liečbe a môžu vyžadovať </w:t>
      </w:r>
      <w:proofErr w:type="spellStart"/>
      <w:r w:rsidRPr="00635F5B">
        <w:rPr>
          <w:lang w:val="sk-SK"/>
        </w:rPr>
        <w:t>kolektómiu</w:t>
      </w:r>
      <w:proofErr w:type="spellEnd"/>
      <w:r w:rsidRPr="00635F5B">
        <w:rPr>
          <w:lang w:val="sk-SK"/>
        </w:rPr>
        <w:t>. CDAD sa môže vziať v úvahu u všetkých pacientov s hnačkami vzniknutými po podaní antibakteriálnych prípravkov. Starostlivá liečba anamnézy je nutná vzhľadom k tomu, že boli hlásené prípady, keď sa hnačka objavila viac než dva mesiace po padaní antibiotík.</w:t>
      </w:r>
    </w:p>
    <w:p w:rsidR="0042642C" w:rsidRPr="00635F5B" w:rsidRDefault="0042642C" w:rsidP="0042642C">
      <w:pPr>
        <w:pStyle w:val="Normlndobloku"/>
        <w:rPr>
          <w:lang w:val="sk-SK"/>
        </w:rPr>
      </w:pPr>
      <w:proofErr w:type="spellStart"/>
      <w:r w:rsidRPr="00635F5B">
        <w:rPr>
          <w:lang w:val="sk-SK"/>
        </w:rPr>
        <w:t>Cefoperazón</w:t>
      </w:r>
      <w:proofErr w:type="spellEnd"/>
      <w:r w:rsidRPr="00635F5B">
        <w:rPr>
          <w:lang w:val="sk-SK"/>
        </w:rPr>
        <w:t xml:space="preserve"> nevytlačuje </w:t>
      </w:r>
      <w:proofErr w:type="spellStart"/>
      <w:r w:rsidRPr="00635F5B">
        <w:rPr>
          <w:lang w:val="sk-SK"/>
        </w:rPr>
        <w:t>bilirubín</w:t>
      </w:r>
      <w:proofErr w:type="spellEnd"/>
      <w:r w:rsidRPr="00635F5B">
        <w:rPr>
          <w:lang w:val="sk-SK"/>
        </w:rPr>
        <w:t xml:space="preserve"> z väzby na plazmatické proteíny.</w:t>
      </w:r>
    </w:p>
    <w:p w:rsidR="0042642C" w:rsidRPr="00635F5B" w:rsidRDefault="0042642C" w:rsidP="009A4807">
      <w:pPr>
        <w:pStyle w:val="Styl3"/>
      </w:pPr>
      <w:r w:rsidRPr="00635F5B">
        <w:t>Pediatrická populácia</w:t>
      </w:r>
    </w:p>
    <w:p w:rsidR="0042642C" w:rsidRPr="00635F5B" w:rsidRDefault="0042642C" w:rsidP="0042642C">
      <w:pPr>
        <w:pStyle w:val="Normlndobloku"/>
        <w:rPr>
          <w:lang w:val="sk-SK"/>
        </w:rPr>
      </w:pP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bol účinný aj u dojčiat. Jeho podávanie nedonoseným deťom a novorodencom sa podrobnejšie neštudovalo. Preto pred jeho podaním novorodencom a nedonoseným deťom treba starostlivo zvážiť pomer očakávaného prospechu a možných rizík liečby (pozri časť 5.3).</w:t>
      </w:r>
    </w:p>
    <w:p w:rsidR="0042642C" w:rsidRPr="00635F5B" w:rsidRDefault="0042642C" w:rsidP="0042642C">
      <w:pPr>
        <w:pStyle w:val="Normlndobloku"/>
        <w:rPr>
          <w:lang w:val="sk-SK"/>
        </w:rPr>
      </w:pPr>
      <w:r w:rsidRPr="00635F5B">
        <w:rPr>
          <w:lang w:val="sk-SK"/>
        </w:rPr>
        <w:t>SULCEF obsahuje 126 mg sodíka v jednej liekovke. To je nutné vziať v úvahu u pacientov, ktorí majú diétu s nízkym obsahom sodíka.</w:t>
      </w:r>
    </w:p>
    <w:p w:rsidR="0042642C" w:rsidRPr="00635F5B" w:rsidRDefault="0042642C" w:rsidP="0055389B">
      <w:pPr>
        <w:pStyle w:val="Styl2"/>
        <w:numPr>
          <w:ilvl w:val="1"/>
          <w:numId w:val="1"/>
        </w:numPr>
        <w:spacing w:before="240"/>
        <w:ind w:left="0" w:firstLine="0"/>
        <w:rPr>
          <w:lang w:val="sk-SK"/>
        </w:rPr>
      </w:pPr>
      <w:r w:rsidRPr="00635F5B">
        <w:rPr>
          <w:lang w:val="sk-SK"/>
        </w:rPr>
        <w:t>Liekové a iné interakcie</w:t>
      </w:r>
    </w:p>
    <w:p w:rsidR="0042642C" w:rsidRPr="00635F5B" w:rsidRDefault="0042642C" w:rsidP="009A4807">
      <w:pPr>
        <w:pStyle w:val="Styl3"/>
      </w:pPr>
      <w:r w:rsidRPr="00635F5B">
        <w:t>Alkohol</w:t>
      </w:r>
    </w:p>
    <w:p w:rsidR="0042642C" w:rsidRPr="00635F5B" w:rsidRDefault="0042642C" w:rsidP="0042642C">
      <w:pPr>
        <w:pStyle w:val="Normlndobloku"/>
        <w:rPr>
          <w:lang w:val="sk-SK"/>
        </w:rPr>
      </w:pPr>
      <w:r w:rsidRPr="00635F5B">
        <w:rPr>
          <w:lang w:val="sk-SK"/>
        </w:rPr>
        <w:t xml:space="preserve">Ak sa počas liečby </w:t>
      </w:r>
      <w:proofErr w:type="spellStart"/>
      <w:r w:rsidRPr="00635F5B">
        <w:rPr>
          <w:lang w:val="sk-SK"/>
        </w:rPr>
        <w:t>cefoperazónom</w:t>
      </w:r>
      <w:proofErr w:type="spellEnd"/>
      <w:r w:rsidRPr="00635F5B">
        <w:rPr>
          <w:lang w:val="sk-SK"/>
        </w:rPr>
        <w:t xml:space="preserve"> alebo do piatich dní po nej konzumoval alkohol, boli opísané reakcie, ktoré boli charakterizované návalmi tepla, potením, bolesťami hlavy a </w:t>
      </w:r>
      <w:proofErr w:type="spellStart"/>
      <w:r w:rsidRPr="00635F5B">
        <w:rPr>
          <w:lang w:val="sk-SK"/>
        </w:rPr>
        <w:t>tachykardiou</w:t>
      </w:r>
      <w:proofErr w:type="spellEnd"/>
      <w:r w:rsidRPr="00635F5B">
        <w:rPr>
          <w:lang w:val="sk-SK"/>
        </w:rPr>
        <w:t xml:space="preserve">. Podobná reakcia bola zaznamenaná aj u iných </w:t>
      </w:r>
      <w:proofErr w:type="spellStart"/>
      <w:r w:rsidRPr="00635F5B">
        <w:rPr>
          <w:lang w:val="sk-SK"/>
        </w:rPr>
        <w:t>cefalosporínov</w:t>
      </w:r>
      <w:proofErr w:type="spellEnd"/>
      <w:r w:rsidRPr="00635F5B">
        <w:rPr>
          <w:lang w:val="sk-SK"/>
        </w:rPr>
        <w:t xml:space="preserve">. Pacient má byť preto poučený o požívaní alkoholických nápojov počas liečby </w:t>
      </w:r>
      <w:proofErr w:type="spellStart"/>
      <w:r w:rsidRPr="00635F5B">
        <w:rPr>
          <w:lang w:val="sk-SK"/>
        </w:rPr>
        <w:t>sulbaktám</w:t>
      </w:r>
      <w:proofErr w:type="spellEnd"/>
      <w:r w:rsidRPr="00635F5B">
        <w:rPr>
          <w:lang w:val="sk-SK"/>
        </w:rPr>
        <w:t>/</w:t>
      </w:r>
      <w:proofErr w:type="spellStart"/>
      <w:r w:rsidRPr="00635F5B">
        <w:rPr>
          <w:lang w:val="sk-SK"/>
        </w:rPr>
        <w:t>cefoperazónom</w:t>
      </w:r>
      <w:proofErr w:type="spellEnd"/>
      <w:r w:rsidRPr="00635F5B">
        <w:rPr>
          <w:lang w:val="sk-SK"/>
        </w:rPr>
        <w:t xml:space="preserve">. Chorým, ktorí potrebujú umelú </w:t>
      </w:r>
      <w:proofErr w:type="spellStart"/>
      <w:r w:rsidRPr="00635F5B">
        <w:rPr>
          <w:lang w:val="sk-SK"/>
        </w:rPr>
        <w:t>enterálnu</w:t>
      </w:r>
      <w:proofErr w:type="spellEnd"/>
      <w:r w:rsidRPr="00635F5B">
        <w:rPr>
          <w:lang w:val="sk-SK"/>
        </w:rPr>
        <w:t xml:space="preserve"> alebo </w:t>
      </w:r>
      <w:proofErr w:type="spellStart"/>
      <w:r w:rsidRPr="00635F5B">
        <w:rPr>
          <w:lang w:val="sk-SK"/>
        </w:rPr>
        <w:t>parenterálnu</w:t>
      </w:r>
      <w:proofErr w:type="spellEnd"/>
      <w:r w:rsidRPr="00635F5B">
        <w:rPr>
          <w:lang w:val="sk-SK"/>
        </w:rPr>
        <w:t xml:space="preserve"> výživu, sa nemajú počas liečby podávať roztoky, ktoré obsahujú etanol.</w:t>
      </w:r>
    </w:p>
    <w:p w:rsidR="0042642C" w:rsidRPr="00635F5B" w:rsidRDefault="0042642C" w:rsidP="009A4807">
      <w:pPr>
        <w:pStyle w:val="Styl3"/>
      </w:pPr>
      <w:r w:rsidRPr="00635F5B">
        <w:t>Interakcie laboratórnych výsledkov</w:t>
      </w:r>
    </w:p>
    <w:p w:rsidR="0042642C" w:rsidRPr="00635F5B" w:rsidRDefault="0042642C" w:rsidP="0042642C">
      <w:pPr>
        <w:pStyle w:val="Normlndobloku"/>
        <w:rPr>
          <w:lang w:val="sk-SK"/>
        </w:rPr>
      </w:pPr>
      <w:r w:rsidRPr="00635F5B">
        <w:rPr>
          <w:lang w:val="sk-SK"/>
        </w:rPr>
        <w:t xml:space="preserve">Pri stanovení glukózy v moči </w:t>
      </w:r>
      <w:proofErr w:type="spellStart"/>
      <w:r w:rsidRPr="00635F5B">
        <w:rPr>
          <w:lang w:val="sk-SK"/>
        </w:rPr>
        <w:t>Benedictovým</w:t>
      </w:r>
      <w:proofErr w:type="spellEnd"/>
      <w:r w:rsidRPr="00635F5B">
        <w:rPr>
          <w:lang w:val="sk-SK"/>
        </w:rPr>
        <w:t xml:space="preserve"> alebo </w:t>
      </w:r>
      <w:proofErr w:type="spellStart"/>
      <w:r w:rsidRPr="00635F5B">
        <w:rPr>
          <w:lang w:val="sk-SK"/>
        </w:rPr>
        <w:t>Fehlingovým</w:t>
      </w:r>
      <w:proofErr w:type="spellEnd"/>
      <w:r w:rsidRPr="00635F5B">
        <w:rPr>
          <w:lang w:val="sk-SK"/>
        </w:rPr>
        <w:t xml:space="preserve"> roztokom môže vzniknúť falošne pozitívna reakcia.</w:t>
      </w:r>
    </w:p>
    <w:p w:rsidR="0042642C" w:rsidRPr="00635F5B" w:rsidRDefault="0042642C" w:rsidP="0055389B">
      <w:pPr>
        <w:pStyle w:val="Styl2"/>
        <w:numPr>
          <w:ilvl w:val="1"/>
          <w:numId w:val="1"/>
        </w:numPr>
        <w:spacing w:before="240"/>
        <w:ind w:left="0" w:firstLine="0"/>
        <w:rPr>
          <w:lang w:val="sk-SK"/>
        </w:rPr>
      </w:pPr>
      <w:proofErr w:type="spellStart"/>
      <w:r w:rsidRPr="00635F5B">
        <w:rPr>
          <w:lang w:val="sk-SK"/>
        </w:rPr>
        <w:t>Fertilita</w:t>
      </w:r>
      <w:proofErr w:type="spellEnd"/>
      <w:r w:rsidRPr="00635F5B">
        <w:rPr>
          <w:lang w:val="sk-SK"/>
        </w:rPr>
        <w:t>, gravidita a laktácia</w:t>
      </w:r>
    </w:p>
    <w:p w:rsidR="0042642C" w:rsidRPr="00635F5B" w:rsidRDefault="0042642C" w:rsidP="009A4807">
      <w:pPr>
        <w:pStyle w:val="Styl3"/>
      </w:pPr>
      <w:r w:rsidRPr="00635F5B">
        <w:t>Gravidita</w:t>
      </w:r>
    </w:p>
    <w:p w:rsidR="0042642C" w:rsidRPr="00635F5B" w:rsidRDefault="0042642C" w:rsidP="0042642C">
      <w:pPr>
        <w:pStyle w:val="Normlndobloku"/>
        <w:rPr>
          <w:lang w:val="sk-SK"/>
        </w:rPr>
      </w:pPr>
      <w:r w:rsidRPr="00635F5B">
        <w:rPr>
          <w:lang w:val="sk-SK"/>
        </w:rPr>
        <w:t>Sledovanie vplyvu na reprodukciu u potkanov s dávkami až 10</w:t>
      </w:r>
      <w:r w:rsidRPr="00635F5B">
        <w:rPr>
          <w:lang w:val="sk-SK"/>
        </w:rPr>
        <w:noBreakHyphen/>
        <w:t xml:space="preserve">krát vyššími ako tie, ktoré sa používajú u ľudí, neprinieslo dôkazy o poklese </w:t>
      </w:r>
      <w:proofErr w:type="spellStart"/>
      <w:r w:rsidRPr="00635F5B">
        <w:rPr>
          <w:lang w:val="sk-SK"/>
        </w:rPr>
        <w:t>fertility</w:t>
      </w:r>
      <w:proofErr w:type="spellEnd"/>
      <w:r w:rsidRPr="00635F5B">
        <w:rPr>
          <w:lang w:val="sk-SK"/>
        </w:rPr>
        <w:t xml:space="preserve"> ani o </w:t>
      </w:r>
      <w:proofErr w:type="spellStart"/>
      <w:r w:rsidRPr="00635F5B">
        <w:rPr>
          <w:lang w:val="sk-SK"/>
        </w:rPr>
        <w:t>teratogénnom</w:t>
      </w:r>
      <w:proofErr w:type="spellEnd"/>
      <w:r w:rsidRPr="00635F5B">
        <w:rPr>
          <w:lang w:val="sk-SK"/>
        </w:rPr>
        <w:t xml:space="preserve"> účinku. </w:t>
      </w:r>
      <w:proofErr w:type="spellStart"/>
      <w:r w:rsidRPr="00635F5B">
        <w:rPr>
          <w:lang w:val="sk-SK"/>
        </w:rPr>
        <w:t>Sulbaktám</w:t>
      </w:r>
      <w:proofErr w:type="spellEnd"/>
      <w:r w:rsidRPr="00635F5B">
        <w:rPr>
          <w:lang w:val="sk-SK"/>
        </w:rPr>
        <w:t xml:space="preserve"> a </w:t>
      </w:r>
      <w:proofErr w:type="spellStart"/>
      <w:r w:rsidRPr="00635F5B">
        <w:rPr>
          <w:lang w:val="sk-SK"/>
        </w:rPr>
        <w:t>cefoperazón</w:t>
      </w:r>
      <w:proofErr w:type="spellEnd"/>
      <w:r w:rsidRPr="00635F5B">
        <w:rPr>
          <w:lang w:val="sk-SK"/>
        </w:rPr>
        <w:t xml:space="preserve"> prenikajú placentárnou bariérou. Adekvátne a kontrolované štúdie u tehotných žien nie sú k dispozícii.</w:t>
      </w:r>
    </w:p>
    <w:p w:rsidR="0042642C" w:rsidRPr="00635F5B" w:rsidRDefault="0042642C" w:rsidP="0042642C">
      <w:pPr>
        <w:pStyle w:val="Normlndobloku"/>
        <w:rPr>
          <w:lang w:val="sk-SK"/>
        </w:rPr>
      </w:pPr>
      <w:r w:rsidRPr="00635F5B">
        <w:rPr>
          <w:lang w:val="sk-SK"/>
        </w:rPr>
        <w:t>Vzhľadom k tomu, že výsledky reprodukčných štúdií uskutočňovaných na zvieratách nie je možné vždy považovať za prediktívne pre humánnu medicínu, má sa SULCEF podávať v priebehu gravidity iba ak je to skutočne nevyhnutné.</w:t>
      </w:r>
    </w:p>
    <w:p w:rsidR="0042642C" w:rsidRPr="00635F5B" w:rsidRDefault="0042642C" w:rsidP="009A4807">
      <w:pPr>
        <w:pStyle w:val="Styl3"/>
      </w:pPr>
      <w:r w:rsidRPr="00635F5B">
        <w:t>Dojčenie</w:t>
      </w:r>
    </w:p>
    <w:p w:rsidR="0042642C" w:rsidRPr="00635F5B" w:rsidRDefault="0042642C" w:rsidP="0042642C">
      <w:pPr>
        <w:pStyle w:val="Normlndobloku"/>
        <w:rPr>
          <w:lang w:val="sk-SK"/>
        </w:rPr>
      </w:pPr>
      <w:r w:rsidRPr="00635F5B">
        <w:rPr>
          <w:lang w:val="sk-SK"/>
        </w:rPr>
        <w:t xml:space="preserve">Do materského mlieka sa vylučuje len veľmi malé množstvo </w:t>
      </w:r>
      <w:proofErr w:type="spellStart"/>
      <w:r w:rsidRPr="00635F5B">
        <w:rPr>
          <w:lang w:val="sk-SK"/>
        </w:rPr>
        <w:t>sulbaktámu</w:t>
      </w:r>
      <w:proofErr w:type="spellEnd"/>
      <w:r w:rsidRPr="00635F5B">
        <w:rPr>
          <w:lang w:val="sk-SK"/>
        </w:rPr>
        <w:t xml:space="preserve"> a </w:t>
      </w:r>
      <w:proofErr w:type="spellStart"/>
      <w:r w:rsidRPr="00635F5B">
        <w:rPr>
          <w:lang w:val="sk-SK"/>
        </w:rPr>
        <w:t>cefoperazónu</w:t>
      </w:r>
      <w:proofErr w:type="spellEnd"/>
      <w:r w:rsidRPr="00635F5B">
        <w:rPr>
          <w:lang w:val="sk-SK"/>
        </w:rPr>
        <w:t xml:space="preserve">. I keď vylučovanie obidvoch liekov do materského mlieka je veľmi malé,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sa má podávať dojčiacim ženám so zvýšenou opatrnosťou.</w:t>
      </w:r>
    </w:p>
    <w:p w:rsidR="0042642C" w:rsidRPr="00635F5B" w:rsidRDefault="0042642C" w:rsidP="0055389B">
      <w:pPr>
        <w:pStyle w:val="Styl2"/>
        <w:numPr>
          <w:ilvl w:val="1"/>
          <w:numId w:val="1"/>
        </w:numPr>
        <w:spacing w:before="240"/>
        <w:ind w:left="0" w:firstLine="0"/>
        <w:rPr>
          <w:lang w:val="sk-SK"/>
        </w:rPr>
      </w:pPr>
      <w:r w:rsidRPr="00635F5B">
        <w:rPr>
          <w:lang w:val="sk-SK"/>
        </w:rPr>
        <w:lastRenderedPageBreak/>
        <w:t>Ovplyvnenie schopnosti viesť vozidlá a obsluhovať stroje</w:t>
      </w:r>
    </w:p>
    <w:p w:rsidR="0042642C" w:rsidRPr="00635F5B" w:rsidRDefault="0042642C" w:rsidP="0042642C">
      <w:pPr>
        <w:pStyle w:val="Normlndobloku"/>
        <w:rPr>
          <w:lang w:val="sk-SK"/>
        </w:rPr>
      </w:pPr>
      <w:r w:rsidRPr="00635F5B">
        <w:rPr>
          <w:lang w:val="sk-SK"/>
        </w:rPr>
        <w:t xml:space="preserve">Klinické skúsenosti so </w:t>
      </w:r>
      <w:proofErr w:type="spellStart"/>
      <w:r w:rsidRPr="00635F5B">
        <w:rPr>
          <w:lang w:val="sk-SK"/>
        </w:rPr>
        <w:t>sulbaktám</w:t>
      </w:r>
      <w:proofErr w:type="spellEnd"/>
      <w:r w:rsidRPr="00635F5B">
        <w:rPr>
          <w:lang w:val="sk-SK"/>
        </w:rPr>
        <w:t>/</w:t>
      </w:r>
      <w:proofErr w:type="spellStart"/>
      <w:r w:rsidRPr="00635F5B">
        <w:rPr>
          <w:lang w:val="sk-SK"/>
        </w:rPr>
        <w:t>cefoperazónom</w:t>
      </w:r>
      <w:proofErr w:type="spellEnd"/>
      <w:r w:rsidRPr="00635F5B">
        <w:rPr>
          <w:lang w:val="sk-SK"/>
        </w:rPr>
        <w:t xml:space="preserve"> ukazujú, že je nepravdepodobné, aby ovplyvňoval schopnosť pacienta viesť motorové vozidlo a obsluhovať stroje.</w:t>
      </w:r>
    </w:p>
    <w:p w:rsidR="0042642C" w:rsidRPr="00635F5B" w:rsidRDefault="0042642C" w:rsidP="0055389B">
      <w:pPr>
        <w:pStyle w:val="Styl2"/>
        <w:numPr>
          <w:ilvl w:val="1"/>
          <w:numId w:val="1"/>
        </w:numPr>
        <w:spacing w:before="240"/>
        <w:ind w:left="0" w:firstLine="0"/>
        <w:rPr>
          <w:lang w:val="sk-SK"/>
        </w:rPr>
      </w:pPr>
      <w:r w:rsidRPr="00635F5B">
        <w:rPr>
          <w:lang w:val="sk-SK"/>
        </w:rPr>
        <w:t>Nežiaduce účinky</w:t>
      </w:r>
    </w:p>
    <w:p w:rsidR="0042642C" w:rsidRPr="00635F5B" w:rsidRDefault="0042642C" w:rsidP="0042642C">
      <w:pPr>
        <w:pStyle w:val="Normlndobloku"/>
        <w:rPr>
          <w:lang w:val="sk-SK"/>
        </w:rPr>
      </w:pP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sa vo všeobecnosti znáša veľmi dobre. Väčšina nežiaducich účinkov je len ľahkého alebo stredne ťažkého stupňa a pacient ich dobre toleruje aj pri pokračovaní v liečbe.</w:t>
      </w:r>
    </w:p>
    <w:p w:rsidR="0042642C" w:rsidRPr="00635F5B" w:rsidRDefault="0042642C" w:rsidP="0042642C">
      <w:pPr>
        <w:pStyle w:val="Normlndobloku"/>
        <w:rPr>
          <w:lang w:val="sk-SK"/>
        </w:rPr>
      </w:pPr>
      <w:r w:rsidRPr="00635F5B">
        <w:rPr>
          <w:lang w:val="sk-SK"/>
        </w:rPr>
        <w:t>Zo zhromaždených klinických nálezov komparatívnych a nekomparatívnych štúdií s približne 2 500 pacientmi vyplýva nasledujúce:</w:t>
      </w:r>
    </w:p>
    <w:p w:rsidR="0042642C" w:rsidRPr="00635F5B" w:rsidRDefault="0042642C" w:rsidP="009A4807">
      <w:pPr>
        <w:pStyle w:val="Styl3"/>
      </w:pPr>
      <w:r w:rsidRPr="00635F5B">
        <w:t>Poruchy gastrointestinálneho traktu</w:t>
      </w:r>
    </w:p>
    <w:p w:rsidR="0042642C" w:rsidRPr="00635F5B" w:rsidRDefault="0042642C" w:rsidP="0042642C">
      <w:pPr>
        <w:pStyle w:val="Normlndobloku"/>
        <w:rPr>
          <w:lang w:val="sk-SK"/>
        </w:rPr>
      </w:pPr>
      <w:r w:rsidRPr="00635F5B">
        <w:rPr>
          <w:lang w:val="sk-SK"/>
        </w:rPr>
        <w:t xml:space="preserve">Podobne ako pri iných antibiotikách aj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najčastejšie vyvoláva </w:t>
      </w:r>
      <w:proofErr w:type="spellStart"/>
      <w:r w:rsidRPr="00635F5B">
        <w:rPr>
          <w:lang w:val="sk-SK"/>
        </w:rPr>
        <w:t>gastrointestinálne</w:t>
      </w:r>
      <w:proofErr w:type="spellEnd"/>
      <w:r w:rsidRPr="00635F5B">
        <w:rPr>
          <w:lang w:val="sk-SK"/>
        </w:rPr>
        <w:t xml:space="preserve"> nežiaduce účinky. Obyčajne sú to hnačky alebo riedke stolice 3,9 % sprevádzané nauzeou a vracaním 0,6 %.</w:t>
      </w:r>
    </w:p>
    <w:p w:rsidR="0042642C" w:rsidRPr="00635F5B" w:rsidRDefault="0042642C" w:rsidP="009A4807">
      <w:pPr>
        <w:pStyle w:val="Styl3"/>
      </w:pPr>
      <w:r w:rsidRPr="00635F5B">
        <w:t>Poruchy kože a podkožného tkaniva</w:t>
      </w:r>
    </w:p>
    <w:p w:rsidR="0042642C" w:rsidRPr="00635F5B" w:rsidRDefault="0042642C" w:rsidP="0042642C">
      <w:pPr>
        <w:pStyle w:val="Normlndobloku"/>
        <w:rPr>
          <w:lang w:val="sk-SK"/>
        </w:rPr>
      </w:pPr>
      <w:r w:rsidRPr="00635F5B">
        <w:rPr>
          <w:lang w:val="sk-SK"/>
        </w:rPr>
        <w:t>Podobne ako pri všetkých penicilínových a </w:t>
      </w:r>
      <w:proofErr w:type="spellStart"/>
      <w:r w:rsidRPr="00635F5B">
        <w:rPr>
          <w:lang w:val="sk-SK"/>
        </w:rPr>
        <w:t>cefalosporínových</w:t>
      </w:r>
      <w:proofErr w:type="spellEnd"/>
      <w:r w:rsidRPr="00635F5B">
        <w:rPr>
          <w:lang w:val="sk-SK"/>
        </w:rPr>
        <w:t xml:space="preserve"> antibiotikách bola aj v tomto prípade opísaná precitlivenosť, ktorá sa manifestuje </w:t>
      </w:r>
      <w:proofErr w:type="spellStart"/>
      <w:r w:rsidRPr="00635F5B">
        <w:rPr>
          <w:lang w:val="sk-SK"/>
        </w:rPr>
        <w:t>makulopapulóznym</w:t>
      </w:r>
      <w:proofErr w:type="spellEnd"/>
      <w:r w:rsidRPr="00635F5B">
        <w:rPr>
          <w:lang w:val="sk-SK"/>
        </w:rPr>
        <w:t xml:space="preserve"> exantémom 0,6 % a žihľavkou 0,08 %. Vznik týchto reakcií je pravdepodobnejší u pacientov s preukázanou alergiou v anamnéze, najmä na penicilín.</w:t>
      </w:r>
    </w:p>
    <w:p w:rsidR="0042642C" w:rsidRPr="00635F5B" w:rsidRDefault="0042642C" w:rsidP="009A4807">
      <w:pPr>
        <w:pStyle w:val="Styl3"/>
      </w:pPr>
      <w:r w:rsidRPr="00635F5B">
        <w:t>Poruchy krvi a lymfatického systému</w:t>
      </w:r>
    </w:p>
    <w:p w:rsidR="0042642C" w:rsidRPr="00635F5B" w:rsidRDefault="0042642C" w:rsidP="0042642C">
      <w:pPr>
        <w:pStyle w:val="Normlndobloku"/>
        <w:rPr>
          <w:lang w:val="sk-SK"/>
        </w:rPr>
      </w:pPr>
      <w:r w:rsidRPr="00635F5B">
        <w:rPr>
          <w:lang w:val="sk-SK"/>
        </w:rPr>
        <w:t xml:space="preserve">Po podaní lieku sa pozoroval mierny pokles </w:t>
      </w:r>
      <w:proofErr w:type="spellStart"/>
      <w:r w:rsidRPr="00635F5B">
        <w:rPr>
          <w:lang w:val="sk-SK"/>
        </w:rPr>
        <w:t>neutrofilov</w:t>
      </w:r>
      <w:proofErr w:type="spellEnd"/>
      <w:r w:rsidRPr="00635F5B">
        <w:rPr>
          <w:lang w:val="sk-SK"/>
        </w:rPr>
        <w:t xml:space="preserve"> 0,4 % (5/1 131). Pri dlhšom podávaní môže vzniknúť, podobne ako pri iných </w:t>
      </w:r>
      <w:proofErr w:type="spellStart"/>
      <w:r w:rsidRPr="00635F5B">
        <w:rPr>
          <w:lang w:val="sk-SK"/>
        </w:rPr>
        <w:t>betalaktámových</w:t>
      </w:r>
      <w:proofErr w:type="spellEnd"/>
      <w:r w:rsidRPr="00635F5B">
        <w:rPr>
          <w:lang w:val="sk-SK"/>
        </w:rPr>
        <w:t xml:space="preserve"> antibiotikách, reverzibilná </w:t>
      </w:r>
      <w:proofErr w:type="spellStart"/>
      <w:r w:rsidRPr="00635F5B">
        <w:rPr>
          <w:lang w:val="sk-SK"/>
        </w:rPr>
        <w:t>neutropénia</w:t>
      </w:r>
      <w:proofErr w:type="spellEnd"/>
      <w:r w:rsidRPr="00635F5B">
        <w:rPr>
          <w:lang w:val="sk-SK"/>
        </w:rPr>
        <w:t xml:space="preserve"> 0,5 % (9/1 696). U niektorých pacientov sa počas liečby môže objaviť pozitívny priamy </w:t>
      </w:r>
      <w:proofErr w:type="spellStart"/>
      <w:r w:rsidRPr="00635F5B">
        <w:rPr>
          <w:lang w:val="sk-SK"/>
        </w:rPr>
        <w:t>Coombsov</w:t>
      </w:r>
      <w:proofErr w:type="spellEnd"/>
      <w:r w:rsidRPr="00635F5B">
        <w:rPr>
          <w:lang w:val="sk-SK"/>
        </w:rPr>
        <w:t xml:space="preserve"> test 5,5 % (15/269). V súlade s publikovanými literárnymi údajmi o </w:t>
      </w:r>
      <w:proofErr w:type="spellStart"/>
      <w:r w:rsidRPr="00635F5B">
        <w:rPr>
          <w:lang w:val="sk-SK"/>
        </w:rPr>
        <w:t>cefalosporínoch</w:t>
      </w:r>
      <w:proofErr w:type="spellEnd"/>
      <w:r w:rsidRPr="00635F5B">
        <w:rPr>
          <w:lang w:val="sk-SK"/>
        </w:rPr>
        <w:t xml:space="preserve"> boli hlásené zníženia hemoglobínu 0,9 % (13/1 416) alebo hematokritu 0,9 % (13/1 409). Bola zaznamenaná aj prechodná </w:t>
      </w:r>
      <w:proofErr w:type="spellStart"/>
      <w:r w:rsidRPr="00635F5B">
        <w:rPr>
          <w:lang w:val="sk-SK"/>
        </w:rPr>
        <w:t>eozinofília</w:t>
      </w:r>
      <w:proofErr w:type="spellEnd"/>
      <w:r w:rsidRPr="00635F5B">
        <w:rPr>
          <w:lang w:val="sk-SK"/>
        </w:rPr>
        <w:t xml:space="preserve"> 3,5 % (40/1 130) a </w:t>
      </w:r>
      <w:proofErr w:type="spellStart"/>
      <w:r w:rsidRPr="00635F5B">
        <w:rPr>
          <w:lang w:val="sk-SK"/>
        </w:rPr>
        <w:t>trombocytopénia</w:t>
      </w:r>
      <w:proofErr w:type="spellEnd"/>
      <w:r w:rsidRPr="00635F5B">
        <w:rPr>
          <w:lang w:val="sk-SK"/>
        </w:rPr>
        <w:t xml:space="preserve"> 0,8 % (11/1 414), ako aj </w:t>
      </w:r>
      <w:proofErr w:type="spellStart"/>
      <w:r w:rsidRPr="00635F5B">
        <w:rPr>
          <w:lang w:val="sk-SK"/>
        </w:rPr>
        <w:t>hypoprotrombinémia</w:t>
      </w:r>
      <w:proofErr w:type="spellEnd"/>
      <w:r w:rsidRPr="00635F5B">
        <w:rPr>
          <w:lang w:val="sk-SK"/>
        </w:rPr>
        <w:t xml:space="preserve"> 3,8 % (10/262).</w:t>
      </w:r>
    </w:p>
    <w:p w:rsidR="0042642C" w:rsidRPr="00635F5B" w:rsidRDefault="0042642C" w:rsidP="009A4807">
      <w:pPr>
        <w:pStyle w:val="Styl3"/>
      </w:pPr>
      <w:r w:rsidRPr="00635F5B">
        <w:t>Celkové poruchy a reakcie v mieste podania</w:t>
      </w:r>
    </w:p>
    <w:p w:rsidR="0042642C" w:rsidRPr="00635F5B" w:rsidRDefault="0042642C" w:rsidP="0042642C">
      <w:pPr>
        <w:pStyle w:val="Normlndobloku"/>
        <w:rPr>
          <w:lang w:val="sk-SK"/>
        </w:rPr>
      </w:pPr>
      <w:r w:rsidRPr="00635F5B">
        <w:rPr>
          <w:lang w:val="sk-SK"/>
        </w:rPr>
        <w:t>Bolesti hlavy 0,04 %, horúčka 0,5 %, bolesť v mieste vpichu injekcie 0,08 % a pocity mrazenia 0,04 %.</w:t>
      </w:r>
    </w:p>
    <w:p w:rsidR="0042642C" w:rsidRPr="00635F5B" w:rsidRDefault="0042642C" w:rsidP="0042642C">
      <w:pPr>
        <w:pStyle w:val="Normlndobloku"/>
        <w:rPr>
          <w:lang w:val="sk-SK"/>
        </w:rPr>
      </w:pP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po </w:t>
      </w:r>
      <w:proofErr w:type="spellStart"/>
      <w:r w:rsidRPr="00635F5B">
        <w:rPr>
          <w:lang w:val="sk-SK"/>
        </w:rPr>
        <w:t>intramuskulárnom</w:t>
      </w:r>
      <w:proofErr w:type="spellEnd"/>
      <w:r w:rsidRPr="00635F5B">
        <w:rPr>
          <w:lang w:val="sk-SK"/>
        </w:rPr>
        <w:t xml:space="preserve"> podaní sa veľmi dobre toleruje. Avšak v ojedinelých prípadoch sa pri tomto spôsobe podávania môže objaviť krátkodobá prechodná bolesť. Pri intravenóznom podaní lieku cez </w:t>
      </w:r>
      <w:proofErr w:type="spellStart"/>
      <w:r w:rsidRPr="00635F5B">
        <w:rPr>
          <w:lang w:val="sk-SK"/>
        </w:rPr>
        <w:t>i.v</w:t>
      </w:r>
      <w:proofErr w:type="spellEnd"/>
      <w:r w:rsidRPr="00635F5B">
        <w:rPr>
          <w:lang w:val="sk-SK"/>
        </w:rPr>
        <w:t xml:space="preserve">. katéter sa môže, podobne ako pri </w:t>
      </w:r>
      <w:proofErr w:type="spellStart"/>
      <w:r w:rsidRPr="00635F5B">
        <w:rPr>
          <w:lang w:val="sk-SK"/>
        </w:rPr>
        <w:t>i.v</w:t>
      </w:r>
      <w:proofErr w:type="spellEnd"/>
      <w:r w:rsidRPr="00635F5B">
        <w:rPr>
          <w:lang w:val="sk-SK"/>
        </w:rPr>
        <w:t xml:space="preserve">. podaní iných </w:t>
      </w:r>
      <w:proofErr w:type="spellStart"/>
      <w:r w:rsidRPr="00635F5B">
        <w:rPr>
          <w:lang w:val="sk-SK"/>
        </w:rPr>
        <w:t>cefalosporínov</w:t>
      </w:r>
      <w:proofErr w:type="spellEnd"/>
      <w:r w:rsidRPr="00635F5B">
        <w:rPr>
          <w:lang w:val="sk-SK"/>
        </w:rPr>
        <w:t xml:space="preserve"> a penicilínov, vyvinúť u niektorých pacientov v mieste aplikácie infúzie </w:t>
      </w:r>
      <w:proofErr w:type="spellStart"/>
      <w:r w:rsidRPr="00635F5B">
        <w:rPr>
          <w:lang w:val="sk-SK"/>
        </w:rPr>
        <w:t>flebitída</w:t>
      </w:r>
      <w:proofErr w:type="spellEnd"/>
      <w:r w:rsidRPr="00635F5B">
        <w:rPr>
          <w:lang w:val="sk-SK"/>
        </w:rPr>
        <w:t> 0,1 %.</w:t>
      </w:r>
    </w:p>
    <w:p w:rsidR="0042642C" w:rsidRPr="00635F5B" w:rsidRDefault="0042642C" w:rsidP="009A4807">
      <w:pPr>
        <w:pStyle w:val="Styl3"/>
      </w:pPr>
      <w:r w:rsidRPr="00635F5B">
        <w:t>Laboratórne a funkčné vyšetrenia</w:t>
      </w:r>
    </w:p>
    <w:p w:rsidR="0042642C" w:rsidRPr="00635F5B" w:rsidRDefault="0042642C" w:rsidP="0042642C">
      <w:pPr>
        <w:pStyle w:val="Normlndobloku"/>
        <w:rPr>
          <w:lang w:val="sk-SK"/>
        </w:rPr>
      </w:pPr>
      <w:r w:rsidRPr="00635F5B">
        <w:rPr>
          <w:lang w:val="sk-SK"/>
        </w:rPr>
        <w:t xml:space="preserve">Zistilo sa prechodné zvýšenie koncentrácie AST 5,7 % (94/1 638), ALT 6,2 % (95/1 529), alkalickej </w:t>
      </w:r>
      <w:proofErr w:type="spellStart"/>
      <w:r w:rsidRPr="00635F5B">
        <w:rPr>
          <w:lang w:val="sk-SK"/>
        </w:rPr>
        <w:t>fosfatázy</w:t>
      </w:r>
      <w:proofErr w:type="spellEnd"/>
      <w:r w:rsidRPr="00635F5B">
        <w:rPr>
          <w:lang w:val="sk-SK"/>
        </w:rPr>
        <w:t xml:space="preserve"> 2,4 % (37/1 518) a </w:t>
      </w:r>
      <w:proofErr w:type="spellStart"/>
      <w:r w:rsidRPr="00635F5B">
        <w:rPr>
          <w:lang w:val="sk-SK"/>
        </w:rPr>
        <w:t>bilirubínu</w:t>
      </w:r>
      <w:proofErr w:type="spellEnd"/>
      <w:r w:rsidRPr="00635F5B">
        <w:rPr>
          <w:lang w:val="sk-SK"/>
        </w:rPr>
        <w:t xml:space="preserve"> 1,2 % (12/1 040).</w:t>
      </w:r>
    </w:p>
    <w:p w:rsidR="0042642C" w:rsidRPr="00635F5B" w:rsidRDefault="0042642C" w:rsidP="009A4807">
      <w:pPr>
        <w:pStyle w:val="Styl3"/>
      </w:pPr>
      <w:r w:rsidRPr="00635F5B">
        <w:t>Po uvedení lieku na trh boli hlásené ďalšie nasledujúce nežiaduce účinky:</w:t>
      </w:r>
    </w:p>
    <w:p w:rsidR="00373408" w:rsidRPr="00635F5B" w:rsidRDefault="0042642C" w:rsidP="00373408">
      <w:pPr>
        <w:pStyle w:val="Normlndobloku"/>
      </w:pPr>
      <w:proofErr w:type="spellStart"/>
      <w:r w:rsidRPr="00635F5B">
        <w:t>Všeobecné</w:t>
      </w:r>
      <w:proofErr w:type="spellEnd"/>
      <w:r w:rsidRPr="00635F5B">
        <w:t xml:space="preserve">: </w:t>
      </w:r>
      <w:proofErr w:type="spellStart"/>
      <w:r w:rsidRPr="00635F5B">
        <w:t>anafylaktoidná</w:t>
      </w:r>
      <w:proofErr w:type="spellEnd"/>
      <w:r w:rsidRPr="00635F5B">
        <w:t xml:space="preserve"> </w:t>
      </w:r>
      <w:proofErr w:type="spellStart"/>
      <w:r w:rsidRPr="00635F5B">
        <w:t>reakcia</w:t>
      </w:r>
      <w:proofErr w:type="spellEnd"/>
      <w:r w:rsidRPr="00635F5B">
        <w:t xml:space="preserve"> (</w:t>
      </w:r>
      <w:proofErr w:type="spellStart"/>
      <w:r w:rsidRPr="00635F5B">
        <w:t>vrátane</w:t>
      </w:r>
      <w:proofErr w:type="spellEnd"/>
      <w:r w:rsidRPr="00635F5B">
        <w:t xml:space="preserve"> </w:t>
      </w:r>
      <w:proofErr w:type="spellStart"/>
      <w:r w:rsidRPr="00635F5B">
        <w:t>šoku</w:t>
      </w:r>
      <w:proofErr w:type="spellEnd"/>
      <w:r w:rsidRPr="00635F5B">
        <w:t>)</w:t>
      </w:r>
    </w:p>
    <w:p w:rsidR="009A4807" w:rsidRPr="00635F5B" w:rsidRDefault="0042642C" w:rsidP="009A4807">
      <w:pPr>
        <w:pStyle w:val="Styl3"/>
      </w:pPr>
      <w:r w:rsidRPr="00635F5B">
        <w:t>Kardiovaskulárne: hypotenzia</w:t>
      </w:r>
      <w:r w:rsidR="009A4807" w:rsidRPr="00635F5B">
        <w:t xml:space="preserve"> </w:t>
      </w:r>
    </w:p>
    <w:p w:rsidR="009A4807" w:rsidRPr="00635F5B" w:rsidRDefault="009A4807" w:rsidP="009A4807">
      <w:pPr>
        <w:pStyle w:val="Styl3"/>
      </w:pPr>
      <w:r w:rsidRPr="00104D61">
        <w:t xml:space="preserve">Poruchy ciev:  </w:t>
      </w:r>
      <w:proofErr w:type="spellStart"/>
      <w:r w:rsidRPr="00104D61">
        <w:t>hemorágia</w:t>
      </w:r>
      <w:proofErr w:type="spellEnd"/>
      <w:r w:rsidRPr="00104D61">
        <w:t xml:space="preserve"> (vrátane smrteľnej), s frekvenciou: neznáme (z dostupných údajov)</w:t>
      </w:r>
    </w:p>
    <w:p w:rsidR="00373408" w:rsidRPr="00635F5B" w:rsidRDefault="0042642C" w:rsidP="009A4807">
      <w:pPr>
        <w:pStyle w:val="Styl3"/>
      </w:pPr>
      <w:proofErr w:type="spellStart"/>
      <w:r w:rsidRPr="00635F5B">
        <w:t>Gastrointestinálne</w:t>
      </w:r>
      <w:proofErr w:type="spellEnd"/>
      <w:r w:rsidRPr="00635F5B">
        <w:t xml:space="preserve">: </w:t>
      </w:r>
      <w:proofErr w:type="spellStart"/>
      <w:r w:rsidRPr="00635F5B">
        <w:t>pseudomembranózna</w:t>
      </w:r>
      <w:proofErr w:type="spellEnd"/>
      <w:r w:rsidRPr="00635F5B">
        <w:t xml:space="preserve"> </w:t>
      </w:r>
      <w:proofErr w:type="spellStart"/>
      <w:r w:rsidRPr="00635F5B">
        <w:t>kolitída</w:t>
      </w:r>
      <w:proofErr w:type="spellEnd"/>
    </w:p>
    <w:p w:rsidR="00373408" w:rsidRPr="00635F5B" w:rsidRDefault="0042642C" w:rsidP="00373408">
      <w:pPr>
        <w:pStyle w:val="Normlndobloku"/>
      </w:pPr>
      <w:proofErr w:type="spellStart"/>
      <w:r w:rsidRPr="00635F5B">
        <w:t>Hematopoetické</w:t>
      </w:r>
      <w:proofErr w:type="spellEnd"/>
      <w:r w:rsidRPr="00635F5B">
        <w:t xml:space="preserve">: </w:t>
      </w:r>
      <w:proofErr w:type="spellStart"/>
      <w:r w:rsidRPr="00635F5B">
        <w:t>leukopénia</w:t>
      </w:r>
      <w:proofErr w:type="spellEnd"/>
    </w:p>
    <w:p w:rsidR="00373408" w:rsidRPr="00635F5B" w:rsidRDefault="0042642C" w:rsidP="00373408">
      <w:pPr>
        <w:pStyle w:val="Normlndobloku"/>
      </w:pPr>
      <w:proofErr w:type="spellStart"/>
      <w:r w:rsidRPr="00635F5B">
        <w:t>Kožné</w:t>
      </w:r>
      <w:proofErr w:type="spellEnd"/>
      <w:r w:rsidRPr="00635F5B">
        <w:t xml:space="preserve">: </w:t>
      </w:r>
      <w:proofErr w:type="spellStart"/>
      <w:r w:rsidRPr="00635F5B">
        <w:t>pruritus</w:t>
      </w:r>
      <w:proofErr w:type="spellEnd"/>
      <w:r w:rsidRPr="00635F5B">
        <w:t xml:space="preserve">, </w:t>
      </w:r>
      <w:proofErr w:type="spellStart"/>
      <w:r w:rsidRPr="00635F5B">
        <w:t>Stevensov-Johnsonov</w:t>
      </w:r>
      <w:proofErr w:type="spellEnd"/>
      <w:r w:rsidRPr="00635F5B">
        <w:t xml:space="preserve"> </w:t>
      </w:r>
      <w:proofErr w:type="spellStart"/>
      <w:r w:rsidRPr="00635F5B">
        <w:t>syndróm</w:t>
      </w:r>
      <w:proofErr w:type="spellEnd"/>
    </w:p>
    <w:p w:rsidR="00373408" w:rsidRPr="00635F5B" w:rsidRDefault="0042642C" w:rsidP="00373408">
      <w:pPr>
        <w:pStyle w:val="Normlndobloku"/>
      </w:pPr>
      <w:proofErr w:type="spellStart"/>
      <w:r w:rsidRPr="00635F5B">
        <w:t>Močové</w:t>
      </w:r>
      <w:proofErr w:type="spellEnd"/>
      <w:r w:rsidRPr="00635F5B">
        <w:t xml:space="preserve">: </w:t>
      </w:r>
      <w:proofErr w:type="spellStart"/>
      <w:r w:rsidRPr="00635F5B">
        <w:t>hematúria</w:t>
      </w:r>
      <w:proofErr w:type="spellEnd"/>
    </w:p>
    <w:p w:rsidR="00373408" w:rsidRPr="00635F5B" w:rsidRDefault="0042642C" w:rsidP="00373408">
      <w:pPr>
        <w:pStyle w:val="Normlndobloku"/>
      </w:pPr>
      <w:proofErr w:type="spellStart"/>
      <w:r w:rsidRPr="00635F5B">
        <w:lastRenderedPageBreak/>
        <w:t>Cievne</w:t>
      </w:r>
      <w:proofErr w:type="spellEnd"/>
      <w:r w:rsidRPr="00635F5B">
        <w:t xml:space="preserve">: </w:t>
      </w:r>
      <w:proofErr w:type="spellStart"/>
      <w:r w:rsidRPr="00635F5B">
        <w:t>vaskulitída</w:t>
      </w:r>
      <w:proofErr w:type="spellEnd"/>
    </w:p>
    <w:p w:rsidR="0042642C" w:rsidRPr="00635F5B" w:rsidRDefault="0042642C" w:rsidP="009A4807">
      <w:pPr>
        <w:pStyle w:val="Styl3"/>
      </w:pPr>
      <w:r w:rsidRPr="00635F5B">
        <w:t>Hlásenie podozrení na nežiaduce reakcie</w:t>
      </w:r>
    </w:p>
    <w:p w:rsidR="0042642C" w:rsidRPr="00635F5B" w:rsidRDefault="0042642C" w:rsidP="0042642C">
      <w:pPr>
        <w:pStyle w:val="Normlndobloku"/>
        <w:rPr>
          <w:lang w:val="sk-SK"/>
        </w:rPr>
      </w:pPr>
      <w:r w:rsidRPr="00635F5B">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04D61">
        <w:rPr>
          <w:szCs w:val="22"/>
          <w:lang w:val="sk-SK"/>
        </w:rPr>
        <w:t>národné centrum</w:t>
      </w:r>
      <w:r w:rsidRPr="00104D61">
        <w:rPr>
          <w:lang w:val="sk-SK"/>
        </w:rPr>
        <w:t xml:space="preserve"> hlásenia uvedené v </w:t>
      </w:r>
      <w:hyperlink r:id="rId8" w:history="1">
        <w:r w:rsidRPr="00104D61">
          <w:rPr>
            <w:rStyle w:val="Hypertextovprepojenie"/>
            <w:szCs w:val="22"/>
            <w:lang w:val="sk-SK"/>
          </w:rPr>
          <w:t>Prílohe V</w:t>
        </w:r>
      </w:hyperlink>
      <w:r w:rsidRPr="00104D61">
        <w:rPr>
          <w:color w:val="008000"/>
          <w:lang w:val="sk-SK"/>
        </w:rPr>
        <w:t>*</w:t>
      </w:r>
      <w:r w:rsidRPr="00635F5B">
        <w:rPr>
          <w:lang w:val="sk-SK"/>
        </w:rPr>
        <w:t>.</w:t>
      </w:r>
    </w:p>
    <w:p w:rsidR="0042642C" w:rsidRPr="00635F5B" w:rsidRDefault="0042642C" w:rsidP="0055389B">
      <w:pPr>
        <w:pStyle w:val="Styl2"/>
        <w:numPr>
          <w:ilvl w:val="1"/>
          <w:numId w:val="1"/>
        </w:numPr>
        <w:spacing w:before="240"/>
        <w:ind w:left="0" w:firstLine="0"/>
        <w:rPr>
          <w:lang w:val="sk-SK"/>
        </w:rPr>
      </w:pPr>
      <w:r w:rsidRPr="00635F5B">
        <w:rPr>
          <w:lang w:val="sk-SK"/>
        </w:rPr>
        <w:t>Predávkovanie</w:t>
      </w:r>
    </w:p>
    <w:p w:rsidR="0042642C" w:rsidRPr="00635F5B" w:rsidRDefault="0042642C" w:rsidP="009A4807">
      <w:pPr>
        <w:pStyle w:val="Styl3"/>
      </w:pPr>
      <w:r w:rsidRPr="00635F5B">
        <w:t>Príznaky</w:t>
      </w:r>
    </w:p>
    <w:p w:rsidR="0042642C" w:rsidRPr="00635F5B" w:rsidRDefault="0042642C" w:rsidP="0042642C">
      <w:pPr>
        <w:pStyle w:val="Normlndobloku"/>
        <w:rPr>
          <w:lang w:val="sk-SK"/>
        </w:rPr>
      </w:pPr>
      <w:r w:rsidRPr="00635F5B">
        <w:rPr>
          <w:lang w:val="sk-SK"/>
        </w:rPr>
        <w:t xml:space="preserve">Je málo dostupných informácií o akútnej humánnej toxicite </w:t>
      </w:r>
      <w:proofErr w:type="spellStart"/>
      <w:r w:rsidRPr="00635F5B">
        <w:rPr>
          <w:lang w:val="sk-SK"/>
        </w:rPr>
        <w:t>cefoperazónu</w:t>
      </w:r>
      <w:proofErr w:type="spellEnd"/>
      <w:r w:rsidRPr="00635F5B">
        <w:rPr>
          <w:lang w:val="sk-SK"/>
        </w:rPr>
        <w:t xml:space="preserve"> a </w:t>
      </w:r>
      <w:proofErr w:type="spellStart"/>
      <w:r w:rsidRPr="00635F5B">
        <w:rPr>
          <w:lang w:val="sk-SK"/>
        </w:rPr>
        <w:t>sulbaktámu</w:t>
      </w:r>
      <w:proofErr w:type="spellEnd"/>
      <w:r w:rsidRPr="00635F5B">
        <w:rPr>
          <w:lang w:val="sk-SK"/>
        </w:rPr>
        <w:t xml:space="preserve">. Pri predávkovaní možno očakávať prejavy, ktoré sú principiálne zhoršením nežiaducich účinkov uvedených v písomnej informácii pre používateľa. Treba brať do úvahy skutočnosť, že vysoká koncentrácia </w:t>
      </w:r>
      <w:r w:rsidRPr="00635F5B">
        <w:rPr>
          <w:lang w:val="sk-SK"/>
        </w:rPr>
        <w:sym w:font="Symbol" w:char="F062"/>
      </w:r>
      <w:r w:rsidRPr="00635F5B">
        <w:rPr>
          <w:lang w:val="sk-SK"/>
        </w:rPr>
        <w:noBreakHyphen/>
      </w:r>
      <w:proofErr w:type="spellStart"/>
      <w:r w:rsidRPr="00635F5B">
        <w:rPr>
          <w:lang w:val="sk-SK"/>
        </w:rPr>
        <w:t>laktámových</w:t>
      </w:r>
      <w:proofErr w:type="spellEnd"/>
      <w:r w:rsidRPr="00635F5B">
        <w:rPr>
          <w:lang w:val="sk-SK"/>
        </w:rPr>
        <w:t xml:space="preserve"> antibiotík v </w:t>
      </w:r>
      <w:proofErr w:type="spellStart"/>
      <w:r w:rsidRPr="00635F5B">
        <w:rPr>
          <w:lang w:val="sk-SK"/>
        </w:rPr>
        <w:t>cerebrospinálnom</w:t>
      </w:r>
      <w:proofErr w:type="spellEnd"/>
      <w:r w:rsidRPr="00635F5B">
        <w:rPr>
          <w:lang w:val="sk-SK"/>
        </w:rPr>
        <w:t xml:space="preserve"> moku môže vyvolať neurologické príznaky, vrátane kŕčov.</w:t>
      </w:r>
    </w:p>
    <w:p w:rsidR="0042642C" w:rsidRPr="00635F5B" w:rsidRDefault="0042642C" w:rsidP="009A4807">
      <w:pPr>
        <w:pStyle w:val="Styl3"/>
      </w:pPr>
      <w:r w:rsidRPr="00635F5B">
        <w:t>Liečba</w:t>
      </w:r>
    </w:p>
    <w:p w:rsidR="0042642C" w:rsidRPr="00635F5B" w:rsidRDefault="0042642C" w:rsidP="0042642C">
      <w:pPr>
        <w:pStyle w:val="Normlndobloku"/>
        <w:rPr>
          <w:lang w:val="sk-SK"/>
        </w:rPr>
      </w:pPr>
      <w:r w:rsidRPr="00635F5B">
        <w:rPr>
          <w:lang w:val="sk-SK"/>
        </w:rPr>
        <w:t xml:space="preserve">Pretože </w:t>
      </w:r>
      <w:proofErr w:type="spellStart"/>
      <w:r w:rsidRPr="00635F5B">
        <w:rPr>
          <w:lang w:val="sk-SK"/>
        </w:rPr>
        <w:t>cefoperazón</w:t>
      </w:r>
      <w:proofErr w:type="spellEnd"/>
      <w:r w:rsidRPr="00635F5B">
        <w:rPr>
          <w:lang w:val="sk-SK"/>
        </w:rPr>
        <w:t xml:space="preserve"> a </w:t>
      </w:r>
      <w:proofErr w:type="spellStart"/>
      <w:r w:rsidRPr="00635F5B">
        <w:rPr>
          <w:lang w:val="sk-SK"/>
        </w:rPr>
        <w:t>sulbaktám</w:t>
      </w:r>
      <w:proofErr w:type="spellEnd"/>
      <w:r w:rsidRPr="00635F5B">
        <w:rPr>
          <w:lang w:val="sk-SK"/>
        </w:rPr>
        <w:t xml:space="preserve"> sa dajú odstrániť z cirkulácie hemodialýzou, možno tento postup použiť na zvýšenie eliminácie lieku u predávkovaného pacienta s poruchou </w:t>
      </w:r>
      <w:proofErr w:type="spellStart"/>
      <w:r w:rsidRPr="00635F5B">
        <w:rPr>
          <w:lang w:val="sk-SK"/>
        </w:rPr>
        <w:t>renálnych</w:t>
      </w:r>
      <w:proofErr w:type="spellEnd"/>
      <w:r w:rsidRPr="00635F5B">
        <w:rPr>
          <w:lang w:val="sk-SK"/>
        </w:rPr>
        <w:t xml:space="preserve"> funkcií.</w:t>
      </w:r>
    </w:p>
    <w:p w:rsidR="0042642C" w:rsidRPr="00635F5B" w:rsidRDefault="0042642C" w:rsidP="0055389B">
      <w:pPr>
        <w:pStyle w:val="Styl1"/>
        <w:numPr>
          <w:ilvl w:val="0"/>
          <w:numId w:val="1"/>
        </w:numPr>
        <w:spacing w:before="480"/>
        <w:ind w:left="357" w:hanging="357"/>
        <w:rPr>
          <w:lang w:val="sk-SK"/>
        </w:rPr>
      </w:pPr>
      <w:r w:rsidRPr="00635F5B">
        <w:rPr>
          <w:lang w:val="sk-SK"/>
        </w:rPr>
        <w:t>FARMAKOLOGICKÉ VLASTNOSTI</w:t>
      </w:r>
    </w:p>
    <w:p w:rsidR="0042642C" w:rsidRPr="00635F5B" w:rsidRDefault="0042642C" w:rsidP="0055389B">
      <w:pPr>
        <w:pStyle w:val="Styl2"/>
        <w:numPr>
          <w:ilvl w:val="1"/>
          <w:numId w:val="1"/>
        </w:numPr>
        <w:spacing w:before="240"/>
        <w:ind w:left="0" w:firstLine="0"/>
        <w:rPr>
          <w:lang w:val="sk-SK"/>
        </w:rPr>
      </w:pPr>
      <w:proofErr w:type="spellStart"/>
      <w:r w:rsidRPr="00635F5B">
        <w:rPr>
          <w:lang w:val="sk-SK"/>
        </w:rPr>
        <w:t>Farmakodynamické</w:t>
      </w:r>
      <w:proofErr w:type="spellEnd"/>
      <w:r w:rsidRPr="00635F5B">
        <w:rPr>
          <w:lang w:val="sk-SK"/>
        </w:rPr>
        <w:t xml:space="preserve"> vlastnosti</w:t>
      </w:r>
    </w:p>
    <w:p w:rsidR="0042642C" w:rsidRPr="00635F5B" w:rsidRDefault="0042642C" w:rsidP="0042642C">
      <w:pPr>
        <w:pStyle w:val="Normlndobloku"/>
        <w:rPr>
          <w:lang w:val="sk-SK"/>
        </w:rPr>
      </w:pPr>
      <w:proofErr w:type="spellStart"/>
      <w:r w:rsidRPr="00635F5B">
        <w:rPr>
          <w:lang w:val="sk-SK"/>
        </w:rPr>
        <w:t>Farmakoterapeutická</w:t>
      </w:r>
      <w:proofErr w:type="spellEnd"/>
      <w:r w:rsidRPr="00635F5B">
        <w:rPr>
          <w:lang w:val="sk-SK"/>
        </w:rPr>
        <w:t xml:space="preserve"> skupina: antibiotiká na systémové použitie, </w:t>
      </w:r>
      <w:proofErr w:type="spellStart"/>
      <w:r w:rsidRPr="00635F5B">
        <w:rPr>
          <w:lang w:val="sk-SK"/>
        </w:rPr>
        <w:t>cefalosporíny</w:t>
      </w:r>
      <w:proofErr w:type="spellEnd"/>
      <w:r w:rsidRPr="00635F5B">
        <w:rPr>
          <w:lang w:val="sk-SK"/>
        </w:rPr>
        <w:t xml:space="preserve"> tretej generácie.</w:t>
      </w:r>
      <w:r w:rsidR="00E67B26">
        <w:rPr>
          <w:lang w:val="sk-SK"/>
        </w:rPr>
        <w:t xml:space="preserve"> </w:t>
      </w:r>
      <w:bookmarkStart w:id="0" w:name="_GoBack"/>
      <w:bookmarkEnd w:id="0"/>
      <w:r w:rsidRPr="00635F5B">
        <w:rPr>
          <w:lang w:val="sk-SK"/>
        </w:rPr>
        <w:t>ATC kód: J01DD62</w:t>
      </w:r>
    </w:p>
    <w:p w:rsidR="0042642C" w:rsidRPr="00635F5B" w:rsidRDefault="0042642C" w:rsidP="0042642C">
      <w:pPr>
        <w:pStyle w:val="Normlndobloku"/>
        <w:rPr>
          <w:lang w:val="sk-SK"/>
        </w:rPr>
      </w:pPr>
      <w:r w:rsidRPr="00635F5B">
        <w:rPr>
          <w:lang w:val="sk-SK"/>
        </w:rPr>
        <w:t xml:space="preserve">Antibakteriálnou zložkou kombinácie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je </w:t>
      </w:r>
      <w:proofErr w:type="spellStart"/>
      <w:r w:rsidRPr="00635F5B">
        <w:rPr>
          <w:lang w:val="sk-SK"/>
        </w:rPr>
        <w:t>cefoperazón</w:t>
      </w:r>
      <w:proofErr w:type="spellEnd"/>
      <w:r w:rsidRPr="00635F5B">
        <w:rPr>
          <w:lang w:val="sk-SK"/>
        </w:rPr>
        <w:t xml:space="preserve">, </w:t>
      </w:r>
      <w:proofErr w:type="spellStart"/>
      <w:r w:rsidRPr="00635F5B">
        <w:rPr>
          <w:lang w:val="sk-SK"/>
        </w:rPr>
        <w:t>cefalosporín</w:t>
      </w:r>
      <w:proofErr w:type="spellEnd"/>
      <w:r w:rsidRPr="00635F5B">
        <w:rPr>
          <w:lang w:val="sk-SK"/>
        </w:rPr>
        <w:t xml:space="preserve"> tretej generácie, ktorý pôsobí na citlivé mikroorganizmy vo fáze aktívneho delenia inhibíciou </w:t>
      </w:r>
      <w:proofErr w:type="spellStart"/>
      <w:r w:rsidRPr="00635F5B">
        <w:rPr>
          <w:lang w:val="sk-SK"/>
        </w:rPr>
        <w:t>biosyntézy</w:t>
      </w:r>
      <w:proofErr w:type="spellEnd"/>
      <w:r w:rsidRPr="00635F5B">
        <w:rPr>
          <w:lang w:val="sk-SK"/>
        </w:rPr>
        <w:t xml:space="preserve"> </w:t>
      </w:r>
      <w:proofErr w:type="spellStart"/>
      <w:r w:rsidRPr="00635F5B">
        <w:rPr>
          <w:lang w:val="sk-SK"/>
        </w:rPr>
        <w:t>mukopeptidov</w:t>
      </w:r>
      <w:proofErr w:type="spellEnd"/>
      <w:r w:rsidRPr="00635F5B">
        <w:rPr>
          <w:lang w:val="sk-SK"/>
        </w:rPr>
        <w:t xml:space="preserve"> bunkovej steny.</w:t>
      </w:r>
    </w:p>
    <w:p w:rsidR="0042642C" w:rsidRPr="00635F5B" w:rsidRDefault="0042642C" w:rsidP="0042642C">
      <w:pPr>
        <w:pStyle w:val="Normlndobloku"/>
        <w:rPr>
          <w:lang w:val="sk-SK"/>
        </w:rPr>
      </w:pPr>
      <w:proofErr w:type="spellStart"/>
      <w:r w:rsidRPr="00635F5B">
        <w:rPr>
          <w:lang w:val="sk-SK"/>
        </w:rPr>
        <w:t>Sulbaktám</w:t>
      </w:r>
      <w:proofErr w:type="spellEnd"/>
      <w:r w:rsidRPr="00635F5B">
        <w:rPr>
          <w:lang w:val="sk-SK"/>
        </w:rPr>
        <w:t xml:space="preserve"> má vlastný antibakteriálny účinok len na kmene </w:t>
      </w:r>
      <w:proofErr w:type="spellStart"/>
      <w:r w:rsidRPr="00635F5B">
        <w:rPr>
          <w:rStyle w:val="Bacil"/>
          <w:lang w:val="sk-SK"/>
        </w:rPr>
        <w:t>Neisseriaceae</w:t>
      </w:r>
      <w:proofErr w:type="spellEnd"/>
      <w:r w:rsidRPr="00635F5B">
        <w:rPr>
          <w:lang w:val="sk-SK"/>
        </w:rPr>
        <w:t xml:space="preserve"> a </w:t>
      </w:r>
      <w:proofErr w:type="spellStart"/>
      <w:r w:rsidRPr="00635F5B">
        <w:rPr>
          <w:rStyle w:val="Bacil"/>
          <w:lang w:val="sk-SK"/>
        </w:rPr>
        <w:t>Acinetobacter</w:t>
      </w:r>
      <w:proofErr w:type="spellEnd"/>
      <w:r w:rsidRPr="00635F5B">
        <w:rPr>
          <w:lang w:val="sk-SK"/>
        </w:rPr>
        <w:t xml:space="preserve">. Avšak biochemické štúdie s bezbunkovými bakteriálnymi systémami ukázali, že účinkuje ako ireverzibilný inhibítor najdôležitejších </w:t>
      </w:r>
      <w:proofErr w:type="spellStart"/>
      <w:r w:rsidRPr="00635F5B">
        <w:rPr>
          <w:lang w:val="sk-SK"/>
        </w:rPr>
        <w:t>betalaktamáz</w:t>
      </w:r>
      <w:proofErr w:type="spellEnd"/>
      <w:r w:rsidRPr="00635F5B">
        <w:rPr>
          <w:lang w:val="sk-SK"/>
        </w:rPr>
        <w:t xml:space="preserve"> produkovaných kmeňmi rezistentnými na </w:t>
      </w:r>
      <w:proofErr w:type="spellStart"/>
      <w:r w:rsidRPr="00635F5B">
        <w:rPr>
          <w:lang w:val="sk-SK"/>
        </w:rPr>
        <w:t>betalaktámové</w:t>
      </w:r>
      <w:proofErr w:type="spellEnd"/>
      <w:r w:rsidRPr="00635F5B">
        <w:rPr>
          <w:lang w:val="sk-SK"/>
        </w:rPr>
        <w:t xml:space="preserve"> antibiotiká.</w:t>
      </w:r>
    </w:p>
    <w:p w:rsidR="0042642C" w:rsidRPr="00635F5B" w:rsidRDefault="0042642C" w:rsidP="0042642C">
      <w:pPr>
        <w:pStyle w:val="Normlndobloku"/>
        <w:rPr>
          <w:lang w:val="sk-SK"/>
        </w:rPr>
      </w:pPr>
      <w:r w:rsidRPr="00635F5B">
        <w:rPr>
          <w:lang w:val="sk-SK"/>
        </w:rPr>
        <w:t xml:space="preserve">Schopnosť </w:t>
      </w:r>
      <w:proofErr w:type="spellStart"/>
      <w:r w:rsidRPr="00635F5B">
        <w:rPr>
          <w:lang w:val="sk-SK"/>
        </w:rPr>
        <w:t>sulbaktámu</w:t>
      </w:r>
      <w:proofErr w:type="spellEnd"/>
      <w:r w:rsidRPr="00635F5B">
        <w:rPr>
          <w:lang w:val="sk-SK"/>
        </w:rPr>
        <w:t xml:space="preserve"> zabrániť deštrukcii </w:t>
      </w:r>
      <w:proofErr w:type="spellStart"/>
      <w:r w:rsidRPr="00635F5B">
        <w:rPr>
          <w:lang w:val="sk-SK"/>
        </w:rPr>
        <w:t>cefalosporínov</w:t>
      </w:r>
      <w:proofErr w:type="spellEnd"/>
      <w:r w:rsidRPr="00635F5B">
        <w:rPr>
          <w:lang w:val="sk-SK"/>
        </w:rPr>
        <w:t xml:space="preserve"> a penicilínov rezistentnými mikroorganizmami bola potvrdená v štúdiách, v ktorých sa použili rezistentné kmene na tieto antibiotiká. </w:t>
      </w:r>
      <w:proofErr w:type="spellStart"/>
      <w:r w:rsidRPr="00635F5B">
        <w:rPr>
          <w:lang w:val="sk-SK"/>
        </w:rPr>
        <w:t>Sulbaktám</w:t>
      </w:r>
      <w:proofErr w:type="spellEnd"/>
      <w:r w:rsidRPr="00635F5B">
        <w:rPr>
          <w:lang w:val="sk-SK"/>
        </w:rPr>
        <w:t xml:space="preserve"> mal výrazný synergický efekt pri súčasnom podávaní s penicilínmi a </w:t>
      </w:r>
      <w:proofErr w:type="spellStart"/>
      <w:r w:rsidRPr="00635F5B">
        <w:rPr>
          <w:lang w:val="sk-SK"/>
        </w:rPr>
        <w:t>cefalosporínmi</w:t>
      </w:r>
      <w:proofErr w:type="spellEnd"/>
      <w:r w:rsidRPr="00635F5B">
        <w:rPr>
          <w:lang w:val="sk-SK"/>
        </w:rPr>
        <w:t xml:space="preserve">. </w:t>
      </w:r>
      <w:proofErr w:type="spellStart"/>
      <w:r w:rsidRPr="00635F5B">
        <w:rPr>
          <w:lang w:val="sk-SK"/>
        </w:rPr>
        <w:t>Sulbaktám</w:t>
      </w:r>
      <w:proofErr w:type="spellEnd"/>
      <w:r w:rsidRPr="00635F5B">
        <w:rPr>
          <w:lang w:val="sk-SK"/>
        </w:rPr>
        <w:t xml:space="preserve"> má schopnosť viazať sa na niektoré bielkoviny viažuce penicilíny, preto niektoré kmene, ktoré sú citlivé na samotný </w:t>
      </w:r>
      <w:proofErr w:type="spellStart"/>
      <w:r w:rsidRPr="00635F5B">
        <w:rPr>
          <w:lang w:val="sk-SK"/>
        </w:rPr>
        <w:t>cefoperazón</w:t>
      </w:r>
      <w:proofErr w:type="spellEnd"/>
      <w:r w:rsidRPr="00635F5B">
        <w:rPr>
          <w:lang w:val="sk-SK"/>
        </w:rPr>
        <w:t xml:space="preserve">, sú ešte citlivejšie na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w:t>
      </w:r>
    </w:p>
    <w:p w:rsidR="0042642C" w:rsidRPr="00635F5B" w:rsidRDefault="0042642C" w:rsidP="0042642C">
      <w:pPr>
        <w:pStyle w:val="Normlndobloku"/>
        <w:rPr>
          <w:lang w:val="sk-SK"/>
        </w:rPr>
      </w:pPr>
      <w:r w:rsidRPr="00635F5B">
        <w:rPr>
          <w:lang w:val="sk-SK"/>
        </w:rPr>
        <w:t xml:space="preserve">Kombinácia </w:t>
      </w:r>
      <w:proofErr w:type="spellStart"/>
      <w:r w:rsidRPr="00635F5B">
        <w:rPr>
          <w:lang w:val="sk-SK"/>
        </w:rPr>
        <w:t>sulbaktámu</w:t>
      </w:r>
      <w:proofErr w:type="spellEnd"/>
      <w:r w:rsidRPr="00635F5B">
        <w:rPr>
          <w:lang w:val="sk-SK"/>
        </w:rPr>
        <w:t xml:space="preserve"> a </w:t>
      </w:r>
      <w:proofErr w:type="spellStart"/>
      <w:r w:rsidRPr="00635F5B">
        <w:rPr>
          <w:lang w:val="sk-SK"/>
        </w:rPr>
        <w:t>cefoperazónu</w:t>
      </w:r>
      <w:proofErr w:type="spellEnd"/>
      <w:r w:rsidRPr="00635F5B">
        <w:rPr>
          <w:lang w:val="sk-SK"/>
        </w:rPr>
        <w:t xml:space="preserve"> je účinná proti všetkým mikroorganizmom citlivým na </w:t>
      </w:r>
      <w:proofErr w:type="spellStart"/>
      <w:r w:rsidRPr="00635F5B">
        <w:rPr>
          <w:lang w:val="sk-SK"/>
        </w:rPr>
        <w:t>cefoperazón</w:t>
      </w:r>
      <w:proofErr w:type="spellEnd"/>
      <w:r w:rsidRPr="00635F5B">
        <w:rPr>
          <w:lang w:val="sk-SK"/>
        </w:rPr>
        <w:t>, ale okrem toho má aj synergický účinok (až 4</w:t>
      </w:r>
      <w:r w:rsidRPr="00635F5B">
        <w:rPr>
          <w:lang w:val="sk-SK"/>
        </w:rPr>
        <w:noBreakHyphen/>
        <w:t>násobné zníženie MIC pri kombinácii zložiek oproti MIC pre jednotlivé komponenty) na rôzne mikroorganizmy, a to predovšetkým na:</w:t>
      </w:r>
    </w:p>
    <w:p w:rsidR="00373408" w:rsidRPr="00635F5B" w:rsidRDefault="0042642C" w:rsidP="00373408">
      <w:pPr>
        <w:pStyle w:val="Normlndobloku"/>
        <w:rPr>
          <w:rStyle w:val="Bacil"/>
        </w:rPr>
      </w:pPr>
      <w:proofErr w:type="spellStart"/>
      <w:r w:rsidRPr="00635F5B">
        <w:rPr>
          <w:rStyle w:val="Bacil"/>
        </w:rPr>
        <w:t>Haemophilus</w:t>
      </w:r>
      <w:proofErr w:type="spellEnd"/>
      <w:r w:rsidRPr="00635F5B">
        <w:rPr>
          <w:rStyle w:val="Bacil"/>
        </w:rPr>
        <w:t xml:space="preserve"> </w:t>
      </w:r>
      <w:proofErr w:type="spellStart"/>
      <w:r w:rsidRPr="00635F5B">
        <w:rPr>
          <w:rStyle w:val="Bacil"/>
        </w:rPr>
        <w:t>influenzae</w:t>
      </w:r>
      <w:proofErr w:type="spellEnd"/>
    </w:p>
    <w:p w:rsidR="00373408" w:rsidRPr="00635F5B" w:rsidRDefault="0042642C" w:rsidP="00373408">
      <w:pPr>
        <w:pStyle w:val="Normlndobloku"/>
      </w:pPr>
      <w:r w:rsidRPr="00635F5B">
        <w:rPr>
          <w:rStyle w:val="Bacil"/>
        </w:rPr>
        <w:t>Bacteroides</w:t>
      </w:r>
      <w:r w:rsidRPr="00635F5B">
        <w:t xml:space="preserve"> sp.</w:t>
      </w:r>
    </w:p>
    <w:p w:rsidR="00373408" w:rsidRPr="00635F5B" w:rsidRDefault="0042642C" w:rsidP="00373408">
      <w:pPr>
        <w:pStyle w:val="Normlndobloku"/>
      </w:pPr>
      <w:r w:rsidRPr="00635F5B">
        <w:rPr>
          <w:rStyle w:val="Bacil"/>
        </w:rPr>
        <w:t>Staphylococcus</w:t>
      </w:r>
      <w:r w:rsidRPr="00635F5B">
        <w:t xml:space="preserve"> sp.</w:t>
      </w:r>
    </w:p>
    <w:p w:rsidR="00373408" w:rsidRPr="00635F5B" w:rsidRDefault="0042642C" w:rsidP="00373408">
      <w:pPr>
        <w:pStyle w:val="Normlndobloku"/>
        <w:rPr>
          <w:rStyle w:val="Bacil"/>
        </w:rPr>
      </w:pPr>
      <w:proofErr w:type="spellStart"/>
      <w:r w:rsidRPr="00635F5B">
        <w:rPr>
          <w:rStyle w:val="Bacil"/>
        </w:rPr>
        <w:t>Acinetobacter</w:t>
      </w:r>
      <w:proofErr w:type="spellEnd"/>
      <w:r w:rsidRPr="00635F5B">
        <w:rPr>
          <w:rStyle w:val="Bacil"/>
        </w:rPr>
        <w:t xml:space="preserve"> </w:t>
      </w:r>
      <w:proofErr w:type="spellStart"/>
      <w:r w:rsidRPr="00635F5B">
        <w:rPr>
          <w:rStyle w:val="Bacil"/>
        </w:rPr>
        <w:t>calcoaticus</w:t>
      </w:r>
      <w:proofErr w:type="spellEnd"/>
    </w:p>
    <w:p w:rsidR="00373408" w:rsidRPr="00635F5B" w:rsidRDefault="0042642C" w:rsidP="00373408">
      <w:pPr>
        <w:pStyle w:val="Normlndobloku"/>
        <w:rPr>
          <w:rStyle w:val="Bacil"/>
        </w:rPr>
      </w:pPr>
      <w:r w:rsidRPr="00635F5B">
        <w:rPr>
          <w:rStyle w:val="Bacil"/>
        </w:rPr>
        <w:t>Enterobacter aerogenes</w:t>
      </w:r>
    </w:p>
    <w:p w:rsidR="00373408" w:rsidRPr="00635F5B" w:rsidRDefault="0042642C" w:rsidP="00373408">
      <w:pPr>
        <w:pStyle w:val="Normlndobloku"/>
        <w:rPr>
          <w:rStyle w:val="Bacil"/>
        </w:rPr>
      </w:pPr>
      <w:r w:rsidRPr="00635F5B">
        <w:rPr>
          <w:rStyle w:val="Bacil"/>
        </w:rPr>
        <w:t>Escherichia coli</w:t>
      </w:r>
    </w:p>
    <w:p w:rsidR="00373408" w:rsidRPr="00635F5B" w:rsidRDefault="0042642C" w:rsidP="00373408">
      <w:pPr>
        <w:pStyle w:val="Normlndobloku"/>
        <w:rPr>
          <w:rStyle w:val="Bacil"/>
        </w:rPr>
      </w:pPr>
      <w:r w:rsidRPr="00635F5B">
        <w:rPr>
          <w:rStyle w:val="Bacil"/>
        </w:rPr>
        <w:t>Proteus mirabilis</w:t>
      </w:r>
    </w:p>
    <w:p w:rsidR="00373408" w:rsidRPr="00635F5B" w:rsidRDefault="0042642C" w:rsidP="00373408">
      <w:pPr>
        <w:pStyle w:val="Normlndobloku"/>
        <w:rPr>
          <w:rStyle w:val="Bacil"/>
        </w:rPr>
      </w:pPr>
      <w:r w:rsidRPr="00635F5B">
        <w:rPr>
          <w:rStyle w:val="Bacil"/>
        </w:rPr>
        <w:t>Klebsiella pneumoniae</w:t>
      </w:r>
    </w:p>
    <w:p w:rsidR="00373408" w:rsidRPr="00635F5B" w:rsidRDefault="0042642C" w:rsidP="00373408">
      <w:pPr>
        <w:pStyle w:val="Normlndobloku"/>
        <w:rPr>
          <w:rStyle w:val="Bacil"/>
        </w:rPr>
      </w:pPr>
      <w:proofErr w:type="spellStart"/>
      <w:r w:rsidRPr="00635F5B">
        <w:rPr>
          <w:rStyle w:val="Bacil"/>
        </w:rPr>
        <w:lastRenderedPageBreak/>
        <w:t>Morganella</w:t>
      </w:r>
      <w:proofErr w:type="spellEnd"/>
      <w:r w:rsidRPr="00635F5B">
        <w:rPr>
          <w:rStyle w:val="Bacil"/>
        </w:rPr>
        <w:t xml:space="preserve"> </w:t>
      </w:r>
      <w:proofErr w:type="spellStart"/>
      <w:r w:rsidRPr="00635F5B">
        <w:rPr>
          <w:rStyle w:val="Bacil"/>
        </w:rPr>
        <w:t>morganii</w:t>
      </w:r>
      <w:proofErr w:type="spellEnd"/>
    </w:p>
    <w:p w:rsidR="00373408" w:rsidRPr="00635F5B" w:rsidRDefault="0042642C" w:rsidP="00373408">
      <w:pPr>
        <w:pStyle w:val="Normlndobloku"/>
        <w:rPr>
          <w:rStyle w:val="Bacil"/>
        </w:rPr>
      </w:pPr>
      <w:proofErr w:type="spellStart"/>
      <w:r w:rsidRPr="00635F5B">
        <w:rPr>
          <w:rStyle w:val="Bacil"/>
        </w:rPr>
        <w:t>Citrobacter</w:t>
      </w:r>
      <w:proofErr w:type="spellEnd"/>
      <w:r w:rsidRPr="00635F5B">
        <w:rPr>
          <w:rStyle w:val="Bacil"/>
        </w:rPr>
        <w:t xml:space="preserve"> </w:t>
      </w:r>
      <w:proofErr w:type="spellStart"/>
      <w:r w:rsidRPr="00635F5B">
        <w:rPr>
          <w:rStyle w:val="Bacil"/>
        </w:rPr>
        <w:t>freundii</w:t>
      </w:r>
      <w:proofErr w:type="spellEnd"/>
    </w:p>
    <w:p w:rsidR="00373408" w:rsidRPr="00635F5B" w:rsidRDefault="0042642C" w:rsidP="00373408">
      <w:pPr>
        <w:pStyle w:val="Normlndobloku"/>
        <w:rPr>
          <w:rStyle w:val="Bacil"/>
        </w:rPr>
      </w:pPr>
      <w:r w:rsidRPr="00635F5B">
        <w:rPr>
          <w:rStyle w:val="Bacil"/>
        </w:rPr>
        <w:t>Enterobacter cloacae</w:t>
      </w:r>
    </w:p>
    <w:p w:rsidR="00373408" w:rsidRPr="00635F5B" w:rsidRDefault="0042642C" w:rsidP="00373408">
      <w:pPr>
        <w:pStyle w:val="Normlndobloku"/>
        <w:rPr>
          <w:rStyle w:val="Bacil"/>
        </w:rPr>
      </w:pPr>
      <w:proofErr w:type="spellStart"/>
      <w:r w:rsidRPr="00635F5B">
        <w:rPr>
          <w:rStyle w:val="Bacil"/>
        </w:rPr>
        <w:t>Citrobacter</w:t>
      </w:r>
      <w:proofErr w:type="spellEnd"/>
      <w:r w:rsidRPr="00635F5B">
        <w:rPr>
          <w:rStyle w:val="Bacil"/>
        </w:rPr>
        <w:t xml:space="preserve"> </w:t>
      </w:r>
      <w:proofErr w:type="spellStart"/>
      <w:r w:rsidRPr="00635F5B">
        <w:rPr>
          <w:rStyle w:val="Bacil"/>
        </w:rPr>
        <w:t>diversus</w:t>
      </w:r>
      <w:proofErr w:type="spellEnd"/>
    </w:p>
    <w:p w:rsidR="0042642C" w:rsidRPr="00635F5B" w:rsidRDefault="0042642C" w:rsidP="0042642C">
      <w:pPr>
        <w:pStyle w:val="Normlndobloku"/>
        <w:rPr>
          <w:lang w:val="sk-SK"/>
        </w:rPr>
      </w:pPr>
      <w:r w:rsidRPr="00635F5B">
        <w:rPr>
          <w:lang w:val="sk-SK"/>
        </w:rPr>
        <w:t xml:space="preserve">Kombinácia </w:t>
      </w:r>
      <w:proofErr w:type="spellStart"/>
      <w:r w:rsidRPr="00635F5B">
        <w:rPr>
          <w:lang w:val="sk-SK"/>
        </w:rPr>
        <w:t>sulbaktámu</w:t>
      </w:r>
      <w:proofErr w:type="spellEnd"/>
      <w:r w:rsidRPr="00635F5B">
        <w:rPr>
          <w:lang w:val="sk-SK"/>
        </w:rPr>
        <w:t xml:space="preserve"> a </w:t>
      </w:r>
      <w:proofErr w:type="spellStart"/>
      <w:r w:rsidRPr="00635F5B">
        <w:rPr>
          <w:lang w:val="sk-SK"/>
        </w:rPr>
        <w:t>cefoperazónu</w:t>
      </w:r>
      <w:proofErr w:type="spellEnd"/>
      <w:r w:rsidRPr="00635F5B">
        <w:rPr>
          <w:lang w:val="sk-SK"/>
        </w:rPr>
        <w:t xml:space="preserve"> je </w:t>
      </w:r>
      <w:r w:rsidRPr="00635F5B">
        <w:rPr>
          <w:rStyle w:val="Bacil"/>
          <w:lang w:val="sk-SK"/>
        </w:rPr>
        <w:t>in vitro</w:t>
      </w:r>
      <w:r w:rsidRPr="00635F5B">
        <w:rPr>
          <w:lang w:val="sk-SK"/>
        </w:rPr>
        <w:t xml:space="preserve"> účinná na široké spektrum klinicky významných mikroorganizmov, ako sú:</w:t>
      </w:r>
    </w:p>
    <w:p w:rsidR="0042642C" w:rsidRPr="00635F5B" w:rsidRDefault="0042642C" w:rsidP="009A4807">
      <w:pPr>
        <w:pStyle w:val="Styl3"/>
      </w:pPr>
      <w:proofErr w:type="spellStart"/>
      <w:r w:rsidRPr="00635F5B">
        <w:t>Grampozitívne</w:t>
      </w:r>
      <w:proofErr w:type="spellEnd"/>
      <w:r w:rsidRPr="00635F5B">
        <w:t xml:space="preserve"> mikroorganizmy</w:t>
      </w:r>
    </w:p>
    <w:p w:rsidR="0042642C" w:rsidRPr="00635F5B" w:rsidRDefault="0042642C" w:rsidP="0042642C">
      <w:pPr>
        <w:pStyle w:val="Normlndobloku"/>
        <w:rPr>
          <w:lang w:val="sk-SK"/>
        </w:rPr>
      </w:pPr>
      <w:proofErr w:type="spellStart"/>
      <w:r w:rsidRPr="00635F5B">
        <w:rPr>
          <w:rStyle w:val="Bacil"/>
          <w:lang w:val="sk-SK"/>
        </w:rPr>
        <w:t>Staphylococcus</w:t>
      </w:r>
      <w:proofErr w:type="spellEnd"/>
      <w:r w:rsidRPr="00635F5B">
        <w:rPr>
          <w:rStyle w:val="Bacil"/>
          <w:lang w:val="sk-SK"/>
        </w:rPr>
        <w:t xml:space="preserve"> </w:t>
      </w:r>
      <w:proofErr w:type="spellStart"/>
      <w:r w:rsidRPr="00635F5B">
        <w:rPr>
          <w:rStyle w:val="Bacil"/>
          <w:lang w:val="sk-SK"/>
        </w:rPr>
        <w:t>aureus</w:t>
      </w:r>
      <w:proofErr w:type="spellEnd"/>
      <w:r w:rsidRPr="00635F5B">
        <w:rPr>
          <w:lang w:val="sk-SK"/>
        </w:rPr>
        <w:t xml:space="preserve"> (kmene produkujúce a neprodukujúce </w:t>
      </w:r>
      <w:proofErr w:type="spellStart"/>
      <w:r w:rsidRPr="00635F5B">
        <w:rPr>
          <w:lang w:val="sk-SK"/>
        </w:rPr>
        <w:t>penicilinázu</w:t>
      </w:r>
      <w:proofErr w:type="spellEnd"/>
      <w:r w:rsidRPr="00635F5B">
        <w:rPr>
          <w:lang w:val="sk-SK"/>
        </w:rPr>
        <w:t>)</w:t>
      </w:r>
    </w:p>
    <w:p w:rsidR="0042642C" w:rsidRPr="00635F5B" w:rsidRDefault="0042642C" w:rsidP="0042642C">
      <w:pPr>
        <w:pStyle w:val="Normlndobloku"/>
        <w:rPr>
          <w:rStyle w:val="Bacil"/>
          <w:lang w:val="sk-SK"/>
        </w:rPr>
      </w:pPr>
      <w:proofErr w:type="spellStart"/>
      <w:r w:rsidRPr="00635F5B">
        <w:rPr>
          <w:rStyle w:val="Bacil"/>
          <w:lang w:val="sk-SK"/>
        </w:rPr>
        <w:t>Staphylococcus</w:t>
      </w:r>
      <w:proofErr w:type="spellEnd"/>
      <w:r w:rsidRPr="00635F5B">
        <w:rPr>
          <w:rStyle w:val="Bacil"/>
          <w:lang w:val="sk-SK"/>
        </w:rPr>
        <w:t xml:space="preserve"> </w:t>
      </w:r>
      <w:proofErr w:type="spellStart"/>
      <w:r w:rsidRPr="00635F5B">
        <w:rPr>
          <w:rStyle w:val="Bacil"/>
          <w:lang w:val="sk-SK"/>
        </w:rPr>
        <w:t>epidermidis</w:t>
      </w:r>
      <w:proofErr w:type="spellEnd"/>
    </w:p>
    <w:p w:rsidR="0042642C" w:rsidRPr="00635F5B" w:rsidRDefault="0042642C" w:rsidP="0042642C">
      <w:pPr>
        <w:pStyle w:val="Normlndobloku"/>
        <w:rPr>
          <w:lang w:val="sk-SK"/>
        </w:rPr>
      </w:pPr>
      <w:proofErr w:type="spellStart"/>
      <w:r w:rsidRPr="00635F5B">
        <w:rPr>
          <w:rStyle w:val="Bacil"/>
          <w:lang w:val="sk-SK"/>
        </w:rPr>
        <w:t>Streptococcus</w:t>
      </w:r>
      <w:proofErr w:type="spellEnd"/>
      <w:r w:rsidRPr="00635F5B">
        <w:rPr>
          <w:rStyle w:val="Bacil"/>
          <w:lang w:val="sk-SK"/>
        </w:rPr>
        <w:t xml:space="preserve"> </w:t>
      </w:r>
      <w:proofErr w:type="spellStart"/>
      <w:r w:rsidRPr="00635F5B">
        <w:rPr>
          <w:rStyle w:val="Bacil"/>
          <w:lang w:val="sk-SK"/>
        </w:rPr>
        <w:t>pneumoniae</w:t>
      </w:r>
      <w:proofErr w:type="spellEnd"/>
      <w:r w:rsidRPr="00635F5B">
        <w:rPr>
          <w:lang w:val="sk-SK"/>
        </w:rPr>
        <w:t xml:space="preserve"> (predtým </w:t>
      </w:r>
      <w:proofErr w:type="spellStart"/>
      <w:r w:rsidRPr="00635F5B">
        <w:rPr>
          <w:rStyle w:val="Bacil"/>
          <w:lang w:val="sk-SK"/>
        </w:rPr>
        <w:t>Diplococcus</w:t>
      </w:r>
      <w:proofErr w:type="spellEnd"/>
      <w:r w:rsidRPr="00635F5B">
        <w:rPr>
          <w:rStyle w:val="Bacil"/>
          <w:lang w:val="sk-SK"/>
        </w:rPr>
        <w:t xml:space="preserve"> </w:t>
      </w:r>
      <w:proofErr w:type="spellStart"/>
      <w:r w:rsidRPr="00635F5B">
        <w:rPr>
          <w:rStyle w:val="Bacil"/>
          <w:lang w:val="sk-SK"/>
        </w:rPr>
        <w:t>pneumoniae</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Streptococcus</w:t>
      </w:r>
      <w:proofErr w:type="spellEnd"/>
      <w:r w:rsidRPr="00635F5B">
        <w:rPr>
          <w:rStyle w:val="Bacil"/>
          <w:lang w:val="sk-SK"/>
        </w:rPr>
        <w:t xml:space="preserve"> </w:t>
      </w:r>
      <w:proofErr w:type="spellStart"/>
      <w:r w:rsidRPr="00635F5B">
        <w:rPr>
          <w:rStyle w:val="Bacil"/>
          <w:lang w:val="sk-SK"/>
        </w:rPr>
        <w:t>pyogenes</w:t>
      </w:r>
      <w:proofErr w:type="spellEnd"/>
      <w:r w:rsidRPr="00635F5B">
        <w:rPr>
          <w:lang w:val="sk-SK"/>
        </w:rPr>
        <w:t xml:space="preserve"> (skupina A </w:t>
      </w:r>
      <w:proofErr w:type="spellStart"/>
      <w:r w:rsidRPr="00635F5B">
        <w:rPr>
          <w:lang w:val="sk-SK"/>
        </w:rPr>
        <w:t>betahemolytických</w:t>
      </w:r>
      <w:proofErr w:type="spellEnd"/>
      <w:r w:rsidRPr="00635F5B">
        <w:rPr>
          <w:lang w:val="sk-SK"/>
        </w:rPr>
        <w:t xml:space="preserve"> streptokokov)</w:t>
      </w:r>
    </w:p>
    <w:p w:rsidR="0042642C" w:rsidRPr="00635F5B" w:rsidRDefault="0042642C" w:rsidP="0042642C">
      <w:pPr>
        <w:pStyle w:val="Normlndobloku"/>
        <w:rPr>
          <w:lang w:val="sk-SK"/>
        </w:rPr>
      </w:pPr>
      <w:proofErr w:type="spellStart"/>
      <w:r w:rsidRPr="00635F5B">
        <w:rPr>
          <w:rStyle w:val="Bacil"/>
          <w:lang w:val="sk-SK"/>
        </w:rPr>
        <w:t>Streptococcus</w:t>
      </w:r>
      <w:proofErr w:type="spellEnd"/>
      <w:r w:rsidRPr="00635F5B">
        <w:rPr>
          <w:rStyle w:val="Bacil"/>
          <w:lang w:val="sk-SK"/>
        </w:rPr>
        <w:t xml:space="preserve"> </w:t>
      </w:r>
      <w:proofErr w:type="spellStart"/>
      <w:r w:rsidRPr="00635F5B">
        <w:rPr>
          <w:rStyle w:val="Bacil"/>
          <w:lang w:val="sk-SK"/>
        </w:rPr>
        <w:t>agalactiae</w:t>
      </w:r>
      <w:proofErr w:type="spellEnd"/>
      <w:r w:rsidRPr="00635F5B">
        <w:rPr>
          <w:lang w:val="sk-SK"/>
        </w:rPr>
        <w:t xml:space="preserve"> (skupina B </w:t>
      </w:r>
      <w:proofErr w:type="spellStart"/>
      <w:r w:rsidRPr="00635F5B">
        <w:rPr>
          <w:lang w:val="sk-SK"/>
        </w:rPr>
        <w:t>betahemolytických</w:t>
      </w:r>
      <w:proofErr w:type="spellEnd"/>
      <w:r w:rsidRPr="00635F5B">
        <w:rPr>
          <w:lang w:val="sk-SK"/>
        </w:rPr>
        <w:t xml:space="preserve"> streptokokov)</w:t>
      </w:r>
    </w:p>
    <w:p w:rsidR="0042642C" w:rsidRPr="00635F5B" w:rsidRDefault="0042642C" w:rsidP="0042642C">
      <w:pPr>
        <w:pStyle w:val="Normlndobloku"/>
        <w:rPr>
          <w:lang w:val="sk-SK"/>
        </w:rPr>
      </w:pPr>
      <w:r w:rsidRPr="00635F5B">
        <w:rPr>
          <w:lang w:val="sk-SK"/>
        </w:rPr>
        <w:t xml:space="preserve">Väčšina ostatných kmeňov </w:t>
      </w:r>
      <w:proofErr w:type="spellStart"/>
      <w:r w:rsidRPr="00635F5B">
        <w:rPr>
          <w:lang w:val="sk-SK"/>
        </w:rPr>
        <w:t>betahemolytických</w:t>
      </w:r>
      <w:proofErr w:type="spellEnd"/>
      <w:r w:rsidRPr="00635F5B">
        <w:rPr>
          <w:lang w:val="sk-SK"/>
        </w:rPr>
        <w:t xml:space="preserve"> streptokokov</w:t>
      </w:r>
    </w:p>
    <w:p w:rsidR="0042642C" w:rsidRPr="00635F5B" w:rsidRDefault="0042642C" w:rsidP="0042642C">
      <w:pPr>
        <w:pStyle w:val="Normlndobloku"/>
        <w:rPr>
          <w:lang w:val="sk-SK"/>
        </w:rPr>
      </w:pPr>
      <w:r w:rsidRPr="00635F5B">
        <w:rPr>
          <w:lang w:val="sk-SK"/>
        </w:rPr>
        <w:t xml:space="preserve">Veľa kmeňov </w:t>
      </w:r>
      <w:proofErr w:type="spellStart"/>
      <w:r w:rsidRPr="00635F5B">
        <w:rPr>
          <w:rStyle w:val="Bacil"/>
          <w:lang w:val="sk-SK"/>
        </w:rPr>
        <w:t>Streptococcus</w:t>
      </w:r>
      <w:proofErr w:type="spellEnd"/>
      <w:r w:rsidRPr="00635F5B">
        <w:rPr>
          <w:rStyle w:val="Bacil"/>
          <w:lang w:val="sk-SK"/>
        </w:rPr>
        <w:t xml:space="preserve"> </w:t>
      </w:r>
      <w:proofErr w:type="spellStart"/>
      <w:r w:rsidRPr="00635F5B">
        <w:rPr>
          <w:rStyle w:val="Bacil"/>
          <w:lang w:val="sk-SK"/>
        </w:rPr>
        <w:t>faecalis</w:t>
      </w:r>
      <w:proofErr w:type="spellEnd"/>
      <w:r w:rsidRPr="00635F5B">
        <w:rPr>
          <w:lang w:val="sk-SK"/>
        </w:rPr>
        <w:t xml:space="preserve"> (</w:t>
      </w:r>
      <w:proofErr w:type="spellStart"/>
      <w:r w:rsidRPr="00635F5B">
        <w:rPr>
          <w:lang w:val="sk-SK"/>
        </w:rPr>
        <w:t>enterokoky</w:t>
      </w:r>
      <w:proofErr w:type="spellEnd"/>
      <w:r w:rsidRPr="00635F5B">
        <w:rPr>
          <w:lang w:val="sk-SK"/>
        </w:rPr>
        <w:t>)</w:t>
      </w:r>
    </w:p>
    <w:p w:rsidR="0042642C" w:rsidRPr="00635F5B" w:rsidRDefault="0042642C" w:rsidP="009A4807">
      <w:pPr>
        <w:pStyle w:val="Styl3"/>
      </w:pPr>
      <w:proofErr w:type="spellStart"/>
      <w:r w:rsidRPr="00635F5B">
        <w:t>Gramnegatívne</w:t>
      </w:r>
      <w:proofErr w:type="spellEnd"/>
      <w:r w:rsidRPr="00635F5B">
        <w:t xml:space="preserve"> mikroorganizmy</w:t>
      </w:r>
    </w:p>
    <w:p w:rsidR="0042642C" w:rsidRPr="00104D61" w:rsidRDefault="0042642C" w:rsidP="0042642C">
      <w:pPr>
        <w:pStyle w:val="Normlndobloku"/>
        <w:rPr>
          <w:rStyle w:val="Bacil"/>
          <w:lang w:val="sk-SK"/>
        </w:rPr>
      </w:pPr>
      <w:proofErr w:type="spellStart"/>
      <w:r w:rsidRPr="00635F5B">
        <w:rPr>
          <w:rStyle w:val="Bacil"/>
          <w:lang w:val="sk-SK"/>
        </w:rPr>
        <w:t>Escherichia</w:t>
      </w:r>
      <w:proofErr w:type="spellEnd"/>
      <w:r w:rsidRPr="00635F5B">
        <w:rPr>
          <w:rStyle w:val="Bacil"/>
          <w:lang w:val="sk-SK"/>
        </w:rPr>
        <w:t xml:space="preserve"> </w:t>
      </w:r>
      <w:proofErr w:type="spellStart"/>
      <w:r w:rsidRPr="00635F5B">
        <w:rPr>
          <w:rStyle w:val="Bacil"/>
          <w:lang w:val="sk-SK"/>
        </w:rPr>
        <w:t>coli</w:t>
      </w:r>
      <w:proofErr w:type="spellEnd"/>
    </w:p>
    <w:p w:rsidR="0042642C" w:rsidRPr="00635F5B" w:rsidRDefault="0042642C" w:rsidP="0042642C">
      <w:pPr>
        <w:pStyle w:val="Normlndobloku"/>
        <w:rPr>
          <w:lang w:val="sk-SK"/>
        </w:rPr>
      </w:pPr>
      <w:proofErr w:type="spellStart"/>
      <w:r w:rsidRPr="00635F5B">
        <w:rPr>
          <w:rStyle w:val="Bacil"/>
          <w:lang w:val="sk-SK"/>
        </w:rPr>
        <w:t>Klebsiella</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Enterobacter</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Citrobacter</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Haemophilus</w:t>
      </w:r>
      <w:proofErr w:type="spellEnd"/>
      <w:r w:rsidRPr="00635F5B">
        <w:rPr>
          <w:lang w:val="sk-SK"/>
        </w:rPr>
        <w:t xml:space="preserve"> </w:t>
      </w:r>
      <w:proofErr w:type="spellStart"/>
      <w:r w:rsidRPr="00635F5B">
        <w:rPr>
          <w:rStyle w:val="Bacil"/>
          <w:lang w:val="sk-SK"/>
        </w:rPr>
        <w:t>influenzae</w:t>
      </w:r>
      <w:proofErr w:type="spellEnd"/>
    </w:p>
    <w:p w:rsidR="0042642C" w:rsidRPr="00635F5B" w:rsidRDefault="0042642C" w:rsidP="0042642C">
      <w:pPr>
        <w:pStyle w:val="Normlndobloku"/>
        <w:rPr>
          <w:rStyle w:val="Bacil"/>
          <w:lang w:val="sk-SK"/>
        </w:rPr>
      </w:pPr>
      <w:proofErr w:type="spellStart"/>
      <w:r w:rsidRPr="00635F5B">
        <w:rPr>
          <w:rStyle w:val="Bacil"/>
          <w:lang w:val="sk-SK"/>
        </w:rPr>
        <w:t>Proteus</w:t>
      </w:r>
      <w:proofErr w:type="spellEnd"/>
      <w:r w:rsidRPr="00635F5B">
        <w:rPr>
          <w:rStyle w:val="Bacil"/>
          <w:lang w:val="sk-SK"/>
        </w:rPr>
        <w:t xml:space="preserve"> </w:t>
      </w:r>
      <w:proofErr w:type="spellStart"/>
      <w:r w:rsidRPr="00635F5B">
        <w:rPr>
          <w:rStyle w:val="Bacil"/>
          <w:lang w:val="sk-SK"/>
        </w:rPr>
        <w:t>mirabilis</w:t>
      </w:r>
      <w:proofErr w:type="spellEnd"/>
    </w:p>
    <w:p w:rsidR="0042642C" w:rsidRPr="00635F5B" w:rsidRDefault="0042642C" w:rsidP="0042642C">
      <w:pPr>
        <w:pStyle w:val="Normlndobloku"/>
        <w:rPr>
          <w:rStyle w:val="Bacil"/>
          <w:lang w:val="sk-SK"/>
        </w:rPr>
      </w:pPr>
      <w:proofErr w:type="spellStart"/>
      <w:r w:rsidRPr="00635F5B">
        <w:rPr>
          <w:rStyle w:val="Bacil"/>
          <w:lang w:val="sk-SK"/>
        </w:rPr>
        <w:t>Proteus</w:t>
      </w:r>
      <w:proofErr w:type="spellEnd"/>
      <w:r w:rsidRPr="00635F5B">
        <w:rPr>
          <w:rStyle w:val="Bacil"/>
          <w:lang w:val="sk-SK"/>
        </w:rPr>
        <w:t xml:space="preserve"> </w:t>
      </w:r>
      <w:proofErr w:type="spellStart"/>
      <w:r w:rsidRPr="00635F5B">
        <w:rPr>
          <w:rStyle w:val="Bacil"/>
          <w:lang w:val="sk-SK"/>
        </w:rPr>
        <w:t>vulgaris</w:t>
      </w:r>
      <w:proofErr w:type="spellEnd"/>
    </w:p>
    <w:p w:rsidR="0042642C" w:rsidRPr="00635F5B" w:rsidRDefault="0042642C" w:rsidP="0042642C">
      <w:pPr>
        <w:pStyle w:val="Normlndobloku"/>
        <w:rPr>
          <w:lang w:val="sk-SK"/>
        </w:rPr>
      </w:pPr>
      <w:proofErr w:type="spellStart"/>
      <w:r w:rsidRPr="00635F5B">
        <w:rPr>
          <w:rStyle w:val="Bacil"/>
          <w:lang w:val="sk-SK"/>
        </w:rPr>
        <w:t>Morganella</w:t>
      </w:r>
      <w:proofErr w:type="spellEnd"/>
      <w:r w:rsidRPr="00635F5B">
        <w:rPr>
          <w:rStyle w:val="Bacil"/>
          <w:lang w:val="sk-SK"/>
        </w:rPr>
        <w:t xml:space="preserve"> </w:t>
      </w:r>
      <w:proofErr w:type="spellStart"/>
      <w:r w:rsidRPr="00635F5B">
        <w:rPr>
          <w:rStyle w:val="Bacil"/>
          <w:lang w:val="sk-SK"/>
        </w:rPr>
        <w:t>morganii</w:t>
      </w:r>
      <w:proofErr w:type="spellEnd"/>
      <w:r w:rsidRPr="00635F5B">
        <w:rPr>
          <w:rStyle w:val="Bacil"/>
          <w:lang w:val="sk-SK"/>
        </w:rPr>
        <w:t xml:space="preserve"> </w:t>
      </w:r>
      <w:r w:rsidRPr="00635F5B">
        <w:rPr>
          <w:lang w:val="sk-SK"/>
        </w:rPr>
        <w:t xml:space="preserve">(predtým </w:t>
      </w:r>
      <w:proofErr w:type="spellStart"/>
      <w:r w:rsidRPr="00635F5B">
        <w:rPr>
          <w:rStyle w:val="Bacil"/>
          <w:lang w:val="sk-SK"/>
        </w:rPr>
        <w:t>Proteus</w:t>
      </w:r>
      <w:proofErr w:type="spellEnd"/>
      <w:r w:rsidRPr="00635F5B">
        <w:rPr>
          <w:rStyle w:val="Bacil"/>
          <w:lang w:val="sk-SK"/>
        </w:rPr>
        <w:t xml:space="preserve"> </w:t>
      </w:r>
      <w:proofErr w:type="spellStart"/>
      <w:r w:rsidRPr="00635F5B">
        <w:rPr>
          <w:rStyle w:val="Bacil"/>
          <w:lang w:val="sk-SK"/>
        </w:rPr>
        <w:t>morganii</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Providencia</w:t>
      </w:r>
      <w:proofErr w:type="spellEnd"/>
      <w:r w:rsidRPr="00635F5B">
        <w:rPr>
          <w:rStyle w:val="Bacil"/>
          <w:lang w:val="sk-SK"/>
        </w:rPr>
        <w:t xml:space="preserve"> </w:t>
      </w:r>
      <w:proofErr w:type="spellStart"/>
      <w:r w:rsidRPr="00635F5B">
        <w:rPr>
          <w:rStyle w:val="Bacil"/>
          <w:lang w:val="sk-SK"/>
        </w:rPr>
        <w:t>rettgeri</w:t>
      </w:r>
      <w:proofErr w:type="spellEnd"/>
      <w:r w:rsidRPr="00635F5B">
        <w:rPr>
          <w:lang w:val="sk-SK"/>
        </w:rPr>
        <w:t xml:space="preserve"> (predtým </w:t>
      </w:r>
      <w:proofErr w:type="spellStart"/>
      <w:r w:rsidRPr="00635F5B">
        <w:rPr>
          <w:rStyle w:val="Bacil"/>
          <w:lang w:val="sk-SK"/>
        </w:rPr>
        <w:t>Proteus</w:t>
      </w:r>
      <w:proofErr w:type="spellEnd"/>
      <w:r w:rsidRPr="00635F5B">
        <w:rPr>
          <w:rStyle w:val="Bacil"/>
          <w:lang w:val="sk-SK"/>
        </w:rPr>
        <w:t xml:space="preserve"> </w:t>
      </w:r>
      <w:proofErr w:type="spellStart"/>
      <w:r w:rsidRPr="00635F5B">
        <w:rPr>
          <w:rStyle w:val="Bacil"/>
          <w:lang w:val="sk-SK"/>
        </w:rPr>
        <w:t>rettgeri</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Providencia</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Serratia</w:t>
      </w:r>
      <w:proofErr w:type="spellEnd"/>
      <w:r w:rsidRPr="00635F5B">
        <w:rPr>
          <w:lang w:val="sk-SK"/>
        </w:rPr>
        <w:t xml:space="preserve"> </w:t>
      </w:r>
      <w:proofErr w:type="spellStart"/>
      <w:r w:rsidRPr="00635F5B">
        <w:rPr>
          <w:lang w:val="sk-SK"/>
        </w:rPr>
        <w:t>sp</w:t>
      </w:r>
      <w:proofErr w:type="spellEnd"/>
      <w:r w:rsidRPr="00635F5B">
        <w:rPr>
          <w:lang w:val="sk-SK"/>
        </w:rPr>
        <w:t xml:space="preserve">. (vrátane </w:t>
      </w:r>
      <w:r w:rsidRPr="00635F5B">
        <w:rPr>
          <w:rStyle w:val="Bacil"/>
          <w:lang w:val="sk-SK"/>
        </w:rPr>
        <w:t xml:space="preserve">S. </w:t>
      </w:r>
      <w:proofErr w:type="spellStart"/>
      <w:r w:rsidRPr="00635F5B">
        <w:rPr>
          <w:rStyle w:val="Bacil"/>
          <w:lang w:val="sk-SK"/>
        </w:rPr>
        <w:t>marcescens</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Salmonella</w:t>
      </w:r>
      <w:proofErr w:type="spellEnd"/>
      <w:r w:rsidRPr="00635F5B">
        <w:rPr>
          <w:lang w:val="sk-SK"/>
        </w:rPr>
        <w:t xml:space="preserve"> a </w:t>
      </w:r>
      <w:proofErr w:type="spellStart"/>
      <w:r w:rsidRPr="00635F5B">
        <w:rPr>
          <w:rStyle w:val="Bacil"/>
          <w:lang w:val="sk-SK"/>
        </w:rPr>
        <w:t>Shigella</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lang w:val="sk-SK"/>
        </w:rPr>
      </w:pPr>
      <w:proofErr w:type="spellStart"/>
      <w:r w:rsidRPr="00635F5B">
        <w:rPr>
          <w:rStyle w:val="Bacil"/>
          <w:lang w:val="sk-SK"/>
        </w:rPr>
        <w:t>Pseudomonas</w:t>
      </w:r>
      <w:proofErr w:type="spellEnd"/>
      <w:r w:rsidRPr="00635F5B">
        <w:rPr>
          <w:lang w:val="sk-SK"/>
        </w:rPr>
        <w:t xml:space="preserve"> </w:t>
      </w:r>
      <w:proofErr w:type="spellStart"/>
      <w:r w:rsidRPr="00635F5B">
        <w:rPr>
          <w:lang w:val="sk-SK"/>
        </w:rPr>
        <w:t>aeruginosa</w:t>
      </w:r>
      <w:proofErr w:type="spellEnd"/>
      <w:r w:rsidRPr="00635F5B">
        <w:rPr>
          <w:lang w:val="sk-SK"/>
        </w:rPr>
        <w:t xml:space="preserve"> a niektoré ďalšie kmene </w:t>
      </w:r>
      <w:proofErr w:type="spellStart"/>
      <w:r w:rsidRPr="00635F5B">
        <w:rPr>
          <w:rStyle w:val="Bacil"/>
          <w:lang w:val="sk-SK"/>
        </w:rPr>
        <w:t>Pseudomonas</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rStyle w:val="Bacil"/>
          <w:lang w:val="sk-SK"/>
        </w:rPr>
      </w:pPr>
      <w:proofErr w:type="spellStart"/>
      <w:r w:rsidRPr="00635F5B">
        <w:rPr>
          <w:rStyle w:val="Bacil"/>
          <w:lang w:val="sk-SK"/>
        </w:rPr>
        <w:t>Acinetobacter</w:t>
      </w:r>
      <w:proofErr w:type="spellEnd"/>
      <w:r w:rsidRPr="00635F5B">
        <w:rPr>
          <w:rStyle w:val="Bacil"/>
          <w:lang w:val="sk-SK"/>
        </w:rPr>
        <w:t xml:space="preserve"> </w:t>
      </w:r>
      <w:proofErr w:type="spellStart"/>
      <w:r w:rsidRPr="00635F5B">
        <w:rPr>
          <w:rStyle w:val="Bacil"/>
          <w:lang w:val="sk-SK"/>
        </w:rPr>
        <w:t>calcoaceticus</w:t>
      </w:r>
      <w:proofErr w:type="spellEnd"/>
    </w:p>
    <w:p w:rsidR="0042642C" w:rsidRPr="00635F5B" w:rsidRDefault="0042642C" w:rsidP="0042642C">
      <w:pPr>
        <w:pStyle w:val="Normlndobloku"/>
        <w:rPr>
          <w:rStyle w:val="Bacil"/>
          <w:lang w:val="sk-SK"/>
        </w:rPr>
      </w:pPr>
      <w:proofErr w:type="spellStart"/>
      <w:r w:rsidRPr="00635F5B">
        <w:rPr>
          <w:rStyle w:val="Bacil"/>
          <w:lang w:val="sk-SK"/>
        </w:rPr>
        <w:t>Neisseria</w:t>
      </w:r>
      <w:proofErr w:type="spellEnd"/>
      <w:r w:rsidRPr="00635F5B">
        <w:rPr>
          <w:rStyle w:val="Bacil"/>
          <w:lang w:val="sk-SK"/>
        </w:rPr>
        <w:t xml:space="preserve"> </w:t>
      </w:r>
      <w:proofErr w:type="spellStart"/>
      <w:r w:rsidRPr="00635F5B">
        <w:rPr>
          <w:rStyle w:val="Bacil"/>
          <w:lang w:val="sk-SK"/>
        </w:rPr>
        <w:t>meningitidis</w:t>
      </w:r>
      <w:proofErr w:type="spellEnd"/>
    </w:p>
    <w:p w:rsidR="0042642C" w:rsidRPr="00635F5B" w:rsidRDefault="0042642C" w:rsidP="0042642C">
      <w:pPr>
        <w:pStyle w:val="Normlndobloku"/>
        <w:rPr>
          <w:rStyle w:val="Bacil"/>
          <w:lang w:val="sk-SK"/>
        </w:rPr>
      </w:pPr>
      <w:proofErr w:type="spellStart"/>
      <w:r w:rsidRPr="00635F5B">
        <w:rPr>
          <w:rStyle w:val="Bacil"/>
          <w:lang w:val="sk-SK"/>
        </w:rPr>
        <w:t>Neisseria</w:t>
      </w:r>
      <w:proofErr w:type="spellEnd"/>
      <w:r w:rsidRPr="00635F5B">
        <w:rPr>
          <w:rStyle w:val="Bacil"/>
          <w:lang w:val="sk-SK"/>
        </w:rPr>
        <w:t xml:space="preserve"> </w:t>
      </w:r>
      <w:proofErr w:type="spellStart"/>
      <w:r w:rsidRPr="00635F5B">
        <w:rPr>
          <w:rStyle w:val="Bacil"/>
          <w:lang w:val="sk-SK"/>
        </w:rPr>
        <w:t>gonorrhoeae</w:t>
      </w:r>
      <w:proofErr w:type="spellEnd"/>
    </w:p>
    <w:p w:rsidR="0042642C" w:rsidRPr="00635F5B" w:rsidRDefault="0042642C" w:rsidP="0042642C">
      <w:pPr>
        <w:pStyle w:val="Normlndobloku"/>
        <w:rPr>
          <w:rStyle w:val="Bacil"/>
          <w:lang w:val="sk-SK"/>
        </w:rPr>
      </w:pPr>
      <w:proofErr w:type="spellStart"/>
      <w:r w:rsidRPr="00635F5B">
        <w:rPr>
          <w:rStyle w:val="Bacil"/>
          <w:lang w:val="sk-SK"/>
        </w:rPr>
        <w:t>Bordetella</w:t>
      </w:r>
      <w:proofErr w:type="spellEnd"/>
      <w:r w:rsidRPr="00635F5B">
        <w:rPr>
          <w:rStyle w:val="Bacil"/>
          <w:lang w:val="sk-SK"/>
        </w:rPr>
        <w:t xml:space="preserve"> </w:t>
      </w:r>
      <w:proofErr w:type="spellStart"/>
      <w:r w:rsidRPr="00635F5B">
        <w:rPr>
          <w:rStyle w:val="Bacil"/>
          <w:lang w:val="sk-SK"/>
        </w:rPr>
        <w:t>pertussis</w:t>
      </w:r>
      <w:proofErr w:type="spellEnd"/>
    </w:p>
    <w:p w:rsidR="0042642C" w:rsidRPr="00635F5B" w:rsidRDefault="0042642C" w:rsidP="0042642C">
      <w:pPr>
        <w:pStyle w:val="Normlndobloku"/>
        <w:rPr>
          <w:rStyle w:val="Bacil"/>
          <w:lang w:val="sk-SK"/>
        </w:rPr>
      </w:pPr>
      <w:proofErr w:type="spellStart"/>
      <w:r w:rsidRPr="00635F5B">
        <w:rPr>
          <w:rStyle w:val="Bacil"/>
          <w:lang w:val="sk-SK"/>
        </w:rPr>
        <w:t>Yersinia</w:t>
      </w:r>
      <w:proofErr w:type="spellEnd"/>
      <w:r w:rsidRPr="00635F5B">
        <w:rPr>
          <w:rStyle w:val="Bacil"/>
          <w:lang w:val="sk-SK"/>
        </w:rPr>
        <w:t xml:space="preserve"> </w:t>
      </w:r>
      <w:proofErr w:type="spellStart"/>
      <w:r w:rsidRPr="00635F5B">
        <w:rPr>
          <w:rStyle w:val="Bacil"/>
          <w:lang w:val="sk-SK"/>
        </w:rPr>
        <w:t>enterocolitica</w:t>
      </w:r>
      <w:proofErr w:type="spellEnd"/>
    </w:p>
    <w:p w:rsidR="0042642C" w:rsidRPr="00635F5B" w:rsidRDefault="0042642C" w:rsidP="009A4807">
      <w:pPr>
        <w:pStyle w:val="Styl3"/>
      </w:pPr>
      <w:r w:rsidRPr="00635F5B">
        <w:t>Anaeróbne mikroorganizmy:</w:t>
      </w:r>
    </w:p>
    <w:p w:rsidR="0042642C" w:rsidRPr="00635F5B" w:rsidRDefault="0042642C" w:rsidP="0042642C">
      <w:pPr>
        <w:pStyle w:val="Normlndobloku"/>
        <w:rPr>
          <w:lang w:val="sk-SK"/>
        </w:rPr>
      </w:pPr>
      <w:proofErr w:type="spellStart"/>
      <w:r w:rsidRPr="00635F5B">
        <w:rPr>
          <w:lang w:val="sk-SK"/>
        </w:rPr>
        <w:t>Gramnegatívne</w:t>
      </w:r>
      <w:proofErr w:type="spellEnd"/>
      <w:r w:rsidRPr="00635F5B">
        <w:rPr>
          <w:lang w:val="sk-SK"/>
        </w:rPr>
        <w:t xml:space="preserve"> paličky (vrátane </w:t>
      </w:r>
      <w:proofErr w:type="spellStart"/>
      <w:r w:rsidRPr="00635F5B">
        <w:rPr>
          <w:rStyle w:val="Bacil"/>
          <w:lang w:val="sk-SK"/>
        </w:rPr>
        <w:t>Bacteroides</w:t>
      </w:r>
      <w:proofErr w:type="spellEnd"/>
      <w:r w:rsidRPr="00635F5B">
        <w:rPr>
          <w:rStyle w:val="Bacil"/>
          <w:lang w:val="sk-SK"/>
        </w:rPr>
        <w:t xml:space="preserve"> </w:t>
      </w:r>
      <w:proofErr w:type="spellStart"/>
      <w:r w:rsidRPr="00635F5B">
        <w:rPr>
          <w:rStyle w:val="Bacil"/>
          <w:lang w:val="sk-SK"/>
        </w:rPr>
        <w:t>fragilis</w:t>
      </w:r>
      <w:proofErr w:type="spellEnd"/>
      <w:r w:rsidRPr="00635F5B">
        <w:rPr>
          <w:lang w:val="sk-SK"/>
        </w:rPr>
        <w:t xml:space="preserve">, </w:t>
      </w:r>
      <w:proofErr w:type="spellStart"/>
      <w:r w:rsidRPr="00635F5B">
        <w:rPr>
          <w:rStyle w:val="Bacil"/>
          <w:lang w:val="sk-SK"/>
        </w:rPr>
        <w:t>Fusobacterium</w:t>
      </w:r>
      <w:proofErr w:type="spellEnd"/>
      <w:r w:rsidRPr="00635F5B">
        <w:rPr>
          <w:lang w:val="sk-SK"/>
        </w:rPr>
        <w:t xml:space="preserve"> </w:t>
      </w:r>
      <w:proofErr w:type="spellStart"/>
      <w:r w:rsidRPr="00635F5B">
        <w:rPr>
          <w:lang w:val="sk-SK"/>
        </w:rPr>
        <w:t>sp</w:t>
      </w:r>
      <w:proofErr w:type="spellEnd"/>
      <w:r w:rsidRPr="00635F5B">
        <w:rPr>
          <w:lang w:val="sk-SK"/>
        </w:rPr>
        <w:t xml:space="preserve">. a ostatné kmene </w:t>
      </w:r>
      <w:proofErr w:type="spellStart"/>
      <w:r w:rsidRPr="00635F5B">
        <w:rPr>
          <w:rStyle w:val="Bacil"/>
          <w:lang w:val="sk-SK"/>
        </w:rPr>
        <w:t>Bacteroides</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lang w:val="sk-SK"/>
        </w:rPr>
      </w:pPr>
      <w:proofErr w:type="spellStart"/>
      <w:r w:rsidRPr="00635F5B">
        <w:rPr>
          <w:lang w:val="sk-SK"/>
        </w:rPr>
        <w:t>Grampozitívne</w:t>
      </w:r>
      <w:proofErr w:type="spellEnd"/>
      <w:r w:rsidRPr="00635F5B">
        <w:rPr>
          <w:lang w:val="sk-SK"/>
        </w:rPr>
        <w:t xml:space="preserve"> a </w:t>
      </w:r>
      <w:proofErr w:type="spellStart"/>
      <w:r w:rsidRPr="00635F5B">
        <w:rPr>
          <w:lang w:val="sk-SK"/>
        </w:rPr>
        <w:t>gramnegatívne</w:t>
      </w:r>
      <w:proofErr w:type="spellEnd"/>
      <w:r w:rsidRPr="00635F5B">
        <w:rPr>
          <w:lang w:val="sk-SK"/>
        </w:rPr>
        <w:t xml:space="preserve"> koky (vrátane </w:t>
      </w:r>
      <w:proofErr w:type="spellStart"/>
      <w:r w:rsidRPr="00635F5B">
        <w:rPr>
          <w:rStyle w:val="Bacil"/>
          <w:lang w:val="sk-SK"/>
        </w:rPr>
        <w:t>Peptococcus</w:t>
      </w:r>
      <w:proofErr w:type="spellEnd"/>
      <w:r w:rsidRPr="00635F5B">
        <w:rPr>
          <w:lang w:val="sk-SK"/>
        </w:rPr>
        <w:t xml:space="preserve">, </w:t>
      </w:r>
      <w:proofErr w:type="spellStart"/>
      <w:r w:rsidRPr="00635F5B">
        <w:rPr>
          <w:rStyle w:val="Bacil"/>
          <w:lang w:val="sk-SK"/>
        </w:rPr>
        <w:t>Peptostreptococcus</w:t>
      </w:r>
      <w:proofErr w:type="spellEnd"/>
      <w:r w:rsidRPr="00635F5B">
        <w:rPr>
          <w:lang w:val="sk-SK"/>
        </w:rPr>
        <w:t xml:space="preserve"> a </w:t>
      </w:r>
      <w:proofErr w:type="spellStart"/>
      <w:r w:rsidRPr="00635F5B">
        <w:rPr>
          <w:rStyle w:val="Bacil"/>
          <w:lang w:val="sk-SK"/>
        </w:rPr>
        <w:t>Veillonella</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Normlndobloku"/>
        <w:rPr>
          <w:lang w:val="sk-SK"/>
        </w:rPr>
      </w:pPr>
      <w:proofErr w:type="spellStart"/>
      <w:r w:rsidRPr="00635F5B">
        <w:rPr>
          <w:lang w:val="sk-SK"/>
        </w:rPr>
        <w:t>Grampozitívne</w:t>
      </w:r>
      <w:proofErr w:type="spellEnd"/>
      <w:r w:rsidRPr="00635F5B">
        <w:rPr>
          <w:lang w:val="sk-SK"/>
        </w:rPr>
        <w:t xml:space="preserve"> paličky (vrátane </w:t>
      </w:r>
      <w:proofErr w:type="spellStart"/>
      <w:r w:rsidRPr="00635F5B">
        <w:rPr>
          <w:rStyle w:val="Bacil"/>
          <w:lang w:val="sk-SK"/>
        </w:rPr>
        <w:t>Clostridium</w:t>
      </w:r>
      <w:proofErr w:type="spellEnd"/>
      <w:r w:rsidRPr="00635F5B">
        <w:rPr>
          <w:rStyle w:val="Bacil"/>
          <w:lang w:val="sk-SK"/>
        </w:rPr>
        <w:t xml:space="preserve"> </w:t>
      </w:r>
      <w:proofErr w:type="spellStart"/>
      <w:r w:rsidRPr="00635F5B">
        <w:rPr>
          <w:rStyle w:val="Bacil"/>
          <w:lang w:val="sk-SK"/>
        </w:rPr>
        <w:t>Eubacterium</w:t>
      </w:r>
      <w:proofErr w:type="spellEnd"/>
      <w:r w:rsidRPr="00635F5B">
        <w:rPr>
          <w:lang w:val="sk-SK"/>
        </w:rPr>
        <w:t xml:space="preserve"> a </w:t>
      </w:r>
      <w:proofErr w:type="spellStart"/>
      <w:r w:rsidRPr="00635F5B">
        <w:rPr>
          <w:rStyle w:val="Bacil"/>
          <w:lang w:val="sk-SK"/>
        </w:rPr>
        <w:t>Lactobacillus</w:t>
      </w:r>
      <w:proofErr w:type="spellEnd"/>
      <w:r w:rsidRPr="00635F5B">
        <w:rPr>
          <w:lang w:val="sk-SK"/>
        </w:rPr>
        <w:t xml:space="preserve"> </w:t>
      </w:r>
      <w:proofErr w:type="spellStart"/>
      <w:r w:rsidRPr="00635F5B">
        <w:rPr>
          <w:lang w:val="sk-SK"/>
        </w:rPr>
        <w:t>sp</w:t>
      </w:r>
      <w:proofErr w:type="spellEnd"/>
      <w:r w:rsidRPr="00635F5B">
        <w:rPr>
          <w:lang w:val="sk-SK"/>
        </w:rPr>
        <w:t>.)</w:t>
      </w:r>
    </w:p>
    <w:p w:rsidR="0042642C" w:rsidRPr="00635F5B" w:rsidRDefault="0042642C" w:rsidP="0042642C">
      <w:pPr>
        <w:pStyle w:val="styl20"/>
      </w:pPr>
      <w:r w:rsidRPr="00635F5B">
        <w:lastRenderedPageBreak/>
        <w:t>Pre sulbaktám/cefoperazón sa stanovili nasledujúce rozsahy citlivosti:</w:t>
      </w:r>
    </w:p>
    <w:tbl>
      <w:tblPr>
        <w:tblpPr w:leftFromText="142" w:right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536"/>
      </w:tblGrid>
      <w:tr w:rsidR="0042642C" w:rsidRPr="00635F5B" w:rsidTr="0055389B">
        <w:tc>
          <w:tcPr>
            <w:tcW w:w="9072" w:type="dxa"/>
            <w:gridSpan w:val="2"/>
          </w:tcPr>
          <w:p w:rsidR="0042642C" w:rsidRPr="00635F5B" w:rsidRDefault="0042642C" w:rsidP="0055389B">
            <w:pPr>
              <w:pStyle w:val="Nadpisuvnittabulky"/>
              <w:rPr>
                <w:lang w:val="sk-SK"/>
              </w:rPr>
            </w:pPr>
            <w:r w:rsidRPr="00635F5B">
              <w:rPr>
                <w:lang w:val="sk-SK"/>
              </w:rPr>
              <w:t>Minimálna inhibičná koncentrácia (MIC)</w:t>
            </w:r>
          </w:p>
          <w:p w:rsidR="0042642C" w:rsidRPr="00635F5B" w:rsidRDefault="0042642C" w:rsidP="0055389B">
            <w:pPr>
              <w:pStyle w:val="Nadpisuvnittabulky"/>
              <w:rPr>
                <w:lang w:val="sk-SK"/>
              </w:rPr>
            </w:pPr>
            <w:r w:rsidRPr="00635F5B">
              <w:rPr>
                <w:lang w:val="sk-SK"/>
              </w:rPr>
              <w:t>(</w:t>
            </w:r>
            <w:r w:rsidRPr="00635F5B">
              <w:rPr>
                <w:lang w:val="sk-SK"/>
              </w:rPr>
              <w:sym w:font="Symbol" w:char="F06D"/>
            </w:r>
            <w:r w:rsidRPr="00635F5B">
              <w:rPr>
                <w:lang w:val="sk-SK"/>
              </w:rPr>
              <w:t xml:space="preserve">g/ml - vyjadrené ako koncentrácia </w:t>
            </w:r>
            <w:proofErr w:type="spellStart"/>
            <w:r w:rsidRPr="00635F5B">
              <w:rPr>
                <w:lang w:val="sk-SK"/>
              </w:rPr>
              <w:t>cefoperazónu</w:t>
            </w:r>
            <w:proofErr w:type="spellEnd"/>
            <w:r w:rsidRPr="00635F5B">
              <w:rPr>
                <w:lang w:val="sk-SK"/>
              </w:rPr>
              <w:t>)</w:t>
            </w:r>
          </w:p>
        </w:tc>
      </w:tr>
      <w:tr w:rsidR="0042642C" w:rsidRPr="00635F5B" w:rsidTr="0055389B">
        <w:tc>
          <w:tcPr>
            <w:tcW w:w="4536" w:type="dxa"/>
          </w:tcPr>
          <w:p w:rsidR="0042642C" w:rsidRPr="00635F5B" w:rsidRDefault="0042642C" w:rsidP="0042642C">
            <w:pPr>
              <w:pStyle w:val="Tabulkynormlndoblokuzarovnndoleva"/>
              <w:rPr>
                <w:lang w:val="sk-SK"/>
              </w:rPr>
            </w:pPr>
            <w:r w:rsidRPr="00635F5B">
              <w:rPr>
                <w:lang w:val="sk-SK"/>
              </w:rPr>
              <w:t>Citlivý</w:t>
            </w:r>
          </w:p>
          <w:p w:rsidR="0042642C" w:rsidRPr="00635F5B" w:rsidRDefault="0042642C" w:rsidP="0042642C">
            <w:pPr>
              <w:pStyle w:val="Tabulkynormlndoblokuzarovnndoleva"/>
              <w:rPr>
                <w:lang w:val="sk-SK"/>
              </w:rPr>
            </w:pPr>
            <w:r w:rsidRPr="00635F5B">
              <w:rPr>
                <w:lang w:val="sk-SK"/>
              </w:rPr>
              <w:t>Stredne citlivý</w:t>
            </w:r>
          </w:p>
          <w:p w:rsidR="0042642C" w:rsidRPr="00635F5B" w:rsidRDefault="0042642C" w:rsidP="0042642C">
            <w:pPr>
              <w:pStyle w:val="Tabulkynormlndoblokuzarovnndoleva"/>
              <w:rPr>
                <w:lang w:val="sk-SK"/>
              </w:rPr>
            </w:pPr>
            <w:r w:rsidRPr="00635F5B">
              <w:rPr>
                <w:lang w:val="sk-SK"/>
              </w:rPr>
              <w:t>Rezistentný</w:t>
            </w:r>
          </w:p>
        </w:tc>
        <w:tc>
          <w:tcPr>
            <w:tcW w:w="4536" w:type="dxa"/>
          </w:tcPr>
          <w:p w:rsidR="0042642C" w:rsidRPr="00635F5B" w:rsidRDefault="0042642C" w:rsidP="0042642C">
            <w:pPr>
              <w:pStyle w:val="Tabulkynormlndoblokuzarovnndoleva"/>
              <w:rPr>
                <w:lang w:val="sk-SK"/>
              </w:rPr>
            </w:pPr>
            <w:r w:rsidRPr="00635F5B">
              <w:rPr>
                <w:lang w:val="sk-SK"/>
              </w:rPr>
              <w:sym w:font="Symbol" w:char="F0A3"/>
            </w:r>
            <w:r w:rsidRPr="00635F5B">
              <w:rPr>
                <w:lang w:val="sk-SK"/>
              </w:rPr>
              <w:t> 16</w:t>
            </w:r>
          </w:p>
          <w:p w:rsidR="0042642C" w:rsidRPr="00635F5B" w:rsidRDefault="0042642C" w:rsidP="0042642C">
            <w:pPr>
              <w:pStyle w:val="Tabulkynormlndoblokuzarovnndoleva"/>
              <w:rPr>
                <w:lang w:val="sk-SK"/>
              </w:rPr>
            </w:pPr>
            <w:r w:rsidRPr="00635F5B">
              <w:rPr>
                <w:lang w:val="sk-SK"/>
              </w:rPr>
              <w:t>17 – 63</w:t>
            </w:r>
          </w:p>
          <w:p w:rsidR="0042642C" w:rsidRPr="00635F5B" w:rsidRDefault="0042642C" w:rsidP="0042642C">
            <w:pPr>
              <w:pStyle w:val="Tabulkynormlndoblokuzarovnndoleva"/>
              <w:rPr>
                <w:lang w:val="sk-SK"/>
              </w:rPr>
            </w:pPr>
            <w:r w:rsidRPr="00635F5B">
              <w:rPr>
                <w:lang w:val="sk-SK"/>
              </w:rPr>
              <w:sym w:font="Symbol" w:char="F0B3"/>
            </w:r>
            <w:r w:rsidRPr="00635F5B">
              <w:rPr>
                <w:lang w:val="sk-SK"/>
              </w:rPr>
              <w:t> 64</w:t>
            </w:r>
          </w:p>
        </w:tc>
      </w:tr>
    </w:tbl>
    <w:p w:rsidR="0042642C" w:rsidRPr="00635F5B" w:rsidRDefault="0042642C" w:rsidP="0042642C">
      <w:pPr>
        <w:pStyle w:val="Normlndobloku"/>
        <w:rPr>
          <w:lang w:val="sk-SK"/>
        </w:rPr>
      </w:pPr>
    </w:p>
    <w:tbl>
      <w:tblPr>
        <w:tblpPr w:leftFromText="142" w:right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536"/>
      </w:tblGrid>
      <w:tr w:rsidR="0042642C" w:rsidRPr="00635F5B" w:rsidTr="0055389B">
        <w:tc>
          <w:tcPr>
            <w:tcW w:w="9072" w:type="dxa"/>
            <w:gridSpan w:val="2"/>
          </w:tcPr>
          <w:p w:rsidR="0042642C" w:rsidRPr="00635F5B" w:rsidRDefault="0042642C" w:rsidP="0055389B">
            <w:pPr>
              <w:pStyle w:val="Nadpisuvnittabulky"/>
              <w:rPr>
                <w:lang w:val="sk-SK"/>
              </w:rPr>
            </w:pPr>
            <w:r w:rsidRPr="00635F5B">
              <w:rPr>
                <w:lang w:val="sk-SK"/>
              </w:rPr>
              <w:t>Citlivosť podľa veľkosti diskovej zóny mm (</w:t>
            </w:r>
            <w:proofErr w:type="spellStart"/>
            <w:r w:rsidRPr="00635F5B">
              <w:rPr>
                <w:lang w:val="sk-SK"/>
              </w:rPr>
              <w:t>Kirby-Bauer</w:t>
            </w:r>
            <w:proofErr w:type="spellEnd"/>
            <w:r w:rsidRPr="00635F5B">
              <w:rPr>
                <w:lang w:val="sk-SK"/>
              </w:rPr>
              <w:t>)</w:t>
            </w:r>
          </w:p>
        </w:tc>
      </w:tr>
      <w:tr w:rsidR="0042642C" w:rsidRPr="00635F5B" w:rsidTr="0055389B">
        <w:tc>
          <w:tcPr>
            <w:tcW w:w="4536" w:type="dxa"/>
          </w:tcPr>
          <w:p w:rsidR="0042642C" w:rsidRPr="00635F5B" w:rsidRDefault="0042642C" w:rsidP="0042642C">
            <w:pPr>
              <w:pStyle w:val="Tabulkynormlndoblokuzarovnndoleva"/>
              <w:rPr>
                <w:lang w:val="sk-SK"/>
              </w:rPr>
            </w:pPr>
            <w:r w:rsidRPr="00635F5B">
              <w:rPr>
                <w:lang w:val="sk-SK"/>
              </w:rPr>
              <w:t>Citlivý</w:t>
            </w:r>
          </w:p>
          <w:p w:rsidR="0042642C" w:rsidRPr="00635F5B" w:rsidRDefault="0042642C" w:rsidP="0042642C">
            <w:pPr>
              <w:pStyle w:val="Tabulkynormlndoblokuzarovnndoleva"/>
              <w:rPr>
                <w:lang w:val="sk-SK"/>
              </w:rPr>
            </w:pPr>
            <w:r w:rsidRPr="00635F5B">
              <w:rPr>
                <w:lang w:val="sk-SK"/>
              </w:rPr>
              <w:t>Stredne citlivý</w:t>
            </w:r>
          </w:p>
          <w:p w:rsidR="0042642C" w:rsidRPr="00635F5B" w:rsidRDefault="0042642C" w:rsidP="0042642C">
            <w:pPr>
              <w:pStyle w:val="Tabulkynormlndoblokuzarovnndoleva"/>
              <w:rPr>
                <w:lang w:val="sk-SK"/>
              </w:rPr>
            </w:pPr>
            <w:r w:rsidRPr="00635F5B">
              <w:rPr>
                <w:lang w:val="sk-SK"/>
              </w:rPr>
              <w:t>Rezistentný</w:t>
            </w:r>
          </w:p>
        </w:tc>
        <w:tc>
          <w:tcPr>
            <w:tcW w:w="4536" w:type="dxa"/>
          </w:tcPr>
          <w:p w:rsidR="0042642C" w:rsidRPr="00635F5B" w:rsidRDefault="0042642C" w:rsidP="0042642C">
            <w:pPr>
              <w:pStyle w:val="Tabulkynormlndoblokuzarovnndoleva"/>
              <w:rPr>
                <w:lang w:val="sk-SK"/>
              </w:rPr>
            </w:pPr>
            <w:r w:rsidRPr="00635F5B">
              <w:rPr>
                <w:lang w:val="sk-SK"/>
              </w:rPr>
              <w:sym w:font="Symbol" w:char="F0B3"/>
            </w:r>
            <w:r w:rsidRPr="00635F5B">
              <w:rPr>
                <w:lang w:val="sk-SK"/>
              </w:rPr>
              <w:t> 21</w:t>
            </w:r>
          </w:p>
          <w:p w:rsidR="0042642C" w:rsidRPr="00635F5B" w:rsidRDefault="0042642C" w:rsidP="0042642C">
            <w:pPr>
              <w:pStyle w:val="Tabulkynormlndoblokuzarovnndoleva"/>
              <w:rPr>
                <w:lang w:val="sk-SK"/>
              </w:rPr>
            </w:pPr>
            <w:r w:rsidRPr="00635F5B">
              <w:rPr>
                <w:lang w:val="sk-SK"/>
              </w:rPr>
              <w:t>16 – 20</w:t>
            </w:r>
          </w:p>
          <w:p w:rsidR="0042642C" w:rsidRPr="00635F5B" w:rsidRDefault="0042642C" w:rsidP="0042642C">
            <w:pPr>
              <w:pStyle w:val="Tabulkynormlndoblokuzarovnndoleva"/>
              <w:rPr>
                <w:lang w:val="sk-SK"/>
              </w:rPr>
            </w:pPr>
            <w:r w:rsidRPr="00635F5B">
              <w:rPr>
                <w:lang w:val="sk-SK"/>
              </w:rPr>
              <w:sym w:font="Symbol" w:char="F0A3"/>
            </w:r>
            <w:r w:rsidRPr="00635F5B">
              <w:rPr>
                <w:lang w:val="sk-SK"/>
              </w:rPr>
              <w:t> 15</w:t>
            </w:r>
          </w:p>
        </w:tc>
      </w:tr>
    </w:tbl>
    <w:p w:rsidR="0042642C" w:rsidRPr="00635F5B" w:rsidRDefault="0042642C" w:rsidP="0042642C">
      <w:pPr>
        <w:pStyle w:val="Normlndobloku"/>
        <w:rPr>
          <w:lang w:val="sk-SK"/>
        </w:rPr>
      </w:pPr>
      <w:r w:rsidRPr="00635F5B">
        <w:rPr>
          <w:lang w:val="sk-SK"/>
        </w:rPr>
        <w:t xml:space="preserve">Na stanovenie MIC treba použiť sériu riedení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v pomere 1:1 pri použití </w:t>
      </w:r>
      <w:proofErr w:type="spellStart"/>
      <w:r w:rsidRPr="00635F5B">
        <w:rPr>
          <w:lang w:val="sk-SK"/>
        </w:rPr>
        <w:t>dilučnej</w:t>
      </w:r>
      <w:proofErr w:type="spellEnd"/>
      <w:r w:rsidRPr="00635F5B">
        <w:rPr>
          <w:lang w:val="sk-SK"/>
        </w:rPr>
        <w:t xml:space="preserve"> metódy v bujóne alebo agare. Odporúča sa použiť disk citlivosti obsahujúci 30 </w:t>
      </w:r>
      <w:r w:rsidRPr="00635F5B">
        <w:rPr>
          <w:lang w:val="sk-SK"/>
        </w:rPr>
        <w:sym w:font="Symbol" w:char="F06D"/>
      </w:r>
      <w:r w:rsidRPr="00635F5B">
        <w:rPr>
          <w:lang w:val="sk-SK"/>
        </w:rPr>
        <w:t xml:space="preserve">g </w:t>
      </w:r>
      <w:proofErr w:type="spellStart"/>
      <w:r w:rsidRPr="00635F5B">
        <w:rPr>
          <w:lang w:val="sk-SK"/>
        </w:rPr>
        <w:t>sulbaktámu</w:t>
      </w:r>
      <w:proofErr w:type="spellEnd"/>
      <w:r w:rsidRPr="00635F5B">
        <w:rPr>
          <w:lang w:val="sk-SK"/>
        </w:rPr>
        <w:t xml:space="preserve"> a 75 </w:t>
      </w:r>
      <w:r w:rsidRPr="00635F5B">
        <w:rPr>
          <w:lang w:val="sk-SK"/>
        </w:rPr>
        <w:sym w:font="Symbol" w:char="F06D"/>
      </w:r>
      <w:r w:rsidRPr="00635F5B">
        <w:rPr>
          <w:lang w:val="sk-SK"/>
        </w:rPr>
        <w:t xml:space="preserve">g </w:t>
      </w:r>
      <w:proofErr w:type="spellStart"/>
      <w:r w:rsidRPr="00635F5B">
        <w:rPr>
          <w:lang w:val="sk-SK"/>
        </w:rPr>
        <w:t>cefoperazónu</w:t>
      </w:r>
      <w:proofErr w:type="spellEnd"/>
      <w:r w:rsidRPr="00635F5B">
        <w:rPr>
          <w:lang w:val="sk-SK"/>
        </w:rPr>
        <w:t xml:space="preserve">. “Citlivý” v laboratórnej správe znamená, že infekčný mikroorganizmus bude pravdepodobne reagovať na liečbu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a “rezistentný”, že nebude reagovať. “Stredne citlivý” znamená, že mikroorganizmus bude citlivý na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vo vyššej dávke alebo, keď je infekcia obmedzená na tkanivá a tekutiny, kde sa dá dosiahnuť vysoká koncentrácia antibiotika.</w:t>
      </w:r>
    </w:p>
    <w:p w:rsidR="0042642C" w:rsidRPr="00635F5B" w:rsidRDefault="0042642C" w:rsidP="0042642C">
      <w:pPr>
        <w:pStyle w:val="Normlndobloku"/>
        <w:rPr>
          <w:lang w:val="sk-SK"/>
        </w:rPr>
      </w:pPr>
      <w:r w:rsidRPr="00635F5B">
        <w:rPr>
          <w:lang w:val="sk-SK"/>
        </w:rPr>
        <w:t xml:space="preserve">Odporúčané kvalitatívne kontrolné limity na diskoch citlivosti pre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v pomere 30 </w:t>
      </w:r>
      <w:r w:rsidRPr="00635F5B">
        <w:rPr>
          <w:lang w:val="sk-SK"/>
        </w:rPr>
        <w:sym w:font="Symbol" w:char="F06D"/>
      </w:r>
      <w:r w:rsidRPr="00635F5B">
        <w:rPr>
          <w:lang w:val="sk-SK"/>
        </w:rPr>
        <w:t>g/75 </w:t>
      </w:r>
      <w:r w:rsidRPr="00635F5B">
        <w:rPr>
          <w:lang w:val="sk-SK"/>
        </w:rPr>
        <w:sym w:font="Symbol" w:char="F06D"/>
      </w:r>
      <w:r w:rsidRPr="00635F5B">
        <w:rPr>
          <w:lang w:val="sk-SK"/>
        </w:rPr>
        <w:t>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536"/>
      </w:tblGrid>
      <w:tr w:rsidR="0042642C" w:rsidRPr="00635F5B" w:rsidTr="0055389B">
        <w:tc>
          <w:tcPr>
            <w:tcW w:w="4536" w:type="dxa"/>
          </w:tcPr>
          <w:p w:rsidR="0042642C" w:rsidRPr="00635F5B" w:rsidRDefault="0042642C" w:rsidP="0055389B">
            <w:pPr>
              <w:pStyle w:val="Nadpisuvnittabulky"/>
              <w:rPr>
                <w:lang w:val="sk-SK"/>
              </w:rPr>
            </w:pPr>
            <w:r w:rsidRPr="00635F5B">
              <w:rPr>
                <w:lang w:val="sk-SK"/>
              </w:rPr>
              <w:t>KONTROLNÝ KMEŇ</w:t>
            </w:r>
          </w:p>
        </w:tc>
        <w:tc>
          <w:tcPr>
            <w:tcW w:w="4536" w:type="dxa"/>
          </w:tcPr>
          <w:p w:rsidR="0042642C" w:rsidRPr="00635F5B" w:rsidRDefault="0042642C" w:rsidP="0055389B">
            <w:pPr>
              <w:pStyle w:val="Nadpisuvnittabulky"/>
              <w:rPr>
                <w:lang w:val="sk-SK"/>
              </w:rPr>
            </w:pPr>
            <w:r w:rsidRPr="00635F5B">
              <w:rPr>
                <w:lang w:val="sk-SK"/>
              </w:rPr>
              <w:t>VEĽKOSŤ ZÓNY (mm)</w:t>
            </w:r>
          </w:p>
        </w:tc>
      </w:tr>
      <w:tr w:rsidR="0042642C" w:rsidRPr="00635F5B" w:rsidTr="0055389B">
        <w:tc>
          <w:tcPr>
            <w:tcW w:w="4536" w:type="dxa"/>
          </w:tcPr>
          <w:p w:rsidR="0042642C" w:rsidRPr="00104D61" w:rsidRDefault="0042642C" w:rsidP="0042642C">
            <w:pPr>
              <w:pStyle w:val="Normlndobloku"/>
              <w:rPr>
                <w:rStyle w:val="Bacil"/>
                <w:lang w:val="sk-SK"/>
              </w:rPr>
            </w:pPr>
            <w:proofErr w:type="spellStart"/>
            <w:r w:rsidRPr="00635F5B">
              <w:rPr>
                <w:rStyle w:val="Bacil"/>
                <w:lang w:val="sk-SK"/>
              </w:rPr>
              <w:t>Acinetobacter</w:t>
            </w:r>
            <w:proofErr w:type="spellEnd"/>
            <w:r w:rsidRPr="00635F5B">
              <w:rPr>
                <w:rStyle w:val="Bacil"/>
                <w:lang w:val="sk-SK"/>
              </w:rPr>
              <w:t xml:space="preserve"> </w:t>
            </w:r>
            <w:proofErr w:type="spellStart"/>
            <w:r w:rsidRPr="00635F5B">
              <w:rPr>
                <w:rStyle w:val="Bacil"/>
                <w:lang w:val="sk-SK"/>
              </w:rPr>
              <w:t>spp</w:t>
            </w:r>
            <w:proofErr w:type="spellEnd"/>
            <w:r w:rsidRPr="00635F5B">
              <w:rPr>
                <w:rStyle w:val="Bacil"/>
                <w:lang w:val="sk-SK"/>
              </w:rPr>
              <w:t>.</w:t>
            </w:r>
          </w:p>
          <w:p w:rsidR="0042642C" w:rsidRPr="00104D61" w:rsidRDefault="0042642C" w:rsidP="0042642C">
            <w:pPr>
              <w:pStyle w:val="Normlndobloku"/>
              <w:rPr>
                <w:rStyle w:val="Bacil"/>
                <w:lang w:val="sk-SK"/>
              </w:rPr>
            </w:pPr>
            <w:r w:rsidRPr="00104D61">
              <w:rPr>
                <w:lang w:val="sk-SK"/>
              </w:rPr>
              <w:t>ATCC 43498</w:t>
            </w:r>
          </w:p>
        </w:tc>
        <w:tc>
          <w:tcPr>
            <w:tcW w:w="4536" w:type="dxa"/>
          </w:tcPr>
          <w:p w:rsidR="0042642C" w:rsidRPr="00635F5B" w:rsidRDefault="0042642C" w:rsidP="0042642C">
            <w:pPr>
              <w:pStyle w:val="Normlndobloku"/>
              <w:rPr>
                <w:lang w:val="sk-SK"/>
              </w:rPr>
            </w:pPr>
            <w:r w:rsidRPr="00635F5B">
              <w:rPr>
                <w:lang w:val="sk-SK"/>
              </w:rPr>
              <w:t>26 – 32</w:t>
            </w:r>
          </w:p>
        </w:tc>
      </w:tr>
      <w:tr w:rsidR="0042642C" w:rsidRPr="00635F5B" w:rsidTr="0055389B">
        <w:tc>
          <w:tcPr>
            <w:tcW w:w="4536" w:type="dxa"/>
          </w:tcPr>
          <w:p w:rsidR="0042642C" w:rsidRPr="00635F5B" w:rsidRDefault="0042642C" w:rsidP="0042642C">
            <w:pPr>
              <w:pStyle w:val="Normlndobloku"/>
              <w:rPr>
                <w:rStyle w:val="Bacil"/>
                <w:lang w:val="sk-SK"/>
              </w:rPr>
            </w:pPr>
            <w:proofErr w:type="spellStart"/>
            <w:r w:rsidRPr="00635F5B">
              <w:rPr>
                <w:rStyle w:val="Bacil"/>
                <w:lang w:val="sk-SK"/>
              </w:rPr>
              <w:t>Pseudomonas</w:t>
            </w:r>
            <w:proofErr w:type="spellEnd"/>
            <w:r w:rsidRPr="00635F5B">
              <w:rPr>
                <w:rStyle w:val="Bacil"/>
                <w:lang w:val="sk-SK"/>
              </w:rPr>
              <w:t xml:space="preserve"> </w:t>
            </w:r>
            <w:proofErr w:type="spellStart"/>
            <w:r w:rsidRPr="00635F5B">
              <w:rPr>
                <w:rStyle w:val="Bacil"/>
                <w:lang w:val="sk-SK"/>
              </w:rPr>
              <w:t>aeruginosa</w:t>
            </w:r>
            <w:proofErr w:type="spellEnd"/>
          </w:p>
          <w:p w:rsidR="0042642C" w:rsidRPr="00104D61" w:rsidRDefault="0042642C" w:rsidP="0042642C">
            <w:pPr>
              <w:pStyle w:val="Normlndobloku"/>
              <w:rPr>
                <w:rStyle w:val="Bacil"/>
                <w:lang w:val="sk-SK"/>
              </w:rPr>
            </w:pPr>
            <w:r w:rsidRPr="00104D61">
              <w:rPr>
                <w:lang w:val="sk-SK"/>
              </w:rPr>
              <w:t>ATCC 27853</w:t>
            </w:r>
          </w:p>
        </w:tc>
        <w:tc>
          <w:tcPr>
            <w:tcW w:w="4536" w:type="dxa"/>
          </w:tcPr>
          <w:p w:rsidR="0042642C" w:rsidRPr="00635F5B" w:rsidRDefault="0042642C" w:rsidP="0042642C">
            <w:pPr>
              <w:pStyle w:val="Normlndobloku"/>
              <w:rPr>
                <w:lang w:val="sk-SK"/>
              </w:rPr>
            </w:pPr>
            <w:r w:rsidRPr="00635F5B">
              <w:rPr>
                <w:lang w:val="sk-SK"/>
              </w:rPr>
              <w:t>22 – 28</w:t>
            </w:r>
          </w:p>
        </w:tc>
      </w:tr>
      <w:tr w:rsidR="0042642C" w:rsidRPr="00635F5B" w:rsidTr="0055389B">
        <w:tc>
          <w:tcPr>
            <w:tcW w:w="4536" w:type="dxa"/>
          </w:tcPr>
          <w:p w:rsidR="0042642C" w:rsidRPr="00635F5B" w:rsidRDefault="0042642C" w:rsidP="0042642C">
            <w:pPr>
              <w:pStyle w:val="Normlndobloku"/>
              <w:rPr>
                <w:rStyle w:val="Bacil"/>
                <w:lang w:val="sk-SK"/>
              </w:rPr>
            </w:pPr>
            <w:proofErr w:type="spellStart"/>
            <w:r w:rsidRPr="00635F5B">
              <w:rPr>
                <w:rStyle w:val="Bacil"/>
                <w:lang w:val="sk-SK"/>
              </w:rPr>
              <w:t>Escherichia</w:t>
            </w:r>
            <w:proofErr w:type="spellEnd"/>
            <w:r w:rsidRPr="00635F5B">
              <w:rPr>
                <w:rStyle w:val="Bacil"/>
                <w:lang w:val="sk-SK"/>
              </w:rPr>
              <w:t xml:space="preserve"> </w:t>
            </w:r>
            <w:proofErr w:type="spellStart"/>
            <w:r w:rsidRPr="00635F5B">
              <w:rPr>
                <w:rStyle w:val="Bacil"/>
                <w:lang w:val="sk-SK"/>
              </w:rPr>
              <w:t>coli</w:t>
            </w:r>
            <w:proofErr w:type="spellEnd"/>
          </w:p>
          <w:p w:rsidR="0042642C" w:rsidRPr="00104D61" w:rsidRDefault="0042642C" w:rsidP="0042642C">
            <w:pPr>
              <w:pStyle w:val="Normlndobloku"/>
              <w:rPr>
                <w:rStyle w:val="Bacil"/>
                <w:lang w:val="sk-SK"/>
              </w:rPr>
            </w:pPr>
            <w:r w:rsidRPr="00104D61">
              <w:rPr>
                <w:lang w:val="sk-SK"/>
              </w:rPr>
              <w:t>ATCC 25922</w:t>
            </w:r>
          </w:p>
        </w:tc>
        <w:tc>
          <w:tcPr>
            <w:tcW w:w="4536" w:type="dxa"/>
          </w:tcPr>
          <w:p w:rsidR="0042642C" w:rsidRPr="00635F5B" w:rsidRDefault="0042642C" w:rsidP="0042642C">
            <w:pPr>
              <w:pStyle w:val="Normlndobloku"/>
              <w:rPr>
                <w:lang w:val="sk-SK"/>
              </w:rPr>
            </w:pPr>
            <w:r w:rsidRPr="00635F5B">
              <w:rPr>
                <w:lang w:val="sk-SK"/>
              </w:rPr>
              <w:t>27 – 33</w:t>
            </w:r>
          </w:p>
        </w:tc>
      </w:tr>
      <w:tr w:rsidR="0042642C" w:rsidRPr="00635F5B" w:rsidTr="0055389B">
        <w:tc>
          <w:tcPr>
            <w:tcW w:w="4536" w:type="dxa"/>
          </w:tcPr>
          <w:p w:rsidR="0042642C" w:rsidRPr="00635F5B" w:rsidRDefault="0042642C" w:rsidP="0042642C">
            <w:pPr>
              <w:pStyle w:val="Normlndobloku"/>
              <w:rPr>
                <w:rStyle w:val="Bacil"/>
                <w:lang w:val="sk-SK"/>
              </w:rPr>
            </w:pPr>
            <w:proofErr w:type="spellStart"/>
            <w:r w:rsidRPr="00635F5B">
              <w:rPr>
                <w:rStyle w:val="Bacil"/>
                <w:lang w:val="sk-SK"/>
              </w:rPr>
              <w:t>Staphylococcus</w:t>
            </w:r>
            <w:proofErr w:type="spellEnd"/>
            <w:r w:rsidRPr="00635F5B">
              <w:rPr>
                <w:rStyle w:val="Bacil"/>
                <w:lang w:val="sk-SK"/>
              </w:rPr>
              <w:t xml:space="preserve"> </w:t>
            </w:r>
            <w:proofErr w:type="spellStart"/>
            <w:r w:rsidRPr="00635F5B">
              <w:rPr>
                <w:rStyle w:val="Bacil"/>
                <w:lang w:val="sk-SK"/>
              </w:rPr>
              <w:t>aureus</w:t>
            </w:r>
            <w:proofErr w:type="spellEnd"/>
          </w:p>
          <w:p w:rsidR="0042642C" w:rsidRPr="00104D61" w:rsidRDefault="0042642C" w:rsidP="0042642C">
            <w:pPr>
              <w:pStyle w:val="Normlndobloku"/>
              <w:rPr>
                <w:rStyle w:val="Bacil"/>
                <w:lang w:val="sk-SK"/>
              </w:rPr>
            </w:pPr>
            <w:r w:rsidRPr="00104D61">
              <w:rPr>
                <w:lang w:val="sk-SK"/>
              </w:rPr>
              <w:t>ATCC 25923</w:t>
            </w:r>
          </w:p>
        </w:tc>
        <w:tc>
          <w:tcPr>
            <w:tcW w:w="4536" w:type="dxa"/>
          </w:tcPr>
          <w:p w:rsidR="0042642C" w:rsidRPr="00635F5B" w:rsidRDefault="0042642C" w:rsidP="0042642C">
            <w:pPr>
              <w:pStyle w:val="Normlndobloku"/>
              <w:rPr>
                <w:lang w:val="sk-SK"/>
              </w:rPr>
            </w:pPr>
            <w:r w:rsidRPr="00635F5B">
              <w:rPr>
                <w:lang w:val="sk-SK"/>
              </w:rPr>
              <w:t>23 – 30</w:t>
            </w:r>
          </w:p>
        </w:tc>
      </w:tr>
    </w:tbl>
    <w:p w:rsidR="0042642C" w:rsidRPr="00635F5B" w:rsidRDefault="0042642C" w:rsidP="0055389B">
      <w:pPr>
        <w:pStyle w:val="Styl2"/>
        <w:numPr>
          <w:ilvl w:val="1"/>
          <w:numId w:val="1"/>
        </w:numPr>
        <w:spacing w:before="240"/>
        <w:ind w:left="0" w:firstLine="0"/>
        <w:rPr>
          <w:lang w:val="sk-SK"/>
        </w:rPr>
      </w:pPr>
      <w:proofErr w:type="spellStart"/>
      <w:r w:rsidRPr="00635F5B">
        <w:rPr>
          <w:lang w:val="sk-SK"/>
        </w:rPr>
        <w:t>Farmakokinetické</w:t>
      </w:r>
      <w:proofErr w:type="spellEnd"/>
      <w:r w:rsidRPr="00635F5B">
        <w:rPr>
          <w:lang w:val="sk-SK"/>
        </w:rPr>
        <w:t xml:space="preserve"> vlastnosti</w:t>
      </w:r>
    </w:p>
    <w:p w:rsidR="0042642C" w:rsidRPr="00635F5B" w:rsidRDefault="0042642C" w:rsidP="0042642C">
      <w:pPr>
        <w:pStyle w:val="Normlndobloku"/>
        <w:rPr>
          <w:lang w:val="sk-SK"/>
        </w:rPr>
      </w:pPr>
      <w:r w:rsidRPr="00635F5B">
        <w:rPr>
          <w:lang w:val="sk-SK"/>
        </w:rPr>
        <w:t xml:space="preserve">Približne 84 % </w:t>
      </w:r>
      <w:proofErr w:type="spellStart"/>
      <w:r w:rsidRPr="00635F5B">
        <w:rPr>
          <w:lang w:val="sk-SK"/>
        </w:rPr>
        <w:t>sulbaktámu</w:t>
      </w:r>
      <w:proofErr w:type="spellEnd"/>
      <w:r w:rsidRPr="00635F5B">
        <w:rPr>
          <w:lang w:val="sk-SK"/>
        </w:rPr>
        <w:t xml:space="preserve"> a 25 % </w:t>
      </w:r>
      <w:proofErr w:type="spellStart"/>
      <w:r w:rsidRPr="00635F5B">
        <w:rPr>
          <w:lang w:val="sk-SK"/>
        </w:rPr>
        <w:t>cefoperazónu</w:t>
      </w:r>
      <w:proofErr w:type="spellEnd"/>
      <w:r w:rsidRPr="00635F5B">
        <w:rPr>
          <w:lang w:val="sk-SK"/>
        </w:rPr>
        <w:t xml:space="preserve"> podaného vo forme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sa vylučuje obličkami. Väčšina zvyšnej dávky </w:t>
      </w:r>
      <w:proofErr w:type="spellStart"/>
      <w:r w:rsidRPr="00635F5B">
        <w:rPr>
          <w:lang w:val="sk-SK"/>
        </w:rPr>
        <w:t>cefoperazónu</w:t>
      </w:r>
      <w:proofErr w:type="spellEnd"/>
      <w:r w:rsidRPr="00635F5B">
        <w:rPr>
          <w:lang w:val="sk-SK"/>
        </w:rPr>
        <w:t xml:space="preserve"> sa vylučuje do žlče. Po podaní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je priemerná hodnota polčasu pre </w:t>
      </w:r>
      <w:proofErr w:type="spellStart"/>
      <w:r w:rsidRPr="00635F5B">
        <w:rPr>
          <w:lang w:val="sk-SK"/>
        </w:rPr>
        <w:t>sulbaktám</w:t>
      </w:r>
      <w:proofErr w:type="spellEnd"/>
      <w:r w:rsidRPr="00635F5B">
        <w:rPr>
          <w:lang w:val="sk-SK"/>
        </w:rPr>
        <w:t xml:space="preserve"> približne 1 hodina a pre </w:t>
      </w:r>
      <w:proofErr w:type="spellStart"/>
      <w:r w:rsidRPr="00635F5B">
        <w:rPr>
          <w:lang w:val="sk-SK"/>
        </w:rPr>
        <w:t>cefoperazón</w:t>
      </w:r>
      <w:proofErr w:type="spellEnd"/>
      <w:r w:rsidRPr="00635F5B">
        <w:rPr>
          <w:lang w:val="sk-SK"/>
        </w:rPr>
        <w:t xml:space="preserve"> 1,7 hodiny. Sérové hladiny sú proporcionálne podanej dávke. Tieto hodnoty sú zhodné so skôr publikovanými hodnotami jednotlivo podávaných látok.</w:t>
      </w:r>
    </w:p>
    <w:p w:rsidR="0042642C" w:rsidRPr="00635F5B" w:rsidRDefault="0042642C" w:rsidP="0042642C">
      <w:pPr>
        <w:pStyle w:val="Normlndobloku"/>
        <w:rPr>
          <w:lang w:val="sk-SK"/>
        </w:rPr>
      </w:pPr>
      <w:r w:rsidRPr="00635F5B">
        <w:rPr>
          <w:lang w:val="sk-SK"/>
        </w:rPr>
        <w:t xml:space="preserve">Priemerné hodnoty maximálnych koncentrácií </w:t>
      </w:r>
      <w:proofErr w:type="spellStart"/>
      <w:r w:rsidRPr="00635F5B">
        <w:rPr>
          <w:lang w:val="sk-SK"/>
        </w:rPr>
        <w:t>sulbaktámu</w:t>
      </w:r>
      <w:proofErr w:type="spellEnd"/>
      <w:r w:rsidRPr="00635F5B">
        <w:rPr>
          <w:lang w:val="sk-SK"/>
        </w:rPr>
        <w:t xml:space="preserve"> a </w:t>
      </w:r>
      <w:proofErr w:type="spellStart"/>
      <w:r w:rsidRPr="00635F5B">
        <w:rPr>
          <w:lang w:val="sk-SK"/>
        </w:rPr>
        <w:t>cefoperazónu</w:t>
      </w:r>
      <w:proofErr w:type="spellEnd"/>
      <w:r w:rsidRPr="00635F5B">
        <w:rPr>
          <w:lang w:val="sk-SK"/>
        </w:rPr>
        <w:t xml:space="preserve"> po intravenóznom podaní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v dávke </w:t>
      </w:r>
      <w:smartTag w:uri="urn:schemas-microsoft-com:office:smarttags" w:element="metricconverter">
        <w:smartTagPr>
          <w:attr w:name="ProductID" w:val="pc誦ଛĀ．潄畣敭瑮3詛ଛĀ（ƨ̔ƨ̔킼2詜ଛĠ（䵌䵅બշ詑ଛţ（䵌䵅઴շ7詒ଛŌ（az1ﾠg詗ଛP（q楆敬䠀䙐䩄〲0詈ଛn（tn佐呒䅒呉倀灡詍ଛz（w䕔R敒潳畬楴湯詎ଛ0（z䵐倀慬湩潎浲污詃ଛr"/>
        </w:smartTagPr>
        <w:r w:rsidRPr="00635F5B">
          <w:rPr>
            <w:lang w:val="sk-SK"/>
          </w:rPr>
          <w:t>2 g</w:t>
        </w:r>
      </w:smartTag>
      <w:r w:rsidRPr="00635F5B">
        <w:rPr>
          <w:lang w:val="sk-SK"/>
        </w:rPr>
        <w:t xml:space="preserve"> (</w:t>
      </w:r>
      <w:smartTag w:uri="urn:schemas-microsoft-com:office:smarttags" w:element="metricconverter">
        <w:smartTagPr>
          <w:attr w:name="ProductID" w:val="1ﾠg"/>
        </w:smartTagPr>
        <w:r w:rsidRPr="00635F5B">
          <w:rPr>
            <w:lang w:val="sk-SK"/>
          </w:rPr>
          <w:t>1 g</w:t>
        </w:r>
      </w:smartTag>
      <w:r w:rsidRPr="00635F5B">
        <w:rPr>
          <w:lang w:val="sk-SK"/>
        </w:rPr>
        <w:t xml:space="preserve"> </w:t>
      </w:r>
      <w:proofErr w:type="spellStart"/>
      <w:r w:rsidRPr="00635F5B">
        <w:rPr>
          <w:lang w:val="sk-SK"/>
        </w:rPr>
        <w:t>sulbaktámu</w:t>
      </w:r>
      <w:proofErr w:type="spellEnd"/>
      <w:r w:rsidRPr="00635F5B">
        <w:rPr>
          <w:lang w:val="sk-SK"/>
        </w:rPr>
        <w:t xml:space="preserve">, </w:t>
      </w:r>
      <w:smartTag w:uri="urn:schemas-microsoft-com:office:smarttags" w:element="metricconverter">
        <w:smartTagPr>
          <w:attr w:name="ProductID" w:val="1ﾠg"/>
        </w:smartTagPr>
        <w:r w:rsidRPr="00635F5B">
          <w:rPr>
            <w:lang w:val="sk-SK"/>
          </w:rPr>
          <w:t>1 g</w:t>
        </w:r>
      </w:smartTag>
      <w:r w:rsidRPr="00635F5B">
        <w:rPr>
          <w:lang w:val="sk-SK"/>
        </w:rPr>
        <w:t xml:space="preserve"> </w:t>
      </w:r>
      <w:proofErr w:type="spellStart"/>
      <w:r w:rsidRPr="00635F5B">
        <w:rPr>
          <w:lang w:val="sk-SK"/>
        </w:rPr>
        <w:t>cefoperazónu</w:t>
      </w:r>
      <w:proofErr w:type="spellEnd"/>
      <w:r w:rsidRPr="00635F5B">
        <w:rPr>
          <w:lang w:val="sk-SK"/>
        </w:rPr>
        <w:t xml:space="preserve">) počas 5 minút boli </w:t>
      </w:r>
      <w:r w:rsidRPr="00635F5B">
        <w:rPr>
          <w:lang w:val="sk-SK"/>
        </w:rPr>
        <w:lastRenderedPageBreak/>
        <w:t>130,2 a 236,8 </w:t>
      </w:r>
      <w:r w:rsidRPr="00635F5B">
        <w:rPr>
          <w:lang w:val="sk-SK"/>
        </w:rPr>
        <w:sym w:font="Symbol" w:char="F06D"/>
      </w:r>
      <w:r w:rsidRPr="00635F5B">
        <w:rPr>
          <w:lang w:val="sk-SK"/>
        </w:rPr>
        <w:t xml:space="preserve">g/ml. Tento rozdiel odráža väčší distribučný objem </w:t>
      </w:r>
      <w:proofErr w:type="spellStart"/>
      <w:r w:rsidRPr="00635F5B">
        <w:rPr>
          <w:lang w:val="sk-SK"/>
        </w:rPr>
        <w:t>sulbaktámu</w:t>
      </w:r>
      <w:proofErr w:type="spellEnd"/>
      <w:r w:rsidRPr="00635F5B">
        <w:rPr>
          <w:lang w:val="sk-SK"/>
        </w:rPr>
        <w:t xml:space="preserve"> (</w:t>
      </w:r>
      <w:proofErr w:type="spellStart"/>
      <w:r w:rsidRPr="00635F5B">
        <w:rPr>
          <w:lang w:val="sk-SK"/>
        </w:rPr>
        <w:t>Vd</w:t>
      </w:r>
      <w:proofErr w:type="spellEnd"/>
      <w:r w:rsidRPr="00635F5B">
        <w:rPr>
          <w:lang w:val="sk-SK"/>
        </w:rPr>
        <w:t> = 18,0 – 27,6 l) v porovnaní s </w:t>
      </w:r>
      <w:proofErr w:type="spellStart"/>
      <w:r w:rsidRPr="00635F5B">
        <w:rPr>
          <w:lang w:val="sk-SK"/>
        </w:rPr>
        <w:t>cefoperazónom</w:t>
      </w:r>
      <w:proofErr w:type="spellEnd"/>
      <w:r w:rsidRPr="00635F5B">
        <w:rPr>
          <w:lang w:val="sk-SK"/>
        </w:rPr>
        <w:t xml:space="preserve"> (</w:t>
      </w:r>
      <w:proofErr w:type="spellStart"/>
      <w:r w:rsidRPr="00635F5B">
        <w:rPr>
          <w:lang w:val="sk-SK"/>
        </w:rPr>
        <w:t>Vd</w:t>
      </w:r>
      <w:proofErr w:type="spellEnd"/>
      <w:r w:rsidRPr="00635F5B">
        <w:rPr>
          <w:lang w:val="sk-SK"/>
        </w:rPr>
        <w:t> = 10,2 – 11,3 l).</w:t>
      </w:r>
    </w:p>
    <w:p w:rsidR="0042642C" w:rsidRPr="00635F5B" w:rsidRDefault="0042642C" w:rsidP="0042642C">
      <w:pPr>
        <w:pStyle w:val="Normlndobloku"/>
        <w:rPr>
          <w:lang w:val="sk-SK"/>
        </w:rPr>
      </w:pPr>
      <w:r w:rsidRPr="00635F5B">
        <w:rPr>
          <w:lang w:val="sk-SK"/>
        </w:rPr>
        <w:t xml:space="preserve">Po </w:t>
      </w:r>
      <w:proofErr w:type="spellStart"/>
      <w:r w:rsidRPr="00635F5B">
        <w:rPr>
          <w:lang w:val="sk-SK"/>
        </w:rPr>
        <w:t>intramuskulárnom</w:t>
      </w:r>
      <w:proofErr w:type="spellEnd"/>
      <w:r w:rsidRPr="00635F5B">
        <w:rPr>
          <w:lang w:val="sk-SK"/>
        </w:rPr>
        <w:t xml:space="preserve"> podaní lieku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v dávke 1,5 g (0,5 g </w:t>
      </w:r>
      <w:proofErr w:type="spellStart"/>
      <w:r w:rsidRPr="00635F5B">
        <w:rPr>
          <w:lang w:val="sk-SK"/>
        </w:rPr>
        <w:t>sulbaktámu</w:t>
      </w:r>
      <w:proofErr w:type="spellEnd"/>
      <w:r w:rsidRPr="00635F5B">
        <w:rPr>
          <w:lang w:val="sk-SK"/>
        </w:rPr>
        <w:t xml:space="preserve">, </w:t>
      </w:r>
      <w:smartTag w:uri="urn:schemas-microsoft-com:office:smarttags" w:element="metricconverter">
        <w:smartTagPr>
          <w:attr w:name="ProductID" w:val="1ﾠg"/>
        </w:smartTagPr>
        <w:r w:rsidRPr="00635F5B">
          <w:rPr>
            <w:lang w:val="sk-SK"/>
          </w:rPr>
          <w:t>1 g</w:t>
        </w:r>
      </w:smartTag>
      <w:r w:rsidRPr="00635F5B">
        <w:rPr>
          <w:lang w:val="sk-SK"/>
        </w:rPr>
        <w:t xml:space="preserve"> </w:t>
      </w:r>
      <w:proofErr w:type="spellStart"/>
      <w:r w:rsidRPr="00635F5B">
        <w:rPr>
          <w:lang w:val="sk-SK"/>
        </w:rPr>
        <w:t>cefoperazónu</w:t>
      </w:r>
      <w:proofErr w:type="spellEnd"/>
      <w:r w:rsidRPr="00635F5B">
        <w:rPr>
          <w:lang w:val="sk-SK"/>
        </w:rPr>
        <w:t xml:space="preserve">) sa maximálne sérové koncentrácie </w:t>
      </w:r>
      <w:proofErr w:type="spellStart"/>
      <w:r w:rsidRPr="00635F5B">
        <w:rPr>
          <w:lang w:val="sk-SK"/>
        </w:rPr>
        <w:t>sulbaktámu</w:t>
      </w:r>
      <w:proofErr w:type="spellEnd"/>
      <w:r w:rsidRPr="00635F5B">
        <w:rPr>
          <w:lang w:val="sk-SK"/>
        </w:rPr>
        <w:t xml:space="preserve"> a </w:t>
      </w:r>
      <w:proofErr w:type="spellStart"/>
      <w:r w:rsidRPr="00635F5B">
        <w:rPr>
          <w:lang w:val="sk-SK"/>
        </w:rPr>
        <w:t>cefoperazónu</w:t>
      </w:r>
      <w:proofErr w:type="spellEnd"/>
      <w:r w:rsidRPr="00635F5B">
        <w:rPr>
          <w:lang w:val="sk-SK"/>
        </w:rPr>
        <w:t xml:space="preserve"> dosahujú v rozpätí 15 minút až 2 hodiny po podaní. Priemerné hodnoty maximálnych sérových koncentrácií sú 19,0 </w:t>
      </w:r>
      <w:r w:rsidRPr="00635F5B">
        <w:rPr>
          <w:lang w:val="sk-SK"/>
        </w:rPr>
        <w:sym w:font="Symbol" w:char="F06D"/>
      </w:r>
      <w:r w:rsidRPr="00635F5B">
        <w:rPr>
          <w:lang w:val="sk-SK"/>
        </w:rPr>
        <w:t xml:space="preserve">g/ml pre </w:t>
      </w:r>
      <w:proofErr w:type="spellStart"/>
      <w:r w:rsidRPr="00635F5B">
        <w:rPr>
          <w:lang w:val="sk-SK"/>
        </w:rPr>
        <w:t>sulbaktám</w:t>
      </w:r>
      <w:proofErr w:type="spellEnd"/>
      <w:r w:rsidRPr="00635F5B">
        <w:rPr>
          <w:lang w:val="sk-SK"/>
        </w:rPr>
        <w:t xml:space="preserve"> a 64,2 </w:t>
      </w:r>
      <w:r w:rsidRPr="00635F5B">
        <w:rPr>
          <w:lang w:val="sk-SK"/>
        </w:rPr>
        <w:sym w:font="Symbol" w:char="F06D"/>
      </w:r>
      <w:r w:rsidRPr="00635F5B">
        <w:rPr>
          <w:lang w:val="sk-SK"/>
        </w:rPr>
        <w:t xml:space="preserve">g/ml pre </w:t>
      </w:r>
      <w:proofErr w:type="spellStart"/>
      <w:r w:rsidRPr="00635F5B">
        <w:rPr>
          <w:lang w:val="sk-SK"/>
        </w:rPr>
        <w:t>cefoperazón</w:t>
      </w:r>
      <w:proofErr w:type="spellEnd"/>
      <w:r w:rsidRPr="00635F5B">
        <w:rPr>
          <w:lang w:val="sk-SK"/>
        </w:rPr>
        <w:t>.</w:t>
      </w:r>
    </w:p>
    <w:p w:rsidR="0042642C" w:rsidRPr="00635F5B" w:rsidRDefault="0042642C" w:rsidP="0042642C">
      <w:pPr>
        <w:pStyle w:val="Normlndobloku"/>
        <w:rPr>
          <w:lang w:val="sk-SK"/>
        </w:rPr>
      </w:pPr>
      <w:r w:rsidRPr="00635F5B">
        <w:rPr>
          <w:lang w:val="sk-SK"/>
        </w:rPr>
        <w:t xml:space="preserve">Tak </w:t>
      </w:r>
      <w:proofErr w:type="spellStart"/>
      <w:r w:rsidRPr="00635F5B">
        <w:rPr>
          <w:lang w:val="sk-SK"/>
        </w:rPr>
        <w:t>sulbaktám</w:t>
      </w:r>
      <w:proofErr w:type="spellEnd"/>
      <w:r w:rsidRPr="00635F5B">
        <w:rPr>
          <w:lang w:val="sk-SK"/>
        </w:rPr>
        <w:t xml:space="preserve">, ako aj </w:t>
      </w:r>
      <w:proofErr w:type="spellStart"/>
      <w:r w:rsidRPr="00635F5B">
        <w:rPr>
          <w:lang w:val="sk-SK"/>
        </w:rPr>
        <w:t>cefoperazón</w:t>
      </w:r>
      <w:proofErr w:type="spellEnd"/>
      <w:r w:rsidRPr="00635F5B">
        <w:rPr>
          <w:lang w:val="sk-SK"/>
        </w:rPr>
        <w:t xml:space="preserve"> prenikajú veľmi dobre do telesných tkanív a tekutín vrátane žlče, žlčníka, kože, apendixu, vajcovodu, vaječníkov, maternice a pod.</w:t>
      </w:r>
    </w:p>
    <w:p w:rsidR="0042642C" w:rsidRPr="00635F5B" w:rsidRDefault="0042642C" w:rsidP="0042642C">
      <w:pPr>
        <w:pStyle w:val="Normlndobloku"/>
        <w:rPr>
          <w:lang w:val="sk-SK"/>
        </w:rPr>
      </w:pPr>
      <w:r w:rsidRPr="00635F5B">
        <w:rPr>
          <w:lang w:val="sk-SK"/>
        </w:rPr>
        <w:t xml:space="preserve">Nezistili sa žiadne </w:t>
      </w:r>
      <w:proofErr w:type="spellStart"/>
      <w:r w:rsidRPr="00635F5B">
        <w:rPr>
          <w:lang w:val="sk-SK"/>
        </w:rPr>
        <w:t>farmakokinetické</w:t>
      </w:r>
      <w:proofErr w:type="spellEnd"/>
      <w:r w:rsidRPr="00635F5B">
        <w:rPr>
          <w:lang w:val="sk-SK"/>
        </w:rPr>
        <w:t xml:space="preserve"> liekové interakcie medzi </w:t>
      </w:r>
      <w:proofErr w:type="spellStart"/>
      <w:r w:rsidRPr="00635F5B">
        <w:rPr>
          <w:lang w:val="sk-SK"/>
        </w:rPr>
        <w:t>sulbaktámom</w:t>
      </w:r>
      <w:proofErr w:type="spellEnd"/>
      <w:r w:rsidRPr="00635F5B">
        <w:rPr>
          <w:lang w:val="sk-SK"/>
        </w:rPr>
        <w:t xml:space="preserve"> a </w:t>
      </w:r>
      <w:proofErr w:type="spellStart"/>
      <w:r w:rsidRPr="00635F5B">
        <w:rPr>
          <w:lang w:val="sk-SK"/>
        </w:rPr>
        <w:t>cefoperazónom</w:t>
      </w:r>
      <w:proofErr w:type="spellEnd"/>
      <w:r w:rsidRPr="00635F5B">
        <w:rPr>
          <w:lang w:val="sk-SK"/>
        </w:rPr>
        <w:t xml:space="preserve"> pri ich súčasnom podávaní vo forme kombinovaného lieku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w:t>
      </w:r>
    </w:p>
    <w:p w:rsidR="0042642C" w:rsidRPr="00635F5B" w:rsidRDefault="0042642C" w:rsidP="0042642C">
      <w:pPr>
        <w:pStyle w:val="Normlndobloku"/>
        <w:rPr>
          <w:lang w:val="sk-SK"/>
        </w:rPr>
      </w:pPr>
      <w:r w:rsidRPr="00635F5B">
        <w:rPr>
          <w:lang w:val="sk-SK"/>
        </w:rPr>
        <w:t xml:space="preserve">Po opakovanom podávaní v intervaloch 8 – 12 hodín nedošlo vo </w:t>
      </w:r>
      <w:proofErr w:type="spellStart"/>
      <w:r w:rsidRPr="00635F5B">
        <w:rPr>
          <w:lang w:val="sk-SK"/>
        </w:rPr>
        <w:t>farmakokinetike</w:t>
      </w:r>
      <w:proofErr w:type="spellEnd"/>
      <w:r w:rsidRPr="00635F5B">
        <w:rPr>
          <w:lang w:val="sk-SK"/>
        </w:rPr>
        <w:t xml:space="preserve"> ani u jednej zo zložiek tohto lieku k významnej zmene a nepozorovala sa ani kumulácia liečiv.</w:t>
      </w:r>
    </w:p>
    <w:p w:rsidR="0042642C" w:rsidRPr="00635F5B" w:rsidRDefault="0042642C" w:rsidP="009A4807">
      <w:pPr>
        <w:pStyle w:val="Styl3"/>
      </w:pPr>
      <w:r w:rsidRPr="00635F5B">
        <w:t>Osobitné skupiny</w:t>
      </w:r>
    </w:p>
    <w:p w:rsidR="0042642C" w:rsidRPr="00635F5B" w:rsidRDefault="0042642C" w:rsidP="009A4807">
      <w:pPr>
        <w:pStyle w:val="Styl3"/>
      </w:pPr>
      <w:r w:rsidRPr="00635F5B">
        <w:t>Porucha funkcie pečene</w:t>
      </w:r>
    </w:p>
    <w:p w:rsidR="0042642C" w:rsidRPr="00635F5B" w:rsidRDefault="0042642C" w:rsidP="0042642C">
      <w:pPr>
        <w:pStyle w:val="Normlndobloku"/>
        <w:rPr>
          <w:lang w:val="sk-SK"/>
        </w:rPr>
      </w:pPr>
      <w:r w:rsidRPr="00635F5B">
        <w:rPr>
          <w:lang w:val="sk-SK"/>
        </w:rPr>
        <w:t>Pozri časť 4.4.</w:t>
      </w:r>
    </w:p>
    <w:p w:rsidR="0042642C" w:rsidRPr="00635F5B" w:rsidRDefault="0042642C" w:rsidP="009A4807">
      <w:pPr>
        <w:pStyle w:val="Styl3"/>
      </w:pPr>
      <w:r w:rsidRPr="00635F5B">
        <w:t>Porucha funkcie obličiek</w:t>
      </w:r>
    </w:p>
    <w:p w:rsidR="0042642C" w:rsidRPr="00635F5B" w:rsidRDefault="0042642C" w:rsidP="0042642C">
      <w:pPr>
        <w:pStyle w:val="Normlndobloku"/>
        <w:rPr>
          <w:lang w:val="sk-SK"/>
        </w:rPr>
      </w:pPr>
      <w:r w:rsidRPr="00635F5B">
        <w:rPr>
          <w:lang w:val="sk-SK"/>
        </w:rPr>
        <w:t xml:space="preserve">Pri podaní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u pacientov s rôznym stupňom </w:t>
      </w:r>
      <w:proofErr w:type="spellStart"/>
      <w:r w:rsidRPr="00635F5B">
        <w:rPr>
          <w:lang w:val="sk-SK"/>
        </w:rPr>
        <w:t>renálnych</w:t>
      </w:r>
      <w:proofErr w:type="spellEnd"/>
      <w:r w:rsidRPr="00635F5B">
        <w:rPr>
          <w:lang w:val="sk-SK"/>
        </w:rPr>
        <w:t xml:space="preserve"> funkcií významne </w:t>
      </w:r>
      <w:proofErr w:type="spellStart"/>
      <w:r w:rsidRPr="00635F5B">
        <w:rPr>
          <w:lang w:val="sk-SK"/>
        </w:rPr>
        <w:t>koreloval</w:t>
      </w:r>
      <w:proofErr w:type="spellEnd"/>
      <w:r w:rsidRPr="00635F5B">
        <w:rPr>
          <w:lang w:val="sk-SK"/>
        </w:rPr>
        <w:t xml:space="preserve"> celkový telový </w:t>
      </w:r>
      <w:proofErr w:type="spellStart"/>
      <w:r w:rsidRPr="00635F5B">
        <w:rPr>
          <w:lang w:val="sk-SK"/>
        </w:rPr>
        <w:t>klírens</w:t>
      </w:r>
      <w:proofErr w:type="spellEnd"/>
      <w:r w:rsidRPr="00635F5B">
        <w:rPr>
          <w:lang w:val="sk-SK"/>
        </w:rPr>
        <w:t xml:space="preserve"> </w:t>
      </w:r>
      <w:proofErr w:type="spellStart"/>
      <w:r w:rsidRPr="00635F5B">
        <w:rPr>
          <w:lang w:val="sk-SK"/>
        </w:rPr>
        <w:t>sulbaktámu</w:t>
      </w:r>
      <w:proofErr w:type="spellEnd"/>
      <w:r w:rsidRPr="00635F5B">
        <w:rPr>
          <w:lang w:val="sk-SK"/>
        </w:rPr>
        <w:t xml:space="preserve"> so stanoveným </w:t>
      </w:r>
      <w:proofErr w:type="spellStart"/>
      <w:r w:rsidRPr="00635F5B">
        <w:rPr>
          <w:lang w:val="sk-SK"/>
        </w:rPr>
        <w:t>klírensom</w:t>
      </w:r>
      <w:proofErr w:type="spellEnd"/>
      <w:r w:rsidRPr="00635F5B">
        <w:rPr>
          <w:lang w:val="sk-SK"/>
        </w:rPr>
        <w:t xml:space="preserve"> </w:t>
      </w:r>
      <w:proofErr w:type="spellStart"/>
      <w:r w:rsidRPr="00635F5B">
        <w:rPr>
          <w:lang w:val="sk-SK"/>
        </w:rPr>
        <w:t>kreatinínu</w:t>
      </w:r>
      <w:proofErr w:type="spellEnd"/>
      <w:r w:rsidRPr="00635F5B">
        <w:rPr>
          <w:lang w:val="sk-SK"/>
        </w:rPr>
        <w:t xml:space="preserve">. U funkčne </w:t>
      </w:r>
      <w:proofErr w:type="spellStart"/>
      <w:r w:rsidRPr="00635F5B">
        <w:rPr>
          <w:lang w:val="sk-SK"/>
        </w:rPr>
        <w:t>anefrických</w:t>
      </w:r>
      <w:proofErr w:type="spellEnd"/>
      <w:r w:rsidRPr="00635F5B">
        <w:rPr>
          <w:lang w:val="sk-SK"/>
        </w:rPr>
        <w:t xml:space="preserve"> pacientov bol </w:t>
      </w:r>
      <w:proofErr w:type="spellStart"/>
      <w:r w:rsidRPr="00635F5B">
        <w:rPr>
          <w:lang w:val="sk-SK"/>
        </w:rPr>
        <w:t>signifikantne</w:t>
      </w:r>
      <w:proofErr w:type="spellEnd"/>
      <w:r w:rsidRPr="00635F5B">
        <w:rPr>
          <w:lang w:val="sk-SK"/>
        </w:rPr>
        <w:t xml:space="preserve"> dlhší polčas </w:t>
      </w:r>
      <w:proofErr w:type="spellStart"/>
      <w:r w:rsidRPr="00635F5B">
        <w:rPr>
          <w:lang w:val="sk-SK"/>
        </w:rPr>
        <w:t>sulbaktámu</w:t>
      </w:r>
      <w:proofErr w:type="spellEnd"/>
      <w:r w:rsidRPr="00635F5B">
        <w:rPr>
          <w:lang w:val="sk-SK"/>
        </w:rPr>
        <w:t xml:space="preserve"> (priemerne 6,9 a 9,7 hodín v rôznych štúdiách). Hemodialýza signifikantne menila polčas, celkový telový </w:t>
      </w:r>
      <w:proofErr w:type="spellStart"/>
      <w:r w:rsidRPr="00635F5B">
        <w:rPr>
          <w:lang w:val="sk-SK"/>
        </w:rPr>
        <w:t>klírens</w:t>
      </w:r>
      <w:proofErr w:type="spellEnd"/>
      <w:r w:rsidRPr="00635F5B">
        <w:rPr>
          <w:lang w:val="sk-SK"/>
        </w:rPr>
        <w:t xml:space="preserve"> a distribučný objem </w:t>
      </w:r>
      <w:proofErr w:type="spellStart"/>
      <w:r w:rsidRPr="00635F5B">
        <w:rPr>
          <w:lang w:val="sk-SK"/>
        </w:rPr>
        <w:t>sulbaktámu</w:t>
      </w:r>
      <w:proofErr w:type="spellEnd"/>
      <w:r w:rsidRPr="00635F5B">
        <w:rPr>
          <w:lang w:val="sk-SK"/>
        </w:rPr>
        <w:t xml:space="preserve">. Nepozorovali sa žiadne </w:t>
      </w:r>
      <w:proofErr w:type="spellStart"/>
      <w:r w:rsidRPr="00635F5B">
        <w:rPr>
          <w:lang w:val="sk-SK"/>
        </w:rPr>
        <w:t>signifikantné</w:t>
      </w:r>
      <w:proofErr w:type="spellEnd"/>
      <w:r w:rsidRPr="00635F5B">
        <w:rPr>
          <w:lang w:val="sk-SK"/>
        </w:rPr>
        <w:t xml:space="preserve"> zmeny vo </w:t>
      </w:r>
      <w:proofErr w:type="spellStart"/>
      <w:r w:rsidRPr="00635F5B">
        <w:rPr>
          <w:lang w:val="sk-SK"/>
        </w:rPr>
        <w:t>farmakokinetike</w:t>
      </w:r>
      <w:proofErr w:type="spellEnd"/>
      <w:r w:rsidRPr="00635F5B">
        <w:rPr>
          <w:lang w:val="sk-SK"/>
        </w:rPr>
        <w:t xml:space="preserve"> </w:t>
      </w:r>
      <w:proofErr w:type="spellStart"/>
      <w:r w:rsidRPr="00635F5B">
        <w:rPr>
          <w:lang w:val="sk-SK"/>
        </w:rPr>
        <w:t>cefoperazónu</w:t>
      </w:r>
      <w:proofErr w:type="spellEnd"/>
      <w:r w:rsidRPr="00635F5B">
        <w:rPr>
          <w:lang w:val="sk-SK"/>
        </w:rPr>
        <w:t xml:space="preserve"> u pacientov s </w:t>
      </w:r>
      <w:proofErr w:type="spellStart"/>
      <w:r w:rsidRPr="00635F5B">
        <w:rPr>
          <w:lang w:val="sk-SK"/>
        </w:rPr>
        <w:t>renálnym</w:t>
      </w:r>
      <w:proofErr w:type="spellEnd"/>
      <w:r w:rsidRPr="00635F5B">
        <w:rPr>
          <w:lang w:val="sk-SK"/>
        </w:rPr>
        <w:t xml:space="preserve"> zlyhávaním.</w:t>
      </w:r>
    </w:p>
    <w:p w:rsidR="0042642C" w:rsidRPr="00635F5B" w:rsidRDefault="0042642C" w:rsidP="009A4807">
      <w:pPr>
        <w:pStyle w:val="Styl3"/>
      </w:pPr>
      <w:r w:rsidRPr="00635F5B">
        <w:t>Starší pacienti</w:t>
      </w:r>
    </w:p>
    <w:p w:rsidR="0042642C" w:rsidRPr="00635F5B" w:rsidRDefault="0042642C" w:rsidP="0042642C">
      <w:pPr>
        <w:pStyle w:val="Normlndobloku"/>
        <w:rPr>
          <w:lang w:val="sk-SK"/>
        </w:rPr>
      </w:pPr>
      <w:proofErr w:type="spellStart"/>
      <w:r w:rsidRPr="00635F5B">
        <w:rPr>
          <w:lang w:val="sk-SK"/>
        </w:rPr>
        <w:t>Farmakokinetika</w:t>
      </w:r>
      <w:proofErr w:type="spellEnd"/>
      <w:r w:rsidRPr="00635F5B">
        <w:rPr>
          <w:lang w:val="sk-SK"/>
        </w:rPr>
        <w:t xml:space="preserve"> lieku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sa študovala aj u starších osôb s </w:t>
      </w:r>
      <w:proofErr w:type="spellStart"/>
      <w:r w:rsidRPr="00635F5B">
        <w:rPr>
          <w:lang w:val="sk-SK"/>
        </w:rPr>
        <w:t>renálnou</w:t>
      </w:r>
      <w:proofErr w:type="spellEnd"/>
      <w:r w:rsidRPr="00635F5B">
        <w:rPr>
          <w:lang w:val="sk-SK"/>
        </w:rPr>
        <w:t xml:space="preserve"> </w:t>
      </w:r>
      <w:proofErr w:type="spellStart"/>
      <w:r w:rsidRPr="00635F5B">
        <w:rPr>
          <w:lang w:val="sk-SK"/>
        </w:rPr>
        <w:t>insuficienciou</w:t>
      </w:r>
      <w:proofErr w:type="spellEnd"/>
      <w:r w:rsidRPr="00635F5B">
        <w:rPr>
          <w:lang w:val="sk-SK"/>
        </w:rPr>
        <w:t xml:space="preserve"> a zníženou funkciou pečene. Plazmatický polčas tak pri </w:t>
      </w:r>
      <w:proofErr w:type="spellStart"/>
      <w:r w:rsidRPr="00635F5B">
        <w:rPr>
          <w:lang w:val="sk-SK"/>
        </w:rPr>
        <w:t>sulbaktáme</w:t>
      </w:r>
      <w:proofErr w:type="spellEnd"/>
      <w:r w:rsidRPr="00635F5B">
        <w:rPr>
          <w:lang w:val="sk-SK"/>
        </w:rPr>
        <w:t xml:space="preserve">, ako aj pri </w:t>
      </w:r>
      <w:proofErr w:type="spellStart"/>
      <w:r w:rsidRPr="00635F5B">
        <w:rPr>
          <w:lang w:val="sk-SK"/>
        </w:rPr>
        <w:t>cefoperazóne</w:t>
      </w:r>
      <w:proofErr w:type="spellEnd"/>
      <w:r w:rsidRPr="00635F5B">
        <w:rPr>
          <w:lang w:val="sk-SK"/>
        </w:rPr>
        <w:t xml:space="preserve"> sa u týchto pacientov v porovnaní so zdravými dobrovoľníkmi predĺžil, </w:t>
      </w:r>
      <w:proofErr w:type="spellStart"/>
      <w:r w:rsidRPr="00635F5B">
        <w:rPr>
          <w:lang w:val="sk-SK"/>
        </w:rPr>
        <w:t>klírens</w:t>
      </w:r>
      <w:proofErr w:type="spellEnd"/>
      <w:r w:rsidRPr="00635F5B">
        <w:rPr>
          <w:lang w:val="sk-SK"/>
        </w:rPr>
        <w:t xml:space="preserve"> poklesol a distribučný objem sa zväčšil. </w:t>
      </w:r>
      <w:proofErr w:type="spellStart"/>
      <w:r w:rsidRPr="00635F5B">
        <w:rPr>
          <w:lang w:val="sk-SK"/>
        </w:rPr>
        <w:t>Farmakokinetika</w:t>
      </w:r>
      <w:proofErr w:type="spellEnd"/>
      <w:r w:rsidRPr="00635F5B">
        <w:rPr>
          <w:lang w:val="sk-SK"/>
        </w:rPr>
        <w:t xml:space="preserve"> </w:t>
      </w:r>
      <w:proofErr w:type="spellStart"/>
      <w:r w:rsidRPr="00635F5B">
        <w:rPr>
          <w:lang w:val="sk-SK"/>
        </w:rPr>
        <w:t>sulbaktámu</w:t>
      </w:r>
      <w:proofErr w:type="spellEnd"/>
      <w:r w:rsidRPr="00635F5B">
        <w:rPr>
          <w:lang w:val="sk-SK"/>
        </w:rPr>
        <w:t xml:space="preserve"> veľmi dobre korelovala so stupňom poruchy funkcie obličiek a </w:t>
      </w:r>
      <w:proofErr w:type="spellStart"/>
      <w:r w:rsidRPr="00635F5B">
        <w:rPr>
          <w:lang w:val="sk-SK"/>
        </w:rPr>
        <w:t>farmakokinetika</w:t>
      </w:r>
      <w:proofErr w:type="spellEnd"/>
      <w:r w:rsidRPr="00635F5B">
        <w:rPr>
          <w:lang w:val="sk-SK"/>
        </w:rPr>
        <w:t xml:space="preserve"> </w:t>
      </w:r>
      <w:proofErr w:type="spellStart"/>
      <w:r w:rsidRPr="00635F5B">
        <w:rPr>
          <w:lang w:val="sk-SK"/>
        </w:rPr>
        <w:t>cefoperazónu</w:t>
      </w:r>
      <w:proofErr w:type="spellEnd"/>
      <w:r w:rsidRPr="00635F5B">
        <w:rPr>
          <w:lang w:val="sk-SK"/>
        </w:rPr>
        <w:t xml:space="preserve"> naopak so stupňom poškodenia pečene.</w:t>
      </w:r>
    </w:p>
    <w:p w:rsidR="0042642C" w:rsidRPr="00635F5B" w:rsidRDefault="0042642C" w:rsidP="009A4807">
      <w:pPr>
        <w:pStyle w:val="Styl3"/>
      </w:pPr>
      <w:r w:rsidRPr="00635F5B">
        <w:t>Pediatrická populácia</w:t>
      </w:r>
    </w:p>
    <w:p w:rsidR="0042642C" w:rsidRPr="00635F5B" w:rsidRDefault="0042642C" w:rsidP="0042642C">
      <w:pPr>
        <w:pStyle w:val="Normlndobloku"/>
        <w:rPr>
          <w:lang w:val="sk-SK"/>
        </w:rPr>
      </w:pPr>
      <w:r w:rsidRPr="00635F5B">
        <w:rPr>
          <w:lang w:val="sk-SK"/>
        </w:rPr>
        <w:t xml:space="preserve">Štúdie u detí nepreukázali nijaké významné zmeny </w:t>
      </w:r>
      <w:proofErr w:type="spellStart"/>
      <w:r w:rsidRPr="00635F5B">
        <w:rPr>
          <w:lang w:val="sk-SK"/>
        </w:rPr>
        <w:t>farmakokinetiky</w:t>
      </w:r>
      <w:proofErr w:type="spellEnd"/>
      <w:r w:rsidRPr="00635F5B">
        <w:rPr>
          <w:lang w:val="sk-SK"/>
        </w:rPr>
        <w:t xml:space="preserve"> ani jednej zo zložiek lieku v porovnaní s hodnotami zistenými u dospelých. Priemerné hodnoty plazmatického polčasu sa u detských pacientov pohybujú v rozmedzí 0,91 – 1,42 hodiny pre </w:t>
      </w:r>
      <w:proofErr w:type="spellStart"/>
      <w:r w:rsidRPr="00635F5B">
        <w:rPr>
          <w:lang w:val="sk-SK"/>
        </w:rPr>
        <w:t>sulbaktám</w:t>
      </w:r>
      <w:proofErr w:type="spellEnd"/>
      <w:r w:rsidRPr="00635F5B">
        <w:rPr>
          <w:lang w:val="sk-SK"/>
        </w:rPr>
        <w:t xml:space="preserve"> a 1,44 – 1,88 hodiny pre </w:t>
      </w:r>
      <w:proofErr w:type="spellStart"/>
      <w:r w:rsidRPr="00635F5B">
        <w:rPr>
          <w:lang w:val="sk-SK"/>
        </w:rPr>
        <w:t>cefoperazón</w:t>
      </w:r>
      <w:proofErr w:type="spellEnd"/>
      <w:r w:rsidRPr="00635F5B">
        <w:rPr>
          <w:lang w:val="sk-SK"/>
        </w:rPr>
        <w:t>.</w:t>
      </w:r>
    </w:p>
    <w:p w:rsidR="0042642C" w:rsidRPr="00635F5B" w:rsidRDefault="0042642C" w:rsidP="0055389B">
      <w:pPr>
        <w:pStyle w:val="Styl2"/>
        <w:numPr>
          <w:ilvl w:val="1"/>
          <w:numId w:val="1"/>
        </w:numPr>
        <w:spacing w:before="240"/>
        <w:ind w:left="0" w:firstLine="0"/>
        <w:rPr>
          <w:lang w:val="sk-SK"/>
        </w:rPr>
      </w:pPr>
      <w:r w:rsidRPr="00635F5B">
        <w:rPr>
          <w:lang w:val="sk-SK"/>
        </w:rPr>
        <w:t>Predklinické údaje o bezpečnosti</w:t>
      </w:r>
    </w:p>
    <w:p w:rsidR="0042642C" w:rsidRPr="00635F5B" w:rsidRDefault="0042642C" w:rsidP="009A4807">
      <w:pPr>
        <w:pStyle w:val="Styl3"/>
      </w:pPr>
      <w:r w:rsidRPr="00635F5B">
        <w:t>Štúdie na juvenilných zvieratách</w:t>
      </w:r>
    </w:p>
    <w:p w:rsidR="0042642C" w:rsidRPr="00635F5B" w:rsidRDefault="0042642C" w:rsidP="0042642C">
      <w:pPr>
        <w:pStyle w:val="Normlndobloku"/>
        <w:rPr>
          <w:lang w:val="sk-SK"/>
        </w:rPr>
      </w:pPr>
      <w:proofErr w:type="spellStart"/>
      <w:r w:rsidRPr="00635F5B">
        <w:rPr>
          <w:lang w:val="sk-SK"/>
        </w:rPr>
        <w:t>Cefoperazón</w:t>
      </w:r>
      <w:proofErr w:type="spellEnd"/>
      <w:r w:rsidRPr="00635F5B">
        <w:rPr>
          <w:lang w:val="sk-SK"/>
        </w:rPr>
        <w:t xml:space="preserve"> mal vo všetkých testovaných dávkach nežiaduce účinky na </w:t>
      </w:r>
      <w:proofErr w:type="spellStart"/>
      <w:r w:rsidRPr="00635F5B">
        <w:rPr>
          <w:lang w:val="sk-SK"/>
        </w:rPr>
        <w:t>testes</w:t>
      </w:r>
      <w:proofErr w:type="spellEnd"/>
      <w:r w:rsidRPr="00635F5B">
        <w:rPr>
          <w:lang w:val="sk-SK"/>
        </w:rPr>
        <w:t xml:space="preserve"> u </w:t>
      </w:r>
      <w:proofErr w:type="spellStart"/>
      <w:r w:rsidRPr="00635F5B">
        <w:rPr>
          <w:lang w:val="sk-SK"/>
        </w:rPr>
        <w:t>prepubertálnych</w:t>
      </w:r>
      <w:proofErr w:type="spellEnd"/>
      <w:r w:rsidRPr="00635F5B">
        <w:rPr>
          <w:lang w:val="sk-SK"/>
        </w:rPr>
        <w:t xml:space="preserve"> potkanov. </w:t>
      </w:r>
      <w:proofErr w:type="spellStart"/>
      <w:r w:rsidRPr="00635F5B">
        <w:rPr>
          <w:lang w:val="sk-SK"/>
        </w:rPr>
        <w:t>Subkutánne</w:t>
      </w:r>
      <w:proofErr w:type="spellEnd"/>
      <w:r w:rsidRPr="00635F5B">
        <w:rPr>
          <w:lang w:val="sk-SK"/>
        </w:rPr>
        <w:t xml:space="preserve"> podanie 1 000 mg/kg/deň (približne 16</w:t>
      </w:r>
      <w:r w:rsidRPr="00635F5B">
        <w:rPr>
          <w:lang w:val="sk-SK"/>
        </w:rPr>
        <w:noBreakHyphen/>
        <w:t xml:space="preserve">násobok priemernej dávky pre dospelého človeka) viedlo ku zníženiu hmotnosti </w:t>
      </w:r>
      <w:proofErr w:type="spellStart"/>
      <w:r w:rsidRPr="00635F5B">
        <w:rPr>
          <w:lang w:val="sk-SK"/>
        </w:rPr>
        <w:t>testes</w:t>
      </w:r>
      <w:proofErr w:type="spellEnd"/>
      <w:r w:rsidRPr="00635F5B">
        <w:rPr>
          <w:lang w:val="sk-SK"/>
        </w:rPr>
        <w:t xml:space="preserve">, zabrzdeniu </w:t>
      </w:r>
      <w:proofErr w:type="spellStart"/>
      <w:r w:rsidRPr="00635F5B">
        <w:rPr>
          <w:lang w:val="sk-SK"/>
        </w:rPr>
        <w:t>spermatogenézy</w:t>
      </w:r>
      <w:proofErr w:type="spellEnd"/>
      <w:r w:rsidRPr="00635F5B">
        <w:rPr>
          <w:lang w:val="sk-SK"/>
        </w:rPr>
        <w:t>, redukcii zárodočnej bunkovej populácie a </w:t>
      </w:r>
      <w:proofErr w:type="spellStart"/>
      <w:r w:rsidRPr="00635F5B">
        <w:rPr>
          <w:lang w:val="sk-SK"/>
        </w:rPr>
        <w:t>vakuolizácii</w:t>
      </w:r>
      <w:proofErr w:type="spellEnd"/>
      <w:r w:rsidRPr="00635F5B">
        <w:rPr>
          <w:lang w:val="sk-SK"/>
        </w:rPr>
        <w:t xml:space="preserve"> cytoplazmy v </w:t>
      </w:r>
      <w:proofErr w:type="spellStart"/>
      <w:r w:rsidRPr="00635F5B">
        <w:rPr>
          <w:lang w:val="sk-SK"/>
        </w:rPr>
        <w:t>Sertoliho</w:t>
      </w:r>
      <w:proofErr w:type="spellEnd"/>
      <w:r w:rsidRPr="00635F5B">
        <w:rPr>
          <w:lang w:val="sk-SK"/>
        </w:rPr>
        <w:t xml:space="preserve"> bunkách. Závažnosť poškodení bola závislá od dávky v rozsahu od 100 do 1 000 mg/kg/deň; nízka dávka spôsobovala menší pokles </w:t>
      </w:r>
      <w:proofErr w:type="spellStart"/>
      <w:r w:rsidRPr="00635F5B">
        <w:rPr>
          <w:lang w:val="sk-SK"/>
        </w:rPr>
        <w:t>spermatocytov</w:t>
      </w:r>
      <w:proofErr w:type="spellEnd"/>
      <w:r w:rsidRPr="00635F5B">
        <w:rPr>
          <w:lang w:val="sk-SK"/>
        </w:rPr>
        <w:t xml:space="preserve">. Tento efekt sa nepozoroval u dospelých potkanov. Histologicky sa potvrdila </w:t>
      </w:r>
      <w:proofErr w:type="spellStart"/>
      <w:r w:rsidRPr="00635F5B">
        <w:rPr>
          <w:lang w:val="sk-SK"/>
        </w:rPr>
        <w:t>reverzibilita</w:t>
      </w:r>
      <w:proofErr w:type="spellEnd"/>
      <w:r w:rsidRPr="00635F5B">
        <w:rPr>
          <w:lang w:val="sk-SK"/>
        </w:rPr>
        <w:t xml:space="preserve"> poškodení pri všetkých dávkach okrem najvyšších. V štúdiách na potkanoch sa však nevyhodnocoval nasledujúci vývoj reprodukčných funkcií. Vzťah týchto nálezov k človeku nie je známy.</w:t>
      </w:r>
    </w:p>
    <w:p w:rsidR="0042642C" w:rsidRPr="00635F5B" w:rsidRDefault="0042642C" w:rsidP="0042642C">
      <w:pPr>
        <w:pStyle w:val="Normlndobloku"/>
        <w:rPr>
          <w:lang w:val="sk-SK"/>
        </w:rPr>
      </w:pPr>
      <w:r w:rsidRPr="00635F5B">
        <w:rPr>
          <w:lang w:val="sk-SK"/>
        </w:rPr>
        <w:t xml:space="preserve">Ak sa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(1:1) aplikoval </w:t>
      </w:r>
      <w:proofErr w:type="spellStart"/>
      <w:r w:rsidRPr="00635F5B">
        <w:rPr>
          <w:lang w:val="sk-SK"/>
        </w:rPr>
        <w:t>subkutánne</w:t>
      </w:r>
      <w:proofErr w:type="spellEnd"/>
      <w:r w:rsidRPr="00635F5B">
        <w:rPr>
          <w:lang w:val="sk-SK"/>
        </w:rPr>
        <w:t xml:space="preserve"> novorodeným potkanom počas 1 mesiaca, pozorovalo sa zníženie hmotnosti </w:t>
      </w:r>
      <w:proofErr w:type="spellStart"/>
      <w:r w:rsidRPr="00635F5B">
        <w:rPr>
          <w:lang w:val="sk-SK"/>
        </w:rPr>
        <w:t>testes</w:t>
      </w:r>
      <w:proofErr w:type="spellEnd"/>
      <w:r w:rsidRPr="00635F5B">
        <w:rPr>
          <w:lang w:val="sk-SK"/>
        </w:rPr>
        <w:t xml:space="preserve"> a nezrelé </w:t>
      </w:r>
      <w:proofErr w:type="spellStart"/>
      <w:r w:rsidRPr="00635F5B">
        <w:rPr>
          <w:lang w:val="sk-SK"/>
        </w:rPr>
        <w:t>tubuly</w:t>
      </w:r>
      <w:proofErr w:type="spellEnd"/>
      <w:r w:rsidRPr="00635F5B">
        <w:rPr>
          <w:lang w:val="sk-SK"/>
        </w:rPr>
        <w:t xml:space="preserve"> v skupinách po dávke 300 + 300 mg/kg/deň. </w:t>
      </w:r>
      <w:r w:rsidRPr="00635F5B">
        <w:rPr>
          <w:lang w:val="sk-SK"/>
        </w:rPr>
        <w:lastRenderedPageBreak/>
        <w:t xml:space="preserve">Vzhľadom k veľkej individuálnej variabilite stupňa </w:t>
      </w:r>
      <w:proofErr w:type="spellStart"/>
      <w:r w:rsidRPr="00635F5B">
        <w:rPr>
          <w:lang w:val="sk-SK"/>
        </w:rPr>
        <w:t>testikulárneho</w:t>
      </w:r>
      <w:proofErr w:type="spellEnd"/>
      <w:r w:rsidRPr="00635F5B">
        <w:rPr>
          <w:lang w:val="sk-SK"/>
        </w:rPr>
        <w:t xml:space="preserve"> dozrievania u mladých potkanov, a pretože nezrelé </w:t>
      </w:r>
      <w:proofErr w:type="spellStart"/>
      <w:r w:rsidRPr="00635F5B">
        <w:rPr>
          <w:lang w:val="sk-SK"/>
        </w:rPr>
        <w:t>testes</w:t>
      </w:r>
      <w:proofErr w:type="spellEnd"/>
      <w:r w:rsidRPr="00635F5B">
        <w:rPr>
          <w:lang w:val="sk-SK"/>
        </w:rPr>
        <w:t xml:space="preserve"> sa našli aj v kontrolnej skupine, je vzťah týchto zmien k skúmanému lieku neistý. Takéto nálezy sa nezistili u mladých psov pri dávkach prekračujúcich 10</w:t>
      </w:r>
      <w:r w:rsidRPr="00635F5B">
        <w:rPr>
          <w:lang w:val="sk-SK"/>
        </w:rPr>
        <w:noBreakHyphen/>
        <w:t>násobok priemernej dávky pre dospelého človeka.</w:t>
      </w:r>
    </w:p>
    <w:p w:rsidR="0042642C" w:rsidRPr="00635F5B" w:rsidRDefault="0042642C" w:rsidP="0055389B">
      <w:pPr>
        <w:pStyle w:val="Styl1"/>
        <w:numPr>
          <w:ilvl w:val="0"/>
          <w:numId w:val="1"/>
        </w:numPr>
        <w:spacing w:before="480"/>
        <w:ind w:left="357" w:hanging="357"/>
        <w:rPr>
          <w:lang w:val="sk-SK"/>
        </w:rPr>
      </w:pPr>
      <w:r w:rsidRPr="00635F5B">
        <w:rPr>
          <w:lang w:val="sk-SK"/>
        </w:rPr>
        <w:t>FARMACEUTICKÉ INFORMÁCIE</w:t>
      </w:r>
    </w:p>
    <w:p w:rsidR="0042642C" w:rsidRPr="00635F5B" w:rsidRDefault="0042642C" w:rsidP="0055389B">
      <w:pPr>
        <w:pStyle w:val="Styl2"/>
        <w:numPr>
          <w:ilvl w:val="1"/>
          <w:numId w:val="1"/>
        </w:numPr>
        <w:spacing w:before="240"/>
        <w:ind w:left="0" w:firstLine="0"/>
        <w:rPr>
          <w:lang w:val="sk-SK"/>
        </w:rPr>
      </w:pPr>
      <w:r w:rsidRPr="00635F5B">
        <w:rPr>
          <w:lang w:val="sk-SK"/>
        </w:rPr>
        <w:t>Zoznam pomocných látok</w:t>
      </w:r>
    </w:p>
    <w:p w:rsidR="0042642C" w:rsidRPr="00635F5B" w:rsidRDefault="0042642C" w:rsidP="0042642C">
      <w:pPr>
        <w:pStyle w:val="Normlndobloku"/>
        <w:rPr>
          <w:lang w:val="sk-SK"/>
        </w:rPr>
      </w:pPr>
      <w:r w:rsidRPr="00635F5B">
        <w:rPr>
          <w:lang w:val="sk-SK"/>
        </w:rPr>
        <w:t>Žiadne</w:t>
      </w:r>
    </w:p>
    <w:p w:rsidR="0042642C" w:rsidRPr="00635F5B" w:rsidRDefault="0042642C" w:rsidP="0055389B">
      <w:pPr>
        <w:pStyle w:val="Styl2"/>
        <w:numPr>
          <w:ilvl w:val="1"/>
          <w:numId w:val="1"/>
        </w:numPr>
        <w:spacing w:before="240"/>
        <w:ind w:left="0" w:firstLine="0"/>
        <w:rPr>
          <w:lang w:val="sk-SK"/>
        </w:rPr>
      </w:pPr>
      <w:r w:rsidRPr="00635F5B">
        <w:rPr>
          <w:lang w:val="sk-SK"/>
        </w:rPr>
        <w:t>Inkompatibility</w:t>
      </w:r>
    </w:p>
    <w:p w:rsidR="0042642C" w:rsidRPr="00635F5B" w:rsidRDefault="0042642C" w:rsidP="009A4807">
      <w:pPr>
        <w:pStyle w:val="Styl3"/>
      </w:pPr>
      <w:proofErr w:type="spellStart"/>
      <w:r w:rsidRPr="00635F5B">
        <w:t>Aminoglykozidy</w:t>
      </w:r>
      <w:proofErr w:type="spellEnd"/>
    </w:p>
    <w:p w:rsidR="0042642C" w:rsidRPr="00635F5B" w:rsidRDefault="0042642C" w:rsidP="0042642C">
      <w:pPr>
        <w:pStyle w:val="Normlndobloku"/>
        <w:rPr>
          <w:lang w:val="sk-SK"/>
        </w:rPr>
      </w:pPr>
      <w:r w:rsidRPr="00635F5B">
        <w:rPr>
          <w:lang w:val="sk-SK"/>
        </w:rPr>
        <w:t xml:space="preserve">Roztok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sa nemá priamo miešať s roztokmi </w:t>
      </w:r>
      <w:proofErr w:type="spellStart"/>
      <w:r w:rsidRPr="00635F5B">
        <w:rPr>
          <w:lang w:val="sk-SK"/>
        </w:rPr>
        <w:t>aminoglykozidov</w:t>
      </w:r>
      <w:proofErr w:type="spellEnd"/>
      <w:r w:rsidRPr="00635F5B">
        <w:rPr>
          <w:lang w:val="sk-SK"/>
        </w:rPr>
        <w:t xml:space="preserve"> pre vzájomnú fyzikálnu inkompatibilitu. Ak sa uvažuje o kombinovanej liečbe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s </w:t>
      </w:r>
      <w:proofErr w:type="spellStart"/>
      <w:r w:rsidRPr="00635F5B">
        <w:rPr>
          <w:lang w:val="sk-SK"/>
        </w:rPr>
        <w:t>aminoglykozidom</w:t>
      </w:r>
      <w:proofErr w:type="spellEnd"/>
      <w:r w:rsidRPr="00635F5B">
        <w:rPr>
          <w:lang w:val="sk-SK"/>
        </w:rPr>
        <w:t xml:space="preserve"> (pozri časť 4.1, Kombinovaná terapia), možno ju vykonať podaním samostatných intravenóznych infúzií pre každý liek po sebe, kedy sa použijú samostatné intravenózne súpravy (hadičky). Medzi podaním jednotlivých infúzií je nutné spojovaciu hadičku napojenú priamo na ihlu alebo </w:t>
      </w:r>
      <w:proofErr w:type="spellStart"/>
      <w:r w:rsidRPr="00635F5B">
        <w:rPr>
          <w:lang w:val="sk-SK"/>
        </w:rPr>
        <w:t>i.v</w:t>
      </w:r>
      <w:proofErr w:type="spellEnd"/>
      <w:r w:rsidRPr="00635F5B">
        <w:rPr>
          <w:lang w:val="sk-SK"/>
        </w:rPr>
        <w:t xml:space="preserve">. katéter prepláchnuť povoleným riedidlom. Tiež sa navrhuje dávky </w:t>
      </w:r>
      <w:proofErr w:type="spellStart"/>
      <w:r w:rsidRPr="00635F5B">
        <w:rPr>
          <w:lang w:val="sk-SK"/>
        </w:rPr>
        <w:t>sulbaktám</w:t>
      </w:r>
      <w:proofErr w:type="spellEnd"/>
      <w:r w:rsidRPr="00635F5B">
        <w:rPr>
          <w:lang w:val="sk-SK"/>
        </w:rPr>
        <w:t>/</w:t>
      </w:r>
      <w:proofErr w:type="spellStart"/>
      <w:r w:rsidRPr="00635F5B">
        <w:rPr>
          <w:lang w:val="sk-SK"/>
        </w:rPr>
        <w:t>cefoperazónu</w:t>
      </w:r>
      <w:proofErr w:type="spellEnd"/>
      <w:r w:rsidRPr="00635F5B">
        <w:rPr>
          <w:lang w:val="sk-SK"/>
        </w:rPr>
        <w:t xml:space="preserve"> v priebehu dňa časovo čo najviac vzdialiť od podávania </w:t>
      </w:r>
      <w:proofErr w:type="spellStart"/>
      <w:r w:rsidRPr="00635F5B">
        <w:rPr>
          <w:lang w:val="sk-SK"/>
        </w:rPr>
        <w:t>aminoglykozidu</w:t>
      </w:r>
      <w:proofErr w:type="spellEnd"/>
      <w:r w:rsidRPr="00635F5B">
        <w:rPr>
          <w:lang w:val="sk-SK"/>
        </w:rPr>
        <w:t>.</w:t>
      </w:r>
    </w:p>
    <w:p w:rsidR="0042642C" w:rsidRPr="00635F5B" w:rsidRDefault="0042642C" w:rsidP="009A4807">
      <w:pPr>
        <w:pStyle w:val="Styl3"/>
      </w:pPr>
      <w:proofErr w:type="spellStart"/>
      <w:r w:rsidRPr="00635F5B">
        <w:t>Ringer</w:t>
      </w:r>
      <w:proofErr w:type="spellEnd"/>
      <w:r w:rsidRPr="00635F5B">
        <w:t xml:space="preserve"> </w:t>
      </w:r>
      <w:proofErr w:type="spellStart"/>
      <w:r w:rsidRPr="00635F5B">
        <w:t>laktát</w:t>
      </w:r>
      <w:proofErr w:type="spellEnd"/>
      <w:r w:rsidRPr="00635F5B">
        <w:t xml:space="preserve"> a 2% roztok </w:t>
      </w:r>
      <w:proofErr w:type="spellStart"/>
      <w:r w:rsidRPr="00635F5B">
        <w:t>lidokaínu</w:t>
      </w:r>
      <w:proofErr w:type="spellEnd"/>
    </w:p>
    <w:p w:rsidR="0042642C" w:rsidRPr="00635F5B" w:rsidRDefault="0042642C" w:rsidP="0042642C">
      <w:pPr>
        <w:pStyle w:val="Normlndobloku"/>
        <w:rPr>
          <w:lang w:val="sk-SK"/>
        </w:rPr>
      </w:pPr>
      <w:r w:rsidRPr="00635F5B">
        <w:rPr>
          <w:lang w:val="sk-SK"/>
        </w:rPr>
        <w:t xml:space="preserve">Počiatočné riedenie roztokom </w:t>
      </w:r>
      <w:proofErr w:type="spellStart"/>
      <w:r w:rsidRPr="00635F5B">
        <w:rPr>
          <w:lang w:val="sk-SK"/>
        </w:rPr>
        <w:t>Ringer</w:t>
      </w:r>
      <w:proofErr w:type="spellEnd"/>
      <w:r w:rsidRPr="00635F5B">
        <w:rPr>
          <w:lang w:val="sk-SK"/>
        </w:rPr>
        <w:t xml:space="preserve"> </w:t>
      </w:r>
      <w:proofErr w:type="spellStart"/>
      <w:r w:rsidRPr="00635F5B">
        <w:rPr>
          <w:lang w:val="sk-SK"/>
        </w:rPr>
        <w:t>laktátu</w:t>
      </w:r>
      <w:proofErr w:type="spellEnd"/>
      <w:r w:rsidRPr="00635F5B">
        <w:rPr>
          <w:lang w:val="sk-SK"/>
        </w:rPr>
        <w:t xml:space="preserve"> alebo 2% roztokom </w:t>
      </w:r>
      <w:proofErr w:type="spellStart"/>
      <w:r w:rsidRPr="00635F5B">
        <w:rPr>
          <w:lang w:val="sk-SK"/>
        </w:rPr>
        <w:t>lidokaínu</w:t>
      </w:r>
      <w:proofErr w:type="spellEnd"/>
      <w:r w:rsidRPr="00635F5B">
        <w:rPr>
          <w:lang w:val="sk-SK"/>
        </w:rPr>
        <w:t xml:space="preserve"> nie je vhodné, lebo s týmito látkami nie je SULCEF kompatibilný. Avšak v dvojstupňovom riediacom procese s vodou ako počiatočným riedidlom vzniká kompatibilná zmes, ktorú je možné ďalej riediť roztokom </w:t>
      </w:r>
      <w:proofErr w:type="spellStart"/>
      <w:r w:rsidRPr="00635F5B">
        <w:rPr>
          <w:lang w:val="sk-SK"/>
        </w:rPr>
        <w:t>Ringer</w:t>
      </w:r>
      <w:proofErr w:type="spellEnd"/>
      <w:r w:rsidRPr="00635F5B">
        <w:rPr>
          <w:lang w:val="sk-SK"/>
        </w:rPr>
        <w:t xml:space="preserve"> </w:t>
      </w:r>
      <w:proofErr w:type="spellStart"/>
      <w:r w:rsidRPr="00635F5B">
        <w:rPr>
          <w:lang w:val="sk-SK"/>
        </w:rPr>
        <w:t>laktátu</w:t>
      </w:r>
      <w:proofErr w:type="spellEnd"/>
      <w:r w:rsidRPr="00635F5B">
        <w:rPr>
          <w:lang w:val="sk-SK"/>
        </w:rPr>
        <w:t xml:space="preserve"> alebo 2% roztokom </w:t>
      </w:r>
      <w:proofErr w:type="spellStart"/>
      <w:r w:rsidRPr="00635F5B">
        <w:rPr>
          <w:lang w:val="sk-SK"/>
        </w:rPr>
        <w:t>lidokaínu</w:t>
      </w:r>
      <w:proofErr w:type="spellEnd"/>
      <w:r w:rsidRPr="00635F5B">
        <w:rPr>
          <w:lang w:val="sk-SK"/>
        </w:rPr>
        <w:t xml:space="preserve"> tak, aby sa dosiahlo koncentrácie </w:t>
      </w:r>
      <w:proofErr w:type="spellStart"/>
      <w:r w:rsidRPr="00635F5B">
        <w:rPr>
          <w:lang w:val="sk-SK"/>
        </w:rPr>
        <w:t>sulbaktámu</w:t>
      </w:r>
      <w:proofErr w:type="spellEnd"/>
      <w:r w:rsidRPr="00635F5B">
        <w:rPr>
          <w:lang w:val="sk-SK"/>
        </w:rPr>
        <w:t xml:space="preserve"> 5 mg/ml (pozri časť 6.6)</w:t>
      </w:r>
    </w:p>
    <w:p w:rsidR="0042642C" w:rsidRPr="00635F5B" w:rsidRDefault="0042642C" w:rsidP="009A4807">
      <w:pPr>
        <w:pStyle w:val="Styl3"/>
      </w:pPr>
      <w:r w:rsidRPr="00635F5B">
        <w:t>Ďalšie inkompatibility</w:t>
      </w:r>
    </w:p>
    <w:p w:rsidR="0042642C" w:rsidRPr="00635F5B" w:rsidRDefault="0042642C" w:rsidP="0042642C">
      <w:pPr>
        <w:pStyle w:val="Normlndobloku"/>
        <w:rPr>
          <w:lang w:val="sk-SK"/>
        </w:rPr>
      </w:pPr>
      <w:r w:rsidRPr="00635F5B">
        <w:rPr>
          <w:lang w:val="sk-SK"/>
        </w:rPr>
        <w:t>SULCEF ďalej nie je kompatibilný s </w:t>
      </w:r>
      <w:proofErr w:type="spellStart"/>
      <w:r w:rsidRPr="00635F5B">
        <w:rPr>
          <w:lang w:val="sk-SK"/>
        </w:rPr>
        <w:t>nikardipínom</w:t>
      </w:r>
      <w:proofErr w:type="spellEnd"/>
      <w:r w:rsidRPr="00635F5B">
        <w:rPr>
          <w:lang w:val="sk-SK"/>
        </w:rPr>
        <w:t xml:space="preserve">, </w:t>
      </w:r>
      <w:proofErr w:type="spellStart"/>
      <w:r w:rsidR="00373408" w:rsidRPr="00635F5B">
        <w:rPr>
          <w:lang w:val="sk-SK"/>
        </w:rPr>
        <w:t>ondansetrónom</w:t>
      </w:r>
      <w:proofErr w:type="spellEnd"/>
      <w:r w:rsidRPr="00635F5B">
        <w:rPr>
          <w:lang w:val="sk-SK"/>
        </w:rPr>
        <w:t xml:space="preserve">, </w:t>
      </w:r>
      <w:proofErr w:type="spellStart"/>
      <w:r w:rsidRPr="00635F5B">
        <w:rPr>
          <w:lang w:val="sk-SK"/>
        </w:rPr>
        <w:t>perfenazínom</w:t>
      </w:r>
      <w:proofErr w:type="spellEnd"/>
      <w:r w:rsidRPr="00635F5B">
        <w:rPr>
          <w:lang w:val="sk-SK"/>
        </w:rPr>
        <w:t xml:space="preserve">, </w:t>
      </w:r>
      <w:proofErr w:type="spellStart"/>
      <w:r w:rsidRPr="00635F5B">
        <w:rPr>
          <w:lang w:val="sk-SK"/>
        </w:rPr>
        <w:t>prome</w:t>
      </w:r>
      <w:r w:rsidR="00373408" w:rsidRPr="00635F5B">
        <w:rPr>
          <w:lang w:val="sk-SK"/>
        </w:rPr>
        <w:t>ta</w:t>
      </w:r>
      <w:r w:rsidRPr="00635F5B">
        <w:rPr>
          <w:lang w:val="sk-SK"/>
        </w:rPr>
        <w:t>zínom</w:t>
      </w:r>
      <w:proofErr w:type="spellEnd"/>
      <w:r w:rsidRPr="00635F5B">
        <w:rPr>
          <w:lang w:val="sk-SK"/>
        </w:rPr>
        <w:t xml:space="preserve">, </w:t>
      </w:r>
      <w:proofErr w:type="spellStart"/>
      <w:r w:rsidRPr="00635F5B">
        <w:rPr>
          <w:lang w:val="sk-SK"/>
        </w:rPr>
        <w:t>protamínom</w:t>
      </w:r>
      <w:proofErr w:type="spellEnd"/>
      <w:r w:rsidRPr="00635F5B">
        <w:rPr>
          <w:lang w:val="sk-SK"/>
        </w:rPr>
        <w:t xml:space="preserve">, </w:t>
      </w:r>
      <w:proofErr w:type="spellStart"/>
      <w:r w:rsidRPr="00635F5B">
        <w:rPr>
          <w:lang w:val="sk-SK"/>
        </w:rPr>
        <w:t>vinorelbínom</w:t>
      </w:r>
      <w:proofErr w:type="spellEnd"/>
      <w:r w:rsidRPr="00635F5B">
        <w:rPr>
          <w:lang w:val="sk-SK"/>
        </w:rPr>
        <w:t xml:space="preserve">, </w:t>
      </w:r>
      <w:proofErr w:type="spellStart"/>
      <w:r w:rsidRPr="00635F5B">
        <w:rPr>
          <w:lang w:val="sk-SK"/>
        </w:rPr>
        <w:t>filgras</w:t>
      </w:r>
      <w:r w:rsidR="00373408" w:rsidRPr="00635F5B">
        <w:rPr>
          <w:lang w:val="sk-SK"/>
        </w:rPr>
        <w:t>timo</w:t>
      </w:r>
      <w:r w:rsidRPr="00635F5B">
        <w:rPr>
          <w:lang w:val="sk-SK"/>
        </w:rPr>
        <w:t>m</w:t>
      </w:r>
      <w:proofErr w:type="spellEnd"/>
      <w:r w:rsidRPr="00635F5B">
        <w:rPr>
          <w:lang w:val="sk-SK"/>
        </w:rPr>
        <w:t xml:space="preserve">, </w:t>
      </w:r>
      <w:proofErr w:type="spellStart"/>
      <w:r w:rsidRPr="00635F5B">
        <w:rPr>
          <w:lang w:val="sk-SK"/>
        </w:rPr>
        <w:t>amifostínom</w:t>
      </w:r>
      <w:proofErr w:type="spellEnd"/>
      <w:r w:rsidRPr="00635F5B">
        <w:rPr>
          <w:lang w:val="sk-SK"/>
        </w:rPr>
        <w:t>.</w:t>
      </w:r>
    </w:p>
    <w:p w:rsidR="0042642C" w:rsidRPr="00635F5B" w:rsidRDefault="0042642C" w:rsidP="0055389B">
      <w:pPr>
        <w:pStyle w:val="Styl2"/>
        <w:numPr>
          <w:ilvl w:val="1"/>
          <w:numId w:val="1"/>
        </w:numPr>
        <w:spacing w:before="240"/>
        <w:ind w:left="0" w:firstLine="0"/>
        <w:rPr>
          <w:lang w:val="sk-SK"/>
        </w:rPr>
      </w:pPr>
      <w:r w:rsidRPr="00635F5B">
        <w:rPr>
          <w:lang w:val="sk-SK"/>
        </w:rPr>
        <w:t>Čas použiteľnosti</w:t>
      </w:r>
    </w:p>
    <w:p w:rsidR="0042642C" w:rsidRPr="00635F5B" w:rsidRDefault="0042642C" w:rsidP="0042642C">
      <w:pPr>
        <w:pStyle w:val="Normlndobloku"/>
        <w:rPr>
          <w:lang w:val="sk-SK"/>
        </w:rPr>
      </w:pPr>
      <w:r w:rsidRPr="00635F5B">
        <w:rPr>
          <w:lang w:val="sk-SK"/>
        </w:rPr>
        <w:t>2 roky</w:t>
      </w:r>
    </w:p>
    <w:p w:rsidR="0042642C" w:rsidRPr="00635F5B" w:rsidRDefault="0042642C" w:rsidP="0055389B">
      <w:pPr>
        <w:pStyle w:val="Styl2"/>
        <w:numPr>
          <w:ilvl w:val="1"/>
          <w:numId w:val="1"/>
        </w:numPr>
        <w:spacing w:before="240"/>
        <w:ind w:left="0" w:firstLine="0"/>
        <w:rPr>
          <w:lang w:val="sk-SK"/>
        </w:rPr>
      </w:pPr>
      <w:r w:rsidRPr="00635F5B">
        <w:rPr>
          <w:lang w:val="sk-SK"/>
        </w:rPr>
        <w:t>Špeciálne upozornenia na uchovávanie</w:t>
      </w:r>
    </w:p>
    <w:p w:rsidR="0042642C" w:rsidRPr="00635F5B" w:rsidRDefault="0042642C" w:rsidP="0042642C">
      <w:pPr>
        <w:pStyle w:val="Normlndobloku"/>
        <w:rPr>
          <w:lang w:val="sk-SK"/>
        </w:rPr>
      </w:pPr>
      <w:r w:rsidRPr="00635F5B">
        <w:rPr>
          <w:lang w:val="sk-SK"/>
        </w:rPr>
        <w:t>Uchovávajte pri teplote do 25</w:t>
      </w:r>
      <w:r w:rsidR="003134D4" w:rsidRPr="00635F5B">
        <w:rPr>
          <w:lang w:val="sk-SK"/>
        </w:rPr>
        <w:t xml:space="preserve"> </w:t>
      </w:r>
      <w:r w:rsidRPr="00635F5B">
        <w:rPr>
          <w:lang w:val="sk-SK"/>
        </w:rPr>
        <w:t>°C v pôvodnom obale na ochranu pred svetlom.</w:t>
      </w:r>
    </w:p>
    <w:p w:rsidR="0042642C" w:rsidRPr="00635F5B" w:rsidRDefault="0042642C" w:rsidP="0055389B">
      <w:pPr>
        <w:pStyle w:val="Styl2"/>
        <w:numPr>
          <w:ilvl w:val="1"/>
          <w:numId w:val="1"/>
        </w:numPr>
        <w:spacing w:before="240"/>
        <w:ind w:left="0" w:firstLine="0"/>
        <w:rPr>
          <w:lang w:val="sk-SK"/>
        </w:rPr>
      </w:pPr>
      <w:r w:rsidRPr="00635F5B">
        <w:rPr>
          <w:lang w:val="sk-SK"/>
        </w:rPr>
        <w:t>Druh obalu a obsah balenia</w:t>
      </w:r>
    </w:p>
    <w:p w:rsidR="0042642C" w:rsidRPr="00635F5B" w:rsidRDefault="0042642C" w:rsidP="0042642C">
      <w:pPr>
        <w:pStyle w:val="Normlndobloku"/>
        <w:rPr>
          <w:lang w:val="sk-SK"/>
        </w:rPr>
      </w:pPr>
      <w:r w:rsidRPr="00635F5B">
        <w:rPr>
          <w:lang w:val="sk-SK"/>
        </w:rPr>
        <w:t>Injekčná liekovka z bezfarebného skla s menovitým objemom 20 ml, gumová zátka, hliníkový kryt, škatuľka.</w:t>
      </w:r>
    </w:p>
    <w:p w:rsidR="0042642C" w:rsidRPr="00635F5B" w:rsidRDefault="0042642C" w:rsidP="0042642C">
      <w:pPr>
        <w:pStyle w:val="Normlndobloku"/>
        <w:rPr>
          <w:lang w:val="sk-SK"/>
        </w:rPr>
      </w:pPr>
      <w:r w:rsidRPr="00635F5B">
        <w:rPr>
          <w:lang w:val="sk-SK"/>
        </w:rPr>
        <w:t>Veľkosť balenia: 1, 10, 25, 50 a</w:t>
      </w:r>
      <w:r w:rsidR="0005301D" w:rsidRPr="00635F5B">
        <w:rPr>
          <w:lang w:val="sk-SK"/>
        </w:rPr>
        <w:t xml:space="preserve"> </w:t>
      </w:r>
      <w:r w:rsidRPr="00635F5B">
        <w:rPr>
          <w:lang w:val="sk-SK"/>
        </w:rPr>
        <w:t>100 injekčných liekoviek</w:t>
      </w:r>
    </w:p>
    <w:p w:rsidR="0042642C" w:rsidRPr="00635F5B" w:rsidRDefault="0042642C" w:rsidP="0042642C">
      <w:pPr>
        <w:pStyle w:val="Normlndobloku"/>
        <w:rPr>
          <w:lang w:val="sk-SK"/>
        </w:rPr>
      </w:pPr>
      <w:r w:rsidRPr="00635F5B">
        <w:rPr>
          <w:lang w:val="sk-SK"/>
        </w:rPr>
        <w:t>Na trh nemusia byť uvedené všetky veľkosti balenia.</w:t>
      </w:r>
    </w:p>
    <w:p w:rsidR="0042642C" w:rsidRPr="00635F5B" w:rsidRDefault="0042642C" w:rsidP="0055389B">
      <w:pPr>
        <w:pStyle w:val="Styl2"/>
        <w:numPr>
          <w:ilvl w:val="1"/>
          <w:numId w:val="1"/>
        </w:numPr>
        <w:spacing w:before="240"/>
        <w:ind w:left="0" w:firstLine="0"/>
        <w:rPr>
          <w:lang w:val="sk-SK"/>
        </w:rPr>
      </w:pPr>
      <w:r w:rsidRPr="00635F5B">
        <w:rPr>
          <w:lang w:val="sk-SK"/>
        </w:rPr>
        <w:t>Špeciálne opatrenia na likvidáciu a</w:t>
      </w:r>
      <w:r w:rsidR="00E33BEA" w:rsidRPr="00635F5B">
        <w:rPr>
          <w:lang w:val="sk-SK"/>
        </w:rPr>
        <w:t xml:space="preserve"> </w:t>
      </w:r>
      <w:r w:rsidRPr="00635F5B">
        <w:rPr>
          <w:lang w:val="sk-SK"/>
        </w:rPr>
        <w:t>iné zaobchádzanie s liekom</w:t>
      </w:r>
    </w:p>
    <w:p w:rsidR="0042642C" w:rsidRPr="00635F5B" w:rsidRDefault="0042642C" w:rsidP="009A4807">
      <w:pPr>
        <w:pStyle w:val="Styl3"/>
      </w:pPr>
      <w:r w:rsidRPr="00635F5B">
        <w:t>Rozpustenie prášku</w:t>
      </w:r>
    </w:p>
    <w:p w:rsidR="0042642C" w:rsidRPr="00635F5B" w:rsidRDefault="0042642C" w:rsidP="0042642C">
      <w:pPr>
        <w:pStyle w:val="Normlndobloku"/>
        <w:rPr>
          <w:lang w:val="sk-SK"/>
        </w:rPr>
      </w:pPr>
      <w:r w:rsidRPr="00635F5B">
        <w:rPr>
          <w:lang w:val="sk-SK"/>
        </w:rPr>
        <w:t>SULCEF (</w:t>
      </w: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je dostupný v injekčných liekovkách v sile 2,0 g.</w:t>
      </w:r>
    </w:p>
    <w:tbl>
      <w:tblPr>
        <w:tblpPr w:leftFromText="142" w:rightFromText="142" w:bottomFromText="142" w:vertAnchor="text" w:tblpX="10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1808"/>
        <w:gridCol w:w="1808"/>
        <w:gridCol w:w="1808"/>
        <w:gridCol w:w="1808"/>
      </w:tblGrid>
      <w:tr w:rsidR="0042642C" w:rsidRPr="00635F5B" w:rsidTr="0055389B">
        <w:tc>
          <w:tcPr>
            <w:tcW w:w="1807" w:type="dxa"/>
          </w:tcPr>
          <w:p w:rsidR="0042642C" w:rsidRPr="00635F5B" w:rsidRDefault="0042642C" w:rsidP="0055389B">
            <w:pPr>
              <w:pStyle w:val="Nadpisuvnittabulky"/>
              <w:rPr>
                <w:lang w:val="sk-SK"/>
              </w:rPr>
            </w:pPr>
            <w:r w:rsidRPr="00635F5B">
              <w:rPr>
                <w:lang w:val="sk-SK"/>
              </w:rPr>
              <w:t>Celková dávka (g)</w:t>
            </w:r>
          </w:p>
        </w:tc>
        <w:tc>
          <w:tcPr>
            <w:tcW w:w="1808" w:type="dxa"/>
          </w:tcPr>
          <w:p w:rsidR="0042642C" w:rsidRPr="00635F5B" w:rsidRDefault="0042642C" w:rsidP="0055389B">
            <w:pPr>
              <w:pStyle w:val="Nadpisuvnittabulky"/>
              <w:rPr>
                <w:lang w:val="sk-SK"/>
              </w:rPr>
            </w:pPr>
            <w:r w:rsidRPr="00635F5B">
              <w:rPr>
                <w:lang w:val="sk-SK"/>
              </w:rPr>
              <w:t xml:space="preserve">Dávkový ekvivalent </w:t>
            </w:r>
            <w:proofErr w:type="spellStart"/>
            <w:r w:rsidRPr="00635F5B">
              <w:rPr>
                <w:lang w:val="sk-SK"/>
              </w:rPr>
              <w:t>sulbaktám+cefo-</w:t>
            </w:r>
            <w:r w:rsidRPr="00635F5B">
              <w:rPr>
                <w:lang w:val="sk-SK"/>
              </w:rPr>
              <w:lastRenderedPageBreak/>
              <w:t>perazón</w:t>
            </w:r>
            <w:proofErr w:type="spellEnd"/>
            <w:r w:rsidRPr="00635F5B">
              <w:rPr>
                <w:lang w:val="sk-SK"/>
              </w:rPr>
              <w:t xml:space="preserve"> (g)</w:t>
            </w:r>
          </w:p>
        </w:tc>
        <w:tc>
          <w:tcPr>
            <w:tcW w:w="1808" w:type="dxa"/>
          </w:tcPr>
          <w:p w:rsidR="0042642C" w:rsidRPr="00635F5B" w:rsidRDefault="0042642C" w:rsidP="0055389B">
            <w:pPr>
              <w:pStyle w:val="Nadpisuvnittabulky"/>
              <w:rPr>
                <w:lang w:val="sk-SK"/>
              </w:rPr>
            </w:pPr>
            <w:r w:rsidRPr="00635F5B">
              <w:rPr>
                <w:lang w:val="sk-SK"/>
              </w:rPr>
              <w:lastRenderedPageBreak/>
              <w:t>Objem riedidla (ml)</w:t>
            </w:r>
          </w:p>
        </w:tc>
        <w:tc>
          <w:tcPr>
            <w:tcW w:w="1808" w:type="dxa"/>
          </w:tcPr>
          <w:p w:rsidR="0042642C" w:rsidRPr="00635F5B" w:rsidRDefault="0042642C" w:rsidP="0055389B">
            <w:pPr>
              <w:pStyle w:val="Nadpisuvnittabulky"/>
              <w:rPr>
                <w:lang w:val="sk-SK"/>
              </w:rPr>
            </w:pPr>
            <w:r w:rsidRPr="00635F5B">
              <w:rPr>
                <w:lang w:val="sk-SK"/>
              </w:rPr>
              <w:t>Celkový objem roztoku (ml)</w:t>
            </w:r>
          </w:p>
        </w:tc>
        <w:tc>
          <w:tcPr>
            <w:tcW w:w="1808" w:type="dxa"/>
          </w:tcPr>
          <w:p w:rsidR="0042642C" w:rsidRPr="00635F5B" w:rsidRDefault="0042642C" w:rsidP="0055389B">
            <w:pPr>
              <w:pStyle w:val="Nadpisuvnittabulky"/>
              <w:rPr>
                <w:lang w:val="sk-SK"/>
              </w:rPr>
            </w:pPr>
            <w:r w:rsidRPr="00635F5B">
              <w:rPr>
                <w:lang w:val="sk-SK"/>
              </w:rPr>
              <w:t xml:space="preserve">Max. konečná koncentrácia </w:t>
            </w:r>
            <w:r w:rsidRPr="00635F5B">
              <w:rPr>
                <w:lang w:val="sk-SK"/>
              </w:rPr>
              <w:lastRenderedPageBreak/>
              <w:t>(mg/ml)</w:t>
            </w:r>
          </w:p>
        </w:tc>
      </w:tr>
      <w:tr w:rsidR="0042642C" w:rsidRPr="00635F5B" w:rsidTr="0055389B">
        <w:tc>
          <w:tcPr>
            <w:tcW w:w="1807" w:type="dxa"/>
          </w:tcPr>
          <w:p w:rsidR="0042642C" w:rsidRPr="00635F5B" w:rsidRDefault="0042642C" w:rsidP="0042642C">
            <w:pPr>
              <w:pStyle w:val="Normlndobloku"/>
              <w:rPr>
                <w:lang w:val="sk-SK"/>
              </w:rPr>
            </w:pPr>
            <w:r w:rsidRPr="00635F5B">
              <w:rPr>
                <w:lang w:val="sk-SK"/>
              </w:rPr>
              <w:lastRenderedPageBreak/>
              <w:t>2,0</w:t>
            </w:r>
          </w:p>
        </w:tc>
        <w:tc>
          <w:tcPr>
            <w:tcW w:w="1808" w:type="dxa"/>
          </w:tcPr>
          <w:p w:rsidR="0042642C" w:rsidRPr="00635F5B" w:rsidRDefault="0042642C" w:rsidP="0042642C">
            <w:pPr>
              <w:pStyle w:val="Normlndobloku"/>
              <w:rPr>
                <w:lang w:val="sk-SK"/>
              </w:rPr>
            </w:pPr>
            <w:r w:rsidRPr="00635F5B">
              <w:rPr>
                <w:lang w:val="sk-SK"/>
              </w:rPr>
              <w:t>1,0 + 1,0</w:t>
            </w:r>
          </w:p>
        </w:tc>
        <w:tc>
          <w:tcPr>
            <w:tcW w:w="1808" w:type="dxa"/>
          </w:tcPr>
          <w:p w:rsidR="0042642C" w:rsidRPr="00635F5B" w:rsidRDefault="0042642C" w:rsidP="0042642C">
            <w:pPr>
              <w:pStyle w:val="Normlndobloku"/>
              <w:rPr>
                <w:lang w:val="sk-SK"/>
              </w:rPr>
            </w:pPr>
            <w:r w:rsidRPr="00635F5B">
              <w:rPr>
                <w:lang w:val="sk-SK"/>
              </w:rPr>
              <w:t>6,7</w:t>
            </w:r>
          </w:p>
        </w:tc>
        <w:tc>
          <w:tcPr>
            <w:tcW w:w="1808" w:type="dxa"/>
          </w:tcPr>
          <w:p w:rsidR="0042642C" w:rsidRPr="00635F5B" w:rsidRDefault="0042642C" w:rsidP="0042642C">
            <w:pPr>
              <w:pStyle w:val="Normlndobloku"/>
              <w:rPr>
                <w:lang w:val="sk-SK"/>
              </w:rPr>
            </w:pPr>
            <w:r w:rsidRPr="00635F5B">
              <w:rPr>
                <w:lang w:val="sk-SK"/>
              </w:rPr>
              <w:t>8,0</w:t>
            </w:r>
          </w:p>
        </w:tc>
        <w:tc>
          <w:tcPr>
            <w:tcW w:w="1808" w:type="dxa"/>
          </w:tcPr>
          <w:p w:rsidR="0042642C" w:rsidRPr="00635F5B" w:rsidRDefault="0042642C" w:rsidP="0042642C">
            <w:pPr>
              <w:pStyle w:val="Normlndobloku"/>
              <w:rPr>
                <w:lang w:val="sk-SK"/>
              </w:rPr>
            </w:pPr>
            <w:r w:rsidRPr="00635F5B">
              <w:rPr>
                <w:lang w:val="sk-SK"/>
              </w:rPr>
              <w:t>125 + 125</w:t>
            </w:r>
          </w:p>
        </w:tc>
      </w:tr>
    </w:tbl>
    <w:p w:rsidR="0042642C" w:rsidRPr="00635F5B" w:rsidRDefault="0042642C" w:rsidP="0042642C">
      <w:pPr>
        <w:pStyle w:val="Normlndobloku"/>
        <w:rPr>
          <w:lang w:val="sk-SK"/>
        </w:rPr>
      </w:pPr>
      <w:proofErr w:type="spellStart"/>
      <w:r w:rsidRPr="00635F5B">
        <w:rPr>
          <w:lang w:val="sk-SK"/>
        </w:rPr>
        <w:t>Sulbaktám</w:t>
      </w:r>
      <w:proofErr w:type="spellEnd"/>
      <w:r w:rsidRPr="00635F5B">
        <w:rPr>
          <w:lang w:val="sk-SK"/>
        </w:rPr>
        <w:t>/</w:t>
      </w:r>
      <w:proofErr w:type="spellStart"/>
      <w:r w:rsidRPr="00635F5B">
        <w:rPr>
          <w:lang w:val="sk-SK"/>
        </w:rPr>
        <w:t>cefoperazón</w:t>
      </w:r>
      <w:proofErr w:type="spellEnd"/>
      <w:r w:rsidRPr="00635F5B">
        <w:rPr>
          <w:lang w:val="sk-SK"/>
        </w:rPr>
        <w:t xml:space="preserve"> je kompatibilný s vodou na injekciu, 5 % glukózou, 0,9 % (9 g/l) </w:t>
      </w:r>
      <w:proofErr w:type="spellStart"/>
      <w:r w:rsidRPr="00635F5B">
        <w:rPr>
          <w:lang w:val="sk-SK"/>
        </w:rPr>
        <w:t>izotonickým</w:t>
      </w:r>
      <w:proofErr w:type="spellEnd"/>
      <w:r w:rsidRPr="00635F5B">
        <w:rPr>
          <w:lang w:val="sk-SK"/>
        </w:rPr>
        <w:t xml:space="preserve"> roztokom chloridu sodného a 5 % glukózou v 0,9 % (9 g/l) </w:t>
      </w:r>
      <w:proofErr w:type="spellStart"/>
      <w:r w:rsidRPr="00635F5B">
        <w:rPr>
          <w:lang w:val="sk-SK"/>
        </w:rPr>
        <w:t>izotonickom</w:t>
      </w:r>
      <w:proofErr w:type="spellEnd"/>
      <w:r w:rsidRPr="00635F5B">
        <w:rPr>
          <w:lang w:val="sk-SK"/>
        </w:rPr>
        <w:t xml:space="preserve"> roztoku chloridu sodného pri koncentráciách 5 mg </w:t>
      </w:r>
      <w:proofErr w:type="spellStart"/>
      <w:r w:rsidRPr="00635F5B">
        <w:rPr>
          <w:lang w:val="sk-SK"/>
        </w:rPr>
        <w:t>cefoperazónu</w:t>
      </w:r>
      <w:proofErr w:type="spellEnd"/>
      <w:r w:rsidRPr="00635F5B">
        <w:rPr>
          <w:lang w:val="sk-SK"/>
        </w:rPr>
        <w:t xml:space="preserve"> a 5 mg </w:t>
      </w:r>
      <w:proofErr w:type="spellStart"/>
      <w:r w:rsidRPr="00635F5B">
        <w:rPr>
          <w:lang w:val="sk-SK"/>
        </w:rPr>
        <w:t>sulbaktámu</w:t>
      </w:r>
      <w:proofErr w:type="spellEnd"/>
      <w:r w:rsidRPr="00635F5B">
        <w:rPr>
          <w:lang w:val="sk-SK"/>
        </w:rPr>
        <w:t xml:space="preserve"> v ml až po 125 mg </w:t>
      </w:r>
      <w:proofErr w:type="spellStart"/>
      <w:r w:rsidRPr="00635F5B">
        <w:rPr>
          <w:lang w:val="sk-SK"/>
        </w:rPr>
        <w:t>cefoperazónu</w:t>
      </w:r>
      <w:proofErr w:type="spellEnd"/>
      <w:r w:rsidRPr="00635F5B">
        <w:rPr>
          <w:lang w:val="sk-SK"/>
        </w:rPr>
        <w:t xml:space="preserve"> a 125 mg </w:t>
      </w:r>
      <w:proofErr w:type="spellStart"/>
      <w:r w:rsidRPr="00635F5B">
        <w:rPr>
          <w:lang w:val="sk-SK"/>
        </w:rPr>
        <w:t>sulbaktámu</w:t>
      </w:r>
      <w:proofErr w:type="spellEnd"/>
      <w:r w:rsidRPr="00635F5B">
        <w:rPr>
          <w:lang w:val="sk-SK"/>
        </w:rPr>
        <w:t xml:space="preserve"> v ml.</w:t>
      </w:r>
    </w:p>
    <w:p w:rsidR="0042642C" w:rsidRPr="00635F5B" w:rsidRDefault="0042642C" w:rsidP="009A4807">
      <w:pPr>
        <w:pStyle w:val="Styl3"/>
      </w:pPr>
      <w:proofErr w:type="spellStart"/>
      <w:r w:rsidRPr="00635F5B">
        <w:t>Ringer</w:t>
      </w:r>
      <w:proofErr w:type="spellEnd"/>
      <w:r w:rsidRPr="00635F5B">
        <w:t xml:space="preserve"> </w:t>
      </w:r>
      <w:proofErr w:type="spellStart"/>
      <w:r w:rsidRPr="00635F5B">
        <w:t>laktát</w:t>
      </w:r>
      <w:proofErr w:type="spellEnd"/>
    </w:p>
    <w:p w:rsidR="0042642C" w:rsidRPr="00635F5B" w:rsidRDefault="0042642C" w:rsidP="0042642C">
      <w:pPr>
        <w:pStyle w:val="Normlndobloku"/>
        <w:rPr>
          <w:lang w:val="sk-SK"/>
        </w:rPr>
      </w:pPr>
      <w:r w:rsidRPr="00635F5B">
        <w:rPr>
          <w:lang w:val="sk-SK"/>
        </w:rPr>
        <w:t xml:space="preserve">Na primárne rozpustenie prášku sa má použiť sterilná voda na injekciu (pozri časť 6.2 Inkompatibility, </w:t>
      </w:r>
      <w:proofErr w:type="spellStart"/>
      <w:r w:rsidRPr="00635F5B">
        <w:rPr>
          <w:rStyle w:val="Bacil"/>
          <w:lang w:val="sk-SK"/>
        </w:rPr>
        <w:t>Ringer</w:t>
      </w:r>
      <w:proofErr w:type="spellEnd"/>
      <w:r w:rsidRPr="00635F5B">
        <w:rPr>
          <w:rStyle w:val="Bacil"/>
          <w:lang w:val="sk-SK"/>
        </w:rPr>
        <w:t xml:space="preserve"> </w:t>
      </w:r>
      <w:proofErr w:type="spellStart"/>
      <w:r w:rsidRPr="00635F5B">
        <w:rPr>
          <w:rStyle w:val="Bacil"/>
          <w:lang w:val="sk-SK"/>
        </w:rPr>
        <w:t>laktát</w:t>
      </w:r>
      <w:proofErr w:type="spellEnd"/>
      <w:r w:rsidRPr="00635F5B">
        <w:rPr>
          <w:i/>
          <w:lang w:val="sk-SK"/>
        </w:rPr>
        <w:t xml:space="preserve"> </w:t>
      </w:r>
      <w:r w:rsidRPr="00635F5B">
        <w:rPr>
          <w:lang w:val="sk-SK"/>
        </w:rPr>
        <w:t>a </w:t>
      </w:r>
      <w:r w:rsidRPr="00635F5B">
        <w:rPr>
          <w:rStyle w:val="Bacil"/>
          <w:lang w:val="sk-SK"/>
        </w:rPr>
        <w:t xml:space="preserve">Rozpustenie prášku, </w:t>
      </w:r>
      <w:r w:rsidRPr="00635F5B">
        <w:rPr>
          <w:lang w:val="sk-SK"/>
        </w:rPr>
        <w:t xml:space="preserve">pozri tabuľku vyššie). Nariedený roztok ďalej riedime roztokom </w:t>
      </w:r>
      <w:proofErr w:type="spellStart"/>
      <w:r w:rsidRPr="00635F5B">
        <w:rPr>
          <w:lang w:val="sk-SK"/>
        </w:rPr>
        <w:t>Ringer</w:t>
      </w:r>
      <w:proofErr w:type="spellEnd"/>
      <w:r w:rsidRPr="00635F5B">
        <w:rPr>
          <w:lang w:val="sk-SK"/>
        </w:rPr>
        <w:t xml:space="preserve"> </w:t>
      </w:r>
      <w:proofErr w:type="spellStart"/>
      <w:r w:rsidRPr="00635F5B">
        <w:rPr>
          <w:lang w:val="sk-SK"/>
        </w:rPr>
        <w:t>laktátu</w:t>
      </w:r>
      <w:proofErr w:type="spellEnd"/>
      <w:r w:rsidRPr="00635F5B">
        <w:rPr>
          <w:lang w:val="sk-SK"/>
        </w:rPr>
        <w:t xml:space="preserve"> na koncentráciu </w:t>
      </w:r>
      <w:proofErr w:type="spellStart"/>
      <w:r w:rsidRPr="00635F5B">
        <w:rPr>
          <w:lang w:val="sk-SK"/>
        </w:rPr>
        <w:t>sulbaktámu</w:t>
      </w:r>
      <w:proofErr w:type="spellEnd"/>
      <w:r w:rsidRPr="00635F5B">
        <w:rPr>
          <w:lang w:val="sk-SK"/>
        </w:rPr>
        <w:t xml:space="preserve"> 5 mg/ml (2 ml z primárneho riedenia do 50 ml </w:t>
      </w:r>
      <w:proofErr w:type="spellStart"/>
      <w:r w:rsidRPr="00635F5B">
        <w:rPr>
          <w:lang w:val="sk-SK"/>
        </w:rPr>
        <w:t>Ringer</w:t>
      </w:r>
      <w:proofErr w:type="spellEnd"/>
      <w:r w:rsidRPr="00635F5B">
        <w:rPr>
          <w:lang w:val="sk-SK"/>
        </w:rPr>
        <w:t xml:space="preserve"> </w:t>
      </w:r>
      <w:proofErr w:type="spellStart"/>
      <w:r w:rsidRPr="00635F5B">
        <w:rPr>
          <w:lang w:val="sk-SK"/>
        </w:rPr>
        <w:t>laktátu</w:t>
      </w:r>
      <w:proofErr w:type="spellEnd"/>
      <w:r w:rsidRPr="00635F5B">
        <w:rPr>
          <w:lang w:val="sk-SK"/>
        </w:rPr>
        <w:t xml:space="preserve"> alebo 4 ml z primárneho riedenia do 100 ml </w:t>
      </w:r>
      <w:proofErr w:type="spellStart"/>
      <w:r w:rsidRPr="00635F5B">
        <w:rPr>
          <w:lang w:val="sk-SK"/>
        </w:rPr>
        <w:t>Ringer</w:t>
      </w:r>
      <w:proofErr w:type="spellEnd"/>
      <w:r w:rsidRPr="00635F5B">
        <w:rPr>
          <w:lang w:val="sk-SK"/>
        </w:rPr>
        <w:t xml:space="preserve"> </w:t>
      </w:r>
      <w:proofErr w:type="spellStart"/>
      <w:r w:rsidRPr="00635F5B">
        <w:rPr>
          <w:lang w:val="sk-SK"/>
        </w:rPr>
        <w:t>laktátu</w:t>
      </w:r>
      <w:proofErr w:type="spellEnd"/>
      <w:r w:rsidRPr="00635F5B">
        <w:rPr>
          <w:lang w:val="sk-SK"/>
        </w:rPr>
        <w:t>).</w:t>
      </w:r>
    </w:p>
    <w:p w:rsidR="0042642C" w:rsidRPr="00635F5B" w:rsidRDefault="0042642C" w:rsidP="009A4807">
      <w:pPr>
        <w:pStyle w:val="Styl3"/>
      </w:pPr>
      <w:r w:rsidRPr="00635F5B">
        <w:t xml:space="preserve">2% roztok </w:t>
      </w:r>
      <w:proofErr w:type="spellStart"/>
      <w:r w:rsidRPr="00635F5B">
        <w:t>lidokaínu</w:t>
      </w:r>
      <w:proofErr w:type="spellEnd"/>
    </w:p>
    <w:p w:rsidR="0042642C" w:rsidRPr="00635F5B" w:rsidRDefault="0042642C" w:rsidP="0042642C">
      <w:pPr>
        <w:pStyle w:val="Normlndobloku"/>
        <w:rPr>
          <w:lang w:val="sk-SK"/>
        </w:rPr>
      </w:pPr>
      <w:r w:rsidRPr="00635F5B">
        <w:rPr>
          <w:lang w:val="sk-SK"/>
        </w:rPr>
        <w:t xml:space="preserve">Na primárne rozpustenie prášku sa má použiť sterilná voda na injekciu (pozri časť 6.2 Inkompatibility, </w:t>
      </w:r>
      <w:r w:rsidRPr="00635F5B">
        <w:rPr>
          <w:rStyle w:val="Bacil"/>
          <w:lang w:val="sk-SK"/>
        </w:rPr>
        <w:t xml:space="preserve">2% roztok </w:t>
      </w:r>
      <w:proofErr w:type="spellStart"/>
      <w:r w:rsidRPr="00635F5B">
        <w:rPr>
          <w:rStyle w:val="Bacil"/>
          <w:lang w:val="sk-SK"/>
        </w:rPr>
        <w:t>lidokaínu</w:t>
      </w:r>
      <w:proofErr w:type="spellEnd"/>
      <w:r w:rsidRPr="00635F5B">
        <w:rPr>
          <w:lang w:val="sk-SK"/>
        </w:rPr>
        <w:t xml:space="preserve"> a </w:t>
      </w:r>
      <w:r w:rsidRPr="00635F5B">
        <w:rPr>
          <w:rStyle w:val="Bacil"/>
          <w:lang w:val="sk-SK"/>
        </w:rPr>
        <w:t xml:space="preserve">Rozpustenie prášku, </w:t>
      </w:r>
      <w:r w:rsidRPr="00635F5B">
        <w:rPr>
          <w:lang w:val="sk-SK"/>
        </w:rPr>
        <w:t xml:space="preserve">pozri tabuľku vyššie). V druhom kroku sa časť primárneho roztoku nariedi 2% roztok </w:t>
      </w:r>
      <w:proofErr w:type="spellStart"/>
      <w:r w:rsidRPr="00635F5B">
        <w:rPr>
          <w:lang w:val="sk-SK"/>
        </w:rPr>
        <w:t>lidokaínu</w:t>
      </w:r>
      <w:proofErr w:type="spellEnd"/>
      <w:r w:rsidRPr="00635F5B">
        <w:rPr>
          <w:lang w:val="sk-SK"/>
        </w:rPr>
        <w:t xml:space="preserve"> na výslednú koncentráciu </w:t>
      </w:r>
      <w:proofErr w:type="spellStart"/>
      <w:r w:rsidRPr="00635F5B">
        <w:rPr>
          <w:lang w:val="sk-SK"/>
        </w:rPr>
        <w:t>lidokaínu</w:t>
      </w:r>
      <w:proofErr w:type="spellEnd"/>
      <w:r w:rsidRPr="00635F5B">
        <w:rPr>
          <w:lang w:val="sk-SK"/>
        </w:rPr>
        <w:t xml:space="preserve"> 0,5 % (napr. 6 ml primárneho roztoku a 2 ml 2% roztoku </w:t>
      </w:r>
      <w:proofErr w:type="spellStart"/>
      <w:r w:rsidRPr="00635F5B">
        <w:rPr>
          <w:lang w:val="sk-SK"/>
        </w:rPr>
        <w:t>lidokaínu</w:t>
      </w:r>
      <w:proofErr w:type="spellEnd"/>
      <w:r w:rsidRPr="00635F5B">
        <w:rPr>
          <w:lang w:val="sk-SK"/>
        </w:rPr>
        <w:t xml:space="preserve">, výsledná koncentrácia lieku SULCEF približne 200 (100 + 100) mg/ml, výsledná koncentrácia </w:t>
      </w:r>
      <w:proofErr w:type="spellStart"/>
      <w:r w:rsidRPr="00635F5B">
        <w:rPr>
          <w:lang w:val="sk-SK"/>
        </w:rPr>
        <w:t>lidokaínu</w:t>
      </w:r>
      <w:proofErr w:type="spellEnd"/>
      <w:r w:rsidRPr="00635F5B">
        <w:rPr>
          <w:lang w:val="sk-SK"/>
        </w:rPr>
        <w:t xml:space="preserve"> 0,5 %).</w:t>
      </w:r>
    </w:p>
    <w:p w:rsidR="0042642C" w:rsidRPr="00635F5B" w:rsidRDefault="0042642C" w:rsidP="0055389B">
      <w:pPr>
        <w:pStyle w:val="Styl1"/>
        <w:numPr>
          <w:ilvl w:val="0"/>
          <w:numId w:val="1"/>
        </w:numPr>
        <w:spacing w:before="480"/>
        <w:ind w:left="357" w:hanging="357"/>
        <w:rPr>
          <w:lang w:val="sk-SK"/>
        </w:rPr>
      </w:pPr>
      <w:r w:rsidRPr="00635F5B">
        <w:rPr>
          <w:lang w:val="sk-SK"/>
        </w:rPr>
        <w:t>DRŽITEĽ ROZHODNUTIA O REGISTRÁCII</w:t>
      </w:r>
    </w:p>
    <w:p w:rsidR="00104D61" w:rsidRPr="00635F5B" w:rsidRDefault="00104D61" w:rsidP="0042642C">
      <w:pPr>
        <w:pStyle w:val="Normlndobloku"/>
        <w:rPr>
          <w:lang w:val="sk-SK"/>
        </w:rPr>
      </w:pPr>
      <w:r w:rsidRPr="00104D61">
        <w:rPr>
          <w:lang w:val="sk-SK"/>
        </w:rPr>
        <w:t xml:space="preserve">MEDOCHEMIE Ltd., 1-10 </w:t>
      </w:r>
      <w:proofErr w:type="spellStart"/>
      <w:r w:rsidRPr="00104D61">
        <w:rPr>
          <w:lang w:val="sk-SK"/>
        </w:rPr>
        <w:t>Constantinoupoleos</w:t>
      </w:r>
      <w:proofErr w:type="spellEnd"/>
      <w:r w:rsidRPr="00104D61">
        <w:rPr>
          <w:lang w:val="sk-SK"/>
        </w:rPr>
        <w:t xml:space="preserve"> </w:t>
      </w:r>
      <w:proofErr w:type="spellStart"/>
      <w:r w:rsidRPr="00104D61">
        <w:rPr>
          <w:lang w:val="sk-SK"/>
        </w:rPr>
        <w:t>Street</w:t>
      </w:r>
      <w:proofErr w:type="spellEnd"/>
      <w:r w:rsidRPr="00104D61">
        <w:rPr>
          <w:lang w:val="sk-SK"/>
        </w:rPr>
        <w:t xml:space="preserve">, 3011 </w:t>
      </w:r>
      <w:proofErr w:type="spellStart"/>
      <w:r w:rsidRPr="00104D61">
        <w:rPr>
          <w:lang w:val="sk-SK"/>
        </w:rPr>
        <w:t>Limassol</w:t>
      </w:r>
      <w:proofErr w:type="spellEnd"/>
      <w:r w:rsidRPr="00104D61">
        <w:rPr>
          <w:lang w:val="sk-SK"/>
        </w:rPr>
        <w:t>, Cyprus</w:t>
      </w:r>
    </w:p>
    <w:p w:rsidR="0042642C" w:rsidRPr="00635F5B" w:rsidRDefault="0042642C" w:rsidP="0055389B">
      <w:pPr>
        <w:pStyle w:val="Styl1"/>
        <w:numPr>
          <w:ilvl w:val="0"/>
          <w:numId w:val="1"/>
        </w:numPr>
        <w:spacing w:before="480"/>
        <w:ind w:left="357" w:hanging="357"/>
        <w:rPr>
          <w:lang w:val="sk-SK"/>
        </w:rPr>
      </w:pPr>
      <w:r w:rsidRPr="00635F5B">
        <w:rPr>
          <w:lang w:val="sk-SK"/>
        </w:rPr>
        <w:t>REGISTRAČNÉ ČÍSLO</w:t>
      </w:r>
    </w:p>
    <w:p w:rsidR="0042642C" w:rsidRPr="00635F5B" w:rsidRDefault="0042642C" w:rsidP="0042642C">
      <w:pPr>
        <w:pStyle w:val="Normlndobloku"/>
        <w:rPr>
          <w:lang w:val="sk-SK"/>
        </w:rPr>
      </w:pPr>
      <w:r w:rsidRPr="00635F5B">
        <w:rPr>
          <w:lang w:val="sk-SK"/>
        </w:rPr>
        <w:t>15/0297/13-S</w:t>
      </w:r>
    </w:p>
    <w:p w:rsidR="0042642C" w:rsidRPr="00635F5B" w:rsidRDefault="0042642C" w:rsidP="0055389B">
      <w:pPr>
        <w:pStyle w:val="Styl1"/>
        <w:numPr>
          <w:ilvl w:val="0"/>
          <w:numId w:val="1"/>
        </w:numPr>
        <w:spacing w:before="480"/>
        <w:ind w:left="357" w:hanging="357"/>
        <w:rPr>
          <w:lang w:val="sk-SK"/>
        </w:rPr>
      </w:pPr>
      <w:r w:rsidRPr="00635F5B">
        <w:rPr>
          <w:lang w:val="sk-SK"/>
        </w:rPr>
        <w:t>DÁTUM PRVEJ REGISTRÁCIE / PREDĹŽENIA REGISTRÁCIE</w:t>
      </w:r>
    </w:p>
    <w:p w:rsidR="0042642C" w:rsidRPr="00635F5B" w:rsidRDefault="0042642C" w:rsidP="0042642C">
      <w:pPr>
        <w:pStyle w:val="Normlndobloku"/>
        <w:rPr>
          <w:lang w:val="sk-SK"/>
        </w:rPr>
      </w:pPr>
      <w:r w:rsidRPr="00635F5B">
        <w:rPr>
          <w:lang w:val="sk-SK"/>
        </w:rPr>
        <w:t>Dátum prvej registrácie: 9. júla 2013</w:t>
      </w:r>
    </w:p>
    <w:p w:rsidR="0042642C" w:rsidRPr="00635F5B" w:rsidRDefault="0042642C" w:rsidP="0042642C">
      <w:pPr>
        <w:pStyle w:val="Normlndobloku"/>
        <w:rPr>
          <w:lang w:val="sk-SK"/>
        </w:rPr>
      </w:pPr>
      <w:r w:rsidRPr="00635F5B">
        <w:rPr>
          <w:lang w:val="sk-SK"/>
        </w:rPr>
        <w:t>Dátum posledného predĺženia registrácie:</w:t>
      </w:r>
    </w:p>
    <w:p w:rsidR="0042642C" w:rsidRPr="00635F5B" w:rsidRDefault="0042642C" w:rsidP="0055389B">
      <w:pPr>
        <w:pStyle w:val="Styl1"/>
        <w:numPr>
          <w:ilvl w:val="0"/>
          <w:numId w:val="1"/>
        </w:numPr>
        <w:spacing w:before="480"/>
        <w:ind w:left="357" w:hanging="357"/>
        <w:rPr>
          <w:lang w:val="sk-SK"/>
        </w:rPr>
      </w:pPr>
      <w:r w:rsidRPr="00635F5B">
        <w:rPr>
          <w:lang w:val="sk-SK"/>
        </w:rPr>
        <w:t>DÁTUM REVÍZIE TEXTU</w:t>
      </w:r>
    </w:p>
    <w:p w:rsidR="00C42AE0" w:rsidRPr="004779E8" w:rsidRDefault="00582066" w:rsidP="0055389B">
      <w:r>
        <w:t>Jún 2018</w:t>
      </w:r>
    </w:p>
    <w:sectPr w:rsidR="00C42AE0" w:rsidRPr="004779E8" w:rsidSect="00104D6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713" w:rsidRDefault="00DE2713" w:rsidP="0042642C">
      <w:r>
        <w:separator/>
      </w:r>
    </w:p>
  </w:endnote>
  <w:endnote w:type="continuationSeparator" w:id="0">
    <w:p w:rsidR="00DE2713" w:rsidRDefault="00DE2713" w:rsidP="0042642C">
      <w:r>
        <w:continuationSeparator/>
      </w:r>
    </w:p>
  </w:endnote>
  <w:endnote w:type="continuationNotice" w:id="1">
    <w:p w:rsidR="00DE2713" w:rsidRDefault="00DE271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egoe UI">
    <w:panose1 w:val="020B0502040204020203"/>
    <w:charset w:val="EE"/>
    <w:family w:val="swiss"/>
    <w:pitch w:val="variable"/>
    <w:sig w:usb0="E00022FF" w:usb1="C000205B" w:usb2="00000009" w:usb3="00000000" w:csb0="000001DF" w:csb1="00000000"/>
  </w:font>
  <w:font w:name="ITC Garamond Bk AT">
    <w:altName w:val="Courier New"/>
    <w:charset w:val="00"/>
    <w:family w:val="auto"/>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71" w:rsidRDefault="005C0F71">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9B" w:rsidRDefault="00F3336F" w:rsidP="00C76BDF">
    <w:pPr>
      <w:jc w:val="center"/>
    </w:pPr>
    <w:r>
      <w:fldChar w:fldCharType="begin"/>
    </w:r>
    <w:r w:rsidR="0055389B">
      <w:instrText xml:space="preserve"> PAGE </w:instrText>
    </w:r>
    <w:r>
      <w:fldChar w:fldCharType="separate"/>
    </w:r>
    <w:r w:rsidR="00DD1FE2">
      <w:rPr>
        <w:noProof/>
      </w:rPr>
      <w:t>11</w:t>
    </w:r>
    <w:r>
      <w:fldChar w:fldCharType="end"/>
    </w:r>
    <w:r w:rsidR="0055389B">
      <w:t>/</w:t>
    </w:r>
    <w:r>
      <w:fldChar w:fldCharType="begin"/>
    </w:r>
    <w:r w:rsidR="0055389B">
      <w:instrText xml:space="preserve"> NUMPAGES </w:instrText>
    </w:r>
    <w:r>
      <w:fldChar w:fldCharType="separate"/>
    </w:r>
    <w:r w:rsidR="00DD1FE2">
      <w:rPr>
        <w:noProof/>
      </w:rPr>
      <w:t>11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9B" w:rsidRDefault="00F3336F" w:rsidP="000F24DD">
    <w:pPr>
      <w:jc w:val="center"/>
    </w:pPr>
    <w:r>
      <w:fldChar w:fldCharType="begin"/>
    </w:r>
    <w:r w:rsidR="0055389B">
      <w:instrText xml:space="preserve"> PAGE </w:instrText>
    </w:r>
    <w:r>
      <w:fldChar w:fldCharType="separate"/>
    </w:r>
    <w:r w:rsidR="00635F5B">
      <w:rPr>
        <w:noProof/>
      </w:rPr>
      <w:t>1</w:t>
    </w:r>
    <w:r>
      <w:fldChar w:fldCharType="end"/>
    </w:r>
    <w:r w:rsidR="0055389B">
      <w:t>/</w:t>
    </w:r>
    <w:r>
      <w:fldChar w:fldCharType="begin"/>
    </w:r>
    <w:r w:rsidR="0055389B">
      <w:instrText xml:space="preserve"> NUMPAGES </w:instrText>
    </w:r>
    <w:r>
      <w:fldChar w:fldCharType="separate"/>
    </w:r>
    <w:r w:rsidR="00DD1FE2">
      <w:rPr>
        <w:noProof/>
      </w:rPr>
      <w:t>11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713" w:rsidRDefault="00DE2713" w:rsidP="0042642C">
      <w:r>
        <w:separator/>
      </w:r>
    </w:p>
  </w:footnote>
  <w:footnote w:type="continuationSeparator" w:id="0">
    <w:p w:rsidR="00DE2713" w:rsidRDefault="00DE2713" w:rsidP="0042642C">
      <w:r>
        <w:continuationSeparator/>
      </w:r>
    </w:p>
  </w:footnote>
  <w:footnote w:type="continuationNotice" w:id="1">
    <w:p w:rsidR="00DE2713" w:rsidRDefault="00DE27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71" w:rsidRDefault="005C0F71">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61" w:rsidRDefault="00104D61" w:rsidP="00104D61">
    <w:pPr>
      <w:pStyle w:val="Hlavika"/>
    </w:pPr>
    <w:proofErr w:type="spellStart"/>
    <w:r>
      <w:rPr>
        <w:sz w:val="18"/>
        <w:szCs w:val="18"/>
      </w:rPr>
      <w:t>Schválený</w:t>
    </w:r>
    <w:proofErr w:type="spellEnd"/>
    <w:r>
      <w:rPr>
        <w:sz w:val="18"/>
        <w:szCs w:val="18"/>
      </w:rPr>
      <w:t xml:space="preserve"> text k </w:t>
    </w:r>
    <w:proofErr w:type="spellStart"/>
    <w:r>
      <w:rPr>
        <w:sz w:val="18"/>
        <w:szCs w:val="18"/>
      </w:rPr>
      <w:t>rozhodnutiu</w:t>
    </w:r>
    <w:proofErr w:type="spellEnd"/>
    <w:r>
      <w:rPr>
        <w:sz w:val="18"/>
        <w:szCs w:val="18"/>
      </w:rPr>
      <w:t xml:space="preserve"> o </w:t>
    </w:r>
    <w:proofErr w:type="spellStart"/>
    <w:r>
      <w:rPr>
        <w:sz w:val="18"/>
        <w:szCs w:val="18"/>
      </w:rPr>
      <w:t>prevode</w:t>
    </w:r>
    <w:proofErr w:type="spellEnd"/>
    <w:r>
      <w:rPr>
        <w:sz w:val="18"/>
        <w:szCs w:val="18"/>
      </w:rPr>
      <w:t xml:space="preserve">, </w:t>
    </w:r>
    <w:proofErr w:type="spellStart"/>
    <w:r>
      <w:rPr>
        <w:sz w:val="18"/>
        <w:szCs w:val="18"/>
      </w:rPr>
      <w:t>ev</w:t>
    </w:r>
    <w:proofErr w:type="spellEnd"/>
    <w:r>
      <w:rPr>
        <w:sz w:val="18"/>
        <w:szCs w:val="18"/>
      </w:rPr>
      <w:t>. č.:</w:t>
    </w:r>
    <w:r w:rsidR="005C0F71">
      <w:rPr>
        <w:sz w:val="18"/>
        <w:szCs w:val="18"/>
      </w:rPr>
      <w:t xml:space="preserve"> 2018/03581-TR</w:t>
    </w:r>
  </w:p>
  <w:p w:rsidR="00104D61" w:rsidRDefault="00104D61">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9B" w:rsidRDefault="0055389B" w:rsidP="0042642C">
    <w:pPr>
      <w:pStyle w:val="Normlndobloku"/>
      <w:rPr>
        <w:sz w:val="18"/>
        <w:szCs w:val="18"/>
        <w:lang w:val="sk-SK"/>
      </w:rPr>
    </w:pPr>
  </w:p>
  <w:p w:rsidR="00C21D0A" w:rsidRPr="00C21D0A" w:rsidRDefault="00C21D0A" w:rsidP="0042642C">
    <w:pPr>
      <w:pStyle w:val="Normlndobloku"/>
      <w:rPr>
        <w:sz w:val="18"/>
        <w:lang w:val="sk-SK"/>
      </w:rPr>
    </w:pPr>
    <w:r w:rsidRPr="001700DE">
      <w:rPr>
        <w:sz w:val="18"/>
        <w:szCs w:val="18"/>
        <w:lang w:val="sk-SK"/>
      </w:rPr>
      <w:t>Príloha č. 1</w:t>
    </w:r>
    <w:r w:rsidRPr="0055389B">
      <w:rPr>
        <w:sz w:val="18"/>
        <w:lang w:val="sk-SK"/>
      </w:rPr>
      <w:t xml:space="preserve"> k</w:t>
    </w:r>
    <w:r w:rsidRPr="001700DE">
      <w:rPr>
        <w:sz w:val="18"/>
        <w:szCs w:val="18"/>
        <w:lang w:val="sk-SK"/>
      </w:rPr>
      <w:t> notifikácii</w:t>
    </w:r>
    <w:r w:rsidRPr="0055389B">
      <w:rPr>
        <w:sz w:val="18"/>
        <w:lang w:val="sk-SK"/>
      </w:rPr>
      <w:t xml:space="preserve"> o</w:t>
    </w:r>
    <w:r w:rsidRPr="001700DE">
      <w:rPr>
        <w:sz w:val="18"/>
        <w:szCs w:val="18"/>
        <w:lang w:val="sk-SK"/>
      </w:rPr>
      <w:t> zmene</w:t>
    </w:r>
    <w:r w:rsidRPr="0055389B">
      <w:rPr>
        <w:sz w:val="18"/>
        <w:lang w:val="sk-SK"/>
      </w:rPr>
      <w:t>, ev.</w:t>
    </w:r>
    <w:r w:rsidRPr="001700DE">
      <w:rPr>
        <w:sz w:val="18"/>
        <w:szCs w:val="18"/>
        <w:lang w:val="sk-SK"/>
      </w:rPr>
      <w:t xml:space="preserve"> </w:t>
    </w:r>
    <w:r w:rsidRPr="0055389B">
      <w:rPr>
        <w:sz w:val="18"/>
        <w:lang w:val="sk-SK"/>
      </w:rPr>
      <w:t xml:space="preserve">č.: </w:t>
    </w:r>
    <w:r w:rsidRPr="001700DE">
      <w:rPr>
        <w:sz w:val="18"/>
        <w:szCs w:val="18"/>
        <w:lang w:val="sk-SK"/>
      </w:rPr>
      <w:t>2017/00279-Z1A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E83"/>
    <w:multiLevelType w:val="hybridMultilevel"/>
    <w:tmpl w:val="EA4E6A1E"/>
    <w:lvl w:ilvl="0" w:tplc="93D4B298">
      <w:start w:val="1"/>
      <w:numFmt w:val="bullet"/>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cs="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cs="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cs="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1">
    <w:nsid w:val="173D28B1"/>
    <w:multiLevelType w:val="hybridMultilevel"/>
    <w:tmpl w:val="888277EA"/>
    <w:lvl w:ilvl="0" w:tplc="EDF8C102">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74C7DB5"/>
    <w:multiLevelType w:val="hybridMultilevel"/>
    <w:tmpl w:val="D9CACA9C"/>
    <w:lvl w:ilvl="0" w:tplc="3C18DB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9A743B"/>
    <w:multiLevelType w:val="singleLevel"/>
    <w:tmpl w:val="A4B65C1E"/>
    <w:lvl w:ilvl="0">
      <w:start w:val="6"/>
      <w:numFmt w:val="decimal"/>
      <w:lvlText w:val="%1."/>
      <w:lvlJc w:val="left"/>
      <w:pPr>
        <w:tabs>
          <w:tab w:val="num" w:pos="720"/>
        </w:tabs>
        <w:ind w:left="720" w:hanging="720"/>
      </w:pPr>
      <w:rPr>
        <w:rFonts w:hint="default"/>
      </w:rPr>
    </w:lvl>
  </w:abstractNum>
  <w:abstractNum w:abstractNumId="4">
    <w:nsid w:val="327F684C"/>
    <w:multiLevelType w:val="multilevel"/>
    <w:tmpl w:val="537C3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3E8F3535"/>
    <w:multiLevelType w:val="singleLevel"/>
    <w:tmpl w:val="D898E904"/>
    <w:lvl w:ilvl="0">
      <w:start w:val="5"/>
      <w:numFmt w:val="decimal"/>
      <w:lvlText w:val="%1."/>
      <w:lvlJc w:val="left"/>
      <w:pPr>
        <w:tabs>
          <w:tab w:val="num" w:pos="720"/>
        </w:tabs>
        <w:ind w:left="720" w:hanging="720"/>
      </w:pPr>
      <w:rPr>
        <w:rFonts w:hint="default"/>
      </w:rPr>
    </w:lvl>
  </w:abstractNum>
  <w:abstractNum w:abstractNumId="6">
    <w:nsid w:val="44E547A0"/>
    <w:multiLevelType w:val="multilevel"/>
    <w:tmpl w:val="453A3854"/>
    <w:numStyleLink w:val="tlViacrovovTun"/>
  </w:abstractNum>
  <w:abstractNum w:abstractNumId="7">
    <w:nsid w:val="49975C61"/>
    <w:multiLevelType w:val="singleLevel"/>
    <w:tmpl w:val="79C85802"/>
    <w:lvl w:ilvl="0">
      <w:start w:val="4"/>
      <w:numFmt w:val="decimal"/>
      <w:lvlText w:val="%1."/>
      <w:lvlJc w:val="left"/>
      <w:pPr>
        <w:tabs>
          <w:tab w:val="num" w:pos="720"/>
        </w:tabs>
        <w:ind w:left="720" w:hanging="720"/>
      </w:pPr>
      <w:rPr>
        <w:rFonts w:hint="default"/>
        <w:b/>
      </w:rPr>
    </w:lvl>
  </w:abstractNum>
  <w:abstractNum w:abstractNumId="8">
    <w:nsid w:val="4B6A780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nsid w:val="5B2738F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nsid w:val="61CE5EF6"/>
    <w:multiLevelType w:val="multilevel"/>
    <w:tmpl w:val="5AB0A8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11">
    <w:nsid w:val="63F572B3"/>
    <w:multiLevelType w:val="hybridMultilevel"/>
    <w:tmpl w:val="0C7073C8"/>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69C741DD"/>
    <w:multiLevelType w:val="multilevel"/>
    <w:tmpl w:val="453A3854"/>
    <w:styleLink w:val="tlViacrovovTun"/>
    <w:lvl w:ilvl="0">
      <w:start w:val="3"/>
      <w:numFmt w:val="decimal"/>
      <w:lvlText w:val="%1."/>
      <w:lvlJc w:val="left"/>
      <w:pPr>
        <w:ind w:left="360" w:hanging="360"/>
      </w:pPr>
      <w:rPr>
        <w:rFonts w:cs="Times New Roman"/>
        <w:b/>
      </w:rPr>
    </w:lvl>
    <w:lvl w:ilvl="1">
      <w:start w:val="1"/>
      <w:numFmt w:val="decimal"/>
      <w:lvlText w:val="%1.%2."/>
      <w:lvlJc w:val="left"/>
      <w:pPr>
        <w:ind w:left="792" w:hanging="432"/>
      </w:pPr>
      <w:rPr>
        <w:b/>
        <w:bCs/>
        <w:sz w:val="24"/>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AAD4AA7"/>
    <w:multiLevelType w:val="multilevel"/>
    <w:tmpl w:val="2DC68634"/>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3"/>
  </w:num>
  <w:num w:numId="2">
    <w:abstractNumId w:val="13"/>
  </w:num>
  <w:num w:numId="3">
    <w:abstractNumId w:val="1"/>
  </w:num>
  <w:num w:numId="4">
    <w:abstractNumId w:val="4"/>
  </w:num>
  <w:num w:numId="5">
    <w:abstractNumId w:val="2"/>
  </w:num>
  <w:num w:numId="6">
    <w:abstractNumId w:val="11"/>
  </w:num>
  <w:num w:numId="7">
    <w:abstractNumId w:val="0"/>
  </w:num>
  <w:num w:numId="8">
    <w:abstractNumId w:val="10"/>
  </w:num>
  <w:num w:numId="9">
    <w:abstractNumId w:val="12"/>
  </w:num>
  <w:num w:numId="10">
    <w:abstractNumId w:val="6"/>
    <w:lvlOverride w:ilvl="0">
      <w:lvl w:ilvl="0">
        <w:start w:val="3"/>
        <w:numFmt w:val="decimal"/>
        <w:lvlText w:val="%1."/>
        <w:lvlJc w:val="left"/>
        <w:pPr>
          <w:ind w:left="360" w:hanging="360"/>
        </w:pPr>
        <w:rPr>
          <w:rFonts w:cs="Times New Roman"/>
          <w:b/>
        </w:rPr>
      </w:lvl>
    </w:lvlOverride>
    <w:lvlOverride w:ilvl="1">
      <w:lvl w:ilvl="1">
        <w:start w:val="1"/>
        <w:numFmt w:val="decimal"/>
        <w:lvlText w:val="%1.%2."/>
        <w:lvlJc w:val="left"/>
        <w:pPr>
          <w:ind w:left="792" w:hanging="432"/>
        </w:pPr>
        <w:rPr>
          <w:b/>
          <w:bCs/>
          <w:sz w:val="24"/>
        </w:rPr>
      </w:lvl>
    </w:lvlOverride>
    <w:lvlOverride w:ilvl="2">
      <w:lvl w:ilvl="2">
        <w:start w:val="1"/>
        <w:numFmt w:val="decimal"/>
        <w:lvlText w:val="%1.%2.%3."/>
        <w:lvlJc w:val="left"/>
        <w:pPr>
          <w:ind w:left="1224" w:hanging="504"/>
        </w:pPr>
        <w:rPr>
          <w:rFonts w:cs="Times New Roman"/>
          <w:b/>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1">
    <w:abstractNumId w:val="7"/>
  </w:num>
  <w:num w:numId="12">
    <w:abstractNumId w:val="8"/>
  </w:num>
  <w:num w:numId="13">
    <w:abstractNumId w:val="9"/>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ED5114"/>
    <w:rsid w:val="00002F3F"/>
    <w:rsid w:val="00007C2E"/>
    <w:rsid w:val="0001267C"/>
    <w:rsid w:val="000149CC"/>
    <w:rsid w:val="00016ED5"/>
    <w:rsid w:val="000200A6"/>
    <w:rsid w:val="00024F6E"/>
    <w:rsid w:val="000328EA"/>
    <w:rsid w:val="00034CF3"/>
    <w:rsid w:val="00040ED0"/>
    <w:rsid w:val="00041FF9"/>
    <w:rsid w:val="00044169"/>
    <w:rsid w:val="000474A6"/>
    <w:rsid w:val="000478C7"/>
    <w:rsid w:val="000504B6"/>
    <w:rsid w:val="000520AF"/>
    <w:rsid w:val="0005254E"/>
    <w:rsid w:val="0005301D"/>
    <w:rsid w:val="00056833"/>
    <w:rsid w:val="00057787"/>
    <w:rsid w:val="00062679"/>
    <w:rsid w:val="00063881"/>
    <w:rsid w:val="00072204"/>
    <w:rsid w:val="0007390F"/>
    <w:rsid w:val="00074C98"/>
    <w:rsid w:val="00082950"/>
    <w:rsid w:val="000843EF"/>
    <w:rsid w:val="00084581"/>
    <w:rsid w:val="0008620F"/>
    <w:rsid w:val="00097C8B"/>
    <w:rsid w:val="000A357E"/>
    <w:rsid w:val="000C04F9"/>
    <w:rsid w:val="000C08FB"/>
    <w:rsid w:val="000C755F"/>
    <w:rsid w:val="000D6F4E"/>
    <w:rsid w:val="000E39BA"/>
    <w:rsid w:val="000F24DD"/>
    <w:rsid w:val="000F7172"/>
    <w:rsid w:val="00103970"/>
    <w:rsid w:val="00104D61"/>
    <w:rsid w:val="00106347"/>
    <w:rsid w:val="001075D6"/>
    <w:rsid w:val="00117585"/>
    <w:rsid w:val="00120690"/>
    <w:rsid w:val="00123195"/>
    <w:rsid w:val="00141AD6"/>
    <w:rsid w:val="00157FF8"/>
    <w:rsid w:val="00160AAC"/>
    <w:rsid w:val="00161442"/>
    <w:rsid w:val="001661E1"/>
    <w:rsid w:val="001700DE"/>
    <w:rsid w:val="0017353D"/>
    <w:rsid w:val="00176DE9"/>
    <w:rsid w:val="00177BA5"/>
    <w:rsid w:val="00180767"/>
    <w:rsid w:val="00180888"/>
    <w:rsid w:val="00184A00"/>
    <w:rsid w:val="001A13C6"/>
    <w:rsid w:val="001A1CBE"/>
    <w:rsid w:val="001A3FDC"/>
    <w:rsid w:val="001A4A8F"/>
    <w:rsid w:val="001A69F9"/>
    <w:rsid w:val="001B0109"/>
    <w:rsid w:val="001B184F"/>
    <w:rsid w:val="001B6528"/>
    <w:rsid w:val="001B76B8"/>
    <w:rsid w:val="001B7F15"/>
    <w:rsid w:val="001C0064"/>
    <w:rsid w:val="001C0BA0"/>
    <w:rsid w:val="001D5EC4"/>
    <w:rsid w:val="001D7710"/>
    <w:rsid w:val="001E0B63"/>
    <w:rsid w:val="001E243C"/>
    <w:rsid w:val="001E65EA"/>
    <w:rsid w:val="001F5B93"/>
    <w:rsid w:val="001F6CAC"/>
    <w:rsid w:val="0020304B"/>
    <w:rsid w:val="002036FF"/>
    <w:rsid w:val="00207D86"/>
    <w:rsid w:val="00215BF9"/>
    <w:rsid w:val="00222E7E"/>
    <w:rsid w:val="00230D58"/>
    <w:rsid w:val="002340BC"/>
    <w:rsid w:val="00241F25"/>
    <w:rsid w:val="0024759D"/>
    <w:rsid w:val="00252E88"/>
    <w:rsid w:val="002618D0"/>
    <w:rsid w:val="00267958"/>
    <w:rsid w:val="002807AD"/>
    <w:rsid w:val="002832AB"/>
    <w:rsid w:val="0028741A"/>
    <w:rsid w:val="00287ED9"/>
    <w:rsid w:val="00295BC4"/>
    <w:rsid w:val="00296D11"/>
    <w:rsid w:val="002A5B0B"/>
    <w:rsid w:val="002B4828"/>
    <w:rsid w:val="002B6B19"/>
    <w:rsid w:val="002C0709"/>
    <w:rsid w:val="002C13A4"/>
    <w:rsid w:val="002D5F73"/>
    <w:rsid w:val="002D63DC"/>
    <w:rsid w:val="002E096C"/>
    <w:rsid w:val="002E1BA8"/>
    <w:rsid w:val="002E4932"/>
    <w:rsid w:val="002F0A24"/>
    <w:rsid w:val="002F2C85"/>
    <w:rsid w:val="002F3750"/>
    <w:rsid w:val="002F6C84"/>
    <w:rsid w:val="00304146"/>
    <w:rsid w:val="00304F05"/>
    <w:rsid w:val="003105B4"/>
    <w:rsid w:val="003134B5"/>
    <w:rsid w:val="003134D4"/>
    <w:rsid w:val="00325AA7"/>
    <w:rsid w:val="00331ECE"/>
    <w:rsid w:val="003335E3"/>
    <w:rsid w:val="003352D4"/>
    <w:rsid w:val="00345205"/>
    <w:rsid w:val="003466FE"/>
    <w:rsid w:val="003471BA"/>
    <w:rsid w:val="00353B9D"/>
    <w:rsid w:val="00367804"/>
    <w:rsid w:val="00367E47"/>
    <w:rsid w:val="00373408"/>
    <w:rsid w:val="003735DA"/>
    <w:rsid w:val="0038098D"/>
    <w:rsid w:val="003842F1"/>
    <w:rsid w:val="003909EE"/>
    <w:rsid w:val="00392E86"/>
    <w:rsid w:val="00397C1A"/>
    <w:rsid w:val="003A1534"/>
    <w:rsid w:val="003A3103"/>
    <w:rsid w:val="003A56EF"/>
    <w:rsid w:val="003A704C"/>
    <w:rsid w:val="003A781D"/>
    <w:rsid w:val="003B4788"/>
    <w:rsid w:val="003B679F"/>
    <w:rsid w:val="003C225A"/>
    <w:rsid w:val="003F404F"/>
    <w:rsid w:val="003F60BA"/>
    <w:rsid w:val="0040350A"/>
    <w:rsid w:val="004071DC"/>
    <w:rsid w:val="00411A9F"/>
    <w:rsid w:val="00422130"/>
    <w:rsid w:val="0042263B"/>
    <w:rsid w:val="004255B8"/>
    <w:rsid w:val="0042642C"/>
    <w:rsid w:val="00427757"/>
    <w:rsid w:val="00430FCA"/>
    <w:rsid w:val="00431D42"/>
    <w:rsid w:val="004368C6"/>
    <w:rsid w:val="00450C29"/>
    <w:rsid w:val="00456A06"/>
    <w:rsid w:val="004602FC"/>
    <w:rsid w:val="00461E8E"/>
    <w:rsid w:val="00462245"/>
    <w:rsid w:val="00462693"/>
    <w:rsid w:val="004704C8"/>
    <w:rsid w:val="0047262C"/>
    <w:rsid w:val="00472E72"/>
    <w:rsid w:val="0047354A"/>
    <w:rsid w:val="004779E8"/>
    <w:rsid w:val="00485AE3"/>
    <w:rsid w:val="004A0FBA"/>
    <w:rsid w:val="004A588B"/>
    <w:rsid w:val="004A5BA9"/>
    <w:rsid w:val="004A685D"/>
    <w:rsid w:val="004A68A2"/>
    <w:rsid w:val="004B17B1"/>
    <w:rsid w:val="004B4376"/>
    <w:rsid w:val="004C6C6E"/>
    <w:rsid w:val="004D00F4"/>
    <w:rsid w:val="0050569E"/>
    <w:rsid w:val="005155F7"/>
    <w:rsid w:val="00515C93"/>
    <w:rsid w:val="00516AAD"/>
    <w:rsid w:val="00516D97"/>
    <w:rsid w:val="00522097"/>
    <w:rsid w:val="00522570"/>
    <w:rsid w:val="00525F7C"/>
    <w:rsid w:val="005335EC"/>
    <w:rsid w:val="00536D0A"/>
    <w:rsid w:val="00540BBB"/>
    <w:rsid w:val="005447CA"/>
    <w:rsid w:val="0055132E"/>
    <w:rsid w:val="0055389B"/>
    <w:rsid w:val="00554F49"/>
    <w:rsid w:val="005562D5"/>
    <w:rsid w:val="00560FEB"/>
    <w:rsid w:val="00564D29"/>
    <w:rsid w:val="00565F5C"/>
    <w:rsid w:val="0057001E"/>
    <w:rsid w:val="005729C1"/>
    <w:rsid w:val="005755C6"/>
    <w:rsid w:val="0057770D"/>
    <w:rsid w:val="00580AF1"/>
    <w:rsid w:val="00582066"/>
    <w:rsid w:val="00590BF2"/>
    <w:rsid w:val="005A55C0"/>
    <w:rsid w:val="005B47C8"/>
    <w:rsid w:val="005B5B52"/>
    <w:rsid w:val="005B705F"/>
    <w:rsid w:val="005C0F71"/>
    <w:rsid w:val="005C358E"/>
    <w:rsid w:val="005D4E7B"/>
    <w:rsid w:val="005E24B7"/>
    <w:rsid w:val="005E347F"/>
    <w:rsid w:val="005E4D51"/>
    <w:rsid w:val="005E5AD8"/>
    <w:rsid w:val="005F150F"/>
    <w:rsid w:val="005F1F62"/>
    <w:rsid w:val="005F3A4E"/>
    <w:rsid w:val="00600B6F"/>
    <w:rsid w:val="006058E5"/>
    <w:rsid w:val="00615EF0"/>
    <w:rsid w:val="00616B76"/>
    <w:rsid w:val="006175A5"/>
    <w:rsid w:val="00622D60"/>
    <w:rsid w:val="006333EE"/>
    <w:rsid w:val="00634E6C"/>
    <w:rsid w:val="00635F5B"/>
    <w:rsid w:val="006403B9"/>
    <w:rsid w:val="00640444"/>
    <w:rsid w:val="00640FE3"/>
    <w:rsid w:val="0064333E"/>
    <w:rsid w:val="00647B6D"/>
    <w:rsid w:val="00667AAB"/>
    <w:rsid w:val="00667DD3"/>
    <w:rsid w:val="00670BB2"/>
    <w:rsid w:val="006759F3"/>
    <w:rsid w:val="006941B0"/>
    <w:rsid w:val="0069661B"/>
    <w:rsid w:val="00696B6E"/>
    <w:rsid w:val="006A0611"/>
    <w:rsid w:val="006A2772"/>
    <w:rsid w:val="006A4160"/>
    <w:rsid w:val="006A5956"/>
    <w:rsid w:val="006A5DF8"/>
    <w:rsid w:val="006A637F"/>
    <w:rsid w:val="006C03E7"/>
    <w:rsid w:val="006C10D1"/>
    <w:rsid w:val="006C5736"/>
    <w:rsid w:val="006D32B5"/>
    <w:rsid w:val="006E1CA7"/>
    <w:rsid w:val="006E40C1"/>
    <w:rsid w:val="006E56D0"/>
    <w:rsid w:val="006F40D5"/>
    <w:rsid w:val="006F469D"/>
    <w:rsid w:val="006F4E26"/>
    <w:rsid w:val="006F5F3A"/>
    <w:rsid w:val="00701DB1"/>
    <w:rsid w:val="00702116"/>
    <w:rsid w:val="0071208B"/>
    <w:rsid w:val="00716336"/>
    <w:rsid w:val="007201E7"/>
    <w:rsid w:val="00722943"/>
    <w:rsid w:val="0072388D"/>
    <w:rsid w:val="00723CA5"/>
    <w:rsid w:val="007247A7"/>
    <w:rsid w:val="0072710C"/>
    <w:rsid w:val="00732229"/>
    <w:rsid w:val="00735135"/>
    <w:rsid w:val="00742FA0"/>
    <w:rsid w:val="00770E67"/>
    <w:rsid w:val="007714D5"/>
    <w:rsid w:val="00771F1C"/>
    <w:rsid w:val="007760A4"/>
    <w:rsid w:val="00777CE7"/>
    <w:rsid w:val="0078240C"/>
    <w:rsid w:val="00794079"/>
    <w:rsid w:val="00797955"/>
    <w:rsid w:val="007A1DE3"/>
    <w:rsid w:val="007A24E8"/>
    <w:rsid w:val="007A2E24"/>
    <w:rsid w:val="007A309D"/>
    <w:rsid w:val="007A39DD"/>
    <w:rsid w:val="007A6D22"/>
    <w:rsid w:val="007A7272"/>
    <w:rsid w:val="007B0F33"/>
    <w:rsid w:val="007C2371"/>
    <w:rsid w:val="007C46F3"/>
    <w:rsid w:val="007D258A"/>
    <w:rsid w:val="007D33DE"/>
    <w:rsid w:val="007D39FE"/>
    <w:rsid w:val="007D3A0E"/>
    <w:rsid w:val="007E208E"/>
    <w:rsid w:val="007F1EF7"/>
    <w:rsid w:val="007F7418"/>
    <w:rsid w:val="00827C3B"/>
    <w:rsid w:val="00835352"/>
    <w:rsid w:val="00835538"/>
    <w:rsid w:val="008428F5"/>
    <w:rsid w:val="0085334A"/>
    <w:rsid w:val="0086146C"/>
    <w:rsid w:val="008625DE"/>
    <w:rsid w:val="0086683D"/>
    <w:rsid w:val="0086757B"/>
    <w:rsid w:val="00876288"/>
    <w:rsid w:val="008762E7"/>
    <w:rsid w:val="00876C9B"/>
    <w:rsid w:val="00884B4B"/>
    <w:rsid w:val="008925E8"/>
    <w:rsid w:val="0089343D"/>
    <w:rsid w:val="00894410"/>
    <w:rsid w:val="008A2212"/>
    <w:rsid w:val="008A317B"/>
    <w:rsid w:val="008A41CC"/>
    <w:rsid w:val="008A4BC2"/>
    <w:rsid w:val="008A7AB7"/>
    <w:rsid w:val="008B139F"/>
    <w:rsid w:val="008B3EE8"/>
    <w:rsid w:val="008B4B00"/>
    <w:rsid w:val="008B5B53"/>
    <w:rsid w:val="008B6F5C"/>
    <w:rsid w:val="008C0B90"/>
    <w:rsid w:val="008C5B66"/>
    <w:rsid w:val="008E18CC"/>
    <w:rsid w:val="008F0B8F"/>
    <w:rsid w:val="00906C06"/>
    <w:rsid w:val="00927363"/>
    <w:rsid w:val="00932685"/>
    <w:rsid w:val="00952775"/>
    <w:rsid w:val="0096356D"/>
    <w:rsid w:val="00966889"/>
    <w:rsid w:val="00967C83"/>
    <w:rsid w:val="00972039"/>
    <w:rsid w:val="00974F95"/>
    <w:rsid w:val="00984C24"/>
    <w:rsid w:val="00994699"/>
    <w:rsid w:val="0099604C"/>
    <w:rsid w:val="00996AC6"/>
    <w:rsid w:val="009977DB"/>
    <w:rsid w:val="009A149C"/>
    <w:rsid w:val="009A4807"/>
    <w:rsid w:val="009A4CBD"/>
    <w:rsid w:val="009B365A"/>
    <w:rsid w:val="009B4C08"/>
    <w:rsid w:val="009D3FC4"/>
    <w:rsid w:val="009E2291"/>
    <w:rsid w:val="009E30FC"/>
    <w:rsid w:val="009E4812"/>
    <w:rsid w:val="009E7429"/>
    <w:rsid w:val="00A0415B"/>
    <w:rsid w:val="00A04532"/>
    <w:rsid w:val="00A1381F"/>
    <w:rsid w:val="00A15D78"/>
    <w:rsid w:val="00A3768A"/>
    <w:rsid w:val="00A40335"/>
    <w:rsid w:val="00A4046B"/>
    <w:rsid w:val="00A40A88"/>
    <w:rsid w:val="00A4347E"/>
    <w:rsid w:val="00A4376C"/>
    <w:rsid w:val="00A46979"/>
    <w:rsid w:val="00A5557B"/>
    <w:rsid w:val="00A629F3"/>
    <w:rsid w:val="00A65FE7"/>
    <w:rsid w:val="00A72ADA"/>
    <w:rsid w:val="00A75EFF"/>
    <w:rsid w:val="00A8051C"/>
    <w:rsid w:val="00A839CC"/>
    <w:rsid w:val="00A84399"/>
    <w:rsid w:val="00A96229"/>
    <w:rsid w:val="00AA19EE"/>
    <w:rsid w:val="00AA497C"/>
    <w:rsid w:val="00AA50E7"/>
    <w:rsid w:val="00AA5309"/>
    <w:rsid w:val="00AB2A11"/>
    <w:rsid w:val="00AB6354"/>
    <w:rsid w:val="00AD3392"/>
    <w:rsid w:val="00AD6E60"/>
    <w:rsid w:val="00AE048C"/>
    <w:rsid w:val="00AE048E"/>
    <w:rsid w:val="00AE2EC9"/>
    <w:rsid w:val="00B02245"/>
    <w:rsid w:val="00B05377"/>
    <w:rsid w:val="00B05A52"/>
    <w:rsid w:val="00B12202"/>
    <w:rsid w:val="00B155D7"/>
    <w:rsid w:val="00B21F4E"/>
    <w:rsid w:val="00B237AD"/>
    <w:rsid w:val="00B30945"/>
    <w:rsid w:val="00B41AAE"/>
    <w:rsid w:val="00B47B21"/>
    <w:rsid w:val="00B5169E"/>
    <w:rsid w:val="00B53BDE"/>
    <w:rsid w:val="00B54033"/>
    <w:rsid w:val="00B55464"/>
    <w:rsid w:val="00B554D1"/>
    <w:rsid w:val="00B556D1"/>
    <w:rsid w:val="00B61E17"/>
    <w:rsid w:val="00B65560"/>
    <w:rsid w:val="00B8426F"/>
    <w:rsid w:val="00B8645E"/>
    <w:rsid w:val="00BA1AE6"/>
    <w:rsid w:val="00BA3EC3"/>
    <w:rsid w:val="00BA4406"/>
    <w:rsid w:val="00BA47D9"/>
    <w:rsid w:val="00BB0DF2"/>
    <w:rsid w:val="00BB1EC2"/>
    <w:rsid w:val="00BB4015"/>
    <w:rsid w:val="00BB4272"/>
    <w:rsid w:val="00BB64D9"/>
    <w:rsid w:val="00BB73FA"/>
    <w:rsid w:val="00BC751A"/>
    <w:rsid w:val="00BD0382"/>
    <w:rsid w:val="00BD507C"/>
    <w:rsid w:val="00BD63BF"/>
    <w:rsid w:val="00BD7DA1"/>
    <w:rsid w:val="00BE07FA"/>
    <w:rsid w:val="00BE67B6"/>
    <w:rsid w:val="00BF0982"/>
    <w:rsid w:val="00BF52F6"/>
    <w:rsid w:val="00C00685"/>
    <w:rsid w:val="00C00F8E"/>
    <w:rsid w:val="00C055BF"/>
    <w:rsid w:val="00C06C49"/>
    <w:rsid w:val="00C07D25"/>
    <w:rsid w:val="00C10B83"/>
    <w:rsid w:val="00C1163F"/>
    <w:rsid w:val="00C15E92"/>
    <w:rsid w:val="00C172E4"/>
    <w:rsid w:val="00C218A4"/>
    <w:rsid w:val="00C21D0A"/>
    <w:rsid w:val="00C250DC"/>
    <w:rsid w:val="00C26183"/>
    <w:rsid w:val="00C26827"/>
    <w:rsid w:val="00C27470"/>
    <w:rsid w:val="00C34E8E"/>
    <w:rsid w:val="00C360D4"/>
    <w:rsid w:val="00C37EBC"/>
    <w:rsid w:val="00C42AE0"/>
    <w:rsid w:val="00C549DB"/>
    <w:rsid w:val="00C5641C"/>
    <w:rsid w:val="00C61940"/>
    <w:rsid w:val="00C6223F"/>
    <w:rsid w:val="00C6443C"/>
    <w:rsid w:val="00C65BBD"/>
    <w:rsid w:val="00C67ABE"/>
    <w:rsid w:val="00C67AE1"/>
    <w:rsid w:val="00C71B87"/>
    <w:rsid w:val="00C75178"/>
    <w:rsid w:val="00C7592A"/>
    <w:rsid w:val="00C76BDF"/>
    <w:rsid w:val="00C8087A"/>
    <w:rsid w:val="00C81704"/>
    <w:rsid w:val="00C92B36"/>
    <w:rsid w:val="00CA38E9"/>
    <w:rsid w:val="00CA4F7D"/>
    <w:rsid w:val="00CA5EA5"/>
    <w:rsid w:val="00CA69B7"/>
    <w:rsid w:val="00CA7789"/>
    <w:rsid w:val="00CB20D6"/>
    <w:rsid w:val="00CB3C18"/>
    <w:rsid w:val="00CC1A04"/>
    <w:rsid w:val="00CC5E8F"/>
    <w:rsid w:val="00CD09D6"/>
    <w:rsid w:val="00CD329D"/>
    <w:rsid w:val="00CF2FCC"/>
    <w:rsid w:val="00CF3011"/>
    <w:rsid w:val="00CF52F8"/>
    <w:rsid w:val="00D039C8"/>
    <w:rsid w:val="00D047A3"/>
    <w:rsid w:val="00D07C17"/>
    <w:rsid w:val="00D21A02"/>
    <w:rsid w:val="00D2232C"/>
    <w:rsid w:val="00D24704"/>
    <w:rsid w:val="00D35013"/>
    <w:rsid w:val="00D36429"/>
    <w:rsid w:val="00D37F05"/>
    <w:rsid w:val="00D430CD"/>
    <w:rsid w:val="00D46318"/>
    <w:rsid w:val="00D52AD2"/>
    <w:rsid w:val="00D54AF6"/>
    <w:rsid w:val="00D6553F"/>
    <w:rsid w:val="00D6644F"/>
    <w:rsid w:val="00D742CC"/>
    <w:rsid w:val="00D81135"/>
    <w:rsid w:val="00D815D4"/>
    <w:rsid w:val="00D827E0"/>
    <w:rsid w:val="00D82AA5"/>
    <w:rsid w:val="00D95284"/>
    <w:rsid w:val="00D963EE"/>
    <w:rsid w:val="00DA3B8B"/>
    <w:rsid w:val="00DA57E5"/>
    <w:rsid w:val="00DB7278"/>
    <w:rsid w:val="00DC1FC8"/>
    <w:rsid w:val="00DC2B2D"/>
    <w:rsid w:val="00DC30BE"/>
    <w:rsid w:val="00DC6F5D"/>
    <w:rsid w:val="00DD05AA"/>
    <w:rsid w:val="00DD1FE2"/>
    <w:rsid w:val="00DE26D1"/>
    <w:rsid w:val="00DE2713"/>
    <w:rsid w:val="00DE34A3"/>
    <w:rsid w:val="00DE4B86"/>
    <w:rsid w:val="00DE7D20"/>
    <w:rsid w:val="00DF117A"/>
    <w:rsid w:val="00E02AB5"/>
    <w:rsid w:val="00E04B36"/>
    <w:rsid w:val="00E12199"/>
    <w:rsid w:val="00E12E42"/>
    <w:rsid w:val="00E14CBE"/>
    <w:rsid w:val="00E207A4"/>
    <w:rsid w:val="00E24144"/>
    <w:rsid w:val="00E27E1F"/>
    <w:rsid w:val="00E33BEA"/>
    <w:rsid w:val="00E33EC0"/>
    <w:rsid w:val="00E3745A"/>
    <w:rsid w:val="00E40994"/>
    <w:rsid w:val="00E40F0D"/>
    <w:rsid w:val="00E41682"/>
    <w:rsid w:val="00E441FB"/>
    <w:rsid w:val="00E46B5D"/>
    <w:rsid w:val="00E51C01"/>
    <w:rsid w:val="00E541E6"/>
    <w:rsid w:val="00E6175A"/>
    <w:rsid w:val="00E67B26"/>
    <w:rsid w:val="00E75081"/>
    <w:rsid w:val="00E86C12"/>
    <w:rsid w:val="00E92224"/>
    <w:rsid w:val="00E9673B"/>
    <w:rsid w:val="00E9698F"/>
    <w:rsid w:val="00EB12C3"/>
    <w:rsid w:val="00EB38A0"/>
    <w:rsid w:val="00EB493A"/>
    <w:rsid w:val="00EC3B67"/>
    <w:rsid w:val="00EC571A"/>
    <w:rsid w:val="00ED1DE7"/>
    <w:rsid w:val="00ED3E7C"/>
    <w:rsid w:val="00ED5114"/>
    <w:rsid w:val="00EE08A9"/>
    <w:rsid w:val="00EE16A5"/>
    <w:rsid w:val="00EE4002"/>
    <w:rsid w:val="00EE7088"/>
    <w:rsid w:val="00EF1ABE"/>
    <w:rsid w:val="00EF7B1F"/>
    <w:rsid w:val="00F00A37"/>
    <w:rsid w:val="00F13D29"/>
    <w:rsid w:val="00F25029"/>
    <w:rsid w:val="00F278A4"/>
    <w:rsid w:val="00F31EE6"/>
    <w:rsid w:val="00F3336F"/>
    <w:rsid w:val="00F408EE"/>
    <w:rsid w:val="00F5507A"/>
    <w:rsid w:val="00F5527A"/>
    <w:rsid w:val="00F804AB"/>
    <w:rsid w:val="00F970AB"/>
    <w:rsid w:val="00F97459"/>
    <w:rsid w:val="00FB32B7"/>
    <w:rsid w:val="00FB337E"/>
    <w:rsid w:val="00FB5BF4"/>
    <w:rsid w:val="00FC0C00"/>
    <w:rsid w:val="00FC25F7"/>
    <w:rsid w:val="00FC42C8"/>
    <w:rsid w:val="00FD4581"/>
    <w:rsid w:val="00FD4F11"/>
    <w:rsid w:val="00FD64BF"/>
    <w:rsid w:val="00FF3214"/>
    <w:rsid w:val="00FF47D5"/>
    <w:rsid w:val="00FF76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79E8"/>
    <w:pPr>
      <w:spacing w:after="0" w:line="240" w:lineRule="auto"/>
      <w:ind w:left="567" w:hanging="567"/>
    </w:pPr>
    <w:rPr>
      <w:rFonts w:ascii="Times New Roman" w:eastAsia="Times New Roman" w:hAnsi="Times New Roman" w:cs="Times New Roman"/>
      <w:szCs w:val="24"/>
      <w:lang w:val="sk-SK" w:eastAsia="sk-SK"/>
    </w:rPr>
  </w:style>
  <w:style w:type="paragraph" w:styleId="Nadpis1">
    <w:name w:val="heading 1"/>
    <w:basedOn w:val="Normlny"/>
    <w:next w:val="Normlny"/>
    <w:link w:val="Nadpis1Char"/>
    <w:qFormat/>
    <w:rsid w:val="004779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qFormat/>
    <w:rsid w:val="004779E8"/>
    <w:pPr>
      <w:keepNext/>
      <w:outlineLvl w:val="1"/>
    </w:pPr>
    <w:rPr>
      <w:i/>
      <w:iCs/>
      <w:noProof/>
      <w:szCs w:val="22"/>
      <w:u w:val="single"/>
    </w:rPr>
  </w:style>
  <w:style w:type="paragraph" w:styleId="Nadpis3">
    <w:name w:val="heading 3"/>
    <w:basedOn w:val="Normlny"/>
    <w:next w:val="Normlny"/>
    <w:link w:val="Nadpis3Char"/>
    <w:qFormat/>
    <w:rsid w:val="004779E8"/>
    <w:pPr>
      <w:keepNext/>
      <w:outlineLvl w:val="2"/>
    </w:pPr>
    <w:rPr>
      <w:i/>
      <w:iCs/>
      <w:noProof/>
      <w:szCs w:val="22"/>
    </w:rPr>
  </w:style>
  <w:style w:type="paragraph" w:styleId="Nadpis4">
    <w:name w:val="heading 4"/>
    <w:basedOn w:val="Normlny"/>
    <w:next w:val="Normlny"/>
    <w:link w:val="Nadpis4Char"/>
    <w:qFormat/>
    <w:rsid w:val="004779E8"/>
    <w:pPr>
      <w:keepNext/>
      <w:ind w:left="0" w:firstLine="0"/>
      <w:outlineLvl w:val="3"/>
    </w:pPr>
    <w:rPr>
      <w:i/>
      <w:iCs/>
      <w:noProof/>
      <w:szCs w:val="22"/>
    </w:rPr>
  </w:style>
  <w:style w:type="paragraph" w:styleId="Nadpis5">
    <w:name w:val="heading 5"/>
    <w:basedOn w:val="Normlny"/>
    <w:next w:val="Normlny"/>
    <w:link w:val="Nadpis5Char"/>
    <w:qFormat/>
    <w:rsid w:val="004779E8"/>
    <w:pPr>
      <w:keepNext/>
      <w:ind w:left="0" w:firstLine="0"/>
      <w:outlineLvl w:val="4"/>
    </w:pPr>
    <w:rPr>
      <w:i/>
      <w:iCs/>
      <w:noProof/>
      <w:color w:val="FF0000"/>
      <w:szCs w:val="22"/>
    </w:rPr>
  </w:style>
  <w:style w:type="paragraph" w:styleId="Nadpis6">
    <w:name w:val="heading 6"/>
    <w:basedOn w:val="Normlny"/>
    <w:next w:val="Normlny"/>
    <w:link w:val="Nadpis6Char"/>
    <w:qFormat/>
    <w:rsid w:val="004779E8"/>
    <w:pPr>
      <w:keepNext/>
      <w:ind w:left="0" w:firstLine="0"/>
      <w:outlineLvl w:val="5"/>
    </w:pPr>
    <w:rPr>
      <w:noProof/>
      <w:szCs w:val="22"/>
      <w:u w:val="single"/>
    </w:rPr>
  </w:style>
  <w:style w:type="paragraph" w:styleId="Nadpis7">
    <w:name w:val="heading 7"/>
    <w:basedOn w:val="Normlny"/>
    <w:next w:val="Normlny"/>
    <w:link w:val="Nadpis7Char"/>
    <w:qFormat/>
    <w:rsid w:val="004779E8"/>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4779E8"/>
    <w:pPr>
      <w:keepNext/>
      <w:outlineLvl w:val="7"/>
    </w:pPr>
    <w:rPr>
      <w:b/>
      <w:bCs/>
      <w:noProof/>
      <w:szCs w:val="22"/>
    </w:rPr>
  </w:style>
  <w:style w:type="paragraph" w:styleId="Nadpis9">
    <w:name w:val="heading 9"/>
    <w:basedOn w:val="Normlny"/>
    <w:next w:val="Normlny"/>
    <w:link w:val="Nadpis9Char"/>
    <w:qFormat/>
    <w:rsid w:val="004779E8"/>
    <w:pPr>
      <w:keepNext/>
      <w:tabs>
        <w:tab w:val="left" w:pos="0"/>
      </w:tabs>
      <w:ind w:left="0" w:firstLine="0"/>
      <w:outlineLvl w:val="8"/>
    </w:pPr>
    <w:rPr>
      <w:b/>
      <w:bCs/>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link w:val="Styl2Char"/>
    <w:autoRedefine/>
    <w:rsid w:val="004779E8"/>
    <w:pPr>
      <w:keepNext/>
      <w:numPr>
        <w:ilvl w:val="1"/>
        <w:numId w:val="2"/>
      </w:numPr>
      <w:tabs>
        <w:tab w:val="clear" w:pos="720"/>
      </w:tabs>
      <w:spacing w:before="120" w:after="120"/>
      <w:ind w:left="1440"/>
    </w:pPr>
    <w:rPr>
      <w:b/>
      <w:bCs/>
      <w:szCs w:val="20"/>
      <w:lang w:val="en-US" w:eastAsia="cs-CZ"/>
    </w:rPr>
  </w:style>
  <w:style w:type="paragraph" w:customStyle="1" w:styleId="Styl1">
    <w:name w:val="Styl1"/>
    <w:basedOn w:val="Normlny"/>
    <w:link w:val="Styl1Char"/>
    <w:autoRedefine/>
    <w:rsid w:val="004779E8"/>
    <w:pPr>
      <w:keepNext/>
      <w:numPr>
        <w:numId w:val="2"/>
      </w:numPr>
      <w:spacing w:before="360" w:after="120"/>
    </w:pPr>
    <w:rPr>
      <w:b/>
      <w:bCs/>
      <w:caps/>
      <w:lang w:val="en-US" w:eastAsia="cs-CZ"/>
    </w:rPr>
  </w:style>
  <w:style w:type="paragraph" w:customStyle="1" w:styleId="Normlndobloku">
    <w:name w:val="Normální do bloku"/>
    <w:basedOn w:val="Normlny"/>
    <w:link w:val="NormlndoblokuChar"/>
    <w:autoRedefine/>
    <w:rsid w:val="004779E8"/>
    <w:pPr>
      <w:suppressAutoHyphens/>
      <w:spacing w:after="120"/>
      <w:ind w:left="0" w:firstLine="0"/>
      <w:jc w:val="both"/>
    </w:pPr>
    <w:rPr>
      <w:rFonts w:eastAsia="Calibri"/>
      <w:lang w:val="en-US" w:eastAsia="cs-CZ"/>
    </w:rPr>
  </w:style>
  <w:style w:type="character" w:customStyle="1" w:styleId="NormlndoblokuChar">
    <w:name w:val="Normální do bloku Char"/>
    <w:link w:val="Normlndobloku"/>
    <w:rsid w:val="0042642C"/>
    <w:rPr>
      <w:rFonts w:ascii="Times New Roman" w:eastAsia="Calibri" w:hAnsi="Times New Roman" w:cs="Times New Roman"/>
      <w:szCs w:val="24"/>
      <w:lang w:val="en-US" w:eastAsia="cs-CZ"/>
    </w:rPr>
  </w:style>
  <w:style w:type="paragraph" w:customStyle="1" w:styleId="Styl4">
    <w:name w:val="Styl4"/>
    <w:basedOn w:val="Styl2"/>
    <w:autoRedefine/>
    <w:rsid w:val="00C1163F"/>
    <w:pPr>
      <w:numPr>
        <w:ilvl w:val="0"/>
        <w:numId w:val="0"/>
      </w:numPr>
    </w:pPr>
    <w:rPr>
      <w:b w:val="0"/>
      <w:i/>
      <w:szCs w:val="22"/>
    </w:rPr>
  </w:style>
  <w:style w:type="paragraph" w:customStyle="1" w:styleId="Styl2-2">
    <w:name w:val="Styl2-2"/>
    <w:basedOn w:val="Styl2"/>
    <w:next w:val="Normlndobloku"/>
    <w:autoRedefine/>
    <w:qFormat/>
    <w:rsid w:val="008B3EE8"/>
    <w:pPr>
      <w:numPr>
        <w:ilvl w:val="0"/>
        <w:numId w:val="0"/>
      </w:numPr>
    </w:pPr>
    <w:rPr>
      <w:lang w:val="en-GB" w:eastAsia="en-US"/>
    </w:rPr>
  </w:style>
  <w:style w:type="paragraph" w:customStyle="1" w:styleId="Styl3">
    <w:name w:val="Styl3"/>
    <w:basedOn w:val="Normlndobloku"/>
    <w:link w:val="Styl3Char"/>
    <w:autoRedefine/>
    <w:rsid w:val="00FB32B7"/>
    <w:pPr>
      <w:keepNext/>
      <w:tabs>
        <w:tab w:val="left" w:pos="6946"/>
      </w:tabs>
      <w:suppressAutoHyphens w:val="0"/>
    </w:pPr>
    <w:rPr>
      <w:u w:val="single"/>
      <w:lang w:val="sk-SK" w:eastAsia="en-US"/>
    </w:rPr>
  </w:style>
  <w:style w:type="character" w:customStyle="1" w:styleId="Styl3Char">
    <w:name w:val="Styl3 Char"/>
    <w:link w:val="Styl3"/>
    <w:rsid w:val="00FB32B7"/>
    <w:rPr>
      <w:rFonts w:ascii="Times New Roman" w:eastAsia="Calibri" w:hAnsi="Times New Roman" w:cs="Times New Roman"/>
      <w:szCs w:val="24"/>
      <w:u w:val="single"/>
      <w:lang w:val="sk-SK"/>
    </w:rPr>
  </w:style>
  <w:style w:type="paragraph" w:customStyle="1" w:styleId="SPCaPILhlavika">
    <w:name w:val="SPC a PIL hlavička"/>
    <w:basedOn w:val="Normlny"/>
    <w:autoRedefine/>
    <w:qFormat/>
    <w:rsid w:val="00D815D4"/>
    <w:pPr>
      <w:spacing w:before="240" w:after="120"/>
      <w:jc w:val="center"/>
    </w:pPr>
    <w:rPr>
      <w:b/>
    </w:rPr>
  </w:style>
  <w:style w:type="paragraph" w:customStyle="1" w:styleId="Normlndoblokusodrkami">
    <w:name w:val="Normální do bloku s odrážkami"/>
    <w:basedOn w:val="Normlndobloku"/>
    <w:next w:val="Normlndobloku"/>
    <w:autoRedefine/>
    <w:qFormat/>
    <w:rsid w:val="004779E8"/>
    <w:pPr>
      <w:numPr>
        <w:numId w:val="3"/>
      </w:numPr>
    </w:pPr>
    <w:rPr>
      <w:rFonts w:ascii="TimesNewRoman" w:eastAsia="Times New Roman" w:hAnsi="TimesNewRoman"/>
      <w:lang w:val="sk-SK"/>
    </w:rPr>
  </w:style>
  <w:style w:type="paragraph" w:styleId="Pta">
    <w:name w:val="footer"/>
    <w:basedOn w:val="Normlny"/>
    <w:link w:val="PtaChar"/>
    <w:unhideWhenUsed/>
    <w:rsid w:val="0042642C"/>
    <w:pPr>
      <w:tabs>
        <w:tab w:val="center" w:pos="4536"/>
        <w:tab w:val="right" w:pos="9072"/>
      </w:tabs>
    </w:pPr>
  </w:style>
  <w:style w:type="character" w:customStyle="1" w:styleId="PtaChar">
    <w:name w:val="Päta Char"/>
    <w:basedOn w:val="Predvolenpsmoodseku"/>
    <w:link w:val="Pta"/>
    <w:rsid w:val="0042642C"/>
    <w:rPr>
      <w:rFonts w:ascii="Times New Roman" w:eastAsia="Times New Roman" w:hAnsi="Times New Roman" w:cs="Times New Roman"/>
      <w:szCs w:val="24"/>
      <w:lang w:val="sk-SK" w:eastAsia="sk-SK"/>
    </w:rPr>
  </w:style>
  <w:style w:type="paragraph" w:customStyle="1" w:styleId="SPCnadpis">
    <w:name w:val="SPC nadpis"/>
    <w:basedOn w:val="Nadpis1"/>
    <w:rsid w:val="004779E8"/>
    <w:pPr>
      <w:keepNext w:val="0"/>
      <w:keepLines w:val="0"/>
      <w:spacing w:after="120"/>
      <w:ind w:left="357" w:hanging="357"/>
      <w:jc w:val="center"/>
    </w:pPr>
    <w:rPr>
      <w:rFonts w:ascii="Times New Roman" w:eastAsia="Times New Roman" w:hAnsi="Times New Roman" w:cs="Times New Roman"/>
      <w:b/>
      <w:bCs/>
      <w:color w:val="auto"/>
      <w:sz w:val="22"/>
      <w:szCs w:val="20"/>
      <w:lang w:val="en-US" w:eastAsia="cs-CZ"/>
    </w:rPr>
  </w:style>
  <w:style w:type="paragraph" w:customStyle="1" w:styleId="styl20">
    <w:name w:val="styl2"/>
    <w:basedOn w:val="Styl1"/>
    <w:link w:val="styl2Char0"/>
    <w:rsid w:val="0042642C"/>
    <w:pPr>
      <w:keepNext w:val="0"/>
      <w:numPr>
        <w:numId w:val="0"/>
      </w:numPr>
      <w:spacing w:before="0"/>
    </w:pPr>
    <w:rPr>
      <w:lang w:val="sk-SK" w:eastAsia="sk-SK"/>
    </w:rPr>
  </w:style>
  <w:style w:type="paragraph" w:styleId="Hlavika">
    <w:name w:val="header"/>
    <w:basedOn w:val="Normlny"/>
    <w:link w:val="HlavikaChar"/>
    <w:uiPriority w:val="99"/>
    <w:rsid w:val="0042642C"/>
    <w:pPr>
      <w:widowControl w:val="0"/>
      <w:tabs>
        <w:tab w:val="center" w:pos="4153"/>
        <w:tab w:val="right" w:pos="8306"/>
      </w:tabs>
      <w:ind w:left="0" w:firstLine="0"/>
    </w:pPr>
    <w:rPr>
      <w:szCs w:val="20"/>
      <w:lang w:val="en-US" w:eastAsia="en-US"/>
    </w:rPr>
  </w:style>
  <w:style w:type="character" w:customStyle="1" w:styleId="HlavikaChar">
    <w:name w:val="Hlavička Char"/>
    <w:basedOn w:val="Predvolenpsmoodseku"/>
    <w:link w:val="Hlavika"/>
    <w:uiPriority w:val="99"/>
    <w:rsid w:val="0042642C"/>
    <w:rPr>
      <w:rFonts w:ascii="Times New Roman" w:eastAsia="Times New Roman" w:hAnsi="Times New Roman" w:cs="Times New Roman"/>
      <w:szCs w:val="20"/>
      <w:lang w:val="en-US"/>
    </w:rPr>
  </w:style>
  <w:style w:type="character" w:styleId="Hypertextovprepojenie">
    <w:name w:val="Hyperlink"/>
    <w:semiHidden/>
    <w:rsid w:val="0042642C"/>
    <w:rPr>
      <w:color w:val="0000FF"/>
      <w:u w:val="single"/>
    </w:rPr>
  </w:style>
  <w:style w:type="character" w:styleId="Odkaznakomentr">
    <w:name w:val="annotation reference"/>
    <w:semiHidden/>
    <w:rsid w:val="0042642C"/>
    <w:rPr>
      <w:sz w:val="16"/>
      <w:szCs w:val="16"/>
    </w:rPr>
  </w:style>
  <w:style w:type="paragraph" w:customStyle="1" w:styleId="Nadpisuvnittabulky">
    <w:name w:val="Nadpis uvnitř tabulky"/>
    <w:basedOn w:val="Normlny"/>
    <w:autoRedefine/>
    <w:qFormat/>
    <w:rsid w:val="0042642C"/>
    <w:pPr>
      <w:suppressAutoHyphens/>
      <w:spacing w:before="120" w:after="120"/>
      <w:ind w:left="0" w:firstLine="0"/>
    </w:pPr>
    <w:rPr>
      <w:rFonts w:ascii="TimesNewRoman" w:eastAsia="Calibri" w:hAnsi="TimesNewRoman" w:cs="TimesNewRoman"/>
      <w:b/>
      <w:szCs w:val="20"/>
      <w:lang w:val="cs-CZ" w:eastAsia="en-US"/>
    </w:rPr>
  </w:style>
  <w:style w:type="paragraph" w:styleId="Textkomentra">
    <w:name w:val="annotation text"/>
    <w:basedOn w:val="Normlny"/>
    <w:link w:val="TextkomentraChar"/>
    <w:semiHidden/>
    <w:unhideWhenUsed/>
    <w:rsid w:val="0042642C"/>
    <w:rPr>
      <w:sz w:val="20"/>
      <w:szCs w:val="20"/>
    </w:rPr>
  </w:style>
  <w:style w:type="character" w:customStyle="1" w:styleId="TextkomentraChar">
    <w:name w:val="Text komentára Char"/>
    <w:basedOn w:val="Predvolenpsmoodseku"/>
    <w:link w:val="Textkomentra"/>
    <w:semiHidden/>
    <w:rsid w:val="0042642C"/>
    <w:rPr>
      <w:rFonts w:ascii="Times New Roman" w:eastAsia="Times New Roman" w:hAnsi="Times New Roman" w:cs="Times New Roman"/>
      <w:sz w:val="20"/>
      <w:szCs w:val="20"/>
      <w:lang w:val="sk-SK" w:eastAsia="sk-SK"/>
    </w:rPr>
  </w:style>
  <w:style w:type="paragraph" w:customStyle="1" w:styleId="Tabulkynormlndoblokuzarovnndoleva">
    <w:name w:val="Tabulky = normální do bloku + zarovnání doleva"/>
    <w:basedOn w:val="Normlndobloku"/>
    <w:autoRedefine/>
    <w:rsid w:val="004779E8"/>
    <w:pPr>
      <w:jc w:val="left"/>
    </w:pPr>
    <w:rPr>
      <w:rFonts w:ascii="TimesNewRoman" w:hAnsi="TimesNewRoman" w:cs="TimesNewRoman"/>
      <w:szCs w:val="20"/>
      <w:lang w:val="cs-CZ" w:eastAsia="en-US"/>
    </w:rPr>
  </w:style>
  <w:style w:type="character" w:customStyle="1" w:styleId="Styl1Char">
    <w:name w:val="Styl1 Char"/>
    <w:link w:val="Styl1"/>
    <w:rsid w:val="0042642C"/>
    <w:rPr>
      <w:rFonts w:ascii="Times New Roman" w:eastAsia="Times New Roman" w:hAnsi="Times New Roman" w:cs="Times New Roman"/>
      <w:b/>
      <w:bCs/>
      <w:caps/>
      <w:szCs w:val="24"/>
      <w:lang w:val="en-US" w:eastAsia="cs-CZ"/>
    </w:rPr>
  </w:style>
  <w:style w:type="character" w:customStyle="1" w:styleId="Styl2Char">
    <w:name w:val="Styl2 Char"/>
    <w:link w:val="Styl2"/>
    <w:rsid w:val="0042642C"/>
    <w:rPr>
      <w:rFonts w:ascii="Times New Roman" w:eastAsia="Times New Roman" w:hAnsi="Times New Roman" w:cs="Times New Roman"/>
      <w:b/>
      <w:bCs/>
      <w:szCs w:val="20"/>
      <w:lang w:val="en-US" w:eastAsia="cs-CZ"/>
    </w:rPr>
  </w:style>
  <w:style w:type="character" w:customStyle="1" w:styleId="styl2Char0">
    <w:name w:val="styl2 Char"/>
    <w:link w:val="styl20"/>
    <w:rsid w:val="0042642C"/>
    <w:rPr>
      <w:rFonts w:ascii="Times New Roman" w:eastAsia="Times New Roman" w:hAnsi="Times New Roman" w:cs="Times New Roman"/>
      <w:b/>
      <w:bCs/>
      <w:caps/>
      <w:szCs w:val="24"/>
      <w:lang w:val="sk-SK" w:eastAsia="sk-SK"/>
    </w:rPr>
  </w:style>
  <w:style w:type="character" w:customStyle="1" w:styleId="Bacil">
    <w:name w:val="Bacil"/>
    <w:qFormat/>
    <w:rsid w:val="0042642C"/>
    <w:rPr>
      <w:i/>
    </w:rPr>
  </w:style>
  <w:style w:type="character" w:customStyle="1" w:styleId="Nadpis1Char">
    <w:name w:val="Nadpis 1 Char"/>
    <w:basedOn w:val="Predvolenpsmoodseku"/>
    <w:link w:val="Nadpis1"/>
    <w:rsid w:val="0042642C"/>
    <w:rPr>
      <w:rFonts w:asciiTheme="majorHAnsi" w:eastAsiaTheme="majorEastAsia" w:hAnsiTheme="majorHAnsi" w:cstheme="majorBidi"/>
      <w:color w:val="2F5496" w:themeColor="accent1" w:themeShade="BF"/>
      <w:sz w:val="32"/>
      <w:szCs w:val="32"/>
      <w:lang w:val="sk-SK" w:eastAsia="sk-SK"/>
    </w:rPr>
  </w:style>
  <w:style w:type="paragraph" w:styleId="Textbubliny">
    <w:name w:val="Balloon Text"/>
    <w:basedOn w:val="Normlny"/>
    <w:link w:val="TextbublinyChar"/>
    <w:semiHidden/>
    <w:unhideWhenUsed/>
    <w:rsid w:val="004779E8"/>
    <w:rPr>
      <w:rFonts w:ascii="Segoe UI" w:hAnsi="Segoe UI" w:cs="Segoe UI"/>
      <w:sz w:val="18"/>
      <w:szCs w:val="18"/>
    </w:rPr>
  </w:style>
  <w:style w:type="character" w:customStyle="1" w:styleId="TextbublinyChar">
    <w:name w:val="Text bubliny Char"/>
    <w:basedOn w:val="Predvolenpsmoodseku"/>
    <w:link w:val="Textbubliny"/>
    <w:semiHidden/>
    <w:rsid w:val="0042642C"/>
    <w:rPr>
      <w:rFonts w:ascii="Segoe UI" w:eastAsia="Times New Roman" w:hAnsi="Segoe UI" w:cs="Segoe UI"/>
      <w:sz w:val="18"/>
      <w:szCs w:val="18"/>
      <w:lang w:val="sk-SK" w:eastAsia="sk-SK"/>
    </w:rPr>
  </w:style>
  <w:style w:type="character" w:customStyle="1" w:styleId="Nadpis2Char">
    <w:name w:val="Nadpis 2 Char"/>
    <w:basedOn w:val="Predvolenpsmoodseku"/>
    <w:link w:val="Nadpis2"/>
    <w:rsid w:val="004779E8"/>
    <w:rPr>
      <w:rFonts w:ascii="Times New Roman" w:eastAsia="Times New Roman" w:hAnsi="Times New Roman" w:cs="Times New Roman"/>
      <w:i/>
      <w:iCs/>
      <w:noProof/>
      <w:u w:val="single"/>
      <w:lang w:val="sk-SK" w:eastAsia="sk-SK"/>
    </w:rPr>
  </w:style>
  <w:style w:type="character" w:customStyle="1" w:styleId="Nadpis3Char">
    <w:name w:val="Nadpis 3 Char"/>
    <w:basedOn w:val="Predvolenpsmoodseku"/>
    <w:link w:val="Nadpis3"/>
    <w:rsid w:val="004779E8"/>
    <w:rPr>
      <w:rFonts w:ascii="Times New Roman" w:eastAsia="Times New Roman" w:hAnsi="Times New Roman" w:cs="Times New Roman"/>
      <w:i/>
      <w:iCs/>
      <w:noProof/>
      <w:lang w:val="sk-SK" w:eastAsia="sk-SK"/>
    </w:rPr>
  </w:style>
  <w:style w:type="character" w:customStyle="1" w:styleId="Nadpis4Char">
    <w:name w:val="Nadpis 4 Char"/>
    <w:basedOn w:val="Predvolenpsmoodseku"/>
    <w:link w:val="Nadpis4"/>
    <w:rsid w:val="004779E8"/>
    <w:rPr>
      <w:rFonts w:ascii="Times New Roman" w:eastAsia="Times New Roman" w:hAnsi="Times New Roman" w:cs="Times New Roman"/>
      <w:i/>
      <w:iCs/>
      <w:noProof/>
      <w:lang w:val="sk-SK" w:eastAsia="sk-SK"/>
    </w:rPr>
  </w:style>
  <w:style w:type="character" w:customStyle="1" w:styleId="Nadpis5Char">
    <w:name w:val="Nadpis 5 Char"/>
    <w:basedOn w:val="Predvolenpsmoodseku"/>
    <w:link w:val="Nadpis5"/>
    <w:rsid w:val="004779E8"/>
    <w:rPr>
      <w:rFonts w:ascii="Times New Roman" w:eastAsia="Times New Roman" w:hAnsi="Times New Roman" w:cs="Times New Roman"/>
      <w:i/>
      <w:iCs/>
      <w:noProof/>
      <w:color w:val="FF0000"/>
      <w:lang w:val="sk-SK" w:eastAsia="sk-SK"/>
    </w:rPr>
  </w:style>
  <w:style w:type="character" w:customStyle="1" w:styleId="Nadpis6Char">
    <w:name w:val="Nadpis 6 Char"/>
    <w:basedOn w:val="Predvolenpsmoodseku"/>
    <w:link w:val="Nadpis6"/>
    <w:rsid w:val="004779E8"/>
    <w:rPr>
      <w:rFonts w:ascii="Times New Roman" w:eastAsia="Times New Roman" w:hAnsi="Times New Roman" w:cs="Times New Roman"/>
      <w:noProof/>
      <w:u w:val="single"/>
      <w:lang w:val="sk-SK" w:eastAsia="sk-SK"/>
    </w:rPr>
  </w:style>
  <w:style w:type="character" w:customStyle="1" w:styleId="Nadpis7Char">
    <w:name w:val="Nadpis 7 Char"/>
    <w:basedOn w:val="Predvolenpsmoodseku"/>
    <w:link w:val="Nadpis7"/>
    <w:rsid w:val="004779E8"/>
    <w:rPr>
      <w:rFonts w:ascii="Times New Roman" w:eastAsia="Times New Roman" w:hAnsi="Times New Roman" w:cs="Times New Roman"/>
      <w:i/>
      <w:szCs w:val="20"/>
    </w:rPr>
  </w:style>
  <w:style w:type="character" w:customStyle="1" w:styleId="Nadpis8Char">
    <w:name w:val="Nadpis 8 Char"/>
    <w:basedOn w:val="Predvolenpsmoodseku"/>
    <w:link w:val="Nadpis8"/>
    <w:rsid w:val="004779E8"/>
    <w:rPr>
      <w:rFonts w:ascii="Times New Roman" w:eastAsia="Times New Roman" w:hAnsi="Times New Roman" w:cs="Times New Roman"/>
      <w:b/>
      <w:bCs/>
      <w:noProof/>
      <w:lang w:val="sk-SK" w:eastAsia="sk-SK"/>
    </w:rPr>
  </w:style>
  <w:style w:type="character" w:customStyle="1" w:styleId="Nadpis9Char">
    <w:name w:val="Nadpis 9 Char"/>
    <w:basedOn w:val="Predvolenpsmoodseku"/>
    <w:link w:val="Nadpis9"/>
    <w:rsid w:val="004779E8"/>
    <w:rPr>
      <w:rFonts w:ascii="Times New Roman" w:eastAsia="Times New Roman" w:hAnsi="Times New Roman" w:cs="Times New Roman"/>
      <w:b/>
      <w:bCs/>
      <w:noProof/>
      <w:lang w:val="sk-SK" w:eastAsia="sk-SK"/>
    </w:rPr>
  </w:style>
  <w:style w:type="paragraph" w:customStyle="1" w:styleId="EMEAEnBodyText">
    <w:name w:val="EMEA En Body Text"/>
    <w:basedOn w:val="Normlny"/>
    <w:semiHidden/>
    <w:rsid w:val="004779E8"/>
    <w:pPr>
      <w:spacing w:before="120" w:after="120"/>
      <w:ind w:left="0" w:firstLine="0"/>
      <w:jc w:val="both"/>
    </w:pPr>
    <w:rPr>
      <w:szCs w:val="20"/>
      <w:lang w:val="en-US" w:eastAsia="en-US"/>
    </w:rPr>
  </w:style>
  <w:style w:type="paragraph" w:customStyle="1" w:styleId="Hoechst">
    <w:name w:val="Hoechst"/>
    <w:semiHidden/>
    <w:rsid w:val="004779E8"/>
    <w:pPr>
      <w:spacing w:after="0" w:line="240" w:lineRule="auto"/>
    </w:pPr>
    <w:rPr>
      <w:rFonts w:ascii="ITC Garamond Bk AT" w:eastAsia="Times New Roman" w:hAnsi="ITC Garamond Bk AT" w:cs="Times New Roman"/>
      <w:noProof/>
      <w:sz w:val="24"/>
      <w:szCs w:val="20"/>
      <w:lang w:val="en-US"/>
    </w:rPr>
  </w:style>
  <w:style w:type="paragraph" w:styleId="Nzov">
    <w:name w:val="Title"/>
    <w:basedOn w:val="Normlny"/>
    <w:link w:val="NzovChar"/>
    <w:qFormat/>
    <w:rsid w:val="004779E8"/>
    <w:pPr>
      <w:ind w:left="0" w:firstLine="0"/>
      <w:jc w:val="center"/>
    </w:pPr>
    <w:rPr>
      <w:b/>
      <w:szCs w:val="20"/>
      <w:lang w:val="en-GB" w:eastAsia="en-US"/>
    </w:rPr>
  </w:style>
  <w:style w:type="character" w:customStyle="1" w:styleId="NzovChar">
    <w:name w:val="Názov Char"/>
    <w:basedOn w:val="Predvolenpsmoodseku"/>
    <w:link w:val="Nzov"/>
    <w:rsid w:val="004779E8"/>
    <w:rPr>
      <w:rFonts w:ascii="Times New Roman" w:eastAsia="Times New Roman" w:hAnsi="Times New Roman" w:cs="Times New Roman"/>
      <w:b/>
      <w:szCs w:val="20"/>
      <w:lang w:val="en-GB"/>
    </w:rPr>
  </w:style>
  <w:style w:type="character" w:styleId="PouitHypertextovPrepojenie">
    <w:name w:val="FollowedHyperlink"/>
    <w:semiHidden/>
    <w:rsid w:val="004779E8"/>
    <w:rPr>
      <w:color w:val="800080"/>
      <w:u w:val="single"/>
    </w:rPr>
  </w:style>
  <w:style w:type="paragraph" w:styleId="Predmetkomentra">
    <w:name w:val="annotation subject"/>
    <w:basedOn w:val="Textkomentra"/>
    <w:next w:val="Textkomentra"/>
    <w:link w:val="PredmetkomentraChar"/>
    <w:semiHidden/>
    <w:rsid w:val="004779E8"/>
    <w:rPr>
      <w:b/>
      <w:bCs/>
    </w:rPr>
  </w:style>
  <w:style w:type="character" w:customStyle="1" w:styleId="PredmetkomentraChar">
    <w:name w:val="Predmet komentára Char"/>
    <w:basedOn w:val="TextkomentraChar"/>
    <w:link w:val="Predmetkomentra"/>
    <w:semiHidden/>
    <w:rsid w:val="004779E8"/>
    <w:rPr>
      <w:rFonts w:ascii="Times New Roman" w:eastAsia="Times New Roman" w:hAnsi="Times New Roman" w:cs="Times New Roman"/>
      <w:b/>
      <w:bCs/>
      <w:sz w:val="20"/>
      <w:szCs w:val="20"/>
      <w:lang w:val="sk-SK" w:eastAsia="sk-SK"/>
    </w:rPr>
  </w:style>
  <w:style w:type="paragraph" w:customStyle="1" w:styleId="TblTextCenter">
    <w:name w:val="Tbl Text Center"/>
    <w:basedOn w:val="Normlny"/>
    <w:semiHidden/>
    <w:unhideWhenUsed/>
    <w:rsid w:val="004779E8"/>
    <w:pPr>
      <w:spacing w:before="60" w:after="60"/>
      <w:ind w:left="0" w:firstLine="0"/>
      <w:jc w:val="center"/>
    </w:pPr>
    <w:rPr>
      <w:rFonts w:ascii="Arial Narrow" w:hAnsi="Arial Narrow"/>
      <w:sz w:val="20"/>
      <w:szCs w:val="20"/>
      <w:lang w:val="en-US" w:eastAsia="en-US"/>
    </w:rPr>
  </w:style>
  <w:style w:type="paragraph" w:styleId="Textkoncovejpoznmky">
    <w:name w:val="endnote text"/>
    <w:basedOn w:val="Normlny"/>
    <w:link w:val="TextkoncovejpoznmkyChar"/>
    <w:semiHidden/>
    <w:unhideWhenUsed/>
    <w:rsid w:val="004779E8"/>
    <w:pPr>
      <w:tabs>
        <w:tab w:val="left" w:pos="567"/>
      </w:tabs>
      <w:ind w:left="0" w:firstLine="0"/>
    </w:pPr>
    <w:rPr>
      <w:szCs w:val="20"/>
      <w:lang w:val="en-GB" w:eastAsia="en-US"/>
    </w:rPr>
  </w:style>
  <w:style w:type="character" w:customStyle="1" w:styleId="TextkoncovejpoznmkyChar">
    <w:name w:val="Text koncovej poznámky Char"/>
    <w:basedOn w:val="Predvolenpsmoodseku"/>
    <w:link w:val="Textkoncovejpoznmky"/>
    <w:semiHidden/>
    <w:rsid w:val="004779E8"/>
    <w:rPr>
      <w:rFonts w:ascii="Times New Roman" w:eastAsia="Times New Roman" w:hAnsi="Times New Roman" w:cs="Times New Roman"/>
      <w:szCs w:val="20"/>
      <w:lang w:val="en-GB"/>
    </w:rPr>
  </w:style>
  <w:style w:type="paragraph" w:customStyle="1" w:styleId="tlStyl2Vavo063cmPrvriadok0cm">
    <w:name w:val="Štýl Styl2 + Vľavo:  063 cm Prvý riadok:  0 cm"/>
    <w:basedOn w:val="Styl2"/>
    <w:semiHidden/>
    <w:unhideWhenUsed/>
    <w:rsid w:val="004779E8"/>
    <w:pPr>
      <w:numPr>
        <w:ilvl w:val="0"/>
        <w:numId w:val="0"/>
      </w:numPr>
      <w:spacing w:before="240"/>
    </w:pPr>
    <w:rPr>
      <w:lang w:eastAsia="en-US"/>
    </w:rPr>
  </w:style>
  <w:style w:type="numbering" w:customStyle="1" w:styleId="tlViacrovovTun">
    <w:name w:val="Štýl Viacúrovňové Tučné"/>
    <w:basedOn w:val="Bezzoznamu"/>
    <w:rsid w:val="004779E8"/>
    <w:pPr>
      <w:numPr>
        <w:numId w:val="9"/>
      </w:numPr>
    </w:pPr>
  </w:style>
  <w:style w:type="paragraph" w:styleId="Normlnywebov">
    <w:name w:val="Normal (Web)"/>
    <w:basedOn w:val="Normlny"/>
    <w:uiPriority w:val="99"/>
    <w:semiHidden/>
    <w:unhideWhenUsed/>
    <w:rsid w:val="004779E8"/>
    <w:pPr>
      <w:spacing w:before="100" w:beforeAutospacing="1" w:after="100" w:afterAutospacing="1"/>
      <w:ind w:left="0" w:firstLine="0"/>
    </w:pPr>
    <w:rPr>
      <w:sz w:val="24"/>
      <w:lang w:eastAsia="zh-CN"/>
    </w:rPr>
  </w:style>
  <w:style w:type="character" w:customStyle="1" w:styleId="apple-converted-space">
    <w:name w:val="apple-converted-space"/>
    <w:basedOn w:val="Predvolenpsmoodseku"/>
    <w:rsid w:val="004779E8"/>
  </w:style>
  <w:style w:type="paragraph" w:styleId="truktradokumentu">
    <w:name w:val="Document Map"/>
    <w:basedOn w:val="Normlny"/>
    <w:link w:val="truktradokumentuChar"/>
    <w:semiHidden/>
    <w:rsid w:val="004779E8"/>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4779E8"/>
    <w:rPr>
      <w:rFonts w:ascii="Tahoma" w:eastAsia="Times New Roman" w:hAnsi="Tahoma" w:cs="Tahoma"/>
      <w:sz w:val="20"/>
      <w:szCs w:val="20"/>
      <w:shd w:val="clear" w:color="auto" w:fill="000080"/>
      <w:lang w:val="sk-SK" w:eastAsia="sk-SK"/>
    </w:rPr>
  </w:style>
  <w:style w:type="paragraph" w:styleId="Zkladntext2">
    <w:name w:val="Body Text 2"/>
    <w:basedOn w:val="Normlny"/>
    <w:link w:val="Zkladntext2Char"/>
    <w:semiHidden/>
    <w:unhideWhenUsed/>
    <w:rsid w:val="004779E8"/>
    <w:pPr>
      <w:ind w:left="0" w:firstLine="0"/>
    </w:pPr>
    <w:rPr>
      <w:sz w:val="24"/>
      <w:szCs w:val="20"/>
      <w:lang w:eastAsia="en-US"/>
    </w:rPr>
  </w:style>
  <w:style w:type="character" w:customStyle="1" w:styleId="Zkladntext2Char">
    <w:name w:val="Základný text 2 Char"/>
    <w:basedOn w:val="Predvolenpsmoodseku"/>
    <w:link w:val="Zkladntext2"/>
    <w:semiHidden/>
    <w:rsid w:val="004779E8"/>
    <w:rPr>
      <w:rFonts w:ascii="Times New Roman" w:eastAsia="Times New Roman" w:hAnsi="Times New Roman" w:cs="Times New Roman"/>
      <w:sz w:val="24"/>
      <w:szCs w:val="20"/>
      <w:lang w:val="sk-SK"/>
    </w:rPr>
  </w:style>
  <w:style w:type="paragraph" w:styleId="Zkladntext3">
    <w:name w:val="Body Text 3"/>
    <w:basedOn w:val="Normlny"/>
    <w:link w:val="Zkladntext3Char"/>
    <w:semiHidden/>
    <w:unhideWhenUsed/>
    <w:rsid w:val="004779E8"/>
    <w:pPr>
      <w:ind w:left="0" w:firstLine="0"/>
    </w:pPr>
    <w:rPr>
      <w:sz w:val="24"/>
      <w:szCs w:val="20"/>
      <w:u w:val="single"/>
      <w:lang w:eastAsia="en-US"/>
    </w:rPr>
  </w:style>
  <w:style w:type="character" w:customStyle="1" w:styleId="Zkladntext3Char">
    <w:name w:val="Základný text 3 Char"/>
    <w:basedOn w:val="Predvolenpsmoodseku"/>
    <w:link w:val="Zkladntext3"/>
    <w:semiHidden/>
    <w:rsid w:val="004779E8"/>
    <w:rPr>
      <w:rFonts w:ascii="Times New Roman" w:eastAsia="Times New Roman" w:hAnsi="Times New Roman" w:cs="Times New Roman"/>
      <w:sz w:val="24"/>
      <w:szCs w:val="20"/>
      <w:u w:val="single"/>
      <w:lang w:val="sk-SK"/>
    </w:rPr>
  </w:style>
  <w:style w:type="paragraph" w:styleId="Zarkazkladnhotextu2">
    <w:name w:val="Body Text Indent 2"/>
    <w:basedOn w:val="Normlny"/>
    <w:link w:val="Zarkazkladnhotextu2Char"/>
    <w:semiHidden/>
    <w:unhideWhenUsed/>
    <w:rsid w:val="004779E8"/>
    <w:pPr>
      <w:ind w:left="720" w:firstLine="0"/>
      <w:jc w:val="both"/>
    </w:pPr>
    <w:rPr>
      <w:rFonts w:ascii="Arial" w:hAnsi="Arial"/>
      <w:i/>
      <w:sz w:val="20"/>
      <w:szCs w:val="20"/>
      <w:u w:val="single"/>
      <w:lang w:eastAsia="en-US"/>
    </w:rPr>
  </w:style>
  <w:style w:type="character" w:customStyle="1" w:styleId="Zarkazkladnhotextu2Char">
    <w:name w:val="Zarážka základného textu 2 Char"/>
    <w:basedOn w:val="Predvolenpsmoodseku"/>
    <w:link w:val="Zarkazkladnhotextu2"/>
    <w:semiHidden/>
    <w:rsid w:val="004779E8"/>
    <w:rPr>
      <w:rFonts w:ascii="Arial" w:eastAsia="Times New Roman" w:hAnsi="Arial" w:cs="Times New Roman"/>
      <w:i/>
      <w:sz w:val="20"/>
      <w:szCs w:val="20"/>
      <w:u w:val="single"/>
      <w:lang w:val="sk-SK"/>
    </w:rPr>
  </w:style>
  <w:style w:type="paragraph" w:styleId="Zarkazkladnhotextu3">
    <w:name w:val="Body Text Indent 3"/>
    <w:basedOn w:val="Normlny"/>
    <w:link w:val="Zarkazkladnhotextu3Char"/>
    <w:semiHidden/>
    <w:unhideWhenUsed/>
    <w:rsid w:val="004779E8"/>
    <w:pPr>
      <w:ind w:left="0" w:firstLine="720"/>
      <w:jc w:val="both"/>
    </w:pPr>
    <w:rPr>
      <w:rFonts w:ascii="Arial" w:hAnsi="Arial"/>
      <w:sz w:val="20"/>
      <w:szCs w:val="20"/>
      <w:lang w:eastAsia="en-US"/>
    </w:rPr>
  </w:style>
  <w:style w:type="character" w:customStyle="1" w:styleId="Zarkazkladnhotextu3Char">
    <w:name w:val="Zarážka základného textu 3 Char"/>
    <w:basedOn w:val="Predvolenpsmoodseku"/>
    <w:link w:val="Zarkazkladnhotextu3"/>
    <w:semiHidden/>
    <w:rsid w:val="004779E8"/>
    <w:rPr>
      <w:rFonts w:ascii="Arial" w:eastAsia="Times New Roman" w:hAnsi="Arial" w:cs="Times New Roman"/>
      <w:sz w:val="20"/>
      <w:szCs w:val="20"/>
      <w:lang w:val="sk-SK"/>
    </w:rPr>
  </w:style>
  <w:style w:type="character" w:styleId="Zvraznenie">
    <w:name w:val="Emphasis"/>
    <w:uiPriority w:val="20"/>
    <w:qFormat/>
    <w:rsid w:val="004779E8"/>
    <w:rPr>
      <w:b/>
      <w:bCs/>
      <w:i w:val="0"/>
      <w:iCs w:val="0"/>
    </w:rPr>
  </w:style>
</w:styles>
</file>

<file path=word/webSettings.xml><?xml version="1.0" encoding="utf-8"?>
<w:webSettings xmlns:r="http://schemas.openxmlformats.org/officeDocument/2006/relationships" xmlns:w="http://schemas.openxmlformats.org/wordprocessingml/2006/main">
  <w:divs>
    <w:div w:id="7188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4562-0B11-4EA6-ADE8-779B98DC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3970</Words>
  <Characters>22629</Characters>
  <Application>Microsoft Office Word</Application>
  <DocSecurity>0</DocSecurity>
  <Lines>188</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Litera</dc:creator>
  <cp:keywords/>
  <dc:description/>
  <cp:lastModifiedBy> Jana Repiščáková</cp:lastModifiedBy>
  <cp:revision>9</cp:revision>
  <cp:lastPrinted>2018-06-20T06:29:00Z</cp:lastPrinted>
  <dcterms:created xsi:type="dcterms:W3CDTF">2018-06-19T06:26:00Z</dcterms:created>
  <dcterms:modified xsi:type="dcterms:W3CDTF">2018-06-20T06:31:00Z</dcterms:modified>
</cp:coreProperties>
</file>