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C1" w:rsidRPr="00C31413" w:rsidRDefault="005579C1" w:rsidP="008516F9">
      <w:pPr>
        <w:pStyle w:val="Bodytext"/>
        <w:spacing w:after="0" w:line="240" w:lineRule="auto"/>
        <w:ind w:left="0"/>
        <w:jc w:val="center"/>
        <w:rPr>
          <w:caps/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jc w:val="center"/>
        <w:rPr>
          <w:b/>
          <w:caps/>
          <w:sz w:val="22"/>
          <w:szCs w:val="22"/>
        </w:rPr>
      </w:pPr>
      <w:r w:rsidRPr="00556C24">
        <w:rPr>
          <w:b/>
          <w:caps/>
          <w:sz w:val="22"/>
          <w:szCs w:val="22"/>
        </w:rPr>
        <w:t>Súhrn charakteristických vlastností lieku</w:t>
      </w:r>
    </w:p>
    <w:p w:rsidR="005579C1" w:rsidRPr="00556C24" w:rsidRDefault="005579C1" w:rsidP="00146269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:rsidR="005579C1" w:rsidRPr="00556C24" w:rsidRDefault="005579C1" w:rsidP="00642CDE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:rsidR="005579C1" w:rsidRPr="00146269" w:rsidRDefault="005579C1" w:rsidP="00146269">
      <w:pPr>
        <w:pStyle w:val="Nadpis2"/>
        <w:tabs>
          <w:tab w:val="clear" w:pos="360"/>
          <w:tab w:val="left" w:pos="567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Názov LIEKU</w:t>
      </w:r>
    </w:p>
    <w:p w:rsidR="005579C1" w:rsidRPr="008516F9" w:rsidRDefault="005579C1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</w:p>
    <w:p w:rsidR="005579C1" w:rsidRPr="00146269" w:rsidRDefault="005579C1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  <w:r w:rsidRPr="00BC7D30">
        <w:rPr>
          <w:b w:val="0"/>
          <w:sz w:val="22"/>
          <w:szCs w:val="22"/>
        </w:rPr>
        <w:t>Imodium Instant</w:t>
      </w:r>
    </w:p>
    <w:p w:rsidR="005579C1" w:rsidRPr="008516F9" w:rsidRDefault="005579C1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</w:p>
    <w:p w:rsidR="005579C1" w:rsidRPr="008516F9" w:rsidRDefault="005579C1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</w:p>
    <w:p w:rsidR="005579C1" w:rsidRPr="00146269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kvalitatívne a kvantitatívne zloženie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556C24">
        <w:rPr>
          <w:sz w:val="22"/>
          <w:szCs w:val="22"/>
        </w:rPr>
        <w:t xml:space="preserve">Loperamidi hydrochloridum 2 mg v jednej </w:t>
      </w:r>
      <w:r>
        <w:rPr>
          <w:sz w:val="22"/>
          <w:szCs w:val="22"/>
        </w:rPr>
        <w:t>tablete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556C24">
        <w:rPr>
          <w:sz w:val="22"/>
          <w:szCs w:val="22"/>
        </w:rPr>
        <w:t>Úplný zoznam pomocných látok, pozri časť 6.1.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146269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Lieková forma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Orodispergovateľná tableta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Tablety bielej až šedobielej farby, okrúhle, lyofilizované</w:t>
      </w:r>
      <w:r w:rsidRPr="00556C24">
        <w:rPr>
          <w:sz w:val="22"/>
          <w:szCs w:val="22"/>
        </w:rPr>
        <w:t>.</w:t>
      </w: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Klinické údaje</w:t>
      </w:r>
    </w:p>
    <w:p w:rsidR="00146269" w:rsidRPr="008516F9" w:rsidRDefault="00146269" w:rsidP="00146269">
      <w:pPr>
        <w:pStyle w:val="Bodytext"/>
        <w:spacing w:after="0" w:line="240" w:lineRule="auto"/>
        <w:ind w:left="0"/>
        <w:rPr>
          <w:sz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4.1</w:t>
      </w:r>
      <w:r w:rsidRPr="00146269">
        <w:rPr>
          <w:rFonts w:ascii="Times New Roman" w:hAnsi="Times New Roman"/>
          <w:i w:val="0"/>
          <w:sz w:val="22"/>
          <w:szCs w:val="22"/>
        </w:rPr>
        <w:tab/>
        <w:t>Terapeutické indikácie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Liek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>je indikovaný na symptomatickú liečbu akútnej a chronickej hnačky.</w:t>
      </w: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U pacientov s ileostómiou sa môže použiť na zníženie počtu a objemu stolíc a zahustenie ich konzistencie. 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4.2</w:t>
      </w:r>
      <w:r w:rsidRPr="00146269">
        <w:rPr>
          <w:rFonts w:ascii="Times New Roman" w:hAnsi="Times New Roman"/>
          <w:i w:val="0"/>
          <w:sz w:val="22"/>
          <w:szCs w:val="22"/>
        </w:rPr>
        <w:tab/>
        <w:t>Dávkovanie a spôsob podávania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kern w:val="1"/>
          <w:sz w:val="22"/>
          <w:szCs w:val="22"/>
        </w:rPr>
      </w:pPr>
    </w:p>
    <w:p w:rsidR="005579C1" w:rsidRPr="00F45263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>
        <w:rPr>
          <w:iCs/>
          <w:kern w:val="1"/>
          <w:sz w:val="22"/>
          <w:szCs w:val="22"/>
          <w:u w:val="single"/>
        </w:rPr>
        <w:t>Dávkovanie</w:t>
      </w:r>
    </w:p>
    <w:p w:rsidR="005579C1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713347">
        <w:rPr>
          <w:iCs/>
          <w:kern w:val="1"/>
          <w:sz w:val="22"/>
          <w:szCs w:val="22"/>
        </w:rPr>
        <w:t>Dospelí a deti od 6 do 17 rokov</w:t>
      </w:r>
      <w:r w:rsidRPr="00556C24">
        <w:rPr>
          <w:i/>
          <w:iCs/>
          <w:kern w:val="1"/>
          <w:sz w:val="22"/>
          <w:szCs w:val="22"/>
        </w:rPr>
        <w:t>:</w:t>
      </w:r>
    </w:p>
    <w:p w:rsidR="005579C1" w:rsidRPr="00556C24" w:rsidRDefault="005579C1">
      <w:pPr>
        <w:pStyle w:val="Bodytext"/>
        <w:spacing w:after="0" w:line="240" w:lineRule="auto"/>
        <w:ind w:left="0"/>
        <w:rPr>
          <w:iCs/>
          <w:kern w:val="1"/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713347">
        <w:rPr>
          <w:kern w:val="1"/>
          <w:sz w:val="22"/>
          <w:szCs w:val="22"/>
        </w:rPr>
        <w:t>Akútna hnačka:</w:t>
      </w:r>
      <w:r w:rsidRPr="00556C24">
        <w:rPr>
          <w:kern w:val="1"/>
          <w:sz w:val="22"/>
          <w:szCs w:val="22"/>
        </w:rPr>
        <w:t xml:space="preserve"> úvodná dávka je 2 </w:t>
      </w:r>
      <w:r>
        <w:rPr>
          <w:kern w:val="1"/>
          <w:sz w:val="22"/>
          <w:szCs w:val="22"/>
        </w:rPr>
        <w:t>tablety</w:t>
      </w:r>
      <w:r w:rsidRPr="00556C24">
        <w:rPr>
          <w:kern w:val="1"/>
          <w:sz w:val="22"/>
          <w:szCs w:val="22"/>
        </w:rPr>
        <w:t xml:space="preserve"> (4 mg) pre dospelých a 1 </w:t>
      </w:r>
      <w:r>
        <w:rPr>
          <w:kern w:val="1"/>
          <w:sz w:val="22"/>
          <w:szCs w:val="22"/>
        </w:rPr>
        <w:t>tableta</w:t>
      </w:r>
      <w:r w:rsidRPr="00556C24">
        <w:rPr>
          <w:kern w:val="1"/>
          <w:sz w:val="22"/>
          <w:szCs w:val="22"/>
        </w:rPr>
        <w:t xml:space="preserve"> (2 mg) pre deti</w:t>
      </w:r>
      <w:r w:rsidRPr="00556C24">
        <w:rPr>
          <w:kern w:val="1"/>
          <w:sz w:val="22"/>
          <w:szCs w:val="22"/>
        </w:rPr>
        <w:sym w:font="Symbol" w:char="F03B"/>
      </w:r>
      <w:r w:rsidRPr="00556C24">
        <w:rPr>
          <w:kern w:val="1"/>
          <w:sz w:val="22"/>
          <w:szCs w:val="22"/>
        </w:rPr>
        <w:t xml:space="preserve"> potom sa podáva 1 </w:t>
      </w:r>
      <w:r>
        <w:rPr>
          <w:kern w:val="1"/>
          <w:sz w:val="22"/>
          <w:szCs w:val="22"/>
        </w:rPr>
        <w:t>tableta</w:t>
      </w:r>
      <w:r w:rsidRPr="00556C24">
        <w:rPr>
          <w:kern w:val="1"/>
          <w:sz w:val="22"/>
          <w:szCs w:val="22"/>
        </w:rPr>
        <w:t xml:space="preserve"> (2 mg) po každej nasledujúcej riedkej stolici.</w:t>
      </w:r>
    </w:p>
    <w:p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556C24" w:rsidRDefault="005579C1" w:rsidP="00D662B0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713347">
        <w:rPr>
          <w:kern w:val="1"/>
          <w:sz w:val="22"/>
          <w:szCs w:val="22"/>
        </w:rPr>
        <w:t>Chronická hnačka:</w:t>
      </w:r>
      <w:r w:rsidRPr="00556C24">
        <w:rPr>
          <w:kern w:val="1"/>
          <w:sz w:val="22"/>
          <w:szCs w:val="22"/>
        </w:rPr>
        <w:t xml:space="preserve"> úvodná dávka je 2 </w:t>
      </w:r>
      <w:r>
        <w:rPr>
          <w:kern w:val="1"/>
          <w:sz w:val="22"/>
          <w:szCs w:val="22"/>
        </w:rPr>
        <w:t>tablety</w:t>
      </w:r>
      <w:r w:rsidRPr="00556C24">
        <w:rPr>
          <w:kern w:val="1"/>
          <w:sz w:val="22"/>
          <w:szCs w:val="22"/>
        </w:rPr>
        <w:t xml:space="preserve"> (4 mg) denne pre dospelých a 1 </w:t>
      </w:r>
      <w:r>
        <w:rPr>
          <w:kern w:val="1"/>
          <w:sz w:val="22"/>
          <w:szCs w:val="22"/>
        </w:rPr>
        <w:t>tableta</w:t>
      </w:r>
      <w:r w:rsidRPr="00556C24">
        <w:rPr>
          <w:kern w:val="1"/>
          <w:sz w:val="22"/>
          <w:szCs w:val="22"/>
        </w:rPr>
        <w:t xml:space="preserve"> (2 mg) denne pre deti</w:t>
      </w:r>
      <w:r w:rsidRPr="00556C24">
        <w:rPr>
          <w:kern w:val="1"/>
          <w:sz w:val="22"/>
          <w:szCs w:val="22"/>
        </w:rPr>
        <w:sym w:font="Symbol" w:char="F03B"/>
      </w:r>
      <w:r w:rsidRPr="00556C24">
        <w:rPr>
          <w:kern w:val="1"/>
          <w:sz w:val="22"/>
          <w:szCs w:val="22"/>
        </w:rPr>
        <w:t xml:space="preserve"> táto dávka sa upravuje až do dosiahnutia 1-2 formovaných stolíc za deň, čo sa zvyčajne podarí udržiavacou dávkou 1-6 </w:t>
      </w:r>
      <w:r>
        <w:rPr>
          <w:kern w:val="1"/>
          <w:sz w:val="22"/>
          <w:szCs w:val="22"/>
        </w:rPr>
        <w:t>tabliet</w:t>
      </w:r>
      <w:r w:rsidRPr="00556C24">
        <w:rPr>
          <w:kern w:val="1"/>
          <w:sz w:val="22"/>
          <w:szCs w:val="22"/>
        </w:rPr>
        <w:t xml:space="preserve"> (2 mg – 12 mg) denne.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Maximálna dávka pri akútnej</w:t>
      </w:r>
      <w:r>
        <w:rPr>
          <w:kern w:val="1"/>
          <w:sz w:val="22"/>
          <w:szCs w:val="22"/>
        </w:rPr>
        <w:t xml:space="preserve"> a chronickej</w:t>
      </w:r>
      <w:r w:rsidRPr="00556C24">
        <w:rPr>
          <w:kern w:val="1"/>
          <w:sz w:val="22"/>
          <w:szCs w:val="22"/>
        </w:rPr>
        <w:t xml:space="preserve"> hnačke je 8 </w:t>
      </w:r>
      <w:r>
        <w:rPr>
          <w:kern w:val="1"/>
          <w:sz w:val="22"/>
          <w:szCs w:val="22"/>
        </w:rPr>
        <w:t>tabliet</w:t>
      </w:r>
      <w:r w:rsidRPr="00556C24">
        <w:rPr>
          <w:kern w:val="1"/>
          <w:sz w:val="22"/>
          <w:szCs w:val="22"/>
        </w:rPr>
        <w:t xml:space="preserve"> (16 mg) denne pre dospelých</w:t>
      </w:r>
      <w:r w:rsidRPr="00556C24">
        <w:rPr>
          <w:kern w:val="1"/>
          <w:sz w:val="22"/>
          <w:szCs w:val="22"/>
        </w:rPr>
        <w:sym w:font="Symbol" w:char="F03B"/>
      </w:r>
      <w:r w:rsidRPr="00556C24">
        <w:rPr>
          <w:kern w:val="1"/>
          <w:sz w:val="22"/>
          <w:szCs w:val="22"/>
        </w:rPr>
        <w:t xml:space="preserve"> u detí </w:t>
      </w:r>
      <w:r>
        <w:rPr>
          <w:kern w:val="1"/>
          <w:sz w:val="22"/>
          <w:szCs w:val="22"/>
        </w:rPr>
        <w:t>je potrebné určiť dávku vo vz</w:t>
      </w:r>
      <w:r w:rsidR="00C31413">
        <w:rPr>
          <w:kern w:val="1"/>
          <w:sz w:val="22"/>
          <w:szCs w:val="22"/>
        </w:rPr>
        <w:t>ť</w:t>
      </w:r>
      <w:r>
        <w:rPr>
          <w:kern w:val="1"/>
          <w:sz w:val="22"/>
          <w:szCs w:val="22"/>
        </w:rPr>
        <w:t>ahu k</w:t>
      </w:r>
      <w:r w:rsidRPr="00556C24">
        <w:rPr>
          <w:kern w:val="1"/>
          <w:sz w:val="22"/>
          <w:szCs w:val="22"/>
        </w:rPr>
        <w:t xml:space="preserve"> telesnej hmotnosti (3 </w:t>
      </w:r>
      <w:r>
        <w:rPr>
          <w:kern w:val="1"/>
          <w:sz w:val="22"/>
          <w:szCs w:val="22"/>
        </w:rPr>
        <w:t>tablety</w:t>
      </w:r>
      <w:r w:rsidRPr="00556C24">
        <w:rPr>
          <w:kern w:val="1"/>
          <w:sz w:val="22"/>
          <w:szCs w:val="22"/>
        </w:rPr>
        <w:t>/20 kg)</w:t>
      </w:r>
      <w:r>
        <w:rPr>
          <w:kern w:val="1"/>
          <w:sz w:val="22"/>
          <w:szCs w:val="22"/>
        </w:rPr>
        <w:t>, ale nemá sa prekročiť dávka 8</w:t>
      </w:r>
      <w:r w:rsidR="00C31413">
        <w:rPr>
          <w:kern w:val="1"/>
          <w:sz w:val="22"/>
          <w:szCs w:val="22"/>
        </w:rPr>
        <w:t> </w:t>
      </w:r>
      <w:r>
        <w:rPr>
          <w:kern w:val="1"/>
          <w:sz w:val="22"/>
          <w:szCs w:val="22"/>
        </w:rPr>
        <w:t>kapsúl denne</w:t>
      </w:r>
      <w:r w:rsidRPr="00556C24">
        <w:rPr>
          <w:kern w:val="1"/>
          <w:sz w:val="22"/>
          <w:szCs w:val="22"/>
        </w:rPr>
        <w:t xml:space="preserve">. 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Hmotnosť dieťaťa v kilogramoch (kg)</w:t>
            </w:r>
          </w:p>
        </w:tc>
        <w:tc>
          <w:tcPr>
            <w:tcW w:w="4264" w:type="dxa"/>
          </w:tcPr>
          <w:p w:rsidR="005579C1" w:rsidRPr="00FE4F2C" w:rsidRDefault="005579C1" w:rsidP="008516F9">
            <w:pPr>
              <w:pStyle w:val="Hlavika"/>
              <w:spacing w:after="0"/>
              <w:jc w:val="center"/>
            </w:pPr>
            <w:r w:rsidRPr="00FE4F2C">
              <w:rPr>
                <w:sz w:val="22"/>
                <w:szCs w:val="22"/>
              </w:rPr>
              <w:t>Maximálny počet tabliet lieku Imodium Instant podaný za 1 deň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14 kg"/>
              </w:smartTagPr>
              <w:r w:rsidRPr="00FE4F2C">
                <w:rPr>
                  <w:sz w:val="22"/>
                  <w:szCs w:val="22"/>
                </w:rPr>
                <w:t>14 kg</w:t>
              </w:r>
            </w:smartTag>
          </w:p>
        </w:tc>
        <w:tc>
          <w:tcPr>
            <w:tcW w:w="4264" w:type="dxa"/>
          </w:tcPr>
          <w:p w:rsidR="005579C1" w:rsidRPr="00FE4F2C" w:rsidRDefault="005579C1" w:rsidP="009A71A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2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FE4F2C">
                <w:rPr>
                  <w:sz w:val="22"/>
                  <w:szCs w:val="22"/>
                </w:rPr>
                <w:t>20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3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27 kg"/>
              </w:smartTagPr>
              <w:r w:rsidRPr="00FE4F2C">
                <w:rPr>
                  <w:sz w:val="22"/>
                  <w:szCs w:val="22"/>
                </w:rPr>
                <w:t>27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4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34 kg"/>
              </w:smartTagPr>
              <w:r w:rsidRPr="00FE4F2C">
                <w:rPr>
                  <w:sz w:val="22"/>
                  <w:szCs w:val="22"/>
                </w:rPr>
                <w:t>34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5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lastRenderedPageBreak/>
              <w:t xml:space="preserve">od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FE4F2C">
                <w:rPr>
                  <w:sz w:val="22"/>
                  <w:szCs w:val="22"/>
                </w:rPr>
                <w:t>40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6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47 kg"/>
              </w:smartTagPr>
              <w:r w:rsidRPr="00FE4F2C">
                <w:rPr>
                  <w:sz w:val="22"/>
                  <w:szCs w:val="22"/>
                </w:rPr>
                <w:t>47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7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54 kg"/>
              </w:smartTagPr>
              <w:r w:rsidRPr="00FE4F2C">
                <w:rPr>
                  <w:sz w:val="22"/>
                  <w:szCs w:val="22"/>
                </w:rPr>
                <w:t>54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8 tablety</w:t>
            </w:r>
          </w:p>
        </w:tc>
      </w:tr>
    </w:tbl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A24C82" w:rsidRDefault="005579C1">
      <w:pPr>
        <w:pStyle w:val="Bodytext"/>
        <w:spacing w:after="0" w:line="240" w:lineRule="auto"/>
        <w:ind w:left="0"/>
        <w:rPr>
          <w:iCs/>
          <w:kern w:val="1"/>
          <w:sz w:val="22"/>
          <w:szCs w:val="22"/>
        </w:rPr>
      </w:pPr>
      <w:r w:rsidRPr="00A24C82">
        <w:rPr>
          <w:iCs/>
          <w:kern w:val="1"/>
          <w:sz w:val="22"/>
          <w:szCs w:val="22"/>
        </w:rPr>
        <w:t>Starší pacienti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U starších pacientov nie je potrebná úprava dávkovania.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A24C82" w:rsidRDefault="005579C1">
      <w:pPr>
        <w:pStyle w:val="Bodytext"/>
        <w:keepNext/>
        <w:spacing w:after="0" w:line="240" w:lineRule="auto"/>
        <w:ind w:left="0"/>
        <w:rPr>
          <w:iCs/>
          <w:kern w:val="1"/>
          <w:sz w:val="22"/>
          <w:szCs w:val="22"/>
        </w:rPr>
      </w:pPr>
      <w:r w:rsidRPr="00A24C82">
        <w:rPr>
          <w:iCs/>
          <w:kern w:val="1"/>
          <w:sz w:val="22"/>
          <w:szCs w:val="22"/>
        </w:rPr>
        <w:t>Poškodenie funkcie obličiek</w:t>
      </w:r>
    </w:p>
    <w:p w:rsidR="005579C1" w:rsidRPr="00556C24" w:rsidRDefault="005579C1">
      <w:pPr>
        <w:pStyle w:val="Bodytext"/>
        <w:keepNext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U pacientov s </w:t>
      </w:r>
      <w:r>
        <w:rPr>
          <w:kern w:val="1"/>
          <w:sz w:val="22"/>
          <w:szCs w:val="22"/>
        </w:rPr>
        <w:t>poškodením funkcie</w:t>
      </w:r>
      <w:r w:rsidRPr="00556C24">
        <w:rPr>
          <w:kern w:val="1"/>
          <w:sz w:val="22"/>
          <w:szCs w:val="22"/>
        </w:rPr>
        <w:t xml:space="preserve"> obličiek nie je potrebná úprava dávkovania.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A24C82" w:rsidRDefault="005579C1">
      <w:pPr>
        <w:pStyle w:val="Bodytext"/>
        <w:spacing w:after="0" w:line="240" w:lineRule="auto"/>
        <w:ind w:left="0"/>
        <w:rPr>
          <w:iCs/>
          <w:kern w:val="1"/>
          <w:sz w:val="22"/>
          <w:szCs w:val="22"/>
        </w:rPr>
      </w:pPr>
      <w:r w:rsidRPr="00A24C82">
        <w:rPr>
          <w:iCs/>
          <w:kern w:val="1"/>
          <w:sz w:val="22"/>
          <w:szCs w:val="22"/>
        </w:rPr>
        <w:t>Poškodenie funkcie pečene</w:t>
      </w:r>
    </w:p>
    <w:p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 xml:space="preserve">Vzhľadom na to, že farmakokinetické údaje u pacientov s poškodením </w:t>
      </w:r>
      <w:r>
        <w:rPr>
          <w:kern w:val="1"/>
          <w:sz w:val="22"/>
          <w:szCs w:val="22"/>
        </w:rPr>
        <w:t xml:space="preserve">funkcie </w:t>
      </w:r>
      <w:r w:rsidRPr="00556C24">
        <w:rPr>
          <w:kern w:val="1"/>
          <w:sz w:val="22"/>
          <w:szCs w:val="22"/>
        </w:rPr>
        <w:t>pečene nie sú k dispozícii, u týchto pacientov je potrebné užívať I</w:t>
      </w:r>
      <w:r>
        <w:rPr>
          <w:kern w:val="1"/>
          <w:sz w:val="22"/>
          <w:szCs w:val="22"/>
        </w:rPr>
        <w:t>modium</w:t>
      </w:r>
      <w:r w:rsidRPr="00556C24">
        <w:rPr>
          <w:kern w:val="1"/>
          <w:sz w:val="22"/>
          <w:szCs w:val="22"/>
        </w:rPr>
        <w:t xml:space="preserve"> </w:t>
      </w:r>
      <w:r>
        <w:rPr>
          <w:kern w:val="1"/>
          <w:sz w:val="22"/>
          <w:szCs w:val="22"/>
        </w:rPr>
        <w:t xml:space="preserve">Instant </w:t>
      </w:r>
      <w:r w:rsidRPr="00556C24">
        <w:rPr>
          <w:kern w:val="1"/>
          <w:sz w:val="22"/>
          <w:szCs w:val="22"/>
        </w:rPr>
        <w:t xml:space="preserve">opatrne kvôli zníženému metabolizmu </w:t>
      </w:r>
      <w:r>
        <w:rPr>
          <w:kern w:val="1"/>
          <w:sz w:val="22"/>
          <w:szCs w:val="22"/>
        </w:rPr>
        <w:t>pri prvom prechode</w:t>
      </w:r>
      <w:r w:rsidRPr="00556C24">
        <w:rPr>
          <w:kern w:val="1"/>
          <w:sz w:val="22"/>
          <w:szCs w:val="22"/>
        </w:rPr>
        <w:t xml:space="preserve"> pečeňou </w:t>
      </w:r>
      <w:r w:rsidRPr="00C416B3">
        <w:rPr>
          <w:kern w:val="1"/>
          <w:sz w:val="22"/>
          <w:szCs w:val="22"/>
        </w:rPr>
        <w:t>(pozri časť 4.4).</w:t>
      </w:r>
    </w:p>
    <w:p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F45263" w:rsidRDefault="005579C1">
      <w:pPr>
        <w:pStyle w:val="Bodytext"/>
        <w:spacing w:after="0" w:line="240" w:lineRule="auto"/>
        <w:ind w:left="0"/>
        <w:rPr>
          <w:iCs/>
          <w:kern w:val="1"/>
          <w:sz w:val="22"/>
          <w:szCs w:val="22"/>
          <w:u w:val="single"/>
        </w:rPr>
      </w:pPr>
      <w:r w:rsidRPr="00F45263">
        <w:rPr>
          <w:iCs/>
          <w:kern w:val="1"/>
          <w:sz w:val="22"/>
          <w:szCs w:val="22"/>
          <w:u w:val="single"/>
        </w:rPr>
        <w:t>Spôsob podávania</w:t>
      </w:r>
    </w:p>
    <w:p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Perorálne použitie. Orodispergovateľná tableta sa má položiť na jazyk. Tableta sa rozpustí a prehltne so slinami. Orodispergovateľné tablety nie je potrebné zapíjať.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4.3</w:t>
      </w:r>
      <w:r w:rsidRPr="00146269">
        <w:rPr>
          <w:rFonts w:ascii="Times New Roman" w:hAnsi="Times New Roman"/>
          <w:i w:val="0"/>
          <w:sz w:val="22"/>
          <w:szCs w:val="22"/>
        </w:rPr>
        <w:tab/>
        <w:t>Kontraindikácie</w:t>
      </w:r>
    </w:p>
    <w:p w:rsidR="005579C1" w:rsidRPr="00556C24" w:rsidRDefault="005579C1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Precitlivenosť</w:t>
      </w:r>
      <w:r w:rsidRPr="00556C24">
        <w:rPr>
          <w:sz w:val="22"/>
          <w:szCs w:val="22"/>
        </w:rPr>
        <w:t xml:space="preserve"> na </w:t>
      </w:r>
      <w:r>
        <w:rPr>
          <w:sz w:val="22"/>
          <w:szCs w:val="22"/>
        </w:rPr>
        <w:t xml:space="preserve">chlorid loperamídia </w:t>
      </w:r>
      <w:r w:rsidRPr="00556C24">
        <w:rPr>
          <w:sz w:val="22"/>
          <w:szCs w:val="22"/>
        </w:rPr>
        <w:t xml:space="preserve">alebo na ktorúkoľvek z pomocných látok </w:t>
      </w:r>
      <w:r>
        <w:rPr>
          <w:sz w:val="22"/>
          <w:szCs w:val="22"/>
        </w:rPr>
        <w:t>uvedených v časti 6.1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Imodium </w:t>
      </w:r>
      <w:r>
        <w:rPr>
          <w:sz w:val="22"/>
          <w:szCs w:val="22"/>
        </w:rPr>
        <w:t>Instant tablety</w:t>
      </w:r>
      <w:r w:rsidRPr="00556C24">
        <w:rPr>
          <w:sz w:val="22"/>
          <w:szCs w:val="22"/>
        </w:rPr>
        <w:t xml:space="preserve"> sa nemajú podávať deťom mladším ako 6 rokov.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CB2340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674F58" wp14:editId="085BA85B">
                <wp:simplePos x="0" y="0"/>
                <wp:positionH relativeFrom="column">
                  <wp:posOffset>4774565</wp:posOffset>
                </wp:positionH>
                <wp:positionV relativeFrom="paragraph">
                  <wp:posOffset>42545</wp:posOffset>
                </wp:positionV>
                <wp:extent cx="0" cy="0"/>
                <wp:effectExtent l="12065" t="13970" r="698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E8F10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95pt,3.35pt" to="375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8&#10;EmZS2QAAAAcBAAAPAAAAZHJzL2Rvd25yZXYueG1sTI5BT8JAEIXvJv6HzZh4IbIFI2jplBi1Ny6i&#10;xuvQHdrG7mzpLlD99ax60OOX9/Lely0H26oD975xgjAZJ6BYSmcaqRBeX4qrW1A+kBhqnTDCJ3tY&#10;5udnGaXGHeWZD+tQqTgiPiWEOoQu1dqXNVvyY9exxGzrekshYl9p09MxjttWT5Nkpi01Eh9q6vih&#10;5vJjvbcIvnjjXfE1KkfJ+3XleLp7XD0R4uXFcL8AFXgIf2X41o/qkEenjduL8apFmN9M7mIVYTYH&#10;FfNf3vywzjP93z8/AQAA//8DAFBLAQItABQABgAIAAAAIQC2gziS/gAAAOEBAAATAAAAAAAAAAAA&#10;AAAAAAAAAABbQ29udGVudF9UeXBlc10ueG1sUEsBAi0AFAAGAAgAAAAhADj9If/WAAAAlAEAAAsA&#10;AAAAAAAAAAAAAAAALwEAAF9yZWxzLy5yZWxzUEsBAi0AFAAGAAgAAAAhABA1f8wLAgAAIgQAAA4A&#10;AAAAAAAAAAAAAAAALgIAAGRycy9lMm9Eb2MueG1sUEsBAi0AFAAGAAgAAAAhAPwSZlLZAAAABwEA&#10;AA8AAAAAAAAAAAAAAAAAZQQAAGRycy9kb3ducmV2LnhtbFBLBQYAAAAABAAEAPMAAABrBQAAAAA=&#10;" o:allowincell="f"/>
            </w:pict>
          </mc:Fallback>
        </mc:AlternateContent>
      </w:r>
      <w:r w:rsidR="005579C1" w:rsidRPr="00556C24">
        <w:rPr>
          <w:sz w:val="22"/>
          <w:szCs w:val="22"/>
        </w:rPr>
        <w:t xml:space="preserve">Imodium </w:t>
      </w:r>
      <w:r w:rsidR="005579C1">
        <w:rPr>
          <w:sz w:val="22"/>
          <w:szCs w:val="22"/>
        </w:rPr>
        <w:t xml:space="preserve">Instant </w:t>
      </w:r>
      <w:r w:rsidR="005579C1" w:rsidRPr="00556C24">
        <w:rPr>
          <w:sz w:val="22"/>
          <w:szCs w:val="22"/>
        </w:rPr>
        <w:t>sa nemá používať na primárnu liečbu:</w:t>
      </w:r>
    </w:p>
    <w:p w:rsidR="005579C1" w:rsidRPr="00556C24" w:rsidRDefault="005579C1" w:rsidP="004B1E1B">
      <w:pPr>
        <w:pStyle w:val="Bodytext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556C24">
        <w:rPr>
          <w:sz w:val="22"/>
          <w:szCs w:val="22"/>
        </w:rPr>
        <w:t xml:space="preserve">pri akútnej </w:t>
      </w:r>
      <w:r>
        <w:rPr>
          <w:sz w:val="22"/>
          <w:szCs w:val="22"/>
        </w:rPr>
        <w:t>dyzentérii</w:t>
      </w:r>
      <w:r w:rsidRPr="00556C24">
        <w:rPr>
          <w:sz w:val="22"/>
          <w:szCs w:val="22"/>
        </w:rPr>
        <w:t>, ktorá je charakterizovaná prítomnosťou krvi v stolici alebo vysokými horúčkami</w:t>
      </w:r>
      <w:r>
        <w:rPr>
          <w:sz w:val="22"/>
          <w:szCs w:val="22"/>
        </w:rPr>
        <w:t>,</w:t>
      </w:r>
    </w:p>
    <w:p w:rsidR="005579C1" w:rsidRPr="00556C24" w:rsidRDefault="005579C1" w:rsidP="004B1E1B">
      <w:pPr>
        <w:pStyle w:val="Bodytext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556C24">
        <w:rPr>
          <w:sz w:val="22"/>
          <w:szCs w:val="22"/>
        </w:rPr>
        <w:t>u pacientov s akútnou ulceróznou kolitídou</w:t>
      </w:r>
      <w:r>
        <w:rPr>
          <w:sz w:val="22"/>
          <w:szCs w:val="22"/>
        </w:rPr>
        <w:t>,</w:t>
      </w:r>
    </w:p>
    <w:p w:rsidR="005579C1" w:rsidRPr="00556C24" w:rsidRDefault="005579C1" w:rsidP="004B1E1B">
      <w:pPr>
        <w:pStyle w:val="Bodytext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556C24">
        <w:rPr>
          <w:sz w:val="22"/>
          <w:szCs w:val="22"/>
        </w:rPr>
        <w:t>u pacientov s pseudomembranóznou kolitídou v súvislosti s podávaním širokospektrálnych antibiotík</w:t>
      </w:r>
      <w:r>
        <w:rPr>
          <w:sz w:val="22"/>
          <w:szCs w:val="22"/>
        </w:rPr>
        <w:t>,</w:t>
      </w:r>
    </w:p>
    <w:p w:rsidR="005579C1" w:rsidRPr="00556C24" w:rsidRDefault="005579C1" w:rsidP="004B1E1B">
      <w:pPr>
        <w:pStyle w:val="Bodytext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556C24">
        <w:rPr>
          <w:sz w:val="22"/>
          <w:szCs w:val="22"/>
        </w:rPr>
        <w:t xml:space="preserve">u pacientov s bakteriálnou enterokolitídou spôsobenou invazívnymi organizmami, ku ktorým patrí napr. </w:t>
      </w:r>
      <w:r w:rsidRPr="00713347">
        <w:rPr>
          <w:i/>
          <w:sz w:val="22"/>
          <w:szCs w:val="22"/>
        </w:rPr>
        <w:t>Salmonella, Shigella</w:t>
      </w:r>
      <w:r w:rsidRPr="00556C24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713347">
        <w:rPr>
          <w:i/>
          <w:sz w:val="22"/>
          <w:szCs w:val="22"/>
        </w:rPr>
        <w:t>Campylobacter</w:t>
      </w:r>
      <w:r>
        <w:rPr>
          <w:sz w:val="22"/>
          <w:szCs w:val="22"/>
        </w:rPr>
        <w:t>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Imodium</w:t>
      </w:r>
      <w:r>
        <w:rPr>
          <w:sz w:val="22"/>
          <w:szCs w:val="22"/>
        </w:rPr>
        <w:t xml:space="preserve"> Instant</w:t>
      </w:r>
      <w:r w:rsidRPr="00556C24">
        <w:rPr>
          <w:sz w:val="22"/>
          <w:szCs w:val="22"/>
        </w:rPr>
        <w:t xml:space="preserve"> </w:t>
      </w:r>
      <w:r>
        <w:rPr>
          <w:sz w:val="22"/>
          <w:szCs w:val="22"/>
        </w:rPr>
        <w:t>sa nemá</w:t>
      </w:r>
      <w:r w:rsidRPr="00556C24">
        <w:rPr>
          <w:sz w:val="22"/>
          <w:szCs w:val="22"/>
        </w:rPr>
        <w:t xml:space="preserve"> používať, ak by útlm peristaltiky mohol viesť k možnému riziku následkov, ku ktorým patrí ileus, megakol</w:t>
      </w:r>
      <w:r>
        <w:rPr>
          <w:sz w:val="22"/>
          <w:szCs w:val="22"/>
        </w:rPr>
        <w:t>ó</w:t>
      </w:r>
      <w:r w:rsidRPr="00556C24">
        <w:rPr>
          <w:sz w:val="22"/>
          <w:szCs w:val="22"/>
        </w:rPr>
        <w:t>n a toxický megakol</w:t>
      </w:r>
      <w:r>
        <w:rPr>
          <w:sz w:val="22"/>
          <w:szCs w:val="22"/>
        </w:rPr>
        <w:t>ó</w:t>
      </w:r>
      <w:r w:rsidRPr="00556C24">
        <w:rPr>
          <w:sz w:val="22"/>
          <w:szCs w:val="22"/>
        </w:rPr>
        <w:t>n.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Pri zápche, abdominálnej d</w:t>
      </w:r>
      <w:r>
        <w:rPr>
          <w:sz w:val="22"/>
          <w:szCs w:val="22"/>
        </w:rPr>
        <w:t>y</w:t>
      </w:r>
      <w:r w:rsidRPr="00556C24">
        <w:rPr>
          <w:sz w:val="22"/>
          <w:szCs w:val="22"/>
        </w:rPr>
        <w:t xml:space="preserve">stenzii alebo rozvoji ilea sa musí liečba liekom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>okamžite ukončiť.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4.4</w:t>
      </w:r>
      <w:r w:rsidRPr="00146269">
        <w:rPr>
          <w:rFonts w:ascii="Times New Roman" w:hAnsi="Times New Roman"/>
          <w:i w:val="0"/>
          <w:sz w:val="22"/>
          <w:szCs w:val="22"/>
        </w:rPr>
        <w:tab/>
        <w:t>Osobitné upozornenia a opatrenia pri používaní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L</w:t>
      </w:r>
      <w:r w:rsidRPr="00556C24">
        <w:rPr>
          <w:sz w:val="22"/>
          <w:szCs w:val="22"/>
        </w:rPr>
        <w:t xml:space="preserve">iečba hnačky liekom Imodium </w:t>
      </w:r>
      <w:r>
        <w:rPr>
          <w:sz w:val="22"/>
          <w:szCs w:val="22"/>
        </w:rPr>
        <w:t>Instant je iba symptomatická. Vždy, keď je možné diagnostikovať etiológiu, sa má v prípade potreby začať s príslušnou liečbou.</w:t>
      </w: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U pacientov s hnačkou, zvlášť u detí, sa môže vyskytnúť deplécia tekutín a elektrolytov. V týchto prípadoch je veľmi dôležité podávanie vhodných tekutín a náhrada elektrolytov. Imodium </w:t>
      </w:r>
      <w:r>
        <w:rPr>
          <w:sz w:val="22"/>
          <w:szCs w:val="22"/>
        </w:rPr>
        <w:t>Instant tablety</w:t>
      </w:r>
      <w:r w:rsidRPr="00556C24">
        <w:rPr>
          <w:sz w:val="22"/>
          <w:szCs w:val="22"/>
        </w:rPr>
        <w:t xml:space="preserve"> sa nemajú podávať deťom </w:t>
      </w:r>
      <w:r>
        <w:rPr>
          <w:sz w:val="22"/>
          <w:szCs w:val="22"/>
        </w:rPr>
        <w:t>mladším ako</w:t>
      </w:r>
      <w:r w:rsidRPr="00556C24">
        <w:rPr>
          <w:sz w:val="22"/>
          <w:szCs w:val="22"/>
        </w:rPr>
        <w:t xml:space="preserve"> 6</w:t>
      </w:r>
      <w:r>
        <w:rPr>
          <w:sz w:val="22"/>
          <w:szCs w:val="22"/>
        </w:rPr>
        <w:t xml:space="preserve"> rokov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Ak pri akútnej hnačke nenastane klinické zlepšenie počas 48 hodín, podávanie lieku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>treba ukončiť a pacientom odporučiť, aby sa poradili s lekárom.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U pacientov s AIDS, u ktorých je hnačka liečená liekom Imodium</w:t>
      </w:r>
      <w:r>
        <w:rPr>
          <w:sz w:val="22"/>
          <w:szCs w:val="22"/>
        </w:rPr>
        <w:t xml:space="preserve"> Instant</w:t>
      </w:r>
      <w:r w:rsidRPr="00556C24">
        <w:rPr>
          <w:sz w:val="22"/>
          <w:szCs w:val="22"/>
        </w:rPr>
        <w:t>, má byť liečba ukončená pri prvých príznakoch abdominálnej d</w:t>
      </w:r>
      <w:r>
        <w:rPr>
          <w:sz w:val="22"/>
          <w:szCs w:val="22"/>
        </w:rPr>
        <w:t>y</w:t>
      </w:r>
      <w:r w:rsidRPr="00556C24">
        <w:rPr>
          <w:sz w:val="22"/>
          <w:szCs w:val="22"/>
        </w:rPr>
        <w:t xml:space="preserve">stenzie. U pacientov s AIDS a infekčnou kolitídou spôsobenou </w:t>
      </w:r>
      <w:r w:rsidRPr="00556C24">
        <w:rPr>
          <w:sz w:val="22"/>
          <w:szCs w:val="22"/>
        </w:rPr>
        <w:lastRenderedPageBreak/>
        <w:t>vírusmi a bakteriálnymi patogénm</w:t>
      </w:r>
      <w:r>
        <w:rPr>
          <w:sz w:val="22"/>
          <w:szCs w:val="22"/>
        </w:rPr>
        <w:t>i, ktorí boli liečení chloridom loperamídia</w:t>
      </w:r>
      <w:r w:rsidRPr="00556C24">
        <w:rPr>
          <w:sz w:val="22"/>
          <w:szCs w:val="22"/>
        </w:rPr>
        <w:t>, sa vyskytli izolo</w:t>
      </w:r>
      <w:r>
        <w:rPr>
          <w:sz w:val="22"/>
          <w:szCs w:val="22"/>
        </w:rPr>
        <w:t>vané hlásenia zápchy so zvýšeným rizikom toxického megakoló</w:t>
      </w:r>
      <w:r w:rsidRPr="00556C24">
        <w:rPr>
          <w:sz w:val="22"/>
          <w:szCs w:val="22"/>
        </w:rPr>
        <w:t>nu.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Vzhľadom na to, že farmakokinetické údaje u pacientov s poškodením </w:t>
      </w:r>
      <w:r>
        <w:rPr>
          <w:sz w:val="22"/>
          <w:szCs w:val="22"/>
        </w:rPr>
        <w:t xml:space="preserve">funkcie </w:t>
      </w:r>
      <w:r w:rsidRPr="00556C24">
        <w:rPr>
          <w:sz w:val="22"/>
          <w:szCs w:val="22"/>
        </w:rPr>
        <w:t xml:space="preserve">pečene nie sú k dispozícii, je u týchto pacientov potrebné užívať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 xml:space="preserve">s opatrnosťou vzhľadom </w:t>
      </w:r>
      <w:r>
        <w:rPr>
          <w:sz w:val="22"/>
          <w:szCs w:val="22"/>
        </w:rPr>
        <w:t>na</w:t>
      </w:r>
      <w:r w:rsidRPr="00556C24">
        <w:rPr>
          <w:sz w:val="22"/>
          <w:szCs w:val="22"/>
        </w:rPr>
        <w:t xml:space="preserve"> znížen</w:t>
      </w:r>
      <w:r>
        <w:rPr>
          <w:sz w:val="22"/>
          <w:szCs w:val="22"/>
        </w:rPr>
        <w:t>ý</w:t>
      </w:r>
      <w:r w:rsidRPr="00556C24">
        <w:rPr>
          <w:sz w:val="22"/>
          <w:szCs w:val="22"/>
        </w:rPr>
        <w:t xml:space="preserve"> metabolizmu</w:t>
      </w:r>
      <w:r>
        <w:rPr>
          <w:sz w:val="22"/>
          <w:szCs w:val="22"/>
        </w:rPr>
        <w:t>s</w:t>
      </w:r>
      <w:r w:rsidRPr="00556C24">
        <w:rPr>
          <w:sz w:val="22"/>
          <w:szCs w:val="22"/>
        </w:rPr>
        <w:t xml:space="preserve"> </w:t>
      </w:r>
      <w:r>
        <w:rPr>
          <w:sz w:val="22"/>
          <w:szCs w:val="22"/>
        </w:rPr>
        <w:t>pri prvom prechode</w:t>
      </w:r>
      <w:r w:rsidRPr="00556C24">
        <w:rPr>
          <w:sz w:val="22"/>
          <w:szCs w:val="22"/>
        </w:rPr>
        <w:t xml:space="preserve"> pečeňou. </w:t>
      </w:r>
      <w:r>
        <w:rPr>
          <w:kern w:val="1"/>
          <w:sz w:val="22"/>
          <w:szCs w:val="22"/>
        </w:rPr>
        <w:t>Tento liek sa musí užívať s opatrnosťou u pacientov s poškodenou funkciou pečene vzhľadom na to, že môže dôjsť k relatívnemu predávkovaniu vedúcemu k intoxikácii CNS.</w:t>
      </w:r>
    </w:p>
    <w:p w:rsidR="009B3FD4" w:rsidRDefault="009B3FD4" w:rsidP="009B3FD4">
      <w:pPr>
        <w:pStyle w:val="Bodytext"/>
        <w:spacing w:after="0" w:line="240" w:lineRule="auto"/>
        <w:ind w:left="0"/>
        <w:rPr>
          <w:sz w:val="22"/>
        </w:rPr>
      </w:pPr>
    </w:p>
    <w:p w:rsidR="009B3FD4" w:rsidRPr="00AC2999" w:rsidRDefault="009B3FD4" w:rsidP="009B3FD4">
      <w:pPr>
        <w:pStyle w:val="Bodytext"/>
        <w:spacing w:after="0" w:line="240" w:lineRule="auto"/>
        <w:ind w:left="0"/>
        <w:rPr>
          <w:sz w:val="20"/>
          <w:szCs w:val="22"/>
        </w:rPr>
      </w:pPr>
      <w:r w:rsidRPr="00AC2999">
        <w:rPr>
          <w:sz w:val="22"/>
        </w:rPr>
        <w:t>V súvislosti s predávkovaním boli hlásené srdcové udalosti vrátane predĺženia intervalu QT a tzv. torsades de pointes. Niektoré prípady sa skončili smrťou (pozri časť 4.9). Pacienti nemajú prekročiť odporúčanú dávku a/ani odporúčané trvanie liečby.</w:t>
      </w: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Imodium Instant obsahuje aspartám.</w:t>
      </w: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4.5</w:t>
      </w:r>
      <w:r w:rsidRPr="00146269">
        <w:rPr>
          <w:rFonts w:ascii="Times New Roman" w:hAnsi="Times New Roman"/>
          <w:i w:val="0"/>
          <w:sz w:val="22"/>
          <w:szCs w:val="22"/>
        </w:rPr>
        <w:tab/>
        <w:t>Liekové a iné interakcie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 w:rsidP="00642CDE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Neklinické údaje preukázali, že loperamid je substrátom P-glykoproteínu.</w:t>
      </w:r>
    </w:p>
    <w:p w:rsidR="005579C1" w:rsidRDefault="005579C1" w:rsidP="00642CDE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</w:t>
      </w:r>
      <w:r w:rsidRPr="00556C24">
        <w:rPr>
          <w:sz w:val="22"/>
          <w:szCs w:val="22"/>
        </w:rPr>
        <w:t>účasné užívani</w:t>
      </w:r>
      <w:r>
        <w:rPr>
          <w:sz w:val="22"/>
          <w:szCs w:val="22"/>
        </w:rPr>
        <w:t>e</w:t>
      </w:r>
      <w:r w:rsidRPr="00556C24">
        <w:rPr>
          <w:sz w:val="22"/>
          <w:szCs w:val="22"/>
        </w:rPr>
        <w:t xml:space="preserve"> loperamidu (jedno</w:t>
      </w:r>
      <w:r>
        <w:rPr>
          <w:sz w:val="22"/>
          <w:szCs w:val="22"/>
        </w:rPr>
        <w:t>razov</w:t>
      </w:r>
      <w:r w:rsidR="00A24C82">
        <w:rPr>
          <w:sz w:val="22"/>
          <w:szCs w:val="22"/>
        </w:rPr>
        <w:t>e</w:t>
      </w:r>
      <w:r w:rsidRPr="00556C24">
        <w:rPr>
          <w:sz w:val="22"/>
          <w:szCs w:val="22"/>
        </w:rPr>
        <w:t>j dávk</w:t>
      </w:r>
      <w:r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 16 mg) s chinidínom alebo ritonavirom, ktoré patria k inhibítorom P-glykoproteínu</w:t>
      </w:r>
      <w:r>
        <w:rPr>
          <w:sz w:val="22"/>
          <w:szCs w:val="22"/>
        </w:rPr>
        <w:t>, vedie k</w:t>
      </w:r>
      <w:r w:rsidRPr="00556C24">
        <w:rPr>
          <w:sz w:val="22"/>
          <w:szCs w:val="22"/>
        </w:rPr>
        <w:t xml:space="preserve"> 2-3</w:t>
      </w:r>
      <w:r>
        <w:rPr>
          <w:sz w:val="22"/>
          <w:szCs w:val="22"/>
        </w:rPr>
        <w:t>-</w:t>
      </w:r>
      <w:r w:rsidRPr="00556C24">
        <w:rPr>
          <w:sz w:val="22"/>
          <w:szCs w:val="22"/>
        </w:rPr>
        <w:t xml:space="preserve"> násobné</w:t>
      </w:r>
      <w:r>
        <w:rPr>
          <w:sz w:val="22"/>
          <w:szCs w:val="22"/>
        </w:rPr>
        <w:t>mu</w:t>
      </w:r>
      <w:r w:rsidRPr="00556C24">
        <w:rPr>
          <w:sz w:val="22"/>
          <w:szCs w:val="22"/>
        </w:rPr>
        <w:t xml:space="preserve"> zvýšeni</w:t>
      </w:r>
      <w:r>
        <w:rPr>
          <w:sz w:val="22"/>
          <w:szCs w:val="22"/>
        </w:rPr>
        <w:t>u</w:t>
      </w:r>
      <w:r w:rsidRPr="00556C24">
        <w:rPr>
          <w:sz w:val="22"/>
          <w:szCs w:val="22"/>
        </w:rPr>
        <w:t xml:space="preserve"> </w:t>
      </w:r>
      <w:r>
        <w:rPr>
          <w:sz w:val="22"/>
          <w:szCs w:val="22"/>
        </w:rPr>
        <w:t>plazmatickej koncentrácie</w:t>
      </w:r>
      <w:r w:rsidRPr="00556C24">
        <w:rPr>
          <w:sz w:val="22"/>
          <w:szCs w:val="22"/>
        </w:rPr>
        <w:t xml:space="preserve"> loperamidu. Klinický význam </w:t>
      </w:r>
      <w:r>
        <w:rPr>
          <w:sz w:val="22"/>
          <w:szCs w:val="22"/>
        </w:rPr>
        <w:t>tejto</w:t>
      </w:r>
      <w:r w:rsidRPr="00556C24">
        <w:rPr>
          <w:sz w:val="22"/>
          <w:szCs w:val="22"/>
        </w:rPr>
        <w:t xml:space="preserve"> farmokokinetick</w:t>
      </w:r>
      <w:r>
        <w:rPr>
          <w:sz w:val="22"/>
          <w:szCs w:val="22"/>
        </w:rPr>
        <w:t>ej</w:t>
      </w:r>
      <w:r w:rsidRPr="00556C24">
        <w:rPr>
          <w:sz w:val="22"/>
          <w:szCs w:val="22"/>
        </w:rPr>
        <w:t xml:space="preserve"> interakci</w:t>
      </w:r>
      <w:r>
        <w:rPr>
          <w:sz w:val="22"/>
          <w:szCs w:val="22"/>
        </w:rPr>
        <w:t>e</w:t>
      </w:r>
      <w:r w:rsidRPr="00556C24">
        <w:rPr>
          <w:sz w:val="22"/>
          <w:szCs w:val="22"/>
        </w:rPr>
        <w:t xml:space="preserve"> s inhibítormi P-glykoproteínu pri odporúčanom dávkovaní</w:t>
      </w:r>
      <w:r>
        <w:rPr>
          <w:sz w:val="22"/>
          <w:szCs w:val="22"/>
        </w:rPr>
        <w:t xml:space="preserve"> loperamidu</w:t>
      </w:r>
      <w:r w:rsidRPr="00556C24">
        <w:rPr>
          <w:sz w:val="22"/>
          <w:szCs w:val="22"/>
        </w:rPr>
        <w:t xml:space="preserve"> nie je známy.</w:t>
      </w:r>
    </w:p>
    <w:p w:rsidR="005579C1" w:rsidRDefault="005579C1" w:rsidP="00642CDE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Súčasné užívanie loperamidu (jednorazová dávka 4 mg) a itrakonazolu, inhibítora CYP3A4 a P-glykoproteínu, vedie k troj- až štvornásobnému zvýšeniu plazmatickej koncentrácie loperamidu. Inhibítor CYP2C8 gemfibrozil zvyšuje v rovnakej štúdii loperamid približne dvojnásobne. Kombinácia itrakonazolu a gemfibrozilu spôsobuje štvornásobné zvýšenie maximálnych plazmatických koncentrácií loperamidu a 13-násobné zvýšenie celkovej plazmatickej expozície. Na základe meraní psychomotorickými testami (napr. testom subjektívnej ospalosti a testom Digit Symbol Substitution Test) tieto zvýšenia nesúviseli s účinkom na centrálny nervový systém (CNS).</w:t>
      </w: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9B544B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Súčasné užívanie loperamidu (jednorazová dávka 16 mg) a ketokonazolu, inhibítora CYP3A4 a P-glykproteínu, vedie k 5-násobnému zvýšeniu plazmatických koncentrácií loperamidu. Toto zvýšenie nesúviselo so zvýšeným farmakodynamickým účinkom meraným pupilometriou.</w:t>
      </w: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Súčasná liečba perorálnym desmopresínom viedla k 3-násobnému zvýšeniu plazmatických koncentrácií  desmopresínu, pravdepodobne vzhľadom ku zníženej gastrointestinálnej motilite.</w:t>
      </w: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Dá sa očakávať, že lieky s rovnakými farmakologickými vlastnosťami môžu zvyšovať účinok loperamidu a že lieky, ktoré urýchľujú gastrointestinálnu pasáž, môžu účinok znižovať.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4.6</w:t>
      </w:r>
      <w:r w:rsidRPr="00146269">
        <w:rPr>
          <w:rFonts w:ascii="Times New Roman" w:hAnsi="Times New Roman"/>
          <w:i w:val="0"/>
          <w:sz w:val="22"/>
          <w:szCs w:val="22"/>
        </w:rPr>
        <w:tab/>
        <w:t>Fertilita, gravidita a laktácia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713347" w:rsidRDefault="005579C1" w:rsidP="00A37FC7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713347">
        <w:rPr>
          <w:sz w:val="22"/>
          <w:szCs w:val="22"/>
          <w:u w:val="single"/>
        </w:rPr>
        <w:t>Gravidita</w:t>
      </w:r>
    </w:p>
    <w:p w:rsidR="005579C1" w:rsidRPr="00556C24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Užívanie tohto lieku počas tehotenstva sa neodporúča. Tehotným ženám je potrebné odporučiť konzultáciu s lekárom týkajúcu sa vhodnej liečby.</w:t>
      </w: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C31413" w:rsidRDefault="005579C1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713347">
        <w:rPr>
          <w:sz w:val="22"/>
          <w:szCs w:val="22"/>
          <w:u w:val="single"/>
        </w:rPr>
        <w:t>Laktácia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Malé množstvá loperamidu sa môžu objaviť v mlieku dojčiacich matiek užívajúcich Imodium</w:t>
      </w:r>
      <w:r>
        <w:rPr>
          <w:sz w:val="22"/>
          <w:szCs w:val="22"/>
        </w:rPr>
        <w:t xml:space="preserve"> Instant. P</w:t>
      </w:r>
      <w:r w:rsidRPr="00556C24">
        <w:rPr>
          <w:sz w:val="22"/>
          <w:szCs w:val="22"/>
        </w:rPr>
        <w:t xml:space="preserve">reto sa použitie lieku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>neodporúča dojčiacim ženám.</w:t>
      </w:r>
      <w:r>
        <w:rPr>
          <w:sz w:val="22"/>
          <w:szCs w:val="22"/>
        </w:rPr>
        <w:t xml:space="preserve"> Dojčiacim ženám je preto potrebné odporučiť konzultáciu s lekárom týkajúcu sa vhodnej liečby.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 w:rsidP="008516F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4.7</w:t>
      </w:r>
      <w:r w:rsidRPr="00146269">
        <w:rPr>
          <w:rFonts w:ascii="Times New Roman" w:hAnsi="Times New Roman"/>
          <w:i w:val="0"/>
          <w:sz w:val="22"/>
          <w:szCs w:val="22"/>
        </w:rPr>
        <w:tab/>
        <w:t>Ovplyvnenie schopnosti viesť vozidlá a obsluhovať stroje</w:t>
      </w:r>
    </w:p>
    <w:p w:rsidR="005579C1" w:rsidRPr="00556C24" w:rsidRDefault="005579C1" w:rsidP="008516F9">
      <w:pPr>
        <w:pStyle w:val="Bodytext"/>
        <w:keepNext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Pri liečbe príznakov hnačky liekom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>sa môže vyskytnúť únava, závraty alebo ospanlivosť. Preto sa pri vedení vozidiel a obsluhe strojov odporúča zvýšená</w:t>
      </w:r>
      <w:r>
        <w:rPr>
          <w:sz w:val="22"/>
          <w:szCs w:val="22"/>
        </w:rPr>
        <w:t>.</w:t>
      </w:r>
      <w:r w:rsidRPr="00556C24">
        <w:rPr>
          <w:sz w:val="22"/>
          <w:szCs w:val="22"/>
        </w:rPr>
        <w:t xml:space="preserve"> 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146269" w:rsidRDefault="005579C1" w:rsidP="005721E7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4.8</w:t>
      </w:r>
      <w:r w:rsidRPr="00146269">
        <w:rPr>
          <w:rFonts w:ascii="Times New Roman" w:hAnsi="Times New Roman"/>
          <w:i w:val="0"/>
          <w:sz w:val="22"/>
          <w:szCs w:val="22"/>
        </w:rPr>
        <w:tab/>
        <w:t>Nežiaduce účinky</w:t>
      </w: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  <w:r w:rsidRPr="000F2FF8">
        <w:rPr>
          <w:sz w:val="22"/>
          <w:szCs w:val="22"/>
        </w:rPr>
        <w:t>Dospelí a deti ≥ 12 rokov</w:t>
      </w: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  <w:r w:rsidRPr="000F2FF8">
        <w:rPr>
          <w:sz w:val="22"/>
          <w:szCs w:val="22"/>
        </w:rPr>
        <w:t>Bezpečnosť chloridu loperamidia bola hodnotená u 3076 dospelých a detí ≥ 12 rokov, ktorí sa zúčastnili 31 kontrolovaných a nekontrolovaných klinických štúdií s chloridom loperamidia pri liečbe hnačky. Z týchto sa 26 štúdií týkalo akútnej hnačky (N=2755) a 5 štúdií sa týkalo chronickej hnačky (N=321).</w:t>
      </w: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  <w:r w:rsidRPr="000F2FF8">
        <w:rPr>
          <w:sz w:val="22"/>
          <w:szCs w:val="22"/>
        </w:rPr>
        <w:t>Najčastejšie hlásené (t.j. s incidenciou ≥ 1 %) nežiaduce účinky v klinických štúdiách s chloridom loperamidia pri akútnej hnačke: zápcha (2,7 %), flatulencia (1,7 %), bolesti hlavy (1,2 %) a nauzea (1,1 %). V klinických štúdiách pri chronickej hnačke boli najčastejšie hlásené (t.j. s incidenciou ≥ 1 %) nežiaduce účinky: flatulencia (2,8 %), zápcha (2,2 %), nauzea (1,2 %) a závraty (1,2 %).</w:t>
      </w: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  <w:r w:rsidRPr="000F2FF8">
        <w:rPr>
          <w:sz w:val="22"/>
          <w:szCs w:val="22"/>
        </w:rPr>
        <w:t>Tabuľka 1 uvádza nežiaduce účinky hlásené pri užívaní chloridu loperamidia v klinických štúdiách (pri akútnej hnačke aj chronickej hnačke) alebo postmarketingovom sledovaní.</w:t>
      </w:r>
    </w:p>
    <w:p w:rsidR="005579C1" w:rsidRDefault="005579C1" w:rsidP="00146269">
      <w:pPr>
        <w:pStyle w:val="Zarkazkladnhotextu"/>
        <w:spacing w:line="240" w:lineRule="auto"/>
        <w:ind w:left="0"/>
        <w:rPr>
          <w:sz w:val="22"/>
          <w:szCs w:val="22"/>
          <w:u w:val="single"/>
        </w:rPr>
      </w:pPr>
    </w:p>
    <w:p w:rsidR="005579C1" w:rsidRDefault="005579C1" w:rsidP="00146269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Frekvencie výskytu sú zoradené podľa nasledujúcej konvenčnej klasifikácie: v</w:t>
      </w:r>
      <w:r w:rsidRPr="009B544B">
        <w:rPr>
          <w:sz w:val="22"/>
          <w:szCs w:val="22"/>
        </w:rPr>
        <w:t xml:space="preserve">eľmi časté </w:t>
      </w:r>
      <w:r>
        <w:rPr>
          <w:sz w:val="22"/>
          <w:szCs w:val="22"/>
        </w:rPr>
        <w:t>(</w:t>
      </w:r>
      <w:r w:rsidRPr="009B544B">
        <w:rPr>
          <w:sz w:val="22"/>
          <w:szCs w:val="22"/>
        </w:rPr>
        <w:sym w:font="Symbol" w:char="F0B3"/>
      </w:r>
      <w:r>
        <w:rPr>
          <w:sz w:val="22"/>
          <w:szCs w:val="22"/>
        </w:rPr>
        <w:t>1/10), č</w:t>
      </w:r>
      <w:r w:rsidRPr="009B544B">
        <w:rPr>
          <w:sz w:val="22"/>
          <w:szCs w:val="22"/>
        </w:rPr>
        <w:t>asté</w:t>
      </w:r>
      <w:r>
        <w:rPr>
          <w:sz w:val="22"/>
          <w:szCs w:val="22"/>
        </w:rPr>
        <w:t xml:space="preserve"> (</w:t>
      </w:r>
      <w:r w:rsidRPr="009B544B">
        <w:rPr>
          <w:sz w:val="22"/>
          <w:szCs w:val="22"/>
        </w:rPr>
        <w:sym w:font="Symbol" w:char="F0B3"/>
      </w:r>
      <w:r>
        <w:rPr>
          <w:sz w:val="22"/>
          <w:szCs w:val="22"/>
        </w:rPr>
        <w:t>1/100 až &lt; 1/10), m</w:t>
      </w:r>
      <w:r w:rsidRPr="009B544B">
        <w:rPr>
          <w:sz w:val="22"/>
          <w:szCs w:val="22"/>
        </w:rPr>
        <w:t>enej časté</w:t>
      </w:r>
      <w:r>
        <w:rPr>
          <w:sz w:val="22"/>
          <w:szCs w:val="22"/>
        </w:rPr>
        <w:t xml:space="preserve"> (</w:t>
      </w:r>
      <w:r w:rsidRPr="009B544B">
        <w:rPr>
          <w:sz w:val="22"/>
          <w:szCs w:val="22"/>
        </w:rPr>
        <w:sym w:font="Symbol" w:char="F0B3"/>
      </w:r>
      <w:r>
        <w:rPr>
          <w:sz w:val="22"/>
          <w:szCs w:val="22"/>
        </w:rPr>
        <w:t xml:space="preserve"> 1/1 000 až &lt; 1/100), z</w:t>
      </w:r>
      <w:r w:rsidRPr="009B544B">
        <w:rPr>
          <w:sz w:val="22"/>
          <w:szCs w:val="22"/>
        </w:rPr>
        <w:t>riedkavé</w:t>
      </w:r>
      <w:r>
        <w:rPr>
          <w:sz w:val="22"/>
          <w:szCs w:val="22"/>
        </w:rPr>
        <w:t xml:space="preserve"> (</w:t>
      </w:r>
      <w:r w:rsidRPr="009B544B">
        <w:rPr>
          <w:sz w:val="22"/>
          <w:szCs w:val="22"/>
        </w:rPr>
        <w:sym w:font="Symbol" w:char="F0B3"/>
      </w:r>
      <w:r>
        <w:rPr>
          <w:sz w:val="22"/>
          <w:szCs w:val="22"/>
        </w:rPr>
        <w:t>1/10 000 až &lt; 1/1 000), v</w:t>
      </w:r>
      <w:r w:rsidRPr="009B544B">
        <w:rPr>
          <w:sz w:val="22"/>
          <w:szCs w:val="22"/>
        </w:rPr>
        <w:t>eľmi zriedkavé</w:t>
      </w:r>
      <w:r>
        <w:rPr>
          <w:sz w:val="22"/>
          <w:szCs w:val="22"/>
        </w:rPr>
        <w:t xml:space="preserve"> (&lt;1/10 000).</w:t>
      </w:r>
    </w:p>
    <w:p w:rsidR="00146269" w:rsidRPr="008516F9" w:rsidRDefault="00146269" w:rsidP="00146269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 w:rsidP="00146269">
      <w:pPr>
        <w:pStyle w:val="Bodytext"/>
        <w:spacing w:after="0" w:line="240" w:lineRule="auto"/>
        <w:ind w:left="0"/>
        <w:rPr>
          <w:b/>
          <w:sz w:val="22"/>
          <w:szCs w:val="22"/>
        </w:rPr>
      </w:pPr>
      <w:r w:rsidRPr="000F2FF8">
        <w:rPr>
          <w:b/>
          <w:sz w:val="22"/>
          <w:szCs w:val="22"/>
        </w:rPr>
        <w:t>Tabuľka 1 Nežiaduce účinky</w:t>
      </w:r>
    </w:p>
    <w:p w:rsidR="009B3FD4" w:rsidRDefault="009B3FD4" w:rsidP="00146269">
      <w:pPr>
        <w:pStyle w:val="Bodytext"/>
        <w:spacing w:after="0" w:line="240" w:lineRule="auto"/>
        <w:ind w:left="0"/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1"/>
        <w:gridCol w:w="1103"/>
        <w:gridCol w:w="1137"/>
        <w:gridCol w:w="2686"/>
      </w:tblGrid>
      <w:tr w:rsidR="005579C1" w:rsidRPr="00146269" w:rsidTr="008516F9">
        <w:trPr>
          <w:trHeight w:val="469"/>
          <w:tblHeader/>
        </w:trPr>
        <w:tc>
          <w:tcPr>
            <w:tcW w:w="2284" w:type="pct"/>
            <w:vMerge w:val="restart"/>
            <w:vAlign w:val="center"/>
          </w:tcPr>
          <w:p w:rsidR="005579C1" w:rsidRPr="00146269" w:rsidRDefault="005579C1" w:rsidP="000F2FF8">
            <w:pPr>
              <w:pStyle w:val="TableText"/>
              <w:rPr>
                <w:b/>
                <w:bCs/>
                <w:lang w:val="cs-CZ"/>
              </w:rPr>
            </w:pPr>
            <w:r w:rsidRPr="00146269">
              <w:rPr>
                <w:b/>
                <w:bCs/>
                <w:lang w:val="cs-CZ"/>
              </w:rPr>
              <w:t>Trieda orgánových systémov</w:t>
            </w:r>
          </w:p>
        </w:tc>
        <w:tc>
          <w:tcPr>
            <w:tcW w:w="2716" w:type="pct"/>
            <w:gridSpan w:val="3"/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cs-CZ"/>
              </w:rPr>
            </w:pPr>
            <w:r w:rsidRPr="00146269">
              <w:rPr>
                <w:b/>
                <w:bCs/>
                <w:lang w:val="cs-CZ"/>
              </w:rPr>
              <w:t>Indikácie</w:t>
            </w:r>
          </w:p>
        </w:tc>
      </w:tr>
      <w:tr w:rsidR="005579C1" w:rsidRPr="00146269" w:rsidTr="008516F9">
        <w:trPr>
          <w:tblHeader/>
        </w:trPr>
        <w:tc>
          <w:tcPr>
            <w:tcW w:w="2284" w:type="pct"/>
            <w:vMerge/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608" w:type="pct"/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  <w:r w:rsidRPr="00146269">
              <w:rPr>
                <w:b/>
                <w:bCs/>
                <w:lang w:val="cs-CZ"/>
              </w:rPr>
              <w:t>Akútna hnačka</w:t>
            </w:r>
            <w:r w:rsidRPr="00146269">
              <w:rPr>
                <w:b/>
                <w:bCs/>
                <w:lang w:val="cs-CZ"/>
              </w:rPr>
              <w:br/>
            </w:r>
            <w:r w:rsidRPr="00146269">
              <w:rPr>
                <w:lang w:val="en-GB"/>
              </w:rPr>
              <w:t>(N=2755)</w:t>
            </w:r>
          </w:p>
        </w:tc>
        <w:tc>
          <w:tcPr>
            <w:tcW w:w="627" w:type="pct"/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  <w:r w:rsidRPr="00146269">
              <w:rPr>
                <w:b/>
                <w:bCs/>
                <w:lang w:val="en-GB"/>
              </w:rPr>
              <w:t>Chronická hnačka</w:t>
            </w:r>
            <w:r w:rsidRPr="00146269">
              <w:rPr>
                <w:b/>
                <w:bCs/>
                <w:lang w:val="en-GB"/>
              </w:rPr>
              <w:br/>
              <w:t>(</w:t>
            </w:r>
            <w:r w:rsidRPr="00146269">
              <w:rPr>
                <w:lang w:val="en-GB"/>
              </w:rPr>
              <w:t>N=321)</w:t>
            </w:r>
          </w:p>
        </w:tc>
        <w:tc>
          <w:tcPr>
            <w:tcW w:w="1481" w:type="pct"/>
            <w:vAlign w:val="center"/>
          </w:tcPr>
          <w:p w:rsidR="005579C1" w:rsidRPr="00146269" w:rsidRDefault="005579C1" w:rsidP="000F2FF8">
            <w:pPr>
              <w:pStyle w:val="TableText"/>
              <w:ind w:left="280" w:hanging="284"/>
              <w:jc w:val="center"/>
              <w:rPr>
                <w:b/>
                <w:bCs/>
                <w:lang w:val="en-GB"/>
              </w:rPr>
            </w:pPr>
            <w:r w:rsidRPr="00146269">
              <w:rPr>
                <w:b/>
                <w:bCs/>
                <w:lang w:val="en-GB"/>
              </w:rPr>
              <w:t>Akútna + chronická hnačka</w:t>
            </w:r>
          </w:p>
          <w:p w:rsidR="005579C1" w:rsidRPr="00146269" w:rsidRDefault="005579C1" w:rsidP="000F2FF8">
            <w:pPr>
              <w:pStyle w:val="TableText"/>
              <w:ind w:left="138" w:firstLine="146"/>
              <w:jc w:val="center"/>
              <w:rPr>
                <w:b/>
                <w:bCs/>
                <w:lang w:val="en-GB"/>
              </w:rPr>
            </w:pPr>
            <w:r w:rsidRPr="00146269">
              <w:rPr>
                <w:b/>
                <w:bCs/>
                <w:lang w:val="en-GB"/>
              </w:rPr>
              <w:t xml:space="preserve">a </w:t>
            </w:r>
          </w:p>
          <w:p w:rsidR="005579C1" w:rsidRPr="00146269" w:rsidRDefault="005579C1" w:rsidP="000F2FF8">
            <w:pPr>
              <w:pStyle w:val="TableText"/>
              <w:ind w:left="138" w:firstLine="146"/>
              <w:jc w:val="center"/>
              <w:rPr>
                <w:b/>
                <w:bCs/>
                <w:lang w:val="en-GB"/>
              </w:rPr>
            </w:pPr>
            <w:r w:rsidRPr="00146269">
              <w:rPr>
                <w:b/>
                <w:bCs/>
                <w:lang w:val="en-GB"/>
              </w:rPr>
              <w:t>postmarketingové sledovanie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ind w:left="568" w:hanging="573"/>
              <w:jc w:val="both"/>
              <w:rPr>
                <w:b/>
                <w:bCs/>
                <w:lang w:val="en-GB"/>
              </w:rPr>
            </w:pPr>
            <w:r w:rsidRPr="005721E7">
              <w:rPr>
                <w:b/>
              </w:rPr>
              <w:t>Poruchy imunitného systému</w:t>
            </w:r>
          </w:p>
        </w:tc>
        <w:tc>
          <w:tcPr>
            <w:tcW w:w="608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jc w:val="center"/>
              <w:rPr>
                <w:bCs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137"/>
        </w:trPr>
        <w:tc>
          <w:tcPr>
            <w:tcW w:w="2284" w:type="pct"/>
            <w:tcBorders>
              <w:top w:val="nil"/>
            </w:tcBorders>
          </w:tcPr>
          <w:p w:rsidR="005579C1" w:rsidRPr="00146269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146269">
              <w:rPr>
                <w:sz w:val="22"/>
                <w:szCs w:val="22"/>
                <w:lang w:val="cs-CZ" w:eastAsia="cs-CZ"/>
              </w:rPr>
              <w:t>precitlivenosť</w:t>
            </w:r>
            <w:r w:rsidRPr="00146269">
              <w:rPr>
                <w:sz w:val="22"/>
                <w:szCs w:val="22"/>
                <w:vertAlign w:val="superscript"/>
                <w:lang w:val="cs-CZ" w:eastAsia="cs-CZ"/>
              </w:rPr>
              <w:t>a</w:t>
            </w:r>
            <w:r w:rsidRPr="00146269">
              <w:rPr>
                <w:sz w:val="22"/>
                <w:szCs w:val="22"/>
                <w:lang w:val="cs-CZ" w:eastAsia="cs-CZ"/>
              </w:rPr>
              <w:t>,</w:t>
            </w:r>
          </w:p>
          <w:p w:rsidR="005579C1" w:rsidRPr="00146269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146269">
              <w:rPr>
                <w:sz w:val="22"/>
                <w:szCs w:val="22"/>
              </w:rPr>
              <w:t>anafylaktická reakcia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  <w:r w:rsidRPr="00146269">
              <w:rPr>
                <w:sz w:val="22"/>
                <w:szCs w:val="22"/>
              </w:rPr>
              <w:t xml:space="preserve"> </w:t>
            </w:r>
          </w:p>
          <w:p w:rsidR="005579C1" w:rsidRPr="00146269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146269">
              <w:rPr>
                <w:sz w:val="22"/>
                <w:szCs w:val="22"/>
              </w:rPr>
              <w:t xml:space="preserve">(vrátane anafylaktického šoku) </w:t>
            </w:r>
            <w:r w:rsidRPr="00146269">
              <w:rPr>
                <w:sz w:val="22"/>
                <w:szCs w:val="22"/>
              </w:rPr>
              <w:br/>
              <w:t>a anafylaktoidná reakcia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</w:p>
          <w:p w:rsidR="005579C1" w:rsidRPr="00146269" w:rsidRDefault="005579C1" w:rsidP="000F2FF8">
            <w:pPr>
              <w:pStyle w:val="TableText"/>
              <w:ind w:left="720"/>
              <w:rPr>
                <w:b/>
                <w:bCs/>
                <w:lang w:val="cs-CZ"/>
              </w:rPr>
            </w:pPr>
          </w:p>
        </w:tc>
        <w:tc>
          <w:tcPr>
            <w:tcW w:w="608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Cs/>
                <w:lang w:val="cs-CZ"/>
              </w:rPr>
            </w:pPr>
          </w:p>
        </w:tc>
        <w:tc>
          <w:tcPr>
            <w:tcW w:w="627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  <w:r w:rsidRPr="00146269">
              <w:rPr>
                <w:bCs/>
                <w:lang w:val="cs-CZ"/>
              </w:rPr>
              <w:t>zriedkavé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rPr>
                <w:b/>
                <w:bCs/>
                <w:lang w:val="en-GB"/>
              </w:rPr>
            </w:pPr>
            <w:r w:rsidRPr="00146269">
              <w:rPr>
                <w:b/>
              </w:rPr>
              <w:t>Poruchy nervového systému</w:t>
            </w:r>
          </w:p>
        </w:tc>
        <w:tc>
          <w:tcPr>
            <w:tcW w:w="608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5721E7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  <w:lang w:val="en-GB"/>
              </w:rPr>
            </w:pPr>
            <w:r w:rsidRPr="005721E7">
              <w:rPr>
                <w:sz w:val="22"/>
                <w:szCs w:val="22"/>
                <w:lang w:val="en-GB"/>
              </w:rPr>
              <w:t xml:space="preserve">bolesti hlavy </w:t>
            </w:r>
          </w:p>
          <w:p w:rsidR="005579C1" w:rsidRPr="005721E7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5721E7">
              <w:rPr>
                <w:sz w:val="22"/>
                <w:szCs w:val="22"/>
              </w:rPr>
              <w:t>závraty</w:t>
            </w:r>
          </w:p>
          <w:p w:rsidR="005579C1" w:rsidRPr="005721E7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  <w:vertAlign w:val="superscript"/>
              </w:rPr>
            </w:pPr>
            <w:r w:rsidRPr="005721E7">
              <w:rPr>
                <w:sz w:val="22"/>
                <w:szCs w:val="22"/>
              </w:rPr>
              <w:t>somnolencia</w:t>
            </w:r>
            <w:r w:rsidRPr="005721E7">
              <w:rPr>
                <w:sz w:val="22"/>
                <w:szCs w:val="22"/>
                <w:vertAlign w:val="superscript"/>
              </w:rPr>
              <w:t>a</w:t>
            </w:r>
          </w:p>
          <w:p w:rsidR="005579C1" w:rsidRPr="00146269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5721E7">
              <w:rPr>
                <w:sz w:val="22"/>
                <w:szCs w:val="22"/>
              </w:rPr>
              <w:t>strata vedomia</w:t>
            </w:r>
            <w:r w:rsidRPr="005721E7">
              <w:rPr>
                <w:sz w:val="22"/>
                <w:szCs w:val="22"/>
                <w:vertAlign w:val="superscript"/>
              </w:rPr>
              <w:t>a</w:t>
            </w:r>
            <w:r w:rsidRPr="005721E7">
              <w:rPr>
                <w:sz w:val="22"/>
                <w:szCs w:val="22"/>
              </w:rPr>
              <w:t>, s</w:t>
            </w:r>
            <w:r w:rsidRPr="00146269">
              <w:rPr>
                <w:sz w:val="22"/>
                <w:szCs w:val="22"/>
              </w:rPr>
              <w:t>tupor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  <w:r w:rsidRPr="00146269">
              <w:rPr>
                <w:sz w:val="22"/>
                <w:szCs w:val="22"/>
              </w:rPr>
              <w:t xml:space="preserve">, </w:t>
            </w:r>
          </w:p>
          <w:p w:rsidR="005579C1" w:rsidRPr="00146269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146269">
              <w:rPr>
                <w:sz w:val="22"/>
                <w:szCs w:val="22"/>
              </w:rPr>
              <w:t>znížená úroveň vedomia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  <w:r w:rsidRPr="00146269">
              <w:rPr>
                <w:sz w:val="22"/>
                <w:szCs w:val="22"/>
              </w:rPr>
              <w:t>, hypertónia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  <w:r w:rsidRPr="00146269">
              <w:rPr>
                <w:sz w:val="22"/>
                <w:szCs w:val="22"/>
              </w:rPr>
              <w:t>, poruchy koordinácie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</w:p>
          <w:p w:rsidR="005579C1" w:rsidRPr="00146269" w:rsidRDefault="005579C1" w:rsidP="000F2FF8">
            <w:pPr>
              <w:pStyle w:val="TableText"/>
              <w:ind w:left="720"/>
              <w:rPr>
                <w:bCs/>
                <w:lang w:val="cs-CZ"/>
              </w:rPr>
            </w:pPr>
          </w:p>
        </w:tc>
        <w:tc>
          <w:tcPr>
            <w:tcW w:w="608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bCs/>
                <w:lang w:val="en-GB"/>
              </w:rPr>
              <w:t>časté</w:t>
            </w:r>
            <w:r w:rsidRPr="00146269">
              <w:rPr>
                <w:lang w:val="en-GB"/>
              </w:rPr>
              <w:t xml:space="preserve">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bCs/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</w:tc>
        <w:tc>
          <w:tcPr>
            <w:tcW w:w="627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Cs/>
                <w:lang w:val="en-GB"/>
              </w:rPr>
            </w:pPr>
            <w:r w:rsidRPr="00146269">
              <w:rPr>
                <w:bCs/>
                <w:lang w:val="en-GB"/>
              </w:rPr>
              <w:t>menej časté</w:t>
            </w:r>
            <w:r w:rsidRPr="00146269">
              <w:rPr>
                <w:lang w:val="en-GB"/>
              </w:rPr>
              <w:t xml:space="preserve"> časté</w:t>
            </w:r>
          </w:p>
        </w:tc>
        <w:tc>
          <w:tcPr>
            <w:tcW w:w="1481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Cs/>
                <w:lang w:val="en-GB"/>
              </w:rPr>
            </w:pPr>
            <w:r w:rsidRPr="00146269">
              <w:rPr>
                <w:bCs/>
                <w:lang w:val="en-GB"/>
              </w:rPr>
              <w:t xml:space="preserve">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bCs/>
                <w:lang w:val="en-GB"/>
              </w:rPr>
              <w:t>časté</w:t>
            </w:r>
            <w:r w:rsidRPr="00146269">
              <w:rPr>
                <w:lang w:val="en-GB"/>
              </w:rPr>
              <w:t xml:space="preserve">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menej 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bCs/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both"/>
              <w:rPr>
                <w:lang w:val="en-GB"/>
              </w:rPr>
            </w:pPr>
            <w:r w:rsidRPr="005721E7">
              <w:rPr>
                <w:b/>
              </w:rPr>
              <w:lastRenderedPageBreak/>
              <w:t>Poruchy oka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jc w:val="both"/>
              <w:rPr>
                <w:lang w:val="en-GB"/>
              </w:rPr>
            </w:pPr>
            <w:r w:rsidRPr="00146269">
              <w:rPr>
                <w:lang w:val="en-GB"/>
              </w:rPr>
              <w:t>mióza</w:t>
            </w:r>
            <w:r w:rsidRPr="00146269">
              <w:rPr>
                <w:vertAlign w:val="superscript"/>
                <w:lang w:val="en-GB"/>
              </w:rPr>
              <w:t>a</w:t>
            </w: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8516F9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jc w:val="both"/>
              <w:rPr>
                <w:lang w:val="en-GB"/>
              </w:rPr>
            </w:pPr>
          </w:p>
        </w:tc>
        <w:tc>
          <w:tcPr>
            <w:tcW w:w="608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both"/>
              <w:rPr>
                <w:lang w:val="en-GB"/>
              </w:rPr>
            </w:pPr>
            <w:r w:rsidRPr="00146269">
              <w:rPr>
                <w:b/>
                <w:bCs/>
                <w:lang w:val="en-GB"/>
              </w:rPr>
              <w:t xml:space="preserve">Poruchy gastrointestinálneho traktu 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425"/>
        </w:trPr>
        <w:tc>
          <w:tcPr>
            <w:tcW w:w="2284" w:type="pct"/>
            <w:tcBorders>
              <w:top w:val="nil"/>
              <w:bottom w:val="nil"/>
            </w:tcBorders>
          </w:tcPr>
          <w:p w:rsidR="005579C1" w:rsidRPr="009B3FD4" w:rsidRDefault="005579C1" w:rsidP="000F2FF8">
            <w:pPr>
              <w:pStyle w:val="TableText"/>
              <w:ind w:left="720"/>
              <w:rPr>
                <w:lang w:val="en-GB"/>
              </w:rPr>
            </w:pPr>
            <w:r w:rsidRPr="00146269">
              <w:rPr>
                <w:lang w:val="en-GB"/>
              </w:rPr>
              <w:t>zápcha, nau</w:t>
            </w:r>
            <w:r w:rsidRPr="009B3FD4">
              <w:rPr>
                <w:lang w:val="en-GB"/>
              </w:rPr>
              <w:t xml:space="preserve">zea, flatulencia </w:t>
            </w:r>
          </w:p>
          <w:p w:rsidR="005579C1" w:rsidRPr="00146269" w:rsidRDefault="005579C1" w:rsidP="000F2FF8">
            <w:pPr>
              <w:pStyle w:val="TableText"/>
              <w:ind w:left="720"/>
              <w:rPr>
                <w:lang w:val="en-GB"/>
              </w:rPr>
            </w:pPr>
            <w:r w:rsidRPr="00146269">
              <w:rPr>
                <w:lang w:val="en-GB"/>
              </w:rPr>
              <w:t>abdominálna bolesť, abdominálny dyskomfort, sucho v ústach</w:t>
            </w: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menej 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časté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 menej časté</w:t>
            </w: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rPr>
                <w:b/>
                <w:bCs/>
                <w:lang w:val="en-GB"/>
              </w:rPr>
            </w:pPr>
            <w:r w:rsidRPr="00146269">
              <w:rPr>
                <w:lang w:val="en-GB"/>
              </w:rPr>
              <w:t>bolesť v nadbrušku, vracanie dyspepsia</w:t>
            </w: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menej 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:rsidR="005579C1" w:rsidRPr="00146269" w:rsidRDefault="005579C1" w:rsidP="000F2FF8">
            <w:pPr>
              <w:pStyle w:val="TableText"/>
              <w:ind w:left="720"/>
            </w:pPr>
            <w:r w:rsidRPr="00146269">
              <w:rPr>
                <w:lang w:val="en-GB"/>
              </w:rPr>
              <w:t>ileus</w:t>
            </w:r>
            <w:r w:rsidRPr="00146269">
              <w:rPr>
                <w:vertAlign w:val="superscript"/>
                <w:lang w:val="en-GB"/>
              </w:rPr>
              <w:t>a</w:t>
            </w:r>
            <w:r w:rsidRPr="00146269">
              <w:rPr>
                <w:lang w:val="en-GB"/>
              </w:rPr>
              <w:t xml:space="preserve"> (vrátane</w:t>
            </w:r>
            <w:r w:rsidRPr="009B3FD4">
              <w:rPr>
                <w:lang w:val="en-GB"/>
              </w:rPr>
              <w:t xml:space="preserve"> paralytického ilea), </w:t>
            </w:r>
            <w:r w:rsidRPr="00146269">
              <w:rPr>
                <w:lang w:val="en-GB"/>
              </w:rPr>
              <w:t>megakolón</w:t>
            </w:r>
            <w:r w:rsidRPr="00146269">
              <w:rPr>
                <w:vertAlign w:val="superscript"/>
                <w:lang w:val="en-GB"/>
              </w:rPr>
              <w:t>a</w:t>
            </w:r>
            <w:r w:rsidRPr="00146269">
              <w:rPr>
                <w:lang w:val="en-GB"/>
              </w:rPr>
              <w:t xml:space="preserve"> (vrátane toxického megakolónu</w:t>
            </w:r>
            <w:r w:rsidRPr="00146269">
              <w:rPr>
                <w:vertAlign w:val="superscript"/>
                <w:lang w:val="en-GB"/>
              </w:rPr>
              <w:t>b</w:t>
            </w:r>
            <w:r w:rsidRPr="00146269">
              <w:t>)</w:t>
            </w:r>
          </w:p>
          <w:p w:rsidR="005579C1" w:rsidRPr="00146269" w:rsidRDefault="005579C1" w:rsidP="000F2FF8">
            <w:pPr>
              <w:pStyle w:val="TableText"/>
              <w:ind w:left="720"/>
              <w:rPr>
                <w:b/>
                <w:bCs/>
                <w:lang w:val="en-GB"/>
              </w:rPr>
            </w:pPr>
            <w:r w:rsidRPr="00146269">
              <w:rPr>
                <w:lang w:val="en-GB"/>
              </w:rPr>
              <w:t>abdominálna dystenzia</w:t>
            </w: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rPr>
                <w:lang w:val="en-GB"/>
              </w:rPr>
            </w:pP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rPr>
                <w:b/>
                <w:bCs/>
                <w:lang w:val="en-GB"/>
              </w:rPr>
            </w:pPr>
            <w:r w:rsidRPr="005721E7">
              <w:rPr>
                <w:b/>
              </w:rPr>
              <w:t>Poruchy kože a podkožného tkaniva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146269" w:rsidRDefault="00A24C82" w:rsidP="000F2FF8">
            <w:pPr>
              <w:pStyle w:val="TableText"/>
              <w:ind w:left="720"/>
              <w:rPr>
                <w:lang w:val="en-GB"/>
              </w:rPr>
            </w:pPr>
            <w:r w:rsidRPr="00146269">
              <w:rPr>
                <w:lang w:val="en-GB"/>
              </w:rPr>
              <w:t>v</w:t>
            </w:r>
            <w:r w:rsidR="005579C1" w:rsidRPr="00146269">
              <w:rPr>
                <w:lang w:val="en-GB"/>
              </w:rPr>
              <w:t>yrážka</w:t>
            </w:r>
          </w:p>
          <w:p w:rsidR="005579C1" w:rsidRPr="00146269" w:rsidRDefault="005579C1" w:rsidP="000F2FF8">
            <w:pPr>
              <w:pStyle w:val="TableText"/>
              <w:ind w:left="720"/>
              <w:rPr>
                <w:b/>
                <w:bCs/>
                <w:lang w:val="en-GB"/>
              </w:rPr>
            </w:pPr>
          </w:p>
        </w:tc>
        <w:tc>
          <w:tcPr>
            <w:tcW w:w="608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rPr>
                <w:lang w:val="en-GB"/>
              </w:rPr>
            </w:pPr>
            <w:r w:rsidRPr="005721E7">
              <w:rPr>
                <w:b/>
              </w:rPr>
              <w:t>Poruchy kože a podkožného tkaniva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rPr>
                <w:vertAlign w:val="superscript"/>
                <w:lang w:val="en-GB"/>
              </w:rPr>
            </w:pPr>
            <w:r w:rsidRPr="00146269">
              <w:rPr>
                <w:lang w:val="en-GB"/>
              </w:rPr>
              <w:t>bulózne erupcie</w:t>
            </w:r>
            <w:r w:rsidRPr="009B3FD4">
              <w:rPr>
                <w:vertAlign w:val="superscript"/>
                <w:lang w:val="en-GB"/>
              </w:rPr>
              <w:t>a</w:t>
            </w:r>
            <w:r w:rsidRPr="009B3FD4">
              <w:rPr>
                <w:lang w:val="en-GB"/>
              </w:rPr>
              <w:t xml:space="preserve"> (</w:t>
            </w:r>
            <w:r w:rsidRPr="009B3FD4">
              <w:rPr>
                <w:lang w:val="cs-CZ"/>
              </w:rPr>
              <w:t>vrátane Stevensovho-Johnsonovho syndrómu</w:t>
            </w:r>
            <w:r w:rsidRPr="00146269">
              <w:rPr>
                <w:lang w:val="cs-CZ"/>
              </w:rPr>
              <w:t>, toxickej</w:t>
            </w:r>
            <w:r w:rsidR="00A24C82">
              <w:rPr>
                <w:lang w:val="cs-CZ"/>
              </w:rPr>
              <w:t xml:space="preserve"> </w:t>
            </w:r>
            <w:r w:rsidRPr="00146269">
              <w:rPr>
                <w:lang w:val="cs-CZ"/>
              </w:rPr>
              <w:t>epidermálnej nekrolýzy a multiformného erytému</w:t>
            </w:r>
            <w:r w:rsidRPr="00146269">
              <w:rPr>
                <w:lang w:val="en-GB"/>
              </w:rPr>
              <w:t>), angioedém</w:t>
            </w:r>
            <w:r w:rsidRPr="00146269">
              <w:rPr>
                <w:vertAlign w:val="superscript"/>
                <w:lang w:val="en-GB"/>
              </w:rPr>
              <w:t>a</w:t>
            </w:r>
            <w:r w:rsidRPr="00146269">
              <w:rPr>
                <w:lang w:val="en-GB"/>
              </w:rPr>
              <w:t>, žihľavka</w:t>
            </w:r>
            <w:r w:rsidRPr="00146269">
              <w:rPr>
                <w:vertAlign w:val="superscript"/>
                <w:lang w:val="en-GB"/>
              </w:rPr>
              <w:t>a</w:t>
            </w:r>
            <w:r w:rsidRPr="00146269">
              <w:rPr>
                <w:lang w:val="en-GB"/>
              </w:rPr>
              <w:t>, pruritus</w:t>
            </w:r>
            <w:r w:rsidRPr="00146269">
              <w:rPr>
                <w:vertAlign w:val="superscript"/>
                <w:lang w:val="en-GB"/>
              </w:rPr>
              <w:t>a</w:t>
            </w:r>
          </w:p>
          <w:p w:rsidR="005579C1" w:rsidRPr="00146269" w:rsidRDefault="005579C1" w:rsidP="000F2FF8">
            <w:pPr>
              <w:pStyle w:val="TableText"/>
              <w:ind w:left="720"/>
              <w:rPr>
                <w:lang w:val="en-GB"/>
              </w:rPr>
            </w:pPr>
          </w:p>
        </w:tc>
        <w:tc>
          <w:tcPr>
            <w:tcW w:w="608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5721E7" w:rsidRDefault="005579C1" w:rsidP="000F2FF8">
            <w:pPr>
              <w:pStyle w:val="Zkladntext"/>
              <w:spacing w:after="0"/>
              <w:rPr>
                <w:i/>
                <w:sz w:val="22"/>
                <w:szCs w:val="22"/>
              </w:rPr>
            </w:pPr>
            <w:r w:rsidRPr="005721E7">
              <w:rPr>
                <w:b/>
                <w:sz w:val="22"/>
                <w:szCs w:val="22"/>
              </w:rPr>
              <w:t>Poruchy obličiek a močových ciest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highlight w:val="yellow"/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jc w:val="both"/>
              <w:rPr>
                <w:vertAlign w:val="superscript"/>
                <w:lang w:val="en-GB"/>
              </w:rPr>
            </w:pPr>
            <w:r w:rsidRPr="00146269">
              <w:rPr>
                <w:lang w:val="en-GB"/>
              </w:rPr>
              <w:t>retencia moču</w:t>
            </w:r>
            <w:r w:rsidRPr="00146269">
              <w:rPr>
                <w:vertAlign w:val="superscript"/>
                <w:lang w:val="en-GB"/>
              </w:rPr>
              <w:t>a</w:t>
            </w:r>
          </w:p>
          <w:p w:rsidR="005579C1" w:rsidRPr="00146269" w:rsidRDefault="005579C1" w:rsidP="000F2FF8">
            <w:pPr>
              <w:pStyle w:val="TableText"/>
              <w:ind w:left="72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608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keepLines/>
              <w:rPr>
                <w:b/>
                <w:bCs/>
                <w:lang w:val="en-GB"/>
              </w:rPr>
            </w:pPr>
            <w:r w:rsidRPr="005721E7">
              <w:rPr>
                <w:b/>
              </w:rPr>
              <w:t>Celkové poruchy a reakcie v mieste podania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keepLines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keepLines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146269" w:rsidRDefault="005579C1" w:rsidP="008516F9">
            <w:pPr>
              <w:pStyle w:val="TableText"/>
              <w:keepLines/>
              <w:ind w:left="720" w:hanging="6"/>
              <w:jc w:val="both"/>
              <w:rPr>
                <w:vertAlign w:val="superscript"/>
                <w:lang w:val="en-GB"/>
              </w:rPr>
            </w:pPr>
            <w:r w:rsidRPr="00146269">
              <w:rPr>
                <w:lang w:val="en-GB"/>
              </w:rPr>
              <w:t>únava</w:t>
            </w:r>
            <w:r w:rsidRPr="00146269">
              <w:rPr>
                <w:vertAlign w:val="superscript"/>
                <w:lang w:val="en-GB"/>
              </w:rPr>
              <w:t>a</w:t>
            </w:r>
          </w:p>
          <w:p w:rsidR="005579C1" w:rsidRPr="00146269" w:rsidRDefault="005579C1" w:rsidP="000F2FF8">
            <w:pPr>
              <w:pStyle w:val="TableText"/>
              <w:keepLines/>
              <w:ind w:left="720" w:hanging="284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608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keepLines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keepLines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576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:rsidR="005579C1" w:rsidRPr="008516F9" w:rsidRDefault="005579C1" w:rsidP="000F2FF8">
            <w:pPr>
              <w:pStyle w:val="TableText"/>
              <w:jc w:val="both"/>
              <w:rPr>
                <w:lang w:val="sk-SK"/>
              </w:rPr>
            </w:pPr>
            <w:r w:rsidRPr="008516F9">
              <w:rPr>
                <w:lang w:val="sk-SK"/>
              </w:rPr>
              <w:t xml:space="preserve">a: Tento údaj je založený na postmarketingovém hlásení u chloridu loperamidia. Údaje </w:t>
            </w:r>
          </w:p>
          <w:p w:rsidR="005579C1" w:rsidRPr="008516F9" w:rsidRDefault="005579C1" w:rsidP="000F2FF8">
            <w:pPr>
              <w:pStyle w:val="TableText"/>
              <w:jc w:val="both"/>
              <w:rPr>
                <w:lang w:val="sk-SK"/>
              </w:rPr>
            </w:pPr>
            <w:r w:rsidRPr="008516F9">
              <w:rPr>
                <w:lang w:val="sk-SK"/>
              </w:rPr>
              <w:t>v postmarketingovom hlásení nerozlišovali me</w:t>
            </w:r>
            <w:r w:rsidR="00A24C82">
              <w:rPr>
                <w:lang w:val="sk-SK"/>
              </w:rPr>
              <w:t>d</w:t>
            </w:r>
            <w:r w:rsidRPr="008516F9">
              <w:rPr>
                <w:lang w:val="sk-SK"/>
              </w:rPr>
              <w:t>zi chronickými a akútnymi indikáciami alebo dospelými a deťmi, preto bola frekvencia odhadnutá na základe všetkých klinických štúdií s chloridom loperamidia, vrátane štúdií s deťmi ≤12 rokov (N=3683).</w:t>
            </w:r>
          </w:p>
          <w:p w:rsidR="005579C1" w:rsidRPr="008516F9" w:rsidRDefault="005579C1" w:rsidP="000F2FF8">
            <w:pPr>
              <w:pStyle w:val="TableText"/>
              <w:jc w:val="both"/>
              <w:rPr>
                <w:lang w:val="sk-SK"/>
              </w:rPr>
            </w:pPr>
            <w:r w:rsidRPr="008516F9">
              <w:rPr>
                <w:lang w:val="sk-SK"/>
              </w:rPr>
              <w:t xml:space="preserve">b: Pozri časť 4.4 </w:t>
            </w:r>
            <w:r w:rsidRPr="008516F9">
              <w:rPr>
                <w:lang w:val="sk-SK" w:eastAsia="cs-CZ"/>
              </w:rPr>
              <w:t>Osobitné upozornenia a opatrenia pri používaní</w:t>
            </w:r>
            <w:r w:rsidRPr="008516F9">
              <w:rPr>
                <w:lang w:val="sk-SK"/>
              </w:rPr>
              <w:t>.</w:t>
            </w:r>
          </w:p>
          <w:p w:rsidR="005579C1" w:rsidRPr="00146269" w:rsidRDefault="005579C1" w:rsidP="000F2FF8">
            <w:pPr>
              <w:pStyle w:val="TableText"/>
              <w:jc w:val="both"/>
              <w:rPr>
                <w:lang w:val="en-GB"/>
              </w:rPr>
            </w:pPr>
            <w:r w:rsidRPr="008516F9">
              <w:rPr>
                <w:lang w:val="sk-SK"/>
              </w:rPr>
              <w:t>Pri nežiaducich účinkoch, kde nie sú uvedené frekvencie, nebol údaj sledovaný alebo nebol vyhodnotený ako nežiaduci účinok v tejto indikácii.</w:t>
            </w:r>
          </w:p>
        </w:tc>
      </w:tr>
    </w:tbl>
    <w:p w:rsidR="005579C1" w:rsidRDefault="005579C1" w:rsidP="00146269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713347" w:rsidRDefault="005579C1" w:rsidP="007006E2">
      <w:pPr>
        <w:pStyle w:val="Zarkazkladnhotextu"/>
        <w:spacing w:line="240" w:lineRule="auto"/>
        <w:ind w:left="0"/>
        <w:rPr>
          <w:i/>
          <w:sz w:val="22"/>
          <w:szCs w:val="22"/>
        </w:rPr>
      </w:pPr>
      <w:r w:rsidRPr="00713347">
        <w:rPr>
          <w:i/>
          <w:sz w:val="22"/>
          <w:szCs w:val="22"/>
        </w:rPr>
        <w:t>Pediatrická populácia</w:t>
      </w:r>
    </w:p>
    <w:p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0F2FF8">
        <w:rPr>
          <w:sz w:val="22"/>
          <w:szCs w:val="22"/>
        </w:rPr>
        <w:t>Bezpečnosť chloridu loperamidia bola hodnotená u 607 pacientov vo veku 10 dní až 13 rokov, ktorí sa zúčastnili 13 kontrolovaných a nekontrolovaných klinických štúdií s chloridom loperamidia pri lie</w:t>
      </w:r>
      <w:r>
        <w:rPr>
          <w:sz w:val="22"/>
          <w:szCs w:val="22"/>
        </w:rPr>
        <w:t>čbe akútnej hnačky. Nežiaduce úč</w:t>
      </w:r>
      <w:r w:rsidRPr="000F2FF8">
        <w:rPr>
          <w:sz w:val="22"/>
          <w:szCs w:val="22"/>
        </w:rPr>
        <w:t>inky chloridu loperamidia boli u tejto populácie všeobecne podobné tým, ktoré sa vyskytovali v klinických štúdiách s chloridom loperamidia u dospelých a detí vo veku 12 rokov a starších.</w:t>
      </w:r>
    </w:p>
    <w:p w:rsidR="005579C1" w:rsidRDefault="005579C1" w:rsidP="00146269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146269" w:rsidRDefault="005579C1" w:rsidP="00146269">
      <w:pPr>
        <w:pStyle w:val="Zarkazkladnhotextu"/>
        <w:spacing w:line="240" w:lineRule="auto"/>
        <w:ind w:left="0"/>
        <w:rPr>
          <w:sz w:val="22"/>
          <w:szCs w:val="22"/>
          <w:u w:val="single"/>
        </w:rPr>
      </w:pPr>
      <w:r w:rsidRPr="00146269">
        <w:rPr>
          <w:sz w:val="22"/>
          <w:szCs w:val="22"/>
          <w:u w:val="single"/>
        </w:rPr>
        <w:t>Hlásenie podozrení na nežiaduce reakcie</w:t>
      </w:r>
    </w:p>
    <w:p w:rsidR="005579C1" w:rsidRDefault="005579C1" w:rsidP="00146269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2D02BF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24C82">
        <w:rPr>
          <w:sz w:val="22"/>
          <w:szCs w:val="22"/>
        </w:rPr>
        <w:t>na</w:t>
      </w:r>
      <w:r w:rsidRPr="002D02BF">
        <w:rPr>
          <w:sz w:val="22"/>
          <w:szCs w:val="22"/>
        </w:rPr>
        <w:t xml:space="preserve"> </w:t>
      </w:r>
      <w:r w:rsidRPr="008516F9">
        <w:rPr>
          <w:sz w:val="22"/>
          <w:szCs w:val="22"/>
          <w:highlight w:val="lightGray"/>
        </w:rPr>
        <w:t xml:space="preserve">národné </w:t>
      </w:r>
      <w:r w:rsidR="00A24C82" w:rsidRPr="008516F9">
        <w:rPr>
          <w:sz w:val="22"/>
          <w:szCs w:val="22"/>
          <w:highlight w:val="lightGray"/>
        </w:rPr>
        <w:t>centrum</w:t>
      </w:r>
      <w:r w:rsidRPr="008516F9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8516F9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2D02BF">
        <w:rPr>
          <w:sz w:val="22"/>
          <w:szCs w:val="22"/>
        </w:rPr>
        <w:t>.</w:t>
      </w:r>
    </w:p>
    <w:p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4.9</w:t>
      </w:r>
      <w:r w:rsidRPr="00146269">
        <w:rPr>
          <w:rFonts w:ascii="Times New Roman" w:hAnsi="Times New Roman"/>
          <w:i w:val="0"/>
          <w:sz w:val="22"/>
          <w:szCs w:val="22"/>
        </w:rPr>
        <w:tab/>
        <w:t>Predávkovanie</w:t>
      </w:r>
    </w:p>
    <w:p w:rsidR="005579C1" w:rsidRPr="00556C24" w:rsidRDefault="005579C1">
      <w:pPr>
        <w:jc w:val="both"/>
        <w:rPr>
          <w:iCs/>
          <w:sz w:val="22"/>
          <w:szCs w:val="22"/>
        </w:rPr>
      </w:pPr>
    </w:p>
    <w:p w:rsidR="005579C1" w:rsidRPr="00713347" w:rsidRDefault="005579C1">
      <w:pPr>
        <w:rPr>
          <w:sz w:val="22"/>
          <w:szCs w:val="22"/>
        </w:rPr>
      </w:pPr>
      <w:r w:rsidRPr="00713347">
        <w:rPr>
          <w:sz w:val="22"/>
          <w:szCs w:val="22"/>
        </w:rPr>
        <w:t>Príznaky</w:t>
      </w:r>
    </w:p>
    <w:p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>V prípade predávkovania (vrátane relatívneho predávkovania pri poruchách funkcie pečene) sa môže vyskytnúť útlm CNS (stupor, poruchy koordinácie, somnolencia, mióza, svalová hypertónia, útlm dýchania), retencia moču a ileus. Deti môžu byť citlivejšie voči účinkom na CNS ako dospelí.</w:t>
      </w:r>
    </w:p>
    <w:p w:rsidR="009B3FD4" w:rsidRDefault="009B3FD4" w:rsidP="009B3FD4">
      <w:pPr>
        <w:rPr>
          <w:sz w:val="22"/>
        </w:rPr>
      </w:pPr>
    </w:p>
    <w:p w:rsidR="009B3FD4" w:rsidRDefault="009B3FD4" w:rsidP="009B3FD4">
      <w:pPr>
        <w:rPr>
          <w:sz w:val="22"/>
        </w:rPr>
      </w:pPr>
      <w:r w:rsidRPr="00AC2999">
        <w:rPr>
          <w:sz w:val="22"/>
        </w:rPr>
        <w:t>U jednotlivcov, ktorí sa predávkovali loperamidiumchlorid</w:t>
      </w:r>
      <w:r>
        <w:rPr>
          <w:sz w:val="22"/>
        </w:rPr>
        <w:t>om</w:t>
      </w:r>
      <w:r w:rsidRPr="00AC2999">
        <w:rPr>
          <w:sz w:val="22"/>
        </w:rPr>
        <w:t>, sa pozorovali srdcové udalosti, ako je napríklad predĺženie intervalu QT, tzv. torsades de pointes, iné závažné komorové arytmie, zástava srdca a synkopa (pozri časť 4.4). Boli hlásené aj smrteľné prípady.</w:t>
      </w:r>
    </w:p>
    <w:p w:rsidR="005579C1" w:rsidRPr="00556C24" w:rsidRDefault="005579C1" w:rsidP="005721E7">
      <w:pPr>
        <w:rPr>
          <w:sz w:val="22"/>
          <w:szCs w:val="22"/>
        </w:rPr>
      </w:pPr>
    </w:p>
    <w:p w:rsidR="005579C1" w:rsidRPr="00713347" w:rsidRDefault="005579C1">
      <w:pPr>
        <w:rPr>
          <w:sz w:val="22"/>
          <w:szCs w:val="22"/>
        </w:rPr>
      </w:pPr>
      <w:r w:rsidRPr="00713347">
        <w:rPr>
          <w:sz w:val="22"/>
          <w:szCs w:val="22"/>
        </w:rPr>
        <w:t>Liečba</w:t>
      </w:r>
    </w:p>
    <w:p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>Ak sa objavia príznaky z predávkovania, je možné ako antidotum podať naloxón. Keďže trvanie účinku loperamidu je dlhšie ako naloxónu (ktoré je 1 až 3 hodiny), podanie naloxónu je možné zopakovať. Pacient má byť aspoň 48 hodín starostlivo sledovaný, aby sa zaznamenal možný útlm CNS.</w:t>
      </w:r>
    </w:p>
    <w:p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:rsidR="005579C1" w:rsidRPr="00556C24" w:rsidRDefault="005579C1">
      <w:pPr>
        <w:rPr>
          <w:sz w:val="22"/>
          <w:szCs w:val="22"/>
        </w:rPr>
      </w:pPr>
    </w:p>
    <w:p w:rsidR="005579C1" w:rsidRPr="009B3FD4" w:rsidRDefault="005579C1" w:rsidP="009B3FD4">
      <w:pPr>
        <w:pStyle w:val="Nadpis2"/>
        <w:tabs>
          <w:tab w:val="clear" w:pos="360"/>
          <w:tab w:val="num" w:pos="567"/>
        </w:tabs>
        <w:spacing w:before="0" w:after="0"/>
        <w:ind w:left="567" w:hanging="567"/>
        <w:rPr>
          <w:rFonts w:ascii="Times New Roman" w:hAnsi="Times New Roman"/>
          <w:i w:val="0"/>
          <w:sz w:val="22"/>
        </w:rPr>
      </w:pPr>
      <w:r w:rsidRPr="009B3FD4">
        <w:rPr>
          <w:rFonts w:ascii="Times New Roman" w:hAnsi="Times New Roman"/>
          <w:i w:val="0"/>
          <w:sz w:val="22"/>
        </w:rPr>
        <w:t>Farmakologické vlastnosti</w:t>
      </w:r>
    </w:p>
    <w:p w:rsidR="00146269" w:rsidRPr="008516F9" w:rsidRDefault="00146269" w:rsidP="009B3FD4">
      <w:pPr>
        <w:pStyle w:val="Bodytext"/>
        <w:spacing w:after="0" w:line="240" w:lineRule="auto"/>
        <w:ind w:left="0"/>
        <w:rPr>
          <w:sz w:val="22"/>
        </w:rPr>
      </w:pPr>
    </w:p>
    <w:p w:rsidR="005579C1" w:rsidRPr="008516F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5.1</w:t>
      </w:r>
      <w:r w:rsidRPr="00146269">
        <w:rPr>
          <w:rFonts w:ascii="Times New Roman" w:hAnsi="Times New Roman"/>
          <w:i w:val="0"/>
          <w:sz w:val="22"/>
          <w:szCs w:val="22"/>
        </w:rPr>
        <w:tab/>
        <w:t>Farmakodynamické vlastnosti</w:t>
      </w:r>
      <w:r w:rsidRPr="00556C24">
        <w:rPr>
          <w:rFonts w:ascii="Times New Roman" w:hAnsi="Times New Roman"/>
          <w:sz w:val="22"/>
          <w:szCs w:val="22"/>
        </w:rPr>
        <w:br/>
      </w:r>
    </w:p>
    <w:p w:rsidR="005579C1" w:rsidRDefault="005579C1">
      <w:pPr>
        <w:jc w:val="both"/>
        <w:rPr>
          <w:sz w:val="22"/>
          <w:szCs w:val="22"/>
        </w:rPr>
      </w:pPr>
      <w:r w:rsidRPr="00556C24">
        <w:rPr>
          <w:sz w:val="22"/>
          <w:szCs w:val="22"/>
        </w:rPr>
        <w:t>Farmakotera</w:t>
      </w:r>
      <w:r>
        <w:rPr>
          <w:sz w:val="22"/>
          <w:szCs w:val="22"/>
        </w:rPr>
        <w:t>peutická skupina: Antidiaroiká.</w:t>
      </w:r>
    </w:p>
    <w:p w:rsidR="005579C1" w:rsidRPr="00556C24" w:rsidRDefault="005579C1">
      <w:pPr>
        <w:jc w:val="both"/>
        <w:rPr>
          <w:sz w:val="22"/>
          <w:szCs w:val="22"/>
        </w:rPr>
      </w:pPr>
      <w:r w:rsidRPr="00556C24">
        <w:rPr>
          <w:sz w:val="22"/>
          <w:szCs w:val="22"/>
        </w:rPr>
        <w:t>ATC kód: A07DA03</w:t>
      </w:r>
    </w:p>
    <w:p w:rsidR="005579C1" w:rsidRPr="00556C24" w:rsidRDefault="005579C1">
      <w:pPr>
        <w:rPr>
          <w:sz w:val="22"/>
          <w:szCs w:val="22"/>
        </w:rPr>
      </w:pPr>
    </w:p>
    <w:p w:rsidR="005579C1" w:rsidRPr="00556C24" w:rsidRDefault="005579C1">
      <w:pPr>
        <w:pStyle w:val="Zarkazkladnhotextu3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>Loperamid sa viaže na opioidné receptory črevnej steny. Následne spomaľuje uvoľňovanie acetylcholínu a prostaglandínov, a tým znižuje propulznú peristaltiku a predlžuje pasáž črevom. Loperamid zvyšuje tonus análneho sfinkt</w:t>
      </w:r>
      <w:r>
        <w:rPr>
          <w:sz w:val="22"/>
          <w:szCs w:val="22"/>
        </w:rPr>
        <w:t>ra</w:t>
      </w:r>
      <w:r w:rsidRPr="00556C24">
        <w:rPr>
          <w:sz w:val="22"/>
          <w:szCs w:val="22"/>
        </w:rPr>
        <w:t>, čím znižuje inkontinenciu a nutkanie na stolicu.</w:t>
      </w:r>
    </w:p>
    <w:p w:rsidR="005579C1" w:rsidRPr="00556C24" w:rsidRDefault="005579C1">
      <w:pPr>
        <w:rPr>
          <w:sz w:val="22"/>
          <w:szCs w:val="22"/>
        </w:rPr>
      </w:pPr>
      <w:r w:rsidRPr="00556C24">
        <w:rPr>
          <w:sz w:val="22"/>
          <w:szCs w:val="22"/>
        </w:rPr>
        <w:t xml:space="preserve">Vzhľadom na vysokú afinitu k črevnej stene a vysoký podiel metabolizácie pri prvom prechode pečeňou sa </w:t>
      </w:r>
      <w:r>
        <w:rPr>
          <w:sz w:val="22"/>
          <w:szCs w:val="22"/>
        </w:rPr>
        <w:t>loperamid</w:t>
      </w:r>
      <w:r w:rsidRPr="00556C24">
        <w:rPr>
          <w:sz w:val="22"/>
          <w:szCs w:val="22"/>
        </w:rPr>
        <w:t xml:space="preserve"> dostáva do systémového obehu iba vo veľmi malom množstve.</w:t>
      </w:r>
    </w:p>
    <w:p w:rsidR="005579C1" w:rsidRPr="00146269" w:rsidRDefault="005579C1">
      <w:pPr>
        <w:jc w:val="both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5.2</w:t>
      </w:r>
      <w:r w:rsidRPr="00146269">
        <w:rPr>
          <w:rFonts w:ascii="Times New Roman" w:hAnsi="Times New Roman"/>
          <w:i w:val="0"/>
          <w:sz w:val="22"/>
          <w:szCs w:val="22"/>
        </w:rPr>
        <w:tab/>
        <w:t>Farmakokinetické vlastnosti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Loperamid sa ľahko vstrebáva z čreva, ale kým sa dostane do systémového obehu, je takmer úplne vychytaný a metabolizovaný v pečeni, kde sa </w:t>
      </w:r>
      <w:r>
        <w:rPr>
          <w:sz w:val="22"/>
          <w:szCs w:val="22"/>
        </w:rPr>
        <w:t>konjuguje</w:t>
      </w:r>
      <w:r w:rsidRPr="00556C24">
        <w:rPr>
          <w:sz w:val="22"/>
          <w:szCs w:val="22"/>
        </w:rPr>
        <w:t xml:space="preserve"> a vylučuje žlčou.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Biologický polčas </w:t>
      </w:r>
      <w:r>
        <w:rPr>
          <w:sz w:val="22"/>
          <w:szCs w:val="22"/>
        </w:rPr>
        <w:t>loperamidu</w:t>
      </w:r>
      <w:r w:rsidRPr="00556C24">
        <w:rPr>
          <w:sz w:val="22"/>
          <w:szCs w:val="22"/>
        </w:rPr>
        <w:t xml:space="preserve"> je u človeka 11 hodín s rozpätím 9-14 hodín. Štúdie, ktoré sledovali distribúciu u potkanov, zaznamenali vysokú afinitu k črevnej stene s prednostnou väzbou na receptory pozdĺžnej </w:t>
      </w:r>
      <w:r>
        <w:rPr>
          <w:sz w:val="22"/>
          <w:szCs w:val="22"/>
        </w:rPr>
        <w:t>svaloviny</w:t>
      </w:r>
      <w:r w:rsidRPr="00556C24">
        <w:rPr>
          <w:sz w:val="22"/>
          <w:szCs w:val="22"/>
        </w:rPr>
        <w:t>. Eliminácia prebieha prevažne oxidatívnou N-demetyláciou, ktorá je hlavnou cestou odbúravania lop</w:t>
      </w:r>
      <w:r>
        <w:rPr>
          <w:sz w:val="22"/>
          <w:szCs w:val="22"/>
        </w:rPr>
        <w:t>era</w:t>
      </w:r>
      <w:r w:rsidRPr="00556C24">
        <w:rPr>
          <w:sz w:val="22"/>
          <w:szCs w:val="22"/>
        </w:rPr>
        <w:t>rmidu. Nezme</w:t>
      </w:r>
      <w:r>
        <w:rPr>
          <w:sz w:val="22"/>
          <w:szCs w:val="22"/>
        </w:rPr>
        <w:t>ne</w:t>
      </w:r>
      <w:r w:rsidRPr="00556C24">
        <w:rPr>
          <w:sz w:val="22"/>
          <w:szCs w:val="22"/>
        </w:rPr>
        <w:t>ný loperamid a metabolity sa vylučujú prevažne stolicou.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5.3</w:t>
      </w:r>
      <w:r w:rsidRPr="00146269">
        <w:rPr>
          <w:rFonts w:ascii="Times New Roman" w:hAnsi="Times New Roman"/>
          <w:i w:val="0"/>
          <w:sz w:val="22"/>
          <w:szCs w:val="22"/>
        </w:rPr>
        <w:tab/>
        <w:t>Predklinické údaje o bezpečnosti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Default="005579C1" w:rsidP="00173448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Toxikologické štúdie loperamidu u psov v denných dávkach až do 5 mg/kg/deň (30-násobok najvyššej dennej dávky pre človeka „Maximum Human Use Level“ (MHUL)) a 40 mg/kg/deň (240-násobok MHUL) po 12 mesiacoch a u laboratórnych potkanov po 18 mesiacoch nepreukázal</w:t>
      </w:r>
      <w:r>
        <w:rPr>
          <w:sz w:val="22"/>
          <w:szCs w:val="22"/>
        </w:rPr>
        <w:t>i</w:t>
      </w:r>
      <w:r w:rsidRPr="00556C24">
        <w:rPr>
          <w:sz w:val="22"/>
          <w:szCs w:val="22"/>
        </w:rPr>
        <w:t xml:space="preserve"> iný toxický účinok ako zníženie prírastku na hmotnosti a zníženie prijímania potravy. „No Toxic Effect Levels“ (NTEL) predstavovali v týchto štúdiách 1,25 mg/kg/deň (8-násobok MHUL) u psov a 10 mg/kg/deň (60-násobok MHUL) u laboratórnych potkanov. Výsledky prevedených štúdií </w:t>
      </w:r>
      <w:r w:rsidRPr="00556C24">
        <w:rPr>
          <w:i/>
          <w:sz w:val="22"/>
          <w:szCs w:val="22"/>
        </w:rPr>
        <w:t>in vivo</w:t>
      </w:r>
      <w:r w:rsidRPr="00556C24">
        <w:rPr>
          <w:sz w:val="22"/>
          <w:szCs w:val="22"/>
        </w:rPr>
        <w:t xml:space="preserve"> a </w:t>
      </w:r>
      <w:r w:rsidRPr="00556C24">
        <w:rPr>
          <w:i/>
          <w:sz w:val="22"/>
          <w:szCs w:val="22"/>
        </w:rPr>
        <w:t>in vitro</w:t>
      </w:r>
      <w:r w:rsidRPr="00556C24">
        <w:rPr>
          <w:sz w:val="22"/>
          <w:szCs w:val="22"/>
        </w:rPr>
        <w:t xml:space="preserve"> preukázali, že loperamid nie je genotoxický. Nebol preukázaný karcinogénny potenciál.</w:t>
      </w:r>
      <w:r>
        <w:rPr>
          <w:sz w:val="22"/>
          <w:szCs w:val="22"/>
        </w:rPr>
        <w:t xml:space="preserve"> </w:t>
      </w:r>
      <w:r w:rsidRPr="00556C24">
        <w:rPr>
          <w:sz w:val="22"/>
          <w:szCs w:val="22"/>
        </w:rPr>
        <w:t>V štúdiách zameraných na reprodukciu u laboratórnych potkanov bola vo veľmi vysokých dávkach loperamidu (40 mg/kg/deň – 240-násobok MHUL) pozorovaná narušená fertilita a fetálne prežitie v súvislosti s maternálnou toxicitou. Nižšie dávky nevykázali žiadny účinok na maternálne alebo fetálne zdravie a neovplyvnili peri- a postnatálny vývoj.</w:t>
      </w:r>
    </w:p>
    <w:p w:rsidR="009B3FD4" w:rsidRDefault="009B3FD4" w:rsidP="00173448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9B3FD4" w:rsidRDefault="009B3FD4" w:rsidP="009B3FD4">
      <w:pPr>
        <w:pStyle w:val="Bodytext"/>
        <w:spacing w:after="0" w:line="240" w:lineRule="auto"/>
        <w:ind w:left="0"/>
        <w:rPr>
          <w:sz w:val="22"/>
        </w:rPr>
      </w:pPr>
      <w:r w:rsidRPr="00AC2999">
        <w:rPr>
          <w:sz w:val="22"/>
        </w:rPr>
        <w:lastRenderedPageBreak/>
        <w:t xml:space="preserve">Z predklinického hodnotenia loperamidu </w:t>
      </w:r>
      <w:r w:rsidRPr="00AC2999">
        <w:rPr>
          <w:i/>
          <w:sz w:val="22"/>
        </w:rPr>
        <w:t>in vitro</w:t>
      </w:r>
      <w:r w:rsidRPr="00AC2999">
        <w:rPr>
          <w:sz w:val="22"/>
        </w:rPr>
        <w:t xml:space="preserve"> a </w:t>
      </w:r>
      <w:r w:rsidRPr="00AC2999">
        <w:rPr>
          <w:i/>
          <w:sz w:val="22"/>
        </w:rPr>
        <w:t>in vivo</w:t>
      </w:r>
      <w:r w:rsidRPr="00AC2999">
        <w:rPr>
          <w:sz w:val="22"/>
        </w:rPr>
        <w:t xml:space="preserve"> nevyplývajú žiadne významné elektrofyziologické účinky na srdce v jeho terapeuticky relevantnom rozsahu koncentrácií a vo významných násobkoch tohto rozsahu (až 47-násobok). V mimoriadne vysokých koncentráciách súvisiacich s predávkovaním (pozri časť 4.4) má však loperamid elektrofyziologické účinky na srdce pozostávajúce z inhibície draslíkových (hERG) a sodíkových prúdov a arytmií.</w:t>
      </w:r>
    </w:p>
    <w:p w:rsidR="009B3FD4" w:rsidRPr="00556C24" w:rsidRDefault="009B3FD4" w:rsidP="00173448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 w:rsidP="00173448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Preklinické účinky </w:t>
      </w:r>
      <w:r>
        <w:rPr>
          <w:sz w:val="22"/>
          <w:szCs w:val="22"/>
        </w:rPr>
        <w:t>sa</w:t>
      </w:r>
      <w:r w:rsidRPr="00556C24">
        <w:rPr>
          <w:sz w:val="22"/>
          <w:szCs w:val="22"/>
        </w:rPr>
        <w:t xml:space="preserve"> pozorova</w:t>
      </w:r>
      <w:r>
        <w:rPr>
          <w:sz w:val="22"/>
          <w:szCs w:val="22"/>
        </w:rPr>
        <w:t>li</w:t>
      </w:r>
      <w:r w:rsidRPr="00556C24">
        <w:rPr>
          <w:sz w:val="22"/>
          <w:szCs w:val="22"/>
        </w:rPr>
        <w:t xml:space="preserve"> iba v dávkach, ktoré znamenali značné navýšenie najvyšších dávok u človeka a ich význam pre klinické použitie je malý.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Default="00146269" w:rsidP="00146269">
      <w:pPr>
        <w:pStyle w:val="Nadpis2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6</w:t>
      </w:r>
      <w:r w:rsidR="009B3FD4">
        <w:rPr>
          <w:rFonts w:ascii="Times New Roman" w:hAnsi="Times New Roman"/>
          <w:i w:val="0"/>
          <w:sz w:val="22"/>
          <w:szCs w:val="22"/>
        </w:rPr>
        <w:t>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Farmaceutické informácie</w:t>
      </w:r>
    </w:p>
    <w:p w:rsidR="00146269" w:rsidRPr="008516F9" w:rsidRDefault="00146269" w:rsidP="00146269">
      <w:pPr>
        <w:pStyle w:val="Bodytext"/>
        <w:spacing w:after="0" w:line="240" w:lineRule="auto"/>
        <w:ind w:left="0"/>
        <w:rPr>
          <w:sz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6.1</w:t>
      </w:r>
      <w:r w:rsidRPr="00146269">
        <w:rPr>
          <w:rFonts w:ascii="Times New Roman" w:hAnsi="Times New Roman"/>
          <w:i w:val="0"/>
          <w:sz w:val="22"/>
          <w:szCs w:val="22"/>
        </w:rPr>
        <w:tab/>
        <w:t>Zoznam pomocných látok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 w:rsidP="005226C2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Želatína, manitol, aspartám, hydrogénuhličitan sodný, mätová aróma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6.2</w:t>
      </w:r>
      <w:r w:rsidRPr="00146269">
        <w:rPr>
          <w:rFonts w:ascii="Times New Roman" w:hAnsi="Times New Roman"/>
          <w:i w:val="0"/>
          <w:sz w:val="22"/>
          <w:szCs w:val="22"/>
        </w:rPr>
        <w:tab/>
        <w:t>Inkompatibility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Neaplikovateľné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6.3</w:t>
      </w:r>
      <w:r w:rsidRPr="00146269">
        <w:rPr>
          <w:rFonts w:ascii="Times New Roman" w:hAnsi="Times New Roman"/>
          <w:i w:val="0"/>
          <w:sz w:val="22"/>
          <w:szCs w:val="22"/>
        </w:rPr>
        <w:tab/>
        <w:t>Čas použiteľnosti</w:t>
      </w: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3 roky</w:t>
      </w: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8516F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6.4</w:t>
      </w:r>
      <w:r w:rsidRPr="00146269">
        <w:rPr>
          <w:rFonts w:ascii="Times New Roman" w:hAnsi="Times New Roman"/>
          <w:i w:val="0"/>
          <w:sz w:val="22"/>
          <w:szCs w:val="22"/>
        </w:rPr>
        <w:tab/>
        <w:t>Špeciálne upozornenia na uchovávanie</w:t>
      </w:r>
      <w:r w:rsidRPr="00146269">
        <w:rPr>
          <w:rFonts w:ascii="Times New Roman" w:hAnsi="Times New Roman"/>
          <w:i w:val="0"/>
          <w:sz w:val="22"/>
          <w:szCs w:val="22"/>
        </w:rPr>
        <w:br/>
      </w:r>
    </w:p>
    <w:p w:rsidR="005579C1" w:rsidRPr="00556C24" w:rsidRDefault="005579C1">
      <w:pPr>
        <w:jc w:val="both"/>
        <w:rPr>
          <w:sz w:val="22"/>
          <w:szCs w:val="22"/>
        </w:rPr>
      </w:pPr>
      <w:r w:rsidRPr="00556C24">
        <w:rPr>
          <w:sz w:val="22"/>
          <w:szCs w:val="22"/>
        </w:rPr>
        <w:t xml:space="preserve">Uchovávajte pri teplote do 25 </w:t>
      </w:r>
      <w:r w:rsidRPr="00556C24">
        <w:rPr>
          <w:sz w:val="22"/>
          <w:szCs w:val="22"/>
        </w:rPr>
        <w:sym w:font="Symbol" w:char="F0B0"/>
      </w:r>
      <w:r w:rsidRPr="00556C24">
        <w:rPr>
          <w:sz w:val="22"/>
          <w:szCs w:val="22"/>
        </w:rPr>
        <w:t>C.</w:t>
      </w:r>
    </w:p>
    <w:p w:rsidR="005579C1" w:rsidRPr="00146269" w:rsidRDefault="005579C1">
      <w:pPr>
        <w:jc w:val="both"/>
        <w:rPr>
          <w:sz w:val="22"/>
          <w:szCs w:val="22"/>
        </w:rPr>
      </w:pPr>
    </w:p>
    <w:p w:rsidR="005579C1" w:rsidRPr="008516F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6.5</w:t>
      </w:r>
      <w:r w:rsidRPr="00146269">
        <w:rPr>
          <w:rFonts w:ascii="Times New Roman" w:hAnsi="Times New Roman"/>
          <w:i w:val="0"/>
          <w:sz w:val="22"/>
          <w:szCs w:val="22"/>
        </w:rPr>
        <w:tab/>
        <w:t>Druh obalu a obsah balenia</w:t>
      </w:r>
      <w:r w:rsidRPr="00556C24">
        <w:rPr>
          <w:rFonts w:ascii="Times New Roman" w:hAnsi="Times New Roman"/>
          <w:sz w:val="22"/>
          <w:szCs w:val="22"/>
        </w:rPr>
        <w:br/>
      </w:r>
    </w:p>
    <w:p w:rsidR="005579C1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Hliníkový blister (vyrobený z papiera, PET, hliníka, PVC a polyamidu) v papierovej škatuli.</w:t>
      </w:r>
    </w:p>
    <w:p w:rsidR="005579C1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Veľkosť balenia: </w:t>
      </w:r>
      <w:r>
        <w:rPr>
          <w:sz w:val="22"/>
          <w:szCs w:val="22"/>
        </w:rPr>
        <w:t>6, 12, 18 alebo 24 tabliet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 w:rsidRPr="00D27411">
        <w:rPr>
          <w:sz w:val="22"/>
          <w:szCs w:val="22"/>
        </w:rPr>
        <w:t>Na trh nemusia byť uvedené všetky veľkosti balenia</w:t>
      </w:r>
      <w:r>
        <w:rPr>
          <w:sz w:val="22"/>
          <w:szCs w:val="22"/>
        </w:rPr>
        <w:t>.</w:t>
      </w: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6.6</w:t>
      </w:r>
      <w:r w:rsidRPr="00146269">
        <w:rPr>
          <w:rFonts w:ascii="Times New Roman" w:hAnsi="Times New Roman"/>
          <w:i w:val="0"/>
          <w:sz w:val="22"/>
          <w:szCs w:val="22"/>
        </w:rPr>
        <w:tab/>
        <w:t>Špeciálne opatrenia na likvidáciu a iné zaobchádzanie s liekom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Žiadne zvláštne požiadavky.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9B3FD4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>7.</w:t>
      </w:r>
      <w:r>
        <w:rPr>
          <w:rFonts w:ascii="Times New Roman" w:hAnsi="Times New Roman"/>
          <w:i w:val="0"/>
          <w:sz w:val="22"/>
        </w:rPr>
        <w:tab/>
      </w:r>
      <w:r w:rsidR="005579C1" w:rsidRPr="009B3FD4">
        <w:rPr>
          <w:rFonts w:ascii="Times New Roman" w:hAnsi="Times New Roman"/>
          <w:i w:val="0"/>
          <w:sz w:val="22"/>
        </w:rPr>
        <w:t>Držiteľ rozhodnutia o registrácii</w:t>
      </w:r>
    </w:p>
    <w:p w:rsidR="005579C1" w:rsidRPr="00556C24" w:rsidRDefault="005579C1">
      <w:pPr>
        <w:jc w:val="both"/>
        <w:rPr>
          <w:sz w:val="22"/>
          <w:szCs w:val="22"/>
        </w:rPr>
      </w:pPr>
    </w:p>
    <w:p w:rsidR="00CB7998" w:rsidRPr="00556C24" w:rsidRDefault="005579C1" w:rsidP="00CB7998">
      <w:pPr>
        <w:jc w:val="both"/>
        <w:rPr>
          <w:sz w:val="22"/>
          <w:szCs w:val="22"/>
        </w:rPr>
      </w:pPr>
      <w:r w:rsidRPr="00556C24">
        <w:rPr>
          <w:sz w:val="22"/>
          <w:szCs w:val="22"/>
        </w:rPr>
        <w:t xml:space="preserve">McNeil </w:t>
      </w:r>
      <w:r w:rsidR="00CB7998">
        <w:rPr>
          <w:sz w:val="22"/>
          <w:szCs w:val="22"/>
        </w:rPr>
        <w:t xml:space="preserve">Healthcare (Ireland) </w:t>
      </w:r>
      <w:r w:rsidR="00CB7998" w:rsidRPr="00556C24">
        <w:rPr>
          <w:sz w:val="22"/>
          <w:szCs w:val="22"/>
        </w:rPr>
        <w:t>Limited</w:t>
      </w:r>
    </w:p>
    <w:p w:rsidR="00CB7998" w:rsidRDefault="00CB7998" w:rsidP="00CB799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Airton Road, Tallaght</w:t>
      </w:r>
    </w:p>
    <w:p w:rsidR="00A24C82" w:rsidRDefault="00CB7998" w:rsidP="00CB799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Dublin 24</w:t>
      </w:r>
    </w:p>
    <w:p w:rsidR="00CB7998" w:rsidRDefault="00CB7998" w:rsidP="00CB799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Írsko</w:t>
      </w:r>
    </w:p>
    <w:p w:rsidR="005579C1" w:rsidRPr="00556C24" w:rsidRDefault="005579C1" w:rsidP="00CB7998">
      <w:pPr>
        <w:jc w:val="both"/>
        <w:rPr>
          <w:sz w:val="22"/>
          <w:szCs w:val="22"/>
        </w:rPr>
      </w:pPr>
    </w:p>
    <w:p w:rsidR="005579C1" w:rsidRPr="00556C24" w:rsidRDefault="005579C1">
      <w:pPr>
        <w:jc w:val="both"/>
        <w:rPr>
          <w:sz w:val="22"/>
          <w:szCs w:val="22"/>
        </w:rPr>
      </w:pPr>
    </w:p>
    <w:p w:rsidR="005579C1" w:rsidRPr="00146269" w:rsidRDefault="009B3FD4" w:rsidP="005721E7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8.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RegistraČné číslo</w:t>
      </w:r>
    </w:p>
    <w:p w:rsidR="005579C1" w:rsidRPr="00556C24" w:rsidRDefault="005579C1" w:rsidP="005721E7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49/0401/12-S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9.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dátum PRVEJ registrácie/PREDĹŽENIA registrÁCIE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Dátum prvej registrácie:</w:t>
      </w:r>
      <w:bookmarkEnd w:id="0"/>
      <w:r>
        <w:rPr>
          <w:sz w:val="22"/>
          <w:szCs w:val="22"/>
        </w:rPr>
        <w:t xml:space="preserve"> 17.9.2012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10.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dátum revízie textu</w:t>
      </w:r>
    </w:p>
    <w:p w:rsidR="005579C1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556C24" w:rsidRDefault="00146269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07/</w:t>
      </w:r>
      <w:r w:rsidR="005579C1" w:rsidRPr="0087496E">
        <w:rPr>
          <w:sz w:val="22"/>
          <w:szCs w:val="22"/>
        </w:rPr>
        <w:t>201</w:t>
      </w:r>
      <w:r w:rsidR="00CB7998">
        <w:rPr>
          <w:sz w:val="22"/>
          <w:szCs w:val="22"/>
        </w:rPr>
        <w:t>8</w:t>
      </w:r>
    </w:p>
    <w:sectPr w:rsidR="005579C1" w:rsidRPr="00556C24" w:rsidSect="008516F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92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081" w:rsidRDefault="00D36081">
      <w:r>
        <w:separator/>
      </w:r>
    </w:p>
  </w:endnote>
  <w:endnote w:type="continuationSeparator" w:id="0">
    <w:p w:rsidR="00D36081" w:rsidRDefault="00D3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C1" w:rsidRDefault="005579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579C1" w:rsidRDefault="005579C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C1" w:rsidRPr="00A24C82" w:rsidRDefault="00CB2340" w:rsidP="005721E7">
    <w:pPr>
      <w:pStyle w:val="Pta"/>
      <w:jc w:val="center"/>
      <w:rPr>
        <w:sz w:val="18"/>
        <w:szCs w:val="18"/>
      </w:rPr>
    </w:pPr>
    <w:r w:rsidRPr="00A24C82">
      <w:rPr>
        <w:sz w:val="18"/>
        <w:szCs w:val="18"/>
      </w:rPr>
      <w:fldChar w:fldCharType="begin"/>
    </w:r>
    <w:r w:rsidRPr="008516F9">
      <w:rPr>
        <w:sz w:val="18"/>
        <w:szCs w:val="18"/>
      </w:rPr>
      <w:instrText xml:space="preserve"> PAGE   \* MERGEFORMAT </w:instrText>
    </w:r>
    <w:r w:rsidRPr="00A24C82">
      <w:rPr>
        <w:sz w:val="18"/>
        <w:szCs w:val="18"/>
      </w:rPr>
      <w:fldChar w:fldCharType="separate"/>
    </w:r>
    <w:r w:rsidR="00F91A33">
      <w:rPr>
        <w:noProof/>
        <w:sz w:val="18"/>
        <w:szCs w:val="18"/>
      </w:rPr>
      <w:t>7</w:t>
    </w:r>
    <w:r w:rsidRPr="00A24C82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8853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46269" w:rsidRPr="005721E7" w:rsidRDefault="00146269" w:rsidP="005721E7">
        <w:pPr>
          <w:pStyle w:val="Pta"/>
          <w:jc w:val="center"/>
          <w:rPr>
            <w:sz w:val="18"/>
            <w:szCs w:val="18"/>
          </w:rPr>
        </w:pPr>
        <w:r w:rsidRPr="005721E7">
          <w:rPr>
            <w:sz w:val="18"/>
            <w:szCs w:val="18"/>
          </w:rPr>
          <w:fldChar w:fldCharType="begin"/>
        </w:r>
        <w:r w:rsidRPr="005721E7">
          <w:rPr>
            <w:sz w:val="18"/>
            <w:szCs w:val="18"/>
          </w:rPr>
          <w:instrText>PAGE   \* MERGEFORMAT</w:instrText>
        </w:r>
        <w:r w:rsidRPr="005721E7">
          <w:rPr>
            <w:sz w:val="18"/>
            <w:szCs w:val="18"/>
          </w:rPr>
          <w:fldChar w:fldCharType="separate"/>
        </w:r>
        <w:r w:rsidR="00C31413">
          <w:rPr>
            <w:noProof/>
            <w:sz w:val="18"/>
            <w:szCs w:val="18"/>
          </w:rPr>
          <w:t>1</w:t>
        </w:r>
        <w:r w:rsidRPr="005721E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081" w:rsidRDefault="00D36081">
      <w:r>
        <w:separator/>
      </w:r>
    </w:p>
  </w:footnote>
  <w:footnote w:type="continuationSeparator" w:id="0">
    <w:p w:rsidR="00D36081" w:rsidRDefault="00D36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C1" w:rsidRPr="005721E7" w:rsidRDefault="00CB7998" w:rsidP="00C31413">
    <w:pPr>
      <w:pStyle w:val="Hlavika"/>
      <w:spacing w:after="0"/>
      <w:rPr>
        <w:sz w:val="18"/>
      </w:rPr>
    </w:pPr>
    <w:r w:rsidRPr="008516F9">
      <w:rPr>
        <w:sz w:val="18"/>
        <w:szCs w:val="18"/>
      </w:rPr>
      <w:t>Schválený text k rozhodnutiu o prevode, ev.</w:t>
    </w:r>
    <w:r w:rsidR="00C31413">
      <w:rPr>
        <w:sz w:val="18"/>
        <w:szCs w:val="18"/>
      </w:rPr>
      <w:t xml:space="preserve"> </w:t>
    </w:r>
    <w:r w:rsidRPr="008516F9">
      <w:rPr>
        <w:sz w:val="18"/>
        <w:szCs w:val="18"/>
      </w:rPr>
      <w:t>č.:</w:t>
    </w:r>
    <w:r w:rsidR="00C31413">
      <w:rPr>
        <w:sz w:val="18"/>
        <w:szCs w:val="18"/>
      </w:rPr>
      <w:t xml:space="preserve"> 2018/03421-TR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98" w:rsidRPr="008516F9" w:rsidRDefault="00CB7998" w:rsidP="00CB7998">
    <w:pPr>
      <w:pStyle w:val="Hlavika"/>
      <w:rPr>
        <w:sz w:val="18"/>
        <w:szCs w:val="18"/>
      </w:rPr>
    </w:pPr>
    <w:r w:rsidRPr="008516F9">
      <w:rPr>
        <w:sz w:val="18"/>
        <w:szCs w:val="18"/>
      </w:rPr>
      <w:t>Schválený text k rozhodnutiu o prevode, ev.č.:</w:t>
    </w:r>
  </w:p>
  <w:p w:rsidR="00146269" w:rsidRPr="005721E7" w:rsidRDefault="00146269" w:rsidP="005721E7">
    <w:pPr>
      <w:pStyle w:val="Hlavika"/>
      <w:spacing w:after="0"/>
      <w:ind w:right="357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rPr>
        <w:rFonts w:cs="Times New Roman"/>
      </w:rPr>
    </w:lvl>
    <w:lvl w:ilvl="1">
      <w:start w:val="1"/>
      <w:numFmt w:val="decimal"/>
      <w:pStyle w:val="Nadpis2"/>
      <w:lvlText w:val="%2."/>
      <w:legacy w:legacy="1" w:legacySpace="142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2.%3."/>
      <w:legacy w:legacy="1" w:legacySpace="142" w:legacyIndent="851"/>
      <w:lvlJc w:val="left"/>
      <w:rPr>
        <w:rFonts w:cs="Times New Roman"/>
      </w:rPr>
    </w:lvl>
    <w:lvl w:ilvl="3">
      <w:start w:val="1"/>
      <w:numFmt w:val="decimal"/>
      <w:pStyle w:val="Nadpis4"/>
      <w:lvlText w:val="%2.%3.%4."/>
      <w:legacy w:legacy="1" w:legacySpace="142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2.%3.%4.%5."/>
      <w:legacy w:legacy="1" w:legacySpace="142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2.%3.%4.%5.%6"/>
      <w:legacy w:legacy="1" w:legacySpace="142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2.%3.%4.%5.%6.%7"/>
      <w:legacy w:legacy="1" w:legacySpace="142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2.%3.%4.%5.%6.%7.%8"/>
      <w:legacy w:legacy="1" w:legacySpace="142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2.%3.%4.%5.%6.%7.%8.%9"/>
      <w:legacy w:legacy="1" w:legacySpace="142" w:legacyIndent="0"/>
      <w:lvlJc w:val="left"/>
      <w:rPr>
        <w:rFonts w:cs="Times New Roman"/>
      </w:rPr>
    </w:lvl>
  </w:abstractNum>
  <w:abstractNum w:abstractNumId="1">
    <w:nsid w:val="17780166"/>
    <w:multiLevelType w:val="hybridMultilevel"/>
    <w:tmpl w:val="B4C81230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26304874"/>
    <w:multiLevelType w:val="singleLevel"/>
    <w:tmpl w:val="8A348DA4"/>
    <w:lvl w:ilvl="0"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</w:abstractNum>
  <w:abstractNum w:abstractNumId="3">
    <w:nsid w:val="52B3698C"/>
    <w:multiLevelType w:val="hybridMultilevel"/>
    <w:tmpl w:val="DCC62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-1">
    <w15:presenceInfo w15:providerId="None" w15:userId="Michaela Angelovič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03"/>
    <w:rsid w:val="00005D58"/>
    <w:rsid w:val="000346D9"/>
    <w:rsid w:val="00034E5A"/>
    <w:rsid w:val="00053483"/>
    <w:rsid w:val="00065A42"/>
    <w:rsid w:val="00080A44"/>
    <w:rsid w:val="000F0091"/>
    <w:rsid w:val="000F2FF8"/>
    <w:rsid w:val="00105FA8"/>
    <w:rsid w:val="00137792"/>
    <w:rsid w:val="0014100F"/>
    <w:rsid w:val="00146269"/>
    <w:rsid w:val="00173448"/>
    <w:rsid w:val="00186AF2"/>
    <w:rsid w:val="00192DE5"/>
    <w:rsid w:val="00193674"/>
    <w:rsid w:val="001B0E41"/>
    <w:rsid w:val="001D634C"/>
    <w:rsid w:val="001E0439"/>
    <w:rsid w:val="00214322"/>
    <w:rsid w:val="002251B5"/>
    <w:rsid w:val="00226863"/>
    <w:rsid w:val="00231FA2"/>
    <w:rsid w:val="00233CB1"/>
    <w:rsid w:val="002412E9"/>
    <w:rsid w:val="00243757"/>
    <w:rsid w:val="00246C5B"/>
    <w:rsid w:val="0027634E"/>
    <w:rsid w:val="002D02BF"/>
    <w:rsid w:val="002D4075"/>
    <w:rsid w:val="002D53C4"/>
    <w:rsid w:val="002E4665"/>
    <w:rsid w:val="002E616D"/>
    <w:rsid w:val="00316718"/>
    <w:rsid w:val="003238C4"/>
    <w:rsid w:val="00330325"/>
    <w:rsid w:val="0033293E"/>
    <w:rsid w:val="0037009D"/>
    <w:rsid w:val="00375B19"/>
    <w:rsid w:val="00375F34"/>
    <w:rsid w:val="003912BF"/>
    <w:rsid w:val="00392603"/>
    <w:rsid w:val="00397872"/>
    <w:rsid w:val="003A17FE"/>
    <w:rsid w:val="003A4AC9"/>
    <w:rsid w:val="003B39A4"/>
    <w:rsid w:val="003E6B42"/>
    <w:rsid w:val="00404B60"/>
    <w:rsid w:val="0041672F"/>
    <w:rsid w:val="0042690E"/>
    <w:rsid w:val="004322F5"/>
    <w:rsid w:val="004B1E1B"/>
    <w:rsid w:val="004C12AA"/>
    <w:rsid w:val="004F0548"/>
    <w:rsid w:val="004F533F"/>
    <w:rsid w:val="00501232"/>
    <w:rsid w:val="005226C2"/>
    <w:rsid w:val="0052425B"/>
    <w:rsid w:val="005454DA"/>
    <w:rsid w:val="00556C24"/>
    <w:rsid w:val="005579C1"/>
    <w:rsid w:val="005712D9"/>
    <w:rsid w:val="005721E7"/>
    <w:rsid w:val="00585A95"/>
    <w:rsid w:val="00592A8A"/>
    <w:rsid w:val="005C6C83"/>
    <w:rsid w:val="005F0961"/>
    <w:rsid w:val="005F3BFF"/>
    <w:rsid w:val="006076BC"/>
    <w:rsid w:val="00626108"/>
    <w:rsid w:val="00642CDE"/>
    <w:rsid w:val="006641BB"/>
    <w:rsid w:val="00666271"/>
    <w:rsid w:val="00680C9C"/>
    <w:rsid w:val="006B7095"/>
    <w:rsid w:val="006C4C80"/>
    <w:rsid w:val="006C67E7"/>
    <w:rsid w:val="006E37DF"/>
    <w:rsid w:val="006F507E"/>
    <w:rsid w:val="007006E2"/>
    <w:rsid w:val="00713347"/>
    <w:rsid w:val="00740255"/>
    <w:rsid w:val="00740C2B"/>
    <w:rsid w:val="007475C6"/>
    <w:rsid w:val="0079513C"/>
    <w:rsid w:val="007C2BC0"/>
    <w:rsid w:val="007E31C5"/>
    <w:rsid w:val="007E7D17"/>
    <w:rsid w:val="007F1222"/>
    <w:rsid w:val="008162DF"/>
    <w:rsid w:val="008516F9"/>
    <w:rsid w:val="008562D3"/>
    <w:rsid w:val="0087496E"/>
    <w:rsid w:val="008B2A44"/>
    <w:rsid w:val="008D75B8"/>
    <w:rsid w:val="008E411E"/>
    <w:rsid w:val="0091438D"/>
    <w:rsid w:val="00924BA3"/>
    <w:rsid w:val="0093331D"/>
    <w:rsid w:val="0095372D"/>
    <w:rsid w:val="00956700"/>
    <w:rsid w:val="009A189E"/>
    <w:rsid w:val="009A71A1"/>
    <w:rsid w:val="009B3FD4"/>
    <w:rsid w:val="009B544B"/>
    <w:rsid w:val="009F1DB7"/>
    <w:rsid w:val="00A24C82"/>
    <w:rsid w:val="00A321D3"/>
    <w:rsid w:val="00A37FC7"/>
    <w:rsid w:val="00A65952"/>
    <w:rsid w:val="00A90192"/>
    <w:rsid w:val="00A95B62"/>
    <w:rsid w:val="00AA0820"/>
    <w:rsid w:val="00AD3A28"/>
    <w:rsid w:val="00AE13F9"/>
    <w:rsid w:val="00AE3B6C"/>
    <w:rsid w:val="00B12A6E"/>
    <w:rsid w:val="00B25DA7"/>
    <w:rsid w:val="00B279A5"/>
    <w:rsid w:val="00B33F74"/>
    <w:rsid w:val="00B704C6"/>
    <w:rsid w:val="00B74ED4"/>
    <w:rsid w:val="00B87F6F"/>
    <w:rsid w:val="00BA1A05"/>
    <w:rsid w:val="00BC7D30"/>
    <w:rsid w:val="00BD0AFF"/>
    <w:rsid w:val="00BE31B6"/>
    <w:rsid w:val="00BE69EB"/>
    <w:rsid w:val="00C10E21"/>
    <w:rsid w:val="00C22BDD"/>
    <w:rsid w:val="00C31413"/>
    <w:rsid w:val="00C416B3"/>
    <w:rsid w:val="00C501E1"/>
    <w:rsid w:val="00C53801"/>
    <w:rsid w:val="00C87D09"/>
    <w:rsid w:val="00C93A76"/>
    <w:rsid w:val="00CB2340"/>
    <w:rsid w:val="00CB7998"/>
    <w:rsid w:val="00CD5206"/>
    <w:rsid w:val="00CF6544"/>
    <w:rsid w:val="00D03921"/>
    <w:rsid w:val="00D27411"/>
    <w:rsid w:val="00D36081"/>
    <w:rsid w:val="00D378E3"/>
    <w:rsid w:val="00D43208"/>
    <w:rsid w:val="00D662B0"/>
    <w:rsid w:val="00DA73AC"/>
    <w:rsid w:val="00DA7F36"/>
    <w:rsid w:val="00DC29C4"/>
    <w:rsid w:val="00DD7CC8"/>
    <w:rsid w:val="00E1263E"/>
    <w:rsid w:val="00E12FD1"/>
    <w:rsid w:val="00E22902"/>
    <w:rsid w:val="00E22CF2"/>
    <w:rsid w:val="00E343D1"/>
    <w:rsid w:val="00E5148B"/>
    <w:rsid w:val="00E5752F"/>
    <w:rsid w:val="00E94263"/>
    <w:rsid w:val="00E9578E"/>
    <w:rsid w:val="00EC73CF"/>
    <w:rsid w:val="00EC78A2"/>
    <w:rsid w:val="00ED4E2B"/>
    <w:rsid w:val="00F06A4E"/>
    <w:rsid w:val="00F139B5"/>
    <w:rsid w:val="00F33D9E"/>
    <w:rsid w:val="00F45263"/>
    <w:rsid w:val="00F57AB3"/>
    <w:rsid w:val="00F65216"/>
    <w:rsid w:val="00F76AAA"/>
    <w:rsid w:val="00F82DC2"/>
    <w:rsid w:val="00F84B9F"/>
    <w:rsid w:val="00F8675D"/>
    <w:rsid w:val="00F91A33"/>
    <w:rsid w:val="00FD1CB4"/>
    <w:rsid w:val="00FE1F96"/>
    <w:rsid w:val="00FE4F2C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31C5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E31C5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qFormat/>
    <w:rsid w:val="007E31C5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qFormat/>
    <w:rsid w:val="007E31C5"/>
    <w:pPr>
      <w:numPr>
        <w:ilvl w:val="2"/>
      </w:numPr>
      <w:tabs>
        <w:tab w:val="num" w:pos="360"/>
      </w:tabs>
      <w:spacing w:before="24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qFormat/>
    <w:rsid w:val="007E31C5"/>
    <w:pPr>
      <w:numPr>
        <w:ilvl w:val="3"/>
      </w:numPr>
      <w:tabs>
        <w:tab w:val="num" w:pos="360"/>
      </w:tabs>
      <w:spacing w:before="18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qFormat/>
    <w:rsid w:val="007E31C5"/>
    <w:pPr>
      <w:numPr>
        <w:ilvl w:val="4"/>
      </w:numPr>
      <w:tabs>
        <w:tab w:val="num" w:pos="360"/>
      </w:tabs>
      <w:spacing w:before="8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qFormat/>
    <w:rsid w:val="007E31C5"/>
    <w:pPr>
      <w:numPr>
        <w:ilvl w:val="5"/>
      </w:numPr>
      <w:tabs>
        <w:tab w:val="num" w:pos="360"/>
      </w:tabs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7E31C5"/>
    <w:pPr>
      <w:numPr>
        <w:ilvl w:val="6"/>
      </w:numPr>
      <w:tabs>
        <w:tab w:val="num" w:pos="360"/>
      </w:tabs>
      <w:spacing w:after="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qFormat/>
    <w:rsid w:val="007E31C5"/>
    <w:pPr>
      <w:numPr>
        <w:ilvl w:val="7"/>
      </w:numPr>
      <w:tabs>
        <w:tab w:val="num" w:pos="360"/>
      </w:tabs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qFormat/>
    <w:rsid w:val="007E31C5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A7F36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A7F36"/>
    <w:rPr>
      <w:rFonts w:ascii="Cambria" w:hAnsi="Cambria" w:cs="Times New Roman"/>
      <w:b/>
      <w:i/>
      <w:sz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A7F36"/>
    <w:rPr>
      <w:rFonts w:ascii="Cambria" w:hAnsi="Cambria" w:cs="Times New Roman"/>
      <w:b/>
      <w:sz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A7F36"/>
    <w:rPr>
      <w:rFonts w:ascii="Calibri" w:hAnsi="Calibri" w:cs="Times New Roman"/>
      <w:b/>
      <w:sz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A7F36"/>
    <w:rPr>
      <w:rFonts w:ascii="Calibri" w:hAnsi="Calibri" w:cs="Times New Roman"/>
      <w:b/>
      <w:i/>
      <w:sz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A7F36"/>
    <w:rPr>
      <w:rFonts w:ascii="Calibri" w:hAnsi="Calibri" w:cs="Times New Roman"/>
      <w:b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DA7F36"/>
    <w:rPr>
      <w:rFonts w:ascii="Calibri" w:hAnsi="Calibri" w:cs="Times New Roman"/>
      <w:sz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DA7F36"/>
    <w:rPr>
      <w:rFonts w:ascii="Calibri" w:hAnsi="Calibri" w:cs="Times New Roman"/>
      <w:i/>
      <w:sz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DA7F36"/>
    <w:rPr>
      <w:rFonts w:ascii="Cambria" w:hAnsi="Cambria" w:cs="Times New Roman"/>
      <w:lang w:eastAsia="en-US"/>
    </w:rPr>
  </w:style>
  <w:style w:type="paragraph" w:customStyle="1" w:styleId="Bodytext">
    <w:name w:val="Bodytext"/>
    <w:basedOn w:val="Normlny"/>
    <w:rsid w:val="007E31C5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iPriority w:val="99"/>
    <w:rsid w:val="007E31C5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A7F36"/>
    <w:rPr>
      <w:rFonts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7E31C5"/>
    <w:pPr>
      <w:tabs>
        <w:tab w:val="center" w:pos="4320"/>
        <w:tab w:val="right" w:pos="822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69EB"/>
    <w:rPr>
      <w:rFonts w:cs="Times New Roman"/>
      <w:sz w:val="24"/>
      <w:lang w:eastAsia="en-US"/>
    </w:rPr>
  </w:style>
  <w:style w:type="character" w:styleId="slostrany">
    <w:name w:val="page number"/>
    <w:basedOn w:val="Predvolenpsmoodseku"/>
    <w:uiPriority w:val="99"/>
    <w:semiHidden/>
    <w:rsid w:val="007E31C5"/>
    <w:rPr>
      <w:rFonts w:cs="Times New Roman"/>
    </w:rPr>
  </w:style>
  <w:style w:type="paragraph" w:customStyle="1" w:styleId="Product">
    <w:name w:val="Product"/>
    <w:basedOn w:val="Bodytext"/>
    <w:uiPriority w:val="99"/>
    <w:rsid w:val="007E31C5"/>
    <w:rPr>
      <w:b/>
      <w:sz w:val="28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7E31C5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A7F36"/>
    <w:rPr>
      <w:rFonts w:cs="Times New Roman"/>
      <w:sz w:val="24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E31C5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DA7F36"/>
    <w:rPr>
      <w:rFonts w:cs="Times New Roman"/>
      <w:sz w:val="16"/>
      <w:lang w:eastAsia="en-US"/>
    </w:rPr>
  </w:style>
  <w:style w:type="paragraph" w:customStyle="1" w:styleId="Indent4">
    <w:name w:val="Indent 4 (•)"/>
    <w:basedOn w:val="Normlny"/>
    <w:uiPriority w:val="99"/>
    <w:rsid w:val="007E31C5"/>
    <w:pPr>
      <w:ind w:left="1134" w:hanging="284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31671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6718"/>
    <w:rPr>
      <w:rFonts w:ascii="Tahoma" w:hAnsi="Tahoma" w:cs="Times New Roman"/>
      <w:sz w:val="16"/>
      <w:lang w:eastAsia="en-US"/>
    </w:rPr>
  </w:style>
  <w:style w:type="paragraph" w:styleId="Zkladntext">
    <w:name w:val="Body Text"/>
    <w:basedOn w:val="Normlny"/>
    <w:link w:val="ZkladntextChar"/>
    <w:uiPriority w:val="99"/>
    <w:locked/>
    <w:rsid w:val="007006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006E2"/>
    <w:rPr>
      <w:rFonts w:cs="Times New Roman"/>
      <w:sz w:val="24"/>
      <w:lang w:eastAsia="en-US"/>
    </w:rPr>
  </w:style>
  <w:style w:type="character" w:customStyle="1" w:styleId="TableTextChar">
    <w:name w:val="TableText Char"/>
    <w:link w:val="TableText"/>
    <w:uiPriority w:val="99"/>
    <w:locked/>
    <w:rsid w:val="007006E2"/>
    <w:rPr>
      <w:sz w:val="22"/>
      <w:lang w:val="en-US" w:eastAsia="en-US"/>
    </w:rPr>
  </w:style>
  <w:style w:type="paragraph" w:customStyle="1" w:styleId="TableText">
    <w:name w:val="TableText"/>
    <w:link w:val="TableTextChar"/>
    <w:uiPriority w:val="99"/>
    <w:rsid w:val="007006E2"/>
    <w:pPr>
      <w:keepNext/>
    </w:pPr>
    <w:rPr>
      <w:lang w:val="en-US" w:eastAsia="en-US"/>
    </w:rPr>
  </w:style>
  <w:style w:type="character" w:styleId="Hypertextovprepojenie">
    <w:name w:val="Hyperlink"/>
    <w:basedOn w:val="Predvolenpsmoodseku"/>
    <w:uiPriority w:val="99"/>
    <w:locked/>
    <w:rsid w:val="002D02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31C5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E31C5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qFormat/>
    <w:rsid w:val="007E31C5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qFormat/>
    <w:rsid w:val="007E31C5"/>
    <w:pPr>
      <w:numPr>
        <w:ilvl w:val="2"/>
      </w:numPr>
      <w:tabs>
        <w:tab w:val="num" w:pos="360"/>
      </w:tabs>
      <w:spacing w:before="24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qFormat/>
    <w:rsid w:val="007E31C5"/>
    <w:pPr>
      <w:numPr>
        <w:ilvl w:val="3"/>
      </w:numPr>
      <w:tabs>
        <w:tab w:val="num" w:pos="360"/>
      </w:tabs>
      <w:spacing w:before="18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qFormat/>
    <w:rsid w:val="007E31C5"/>
    <w:pPr>
      <w:numPr>
        <w:ilvl w:val="4"/>
      </w:numPr>
      <w:tabs>
        <w:tab w:val="num" w:pos="360"/>
      </w:tabs>
      <w:spacing w:before="8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qFormat/>
    <w:rsid w:val="007E31C5"/>
    <w:pPr>
      <w:numPr>
        <w:ilvl w:val="5"/>
      </w:numPr>
      <w:tabs>
        <w:tab w:val="num" w:pos="360"/>
      </w:tabs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7E31C5"/>
    <w:pPr>
      <w:numPr>
        <w:ilvl w:val="6"/>
      </w:numPr>
      <w:tabs>
        <w:tab w:val="num" w:pos="360"/>
      </w:tabs>
      <w:spacing w:after="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qFormat/>
    <w:rsid w:val="007E31C5"/>
    <w:pPr>
      <w:numPr>
        <w:ilvl w:val="7"/>
      </w:numPr>
      <w:tabs>
        <w:tab w:val="num" w:pos="360"/>
      </w:tabs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qFormat/>
    <w:rsid w:val="007E31C5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A7F36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A7F36"/>
    <w:rPr>
      <w:rFonts w:ascii="Cambria" w:hAnsi="Cambria" w:cs="Times New Roman"/>
      <w:b/>
      <w:i/>
      <w:sz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A7F36"/>
    <w:rPr>
      <w:rFonts w:ascii="Cambria" w:hAnsi="Cambria" w:cs="Times New Roman"/>
      <w:b/>
      <w:sz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A7F36"/>
    <w:rPr>
      <w:rFonts w:ascii="Calibri" w:hAnsi="Calibri" w:cs="Times New Roman"/>
      <w:b/>
      <w:sz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A7F36"/>
    <w:rPr>
      <w:rFonts w:ascii="Calibri" w:hAnsi="Calibri" w:cs="Times New Roman"/>
      <w:b/>
      <w:i/>
      <w:sz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A7F36"/>
    <w:rPr>
      <w:rFonts w:ascii="Calibri" w:hAnsi="Calibri" w:cs="Times New Roman"/>
      <w:b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DA7F36"/>
    <w:rPr>
      <w:rFonts w:ascii="Calibri" w:hAnsi="Calibri" w:cs="Times New Roman"/>
      <w:sz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DA7F36"/>
    <w:rPr>
      <w:rFonts w:ascii="Calibri" w:hAnsi="Calibri" w:cs="Times New Roman"/>
      <w:i/>
      <w:sz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DA7F36"/>
    <w:rPr>
      <w:rFonts w:ascii="Cambria" w:hAnsi="Cambria" w:cs="Times New Roman"/>
      <w:lang w:eastAsia="en-US"/>
    </w:rPr>
  </w:style>
  <w:style w:type="paragraph" w:customStyle="1" w:styleId="Bodytext">
    <w:name w:val="Bodytext"/>
    <w:basedOn w:val="Normlny"/>
    <w:rsid w:val="007E31C5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iPriority w:val="99"/>
    <w:rsid w:val="007E31C5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A7F36"/>
    <w:rPr>
      <w:rFonts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7E31C5"/>
    <w:pPr>
      <w:tabs>
        <w:tab w:val="center" w:pos="4320"/>
        <w:tab w:val="right" w:pos="822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69EB"/>
    <w:rPr>
      <w:rFonts w:cs="Times New Roman"/>
      <w:sz w:val="24"/>
      <w:lang w:eastAsia="en-US"/>
    </w:rPr>
  </w:style>
  <w:style w:type="character" w:styleId="slostrany">
    <w:name w:val="page number"/>
    <w:basedOn w:val="Predvolenpsmoodseku"/>
    <w:uiPriority w:val="99"/>
    <w:semiHidden/>
    <w:rsid w:val="007E31C5"/>
    <w:rPr>
      <w:rFonts w:cs="Times New Roman"/>
    </w:rPr>
  </w:style>
  <w:style w:type="paragraph" w:customStyle="1" w:styleId="Product">
    <w:name w:val="Product"/>
    <w:basedOn w:val="Bodytext"/>
    <w:uiPriority w:val="99"/>
    <w:rsid w:val="007E31C5"/>
    <w:rPr>
      <w:b/>
      <w:sz w:val="28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7E31C5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A7F36"/>
    <w:rPr>
      <w:rFonts w:cs="Times New Roman"/>
      <w:sz w:val="24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E31C5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DA7F36"/>
    <w:rPr>
      <w:rFonts w:cs="Times New Roman"/>
      <w:sz w:val="16"/>
      <w:lang w:eastAsia="en-US"/>
    </w:rPr>
  </w:style>
  <w:style w:type="paragraph" w:customStyle="1" w:styleId="Indent4">
    <w:name w:val="Indent 4 (•)"/>
    <w:basedOn w:val="Normlny"/>
    <w:uiPriority w:val="99"/>
    <w:rsid w:val="007E31C5"/>
    <w:pPr>
      <w:ind w:left="1134" w:hanging="284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31671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6718"/>
    <w:rPr>
      <w:rFonts w:ascii="Tahoma" w:hAnsi="Tahoma" w:cs="Times New Roman"/>
      <w:sz w:val="16"/>
      <w:lang w:eastAsia="en-US"/>
    </w:rPr>
  </w:style>
  <w:style w:type="paragraph" w:styleId="Zkladntext">
    <w:name w:val="Body Text"/>
    <w:basedOn w:val="Normlny"/>
    <w:link w:val="ZkladntextChar"/>
    <w:uiPriority w:val="99"/>
    <w:locked/>
    <w:rsid w:val="007006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006E2"/>
    <w:rPr>
      <w:rFonts w:cs="Times New Roman"/>
      <w:sz w:val="24"/>
      <w:lang w:eastAsia="en-US"/>
    </w:rPr>
  </w:style>
  <w:style w:type="character" w:customStyle="1" w:styleId="TableTextChar">
    <w:name w:val="TableText Char"/>
    <w:link w:val="TableText"/>
    <w:uiPriority w:val="99"/>
    <w:locked/>
    <w:rsid w:val="007006E2"/>
    <w:rPr>
      <w:sz w:val="22"/>
      <w:lang w:val="en-US" w:eastAsia="en-US"/>
    </w:rPr>
  </w:style>
  <w:style w:type="paragraph" w:customStyle="1" w:styleId="TableText">
    <w:name w:val="TableText"/>
    <w:link w:val="TableTextChar"/>
    <w:uiPriority w:val="99"/>
    <w:rsid w:val="007006E2"/>
    <w:pPr>
      <w:keepNext/>
    </w:pPr>
    <w:rPr>
      <w:lang w:val="en-US" w:eastAsia="en-US"/>
    </w:rPr>
  </w:style>
  <w:style w:type="character" w:styleId="Hypertextovprepojenie">
    <w:name w:val="Hyperlink"/>
    <w:basedOn w:val="Predvolenpsmoodseku"/>
    <w:uiPriority w:val="99"/>
    <w:locked/>
    <w:rsid w:val="002D02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2135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Janssen - Cilag</Company>
  <LinksUpToDate>false</LinksUpToDate>
  <CharactersWithSpaces>15692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Katarina Boorova</dc:creator>
  <cp:lastModifiedBy>marianna forgacova</cp:lastModifiedBy>
  <cp:revision>4</cp:revision>
  <cp:lastPrinted>2013-12-16T09:32:00Z</cp:lastPrinted>
  <dcterms:created xsi:type="dcterms:W3CDTF">2018-06-25T08:01:00Z</dcterms:created>
  <dcterms:modified xsi:type="dcterms:W3CDTF">2018-06-26T09:15:00Z</dcterms:modified>
</cp:coreProperties>
</file>