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F3" w:rsidRPr="00813409" w:rsidRDefault="009C39F3" w:rsidP="008C1DB1">
      <w:pPr>
        <w:ind w:left="0" w:firstLine="0"/>
        <w:jc w:val="center"/>
        <w:rPr>
          <w:b/>
        </w:rPr>
      </w:pPr>
    </w:p>
    <w:p w:rsidR="009C39F3" w:rsidRPr="00813409" w:rsidRDefault="009C39F3" w:rsidP="008C1DB1">
      <w:pPr>
        <w:ind w:left="0" w:firstLine="0"/>
        <w:jc w:val="center"/>
        <w:rPr>
          <w:b/>
        </w:rPr>
      </w:pPr>
      <w:r w:rsidRPr="00813409">
        <w:rPr>
          <w:b/>
        </w:rPr>
        <w:t>SÚHRN CHARAKTERISTICKÝCH VLASTNOSTÍ LIEKU</w:t>
      </w:r>
    </w:p>
    <w:p w:rsidR="009C39F3" w:rsidRPr="00813409" w:rsidRDefault="009C39F3" w:rsidP="008C1DB1">
      <w:pPr>
        <w:ind w:left="0" w:firstLine="0"/>
        <w:jc w:val="center"/>
        <w:rPr>
          <w:b/>
        </w:rPr>
      </w:pPr>
    </w:p>
    <w:p w:rsidR="009C39F3" w:rsidRPr="00813409" w:rsidRDefault="009C39F3" w:rsidP="008C1DB1">
      <w:pPr>
        <w:ind w:left="0" w:firstLine="0"/>
        <w:jc w:val="center"/>
        <w:rPr>
          <w:b/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1.</w:t>
      </w:r>
      <w:r w:rsidRPr="00813409">
        <w:rPr>
          <w:b/>
          <w:szCs w:val="22"/>
        </w:rPr>
        <w:tab/>
        <w:t>NÁZOV LIEKU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37584C" w:rsidP="008C1DB1">
      <w:pPr>
        <w:ind w:left="0" w:firstLine="0"/>
      </w:pPr>
      <w:proofErr w:type="spellStart"/>
      <w:r w:rsidRPr="00813409">
        <w:t>Valganciclovir</w:t>
      </w:r>
      <w:proofErr w:type="spellEnd"/>
      <w:r w:rsidRPr="00813409">
        <w:t xml:space="preserve"> Mylan</w:t>
      </w:r>
      <w:r w:rsidR="009C39F3" w:rsidRPr="00813409">
        <w:rPr>
          <w:vertAlign w:val="superscript"/>
        </w:rPr>
        <w:t xml:space="preserve"> </w:t>
      </w:r>
      <w:r w:rsidR="006D2423" w:rsidRPr="00813409">
        <w:t>450 mg</w:t>
      </w:r>
    </w:p>
    <w:p w:rsidR="00835964" w:rsidRPr="00813409" w:rsidRDefault="00835964" w:rsidP="008C1DB1">
      <w:pPr>
        <w:ind w:left="0" w:firstLine="0"/>
      </w:pPr>
      <w:r w:rsidRPr="00813409">
        <w:t>filmom obalené tablety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2.</w:t>
      </w:r>
      <w:r w:rsidRPr="00813409">
        <w:rPr>
          <w:b/>
          <w:szCs w:val="22"/>
        </w:rPr>
        <w:tab/>
        <w:t>KVALITATÍVNE A KVANTITATÍVNE ZLOŽENIE</w:t>
      </w:r>
    </w:p>
    <w:p w:rsidR="009C39F3" w:rsidRPr="00813409" w:rsidRDefault="009C39F3" w:rsidP="008C1DB1">
      <w:pPr>
        <w:ind w:left="0" w:firstLine="0"/>
      </w:pPr>
    </w:p>
    <w:p w:rsidR="009C39F3" w:rsidRPr="00813409" w:rsidRDefault="002E5967" w:rsidP="008C1DB1">
      <w:pPr>
        <w:ind w:left="0" w:firstLine="0"/>
      </w:pPr>
      <w:r>
        <w:t>Každá</w:t>
      </w:r>
      <w:r w:rsidR="003732E9" w:rsidRPr="00813409">
        <w:t xml:space="preserve"> </w:t>
      </w:r>
      <w:r w:rsidR="009C39F3" w:rsidRPr="00813409">
        <w:t>tableta obsahuje 4</w:t>
      </w:r>
      <w:r w:rsidR="0037584C" w:rsidRPr="00813409">
        <w:t>50</w:t>
      </w:r>
      <w:r w:rsidR="009C39F3" w:rsidRPr="00813409">
        <w:t xml:space="preserve"> mg </w:t>
      </w:r>
      <w:proofErr w:type="spellStart"/>
      <w:r w:rsidR="0037584C" w:rsidRPr="00813409">
        <w:t>valgancikloviru</w:t>
      </w:r>
      <w:proofErr w:type="spellEnd"/>
      <w:r w:rsidR="0037584C" w:rsidRPr="00813409">
        <w:t xml:space="preserve"> (vo forme </w:t>
      </w:r>
      <w:proofErr w:type="spellStart"/>
      <w:r w:rsidR="00511F79" w:rsidRPr="00813409">
        <w:t>valganciklovírium</w:t>
      </w:r>
      <w:r w:rsidR="009C39F3" w:rsidRPr="00813409">
        <w:t>chloridu</w:t>
      </w:r>
      <w:proofErr w:type="spellEnd"/>
      <w:r w:rsidR="0037584C" w:rsidRPr="00813409">
        <w:t>)</w:t>
      </w:r>
      <w:r w:rsidR="009C39F3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Cs/>
        </w:rPr>
      </w:pPr>
      <w:r w:rsidRPr="00813409">
        <w:t xml:space="preserve">Úplný zoznam pomocných látok, pozri časť </w:t>
      </w:r>
      <w:r w:rsidRPr="00813409">
        <w:rPr>
          <w:iCs/>
        </w:rPr>
        <w:t>6.1.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caps/>
          <w:szCs w:val="22"/>
        </w:rPr>
      </w:pPr>
      <w:r w:rsidRPr="00813409">
        <w:rPr>
          <w:b/>
          <w:szCs w:val="22"/>
        </w:rPr>
        <w:t>3.</w:t>
      </w:r>
      <w:r w:rsidRPr="00813409">
        <w:rPr>
          <w:b/>
          <w:szCs w:val="22"/>
        </w:rPr>
        <w:tab/>
        <w:t>LIEKOVÁ FORMA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>Filmom obalen</w:t>
      </w:r>
      <w:r w:rsidR="0075585E" w:rsidRPr="00813409">
        <w:t>á</w:t>
      </w:r>
      <w:r w:rsidRPr="00813409">
        <w:t xml:space="preserve"> tablet</w:t>
      </w:r>
      <w:r w:rsidR="0075585E" w:rsidRPr="00813409">
        <w:t>a</w:t>
      </w:r>
      <w:r w:rsidR="0037584C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Ružové, </w:t>
      </w:r>
      <w:r w:rsidR="0037584C" w:rsidRPr="00813409">
        <w:t>oválne, bi</w:t>
      </w:r>
      <w:r w:rsidRPr="00813409">
        <w:t>konvexné, filmom obalené tablety</w:t>
      </w:r>
      <w:r w:rsidR="0037584C" w:rsidRPr="00813409">
        <w:t xml:space="preserve"> so skosenými okrajmi a </w:t>
      </w:r>
      <w:r w:rsidRPr="00813409">
        <w:t>s vytlačeným označením „</w:t>
      </w:r>
      <w:r w:rsidR="0037584C" w:rsidRPr="00813409">
        <w:t>M</w:t>
      </w:r>
      <w:r w:rsidRPr="00813409">
        <w:t xml:space="preserve">“ na jednej strane </w:t>
      </w:r>
      <w:r w:rsidR="0037584C" w:rsidRPr="00813409">
        <w:t xml:space="preserve">tablety </w:t>
      </w:r>
      <w:r w:rsidRPr="00813409">
        <w:t>a „</w:t>
      </w:r>
      <w:r w:rsidR="0037584C" w:rsidRPr="00813409">
        <w:t>V</w:t>
      </w:r>
      <w:r w:rsidRPr="00813409">
        <w:t>45“ na druhej strane</w:t>
      </w:r>
      <w:r w:rsidR="0037584C" w:rsidRPr="00813409">
        <w:t>, s rozmermi 18,4 mm x 8,4 mm</w:t>
      </w:r>
      <w:r w:rsidRPr="00813409"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caps/>
          <w:szCs w:val="22"/>
        </w:rPr>
      </w:pPr>
      <w:r w:rsidRPr="00813409">
        <w:rPr>
          <w:b/>
          <w:caps/>
          <w:szCs w:val="22"/>
        </w:rPr>
        <w:t>4.</w:t>
      </w:r>
      <w:r w:rsidRPr="00813409">
        <w:rPr>
          <w:b/>
          <w:caps/>
          <w:szCs w:val="22"/>
        </w:rPr>
        <w:tab/>
        <w:t>KLINICKÉ ÚDAJE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4.1</w:t>
      </w:r>
      <w:r w:rsidRPr="00813409">
        <w:rPr>
          <w:b/>
          <w:szCs w:val="22"/>
        </w:rPr>
        <w:tab/>
        <w:t>Terapeutické indikácie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37584C" w:rsidP="008C1DB1">
      <w:pPr>
        <w:ind w:left="0" w:firstLine="0"/>
      </w:pPr>
      <w:proofErr w:type="spellStart"/>
      <w:r w:rsidRPr="00813409">
        <w:t>Valganciclovir</w:t>
      </w:r>
      <w:proofErr w:type="spellEnd"/>
      <w:r w:rsidRPr="00813409">
        <w:t xml:space="preserve"> Mylan</w:t>
      </w:r>
      <w:r w:rsidR="009C39F3" w:rsidRPr="00813409">
        <w:t xml:space="preserve"> je indikovaný na indukčnú a udržiavaciu liečbu </w:t>
      </w:r>
      <w:proofErr w:type="spellStart"/>
      <w:r w:rsidR="009C39F3" w:rsidRPr="00813409">
        <w:t>cytomegalovírusovej</w:t>
      </w:r>
      <w:proofErr w:type="spellEnd"/>
      <w:r w:rsidR="009C39F3" w:rsidRPr="00813409">
        <w:t xml:space="preserve"> (CMV) </w:t>
      </w:r>
      <w:proofErr w:type="spellStart"/>
      <w:r w:rsidR="009C39F3" w:rsidRPr="00813409">
        <w:t>retinitídy</w:t>
      </w:r>
      <w:proofErr w:type="spellEnd"/>
      <w:r w:rsidR="009C39F3" w:rsidRPr="00813409">
        <w:t xml:space="preserve"> u</w:t>
      </w:r>
      <w:r w:rsidR="009F4536" w:rsidRPr="00813409">
        <w:t xml:space="preserve"> dospelých </w:t>
      </w:r>
      <w:r w:rsidR="00C616F4" w:rsidRPr="00813409">
        <w:t xml:space="preserve">pacientov so získaným syndrómom </w:t>
      </w:r>
      <w:proofErr w:type="spellStart"/>
      <w:r w:rsidR="00C616F4" w:rsidRPr="00813409">
        <w:t>imunodeficiencie</w:t>
      </w:r>
      <w:proofErr w:type="spellEnd"/>
      <w:r w:rsidR="00C616F4" w:rsidRPr="00813409">
        <w:t xml:space="preserve"> (AIDS).</w:t>
      </w:r>
    </w:p>
    <w:p w:rsidR="009C39F3" w:rsidRPr="00813409" w:rsidRDefault="009C39F3" w:rsidP="008C1DB1">
      <w:pPr>
        <w:ind w:left="0" w:firstLine="0"/>
        <w:rPr>
          <w:b/>
        </w:rPr>
      </w:pPr>
    </w:p>
    <w:p w:rsidR="009C39F3" w:rsidRPr="00813409" w:rsidRDefault="0037584C" w:rsidP="008C1DB1">
      <w:pPr>
        <w:ind w:left="0" w:firstLine="0"/>
      </w:pPr>
      <w:proofErr w:type="spellStart"/>
      <w:r w:rsidRPr="00813409">
        <w:t>Valganciclovir</w:t>
      </w:r>
      <w:proofErr w:type="spellEnd"/>
      <w:r w:rsidRPr="00813409">
        <w:t xml:space="preserve"> Mylan</w:t>
      </w:r>
      <w:r w:rsidR="009C39F3" w:rsidRPr="00813409">
        <w:t xml:space="preserve"> je indikovaný na prevenciu CMV ochorenia u CMV-negatívnych </w:t>
      </w:r>
      <w:r w:rsidR="009F4536" w:rsidRPr="00813409">
        <w:rPr>
          <w:szCs w:val="22"/>
        </w:rPr>
        <w:t>dospelých a detí (vo veku od narodenia do 18 rokov)</w:t>
      </w:r>
      <w:r w:rsidR="009C39F3" w:rsidRPr="00813409">
        <w:t>, ktorí dostali transplantát solídneho orgánu od CMV-pozitívneho darcu.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b/>
          <w:szCs w:val="22"/>
        </w:rPr>
      </w:pPr>
      <w:r w:rsidRPr="00813409">
        <w:rPr>
          <w:b/>
          <w:szCs w:val="22"/>
        </w:rPr>
        <w:t>4.2</w:t>
      </w:r>
      <w:r w:rsidRPr="00813409">
        <w:rPr>
          <w:b/>
          <w:szCs w:val="22"/>
        </w:rPr>
        <w:tab/>
        <w:t>Dávkovanie a spôsob podávania</w:t>
      </w:r>
    </w:p>
    <w:p w:rsidR="0075585E" w:rsidRPr="00813409" w:rsidRDefault="0075585E" w:rsidP="0075585E">
      <w:pPr>
        <w:ind w:left="0" w:firstLine="0"/>
      </w:pPr>
    </w:p>
    <w:p w:rsidR="009C39F3" w:rsidRPr="00813409" w:rsidRDefault="009C39F3" w:rsidP="008C1DB1">
      <w:pPr>
        <w:ind w:left="0" w:firstLine="0"/>
        <w:rPr>
          <w:b/>
          <w:i/>
        </w:rPr>
      </w:pPr>
      <w:r w:rsidRPr="00813409">
        <w:rPr>
          <w:b/>
        </w:rPr>
        <w:t>Upozornenie - nevyhnutné je prísne dodržiavanie odporúčaných dávok, aby sa predišlo predávkovaniu</w:t>
      </w:r>
      <w:r w:rsidR="00BE47DF" w:rsidRPr="00813409">
        <w:rPr>
          <w:b/>
        </w:rPr>
        <w:t xml:space="preserve"> (</w:t>
      </w:r>
      <w:r w:rsidRPr="00813409">
        <w:rPr>
          <w:b/>
        </w:rPr>
        <w:t xml:space="preserve">pozri časti </w:t>
      </w:r>
      <w:smartTag w:uri="urn:schemas-microsoft-com:office:smarttags" w:element="metricconverter">
        <w:smartTagPr>
          <w:attr w:name="ProductID" w:val="4.4 a"/>
        </w:smartTagPr>
        <w:r w:rsidRPr="00813409">
          <w:rPr>
            <w:b/>
          </w:rPr>
          <w:t>4.4 a</w:t>
        </w:r>
      </w:smartTag>
      <w:r w:rsidRPr="00813409">
        <w:rPr>
          <w:b/>
        </w:rPr>
        <w:t xml:space="preserve"> 4.9</w:t>
      </w:r>
      <w:r w:rsidR="00BE47DF" w:rsidRPr="00813409">
        <w:rPr>
          <w:b/>
        </w:rPr>
        <w:t>)</w:t>
      </w:r>
      <w:r w:rsidRPr="00813409">
        <w:rPr>
          <w:b/>
        </w:rPr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6D2423" w:rsidP="008C1DB1">
      <w:pPr>
        <w:ind w:left="0" w:firstLine="0"/>
      </w:pPr>
      <w:proofErr w:type="spellStart"/>
      <w:r w:rsidRPr="00813409">
        <w:t>Valgancic</w:t>
      </w:r>
      <w:r w:rsidR="009C39F3" w:rsidRPr="00813409">
        <w:t>lovir</w:t>
      </w:r>
      <w:proofErr w:type="spellEnd"/>
      <w:r w:rsidR="009C39F3" w:rsidRPr="00813409">
        <w:t xml:space="preserve"> </w:t>
      </w:r>
      <w:r w:rsidR="0037584C" w:rsidRPr="00813409">
        <w:t xml:space="preserve">Mylan </w:t>
      </w:r>
      <w:r w:rsidR="009C39F3" w:rsidRPr="00813409">
        <w:t xml:space="preserve">sa po perorálnom podaní rýchlo a vo veľkej miere metabolizuje na </w:t>
      </w:r>
      <w:proofErr w:type="spellStart"/>
      <w:r w:rsidR="009C39F3" w:rsidRPr="00813409">
        <w:t>ganciklovir</w:t>
      </w:r>
      <w:proofErr w:type="spellEnd"/>
      <w:r w:rsidR="009C39F3" w:rsidRPr="00813409">
        <w:t>.</w:t>
      </w:r>
      <w:r w:rsidRPr="00813409">
        <w:t xml:space="preserve"> </w:t>
      </w:r>
      <w:r w:rsidR="009C39F3" w:rsidRPr="00813409">
        <w:t xml:space="preserve">Perorálne podaný </w:t>
      </w:r>
      <w:proofErr w:type="spellStart"/>
      <w:r w:rsidR="009C39F3" w:rsidRPr="00813409">
        <w:t>valganciklovir</w:t>
      </w:r>
      <w:proofErr w:type="spellEnd"/>
      <w:r w:rsidR="009C39F3" w:rsidRPr="00813409">
        <w:t xml:space="preserve"> v dávke 900 mg dvakrát denne je terapeuticky zhodný s intravenózne podaným </w:t>
      </w:r>
      <w:proofErr w:type="spellStart"/>
      <w:r w:rsidR="009C39F3" w:rsidRPr="00813409">
        <w:t>ganciklovirom</w:t>
      </w:r>
      <w:proofErr w:type="spellEnd"/>
      <w:r w:rsidR="009C39F3" w:rsidRPr="00813409">
        <w:t xml:space="preserve"> v dávke 5 mg/kg dvakrát denne.</w:t>
      </w:r>
    </w:p>
    <w:p w:rsidR="0037584C" w:rsidRPr="00813409" w:rsidRDefault="0037584C" w:rsidP="0037584C">
      <w:pPr>
        <w:ind w:left="0" w:firstLine="0"/>
        <w:rPr>
          <w:u w:val="single"/>
        </w:rPr>
      </w:pPr>
    </w:p>
    <w:p w:rsidR="0037584C" w:rsidRPr="00813409" w:rsidRDefault="0037584C" w:rsidP="0037584C">
      <w:pPr>
        <w:ind w:left="0" w:firstLine="0"/>
        <w:rPr>
          <w:u w:val="single"/>
        </w:rPr>
      </w:pPr>
      <w:r w:rsidRPr="00813409">
        <w:rPr>
          <w:u w:val="single"/>
        </w:rPr>
        <w:t>Dávkovanie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9F4536" w:rsidP="008C1DB1">
      <w:pPr>
        <w:ind w:left="0" w:firstLine="0"/>
        <w:rPr>
          <w:u w:val="single"/>
        </w:rPr>
      </w:pPr>
      <w:r w:rsidRPr="00813409">
        <w:rPr>
          <w:b/>
          <w:szCs w:val="22"/>
        </w:rPr>
        <w:t xml:space="preserve">Liečba </w:t>
      </w:r>
      <w:proofErr w:type="spellStart"/>
      <w:r w:rsidRPr="00813409">
        <w:rPr>
          <w:b/>
          <w:szCs w:val="22"/>
        </w:rPr>
        <w:t>cytomegalovírusovej</w:t>
      </w:r>
      <w:proofErr w:type="spellEnd"/>
      <w:r w:rsidRPr="00813409">
        <w:rPr>
          <w:b/>
          <w:szCs w:val="22"/>
        </w:rPr>
        <w:t xml:space="preserve"> (CMV) </w:t>
      </w:r>
      <w:proofErr w:type="spellStart"/>
      <w:r w:rsidRPr="00813409">
        <w:rPr>
          <w:b/>
          <w:szCs w:val="22"/>
        </w:rPr>
        <w:t>retinitídy</w:t>
      </w:r>
      <w:proofErr w:type="spellEnd"/>
    </w:p>
    <w:p w:rsidR="009F4536" w:rsidRPr="00813409" w:rsidRDefault="009F4536" w:rsidP="007C342D">
      <w:pPr>
        <w:rPr>
          <w:i/>
          <w:szCs w:val="22"/>
        </w:rPr>
      </w:pPr>
      <w:r w:rsidRPr="00813409">
        <w:rPr>
          <w:i/>
          <w:szCs w:val="22"/>
        </w:rPr>
        <w:t>Dospelí pacienti</w:t>
      </w:r>
    </w:p>
    <w:p w:rsidR="009F4536" w:rsidRPr="00813409" w:rsidRDefault="009F4536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 xml:space="preserve">Indukčná liečba CMV </w:t>
      </w:r>
      <w:proofErr w:type="spellStart"/>
      <w:r w:rsidRPr="00813409">
        <w:rPr>
          <w:i/>
        </w:rPr>
        <w:t>retinitídy</w:t>
      </w:r>
      <w:proofErr w:type="spellEnd"/>
      <w:r w:rsidR="0037584C" w:rsidRPr="00813409">
        <w:rPr>
          <w:i/>
        </w:rPr>
        <w:t>:</w:t>
      </w:r>
    </w:p>
    <w:p w:rsidR="00D72B65" w:rsidRPr="00813409" w:rsidRDefault="009C39F3" w:rsidP="00F84686">
      <w:pPr>
        <w:ind w:left="0" w:firstLine="0"/>
        <w:rPr>
          <w:i/>
        </w:rPr>
      </w:pPr>
      <w:r w:rsidRPr="00813409">
        <w:t xml:space="preserve">U pacientov s aktívnou CMV </w:t>
      </w:r>
      <w:proofErr w:type="spellStart"/>
      <w:r w:rsidRPr="00813409">
        <w:t>retinitídou</w:t>
      </w:r>
      <w:proofErr w:type="spellEnd"/>
      <w:r w:rsidRPr="00813409">
        <w:t xml:space="preserve"> sa odporúča dávka 900</w:t>
      </w:r>
      <w:r w:rsidR="00CE49D8" w:rsidRPr="00813409">
        <w:t> </w:t>
      </w:r>
      <w:r w:rsidRPr="00813409">
        <w:t xml:space="preserve">mg </w:t>
      </w:r>
      <w:proofErr w:type="spellStart"/>
      <w:r w:rsidRPr="00813409">
        <w:t>valgancikloviru</w:t>
      </w:r>
      <w:proofErr w:type="spellEnd"/>
      <w:r w:rsidRPr="00813409">
        <w:t xml:space="preserve"> (dve tablety </w:t>
      </w:r>
      <w:proofErr w:type="spellStart"/>
      <w:r w:rsidR="0037584C" w:rsidRPr="00813409">
        <w:t>Valgancicloviru</w:t>
      </w:r>
      <w:proofErr w:type="spellEnd"/>
      <w:r w:rsidR="0037584C" w:rsidRPr="00813409">
        <w:t xml:space="preserve"> Mylan</w:t>
      </w:r>
      <w:r w:rsidRPr="00813409">
        <w:t>) dvakrát denne počas 21 dní, pričom vždy, keď je to možné, má sa užiť spolu s jedlom. Predĺženie indukčnej liečby môže zvýšiť riziko toxicity na kostnú dreň (pozri časť 4.4)</w:t>
      </w:r>
      <w:r w:rsidRPr="00813409">
        <w:rPr>
          <w:i/>
        </w:rPr>
        <w:t>.</w:t>
      </w:r>
    </w:p>
    <w:p w:rsidR="00D72B65" w:rsidRPr="00813409" w:rsidRDefault="00D72B65" w:rsidP="007C342D">
      <w:pPr>
        <w:keepNext/>
        <w:keepLines/>
        <w:ind w:left="0" w:firstLine="0"/>
        <w:rPr>
          <w:i/>
        </w:rPr>
      </w:pPr>
    </w:p>
    <w:p w:rsidR="009C39F3" w:rsidRPr="00813409" w:rsidRDefault="009C39F3" w:rsidP="007C342D">
      <w:pPr>
        <w:keepNext/>
        <w:keepLines/>
        <w:ind w:left="0" w:firstLine="0"/>
        <w:rPr>
          <w:i/>
        </w:rPr>
      </w:pPr>
      <w:r w:rsidRPr="00813409">
        <w:rPr>
          <w:i/>
        </w:rPr>
        <w:t xml:space="preserve">Udržiavacia liečba CMV </w:t>
      </w:r>
      <w:proofErr w:type="spellStart"/>
      <w:r w:rsidRPr="00813409">
        <w:rPr>
          <w:i/>
        </w:rPr>
        <w:t>retinitídy</w:t>
      </w:r>
      <w:proofErr w:type="spellEnd"/>
      <w:r w:rsidR="0037584C" w:rsidRPr="00813409">
        <w:rPr>
          <w:i/>
        </w:rPr>
        <w:t>:</w:t>
      </w:r>
    </w:p>
    <w:p w:rsidR="009C39F3" w:rsidRPr="00813409" w:rsidRDefault="009C39F3" w:rsidP="00F84686">
      <w:pPr>
        <w:keepNext/>
        <w:keepLines/>
        <w:ind w:left="0" w:firstLine="0"/>
      </w:pPr>
      <w:r w:rsidRPr="00813409">
        <w:t>Po indukčnej liečbe alebo u pacientov s </w:t>
      </w:r>
      <w:proofErr w:type="spellStart"/>
      <w:r w:rsidRPr="00813409">
        <w:t>inaktívnou</w:t>
      </w:r>
      <w:proofErr w:type="spellEnd"/>
      <w:r w:rsidRPr="00813409">
        <w:t xml:space="preserve"> CMV </w:t>
      </w:r>
      <w:proofErr w:type="spellStart"/>
      <w:r w:rsidRPr="00813409">
        <w:t>retinitídou</w:t>
      </w:r>
      <w:proofErr w:type="spellEnd"/>
      <w:r w:rsidRPr="00813409">
        <w:t xml:space="preserve"> sa odporúča dávka 900 mg </w:t>
      </w:r>
      <w:proofErr w:type="spellStart"/>
      <w:r w:rsidRPr="00813409">
        <w:t>valgancikloviru</w:t>
      </w:r>
      <w:proofErr w:type="spellEnd"/>
      <w:r w:rsidRPr="00813409">
        <w:t xml:space="preserve"> (dve tablety </w:t>
      </w:r>
      <w:proofErr w:type="spellStart"/>
      <w:r w:rsidR="0037584C" w:rsidRPr="00813409">
        <w:t>Valganciclovir</w:t>
      </w:r>
      <w:r w:rsidR="00A5625E" w:rsidRPr="00813409">
        <w:t>u</w:t>
      </w:r>
      <w:proofErr w:type="spellEnd"/>
      <w:r w:rsidR="0037584C" w:rsidRPr="00813409">
        <w:t xml:space="preserve"> Mylan</w:t>
      </w:r>
      <w:r w:rsidRPr="00813409">
        <w:t xml:space="preserve">) jedenkrát denne, pričom vždy, keď je to možné, má sa užiť spolu s jedlom. U pacientov, u ktorých sa </w:t>
      </w:r>
      <w:proofErr w:type="spellStart"/>
      <w:r w:rsidRPr="00813409">
        <w:t>retinitída</w:t>
      </w:r>
      <w:proofErr w:type="spellEnd"/>
      <w:r w:rsidRPr="00813409">
        <w:t xml:space="preserve"> zhorší, môže sa indukčná liečba zopakovať. V takýchto prípadoch sa má </w:t>
      </w:r>
      <w:r w:rsidR="00235628" w:rsidRPr="00813409">
        <w:t xml:space="preserve">však </w:t>
      </w:r>
      <w:r w:rsidRPr="00813409">
        <w:t>uvažovať aj o možnosti vírusovej rezistencie na dané liečivo.</w:t>
      </w:r>
    </w:p>
    <w:p w:rsidR="009C39F3" w:rsidRPr="00813409" w:rsidRDefault="009C39F3" w:rsidP="008C1DB1">
      <w:pPr>
        <w:ind w:left="0" w:firstLine="0"/>
      </w:pPr>
    </w:p>
    <w:p w:rsidR="009F4536" w:rsidRPr="00813409" w:rsidRDefault="009F4536" w:rsidP="00A5625E">
      <w:pPr>
        <w:rPr>
          <w:szCs w:val="22"/>
        </w:rPr>
      </w:pPr>
      <w:r w:rsidRPr="00813409">
        <w:rPr>
          <w:i/>
          <w:szCs w:val="22"/>
        </w:rPr>
        <w:t>Pediatrická populácia</w:t>
      </w:r>
    </w:p>
    <w:p w:rsidR="009F4536" w:rsidRPr="00813409" w:rsidRDefault="009F4536" w:rsidP="009F4536">
      <w:pPr>
        <w:ind w:left="0" w:firstLine="0"/>
        <w:rPr>
          <w:szCs w:val="22"/>
        </w:rPr>
      </w:pPr>
      <w:r w:rsidRPr="00813409">
        <w:rPr>
          <w:szCs w:val="22"/>
        </w:rPr>
        <w:t xml:space="preserve">Bezpečnosť a účinnosť </w:t>
      </w:r>
      <w:proofErr w:type="spellStart"/>
      <w:r w:rsidR="00AF5C95" w:rsidRPr="00813409">
        <w:rPr>
          <w:szCs w:val="22"/>
        </w:rPr>
        <w:t>valgancicloviru</w:t>
      </w:r>
      <w:proofErr w:type="spellEnd"/>
      <w:r w:rsidR="00AF5C95" w:rsidRPr="00813409">
        <w:rPr>
          <w:szCs w:val="22"/>
        </w:rPr>
        <w:t xml:space="preserve"> </w:t>
      </w:r>
      <w:r w:rsidR="00455785" w:rsidRPr="00813409">
        <w:rPr>
          <w:szCs w:val="22"/>
        </w:rPr>
        <w:t>na</w:t>
      </w:r>
      <w:r w:rsidRPr="00813409">
        <w:rPr>
          <w:szCs w:val="22"/>
        </w:rPr>
        <w:t> liečb</w:t>
      </w:r>
      <w:r w:rsidR="00455785" w:rsidRPr="00813409">
        <w:rPr>
          <w:szCs w:val="22"/>
        </w:rPr>
        <w:t>u</w:t>
      </w:r>
      <w:r w:rsidRPr="00813409">
        <w:rPr>
          <w:szCs w:val="22"/>
        </w:rPr>
        <w:t xml:space="preserve"> CMV </w:t>
      </w:r>
      <w:proofErr w:type="spellStart"/>
      <w:r w:rsidRPr="00813409">
        <w:rPr>
          <w:szCs w:val="22"/>
        </w:rPr>
        <w:t>retinitídy</w:t>
      </w:r>
      <w:proofErr w:type="spellEnd"/>
      <w:r w:rsidRPr="00813409">
        <w:rPr>
          <w:szCs w:val="22"/>
        </w:rPr>
        <w:t xml:space="preserve"> neboli stanovené v</w:t>
      </w:r>
      <w:r w:rsidR="00A01B04" w:rsidRPr="00813409">
        <w:rPr>
          <w:szCs w:val="22"/>
        </w:rPr>
        <w:t> </w:t>
      </w:r>
      <w:r w:rsidRPr="00813409">
        <w:rPr>
          <w:szCs w:val="22"/>
        </w:rPr>
        <w:t>primeraných</w:t>
      </w:r>
      <w:r w:rsidR="00A5625E" w:rsidRPr="00813409">
        <w:rPr>
          <w:szCs w:val="22"/>
        </w:rPr>
        <w:t xml:space="preserve"> </w:t>
      </w:r>
      <w:r w:rsidRPr="00813409">
        <w:rPr>
          <w:szCs w:val="22"/>
        </w:rPr>
        <w:t xml:space="preserve">a dobre kontrolovaných klinických štúdiách </w:t>
      </w:r>
      <w:r w:rsidR="00455785" w:rsidRPr="00813409">
        <w:rPr>
          <w:szCs w:val="22"/>
        </w:rPr>
        <w:t>u</w:t>
      </w:r>
      <w:r w:rsidRPr="00813409">
        <w:rPr>
          <w:szCs w:val="22"/>
        </w:rPr>
        <w:t> pediatrický</w:t>
      </w:r>
      <w:r w:rsidR="00455785" w:rsidRPr="00813409">
        <w:rPr>
          <w:szCs w:val="22"/>
        </w:rPr>
        <w:t>ch</w:t>
      </w:r>
      <w:r w:rsidRPr="00813409">
        <w:rPr>
          <w:szCs w:val="22"/>
        </w:rPr>
        <w:t xml:space="preserve"> pacient</w:t>
      </w:r>
      <w:r w:rsidR="00455785" w:rsidRPr="00813409">
        <w:rPr>
          <w:szCs w:val="22"/>
        </w:rPr>
        <w:t>ov</w:t>
      </w:r>
      <w:r w:rsidRPr="00813409">
        <w:rPr>
          <w:szCs w:val="22"/>
        </w:rPr>
        <w:t>.</w:t>
      </w:r>
    </w:p>
    <w:p w:rsidR="009F4536" w:rsidRPr="00813409" w:rsidRDefault="009F4536" w:rsidP="009F4536">
      <w:pPr>
        <w:ind w:left="0" w:firstLine="0"/>
      </w:pPr>
    </w:p>
    <w:p w:rsidR="009F4536" w:rsidRPr="00813409" w:rsidRDefault="009C39F3" w:rsidP="00AB5CA8">
      <w:pPr>
        <w:ind w:left="0" w:firstLine="0"/>
        <w:rPr>
          <w:szCs w:val="22"/>
        </w:rPr>
      </w:pPr>
      <w:r w:rsidRPr="00813409">
        <w:rPr>
          <w:i/>
        </w:rPr>
        <w:t>Prevencia CMV ochorenia pri transplantácii solídneho orgánu</w:t>
      </w:r>
      <w:r w:rsidR="00A5625E" w:rsidRPr="00813409">
        <w:rPr>
          <w:i/>
        </w:rPr>
        <w:t>:</w:t>
      </w:r>
      <w:bookmarkStart w:id="0" w:name="OLE_LINK1"/>
      <w:bookmarkStart w:id="1" w:name="OLE_LINK2"/>
    </w:p>
    <w:p w:rsidR="009F4536" w:rsidRPr="00813409" w:rsidRDefault="009F4536" w:rsidP="00A5625E">
      <w:pPr>
        <w:rPr>
          <w:szCs w:val="22"/>
        </w:rPr>
      </w:pPr>
      <w:r w:rsidRPr="00813409">
        <w:rPr>
          <w:i/>
          <w:szCs w:val="22"/>
        </w:rPr>
        <w:t>Dospelí pacienti</w:t>
      </w:r>
    </w:p>
    <w:p w:rsidR="009C39F3" w:rsidRPr="00813409" w:rsidRDefault="009C39F3" w:rsidP="00AB5CA8">
      <w:pPr>
        <w:ind w:left="0" w:firstLine="0"/>
        <w:rPr>
          <w:szCs w:val="22"/>
        </w:rPr>
      </w:pPr>
      <w:r w:rsidRPr="00813409">
        <w:rPr>
          <w:szCs w:val="22"/>
        </w:rPr>
        <w:t>Pre pacientov po transplantácii obličky sa odporúča dávka 900</w:t>
      </w:r>
      <w:r w:rsidR="007B3A0D" w:rsidRPr="00813409">
        <w:rPr>
          <w:szCs w:val="22"/>
        </w:rPr>
        <w:t> </w:t>
      </w:r>
      <w:r w:rsidRPr="00813409">
        <w:rPr>
          <w:szCs w:val="22"/>
        </w:rPr>
        <w:t xml:space="preserve">mg (dve tablety </w:t>
      </w:r>
      <w:proofErr w:type="spellStart"/>
      <w:r w:rsidR="0037584C" w:rsidRPr="00813409">
        <w:rPr>
          <w:szCs w:val="22"/>
        </w:rPr>
        <w:t>Valganciclovir</w:t>
      </w:r>
      <w:r w:rsidR="00A5625E" w:rsidRPr="00813409">
        <w:rPr>
          <w:szCs w:val="22"/>
        </w:rPr>
        <w:t>u</w:t>
      </w:r>
      <w:proofErr w:type="spellEnd"/>
      <w:r w:rsidR="0037584C" w:rsidRPr="00813409">
        <w:rPr>
          <w:szCs w:val="22"/>
        </w:rPr>
        <w:t xml:space="preserve"> Mylan</w:t>
      </w:r>
      <w:r w:rsidRPr="00813409">
        <w:rPr>
          <w:szCs w:val="22"/>
        </w:rPr>
        <w:t xml:space="preserve">) raz denne, pričom liečba sa začína v priebehu 10 dní </w:t>
      </w:r>
      <w:r w:rsidR="009F4536" w:rsidRPr="00813409">
        <w:rPr>
          <w:szCs w:val="22"/>
        </w:rPr>
        <w:t>p</w:t>
      </w:r>
      <w:r w:rsidRPr="00813409">
        <w:rPr>
          <w:szCs w:val="22"/>
        </w:rPr>
        <w:t>o transplantáci</w:t>
      </w:r>
      <w:r w:rsidR="009F4536" w:rsidRPr="00813409">
        <w:rPr>
          <w:szCs w:val="22"/>
        </w:rPr>
        <w:t>i</w:t>
      </w:r>
      <w:r w:rsidRPr="00813409">
        <w:rPr>
          <w:szCs w:val="22"/>
        </w:rPr>
        <w:t xml:space="preserve"> a v podávaní sa pokračuje do 100 dní po transplantácii. V profylaxi</w:t>
      </w:r>
      <w:r w:rsidR="004C0454" w:rsidRPr="00813409">
        <w:rPr>
          <w:szCs w:val="22"/>
        </w:rPr>
        <w:t>i</w:t>
      </w:r>
      <w:r w:rsidRPr="00813409">
        <w:rPr>
          <w:szCs w:val="22"/>
        </w:rPr>
        <w:t xml:space="preserve"> možno pokračovať až </w:t>
      </w:r>
      <w:r w:rsidR="00272663" w:rsidRPr="00813409">
        <w:rPr>
          <w:szCs w:val="22"/>
        </w:rPr>
        <w:t xml:space="preserve">do </w:t>
      </w:r>
      <w:r w:rsidRPr="00813409">
        <w:rPr>
          <w:szCs w:val="22"/>
        </w:rPr>
        <w:t>200 dní po transplantácii (pozri čas</w:t>
      </w:r>
      <w:r w:rsidR="006C228E" w:rsidRPr="00813409">
        <w:rPr>
          <w:szCs w:val="22"/>
        </w:rPr>
        <w:t>ti</w:t>
      </w:r>
      <w:r w:rsidR="00F84686" w:rsidRPr="00813409">
        <w:rPr>
          <w:szCs w:val="22"/>
        </w:rPr>
        <w:t xml:space="preserve"> 4.4, 4.8 a 5.1).</w:t>
      </w:r>
    </w:p>
    <w:bookmarkEnd w:id="0"/>
    <w:bookmarkEnd w:id="1"/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</w:pPr>
      <w:r w:rsidRPr="00813409">
        <w:t>Pre pacientov, ktorí dostali transplantát iného solídneho orgánu ako sú obličky, je odporúčaná dávka 900</w:t>
      </w:r>
      <w:r w:rsidR="007B3A0D" w:rsidRPr="00813409">
        <w:t> </w:t>
      </w:r>
      <w:r w:rsidRPr="00813409">
        <w:t xml:space="preserve">mg (dve tablety </w:t>
      </w:r>
      <w:proofErr w:type="spellStart"/>
      <w:r w:rsidR="0037584C" w:rsidRPr="00813409">
        <w:t>Valganciclovir</w:t>
      </w:r>
      <w:r w:rsidR="00A5625E" w:rsidRPr="00813409">
        <w:t>u</w:t>
      </w:r>
      <w:proofErr w:type="spellEnd"/>
      <w:r w:rsidR="0037584C" w:rsidRPr="00813409">
        <w:t xml:space="preserve"> Mylan</w:t>
      </w:r>
      <w:r w:rsidRPr="00813409">
        <w:t>) raz denne. Liečba má začať v priebehu 10 dní po transplantácii a pokračova</w:t>
      </w:r>
      <w:r w:rsidR="00235628" w:rsidRPr="00813409">
        <w:t>ť</w:t>
      </w:r>
      <w:r w:rsidRPr="00813409">
        <w:t xml:space="preserve"> do 100 dní po transplantácii. </w:t>
      </w:r>
    </w:p>
    <w:p w:rsidR="009C39F3" w:rsidRPr="00813409" w:rsidRDefault="009C39F3" w:rsidP="008C1DB1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rPr>
          <w:i/>
        </w:rPr>
        <w:t>Pediatrická populácia</w:t>
      </w:r>
    </w:p>
    <w:p w:rsidR="009F4536" w:rsidRPr="00813409" w:rsidRDefault="009F4536" w:rsidP="009F4536">
      <w:pPr>
        <w:ind w:left="0" w:firstLine="0"/>
        <w:rPr>
          <w:iCs/>
        </w:rPr>
      </w:pPr>
      <w:r w:rsidRPr="00813409">
        <w:t>U pediatrických pacientov po transplantácii solídneho orgánu, vo veku od narodenia, ktorí sú vystavení riziku vzniku CMV ochorenia, vychádza odporúčaná dávka</w:t>
      </w:r>
      <w:r w:rsidR="006869D4" w:rsidRPr="00813409">
        <w:t xml:space="preserve"> </w:t>
      </w:r>
      <w:proofErr w:type="spellStart"/>
      <w:r w:rsidR="00A5625E" w:rsidRPr="00813409">
        <w:t>valgancik</w:t>
      </w:r>
      <w:r w:rsidR="0037584C" w:rsidRPr="00813409">
        <w:t>lovir</w:t>
      </w:r>
      <w:r w:rsidR="00A5625E" w:rsidRPr="00813409">
        <w:t>u</w:t>
      </w:r>
      <w:proofErr w:type="spellEnd"/>
      <w:r w:rsidR="0037584C" w:rsidRPr="00813409">
        <w:t xml:space="preserve"> </w:t>
      </w:r>
      <w:r w:rsidRPr="00813409">
        <w:t xml:space="preserve">podávaná jedenkrát denne z plochy povrchu tela (BSA) a z </w:t>
      </w:r>
      <w:proofErr w:type="spellStart"/>
      <w:r w:rsidRPr="00813409">
        <w:t>klírensu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 xml:space="preserve"> (odvodeného zo </w:t>
      </w:r>
      <w:proofErr w:type="spellStart"/>
      <w:r w:rsidRPr="00813409">
        <w:t>Schwartzovho</w:t>
      </w:r>
      <w:proofErr w:type="spellEnd"/>
      <w:r w:rsidRPr="00813409">
        <w:t xml:space="preserve"> vzorca (</w:t>
      </w:r>
      <w:proofErr w:type="spellStart"/>
      <w:r w:rsidRPr="00813409">
        <w:t>CrCLS</w:t>
      </w:r>
      <w:proofErr w:type="spellEnd"/>
      <w:r w:rsidRPr="00813409">
        <w:t>) a je vypočítaná pomocou nižšie uvedenej rovnice:</w: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t>Pediatrická dávka (mg) = 7 x BSA x </w:t>
      </w:r>
      <w:proofErr w:type="spellStart"/>
      <w:r w:rsidRPr="00813409">
        <w:t>CrCLS</w:t>
      </w:r>
      <w:proofErr w:type="spellEnd"/>
      <w:r w:rsidRPr="00813409">
        <w:t xml:space="preserve"> (pozri nižšie uvedený </w:t>
      </w:r>
      <w:proofErr w:type="spellStart"/>
      <w:r w:rsidRPr="00813409">
        <w:t>Mostellerov</w:t>
      </w:r>
      <w:proofErr w:type="spellEnd"/>
      <w:r w:rsidRPr="00813409">
        <w:t xml:space="preserve"> vzorec pre BSA a Schwartzov vzorec pre </w:t>
      </w:r>
      <w:proofErr w:type="spellStart"/>
      <w:r w:rsidRPr="00813409">
        <w:t>klírens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>).</w: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t xml:space="preserve">Ak </w:t>
      </w:r>
      <w:proofErr w:type="spellStart"/>
      <w:r w:rsidR="00455785" w:rsidRPr="00813409">
        <w:t>klírens</w:t>
      </w:r>
      <w:proofErr w:type="spellEnd"/>
      <w:r w:rsidR="00455785" w:rsidRPr="00813409">
        <w:t xml:space="preserve"> </w:t>
      </w:r>
      <w:proofErr w:type="spellStart"/>
      <w:r w:rsidR="00455785" w:rsidRPr="00813409">
        <w:t>kreatinínu</w:t>
      </w:r>
      <w:proofErr w:type="spellEnd"/>
      <w:r w:rsidR="00455785" w:rsidRPr="00813409">
        <w:t xml:space="preserve"> vypočítaný </w:t>
      </w:r>
      <w:r w:rsidR="006869D4" w:rsidRPr="00813409">
        <w:t xml:space="preserve">pomocou </w:t>
      </w:r>
      <w:proofErr w:type="spellStart"/>
      <w:r w:rsidR="006869D4" w:rsidRPr="00813409">
        <w:t>Schwartzovho</w:t>
      </w:r>
      <w:proofErr w:type="spellEnd"/>
      <w:r w:rsidR="006869D4" w:rsidRPr="00813409">
        <w:t xml:space="preserve"> vzorca </w:t>
      </w:r>
      <w:r w:rsidRPr="00813409">
        <w:t>prevyšuje 150 ml/min/1,73 m</w:t>
      </w:r>
      <w:r w:rsidRPr="00813409">
        <w:rPr>
          <w:vertAlign w:val="superscript"/>
        </w:rPr>
        <w:t>2</w:t>
      </w:r>
      <w:r w:rsidRPr="00813409">
        <w:t>, potom sa má v rovnici použiť maximálna hodnota 150 ml/min/1,73 m</w:t>
      </w:r>
      <w:r w:rsidRPr="00813409">
        <w:rPr>
          <w:vertAlign w:val="superscript"/>
        </w:rPr>
        <w:t>2</w:t>
      </w:r>
      <w:r w:rsidRPr="00813409">
        <w:t>.</w:t>
      </w:r>
    </w:p>
    <w:p w:rsidR="009F4536" w:rsidRPr="00813409" w:rsidRDefault="009F4536" w:rsidP="009F4536">
      <w:pPr>
        <w:ind w:left="0" w:firstLine="0"/>
      </w:pPr>
    </w:p>
    <w:p w:rsidR="009F4536" w:rsidRPr="00813409" w:rsidRDefault="00F84686" w:rsidP="009F4536">
      <w:pPr>
        <w:ind w:left="0" w:firstLine="0"/>
      </w:pPr>
      <w:r w:rsidRPr="00813409">
        <w:rPr>
          <w:position w:val="-32"/>
        </w:rPr>
        <w:object w:dxaOrig="65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pt;height:38.25pt" o:ole="" filled="t">
            <v:imagedata r:id="rId8" o:title=""/>
          </v:shape>
          <o:OLEObject Type="Embed" ProgID="Equation.3" ShapeID="_x0000_i1025" DrawAspect="Content" ObjectID="_1589262583" r:id="rId9"/>
        </w:objec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object w:dxaOrig="7720" w:dyaOrig="680">
          <v:shape id="_x0000_i1026" type="#_x0000_t75" style="width:384.75pt;height:33.75pt" o:ole="" fillcolor="window">
            <v:imagedata r:id="rId10" o:title=""/>
          </v:shape>
          <o:OLEObject Type="Embed" ProgID="Equation.3" ShapeID="_x0000_i1026" DrawAspect="Content" ObjectID="_1589262584" r:id="rId11"/>
        </w:objec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t>v ktorom k = 0,45* pre pacientov vo veku &lt; 2 roky, 0,55 pre chlapcov vo veku 2 </w:t>
      </w:r>
      <w:r w:rsidR="00C70026" w:rsidRPr="00813409">
        <w:t>až</w:t>
      </w:r>
      <w:r w:rsidRPr="00813409">
        <w:t> &lt; 13 rokov a dievčatá vo veku 2 </w:t>
      </w:r>
      <w:r w:rsidR="00C70026" w:rsidRPr="00813409">
        <w:t>až</w:t>
      </w:r>
      <w:r w:rsidRPr="00813409">
        <w:t> 16 rokov a 0,7 pre chlapcov vo veku 13 </w:t>
      </w:r>
      <w:r w:rsidR="00C70026" w:rsidRPr="00813409">
        <w:t>až</w:t>
      </w:r>
      <w:r w:rsidRPr="00813409">
        <w:t> 16 rokov. U pacientov starších ako 16 rokov sa treba riadiť dávkovaním pre dospelých.</w:t>
      </w:r>
    </w:p>
    <w:p w:rsidR="009F4536" w:rsidRPr="00813409" w:rsidRDefault="009F4536" w:rsidP="009F4536">
      <w:pPr>
        <w:ind w:left="0" w:firstLine="0"/>
      </w:pPr>
    </w:p>
    <w:p w:rsidR="009F4536" w:rsidRPr="00813409" w:rsidRDefault="00C70026" w:rsidP="009F4536">
      <w:pPr>
        <w:ind w:left="0" w:firstLine="0"/>
        <w:rPr>
          <w:iCs/>
        </w:rPr>
      </w:pPr>
      <w:r w:rsidRPr="00813409">
        <w:rPr>
          <w:iCs/>
        </w:rPr>
        <w:t>Uveden</w:t>
      </w:r>
      <w:r w:rsidR="009F4536" w:rsidRPr="00813409">
        <w:rPr>
          <w:iCs/>
        </w:rPr>
        <w:t>é hodnoty</w:t>
      </w:r>
      <w:r w:rsidR="00CB1CE2">
        <w:rPr>
          <w:iCs/>
        </w:rPr>
        <w:t xml:space="preserve"> </w:t>
      </w:r>
      <w:r w:rsidR="009F4536" w:rsidRPr="00813409">
        <w:rPr>
          <w:iCs/>
        </w:rPr>
        <w:t xml:space="preserve">vychádzajú zo stanovenia sérového </w:t>
      </w:r>
      <w:proofErr w:type="spellStart"/>
      <w:r w:rsidR="009F4536" w:rsidRPr="00813409">
        <w:rPr>
          <w:iCs/>
        </w:rPr>
        <w:t>kreatinínu</w:t>
      </w:r>
      <w:proofErr w:type="spellEnd"/>
      <w:r w:rsidR="009F4536" w:rsidRPr="00813409">
        <w:rPr>
          <w:iCs/>
        </w:rPr>
        <w:t xml:space="preserve"> </w:t>
      </w:r>
      <w:proofErr w:type="spellStart"/>
      <w:r w:rsidRPr="00813409">
        <w:rPr>
          <w:iCs/>
        </w:rPr>
        <w:t>Jaffého</w:t>
      </w:r>
      <w:proofErr w:type="spellEnd"/>
      <w:r w:rsidRPr="00813409">
        <w:rPr>
          <w:iCs/>
        </w:rPr>
        <w:t xml:space="preserve"> </w:t>
      </w:r>
      <w:r w:rsidR="009F4536" w:rsidRPr="00813409">
        <w:rPr>
          <w:iCs/>
        </w:rPr>
        <w:t>metód</w:t>
      </w:r>
      <w:r w:rsidRPr="00813409">
        <w:rPr>
          <w:iCs/>
        </w:rPr>
        <w:t>ou</w:t>
      </w:r>
      <w:r w:rsidR="009F4536" w:rsidRPr="00813409">
        <w:rPr>
          <w:iCs/>
        </w:rPr>
        <w:t xml:space="preserve"> a môžu vyžadovať korekciu, keď sa používajú enzýmové metódy.</w:t>
      </w:r>
    </w:p>
    <w:p w:rsidR="009F4536" w:rsidRPr="00813409" w:rsidRDefault="009F4536" w:rsidP="009F4536">
      <w:pPr>
        <w:ind w:left="0" w:firstLine="0"/>
        <w:rPr>
          <w:iCs/>
        </w:rPr>
      </w:pPr>
    </w:p>
    <w:p w:rsidR="009F4536" w:rsidRPr="00813409" w:rsidRDefault="009F4536" w:rsidP="009F4536">
      <w:pPr>
        <w:ind w:left="0" w:firstLine="0"/>
        <w:rPr>
          <w:iCs/>
        </w:rPr>
      </w:pPr>
      <w:r w:rsidRPr="00813409">
        <w:rPr>
          <w:iCs/>
        </w:rPr>
        <w:t>*</w:t>
      </w:r>
      <w:r w:rsidR="006869D4" w:rsidRPr="00813409">
        <w:rPr>
          <w:iCs/>
        </w:rPr>
        <w:t xml:space="preserve">U niektorých </w:t>
      </w:r>
      <w:proofErr w:type="spellStart"/>
      <w:r w:rsidR="006869D4" w:rsidRPr="00813409">
        <w:rPr>
          <w:iCs/>
        </w:rPr>
        <w:t>subpopuláci</w:t>
      </w:r>
      <w:r w:rsidR="00C70026" w:rsidRPr="00813409">
        <w:rPr>
          <w:iCs/>
        </w:rPr>
        <w:t>í</w:t>
      </w:r>
      <w:proofErr w:type="spellEnd"/>
      <w:r w:rsidR="006869D4" w:rsidRPr="00813409">
        <w:rPr>
          <w:iCs/>
        </w:rPr>
        <w:t xml:space="preserve"> môže byť tiež nutné z</w:t>
      </w:r>
      <w:r w:rsidRPr="00813409">
        <w:rPr>
          <w:iCs/>
        </w:rPr>
        <w:t>níženie hodnoty k (napr. u pediatrických pacientov s nízkou pôrodnou hmotnosťou).</w:t>
      </w:r>
    </w:p>
    <w:p w:rsidR="009F4536" w:rsidRPr="00813409" w:rsidRDefault="009F4536" w:rsidP="009F4536">
      <w:pPr>
        <w:ind w:left="0" w:firstLine="0"/>
        <w:rPr>
          <w:iCs/>
        </w:rPr>
      </w:pPr>
    </w:p>
    <w:p w:rsidR="009F4536" w:rsidRPr="00813409" w:rsidRDefault="009F4536" w:rsidP="009F4536">
      <w:pPr>
        <w:ind w:left="0" w:firstLine="0"/>
      </w:pPr>
      <w:r w:rsidRPr="00813409">
        <w:t xml:space="preserve">U pediatrických pacientov po transplantácii obličky sa má </w:t>
      </w:r>
      <w:r w:rsidR="006869D4" w:rsidRPr="00813409">
        <w:t xml:space="preserve">začať podávať </w:t>
      </w:r>
      <w:r w:rsidRPr="00813409">
        <w:t xml:space="preserve">odporúčaná </w:t>
      </w:r>
      <w:r w:rsidR="006869D4" w:rsidRPr="00813409">
        <w:t>denná dávka (7 x BSA x </w:t>
      </w:r>
      <w:proofErr w:type="spellStart"/>
      <w:r w:rsidR="006869D4" w:rsidRPr="00813409">
        <w:t>CrCLS</w:t>
      </w:r>
      <w:proofErr w:type="spellEnd"/>
      <w:r w:rsidR="006869D4" w:rsidRPr="00813409">
        <w:t xml:space="preserve">) v mg podávaná </w:t>
      </w:r>
      <w:r w:rsidRPr="00813409">
        <w:t>jedenkrát denne v priebehu 10 dní po transplantácii a v jej podávaní sa pokračuje do 200 dní po transplantácii.</w: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lastRenderedPageBreak/>
        <w:t xml:space="preserve">U pediatrických pacientov, ktorí dostali transplantát iného solídneho orgánu ako sú obličky, sa má </w:t>
      </w:r>
      <w:r w:rsidR="006869D4" w:rsidRPr="00813409">
        <w:t xml:space="preserve">začať podávať </w:t>
      </w:r>
      <w:r w:rsidRPr="00813409">
        <w:t xml:space="preserve">odporúčaná </w:t>
      </w:r>
      <w:r w:rsidR="006869D4" w:rsidRPr="00813409">
        <w:t>denná dávka (7 x BSA x </w:t>
      </w:r>
      <w:proofErr w:type="spellStart"/>
      <w:r w:rsidR="006869D4" w:rsidRPr="00813409">
        <w:t>CrCLS</w:t>
      </w:r>
      <w:proofErr w:type="spellEnd"/>
      <w:r w:rsidR="006869D4" w:rsidRPr="00813409">
        <w:t xml:space="preserve">) v mg podávaná </w:t>
      </w:r>
      <w:r w:rsidRPr="00813409">
        <w:t>jedenkrát denne v priebehu 10 dní po transplantácii a v jej podávaní sa pokračuje do 100 dní po transplantácii.</w: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t xml:space="preserve">Všetky vypočítané dávky sa majú zaokrúhliť na najbližší 25 mg prírastok skutočnej </w:t>
      </w:r>
      <w:proofErr w:type="spellStart"/>
      <w:r w:rsidRPr="00813409">
        <w:t>podávateľnej</w:t>
      </w:r>
      <w:proofErr w:type="spellEnd"/>
      <w:r w:rsidRPr="00813409">
        <w:t xml:space="preserve"> dávky. Ak vypočítaná dávka prevyšuje 900 mg, má sa podať maximálna dávka 900 mg. Perorálny roztok je </w:t>
      </w:r>
      <w:r w:rsidR="003B5BC8" w:rsidRPr="00813409">
        <w:t>vhodnejšou</w:t>
      </w:r>
      <w:r w:rsidRPr="00813409">
        <w:t xml:space="preserve"> liekovou formou, pretože </w:t>
      </w:r>
      <w:r w:rsidR="003B5BC8" w:rsidRPr="00813409">
        <w:t>umožň</w:t>
      </w:r>
      <w:r w:rsidRPr="00813409">
        <w:t xml:space="preserve">uje podať dávku vypočítanú podľa vyššie uvedeného vzorca; je však možné použiť tablety </w:t>
      </w:r>
      <w:proofErr w:type="spellStart"/>
      <w:r w:rsidR="0037584C" w:rsidRPr="00813409">
        <w:t>Valganciclovir</w:t>
      </w:r>
      <w:r w:rsidR="00A73E28" w:rsidRPr="00813409">
        <w:t>u</w:t>
      </w:r>
      <w:proofErr w:type="spellEnd"/>
      <w:r w:rsidR="0037584C" w:rsidRPr="00813409">
        <w:t xml:space="preserve"> Mylan</w:t>
      </w:r>
      <w:r w:rsidRPr="00813409">
        <w:t>, ak sú vypočítané dávky v rozmedzí 10 % dostupných dávok v tabletách a pacient je schopný prehĺtať tablety. Napríklad, ak je vypočítaná dávka medzi 405 mg a 495 mg, môže sa užiť jedna 450 mg tableta.</w:t>
      </w:r>
    </w:p>
    <w:p w:rsidR="009F4536" w:rsidRPr="00813409" w:rsidRDefault="009F4536" w:rsidP="009F4536">
      <w:pPr>
        <w:ind w:left="0" w:firstLine="0"/>
      </w:pPr>
    </w:p>
    <w:p w:rsidR="009F4536" w:rsidRPr="00813409" w:rsidRDefault="009F4536" w:rsidP="009F4536">
      <w:pPr>
        <w:ind w:left="0" w:firstLine="0"/>
      </w:pPr>
      <w:r w:rsidRPr="00813409">
        <w:t xml:space="preserve">V období profylaxie sa odporúča pravidelne sledovať hladiny </w:t>
      </w:r>
      <w:proofErr w:type="spellStart"/>
      <w:r w:rsidRPr="00813409">
        <w:t>kreatinínu</w:t>
      </w:r>
      <w:proofErr w:type="spellEnd"/>
      <w:r w:rsidRPr="00813409">
        <w:t xml:space="preserve"> v sére a zohľadňovať zmeny v telesnej výške a v telesnej hmotnosti a náležite upravovať dávku.</w:t>
      </w:r>
    </w:p>
    <w:p w:rsidR="009F4536" w:rsidRPr="00813409" w:rsidRDefault="009F4536" w:rsidP="008C1DB1">
      <w:pPr>
        <w:ind w:left="0" w:firstLine="0"/>
      </w:pPr>
    </w:p>
    <w:p w:rsidR="009C39F3" w:rsidRPr="00813409" w:rsidRDefault="001665A1" w:rsidP="001665A1">
      <w:pPr>
        <w:ind w:left="0" w:firstLine="0"/>
        <w:rPr>
          <w:u w:val="single"/>
        </w:rPr>
      </w:pPr>
      <w:r w:rsidRPr="00813409">
        <w:rPr>
          <w:u w:val="single"/>
        </w:rPr>
        <w:t>Osobitné dávkovacie pokyny</w:t>
      </w:r>
    </w:p>
    <w:p w:rsidR="009C39F3" w:rsidRPr="00813409" w:rsidRDefault="009C39F3" w:rsidP="008C1DB1">
      <w:pPr>
        <w:ind w:left="0" w:firstLine="0"/>
      </w:pPr>
    </w:p>
    <w:p w:rsidR="009C39F3" w:rsidRPr="00813409" w:rsidRDefault="00CE4072" w:rsidP="001665A1">
      <w:pPr>
        <w:ind w:left="0" w:firstLine="0"/>
        <w:rPr>
          <w:i/>
        </w:rPr>
      </w:pPr>
      <w:r>
        <w:rPr>
          <w:i/>
        </w:rPr>
        <w:t>P</w:t>
      </w:r>
      <w:r w:rsidR="001665A1" w:rsidRPr="00813409">
        <w:rPr>
          <w:i/>
        </w:rPr>
        <w:t>oruch</w:t>
      </w:r>
      <w:r>
        <w:rPr>
          <w:i/>
        </w:rPr>
        <w:t>a</w:t>
      </w:r>
      <w:r w:rsidR="001665A1" w:rsidRPr="00813409">
        <w:rPr>
          <w:i/>
        </w:rPr>
        <w:t xml:space="preserve"> funkcie</w:t>
      </w:r>
      <w:r w:rsidR="009C39F3" w:rsidRPr="00813409">
        <w:rPr>
          <w:i/>
        </w:rPr>
        <w:t xml:space="preserve"> obličiek</w:t>
      </w:r>
      <w:r w:rsidR="00D81394" w:rsidRPr="00813409">
        <w:rPr>
          <w:i/>
        </w:rPr>
        <w:t>:</w:t>
      </w:r>
    </w:p>
    <w:p w:rsidR="009C39F3" w:rsidRPr="00813409" w:rsidRDefault="009C39F3" w:rsidP="001665A1">
      <w:pPr>
        <w:ind w:left="0" w:firstLine="0"/>
      </w:pPr>
      <w:r w:rsidRPr="00813409">
        <w:t xml:space="preserve">Hladiny </w:t>
      </w:r>
      <w:proofErr w:type="spellStart"/>
      <w:r w:rsidRPr="00813409">
        <w:t>kreatinínu</w:t>
      </w:r>
      <w:proofErr w:type="spellEnd"/>
      <w:r w:rsidRPr="00813409">
        <w:t xml:space="preserve"> v sére alebo </w:t>
      </w:r>
      <w:proofErr w:type="spellStart"/>
      <w:r w:rsidRPr="00813409">
        <w:t>klírens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 xml:space="preserve"> sa majú starostlivo </w:t>
      </w:r>
      <w:r w:rsidR="00F660C6" w:rsidRPr="00813409">
        <w:t>sledovať</w:t>
      </w:r>
      <w:r w:rsidRPr="00813409">
        <w:t xml:space="preserve">. Podľa </w:t>
      </w:r>
      <w:proofErr w:type="spellStart"/>
      <w:r w:rsidRPr="00813409">
        <w:t>klírens</w:t>
      </w:r>
      <w:r w:rsidR="00E337E0" w:rsidRPr="00813409">
        <w:t>u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 xml:space="preserve"> sa má upravovať dávkovanie, ako </w:t>
      </w:r>
      <w:r w:rsidR="001665A1" w:rsidRPr="00813409">
        <w:t>je uvedené v nasledujúcej tabuľke</w:t>
      </w:r>
      <w:r w:rsidRPr="00813409">
        <w:t xml:space="preserve"> (pozri časti 4.4 a</w:t>
      </w:r>
      <w:r w:rsidR="00235628" w:rsidRPr="00813409">
        <w:t> 5.2)</w:t>
      </w:r>
      <w:r w:rsidR="00D81394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proofErr w:type="spellStart"/>
      <w:r w:rsidRPr="00813409">
        <w:t>Klírens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 xml:space="preserve"> (ml/min) sa dá odhadnúť podľa hodnôt </w:t>
      </w:r>
      <w:proofErr w:type="spellStart"/>
      <w:r w:rsidRPr="00813409">
        <w:t>kreatinínu</w:t>
      </w:r>
      <w:proofErr w:type="spellEnd"/>
      <w:r w:rsidRPr="00813409">
        <w:t xml:space="preserve"> v sére použitím nasledujúcich vzorcov: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>Pre mužov =</w:t>
      </w:r>
      <w:r w:rsidRPr="00813409">
        <w:tab/>
      </w:r>
      <w:r w:rsidRPr="00813409">
        <w:rPr>
          <w:u w:val="single"/>
        </w:rPr>
        <w:t xml:space="preserve">(140 - vek </w:t>
      </w:r>
      <w:r w:rsidRPr="00813409">
        <w:rPr>
          <w:u w:val="single"/>
        </w:rPr>
        <w:sym w:font="Symbol" w:char="005B"/>
      </w:r>
      <w:r w:rsidRPr="00813409">
        <w:rPr>
          <w:u w:val="single"/>
        </w:rPr>
        <w:t>roky</w:t>
      </w:r>
      <w:r w:rsidRPr="00813409">
        <w:rPr>
          <w:u w:val="single"/>
        </w:rPr>
        <w:sym w:font="Symbol" w:char="005D"/>
      </w:r>
      <w:r w:rsidRPr="00813409">
        <w:rPr>
          <w:u w:val="single"/>
        </w:rPr>
        <w:t xml:space="preserve">) x (telesná hmotnosť </w:t>
      </w:r>
      <w:r w:rsidRPr="00813409">
        <w:rPr>
          <w:u w:val="single"/>
        </w:rPr>
        <w:sym w:font="Symbol" w:char="005B"/>
      </w:r>
      <w:r w:rsidRPr="00813409">
        <w:rPr>
          <w:u w:val="single"/>
        </w:rPr>
        <w:t>kg</w:t>
      </w:r>
      <w:r w:rsidRPr="00813409">
        <w:rPr>
          <w:u w:val="single"/>
        </w:rPr>
        <w:sym w:font="Symbol" w:char="005D"/>
      </w:r>
      <w:r w:rsidRPr="00813409">
        <w:rPr>
          <w:u w:val="single"/>
        </w:rPr>
        <w:t>)</w:t>
      </w:r>
    </w:p>
    <w:p w:rsidR="009C39F3" w:rsidRPr="00813409" w:rsidRDefault="009C39F3" w:rsidP="008B2141">
      <w:pPr>
        <w:ind w:left="708" w:firstLine="708"/>
      </w:pPr>
      <w:r w:rsidRPr="00813409">
        <w:t xml:space="preserve">(72) x (0,011 x </w:t>
      </w:r>
      <w:proofErr w:type="spellStart"/>
      <w:r w:rsidRPr="00813409">
        <w:t>kreatinín</w:t>
      </w:r>
      <w:proofErr w:type="spellEnd"/>
      <w:r w:rsidRPr="00813409">
        <w:t xml:space="preserve"> v sére </w:t>
      </w:r>
      <w:r w:rsidRPr="00813409">
        <w:sym w:font="Symbol" w:char="005B"/>
      </w:r>
      <w:proofErr w:type="spellStart"/>
      <w:r w:rsidR="00C712C3" w:rsidRPr="00813409">
        <w:t>mikromol</w:t>
      </w:r>
      <w:proofErr w:type="spellEnd"/>
      <w:r w:rsidRPr="00813409">
        <w:t>/l</w:t>
      </w:r>
      <w:r w:rsidRPr="00813409">
        <w:sym w:font="Symbol" w:char="005D"/>
      </w:r>
      <w:r w:rsidRPr="00813409">
        <w:t>)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>Pre ženy =</w:t>
      </w:r>
      <w:r w:rsidRPr="00813409">
        <w:tab/>
        <w:t>0,85 x hodnota vypočítaná pre mužov</w:t>
      </w:r>
    </w:p>
    <w:p w:rsidR="009C39F3" w:rsidRPr="00813409" w:rsidRDefault="009C39F3" w:rsidP="008C1DB1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386"/>
        <w:gridCol w:w="4195"/>
      </w:tblGrid>
      <w:tr w:rsidR="009C39F3" w:rsidRPr="00813409" w:rsidTr="00D81394">
        <w:tc>
          <w:tcPr>
            <w:tcW w:w="1630" w:type="dxa"/>
          </w:tcPr>
          <w:p w:rsidR="009C39F3" w:rsidRPr="00813409" w:rsidRDefault="009C39F3" w:rsidP="008C1DB1">
            <w:pPr>
              <w:ind w:left="0" w:firstLine="0"/>
            </w:pPr>
            <w:proofErr w:type="spellStart"/>
            <w:r w:rsidRPr="00813409">
              <w:t>CrCl</w:t>
            </w:r>
            <w:proofErr w:type="spellEnd"/>
            <w:r w:rsidRPr="00813409">
              <w:t xml:space="preserve"> (ml/min)</w:t>
            </w:r>
          </w:p>
        </w:tc>
        <w:tc>
          <w:tcPr>
            <w:tcW w:w="3386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 xml:space="preserve">Indukčná dávka </w:t>
            </w:r>
            <w:proofErr w:type="spellStart"/>
            <w:r w:rsidRPr="00813409">
              <w:t>valgancikloviru</w:t>
            </w:r>
            <w:proofErr w:type="spellEnd"/>
          </w:p>
        </w:tc>
        <w:tc>
          <w:tcPr>
            <w:tcW w:w="4195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 xml:space="preserve">Udržiavacia/Preventívna dávka </w:t>
            </w:r>
            <w:proofErr w:type="spellStart"/>
            <w:r w:rsidRPr="00813409">
              <w:t>valgancikloviru</w:t>
            </w:r>
            <w:proofErr w:type="spellEnd"/>
          </w:p>
        </w:tc>
      </w:tr>
      <w:tr w:rsidR="009C39F3" w:rsidRPr="00813409" w:rsidTr="00D81394">
        <w:tc>
          <w:tcPr>
            <w:tcW w:w="1630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sym w:font="Symbol" w:char="00B3"/>
            </w:r>
            <w:r w:rsidRPr="00813409">
              <w:t xml:space="preserve"> 60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40 – 59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25 – 39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10 – 24</w:t>
            </w:r>
          </w:p>
        </w:tc>
        <w:tc>
          <w:tcPr>
            <w:tcW w:w="3386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900 mg (2 tablety) dvakrát denne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dvakrát denne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jedenkrát denne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raz za dva dni</w:t>
            </w:r>
          </w:p>
        </w:tc>
        <w:tc>
          <w:tcPr>
            <w:tcW w:w="4195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900 mg (2 tablety) jedenkrát denne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jedenkrát denne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raz za dva dni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450 mg (1 tableta) dvakrát týždenne</w:t>
            </w:r>
          </w:p>
        </w:tc>
      </w:tr>
      <w:tr w:rsidR="009C39F3" w:rsidRPr="00813409" w:rsidTr="00D81394">
        <w:tc>
          <w:tcPr>
            <w:tcW w:w="1630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&lt; 10</w:t>
            </w:r>
          </w:p>
        </w:tc>
        <w:tc>
          <w:tcPr>
            <w:tcW w:w="3386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neodporúča sa</w:t>
            </w:r>
          </w:p>
        </w:tc>
        <w:tc>
          <w:tcPr>
            <w:tcW w:w="4195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neodporúča sa</w:t>
            </w:r>
          </w:p>
        </w:tc>
      </w:tr>
    </w:tbl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Pacienti na hemodialýze:</w:t>
      </w:r>
    </w:p>
    <w:p w:rsidR="009C39F3" w:rsidRPr="00813409" w:rsidRDefault="009C39F3" w:rsidP="008C1DB1">
      <w:pPr>
        <w:ind w:left="0" w:firstLine="0"/>
      </w:pPr>
      <w:r w:rsidRPr="00813409">
        <w:t>Pacientom na hemodialýze (</w:t>
      </w:r>
      <w:proofErr w:type="spellStart"/>
      <w:r w:rsidRPr="00813409">
        <w:t>CrCl</w:t>
      </w:r>
      <w:proofErr w:type="spellEnd"/>
      <w:r w:rsidRPr="00813409">
        <w:t xml:space="preserve"> </w:t>
      </w:r>
      <w:r w:rsidRPr="00813409">
        <w:sym w:font="Symbol" w:char="003C"/>
      </w:r>
      <w:r w:rsidRPr="00813409">
        <w:t xml:space="preserve"> 10 ml/min) nie je možné dať odporúčanie </w:t>
      </w:r>
      <w:r w:rsidR="00C712C3" w:rsidRPr="00813409">
        <w:t xml:space="preserve">na </w:t>
      </w:r>
      <w:r w:rsidRPr="00813409">
        <w:t>dávkovanie.</w:t>
      </w:r>
      <w:r w:rsidR="00E337E0" w:rsidRPr="00813409">
        <w:t xml:space="preserve"> </w:t>
      </w:r>
      <w:r w:rsidRPr="00813409">
        <w:t xml:space="preserve">Preto sa </w:t>
      </w:r>
      <w:proofErr w:type="spellStart"/>
      <w:r w:rsidR="0037584C" w:rsidRPr="00813409">
        <w:t>Valganciclovir</w:t>
      </w:r>
      <w:proofErr w:type="spellEnd"/>
      <w:r w:rsidR="0037584C" w:rsidRPr="00813409">
        <w:t xml:space="preserve"> Mylan</w:t>
      </w:r>
      <w:r w:rsidRPr="00813409">
        <w:t xml:space="preserve"> u týchto pacientov nem</w:t>
      </w:r>
      <w:r w:rsidR="00D81394" w:rsidRPr="00813409">
        <w:t>á</w:t>
      </w:r>
      <w:r w:rsidRPr="00813409">
        <w:t xml:space="preserve"> používať (pozri časti 4.4 a 5.2).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1665A1">
      <w:pPr>
        <w:ind w:left="0" w:firstLine="0"/>
        <w:rPr>
          <w:i/>
        </w:rPr>
      </w:pPr>
      <w:r w:rsidRPr="00813409">
        <w:rPr>
          <w:i/>
        </w:rPr>
        <w:t>P</w:t>
      </w:r>
      <w:r w:rsidR="001665A1" w:rsidRPr="00813409">
        <w:rPr>
          <w:i/>
        </w:rPr>
        <w:t>oruch</w:t>
      </w:r>
      <w:r w:rsidR="00CE4072">
        <w:rPr>
          <w:i/>
        </w:rPr>
        <w:t>a</w:t>
      </w:r>
      <w:r w:rsidRPr="00813409">
        <w:rPr>
          <w:i/>
        </w:rPr>
        <w:t xml:space="preserve"> funkcie pečene:</w:t>
      </w:r>
    </w:p>
    <w:p w:rsidR="009C39F3" w:rsidRPr="00813409" w:rsidRDefault="009C39F3" w:rsidP="008C1DB1">
      <w:pPr>
        <w:ind w:left="0" w:firstLine="0"/>
      </w:pPr>
      <w:r w:rsidRPr="00813409">
        <w:t xml:space="preserve">Bezpečnosť a účinnosť </w:t>
      </w:r>
      <w:proofErr w:type="spellStart"/>
      <w:r w:rsidR="00D81394" w:rsidRPr="00813409">
        <w:t>valgancik</w:t>
      </w:r>
      <w:r w:rsidR="0037584C" w:rsidRPr="00813409">
        <w:t>lovir</w:t>
      </w:r>
      <w:r w:rsidR="00D81394" w:rsidRPr="00813409">
        <w:t>u</w:t>
      </w:r>
      <w:proofErr w:type="spellEnd"/>
      <w:r w:rsidR="0037584C" w:rsidRPr="00813409">
        <w:t xml:space="preserve"> </w:t>
      </w:r>
      <w:r w:rsidRPr="00813409">
        <w:t>sa neskúmala u pacientov s poškodením funkcie pečene (pozri časť 5.2).</w:t>
      </w:r>
    </w:p>
    <w:p w:rsidR="009C39F3" w:rsidRPr="00813409" w:rsidRDefault="009C39F3" w:rsidP="008C1DB1">
      <w:pPr>
        <w:ind w:left="0" w:firstLine="0"/>
      </w:pPr>
    </w:p>
    <w:p w:rsidR="009C39F3" w:rsidRPr="00813409" w:rsidRDefault="00BE47DF" w:rsidP="00B42E42">
      <w:pPr>
        <w:ind w:left="0" w:firstLine="0"/>
        <w:rPr>
          <w:i/>
        </w:rPr>
      </w:pPr>
      <w:r w:rsidRPr="00813409">
        <w:rPr>
          <w:i/>
        </w:rPr>
        <w:t>Pediatrická populácia</w:t>
      </w:r>
      <w:r w:rsidR="009C39F3" w:rsidRPr="00813409">
        <w:rPr>
          <w:i/>
        </w:rPr>
        <w:t>:</w:t>
      </w:r>
    </w:p>
    <w:p w:rsidR="009C39F3" w:rsidRPr="00813409" w:rsidRDefault="009F4536" w:rsidP="008C1DB1">
      <w:pPr>
        <w:ind w:left="0" w:firstLine="0"/>
      </w:pPr>
      <w:r w:rsidRPr="00813409">
        <w:rPr>
          <w:iCs/>
        </w:rPr>
        <w:t xml:space="preserve">Dávkovanie pre pediatrických pacientov po transplantácii solídneho orgánu </w:t>
      </w:r>
      <w:r w:rsidR="00C30D9E" w:rsidRPr="00813409">
        <w:rPr>
          <w:iCs/>
        </w:rPr>
        <w:t xml:space="preserve">sa </w:t>
      </w:r>
      <w:r w:rsidR="00577482" w:rsidRPr="00813409">
        <w:rPr>
          <w:iCs/>
        </w:rPr>
        <w:t xml:space="preserve">určuje individuálne </w:t>
      </w:r>
      <w:r w:rsidRPr="00813409">
        <w:rPr>
          <w:iCs/>
        </w:rPr>
        <w:t>na základe funkcie obličiek</w:t>
      </w:r>
      <w:r w:rsidR="00294496" w:rsidRPr="00813409">
        <w:rPr>
          <w:iCs/>
        </w:rPr>
        <w:t xml:space="preserve"> pac</w:t>
      </w:r>
      <w:r w:rsidR="00F660C6" w:rsidRPr="00813409">
        <w:rPr>
          <w:iCs/>
        </w:rPr>
        <w:t>i</w:t>
      </w:r>
      <w:r w:rsidR="00294496" w:rsidRPr="00813409">
        <w:rPr>
          <w:iCs/>
        </w:rPr>
        <w:t>enta</w:t>
      </w:r>
      <w:r w:rsidRPr="00813409">
        <w:rPr>
          <w:iCs/>
        </w:rPr>
        <w:t>, spolu s jeho telesnou výškou a hmotnosťou</w:t>
      </w:r>
      <w:r w:rsidR="009028C6" w:rsidRPr="00813409">
        <w:t>.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9C39F3" w:rsidP="007C342D">
      <w:pPr>
        <w:keepNext/>
        <w:keepLines/>
        <w:ind w:left="0" w:firstLine="0"/>
        <w:rPr>
          <w:i/>
        </w:rPr>
      </w:pPr>
      <w:r w:rsidRPr="00813409">
        <w:rPr>
          <w:i/>
        </w:rPr>
        <w:t>Starší pacienti:</w:t>
      </w:r>
    </w:p>
    <w:p w:rsidR="009C39F3" w:rsidRPr="00813409" w:rsidRDefault="009C39F3" w:rsidP="007C342D">
      <w:pPr>
        <w:keepNext/>
        <w:keepLines/>
        <w:ind w:left="0" w:firstLine="0"/>
      </w:pPr>
      <w:r w:rsidRPr="00813409">
        <w:t xml:space="preserve">Bezpečnosť a účinnosť </w:t>
      </w:r>
      <w:proofErr w:type="spellStart"/>
      <w:r w:rsidR="00D81394" w:rsidRPr="00813409">
        <w:t>valgancikloviru</w:t>
      </w:r>
      <w:proofErr w:type="spellEnd"/>
      <w:r w:rsidR="00D81394" w:rsidRPr="00813409">
        <w:t xml:space="preserve"> </w:t>
      </w:r>
      <w:r w:rsidRPr="00813409">
        <w:t xml:space="preserve">u starších pacientov </w:t>
      </w:r>
      <w:r w:rsidR="00C712C3" w:rsidRPr="00813409">
        <w:t>neboli stanovené</w:t>
      </w:r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 xml:space="preserve">Pacienti so závažnou </w:t>
      </w:r>
      <w:proofErr w:type="spellStart"/>
      <w:r w:rsidRPr="00813409">
        <w:rPr>
          <w:i/>
        </w:rPr>
        <w:t>leukopéniou</w:t>
      </w:r>
      <w:proofErr w:type="spellEnd"/>
      <w:r w:rsidRPr="00813409">
        <w:rPr>
          <w:i/>
        </w:rPr>
        <w:t xml:space="preserve">, </w:t>
      </w:r>
      <w:proofErr w:type="spellStart"/>
      <w:r w:rsidRPr="00813409">
        <w:rPr>
          <w:i/>
        </w:rPr>
        <w:t>neutropéniou</w:t>
      </w:r>
      <w:proofErr w:type="spellEnd"/>
      <w:r w:rsidRPr="00813409">
        <w:rPr>
          <w:i/>
        </w:rPr>
        <w:t xml:space="preserve">, anémiou, </w:t>
      </w:r>
      <w:proofErr w:type="spellStart"/>
      <w:r w:rsidRPr="00813409">
        <w:rPr>
          <w:i/>
        </w:rPr>
        <w:t>trombocytopéniou</w:t>
      </w:r>
      <w:proofErr w:type="spellEnd"/>
      <w:r w:rsidRPr="00813409">
        <w:rPr>
          <w:i/>
        </w:rPr>
        <w:t xml:space="preserve"> a </w:t>
      </w:r>
      <w:proofErr w:type="spellStart"/>
      <w:r w:rsidRPr="00813409">
        <w:rPr>
          <w:i/>
        </w:rPr>
        <w:t>pancytopéniou</w:t>
      </w:r>
      <w:proofErr w:type="spellEnd"/>
      <w:r w:rsidRPr="00813409">
        <w:rPr>
          <w:i/>
        </w:rPr>
        <w:t xml:space="preserve">: </w:t>
      </w:r>
    </w:p>
    <w:p w:rsidR="009C39F3" w:rsidRPr="00813409" w:rsidRDefault="009C39F3" w:rsidP="008C1DB1">
      <w:pPr>
        <w:ind w:left="0" w:firstLine="0"/>
      </w:pPr>
      <w:r w:rsidRPr="00813409">
        <w:t>Pred začatím liečby pozri časť 4.4.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b/>
        </w:rPr>
      </w:pPr>
      <w:r w:rsidRPr="00813409">
        <w:t xml:space="preserve">Ak počas liečby </w:t>
      </w:r>
      <w:proofErr w:type="spellStart"/>
      <w:r w:rsidR="00D81394" w:rsidRPr="00813409">
        <w:t>valgancik</w:t>
      </w:r>
      <w:r w:rsidR="0037584C" w:rsidRPr="00813409">
        <w:t>lovir</w:t>
      </w:r>
      <w:r w:rsidR="00D81394" w:rsidRPr="00813409">
        <w:t>om</w:t>
      </w:r>
      <w:proofErr w:type="spellEnd"/>
      <w:r w:rsidRPr="00813409">
        <w:t xml:space="preserve"> dôjde k významnému poklesu počtu červených krviniek, má sa zvážiť liečba </w:t>
      </w:r>
      <w:proofErr w:type="spellStart"/>
      <w:r w:rsidRPr="00813409">
        <w:t>hematopoetickými</w:t>
      </w:r>
      <w:proofErr w:type="spellEnd"/>
      <w:r w:rsidRPr="00813409">
        <w:t xml:space="preserve"> rastovými faktormi a/alebo prerušenie dávok (pozri čas</w:t>
      </w:r>
      <w:r w:rsidR="00EF2430" w:rsidRPr="00813409">
        <w:t>ť</w:t>
      </w:r>
      <w:r w:rsidRPr="00813409">
        <w:t xml:space="preserve"> 4.4).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9C39F3" w:rsidP="00B42E42">
      <w:pPr>
        <w:ind w:left="0" w:firstLine="0"/>
        <w:rPr>
          <w:u w:val="single"/>
        </w:rPr>
      </w:pPr>
      <w:r w:rsidRPr="00813409">
        <w:rPr>
          <w:u w:val="single"/>
        </w:rPr>
        <w:lastRenderedPageBreak/>
        <w:t xml:space="preserve">Spôsob </w:t>
      </w:r>
      <w:r w:rsidR="00BE47DF" w:rsidRPr="00813409">
        <w:rPr>
          <w:u w:val="single"/>
        </w:rPr>
        <w:t>podávania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37584C" w:rsidP="008C1DB1">
      <w:pPr>
        <w:ind w:left="0" w:firstLine="0"/>
      </w:pPr>
      <w:proofErr w:type="spellStart"/>
      <w:r w:rsidRPr="00813409">
        <w:t>Valganciclovir</w:t>
      </w:r>
      <w:proofErr w:type="spellEnd"/>
      <w:r w:rsidRPr="00813409">
        <w:t xml:space="preserve"> Mylan</w:t>
      </w:r>
      <w:r w:rsidR="009C39F3" w:rsidRPr="00813409">
        <w:t xml:space="preserve"> sa podáva perorálne a ak je to možné</w:t>
      </w:r>
      <w:r w:rsidR="00D81394" w:rsidRPr="00813409">
        <w:t>,</w:t>
      </w:r>
      <w:r w:rsidR="009C39F3" w:rsidRPr="00813409">
        <w:t xml:space="preserve"> má sa užiť s jedlom (pozri časť 5.2).</w:t>
      </w:r>
    </w:p>
    <w:p w:rsidR="009C39F3" w:rsidRPr="00813409" w:rsidRDefault="009C39F3" w:rsidP="008C1DB1">
      <w:pPr>
        <w:ind w:left="0" w:firstLine="0"/>
      </w:pPr>
    </w:p>
    <w:p w:rsidR="009F4536" w:rsidRPr="00813409" w:rsidRDefault="009F4536" w:rsidP="008C1DB1">
      <w:pPr>
        <w:ind w:left="0" w:firstLine="0"/>
      </w:pPr>
      <w:r w:rsidRPr="00813409">
        <w:t xml:space="preserve">Pediatrickým pacientom, ktorí nie sú schopní prehĺtať tablety </w:t>
      </w:r>
      <w:proofErr w:type="spellStart"/>
      <w:r w:rsidR="0037584C" w:rsidRPr="00813409">
        <w:t>Valganciclovir</w:t>
      </w:r>
      <w:r w:rsidR="00D81394" w:rsidRPr="00813409">
        <w:t>u</w:t>
      </w:r>
      <w:proofErr w:type="spellEnd"/>
      <w:r w:rsidR="0037584C" w:rsidRPr="00813409">
        <w:t xml:space="preserve"> Mylan</w:t>
      </w:r>
      <w:r w:rsidR="00643052" w:rsidRPr="00813409">
        <w:t>,</w:t>
      </w:r>
      <w:r w:rsidRPr="00813409">
        <w:t xml:space="preserve"> sa </w:t>
      </w:r>
      <w:r w:rsidR="00D81394" w:rsidRPr="00813409">
        <w:t xml:space="preserve">môžu </w:t>
      </w:r>
      <w:r w:rsidRPr="00813409">
        <w:t xml:space="preserve">podávať </w:t>
      </w:r>
      <w:r w:rsidR="00D81394" w:rsidRPr="00813409">
        <w:t>iné, dostupné</w:t>
      </w:r>
      <w:r w:rsidR="00C616F4" w:rsidRPr="00813409">
        <w:t xml:space="preserve"> </w:t>
      </w:r>
      <w:r w:rsidR="00D81394" w:rsidRPr="00813409">
        <w:t xml:space="preserve">liekové </w:t>
      </w:r>
      <w:r w:rsidR="00294496" w:rsidRPr="00813409">
        <w:t>form</w:t>
      </w:r>
      <w:r w:rsidR="00D81394" w:rsidRPr="00813409">
        <w:t>y</w:t>
      </w:r>
      <w:r w:rsidR="00516BBC" w:rsidRPr="00813409">
        <w:t>.</w:t>
      </w:r>
    </w:p>
    <w:p w:rsidR="009F4536" w:rsidRPr="00813409" w:rsidRDefault="009F4536" w:rsidP="008C1DB1">
      <w:pPr>
        <w:ind w:left="0" w:firstLine="0"/>
      </w:pPr>
    </w:p>
    <w:p w:rsidR="00BE47DF" w:rsidRPr="00813409" w:rsidRDefault="00BE47DF" w:rsidP="008C1DB1">
      <w:pPr>
        <w:ind w:left="0" w:firstLine="0"/>
        <w:rPr>
          <w:i/>
        </w:rPr>
      </w:pPr>
      <w:r w:rsidRPr="00813409">
        <w:rPr>
          <w:i/>
        </w:rPr>
        <w:t>Opatrenia pred zaobchádzaním alebo podaním lieku</w:t>
      </w:r>
    </w:p>
    <w:p w:rsidR="009C39F3" w:rsidRPr="00813409" w:rsidRDefault="009C39F3" w:rsidP="008C1DB1">
      <w:pPr>
        <w:ind w:left="0" w:firstLine="0"/>
      </w:pPr>
      <w:r w:rsidRPr="00813409">
        <w:t xml:space="preserve">Tablety sa nemajú lámať alebo drviť. Keďže </w:t>
      </w:r>
      <w:r w:rsidR="00C72B76" w:rsidRPr="00813409">
        <w:t xml:space="preserve">sa </w:t>
      </w:r>
      <w:proofErr w:type="spellStart"/>
      <w:r w:rsidR="00C72B76" w:rsidRPr="00813409">
        <w:t>v</w:t>
      </w:r>
      <w:r w:rsidR="0037584C" w:rsidRPr="00813409">
        <w:t>alganci</w:t>
      </w:r>
      <w:r w:rsidR="00C72B76" w:rsidRPr="00813409">
        <w:t>k</w:t>
      </w:r>
      <w:r w:rsidR="0037584C" w:rsidRPr="00813409">
        <w:t>lovir</w:t>
      </w:r>
      <w:proofErr w:type="spellEnd"/>
      <w:r w:rsidRPr="00813409">
        <w:t xml:space="preserve"> považuje za potenciálny </w:t>
      </w:r>
      <w:proofErr w:type="spellStart"/>
      <w:r w:rsidRPr="00813409">
        <w:t>teratogén</w:t>
      </w:r>
      <w:proofErr w:type="spellEnd"/>
      <w:r w:rsidRPr="00813409">
        <w:t xml:space="preserve"> a karcinogén u ľudí, pri manipulácii s rozlomenými tabletami je potrebná opatrnosť (pozri časť 4.4). Predchádzajte priamemu kontaktu rozlomených alebo rozdrvených tabliet s kožou alebo sliznicami. Ak k takémuto kontaktu dôjde, povrch</w:t>
      </w:r>
      <w:r w:rsidR="00590F4E" w:rsidRPr="00813409">
        <w:t xml:space="preserve"> kože a slizníc</w:t>
      </w:r>
      <w:r w:rsidRPr="00813409">
        <w:t xml:space="preserve"> dôkladne umyte mydlom a vodou, oči dôkladne vypláchnite sterilnou vodou</w:t>
      </w:r>
      <w:r w:rsidR="00C72B76" w:rsidRPr="00813409">
        <w:t xml:space="preserve"> alebo obyčajnou vodou, a</w:t>
      </w:r>
      <w:r w:rsidRPr="00813409">
        <w:t>k sterilná voda nie je k dispozícii</w:t>
      </w:r>
      <w:r w:rsidR="00C72B76" w:rsidRPr="00813409"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4.3</w:t>
      </w:r>
      <w:r w:rsidRPr="00813409">
        <w:rPr>
          <w:b/>
          <w:szCs w:val="22"/>
        </w:rPr>
        <w:tab/>
        <w:t>Kontraindikácie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C72B76" w:rsidP="003711D5">
      <w:pPr>
        <w:ind w:left="0" w:firstLine="0"/>
      </w:pPr>
      <w:r w:rsidRPr="00813409">
        <w:t>P</w:t>
      </w:r>
      <w:r w:rsidR="009C39F3" w:rsidRPr="00813409">
        <w:t xml:space="preserve">recitlivenosť na </w:t>
      </w:r>
      <w:r w:rsidRPr="00813409">
        <w:t xml:space="preserve">liečivo, </w:t>
      </w:r>
      <w:proofErr w:type="spellStart"/>
      <w:r w:rsidR="009C39F3" w:rsidRPr="00813409">
        <w:t>ganciklovir</w:t>
      </w:r>
      <w:proofErr w:type="spellEnd"/>
      <w:r w:rsidR="009C39F3" w:rsidRPr="00813409">
        <w:t xml:space="preserve"> alebo na </w:t>
      </w:r>
      <w:r w:rsidR="003711D5" w:rsidRPr="00813409">
        <w:t>ktorúkoľvek</w:t>
      </w:r>
      <w:r w:rsidR="009C39F3" w:rsidRPr="00813409">
        <w:t xml:space="preserve"> z pomocných látok</w:t>
      </w:r>
      <w:r w:rsidR="00BE47DF" w:rsidRPr="00813409">
        <w:t xml:space="preserve"> uvedených v časti 6.1</w:t>
      </w:r>
      <w:r w:rsidR="009C39F3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V dôsledku podobnosti chemickej štruktúry </w:t>
      </w:r>
      <w:proofErr w:type="spellStart"/>
      <w:r w:rsidR="009F4536" w:rsidRPr="00813409">
        <w:rPr>
          <w:szCs w:val="22"/>
        </w:rPr>
        <w:t>valgancikloviru</w:t>
      </w:r>
      <w:proofErr w:type="spellEnd"/>
      <w:r w:rsidR="009F4536" w:rsidRPr="00813409">
        <w:rPr>
          <w:szCs w:val="22"/>
        </w:rPr>
        <w:t xml:space="preserve"> </w:t>
      </w:r>
      <w:r w:rsidRPr="00813409">
        <w:t>s </w:t>
      </w:r>
      <w:proofErr w:type="spellStart"/>
      <w:r w:rsidRPr="00813409">
        <w:t>aciklovirom</w:t>
      </w:r>
      <w:proofErr w:type="spellEnd"/>
      <w:r w:rsidRPr="00813409">
        <w:t xml:space="preserve"> a </w:t>
      </w:r>
      <w:proofErr w:type="spellStart"/>
      <w:r w:rsidRPr="00813409">
        <w:t>valaciklovirom</w:t>
      </w:r>
      <w:proofErr w:type="spellEnd"/>
      <w:r w:rsidRPr="00813409">
        <w:t xml:space="preserve"> existuje možnosť skríženej reakcie z precitlivenosti medzi týmito </w:t>
      </w:r>
      <w:r w:rsidR="00CE4072">
        <w:rPr>
          <w:szCs w:val="22"/>
        </w:rPr>
        <w:t>liekmi</w:t>
      </w:r>
      <w:r w:rsidRPr="00813409">
        <w:t xml:space="preserve">. Preto je </w:t>
      </w:r>
      <w:proofErr w:type="spellStart"/>
      <w:r w:rsidR="00C72B76" w:rsidRPr="00813409">
        <w:t>valgancik</w:t>
      </w:r>
      <w:r w:rsidR="0037584C" w:rsidRPr="00813409">
        <w:t>lovir</w:t>
      </w:r>
      <w:proofErr w:type="spellEnd"/>
      <w:r w:rsidRPr="00813409">
        <w:t xml:space="preserve"> kontraindikovaný u pacientov s precitlivenosťou na </w:t>
      </w:r>
      <w:proofErr w:type="spellStart"/>
      <w:r w:rsidRPr="00813409">
        <w:t>aciklovir</w:t>
      </w:r>
      <w:proofErr w:type="spellEnd"/>
      <w:r w:rsidRPr="00813409">
        <w:t xml:space="preserve"> a </w:t>
      </w:r>
      <w:proofErr w:type="spellStart"/>
      <w:r w:rsidRPr="00813409">
        <w:t>valaciklovir</w:t>
      </w:r>
      <w:proofErr w:type="spellEnd"/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37584C" w:rsidP="008C1DB1">
      <w:pPr>
        <w:ind w:left="0" w:firstLine="0"/>
      </w:pPr>
      <w:proofErr w:type="spellStart"/>
      <w:r w:rsidRPr="00813409">
        <w:t>Valganci</w:t>
      </w:r>
      <w:r w:rsidR="00C72B76" w:rsidRPr="00813409">
        <w:t>k</w:t>
      </w:r>
      <w:r w:rsidRPr="00813409">
        <w:t>lovir</w:t>
      </w:r>
      <w:proofErr w:type="spellEnd"/>
      <w:r w:rsidR="009C39F3" w:rsidRPr="00813409">
        <w:t xml:space="preserve"> je kontraindikovaný počas </w:t>
      </w:r>
      <w:r w:rsidR="005C0B6C" w:rsidRPr="00813409">
        <w:t xml:space="preserve">dojčenia </w:t>
      </w:r>
      <w:r w:rsidR="00A03981" w:rsidRPr="00813409">
        <w:t>(</w:t>
      </w:r>
      <w:r w:rsidR="009C39F3" w:rsidRPr="00813409">
        <w:t>pozri časť 4.6</w:t>
      </w:r>
      <w:r w:rsidR="00A03981" w:rsidRPr="00813409">
        <w:t>)</w:t>
      </w:r>
      <w:r w:rsidR="00683733" w:rsidRPr="00813409"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t>4.4</w:t>
      </w:r>
      <w:r w:rsidRPr="00813409">
        <w:rPr>
          <w:b/>
          <w:szCs w:val="22"/>
        </w:rPr>
        <w:tab/>
        <w:t>Osobitné upozornenia a opatrenia pri používaní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Pred začatím liečby </w:t>
      </w:r>
      <w:proofErr w:type="spellStart"/>
      <w:r w:rsidRPr="00813409">
        <w:t>valganciklovirom</w:t>
      </w:r>
      <w:proofErr w:type="spellEnd"/>
      <w:r w:rsidRPr="00813409">
        <w:t xml:space="preserve"> sa pacienti majú upozorniť na potenciálne riziká pre plod. V štúdiách na zvieratách sa zistilo, že </w:t>
      </w:r>
      <w:proofErr w:type="spellStart"/>
      <w:r w:rsidRPr="00813409">
        <w:t>ganciklovir</w:t>
      </w:r>
      <w:proofErr w:type="spellEnd"/>
      <w:r w:rsidRPr="00813409">
        <w:t xml:space="preserve"> je mutagénny, </w:t>
      </w:r>
      <w:proofErr w:type="spellStart"/>
      <w:r w:rsidRPr="00813409">
        <w:t>teratogénny</w:t>
      </w:r>
      <w:proofErr w:type="spellEnd"/>
      <w:r w:rsidRPr="00813409">
        <w:t xml:space="preserve">, </w:t>
      </w:r>
      <w:proofErr w:type="spellStart"/>
      <w:r w:rsidRPr="00813409">
        <w:t>aspermatogénny</w:t>
      </w:r>
      <w:proofErr w:type="spellEnd"/>
      <w:r w:rsidRPr="00813409">
        <w:t xml:space="preserve"> a karcinogénny, a zároveň znižuje aj samičiu plodnosť. Preto sa má </w:t>
      </w:r>
      <w:proofErr w:type="spellStart"/>
      <w:r w:rsidR="00C72B76" w:rsidRPr="00813409">
        <w:t>valgancik</w:t>
      </w:r>
      <w:r w:rsidR="0037584C" w:rsidRPr="00813409">
        <w:t>lovir</w:t>
      </w:r>
      <w:proofErr w:type="spellEnd"/>
      <w:r w:rsidRPr="00813409">
        <w:t xml:space="preserve"> pokladať u ľudí za potenciálny </w:t>
      </w:r>
      <w:proofErr w:type="spellStart"/>
      <w:r w:rsidRPr="00813409">
        <w:t>teratogén</w:t>
      </w:r>
      <w:proofErr w:type="spellEnd"/>
      <w:r w:rsidRPr="00813409">
        <w:t xml:space="preserve"> a karcinogén s potenciálom spôsobiť vrodené vývojové chyby a rakovin</w:t>
      </w:r>
      <w:r w:rsidR="003C4428" w:rsidRPr="00813409">
        <w:t>u</w:t>
      </w:r>
      <w:r w:rsidRPr="00813409">
        <w:t xml:space="preserve"> (pozri časť 5.3). Tiež sa uvažuje o tom, že </w:t>
      </w:r>
      <w:proofErr w:type="spellStart"/>
      <w:r w:rsidR="00C72B76" w:rsidRPr="00813409">
        <w:t>valgancik</w:t>
      </w:r>
      <w:r w:rsidR="0037584C" w:rsidRPr="00813409">
        <w:t>lovir</w:t>
      </w:r>
      <w:proofErr w:type="spellEnd"/>
      <w:r w:rsidRPr="00813409">
        <w:t xml:space="preserve"> </w:t>
      </w:r>
      <w:r w:rsidR="00C72B76" w:rsidRPr="00813409">
        <w:t xml:space="preserve">pravdepodobne spôsobuje </w:t>
      </w:r>
      <w:r w:rsidRPr="00813409">
        <w:t xml:space="preserve">dočasnú alebo trvalú inhibíciu </w:t>
      </w:r>
      <w:proofErr w:type="spellStart"/>
      <w:r w:rsidRPr="00813409">
        <w:t>spermatogenézy</w:t>
      </w:r>
      <w:proofErr w:type="spellEnd"/>
      <w:r w:rsidRPr="00813409">
        <w:t xml:space="preserve">. Ženy v plodnom veku </w:t>
      </w:r>
      <w:r w:rsidR="003C4428" w:rsidRPr="00813409">
        <w:t>je nutné</w:t>
      </w:r>
      <w:r w:rsidRPr="00813409">
        <w:t xml:space="preserve"> upozorniť na to, že majú počas liečby používať účinnú antikoncepciu. Muž</w:t>
      </w:r>
      <w:r w:rsidR="003C4428" w:rsidRPr="00813409">
        <w:t>ov</w:t>
      </w:r>
      <w:r w:rsidRPr="00813409">
        <w:t xml:space="preserve"> </w:t>
      </w:r>
      <w:r w:rsidR="003C4428" w:rsidRPr="00813409">
        <w:t>je nutné</w:t>
      </w:r>
      <w:r w:rsidRPr="00813409">
        <w:t xml:space="preserve"> upozorniť, že majú používať </w:t>
      </w:r>
      <w:r w:rsidR="006A6431" w:rsidRPr="00813409">
        <w:t xml:space="preserve">počas liečby </w:t>
      </w:r>
      <w:proofErr w:type="spellStart"/>
      <w:r w:rsidRPr="00813409">
        <w:t>bariérovú</w:t>
      </w:r>
      <w:proofErr w:type="spellEnd"/>
      <w:r w:rsidRPr="00813409">
        <w:t xml:space="preserve"> antikoncepciu a najmenej 90 dní po jej ukončení, pokiaľ nie je isté, že partnerka nemôže otehotnieť (pozri časti </w:t>
      </w:r>
      <w:r w:rsidRPr="00813409">
        <w:rPr>
          <w:szCs w:val="22"/>
        </w:rPr>
        <w:t xml:space="preserve">4.6, </w:t>
      </w:r>
      <w:smartTag w:uri="urn:schemas-microsoft-com:office:smarttags" w:element="metricconverter">
        <w:smartTagPr>
          <w:attr w:name="ProductID" w:val="4.8 a"/>
        </w:smartTagPr>
        <w:r w:rsidRPr="00813409">
          <w:rPr>
            <w:szCs w:val="22"/>
          </w:rPr>
          <w:t>4.8 a</w:t>
        </w:r>
      </w:smartTag>
      <w:r w:rsidRPr="00813409">
        <w:rPr>
          <w:b/>
          <w:szCs w:val="22"/>
        </w:rPr>
        <w:t xml:space="preserve"> </w:t>
      </w:r>
      <w:r w:rsidRPr="00813409">
        <w:rPr>
          <w:szCs w:val="22"/>
        </w:rPr>
        <w:t>5.3</w:t>
      </w:r>
      <w:r w:rsidRPr="00813409">
        <w:t>).</w:t>
      </w:r>
    </w:p>
    <w:p w:rsidR="009C39F3" w:rsidRPr="00813409" w:rsidRDefault="009C39F3" w:rsidP="008C1DB1">
      <w:pPr>
        <w:ind w:left="0" w:firstLine="0"/>
      </w:pPr>
    </w:p>
    <w:p w:rsidR="009C39F3" w:rsidRPr="00813409" w:rsidRDefault="00D5139E" w:rsidP="00B42E42">
      <w:pPr>
        <w:ind w:left="0" w:firstLine="0"/>
      </w:pPr>
      <w:r w:rsidRPr="00813409">
        <w:t>Z</w:t>
      </w:r>
      <w:r w:rsidR="004C284E" w:rsidRPr="00813409">
        <w:t xml:space="preserve"> dlhodobého hľadiska má </w:t>
      </w:r>
      <w:proofErr w:type="spellStart"/>
      <w:r w:rsidRPr="00813409">
        <w:t>valganciklovir</w:t>
      </w:r>
      <w:proofErr w:type="spellEnd"/>
      <w:r w:rsidRPr="00813409">
        <w:t xml:space="preserve"> </w:t>
      </w:r>
      <w:r w:rsidR="004C284E" w:rsidRPr="00813409">
        <w:t>potenciál</w:t>
      </w:r>
      <w:r w:rsidR="004C284E" w:rsidRPr="00813409" w:rsidDel="004C284E">
        <w:t xml:space="preserve"> </w:t>
      </w:r>
      <w:r w:rsidR="004C284E" w:rsidRPr="00813409">
        <w:t>pôsobiť karcinogénne a</w:t>
      </w:r>
      <w:r w:rsidR="009C39F3" w:rsidRPr="00813409">
        <w:t xml:space="preserve"> mať toxický vplyv na reprodukciu.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B42E42">
      <w:pPr>
        <w:ind w:left="0" w:firstLine="0"/>
        <w:rPr>
          <w:i/>
        </w:rPr>
      </w:pPr>
      <w:r w:rsidRPr="00813409">
        <w:t xml:space="preserve">U pacientov liečených </w:t>
      </w:r>
      <w:proofErr w:type="spellStart"/>
      <w:r w:rsidR="00221539" w:rsidRPr="00813409">
        <w:t>valgancik</w:t>
      </w:r>
      <w:r w:rsidR="0037584C" w:rsidRPr="00813409">
        <w:t>lovir</w:t>
      </w:r>
      <w:r w:rsidR="00221539" w:rsidRPr="00813409">
        <w:t>om</w:t>
      </w:r>
      <w:proofErr w:type="spellEnd"/>
      <w:r w:rsidRPr="00813409">
        <w:t xml:space="preserve"> (a </w:t>
      </w:r>
      <w:proofErr w:type="spellStart"/>
      <w:r w:rsidRPr="00813409">
        <w:t>ganciklovirom</w:t>
      </w:r>
      <w:proofErr w:type="spellEnd"/>
      <w:r w:rsidRPr="00813409">
        <w:t xml:space="preserve">) bola zaznamenaná závažná </w:t>
      </w:r>
      <w:proofErr w:type="spellStart"/>
      <w:r w:rsidRPr="00813409">
        <w:t>leukopénia</w:t>
      </w:r>
      <w:proofErr w:type="spellEnd"/>
      <w:r w:rsidRPr="00813409">
        <w:t xml:space="preserve">, </w:t>
      </w:r>
      <w:proofErr w:type="spellStart"/>
      <w:r w:rsidRPr="00813409">
        <w:t>neutropénia</w:t>
      </w:r>
      <w:proofErr w:type="spellEnd"/>
      <w:r w:rsidRPr="00813409">
        <w:t xml:space="preserve">, anémia, </w:t>
      </w:r>
      <w:proofErr w:type="spellStart"/>
      <w:r w:rsidRPr="00813409">
        <w:t>trombocytopénia</w:t>
      </w:r>
      <w:proofErr w:type="spellEnd"/>
      <w:r w:rsidRPr="00813409">
        <w:t xml:space="preserve">, </w:t>
      </w:r>
      <w:proofErr w:type="spellStart"/>
      <w:r w:rsidRPr="00813409">
        <w:t>pancytopénia</w:t>
      </w:r>
      <w:proofErr w:type="spellEnd"/>
      <w:r w:rsidRPr="00813409">
        <w:t xml:space="preserve">, útlm kostnej drene a </w:t>
      </w:r>
      <w:proofErr w:type="spellStart"/>
      <w:r w:rsidRPr="00813409">
        <w:t>aplastická</w:t>
      </w:r>
      <w:proofErr w:type="spellEnd"/>
      <w:r w:rsidRPr="00813409">
        <w:t xml:space="preserve"> anémia. Liečba sa nemá začať, ak absolútny počet </w:t>
      </w:r>
      <w:proofErr w:type="spellStart"/>
      <w:r w:rsidRPr="00813409">
        <w:t>neutrofilov</w:t>
      </w:r>
      <w:proofErr w:type="spellEnd"/>
      <w:r w:rsidRPr="00813409">
        <w:t xml:space="preserve"> je menší ako 500 buniek/</w:t>
      </w:r>
      <w:r w:rsidRPr="00813409">
        <w:sym w:font="Symbol" w:char="006D"/>
      </w:r>
      <w:r w:rsidRPr="00813409">
        <w:t>l</w:t>
      </w:r>
      <w:r w:rsidR="003C4428" w:rsidRPr="00813409">
        <w:t>,</w:t>
      </w:r>
      <w:r w:rsidRPr="00813409">
        <w:t xml:space="preserve"> alebo ak počet trombocytov je menší ako 25 000/</w:t>
      </w:r>
      <w:r w:rsidRPr="00813409">
        <w:sym w:font="Symbol" w:char="006D"/>
      </w:r>
      <w:r w:rsidRPr="00813409">
        <w:t>l</w:t>
      </w:r>
      <w:r w:rsidR="003C4428" w:rsidRPr="00813409">
        <w:t>,</w:t>
      </w:r>
      <w:r w:rsidRPr="00813409">
        <w:t xml:space="preserve"> alebo ak hladina hemoglobínu je nižšia ako 8 g/dl (pozri časti</w:t>
      </w:r>
      <w:r w:rsidRPr="00813409">
        <w:rPr>
          <w:i/>
        </w:rPr>
        <w:t xml:space="preserve"> </w:t>
      </w:r>
      <w:r w:rsidRPr="00813409">
        <w:t>4.2 a 4.8</w:t>
      </w:r>
      <w:r w:rsidRPr="00813409">
        <w:rPr>
          <w:i/>
        </w:rPr>
        <w:t>).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9C39F3" w:rsidP="00B42E42">
      <w:pPr>
        <w:ind w:left="0" w:firstLine="0"/>
        <w:rPr>
          <w:iCs/>
        </w:rPr>
      </w:pPr>
      <w:r w:rsidRPr="00813409">
        <w:rPr>
          <w:szCs w:val="22"/>
        </w:rPr>
        <w:t xml:space="preserve">Ak profylaxia trvá dlhšie než 100 dní, treba brať do úvahy možné riziko vzniku </w:t>
      </w:r>
      <w:proofErr w:type="spellStart"/>
      <w:r w:rsidRPr="00813409">
        <w:rPr>
          <w:szCs w:val="22"/>
        </w:rPr>
        <w:t>leukopénie</w:t>
      </w:r>
      <w:proofErr w:type="spellEnd"/>
      <w:r w:rsidRPr="00813409">
        <w:rPr>
          <w:szCs w:val="22"/>
        </w:rPr>
        <w:t xml:space="preserve"> </w:t>
      </w:r>
      <w:r w:rsidR="00007B58" w:rsidRPr="00813409">
        <w:rPr>
          <w:szCs w:val="22"/>
        </w:rPr>
        <w:t>a</w:t>
      </w:r>
      <w:r w:rsidRPr="00813409">
        <w:rPr>
          <w:szCs w:val="22"/>
        </w:rPr>
        <w:t> </w:t>
      </w:r>
      <w:proofErr w:type="spellStart"/>
      <w:r w:rsidRPr="00813409">
        <w:rPr>
          <w:szCs w:val="22"/>
        </w:rPr>
        <w:t>neutropénie</w:t>
      </w:r>
      <w:proofErr w:type="spellEnd"/>
      <w:r w:rsidRPr="00813409">
        <w:rPr>
          <w:szCs w:val="22"/>
        </w:rPr>
        <w:t xml:space="preserve"> (pozri čas</w:t>
      </w:r>
      <w:r w:rsidR="003711D5" w:rsidRPr="00813409">
        <w:rPr>
          <w:szCs w:val="22"/>
        </w:rPr>
        <w:t>ti</w:t>
      </w:r>
      <w:r w:rsidRPr="00813409">
        <w:rPr>
          <w:szCs w:val="22"/>
        </w:rPr>
        <w:t xml:space="preserve"> 4.2, 4.8 a 5.1).</w:t>
      </w:r>
    </w:p>
    <w:p w:rsidR="009C39F3" w:rsidRPr="00813409" w:rsidRDefault="009C39F3" w:rsidP="008C1DB1">
      <w:pPr>
        <w:ind w:left="0" w:firstLine="0"/>
      </w:pPr>
    </w:p>
    <w:p w:rsidR="009C39F3" w:rsidRPr="00813409" w:rsidRDefault="00221539" w:rsidP="00A91DF9">
      <w:pPr>
        <w:ind w:left="0" w:firstLine="0"/>
      </w:pPr>
      <w:proofErr w:type="spellStart"/>
      <w:r w:rsidRPr="00813409">
        <w:t>Valgancik</w:t>
      </w:r>
      <w:r w:rsidR="0037584C" w:rsidRPr="00813409">
        <w:t>lovir</w:t>
      </w:r>
      <w:proofErr w:type="spellEnd"/>
      <w:r w:rsidR="009C39F3" w:rsidRPr="00813409">
        <w:t xml:space="preserve"> sa má používať s opatrnosťou u pacientov s už existujúcou hematologickou </w:t>
      </w:r>
      <w:proofErr w:type="spellStart"/>
      <w:r w:rsidR="009C39F3" w:rsidRPr="00813409">
        <w:t>cytopéniou</w:t>
      </w:r>
      <w:proofErr w:type="spellEnd"/>
      <w:r w:rsidR="009C39F3" w:rsidRPr="00813409">
        <w:t xml:space="preserve"> alebo</w:t>
      </w:r>
      <w:r w:rsidRPr="00813409">
        <w:t xml:space="preserve"> </w:t>
      </w:r>
      <w:r w:rsidR="009C39F3" w:rsidRPr="00813409">
        <w:t xml:space="preserve">u pacientov, ktorí majú hematologickú </w:t>
      </w:r>
      <w:proofErr w:type="spellStart"/>
      <w:r w:rsidR="009C39F3" w:rsidRPr="00813409">
        <w:t>cytopéniu</w:t>
      </w:r>
      <w:proofErr w:type="spellEnd"/>
      <w:r w:rsidR="009C39F3" w:rsidRPr="00813409">
        <w:t xml:space="preserve"> navodenú liekmi v anamnéze a u pacientov, ktorí </w:t>
      </w:r>
      <w:r w:rsidR="00007B58" w:rsidRPr="00813409">
        <w:t xml:space="preserve">podstupujú </w:t>
      </w:r>
      <w:r w:rsidR="009C39F3" w:rsidRPr="00813409">
        <w:t>rádioterapi</w:t>
      </w:r>
      <w:r w:rsidR="00A91DF9" w:rsidRPr="00813409">
        <w:t>u</w:t>
      </w:r>
      <w:r w:rsidR="009C39F3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413BAB">
      <w:pPr>
        <w:ind w:left="0" w:firstLine="0"/>
      </w:pPr>
      <w:r w:rsidRPr="00813409">
        <w:t xml:space="preserve">Počas liečby sa odporúča </w:t>
      </w:r>
      <w:r w:rsidR="00516BBC" w:rsidRPr="00813409">
        <w:rPr>
          <w:szCs w:val="22"/>
        </w:rPr>
        <w:t>pravidelne</w:t>
      </w:r>
      <w:r w:rsidR="00516BBC" w:rsidRPr="00813409">
        <w:t xml:space="preserve"> </w:t>
      </w:r>
      <w:r w:rsidR="00294496" w:rsidRPr="00813409">
        <w:t xml:space="preserve">sledovať </w:t>
      </w:r>
      <w:r w:rsidRPr="00813409">
        <w:t>kompletný krvný obraz a počet trombocytov. Zvýšené sledovanie hematologických parametrov sa má zabezpečiť u pacientov s </w:t>
      </w:r>
      <w:r w:rsidR="00413BAB" w:rsidRPr="00813409">
        <w:t>poruchou</w:t>
      </w:r>
      <w:r w:rsidRPr="00813409">
        <w:t xml:space="preserve"> funkcie obličiek</w:t>
      </w:r>
      <w:r w:rsidR="00516BBC" w:rsidRPr="00813409">
        <w:rPr>
          <w:szCs w:val="22"/>
        </w:rPr>
        <w:t xml:space="preserve"> a u pediatrických pacientov, a to minimálne </w:t>
      </w:r>
      <w:r w:rsidR="00C30D9E" w:rsidRPr="00813409">
        <w:rPr>
          <w:szCs w:val="22"/>
        </w:rPr>
        <w:t>zakaždým</w:t>
      </w:r>
      <w:r w:rsidR="00516BBC" w:rsidRPr="00813409">
        <w:rPr>
          <w:szCs w:val="22"/>
        </w:rPr>
        <w:t>, keď pacient navštívi transplantačn</w:t>
      </w:r>
      <w:r w:rsidR="00C30D9E" w:rsidRPr="00813409">
        <w:rPr>
          <w:szCs w:val="22"/>
        </w:rPr>
        <w:t>é</w:t>
      </w:r>
      <w:r w:rsidR="00516BBC" w:rsidRPr="00813409">
        <w:rPr>
          <w:szCs w:val="22"/>
        </w:rPr>
        <w:t xml:space="preserve"> </w:t>
      </w:r>
      <w:r w:rsidR="00C30D9E" w:rsidRPr="00813409">
        <w:rPr>
          <w:szCs w:val="22"/>
        </w:rPr>
        <w:t>oddelenie</w:t>
      </w:r>
      <w:r w:rsidRPr="00813409">
        <w:t xml:space="preserve">. U pacientov, u ktorých sa rozvinie závažná </w:t>
      </w:r>
      <w:proofErr w:type="spellStart"/>
      <w:r w:rsidRPr="00813409">
        <w:t>leukopénia</w:t>
      </w:r>
      <w:proofErr w:type="spellEnd"/>
      <w:r w:rsidRPr="00813409">
        <w:t xml:space="preserve">, </w:t>
      </w:r>
      <w:proofErr w:type="spellStart"/>
      <w:r w:rsidRPr="00813409">
        <w:t>neutropénia</w:t>
      </w:r>
      <w:proofErr w:type="spellEnd"/>
      <w:r w:rsidRPr="00813409">
        <w:t xml:space="preserve">, anémia a/alebo </w:t>
      </w:r>
      <w:proofErr w:type="spellStart"/>
      <w:r w:rsidRPr="00813409">
        <w:t>trombocytopénia</w:t>
      </w:r>
      <w:proofErr w:type="spellEnd"/>
      <w:r w:rsidRPr="00813409">
        <w:t xml:space="preserve"> sa odporúča zvážiť liečbu </w:t>
      </w:r>
      <w:proofErr w:type="spellStart"/>
      <w:r w:rsidRPr="00813409">
        <w:t>hematopoetickými</w:t>
      </w:r>
      <w:proofErr w:type="spellEnd"/>
      <w:r w:rsidRPr="00813409">
        <w:t xml:space="preserve"> rastovými faktormi a/alebo prerušenie liečby (pozri čas</w:t>
      </w:r>
      <w:r w:rsidR="00BE47DF" w:rsidRPr="00813409">
        <w:t>ť</w:t>
      </w:r>
      <w:r w:rsidRPr="00813409">
        <w:t xml:space="preserve"> 4.</w:t>
      </w:r>
      <w:r w:rsidR="00A03981" w:rsidRPr="00813409">
        <w:t>2</w:t>
      </w:r>
      <w:r w:rsidRPr="00813409">
        <w:t>)</w:t>
      </w:r>
      <w:r w:rsidRPr="00813409">
        <w:rPr>
          <w:i/>
        </w:rPr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Biologická dostupnosť </w:t>
      </w:r>
      <w:proofErr w:type="spellStart"/>
      <w:r w:rsidRPr="00813409">
        <w:t>gancikloviru</w:t>
      </w:r>
      <w:proofErr w:type="spellEnd"/>
      <w:r w:rsidRPr="00813409">
        <w:t xml:space="preserve"> po jednorazovej dávke 900 mg </w:t>
      </w:r>
      <w:proofErr w:type="spellStart"/>
      <w:r w:rsidRPr="00813409">
        <w:t>valgancikloviru</w:t>
      </w:r>
      <w:proofErr w:type="spellEnd"/>
      <w:r w:rsidRPr="00813409">
        <w:t xml:space="preserve"> je približne 60 %, v porovnaní s približne 6 % po podaní 1 000 mg perorálneho </w:t>
      </w:r>
      <w:proofErr w:type="spellStart"/>
      <w:r w:rsidRPr="00813409">
        <w:t>gancikloviru</w:t>
      </w:r>
      <w:proofErr w:type="spellEnd"/>
      <w:r w:rsidRPr="00813409">
        <w:t xml:space="preserve"> (vo forme kapsúl). Nadmerná expozícia </w:t>
      </w:r>
      <w:proofErr w:type="spellStart"/>
      <w:r w:rsidRPr="00813409">
        <w:t>gancikloviru</w:t>
      </w:r>
      <w:proofErr w:type="spellEnd"/>
      <w:r w:rsidRPr="00813409">
        <w:t xml:space="preserve"> môže byť spojená so život ohrozujúcimi nežiaducimi reakciami. Preto sa majú starostlivo dodržiavať odporúčania </w:t>
      </w:r>
      <w:r w:rsidR="005C0B6C" w:rsidRPr="00813409">
        <w:t xml:space="preserve">na </w:t>
      </w:r>
      <w:r w:rsidRPr="00813409">
        <w:t xml:space="preserve">dávkovanie, a to pri začatí liečby, pri zmene indukčnej liečby na udržiavaciu liečbu a u pacientov, ktorí prechádzajú z perorálneho </w:t>
      </w:r>
      <w:proofErr w:type="spellStart"/>
      <w:r w:rsidRPr="00813409">
        <w:t>gancikloviru</w:t>
      </w:r>
      <w:proofErr w:type="spellEnd"/>
      <w:r w:rsidRPr="00813409">
        <w:t xml:space="preserve"> na </w:t>
      </w:r>
      <w:proofErr w:type="spellStart"/>
      <w:r w:rsidRPr="00813409">
        <w:t>valganciklovir</w:t>
      </w:r>
      <w:proofErr w:type="spellEnd"/>
      <w:r w:rsidRPr="00813409">
        <w:t xml:space="preserve">, pretože </w:t>
      </w:r>
      <w:proofErr w:type="spellStart"/>
      <w:r w:rsidR="00221539" w:rsidRPr="00813409">
        <w:t>valgancik</w:t>
      </w:r>
      <w:r w:rsidR="0037584C" w:rsidRPr="00813409">
        <w:t>lovir</w:t>
      </w:r>
      <w:proofErr w:type="spellEnd"/>
      <w:r w:rsidRPr="00813409">
        <w:t xml:space="preserve"> nemôže nahradiť kapsuly </w:t>
      </w:r>
      <w:proofErr w:type="spellStart"/>
      <w:r w:rsidRPr="00813409">
        <w:t>gancikloviru</w:t>
      </w:r>
      <w:proofErr w:type="spellEnd"/>
      <w:r w:rsidRPr="00813409">
        <w:t xml:space="preserve"> v pomere 1:1. Pacienti, ktorí prechádzajú z kapsúl </w:t>
      </w:r>
      <w:proofErr w:type="spellStart"/>
      <w:r w:rsidRPr="00813409">
        <w:t>ganciklovir</w:t>
      </w:r>
      <w:r w:rsidR="009F38AF" w:rsidRPr="00813409">
        <w:t>u</w:t>
      </w:r>
      <w:proofErr w:type="spellEnd"/>
      <w:r w:rsidRPr="00813409">
        <w:t xml:space="preserve"> na </w:t>
      </w:r>
      <w:proofErr w:type="spellStart"/>
      <w:r w:rsidR="00221539" w:rsidRPr="00813409">
        <w:t>valgancik</w:t>
      </w:r>
      <w:r w:rsidR="0037584C" w:rsidRPr="00813409">
        <w:t>lovir</w:t>
      </w:r>
      <w:proofErr w:type="spellEnd"/>
      <w:r w:rsidRPr="00813409">
        <w:t xml:space="preserve">, majú </w:t>
      </w:r>
      <w:r w:rsidR="00221539" w:rsidRPr="00813409">
        <w:t xml:space="preserve">byť </w:t>
      </w:r>
      <w:r w:rsidRPr="00813409">
        <w:t>pouč</w:t>
      </w:r>
      <w:r w:rsidR="00221539" w:rsidRPr="00813409">
        <w:t>ení</w:t>
      </w:r>
      <w:r w:rsidRPr="00813409">
        <w:t xml:space="preserve"> o riziku predávkovania v prípade, že užijú viac tabliet </w:t>
      </w:r>
      <w:proofErr w:type="spellStart"/>
      <w:r w:rsidR="0037584C" w:rsidRPr="00813409">
        <w:t>Valganciclovir</w:t>
      </w:r>
      <w:r w:rsidR="00221539" w:rsidRPr="00813409">
        <w:t>u</w:t>
      </w:r>
      <w:proofErr w:type="spellEnd"/>
      <w:r w:rsidR="0037584C" w:rsidRPr="00813409">
        <w:t xml:space="preserve"> Mylan</w:t>
      </w:r>
      <w:r w:rsidRPr="00813409">
        <w:t xml:space="preserve"> ako je predpísaný počet (pozri časti 4.2 a 4.9).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t>U pacientov s po</w:t>
      </w:r>
      <w:r w:rsidR="00C07DE1" w:rsidRPr="00813409">
        <w:t>ruchou</w:t>
      </w:r>
      <w:r w:rsidRPr="00813409">
        <w:t xml:space="preserve"> funkcie obličiek sa má dávkovanie upraviť podľa </w:t>
      </w:r>
      <w:proofErr w:type="spellStart"/>
      <w:r w:rsidRPr="00813409">
        <w:t>klírens</w:t>
      </w:r>
      <w:r w:rsidR="00C07DE1" w:rsidRPr="00813409">
        <w:t>u</w:t>
      </w:r>
      <w:proofErr w:type="spellEnd"/>
      <w:r w:rsidRPr="00813409">
        <w:t xml:space="preserve"> </w:t>
      </w:r>
      <w:proofErr w:type="spellStart"/>
      <w:r w:rsidRPr="00813409">
        <w:t>kreatinínu</w:t>
      </w:r>
      <w:proofErr w:type="spellEnd"/>
      <w:r w:rsidRPr="00813409">
        <w:t xml:space="preserve"> (pozri časti </w:t>
      </w:r>
      <w:smartTag w:uri="urn:schemas-microsoft-com:office:smarttags" w:element="metricconverter">
        <w:smartTagPr>
          <w:attr w:name="ProductID" w:val="4.2 a"/>
        </w:smartTagPr>
        <w:r w:rsidRPr="00813409">
          <w:t>4.2</w:t>
        </w:r>
        <w:r w:rsidRPr="00813409">
          <w:rPr>
            <w:i/>
          </w:rPr>
          <w:t xml:space="preserve"> </w:t>
        </w:r>
        <w:r w:rsidRPr="00813409">
          <w:t>a</w:t>
        </w:r>
      </w:smartTag>
      <w:r w:rsidRPr="00813409">
        <w:t xml:space="preserve"> 5.2)</w:t>
      </w:r>
      <w:r w:rsidRPr="00813409">
        <w:rPr>
          <w:i/>
        </w:rPr>
        <w:t>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221539" w:rsidP="008C1DB1">
      <w:pPr>
        <w:ind w:left="0" w:firstLine="0"/>
        <w:rPr>
          <w:i/>
        </w:rPr>
      </w:pPr>
      <w:proofErr w:type="spellStart"/>
      <w:r w:rsidRPr="00813409">
        <w:t>Valgancik</w:t>
      </w:r>
      <w:r w:rsidR="0037584C" w:rsidRPr="00813409">
        <w:t>lovir</w:t>
      </w:r>
      <w:proofErr w:type="spellEnd"/>
      <w:r w:rsidR="002A2DD5" w:rsidRPr="00813409">
        <w:t xml:space="preserve"> </w:t>
      </w:r>
      <w:r w:rsidR="009C39F3" w:rsidRPr="00813409">
        <w:t xml:space="preserve">sa </w:t>
      </w:r>
      <w:r w:rsidRPr="00813409">
        <w:t xml:space="preserve">nemá </w:t>
      </w:r>
      <w:r w:rsidR="009C39F3" w:rsidRPr="00813409">
        <w:t>používať u pacientov na hemodialýze (pozri časti 4.2 a 5.2).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U pacientov užívajúcich </w:t>
      </w:r>
      <w:proofErr w:type="spellStart"/>
      <w:r w:rsidRPr="00813409">
        <w:t>imipen</w:t>
      </w:r>
      <w:r w:rsidR="009F38AF" w:rsidRPr="00813409">
        <w:t>é</w:t>
      </w:r>
      <w:r w:rsidRPr="00813409">
        <w:t>m-cilastatín</w:t>
      </w:r>
      <w:proofErr w:type="spellEnd"/>
      <w:r w:rsidRPr="00813409">
        <w:t xml:space="preserve"> a </w:t>
      </w:r>
      <w:proofErr w:type="spellStart"/>
      <w:r w:rsidRPr="00813409">
        <w:t>ganciklovir</w:t>
      </w:r>
      <w:proofErr w:type="spellEnd"/>
      <w:r w:rsidRPr="00813409">
        <w:t xml:space="preserve"> bol hlásený výskyt kŕčov. </w:t>
      </w:r>
      <w:proofErr w:type="spellStart"/>
      <w:r w:rsidR="003F051E" w:rsidRPr="00813409">
        <w:t>Valganciklovir</w:t>
      </w:r>
      <w:proofErr w:type="spellEnd"/>
      <w:r w:rsidR="003F051E" w:rsidRPr="00813409">
        <w:t xml:space="preserve"> </w:t>
      </w:r>
      <w:r w:rsidRPr="00813409">
        <w:t>sa nemá užívať súbežne s </w:t>
      </w:r>
      <w:proofErr w:type="spellStart"/>
      <w:r w:rsidRPr="00813409">
        <w:t>imipen</w:t>
      </w:r>
      <w:r w:rsidR="009F38AF" w:rsidRPr="00813409">
        <w:t>ém</w:t>
      </w:r>
      <w:r w:rsidRPr="00813409">
        <w:t>om-cilastatínom</w:t>
      </w:r>
      <w:proofErr w:type="spellEnd"/>
      <w:r w:rsidRPr="00813409">
        <w:t xml:space="preserve">, pokiaľ prínos </w:t>
      </w:r>
      <w:r w:rsidR="009F38AF" w:rsidRPr="00813409">
        <w:t xml:space="preserve">liečby </w:t>
      </w:r>
      <w:r w:rsidRPr="00813409">
        <w:t>neprevyšuje potenciálne riziko (pozri časť 4.5).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t xml:space="preserve">Pacienti liečení </w:t>
      </w:r>
      <w:proofErr w:type="spellStart"/>
      <w:r w:rsidR="003F051E" w:rsidRPr="00813409">
        <w:t>valgancik</w:t>
      </w:r>
      <w:r w:rsidR="0037584C" w:rsidRPr="00813409">
        <w:t>lovir</w:t>
      </w:r>
      <w:r w:rsidR="003F051E" w:rsidRPr="00813409">
        <w:t>om</w:t>
      </w:r>
      <w:proofErr w:type="spellEnd"/>
      <w:r w:rsidR="0037584C" w:rsidRPr="00813409">
        <w:t xml:space="preserve"> </w:t>
      </w:r>
      <w:r w:rsidRPr="00813409">
        <w:t xml:space="preserve">a (a) </w:t>
      </w:r>
      <w:proofErr w:type="spellStart"/>
      <w:r w:rsidRPr="00813409">
        <w:t>didanozínom</w:t>
      </w:r>
      <w:proofErr w:type="spellEnd"/>
      <w:r w:rsidRPr="00813409">
        <w:t>, (b) liekmi s</w:t>
      </w:r>
      <w:r w:rsidR="003F051E" w:rsidRPr="00813409">
        <w:t>o známym</w:t>
      </w:r>
      <w:r w:rsidRPr="00813409">
        <w:t> </w:t>
      </w:r>
      <w:proofErr w:type="spellStart"/>
      <w:r w:rsidRPr="00813409">
        <w:t>myelosupresívnym</w:t>
      </w:r>
      <w:proofErr w:type="spellEnd"/>
      <w:r w:rsidRPr="00813409">
        <w:t xml:space="preserve"> účinkom (napr. </w:t>
      </w:r>
      <w:proofErr w:type="spellStart"/>
      <w:r w:rsidRPr="00813409">
        <w:t>zidovudínom</w:t>
      </w:r>
      <w:proofErr w:type="spellEnd"/>
      <w:r w:rsidRPr="00813409">
        <w:t xml:space="preserve">) alebo (c) látkami ovplyvňujúcimi funkciu </w:t>
      </w:r>
      <w:r w:rsidR="00C07DE1" w:rsidRPr="00813409">
        <w:t xml:space="preserve">obličiek </w:t>
      </w:r>
      <w:r w:rsidRPr="00813409">
        <w:t>sa majú starostlivo sledovať vzhľadom k možnosti prídavnej toxicity (pozri časť 4.5)</w:t>
      </w:r>
      <w:r w:rsidRPr="00813409">
        <w:rPr>
          <w:i/>
        </w:rPr>
        <w:t>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413BAB" w:rsidP="00C07DE1">
      <w:pPr>
        <w:ind w:left="0" w:firstLine="0"/>
      </w:pPr>
      <w:r w:rsidRPr="00813409">
        <w:rPr>
          <w:szCs w:val="22"/>
        </w:rPr>
        <w:t xml:space="preserve">V kontrolovanej klinickej štúdii, ktorá hodnotila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 xml:space="preserve"> v </w:t>
      </w:r>
      <w:r w:rsidR="003F051E" w:rsidRPr="00813409">
        <w:rPr>
          <w:szCs w:val="22"/>
        </w:rPr>
        <w:t xml:space="preserve">preventívnej liečbe </w:t>
      </w:r>
      <w:r w:rsidRPr="00813409">
        <w:rPr>
          <w:szCs w:val="22"/>
        </w:rPr>
        <w:t>CMV ochorenia pri transplantáciách, neboli zaradení pacienti po transplantácii pľúc a čreva, ako je podrobne uvedené v časti 5.1.</w:t>
      </w:r>
      <w:r w:rsidR="00B42E42" w:rsidRPr="00813409">
        <w:rPr>
          <w:szCs w:val="22"/>
        </w:rPr>
        <w:t xml:space="preserve"> </w:t>
      </w:r>
      <w:r w:rsidR="009C39F3" w:rsidRPr="00813409">
        <w:t>Preto skúsenosti u týchto transplantovaných pacientov sú obmedzené.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b/>
          <w:szCs w:val="22"/>
        </w:rPr>
      </w:pPr>
      <w:r w:rsidRPr="00813409">
        <w:rPr>
          <w:b/>
          <w:szCs w:val="22"/>
        </w:rPr>
        <w:t>4.5</w:t>
      </w:r>
      <w:r w:rsidRPr="00813409">
        <w:rPr>
          <w:b/>
          <w:szCs w:val="22"/>
        </w:rPr>
        <w:tab/>
        <w:t>Liekové a iné interakcie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122C50" w:rsidP="008C1DB1">
      <w:pPr>
        <w:ind w:left="0" w:firstLine="0"/>
      </w:pPr>
      <w:r>
        <w:rPr>
          <w:u w:val="single"/>
        </w:rPr>
        <w:t>I</w:t>
      </w:r>
      <w:r w:rsidR="009C39F3" w:rsidRPr="00813409">
        <w:rPr>
          <w:u w:val="single"/>
        </w:rPr>
        <w:t xml:space="preserve">nterakcie s </w:t>
      </w:r>
      <w:proofErr w:type="spellStart"/>
      <w:r w:rsidR="009C39F3" w:rsidRPr="00813409">
        <w:rPr>
          <w:u w:val="single"/>
        </w:rPr>
        <w:t>valganciklovirom</w:t>
      </w:r>
      <w:proofErr w:type="spellEnd"/>
    </w:p>
    <w:p w:rsidR="009C39F3" w:rsidRPr="00813409" w:rsidRDefault="009C39F3" w:rsidP="008C1DB1">
      <w:pPr>
        <w:ind w:left="0" w:firstLine="0"/>
      </w:pPr>
      <w:r w:rsidRPr="00813409">
        <w:rPr>
          <w:i/>
        </w:rPr>
        <w:t xml:space="preserve">In </w:t>
      </w:r>
      <w:proofErr w:type="spellStart"/>
      <w:r w:rsidRPr="00813409">
        <w:rPr>
          <w:i/>
        </w:rPr>
        <w:t>vivo</w:t>
      </w:r>
      <w:proofErr w:type="spellEnd"/>
      <w:r w:rsidRPr="00813409">
        <w:t xml:space="preserve"> liekové interakčné štúdie s</w:t>
      </w:r>
      <w:r w:rsidR="00E76805" w:rsidRPr="00813409">
        <w:t> </w:t>
      </w:r>
      <w:proofErr w:type="spellStart"/>
      <w:r w:rsidR="00A85660" w:rsidRPr="00813409">
        <w:t>valgancik</w:t>
      </w:r>
      <w:r w:rsidR="0037584C" w:rsidRPr="00813409">
        <w:t>lovir</w:t>
      </w:r>
      <w:r w:rsidR="00A85660" w:rsidRPr="00813409">
        <w:t>om</w:t>
      </w:r>
      <w:proofErr w:type="spellEnd"/>
      <w:r w:rsidRPr="00813409">
        <w:t xml:space="preserve"> sa neuskutočnili. Keďže </w:t>
      </w:r>
      <w:proofErr w:type="spellStart"/>
      <w:r w:rsidRPr="00813409">
        <w:t>valganciklovir</w:t>
      </w:r>
      <w:proofErr w:type="spellEnd"/>
      <w:r w:rsidRPr="00813409">
        <w:t xml:space="preserve"> sa rýchlo a vo veľkom rozsahu metabolizuje na </w:t>
      </w:r>
      <w:proofErr w:type="spellStart"/>
      <w:r w:rsidRPr="00813409">
        <w:t>ganciklovir</w:t>
      </w:r>
      <w:proofErr w:type="spellEnd"/>
      <w:r w:rsidRPr="00813409">
        <w:t xml:space="preserve">, možno u </w:t>
      </w:r>
      <w:proofErr w:type="spellStart"/>
      <w:r w:rsidRPr="00813409">
        <w:t>valgancikloviru</w:t>
      </w:r>
      <w:proofErr w:type="spellEnd"/>
      <w:r w:rsidRPr="00813409">
        <w:t xml:space="preserve"> očakávať také isté liekové interakcie aké sú </w:t>
      </w:r>
      <w:r w:rsidR="009F38AF" w:rsidRPr="00813409">
        <w:t xml:space="preserve">u </w:t>
      </w:r>
      <w:proofErr w:type="spellStart"/>
      <w:r w:rsidRPr="00813409">
        <w:t>gancikloviru</w:t>
      </w:r>
      <w:proofErr w:type="spellEnd"/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122C50" w:rsidP="008C1DB1">
      <w:pPr>
        <w:ind w:left="0" w:firstLine="0"/>
        <w:rPr>
          <w:u w:val="single"/>
        </w:rPr>
      </w:pPr>
      <w:r>
        <w:rPr>
          <w:szCs w:val="22"/>
          <w:u w:val="single"/>
        </w:rPr>
        <w:t>I</w:t>
      </w:r>
      <w:r w:rsidR="00516BBC" w:rsidRPr="00813409">
        <w:rPr>
          <w:szCs w:val="22"/>
          <w:u w:val="single"/>
        </w:rPr>
        <w:t xml:space="preserve">nterakcie s </w:t>
      </w:r>
      <w:proofErr w:type="spellStart"/>
      <w:r w:rsidR="009C39F3" w:rsidRPr="00813409">
        <w:rPr>
          <w:u w:val="single"/>
        </w:rPr>
        <w:t>ganciklovir</w:t>
      </w:r>
      <w:r w:rsidR="00516BBC" w:rsidRPr="00813409">
        <w:rPr>
          <w:u w:val="single"/>
        </w:rPr>
        <w:t>om</w:t>
      </w:r>
      <w:proofErr w:type="spellEnd"/>
    </w:p>
    <w:p w:rsidR="00A85660" w:rsidRPr="00813409" w:rsidRDefault="00A85660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Imipen</w:t>
      </w:r>
      <w:r w:rsidR="0087617E" w:rsidRPr="00813409">
        <w:rPr>
          <w:i/>
        </w:rPr>
        <w:t>é</w:t>
      </w:r>
      <w:r w:rsidRPr="00813409">
        <w:rPr>
          <w:i/>
        </w:rPr>
        <w:t>m-cilastatín</w:t>
      </w:r>
      <w:proofErr w:type="spellEnd"/>
    </w:p>
    <w:p w:rsidR="009C39F3" w:rsidRPr="00813409" w:rsidRDefault="009C39F3" w:rsidP="00B42E42">
      <w:pPr>
        <w:ind w:left="0" w:firstLine="0"/>
      </w:pPr>
      <w:r w:rsidRPr="00813409">
        <w:t>U pacientov, ktorí užívali sú</w:t>
      </w:r>
      <w:r w:rsidR="00B42E42" w:rsidRPr="00813409">
        <w:t>bežne</w:t>
      </w:r>
      <w:r w:rsidRPr="00813409">
        <w:t xml:space="preserve"> </w:t>
      </w:r>
      <w:proofErr w:type="spellStart"/>
      <w:r w:rsidRPr="00813409">
        <w:t>ganciklovir</w:t>
      </w:r>
      <w:proofErr w:type="spellEnd"/>
      <w:r w:rsidRPr="00813409">
        <w:t xml:space="preserve"> a </w:t>
      </w:r>
      <w:proofErr w:type="spellStart"/>
      <w:r w:rsidRPr="00813409">
        <w:t>imipen</w:t>
      </w:r>
      <w:r w:rsidR="0087617E" w:rsidRPr="00813409">
        <w:t>é</w:t>
      </w:r>
      <w:r w:rsidRPr="00813409">
        <w:t>m-cilastatín</w:t>
      </w:r>
      <w:proofErr w:type="spellEnd"/>
      <w:r w:rsidRPr="00813409">
        <w:t>, boli hlásené kŕče. Tieto lieky sa nemajú užívať súbežne, pokiaľ ich potenciálny prínos neprevyšuje potenciálne riziko (pozri časť 4.4).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Probenicid</w:t>
      </w:r>
      <w:proofErr w:type="spellEnd"/>
    </w:p>
    <w:p w:rsidR="009C39F3" w:rsidRPr="00813409" w:rsidRDefault="005D792E" w:rsidP="00B42E42">
      <w:pPr>
        <w:ind w:left="0" w:firstLine="0"/>
      </w:pPr>
      <w:r w:rsidRPr="00813409">
        <w:rPr>
          <w:szCs w:val="22"/>
        </w:rPr>
        <w:t xml:space="preserve">Podávanie </w:t>
      </w:r>
      <w:proofErr w:type="spellStart"/>
      <w:r w:rsidRPr="00813409">
        <w:rPr>
          <w:szCs w:val="22"/>
        </w:rPr>
        <w:t>probenecidu</w:t>
      </w:r>
      <w:proofErr w:type="spellEnd"/>
      <w:r w:rsidRPr="00813409">
        <w:rPr>
          <w:szCs w:val="22"/>
        </w:rPr>
        <w:t xml:space="preserve"> s perorálnym </w:t>
      </w:r>
      <w:proofErr w:type="spellStart"/>
      <w:r w:rsidRPr="00813409">
        <w:rPr>
          <w:szCs w:val="22"/>
        </w:rPr>
        <w:t>ganciklovirom</w:t>
      </w:r>
      <w:proofErr w:type="spellEnd"/>
      <w:r w:rsidRPr="00813409">
        <w:rPr>
          <w:szCs w:val="22"/>
        </w:rPr>
        <w:t xml:space="preserve"> viedlo k </w:t>
      </w:r>
      <w:r w:rsidR="00725DE7" w:rsidRPr="00813409">
        <w:rPr>
          <w:szCs w:val="22"/>
        </w:rPr>
        <w:t xml:space="preserve">štatisticky </w:t>
      </w:r>
      <w:r w:rsidRPr="00813409">
        <w:rPr>
          <w:szCs w:val="22"/>
        </w:rPr>
        <w:t xml:space="preserve">významnému zníženiu </w:t>
      </w:r>
      <w:proofErr w:type="spellStart"/>
      <w:r w:rsidRPr="00813409">
        <w:rPr>
          <w:szCs w:val="22"/>
        </w:rPr>
        <w:t>renálneho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klírens</w:t>
      </w:r>
      <w:r w:rsidR="00C07DE1" w:rsidRPr="00813409">
        <w:rPr>
          <w:szCs w:val="22"/>
        </w:rPr>
        <w:t>u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(20</w:t>
      </w:r>
      <w:r w:rsidR="009028C6" w:rsidRPr="00813409">
        <w:rPr>
          <w:szCs w:val="22"/>
        </w:rPr>
        <w:t> </w:t>
      </w:r>
      <w:r w:rsidRPr="00813409">
        <w:rPr>
          <w:szCs w:val="22"/>
        </w:rPr>
        <w:t>%), a tým k štatisticky významnému zvýšeniu expozície (40</w:t>
      </w:r>
      <w:r w:rsidR="00B42E42" w:rsidRPr="00813409">
        <w:rPr>
          <w:szCs w:val="22"/>
        </w:rPr>
        <w:t> </w:t>
      </w:r>
      <w:r w:rsidRPr="00813409">
        <w:rPr>
          <w:szCs w:val="22"/>
        </w:rPr>
        <w:t xml:space="preserve">%). Tieto zmeny sú spôsobené mechanizmom interakcie zahŕňajúcej </w:t>
      </w:r>
      <w:proofErr w:type="spellStart"/>
      <w:r w:rsidRPr="00813409">
        <w:rPr>
          <w:szCs w:val="22"/>
        </w:rPr>
        <w:t>kompetíciu</w:t>
      </w:r>
      <w:proofErr w:type="spellEnd"/>
      <w:r w:rsidRPr="00813409">
        <w:rPr>
          <w:szCs w:val="22"/>
        </w:rPr>
        <w:t xml:space="preserve"> o </w:t>
      </w:r>
      <w:proofErr w:type="spellStart"/>
      <w:r w:rsidRPr="00813409">
        <w:rPr>
          <w:szCs w:val="22"/>
        </w:rPr>
        <w:t>renálnu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tubulárnu</w:t>
      </w:r>
      <w:proofErr w:type="spellEnd"/>
      <w:r w:rsidRPr="00813409">
        <w:rPr>
          <w:szCs w:val="22"/>
        </w:rPr>
        <w:t xml:space="preserve"> sekréciu. Z tohto dôvodu treba pacientov, ktorí </w:t>
      </w:r>
      <w:r w:rsidR="0087617E" w:rsidRPr="00813409">
        <w:rPr>
          <w:szCs w:val="22"/>
        </w:rPr>
        <w:t xml:space="preserve">súbežne </w:t>
      </w:r>
      <w:r w:rsidRPr="00813409">
        <w:rPr>
          <w:szCs w:val="22"/>
        </w:rPr>
        <w:t xml:space="preserve">užívajú </w:t>
      </w:r>
      <w:proofErr w:type="spellStart"/>
      <w:r w:rsidRPr="00813409">
        <w:rPr>
          <w:szCs w:val="22"/>
        </w:rPr>
        <w:t>probenecid</w:t>
      </w:r>
      <w:proofErr w:type="spellEnd"/>
      <w:r w:rsidRPr="00813409">
        <w:rPr>
          <w:szCs w:val="22"/>
        </w:rPr>
        <w:t xml:space="preserve"> a </w:t>
      </w:r>
      <w:proofErr w:type="spellStart"/>
      <w:r w:rsidR="00A85660" w:rsidRPr="00813409">
        <w:rPr>
          <w:szCs w:val="22"/>
        </w:rPr>
        <w:t>valgancik</w:t>
      </w:r>
      <w:r w:rsidR="0037584C" w:rsidRPr="00813409">
        <w:rPr>
          <w:szCs w:val="22"/>
        </w:rPr>
        <w:t>lovir</w:t>
      </w:r>
      <w:proofErr w:type="spellEnd"/>
      <w:r w:rsidR="00A85660" w:rsidRPr="00813409">
        <w:rPr>
          <w:szCs w:val="22"/>
        </w:rPr>
        <w:t xml:space="preserve"> </w:t>
      </w:r>
      <w:r w:rsidRPr="00813409">
        <w:rPr>
          <w:szCs w:val="22"/>
        </w:rPr>
        <w:t xml:space="preserve">starostlivo sledovať kvôli možným toxickým účinkom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>.</w:t>
      </w:r>
    </w:p>
    <w:p w:rsidR="009C39F3" w:rsidRPr="00813409" w:rsidRDefault="009C39F3" w:rsidP="008C1DB1">
      <w:pPr>
        <w:ind w:left="0" w:firstLine="0"/>
      </w:pPr>
    </w:p>
    <w:p w:rsidR="00516BBC" w:rsidRPr="00813409" w:rsidRDefault="00516BBC" w:rsidP="007C342D">
      <w:pPr>
        <w:keepNext/>
        <w:keepLines/>
        <w:ind w:left="0" w:firstLine="0"/>
        <w:rPr>
          <w:i/>
        </w:rPr>
      </w:pPr>
      <w:proofErr w:type="spellStart"/>
      <w:r w:rsidRPr="00813409">
        <w:rPr>
          <w:i/>
        </w:rPr>
        <w:t>Trimetoprim</w:t>
      </w:r>
      <w:proofErr w:type="spellEnd"/>
    </w:p>
    <w:p w:rsidR="00516BBC" w:rsidRPr="00813409" w:rsidRDefault="00516BBC" w:rsidP="007C342D">
      <w:pPr>
        <w:keepNext/>
        <w:keepLines/>
        <w:ind w:left="0" w:firstLine="0"/>
      </w:pPr>
      <w:r w:rsidRPr="00813409">
        <w:rPr>
          <w:szCs w:val="22"/>
        </w:rPr>
        <w:t xml:space="preserve">Pri podávaní kombinácie </w:t>
      </w:r>
      <w:proofErr w:type="spellStart"/>
      <w:r w:rsidRPr="00813409">
        <w:rPr>
          <w:szCs w:val="22"/>
        </w:rPr>
        <w:t>trimetoprimu</w:t>
      </w:r>
      <w:proofErr w:type="spellEnd"/>
      <w:r w:rsidRPr="00813409">
        <w:rPr>
          <w:szCs w:val="22"/>
        </w:rPr>
        <w:t xml:space="preserve"> a perorálneho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nebola pozorovaná žiadna klinicky významná </w:t>
      </w:r>
      <w:proofErr w:type="spellStart"/>
      <w:r w:rsidRPr="00813409">
        <w:rPr>
          <w:szCs w:val="22"/>
        </w:rPr>
        <w:t>farmakokinetická</w:t>
      </w:r>
      <w:proofErr w:type="spellEnd"/>
      <w:r w:rsidRPr="00813409">
        <w:rPr>
          <w:szCs w:val="22"/>
        </w:rPr>
        <w:t xml:space="preserve"> interakcia. Existuje však možnosť zvýšenej toxicity, keďže ob</w:t>
      </w:r>
      <w:r w:rsidR="00CE4072">
        <w:rPr>
          <w:szCs w:val="22"/>
        </w:rPr>
        <w:t>a</w:t>
      </w:r>
      <w:r w:rsidRPr="00813409">
        <w:rPr>
          <w:szCs w:val="22"/>
        </w:rPr>
        <w:t xml:space="preserve"> </w:t>
      </w:r>
      <w:r w:rsidR="00CE4072">
        <w:rPr>
          <w:szCs w:val="22"/>
        </w:rPr>
        <w:t>lieky</w:t>
      </w:r>
      <w:r w:rsidR="00CE4072" w:rsidRPr="00813409">
        <w:rPr>
          <w:szCs w:val="22"/>
        </w:rPr>
        <w:t xml:space="preserve"> </w:t>
      </w:r>
      <w:r w:rsidRPr="00813409">
        <w:rPr>
          <w:szCs w:val="22"/>
        </w:rPr>
        <w:t xml:space="preserve">majú známy </w:t>
      </w:r>
      <w:proofErr w:type="spellStart"/>
      <w:r w:rsidRPr="00813409">
        <w:rPr>
          <w:szCs w:val="22"/>
        </w:rPr>
        <w:t>myelosupresívny</w:t>
      </w:r>
      <w:proofErr w:type="spellEnd"/>
      <w:r w:rsidRPr="00813409">
        <w:rPr>
          <w:szCs w:val="22"/>
        </w:rPr>
        <w:t xml:space="preserve"> účinok, a preto sa ob</w:t>
      </w:r>
      <w:r w:rsidR="00CE4072">
        <w:rPr>
          <w:szCs w:val="22"/>
        </w:rPr>
        <w:t>a</w:t>
      </w:r>
      <w:r w:rsidRPr="00813409">
        <w:rPr>
          <w:szCs w:val="22"/>
        </w:rPr>
        <w:t xml:space="preserve"> </w:t>
      </w:r>
      <w:r w:rsidR="00CE4072">
        <w:rPr>
          <w:szCs w:val="22"/>
        </w:rPr>
        <w:t>lieky</w:t>
      </w:r>
      <w:r w:rsidR="00CE4072" w:rsidRPr="00813409">
        <w:rPr>
          <w:szCs w:val="22"/>
        </w:rPr>
        <w:t xml:space="preserve"> </w:t>
      </w:r>
      <w:r w:rsidRPr="00813409">
        <w:rPr>
          <w:szCs w:val="22"/>
        </w:rPr>
        <w:t>majú používať súbežne len vtedy, ak možný prínos liečby preváži jej riziká.</w:t>
      </w:r>
    </w:p>
    <w:p w:rsidR="00516BBC" w:rsidRPr="00813409" w:rsidRDefault="00516BBC" w:rsidP="008C1DB1">
      <w:pPr>
        <w:ind w:left="0" w:firstLine="0"/>
      </w:pPr>
    </w:p>
    <w:p w:rsidR="009C39F3" w:rsidRPr="00813409" w:rsidRDefault="0087617E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Mofetilm</w:t>
      </w:r>
      <w:r w:rsidR="009C39F3" w:rsidRPr="00813409">
        <w:rPr>
          <w:i/>
        </w:rPr>
        <w:t>ykofenolát</w:t>
      </w:r>
      <w:proofErr w:type="spellEnd"/>
      <w:r w:rsidR="009C39F3" w:rsidRPr="00813409">
        <w:rPr>
          <w:i/>
        </w:rPr>
        <w:t xml:space="preserve"> </w:t>
      </w:r>
    </w:p>
    <w:p w:rsidR="00F1349F" w:rsidRPr="00813409" w:rsidRDefault="00F1349F" w:rsidP="00F1349F">
      <w:pPr>
        <w:ind w:left="0" w:firstLine="0"/>
        <w:rPr>
          <w:szCs w:val="22"/>
        </w:rPr>
      </w:pPr>
      <w:r w:rsidRPr="00813409">
        <w:rPr>
          <w:snapToGrid w:val="0"/>
          <w:szCs w:val="22"/>
        </w:rPr>
        <w:t xml:space="preserve">Vzhľadom </w:t>
      </w:r>
      <w:r w:rsidR="009F5ED1" w:rsidRPr="00813409">
        <w:rPr>
          <w:snapToGrid w:val="0"/>
          <w:szCs w:val="22"/>
        </w:rPr>
        <w:t xml:space="preserve">na </w:t>
      </w:r>
      <w:r w:rsidRPr="00813409">
        <w:rPr>
          <w:snapToGrid w:val="0"/>
          <w:szCs w:val="22"/>
        </w:rPr>
        <w:t xml:space="preserve">to, že </w:t>
      </w:r>
      <w:proofErr w:type="spellStart"/>
      <w:r w:rsidR="00516BBC" w:rsidRPr="00813409">
        <w:rPr>
          <w:snapToGrid w:val="0"/>
          <w:szCs w:val="22"/>
        </w:rPr>
        <w:t>mofetilmykofenolát</w:t>
      </w:r>
      <w:proofErr w:type="spellEnd"/>
      <w:r w:rsidR="00516BBC" w:rsidRPr="00813409">
        <w:rPr>
          <w:snapToGrid w:val="0"/>
          <w:szCs w:val="22"/>
        </w:rPr>
        <w:t xml:space="preserve"> (</w:t>
      </w:r>
      <w:r w:rsidRPr="00813409">
        <w:rPr>
          <w:szCs w:val="22"/>
        </w:rPr>
        <w:t>MMF</w:t>
      </w:r>
      <w:r w:rsidR="00516BBC" w:rsidRPr="00813409">
        <w:rPr>
          <w:szCs w:val="22"/>
        </w:rPr>
        <w:t>)</w:t>
      </w:r>
      <w:r w:rsidRPr="00813409">
        <w:rPr>
          <w:szCs w:val="22"/>
        </w:rPr>
        <w:t xml:space="preserve"> aj </w:t>
      </w:r>
      <w:proofErr w:type="spellStart"/>
      <w:r w:rsidRPr="00813409">
        <w:rPr>
          <w:szCs w:val="22"/>
        </w:rPr>
        <w:t>ganciklovir</w:t>
      </w:r>
      <w:proofErr w:type="spellEnd"/>
      <w:r w:rsidRPr="00813409">
        <w:rPr>
          <w:szCs w:val="22"/>
        </w:rPr>
        <w:t xml:space="preserve"> môžu spôsobiť </w:t>
      </w:r>
      <w:proofErr w:type="spellStart"/>
      <w:r w:rsidRPr="00813409">
        <w:rPr>
          <w:szCs w:val="22"/>
        </w:rPr>
        <w:t>neutropéniu</w:t>
      </w:r>
      <w:proofErr w:type="spellEnd"/>
      <w:r w:rsidRPr="00813409">
        <w:rPr>
          <w:szCs w:val="22"/>
        </w:rPr>
        <w:t xml:space="preserve"> a </w:t>
      </w:r>
      <w:proofErr w:type="spellStart"/>
      <w:r w:rsidRPr="00813409">
        <w:rPr>
          <w:szCs w:val="22"/>
        </w:rPr>
        <w:t>leukopéniu</w:t>
      </w:r>
      <w:proofErr w:type="spellEnd"/>
      <w:r w:rsidRPr="00813409">
        <w:rPr>
          <w:szCs w:val="22"/>
        </w:rPr>
        <w:t>, pacienti sa majú sledovať kvôli zvýšenej toxicite.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lastRenderedPageBreak/>
        <w:t>Stavudín</w:t>
      </w:r>
      <w:proofErr w:type="spellEnd"/>
    </w:p>
    <w:p w:rsidR="009C39F3" w:rsidRPr="00813409" w:rsidRDefault="005D792E" w:rsidP="008C1DB1">
      <w:pPr>
        <w:ind w:left="0" w:firstLine="0"/>
      </w:pPr>
      <w:r w:rsidRPr="00813409">
        <w:rPr>
          <w:szCs w:val="22"/>
        </w:rPr>
        <w:t xml:space="preserve">Pri podávaní kombinácie </w:t>
      </w:r>
      <w:proofErr w:type="spellStart"/>
      <w:r w:rsidRPr="00813409">
        <w:rPr>
          <w:szCs w:val="22"/>
        </w:rPr>
        <w:t>stavudínu</w:t>
      </w:r>
      <w:proofErr w:type="spellEnd"/>
      <w:r w:rsidRPr="00813409">
        <w:rPr>
          <w:szCs w:val="22"/>
        </w:rPr>
        <w:t xml:space="preserve"> a perorálneho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neboli pozorované žiadne klinicky významné interakcie.</w:t>
      </w:r>
    </w:p>
    <w:p w:rsidR="009C39F3" w:rsidRPr="00813409" w:rsidRDefault="009C39F3" w:rsidP="008C1DB1">
      <w:pPr>
        <w:ind w:left="0" w:firstLine="0"/>
      </w:pPr>
    </w:p>
    <w:p w:rsidR="00516BBC" w:rsidRPr="00813409" w:rsidRDefault="00516BBC" w:rsidP="00516BBC">
      <w:pPr>
        <w:ind w:left="0" w:firstLine="0"/>
        <w:rPr>
          <w:i/>
        </w:rPr>
      </w:pPr>
      <w:proofErr w:type="spellStart"/>
      <w:r w:rsidRPr="00813409">
        <w:rPr>
          <w:i/>
        </w:rPr>
        <w:t>Zidovudín</w:t>
      </w:r>
      <w:proofErr w:type="spellEnd"/>
    </w:p>
    <w:p w:rsidR="00516BBC" w:rsidRPr="00813409" w:rsidRDefault="00516BBC" w:rsidP="00516BBC">
      <w:pPr>
        <w:ind w:left="0" w:firstLine="0"/>
        <w:rPr>
          <w:i/>
        </w:rPr>
      </w:pPr>
      <w:r w:rsidRPr="00813409">
        <w:t xml:space="preserve">Keď sa </w:t>
      </w:r>
      <w:proofErr w:type="spellStart"/>
      <w:r w:rsidRPr="00813409">
        <w:t>zidovudín</w:t>
      </w:r>
      <w:proofErr w:type="spellEnd"/>
      <w:r w:rsidRPr="00813409">
        <w:t xml:space="preserve"> podával v prítomnosti perorálneho </w:t>
      </w:r>
      <w:proofErr w:type="spellStart"/>
      <w:r w:rsidRPr="00813409">
        <w:t>gancikloviru</w:t>
      </w:r>
      <w:proofErr w:type="spellEnd"/>
      <w:r w:rsidRPr="00813409">
        <w:t xml:space="preserve">, došlo k malému (17 %), ale štatisticky významnému zvýšeniu AUC </w:t>
      </w:r>
      <w:proofErr w:type="spellStart"/>
      <w:r w:rsidRPr="00813409">
        <w:t>zidovudínu</w:t>
      </w:r>
      <w:proofErr w:type="spellEnd"/>
      <w:r w:rsidRPr="00813409">
        <w:t xml:space="preserve">. Pri podávaní </w:t>
      </w:r>
      <w:proofErr w:type="spellStart"/>
      <w:r w:rsidRPr="00813409">
        <w:t>gancikloviru</w:t>
      </w:r>
      <w:proofErr w:type="spellEnd"/>
      <w:r w:rsidRPr="00813409">
        <w:t xml:space="preserve"> so </w:t>
      </w:r>
      <w:proofErr w:type="spellStart"/>
      <w:r w:rsidRPr="00813409">
        <w:t>zidovudínom</w:t>
      </w:r>
      <w:proofErr w:type="spellEnd"/>
      <w:r w:rsidRPr="00813409">
        <w:t xml:space="preserve"> bol sklon k nižším koncentráciám </w:t>
      </w:r>
      <w:proofErr w:type="spellStart"/>
      <w:r w:rsidRPr="00813409">
        <w:t>gancikloviru</w:t>
      </w:r>
      <w:proofErr w:type="spellEnd"/>
      <w:r w:rsidR="00A85660" w:rsidRPr="00813409">
        <w:t>, hoci</w:t>
      </w:r>
      <w:r w:rsidR="00C07DE1" w:rsidRPr="00813409">
        <w:t xml:space="preserve"> </w:t>
      </w:r>
      <w:r w:rsidR="00A85660" w:rsidRPr="00813409">
        <w:t>t</w:t>
      </w:r>
      <w:r w:rsidRPr="00813409">
        <w:t xml:space="preserve">ento pokles nebol štatisticky významný. Pretože obe liečivá môžu spôsobiť </w:t>
      </w:r>
      <w:proofErr w:type="spellStart"/>
      <w:r w:rsidRPr="00813409">
        <w:t>neutropéniu</w:t>
      </w:r>
      <w:proofErr w:type="spellEnd"/>
      <w:r w:rsidRPr="00813409">
        <w:t xml:space="preserve"> a anémiu, niektorí pacienti nemusia tolerovať ich súbežné podávanie v plnom dávkovaní (pozri časť 4.4)</w:t>
      </w:r>
      <w:r w:rsidRPr="00813409">
        <w:rPr>
          <w:i/>
        </w:rPr>
        <w:t>.</w:t>
      </w:r>
    </w:p>
    <w:p w:rsidR="00516BBC" w:rsidRPr="00813409" w:rsidRDefault="00516BBC" w:rsidP="00516BBC">
      <w:pPr>
        <w:ind w:left="0" w:firstLine="0"/>
      </w:pPr>
    </w:p>
    <w:p w:rsidR="00516BBC" w:rsidRPr="00813409" w:rsidRDefault="00516BBC" w:rsidP="00516BBC">
      <w:pPr>
        <w:ind w:left="0" w:firstLine="0"/>
        <w:rPr>
          <w:i/>
        </w:rPr>
      </w:pPr>
      <w:proofErr w:type="spellStart"/>
      <w:r w:rsidRPr="00813409">
        <w:rPr>
          <w:i/>
        </w:rPr>
        <w:t>Didanozín</w:t>
      </w:r>
      <w:proofErr w:type="spellEnd"/>
    </w:p>
    <w:p w:rsidR="00516BBC" w:rsidRPr="00813409" w:rsidRDefault="00516BBC" w:rsidP="008C1DB1">
      <w:pPr>
        <w:ind w:left="0" w:firstLine="0"/>
      </w:pPr>
      <w:r w:rsidRPr="00813409">
        <w:rPr>
          <w:szCs w:val="22"/>
        </w:rPr>
        <w:t xml:space="preserve">Pri podávaní </w:t>
      </w:r>
      <w:proofErr w:type="spellStart"/>
      <w:r w:rsidRPr="00813409">
        <w:rPr>
          <w:szCs w:val="22"/>
        </w:rPr>
        <w:t>didanozínu</w:t>
      </w:r>
      <w:proofErr w:type="spellEnd"/>
      <w:r w:rsidRPr="00813409">
        <w:rPr>
          <w:szCs w:val="22"/>
        </w:rPr>
        <w:t xml:space="preserve"> s </w:t>
      </w:r>
      <w:proofErr w:type="spellStart"/>
      <w:r w:rsidRPr="00813409">
        <w:rPr>
          <w:szCs w:val="22"/>
        </w:rPr>
        <w:t>ganciklovirom</w:t>
      </w:r>
      <w:proofErr w:type="spellEnd"/>
      <w:r w:rsidRPr="00813409">
        <w:rPr>
          <w:szCs w:val="22"/>
        </w:rPr>
        <w:t xml:space="preserve"> (v intravenóznej aj perorálnej forme) sa zistili trvale zvýšené plazmatické koncentrácie </w:t>
      </w:r>
      <w:proofErr w:type="spellStart"/>
      <w:r w:rsidRPr="00813409">
        <w:rPr>
          <w:szCs w:val="22"/>
        </w:rPr>
        <w:t>didanozínu</w:t>
      </w:r>
      <w:proofErr w:type="spellEnd"/>
      <w:r w:rsidRPr="00813409">
        <w:rPr>
          <w:szCs w:val="22"/>
        </w:rPr>
        <w:t xml:space="preserve">. Pri perorálnych dávkach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3 a 6 g/deň sa pozorovalo zvýšenie AUC </w:t>
      </w:r>
      <w:proofErr w:type="spellStart"/>
      <w:r w:rsidRPr="00813409">
        <w:rPr>
          <w:szCs w:val="22"/>
        </w:rPr>
        <w:t>didanozínu</w:t>
      </w:r>
      <w:proofErr w:type="spellEnd"/>
      <w:r w:rsidRPr="00813409">
        <w:rPr>
          <w:szCs w:val="22"/>
        </w:rPr>
        <w:t xml:space="preserve"> v rozmedzí od 84 do 124 %, a podobne po intravenóznych dávkach 5 a</w:t>
      </w:r>
      <w:r w:rsidR="000123D4" w:rsidRPr="00813409">
        <w:rPr>
          <w:szCs w:val="22"/>
        </w:rPr>
        <w:t> </w:t>
      </w:r>
      <w:r w:rsidRPr="00813409">
        <w:rPr>
          <w:szCs w:val="22"/>
        </w:rPr>
        <w:t xml:space="preserve">10 mg/kg/deň sa pozorovalo zvýšenie AUC </w:t>
      </w:r>
      <w:proofErr w:type="spellStart"/>
      <w:r w:rsidRPr="00813409">
        <w:rPr>
          <w:szCs w:val="22"/>
        </w:rPr>
        <w:t>didanozínu</w:t>
      </w:r>
      <w:proofErr w:type="spellEnd"/>
      <w:r w:rsidRPr="00813409">
        <w:rPr>
          <w:szCs w:val="22"/>
        </w:rPr>
        <w:t xml:space="preserve"> v rozmedzí od 38 do 67 %. Nepozoroval sa žiadny </w:t>
      </w:r>
      <w:r w:rsidR="00A85660" w:rsidRPr="00813409">
        <w:rPr>
          <w:szCs w:val="22"/>
        </w:rPr>
        <w:t xml:space="preserve">klinicky významný </w:t>
      </w:r>
      <w:r w:rsidRPr="00813409">
        <w:rPr>
          <w:szCs w:val="22"/>
        </w:rPr>
        <w:t xml:space="preserve">účinok na koncentráciu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. Pacientov treba pozorne sledovať z dôvodu možného výskytu prejavov toxicity </w:t>
      </w:r>
      <w:proofErr w:type="spellStart"/>
      <w:r w:rsidRPr="00813409">
        <w:rPr>
          <w:szCs w:val="22"/>
        </w:rPr>
        <w:t>didanozínu</w:t>
      </w:r>
      <w:proofErr w:type="spellEnd"/>
      <w:r w:rsidRPr="00813409">
        <w:rPr>
          <w:szCs w:val="22"/>
        </w:rPr>
        <w:t xml:space="preserve"> (pozri časť 4.4).</w:t>
      </w:r>
    </w:p>
    <w:p w:rsidR="009C39F3" w:rsidRPr="00813409" w:rsidRDefault="009C39F3" w:rsidP="008C1DB1">
      <w:pPr>
        <w:ind w:left="0" w:firstLine="0"/>
      </w:pPr>
    </w:p>
    <w:p w:rsidR="005D792E" w:rsidRPr="00813409" w:rsidRDefault="005D792E" w:rsidP="005D792E">
      <w:pPr>
        <w:rPr>
          <w:i/>
          <w:szCs w:val="22"/>
        </w:rPr>
      </w:pPr>
      <w:r w:rsidRPr="00813409">
        <w:rPr>
          <w:i/>
          <w:szCs w:val="22"/>
        </w:rPr>
        <w:t xml:space="preserve">Ďalšie </w:t>
      </w:r>
      <w:proofErr w:type="spellStart"/>
      <w:r w:rsidRPr="00813409">
        <w:rPr>
          <w:i/>
          <w:szCs w:val="22"/>
        </w:rPr>
        <w:t>antiretrovirotiká</w:t>
      </w:r>
      <w:proofErr w:type="spellEnd"/>
      <w:r w:rsidR="00516BBC" w:rsidRPr="00813409">
        <w:rPr>
          <w:i/>
          <w:szCs w:val="22"/>
        </w:rPr>
        <w:t xml:space="preserve"> (vrátane liečby </w:t>
      </w:r>
      <w:r w:rsidR="00516BBC" w:rsidRPr="00813409">
        <w:rPr>
          <w:i/>
        </w:rPr>
        <w:t>HIV, HBV/HCV)</w:t>
      </w:r>
    </w:p>
    <w:p w:rsidR="00D859F5" w:rsidRPr="00813409" w:rsidRDefault="005D792E" w:rsidP="007C342D">
      <w:pPr>
        <w:ind w:left="0" w:firstLine="0"/>
      </w:pPr>
      <w:r w:rsidRPr="00813409">
        <w:rPr>
          <w:szCs w:val="22"/>
        </w:rPr>
        <w:t xml:space="preserve">Pri klinicky relevantných </w:t>
      </w:r>
      <w:r w:rsidR="00D859F5" w:rsidRPr="00813409">
        <w:rPr>
          <w:szCs w:val="22"/>
        </w:rPr>
        <w:t xml:space="preserve">plazmatických </w:t>
      </w:r>
      <w:r w:rsidRPr="00813409">
        <w:rPr>
          <w:szCs w:val="22"/>
        </w:rPr>
        <w:t xml:space="preserve">koncentráciách </w:t>
      </w:r>
      <w:proofErr w:type="spellStart"/>
      <w:r w:rsidR="00D859F5" w:rsidRPr="00813409">
        <w:rPr>
          <w:szCs w:val="22"/>
        </w:rPr>
        <w:t>gancikloviru</w:t>
      </w:r>
      <w:proofErr w:type="spellEnd"/>
      <w:r w:rsidR="00D859F5" w:rsidRPr="00813409">
        <w:rPr>
          <w:szCs w:val="22"/>
        </w:rPr>
        <w:t xml:space="preserve"> a ďalších </w:t>
      </w:r>
      <w:proofErr w:type="spellStart"/>
      <w:r w:rsidR="00D859F5" w:rsidRPr="00813409">
        <w:rPr>
          <w:szCs w:val="22"/>
        </w:rPr>
        <w:t>antivirotík</w:t>
      </w:r>
      <w:proofErr w:type="spellEnd"/>
      <w:r w:rsidR="00D859F5" w:rsidRPr="00813409">
        <w:rPr>
          <w:szCs w:val="22"/>
        </w:rPr>
        <w:t xml:space="preserve"> s cieľom dosiahnuť </w:t>
      </w:r>
      <w:r w:rsidRPr="00813409">
        <w:rPr>
          <w:szCs w:val="22"/>
        </w:rPr>
        <w:t xml:space="preserve">inhibíciu vírusu ľudskej </w:t>
      </w:r>
      <w:proofErr w:type="spellStart"/>
      <w:r w:rsidRPr="00813409">
        <w:rPr>
          <w:szCs w:val="22"/>
        </w:rPr>
        <w:t>imun</w:t>
      </w:r>
      <w:r w:rsidR="00BB0D4C" w:rsidRPr="00813409">
        <w:rPr>
          <w:szCs w:val="22"/>
        </w:rPr>
        <w:t>odeficiencie</w:t>
      </w:r>
      <w:proofErr w:type="spellEnd"/>
      <w:r w:rsidRPr="00813409">
        <w:rPr>
          <w:szCs w:val="22"/>
        </w:rPr>
        <w:t xml:space="preserve"> (HIV) </w:t>
      </w:r>
      <w:r w:rsidR="00D859F5" w:rsidRPr="00813409">
        <w:rPr>
          <w:szCs w:val="22"/>
        </w:rPr>
        <w:t xml:space="preserve">alebo </w:t>
      </w:r>
      <w:r w:rsidR="00D859F5" w:rsidRPr="00813409">
        <w:t>HBV/HCV</w:t>
      </w:r>
      <w:r w:rsidR="00D859F5" w:rsidRPr="00813409">
        <w:rPr>
          <w:szCs w:val="22"/>
        </w:rPr>
        <w:t xml:space="preserve"> nie je pravdepodobné, že by prišlo k synergickému alebo antagonistickému účinku na aktivitu</w:t>
      </w:r>
      <w:r w:rsidR="000123D4" w:rsidRPr="00813409">
        <w:rPr>
          <w:szCs w:val="22"/>
        </w:rPr>
        <w:t xml:space="preserve"> </w:t>
      </w:r>
      <w:r w:rsidR="00D859F5" w:rsidRPr="00813409">
        <w:rPr>
          <w:szCs w:val="22"/>
        </w:rPr>
        <w:t xml:space="preserve">či už </w:t>
      </w:r>
      <w:proofErr w:type="spellStart"/>
      <w:r w:rsidR="00D859F5" w:rsidRPr="00813409">
        <w:rPr>
          <w:szCs w:val="22"/>
        </w:rPr>
        <w:t>gancikloviru</w:t>
      </w:r>
      <w:proofErr w:type="spellEnd"/>
      <w:r w:rsidR="000123D4" w:rsidRPr="00813409">
        <w:rPr>
          <w:szCs w:val="22"/>
        </w:rPr>
        <w:t>,</w:t>
      </w:r>
      <w:r w:rsidR="00D859F5" w:rsidRPr="00813409">
        <w:rPr>
          <w:szCs w:val="22"/>
        </w:rPr>
        <w:t xml:space="preserve"> alebo ďalších </w:t>
      </w:r>
      <w:proofErr w:type="spellStart"/>
      <w:r w:rsidR="00D859F5" w:rsidRPr="00813409">
        <w:rPr>
          <w:szCs w:val="22"/>
        </w:rPr>
        <w:t>antivirotík</w:t>
      </w:r>
      <w:proofErr w:type="spellEnd"/>
      <w:r w:rsidR="00D859F5" w:rsidRPr="00813409">
        <w:rPr>
          <w:szCs w:val="22"/>
        </w:rPr>
        <w:t>.</w:t>
      </w:r>
      <w:r w:rsidR="00AF4057" w:rsidRPr="00813409">
        <w:rPr>
          <w:szCs w:val="22"/>
        </w:rPr>
        <w:t xml:space="preserve"> </w:t>
      </w:r>
      <w:r w:rsidRPr="00813409">
        <w:rPr>
          <w:szCs w:val="22"/>
        </w:rPr>
        <w:t>Metabolick</w:t>
      </w:r>
      <w:r w:rsidR="00D859F5" w:rsidRPr="00813409">
        <w:rPr>
          <w:szCs w:val="22"/>
        </w:rPr>
        <w:t>ý</w:t>
      </w:r>
      <w:r w:rsidRPr="00813409">
        <w:rPr>
          <w:szCs w:val="22"/>
        </w:rPr>
        <w:t xml:space="preserve"> interak</w:t>
      </w:r>
      <w:r w:rsidR="00D859F5" w:rsidRPr="00813409">
        <w:rPr>
          <w:szCs w:val="22"/>
        </w:rPr>
        <w:t xml:space="preserve">čný potenciál </w:t>
      </w:r>
      <w:proofErr w:type="spellStart"/>
      <w:r w:rsidR="00D859F5" w:rsidRPr="00813409">
        <w:rPr>
          <w:szCs w:val="22"/>
        </w:rPr>
        <w:t>valgancikloviru</w:t>
      </w:r>
      <w:proofErr w:type="spellEnd"/>
      <w:r w:rsidR="00D859F5" w:rsidRPr="00813409">
        <w:rPr>
          <w:szCs w:val="22"/>
        </w:rPr>
        <w:t xml:space="preserve"> alebo </w:t>
      </w:r>
      <w:proofErr w:type="spellStart"/>
      <w:r w:rsidR="00D859F5" w:rsidRPr="00813409">
        <w:rPr>
          <w:szCs w:val="22"/>
        </w:rPr>
        <w:t>gancikloviru</w:t>
      </w:r>
      <w:proofErr w:type="spellEnd"/>
      <w:r w:rsidR="00D859F5" w:rsidRPr="00813409">
        <w:rPr>
          <w:szCs w:val="22"/>
        </w:rPr>
        <w:t xml:space="preserve"> je nízky</w:t>
      </w:r>
      <w:r w:rsidRPr="00813409">
        <w:rPr>
          <w:szCs w:val="22"/>
        </w:rPr>
        <w:t xml:space="preserve"> kvôli tomu, že</w:t>
      </w:r>
      <w:r w:rsidR="00D859F5" w:rsidRPr="00813409">
        <w:rPr>
          <w:szCs w:val="22"/>
        </w:rPr>
        <w:t xml:space="preserve"> </w:t>
      </w:r>
      <w:proofErr w:type="spellStart"/>
      <w:r w:rsidR="00D859F5" w:rsidRPr="00813409">
        <w:rPr>
          <w:szCs w:val="22"/>
        </w:rPr>
        <w:t>cytochróm</w:t>
      </w:r>
      <w:proofErr w:type="spellEnd"/>
      <w:r w:rsidRPr="00813409">
        <w:rPr>
          <w:szCs w:val="22"/>
        </w:rPr>
        <w:t xml:space="preserve"> P450 sa nepodieľa na metabolizme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ani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. </w:t>
      </w:r>
      <w:proofErr w:type="spellStart"/>
      <w:r w:rsidR="00D859F5" w:rsidRPr="00813409">
        <w:rPr>
          <w:szCs w:val="22"/>
        </w:rPr>
        <w:t>Ganciklovir</w:t>
      </w:r>
      <w:proofErr w:type="spellEnd"/>
      <w:r w:rsidR="00D859F5" w:rsidRPr="00813409">
        <w:rPr>
          <w:szCs w:val="22"/>
        </w:rPr>
        <w:t xml:space="preserve"> nav</w:t>
      </w:r>
      <w:r w:rsidR="00A83094" w:rsidRPr="00813409">
        <w:rPr>
          <w:szCs w:val="22"/>
        </w:rPr>
        <w:t>yše</w:t>
      </w:r>
      <w:r w:rsidR="00D859F5" w:rsidRPr="00813409">
        <w:rPr>
          <w:szCs w:val="22"/>
        </w:rPr>
        <w:t xml:space="preserve"> nie je substrátom </w:t>
      </w:r>
      <w:r w:rsidR="00A83094" w:rsidRPr="00813409">
        <w:rPr>
          <w:szCs w:val="22"/>
        </w:rPr>
        <w:t>P-</w:t>
      </w:r>
      <w:proofErr w:type="spellStart"/>
      <w:r w:rsidR="00D859F5" w:rsidRPr="00813409">
        <w:rPr>
          <w:szCs w:val="22"/>
        </w:rPr>
        <w:t>glykoproteínu</w:t>
      </w:r>
      <w:proofErr w:type="spellEnd"/>
      <w:r w:rsidR="00D859F5" w:rsidRPr="00813409">
        <w:rPr>
          <w:szCs w:val="22"/>
        </w:rPr>
        <w:t xml:space="preserve"> ani neovplyvňuje </w:t>
      </w:r>
      <w:r w:rsidR="00D859F5" w:rsidRPr="00813409">
        <w:t>UDP-</w:t>
      </w:r>
      <w:proofErr w:type="spellStart"/>
      <w:r w:rsidR="00D859F5" w:rsidRPr="00813409">
        <w:t>glukuronozyltransferázu</w:t>
      </w:r>
      <w:proofErr w:type="spellEnd"/>
      <w:r w:rsidR="00D859F5" w:rsidRPr="00813409">
        <w:t xml:space="preserve"> (UGT enzým). Preto sú metabolické interakcie a interakcie týkajúce sa látkového transportu </w:t>
      </w:r>
      <w:proofErr w:type="spellStart"/>
      <w:r w:rsidR="00D859F5" w:rsidRPr="00813409">
        <w:t>valgancikloviru</w:t>
      </w:r>
      <w:proofErr w:type="spellEnd"/>
      <w:r w:rsidR="00D859F5" w:rsidRPr="00813409">
        <w:t xml:space="preserve"> alebo </w:t>
      </w:r>
      <w:proofErr w:type="spellStart"/>
      <w:r w:rsidR="00D859F5" w:rsidRPr="00813409">
        <w:t>gancikloviru</w:t>
      </w:r>
      <w:proofErr w:type="spellEnd"/>
      <w:r w:rsidR="00D859F5" w:rsidRPr="00813409">
        <w:t xml:space="preserve"> s nasledujúcimi triedami </w:t>
      </w:r>
      <w:proofErr w:type="spellStart"/>
      <w:r w:rsidR="00D859F5" w:rsidRPr="00813409">
        <w:t>antivirotík</w:t>
      </w:r>
      <w:proofErr w:type="spellEnd"/>
      <w:r w:rsidR="00D859F5" w:rsidRPr="00813409">
        <w:t xml:space="preserve"> považované za nepravdepodobné:</w:t>
      </w:r>
    </w:p>
    <w:p w:rsidR="0035584F" w:rsidRPr="00813409" w:rsidRDefault="0035584F" w:rsidP="007C342D">
      <w:pPr>
        <w:ind w:left="0" w:firstLine="0"/>
      </w:pPr>
    </w:p>
    <w:p w:rsidR="00D859F5" w:rsidRPr="00813409" w:rsidRDefault="00D859F5" w:rsidP="00A83094">
      <w:pPr>
        <w:numPr>
          <w:ilvl w:val="0"/>
          <w:numId w:val="30"/>
        </w:numPr>
        <w:ind w:left="567" w:hanging="567"/>
      </w:pPr>
      <w:proofErr w:type="spellStart"/>
      <w:r w:rsidRPr="00813409">
        <w:t>Nenukleozidové</w:t>
      </w:r>
      <w:proofErr w:type="spellEnd"/>
      <w:r w:rsidRPr="00813409">
        <w:t xml:space="preserve"> inhibítory reverznej </w:t>
      </w:r>
      <w:proofErr w:type="spellStart"/>
      <w:r w:rsidRPr="00813409">
        <w:t>transkriptázy</w:t>
      </w:r>
      <w:proofErr w:type="spellEnd"/>
      <w:r w:rsidRPr="00813409">
        <w:t xml:space="preserve"> (NNRTI), napr. </w:t>
      </w:r>
      <w:proofErr w:type="spellStart"/>
      <w:r w:rsidRPr="00813409">
        <w:t>rilpivirín</w:t>
      </w:r>
      <w:proofErr w:type="spellEnd"/>
      <w:r w:rsidRPr="00813409">
        <w:t xml:space="preserve">, </w:t>
      </w:r>
      <w:proofErr w:type="spellStart"/>
      <w:r w:rsidRPr="00813409">
        <w:t>etravirín</w:t>
      </w:r>
      <w:proofErr w:type="spellEnd"/>
      <w:r w:rsidRPr="00813409">
        <w:t xml:space="preserve">, </w:t>
      </w:r>
      <w:proofErr w:type="spellStart"/>
      <w:r w:rsidRPr="00813409">
        <w:t>efavirenz</w:t>
      </w:r>
      <w:proofErr w:type="spellEnd"/>
    </w:p>
    <w:p w:rsidR="00D859F5" w:rsidRPr="00813409" w:rsidRDefault="00D859F5" w:rsidP="00A83094">
      <w:pPr>
        <w:numPr>
          <w:ilvl w:val="0"/>
          <w:numId w:val="30"/>
        </w:numPr>
        <w:ind w:left="567" w:hanging="567"/>
      </w:pPr>
      <w:r w:rsidRPr="00813409">
        <w:t xml:space="preserve">Inhibítory </w:t>
      </w:r>
      <w:proofErr w:type="spellStart"/>
      <w:r w:rsidRPr="00813409">
        <w:t>proteázy</w:t>
      </w:r>
      <w:proofErr w:type="spellEnd"/>
      <w:r w:rsidRPr="00813409">
        <w:t xml:space="preserve"> (PI), napr. </w:t>
      </w:r>
      <w:proofErr w:type="spellStart"/>
      <w:r w:rsidRPr="00813409">
        <w:t>darunavir</w:t>
      </w:r>
      <w:proofErr w:type="spellEnd"/>
      <w:r w:rsidRPr="00813409">
        <w:t xml:space="preserve">, </w:t>
      </w:r>
      <w:proofErr w:type="spellStart"/>
      <w:r w:rsidRPr="00813409">
        <w:t>boceprevir</w:t>
      </w:r>
      <w:proofErr w:type="spellEnd"/>
      <w:r w:rsidRPr="00813409">
        <w:t xml:space="preserve"> a </w:t>
      </w:r>
      <w:proofErr w:type="spellStart"/>
      <w:r w:rsidRPr="00813409">
        <w:t>telaprevir</w:t>
      </w:r>
      <w:proofErr w:type="spellEnd"/>
    </w:p>
    <w:p w:rsidR="00D859F5" w:rsidRPr="00813409" w:rsidRDefault="00D859F5" w:rsidP="00A83094">
      <w:pPr>
        <w:numPr>
          <w:ilvl w:val="0"/>
          <w:numId w:val="30"/>
        </w:numPr>
        <w:ind w:left="567" w:hanging="567"/>
      </w:pPr>
      <w:r w:rsidRPr="00813409">
        <w:t xml:space="preserve">Inhibítory vstupu (inhibítory fúzie a </w:t>
      </w:r>
      <w:proofErr w:type="spellStart"/>
      <w:r w:rsidRPr="00813409">
        <w:t>antagonisty</w:t>
      </w:r>
      <w:proofErr w:type="spellEnd"/>
      <w:r w:rsidRPr="00813409">
        <w:t xml:space="preserve"> </w:t>
      </w:r>
      <w:proofErr w:type="spellStart"/>
      <w:r w:rsidRPr="00813409">
        <w:t>koreceptoru</w:t>
      </w:r>
      <w:proofErr w:type="spellEnd"/>
      <w:r w:rsidRPr="00813409">
        <w:t xml:space="preserve"> CCR5), napr. </w:t>
      </w:r>
      <w:proofErr w:type="spellStart"/>
      <w:r w:rsidRPr="00813409">
        <w:t>enfuvirtid</w:t>
      </w:r>
      <w:proofErr w:type="spellEnd"/>
      <w:r w:rsidRPr="00813409">
        <w:t xml:space="preserve"> a </w:t>
      </w:r>
      <w:proofErr w:type="spellStart"/>
      <w:r w:rsidRPr="00813409">
        <w:t>maravirok</w:t>
      </w:r>
      <w:proofErr w:type="spellEnd"/>
    </w:p>
    <w:p w:rsidR="00D859F5" w:rsidRPr="00813409" w:rsidRDefault="00D859F5" w:rsidP="00A83094">
      <w:pPr>
        <w:numPr>
          <w:ilvl w:val="0"/>
          <w:numId w:val="30"/>
        </w:numPr>
        <w:ind w:left="567" w:hanging="567"/>
      </w:pPr>
      <w:r w:rsidRPr="00813409">
        <w:t xml:space="preserve">Inhibítory prenosu HIV reťazca </w:t>
      </w:r>
      <w:proofErr w:type="spellStart"/>
      <w:r w:rsidRPr="00813409">
        <w:t>integrázou</w:t>
      </w:r>
      <w:proofErr w:type="spellEnd"/>
      <w:r w:rsidRPr="00813409">
        <w:t xml:space="preserve"> (INSTI), napr. </w:t>
      </w:r>
      <w:proofErr w:type="spellStart"/>
      <w:r w:rsidRPr="00813409">
        <w:t>raltegravir</w:t>
      </w:r>
      <w:proofErr w:type="spellEnd"/>
    </w:p>
    <w:p w:rsidR="00D859F5" w:rsidRPr="00813409" w:rsidRDefault="00D859F5" w:rsidP="007C342D">
      <w:pPr>
        <w:ind w:left="0" w:firstLine="0"/>
        <w:rPr>
          <w:szCs w:val="22"/>
        </w:rPr>
      </w:pPr>
    </w:p>
    <w:p w:rsidR="00D859F5" w:rsidRPr="00813409" w:rsidRDefault="00D859F5" w:rsidP="007C342D">
      <w:pPr>
        <w:ind w:left="0" w:firstLine="0"/>
        <w:rPr>
          <w:szCs w:val="22"/>
        </w:rPr>
      </w:pPr>
      <w:r w:rsidRPr="00813409">
        <w:rPr>
          <w:szCs w:val="22"/>
        </w:rPr>
        <w:t xml:space="preserve">Vzhľadom na to, že </w:t>
      </w:r>
      <w:proofErr w:type="spellStart"/>
      <w:r w:rsidRPr="00813409">
        <w:rPr>
          <w:szCs w:val="22"/>
        </w:rPr>
        <w:t>ganciklovir</w:t>
      </w:r>
      <w:proofErr w:type="spellEnd"/>
      <w:r w:rsidRPr="00813409">
        <w:rPr>
          <w:szCs w:val="22"/>
        </w:rPr>
        <w:t xml:space="preserve"> sa vylučuje obličkami </w:t>
      </w:r>
      <w:proofErr w:type="spellStart"/>
      <w:r w:rsidRPr="00813409">
        <w:rPr>
          <w:szCs w:val="22"/>
        </w:rPr>
        <w:t>glomerulárnou</w:t>
      </w:r>
      <w:proofErr w:type="spellEnd"/>
      <w:r w:rsidRPr="00813409">
        <w:rPr>
          <w:szCs w:val="22"/>
        </w:rPr>
        <w:t xml:space="preserve"> filtráciou a aktívnou </w:t>
      </w:r>
      <w:proofErr w:type="spellStart"/>
      <w:r w:rsidRPr="00813409">
        <w:rPr>
          <w:szCs w:val="22"/>
        </w:rPr>
        <w:t>tubulárnou</w:t>
      </w:r>
      <w:proofErr w:type="spellEnd"/>
      <w:r w:rsidRPr="00813409">
        <w:rPr>
          <w:szCs w:val="22"/>
        </w:rPr>
        <w:t xml:space="preserve"> sekréciou (časť</w:t>
      </w:r>
      <w:r w:rsidR="005C02CD" w:rsidRPr="00813409">
        <w:rPr>
          <w:szCs w:val="22"/>
        </w:rPr>
        <w:t> </w:t>
      </w:r>
      <w:r w:rsidRPr="00813409">
        <w:rPr>
          <w:iCs/>
          <w:szCs w:val="22"/>
        </w:rPr>
        <w:t>5.2</w:t>
      </w:r>
      <w:r w:rsidRPr="00813409">
        <w:rPr>
          <w:szCs w:val="22"/>
        </w:rPr>
        <w:t xml:space="preserve">), môžu sa pri súbežnom podávaní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s </w:t>
      </w:r>
      <w:proofErr w:type="spellStart"/>
      <w:r w:rsidRPr="00813409">
        <w:rPr>
          <w:szCs w:val="22"/>
        </w:rPr>
        <w:t>antivirotikami</w:t>
      </w:r>
      <w:proofErr w:type="spellEnd"/>
      <w:r w:rsidRPr="00813409">
        <w:rPr>
          <w:szCs w:val="22"/>
        </w:rPr>
        <w:t xml:space="preserve">, ktoré sú rovnako vylučované </w:t>
      </w:r>
      <w:proofErr w:type="spellStart"/>
      <w:r w:rsidRPr="00813409">
        <w:rPr>
          <w:szCs w:val="22"/>
        </w:rPr>
        <w:t>tubulárnou</w:t>
      </w:r>
      <w:proofErr w:type="spellEnd"/>
      <w:r w:rsidRPr="00813409">
        <w:rPr>
          <w:szCs w:val="22"/>
        </w:rPr>
        <w:t xml:space="preserve"> sekréciou, meniť plazmatické koncentrácie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a/alebo súbežne podávan</w:t>
      </w:r>
      <w:r w:rsidR="00A2174B" w:rsidRPr="00813409">
        <w:rPr>
          <w:szCs w:val="22"/>
        </w:rPr>
        <w:t>ého</w:t>
      </w:r>
      <w:r w:rsidRPr="00813409">
        <w:rPr>
          <w:szCs w:val="22"/>
        </w:rPr>
        <w:t xml:space="preserve"> liek</w:t>
      </w:r>
      <w:r w:rsidR="00A2174B" w:rsidRPr="00813409">
        <w:rPr>
          <w:szCs w:val="22"/>
        </w:rPr>
        <w:t>u</w:t>
      </w:r>
      <w:r w:rsidRPr="00813409">
        <w:rPr>
          <w:szCs w:val="22"/>
        </w:rPr>
        <w:t xml:space="preserve">. Príkladom takejto situácie môžu byť </w:t>
      </w:r>
      <w:proofErr w:type="spellStart"/>
      <w:r w:rsidRPr="00813409">
        <w:rPr>
          <w:szCs w:val="22"/>
        </w:rPr>
        <w:t>nukleozidové</w:t>
      </w:r>
      <w:proofErr w:type="spellEnd"/>
      <w:r w:rsidRPr="00813409">
        <w:rPr>
          <w:szCs w:val="22"/>
        </w:rPr>
        <w:t xml:space="preserve"> (</w:t>
      </w:r>
      <w:proofErr w:type="spellStart"/>
      <w:r w:rsidRPr="00813409">
        <w:rPr>
          <w:szCs w:val="22"/>
        </w:rPr>
        <w:t>nukleotidové</w:t>
      </w:r>
      <w:proofErr w:type="spellEnd"/>
      <w:r w:rsidRPr="00813409">
        <w:rPr>
          <w:szCs w:val="22"/>
        </w:rPr>
        <w:t xml:space="preserve">) </w:t>
      </w:r>
      <w:proofErr w:type="spellStart"/>
      <w:r w:rsidRPr="00813409">
        <w:rPr>
          <w:szCs w:val="22"/>
        </w:rPr>
        <w:t>analógy</w:t>
      </w:r>
      <w:proofErr w:type="spellEnd"/>
      <w:r w:rsidRPr="00813409">
        <w:rPr>
          <w:szCs w:val="22"/>
        </w:rPr>
        <w:t xml:space="preserve"> inhibítorov </w:t>
      </w:r>
      <w:r w:rsidRPr="00813409">
        <w:t xml:space="preserve">reverznej </w:t>
      </w:r>
      <w:proofErr w:type="spellStart"/>
      <w:r w:rsidRPr="00813409">
        <w:t>transkriptázy</w:t>
      </w:r>
      <w:proofErr w:type="spellEnd"/>
      <w:r w:rsidRPr="00813409">
        <w:t xml:space="preserve"> (NRTI) (vrátane tých, ktoré sa používajú na liečbu HBV)</w:t>
      </w:r>
      <w:r w:rsidR="005C02CD" w:rsidRPr="00813409">
        <w:t>,</w:t>
      </w:r>
      <w:r w:rsidRPr="00813409">
        <w:t xml:space="preserve"> napr. </w:t>
      </w:r>
      <w:proofErr w:type="spellStart"/>
      <w:r w:rsidRPr="00813409">
        <w:t>lamivudín</w:t>
      </w:r>
      <w:proofErr w:type="spellEnd"/>
      <w:r w:rsidRPr="00813409">
        <w:t xml:space="preserve">, </w:t>
      </w:r>
      <w:proofErr w:type="spellStart"/>
      <w:r w:rsidRPr="00813409">
        <w:t>emtricitabín</w:t>
      </w:r>
      <w:proofErr w:type="spellEnd"/>
      <w:r w:rsidRPr="00813409">
        <w:t xml:space="preserve">, </w:t>
      </w:r>
      <w:proofErr w:type="spellStart"/>
      <w:r w:rsidRPr="00813409">
        <w:t>tenofovir</w:t>
      </w:r>
      <w:proofErr w:type="spellEnd"/>
      <w:r w:rsidRPr="00813409">
        <w:t xml:space="preserve">, </w:t>
      </w:r>
      <w:proofErr w:type="spellStart"/>
      <w:r w:rsidRPr="00813409">
        <w:t>adefovir</w:t>
      </w:r>
      <w:proofErr w:type="spellEnd"/>
      <w:r w:rsidRPr="00813409">
        <w:t xml:space="preserve"> a </w:t>
      </w:r>
      <w:proofErr w:type="spellStart"/>
      <w:r w:rsidRPr="00813409">
        <w:t>entekavir</w:t>
      </w:r>
      <w:proofErr w:type="spellEnd"/>
      <w:r w:rsidRPr="00813409">
        <w:t xml:space="preserve">. </w:t>
      </w:r>
      <w:proofErr w:type="spellStart"/>
      <w:r w:rsidRPr="00813409">
        <w:rPr>
          <w:szCs w:val="22"/>
        </w:rPr>
        <w:t>Renálny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klírens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môže byť tiež </w:t>
      </w:r>
      <w:proofErr w:type="spellStart"/>
      <w:r w:rsidRPr="00813409">
        <w:rPr>
          <w:szCs w:val="22"/>
        </w:rPr>
        <w:t>inhibovaný</w:t>
      </w:r>
      <w:proofErr w:type="spellEnd"/>
      <w:r w:rsidRPr="00813409">
        <w:rPr>
          <w:szCs w:val="22"/>
        </w:rPr>
        <w:t xml:space="preserve"> v dôsledku </w:t>
      </w:r>
      <w:proofErr w:type="spellStart"/>
      <w:r w:rsidRPr="00813409">
        <w:rPr>
          <w:szCs w:val="22"/>
        </w:rPr>
        <w:t>nefrotoxicity</w:t>
      </w:r>
      <w:proofErr w:type="spellEnd"/>
      <w:r w:rsidRPr="00813409">
        <w:rPr>
          <w:szCs w:val="22"/>
        </w:rPr>
        <w:t xml:space="preserve"> spôsobenej liekmi, ako sú </w:t>
      </w:r>
      <w:proofErr w:type="spellStart"/>
      <w:r w:rsidRPr="00813409">
        <w:rPr>
          <w:szCs w:val="22"/>
        </w:rPr>
        <w:t>cidofovir</w:t>
      </w:r>
      <w:proofErr w:type="spellEnd"/>
      <w:r w:rsidRPr="00813409">
        <w:rPr>
          <w:szCs w:val="22"/>
        </w:rPr>
        <w:t xml:space="preserve">, </w:t>
      </w:r>
      <w:proofErr w:type="spellStart"/>
      <w:r w:rsidRPr="00813409">
        <w:rPr>
          <w:szCs w:val="22"/>
        </w:rPr>
        <w:t>f</w:t>
      </w:r>
      <w:r w:rsidRPr="00813409">
        <w:t>oskarnet</w:t>
      </w:r>
      <w:proofErr w:type="spellEnd"/>
      <w:r w:rsidRPr="00813409">
        <w:t>, NRTI (napr. </w:t>
      </w:r>
      <w:proofErr w:type="spellStart"/>
      <w:r w:rsidRPr="00813409">
        <w:t>tenofovir</w:t>
      </w:r>
      <w:proofErr w:type="spellEnd"/>
      <w:r w:rsidRPr="00813409">
        <w:t xml:space="preserve">, </w:t>
      </w:r>
      <w:proofErr w:type="spellStart"/>
      <w:r w:rsidRPr="00813409">
        <w:t>adefovir</w:t>
      </w:r>
      <w:proofErr w:type="spellEnd"/>
      <w:r w:rsidRPr="00813409">
        <w:t>)</w:t>
      </w:r>
      <w:r w:rsidRPr="00813409">
        <w:rPr>
          <w:szCs w:val="22"/>
        </w:rPr>
        <w:t>. Z tohto dôvodu sa má súbežné použitie ktoréhokoľvek z týchto liekov s </w:t>
      </w:r>
      <w:proofErr w:type="spellStart"/>
      <w:r w:rsidRPr="00813409">
        <w:rPr>
          <w:szCs w:val="22"/>
        </w:rPr>
        <w:t>valganciklovirom</w:t>
      </w:r>
      <w:proofErr w:type="spellEnd"/>
      <w:r w:rsidRPr="00813409">
        <w:rPr>
          <w:szCs w:val="22"/>
        </w:rPr>
        <w:t xml:space="preserve"> zvážiť a použiť len vtedy, ak možný prínos liečby preváži jej možné riziká (pozri časť</w:t>
      </w:r>
      <w:r w:rsidR="005C02CD" w:rsidRPr="00813409">
        <w:rPr>
          <w:szCs w:val="22"/>
        </w:rPr>
        <w:t> </w:t>
      </w:r>
      <w:r w:rsidRPr="00813409">
        <w:rPr>
          <w:szCs w:val="22"/>
        </w:rPr>
        <w:t>4.4).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u w:val="single"/>
        </w:rPr>
      </w:pPr>
      <w:r w:rsidRPr="00813409">
        <w:rPr>
          <w:u w:val="single"/>
        </w:rPr>
        <w:t>Ďalšie možné interakcie</w:t>
      </w:r>
    </w:p>
    <w:p w:rsidR="009C39F3" w:rsidRPr="00813409" w:rsidRDefault="009C39F3" w:rsidP="008C1DB1">
      <w:pPr>
        <w:ind w:left="0" w:firstLine="0"/>
      </w:pPr>
      <w:r w:rsidRPr="00813409">
        <w:t xml:space="preserve">Toxicita sa môže zvýšiť, ak sa </w:t>
      </w:r>
      <w:proofErr w:type="spellStart"/>
      <w:r w:rsidRPr="00813409">
        <w:t>valganciklovir</w:t>
      </w:r>
      <w:proofErr w:type="spellEnd"/>
      <w:r w:rsidRPr="00813409">
        <w:t xml:space="preserve"> podáva spolu, tesne pred podaním alebo tesne po podaní iných liekov, ktoré </w:t>
      </w:r>
      <w:proofErr w:type="spellStart"/>
      <w:r w:rsidRPr="00813409">
        <w:t>inhibujú</w:t>
      </w:r>
      <w:proofErr w:type="spellEnd"/>
      <w:r w:rsidRPr="00813409">
        <w:t xml:space="preserve"> replikáciu rýchlo sa deliacich populácií buniek, napríklad v kostnej dreni, semenníkoch a zárodočných vrstvách kože a sliznice </w:t>
      </w:r>
      <w:proofErr w:type="spellStart"/>
      <w:r w:rsidRPr="00813409">
        <w:t>gastrointestinálneho</w:t>
      </w:r>
      <w:proofErr w:type="spellEnd"/>
      <w:r w:rsidRPr="00813409">
        <w:t xml:space="preserve"> traktu. Príkladmi takýchto liekov sú </w:t>
      </w:r>
      <w:proofErr w:type="spellStart"/>
      <w:r w:rsidRPr="00813409">
        <w:t>daps</w:t>
      </w:r>
      <w:r w:rsidR="009F5ED1" w:rsidRPr="00813409">
        <w:t>ó</w:t>
      </w:r>
      <w:r w:rsidRPr="00813409">
        <w:t>n</w:t>
      </w:r>
      <w:proofErr w:type="spellEnd"/>
      <w:r w:rsidRPr="00813409">
        <w:t xml:space="preserve">, </w:t>
      </w:r>
      <w:proofErr w:type="spellStart"/>
      <w:r w:rsidRPr="00813409">
        <w:t>pentamidín</w:t>
      </w:r>
      <w:proofErr w:type="spellEnd"/>
      <w:r w:rsidRPr="00813409">
        <w:t xml:space="preserve">, </w:t>
      </w:r>
      <w:proofErr w:type="spellStart"/>
      <w:r w:rsidRPr="00813409">
        <w:t>flucytozín</w:t>
      </w:r>
      <w:proofErr w:type="spellEnd"/>
      <w:r w:rsidRPr="00813409">
        <w:t xml:space="preserve">, </w:t>
      </w:r>
      <w:proofErr w:type="spellStart"/>
      <w:r w:rsidRPr="00813409">
        <w:t>vinkristín</w:t>
      </w:r>
      <w:proofErr w:type="spellEnd"/>
      <w:r w:rsidRPr="00813409">
        <w:t xml:space="preserve">, </w:t>
      </w:r>
      <w:proofErr w:type="spellStart"/>
      <w:r w:rsidRPr="00813409">
        <w:t>vinblastín</w:t>
      </w:r>
      <w:proofErr w:type="spellEnd"/>
      <w:r w:rsidRPr="00813409">
        <w:t xml:space="preserve">, </w:t>
      </w:r>
      <w:proofErr w:type="spellStart"/>
      <w:r w:rsidRPr="00813409">
        <w:t>adriamycín</w:t>
      </w:r>
      <w:proofErr w:type="spellEnd"/>
      <w:r w:rsidRPr="00813409">
        <w:t xml:space="preserve">, </w:t>
      </w:r>
      <w:proofErr w:type="spellStart"/>
      <w:r w:rsidRPr="00813409">
        <w:t>amfotericín</w:t>
      </w:r>
      <w:proofErr w:type="spellEnd"/>
      <w:r w:rsidRPr="00813409">
        <w:t xml:space="preserve"> B, kombinácie </w:t>
      </w:r>
      <w:proofErr w:type="spellStart"/>
      <w:r w:rsidRPr="00813409">
        <w:t>trimetoprimu</w:t>
      </w:r>
      <w:proofErr w:type="spellEnd"/>
      <w:r w:rsidRPr="00813409">
        <w:t xml:space="preserve"> so sulf</w:t>
      </w:r>
      <w:r w:rsidR="009F5ED1" w:rsidRPr="00813409">
        <w:t>ó</w:t>
      </w:r>
      <w:r w:rsidRPr="00813409">
        <w:t xml:space="preserve">namidom, </w:t>
      </w:r>
      <w:proofErr w:type="spellStart"/>
      <w:r w:rsidRPr="00813409">
        <w:t>analógy</w:t>
      </w:r>
      <w:proofErr w:type="spellEnd"/>
      <w:r w:rsidRPr="00813409">
        <w:t xml:space="preserve"> </w:t>
      </w:r>
      <w:proofErr w:type="spellStart"/>
      <w:r w:rsidRPr="00813409">
        <w:t>nukleozidov</w:t>
      </w:r>
      <w:proofErr w:type="spellEnd"/>
      <w:r w:rsidR="00F63666" w:rsidRPr="00813409">
        <w:t>,</w:t>
      </w:r>
      <w:r w:rsidRPr="00813409">
        <w:t xml:space="preserve"> </w:t>
      </w:r>
      <w:proofErr w:type="spellStart"/>
      <w:r w:rsidRPr="00813409">
        <w:t>hydroxyurea</w:t>
      </w:r>
      <w:proofErr w:type="spellEnd"/>
      <w:r w:rsidR="00F63666" w:rsidRPr="00813409">
        <w:t xml:space="preserve"> </w:t>
      </w:r>
      <w:r w:rsidR="00F63666" w:rsidRPr="00813409">
        <w:rPr>
          <w:szCs w:val="22"/>
        </w:rPr>
        <w:t>a </w:t>
      </w:r>
      <w:proofErr w:type="spellStart"/>
      <w:r w:rsidR="00F63666" w:rsidRPr="00813409">
        <w:rPr>
          <w:szCs w:val="22"/>
        </w:rPr>
        <w:t>pegylované</w:t>
      </w:r>
      <w:proofErr w:type="spellEnd"/>
      <w:r w:rsidR="00F63666" w:rsidRPr="00813409">
        <w:rPr>
          <w:szCs w:val="22"/>
        </w:rPr>
        <w:t xml:space="preserve"> </w:t>
      </w:r>
      <w:proofErr w:type="spellStart"/>
      <w:r w:rsidR="00F63666" w:rsidRPr="00813409">
        <w:rPr>
          <w:szCs w:val="22"/>
        </w:rPr>
        <w:t>interferóny</w:t>
      </w:r>
      <w:proofErr w:type="spellEnd"/>
      <w:r w:rsidR="00F63666" w:rsidRPr="00813409">
        <w:rPr>
          <w:szCs w:val="22"/>
        </w:rPr>
        <w:t>/</w:t>
      </w:r>
      <w:proofErr w:type="spellStart"/>
      <w:r w:rsidR="00F63666" w:rsidRPr="00813409">
        <w:rPr>
          <w:szCs w:val="22"/>
        </w:rPr>
        <w:t>ribavirín</w:t>
      </w:r>
      <w:proofErr w:type="spellEnd"/>
      <w:r w:rsidR="00F63666" w:rsidRPr="00813409">
        <w:rPr>
          <w:szCs w:val="22"/>
        </w:rPr>
        <w:t xml:space="preserve"> (podávané súbežne s </w:t>
      </w:r>
      <w:proofErr w:type="spellStart"/>
      <w:r w:rsidR="00F63666" w:rsidRPr="00813409">
        <w:rPr>
          <w:szCs w:val="22"/>
        </w:rPr>
        <w:t>boceprevirom</w:t>
      </w:r>
      <w:proofErr w:type="spellEnd"/>
      <w:r w:rsidR="00F63666" w:rsidRPr="00813409">
        <w:rPr>
          <w:szCs w:val="22"/>
        </w:rPr>
        <w:t xml:space="preserve"> alebo </w:t>
      </w:r>
      <w:proofErr w:type="spellStart"/>
      <w:r w:rsidR="00F63666" w:rsidRPr="00813409">
        <w:rPr>
          <w:szCs w:val="22"/>
        </w:rPr>
        <w:t>telaprevirom</w:t>
      </w:r>
      <w:proofErr w:type="spellEnd"/>
      <w:r w:rsidR="00F63666" w:rsidRPr="00813409">
        <w:rPr>
          <w:szCs w:val="22"/>
        </w:rPr>
        <w:t>, alebo bez nich)</w:t>
      </w:r>
      <w:r w:rsidRPr="00813409">
        <w:t>.</w:t>
      </w:r>
    </w:p>
    <w:p w:rsidR="009C39F3" w:rsidRPr="00813409" w:rsidRDefault="009C39F3" w:rsidP="008C1DB1">
      <w:pPr>
        <w:ind w:left="0" w:firstLine="0"/>
      </w:pPr>
    </w:p>
    <w:p w:rsidR="00B42E42" w:rsidRPr="00813409" w:rsidRDefault="003E06EA" w:rsidP="008C1DB1">
      <w:pPr>
        <w:ind w:left="0" w:firstLine="0"/>
        <w:rPr>
          <w:szCs w:val="22"/>
        </w:rPr>
      </w:pPr>
      <w:r w:rsidRPr="00813409">
        <w:rPr>
          <w:szCs w:val="22"/>
        </w:rPr>
        <w:t>S</w:t>
      </w:r>
      <w:r w:rsidR="008129A9" w:rsidRPr="00813409">
        <w:rPr>
          <w:szCs w:val="22"/>
        </w:rPr>
        <w:t xml:space="preserve">úbežné použitie </w:t>
      </w:r>
      <w:proofErr w:type="spellStart"/>
      <w:r w:rsidR="008129A9" w:rsidRPr="00813409">
        <w:rPr>
          <w:szCs w:val="22"/>
        </w:rPr>
        <w:t>valganciklovir</w:t>
      </w:r>
      <w:r w:rsidRPr="00813409">
        <w:rPr>
          <w:szCs w:val="22"/>
        </w:rPr>
        <w:t>u</w:t>
      </w:r>
      <w:proofErr w:type="spellEnd"/>
      <w:r w:rsidRPr="00813409">
        <w:rPr>
          <w:szCs w:val="22"/>
        </w:rPr>
        <w:t xml:space="preserve"> </w:t>
      </w:r>
      <w:r w:rsidR="0050772C" w:rsidRPr="00813409">
        <w:rPr>
          <w:szCs w:val="22"/>
        </w:rPr>
        <w:t>so </w:t>
      </w:r>
      <w:r w:rsidRPr="00813409">
        <w:rPr>
          <w:szCs w:val="22"/>
        </w:rPr>
        <w:t xml:space="preserve">všetkými týmito liekmi sa má </w:t>
      </w:r>
      <w:r w:rsidR="008129A9" w:rsidRPr="00813409">
        <w:rPr>
          <w:szCs w:val="22"/>
        </w:rPr>
        <w:t>zvážiť a použiť len vtedy, ak možný prínos liečby preváži jej možné riziká (pozri časť 4.4).</w:t>
      </w:r>
    </w:p>
    <w:p w:rsidR="00B42E42" w:rsidRPr="00813409" w:rsidRDefault="00B42E42" w:rsidP="008C1DB1">
      <w:pPr>
        <w:ind w:left="0" w:firstLine="0"/>
        <w:rPr>
          <w:szCs w:val="22"/>
        </w:rPr>
      </w:pPr>
    </w:p>
    <w:p w:rsidR="009C39F3" w:rsidRPr="00813409" w:rsidRDefault="009C39F3" w:rsidP="003732E9">
      <w:pPr>
        <w:tabs>
          <w:tab w:val="left" w:pos="567"/>
        </w:tabs>
        <w:ind w:left="0" w:firstLine="0"/>
        <w:rPr>
          <w:szCs w:val="22"/>
        </w:rPr>
      </w:pPr>
      <w:r w:rsidRPr="00813409">
        <w:rPr>
          <w:b/>
          <w:szCs w:val="22"/>
        </w:rPr>
        <w:lastRenderedPageBreak/>
        <w:t>4.6</w:t>
      </w:r>
      <w:r w:rsidRPr="00813409">
        <w:rPr>
          <w:b/>
          <w:szCs w:val="22"/>
        </w:rPr>
        <w:tab/>
      </w:r>
      <w:proofErr w:type="spellStart"/>
      <w:r w:rsidRPr="00813409">
        <w:rPr>
          <w:b/>
          <w:szCs w:val="22"/>
        </w:rPr>
        <w:t>Fertilita</w:t>
      </w:r>
      <w:proofErr w:type="spellEnd"/>
      <w:r w:rsidRPr="00813409">
        <w:rPr>
          <w:b/>
          <w:szCs w:val="22"/>
        </w:rPr>
        <w:t>, gravidita a laktácia</w:t>
      </w:r>
    </w:p>
    <w:p w:rsidR="009C39F3" w:rsidRPr="00813409" w:rsidRDefault="009C39F3" w:rsidP="008C1DB1">
      <w:pPr>
        <w:ind w:left="0" w:firstLine="0"/>
      </w:pPr>
    </w:p>
    <w:p w:rsidR="00CE4072" w:rsidRDefault="00CE4072" w:rsidP="008C1DB1">
      <w:pPr>
        <w:ind w:left="0" w:firstLine="0"/>
      </w:pPr>
      <w:r>
        <w:rPr>
          <w:u w:val="single"/>
        </w:rPr>
        <w:t>Antikoncepcia u mužov a žien</w:t>
      </w:r>
    </w:p>
    <w:p w:rsidR="00CE4072" w:rsidRPr="00CE4072" w:rsidRDefault="00CE4072" w:rsidP="008C1DB1">
      <w:pPr>
        <w:ind w:left="0" w:firstLine="0"/>
      </w:pPr>
      <w:r w:rsidRPr="00813409">
        <w:t xml:space="preserve">Ženy v plodnom veku je nutné upozorniť na to, že majú počas liečby používať účinnú antikoncepciu. Mužov je nutné upozorniť, že majú používať </w:t>
      </w:r>
      <w:proofErr w:type="spellStart"/>
      <w:r w:rsidRPr="00813409">
        <w:t>bariérovú</w:t>
      </w:r>
      <w:proofErr w:type="spellEnd"/>
      <w:r w:rsidRPr="00813409">
        <w:t xml:space="preserve"> antikoncepciu počas liečby </w:t>
      </w:r>
      <w:proofErr w:type="spellStart"/>
      <w:r w:rsidRPr="00813409">
        <w:t>valganciklovirom</w:t>
      </w:r>
      <w:proofErr w:type="spellEnd"/>
      <w:r w:rsidRPr="00813409">
        <w:t xml:space="preserve"> a najmenej 90 dní po jej ukončení, pokiaľ nie je isté, že partnerka nemôže otehotnieť (pozri časť </w:t>
      </w:r>
      <w:r w:rsidRPr="00813409">
        <w:rPr>
          <w:szCs w:val="22"/>
        </w:rPr>
        <w:t>5.3</w:t>
      </w:r>
      <w:r w:rsidRPr="00813409">
        <w:t>).</w:t>
      </w:r>
    </w:p>
    <w:p w:rsidR="00CE4072" w:rsidRDefault="00CE4072" w:rsidP="008C1DB1">
      <w:pPr>
        <w:ind w:left="0" w:firstLine="0"/>
        <w:rPr>
          <w:u w:val="single"/>
        </w:rPr>
      </w:pPr>
    </w:p>
    <w:p w:rsidR="00C9795C" w:rsidRPr="00813409" w:rsidRDefault="00C9795C" w:rsidP="008C1DB1">
      <w:pPr>
        <w:ind w:left="0" w:firstLine="0"/>
        <w:rPr>
          <w:u w:val="single"/>
        </w:rPr>
      </w:pPr>
      <w:r w:rsidRPr="00813409">
        <w:rPr>
          <w:u w:val="single"/>
        </w:rPr>
        <w:t>Gravidita</w:t>
      </w:r>
    </w:p>
    <w:p w:rsidR="009C39F3" w:rsidRPr="00813409" w:rsidRDefault="009C39F3" w:rsidP="008C1DB1">
      <w:pPr>
        <w:ind w:left="0" w:firstLine="0"/>
      </w:pPr>
      <w:r w:rsidRPr="00813409">
        <w:t xml:space="preserve">Nie sú k dispozícii údaje o použití </w:t>
      </w:r>
      <w:proofErr w:type="spellStart"/>
      <w:r w:rsidR="00A2174B" w:rsidRPr="00813409">
        <w:t>valgancik</w:t>
      </w:r>
      <w:r w:rsidR="0037584C" w:rsidRPr="00813409">
        <w:t>lovir</w:t>
      </w:r>
      <w:r w:rsidR="00A2174B" w:rsidRPr="00813409">
        <w:t>u</w:t>
      </w:r>
      <w:proofErr w:type="spellEnd"/>
      <w:r w:rsidRPr="00813409">
        <w:t xml:space="preserve"> u gravidných žien. Jeho aktívny </w:t>
      </w:r>
      <w:proofErr w:type="spellStart"/>
      <w:r w:rsidRPr="00813409">
        <w:t>metabolit</w:t>
      </w:r>
      <w:proofErr w:type="spellEnd"/>
      <w:r w:rsidRPr="00813409">
        <w:t xml:space="preserve"> </w:t>
      </w:r>
      <w:proofErr w:type="spellStart"/>
      <w:r w:rsidRPr="00813409">
        <w:t>ganciklovir</w:t>
      </w:r>
      <w:proofErr w:type="spellEnd"/>
      <w:r w:rsidRPr="00813409">
        <w:t xml:space="preserve"> ľahko prechádza ľudskou placentou. Na základe mechanizmu farmakologického účinku </w:t>
      </w:r>
      <w:proofErr w:type="spellStart"/>
      <w:r w:rsidRPr="00813409">
        <w:t>gancikloviru</w:t>
      </w:r>
      <w:proofErr w:type="spellEnd"/>
      <w:r w:rsidRPr="00813409">
        <w:t xml:space="preserve"> a jeho toxicity na reprodukciu, ktorá bola pozorovaná v štúdiách na zvieratách, (pozri časť 5.3)</w:t>
      </w:r>
      <w:r w:rsidRPr="00813409">
        <w:rPr>
          <w:i/>
        </w:rPr>
        <w:t xml:space="preserve">, </w:t>
      </w:r>
      <w:r w:rsidRPr="00813409">
        <w:t xml:space="preserve">existuje teoretické riziko </w:t>
      </w:r>
      <w:proofErr w:type="spellStart"/>
      <w:r w:rsidRPr="00813409">
        <w:t>teratogenity</w:t>
      </w:r>
      <w:proofErr w:type="spellEnd"/>
      <w:r w:rsidRPr="00813409">
        <w:t xml:space="preserve"> u ľudí.</w:t>
      </w:r>
    </w:p>
    <w:p w:rsidR="009C39F3" w:rsidRPr="00813409" w:rsidRDefault="009C39F3" w:rsidP="008C1DB1">
      <w:pPr>
        <w:ind w:left="0" w:firstLine="0"/>
      </w:pPr>
    </w:p>
    <w:p w:rsidR="009C39F3" w:rsidRPr="00813409" w:rsidRDefault="00A2174B" w:rsidP="008C1DB1">
      <w:pPr>
        <w:ind w:left="0" w:firstLine="0"/>
      </w:pPr>
      <w:proofErr w:type="spellStart"/>
      <w:r w:rsidRPr="00813409">
        <w:t>Valgancik</w:t>
      </w:r>
      <w:r w:rsidR="0037584C" w:rsidRPr="00813409">
        <w:t>lovir</w:t>
      </w:r>
      <w:proofErr w:type="spellEnd"/>
      <w:r w:rsidR="00854F8D" w:rsidRPr="00813409">
        <w:t xml:space="preserve"> sa nemá používať počas </w:t>
      </w:r>
      <w:r w:rsidR="009C39F3" w:rsidRPr="00813409">
        <w:t xml:space="preserve">gravidity, pokiaľ terapeutický prínos pre matku neprevyšuje potenciálne riziko </w:t>
      </w:r>
      <w:proofErr w:type="spellStart"/>
      <w:r w:rsidR="009C39F3" w:rsidRPr="00813409">
        <w:t>teratogénneho</w:t>
      </w:r>
      <w:proofErr w:type="spellEnd"/>
      <w:r w:rsidR="009C39F3" w:rsidRPr="00813409">
        <w:t xml:space="preserve"> poškodenia pre dieťa.</w:t>
      </w:r>
    </w:p>
    <w:p w:rsidR="009C39F3" w:rsidRPr="00813409" w:rsidRDefault="009C39F3" w:rsidP="008C1DB1">
      <w:pPr>
        <w:ind w:left="0" w:firstLine="0"/>
      </w:pPr>
    </w:p>
    <w:p w:rsidR="00C9795C" w:rsidRPr="00813409" w:rsidRDefault="00CE4072" w:rsidP="00B42E42">
      <w:pPr>
        <w:ind w:left="0" w:firstLine="0"/>
        <w:rPr>
          <w:u w:val="single"/>
        </w:rPr>
      </w:pPr>
      <w:r>
        <w:rPr>
          <w:u w:val="single"/>
        </w:rPr>
        <w:t>Dojčenie</w:t>
      </w:r>
    </w:p>
    <w:p w:rsidR="009C39F3" w:rsidRPr="00813409" w:rsidRDefault="00EA049E" w:rsidP="00B42E42">
      <w:pPr>
        <w:ind w:left="0" w:firstLine="0"/>
        <w:rPr>
          <w:snapToGrid w:val="0"/>
          <w:szCs w:val="22"/>
        </w:rPr>
      </w:pPr>
      <w:r w:rsidRPr="00813409">
        <w:rPr>
          <w:snapToGrid w:val="0"/>
          <w:szCs w:val="22"/>
        </w:rPr>
        <w:t xml:space="preserve">Nie je známe, či sa </w:t>
      </w:r>
      <w:proofErr w:type="spellStart"/>
      <w:r w:rsidRPr="00813409">
        <w:rPr>
          <w:snapToGrid w:val="0"/>
          <w:szCs w:val="22"/>
        </w:rPr>
        <w:t>ganciklovir</w:t>
      </w:r>
      <w:proofErr w:type="spellEnd"/>
      <w:r w:rsidRPr="00813409">
        <w:rPr>
          <w:snapToGrid w:val="0"/>
          <w:szCs w:val="22"/>
        </w:rPr>
        <w:t xml:space="preserve"> vylučuje do </w:t>
      </w:r>
      <w:r w:rsidR="00813409">
        <w:rPr>
          <w:snapToGrid w:val="0"/>
          <w:szCs w:val="22"/>
        </w:rPr>
        <w:t xml:space="preserve">materského </w:t>
      </w:r>
      <w:r w:rsidRPr="00813409">
        <w:rPr>
          <w:snapToGrid w:val="0"/>
          <w:szCs w:val="22"/>
        </w:rPr>
        <w:t>mlieka</w:t>
      </w:r>
      <w:r w:rsidR="00813409">
        <w:rPr>
          <w:snapToGrid w:val="0"/>
          <w:szCs w:val="22"/>
        </w:rPr>
        <w:t xml:space="preserve"> u ľudí</w:t>
      </w:r>
      <w:r w:rsidRPr="00813409">
        <w:rPr>
          <w:snapToGrid w:val="0"/>
          <w:szCs w:val="22"/>
        </w:rPr>
        <w:t xml:space="preserve">, ale treba vziať do úvahy, že prípadný prechod </w:t>
      </w:r>
      <w:proofErr w:type="spellStart"/>
      <w:r w:rsidRPr="00813409">
        <w:rPr>
          <w:snapToGrid w:val="0"/>
          <w:szCs w:val="22"/>
        </w:rPr>
        <w:t>gancikloviru</w:t>
      </w:r>
      <w:proofErr w:type="spellEnd"/>
      <w:r w:rsidRPr="00813409">
        <w:rPr>
          <w:snapToGrid w:val="0"/>
          <w:szCs w:val="22"/>
        </w:rPr>
        <w:t xml:space="preserve"> do </w:t>
      </w:r>
      <w:r w:rsidR="00813409">
        <w:rPr>
          <w:snapToGrid w:val="0"/>
          <w:szCs w:val="22"/>
        </w:rPr>
        <w:t>materského</w:t>
      </w:r>
      <w:r w:rsidR="00813409" w:rsidRPr="00813409">
        <w:rPr>
          <w:snapToGrid w:val="0"/>
          <w:szCs w:val="22"/>
        </w:rPr>
        <w:t xml:space="preserve"> </w:t>
      </w:r>
      <w:r w:rsidRPr="00813409">
        <w:rPr>
          <w:snapToGrid w:val="0"/>
          <w:szCs w:val="22"/>
        </w:rPr>
        <w:t xml:space="preserve">mlieka </w:t>
      </w:r>
      <w:r w:rsidR="00B42E42" w:rsidRPr="00813409">
        <w:rPr>
          <w:snapToGrid w:val="0"/>
          <w:szCs w:val="22"/>
        </w:rPr>
        <w:t>môže</w:t>
      </w:r>
      <w:r w:rsidRPr="00813409">
        <w:rPr>
          <w:snapToGrid w:val="0"/>
          <w:szCs w:val="22"/>
        </w:rPr>
        <w:t xml:space="preserve"> spôsobiť závažné nežiaduce reakcie u dojčeného dieťaťa. Z tohto dôvodu sa dojčenie musí prerušiť</w:t>
      </w:r>
      <w:r w:rsidR="002A2DD5" w:rsidRPr="00813409">
        <w:rPr>
          <w:snapToGrid w:val="0"/>
          <w:szCs w:val="22"/>
        </w:rPr>
        <w:t xml:space="preserve"> (pozri časť 4.3)</w:t>
      </w:r>
      <w:r w:rsidRPr="00813409">
        <w:rPr>
          <w:snapToGrid w:val="0"/>
          <w:szCs w:val="22"/>
        </w:rPr>
        <w:t>.</w:t>
      </w:r>
    </w:p>
    <w:p w:rsidR="00C9795C" w:rsidRPr="00813409" w:rsidRDefault="00C9795C" w:rsidP="00C9795C">
      <w:pPr>
        <w:ind w:left="0" w:firstLine="0"/>
      </w:pPr>
    </w:p>
    <w:p w:rsidR="00C9795C" w:rsidRPr="00813409" w:rsidRDefault="00C9795C" w:rsidP="00C9795C">
      <w:pPr>
        <w:ind w:left="0" w:firstLine="0"/>
        <w:rPr>
          <w:u w:val="single"/>
        </w:rPr>
      </w:pPr>
      <w:proofErr w:type="spellStart"/>
      <w:r w:rsidRPr="00813409">
        <w:rPr>
          <w:u w:val="single"/>
        </w:rPr>
        <w:t>Fertilita</w:t>
      </w:r>
      <w:proofErr w:type="spellEnd"/>
    </w:p>
    <w:p w:rsidR="00C9795C" w:rsidRPr="00813409" w:rsidRDefault="00F01319" w:rsidP="00C9795C">
      <w:pPr>
        <w:ind w:left="0" w:firstLine="0"/>
      </w:pPr>
      <w:r w:rsidRPr="00813409">
        <w:t xml:space="preserve">Nie sú k dispozícii údaje o vplyve </w:t>
      </w:r>
      <w:proofErr w:type="spellStart"/>
      <w:r w:rsidRPr="00813409">
        <w:t>valgancikloviru</w:t>
      </w:r>
      <w:proofErr w:type="spellEnd"/>
      <w:r w:rsidRPr="00813409">
        <w:t xml:space="preserve"> na ľudskú plodnosť. </w:t>
      </w:r>
      <w:r w:rsidR="00CE4072">
        <w:t xml:space="preserve">Neopakovali sa </w:t>
      </w:r>
      <w:r w:rsidR="00122C50">
        <w:t>štúdie</w:t>
      </w:r>
      <w:r w:rsidR="00CE4072">
        <w:t xml:space="preserve"> </w:t>
      </w:r>
      <w:proofErr w:type="spellStart"/>
      <w:r w:rsidR="00CE4072">
        <w:t>fertility</w:t>
      </w:r>
      <w:proofErr w:type="spellEnd"/>
      <w:r w:rsidR="00CE4072">
        <w:t xml:space="preserve"> s </w:t>
      </w:r>
      <w:proofErr w:type="spellStart"/>
      <w:r w:rsidR="00CE4072">
        <w:t>valganciklovirom</w:t>
      </w:r>
      <w:proofErr w:type="spellEnd"/>
      <w:r w:rsidR="00CE4072">
        <w:t xml:space="preserve"> vzhľadom k rýchlej a intenzívnej konverzii </w:t>
      </w:r>
      <w:proofErr w:type="spellStart"/>
      <w:r w:rsidR="00CE4072">
        <w:t>valgancikloviru</w:t>
      </w:r>
      <w:proofErr w:type="spellEnd"/>
      <w:r w:rsidR="00CE4072">
        <w:t xml:space="preserve"> na </w:t>
      </w:r>
      <w:proofErr w:type="spellStart"/>
      <w:r w:rsidR="00CE4072">
        <w:t>ganciklovir</w:t>
      </w:r>
      <w:proofErr w:type="spellEnd"/>
      <w:r w:rsidR="00CE4072">
        <w:t xml:space="preserve"> v tele. </w:t>
      </w:r>
      <w:proofErr w:type="spellStart"/>
      <w:r w:rsidR="00CE4072">
        <w:t>Ganciklovir</w:t>
      </w:r>
      <w:proofErr w:type="spellEnd"/>
      <w:r w:rsidR="00CE4072">
        <w:t xml:space="preserve"> sa spája s poruchou plodnosti v štúdiách na zvieratách </w:t>
      </w:r>
      <w:r w:rsidR="00C9795C" w:rsidRPr="00813409">
        <w:t>(pozri časť 5.3).</w:t>
      </w:r>
    </w:p>
    <w:p w:rsidR="00EA049E" w:rsidRPr="00813409" w:rsidRDefault="00EA049E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4.7</w:t>
      </w:r>
      <w:r w:rsidRPr="00813409">
        <w:rPr>
          <w:b/>
          <w:szCs w:val="22"/>
        </w:rPr>
        <w:tab/>
        <w:t>Ovplyvnenie schopnosti viesť vozidlá a obsluhovať stroje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</w:pPr>
      <w:r w:rsidRPr="00813409">
        <w:t>Neuskutočnili sa žiadne štúdie o účinkoch na schopnosť viesť vozidlá a obsluhovať stroje.</w:t>
      </w:r>
    </w:p>
    <w:p w:rsidR="00F01319" w:rsidRPr="00813409" w:rsidRDefault="00F01319" w:rsidP="008C1DB1">
      <w:pPr>
        <w:ind w:left="0" w:firstLine="0"/>
      </w:pPr>
    </w:p>
    <w:p w:rsidR="009C39F3" w:rsidRPr="00813409" w:rsidRDefault="009C39F3" w:rsidP="00B42E42">
      <w:pPr>
        <w:ind w:left="0" w:firstLine="0"/>
      </w:pPr>
      <w:r w:rsidRPr="00813409">
        <w:t xml:space="preserve">Pri užívaní </w:t>
      </w:r>
      <w:proofErr w:type="spellStart"/>
      <w:r w:rsidR="00F01319" w:rsidRPr="00813409">
        <w:t>valgancik</w:t>
      </w:r>
      <w:r w:rsidR="0037584C" w:rsidRPr="00813409">
        <w:t>lovir</w:t>
      </w:r>
      <w:r w:rsidR="00F01319" w:rsidRPr="00813409">
        <w:t>u</w:t>
      </w:r>
      <w:proofErr w:type="spellEnd"/>
      <w:r w:rsidRPr="00813409">
        <w:t xml:space="preserve"> a/alebo </w:t>
      </w:r>
      <w:proofErr w:type="spellStart"/>
      <w:r w:rsidRPr="00813409">
        <w:t>gancikloviru</w:t>
      </w:r>
      <w:proofErr w:type="spellEnd"/>
      <w:r w:rsidRPr="00813409">
        <w:t xml:space="preserve"> boli hlásené kŕče, útlm, závraty, </w:t>
      </w:r>
      <w:proofErr w:type="spellStart"/>
      <w:r w:rsidRPr="00813409">
        <w:t>ataxia</w:t>
      </w:r>
      <w:proofErr w:type="spellEnd"/>
      <w:r w:rsidRPr="00813409">
        <w:t xml:space="preserve"> a/alebo zmätenosť. Ak sa vyskytnú,</w:t>
      </w:r>
      <w:r w:rsidR="001149E3" w:rsidRPr="00813409">
        <w:rPr>
          <w:szCs w:val="22"/>
        </w:rPr>
        <w:t xml:space="preserve"> môžu tieto účinky ovplyvniť </w:t>
      </w:r>
      <w:r w:rsidR="00F01319" w:rsidRPr="00813409">
        <w:rPr>
          <w:szCs w:val="22"/>
        </w:rPr>
        <w:t xml:space="preserve">úkony vyžadujúce ostražitosť, vrátane schopnosti </w:t>
      </w:r>
      <w:r w:rsidR="001149E3" w:rsidRPr="00813409">
        <w:rPr>
          <w:szCs w:val="22"/>
        </w:rPr>
        <w:t>pacienta viesť vozidl</w:t>
      </w:r>
      <w:r w:rsidR="009F5ED1" w:rsidRPr="00813409">
        <w:rPr>
          <w:szCs w:val="22"/>
        </w:rPr>
        <w:t>á</w:t>
      </w:r>
      <w:r w:rsidR="001149E3" w:rsidRPr="00813409">
        <w:rPr>
          <w:szCs w:val="22"/>
        </w:rPr>
        <w:t xml:space="preserve"> a obsluhovať stroje</w:t>
      </w:r>
      <w:r w:rsidRPr="00813409"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  <w:r w:rsidRPr="00813409">
        <w:rPr>
          <w:b/>
          <w:szCs w:val="22"/>
        </w:rPr>
        <w:t>4.8</w:t>
      </w:r>
      <w:r w:rsidRPr="00813409">
        <w:rPr>
          <w:b/>
          <w:szCs w:val="22"/>
        </w:rPr>
        <w:tab/>
        <w:t>Nežiaduce účinky</w:t>
      </w:r>
    </w:p>
    <w:p w:rsidR="00E44CF4" w:rsidRPr="00813409" w:rsidRDefault="00E44CF4" w:rsidP="00E44CF4">
      <w:pPr>
        <w:rPr>
          <w:szCs w:val="22"/>
        </w:rPr>
      </w:pPr>
    </w:p>
    <w:p w:rsidR="009C39F3" w:rsidRPr="00813409" w:rsidRDefault="00E44CF4" w:rsidP="00F01319">
      <w:r w:rsidRPr="00813409">
        <w:rPr>
          <w:b/>
          <w:i/>
          <w:szCs w:val="22"/>
        </w:rPr>
        <w:t>a</w:t>
      </w:r>
      <w:r w:rsidR="005038F3" w:rsidRPr="00813409">
        <w:rPr>
          <w:b/>
          <w:i/>
          <w:szCs w:val="22"/>
        </w:rPr>
        <w:t>)</w:t>
      </w:r>
      <w:r w:rsidRPr="00813409">
        <w:rPr>
          <w:szCs w:val="22"/>
        </w:rPr>
        <w:tab/>
      </w:r>
      <w:r w:rsidRPr="00813409">
        <w:rPr>
          <w:b/>
          <w:i/>
          <w:szCs w:val="22"/>
        </w:rPr>
        <w:t>Súhrn bezpečnostného profilu</w:t>
      </w:r>
    </w:p>
    <w:p w:rsidR="00FC23D0" w:rsidRPr="00813409" w:rsidRDefault="009C39F3" w:rsidP="008C1DB1">
      <w:pPr>
        <w:ind w:left="0" w:firstLine="0"/>
      </w:pPr>
      <w:proofErr w:type="spellStart"/>
      <w:r w:rsidRPr="00813409">
        <w:t>Valganciklovir</w:t>
      </w:r>
      <w:proofErr w:type="spellEnd"/>
      <w:r w:rsidRPr="00813409">
        <w:t xml:space="preserve"> je prekurzor </w:t>
      </w:r>
      <w:proofErr w:type="spellStart"/>
      <w:r w:rsidRPr="00813409">
        <w:t>gancikloviru</w:t>
      </w:r>
      <w:proofErr w:type="spellEnd"/>
      <w:r w:rsidRPr="00813409">
        <w:t xml:space="preserve">, ktorý sa po perorálnom podaní rýchlo a vo veľkom rozsahu metabolizuje na </w:t>
      </w:r>
      <w:proofErr w:type="spellStart"/>
      <w:r w:rsidRPr="00813409">
        <w:t>ganciklovir</w:t>
      </w:r>
      <w:proofErr w:type="spellEnd"/>
      <w:r w:rsidRPr="00813409">
        <w:t xml:space="preserve">. Preto sa nežiaduce účinky, o ktorých je známe, že </w:t>
      </w:r>
      <w:r w:rsidR="00FC23D0" w:rsidRPr="00813409">
        <w:t>súvisia s</w:t>
      </w:r>
      <w:r w:rsidRPr="00813409">
        <w:t xml:space="preserve"> </w:t>
      </w:r>
      <w:proofErr w:type="spellStart"/>
      <w:r w:rsidR="00FC23D0" w:rsidRPr="00813409">
        <w:t>ganciklovirom</w:t>
      </w:r>
      <w:proofErr w:type="spellEnd"/>
      <w:r w:rsidRPr="00813409">
        <w:t xml:space="preserve">, dajú očakávať aj pri </w:t>
      </w:r>
      <w:proofErr w:type="spellStart"/>
      <w:r w:rsidR="00FC23D0" w:rsidRPr="00813409">
        <w:t>valganciklovire</w:t>
      </w:r>
      <w:proofErr w:type="spellEnd"/>
      <w:r w:rsidRPr="00813409">
        <w:t>. Všetky nežiaduce účinky, ktoré sa pozorovali v klinických štúdiách s </w:t>
      </w:r>
      <w:proofErr w:type="spellStart"/>
      <w:r w:rsidRPr="00813409">
        <w:t>valganciklovirom</w:t>
      </w:r>
      <w:proofErr w:type="spellEnd"/>
      <w:r w:rsidRPr="00813409">
        <w:t xml:space="preserve">, sa predtým pozorovali aj u </w:t>
      </w:r>
      <w:proofErr w:type="spellStart"/>
      <w:r w:rsidRPr="00813409">
        <w:t>gancikloviru</w:t>
      </w:r>
      <w:proofErr w:type="spellEnd"/>
      <w:r w:rsidRPr="00813409">
        <w:t>.</w:t>
      </w:r>
    </w:p>
    <w:p w:rsidR="00FC23D0" w:rsidRPr="00813409" w:rsidRDefault="00FC23D0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Najčastejšími hlásenými nežiaducimi reakciami po podaní </w:t>
      </w:r>
      <w:proofErr w:type="spellStart"/>
      <w:r w:rsidRPr="00813409">
        <w:t>valgancikloviru</w:t>
      </w:r>
      <w:proofErr w:type="spellEnd"/>
      <w:r w:rsidRPr="00813409">
        <w:t xml:space="preserve"> </w:t>
      </w:r>
      <w:r w:rsidR="002A2DD5" w:rsidRPr="00813409">
        <w:t xml:space="preserve">u dospelých </w:t>
      </w:r>
      <w:r w:rsidRPr="00813409">
        <w:t xml:space="preserve">sú </w:t>
      </w:r>
      <w:proofErr w:type="spellStart"/>
      <w:r w:rsidRPr="00813409">
        <w:t>neutropénia</w:t>
      </w:r>
      <w:proofErr w:type="spellEnd"/>
      <w:r w:rsidRPr="00813409">
        <w:t>, anémia a hnačka.</w:t>
      </w:r>
    </w:p>
    <w:p w:rsidR="009C39F3" w:rsidRPr="00813409" w:rsidRDefault="009C39F3" w:rsidP="008C1DB1">
      <w:pPr>
        <w:ind w:left="0" w:firstLine="0"/>
      </w:pPr>
    </w:p>
    <w:p w:rsidR="009C39F3" w:rsidRPr="00813409" w:rsidRDefault="003A77E2" w:rsidP="008C1DB1">
      <w:pPr>
        <w:ind w:left="0" w:firstLine="0"/>
      </w:pPr>
      <w:proofErr w:type="spellStart"/>
      <w:r w:rsidRPr="00813409">
        <w:t>V</w:t>
      </w:r>
      <w:r w:rsidR="009C39F3" w:rsidRPr="00813409">
        <w:t>alganciklovir</w:t>
      </w:r>
      <w:proofErr w:type="spellEnd"/>
      <w:r w:rsidR="009C39F3" w:rsidRPr="00813409">
        <w:t xml:space="preserve"> je v porovnaní s intravenóznym </w:t>
      </w:r>
      <w:proofErr w:type="spellStart"/>
      <w:r w:rsidR="009C39F3" w:rsidRPr="00813409">
        <w:t>ganciklovirom</w:t>
      </w:r>
      <w:proofErr w:type="spellEnd"/>
      <w:r w:rsidR="009C39F3" w:rsidRPr="00813409">
        <w:t xml:space="preserve"> </w:t>
      </w:r>
      <w:r w:rsidRPr="00813409">
        <w:t xml:space="preserve">spojený s </w:t>
      </w:r>
      <w:r w:rsidR="009C39F3" w:rsidRPr="00813409">
        <w:t>vyšš</w:t>
      </w:r>
      <w:r w:rsidRPr="00813409">
        <w:t>ím</w:t>
      </w:r>
      <w:r w:rsidR="009C39F3" w:rsidRPr="00813409">
        <w:t xml:space="preserve"> riziko</w:t>
      </w:r>
      <w:r w:rsidRPr="00813409">
        <w:t>m</w:t>
      </w:r>
      <w:r w:rsidR="009C39F3" w:rsidRPr="00813409">
        <w:t xml:space="preserve"> hnačky. Okrem toho je u </w:t>
      </w:r>
      <w:proofErr w:type="spellStart"/>
      <w:r w:rsidR="009C39F3" w:rsidRPr="00813409">
        <w:t>valgancikloviru</w:t>
      </w:r>
      <w:proofErr w:type="spellEnd"/>
      <w:r w:rsidR="009C39F3" w:rsidRPr="00813409">
        <w:t xml:space="preserve"> v porovnaní s perorálnym </w:t>
      </w:r>
      <w:proofErr w:type="spellStart"/>
      <w:r w:rsidR="009C39F3" w:rsidRPr="00813409">
        <w:t>ganciklovirom</w:t>
      </w:r>
      <w:proofErr w:type="spellEnd"/>
      <w:r w:rsidR="009C39F3" w:rsidRPr="00813409">
        <w:t xml:space="preserve"> vyššie riziko </w:t>
      </w:r>
      <w:proofErr w:type="spellStart"/>
      <w:r w:rsidR="009C39F3" w:rsidRPr="00813409">
        <w:t>neutropénie</w:t>
      </w:r>
      <w:proofErr w:type="spellEnd"/>
      <w:r w:rsidR="009C39F3" w:rsidRPr="00813409">
        <w:t xml:space="preserve"> a </w:t>
      </w:r>
      <w:proofErr w:type="spellStart"/>
      <w:r w:rsidR="009C39F3" w:rsidRPr="00813409">
        <w:t>leukopénie</w:t>
      </w:r>
      <w:proofErr w:type="spellEnd"/>
      <w:r w:rsidR="009C39F3"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49674F">
      <w:pPr>
        <w:ind w:left="0" w:firstLine="0"/>
      </w:pPr>
      <w:r w:rsidRPr="00813409">
        <w:t xml:space="preserve">Závažná </w:t>
      </w:r>
      <w:proofErr w:type="spellStart"/>
      <w:r w:rsidRPr="00813409">
        <w:t>neutropénia</w:t>
      </w:r>
      <w:proofErr w:type="spellEnd"/>
      <w:r w:rsidRPr="00813409">
        <w:t xml:space="preserve"> (</w:t>
      </w:r>
      <w:r w:rsidR="00E44CF4" w:rsidRPr="00813409">
        <w:t>ANC</w:t>
      </w:r>
      <w:r w:rsidRPr="00813409">
        <w:t>&lt;</w:t>
      </w:r>
      <w:r w:rsidR="00BD0D2D" w:rsidRPr="00813409">
        <w:t> </w:t>
      </w:r>
      <w:r w:rsidRPr="00813409">
        <w:t>500 </w:t>
      </w:r>
      <w:r w:rsidR="00E44CF4" w:rsidRPr="00813409">
        <w:t>buniek</w:t>
      </w:r>
      <w:r w:rsidRPr="00813409">
        <w:t>/</w:t>
      </w:r>
      <w:proofErr w:type="spellStart"/>
      <w:r w:rsidRPr="00813409">
        <w:t>μl</w:t>
      </w:r>
      <w:proofErr w:type="spellEnd"/>
      <w:r w:rsidRPr="00813409">
        <w:t>) sa vyskytuje častejšie u</w:t>
      </w:r>
      <w:r w:rsidR="00CE4072">
        <w:t xml:space="preserve">  </w:t>
      </w:r>
      <w:r w:rsidRPr="00813409">
        <w:t>pacientov</w:t>
      </w:r>
      <w:r w:rsidR="00C847DA">
        <w:t xml:space="preserve"> s AIDS a</w:t>
      </w:r>
      <w:r w:rsidR="00C847DA" w:rsidRPr="00813409">
        <w:t xml:space="preserve"> </w:t>
      </w:r>
      <w:r w:rsidRPr="00813409">
        <w:t>s</w:t>
      </w:r>
      <w:r w:rsidR="00E44CF4" w:rsidRPr="00813409">
        <w:t> </w:t>
      </w:r>
      <w:r w:rsidRPr="00813409">
        <w:t xml:space="preserve">CMV </w:t>
      </w:r>
      <w:proofErr w:type="spellStart"/>
      <w:r w:rsidRPr="00813409">
        <w:t>retinitídou</w:t>
      </w:r>
      <w:proofErr w:type="spellEnd"/>
      <w:r w:rsidRPr="00813409">
        <w:t xml:space="preserve"> </w:t>
      </w:r>
      <w:r w:rsidR="0049674F" w:rsidRPr="00813409">
        <w:t xml:space="preserve">liečených </w:t>
      </w:r>
      <w:proofErr w:type="spellStart"/>
      <w:r w:rsidR="0049674F" w:rsidRPr="00813409">
        <w:t>valganciclovirom</w:t>
      </w:r>
      <w:proofErr w:type="spellEnd"/>
      <w:r w:rsidR="00FC23D0" w:rsidRPr="00813409">
        <w:t>,</w:t>
      </w:r>
      <w:r w:rsidR="0049674F" w:rsidRPr="00813409">
        <w:t xml:space="preserve"> než</w:t>
      </w:r>
      <w:r w:rsidRPr="00813409">
        <w:t xml:space="preserve"> u pacientov po transplantácii solídneho orgánu</w:t>
      </w:r>
      <w:r w:rsidR="003A77E2" w:rsidRPr="00813409">
        <w:t xml:space="preserve"> liečených </w:t>
      </w:r>
      <w:proofErr w:type="spellStart"/>
      <w:r w:rsidR="003A77E2" w:rsidRPr="00813409">
        <w:t>valganciklovirom</w:t>
      </w:r>
      <w:proofErr w:type="spellEnd"/>
      <w:r w:rsidR="00E44CF4" w:rsidRPr="00813409">
        <w:t xml:space="preserve"> </w:t>
      </w:r>
      <w:r w:rsidR="00E44CF4" w:rsidRPr="00813409">
        <w:rPr>
          <w:snapToGrid w:val="0"/>
          <w:szCs w:val="22"/>
        </w:rPr>
        <w:t>(pozri časť 4.4)</w:t>
      </w:r>
      <w:r w:rsidRPr="00813409">
        <w:t>.</w:t>
      </w:r>
    </w:p>
    <w:p w:rsidR="009C39F3" w:rsidRPr="00813409" w:rsidRDefault="009C39F3" w:rsidP="008C1DB1">
      <w:pPr>
        <w:ind w:left="0" w:firstLine="0"/>
      </w:pPr>
    </w:p>
    <w:p w:rsidR="00FC23D0" w:rsidRPr="00813409" w:rsidRDefault="009C39F3" w:rsidP="006819C5">
      <w:pPr>
        <w:ind w:left="0" w:firstLine="0"/>
      </w:pPr>
      <w:r w:rsidRPr="00813409">
        <w:t xml:space="preserve">V nasledujúcej tabuľke je uvedená </w:t>
      </w:r>
      <w:r w:rsidR="005A1555">
        <w:t>frekvencia</w:t>
      </w:r>
      <w:r w:rsidR="005A1555" w:rsidRPr="00813409">
        <w:t xml:space="preserve"> </w:t>
      </w:r>
      <w:r w:rsidRPr="00813409">
        <w:t xml:space="preserve">nežiaducich reakcií hlásených z klinických štúdií s </w:t>
      </w:r>
      <w:proofErr w:type="spellStart"/>
      <w:r w:rsidRPr="00813409">
        <w:t>valganciklovirom</w:t>
      </w:r>
      <w:proofErr w:type="spellEnd"/>
      <w:r w:rsidRPr="00813409">
        <w:t xml:space="preserve">, perorálnym </w:t>
      </w:r>
      <w:proofErr w:type="spellStart"/>
      <w:r w:rsidRPr="00813409">
        <w:t>ganciklovirom</w:t>
      </w:r>
      <w:proofErr w:type="spellEnd"/>
      <w:r w:rsidRPr="00813409">
        <w:t xml:space="preserve"> alebo intravenóznym </w:t>
      </w:r>
      <w:proofErr w:type="spellStart"/>
      <w:r w:rsidRPr="00813409">
        <w:t>ganciklovirom</w:t>
      </w:r>
      <w:proofErr w:type="spellEnd"/>
      <w:r w:rsidRPr="00813409">
        <w:t>.</w:t>
      </w:r>
    </w:p>
    <w:p w:rsidR="00FC23D0" w:rsidRDefault="00FC23D0" w:rsidP="006819C5">
      <w:pPr>
        <w:ind w:left="0" w:firstLine="0"/>
      </w:pPr>
    </w:p>
    <w:p w:rsidR="005A1555" w:rsidRPr="005A1555" w:rsidRDefault="005A1555" w:rsidP="005A1555">
      <w:pPr>
        <w:pStyle w:val="big"/>
        <w:ind w:left="0" w:right="0"/>
        <w:rPr>
          <w:sz w:val="22"/>
          <w:szCs w:val="22"/>
        </w:rPr>
      </w:pPr>
      <w:r w:rsidRPr="005A1555">
        <w:rPr>
          <w:bCs/>
          <w:sz w:val="22"/>
          <w:szCs w:val="22"/>
        </w:rPr>
        <w:lastRenderedPageBreak/>
        <w:t>Frekvencie sú definované ako veľmi časté (≥ 1/10), časté (≥ 1/100 až 1/10), menej časté (≥ 1/1000 až 1/100) a zriedkavé (≥ 1/10000 až 1/1000).</w:t>
      </w:r>
    </w:p>
    <w:p w:rsidR="005A1555" w:rsidRPr="00813409" w:rsidRDefault="005A1555" w:rsidP="006819C5">
      <w:pPr>
        <w:ind w:left="0" w:firstLine="0"/>
      </w:pPr>
    </w:p>
    <w:p w:rsidR="009C39F3" w:rsidRPr="00813409" w:rsidRDefault="009C39F3" w:rsidP="006819C5">
      <w:pPr>
        <w:ind w:left="0" w:firstLine="0"/>
      </w:pPr>
      <w:r w:rsidRPr="00813409">
        <w:t xml:space="preserve">Uvedené nežiaduce reakcie boli hlásené z klinických štúdií u pacientov s AIDS pri indukčnej alebo udržiavacej liečbe CMV </w:t>
      </w:r>
      <w:proofErr w:type="spellStart"/>
      <w:r w:rsidRPr="00813409">
        <w:t>retinitídy</w:t>
      </w:r>
      <w:proofErr w:type="spellEnd"/>
      <w:r w:rsidRPr="00813409">
        <w:t xml:space="preserve"> alebo u pacientov s transplantátom pečene, obličky alebo srdca pri profylaxii CMV ochorenia.</w:t>
      </w:r>
      <w:r w:rsidRPr="00813409">
        <w:rPr>
          <w:snapToGrid w:val="0"/>
          <w:lang w:eastAsia="en-US"/>
        </w:rPr>
        <w:t xml:space="preserve"> </w:t>
      </w:r>
      <w:r w:rsidRPr="00813409">
        <w:t>Výraz (závažná) uvedený v tabuľke v zátvorke znamená, že sa nežiaduca reakcia hlásila u pacientov aj v miernej/strednej intenzite a</w:t>
      </w:r>
      <w:r w:rsidR="00BD0D2D" w:rsidRPr="00813409">
        <w:t>j</w:t>
      </w:r>
      <w:r w:rsidRPr="00813409">
        <w:t xml:space="preserve"> závažnej/život ohrozujúcej intenzite</w:t>
      </w:r>
      <w:r w:rsidR="00FC23D0" w:rsidRPr="00813409">
        <w:t xml:space="preserve"> pre danú častosť výskytu</w:t>
      </w:r>
      <w:r w:rsidRPr="00813409">
        <w:t>.</w:t>
      </w:r>
    </w:p>
    <w:p w:rsidR="00E44CF4" w:rsidRPr="00813409" w:rsidRDefault="00E44CF4" w:rsidP="007C342D">
      <w:pPr>
        <w:ind w:left="0" w:firstLine="0"/>
        <w:rPr>
          <w:snapToGrid w:val="0"/>
          <w:szCs w:val="22"/>
        </w:rPr>
      </w:pPr>
    </w:p>
    <w:p w:rsidR="00E44CF4" w:rsidRPr="00813409" w:rsidRDefault="00E44CF4" w:rsidP="007C342D">
      <w:pPr>
        <w:ind w:left="0" w:firstLine="0"/>
        <w:rPr>
          <w:snapToGrid w:val="0"/>
          <w:szCs w:val="22"/>
        </w:rPr>
      </w:pPr>
      <w:r w:rsidRPr="00813409">
        <w:rPr>
          <w:snapToGrid w:val="0"/>
          <w:szCs w:val="22"/>
        </w:rPr>
        <w:t xml:space="preserve">Celkový bezpečnostný profil </w:t>
      </w:r>
      <w:proofErr w:type="spellStart"/>
      <w:r w:rsidR="00FC23D0" w:rsidRPr="00813409">
        <w:rPr>
          <w:snapToGrid w:val="0"/>
          <w:szCs w:val="22"/>
        </w:rPr>
        <w:t>valgancikloviru</w:t>
      </w:r>
      <w:proofErr w:type="spellEnd"/>
      <w:r w:rsidRPr="00813409">
        <w:rPr>
          <w:snapToGrid w:val="0"/>
          <w:szCs w:val="22"/>
        </w:rPr>
        <w:t xml:space="preserve"> sa </w:t>
      </w:r>
      <w:r w:rsidR="00EB1456" w:rsidRPr="00813409">
        <w:rPr>
          <w:snapToGrid w:val="0"/>
          <w:szCs w:val="22"/>
        </w:rPr>
        <w:t>u dospelých pacientov po transplantácii obličky vystavených vysokému riziku CMV ochorenia (D+/R</w:t>
      </w:r>
      <w:r w:rsidR="00EB1456" w:rsidRPr="00813409">
        <w:rPr>
          <w:snapToGrid w:val="0"/>
          <w:szCs w:val="22"/>
        </w:rPr>
        <w:noBreakHyphen/>
        <w:t xml:space="preserve">) pri predĺžení profylaxie až na 200 dní </w:t>
      </w:r>
      <w:r w:rsidRPr="00813409">
        <w:rPr>
          <w:snapToGrid w:val="0"/>
          <w:szCs w:val="22"/>
        </w:rPr>
        <w:t xml:space="preserve">nezmenil. </w:t>
      </w:r>
      <w:proofErr w:type="spellStart"/>
      <w:r w:rsidRPr="00813409">
        <w:rPr>
          <w:snapToGrid w:val="0"/>
          <w:szCs w:val="22"/>
        </w:rPr>
        <w:t>Leukopénia</w:t>
      </w:r>
      <w:proofErr w:type="spellEnd"/>
      <w:r w:rsidRPr="00813409">
        <w:rPr>
          <w:snapToGrid w:val="0"/>
          <w:szCs w:val="22"/>
        </w:rPr>
        <w:t xml:space="preserve"> bola hlásená s mierne vyšším výskytom v skupine s 200</w:t>
      </w:r>
      <w:r w:rsidRPr="00813409">
        <w:rPr>
          <w:snapToGrid w:val="0"/>
          <w:szCs w:val="22"/>
        </w:rPr>
        <w:noBreakHyphen/>
        <w:t xml:space="preserve">dňovou profylaxiou, zatiaľ čo výskyt </w:t>
      </w:r>
      <w:proofErr w:type="spellStart"/>
      <w:r w:rsidRPr="00813409">
        <w:rPr>
          <w:snapToGrid w:val="0"/>
          <w:szCs w:val="22"/>
        </w:rPr>
        <w:t>neutropénie</w:t>
      </w:r>
      <w:proofErr w:type="spellEnd"/>
      <w:r w:rsidRPr="00813409">
        <w:rPr>
          <w:snapToGrid w:val="0"/>
          <w:szCs w:val="22"/>
        </w:rPr>
        <w:t>, anémie a </w:t>
      </w:r>
      <w:proofErr w:type="spellStart"/>
      <w:r w:rsidRPr="00813409">
        <w:rPr>
          <w:snapToGrid w:val="0"/>
          <w:szCs w:val="22"/>
        </w:rPr>
        <w:t>trombocytopénie</w:t>
      </w:r>
      <w:proofErr w:type="spellEnd"/>
      <w:r w:rsidRPr="00813409">
        <w:rPr>
          <w:snapToGrid w:val="0"/>
          <w:szCs w:val="22"/>
        </w:rPr>
        <w:t xml:space="preserve"> bol v oboch skupinách podobný.</w:t>
      </w:r>
    </w:p>
    <w:p w:rsidR="00E44CF4" w:rsidRPr="00813409" w:rsidRDefault="00E44CF4" w:rsidP="007C342D">
      <w:pPr>
        <w:ind w:left="0" w:firstLine="0"/>
        <w:rPr>
          <w:snapToGrid w:val="0"/>
          <w:szCs w:val="22"/>
        </w:rPr>
      </w:pPr>
    </w:p>
    <w:p w:rsidR="00E44CF4" w:rsidRPr="00813409" w:rsidRDefault="00E44CF4" w:rsidP="007C342D">
      <w:pPr>
        <w:rPr>
          <w:snapToGrid w:val="0"/>
          <w:szCs w:val="22"/>
        </w:rPr>
      </w:pPr>
      <w:r w:rsidRPr="00813409">
        <w:rPr>
          <w:b/>
          <w:i/>
          <w:snapToGrid w:val="0"/>
          <w:szCs w:val="22"/>
        </w:rPr>
        <w:t>b</w:t>
      </w:r>
      <w:r w:rsidR="005038F3" w:rsidRPr="00813409">
        <w:rPr>
          <w:b/>
          <w:i/>
          <w:snapToGrid w:val="0"/>
          <w:szCs w:val="22"/>
        </w:rPr>
        <w:t>)</w:t>
      </w:r>
      <w:r w:rsidRPr="00813409">
        <w:rPr>
          <w:b/>
          <w:i/>
          <w:snapToGrid w:val="0"/>
          <w:szCs w:val="22"/>
        </w:rPr>
        <w:tab/>
        <w:t>Tabuľkový súhrn nežiaducich reakcií</w:t>
      </w:r>
      <w:r w:rsidRPr="00813409">
        <w:rPr>
          <w:snapToGrid w:val="0"/>
          <w:szCs w:val="22"/>
        </w:rPr>
        <w:t xml:space="preserve"> </w:t>
      </w:r>
    </w:p>
    <w:p w:rsidR="003A77E2" w:rsidRPr="00813409" w:rsidRDefault="003A77E2" w:rsidP="003A77E2">
      <w:pPr>
        <w:rPr>
          <w:szCs w:val="22"/>
        </w:rPr>
      </w:pPr>
    </w:p>
    <w:p w:rsidR="003A77E2" w:rsidRPr="00813409" w:rsidRDefault="003A77E2" w:rsidP="003A77E2">
      <w:pPr>
        <w:ind w:left="0" w:firstLine="0"/>
        <w:rPr>
          <w:szCs w:val="22"/>
        </w:rPr>
      </w:pPr>
      <w:r w:rsidRPr="00813409">
        <w:rPr>
          <w:szCs w:val="22"/>
        </w:rPr>
        <w:t xml:space="preserve">V rámci jednotlivých skupín </w:t>
      </w:r>
      <w:r w:rsidR="005A1555">
        <w:rPr>
          <w:szCs w:val="22"/>
        </w:rPr>
        <w:t>frekvencie</w:t>
      </w:r>
      <w:r w:rsidR="005A1555" w:rsidRPr="00813409">
        <w:rPr>
          <w:szCs w:val="22"/>
        </w:rPr>
        <w:t xml:space="preserve"> </w:t>
      </w:r>
      <w:r w:rsidR="00FC23D0" w:rsidRPr="00813409">
        <w:rPr>
          <w:szCs w:val="22"/>
        </w:rPr>
        <w:t>výskytu</w:t>
      </w:r>
      <w:r w:rsidRPr="00813409">
        <w:rPr>
          <w:szCs w:val="22"/>
        </w:rPr>
        <w:t xml:space="preserve"> sú nežiaduce účinky usporiadané v poradí klesajúcej závažnosti.</w:t>
      </w:r>
    </w:p>
    <w:p w:rsidR="009C39F3" w:rsidRPr="00813409" w:rsidRDefault="009C39F3" w:rsidP="008C1DB1">
      <w:pPr>
        <w:ind w:left="0"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2693"/>
        <w:gridCol w:w="1701"/>
        <w:gridCol w:w="1276"/>
      </w:tblGrid>
      <w:tr w:rsidR="00905732" w:rsidRPr="00813409" w:rsidTr="007C342D">
        <w:trPr>
          <w:tblHeader/>
        </w:trPr>
        <w:tc>
          <w:tcPr>
            <w:tcW w:w="2093" w:type="dxa"/>
          </w:tcPr>
          <w:p w:rsidR="00905732" w:rsidRPr="00813409" w:rsidRDefault="00B821EF" w:rsidP="008C1DB1">
            <w:pPr>
              <w:pStyle w:val="Hlavika"/>
              <w:jc w:val="center"/>
              <w:rPr>
                <w:rFonts w:ascii="Times New Roman" w:hAnsi="Times New Roman"/>
                <w:iCs/>
                <w:snapToGrid w:val="0"/>
                <w:sz w:val="22"/>
                <w:szCs w:val="22"/>
                <w:lang w:val="sk-SK"/>
              </w:rPr>
            </w:pPr>
            <w:r w:rsidRPr="0081340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Orgánový </w:t>
            </w:r>
            <w:r w:rsidR="00905732" w:rsidRPr="00813409">
              <w:rPr>
                <w:rFonts w:ascii="Times New Roman" w:hAnsi="Times New Roman"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Veľmi časté 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1/10)</w:t>
            </w: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Časté 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</w:t>
            </w:r>
            <w:r w:rsidRPr="00813409">
              <w:rPr>
                <w:szCs w:val="22"/>
              </w:rPr>
              <w:sym w:font="Symbol" w:char="F03C"/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1/10)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Menej časté</w:t>
            </w:r>
          </w:p>
          <w:p w:rsidR="00905732" w:rsidRPr="00813409" w:rsidRDefault="00905732" w:rsidP="005038F3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(≥</w:t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1/1 000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</w:t>
            </w:r>
            <w:r w:rsidRPr="00813409">
              <w:rPr>
                <w:szCs w:val="22"/>
              </w:rPr>
              <w:sym w:font="Symbol" w:char="F03C"/>
            </w:r>
            <w:r w:rsidR="005038F3"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t>1/100)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Zriedkavé (</w:t>
            </w:r>
            <w:r w:rsidRPr="00813409">
              <w:rPr>
                <w:szCs w:val="22"/>
              </w:rPr>
              <w:sym w:font="Symbol" w:char="00B3"/>
            </w:r>
            <w:r w:rsidR="00C43AFB" w:rsidRPr="00813409">
              <w:rPr>
                <w:szCs w:val="22"/>
              </w:rPr>
              <w:t> 1/10 000</w:t>
            </w:r>
            <w:r w:rsidR="00192960" w:rsidRPr="00813409">
              <w:rPr>
                <w:szCs w:val="22"/>
              </w:rPr>
              <w:t xml:space="preserve"> až</w:t>
            </w:r>
            <w:r w:rsidRPr="00813409">
              <w:rPr>
                <w:szCs w:val="22"/>
              </w:rPr>
              <w:t xml:space="preserve"> &lt; 1/1 000)</w:t>
            </w: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C1DB1">
            <w:pPr>
              <w:pStyle w:val="Hlavika"/>
              <w:rPr>
                <w:rFonts w:ascii="Times New Roman" w:hAnsi="Times New Roman"/>
                <w:b/>
                <w:iCs/>
                <w:snapToGrid w:val="0"/>
                <w:sz w:val="22"/>
                <w:szCs w:val="22"/>
                <w:lang w:val="sk-SK"/>
              </w:rPr>
            </w:pPr>
            <w:r w:rsidRPr="00813409">
              <w:rPr>
                <w:rFonts w:ascii="Times New Roman" w:hAnsi="Times New Roman"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proofErr w:type="spellStart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kandidóza</w:t>
            </w:r>
            <w:proofErr w:type="spellEnd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ústnej dutiny, sepsa (</w:t>
            </w:r>
            <w:proofErr w:type="spellStart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bakteriémia</w:t>
            </w:r>
            <w:proofErr w:type="spellEnd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virémia</w:t>
            </w:r>
            <w:proofErr w:type="spellEnd"/>
            <w:r w:rsidRPr="00813409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), celulitída, infekcia močových ciest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krvi a lymfatického systému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(závažná)</w:t>
            </w:r>
            <w:r w:rsidR="00854F8D" w:rsidRPr="00813409">
              <w:rPr>
                <w:bCs/>
                <w:szCs w:val="22"/>
              </w:rPr>
              <w:t xml:space="preserve"> </w:t>
            </w:r>
            <w:proofErr w:type="spellStart"/>
            <w:r w:rsidRPr="00813409">
              <w:rPr>
                <w:bCs/>
                <w:szCs w:val="22"/>
              </w:rPr>
              <w:t>neutropénia</w:t>
            </w:r>
            <w:proofErr w:type="spellEnd"/>
            <w:r w:rsidRPr="00813409">
              <w:rPr>
                <w:bCs/>
                <w:szCs w:val="22"/>
              </w:rPr>
              <w:t>,</w:t>
            </w:r>
            <w:r w:rsidR="00854F8D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anémia</w:t>
            </w:r>
          </w:p>
        </w:tc>
        <w:tc>
          <w:tcPr>
            <w:tcW w:w="2693" w:type="dxa"/>
          </w:tcPr>
          <w:p w:rsidR="00905732" w:rsidRPr="00813409" w:rsidRDefault="00905732" w:rsidP="00854F8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závažná anémia,</w:t>
            </w:r>
            <w:r w:rsidR="00854F8D" w:rsidRPr="00813409">
              <w:rPr>
                <w:bCs/>
                <w:szCs w:val="22"/>
              </w:rPr>
              <w:t xml:space="preserve"> (závažná) </w:t>
            </w:r>
            <w:proofErr w:type="spellStart"/>
            <w:r w:rsidR="00854F8D" w:rsidRPr="00813409">
              <w:rPr>
                <w:bCs/>
                <w:szCs w:val="22"/>
              </w:rPr>
              <w:t>trombocytopénia</w:t>
            </w:r>
            <w:proofErr w:type="spellEnd"/>
            <w:r w:rsidR="00854F8D" w:rsidRPr="00813409">
              <w:rPr>
                <w:bCs/>
                <w:szCs w:val="22"/>
              </w:rPr>
              <w:t xml:space="preserve">, </w:t>
            </w:r>
            <w:r w:rsidRPr="00813409">
              <w:rPr>
                <w:bCs/>
                <w:szCs w:val="22"/>
              </w:rPr>
              <w:t xml:space="preserve">(závažná) </w:t>
            </w:r>
            <w:proofErr w:type="spellStart"/>
            <w:r w:rsidRPr="00813409">
              <w:rPr>
                <w:bCs/>
                <w:szCs w:val="22"/>
              </w:rPr>
              <w:t>leukopénia</w:t>
            </w:r>
            <w:proofErr w:type="spellEnd"/>
            <w:r w:rsidRPr="00813409">
              <w:rPr>
                <w:bCs/>
                <w:szCs w:val="22"/>
              </w:rPr>
              <w:t xml:space="preserve">, (závažná) </w:t>
            </w:r>
            <w:proofErr w:type="spellStart"/>
            <w:r w:rsidRPr="00813409">
              <w:rPr>
                <w:bCs/>
                <w:szCs w:val="22"/>
              </w:rPr>
              <w:t>pancytopénia</w:t>
            </w:r>
            <w:proofErr w:type="spellEnd"/>
          </w:p>
        </w:tc>
        <w:tc>
          <w:tcPr>
            <w:tcW w:w="1701" w:type="dxa"/>
          </w:tcPr>
          <w:p w:rsidR="00905732" w:rsidRPr="00813409" w:rsidRDefault="00905732" w:rsidP="00E44CF4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útlm kostnej drene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t>aplastická</w:t>
            </w:r>
            <w:proofErr w:type="spellEnd"/>
            <w:r w:rsidRPr="00813409">
              <w:t xml:space="preserve"> anémia</w:t>
            </w:r>
          </w:p>
        </w:tc>
      </w:tr>
      <w:tr w:rsidR="00905732" w:rsidRPr="00813409" w:rsidTr="00C43AFB">
        <w:tc>
          <w:tcPr>
            <w:tcW w:w="2093" w:type="dxa"/>
          </w:tcPr>
          <w:p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imunitného</w:t>
            </w:r>
            <w:r w:rsidR="00854F8D" w:rsidRPr="00813409">
              <w:rPr>
                <w:szCs w:val="22"/>
              </w:rPr>
              <w:t xml:space="preserve"> </w:t>
            </w:r>
            <w:r w:rsidR="00C43AFB" w:rsidRPr="00813409">
              <w:rPr>
                <w:szCs w:val="22"/>
              </w:rPr>
              <w:t>s</w:t>
            </w:r>
            <w:r w:rsidRPr="00813409">
              <w:rPr>
                <w:szCs w:val="22"/>
              </w:rPr>
              <w:t>ystému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anafylaktická</w:t>
            </w:r>
            <w:proofErr w:type="spellEnd"/>
            <w:r w:rsidRPr="00813409">
              <w:rPr>
                <w:bCs/>
                <w:szCs w:val="22"/>
              </w:rPr>
              <w:t xml:space="preserve"> reakcia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54F8D">
            <w:pPr>
              <w:ind w:left="0" w:firstLine="0"/>
              <w:rPr>
                <w:iCs/>
                <w:szCs w:val="22"/>
              </w:rPr>
            </w:pPr>
            <w:r w:rsidRPr="00813409">
              <w:rPr>
                <w:bCs/>
                <w:szCs w:val="22"/>
              </w:rPr>
              <w:t>Poruchy metabolizmu a výživy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54F8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 xml:space="preserve">znížená chuť do jedla, </w:t>
            </w:r>
            <w:proofErr w:type="spellStart"/>
            <w:r w:rsidRPr="00813409">
              <w:rPr>
                <w:bCs/>
                <w:szCs w:val="22"/>
              </w:rPr>
              <w:t>anorexia</w:t>
            </w:r>
            <w:proofErr w:type="spellEnd"/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C43AFB">
        <w:tc>
          <w:tcPr>
            <w:tcW w:w="2093" w:type="dxa"/>
          </w:tcPr>
          <w:p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Psychické</w:t>
            </w:r>
            <w:r w:rsidR="00854F8D" w:rsidRPr="00813409">
              <w:rPr>
                <w:szCs w:val="22"/>
              </w:rPr>
              <w:t xml:space="preserve"> </w:t>
            </w:r>
            <w:r w:rsidR="00C43AFB" w:rsidRPr="00813409">
              <w:rPr>
                <w:szCs w:val="22"/>
              </w:rPr>
              <w:t>p</w:t>
            </w:r>
            <w:r w:rsidRPr="00813409">
              <w:rPr>
                <w:szCs w:val="22"/>
              </w:rPr>
              <w:t>oruchy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54F8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depresia, úzkosť, zmätenosť, poruchy myslenia</w:t>
            </w:r>
          </w:p>
        </w:tc>
        <w:tc>
          <w:tcPr>
            <w:tcW w:w="1701" w:type="dxa"/>
          </w:tcPr>
          <w:p w:rsidR="00905732" w:rsidRPr="00813409" w:rsidRDefault="00905732" w:rsidP="00854F8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nepokoj, psychotick</w:t>
            </w:r>
            <w:r w:rsidR="00F828D1" w:rsidRPr="00813409">
              <w:rPr>
                <w:bCs/>
                <w:szCs w:val="22"/>
              </w:rPr>
              <w:t>á</w:t>
            </w:r>
            <w:r w:rsidR="00854F8D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poruch</w:t>
            </w:r>
            <w:r w:rsidR="00F828D1" w:rsidRPr="00813409">
              <w:rPr>
                <w:bCs/>
                <w:szCs w:val="22"/>
              </w:rPr>
              <w:t>a</w:t>
            </w:r>
            <w:r w:rsidRPr="00813409">
              <w:rPr>
                <w:bCs/>
                <w:szCs w:val="22"/>
              </w:rPr>
              <w:t>, halucinácie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C43AFB">
        <w:tc>
          <w:tcPr>
            <w:tcW w:w="2093" w:type="dxa"/>
          </w:tcPr>
          <w:p w:rsidR="00905732" w:rsidRPr="00813409" w:rsidRDefault="00905732" w:rsidP="00854F8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 xml:space="preserve">Poruchy nervového </w:t>
            </w:r>
            <w:r w:rsidR="00C43AFB" w:rsidRPr="00813409">
              <w:rPr>
                <w:szCs w:val="22"/>
              </w:rPr>
              <w:t>s</w:t>
            </w:r>
            <w:r w:rsidRPr="00813409">
              <w:rPr>
                <w:szCs w:val="22"/>
              </w:rPr>
              <w:t>ystému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54F8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 xml:space="preserve">bolesť hlavy, </w:t>
            </w:r>
            <w:proofErr w:type="spellStart"/>
            <w:r w:rsidRPr="00813409">
              <w:rPr>
                <w:bCs/>
                <w:szCs w:val="22"/>
              </w:rPr>
              <w:t>insomnia</w:t>
            </w:r>
            <w:proofErr w:type="spellEnd"/>
            <w:r w:rsidRPr="00813409">
              <w:rPr>
                <w:bCs/>
                <w:szCs w:val="22"/>
              </w:rPr>
              <w:t xml:space="preserve">, </w:t>
            </w:r>
            <w:proofErr w:type="spellStart"/>
            <w:r w:rsidRPr="00813409">
              <w:rPr>
                <w:bCs/>
                <w:szCs w:val="22"/>
              </w:rPr>
              <w:t>dysgeúzia</w:t>
            </w:r>
            <w:proofErr w:type="spellEnd"/>
            <w:r w:rsidRPr="00813409">
              <w:rPr>
                <w:bCs/>
                <w:szCs w:val="22"/>
              </w:rPr>
              <w:t xml:space="preserve"> (porucha chuti),</w:t>
            </w:r>
            <w:r w:rsidR="00854F8D" w:rsidRPr="00813409">
              <w:rPr>
                <w:bCs/>
                <w:szCs w:val="22"/>
              </w:rPr>
              <w:t xml:space="preserve"> </w:t>
            </w:r>
            <w:proofErr w:type="spellStart"/>
            <w:r w:rsidRPr="00813409">
              <w:rPr>
                <w:bCs/>
                <w:szCs w:val="22"/>
              </w:rPr>
              <w:t>hypoestézia</w:t>
            </w:r>
            <w:proofErr w:type="spellEnd"/>
            <w:r w:rsidRPr="00813409">
              <w:rPr>
                <w:bCs/>
                <w:szCs w:val="22"/>
              </w:rPr>
              <w:t xml:space="preserve">, </w:t>
            </w:r>
            <w:proofErr w:type="spellStart"/>
            <w:r w:rsidRPr="00813409">
              <w:rPr>
                <w:bCs/>
                <w:szCs w:val="22"/>
              </w:rPr>
              <w:t>parestézia</w:t>
            </w:r>
            <w:proofErr w:type="spellEnd"/>
            <w:r w:rsidRPr="00813409">
              <w:rPr>
                <w:bCs/>
                <w:szCs w:val="22"/>
              </w:rPr>
              <w:t xml:space="preserve">, periférna </w:t>
            </w:r>
            <w:proofErr w:type="spellStart"/>
            <w:r w:rsidRPr="00813409">
              <w:rPr>
                <w:bCs/>
                <w:szCs w:val="22"/>
              </w:rPr>
              <w:t>neuropatia</w:t>
            </w:r>
            <w:proofErr w:type="spellEnd"/>
            <w:r w:rsidRPr="00813409">
              <w:rPr>
                <w:bCs/>
                <w:szCs w:val="22"/>
              </w:rPr>
              <w:t>, závrat,</w:t>
            </w:r>
            <w:r w:rsidR="00854F8D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>kŕče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tremor</w:t>
            </w:r>
            <w:proofErr w:type="spellEnd"/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C1DB1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>Poruchy oka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makulárny edém,</w:t>
            </w:r>
            <w:r w:rsidR="00AD38DD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 xml:space="preserve">odlupovanie sietnice, </w:t>
            </w:r>
            <w:r w:rsidR="001343E8" w:rsidRPr="00813409">
              <w:rPr>
                <w:bCs/>
                <w:szCs w:val="22"/>
              </w:rPr>
              <w:t>videnie plávajúcich vločiek v oku</w:t>
            </w:r>
            <w:r w:rsidRPr="00813409">
              <w:rPr>
                <w:bCs/>
                <w:szCs w:val="22"/>
              </w:rPr>
              <w:t>, bolesť oka</w:t>
            </w:r>
          </w:p>
        </w:tc>
        <w:tc>
          <w:tcPr>
            <w:tcW w:w="1701" w:type="dxa"/>
          </w:tcPr>
          <w:p w:rsidR="00905732" w:rsidRPr="00813409" w:rsidRDefault="00F828D1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p</w:t>
            </w:r>
            <w:r w:rsidR="00905732" w:rsidRPr="00813409">
              <w:rPr>
                <w:bCs/>
                <w:szCs w:val="22"/>
              </w:rPr>
              <w:t>oruch</w:t>
            </w:r>
            <w:r w:rsidRPr="00813409">
              <w:rPr>
                <w:bCs/>
                <w:szCs w:val="22"/>
              </w:rPr>
              <w:t>a</w:t>
            </w:r>
            <w:r w:rsidR="00905732" w:rsidRPr="00813409">
              <w:rPr>
                <w:bCs/>
                <w:szCs w:val="22"/>
              </w:rPr>
              <w:t xml:space="preserve"> videni</w:t>
            </w:r>
            <w:r w:rsidRPr="00813409">
              <w:rPr>
                <w:bCs/>
                <w:szCs w:val="22"/>
              </w:rPr>
              <w:t>a</w:t>
            </w:r>
            <w:r w:rsidR="00905732" w:rsidRPr="00813409">
              <w:rPr>
                <w:bCs/>
                <w:szCs w:val="22"/>
              </w:rPr>
              <w:t>,</w:t>
            </w:r>
            <w:r w:rsidR="00AD38DD" w:rsidRPr="00813409">
              <w:rPr>
                <w:bCs/>
                <w:szCs w:val="22"/>
              </w:rPr>
              <w:t xml:space="preserve"> </w:t>
            </w:r>
            <w:proofErr w:type="spellStart"/>
            <w:r w:rsidR="00905732" w:rsidRPr="00813409">
              <w:rPr>
                <w:bCs/>
                <w:szCs w:val="22"/>
              </w:rPr>
              <w:t>konjunktivitída</w:t>
            </w:r>
            <w:proofErr w:type="spellEnd"/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C43AFB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 xml:space="preserve">Poruchy ucha a </w:t>
            </w:r>
            <w:r w:rsidR="00C43AFB" w:rsidRPr="00813409">
              <w:rPr>
                <w:szCs w:val="22"/>
              </w:rPr>
              <w:t>l</w:t>
            </w:r>
            <w:r w:rsidRPr="00813409">
              <w:rPr>
                <w:szCs w:val="22"/>
              </w:rPr>
              <w:t>abyrintu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bolesť ucha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hluchota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srdca a srdcovej činnosti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arytmie</w:t>
            </w:r>
            <w:proofErr w:type="spellEnd"/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C1DB1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ciev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hypotenzia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lastRenderedPageBreak/>
              <w:t xml:space="preserve">Poruchy dýchacej sústavy hrudníka a </w:t>
            </w:r>
            <w:proofErr w:type="spellStart"/>
            <w:r w:rsidRPr="00813409">
              <w:rPr>
                <w:szCs w:val="22"/>
              </w:rPr>
              <w:t>mediastína</w:t>
            </w:r>
            <w:proofErr w:type="spellEnd"/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dyspnoe</w:t>
            </w:r>
            <w:proofErr w:type="spellEnd"/>
          </w:p>
        </w:tc>
        <w:tc>
          <w:tcPr>
            <w:tcW w:w="2693" w:type="dxa"/>
          </w:tcPr>
          <w:p w:rsidR="00905732" w:rsidRPr="00813409" w:rsidRDefault="001343E8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k</w:t>
            </w:r>
            <w:r w:rsidR="00905732" w:rsidRPr="00813409">
              <w:rPr>
                <w:bCs/>
                <w:szCs w:val="22"/>
              </w:rPr>
              <w:t>ašeľ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 xml:space="preserve">Poruchy </w:t>
            </w:r>
            <w:proofErr w:type="spellStart"/>
            <w:r w:rsidRPr="00813409">
              <w:rPr>
                <w:szCs w:val="22"/>
              </w:rPr>
              <w:t>gastrointestinálneho</w:t>
            </w:r>
            <w:proofErr w:type="spellEnd"/>
            <w:r w:rsidRPr="00813409">
              <w:rPr>
                <w:szCs w:val="22"/>
              </w:rPr>
              <w:t xml:space="preserve"> traktu</w:t>
            </w:r>
          </w:p>
        </w:tc>
        <w:tc>
          <w:tcPr>
            <w:tcW w:w="1559" w:type="dxa"/>
          </w:tcPr>
          <w:p w:rsidR="00905732" w:rsidRPr="00813409" w:rsidRDefault="00E35EBB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h</w:t>
            </w:r>
            <w:r w:rsidR="00905732" w:rsidRPr="00813409">
              <w:rPr>
                <w:bCs/>
                <w:szCs w:val="22"/>
              </w:rPr>
              <w:t>načka</w:t>
            </w: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nevoľnosť, vracanie, bolesť brucha, bolesť v hornej časti</w:t>
            </w:r>
            <w:r w:rsidR="00C43AFB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 xml:space="preserve">brucha, </w:t>
            </w:r>
            <w:proofErr w:type="spellStart"/>
            <w:r w:rsidRPr="00813409">
              <w:rPr>
                <w:bCs/>
                <w:szCs w:val="22"/>
              </w:rPr>
              <w:t>dyspepsia</w:t>
            </w:r>
            <w:proofErr w:type="spellEnd"/>
            <w:r w:rsidRPr="00813409">
              <w:rPr>
                <w:bCs/>
                <w:szCs w:val="22"/>
              </w:rPr>
              <w:t xml:space="preserve">, zápcha, zvýšená plynatosť, </w:t>
            </w:r>
            <w:proofErr w:type="spellStart"/>
            <w:r w:rsidRPr="00813409">
              <w:rPr>
                <w:bCs/>
                <w:szCs w:val="22"/>
              </w:rPr>
              <w:t>dysfágia</w:t>
            </w:r>
            <w:proofErr w:type="spellEnd"/>
          </w:p>
        </w:tc>
        <w:tc>
          <w:tcPr>
            <w:tcW w:w="1701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abdominálna</w:t>
            </w:r>
            <w:proofErr w:type="spellEnd"/>
            <w:r w:rsidRPr="00813409">
              <w:rPr>
                <w:bCs/>
                <w:szCs w:val="22"/>
              </w:rPr>
              <w:t xml:space="preserve"> </w:t>
            </w:r>
            <w:proofErr w:type="spellStart"/>
            <w:r w:rsidRPr="00813409">
              <w:rPr>
                <w:bCs/>
                <w:szCs w:val="22"/>
              </w:rPr>
              <w:t>distenzia</w:t>
            </w:r>
            <w:proofErr w:type="spellEnd"/>
            <w:r w:rsidRPr="00813409">
              <w:rPr>
                <w:bCs/>
                <w:szCs w:val="22"/>
              </w:rPr>
              <w:t xml:space="preserve">, vredy v ústach, </w:t>
            </w:r>
            <w:proofErr w:type="spellStart"/>
            <w:r w:rsidRPr="00813409">
              <w:rPr>
                <w:bCs/>
                <w:szCs w:val="22"/>
              </w:rPr>
              <w:t>pankreatitída</w:t>
            </w:r>
            <w:proofErr w:type="spellEnd"/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pečene a žlčových ciest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(závažná) porucha funkcie</w:t>
            </w:r>
            <w:r w:rsidR="00AD38DD" w:rsidRPr="00813409">
              <w:rPr>
                <w:bCs/>
                <w:szCs w:val="22"/>
              </w:rPr>
              <w:t xml:space="preserve"> </w:t>
            </w:r>
            <w:r w:rsidRPr="00813409">
              <w:rPr>
                <w:bCs/>
                <w:szCs w:val="22"/>
              </w:rPr>
              <w:t xml:space="preserve">pečene, </w:t>
            </w:r>
            <w:r w:rsidRPr="00813409">
              <w:t xml:space="preserve">zvýšená hladina alkalickej </w:t>
            </w:r>
            <w:proofErr w:type="spellStart"/>
            <w:r w:rsidRPr="00813409">
              <w:t>fosfatázy</w:t>
            </w:r>
            <w:proofErr w:type="spellEnd"/>
            <w:r w:rsidRPr="00813409">
              <w:t xml:space="preserve"> v krvi,</w:t>
            </w:r>
            <w:r w:rsidR="00AD38DD" w:rsidRPr="00813409">
              <w:t xml:space="preserve"> </w:t>
            </w:r>
            <w:r w:rsidRPr="00813409">
              <w:t xml:space="preserve">zvýšená hladina </w:t>
            </w:r>
            <w:proofErr w:type="spellStart"/>
            <w:r w:rsidRPr="00813409">
              <w:t>aspartátaminotransferázy</w:t>
            </w:r>
            <w:proofErr w:type="spellEnd"/>
          </w:p>
        </w:tc>
        <w:tc>
          <w:tcPr>
            <w:tcW w:w="1701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t xml:space="preserve">zvýšená hladina </w:t>
            </w:r>
            <w:proofErr w:type="spellStart"/>
            <w:r w:rsidRPr="00813409">
              <w:t>alanínamino</w:t>
            </w:r>
            <w:r w:rsidR="00C43AFB" w:rsidRPr="00813409">
              <w:t>-</w:t>
            </w:r>
            <w:r w:rsidRPr="00813409">
              <w:t>tran</w:t>
            </w:r>
            <w:r w:rsidR="00C43AFB" w:rsidRPr="00813409">
              <w:t>s</w:t>
            </w:r>
            <w:r w:rsidRPr="00813409">
              <w:t>ferázy</w:t>
            </w:r>
            <w:proofErr w:type="spellEnd"/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kože a podkožného tkaniva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dermatitída, nočné potenie, svrbenie</w:t>
            </w:r>
          </w:p>
        </w:tc>
        <w:tc>
          <w:tcPr>
            <w:tcW w:w="1701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alopécia</w:t>
            </w:r>
            <w:proofErr w:type="spellEnd"/>
            <w:r w:rsidRPr="00813409">
              <w:rPr>
                <w:bCs/>
                <w:szCs w:val="22"/>
              </w:rPr>
              <w:t xml:space="preserve">, </w:t>
            </w:r>
            <w:proofErr w:type="spellStart"/>
            <w:r w:rsidRPr="00813409">
              <w:rPr>
                <w:bCs/>
                <w:szCs w:val="22"/>
              </w:rPr>
              <w:t>urtikária</w:t>
            </w:r>
            <w:proofErr w:type="spellEnd"/>
            <w:r w:rsidRPr="00813409">
              <w:rPr>
                <w:bCs/>
                <w:szCs w:val="22"/>
              </w:rPr>
              <w:t>, suchá koža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kostrovej a svalovej sústavy a spojivového tkaniva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 xml:space="preserve">bolesť chrbta, </w:t>
            </w:r>
            <w:proofErr w:type="spellStart"/>
            <w:r w:rsidRPr="00813409">
              <w:rPr>
                <w:bCs/>
                <w:szCs w:val="22"/>
              </w:rPr>
              <w:t>myalgia</w:t>
            </w:r>
            <w:proofErr w:type="spellEnd"/>
            <w:r w:rsidRPr="00813409">
              <w:rPr>
                <w:bCs/>
                <w:szCs w:val="22"/>
              </w:rPr>
              <w:t xml:space="preserve">, </w:t>
            </w:r>
            <w:proofErr w:type="spellStart"/>
            <w:r w:rsidRPr="00813409">
              <w:rPr>
                <w:bCs/>
                <w:szCs w:val="22"/>
              </w:rPr>
              <w:t>artralgia</w:t>
            </w:r>
            <w:proofErr w:type="spellEnd"/>
            <w:r w:rsidRPr="00813409">
              <w:rPr>
                <w:bCs/>
                <w:szCs w:val="22"/>
              </w:rPr>
              <w:t>, kŕče v svaloch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t xml:space="preserve">znížený </w:t>
            </w:r>
            <w:proofErr w:type="spellStart"/>
            <w:r w:rsidRPr="00813409">
              <w:t>renálny</w:t>
            </w:r>
            <w:proofErr w:type="spellEnd"/>
            <w:r w:rsidRPr="00813409">
              <w:t xml:space="preserve"> </w:t>
            </w:r>
            <w:proofErr w:type="spellStart"/>
            <w:r w:rsidRPr="00813409">
              <w:t>klírens</w:t>
            </w:r>
            <w:proofErr w:type="spellEnd"/>
            <w:r w:rsidRPr="00813409">
              <w:t xml:space="preserve"> </w:t>
            </w:r>
            <w:proofErr w:type="spellStart"/>
            <w:r w:rsidRPr="00813409">
              <w:t>kreatinínu</w:t>
            </w:r>
            <w:proofErr w:type="spellEnd"/>
            <w:r w:rsidRPr="00813409">
              <w:t>, porucha funkcie obličiek</w:t>
            </w:r>
          </w:p>
        </w:tc>
        <w:tc>
          <w:tcPr>
            <w:tcW w:w="1701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proofErr w:type="spellStart"/>
            <w:r w:rsidRPr="00813409">
              <w:rPr>
                <w:bCs/>
                <w:szCs w:val="22"/>
              </w:rPr>
              <w:t>hematúria</w:t>
            </w:r>
            <w:proofErr w:type="spellEnd"/>
            <w:r w:rsidRPr="00813409">
              <w:rPr>
                <w:bCs/>
                <w:szCs w:val="22"/>
              </w:rPr>
              <w:t>, zlyhanie obličiek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Poruchy reprodukčného systému a prsníkov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mužská neplodnosť</w:t>
            </w: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AD38DD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szCs w:val="22"/>
              </w:rPr>
              <w:t>Celkové poruchy a reakcie v mieste podania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t xml:space="preserve">únava, horúčka, </w:t>
            </w:r>
            <w:r w:rsidR="001343E8" w:rsidRPr="00813409">
              <w:t>zimnica</w:t>
            </w:r>
            <w:r w:rsidRPr="00813409">
              <w:t>,</w:t>
            </w:r>
            <w:r w:rsidR="00AD38DD" w:rsidRPr="00813409">
              <w:t xml:space="preserve"> </w:t>
            </w:r>
            <w:r w:rsidRPr="00813409">
              <w:t>bolesť, bolesť v hrudníku, malátnosť, asténia</w:t>
            </w:r>
            <w:r w:rsidRPr="00813409">
              <w:rPr>
                <w:bCs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pStyle w:val="Hlavika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</w:p>
        </w:tc>
      </w:tr>
      <w:tr w:rsidR="00905732" w:rsidRPr="00813409" w:rsidTr="00400F7A">
        <w:tc>
          <w:tcPr>
            <w:tcW w:w="2093" w:type="dxa"/>
          </w:tcPr>
          <w:p w:rsidR="00905732" w:rsidRPr="00813409" w:rsidRDefault="00905732" w:rsidP="008C1DB1">
            <w:pPr>
              <w:ind w:left="0" w:firstLine="0"/>
              <w:rPr>
                <w:iCs/>
                <w:snapToGrid w:val="0"/>
                <w:szCs w:val="22"/>
                <w:lang w:eastAsia="en-US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 xml:space="preserve">Laboratórne </w:t>
            </w:r>
          </w:p>
          <w:p w:rsidR="00905732" w:rsidRPr="00813409" w:rsidRDefault="00905732" w:rsidP="008C1DB1">
            <w:pPr>
              <w:ind w:left="0" w:firstLine="0"/>
              <w:rPr>
                <w:b/>
                <w:iCs/>
                <w:szCs w:val="22"/>
              </w:rPr>
            </w:pPr>
            <w:r w:rsidRPr="00813409">
              <w:rPr>
                <w:iCs/>
                <w:snapToGrid w:val="0"/>
                <w:szCs w:val="22"/>
                <w:lang w:eastAsia="en-US"/>
              </w:rPr>
              <w:t>a funkčné vyšetrenia</w:t>
            </w:r>
          </w:p>
        </w:tc>
        <w:tc>
          <w:tcPr>
            <w:tcW w:w="1559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693" w:type="dxa"/>
          </w:tcPr>
          <w:p w:rsidR="00905732" w:rsidRPr="00813409" w:rsidRDefault="00905732" w:rsidP="00AD38DD">
            <w:pPr>
              <w:ind w:left="0" w:firstLine="0"/>
              <w:rPr>
                <w:bCs/>
                <w:szCs w:val="22"/>
              </w:rPr>
            </w:pPr>
            <w:r w:rsidRPr="00813409">
              <w:rPr>
                <w:bCs/>
                <w:szCs w:val="22"/>
              </w:rPr>
              <w:t>znížená telesná hmotnosť</w:t>
            </w:r>
            <w:r w:rsidRPr="00813409">
              <w:t xml:space="preserve">, zvýšená hladina </w:t>
            </w:r>
            <w:proofErr w:type="spellStart"/>
            <w:r w:rsidRPr="00813409">
              <w:t>kreatinínu</w:t>
            </w:r>
            <w:proofErr w:type="spellEnd"/>
            <w:r w:rsidRPr="00813409">
              <w:t xml:space="preserve"> v krvi</w:t>
            </w:r>
          </w:p>
        </w:tc>
        <w:tc>
          <w:tcPr>
            <w:tcW w:w="1701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276" w:type="dxa"/>
          </w:tcPr>
          <w:p w:rsidR="00905732" w:rsidRPr="00813409" w:rsidRDefault="00905732" w:rsidP="008C1DB1">
            <w:pPr>
              <w:ind w:left="0" w:firstLine="0"/>
              <w:rPr>
                <w:bCs/>
                <w:szCs w:val="22"/>
              </w:rPr>
            </w:pPr>
          </w:p>
        </w:tc>
      </w:tr>
    </w:tbl>
    <w:p w:rsidR="00F828D1" w:rsidRPr="00813409" w:rsidRDefault="00F828D1" w:rsidP="00F828D1">
      <w:pPr>
        <w:rPr>
          <w:bCs/>
          <w:szCs w:val="22"/>
        </w:rPr>
      </w:pPr>
    </w:p>
    <w:p w:rsidR="00F828D1" w:rsidRPr="00813409" w:rsidRDefault="00F828D1" w:rsidP="00F828D1">
      <w:pPr>
        <w:rPr>
          <w:bCs/>
          <w:szCs w:val="22"/>
        </w:rPr>
      </w:pPr>
      <w:r w:rsidRPr="00813409">
        <w:rPr>
          <w:bCs/>
          <w:szCs w:val="22"/>
        </w:rPr>
        <w:t xml:space="preserve">Závažná </w:t>
      </w:r>
      <w:proofErr w:type="spellStart"/>
      <w:r w:rsidRPr="00813409">
        <w:rPr>
          <w:bCs/>
          <w:szCs w:val="22"/>
        </w:rPr>
        <w:t>trombocytopénia</w:t>
      </w:r>
      <w:proofErr w:type="spellEnd"/>
      <w:r w:rsidRPr="00813409">
        <w:rPr>
          <w:bCs/>
          <w:szCs w:val="22"/>
        </w:rPr>
        <w:t xml:space="preserve"> môže byť spojená s potenciálne život ohrozujúcim krvácaním.</w:t>
      </w:r>
    </w:p>
    <w:p w:rsidR="00F828D1" w:rsidRPr="00813409" w:rsidRDefault="00F828D1" w:rsidP="008C1DB1">
      <w:pPr>
        <w:ind w:left="0" w:firstLine="0"/>
        <w:rPr>
          <w:szCs w:val="22"/>
        </w:rPr>
      </w:pPr>
    </w:p>
    <w:p w:rsidR="00E44CF4" w:rsidRPr="00813409" w:rsidRDefault="00E44CF4" w:rsidP="00E44CF4">
      <w:pPr>
        <w:ind w:left="0" w:firstLine="0"/>
        <w:rPr>
          <w:szCs w:val="22"/>
        </w:rPr>
      </w:pPr>
      <w:r w:rsidRPr="00813409">
        <w:rPr>
          <w:szCs w:val="22"/>
        </w:rPr>
        <w:t>Odl</w:t>
      </w:r>
      <w:r w:rsidR="00C72217" w:rsidRPr="00813409">
        <w:rPr>
          <w:szCs w:val="22"/>
        </w:rPr>
        <w:t>upovanie</w:t>
      </w:r>
      <w:r w:rsidRPr="00813409">
        <w:rPr>
          <w:szCs w:val="22"/>
        </w:rPr>
        <w:t xml:space="preserve"> sietnice bolo hlásené len u pacientov s AIDS liečených </w:t>
      </w:r>
      <w:proofErr w:type="spellStart"/>
      <w:r w:rsidR="001343E8" w:rsidRPr="00813409">
        <w:rPr>
          <w:szCs w:val="22"/>
        </w:rPr>
        <w:t>valgancik</w:t>
      </w:r>
      <w:r w:rsidR="0037584C" w:rsidRPr="00813409">
        <w:rPr>
          <w:szCs w:val="22"/>
        </w:rPr>
        <w:t>lovir</w:t>
      </w:r>
      <w:r w:rsidR="001343E8" w:rsidRPr="00813409">
        <w:rPr>
          <w:szCs w:val="22"/>
        </w:rPr>
        <w:t>om</w:t>
      </w:r>
      <w:proofErr w:type="spellEnd"/>
      <w:r w:rsidR="001343E8" w:rsidRPr="00813409">
        <w:rPr>
          <w:szCs w:val="22"/>
        </w:rPr>
        <w:t xml:space="preserve"> </w:t>
      </w:r>
      <w:r w:rsidRPr="00813409">
        <w:rPr>
          <w:szCs w:val="22"/>
        </w:rPr>
        <w:t xml:space="preserve">na CMV </w:t>
      </w:r>
      <w:proofErr w:type="spellStart"/>
      <w:r w:rsidRPr="00813409">
        <w:rPr>
          <w:szCs w:val="22"/>
        </w:rPr>
        <w:t>retinitídu</w:t>
      </w:r>
      <w:proofErr w:type="spellEnd"/>
      <w:r w:rsidRPr="00813409">
        <w:rPr>
          <w:szCs w:val="22"/>
        </w:rPr>
        <w:t>.</w:t>
      </w:r>
    </w:p>
    <w:p w:rsidR="00E44CF4" w:rsidRPr="00813409" w:rsidRDefault="00E44CF4" w:rsidP="00E44CF4">
      <w:pPr>
        <w:ind w:left="0" w:firstLine="0"/>
        <w:rPr>
          <w:szCs w:val="22"/>
        </w:rPr>
      </w:pPr>
    </w:p>
    <w:p w:rsidR="00E44CF4" w:rsidRPr="00813409" w:rsidRDefault="00E44CF4" w:rsidP="00647C3A">
      <w:pPr>
        <w:rPr>
          <w:szCs w:val="22"/>
        </w:rPr>
      </w:pPr>
      <w:r w:rsidRPr="00813409">
        <w:rPr>
          <w:b/>
          <w:i/>
          <w:szCs w:val="22"/>
        </w:rPr>
        <w:t>c</w:t>
      </w:r>
      <w:r w:rsidR="004E6876" w:rsidRPr="00813409">
        <w:rPr>
          <w:b/>
          <w:i/>
          <w:szCs w:val="22"/>
        </w:rPr>
        <w:t>)</w:t>
      </w:r>
      <w:r w:rsidRPr="00813409">
        <w:rPr>
          <w:b/>
          <w:i/>
          <w:szCs w:val="22"/>
        </w:rPr>
        <w:tab/>
        <w:t>Pediatrická populácia</w:t>
      </w:r>
    </w:p>
    <w:p w:rsidR="00E44CF4" w:rsidRPr="00813409" w:rsidRDefault="00647C3A" w:rsidP="00E44CF4">
      <w:pPr>
        <w:ind w:left="0" w:firstLine="0"/>
        <w:rPr>
          <w:szCs w:val="22"/>
        </w:rPr>
      </w:pPr>
      <w:proofErr w:type="spellStart"/>
      <w:r w:rsidRPr="00813409">
        <w:rPr>
          <w:szCs w:val="22"/>
        </w:rPr>
        <w:t>Valgancik</w:t>
      </w:r>
      <w:r w:rsidR="0037584C" w:rsidRPr="00813409">
        <w:rPr>
          <w:szCs w:val="22"/>
        </w:rPr>
        <w:t>lovir</w:t>
      </w:r>
      <w:proofErr w:type="spellEnd"/>
      <w:r w:rsidR="00E44CF4" w:rsidRPr="00813409">
        <w:rPr>
          <w:szCs w:val="22"/>
        </w:rPr>
        <w:t xml:space="preserve"> sa skúmal u 179 pediatrických pacientov po transplantácii solídneho orgánu, ktorí boli vystavení riziku vzniku CMV ochorenia (vo veku 3 týžd</w:t>
      </w:r>
      <w:r w:rsidR="004E6876" w:rsidRPr="00813409">
        <w:rPr>
          <w:szCs w:val="22"/>
        </w:rPr>
        <w:t>ne</w:t>
      </w:r>
      <w:r w:rsidR="00E44CF4" w:rsidRPr="00813409">
        <w:rPr>
          <w:szCs w:val="22"/>
        </w:rPr>
        <w:t xml:space="preserve"> </w:t>
      </w:r>
      <w:r w:rsidR="004E6876" w:rsidRPr="00813409">
        <w:rPr>
          <w:szCs w:val="22"/>
        </w:rPr>
        <w:t>až</w:t>
      </w:r>
      <w:r w:rsidR="00E44CF4" w:rsidRPr="00813409">
        <w:rPr>
          <w:szCs w:val="22"/>
        </w:rPr>
        <w:t xml:space="preserve"> 16 rokov) a u 133 novorodencov so symptomatickým </w:t>
      </w:r>
      <w:proofErr w:type="spellStart"/>
      <w:r w:rsidR="00E44CF4" w:rsidRPr="00813409">
        <w:rPr>
          <w:szCs w:val="22"/>
        </w:rPr>
        <w:t>kongenitálnym</w:t>
      </w:r>
      <w:proofErr w:type="spellEnd"/>
      <w:r w:rsidR="00E44CF4" w:rsidRPr="00813409">
        <w:rPr>
          <w:szCs w:val="22"/>
        </w:rPr>
        <w:t xml:space="preserve"> CMV ochorením (vo veku 2 </w:t>
      </w:r>
      <w:r w:rsidR="004E6876" w:rsidRPr="00813409">
        <w:rPr>
          <w:szCs w:val="22"/>
        </w:rPr>
        <w:t>až</w:t>
      </w:r>
      <w:r w:rsidR="00E44CF4" w:rsidRPr="00813409">
        <w:rPr>
          <w:szCs w:val="22"/>
        </w:rPr>
        <w:t xml:space="preserve"> 31 dní), s dĺžkou trvania expozície </w:t>
      </w:r>
      <w:proofErr w:type="spellStart"/>
      <w:r w:rsidR="00E44CF4" w:rsidRPr="00813409">
        <w:rPr>
          <w:szCs w:val="22"/>
        </w:rPr>
        <w:t>ganciklovir</w:t>
      </w:r>
      <w:r w:rsidR="00C60C69" w:rsidRPr="00813409">
        <w:rPr>
          <w:szCs w:val="22"/>
        </w:rPr>
        <w:t>om</w:t>
      </w:r>
      <w:proofErr w:type="spellEnd"/>
      <w:r w:rsidR="00E44CF4" w:rsidRPr="00813409">
        <w:rPr>
          <w:szCs w:val="22"/>
        </w:rPr>
        <w:t xml:space="preserve"> pohybujúcou sa v rozmedzí od 2 do 200 dní.</w:t>
      </w:r>
    </w:p>
    <w:p w:rsidR="00E44CF4" w:rsidRPr="00813409" w:rsidRDefault="00E44CF4" w:rsidP="00E44CF4">
      <w:pPr>
        <w:ind w:left="0" w:firstLine="0"/>
        <w:rPr>
          <w:szCs w:val="22"/>
        </w:rPr>
      </w:pPr>
    </w:p>
    <w:p w:rsidR="00E44CF4" w:rsidRPr="00813409" w:rsidRDefault="00E44CF4" w:rsidP="00E44CF4">
      <w:pPr>
        <w:ind w:left="0" w:firstLine="0"/>
        <w:rPr>
          <w:szCs w:val="22"/>
        </w:rPr>
      </w:pPr>
      <w:r w:rsidRPr="00813409">
        <w:rPr>
          <w:szCs w:val="22"/>
        </w:rPr>
        <w:t xml:space="preserve">Najčastejšie hlásené nežiaduce reakcie vyskytujúce sa počas liečby v pediatrických klinických skúšaniach boli hnačka, nauzea, </w:t>
      </w:r>
      <w:proofErr w:type="spellStart"/>
      <w:r w:rsidRPr="00813409">
        <w:rPr>
          <w:szCs w:val="22"/>
        </w:rPr>
        <w:t>neutropénia</w:t>
      </w:r>
      <w:proofErr w:type="spellEnd"/>
      <w:r w:rsidRPr="00813409">
        <w:rPr>
          <w:szCs w:val="22"/>
        </w:rPr>
        <w:t xml:space="preserve">, </w:t>
      </w:r>
      <w:proofErr w:type="spellStart"/>
      <w:r w:rsidRPr="00813409">
        <w:rPr>
          <w:szCs w:val="22"/>
        </w:rPr>
        <w:t>leukopénia</w:t>
      </w:r>
      <w:proofErr w:type="spellEnd"/>
      <w:r w:rsidRPr="00813409">
        <w:rPr>
          <w:szCs w:val="22"/>
        </w:rPr>
        <w:t xml:space="preserve"> a anémia.</w:t>
      </w:r>
    </w:p>
    <w:p w:rsidR="00CB4DD2" w:rsidRPr="00813409" w:rsidRDefault="00CB4DD2" w:rsidP="00E44CF4">
      <w:pPr>
        <w:ind w:left="0" w:firstLine="0"/>
        <w:rPr>
          <w:szCs w:val="22"/>
        </w:rPr>
      </w:pPr>
    </w:p>
    <w:p w:rsidR="00E44CF4" w:rsidRPr="00813409" w:rsidRDefault="00B13F69" w:rsidP="00E44CF4">
      <w:pPr>
        <w:ind w:left="0" w:firstLine="0"/>
        <w:rPr>
          <w:szCs w:val="22"/>
        </w:rPr>
      </w:pPr>
      <w:r w:rsidRPr="00813409">
        <w:rPr>
          <w:szCs w:val="22"/>
        </w:rPr>
        <w:t xml:space="preserve">Celkový bezpečnostný profil bol u pediatrických pacientov </w:t>
      </w:r>
      <w:r w:rsidR="00E44CF4" w:rsidRPr="00813409">
        <w:rPr>
          <w:szCs w:val="22"/>
        </w:rPr>
        <w:t xml:space="preserve">po transplantácii solídneho orgánu </w:t>
      </w:r>
      <w:r w:rsidR="00EB1456" w:rsidRPr="00813409">
        <w:rPr>
          <w:szCs w:val="22"/>
        </w:rPr>
        <w:t>v porovnaní s dospelými</w:t>
      </w:r>
      <w:r w:rsidR="00E44CF4" w:rsidRPr="00813409">
        <w:rPr>
          <w:szCs w:val="22"/>
        </w:rPr>
        <w:t xml:space="preserve"> podobný. Niektoré nežiaduce udalosti, ako napríklad </w:t>
      </w:r>
      <w:r w:rsidR="00E44CF4" w:rsidRPr="00813409">
        <w:rPr>
          <w:bCs/>
          <w:szCs w:val="22"/>
        </w:rPr>
        <w:t xml:space="preserve">infekcia horných dýchacích ciest, </w:t>
      </w:r>
      <w:proofErr w:type="spellStart"/>
      <w:r w:rsidR="00E44CF4" w:rsidRPr="00813409">
        <w:rPr>
          <w:bCs/>
          <w:szCs w:val="22"/>
        </w:rPr>
        <w:t>pyrexia</w:t>
      </w:r>
      <w:proofErr w:type="spellEnd"/>
      <w:r w:rsidR="00E44CF4" w:rsidRPr="00813409">
        <w:rPr>
          <w:bCs/>
          <w:szCs w:val="22"/>
        </w:rPr>
        <w:t>, bolesť brucha a </w:t>
      </w:r>
      <w:proofErr w:type="spellStart"/>
      <w:r w:rsidR="00E44CF4" w:rsidRPr="00813409">
        <w:rPr>
          <w:bCs/>
          <w:szCs w:val="22"/>
        </w:rPr>
        <w:t>dyzúria</w:t>
      </w:r>
      <w:proofErr w:type="spellEnd"/>
      <w:r w:rsidR="00E44CF4" w:rsidRPr="00813409">
        <w:rPr>
          <w:bCs/>
          <w:szCs w:val="22"/>
        </w:rPr>
        <w:t>, ktoré môžu byť príznačné pre pediatrickú populáciu, však boli hlásené s vyšším výskytom u pediatrických pacientov ako u dospelých.</w:t>
      </w:r>
      <w:r w:rsidR="00E44CF4" w:rsidRPr="00813409">
        <w:rPr>
          <w:szCs w:val="22"/>
        </w:rPr>
        <w:t xml:space="preserve"> </w:t>
      </w:r>
      <w:proofErr w:type="spellStart"/>
      <w:r w:rsidR="00E44CF4" w:rsidRPr="00813409">
        <w:rPr>
          <w:szCs w:val="22"/>
        </w:rPr>
        <w:t>Neutropénia</w:t>
      </w:r>
      <w:proofErr w:type="spellEnd"/>
      <w:r w:rsidR="00E44CF4" w:rsidRPr="00813409">
        <w:rPr>
          <w:szCs w:val="22"/>
        </w:rPr>
        <w:t xml:space="preserve"> bola tiež hlásená s mierne vyšším výskytom v dvoch štúdiách vykonaných s pediatrickými pacientmi po </w:t>
      </w:r>
      <w:r w:rsidR="00E44CF4" w:rsidRPr="00813409">
        <w:rPr>
          <w:szCs w:val="22"/>
        </w:rPr>
        <w:lastRenderedPageBreak/>
        <w:t xml:space="preserve">transplantácii solídneho orgánu v porovnaní s dospelými, ale v pediatrickej populácii sa nezistila korelácia medzi </w:t>
      </w:r>
      <w:proofErr w:type="spellStart"/>
      <w:r w:rsidR="00E44CF4" w:rsidRPr="00813409">
        <w:rPr>
          <w:szCs w:val="22"/>
        </w:rPr>
        <w:t>neutropéniou</w:t>
      </w:r>
      <w:proofErr w:type="spellEnd"/>
      <w:r w:rsidR="00E44CF4" w:rsidRPr="00813409">
        <w:rPr>
          <w:szCs w:val="22"/>
        </w:rPr>
        <w:t xml:space="preserve"> a infekčnými nežiaducimi udalosťami.</w:t>
      </w:r>
    </w:p>
    <w:p w:rsidR="00E44CF4" w:rsidRPr="00813409" w:rsidRDefault="00E44CF4" w:rsidP="00E44CF4">
      <w:pPr>
        <w:ind w:left="0" w:firstLine="0"/>
        <w:rPr>
          <w:szCs w:val="22"/>
        </w:rPr>
      </w:pPr>
    </w:p>
    <w:p w:rsidR="00E44CF4" w:rsidRPr="00813409" w:rsidRDefault="00E44CF4" w:rsidP="00E44CF4">
      <w:pPr>
        <w:ind w:left="0" w:firstLine="0"/>
        <w:rPr>
          <w:iCs/>
          <w:szCs w:val="22"/>
        </w:rPr>
      </w:pPr>
      <w:r w:rsidRPr="00813409">
        <w:rPr>
          <w:szCs w:val="22"/>
        </w:rPr>
        <w:t xml:space="preserve">U pediatrických pacientov po transplantácii obličky sa predĺženie expozície </w:t>
      </w:r>
      <w:proofErr w:type="spellStart"/>
      <w:r w:rsidRPr="00813409">
        <w:rPr>
          <w:szCs w:val="22"/>
        </w:rPr>
        <w:t>valganciklovir</w:t>
      </w:r>
      <w:r w:rsidR="009D6C9F" w:rsidRPr="00813409">
        <w:rPr>
          <w:szCs w:val="22"/>
        </w:rPr>
        <w:t>om</w:t>
      </w:r>
      <w:proofErr w:type="spellEnd"/>
      <w:r w:rsidRPr="00813409">
        <w:rPr>
          <w:szCs w:val="22"/>
        </w:rPr>
        <w:t xml:space="preserve"> až na 200 dní nespájalo s celkovým zvýšením výskytu nežiaducich udalostí</w:t>
      </w:r>
      <w:r w:rsidRPr="00813409">
        <w:rPr>
          <w:iCs/>
          <w:szCs w:val="22"/>
        </w:rPr>
        <w:t xml:space="preserve">. Výskyt závažnej </w:t>
      </w:r>
      <w:proofErr w:type="spellStart"/>
      <w:r w:rsidRPr="00813409">
        <w:rPr>
          <w:iCs/>
          <w:szCs w:val="22"/>
        </w:rPr>
        <w:t>neutropénie</w:t>
      </w:r>
      <w:proofErr w:type="spellEnd"/>
      <w:r w:rsidRPr="00813409">
        <w:rPr>
          <w:iCs/>
          <w:szCs w:val="22"/>
        </w:rPr>
        <w:t xml:space="preserve"> (ANC &lt; 500/µl) bol vyšší u pediatrických </w:t>
      </w:r>
      <w:r w:rsidRPr="00813409">
        <w:rPr>
          <w:szCs w:val="22"/>
        </w:rPr>
        <w:t>pacientov po transplantácii obličky liečených do 200. dňa v porovnaní s pediatrickými pacientmi liečenými do 1</w:t>
      </w:r>
      <w:r w:rsidRPr="00813409">
        <w:rPr>
          <w:iCs/>
          <w:szCs w:val="22"/>
        </w:rPr>
        <w:t xml:space="preserve">00. dňa a v porovnaní s dospelými pacientmi </w:t>
      </w:r>
      <w:r w:rsidRPr="00813409">
        <w:rPr>
          <w:szCs w:val="22"/>
        </w:rPr>
        <w:t>po transplantácii obličky liečenými do 1</w:t>
      </w:r>
      <w:r w:rsidRPr="00813409">
        <w:rPr>
          <w:iCs/>
          <w:szCs w:val="22"/>
        </w:rPr>
        <w:t>00. dňa alebo 200. dňa (pozri časť </w:t>
      </w:r>
      <w:r w:rsidRPr="00813409">
        <w:rPr>
          <w:szCs w:val="22"/>
        </w:rPr>
        <w:t>4.4)</w:t>
      </w:r>
      <w:r w:rsidRPr="00813409">
        <w:rPr>
          <w:iCs/>
          <w:szCs w:val="22"/>
        </w:rPr>
        <w:t>.</w:t>
      </w:r>
    </w:p>
    <w:p w:rsidR="00CB4DD2" w:rsidRPr="00813409" w:rsidRDefault="00CB4DD2" w:rsidP="00E44CF4">
      <w:pPr>
        <w:ind w:left="0" w:firstLine="0"/>
        <w:rPr>
          <w:iCs/>
          <w:szCs w:val="22"/>
        </w:rPr>
      </w:pPr>
    </w:p>
    <w:p w:rsidR="00E44CF4" w:rsidRPr="00813409" w:rsidRDefault="00E44CF4" w:rsidP="00E44CF4">
      <w:pPr>
        <w:ind w:left="0" w:firstLine="0"/>
        <w:rPr>
          <w:szCs w:val="22"/>
        </w:rPr>
      </w:pPr>
      <w:r w:rsidRPr="00813409">
        <w:rPr>
          <w:iCs/>
          <w:szCs w:val="22"/>
        </w:rPr>
        <w:t>U novorodencov a</w:t>
      </w:r>
      <w:r w:rsidR="00CB4DD2" w:rsidRPr="00813409">
        <w:rPr>
          <w:iCs/>
          <w:szCs w:val="22"/>
        </w:rPr>
        <w:t>lebo</w:t>
      </w:r>
      <w:r w:rsidRPr="00813409">
        <w:rPr>
          <w:iCs/>
          <w:szCs w:val="22"/>
        </w:rPr>
        <w:t xml:space="preserve"> dojčiat so symptomatickou </w:t>
      </w:r>
      <w:proofErr w:type="spellStart"/>
      <w:r w:rsidRPr="00813409">
        <w:rPr>
          <w:iCs/>
          <w:szCs w:val="22"/>
        </w:rPr>
        <w:t>kongenitálnou</w:t>
      </w:r>
      <w:proofErr w:type="spellEnd"/>
      <w:r w:rsidRPr="00813409">
        <w:rPr>
          <w:iCs/>
          <w:szCs w:val="22"/>
        </w:rPr>
        <w:t xml:space="preserve"> CMV infekciou liečených </w:t>
      </w:r>
      <w:proofErr w:type="spellStart"/>
      <w:r w:rsidR="00A71D9E" w:rsidRPr="00813409">
        <w:rPr>
          <w:iCs/>
          <w:szCs w:val="22"/>
        </w:rPr>
        <w:t>v</w:t>
      </w:r>
      <w:r w:rsidR="0037584C" w:rsidRPr="00813409">
        <w:rPr>
          <w:iCs/>
          <w:szCs w:val="22"/>
        </w:rPr>
        <w:t>alganci</w:t>
      </w:r>
      <w:r w:rsidR="00A71D9E" w:rsidRPr="00813409">
        <w:rPr>
          <w:iCs/>
          <w:szCs w:val="22"/>
        </w:rPr>
        <w:t>k</w:t>
      </w:r>
      <w:r w:rsidR="0037584C" w:rsidRPr="00813409">
        <w:rPr>
          <w:iCs/>
          <w:szCs w:val="22"/>
        </w:rPr>
        <w:t>lovir</w:t>
      </w:r>
      <w:r w:rsidR="00A71D9E" w:rsidRPr="00813409">
        <w:rPr>
          <w:iCs/>
          <w:szCs w:val="22"/>
        </w:rPr>
        <w:t>om</w:t>
      </w:r>
      <w:proofErr w:type="spellEnd"/>
      <w:r w:rsidRPr="00813409">
        <w:rPr>
          <w:iCs/>
          <w:szCs w:val="22"/>
        </w:rPr>
        <w:t xml:space="preserve"> sú k dispozícii len obmedzené údaje</w:t>
      </w:r>
      <w:r w:rsidR="009D6C9F" w:rsidRPr="00813409">
        <w:rPr>
          <w:iCs/>
          <w:szCs w:val="22"/>
        </w:rPr>
        <w:t>. Z</w:t>
      </w:r>
      <w:r w:rsidRPr="00813409">
        <w:rPr>
          <w:iCs/>
          <w:szCs w:val="22"/>
        </w:rPr>
        <w:t xml:space="preserve">dá sa však, že bezpečnosť sa zhoduje so známym bezpečnostným profilom </w:t>
      </w:r>
      <w:proofErr w:type="spellStart"/>
      <w:r w:rsidRPr="00813409">
        <w:rPr>
          <w:iCs/>
          <w:szCs w:val="22"/>
        </w:rPr>
        <w:t>valgancikloviru</w:t>
      </w:r>
      <w:proofErr w:type="spellEnd"/>
      <w:r w:rsidRPr="00813409">
        <w:rPr>
          <w:iCs/>
          <w:szCs w:val="22"/>
        </w:rPr>
        <w:t>/</w:t>
      </w:r>
      <w:proofErr w:type="spellStart"/>
      <w:r w:rsidRPr="00813409">
        <w:rPr>
          <w:iCs/>
          <w:szCs w:val="22"/>
        </w:rPr>
        <w:t>gancikloviru</w:t>
      </w:r>
      <w:proofErr w:type="spellEnd"/>
      <w:r w:rsidRPr="00813409">
        <w:rPr>
          <w:iCs/>
          <w:szCs w:val="22"/>
        </w:rPr>
        <w:t>.</w:t>
      </w:r>
    </w:p>
    <w:p w:rsidR="00CB4DD2" w:rsidRPr="00813409" w:rsidRDefault="00CB4DD2" w:rsidP="00CB4DD2">
      <w:pPr>
        <w:ind w:left="0" w:firstLine="0"/>
        <w:rPr>
          <w:szCs w:val="22"/>
        </w:rPr>
      </w:pPr>
    </w:p>
    <w:p w:rsidR="00CB4DD2" w:rsidRPr="00813409" w:rsidRDefault="00CB4DD2" w:rsidP="00CB4DD2">
      <w:pPr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Hlásenie podozrení na nežiaduce reakcie</w:t>
      </w:r>
    </w:p>
    <w:p w:rsidR="00E44CF4" w:rsidRPr="00813409" w:rsidRDefault="00CB4DD2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B1CE2">
        <w:rPr>
          <w:szCs w:val="22"/>
        </w:rPr>
        <w:t>na</w:t>
      </w:r>
      <w:r w:rsidR="00CB1CE2" w:rsidRPr="00813409">
        <w:rPr>
          <w:szCs w:val="22"/>
        </w:rPr>
        <w:t xml:space="preserve"> </w:t>
      </w:r>
      <w:r w:rsidRPr="00813409">
        <w:rPr>
          <w:szCs w:val="22"/>
          <w:highlight w:val="lightGray"/>
        </w:rPr>
        <w:t xml:space="preserve">národné </w:t>
      </w:r>
      <w:r w:rsidR="00CB1CE2">
        <w:rPr>
          <w:szCs w:val="22"/>
          <w:highlight w:val="lightGray"/>
        </w:rPr>
        <w:t>centrum</w:t>
      </w:r>
      <w:r w:rsidR="00CB1CE2" w:rsidRPr="00813409">
        <w:rPr>
          <w:szCs w:val="22"/>
          <w:highlight w:val="lightGray"/>
        </w:rPr>
        <w:t xml:space="preserve"> </w:t>
      </w:r>
      <w:r w:rsidRPr="00813409">
        <w:rPr>
          <w:szCs w:val="22"/>
          <w:highlight w:val="lightGray"/>
        </w:rPr>
        <w:t>hlásenia uvedené v </w:t>
      </w:r>
      <w:hyperlink r:id="rId12" w:history="1">
        <w:r w:rsidRPr="00813409">
          <w:rPr>
            <w:rStyle w:val="Hypertextovprepojenie"/>
            <w:szCs w:val="22"/>
            <w:highlight w:val="lightGray"/>
          </w:rPr>
          <w:t>Prílohe V</w:t>
        </w:r>
      </w:hyperlink>
      <w:r w:rsidRPr="00813409">
        <w:rPr>
          <w:szCs w:val="22"/>
        </w:rPr>
        <w:t>.</w:t>
      </w:r>
    </w:p>
    <w:p w:rsidR="009E2147" w:rsidRPr="00813409" w:rsidRDefault="009E2147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4.9</w:t>
      </w:r>
      <w:r w:rsidRPr="00813409">
        <w:rPr>
          <w:b/>
          <w:szCs w:val="22"/>
        </w:rPr>
        <w:tab/>
        <w:t>Predávkovanie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A71D9E" w:rsidRPr="00813409" w:rsidRDefault="001F75D5" w:rsidP="008C1DB1">
      <w:pPr>
        <w:ind w:left="0" w:firstLine="0"/>
        <w:rPr>
          <w:u w:val="single"/>
        </w:rPr>
      </w:pPr>
      <w:r w:rsidRPr="00813409">
        <w:rPr>
          <w:u w:val="single"/>
        </w:rPr>
        <w:t>Symptóm</w:t>
      </w:r>
      <w:r w:rsidR="00A71D9E" w:rsidRPr="00813409">
        <w:rPr>
          <w:u w:val="single"/>
        </w:rPr>
        <w:t>y</w:t>
      </w:r>
    </w:p>
    <w:p w:rsidR="00466F58" w:rsidRDefault="00466F58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 xml:space="preserve">Skúsenosti s predávkovaním </w:t>
      </w:r>
      <w:proofErr w:type="spellStart"/>
      <w:r w:rsidRPr="00813409">
        <w:rPr>
          <w:i/>
        </w:rPr>
        <w:t>valganciklovirom</w:t>
      </w:r>
      <w:proofErr w:type="spellEnd"/>
    </w:p>
    <w:p w:rsidR="00D8589D" w:rsidRPr="00813409" w:rsidRDefault="00D8589D" w:rsidP="00D8589D">
      <w:pPr>
        <w:ind w:left="0" w:firstLine="0"/>
        <w:rPr>
          <w:szCs w:val="22"/>
        </w:rPr>
      </w:pPr>
      <w:r w:rsidRPr="00813409">
        <w:rPr>
          <w:szCs w:val="22"/>
        </w:rPr>
        <w:t xml:space="preserve">Po niekoľkých dňoch podávania viac než desaťnásobne vyššej dávky, ktorá sa odporúča s ohľadom na stupeň poruchy funkcie obličiek (znížený </w:t>
      </w:r>
      <w:proofErr w:type="spellStart"/>
      <w:r w:rsidRPr="00813409">
        <w:rPr>
          <w:szCs w:val="22"/>
        </w:rPr>
        <w:t>klírens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kreatinínu</w:t>
      </w:r>
      <w:proofErr w:type="spellEnd"/>
      <w:r w:rsidRPr="00813409">
        <w:rPr>
          <w:szCs w:val="22"/>
        </w:rPr>
        <w:t>), došlo u jedného dospelého pacienta k fatálnemu útlmu kostnej drene (</w:t>
      </w:r>
      <w:proofErr w:type="spellStart"/>
      <w:r w:rsidRPr="00813409">
        <w:rPr>
          <w:szCs w:val="22"/>
        </w:rPr>
        <w:t>aplázia</w:t>
      </w:r>
      <w:proofErr w:type="spellEnd"/>
      <w:r w:rsidRPr="00813409">
        <w:rPr>
          <w:szCs w:val="22"/>
        </w:rPr>
        <w:t xml:space="preserve"> kostnej drene). </w:t>
      </w:r>
    </w:p>
    <w:p w:rsidR="009C39F3" w:rsidRPr="00813409" w:rsidRDefault="009C39F3" w:rsidP="008C1DB1">
      <w:pPr>
        <w:ind w:left="0" w:firstLine="0"/>
      </w:pPr>
    </w:p>
    <w:p w:rsidR="009C39F3" w:rsidRPr="00813409" w:rsidRDefault="00D36C7D" w:rsidP="00D36C7D">
      <w:pPr>
        <w:ind w:left="0" w:firstLine="0"/>
        <w:rPr>
          <w:i/>
        </w:rPr>
      </w:pPr>
      <w:r w:rsidRPr="00813409">
        <w:t xml:space="preserve">Predpokladá </w:t>
      </w:r>
      <w:r w:rsidR="009C39F3" w:rsidRPr="00813409">
        <w:t xml:space="preserve">sa, že predávkovanie </w:t>
      </w:r>
      <w:proofErr w:type="spellStart"/>
      <w:r w:rsidR="009C39F3" w:rsidRPr="00813409">
        <w:t>valganciklovirom</w:t>
      </w:r>
      <w:proofErr w:type="spellEnd"/>
      <w:r w:rsidR="009C39F3" w:rsidRPr="00813409">
        <w:t xml:space="preserve"> môže </w:t>
      </w:r>
      <w:r w:rsidRPr="00813409">
        <w:t xml:space="preserve">mať </w:t>
      </w:r>
      <w:r w:rsidR="001F75D5" w:rsidRPr="00813409">
        <w:t xml:space="preserve">tiež </w:t>
      </w:r>
      <w:r w:rsidRPr="00813409">
        <w:t xml:space="preserve">za následok </w:t>
      </w:r>
      <w:r w:rsidR="009C39F3" w:rsidRPr="00813409">
        <w:t>zvýšen</w:t>
      </w:r>
      <w:r w:rsidRPr="00813409">
        <w:t>i</w:t>
      </w:r>
      <w:r w:rsidR="009C39F3" w:rsidRPr="00813409">
        <w:t xml:space="preserve">e </w:t>
      </w:r>
      <w:r w:rsidRPr="00813409">
        <w:t>toxického účinku na obličky</w:t>
      </w:r>
      <w:r w:rsidR="009C39F3" w:rsidRPr="00813409">
        <w:t xml:space="preserve"> (pozri časti 4.2 a 4.4)</w:t>
      </w:r>
      <w:r w:rsidR="009C39F3" w:rsidRPr="00813409">
        <w:rPr>
          <w:i/>
        </w:rPr>
        <w:t>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 xml:space="preserve">Skúsenosti s predávkovaním intravenóznym </w:t>
      </w:r>
      <w:proofErr w:type="spellStart"/>
      <w:r w:rsidRPr="00813409">
        <w:rPr>
          <w:i/>
        </w:rPr>
        <w:t>ganciklovirom</w:t>
      </w:r>
      <w:proofErr w:type="spellEnd"/>
    </w:p>
    <w:p w:rsidR="009C39F3" w:rsidRPr="00813409" w:rsidRDefault="00784352" w:rsidP="00784352">
      <w:pPr>
        <w:ind w:left="0" w:firstLine="0"/>
      </w:pPr>
      <w:r w:rsidRPr="00813409">
        <w:t>Hlásenia</w:t>
      </w:r>
      <w:r w:rsidR="009C39F3" w:rsidRPr="00813409">
        <w:t xml:space="preserve"> o predávkovaní intravenóznym </w:t>
      </w:r>
      <w:proofErr w:type="spellStart"/>
      <w:r w:rsidR="009C39F3" w:rsidRPr="00813409">
        <w:t>ganciklovirom</w:t>
      </w:r>
      <w:proofErr w:type="spellEnd"/>
      <w:r w:rsidR="009C39F3" w:rsidRPr="00813409">
        <w:t xml:space="preserve"> sa získali z klinických štúdií a z</w:t>
      </w:r>
      <w:r w:rsidRPr="00813409">
        <w:t> </w:t>
      </w:r>
      <w:proofErr w:type="spellStart"/>
      <w:r w:rsidR="009C39F3" w:rsidRPr="00813409">
        <w:t>postmarketingov</w:t>
      </w:r>
      <w:r w:rsidRPr="00813409">
        <w:t>ého</w:t>
      </w:r>
      <w:proofErr w:type="spellEnd"/>
      <w:r w:rsidRPr="00813409">
        <w:t xml:space="preserve"> sledovania</w:t>
      </w:r>
      <w:r w:rsidR="009C39F3" w:rsidRPr="00813409">
        <w:t>. V niektorých z týchto prípadov sa nepozorovali žiadne nežiaduce účinky</w:t>
      </w:r>
      <w:r w:rsidRPr="00813409">
        <w:t xml:space="preserve">. U </w:t>
      </w:r>
      <w:r w:rsidR="009C39F3" w:rsidRPr="00813409">
        <w:t>väčšin</w:t>
      </w:r>
      <w:r w:rsidRPr="00813409">
        <w:t>y</w:t>
      </w:r>
      <w:r w:rsidR="009C39F3" w:rsidRPr="00813409">
        <w:t xml:space="preserve"> pacientov </w:t>
      </w:r>
      <w:r w:rsidRPr="00813409">
        <w:t xml:space="preserve">sa vyskytla </w:t>
      </w:r>
      <w:r w:rsidR="009C39F3" w:rsidRPr="00813409">
        <w:t>jedn</w:t>
      </w:r>
      <w:r w:rsidRPr="00813409">
        <w:t>a</w:t>
      </w:r>
      <w:r w:rsidR="009C39F3" w:rsidRPr="00813409">
        <w:t xml:space="preserve"> alebo viac z nasledujúcich nežiaducich </w:t>
      </w:r>
      <w:r w:rsidRPr="00813409">
        <w:t>udalostí</w:t>
      </w:r>
      <w:r w:rsidR="009C39F3" w:rsidRPr="00813409">
        <w:t>: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r w:rsidRPr="00813409">
        <w:rPr>
          <w:i/>
        </w:rPr>
        <w:t>Hematologická toxicita:</w:t>
      </w:r>
      <w:r w:rsidRPr="00813409">
        <w:t xml:space="preserve"> </w:t>
      </w:r>
      <w:proofErr w:type="spellStart"/>
      <w:r w:rsidRPr="00813409">
        <w:t>pancytopénia</w:t>
      </w:r>
      <w:proofErr w:type="spellEnd"/>
      <w:r w:rsidRPr="00813409">
        <w:t xml:space="preserve">, útlm kostnej drene, </w:t>
      </w:r>
      <w:proofErr w:type="spellStart"/>
      <w:r w:rsidRPr="00813409">
        <w:t>aplázia</w:t>
      </w:r>
      <w:proofErr w:type="spellEnd"/>
      <w:r w:rsidRPr="00813409">
        <w:t xml:space="preserve"> kostnej drene, </w:t>
      </w:r>
      <w:proofErr w:type="spellStart"/>
      <w:r w:rsidRPr="00813409">
        <w:t>leukopénia</w:t>
      </w:r>
      <w:proofErr w:type="spellEnd"/>
      <w:r w:rsidRPr="00813409">
        <w:t xml:space="preserve">, </w:t>
      </w:r>
      <w:proofErr w:type="spellStart"/>
      <w:r w:rsidRPr="00813409">
        <w:t>neutropénia</w:t>
      </w:r>
      <w:proofErr w:type="spellEnd"/>
      <w:r w:rsidRPr="00813409">
        <w:t xml:space="preserve">, </w:t>
      </w:r>
      <w:proofErr w:type="spellStart"/>
      <w:r w:rsidRPr="00813409">
        <w:t>granulocytopénia</w:t>
      </w:r>
      <w:proofErr w:type="spellEnd"/>
      <w:r w:rsidRPr="00813409">
        <w:t>.</w:t>
      </w:r>
    </w:p>
    <w:p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proofErr w:type="spellStart"/>
      <w:r w:rsidRPr="00813409">
        <w:rPr>
          <w:i/>
        </w:rPr>
        <w:t>Hepatotoxicita</w:t>
      </w:r>
      <w:proofErr w:type="spellEnd"/>
      <w:r w:rsidRPr="00813409">
        <w:rPr>
          <w:i/>
        </w:rPr>
        <w:t xml:space="preserve">: </w:t>
      </w:r>
      <w:r w:rsidRPr="00813409">
        <w:t>hepatitída, porucha funkcie pečene.</w:t>
      </w:r>
    </w:p>
    <w:p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proofErr w:type="spellStart"/>
      <w:r w:rsidRPr="00813409">
        <w:rPr>
          <w:i/>
        </w:rPr>
        <w:t>Renálna</w:t>
      </w:r>
      <w:proofErr w:type="spellEnd"/>
      <w:r w:rsidRPr="00813409">
        <w:rPr>
          <w:i/>
        </w:rPr>
        <w:t xml:space="preserve"> toxicita:</w:t>
      </w:r>
      <w:r w:rsidRPr="00813409">
        <w:t xml:space="preserve"> zhoršenie </w:t>
      </w:r>
      <w:proofErr w:type="spellStart"/>
      <w:r w:rsidRPr="00813409">
        <w:t>hematúrie</w:t>
      </w:r>
      <w:proofErr w:type="spellEnd"/>
      <w:r w:rsidRPr="00813409">
        <w:t xml:space="preserve"> u pacientov s</w:t>
      </w:r>
      <w:r w:rsidR="00CC186E" w:rsidRPr="00813409">
        <w:t xml:space="preserve"> už existujúcou </w:t>
      </w:r>
      <w:r w:rsidRPr="00813409">
        <w:t xml:space="preserve">poruchou funkcie obličiek, akútne </w:t>
      </w:r>
      <w:proofErr w:type="spellStart"/>
      <w:r w:rsidRPr="00813409">
        <w:t>renálne</w:t>
      </w:r>
      <w:proofErr w:type="spellEnd"/>
      <w:r w:rsidRPr="00813409">
        <w:t xml:space="preserve"> zlyhanie, zvýšená hladina </w:t>
      </w:r>
      <w:proofErr w:type="spellStart"/>
      <w:r w:rsidRPr="00813409">
        <w:t>kreatinínu</w:t>
      </w:r>
      <w:proofErr w:type="spellEnd"/>
      <w:r w:rsidRPr="00813409">
        <w:t>.</w:t>
      </w:r>
    </w:p>
    <w:p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proofErr w:type="spellStart"/>
      <w:r w:rsidRPr="00813409">
        <w:rPr>
          <w:i/>
        </w:rPr>
        <w:t>Gastrointestinálna</w:t>
      </w:r>
      <w:proofErr w:type="spellEnd"/>
      <w:r w:rsidRPr="00813409">
        <w:rPr>
          <w:i/>
        </w:rPr>
        <w:t xml:space="preserve"> toxicita:</w:t>
      </w:r>
      <w:r w:rsidRPr="00813409">
        <w:t xml:space="preserve"> bolesť brucha, hnačka, vracanie.</w:t>
      </w:r>
    </w:p>
    <w:p w:rsidR="009C39F3" w:rsidRPr="00813409" w:rsidRDefault="009C39F3" w:rsidP="00811A20">
      <w:pPr>
        <w:ind w:left="540" w:hanging="540"/>
      </w:pPr>
      <w:r w:rsidRPr="00813409">
        <w:t>-</w:t>
      </w:r>
      <w:r w:rsidRPr="00813409">
        <w:tab/>
      </w:r>
      <w:proofErr w:type="spellStart"/>
      <w:r w:rsidRPr="00813409">
        <w:rPr>
          <w:i/>
        </w:rPr>
        <w:t>Neurotoxicita</w:t>
      </w:r>
      <w:proofErr w:type="spellEnd"/>
      <w:r w:rsidRPr="00813409">
        <w:rPr>
          <w:i/>
        </w:rPr>
        <w:t>:</w:t>
      </w:r>
      <w:r w:rsidRPr="00813409">
        <w:t xml:space="preserve"> generalizovaný </w:t>
      </w:r>
      <w:proofErr w:type="spellStart"/>
      <w:r w:rsidRPr="00813409">
        <w:t>tr</w:t>
      </w:r>
      <w:r w:rsidR="00CC186E" w:rsidRPr="00813409">
        <w:t>emor</w:t>
      </w:r>
      <w:proofErr w:type="spellEnd"/>
      <w:r w:rsidRPr="00813409">
        <w:t>, kŕče.</w:t>
      </w:r>
    </w:p>
    <w:p w:rsidR="001F75D5" w:rsidRPr="00813409" w:rsidRDefault="001F75D5" w:rsidP="008C1DB1">
      <w:pPr>
        <w:ind w:left="0" w:firstLine="0"/>
        <w:rPr>
          <w:szCs w:val="22"/>
        </w:rPr>
      </w:pPr>
    </w:p>
    <w:p w:rsidR="009C39F3" w:rsidRPr="00813409" w:rsidRDefault="001F75D5" w:rsidP="008C1DB1">
      <w:pPr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Liečba</w:t>
      </w:r>
    </w:p>
    <w:p w:rsidR="001F75D5" w:rsidRPr="00813409" w:rsidRDefault="001F75D5" w:rsidP="001F75D5">
      <w:pPr>
        <w:ind w:left="0" w:firstLine="0"/>
      </w:pPr>
      <w:r w:rsidRPr="00813409">
        <w:t xml:space="preserve">U pacientov, u ktorých došlo k predávkovaniu </w:t>
      </w:r>
      <w:proofErr w:type="spellStart"/>
      <w:r w:rsidRPr="00813409">
        <w:t>valganciklovirom</w:t>
      </w:r>
      <w:proofErr w:type="spellEnd"/>
      <w:r w:rsidRPr="00813409">
        <w:t xml:space="preserve">, </w:t>
      </w:r>
      <w:r w:rsidR="00CB1CE2">
        <w:t xml:space="preserve">môžu </w:t>
      </w:r>
      <w:r w:rsidR="00CB1CE2" w:rsidRPr="00813409">
        <w:t>hemodialýza a</w:t>
      </w:r>
      <w:r w:rsidR="00CB1CE2">
        <w:t> </w:t>
      </w:r>
      <w:r w:rsidR="00CB1CE2" w:rsidRPr="00813409">
        <w:t xml:space="preserve">hydratácia </w:t>
      </w:r>
      <w:r w:rsidR="00CB1CE2">
        <w:t xml:space="preserve">byť </w:t>
      </w:r>
      <w:r w:rsidRPr="00813409">
        <w:t>vhodné na zníženie plazmatických koncentrácií (pozri časť 5.2).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1F75D5" w:rsidRPr="00813409" w:rsidRDefault="001F75D5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5.</w:t>
      </w:r>
      <w:r w:rsidRPr="00813409">
        <w:rPr>
          <w:b/>
          <w:szCs w:val="22"/>
        </w:rPr>
        <w:tab/>
        <w:t>FARMAKOLOGICKÉ VLASTNOSTI</w:t>
      </w:r>
    </w:p>
    <w:p w:rsidR="009C39F3" w:rsidRPr="00813409" w:rsidRDefault="009C39F3" w:rsidP="008C1DB1">
      <w:pPr>
        <w:ind w:left="0" w:firstLine="0"/>
        <w:rPr>
          <w:bCs/>
          <w:szCs w:val="22"/>
        </w:rPr>
      </w:pPr>
    </w:p>
    <w:p w:rsidR="009C39F3" w:rsidRPr="00813409" w:rsidRDefault="009C39F3" w:rsidP="008C1DB1">
      <w:pPr>
        <w:ind w:left="0" w:firstLine="0"/>
      </w:pPr>
      <w:r w:rsidRPr="00813409">
        <w:rPr>
          <w:b/>
          <w:szCs w:val="22"/>
        </w:rPr>
        <w:t>5.1</w:t>
      </w:r>
      <w:r w:rsidRPr="00813409">
        <w:rPr>
          <w:b/>
          <w:szCs w:val="22"/>
        </w:rPr>
        <w:tab/>
      </w:r>
      <w:proofErr w:type="spellStart"/>
      <w:r w:rsidRPr="00813409">
        <w:rPr>
          <w:b/>
          <w:szCs w:val="22"/>
        </w:rPr>
        <w:t>Farmakodynamické</w:t>
      </w:r>
      <w:proofErr w:type="spellEnd"/>
      <w:r w:rsidRPr="00813409">
        <w:rPr>
          <w:b/>
          <w:szCs w:val="22"/>
        </w:rPr>
        <w:t xml:space="preserve"> vlastnosti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proofErr w:type="spellStart"/>
      <w:r w:rsidRPr="00813409">
        <w:t>Farmakoterapeutická</w:t>
      </w:r>
      <w:proofErr w:type="spellEnd"/>
      <w:r w:rsidRPr="00813409">
        <w:t xml:space="preserve"> skupina: </w:t>
      </w:r>
      <w:proofErr w:type="spellStart"/>
      <w:r w:rsidR="00161A0F" w:rsidRPr="00813409">
        <w:rPr>
          <w:szCs w:val="22"/>
        </w:rPr>
        <w:t>antivirotiká</w:t>
      </w:r>
      <w:proofErr w:type="spellEnd"/>
      <w:r w:rsidR="00161A0F" w:rsidRPr="00813409">
        <w:rPr>
          <w:szCs w:val="22"/>
        </w:rPr>
        <w:t xml:space="preserve"> na systémové použitie,</w:t>
      </w:r>
      <w:r w:rsidR="00161A0F" w:rsidRPr="00813409">
        <w:t xml:space="preserve"> </w:t>
      </w:r>
      <w:proofErr w:type="spellStart"/>
      <w:r w:rsidR="00C9795C" w:rsidRPr="00813409">
        <w:t>nukleozidy</w:t>
      </w:r>
      <w:proofErr w:type="spellEnd"/>
      <w:r w:rsidR="00C9795C" w:rsidRPr="00813409">
        <w:t xml:space="preserve"> a </w:t>
      </w:r>
      <w:proofErr w:type="spellStart"/>
      <w:r w:rsidR="00C9795C" w:rsidRPr="00813409">
        <w:t>nukleotidy</w:t>
      </w:r>
      <w:proofErr w:type="spellEnd"/>
      <w:r w:rsidR="00811A20" w:rsidRPr="00813409">
        <w:t xml:space="preserve"> s výnimkou</w:t>
      </w:r>
      <w:r w:rsidR="00C9795C" w:rsidRPr="00813409">
        <w:t xml:space="preserve"> inhibítorov </w:t>
      </w:r>
      <w:r w:rsidR="00811A20" w:rsidRPr="00813409">
        <w:t xml:space="preserve">reverznej </w:t>
      </w:r>
      <w:proofErr w:type="spellStart"/>
      <w:r w:rsidR="00C9795C" w:rsidRPr="00813409">
        <w:t>transk</w:t>
      </w:r>
      <w:r w:rsidR="00811A20" w:rsidRPr="00813409">
        <w:t>r</w:t>
      </w:r>
      <w:r w:rsidR="00C9795C" w:rsidRPr="00813409">
        <w:t>iptázy</w:t>
      </w:r>
      <w:proofErr w:type="spellEnd"/>
      <w:r w:rsidR="00C9795C" w:rsidRPr="00813409">
        <w:t xml:space="preserve">, </w:t>
      </w:r>
      <w:r w:rsidRPr="00813409">
        <w:t>ATC kód: J05AB14.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Mechanizmus účinku</w:t>
      </w:r>
    </w:p>
    <w:p w:rsidR="009C39F3" w:rsidRPr="00813409" w:rsidRDefault="009C39F3" w:rsidP="008C1DB1">
      <w:pPr>
        <w:ind w:left="0" w:firstLine="0"/>
      </w:pPr>
      <w:proofErr w:type="spellStart"/>
      <w:r w:rsidRPr="00813409">
        <w:lastRenderedPageBreak/>
        <w:t>Valganciklovir</w:t>
      </w:r>
      <w:proofErr w:type="spellEnd"/>
      <w:r w:rsidRPr="00813409">
        <w:t xml:space="preserve"> je L-</w:t>
      </w:r>
      <w:proofErr w:type="spellStart"/>
      <w:r w:rsidRPr="00813409">
        <w:t>valylový</w:t>
      </w:r>
      <w:proofErr w:type="spellEnd"/>
      <w:r w:rsidRPr="00813409">
        <w:t xml:space="preserve"> ester (prekurzor) </w:t>
      </w:r>
      <w:proofErr w:type="spellStart"/>
      <w:r w:rsidRPr="00813409">
        <w:t>gancikloviru</w:t>
      </w:r>
      <w:proofErr w:type="spellEnd"/>
      <w:r w:rsidRPr="00813409">
        <w:t xml:space="preserve">. Po perorálnom podaní sa </w:t>
      </w:r>
      <w:proofErr w:type="spellStart"/>
      <w:r w:rsidRPr="00813409">
        <w:t>valganciklovir</w:t>
      </w:r>
      <w:proofErr w:type="spellEnd"/>
      <w:r w:rsidRPr="00813409">
        <w:t xml:space="preserve"> črevnými a </w:t>
      </w:r>
      <w:proofErr w:type="spellStart"/>
      <w:r w:rsidRPr="00813409">
        <w:t>hepatálnymi</w:t>
      </w:r>
      <w:proofErr w:type="spellEnd"/>
      <w:r w:rsidRPr="00813409">
        <w:t xml:space="preserve"> </w:t>
      </w:r>
      <w:proofErr w:type="spellStart"/>
      <w:r w:rsidRPr="00813409">
        <w:t>esterázami</w:t>
      </w:r>
      <w:proofErr w:type="spellEnd"/>
      <w:r w:rsidRPr="00813409">
        <w:t xml:space="preserve"> rýchlo a vo veľkej miere metabolizuje na </w:t>
      </w:r>
      <w:proofErr w:type="spellStart"/>
      <w:r w:rsidRPr="00813409">
        <w:t>ganciklovir</w:t>
      </w:r>
      <w:proofErr w:type="spellEnd"/>
      <w:r w:rsidRPr="00813409">
        <w:t xml:space="preserve">. </w:t>
      </w:r>
      <w:proofErr w:type="spellStart"/>
      <w:r w:rsidRPr="00813409">
        <w:t>Ganciklovir</w:t>
      </w:r>
      <w:proofErr w:type="spellEnd"/>
      <w:r w:rsidRPr="00813409">
        <w:t xml:space="preserve"> je syntetický </w:t>
      </w:r>
      <w:proofErr w:type="spellStart"/>
      <w:r w:rsidRPr="00813409">
        <w:t>analóg</w:t>
      </w:r>
      <w:proofErr w:type="spellEnd"/>
      <w:r w:rsidRPr="00813409">
        <w:t xml:space="preserve"> 2´-deoxyguanozínu, </w:t>
      </w:r>
      <w:proofErr w:type="spellStart"/>
      <w:r w:rsidRPr="00813409">
        <w:t>inhibuj</w:t>
      </w:r>
      <w:r w:rsidR="001F75D5" w:rsidRPr="00813409">
        <w:t>úci</w:t>
      </w:r>
      <w:proofErr w:type="spellEnd"/>
      <w:r w:rsidRPr="00813409">
        <w:t xml:space="preserve"> replikáciu herpetických vírusov </w:t>
      </w:r>
      <w:r w:rsidRPr="00813409">
        <w:rPr>
          <w:i/>
        </w:rPr>
        <w:t>in vitro</w:t>
      </w:r>
      <w:r w:rsidRPr="00813409">
        <w:t xml:space="preserve"> a </w:t>
      </w:r>
      <w:r w:rsidRPr="00813409">
        <w:rPr>
          <w:i/>
        </w:rPr>
        <w:t xml:space="preserve">in </w:t>
      </w:r>
      <w:proofErr w:type="spellStart"/>
      <w:r w:rsidRPr="00813409">
        <w:rPr>
          <w:i/>
        </w:rPr>
        <w:t>vivo</w:t>
      </w:r>
      <w:proofErr w:type="spellEnd"/>
      <w:r w:rsidRPr="00813409">
        <w:t xml:space="preserve">. Medzi citlivé ľudské vírusy patrí humánny </w:t>
      </w:r>
      <w:proofErr w:type="spellStart"/>
      <w:r w:rsidRPr="00813409">
        <w:t>cytomegalovírusus</w:t>
      </w:r>
      <w:proofErr w:type="spellEnd"/>
      <w:r w:rsidRPr="00813409">
        <w:t xml:space="preserve"> (HCMV), vírus herpes </w:t>
      </w:r>
      <w:proofErr w:type="spellStart"/>
      <w:r w:rsidRPr="00813409">
        <w:t>simplex</w:t>
      </w:r>
      <w:proofErr w:type="spellEnd"/>
      <w:r w:rsidRPr="00813409">
        <w:t xml:space="preserve"> typ 1 a typ 2 (HSV-</w:t>
      </w:r>
      <w:smartTag w:uri="urn:schemas-microsoft-com:office:smarttags" w:element="metricconverter">
        <w:smartTagPr>
          <w:attr w:name="ProductID" w:val="1 a"/>
        </w:smartTagPr>
        <w:r w:rsidRPr="00813409">
          <w:t>1 a</w:t>
        </w:r>
      </w:smartTag>
      <w:r w:rsidRPr="00813409">
        <w:t xml:space="preserve"> HSV-2), humánny herpetický vírus typ 6, </w:t>
      </w:r>
      <w:smartTag w:uri="urn:schemas-microsoft-com:office:smarttags" w:element="metricconverter">
        <w:smartTagPr>
          <w:attr w:name="ProductID" w:val="7 a"/>
        </w:smartTagPr>
        <w:r w:rsidRPr="00813409">
          <w:t>7 a</w:t>
        </w:r>
      </w:smartTag>
      <w:r w:rsidRPr="00813409">
        <w:t xml:space="preserve"> 8 (HHV-6, HHV-7, HHV-8), </w:t>
      </w:r>
      <w:proofErr w:type="spellStart"/>
      <w:r w:rsidRPr="00813409">
        <w:t>Epstein-Barrovej</w:t>
      </w:r>
      <w:proofErr w:type="spellEnd"/>
      <w:r w:rsidRPr="00813409">
        <w:t xml:space="preserve"> vírus (EBV), </w:t>
      </w:r>
      <w:proofErr w:type="spellStart"/>
      <w:r w:rsidRPr="00813409">
        <w:t>varicella-zoster</w:t>
      </w:r>
      <w:proofErr w:type="spellEnd"/>
      <w:r w:rsidRPr="00813409">
        <w:t xml:space="preserve"> vírus (VZV) a vírus hepatitídy B (HBV).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V bunkách, ktoré sú infikované CMV sa </w:t>
      </w:r>
      <w:proofErr w:type="spellStart"/>
      <w:r w:rsidRPr="00813409">
        <w:t>ganciklovir</w:t>
      </w:r>
      <w:proofErr w:type="spellEnd"/>
      <w:r w:rsidRPr="00813409">
        <w:t xml:space="preserve"> najprv </w:t>
      </w:r>
      <w:proofErr w:type="spellStart"/>
      <w:r w:rsidRPr="00813409">
        <w:t>fosforyluje</w:t>
      </w:r>
      <w:proofErr w:type="spellEnd"/>
      <w:r w:rsidRPr="00813409">
        <w:t xml:space="preserve"> vírusovou </w:t>
      </w:r>
      <w:proofErr w:type="spellStart"/>
      <w:r w:rsidRPr="00813409">
        <w:t>proteínkinázou</w:t>
      </w:r>
      <w:proofErr w:type="spellEnd"/>
      <w:r w:rsidRPr="00813409">
        <w:t xml:space="preserve"> </w:t>
      </w:r>
      <w:proofErr w:type="spellStart"/>
      <w:r w:rsidRPr="00813409">
        <w:t>pUL</w:t>
      </w:r>
      <w:proofErr w:type="spellEnd"/>
      <w:r w:rsidRPr="00813409">
        <w:t xml:space="preserve"> 97 na </w:t>
      </w:r>
      <w:proofErr w:type="spellStart"/>
      <w:r w:rsidRPr="00813409">
        <w:t>ganciklovirmonofosfát</w:t>
      </w:r>
      <w:proofErr w:type="spellEnd"/>
      <w:r w:rsidRPr="00813409">
        <w:t xml:space="preserve">. Ďalšia </w:t>
      </w:r>
      <w:proofErr w:type="spellStart"/>
      <w:r w:rsidRPr="00813409">
        <w:t>fosforylácia</w:t>
      </w:r>
      <w:proofErr w:type="spellEnd"/>
      <w:r w:rsidRPr="00813409">
        <w:t xml:space="preserve"> sa uskutočňuje bunkovými </w:t>
      </w:r>
      <w:proofErr w:type="spellStart"/>
      <w:r w:rsidRPr="00813409">
        <w:t>kinázami</w:t>
      </w:r>
      <w:proofErr w:type="spellEnd"/>
      <w:r w:rsidRPr="00813409">
        <w:t xml:space="preserve"> za vzniku </w:t>
      </w:r>
      <w:proofErr w:type="spellStart"/>
      <w:r w:rsidRPr="00813409">
        <w:t>ganciklovir-trifosfátu</w:t>
      </w:r>
      <w:proofErr w:type="spellEnd"/>
      <w:r w:rsidRPr="00813409">
        <w:t xml:space="preserve">, ktorý sa následne pomaly intracelulárne metabolizuje. Ukázalo sa, že </w:t>
      </w:r>
      <w:proofErr w:type="spellStart"/>
      <w:r w:rsidRPr="00813409">
        <w:t>trifosfátový</w:t>
      </w:r>
      <w:proofErr w:type="spellEnd"/>
      <w:r w:rsidRPr="00813409">
        <w:t xml:space="preserve"> metabolizmus prebiehal po odstránení </w:t>
      </w:r>
      <w:proofErr w:type="spellStart"/>
      <w:r w:rsidRPr="00813409">
        <w:t>extracelulárneho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v bunkách infikovaných HSV s polčasom 18 hodín a v bunkách infikovaných HCMV s polčasom 6 až 24 hodín. Pretože </w:t>
      </w:r>
      <w:proofErr w:type="spellStart"/>
      <w:r w:rsidRPr="00813409">
        <w:t>fosforylácia</w:t>
      </w:r>
      <w:proofErr w:type="spellEnd"/>
      <w:r w:rsidRPr="00813409">
        <w:t xml:space="preserve"> je vo veľkej miere závislá od vírusovej </w:t>
      </w:r>
      <w:proofErr w:type="spellStart"/>
      <w:r w:rsidRPr="00813409">
        <w:t>kinázy</w:t>
      </w:r>
      <w:proofErr w:type="spellEnd"/>
      <w:r w:rsidRPr="00813409">
        <w:t xml:space="preserve">, </w:t>
      </w:r>
      <w:proofErr w:type="spellStart"/>
      <w:r w:rsidRPr="00813409">
        <w:t>fosforylácia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prebieha prednostne v bunkách infikovaných vírusmi.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t>Virostatický</w:t>
      </w:r>
      <w:proofErr w:type="spellEnd"/>
      <w:r w:rsidRPr="00813409">
        <w:t xml:space="preserve"> účinok </w:t>
      </w:r>
      <w:proofErr w:type="spellStart"/>
      <w:r w:rsidRPr="00813409">
        <w:t>gancikloviru</w:t>
      </w:r>
      <w:proofErr w:type="spellEnd"/>
      <w:r w:rsidRPr="00813409">
        <w:t xml:space="preserve"> je výsledkom inhibície syntézy vírusovej DNA: (a) </w:t>
      </w:r>
      <w:proofErr w:type="spellStart"/>
      <w:r w:rsidRPr="00813409">
        <w:t>kompetitívnou</w:t>
      </w:r>
      <w:proofErr w:type="spellEnd"/>
      <w:r w:rsidRPr="00813409">
        <w:t xml:space="preserve"> inhibíciou začlenenia </w:t>
      </w:r>
      <w:proofErr w:type="spellStart"/>
      <w:r w:rsidRPr="00813409">
        <w:t>deoxyguanozíntrifosfátu</w:t>
      </w:r>
      <w:proofErr w:type="spellEnd"/>
      <w:r w:rsidRPr="00813409">
        <w:t xml:space="preserve"> do DNA vírusovou DNA </w:t>
      </w:r>
      <w:proofErr w:type="spellStart"/>
      <w:r w:rsidRPr="00813409">
        <w:t>polymerázou</w:t>
      </w:r>
      <w:proofErr w:type="spellEnd"/>
      <w:r w:rsidRPr="00813409">
        <w:t xml:space="preserve"> a (b) inkorporáciou </w:t>
      </w:r>
      <w:proofErr w:type="spellStart"/>
      <w:r w:rsidRPr="00813409">
        <w:t>ganciklovirtrifosfátu</w:t>
      </w:r>
      <w:proofErr w:type="spellEnd"/>
      <w:r w:rsidRPr="00813409">
        <w:t xml:space="preserve"> do vírusovej DNA, čo spôsobí ukončenie </w:t>
      </w:r>
      <w:r w:rsidR="00811A20" w:rsidRPr="00813409">
        <w:t xml:space="preserve">ďalšieho predlžovania vírusovej DNA </w:t>
      </w:r>
      <w:r w:rsidRPr="00813409">
        <w:t>alebo</w:t>
      </w:r>
      <w:r w:rsidR="00811A20" w:rsidRPr="00813409">
        <w:t xml:space="preserve"> ho výrazne obmedzí.</w:t>
      </w:r>
    </w:p>
    <w:p w:rsidR="0035584F" w:rsidRPr="00813409" w:rsidRDefault="0035584F" w:rsidP="008C1DB1">
      <w:pPr>
        <w:ind w:left="0" w:firstLine="0"/>
        <w:rPr>
          <w:u w:val="single"/>
        </w:rPr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Antivírusová aktivita</w:t>
      </w:r>
    </w:p>
    <w:p w:rsidR="009C39F3" w:rsidRPr="00813409" w:rsidRDefault="009C39F3" w:rsidP="008C1DB1">
      <w:pPr>
        <w:ind w:left="0" w:firstLine="0"/>
      </w:pPr>
      <w:r w:rsidRPr="00813409">
        <w:t xml:space="preserve">Antivírusová aktivita </w:t>
      </w:r>
      <w:r w:rsidRPr="00813409">
        <w:rPr>
          <w:i/>
        </w:rPr>
        <w:t>in vitro,</w:t>
      </w:r>
      <w:r w:rsidRPr="00813409">
        <w:t xml:space="preserve"> meraná ako IC</w:t>
      </w:r>
      <w:r w:rsidRPr="00813409">
        <w:rPr>
          <w:vertAlign w:val="subscript"/>
        </w:rPr>
        <w:t>50</w:t>
      </w:r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proti CMV, je v rozsahu 0,08 </w:t>
      </w:r>
      <w:r w:rsidRPr="00813409">
        <w:sym w:font="Symbol" w:char="006D"/>
      </w:r>
      <w:r w:rsidRPr="00813409">
        <w:t>mol (0,002 </w:t>
      </w:r>
      <w:r w:rsidRPr="00813409">
        <w:sym w:font="Symbol" w:char="006D"/>
      </w:r>
      <w:r w:rsidRPr="00813409">
        <w:t>g/ml) do 14 </w:t>
      </w:r>
      <w:r w:rsidRPr="00813409">
        <w:sym w:font="Symbol" w:char="006D"/>
      </w:r>
      <w:r w:rsidRPr="00813409">
        <w:t>mol (3,5 </w:t>
      </w:r>
      <w:r w:rsidRPr="00813409">
        <w:sym w:font="Symbol" w:char="006D"/>
      </w:r>
      <w:r w:rsidRPr="00813409">
        <w:t>g/ml).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Klinický antivírusový účinok </w:t>
      </w:r>
      <w:proofErr w:type="spellStart"/>
      <w:r w:rsidR="005F6D1F" w:rsidRPr="00813409">
        <w:t>valgancik</w:t>
      </w:r>
      <w:r w:rsidR="0037584C" w:rsidRPr="00813409">
        <w:t>lovir</w:t>
      </w:r>
      <w:r w:rsidR="005F6D1F" w:rsidRPr="00813409">
        <w:t>u</w:t>
      </w:r>
      <w:proofErr w:type="spellEnd"/>
      <w:r w:rsidRPr="00813409">
        <w:t xml:space="preserve"> bol dokázaný pri liečbe pacientov s AIDS s novo diagnostikovanou CMV </w:t>
      </w:r>
      <w:proofErr w:type="spellStart"/>
      <w:r w:rsidRPr="00813409">
        <w:t>retinitídou</w:t>
      </w:r>
      <w:proofErr w:type="spellEnd"/>
      <w:r w:rsidRPr="00813409">
        <w:t xml:space="preserve">. Vylučovanie CMV močom kleslo zo 46 % pacientov (32/69) na začiatku štúdie na 7 pacientov (4/55) po štyroch týždňoch liečby </w:t>
      </w:r>
      <w:proofErr w:type="spellStart"/>
      <w:r w:rsidR="005F6D1F" w:rsidRPr="00813409">
        <w:t>valgancik</w:t>
      </w:r>
      <w:r w:rsidR="0037584C" w:rsidRPr="00813409">
        <w:t>lovir</w:t>
      </w:r>
      <w:r w:rsidR="005F6D1F" w:rsidRPr="00813409">
        <w:t>om</w:t>
      </w:r>
      <w:proofErr w:type="spellEnd"/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u w:val="single"/>
        </w:rPr>
      </w:pPr>
      <w:r w:rsidRPr="00813409">
        <w:rPr>
          <w:u w:val="single"/>
        </w:rPr>
        <w:t>Klinická účinnosť</w:t>
      </w:r>
      <w:r w:rsidR="00C9795C" w:rsidRPr="00813409">
        <w:rPr>
          <w:u w:val="single"/>
        </w:rPr>
        <w:t xml:space="preserve"> a bezpečnosť</w:t>
      </w:r>
    </w:p>
    <w:p w:rsidR="009C39F3" w:rsidRPr="00813409" w:rsidRDefault="009C39F3" w:rsidP="008C1DB1">
      <w:pPr>
        <w:ind w:left="0" w:firstLine="0"/>
      </w:pPr>
    </w:p>
    <w:p w:rsidR="00161A0F" w:rsidRPr="00813409" w:rsidRDefault="00161A0F" w:rsidP="007C342D">
      <w:pPr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Dospelí pacienti</w:t>
      </w:r>
    </w:p>
    <w:p w:rsidR="00161A0F" w:rsidRPr="00813409" w:rsidRDefault="00161A0F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F87A4E">
        <w:rPr>
          <w:i/>
        </w:rPr>
        <w:t xml:space="preserve">Liečba CMV </w:t>
      </w:r>
      <w:proofErr w:type="spellStart"/>
      <w:r w:rsidRPr="00F87A4E">
        <w:rPr>
          <w:i/>
        </w:rPr>
        <w:t>retinitídy</w:t>
      </w:r>
      <w:proofErr w:type="spellEnd"/>
      <w:r w:rsidR="000B2DD7">
        <w:rPr>
          <w:i/>
        </w:rPr>
        <w:t>:</w:t>
      </w:r>
    </w:p>
    <w:p w:rsidR="009C39F3" w:rsidRPr="00813409" w:rsidRDefault="009C39F3" w:rsidP="008C1DB1">
      <w:pPr>
        <w:ind w:left="0" w:firstLine="0"/>
      </w:pPr>
      <w:r w:rsidRPr="00813409">
        <w:t>Pacienti s </w:t>
      </w:r>
      <w:proofErr w:type="spellStart"/>
      <w:r w:rsidRPr="00813409">
        <w:t>novodiagnostikovanou</w:t>
      </w:r>
      <w:proofErr w:type="spellEnd"/>
      <w:r w:rsidRPr="00813409">
        <w:t xml:space="preserve"> CMV </w:t>
      </w:r>
      <w:proofErr w:type="spellStart"/>
      <w:r w:rsidRPr="00813409">
        <w:t>retinitídou</w:t>
      </w:r>
      <w:proofErr w:type="spellEnd"/>
      <w:r w:rsidRPr="00813409">
        <w:t xml:space="preserve"> boli v jednej štúdii </w:t>
      </w:r>
      <w:proofErr w:type="spellStart"/>
      <w:r w:rsidRPr="00813409">
        <w:t>randomizovaní</w:t>
      </w:r>
      <w:proofErr w:type="spellEnd"/>
      <w:r w:rsidRPr="00813409">
        <w:t xml:space="preserve"> na indukčnú liečbu, a to buď </w:t>
      </w:r>
      <w:proofErr w:type="spellStart"/>
      <w:r w:rsidR="00E35EBB" w:rsidRPr="00813409">
        <w:t>valgancik</w:t>
      </w:r>
      <w:r w:rsidR="0037584C" w:rsidRPr="00813409">
        <w:t>lovir</w:t>
      </w:r>
      <w:r w:rsidR="00E35EBB" w:rsidRPr="00813409">
        <w:t>om</w:t>
      </w:r>
      <w:proofErr w:type="spellEnd"/>
      <w:r w:rsidR="00E35EBB" w:rsidRPr="00813409">
        <w:t xml:space="preserve"> v dávke</w:t>
      </w:r>
      <w:r w:rsidRPr="00813409">
        <w:t xml:space="preserve"> 900 mg podávaným dvakrát denne alebo intravenózne podávaným </w:t>
      </w:r>
      <w:proofErr w:type="spellStart"/>
      <w:r w:rsidRPr="00813409">
        <w:t>ganciklovirom</w:t>
      </w:r>
      <w:proofErr w:type="spellEnd"/>
      <w:r w:rsidRPr="00813409">
        <w:t xml:space="preserve"> v dávke 5 mg/kg dvakrát denne. Podiel pacientov s progresiou CMV </w:t>
      </w:r>
      <w:proofErr w:type="spellStart"/>
      <w:r w:rsidRPr="00813409">
        <w:t>retinitídy</w:t>
      </w:r>
      <w:proofErr w:type="spellEnd"/>
      <w:r w:rsidRPr="00813409">
        <w:t xml:space="preserve">, potvrdenou fotograficky v 4. týždni liečby bol porovnateľný v oboch liečebných skupinách. K progresii došlo u 7 z 70 pacientov, ktorí sa liečili intravenóznym </w:t>
      </w:r>
      <w:proofErr w:type="spellStart"/>
      <w:r w:rsidRPr="00813409">
        <w:t>ganciklovirom</w:t>
      </w:r>
      <w:proofErr w:type="spellEnd"/>
      <w:r w:rsidRPr="00813409">
        <w:t xml:space="preserve"> a u 7 z 71 pacientov, ktorí sa liečili </w:t>
      </w:r>
      <w:proofErr w:type="spellStart"/>
      <w:r w:rsidRPr="00813409">
        <w:t>valganciklovirom</w:t>
      </w:r>
      <w:proofErr w:type="spellEnd"/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>Po liečbe dávkou, ktorá sa odporúča pre indukčnú liečbu, dostávali všetci pacienti v tejto štúdii udržiavaciu liečbu</w:t>
      </w:r>
      <w:r w:rsidR="00E76805" w:rsidRPr="00813409">
        <w:t xml:space="preserve"> </w:t>
      </w:r>
      <w:proofErr w:type="spellStart"/>
      <w:r w:rsidR="00E35EBB" w:rsidRPr="00813409">
        <w:t>valganciklovirom</w:t>
      </w:r>
      <w:proofErr w:type="spellEnd"/>
      <w:r w:rsidR="00E35EBB" w:rsidRPr="00813409">
        <w:t xml:space="preserve"> </w:t>
      </w:r>
      <w:r w:rsidRPr="00813409">
        <w:t xml:space="preserve">v dávke 900 mg </w:t>
      </w:r>
      <w:r w:rsidR="002A2DD5" w:rsidRPr="00813409">
        <w:t xml:space="preserve">raz </w:t>
      </w:r>
      <w:r w:rsidRPr="00813409">
        <w:t xml:space="preserve">denne. Priemerný čas od </w:t>
      </w:r>
      <w:proofErr w:type="spellStart"/>
      <w:r w:rsidRPr="00813409">
        <w:t>randomizácie</w:t>
      </w:r>
      <w:proofErr w:type="spellEnd"/>
      <w:r w:rsidRPr="00813409">
        <w:t xml:space="preserve"> do progresie CMV </w:t>
      </w:r>
      <w:proofErr w:type="spellStart"/>
      <w:r w:rsidRPr="00813409">
        <w:t>retinitídy</w:t>
      </w:r>
      <w:proofErr w:type="spellEnd"/>
      <w:r w:rsidRPr="00813409">
        <w:t xml:space="preserve"> v skupine pacientov, ktorá dostávala indukčnú aj udržiavaciu liečbu </w:t>
      </w:r>
      <w:proofErr w:type="spellStart"/>
      <w:r w:rsidR="00E35EBB" w:rsidRPr="00813409">
        <w:t>valgancik</w:t>
      </w:r>
      <w:r w:rsidR="0037584C" w:rsidRPr="00813409">
        <w:t>lovir</w:t>
      </w:r>
      <w:r w:rsidR="00E35EBB" w:rsidRPr="00813409">
        <w:t>om</w:t>
      </w:r>
      <w:proofErr w:type="spellEnd"/>
      <w:r w:rsidRPr="00813409">
        <w:t xml:space="preserve">, bol 226 dní, medián tohto času bol 160 dní. V skupine pacientov, ktorá dostávala indukčnú liečbu intravenóznym </w:t>
      </w:r>
      <w:proofErr w:type="spellStart"/>
      <w:r w:rsidRPr="00813409">
        <w:t>ganciklovirom</w:t>
      </w:r>
      <w:proofErr w:type="spellEnd"/>
      <w:r w:rsidRPr="00813409">
        <w:t xml:space="preserve"> a udržiavaciu liečbu </w:t>
      </w:r>
      <w:proofErr w:type="spellStart"/>
      <w:r w:rsidR="00E35EBB" w:rsidRPr="00813409">
        <w:t>valgancik</w:t>
      </w:r>
      <w:r w:rsidR="0037584C" w:rsidRPr="00813409">
        <w:t>lovir</w:t>
      </w:r>
      <w:r w:rsidR="00E35EBB" w:rsidRPr="00813409">
        <w:t>om</w:t>
      </w:r>
      <w:proofErr w:type="spellEnd"/>
      <w:r w:rsidRPr="00813409">
        <w:t xml:space="preserve">, bol priemerný čas od </w:t>
      </w:r>
      <w:proofErr w:type="spellStart"/>
      <w:r w:rsidRPr="00813409">
        <w:t>randomizácie</w:t>
      </w:r>
      <w:proofErr w:type="spellEnd"/>
      <w:r w:rsidRPr="00813409">
        <w:t xml:space="preserve"> do progresie CMV </w:t>
      </w:r>
      <w:proofErr w:type="spellStart"/>
      <w:r w:rsidRPr="00813409">
        <w:t>retinitídy</w:t>
      </w:r>
      <w:proofErr w:type="spellEnd"/>
      <w:r w:rsidRPr="00813409">
        <w:t xml:space="preserve"> 219 dní a medián 125 dní.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Prevencia CMV ochorenia pri transplantácii:</w:t>
      </w:r>
    </w:p>
    <w:p w:rsidR="009C39F3" w:rsidRPr="00813409" w:rsidRDefault="009C39F3" w:rsidP="008C1DB1">
      <w:pPr>
        <w:ind w:left="0" w:firstLine="0"/>
      </w:pPr>
      <w:r w:rsidRPr="00813409">
        <w:t>U pacientov po transplantácii srdca, pečene a obličky (do štúdie neboli zahrnutí pacienti po transplantácii pľúc a </w:t>
      </w:r>
      <w:proofErr w:type="spellStart"/>
      <w:r w:rsidRPr="00813409">
        <w:t>gastrointestinálneho</w:t>
      </w:r>
      <w:proofErr w:type="spellEnd"/>
      <w:r w:rsidRPr="00813409">
        <w:t xml:space="preserve"> traktu) s vysokým rizikom CMV ochorenia (D+/R-) sa uskutočnila dvojito zaslepená, dvojitým placebom kontrolovaná klinická porovnávacia štúdia. Títo pacienti dostávali buď </w:t>
      </w:r>
      <w:proofErr w:type="spellStart"/>
      <w:r w:rsidR="009E4D60" w:rsidRPr="00813409">
        <w:t>v</w:t>
      </w:r>
      <w:r w:rsidR="0037584C" w:rsidRPr="00813409">
        <w:t>alganci</w:t>
      </w:r>
      <w:r w:rsidR="009E4D60" w:rsidRPr="00813409">
        <w:t>k</w:t>
      </w:r>
      <w:r w:rsidR="0037584C" w:rsidRPr="00813409">
        <w:t>lovir</w:t>
      </w:r>
      <w:proofErr w:type="spellEnd"/>
      <w:r w:rsidR="0037584C" w:rsidRPr="00813409">
        <w:t xml:space="preserve"> </w:t>
      </w:r>
      <w:r w:rsidRPr="00813409">
        <w:t xml:space="preserve">(900 mg </w:t>
      </w:r>
      <w:r w:rsidR="0074750D">
        <w:t>jedenkrát</w:t>
      </w:r>
      <w:r w:rsidR="00541ED2" w:rsidRPr="00813409">
        <w:t xml:space="preserve"> denne</w:t>
      </w:r>
      <w:r w:rsidRPr="00813409">
        <w:t xml:space="preserve">) alebo perorálny </w:t>
      </w:r>
      <w:proofErr w:type="spellStart"/>
      <w:r w:rsidRPr="00813409">
        <w:t>ganciklovir</w:t>
      </w:r>
      <w:proofErr w:type="spellEnd"/>
      <w:r w:rsidRPr="00813409">
        <w:t xml:space="preserve"> (1</w:t>
      </w:r>
      <w:r w:rsidR="006A4884" w:rsidRPr="00813409">
        <w:t> </w:t>
      </w:r>
      <w:r w:rsidRPr="00813409">
        <w:t xml:space="preserve">000 mg trikrát denne) </w:t>
      </w:r>
      <w:r w:rsidR="006A4884" w:rsidRPr="00813409">
        <w:t xml:space="preserve">so začiatkom liečby </w:t>
      </w:r>
      <w:r w:rsidRPr="00813409">
        <w:t xml:space="preserve">v priebehu 10 dní od transplantácie do dňa 100 po transplantácii. Výskyt CMV ochorenia (CMV syndróm + tkanivovo invazívne ochorenie) bol počas prvých </w:t>
      </w:r>
      <w:r w:rsidR="009E4D60" w:rsidRPr="00813409">
        <w:t xml:space="preserve">6 </w:t>
      </w:r>
      <w:r w:rsidRPr="00813409">
        <w:t xml:space="preserve">mesiacov po transplantácii 12,1 % v skupine dostávajúcej </w:t>
      </w:r>
      <w:proofErr w:type="spellStart"/>
      <w:r w:rsidR="009E4D60" w:rsidRPr="00813409">
        <w:t>valgancik</w:t>
      </w:r>
      <w:r w:rsidR="0037584C" w:rsidRPr="00813409">
        <w:t>lovir</w:t>
      </w:r>
      <w:proofErr w:type="spellEnd"/>
      <w:r w:rsidRPr="00813409">
        <w:t xml:space="preserve"> (n=239) v porovnaní s 15,2 % v skupine dostávajúcej perorálny </w:t>
      </w:r>
      <w:proofErr w:type="spellStart"/>
      <w:r w:rsidRPr="00813409">
        <w:t>ganciklovir</w:t>
      </w:r>
      <w:proofErr w:type="spellEnd"/>
      <w:r w:rsidRPr="00813409">
        <w:t xml:space="preserve"> (n=125). Veľká väčšina prípadov, ktoré sa pozorovali po ukončení profylaxie (po 100. dni) a prípadov v skupine, ktorá dostávala </w:t>
      </w:r>
      <w:proofErr w:type="spellStart"/>
      <w:r w:rsidRPr="00813409">
        <w:t>valganciklovir</w:t>
      </w:r>
      <w:proofErr w:type="spellEnd"/>
      <w:r w:rsidRPr="00813409">
        <w:t xml:space="preserve">, </w:t>
      </w:r>
      <w:r w:rsidRPr="00813409">
        <w:lastRenderedPageBreak/>
        <w:t xml:space="preserve">sa vyskytovala v priemere neskôr v porovnaní so skupinou, ktorá dostávala perorálny </w:t>
      </w:r>
      <w:proofErr w:type="spellStart"/>
      <w:r w:rsidRPr="00813409">
        <w:t>ganciklovir</w:t>
      </w:r>
      <w:proofErr w:type="spellEnd"/>
      <w:r w:rsidRPr="00813409">
        <w:t xml:space="preserve">. Výskyt akútneho odvrhnutia transplantátu počas prvých </w:t>
      </w:r>
      <w:r w:rsidR="009E4D60" w:rsidRPr="00813409">
        <w:t xml:space="preserve">6 </w:t>
      </w:r>
      <w:r w:rsidRPr="00813409">
        <w:t xml:space="preserve">mesiacov bol 29,7 % u pacientov, ktorí boli </w:t>
      </w:r>
      <w:proofErr w:type="spellStart"/>
      <w:r w:rsidRPr="00813409">
        <w:t>randomizovaní</w:t>
      </w:r>
      <w:proofErr w:type="spellEnd"/>
      <w:r w:rsidRPr="00813409">
        <w:t xml:space="preserve"> na </w:t>
      </w:r>
      <w:proofErr w:type="spellStart"/>
      <w:r w:rsidRPr="00813409">
        <w:t>valganciklovir</w:t>
      </w:r>
      <w:proofErr w:type="spellEnd"/>
      <w:r w:rsidRPr="00813409">
        <w:t xml:space="preserve"> v porovnaní s 36,0 % v skupine, ktorá dostávala perorálny </w:t>
      </w:r>
      <w:proofErr w:type="spellStart"/>
      <w:r w:rsidRPr="00813409">
        <w:t>ganciklovir</w:t>
      </w:r>
      <w:proofErr w:type="spellEnd"/>
      <w:r w:rsidRPr="00813409">
        <w:t>. Výskyt straty štepu bol ekvivalentný, a to u 0,8 % pacientov v každej skupine.</w:t>
      </w:r>
    </w:p>
    <w:p w:rsidR="009C39F3" w:rsidRPr="00813409" w:rsidRDefault="009C39F3" w:rsidP="008C1DB1">
      <w:pPr>
        <w:ind w:left="0" w:firstLine="0"/>
      </w:pPr>
    </w:p>
    <w:p w:rsidR="009E4D60" w:rsidRPr="00813409" w:rsidRDefault="009C39F3" w:rsidP="009D586A">
      <w:pPr>
        <w:ind w:left="0" w:firstLine="0"/>
        <w:rPr>
          <w:rFonts w:eastAsia="PMingLiU"/>
          <w:lang w:eastAsia="zh-TW"/>
        </w:rPr>
      </w:pPr>
      <w:r w:rsidRPr="00813409">
        <w:rPr>
          <w:rFonts w:eastAsia="PMingLiU"/>
          <w:lang w:eastAsia="zh-TW"/>
        </w:rPr>
        <w:t xml:space="preserve">U 326 pacientov po transplantácii obličky s vysokým rizikom CMV ochorenia </w:t>
      </w:r>
      <w:r w:rsidRPr="00813409">
        <w:t>(D+/R-) sa uskutočnila dvojito zaslepená</w:t>
      </w:r>
      <w:r w:rsidRPr="00813409">
        <w:rPr>
          <w:rFonts w:eastAsia="PMingLiU"/>
          <w:lang w:eastAsia="zh-TW"/>
        </w:rPr>
        <w:t>, placebom kontrolovaná klinická štúdia na zhodnotenie účinnosti a bezpečnosti predĺžen</w:t>
      </w:r>
      <w:r w:rsidR="00306D46" w:rsidRPr="00813409">
        <w:rPr>
          <w:rFonts w:eastAsia="PMingLiU"/>
          <w:lang w:eastAsia="zh-TW"/>
        </w:rPr>
        <w:t>ej CMV profylaxie</w:t>
      </w:r>
      <w:r w:rsidRPr="00813409">
        <w:rPr>
          <w:rFonts w:eastAsia="PMingLiU"/>
          <w:lang w:eastAsia="zh-TW"/>
        </w:rPr>
        <w:t xml:space="preserve"> </w:t>
      </w:r>
      <w:proofErr w:type="spellStart"/>
      <w:r w:rsidR="009E4D60" w:rsidRPr="00813409">
        <w:rPr>
          <w:rFonts w:eastAsia="PMingLiU"/>
          <w:lang w:eastAsia="zh-TW"/>
        </w:rPr>
        <w:t>valgancik</w:t>
      </w:r>
      <w:r w:rsidR="0037584C" w:rsidRPr="00813409">
        <w:rPr>
          <w:rFonts w:eastAsia="PMingLiU"/>
          <w:lang w:eastAsia="zh-TW"/>
        </w:rPr>
        <w:t>lovir</w:t>
      </w:r>
      <w:r w:rsidR="009E4D60" w:rsidRPr="00813409">
        <w:rPr>
          <w:rFonts w:eastAsia="PMingLiU"/>
          <w:lang w:eastAsia="zh-TW"/>
        </w:rPr>
        <w:t>om</w:t>
      </w:r>
      <w:proofErr w:type="spellEnd"/>
      <w:r w:rsidRPr="00813409">
        <w:rPr>
          <w:rFonts w:eastAsia="PMingLiU"/>
          <w:lang w:eastAsia="zh-TW"/>
        </w:rPr>
        <w:t xml:space="preserve"> </w:t>
      </w:r>
      <w:r w:rsidR="00306D46" w:rsidRPr="00813409">
        <w:rPr>
          <w:rFonts w:eastAsia="PMingLiU"/>
          <w:lang w:eastAsia="zh-TW"/>
        </w:rPr>
        <w:t xml:space="preserve">po transplantácii </w:t>
      </w:r>
      <w:r w:rsidRPr="00813409">
        <w:rPr>
          <w:rFonts w:eastAsia="PMingLiU"/>
          <w:lang w:eastAsia="zh-TW"/>
        </w:rPr>
        <w:t xml:space="preserve">zo 100 dní na 200 dní. Pacienti boli </w:t>
      </w:r>
      <w:proofErr w:type="spellStart"/>
      <w:r w:rsidRPr="00813409">
        <w:rPr>
          <w:rFonts w:eastAsia="PMingLiU"/>
          <w:lang w:eastAsia="zh-TW"/>
        </w:rPr>
        <w:t>randomizovaní</w:t>
      </w:r>
      <w:proofErr w:type="spellEnd"/>
      <w:r w:rsidRPr="00813409">
        <w:rPr>
          <w:rFonts w:eastAsia="PMingLiU"/>
          <w:lang w:eastAsia="zh-TW"/>
        </w:rPr>
        <w:t xml:space="preserve"> (v pomere 1:1) na liečbu </w:t>
      </w:r>
      <w:proofErr w:type="spellStart"/>
      <w:r w:rsidR="009E4D60" w:rsidRPr="00813409">
        <w:rPr>
          <w:rFonts w:eastAsia="PMingLiU"/>
          <w:lang w:eastAsia="zh-TW"/>
        </w:rPr>
        <w:t>valgancik</w:t>
      </w:r>
      <w:r w:rsidR="0037584C" w:rsidRPr="00813409">
        <w:rPr>
          <w:rFonts w:eastAsia="PMingLiU"/>
          <w:lang w:eastAsia="zh-TW"/>
        </w:rPr>
        <w:t>lovir</w:t>
      </w:r>
      <w:r w:rsidR="009E4D60" w:rsidRPr="00813409">
        <w:rPr>
          <w:rFonts w:eastAsia="PMingLiU"/>
          <w:lang w:eastAsia="zh-TW"/>
        </w:rPr>
        <w:t>om</w:t>
      </w:r>
      <w:proofErr w:type="spellEnd"/>
      <w:r w:rsidRPr="00813409">
        <w:rPr>
          <w:rFonts w:eastAsia="PMingLiU"/>
          <w:lang w:eastAsia="zh-TW"/>
        </w:rPr>
        <w:t xml:space="preserve"> (900</w:t>
      </w:r>
      <w:r w:rsidR="007B3A0D" w:rsidRPr="00813409">
        <w:rPr>
          <w:rFonts w:eastAsia="PMingLiU"/>
          <w:lang w:eastAsia="zh-TW"/>
        </w:rPr>
        <w:t> </w:t>
      </w:r>
      <w:r w:rsidRPr="00813409">
        <w:rPr>
          <w:rFonts w:eastAsia="PMingLiU"/>
          <w:lang w:eastAsia="zh-TW"/>
        </w:rPr>
        <w:t xml:space="preserve">mg </w:t>
      </w:r>
      <w:r w:rsidR="0074750D">
        <w:rPr>
          <w:rFonts w:eastAsia="PMingLiU"/>
          <w:lang w:eastAsia="zh-TW"/>
        </w:rPr>
        <w:t>jedenkrá</w:t>
      </w:r>
      <w:r w:rsidR="0074750D" w:rsidRPr="0074750D">
        <w:rPr>
          <w:rFonts w:eastAsia="PMingLiU"/>
          <w:lang w:eastAsia="zh-TW"/>
        </w:rPr>
        <w:t>t</w:t>
      </w:r>
      <w:r w:rsidR="00CE4072">
        <w:rPr>
          <w:rFonts w:eastAsia="PMingLiU"/>
          <w:lang w:eastAsia="zh-TW"/>
        </w:rPr>
        <w:t xml:space="preserve"> </w:t>
      </w:r>
      <w:r w:rsidRPr="00813409">
        <w:rPr>
          <w:rFonts w:eastAsia="PMingLiU"/>
          <w:lang w:eastAsia="zh-TW"/>
        </w:rPr>
        <w:t>denne) v priebehu 10 dní od transplantácie buď do 200. dňa po transplantácii, alebo do 100. dňa po transplantácii, po ktorom nasledovalo podávanie placeba po obdobie ďalších 100 dní.</w:t>
      </w:r>
      <w:r w:rsidR="00810625" w:rsidRPr="00813409">
        <w:rPr>
          <w:rFonts w:eastAsia="PMingLiU"/>
          <w:lang w:eastAsia="zh-TW"/>
        </w:rPr>
        <w:t xml:space="preserve"> </w:t>
      </w:r>
    </w:p>
    <w:p w:rsidR="009E4D60" w:rsidRPr="00813409" w:rsidRDefault="009E4D60" w:rsidP="009D586A">
      <w:pPr>
        <w:ind w:left="0" w:firstLine="0"/>
        <w:rPr>
          <w:rFonts w:eastAsia="PMingLiU"/>
          <w:lang w:eastAsia="zh-TW"/>
        </w:rPr>
      </w:pPr>
    </w:p>
    <w:p w:rsidR="009C39F3" w:rsidRPr="00813409" w:rsidRDefault="009C39F3" w:rsidP="009D586A">
      <w:pPr>
        <w:ind w:left="0" w:firstLine="0"/>
        <w:rPr>
          <w:rFonts w:eastAsia="PMingLiU"/>
          <w:lang w:eastAsia="zh-TW"/>
        </w:rPr>
      </w:pPr>
      <w:r w:rsidRPr="00813409">
        <w:rPr>
          <w:rFonts w:eastAsia="PMingLiU"/>
          <w:lang w:eastAsia="zh-TW"/>
        </w:rPr>
        <w:t>Podiel pacientov, u ktorých sa vyskytlo CMV ochorenie počas prvých 12 mesiacov po transplantácii, sa uvádza v tabuľke nižšie.</w:t>
      </w:r>
    </w:p>
    <w:p w:rsidR="009C39F3" w:rsidRPr="00813409" w:rsidRDefault="009C39F3" w:rsidP="008C1DB1">
      <w:pPr>
        <w:ind w:left="0" w:firstLine="0"/>
        <w:rPr>
          <w:rFonts w:eastAsia="PMingLiU"/>
          <w:lang w:eastAsia="zh-TW"/>
        </w:rPr>
      </w:pPr>
    </w:p>
    <w:p w:rsidR="009C39F3" w:rsidRPr="00813409" w:rsidRDefault="009C39F3" w:rsidP="008C1DB1">
      <w:pPr>
        <w:ind w:left="0" w:firstLine="0"/>
        <w:rPr>
          <w:rFonts w:eastAsia="PMingLiU"/>
          <w:b/>
        </w:rPr>
      </w:pPr>
      <w:r w:rsidRPr="00813409">
        <w:rPr>
          <w:rFonts w:eastAsia="PMingLiU"/>
          <w:b/>
        </w:rPr>
        <w:t>Percento pacientov po transplantácii obličky s CMV ochorením</w:t>
      </w:r>
      <w:r w:rsidRPr="00813409">
        <w:rPr>
          <w:rFonts w:eastAsia="PMingLiU"/>
          <w:b/>
          <w:vertAlign w:val="superscript"/>
        </w:rPr>
        <w:t>1</w:t>
      </w:r>
      <w:r w:rsidRPr="00813409">
        <w:rPr>
          <w:rFonts w:eastAsia="PMingLiU"/>
          <w:b/>
        </w:rPr>
        <w:t xml:space="preserve">; populácia ITT po 12 </w:t>
      </w:r>
      <w:proofErr w:type="spellStart"/>
      <w:r w:rsidRPr="00813409">
        <w:rPr>
          <w:rFonts w:eastAsia="PMingLiU"/>
          <w:b/>
        </w:rPr>
        <w:t>mesiacoch</w:t>
      </w:r>
      <w:r w:rsidRPr="00813409">
        <w:rPr>
          <w:rFonts w:eastAsia="PMingLiU"/>
          <w:b/>
          <w:vertAlign w:val="superscript"/>
        </w:rPr>
        <w:t>A</w:t>
      </w:r>
      <w:proofErr w:type="spell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1882"/>
        <w:gridCol w:w="1882"/>
        <w:gridCol w:w="1883"/>
      </w:tblGrid>
      <w:tr w:rsidR="009C39F3" w:rsidRPr="00813409">
        <w:tc>
          <w:tcPr>
            <w:tcW w:w="3108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proofErr w:type="spellStart"/>
            <w:r w:rsidRPr="00813409">
              <w:rPr>
                <w:b/>
              </w:rPr>
              <w:t>Valganciklovir</w:t>
            </w:r>
            <w:proofErr w:type="spellEnd"/>
            <w:r w:rsidRPr="00813409">
              <w:rPr>
                <w:rFonts w:eastAsia="PMingLiU"/>
                <w:b/>
              </w:rPr>
              <w:t xml:space="preserve"> </w:t>
            </w:r>
          </w:p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900</w:t>
            </w:r>
            <w:r w:rsidR="007B3A0D" w:rsidRPr="00813409">
              <w:rPr>
                <w:rFonts w:eastAsia="PMingLiU"/>
                <w:b/>
              </w:rPr>
              <w:t> </w:t>
            </w:r>
            <w:r w:rsidRPr="00813409">
              <w:rPr>
                <w:rFonts w:eastAsia="PMingLiU"/>
                <w:b/>
              </w:rPr>
              <w:t>mg denne</w:t>
            </w:r>
          </w:p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100 dní</w:t>
            </w:r>
          </w:p>
          <w:p w:rsidR="009C39F3" w:rsidRPr="00813409" w:rsidRDefault="007A11E7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(</w:t>
            </w:r>
            <w:r w:rsidR="009C39F3" w:rsidRPr="00813409">
              <w:rPr>
                <w:rFonts w:eastAsia="PMingLiU"/>
                <w:b/>
              </w:rPr>
              <w:t>N = 163</w:t>
            </w:r>
            <w:r w:rsidRPr="00813409">
              <w:rPr>
                <w:rFonts w:eastAsia="PMingLiU"/>
                <w:b/>
              </w:rPr>
              <w:t>)</w:t>
            </w: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proofErr w:type="spellStart"/>
            <w:r w:rsidRPr="00813409">
              <w:rPr>
                <w:b/>
              </w:rPr>
              <w:t>Valganciklovir</w:t>
            </w:r>
            <w:proofErr w:type="spellEnd"/>
            <w:r w:rsidRPr="00813409">
              <w:rPr>
                <w:rFonts w:eastAsia="PMingLiU"/>
                <w:b/>
              </w:rPr>
              <w:t xml:space="preserve"> </w:t>
            </w:r>
          </w:p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900</w:t>
            </w:r>
            <w:r w:rsidR="007B3A0D" w:rsidRPr="00813409">
              <w:rPr>
                <w:rFonts w:eastAsia="PMingLiU"/>
                <w:b/>
              </w:rPr>
              <w:t> </w:t>
            </w:r>
            <w:r w:rsidRPr="00813409">
              <w:rPr>
                <w:rFonts w:eastAsia="PMingLiU"/>
                <w:b/>
              </w:rPr>
              <w:t>mg denne</w:t>
            </w:r>
          </w:p>
          <w:p w:rsidR="009C39F3" w:rsidRPr="00813409" w:rsidRDefault="009C39F3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200 dní</w:t>
            </w:r>
          </w:p>
          <w:p w:rsidR="009C39F3" w:rsidRPr="00813409" w:rsidRDefault="007A11E7" w:rsidP="008C1DB1">
            <w:pPr>
              <w:ind w:left="0" w:firstLine="0"/>
              <w:rPr>
                <w:rFonts w:eastAsia="PMingLiU"/>
                <w:b/>
              </w:rPr>
            </w:pPr>
            <w:r w:rsidRPr="00813409">
              <w:rPr>
                <w:rFonts w:eastAsia="PMingLiU"/>
                <w:b/>
              </w:rPr>
              <w:t>(</w:t>
            </w:r>
            <w:r w:rsidR="009C39F3" w:rsidRPr="00813409">
              <w:rPr>
                <w:rFonts w:eastAsia="PMingLiU"/>
                <w:b/>
              </w:rPr>
              <w:t>N = 155</w:t>
            </w:r>
            <w:r w:rsidRPr="00813409">
              <w:rPr>
                <w:rFonts w:eastAsia="PMingLiU"/>
                <w:b/>
              </w:rPr>
              <w:t>)</w:t>
            </w:r>
          </w:p>
        </w:tc>
        <w:tc>
          <w:tcPr>
            <w:tcW w:w="1883" w:type="dxa"/>
          </w:tcPr>
          <w:p w:rsidR="007B3A0D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Rozdiel medzi</w:t>
            </w:r>
          </w:p>
          <w:p w:rsidR="007B3A0D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liečebnými</w:t>
            </w:r>
          </w:p>
          <w:p w:rsidR="009C39F3" w:rsidRPr="00813409" w:rsidRDefault="009C39F3" w:rsidP="008C1DB1">
            <w:pPr>
              <w:ind w:left="0" w:firstLine="0"/>
              <w:jc w:val="center"/>
              <w:rPr>
                <w:b/>
              </w:rPr>
            </w:pPr>
            <w:r w:rsidRPr="00813409">
              <w:rPr>
                <w:b/>
              </w:rPr>
              <w:t>skupinami</w:t>
            </w:r>
          </w:p>
        </w:tc>
      </w:tr>
      <w:tr w:rsidR="009C39F3" w:rsidRPr="00813409">
        <w:tc>
          <w:tcPr>
            <w:tcW w:w="3108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Pacienti s potvrdeným alebo predpokladaným CMV ochorením</w:t>
            </w:r>
            <w:r w:rsidRPr="00813409">
              <w:rPr>
                <w:rFonts w:eastAsia="PMingLiU"/>
                <w:vertAlign w:val="superscript"/>
              </w:rPr>
              <w:t>2</w:t>
            </w: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71 (43,6 %)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[35,8 %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51,5 %]</w:t>
            </w: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36 (23,2 %)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[16,8 %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30,7 %]</w:t>
            </w:r>
          </w:p>
        </w:tc>
        <w:tc>
          <w:tcPr>
            <w:tcW w:w="1883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  <w:lang w:eastAsia="zh-TW"/>
              </w:rPr>
            </w:pPr>
            <w:r w:rsidRPr="00813409">
              <w:rPr>
                <w:rFonts w:eastAsia="PMingLiU"/>
                <w:lang w:eastAsia="zh-TW"/>
              </w:rPr>
              <w:t>20,3 %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  <w:lang w:eastAsia="zh-TW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  <w:lang w:eastAsia="zh-TW"/>
              </w:rPr>
              <w:t>[9,9 %</w:t>
            </w:r>
            <w:r w:rsidR="007A11E7" w:rsidRPr="00813409">
              <w:rPr>
                <w:rFonts w:eastAsia="PMingLiU"/>
                <w:lang w:eastAsia="zh-TW"/>
              </w:rPr>
              <w:t>,</w:t>
            </w:r>
            <w:r w:rsidRPr="00813409">
              <w:rPr>
                <w:rFonts w:eastAsia="PMingLiU"/>
                <w:lang w:eastAsia="zh-TW"/>
              </w:rPr>
              <w:t xml:space="preserve"> 30,8 %]</w:t>
            </w:r>
          </w:p>
        </w:tc>
      </w:tr>
      <w:tr w:rsidR="009C39F3" w:rsidRPr="00813409">
        <w:tc>
          <w:tcPr>
            <w:tcW w:w="3108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Pacienti s potvrdeným CMV ochorením</w:t>
            </w: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60 (36,8 %)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[29,4 %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44,7 %]</w:t>
            </w:r>
          </w:p>
        </w:tc>
        <w:tc>
          <w:tcPr>
            <w:tcW w:w="1882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25 (16,1 %)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</w:rPr>
              <w:t>[10,7 %</w:t>
            </w:r>
            <w:r w:rsidR="007A11E7" w:rsidRPr="00813409">
              <w:rPr>
                <w:rFonts w:eastAsia="PMingLiU"/>
              </w:rPr>
              <w:t>,</w:t>
            </w:r>
            <w:r w:rsidRPr="00813409">
              <w:rPr>
                <w:rFonts w:eastAsia="PMingLiU"/>
              </w:rPr>
              <w:t xml:space="preserve"> 22,9 %]</w:t>
            </w:r>
          </w:p>
        </w:tc>
        <w:tc>
          <w:tcPr>
            <w:tcW w:w="1883" w:type="dxa"/>
          </w:tcPr>
          <w:p w:rsidR="009C39F3" w:rsidRPr="00813409" w:rsidRDefault="009C39F3" w:rsidP="008C1DB1">
            <w:pPr>
              <w:ind w:left="0" w:firstLine="0"/>
              <w:rPr>
                <w:rFonts w:eastAsia="PMingLiU"/>
                <w:lang w:eastAsia="zh-TW"/>
              </w:rPr>
            </w:pPr>
            <w:r w:rsidRPr="00813409">
              <w:rPr>
                <w:rFonts w:eastAsia="PMingLiU"/>
                <w:lang w:eastAsia="zh-TW"/>
              </w:rPr>
              <w:t>20,7 %</w:t>
            </w:r>
          </w:p>
          <w:p w:rsidR="009E4D60" w:rsidRPr="00813409" w:rsidRDefault="009E4D60" w:rsidP="008C1DB1">
            <w:pPr>
              <w:ind w:left="0" w:firstLine="0"/>
              <w:rPr>
                <w:rFonts w:eastAsia="PMingLiU"/>
                <w:lang w:eastAsia="zh-TW"/>
              </w:rPr>
            </w:pPr>
          </w:p>
          <w:p w:rsidR="009C39F3" w:rsidRPr="00813409" w:rsidRDefault="009C39F3" w:rsidP="008C1DB1">
            <w:pPr>
              <w:ind w:left="0" w:firstLine="0"/>
              <w:rPr>
                <w:rFonts w:eastAsia="PMingLiU"/>
              </w:rPr>
            </w:pPr>
            <w:r w:rsidRPr="00813409">
              <w:rPr>
                <w:rFonts w:eastAsia="PMingLiU"/>
                <w:lang w:eastAsia="zh-TW"/>
              </w:rPr>
              <w:t>[10,9 %</w:t>
            </w:r>
            <w:r w:rsidR="007A11E7" w:rsidRPr="00813409">
              <w:rPr>
                <w:rFonts w:eastAsia="PMingLiU"/>
                <w:lang w:eastAsia="zh-TW"/>
              </w:rPr>
              <w:t>,</w:t>
            </w:r>
            <w:r w:rsidRPr="00813409">
              <w:rPr>
                <w:rFonts w:eastAsia="PMingLiU"/>
                <w:lang w:eastAsia="zh-TW"/>
              </w:rPr>
              <w:t xml:space="preserve"> 30,4 %]</w:t>
            </w:r>
          </w:p>
        </w:tc>
      </w:tr>
    </w:tbl>
    <w:p w:rsidR="009E4D60" w:rsidRPr="00813409" w:rsidRDefault="009E4D60" w:rsidP="009D586A">
      <w:pPr>
        <w:ind w:left="0" w:firstLine="0"/>
        <w:rPr>
          <w:rFonts w:eastAsia="PMingLiU"/>
          <w:sz w:val="20"/>
          <w:szCs w:val="20"/>
          <w:vertAlign w:val="superscript"/>
        </w:rPr>
      </w:pPr>
    </w:p>
    <w:p w:rsidR="009C39F3" w:rsidRPr="00813409" w:rsidRDefault="009C39F3" w:rsidP="009D586A">
      <w:pPr>
        <w:ind w:left="0" w:firstLine="0"/>
        <w:rPr>
          <w:rFonts w:eastAsia="PMingLiU"/>
          <w:sz w:val="20"/>
          <w:szCs w:val="20"/>
        </w:rPr>
      </w:pPr>
      <w:r w:rsidRPr="00813409">
        <w:rPr>
          <w:rFonts w:eastAsia="PMingLiU"/>
          <w:sz w:val="20"/>
          <w:szCs w:val="20"/>
          <w:vertAlign w:val="superscript"/>
        </w:rPr>
        <w:t xml:space="preserve">1 </w:t>
      </w:r>
      <w:r w:rsidRPr="00813409">
        <w:rPr>
          <w:rFonts w:eastAsia="PMingLiU"/>
          <w:sz w:val="20"/>
          <w:szCs w:val="20"/>
        </w:rPr>
        <w:t>CMV ochorenie je definované buď ako CMV syndróm alebo tkanivovo invazívny CMV.</w:t>
      </w:r>
    </w:p>
    <w:p w:rsidR="009C39F3" w:rsidRPr="00813409" w:rsidRDefault="009C39F3" w:rsidP="006A119E">
      <w:pPr>
        <w:ind w:left="0" w:firstLine="0"/>
        <w:rPr>
          <w:sz w:val="20"/>
          <w:szCs w:val="20"/>
        </w:rPr>
      </w:pPr>
      <w:r w:rsidRPr="00813409">
        <w:rPr>
          <w:sz w:val="20"/>
          <w:szCs w:val="20"/>
          <w:vertAlign w:val="superscript"/>
        </w:rPr>
        <w:t>2</w:t>
      </w:r>
      <w:r w:rsidRPr="00813409">
        <w:rPr>
          <w:sz w:val="20"/>
          <w:szCs w:val="20"/>
        </w:rPr>
        <w:t xml:space="preserve"> Potvrdený CMV je klinicky potvrdený prípad CMV ochorenia. </w:t>
      </w:r>
      <w:r w:rsidR="006A119E" w:rsidRPr="00813409">
        <w:rPr>
          <w:sz w:val="20"/>
          <w:szCs w:val="20"/>
        </w:rPr>
        <w:t>U pacientov sa p</w:t>
      </w:r>
      <w:r w:rsidRPr="00813409">
        <w:rPr>
          <w:sz w:val="20"/>
          <w:szCs w:val="20"/>
        </w:rPr>
        <w:t xml:space="preserve">redpokladalo, že </w:t>
      </w:r>
      <w:r w:rsidR="006A119E" w:rsidRPr="00813409">
        <w:rPr>
          <w:sz w:val="20"/>
          <w:szCs w:val="20"/>
        </w:rPr>
        <w:t>by mohli mať</w:t>
      </w:r>
      <w:r w:rsidRPr="00813409">
        <w:rPr>
          <w:sz w:val="20"/>
          <w:szCs w:val="20"/>
        </w:rPr>
        <w:t xml:space="preserve"> CMV ochorenie, ak sa </w:t>
      </w:r>
      <w:r w:rsidR="00075420" w:rsidRPr="00813409">
        <w:rPr>
          <w:sz w:val="20"/>
          <w:szCs w:val="20"/>
        </w:rPr>
        <w:t xml:space="preserve">v </w:t>
      </w:r>
      <w:r w:rsidR="006A119E" w:rsidRPr="00813409">
        <w:rPr>
          <w:sz w:val="20"/>
          <w:szCs w:val="20"/>
        </w:rPr>
        <w:t xml:space="preserve">52. týždni </w:t>
      </w:r>
      <w:r w:rsidRPr="00813409">
        <w:rPr>
          <w:sz w:val="20"/>
          <w:szCs w:val="20"/>
        </w:rPr>
        <w:t xml:space="preserve">nevykonalo </w:t>
      </w:r>
      <w:r w:rsidR="006A119E" w:rsidRPr="00813409">
        <w:rPr>
          <w:sz w:val="20"/>
          <w:szCs w:val="20"/>
        </w:rPr>
        <w:t>posúdenie</w:t>
      </w:r>
      <w:r w:rsidRPr="00813409">
        <w:rPr>
          <w:sz w:val="20"/>
          <w:szCs w:val="20"/>
        </w:rPr>
        <w:t xml:space="preserve"> </w:t>
      </w:r>
      <w:r w:rsidR="006A119E" w:rsidRPr="00813409">
        <w:rPr>
          <w:sz w:val="20"/>
          <w:szCs w:val="20"/>
        </w:rPr>
        <w:t xml:space="preserve">a ani sa nepotvrdilo CMV ochorenie </w:t>
      </w:r>
      <w:r w:rsidRPr="00813409">
        <w:rPr>
          <w:sz w:val="20"/>
          <w:szCs w:val="20"/>
        </w:rPr>
        <w:t>pred týmto časovým bodom.</w:t>
      </w:r>
    </w:p>
    <w:p w:rsidR="00DA3BE7" w:rsidRPr="00813409" w:rsidRDefault="00DA3BE7" w:rsidP="006A119E">
      <w:pPr>
        <w:ind w:left="0" w:firstLine="0"/>
        <w:rPr>
          <w:sz w:val="20"/>
          <w:szCs w:val="20"/>
        </w:rPr>
      </w:pPr>
    </w:p>
    <w:p w:rsidR="009C39F3" w:rsidRPr="00813409" w:rsidRDefault="009C39F3" w:rsidP="004319E1">
      <w:pPr>
        <w:ind w:left="0" w:firstLine="0"/>
        <w:rPr>
          <w:sz w:val="20"/>
          <w:szCs w:val="20"/>
        </w:rPr>
      </w:pPr>
      <w:r w:rsidRPr="00813409">
        <w:rPr>
          <w:sz w:val="20"/>
          <w:szCs w:val="20"/>
          <w:vertAlign w:val="superscript"/>
        </w:rPr>
        <w:t>A</w:t>
      </w:r>
      <w:r w:rsidRPr="00813409">
        <w:rPr>
          <w:sz w:val="20"/>
          <w:szCs w:val="20"/>
        </w:rPr>
        <w:t xml:space="preserve"> Výsledky zistené </w:t>
      </w:r>
      <w:r w:rsidR="00BC2939" w:rsidRPr="00813409">
        <w:rPr>
          <w:sz w:val="20"/>
          <w:szCs w:val="20"/>
        </w:rPr>
        <w:t>po</w:t>
      </w:r>
      <w:r w:rsidR="00D202FD" w:rsidRPr="00813409">
        <w:rPr>
          <w:sz w:val="20"/>
          <w:szCs w:val="20"/>
        </w:rPr>
        <w:t xml:space="preserve">čas </w:t>
      </w:r>
      <w:r w:rsidRPr="00813409">
        <w:rPr>
          <w:sz w:val="20"/>
          <w:szCs w:val="20"/>
        </w:rPr>
        <w:t>24 mesiac</w:t>
      </w:r>
      <w:r w:rsidR="00D202FD" w:rsidRPr="00813409">
        <w:rPr>
          <w:sz w:val="20"/>
          <w:szCs w:val="20"/>
        </w:rPr>
        <w:t>ov</w:t>
      </w:r>
      <w:r w:rsidR="00BC2939" w:rsidRPr="00813409">
        <w:rPr>
          <w:sz w:val="20"/>
          <w:szCs w:val="20"/>
        </w:rPr>
        <w:t xml:space="preserve"> </w:t>
      </w:r>
      <w:r w:rsidRPr="00813409">
        <w:rPr>
          <w:sz w:val="20"/>
          <w:szCs w:val="20"/>
        </w:rPr>
        <w:t xml:space="preserve">boli v súlade s výsledkami zistenými </w:t>
      </w:r>
      <w:r w:rsidR="00BC2939" w:rsidRPr="00813409">
        <w:rPr>
          <w:sz w:val="20"/>
          <w:szCs w:val="20"/>
        </w:rPr>
        <w:t>po</w:t>
      </w:r>
      <w:r w:rsidR="00D202FD" w:rsidRPr="00813409">
        <w:rPr>
          <w:sz w:val="20"/>
          <w:szCs w:val="20"/>
        </w:rPr>
        <w:t xml:space="preserve">čas </w:t>
      </w:r>
      <w:r w:rsidRPr="00813409">
        <w:rPr>
          <w:sz w:val="20"/>
          <w:szCs w:val="20"/>
        </w:rPr>
        <w:t>12 mesiac</w:t>
      </w:r>
      <w:r w:rsidR="00BC2939" w:rsidRPr="00813409">
        <w:rPr>
          <w:sz w:val="20"/>
          <w:szCs w:val="20"/>
        </w:rPr>
        <w:t>o</w:t>
      </w:r>
      <w:r w:rsidR="00D202FD" w:rsidRPr="00813409">
        <w:rPr>
          <w:sz w:val="20"/>
          <w:szCs w:val="20"/>
        </w:rPr>
        <w:t>v</w:t>
      </w:r>
      <w:r w:rsidRPr="00813409">
        <w:rPr>
          <w:sz w:val="20"/>
          <w:szCs w:val="20"/>
        </w:rPr>
        <w:t xml:space="preserve">: </w:t>
      </w:r>
      <w:r w:rsidR="00D202FD" w:rsidRPr="00813409">
        <w:rPr>
          <w:sz w:val="20"/>
          <w:szCs w:val="20"/>
        </w:rPr>
        <w:t xml:space="preserve">v 100 dňovom liečebnom ramene </w:t>
      </w:r>
      <w:r w:rsidR="000F264B" w:rsidRPr="00813409">
        <w:rPr>
          <w:sz w:val="20"/>
          <w:szCs w:val="20"/>
        </w:rPr>
        <w:t xml:space="preserve">sa vyskytlo </w:t>
      </w:r>
      <w:r w:rsidRPr="00813409">
        <w:rPr>
          <w:sz w:val="20"/>
          <w:szCs w:val="20"/>
        </w:rPr>
        <w:t xml:space="preserve">potvrdené alebo predpokladané CMV ochorenie </w:t>
      </w:r>
      <w:r w:rsidR="000F264B" w:rsidRPr="00813409">
        <w:rPr>
          <w:sz w:val="20"/>
          <w:szCs w:val="20"/>
        </w:rPr>
        <w:t xml:space="preserve">v </w:t>
      </w:r>
      <w:r w:rsidRPr="00813409">
        <w:rPr>
          <w:sz w:val="20"/>
          <w:szCs w:val="20"/>
        </w:rPr>
        <w:t>48,5 % oproti 34,2 % v 200-dňov</w:t>
      </w:r>
      <w:r w:rsidR="000F264B" w:rsidRPr="00813409">
        <w:rPr>
          <w:sz w:val="20"/>
          <w:szCs w:val="20"/>
        </w:rPr>
        <w:t>om liečebnom ramene</w:t>
      </w:r>
      <w:r w:rsidR="007A11E7" w:rsidRPr="00813409">
        <w:rPr>
          <w:sz w:val="20"/>
          <w:szCs w:val="20"/>
        </w:rPr>
        <w:t>,</w:t>
      </w:r>
      <w:r w:rsidRPr="00813409">
        <w:rPr>
          <w:sz w:val="20"/>
          <w:szCs w:val="20"/>
        </w:rPr>
        <w:t xml:space="preserve"> rozdiel medzi liečebnými </w:t>
      </w:r>
      <w:r w:rsidR="00810625" w:rsidRPr="00813409">
        <w:rPr>
          <w:sz w:val="20"/>
          <w:szCs w:val="20"/>
        </w:rPr>
        <w:t>skupinami</w:t>
      </w:r>
      <w:r w:rsidRPr="00813409">
        <w:rPr>
          <w:sz w:val="20"/>
          <w:szCs w:val="20"/>
        </w:rPr>
        <w:t xml:space="preserve"> bol 14,3 % [3,2 %</w:t>
      </w:r>
      <w:r w:rsidR="007A11E7" w:rsidRPr="00813409">
        <w:rPr>
          <w:sz w:val="20"/>
          <w:szCs w:val="20"/>
        </w:rPr>
        <w:t>,</w:t>
      </w:r>
      <w:r w:rsidRPr="00813409">
        <w:rPr>
          <w:sz w:val="20"/>
          <w:szCs w:val="20"/>
        </w:rPr>
        <w:t xml:space="preserve"> 25,3 %].</w:t>
      </w:r>
    </w:p>
    <w:p w:rsidR="009C39F3" w:rsidRPr="00813409" w:rsidRDefault="009C39F3" w:rsidP="006D3A77">
      <w:pPr>
        <w:ind w:left="0" w:firstLine="0"/>
        <w:rPr>
          <w:szCs w:val="22"/>
        </w:rPr>
      </w:pPr>
    </w:p>
    <w:p w:rsidR="009C39F3" w:rsidRPr="00813409" w:rsidRDefault="008B149D" w:rsidP="004319E1">
      <w:pPr>
        <w:ind w:left="0" w:firstLine="0"/>
        <w:rPr>
          <w:rFonts w:eastAsia="PMingLiU"/>
          <w:szCs w:val="22"/>
          <w:lang w:eastAsia="zh-TW"/>
        </w:rPr>
      </w:pPr>
      <w:r w:rsidRPr="00CB7880">
        <w:rPr>
          <w:rFonts w:eastAsia="PMingLiU"/>
          <w:szCs w:val="22"/>
          <w:lang w:eastAsia="zh-TW"/>
        </w:rPr>
        <w:t>Po transplantácii</w:t>
      </w:r>
      <w:r w:rsidRPr="00813409">
        <w:rPr>
          <w:rFonts w:eastAsia="PMingLiU"/>
          <w:szCs w:val="22"/>
          <w:lang w:eastAsia="zh-TW"/>
        </w:rPr>
        <w:t xml:space="preserve"> obličky sa </w:t>
      </w:r>
      <w:r w:rsidR="007D5200" w:rsidRPr="00813409">
        <w:rPr>
          <w:rFonts w:eastAsia="PMingLiU"/>
          <w:szCs w:val="22"/>
          <w:lang w:eastAsia="zh-TW"/>
        </w:rPr>
        <w:t xml:space="preserve">CMV ochorenie rozvinulo </w:t>
      </w:r>
      <w:r w:rsidRPr="00813409">
        <w:rPr>
          <w:rFonts w:eastAsia="PMingLiU"/>
          <w:szCs w:val="22"/>
          <w:lang w:eastAsia="zh-TW"/>
        </w:rPr>
        <w:t xml:space="preserve">u </w:t>
      </w:r>
      <w:r w:rsidR="00BC2939" w:rsidRPr="00813409">
        <w:rPr>
          <w:rFonts w:eastAsia="PMingLiU"/>
          <w:szCs w:val="22"/>
          <w:lang w:eastAsia="zh-TW"/>
        </w:rPr>
        <w:t>v</w:t>
      </w:r>
      <w:r w:rsidR="009C39F3" w:rsidRPr="00813409">
        <w:rPr>
          <w:rFonts w:eastAsia="PMingLiU"/>
          <w:szCs w:val="22"/>
          <w:lang w:eastAsia="zh-TW"/>
        </w:rPr>
        <w:t xml:space="preserve">ýznamne </w:t>
      </w:r>
      <w:r w:rsidR="007A11E7" w:rsidRPr="00813409">
        <w:rPr>
          <w:rFonts w:eastAsia="PMingLiU"/>
          <w:szCs w:val="22"/>
          <w:lang w:eastAsia="zh-TW"/>
        </w:rPr>
        <w:t xml:space="preserve">menšieho počtu </w:t>
      </w:r>
      <w:r w:rsidR="009C39F3" w:rsidRPr="00813409">
        <w:rPr>
          <w:rFonts w:eastAsia="PMingLiU"/>
          <w:szCs w:val="22"/>
          <w:lang w:eastAsia="zh-TW"/>
        </w:rPr>
        <w:t xml:space="preserve">pacientov </w:t>
      </w:r>
      <w:r w:rsidR="00BC2939" w:rsidRPr="00813409">
        <w:rPr>
          <w:rFonts w:eastAsia="PMingLiU"/>
          <w:szCs w:val="22"/>
          <w:lang w:eastAsia="zh-TW"/>
        </w:rPr>
        <w:t xml:space="preserve">s vysokým rizikom </w:t>
      </w:r>
      <w:r w:rsidR="009C39F3" w:rsidRPr="00813409">
        <w:rPr>
          <w:rFonts w:eastAsia="PMingLiU"/>
          <w:szCs w:val="22"/>
          <w:lang w:eastAsia="zh-TW"/>
        </w:rPr>
        <w:t xml:space="preserve">v tom prípade, ak dostávali </w:t>
      </w:r>
      <w:r w:rsidR="006A119E" w:rsidRPr="00813409">
        <w:rPr>
          <w:rFonts w:eastAsia="PMingLiU"/>
          <w:szCs w:val="22"/>
          <w:lang w:eastAsia="zh-TW"/>
        </w:rPr>
        <w:t xml:space="preserve">CMV </w:t>
      </w:r>
      <w:r w:rsidR="009C39F3" w:rsidRPr="00813409">
        <w:rPr>
          <w:rFonts w:eastAsia="PMingLiU"/>
          <w:szCs w:val="22"/>
          <w:lang w:eastAsia="zh-TW"/>
        </w:rPr>
        <w:t xml:space="preserve">profylaxiu </w:t>
      </w:r>
      <w:proofErr w:type="spellStart"/>
      <w:r w:rsidR="00DA3BE7" w:rsidRPr="00813409">
        <w:rPr>
          <w:rFonts w:eastAsia="PMingLiU"/>
          <w:szCs w:val="22"/>
          <w:lang w:eastAsia="zh-TW"/>
        </w:rPr>
        <w:t>valgancik</w:t>
      </w:r>
      <w:r w:rsidR="0037584C" w:rsidRPr="00813409">
        <w:rPr>
          <w:rFonts w:eastAsia="PMingLiU"/>
          <w:szCs w:val="22"/>
          <w:lang w:eastAsia="zh-TW"/>
        </w:rPr>
        <w:t>lovir</w:t>
      </w:r>
      <w:r w:rsidR="00DA3BE7" w:rsidRPr="00813409">
        <w:rPr>
          <w:rFonts w:eastAsia="PMingLiU"/>
          <w:szCs w:val="22"/>
          <w:lang w:eastAsia="zh-TW"/>
        </w:rPr>
        <w:t>om</w:t>
      </w:r>
      <w:proofErr w:type="spellEnd"/>
      <w:r w:rsidR="009C39F3" w:rsidRPr="00813409">
        <w:rPr>
          <w:rFonts w:eastAsia="PMingLiU"/>
          <w:szCs w:val="22"/>
          <w:lang w:eastAsia="zh-TW"/>
        </w:rPr>
        <w:t xml:space="preserve"> do 200. dňa po transplantácii v porovnaní s pacientmi, ktorí dostávali </w:t>
      </w:r>
      <w:r w:rsidR="006A119E" w:rsidRPr="00813409">
        <w:rPr>
          <w:rFonts w:eastAsia="PMingLiU"/>
          <w:szCs w:val="22"/>
          <w:lang w:eastAsia="zh-TW"/>
        </w:rPr>
        <w:t xml:space="preserve">CMV </w:t>
      </w:r>
      <w:r w:rsidR="009C39F3" w:rsidRPr="00813409">
        <w:rPr>
          <w:rFonts w:eastAsia="PMingLiU"/>
          <w:szCs w:val="22"/>
          <w:lang w:eastAsia="zh-TW"/>
        </w:rPr>
        <w:t xml:space="preserve">profylaxiu </w:t>
      </w:r>
      <w:proofErr w:type="spellStart"/>
      <w:r w:rsidR="00DA3BE7" w:rsidRPr="00813409">
        <w:rPr>
          <w:rFonts w:eastAsia="PMingLiU"/>
          <w:szCs w:val="22"/>
          <w:lang w:eastAsia="zh-TW"/>
        </w:rPr>
        <w:t>valgancik</w:t>
      </w:r>
      <w:r w:rsidR="0037584C" w:rsidRPr="00813409">
        <w:rPr>
          <w:rFonts w:eastAsia="PMingLiU"/>
          <w:szCs w:val="22"/>
          <w:lang w:eastAsia="zh-TW"/>
        </w:rPr>
        <w:t>lovir</w:t>
      </w:r>
      <w:r w:rsidR="00DA3BE7" w:rsidRPr="00813409">
        <w:rPr>
          <w:rFonts w:eastAsia="PMingLiU"/>
          <w:szCs w:val="22"/>
          <w:lang w:eastAsia="zh-TW"/>
        </w:rPr>
        <w:t>om</w:t>
      </w:r>
      <w:proofErr w:type="spellEnd"/>
      <w:r w:rsidR="009C39F3" w:rsidRPr="00813409">
        <w:rPr>
          <w:rFonts w:eastAsia="PMingLiU"/>
          <w:szCs w:val="22"/>
          <w:lang w:eastAsia="zh-TW"/>
        </w:rPr>
        <w:t xml:space="preserve"> do 100. dňa po transplantácii.</w:t>
      </w:r>
    </w:p>
    <w:p w:rsidR="00161A0F" w:rsidRPr="00813409" w:rsidRDefault="00161A0F" w:rsidP="0085251C">
      <w:pPr>
        <w:ind w:left="0" w:firstLine="0"/>
        <w:rPr>
          <w:rFonts w:eastAsia="PMingLiU"/>
          <w:szCs w:val="22"/>
          <w:lang w:eastAsia="zh-TW"/>
        </w:rPr>
      </w:pPr>
    </w:p>
    <w:p w:rsidR="009C39F3" w:rsidRPr="00813409" w:rsidRDefault="009C39F3" w:rsidP="0085251C">
      <w:pPr>
        <w:ind w:left="0" w:firstLine="0"/>
        <w:rPr>
          <w:rFonts w:eastAsia="PMingLiU"/>
          <w:szCs w:val="22"/>
          <w:lang w:eastAsia="zh-TW"/>
        </w:rPr>
      </w:pPr>
      <w:r w:rsidRPr="00813409">
        <w:rPr>
          <w:rFonts w:eastAsia="PMingLiU"/>
          <w:szCs w:val="22"/>
          <w:lang w:eastAsia="zh-TW"/>
        </w:rPr>
        <w:t xml:space="preserve">Percento prežívania štepu ako aj výskyt akútneho odvrhnutia transplantátu potvrdeného </w:t>
      </w:r>
      <w:proofErr w:type="spellStart"/>
      <w:r w:rsidRPr="00813409">
        <w:rPr>
          <w:rFonts w:eastAsia="PMingLiU"/>
          <w:szCs w:val="22"/>
          <w:lang w:eastAsia="zh-TW"/>
        </w:rPr>
        <w:t>biopsiou</w:t>
      </w:r>
      <w:proofErr w:type="spellEnd"/>
      <w:r w:rsidRPr="00813409">
        <w:rPr>
          <w:rFonts w:eastAsia="PMingLiU"/>
          <w:szCs w:val="22"/>
          <w:lang w:eastAsia="zh-TW"/>
        </w:rPr>
        <w:t xml:space="preserve"> bol podobný v oboch </w:t>
      </w:r>
      <w:r w:rsidR="00596049" w:rsidRPr="00813409">
        <w:rPr>
          <w:rFonts w:eastAsia="PMingLiU"/>
          <w:szCs w:val="22"/>
          <w:lang w:eastAsia="zh-TW"/>
        </w:rPr>
        <w:t xml:space="preserve">liečebných </w:t>
      </w:r>
      <w:r w:rsidRPr="00813409">
        <w:rPr>
          <w:rFonts w:eastAsia="PMingLiU"/>
          <w:szCs w:val="22"/>
          <w:lang w:eastAsia="zh-TW"/>
        </w:rPr>
        <w:t xml:space="preserve">skupinách. </w:t>
      </w:r>
      <w:r w:rsidR="00426BCE" w:rsidRPr="00813409">
        <w:rPr>
          <w:rFonts w:eastAsia="PMingLiU"/>
          <w:szCs w:val="22"/>
          <w:lang w:eastAsia="zh-TW"/>
        </w:rPr>
        <w:t>Pri 100 dňovom dávkovacom režime bolo prežívanie štepu po 12 mesiacoch v 98,2</w:t>
      </w:r>
      <w:r w:rsidR="003711D5" w:rsidRPr="00813409">
        <w:rPr>
          <w:rFonts w:eastAsia="PMingLiU"/>
          <w:szCs w:val="22"/>
          <w:lang w:eastAsia="zh-TW"/>
        </w:rPr>
        <w:t> </w:t>
      </w:r>
      <w:r w:rsidR="00426BCE" w:rsidRPr="00813409">
        <w:rPr>
          <w:rFonts w:eastAsia="PMingLiU"/>
          <w:szCs w:val="22"/>
          <w:lang w:eastAsia="zh-TW"/>
        </w:rPr>
        <w:t>% (160/163), pri 200-dňovom režime dávkovania v 98,1</w:t>
      </w:r>
      <w:r w:rsidR="009D586A" w:rsidRPr="00813409">
        <w:rPr>
          <w:rFonts w:eastAsia="PMingLiU"/>
          <w:szCs w:val="22"/>
          <w:lang w:eastAsia="zh-TW"/>
        </w:rPr>
        <w:t> </w:t>
      </w:r>
      <w:r w:rsidR="00426BCE" w:rsidRPr="00813409">
        <w:rPr>
          <w:rFonts w:eastAsia="PMingLiU"/>
          <w:szCs w:val="22"/>
          <w:lang w:eastAsia="zh-TW"/>
        </w:rPr>
        <w:t>% (152/155).</w:t>
      </w:r>
      <w:r w:rsidR="006D3A77" w:rsidRPr="00813409">
        <w:rPr>
          <w:rFonts w:eastAsia="PMingLiU"/>
          <w:szCs w:val="22"/>
          <w:lang w:eastAsia="zh-TW"/>
        </w:rPr>
        <w:t xml:space="preserve"> </w:t>
      </w:r>
    </w:p>
    <w:p w:rsidR="009C39F3" w:rsidRPr="00813409" w:rsidRDefault="009C39F3" w:rsidP="004319E1">
      <w:pPr>
        <w:ind w:left="0" w:firstLine="0"/>
        <w:rPr>
          <w:szCs w:val="22"/>
        </w:rPr>
      </w:pPr>
      <w:r w:rsidRPr="00813409">
        <w:rPr>
          <w:rFonts w:eastAsia="PMingLiU"/>
          <w:szCs w:val="22"/>
          <w:lang w:eastAsia="zh-TW"/>
        </w:rPr>
        <w:t>V</w:t>
      </w:r>
      <w:r w:rsidR="00596049" w:rsidRPr="00813409">
        <w:rPr>
          <w:rFonts w:eastAsia="PMingLiU"/>
          <w:szCs w:val="22"/>
          <w:lang w:eastAsia="zh-TW"/>
        </w:rPr>
        <w:t xml:space="preserve"> období </w:t>
      </w:r>
      <w:r w:rsidR="007A11E7" w:rsidRPr="00813409">
        <w:rPr>
          <w:rFonts w:eastAsia="PMingLiU"/>
          <w:szCs w:val="22"/>
          <w:lang w:eastAsia="zh-TW"/>
        </w:rPr>
        <w:t xml:space="preserve">do </w:t>
      </w:r>
      <w:r w:rsidRPr="00813409">
        <w:rPr>
          <w:rFonts w:eastAsia="PMingLiU"/>
          <w:szCs w:val="22"/>
          <w:lang w:eastAsia="zh-TW"/>
        </w:rPr>
        <w:t xml:space="preserve">24 mesiacov po transplantácii boli ohlásené štyri ďalšie prípady straty štepu, pričom všetky sa vyskytli v skupine so 100-dňovým režimom dávkovania. </w:t>
      </w:r>
      <w:proofErr w:type="spellStart"/>
      <w:r w:rsidR="004B1277" w:rsidRPr="00813409">
        <w:rPr>
          <w:rFonts w:eastAsia="PMingLiU"/>
          <w:szCs w:val="22"/>
          <w:lang w:eastAsia="zh-TW"/>
        </w:rPr>
        <w:t>Incidencia</w:t>
      </w:r>
      <w:proofErr w:type="spellEnd"/>
      <w:r w:rsidR="004B1277" w:rsidRPr="00813409">
        <w:rPr>
          <w:rFonts w:eastAsia="PMingLiU"/>
          <w:szCs w:val="22"/>
          <w:lang w:eastAsia="zh-TW"/>
        </w:rPr>
        <w:t xml:space="preserve"> </w:t>
      </w:r>
      <w:r w:rsidRPr="00813409">
        <w:rPr>
          <w:rFonts w:eastAsia="PMingLiU"/>
          <w:szCs w:val="22"/>
          <w:lang w:eastAsia="zh-TW"/>
        </w:rPr>
        <w:t xml:space="preserve">akútneho odvrhnutia transplantátu potvrdeného </w:t>
      </w:r>
      <w:proofErr w:type="spellStart"/>
      <w:r w:rsidRPr="00813409">
        <w:rPr>
          <w:rFonts w:eastAsia="PMingLiU"/>
          <w:szCs w:val="22"/>
          <w:lang w:eastAsia="zh-TW"/>
        </w:rPr>
        <w:t>biopsiou</w:t>
      </w:r>
      <w:proofErr w:type="spellEnd"/>
      <w:r w:rsidR="00426BCE" w:rsidRPr="00813409">
        <w:rPr>
          <w:rFonts w:eastAsia="PMingLiU"/>
          <w:szCs w:val="22"/>
          <w:lang w:eastAsia="zh-TW"/>
        </w:rPr>
        <w:t xml:space="preserve"> počas</w:t>
      </w:r>
      <w:r w:rsidR="006A119E" w:rsidRPr="00813409">
        <w:rPr>
          <w:rFonts w:eastAsia="PMingLiU"/>
          <w:szCs w:val="22"/>
          <w:lang w:eastAsia="zh-TW"/>
        </w:rPr>
        <w:t xml:space="preserve"> </w:t>
      </w:r>
      <w:r w:rsidRPr="00813409">
        <w:rPr>
          <w:rFonts w:eastAsia="PMingLiU"/>
          <w:szCs w:val="22"/>
          <w:lang w:eastAsia="zh-TW"/>
        </w:rPr>
        <w:t>12 mesiac</w:t>
      </w:r>
      <w:r w:rsidR="00426BCE" w:rsidRPr="00813409">
        <w:rPr>
          <w:rFonts w:eastAsia="PMingLiU"/>
          <w:szCs w:val="22"/>
          <w:lang w:eastAsia="zh-TW"/>
        </w:rPr>
        <w:t>ov</w:t>
      </w:r>
      <w:r w:rsidRPr="00813409">
        <w:rPr>
          <w:rFonts w:eastAsia="PMingLiU"/>
          <w:szCs w:val="22"/>
          <w:lang w:eastAsia="zh-TW"/>
        </w:rPr>
        <w:t xml:space="preserve"> po transplantácii bol</w:t>
      </w:r>
      <w:r w:rsidR="004B1277" w:rsidRPr="00813409">
        <w:rPr>
          <w:rFonts w:eastAsia="PMingLiU"/>
          <w:szCs w:val="22"/>
          <w:lang w:eastAsia="zh-TW"/>
        </w:rPr>
        <w:t>a</w:t>
      </w:r>
      <w:r w:rsidRPr="00813409">
        <w:rPr>
          <w:rFonts w:eastAsia="PMingLiU"/>
          <w:szCs w:val="22"/>
          <w:lang w:eastAsia="zh-TW"/>
        </w:rPr>
        <w:t xml:space="preserve"> pri 100-dňovom režime dávkovania </w:t>
      </w:r>
      <w:r w:rsidR="004B1277" w:rsidRPr="00813409">
        <w:rPr>
          <w:rFonts w:eastAsia="PMingLiU"/>
          <w:szCs w:val="22"/>
          <w:lang w:eastAsia="zh-TW"/>
        </w:rPr>
        <w:t xml:space="preserve">17,2 % (28/163) </w:t>
      </w:r>
      <w:r w:rsidRPr="00813409">
        <w:rPr>
          <w:rFonts w:eastAsia="PMingLiU"/>
          <w:szCs w:val="22"/>
          <w:lang w:eastAsia="zh-TW"/>
        </w:rPr>
        <w:t>a pri 200-dňovom režime dávkovania</w:t>
      </w:r>
      <w:r w:rsidR="004B1277" w:rsidRPr="00813409">
        <w:rPr>
          <w:rFonts w:eastAsia="PMingLiU"/>
          <w:szCs w:val="22"/>
          <w:lang w:eastAsia="zh-TW"/>
        </w:rPr>
        <w:t xml:space="preserve"> 11,0 % (17/155)</w:t>
      </w:r>
      <w:r w:rsidRPr="00813409">
        <w:rPr>
          <w:rFonts w:eastAsia="PMingLiU"/>
          <w:szCs w:val="22"/>
          <w:lang w:eastAsia="zh-TW"/>
        </w:rPr>
        <w:t xml:space="preserve">. </w:t>
      </w:r>
      <w:r w:rsidR="006350E7" w:rsidRPr="00813409">
        <w:rPr>
          <w:rFonts w:eastAsia="PMingLiU"/>
          <w:szCs w:val="22"/>
          <w:lang w:eastAsia="zh-TW"/>
        </w:rPr>
        <w:t>Ešte jeden prípad bol ohlásený v</w:t>
      </w:r>
      <w:r w:rsidR="00935A18" w:rsidRPr="00813409">
        <w:rPr>
          <w:rFonts w:eastAsia="PMingLiU"/>
          <w:szCs w:val="22"/>
          <w:lang w:eastAsia="zh-TW"/>
        </w:rPr>
        <w:t xml:space="preserve"> </w:t>
      </w:r>
      <w:r w:rsidR="004B1277" w:rsidRPr="00813409">
        <w:rPr>
          <w:rFonts w:eastAsia="PMingLiU"/>
          <w:szCs w:val="22"/>
          <w:lang w:eastAsia="zh-TW"/>
        </w:rPr>
        <w:t>skupine s 200-dňovým režimom dávkovania v</w:t>
      </w:r>
      <w:r w:rsidR="006350E7" w:rsidRPr="00813409">
        <w:rPr>
          <w:rFonts w:eastAsia="PMingLiU"/>
          <w:szCs w:val="22"/>
          <w:lang w:eastAsia="zh-TW"/>
        </w:rPr>
        <w:t> období až</w:t>
      </w:r>
      <w:r w:rsidR="00935A18" w:rsidRPr="00813409">
        <w:rPr>
          <w:rFonts w:eastAsia="PMingLiU"/>
          <w:szCs w:val="22"/>
          <w:lang w:eastAsia="zh-TW"/>
        </w:rPr>
        <w:t xml:space="preserve"> </w:t>
      </w:r>
      <w:r w:rsidRPr="00813409">
        <w:rPr>
          <w:rFonts w:eastAsia="PMingLiU"/>
          <w:szCs w:val="22"/>
          <w:lang w:eastAsia="zh-TW"/>
        </w:rPr>
        <w:t>24 mesiacov po transplantácii.</w:t>
      </w:r>
      <w:r w:rsidRPr="00813409">
        <w:rPr>
          <w:szCs w:val="22"/>
        </w:rPr>
        <w:t xml:space="preserve"> </w:t>
      </w:r>
    </w:p>
    <w:p w:rsidR="009C39F3" w:rsidRPr="00813409" w:rsidRDefault="009C39F3" w:rsidP="008C1DB1">
      <w:pPr>
        <w:ind w:left="0" w:firstLine="0"/>
      </w:pPr>
    </w:p>
    <w:p w:rsidR="009C39F3" w:rsidRPr="00813409" w:rsidRDefault="000B2DD7" w:rsidP="008C1DB1">
      <w:pPr>
        <w:ind w:left="0" w:firstLine="0"/>
      </w:pPr>
      <w:r w:rsidRPr="00727839">
        <w:rPr>
          <w:u w:val="single"/>
        </w:rPr>
        <w:t>Vírusová rezistencia</w:t>
      </w:r>
    </w:p>
    <w:p w:rsidR="009C39F3" w:rsidRPr="00813409" w:rsidRDefault="009C39F3" w:rsidP="008C1DB1">
      <w:pPr>
        <w:ind w:left="0" w:firstLine="0"/>
      </w:pPr>
      <w:r w:rsidRPr="00813409">
        <w:t xml:space="preserve">Rezistencia vírusov na </w:t>
      </w:r>
      <w:proofErr w:type="spellStart"/>
      <w:r w:rsidRPr="00813409">
        <w:t>ganciklovir</w:t>
      </w:r>
      <w:proofErr w:type="spellEnd"/>
      <w:r w:rsidRPr="00813409">
        <w:t xml:space="preserve"> </w:t>
      </w:r>
      <w:r w:rsidR="002E5967">
        <w:t xml:space="preserve">sa </w:t>
      </w:r>
      <w:r w:rsidRPr="00813409">
        <w:t xml:space="preserve">môže </w:t>
      </w:r>
      <w:r w:rsidR="002E5967">
        <w:t>vyskytnúť</w:t>
      </w:r>
      <w:r w:rsidR="002E5967" w:rsidRPr="00813409">
        <w:t xml:space="preserve"> </w:t>
      </w:r>
      <w:r w:rsidRPr="00813409">
        <w:t xml:space="preserve">po dlhodobom podávaní </w:t>
      </w:r>
      <w:proofErr w:type="spellStart"/>
      <w:r w:rsidRPr="00813409">
        <w:t>valgancikloviru</w:t>
      </w:r>
      <w:proofErr w:type="spellEnd"/>
      <w:r w:rsidRPr="00813409">
        <w:t xml:space="preserve">, a to </w:t>
      </w:r>
      <w:r w:rsidR="002E5967">
        <w:t>selekciou</w:t>
      </w:r>
      <w:r w:rsidRPr="00813409">
        <w:t xml:space="preserve"> mutácií v géne pre vírusovú </w:t>
      </w:r>
      <w:proofErr w:type="spellStart"/>
      <w:r w:rsidRPr="00813409">
        <w:t>kinázu</w:t>
      </w:r>
      <w:proofErr w:type="spellEnd"/>
      <w:r w:rsidRPr="00813409">
        <w:t xml:space="preserve"> (UL97), ktorá je zodpovedná za </w:t>
      </w:r>
      <w:proofErr w:type="spellStart"/>
      <w:r w:rsidRPr="00813409">
        <w:t>monofosforyláciu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a/alebo v géne pre vírusovú </w:t>
      </w:r>
      <w:proofErr w:type="spellStart"/>
      <w:r w:rsidRPr="00813409">
        <w:t>polymerázu</w:t>
      </w:r>
      <w:proofErr w:type="spellEnd"/>
      <w:r w:rsidRPr="00813409">
        <w:t xml:space="preserve"> (UL54).</w:t>
      </w:r>
      <w:r w:rsidR="00CE4072">
        <w:t xml:space="preserve"> </w:t>
      </w:r>
      <w:r w:rsidR="00F51B71">
        <w:t xml:space="preserve">V klinických </w:t>
      </w:r>
      <w:proofErr w:type="spellStart"/>
      <w:r w:rsidR="00F51B71">
        <w:t>izolátoch</w:t>
      </w:r>
      <w:proofErr w:type="spellEnd"/>
      <w:r w:rsidR="00F51B71">
        <w:t xml:space="preserve"> je najčastejšie hlásených sedem kanonických UL97 substitúcií, M460V/I, H520Q, C592G, A594V, </w:t>
      </w:r>
      <w:r w:rsidR="00377BD9">
        <w:t>L</w:t>
      </w:r>
      <w:r w:rsidR="00F51B71">
        <w:t xml:space="preserve">595S, C603W spojených s rezistenciou </w:t>
      </w:r>
      <w:proofErr w:type="spellStart"/>
      <w:r w:rsidR="00F51B71">
        <w:t>gancikloviru</w:t>
      </w:r>
      <w:proofErr w:type="spellEnd"/>
      <w:r w:rsidR="00F51B71">
        <w:t>.</w:t>
      </w:r>
      <w:r w:rsidRPr="00813409">
        <w:t xml:space="preserve"> Vírusy obsahujúce mutácie v géne UL97 sú rezistentné len na samotný </w:t>
      </w:r>
      <w:proofErr w:type="spellStart"/>
      <w:r w:rsidRPr="00813409">
        <w:t>ganciklovir</w:t>
      </w:r>
      <w:proofErr w:type="spellEnd"/>
      <w:r w:rsidRPr="00813409">
        <w:t xml:space="preserve">, zatiaľ čo vírusy s mutáciami v géne UL54 sú rezistentné na </w:t>
      </w:r>
      <w:proofErr w:type="spellStart"/>
      <w:r w:rsidRPr="00813409">
        <w:t>ganciklovir</w:t>
      </w:r>
      <w:proofErr w:type="spellEnd"/>
      <w:r w:rsidRPr="00813409">
        <w:t xml:space="preserve">, ale </w:t>
      </w:r>
      <w:r w:rsidRPr="00813409">
        <w:lastRenderedPageBreak/>
        <w:t xml:space="preserve">môžu preukazovať aj skríženú rezistenciu na ostatné antivírusové látky, ktoré blokujú vírusovú </w:t>
      </w:r>
      <w:proofErr w:type="spellStart"/>
      <w:r w:rsidRPr="00813409">
        <w:t>polymerázu</w:t>
      </w:r>
      <w:proofErr w:type="spellEnd"/>
      <w:r w:rsidRPr="00813409">
        <w:t>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7C342D">
      <w:pPr>
        <w:keepNext/>
        <w:keepLines/>
        <w:ind w:left="0" w:firstLine="0"/>
        <w:rPr>
          <w:i/>
        </w:rPr>
      </w:pPr>
      <w:r w:rsidRPr="00813409">
        <w:rPr>
          <w:i/>
        </w:rPr>
        <w:t xml:space="preserve">Liečba CMV </w:t>
      </w:r>
      <w:proofErr w:type="spellStart"/>
      <w:r w:rsidRPr="00813409">
        <w:rPr>
          <w:i/>
        </w:rPr>
        <w:t>retinitídy</w:t>
      </w:r>
      <w:proofErr w:type="spellEnd"/>
      <w:r w:rsidRPr="00813409">
        <w:rPr>
          <w:i/>
        </w:rPr>
        <w:t>:</w:t>
      </w:r>
    </w:p>
    <w:p w:rsidR="009C39F3" w:rsidRPr="00813409" w:rsidRDefault="009C39F3" w:rsidP="007C342D">
      <w:pPr>
        <w:keepNext/>
        <w:keepLines/>
        <w:ind w:left="0" w:firstLine="0"/>
      </w:pPr>
      <w:proofErr w:type="spellStart"/>
      <w:r w:rsidRPr="00813409">
        <w:t>Genotypová</w:t>
      </w:r>
      <w:proofErr w:type="spellEnd"/>
      <w:r w:rsidRPr="00813409">
        <w:t xml:space="preserve"> analýza CMV v </w:t>
      </w:r>
      <w:proofErr w:type="spellStart"/>
      <w:r w:rsidRPr="00813409">
        <w:t>izolátoch</w:t>
      </w:r>
      <w:proofErr w:type="spellEnd"/>
      <w:r w:rsidRPr="00813409">
        <w:t xml:space="preserve"> </w:t>
      </w:r>
      <w:proofErr w:type="spellStart"/>
      <w:r w:rsidRPr="00813409">
        <w:t>polymorfonukleárnych</w:t>
      </w:r>
      <w:proofErr w:type="spellEnd"/>
      <w:r w:rsidRPr="00813409">
        <w:t xml:space="preserve"> leukocytov (PMNL) u 148 pacientov s CMV </w:t>
      </w:r>
      <w:proofErr w:type="spellStart"/>
      <w:r w:rsidRPr="00813409">
        <w:t>retinitídou</w:t>
      </w:r>
      <w:proofErr w:type="spellEnd"/>
      <w:r w:rsidRPr="00813409">
        <w:t xml:space="preserve"> zahrnutých v jednej klinickej štúdii ukázala, že výskyt mutácií UL97 je po 3 mesiacoch liečby </w:t>
      </w:r>
      <w:proofErr w:type="spellStart"/>
      <w:r w:rsidRPr="00813409">
        <w:t>valganciklovirom</w:t>
      </w:r>
      <w:proofErr w:type="spellEnd"/>
      <w:r w:rsidRPr="00813409">
        <w:t xml:space="preserve"> 2,2 %, po 6 mesiacoch 6,5 %, po 12 mesiacoch 12,8 % a po 18 mesiacoch 15,3 %.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Prevencia CMV ochorenia pri transplantácii:</w:t>
      </w:r>
    </w:p>
    <w:p w:rsidR="009C39F3" w:rsidRPr="00813409" w:rsidRDefault="009C39F3" w:rsidP="004319E1">
      <w:pPr>
        <w:ind w:left="0" w:firstLine="0"/>
        <w:rPr>
          <w:iCs/>
          <w:szCs w:val="22"/>
          <w:u w:val="single"/>
        </w:rPr>
      </w:pPr>
      <w:r w:rsidRPr="00813409">
        <w:rPr>
          <w:iCs/>
          <w:szCs w:val="22"/>
          <w:u w:val="single"/>
        </w:rPr>
        <w:t xml:space="preserve">Klinická štúdia </w:t>
      </w:r>
      <w:r w:rsidR="00163EBB" w:rsidRPr="00813409">
        <w:rPr>
          <w:iCs/>
          <w:szCs w:val="22"/>
          <w:u w:val="single"/>
        </w:rPr>
        <w:t>s</w:t>
      </w:r>
      <w:r w:rsidRPr="00813409">
        <w:rPr>
          <w:iCs/>
          <w:szCs w:val="22"/>
          <w:u w:val="single"/>
        </w:rPr>
        <w:t xml:space="preserve"> aktívnym </w:t>
      </w:r>
      <w:proofErr w:type="spellStart"/>
      <w:r w:rsidRPr="00813409">
        <w:rPr>
          <w:iCs/>
          <w:szCs w:val="22"/>
          <w:u w:val="single"/>
        </w:rPr>
        <w:t>komparátorom</w:t>
      </w:r>
      <w:proofErr w:type="spellEnd"/>
    </w:p>
    <w:p w:rsidR="009C39F3" w:rsidRPr="00813409" w:rsidRDefault="009C39F3" w:rsidP="008C1DB1">
      <w:pPr>
        <w:ind w:left="0" w:firstLine="0"/>
      </w:pPr>
      <w:r w:rsidRPr="00813409">
        <w:t xml:space="preserve">Rezistencia sa skúmala pomocou </w:t>
      </w:r>
      <w:proofErr w:type="spellStart"/>
      <w:r w:rsidRPr="00813409">
        <w:t>genotypovej</w:t>
      </w:r>
      <w:proofErr w:type="spellEnd"/>
      <w:r w:rsidRPr="00813409">
        <w:t xml:space="preserve"> analýzy CMV vo vzorkách PMNL získaných i) v deň 100 (ukončenie štúdie o profylaxii lieku) a ii) v prípadoch podozrenia na CMV ochorenie do 6 mesiacov po transplantácii. Od 245 pacientov, ktorí boli </w:t>
      </w:r>
      <w:proofErr w:type="spellStart"/>
      <w:r w:rsidRPr="00813409">
        <w:t>randomizovaní</w:t>
      </w:r>
      <w:proofErr w:type="spellEnd"/>
      <w:r w:rsidRPr="00813409">
        <w:t xml:space="preserve"> na užívanie </w:t>
      </w:r>
      <w:proofErr w:type="spellStart"/>
      <w:r w:rsidRPr="00813409">
        <w:t>valgancikloviru</w:t>
      </w:r>
      <w:proofErr w:type="spellEnd"/>
      <w:r w:rsidRPr="00813409">
        <w:t xml:space="preserve"> sa v </w:t>
      </w:r>
      <w:r w:rsidR="00BE2D31" w:rsidRPr="00813409">
        <w:t>100</w:t>
      </w:r>
      <w:r w:rsidRPr="00813409">
        <w:t>. deň získalo 1</w:t>
      </w:r>
      <w:r w:rsidR="00BE2D31" w:rsidRPr="00813409">
        <w:t>98</w:t>
      </w:r>
      <w:r w:rsidRPr="00813409">
        <w:t xml:space="preserve"> vzoriek na testovanie a nezistili sa žiadne mutácie rezistencie na </w:t>
      </w:r>
      <w:proofErr w:type="spellStart"/>
      <w:r w:rsidRPr="00813409">
        <w:t>ganciklovir</w:t>
      </w:r>
      <w:proofErr w:type="spellEnd"/>
      <w:r w:rsidRPr="00813409">
        <w:t xml:space="preserve">. Pre porovnanie, v ramene pacientov, ktorí užívali perorálny </w:t>
      </w:r>
      <w:proofErr w:type="spellStart"/>
      <w:r w:rsidRPr="00813409">
        <w:t>ganciklovir</w:t>
      </w:r>
      <w:proofErr w:type="spellEnd"/>
      <w:r w:rsidRPr="00813409">
        <w:t xml:space="preserve"> sa zo 103 testovaných vzoriek zistili 2 mutácie rezistencie na </w:t>
      </w:r>
      <w:proofErr w:type="spellStart"/>
      <w:r w:rsidRPr="00813409">
        <w:t>ganciklovir</w:t>
      </w:r>
      <w:proofErr w:type="spellEnd"/>
      <w:r w:rsidR="00BE2D31" w:rsidRPr="00813409">
        <w:t xml:space="preserve"> </w:t>
      </w:r>
      <w:r w:rsidRPr="00813409">
        <w:t>(1,9 %).</w:t>
      </w:r>
    </w:p>
    <w:p w:rsidR="009C39F3" w:rsidRPr="00813409" w:rsidRDefault="009C39F3" w:rsidP="008C1DB1">
      <w:pPr>
        <w:ind w:left="0" w:firstLine="0"/>
      </w:pPr>
    </w:p>
    <w:p w:rsidR="004319E1" w:rsidRPr="00813409" w:rsidRDefault="009C39F3" w:rsidP="004319E1">
      <w:pPr>
        <w:ind w:left="0" w:firstLine="0"/>
      </w:pPr>
      <w:r w:rsidRPr="00813409">
        <w:t xml:space="preserve">Z 245 </w:t>
      </w:r>
      <w:proofErr w:type="spellStart"/>
      <w:r w:rsidRPr="00813409">
        <w:t>randomizovaných</w:t>
      </w:r>
      <w:proofErr w:type="spellEnd"/>
      <w:r w:rsidRPr="00813409">
        <w:t xml:space="preserve"> pacientov, ktorí užívali </w:t>
      </w:r>
      <w:proofErr w:type="spellStart"/>
      <w:r w:rsidRPr="00813409">
        <w:t>valganciklovir</w:t>
      </w:r>
      <w:proofErr w:type="spellEnd"/>
      <w:r w:rsidRPr="00813409">
        <w:t xml:space="preserve">, sa testovali vzorky od 50 pacientov s podozrením na CMV ochorenie a nezistili sa žiadne mutácie rezistencie na </w:t>
      </w:r>
      <w:proofErr w:type="spellStart"/>
      <w:r w:rsidRPr="00813409">
        <w:t>ganciklovir</w:t>
      </w:r>
      <w:proofErr w:type="spellEnd"/>
      <w:r w:rsidRPr="00813409">
        <w:t>. V porovnávacej skupine s </w:t>
      </w:r>
      <w:proofErr w:type="spellStart"/>
      <w:r w:rsidRPr="00813409">
        <w:t>ganciklovirom</w:t>
      </w:r>
      <w:proofErr w:type="spellEnd"/>
      <w:r w:rsidRPr="00813409">
        <w:t xml:space="preserve"> sa zo 127 pacientov testovali vzorky od 29 pacientov s podozrením na CMV ochorenie, pričom sa zistili dve mutácie rezistencie na </w:t>
      </w:r>
      <w:proofErr w:type="spellStart"/>
      <w:r w:rsidRPr="00813409">
        <w:t>ganciklovir</w:t>
      </w:r>
      <w:proofErr w:type="spellEnd"/>
      <w:r w:rsidRPr="00813409">
        <w:t>, čo je 6,9 %.</w:t>
      </w:r>
    </w:p>
    <w:p w:rsidR="004319E1" w:rsidRPr="00813409" w:rsidRDefault="004319E1" w:rsidP="004319E1">
      <w:pPr>
        <w:ind w:left="0" w:firstLine="0"/>
      </w:pPr>
    </w:p>
    <w:p w:rsidR="0085251C" w:rsidRPr="00813409" w:rsidRDefault="006350E7" w:rsidP="004319E1">
      <w:pPr>
        <w:ind w:left="0" w:firstLine="0"/>
        <w:rPr>
          <w:iCs/>
          <w:u w:val="single"/>
        </w:rPr>
      </w:pPr>
      <w:r w:rsidRPr="00813409">
        <w:rPr>
          <w:iCs/>
          <w:u w:val="single"/>
        </w:rPr>
        <w:t>Š</w:t>
      </w:r>
      <w:r w:rsidR="009C39F3" w:rsidRPr="00813409">
        <w:rPr>
          <w:iCs/>
          <w:u w:val="single"/>
        </w:rPr>
        <w:t xml:space="preserve">túdia </w:t>
      </w:r>
      <w:r w:rsidRPr="00813409">
        <w:rPr>
          <w:iCs/>
          <w:u w:val="single"/>
        </w:rPr>
        <w:t xml:space="preserve">s predĺženou </w:t>
      </w:r>
      <w:r w:rsidR="009C39F3" w:rsidRPr="00813409">
        <w:rPr>
          <w:iCs/>
          <w:u w:val="single"/>
        </w:rPr>
        <w:t>profyla</w:t>
      </w:r>
      <w:r w:rsidRPr="00813409">
        <w:rPr>
          <w:iCs/>
          <w:u w:val="single"/>
        </w:rPr>
        <w:t xml:space="preserve">xiou </w:t>
      </w:r>
      <w:r w:rsidR="00A33886" w:rsidRPr="00813409">
        <w:rPr>
          <w:iCs/>
          <w:u w:val="single"/>
        </w:rPr>
        <w:t>zo</w:t>
      </w:r>
      <w:r w:rsidR="009C39F3" w:rsidRPr="00813409">
        <w:rPr>
          <w:iCs/>
          <w:u w:val="single"/>
        </w:rPr>
        <w:t xml:space="preserve"> 100</w:t>
      </w:r>
      <w:r w:rsidR="00A33886" w:rsidRPr="00813409">
        <w:rPr>
          <w:iCs/>
          <w:u w:val="single"/>
        </w:rPr>
        <w:t xml:space="preserve"> na </w:t>
      </w:r>
      <w:r w:rsidR="009C39F3" w:rsidRPr="00813409">
        <w:rPr>
          <w:iCs/>
          <w:u w:val="single"/>
        </w:rPr>
        <w:t>200 d</w:t>
      </w:r>
      <w:r w:rsidR="00A33886" w:rsidRPr="00813409">
        <w:rPr>
          <w:iCs/>
          <w:u w:val="single"/>
        </w:rPr>
        <w:t>ní</w:t>
      </w:r>
      <w:r w:rsidR="009C39F3" w:rsidRPr="00813409">
        <w:rPr>
          <w:iCs/>
          <w:u w:val="single"/>
        </w:rPr>
        <w:t xml:space="preserve"> po transplantácii</w:t>
      </w:r>
    </w:p>
    <w:p w:rsidR="009C39F3" w:rsidRPr="00813409" w:rsidRDefault="004319E1" w:rsidP="004319E1">
      <w:pPr>
        <w:ind w:left="0" w:firstLine="0"/>
      </w:pPr>
      <w:proofErr w:type="spellStart"/>
      <w:r w:rsidRPr="00813409">
        <w:rPr>
          <w:iCs/>
        </w:rPr>
        <w:t>G</w:t>
      </w:r>
      <w:r w:rsidR="00163EBB" w:rsidRPr="00813409">
        <w:rPr>
          <w:iCs/>
        </w:rPr>
        <w:t>enotypová</w:t>
      </w:r>
      <w:proofErr w:type="spellEnd"/>
      <w:r w:rsidR="00163EBB" w:rsidRPr="00813409">
        <w:rPr>
          <w:iCs/>
        </w:rPr>
        <w:t xml:space="preserve"> analýza sa vykonala n</w:t>
      </w:r>
      <w:r w:rsidR="009C39F3" w:rsidRPr="00813409">
        <w:rPr>
          <w:iCs/>
        </w:rPr>
        <w:t xml:space="preserve">a génoch UL54 a UL97 </w:t>
      </w:r>
      <w:r w:rsidR="00163EBB" w:rsidRPr="00813409">
        <w:rPr>
          <w:iCs/>
        </w:rPr>
        <w:t>získaných z</w:t>
      </w:r>
      <w:r w:rsidRPr="00813409">
        <w:rPr>
          <w:iCs/>
        </w:rPr>
        <w:t> </w:t>
      </w:r>
      <w:r w:rsidR="00163EBB" w:rsidRPr="00813409">
        <w:rPr>
          <w:iCs/>
        </w:rPr>
        <w:t>vírusov</w:t>
      </w:r>
      <w:r w:rsidRPr="00813409">
        <w:rPr>
          <w:iCs/>
        </w:rPr>
        <w:t xml:space="preserve"> </w:t>
      </w:r>
      <w:r w:rsidR="009C39F3" w:rsidRPr="00813409">
        <w:rPr>
          <w:iCs/>
        </w:rPr>
        <w:t xml:space="preserve">od 72 pacientov, ktorí vyhovovali kritériám na analýzu rezistencie: išlo o pacientov, u ktorých sa vyskytla pozitívna vírusová záťaž (&gt; 600 kópií/ml) ku koncu profylaxie a/alebo o pacientov, u ktorých sa potvrdilo CMV ochorenie </w:t>
      </w:r>
      <w:r w:rsidR="00163EBB" w:rsidRPr="00813409">
        <w:rPr>
          <w:iCs/>
        </w:rPr>
        <w:t xml:space="preserve">v priebehu </w:t>
      </w:r>
      <w:r w:rsidR="009C39F3" w:rsidRPr="00813409">
        <w:rPr>
          <w:iCs/>
        </w:rPr>
        <w:t>12 mesiacov (52 týždňov) po transplantácii. U troch pacientov v každej liečebnej skupine bola známa rezistenci</w:t>
      </w:r>
      <w:r w:rsidR="00097F71" w:rsidRPr="00813409">
        <w:rPr>
          <w:iCs/>
        </w:rPr>
        <w:t>a</w:t>
      </w:r>
      <w:r w:rsidR="009C39F3" w:rsidRPr="00813409">
        <w:rPr>
          <w:iCs/>
        </w:rPr>
        <w:t xml:space="preserve"> na </w:t>
      </w:r>
      <w:proofErr w:type="spellStart"/>
      <w:r w:rsidR="009C39F3" w:rsidRPr="00813409">
        <w:rPr>
          <w:iCs/>
        </w:rPr>
        <w:t>ganciklovir</w:t>
      </w:r>
      <w:proofErr w:type="spellEnd"/>
      <w:r w:rsidR="00BE2D31" w:rsidRPr="00813409">
        <w:rPr>
          <w:iCs/>
        </w:rPr>
        <w:t xml:space="preserve"> podmienená mutáciou</w:t>
      </w:r>
      <w:r w:rsidR="009C39F3" w:rsidRPr="00813409">
        <w:rPr>
          <w:iCs/>
        </w:rPr>
        <w:t>.</w:t>
      </w:r>
      <w:r w:rsidRPr="00813409" w:rsidDel="00A64C19">
        <w:t xml:space="preserve"> 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E2147" w:rsidRPr="00813409" w:rsidRDefault="00C9795C" w:rsidP="009E2147">
      <w:pPr>
        <w:ind w:left="0" w:firstLine="0"/>
        <w:rPr>
          <w:szCs w:val="22"/>
          <w:u w:val="single"/>
        </w:rPr>
      </w:pPr>
      <w:r w:rsidRPr="00813409">
        <w:rPr>
          <w:szCs w:val="22"/>
          <w:u w:val="single"/>
        </w:rPr>
        <w:t>Pediatrická populácia</w:t>
      </w:r>
    </w:p>
    <w:p w:rsidR="00161A0F" w:rsidRPr="00813409" w:rsidRDefault="00161A0F" w:rsidP="00161A0F">
      <w:pPr>
        <w:ind w:left="0" w:firstLine="0"/>
        <w:rPr>
          <w:i/>
          <w:iCs/>
          <w:szCs w:val="22"/>
        </w:rPr>
      </w:pPr>
      <w:r w:rsidRPr="00813409">
        <w:rPr>
          <w:i/>
          <w:iCs/>
          <w:szCs w:val="22"/>
        </w:rPr>
        <w:t xml:space="preserve">Liečba CMV </w:t>
      </w:r>
      <w:proofErr w:type="spellStart"/>
      <w:r w:rsidRPr="00813409">
        <w:rPr>
          <w:i/>
          <w:iCs/>
          <w:szCs w:val="22"/>
        </w:rPr>
        <w:t>retinitídy</w:t>
      </w:r>
      <w:proofErr w:type="spellEnd"/>
      <w:r w:rsidRPr="00813409">
        <w:rPr>
          <w:i/>
          <w:iCs/>
          <w:szCs w:val="22"/>
        </w:rPr>
        <w:t>:</w:t>
      </w:r>
    </w:p>
    <w:p w:rsidR="00161A0F" w:rsidRPr="00813409" w:rsidRDefault="00161A0F" w:rsidP="00161A0F">
      <w:pPr>
        <w:ind w:left="0" w:firstLine="0"/>
        <w:rPr>
          <w:iCs/>
          <w:szCs w:val="22"/>
          <w:u w:val="single"/>
        </w:rPr>
      </w:pPr>
      <w:r w:rsidRPr="00813409">
        <w:rPr>
          <w:iCs/>
          <w:szCs w:val="22"/>
        </w:rPr>
        <w:t xml:space="preserve">Európska </w:t>
      </w:r>
      <w:r w:rsidR="007D3E51" w:rsidRPr="00813409">
        <w:rPr>
          <w:iCs/>
          <w:szCs w:val="22"/>
        </w:rPr>
        <w:t xml:space="preserve">lieková </w:t>
      </w:r>
      <w:r w:rsidRPr="00813409">
        <w:rPr>
          <w:iCs/>
          <w:szCs w:val="22"/>
        </w:rPr>
        <w:t xml:space="preserve">agentúra udelila výnimku z povinnosti </w:t>
      </w:r>
      <w:r w:rsidR="007D3E51" w:rsidRPr="00813409">
        <w:rPr>
          <w:iCs/>
          <w:szCs w:val="22"/>
        </w:rPr>
        <w:t xml:space="preserve">predložiť výsledky štúdii </w:t>
      </w:r>
      <w:r w:rsidRPr="00813409">
        <w:rPr>
          <w:iCs/>
          <w:szCs w:val="22"/>
        </w:rPr>
        <w:t xml:space="preserve">s </w:t>
      </w:r>
      <w:r w:rsidR="007D3E51" w:rsidRPr="00813409">
        <w:rPr>
          <w:iCs/>
          <w:szCs w:val="22"/>
        </w:rPr>
        <w:t xml:space="preserve">referenčným </w:t>
      </w:r>
      <w:r w:rsidR="009D6C9F" w:rsidRPr="00813409">
        <w:rPr>
          <w:iCs/>
          <w:szCs w:val="22"/>
        </w:rPr>
        <w:t>liekom</w:t>
      </w:r>
      <w:r w:rsidR="00CD1D66" w:rsidRPr="00813409">
        <w:rPr>
          <w:iCs/>
          <w:szCs w:val="22"/>
        </w:rPr>
        <w:t xml:space="preserve"> </w:t>
      </w:r>
      <w:r w:rsidR="007D3E51" w:rsidRPr="00813409">
        <w:rPr>
          <w:iCs/>
          <w:szCs w:val="22"/>
        </w:rPr>
        <w:t xml:space="preserve">obsahujúcim </w:t>
      </w:r>
      <w:proofErr w:type="spellStart"/>
      <w:r w:rsidR="007D3E51" w:rsidRPr="00813409">
        <w:rPr>
          <w:iCs/>
          <w:szCs w:val="22"/>
        </w:rPr>
        <w:t>valgancik</w:t>
      </w:r>
      <w:r w:rsidR="0037584C" w:rsidRPr="00813409">
        <w:rPr>
          <w:iCs/>
          <w:szCs w:val="22"/>
        </w:rPr>
        <w:t>lovir</w:t>
      </w:r>
      <w:proofErr w:type="spellEnd"/>
      <w:r w:rsidRPr="00813409">
        <w:rPr>
          <w:iCs/>
          <w:szCs w:val="22"/>
        </w:rPr>
        <w:t xml:space="preserve"> vo všetkých podskupinách pediatrickej populácie zameran</w:t>
      </w:r>
      <w:r w:rsidR="007D3E51" w:rsidRPr="00813409">
        <w:rPr>
          <w:iCs/>
          <w:szCs w:val="22"/>
        </w:rPr>
        <w:t>ých</w:t>
      </w:r>
      <w:r w:rsidRPr="00813409">
        <w:rPr>
          <w:iCs/>
          <w:szCs w:val="22"/>
        </w:rPr>
        <w:t xml:space="preserve"> na liečbu infekcie spôsobenej CMV u pacientov s oslabeným imunitným systémom (informácie o použití v pediatrickej populácii, pozri časť 4.2).</w:t>
      </w:r>
    </w:p>
    <w:p w:rsidR="00161A0F" w:rsidRPr="00813409" w:rsidRDefault="00161A0F" w:rsidP="00161A0F">
      <w:pPr>
        <w:ind w:left="0" w:firstLine="0"/>
        <w:rPr>
          <w:iCs/>
          <w:szCs w:val="22"/>
          <w:u w:val="single"/>
        </w:rPr>
      </w:pPr>
    </w:p>
    <w:p w:rsidR="00161A0F" w:rsidRPr="00813409" w:rsidRDefault="00161A0F" w:rsidP="00161A0F">
      <w:pPr>
        <w:ind w:left="0" w:firstLine="0"/>
        <w:rPr>
          <w:i/>
          <w:iCs/>
          <w:szCs w:val="22"/>
        </w:rPr>
      </w:pPr>
      <w:r w:rsidRPr="00813409">
        <w:rPr>
          <w:i/>
          <w:iCs/>
          <w:szCs w:val="22"/>
        </w:rPr>
        <w:t>Prevencia CMV ochorenia pri transplantácii:</w:t>
      </w:r>
    </w:p>
    <w:p w:rsidR="009E2147" w:rsidRPr="00813409" w:rsidRDefault="009E2147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 xml:space="preserve">Štúdia fázy II zameraná na </w:t>
      </w:r>
      <w:proofErr w:type="spellStart"/>
      <w:r w:rsidRPr="00813409">
        <w:rPr>
          <w:iCs/>
          <w:szCs w:val="22"/>
        </w:rPr>
        <w:t>farmakokinetiku</w:t>
      </w:r>
      <w:proofErr w:type="spellEnd"/>
      <w:r w:rsidRPr="00813409">
        <w:rPr>
          <w:iCs/>
          <w:szCs w:val="22"/>
        </w:rPr>
        <w:t xml:space="preserve"> a bezpečnosť u</w:t>
      </w:r>
      <w:r w:rsidR="00161A0F" w:rsidRPr="00813409">
        <w:rPr>
          <w:iCs/>
          <w:szCs w:val="22"/>
        </w:rPr>
        <w:t> </w:t>
      </w:r>
      <w:r w:rsidR="00BE2D31" w:rsidRPr="00813409">
        <w:rPr>
          <w:iCs/>
          <w:szCs w:val="22"/>
        </w:rPr>
        <w:t>pediatrick</w:t>
      </w:r>
      <w:r w:rsidR="00161A0F" w:rsidRPr="00813409">
        <w:rPr>
          <w:iCs/>
          <w:szCs w:val="22"/>
        </w:rPr>
        <w:t>ých pacientov</w:t>
      </w:r>
      <w:r w:rsidRPr="00813409">
        <w:rPr>
          <w:iCs/>
          <w:szCs w:val="22"/>
        </w:rPr>
        <w:t xml:space="preserve"> (vo veku 4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mesiac</w:t>
      </w:r>
      <w:r w:rsidR="0030187B" w:rsidRPr="00813409">
        <w:rPr>
          <w:iCs/>
          <w:szCs w:val="22"/>
        </w:rPr>
        <w:t>e</w:t>
      </w:r>
      <w:r w:rsidRPr="00813409">
        <w:rPr>
          <w:iCs/>
          <w:szCs w:val="22"/>
        </w:rPr>
        <w:t xml:space="preserve"> 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 xml:space="preserve"> 16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 xml:space="preserve">rokov, n = 63), ktorým bol transplantovaný solídny orgán, a ktorí dostávali </w:t>
      </w:r>
      <w:proofErr w:type="spellStart"/>
      <w:r w:rsidRPr="00813409">
        <w:rPr>
          <w:iCs/>
          <w:szCs w:val="22"/>
        </w:rPr>
        <w:t>valganciklovir</w:t>
      </w:r>
      <w:proofErr w:type="spellEnd"/>
      <w:r w:rsidRPr="00813409">
        <w:rPr>
          <w:iCs/>
          <w:szCs w:val="22"/>
        </w:rPr>
        <w:t xml:space="preserve"> jedenkrát denne </w:t>
      </w:r>
      <w:r w:rsidR="00BE2D31" w:rsidRPr="00813409">
        <w:rPr>
          <w:iCs/>
          <w:szCs w:val="22"/>
        </w:rPr>
        <w:t>počas obdobia</w:t>
      </w:r>
      <w:r w:rsidRPr="00813409">
        <w:rPr>
          <w:iCs/>
          <w:szCs w:val="22"/>
        </w:rPr>
        <w:t xml:space="preserve"> </w:t>
      </w:r>
      <w:r w:rsidR="007D3E51" w:rsidRPr="00813409">
        <w:rPr>
          <w:iCs/>
          <w:szCs w:val="22"/>
        </w:rPr>
        <w:t xml:space="preserve">až </w:t>
      </w:r>
      <w:r w:rsidRPr="00813409">
        <w:rPr>
          <w:iCs/>
          <w:szCs w:val="22"/>
        </w:rPr>
        <w:t xml:space="preserve">100 dní podľa </w:t>
      </w:r>
      <w:r w:rsidR="00161A0F" w:rsidRPr="00813409">
        <w:rPr>
          <w:iCs/>
          <w:szCs w:val="22"/>
        </w:rPr>
        <w:t xml:space="preserve">pediatrického </w:t>
      </w:r>
      <w:r w:rsidRPr="00813409">
        <w:rPr>
          <w:iCs/>
          <w:szCs w:val="22"/>
        </w:rPr>
        <w:t>dávkovacieho</w:t>
      </w:r>
      <w:r w:rsidR="0027659C">
        <w:rPr>
          <w:iCs/>
          <w:szCs w:val="22"/>
        </w:rPr>
        <w:t xml:space="preserve"> </w:t>
      </w:r>
      <w:r w:rsidRPr="00813409">
        <w:rPr>
          <w:iCs/>
          <w:szCs w:val="22"/>
        </w:rPr>
        <w:t>algoritmu</w:t>
      </w:r>
      <w:r w:rsidR="00161A0F" w:rsidRPr="00813409">
        <w:rPr>
          <w:iCs/>
          <w:szCs w:val="22"/>
        </w:rPr>
        <w:t xml:space="preserve"> (pozri časť 4.2)</w:t>
      </w:r>
      <w:r w:rsidRPr="00813409">
        <w:rPr>
          <w:iCs/>
          <w:szCs w:val="22"/>
        </w:rPr>
        <w:t xml:space="preserve">, preukázala expozície podobné ako sú expozície u dospelých (pozri časť 5.2). Sledovanie po liečbe trvalo 12 týždňov. Východiskový CMV D/R </w:t>
      </w:r>
      <w:proofErr w:type="spellStart"/>
      <w:r w:rsidRPr="00813409">
        <w:rPr>
          <w:iCs/>
          <w:szCs w:val="22"/>
        </w:rPr>
        <w:t>sérologický</w:t>
      </w:r>
      <w:proofErr w:type="spellEnd"/>
      <w:r w:rsidRPr="00813409">
        <w:rPr>
          <w:iCs/>
          <w:szCs w:val="22"/>
        </w:rPr>
        <w:t xml:space="preserve"> stav bol D+/R- u 40 %, D+/R+ u 38 %, D-/R+ u 19 % a D-/R- u 3 % prípadov. Prítomnosť CMV vírusu sa zaznamenala u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7</w:t>
      </w:r>
      <w:r w:rsidR="00161A0F" w:rsidRPr="00813409">
        <w:rPr>
          <w:iCs/>
          <w:szCs w:val="22"/>
        </w:rPr>
        <w:t> </w:t>
      </w:r>
      <w:r w:rsidRPr="00813409">
        <w:rPr>
          <w:iCs/>
          <w:szCs w:val="22"/>
        </w:rPr>
        <w:t>pacientov. Pozorované nežiaduce reakcie</w:t>
      </w:r>
      <w:r w:rsidR="00161A0F" w:rsidRPr="00813409">
        <w:rPr>
          <w:iCs/>
          <w:szCs w:val="22"/>
        </w:rPr>
        <w:t xml:space="preserve"> na liek</w:t>
      </w:r>
      <w:r w:rsidRPr="00813409">
        <w:rPr>
          <w:iCs/>
          <w:szCs w:val="22"/>
        </w:rPr>
        <w:t xml:space="preserve"> boli podobného charakteru ako reakcie u dospelých (pozri </w:t>
      </w:r>
      <w:r w:rsidR="00161A0F" w:rsidRPr="00813409">
        <w:rPr>
          <w:iCs/>
          <w:szCs w:val="22"/>
        </w:rPr>
        <w:t xml:space="preserve">časť </w:t>
      </w:r>
      <w:r w:rsidRPr="00813409">
        <w:rPr>
          <w:iCs/>
          <w:szCs w:val="22"/>
        </w:rPr>
        <w:t>4.8).</w:t>
      </w:r>
    </w:p>
    <w:p w:rsidR="009E2147" w:rsidRPr="00813409" w:rsidRDefault="009E2147" w:rsidP="009E2147">
      <w:pPr>
        <w:ind w:left="0" w:firstLine="0"/>
        <w:rPr>
          <w:iCs/>
          <w:szCs w:val="22"/>
        </w:rPr>
      </w:pPr>
    </w:p>
    <w:p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 xml:space="preserve">Štúdia fázy IV zameraná na </w:t>
      </w:r>
      <w:proofErr w:type="spellStart"/>
      <w:r w:rsidRPr="00813409">
        <w:rPr>
          <w:iCs/>
          <w:szCs w:val="22"/>
        </w:rPr>
        <w:t>tolerabilitu</w:t>
      </w:r>
      <w:proofErr w:type="spellEnd"/>
      <w:r w:rsidRPr="00813409">
        <w:rPr>
          <w:iCs/>
          <w:szCs w:val="22"/>
        </w:rPr>
        <w:t xml:space="preserve"> u pediatrických pacientov (vo veku 1 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> 16 rokov, n = 57), ktorým bola transplantovaná oblička</w:t>
      </w:r>
      <w:r w:rsidR="0030187B" w:rsidRPr="00813409">
        <w:rPr>
          <w:iCs/>
          <w:szCs w:val="22"/>
        </w:rPr>
        <w:t>,</w:t>
      </w:r>
      <w:r w:rsidRPr="00813409">
        <w:rPr>
          <w:iCs/>
          <w:szCs w:val="22"/>
        </w:rPr>
        <w:t xml:space="preserve"> a ktorí dostávali </w:t>
      </w:r>
      <w:proofErr w:type="spellStart"/>
      <w:r w:rsidRPr="00813409">
        <w:rPr>
          <w:iCs/>
          <w:szCs w:val="22"/>
        </w:rPr>
        <w:t>valganciklovir</w:t>
      </w:r>
      <w:proofErr w:type="spellEnd"/>
      <w:r w:rsidRPr="00813409">
        <w:rPr>
          <w:iCs/>
          <w:szCs w:val="22"/>
        </w:rPr>
        <w:t xml:space="preserve"> jedenkrát denne počas až 200 dní podľa dávkovacieho algoritmu (pozri časť 4.2), preukázala nízky výskyt CMV. Sledovanie po liečbe trvalo 24 týždňov. Východiskový CMV D/R </w:t>
      </w:r>
      <w:proofErr w:type="spellStart"/>
      <w:r w:rsidRPr="00813409">
        <w:rPr>
          <w:iCs/>
          <w:szCs w:val="22"/>
        </w:rPr>
        <w:t>sérologický</w:t>
      </w:r>
      <w:proofErr w:type="spellEnd"/>
      <w:r w:rsidRPr="00813409">
        <w:rPr>
          <w:iCs/>
          <w:szCs w:val="22"/>
        </w:rPr>
        <w:t xml:space="preserve"> stav bol D+/R+ u 45 %, D+/R</w:t>
      </w:r>
      <w:r w:rsidRPr="00813409">
        <w:rPr>
          <w:iCs/>
          <w:szCs w:val="22"/>
        </w:rPr>
        <w:noBreakHyphen/>
        <w:t xml:space="preserve"> u 39 %, D</w:t>
      </w:r>
      <w:r w:rsidRPr="00813409">
        <w:rPr>
          <w:iCs/>
          <w:szCs w:val="22"/>
        </w:rPr>
        <w:noBreakHyphen/>
        <w:t>/R+ u 7 %, D</w:t>
      </w:r>
      <w:r w:rsidRPr="00813409">
        <w:rPr>
          <w:iCs/>
          <w:szCs w:val="22"/>
        </w:rPr>
        <w:noBreakHyphen/>
        <w:t>/R</w:t>
      </w:r>
      <w:r w:rsidRPr="00813409">
        <w:rPr>
          <w:iCs/>
          <w:szCs w:val="22"/>
        </w:rPr>
        <w:noBreakHyphen/>
        <w:t xml:space="preserve"> u 7 % a ND/R+ u 2 % prípadov. U 3 pacientov bola hlásená CMV </w:t>
      </w:r>
      <w:proofErr w:type="spellStart"/>
      <w:r w:rsidRPr="00813409">
        <w:rPr>
          <w:iCs/>
          <w:szCs w:val="22"/>
        </w:rPr>
        <w:t>virémia</w:t>
      </w:r>
      <w:proofErr w:type="spellEnd"/>
      <w:r w:rsidRPr="00813409">
        <w:rPr>
          <w:iCs/>
          <w:szCs w:val="22"/>
        </w:rPr>
        <w:t xml:space="preserve"> a u jedného pacienta bolo podozrenie na prípad CMV syndrómu, ale </w:t>
      </w:r>
      <w:r w:rsidR="009D6C9F" w:rsidRPr="00813409">
        <w:rPr>
          <w:iCs/>
          <w:szCs w:val="22"/>
        </w:rPr>
        <w:t xml:space="preserve">tento </w:t>
      </w:r>
      <w:r w:rsidRPr="00813409">
        <w:rPr>
          <w:iCs/>
          <w:szCs w:val="22"/>
        </w:rPr>
        <w:t xml:space="preserve">sa pomocou CMV PCR </w:t>
      </w:r>
      <w:r w:rsidR="009D6C9F" w:rsidRPr="00813409">
        <w:rPr>
          <w:iCs/>
          <w:szCs w:val="22"/>
        </w:rPr>
        <w:t xml:space="preserve">metódy </w:t>
      </w:r>
      <w:r w:rsidRPr="00813409">
        <w:rPr>
          <w:iCs/>
          <w:szCs w:val="22"/>
        </w:rPr>
        <w:t>vykonanej centrálnym laboratóriom</w:t>
      </w:r>
      <w:r w:rsidR="009D6C9F" w:rsidRPr="00813409">
        <w:rPr>
          <w:iCs/>
          <w:szCs w:val="22"/>
        </w:rPr>
        <w:t xml:space="preserve"> nepotvrdil</w:t>
      </w:r>
      <w:r w:rsidRPr="00813409">
        <w:rPr>
          <w:iCs/>
          <w:szCs w:val="22"/>
        </w:rPr>
        <w:t>.</w:t>
      </w:r>
      <w:r w:rsidRPr="00813409" w:rsidDel="00F12A1E">
        <w:rPr>
          <w:iCs/>
          <w:szCs w:val="22"/>
        </w:rPr>
        <w:t xml:space="preserve"> </w:t>
      </w:r>
      <w:r w:rsidRPr="00813409">
        <w:rPr>
          <w:iCs/>
          <w:szCs w:val="22"/>
        </w:rPr>
        <w:t>Pozorované nežiaduce reakcie na liek boli podobného charakteru ako reakcie u dospelých (pozri časť 4.8).</w:t>
      </w:r>
    </w:p>
    <w:p w:rsidR="00161A0F" w:rsidRPr="00813409" w:rsidRDefault="00161A0F" w:rsidP="00161A0F">
      <w:pPr>
        <w:ind w:left="0" w:firstLine="0"/>
        <w:rPr>
          <w:iCs/>
          <w:szCs w:val="22"/>
        </w:rPr>
      </w:pPr>
    </w:p>
    <w:p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lastRenderedPageBreak/>
        <w:t xml:space="preserve">Tieto údaje podporujú </w:t>
      </w:r>
      <w:proofErr w:type="spellStart"/>
      <w:r w:rsidRPr="00813409">
        <w:rPr>
          <w:iCs/>
          <w:szCs w:val="22"/>
        </w:rPr>
        <w:t>extrapoláciu</w:t>
      </w:r>
      <w:proofErr w:type="spellEnd"/>
      <w:r w:rsidRPr="00813409">
        <w:rPr>
          <w:iCs/>
          <w:szCs w:val="22"/>
        </w:rPr>
        <w:t xml:space="preserve"> údajov o účinnosti z dospelých na deti a poskytujú odporúčania na dávkovanie </w:t>
      </w:r>
      <w:r w:rsidR="0030187B" w:rsidRPr="00813409">
        <w:rPr>
          <w:iCs/>
          <w:szCs w:val="22"/>
        </w:rPr>
        <w:t>u</w:t>
      </w:r>
      <w:r w:rsidRPr="00813409">
        <w:rPr>
          <w:iCs/>
          <w:szCs w:val="22"/>
        </w:rPr>
        <w:t xml:space="preserve"> pediatrických pacientov.</w:t>
      </w:r>
    </w:p>
    <w:p w:rsidR="00161A0F" w:rsidRPr="00813409" w:rsidRDefault="00161A0F" w:rsidP="00161A0F">
      <w:pPr>
        <w:ind w:left="0" w:firstLine="0"/>
        <w:rPr>
          <w:iCs/>
          <w:szCs w:val="22"/>
        </w:rPr>
      </w:pPr>
    </w:p>
    <w:p w:rsidR="00161A0F" w:rsidRPr="00813409" w:rsidRDefault="00161A0F" w:rsidP="00161A0F">
      <w:pPr>
        <w:ind w:left="0" w:firstLine="0"/>
        <w:rPr>
          <w:i/>
          <w:iCs/>
          <w:szCs w:val="22"/>
        </w:rPr>
      </w:pPr>
      <w:r w:rsidRPr="00813409">
        <w:rPr>
          <w:iCs/>
          <w:szCs w:val="22"/>
        </w:rPr>
        <w:t xml:space="preserve">Štúdia fázy I zameraná na </w:t>
      </w:r>
      <w:proofErr w:type="spellStart"/>
      <w:r w:rsidRPr="00813409">
        <w:rPr>
          <w:iCs/>
          <w:szCs w:val="22"/>
        </w:rPr>
        <w:t>farmakokinetiku</w:t>
      </w:r>
      <w:proofErr w:type="spellEnd"/>
      <w:r w:rsidRPr="00813409">
        <w:rPr>
          <w:iCs/>
          <w:szCs w:val="22"/>
        </w:rPr>
        <w:t xml:space="preserve"> a bezpečnosť u pacientov po transplantácii srdca (vo veku 3 týžd</w:t>
      </w:r>
      <w:r w:rsidR="0030187B" w:rsidRPr="00813409">
        <w:rPr>
          <w:iCs/>
          <w:szCs w:val="22"/>
        </w:rPr>
        <w:t>ne</w:t>
      </w:r>
      <w:r w:rsidRPr="00813409">
        <w:rPr>
          <w:iCs/>
          <w:szCs w:val="22"/>
        </w:rPr>
        <w:t xml:space="preserve"> 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 xml:space="preserve"> 125 dní, n = 14), ktorí dostali jednu dennú dávku </w:t>
      </w:r>
      <w:proofErr w:type="spellStart"/>
      <w:r w:rsidRPr="00813409">
        <w:rPr>
          <w:iCs/>
          <w:szCs w:val="22"/>
        </w:rPr>
        <w:t>valgancikloviru</w:t>
      </w:r>
      <w:proofErr w:type="spellEnd"/>
      <w:r w:rsidRPr="00813409">
        <w:rPr>
          <w:iCs/>
          <w:szCs w:val="22"/>
        </w:rPr>
        <w:t xml:space="preserve"> podľa pediatrického dávkovacieho algoritmu (pozri časť 4.2) počas 2 po sebe </w:t>
      </w:r>
      <w:r w:rsidR="007D3E51" w:rsidRPr="00813409">
        <w:rPr>
          <w:iCs/>
          <w:szCs w:val="22"/>
        </w:rPr>
        <w:t>nasle</w:t>
      </w:r>
      <w:r w:rsidRPr="00813409">
        <w:rPr>
          <w:iCs/>
          <w:szCs w:val="22"/>
        </w:rPr>
        <w:t>d</w:t>
      </w:r>
      <w:r w:rsidR="007D3E51" w:rsidRPr="00813409">
        <w:rPr>
          <w:iCs/>
          <w:szCs w:val="22"/>
        </w:rPr>
        <w:t>uj</w:t>
      </w:r>
      <w:r w:rsidRPr="00813409">
        <w:rPr>
          <w:iCs/>
          <w:szCs w:val="22"/>
        </w:rPr>
        <w:t>úcich dní, preukázala expozície podobné ako sú expozície u dospelých (pozri časť 5.2). Sledovanie po liečbe trvalo 7 dní. Bezpečnostný profil sa zhodoval s tým, ktorý sa pozoroval v </w:t>
      </w:r>
      <w:r w:rsidR="00A3612A" w:rsidRPr="00813409">
        <w:rPr>
          <w:szCs w:val="22"/>
        </w:rPr>
        <w:t>iných pediatrických štúdiách a v štúdiách s dospelými</w:t>
      </w:r>
      <w:r w:rsidRPr="00813409">
        <w:rPr>
          <w:iCs/>
          <w:szCs w:val="22"/>
        </w:rPr>
        <w:t xml:space="preserve">, hoci počet pacientov a expozícia </w:t>
      </w:r>
      <w:proofErr w:type="spellStart"/>
      <w:r w:rsidRPr="00813409">
        <w:rPr>
          <w:iCs/>
          <w:szCs w:val="22"/>
        </w:rPr>
        <w:t>valganciklovir</w:t>
      </w:r>
      <w:r w:rsidR="007D3E51" w:rsidRPr="00813409">
        <w:rPr>
          <w:iCs/>
          <w:szCs w:val="22"/>
        </w:rPr>
        <w:t>u</w:t>
      </w:r>
      <w:proofErr w:type="spellEnd"/>
      <w:r w:rsidRPr="00813409">
        <w:rPr>
          <w:iCs/>
          <w:szCs w:val="22"/>
        </w:rPr>
        <w:t xml:space="preserve"> boli v tejto štúdii obmedzené.</w:t>
      </w:r>
    </w:p>
    <w:p w:rsidR="00161A0F" w:rsidRPr="00813409" w:rsidRDefault="00161A0F" w:rsidP="00161A0F">
      <w:pPr>
        <w:ind w:left="0" w:firstLine="0"/>
        <w:rPr>
          <w:i/>
          <w:iCs/>
          <w:szCs w:val="22"/>
        </w:rPr>
      </w:pPr>
    </w:p>
    <w:p w:rsidR="00161A0F" w:rsidRPr="00813409" w:rsidRDefault="00161A0F" w:rsidP="00161A0F">
      <w:pPr>
        <w:ind w:left="0" w:firstLine="0"/>
        <w:rPr>
          <w:i/>
          <w:iCs/>
          <w:szCs w:val="22"/>
        </w:rPr>
      </w:pPr>
      <w:proofErr w:type="spellStart"/>
      <w:r w:rsidRPr="00813409">
        <w:rPr>
          <w:i/>
          <w:iCs/>
          <w:szCs w:val="22"/>
        </w:rPr>
        <w:t>Kongenitálna</w:t>
      </w:r>
      <w:proofErr w:type="spellEnd"/>
      <w:r w:rsidRPr="00813409">
        <w:rPr>
          <w:i/>
          <w:iCs/>
          <w:szCs w:val="22"/>
        </w:rPr>
        <w:t xml:space="preserve"> CMV</w:t>
      </w:r>
      <w:r w:rsidR="000123D4" w:rsidRPr="00813409">
        <w:rPr>
          <w:i/>
          <w:iCs/>
          <w:szCs w:val="22"/>
        </w:rPr>
        <w:t> infekcia</w:t>
      </w:r>
    </w:p>
    <w:p w:rsidR="00161A0F" w:rsidRPr="00813409" w:rsidRDefault="00161A0F" w:rsidP="00161A0F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 xml:space="preserve">Účinnosť a bezpečnosť </w:t>
      </w:r>
      <w:proofErr w:type="spellStart"/>
      <w:r w:rsidRPr="00813409">
        <w:rPr>
          <w:iCs/>
          <w:szCs w:val="22"/>
        </w:rPr>
        <w:t>gancikloviru</w:t>
      </w:r>
      <w:proofErr w:type="spellEnd"/>
      <w:r w:rsidRPr="00813409">
        <w:rPr>
          <w:iCs/>
          <w:szCs w:val="22"/>
        </w:rPr>
        <w:t xml:space="preserve"> a/alebo </w:t>
      </w:r>
      <w:proofErr w:type="spellStart"/>
      <w:r w:rsidRPr="00813409">
        <w:rPr>
          <w:iCs/>
          <w:szCs w:val="22"/>
        </w:rPr>
        <w:t>valgancikloviru</w:t>
      </w:r>
      <w:proofErr w:type="spellEnd"/>
      <w:r w:rsidRPr="00813409">
        <w:rPr>
          <w:iCs/>
          <w:szCs w:val="22"/>
        </w:rPr>
        <w:t xml:space="preserve"> boli skúmané u novorodencov a dojčiat so symptomatickou </w:t>
      </w:r>
      <w:proofErr w:type="spellStart"/>
      <w:r w:rsidRPr="00813409">
        <w:rPr>
          <w:iCs/>
          <w:szCs w:val="22"/>
        </w:rPr>
        <w:t>kongenitálnou</w:t>
      </w:r>
      <w:proofErr w:type="spellEnd"/>
      <w:r w:rsidRPr="00813409">
        <w:rPr>
          <w:iCs/>
          <w:szCs w:val="22"/>
        </w:rPr>
        <w:t xml:space="preserve"> CMV infekciou v dvoch štúdiách.</w:t>
      </w:r>
    </w:p>
    <w:p w:rsidR="00161A0F" w:rsidRPr="00813409" w:rsidRDefault="00161A0F" w:rsidP="009E2147">
      <w:pPr>
        <w:ind w:left="0" w:firstLine="0"/>
        <w:rPr>
          <w:iCs/>
          <w:szCs w:val="22"/>
        </w:rPr>
      </w:pPr>
    </w:p>
    <w:p w:rsidR="00161A0F" w:rsidRPr="00813409" w:rsidRDefault="00161A0F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 xml:space="preserve">V prvej štúdii boli </w:t>
      </w:r>
      <w:proofErr w:type="spellStart"/>
      <w:r w:rsidRPr="00813409">
        <w:rPr>
          <w:iCs/>
          <w:szCs w:val="22"/>
        </w:rPr>
        <w:t>f</w:t>
      </w:r>
      <w:r w:rsidR="009E2147" w:rsidRPr="00813409">
        <w:rPr>
          <w:iCs/>
          <w:szCs w:val="22"/>
        </w:rPr>
        <w:t>armakokinetika</w:t>
      </w:r>
      <w:proofErr w:type="spellEnd"/>
      <w:r w:rsidR="009E2147" w:rsidRPr="00813409">
        <w:rPr>
          <w:iCs/>
          <w:szCs w:val="22"/>
        </w:rPr>
        <w:t xml:space="preserve"> a bezpečnosť jednorazovej dávky </w:t>
      </w:r>
      <w:proofErr w:type="spellStart"/>
      <w:r w:rsidR="009E2147" w:rsidRPr="00813409">
        <w:rPr>
          <w:iCs/>
          <w:szCs w:val="22"/>
        </w:rPr>
        <w:t>valgancikloviru</w:t>
      </w:r>
      <w:proofErr w:type="spellEnd"/>
      <w:r w:rsidR="009E2147" w:rsidRPr="00813409">
        <w:rPr>
          <w:iCs/>
          <w:szCs w:val="22"/>
        </w:rPr>
        <w:t xml:space="preserve"> (dávkové rozmedzie 14-16-20 mg/kg/dávka) skúmané u 24 novorodencov (vo veku 8</w:t>
      </w:r>
      <w:r w:rsidRPr="00813409">
        <w:rPr>
          <w:iCs/>
          <w:szCs w:val="22"/>
        </w:rPr>
        <w:t> </w:t>
      </w:r>
      <w:r w:rsidR="0030187B" w:rsidRPr="00813409">
        <w:rPr>
          <w:iCs/>
          <w:szCs w:val="22"/>
        </w:rPr>
        <w:t>až</w:t>
      </w:r>
      <w:r w:rsidRPr="00813409">
        <w:rPr>
          <w:iCs/>
          <w:szCs w:val="22"/>
        </w:rPr>
        <w:t> </w:t>
      </w:r>
      <w:r w:rsidR="009E2147" w:rsidRPr="00813409">
        <w:rPr>
          <w:iCs/>
          <w:szCs w:val="22"/>
        </w:rPr>
        <w:t>34</w:t>
      </w:r>
      <w:r w:rsidRPr="00813409">
        <w:rPr>
          <w:iCs/>
          <w:szCs w:val="22"/>
        </w:rPr>
        <w:t> </w:t>
      </w:r>
      <w:r w:rsidR="009E2147" w:rsidRPr="00813409">
        <w:rPr>
          <w:iCs/>
          <w:szCs w:val="22"/>
        </w:rPr>
        <w:t>dní) so</w:t>
      </w:r>
      <w:r w:rsidRPr="00813409">
        <w:rPr>
          <w:iCs/>
          <w:szCs w:val="22"/>
        </w:rPr>
        <w:t> </w:t>
      </w:r>
      <w:r w:rsidR="009E2147" w:rsidRPr="00813409">
        <w:rPr>
          <w:szCs w:val="22"/>
        </w:rPr>
        <w:t xml:space="preserve">symptomatickým </w:t>
      </w:r>
      <w:proofErr w:type="spellStart"/>
      <w:r w:rsidR="009E2147" w:rsidRPr="00813409">
        <w:rPr>
          <w:szCs w:val="22"/>
        </w:rPr>
        <w:t>kongenitálnym</w:t>
      </w:r>
      <w:proofErr w:type="spellEnd"/>
      <w:r w:rsidR="009E2147" w:rsidRPr="00813409">
        <w:rPr>
          <w:szCs w:val="22"/>
        </w:rPr>
        <w:t xml:space="preserve"> CMV ochorením (pozri časť 5.2). Novorodenci dostávali antivírusovú liečbu </w:t>
      </w:r>
      <w:r w:rsidR="00BE2D31" w:rsidRPr="00813409">
        <w:rPr>
          <w:szCs w:val="22"/>
        </w:rPr>
        <w:t>počas</w:t>
      </w:r>
      <w:r w:rsidR="009E2147" w:rsidRPr="00813409">
        <w:rPr>
          <w:szCs w:val="22"/>
        </w:rPr>
        <w:t xml:space="preserve"> 6 týždňov, </w:t>
      </w:r>
      <w:r w:rsidR="009E2147" w:rsidRPr="00813409">
        <w:rPr>
          <w:iCs/>
          <w:szCs w:val="22"/>
        </w:rPr>
        <w:t xml:space="preserve">pričom 19 z 24 pacientov dostávalo liečbu perorálnym </w:t>
      </w:r>
      <w:proofErr w:type="spellStart"/>
      <w:r w:rsidR="009E2147" w:rsidRPr="00813409">
        <w:rPr>
          <w:iCs/>
          <w:szCs w:val="22"/>
        </w:rPr>
        <w:t>valganciklovirom</w:t>
      </w:r>
      <w:proofErr w:type="spellEnd"/>
      <w:r w:rsidR="009E2147" w:rsidRPr="00813409">
        <w:rPr>
          <w:iCs/>
          <w:szCs w:val="22"/>
        </w:rPr>
        <w:t xml:space="preserve"> </w:t>
      </w:r>
      <w:r w:rsidR="00BE2D31" w:rsidRPr="00813409">
        <w:rPr>
          <w:iCs/>
          <w:szCs w:val="22"/>
        </w:rPr>
        <w:t>počas</w:t>
      </w:r>
      <w:r w:rsidR="009E2147" w:rsidRPr="00813409">
        <w:rPr>
          <w:iCs/>
          <w:szCs w:val="22"/>
        </w:rPr>
        <w:t xml:space="preserve"> 4 týždňov, počas zvyšných 2 týždňov dostávali i</w:t>
      </w:r>
      <w:r w:rsidR="006C1469" w:rsidRPr="00813409">
        <w:rPr>
          <w:iCs/>
          <w:szCs w:val="22"/>
        </w:rPr>
        <w:t>ntravenózne</w:t>
      </w:r>
      <w:r w:rsidR="009E2147" w:rsidRPr="00813409">
        <w:rPr>
          <w:iCs/>
          <w:szCs w:val="22"/>
        </w:rPr>
        <w:t xml:space="preserve"> </w:t>
      </w:r>
      <w:proofErr w:type="spellStart"/>
      <w:r w:rsidR="009E2147" w:rsidRPr="00813409">
        <w:rPr>
          <w:iCs/>
          <w:szCs w:val="22"/>
        </w:rPr>
        <w:t>ganciklovir</w:t>
      </w:r>
      <w:proofErr w:type="spellEnd"/>
      <w:r w:rsidR="009E2147" w:rsidRPr="00813409">
        <w:rPr>
          <w:iCs/>
          <w:szCs w:val="22"/>
        </w:rPr>
        <w:t xml:space="preserve">. </w:t>
      </w:r>
      <w:r w:rsidR="00BE2D31" w:rsidRPr="00813409">
        <w:rPr>
          <w:iCs/>
          <w:szCs w:val="22"/>
        </w:rPr>
        <w:t xml:space="preserve">Päť </w:t>
      </w:r>
      <w:r w:rsidR="009E2147" w:rsidRPr="00813409">
        <w:rPr>
          <w:iCs/>
          <w:szCs w:val="22"/>
        </w:rPr>
        <w:t>zvyšných pacientov dostávalo i</w:t>
      </w:r>
      <w:r w:rsidR="006C1469" w:rsidRPr="00813409">
        <w:rPr>
          <w:iCs/>
          <w:szCs w:val="22"/>
        </w:rPr>
        <w:t>ntravenózne</w:t>
      </w:r>
      <w:r w:rsidR="009E2147" w:rsidRPr="00813409">
        <w:rPr>
          <w:iCs/>
          <w:szCs w:val="22"/>
        </w:rPr>
        <w:t xml:space="preserve"> </w:t>
      </w:r>
      <w:proofErr w:type="spellStart"/>
      <w:r w:rsidR="009E2147" w:rsidRPr="00813409">
        <w:rPr>
          <w:iCs/>
          <w:szCs w:val="22"/>
        </w:rPr>
        <w:t>ganciklovir</w:t>
      </w:r>
      <w:proofErr w:type="spellEnd"/>
      <w:r w:rsidR="009E2147" w:rsidRPr="00813409">
        <w:rPr>
          <w:iCs/>
          <w:szCs w:val="22"/>
        </w:rPr>
        <w:t xml:space="preserve"> </w:t>
      </w:r>
      <w:r w:rsidRPr="00813409">
        <w:rPr>
          <w:iCs/>
          <w:szCs w:val="22"/>
        </w:rPr>
        <w:t xml:space="preserve">po </w:t>
      </w:r>
      <w:r w:rsidR="009E2147" w:rsidRPr="00813409">
        <w:rPr>
          <w:iCs/>
          <w:szCs w:val="22"/>
        </w:rPr>
        <w:t xml:space="preserve">väčšinu </w:t>
      </w:r>
      <w:r w:rsidRPr="00813409">
        <w:rPr>
          <w:iCs/>
          <w:szCs w:val="22"/>
        </w:rPr>
        <w:t>obdobia</w:t>
      </w:r>
      <w:r w:rsidR="009E2147" w:rsidRPr="00813409">
        <w:rPr>
          <w:iCs/>
          <w:szCs w:val="22"/>
        </w:rPr>
        <w:t xml:space="preserve"> štúdie</w:t>
      </w:r>
      <w:r w:rsidR="009E2147" w:rsidRPr="00813409">
        <w:rPr>
          <w:szCs w:val="22"/>
        </w:rPr>
        <w:t xml:space="preserve">. </w:t>
      </w:r>
      <w:r w:rsidRPr="00813409">
        <w:rPr>
          <w:szCs w:val="22"/>
        </w:rPr>
        <w:t xml:space="preserve">V druhej štúdii boli </w:t>
      </w:r>
      <w:r w:rsidR="006C1469" w:rsidRPr="00813409">
        <w:rPr>
          <w:szCs w:val="22"/>
        </w:rPr>
        <w:t xml:space="preserve">skúmané </w:t>
      </w:r>
      <w:r w:rsidRPr="00813409">
        <w:rPr>
          <w:szCs w:val="22"/>
        </w:rPr>
        <w:t xml:space="preserve">účinnosť a bezpečnosť šesťtýždňovej </w:t>
      </w:r>
      <w:r w:rsidR="00F644E0" w:rsidRPr="00813409">
        <w:rPr>
          <w:szCs w:val="22"/>
        </w:rPr>
        <w:t>liečb</w:t>
      </w:r>
      <w:r w:rsidR="00F644E0">
        <w:rPr>
          <w:szCs w:val="22"/>
        </w:rPr>
        <w:t>y</w:t>
      </w:r>
      <w:r w:rsidR="00F644E0" w:rsidRPr="00813409">
        <w:rPr>
          <w:szCs w:val="22"/>
        </w:rPr>
        <w:t xml:space="preserve"> </w:t>
      </w:r>
      <w:proofErr w:type="spellStart"/>
      <w:r w:rsidR="006C1469" w:rsidRPr="00813409">
        <w:rPr>
          <w:szCs w:val="22"/>
        </w:rPr>
        <w:t>valganciklovirom</w:t>
      </w:r>
      <w:proofErr w:type="spellEnd"/>
      <w:r w:rsidR="006C1469" w:rsidRPr="00813409">
        <w:rPr>
          <w:szCs w:val="22"/>
        </w:rPr>
        <w:t xml:space="preserve"> </w:t>
      </w:r>
      <w:r w:rsidRPr="00813409">
        <w:rPr>
          <w:szCs w:val="22"/>
        </w:rPr>
        <w:t>oproti šesťmesačnej liečbe u 109 dojčiat vo veku 2 </w:t>
      </w:r>
      <w:r w:rsidR="00E51AAC" w:rsidRPr="00813409">
        <w:rPr>
          <w:szCs w:val="22"/>
        </w:rPr>
        <w:t>až</w:t>
      </w:r>
      <w:r w:rsidRPr="00813409">
        <w:rPr>
          <w:szCs w:val="22"/>
        </w:rPr>
        <w:t xml:space="preserve"> 30 dní so symptomatickým </w:t>
      </w:r>
      <w:proofErr w:type="spellStart"/>
      <w:r w:rsidRPr="00813409">
        <w:rPr>
          <w:szCs w:val="22"/>
        </w:rPr>
        <w:t>kongenitálnym</w:t>
      </w:r>
      <w:proofErr w:type="spellEnd"/>
      <w:r w:rsidRPr="00813409">
        <w:rPr>
          <w:szCs w:val="22"/>
        </w:rPr>
        <w:t xml:space="preserve"> CMV ochorením. Všetky dojčatá dostávali perorálny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 xml:space="preserve"> v dávke 16 mg/kg dvakrát denne počas 6 týždňov. Po 6 týždňoch liečby boli dojčatá </w:t>
      </w:r>
      <w:proofErr w:type="spellStart"/>
      <w:r w:rsidRPr="00813409">
        <w:rPr>
          <w:szCs w:val="22"/>
        </w:rPr>
        <w:t>randomizované</w:t>
      </w:r>
      <w:proofErr w:type="spellEnd"/>
      <w:r w:rsidRPr="00813409">
        <w:rPr>
          <w:szCs w:val="22"/>
        </w:rPr>
        <w:t xml:space="preserve"> v pomere 1:1 na pokračovanie v liečbe </w:t>
      </w:r>
      <w:proofErr w:type="spellStart"/>
      <w:r w:rsidRPr="00813409">
        <w:rPr>
          <w:szCs w:val="22"/>
        </w:rPr>
        <w:t>valganciklovirom</w:t>
      </w:r>
      <w:proofErr w:type="spellEnd"/>
      <w:r w:rsidRPr="00813409">
        <w:rPr>
          <w:szCs w:val="22"/>
        </w:rPr>
        <w:t xml:space="preserve"> v rovnakej dávke alebo dostávali zodpovedajúce placebo, aby </w:t>
      </w:r>
      <w:r w:rsidR="00740A68" w:rsidRPr="00813409">
        <w:rPr>
          <w:szCs w:val="22"/>
        </w:rPr>
        <w:t xml:space="preserve">absolvovali </w:t>
      </w:r>
      <w:r w:rsidRPr="00813409">
        <w:rPr>
          <w:szCs w:val="22"/>
        </w:rPr>
        <w:t>6 mesiacov liečby.</w:t>
      </w:r>
    </w:p>
    <w:p w:rsidR="00161A0F" w:rsidRPr="00813409" w:rsidRDefault="00161A0F" w:rsidP="009E2147">
      <w:pPr>
        <w:ind w:left="0" w:firstLine="0"/>
        <w:rPr>
          <w:szCs w:val="22"/>
        </w:rPr>
      </w:pPr>
    </w:p>
    <w:p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szCs w:val="22"/>
        </w:rPr>
        <w:t xml:space="preserve">Táto terapeutická indikácia sa v súčasnosti pre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 xml:space="preserve"> neodporúča. Dizajn štúdi</w:t>
      </w:r>
      <w:r w:rsidR="00161A0F" w:rsidRPr="00813409">
        <w:rPr>
          <w:szCs w:val="22"/>
        </w:rPr>
        <w:t>í</w:t>
      </w:r>
      <w:r w:rsidRPr="00813409">
        <w:rPr>
          <w:szCs w:val="22"/>
        </w:rPr>
        <w:t xml:space="preserve"> a získané výsledky sú príliš obmedzené na to, aby umožňovali vyvodiť primerané závery o účinnosti a bezpečnosti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>.</w:t>
      </w:r>
    </w:p>
    <w:p w:rsidR="009E2147" w:rsidRPr="00813409" w:rsidRDefault="009E2147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5.2</w:t>
      </w:r>
      <w:r w:rsidRPr="00813409">
        <w:rPr>
          <w:b/>
          <w:szCs w:val="22"/>
        </w:rPr>
        <w:tab/>
      </w:r>
      <w:proofErr w:type="spellStart"/>
      <w:r w:rsidRPr="00813409">
        <w:rPr>
          <w:b/>
          <w:szCs w:val="22"/>
        </w:rPr>
        <w:t>Farmakokinetické</w:t>
      </w:r>
      <w:proofErr w:type="spellEnd"/>
      <w:r w:rsidRPr="00813409">
        <w:rPr>
          <w:b/>
          <w:szCs w:val="22"/>
        </w:rPr>
        <w:t xml:space="preserve"> vlastnosti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proofErr w:type="spellStart"/>
      <w:r w:rsidRPr="00813409">
        <w:t>Farmakokinetické</w:t>
      </w:r>
      <w:proofErr w:type="spellEnd"/>
      <w:r w:rsidRPr="00813409">
        <w:t xml:space="preserve"> vlastnosti </w:t>
      </w:r>
      <w:proofErr w:type="spellStart"/>
      <w:r w:rsidRPr="00813409">
        <w:t>valgancikloviru</w:t>
      </w:r>
      <w:proofErr w:type="spellEnd"/>
      <w:r w:rsidRPr="00813409">
        <w:t xml:space="preserve"> sa hodnotili u HIV a CMV </w:t>
      </w:r>
      <w:proofErr w:type="spellStart"/>
      <w:r w:rsidRPr="00813409">
        <w:t>séropozitívnych</w:t>
      </w:r>
      <w:proofErr w:type="spellEnd"/>
      <w:r w:rsidRPr="00813409">
        <w:t xml:space="preserve"> pacientov, u pacientov s AIDS a CMV </w:t>
      </w:r>
      <w:proofErr w:type="spellStart"/>
      <w:r w:rsidRPr="00813409">
        <w:t>retinitídou</w:t>
      </w:r>
      <w:proofErr w:type="spellEnd"/>
      <w:r w:rsidRPr="00813409">
        <w:t xml:space="preserve"> a u pacientov po transplantácii solídneho orgánu.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Absorpcia</w:t>
      </w:r>
    </w:p>
    <w:p w:rsidR="009C39F3" w:rsidRPr="00813409" w:rsidRDefault="009C39F3" w:rsidP="006819C5">
      <w:pPr>
        <w:ind w:left="0" w:firstLine="0"/>
      </w:pPr>
      <w:proofErr w:type="spellStart"/>
      <w:r w:rsidRPr="00813409">
        <w:t>Valganciklovir</w:t>
      </w:r>
      <w:proofErr w:type="spellEnd"/>
      <w:r w:rsidRPr="00813409">
        <w:t xml:space="preserve"> je prekurzorom </w:t>
      </w:r>
      <w:proofErr w:type="spellStart"/>
      <w:r w:rsidRPr="00813409">
        <w:t>gancikloviru</w:t>
      </w:r>
      <w:proofErr w:type="spellEnd"/>
      <w:r w:rsidRPr="00813409">
        <w:t>. Dobre sa absorbuje z </w:t>
      </w:r>
      <w:proofErr w:type="spellStart"/>
      <w:r w:rsidRPr="00813409">
        <w:t>gastrointestinálneho</w:t>
      </w:r>
      <w:proofErr w:type="spellEnd"/>
      <w:r w:rsidRPr="00813409">
        <w:t xml:space="preserve"> traktu a rýchlo a vo veľkej miere sa metabolizuje na </w:t>
      </w:r>
      <w:proofErr w:type="spellStart"/>
      <w:r w:rsidRPr="00813409">
        <w:t>ganciklovir</w:t>
      </w:r>
      <w:proofErr w:type="spellEnd"/>
      <w:r w:rsidRPr="00813409">
        <w:t xml:space="preserve"> v črevnej stene a v pečeni. </w:t>
      </w:r>
      <w:r w:rsidR="006C1469" w:rsidRPr="00813409">
        <w:t xml:space="preserve">Systémová expozícia </w:t>
      </w:r>
      <w:proofErr w:type="spellStart"/>
      <w:r w:rsidR="006C1469" w:rsidRPr="00813409">
        <w:t>valgancikloviru</w:t>
      </w:r>
      <w:proofErr w:type="spellEnd"/>
      <w:r w:rsidR="006C1469" w:rsidRPr="00813409">
        <w:t xml:space="preserve"> je prechodná a nízka. </w:t>
      </w:r>
      <w:r w:rsidR="0027659C">
        <w:t>B</w:t>
      </w:r>
      <w:r w:rsidR="0027659C" w:rsidRPr="00813409">
        <w:t xml:space="preserve">iologická </w:t>
      </w:r>
      <w:r w:rsidRPr="00813409">
        <w:t xml:space="preserve">dostupnosť </w:t>
      </w:r>
      <w:proofErr w:type="spellStart"/>
      <w:r w:rsidRPr="00813409">
        <w:t>gancikloviru</w:t>
      </w:r>
      <w:proofErr w:type="spellEnd"/>
      <w:r w:rsidRPr="00813409">
        <w:t xml:space="preserve"> z</w:t>
      </w:r>
      <w:r w:rsidR="0027659C">
        <w:t> </w:t>
      </w:r>
      <w:proofErr w:type="spellStart"/>
      <w:r w:rsidRPr="00813409">
        <w:t>valgancikloviru</w:t>
      </w:r>
      <w:proofErr w:type="spellEnd"/>
      <w:r w:rsidR="0027659C">
        <w:t xml:space="preserve"> podávaného perorálne</w:t>
      </w:r>
      <w:r w:rsidRPr="00813409">
        <w:t xml:space="preserve"> je približne 60 % u všetkých študovaných skupín pacientov a výsledná expozícia </w:t>
      </w:r>
      <w:proofErr w:type="spellStart"/>
      <w:r w:rsidRPr="00813409">
        <w:t>gancikloviru</w:t>
      </w:r>
      <w:proofErr w:type="spellEnd"/>
      <w:r w:rsidRPr="00813409">
        <w:t xml:space="preserve"> je podobná expozícii po jeho intravenóznom podaní (pozri nižšie). Pre porovnanie, biologická dostupnosť </w:t>
      </w:r>
      <w:proofErr w:type="spellStart"/>
      <w:r w:rsidRPr="00813409">
        <w:t>gancikloviru</w:t>
      </w:r>
      <w:proofErr w:type="spellEnd"/>
      <w:r w:rsidRPr="00813409">
        <w:t xml:space="preserve"> po podaní 1000</w:t>
      </w:r>
      <w:r w:rsidR="006819C5" w:rsidRPr="00813409">
        <w:t> </w:t>
      </w:r>
      <w:r w:rsidRPr="00813409">
        <w:t xml:space="preserve">mg perorálneho </w:t>
      </w:r>
      <w:proofErr w:type="spellStart"/>
      <w:r w:rsidRPr="00813409">
        <w:t>gancikloviru</w:t>
      </w:r>
      <w:proofErr w:type="spellEnd"/>
      <w:r w:rsidRPr="00813409">
        <w:t xml:space="preserve"> (vo forme kapsúl) je 6 – 8 %.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Valganciklovir</w:t>
      </w:r>
      <w:proofErr w:type="spellEnd"/>
      <w:r w:rsidRPr="00813409">
        <w:rPr>
          <w:i/>
        </w:rPr>
        <w:t xml:space="preserve"> u HIV</w:t>
      </w:r>
      <w:r w:rsidR="002A2DD5" w:rsidRPr="00813409">
        <w:rPr>
          <w:i/>
        </w:rPr>
        <w:t xml:space="preserve"> pozitívnych</w:t>
      </w:r>
      <w:r w:rsidRPr="00813409">
        <w:rPr>
          <w:i/>
        </w:rPr>
        <w:t xml:space="preserve"> a CMV</w:t>
      </w:r>
      <w:r w:rsidR="00222171" w:rsidRPr="00813409">
        <w:rPr>
          <w:i/>
        </w:rPr>
        <w:t xml:space="preserve"> pozitívnych</w:t>
      </w:r>
      <w:r w:rsidRPr="00813409">
        <w:rPr>
          <w:i/>
        </w:rPr>
        <w:t xml:space="preserve"> pacientov:</w:t>
      </w:r>
    </w:p>
    <w:p w:rsidR="006C1469" w:rsidRPr="00813409" w:rsidRDefault="006C1469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</w:pPr>
      <w:r w:rsidRPr="00813409">
        <w:t>Systémová expozícia u HIV</w:t>
      </w:r>
      <w:r w:rsidR="00222171" w:rsidRPr="00813409">
        <w:t xml:space="preserve"> pozitívnych</w:t>
      </w:r>
      <w:r w:rsidR="002E4B86" w:rsidRPr="00813409">
        <w:t>,</w:t>
      </w:r>
      <w:r w:rsidRPr="00813409">
        <w:t xml:space="preserve"> CMV</w:t>
      </w:r>
      <w:r w:rsidR="00222171" w:rsidRPr="00813409">
        <w:t xml:space="preserve"> pozitívnych</w:t>
      </w:r>
      <w:r w:rsidRPr="00813409">
        <w:t xml:space="preserve"> pacientov po podávaní </w:t>
      </w:r>
      <w:proofErr w:type="spellStart"/>
      <w:r w:rsidRPr="00813409">
        <w:t>gancikloviru</w:t>
      </w:r>
      <w:proofErr w:type="spellEnd"/>
      <w:r w:rsidRPr="00813409">
        <w:t xml:space="preserve"> a </w:t>
      </w:r>
      <w:proofErr w:type="spellStart"/>
      <w:r w:rsidRPr="00813409">
        <w:t>valgancikloviru</w:t>
      </w:r>
      <w:proofErr w:type="spellEnd"/>
      <w:r w:rsidRPr="00813409">
        <w:t xml:space="preserve"> dvakrát denne počas jedného týždňa je:</w:t>
      </w:r>
    </w:p>
    <w:p w:rsidR="009C39F3" w:rsidRPr="00813409" w:rsidRDefault="009C39F3" w:rsidP="008C1DB1">
      <w:pPr>
        <w:ind w:left="0" w:firstLine="0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36"/>
        <w:gridCol w:w="2268"/>
        <w:gridCol w:w="2338"/>
      </w:tblGrid>
      <w:tr w:rsidR="00F55E6F" w:rsidRPr="00813409" w:rsidTr="00F55E6F">
        <w:trPr>
          <w:cantSplit/>
        </w:trPr>
        <w:tc>
          <w:tcPr>
            <w:tcW w:w="2770" w:type="dxa"/>
            <w:vMerge w:val="restart"/>
          </w:tcPr>
          <w:p w:rsidR="00F55E6F" w:rsidRPr="00813409" w:rsidRDefault="00F55E6F" w:rsidP="008C1DB1">
            <w:pPr>
              <w:ind w:left="0" w:firstLine="0"/>
            </w:pPr>
            <w:r w:rsidRPr="00813409">
              <w:br w:type="page"/>
            </w:r>
            <w:r w:rsidRPr="00813409">
              <w:br w:type="page"/>
              <w:t>Parameter</w:t>
            </w:r>
          </w:p>
        </w:tc>
        <w:tc>
          <w:tcPr>
            <w:tcW w:w="1836" w:type="dxa"/>
            <w:vMerge w:val="restart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ganciklovir</w:t>
            </w:r>
            <w:proofErr w:type="spellEnd"/>
          </w:p>
          <w:p w:rsidR="00F55E6F" w:rsidRPr="00813409" w:rsidRDefault="00F55E6F" w:rsidP="008C1DB1">
            <w:pPr>
              <w:ind w:left="0" w:firstLine="0"/>
              <w:jc w:val="center"/>
            </w:pPr>
            <w:r w:rsidRPr="00813409">
              <w:t xml:space="preserve">(5 mg/kg, </w:t>
            </w:r>
            <w:proofErr w:type="spellStart"/>
            <w:r w:rsidRPr="00813409">
              <w:t>i.v</w:t>
            </w:r>
            <w:proofErr w:type="spellEnd"/>
            <w:r w:rsidRPr="00813409">
              <w:t>.)</w:t>
            </w:r>
          </w:p>
          <w:p w:rsidR="00F55E6F" w:rsidRPr="00813409" w:rsidRDefault="00F55E6F" w:rsidP="008C1DB1">
            <w:pPr>
              <w:ind w:left="0" w:firstLine="0"/>
              <w:jc w:val="center"/>
            </w:pPr>
            <w:r w:rsidRPr="00813409">
              <w:t>n = 18</w:t>
            </w:r>
          </w:p>
        </w:tc>
        <w:tc>
          <w:tcPr>
            <w:tcW w:w="4606" w:type="dxa"/>
            <w:gridSpan w:val="2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valganciklovir</w:t>
            </w:r>
            <w:proofErr w:type="spellEnd"/>
            <w:r w:rsidRPr="00813409">
              <w:t xml:space="preserve"> (900 mg, </w:t>
            </w:r>
            <w:proofErr w:type="spellStart"/>
            <w:r w:rsidRPr="00813409">
              <w:t>p.o</w:t>
            </w:r>
            <w:proofErr w:type="spellEnd"/>
            <w:r w:rsidRPr="00813409">
              <w:t>.)</w:t>
            </w:r>
          </w:p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>n = 25</w:t>
            </w:r>
          </w:p>
        </w:tc>
      </w:tr>
      <w:tr w:rsidR="00F55E6F" w:rsidRPr="00813409" w:rsidTr="00F55E6F">
        <w:tc>
          <w:tcPr>
            <w:tcW w:w="2770" w:type="dxa"/>
            <w:vMerge/>
          </w:tcPr>
          <w:p w:rsidR="00F55E6F" w:rsidRPr="00813409" w:rsidRDefault="00F55E6F" w:rsidP="008C1DB1">
            <w:pPr>
              <w:ind w:left="0" w:firstLine="0"/>
            </w:pPr>
          </w:p>
        </w:tc>
        <w:tc>
          <w:tcPr>
            <w:tcW w:w="1836" w:type="dxa"/>
            <w:vMerge/>
          </w:tcPr>
          <w:p w:rsidR="00F55E6F" w:rsidRPr="00813409" w:rsidRDefault="00F55E6F" w:rsidP="008C1DB1">
            <w:pPr>
              <w:ind w:left="0" w:firstLine="0"/>
            </w:pPr>
          </w:p>
        </w:tc>
        <w:tc>
          <w:tcPr>
            <w:tcW w:w="2268" w:type="dxa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Ganciklovir</w:t>
            </w:r>
            <w:proofErr w:type="spellEnd"/>
          </w:p>
        </w:tc>
        <w:tc>
          <w:tcPr>
            <w:tcW w:w="2338" w:type="dxa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Valganciklovir</w:t>
            </w:r>
            <w:proofErr w:type="spellEnd"/>
          </w:p>
        </w:tc>
      </w:tr>
      <w:tr w:rsidR="009C39F3" w:rsidRPr="00813409" w:rsidTr="00F55E6F">
        <w:tc>
          <w:tcPr>
            <w:tcW w:w="2770" w:type="dxa"/>
          </w:tcPr>
          <w:p w:rsidR="00F55E6F" w:rsidRPr="00813409" w:rsidRDefault="009C39F3" w:rsidP="008C1DB1">
            <w:pPr>
              <w:ind w:left="0" w:firstLine="0"/>
            </w:pPr>
            <w:r w:rsidRPr="00813409">
              <w:t>AUC (0 - 12</w:t>
            </w:r>
            <w:r w:rsidR="002E4B86" w:rsidRPr="00813409">
              <w:t xml:space="preserve"> </w:t>
            </w:r>
            <w:r w:rsidRPr="00813409">
              <w:t xml:space="preserve">h) </w:t>
            </w:r>
          </w:p>
          <w:p w:rsidR="009C39F3" w:rsidRPr="00813409" w:rsidRDefault="009C39F3" w:rsidP="008C1DB1">
            <w:pPr>
              <w:ind w:left="0" w:firstLine="0"/>
            </w:pPr>
            <w:r w:rsidRPr="00813409">
              <w:t>(</w:t>
            </w:r>
            <w:r w:rsidRPr="00813409">
              <w:sym w:font="Symbol" w:char="006D"/>
            </w:r>
            <w:proofErr w:type="spellStart"/>
            <w:r w:rsidRPr="00813409">
              <w:t>g.h</w:t>
            </w:r>
            <w:proofErr w:type="spellEnd"/>
            <w:r w:rsidRPr="00813409">
              <w:t>/ml)</w:t>
            </w:r>
          </w:p>
        </w:tc>
        <w:tc>
          <w:tcPr>
            <w:tcW w:w="1836" w:type="dxa"/>
            <w:vAlign w:val="center"/>
          </w:tcPr>
          <w:p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28,6 </w:t>
            </w:r>
            <w:r w:rsidRPr="00813409">
              <w:sym w:font="Symbol" w:char="00B1"/>
            </w:r>
            <w:r w:rsidRPr="00813409">
              <w:t xml:space="preserve"> 9,0</w:t>
            </w:r>
          </w:p>
        </w:tc>
        <w:tc>
          <w:tcPr>
            <w:tcW w:w="2268" w:type="dxa"/>
            <w:vAlign w:val="center"/>
          </w:tcPr>
          <w:p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32,8 </w:t>
            </w:r>
            <w:r w:rsidRPr="00813409">
              <w:sym w:font="Symbol" w:char="00B1"/>
            </w:r>
            <w:r w:rsidRPr="00813409">
              <w:t xml:space="preserve"> 10,1</w:t>
            </w:r>
          </w:p>
        </w:tc>
        <w:tc>
          <w:tcPr>
            <w:tcW w:w="2338" w:type="dxa"/>
            <w:vAlign w:val="center"/>
          </w:tcPr>
          <w:p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0,37 </w:t>
            </w:r>
            <w:r w:rsidRPr="00813409">
              <w:sym w:font="Symbol" w:char="00B1"/>
            </w:r>
            <w:r w:rsidRPr="00813409">
              <w:t xml:space="preserve"> 0,22</w:t>
            </w:r>
          </w:p>
        </w:tc>
      </w:tr>
      <w:tr w:rsidR="00F55E6F" w:rsidRPr="00813409" w:rsidTr="00F55E6F">
        <w:tc>
          <w:tcPr>
            <w:tcW w:w="2770" w:type="dxa"/>
          </w:tcPr>
          <w:p w:rsidR="00F55E6F" w:rsidRPr="00813409" w:rsidRDefault="00F55E6F" w:rsidP="008C1DB1">
            <w:pPr>
              <w:ind w:left="0" w:firstLine="0"/>
            </w:pPr>
            <w:proofErr w:type="spellStart"/>
            <w:r w:rsidRPr="00813409">
              <w:t>C</w:t>
            </w:r>
            <w:r w:rsidRPr="00813409">
              <w:rPr>
                <w:vertAlign w:val="subscript"/>
              </w:rPr>
              <w:t>max</w:t>
            </w:r>
            <w:proofErr w:type="spellEnd"/>
            <w:r w:rsidRPr="00813409">
              <w:rPr>
                <w:vertAlign w:val="subscript"/>
              </w:rPr>
              <w:t xml:space="preserve"> </w:t>
            </w:r>
            <w:r w:rsidRPr="00813409">
              <w:t>(</w:t>
            </w:r>
            <w:r w:rsidRPr="00813409">
              <w:sym w:font="Symbol" w:char="006D"/>
            </w:r>
            <w:r w:rsidRPr="00813409">
              <w:t>g/ml)</w:t>
            </w:r>
          </w:p>
        </w:tc>
        <w:tc>
          <w:tcPr>
            <w:tcW w:w="1836" w:type="dxa"/>
            <w:vAlign w:val="center"/>
          </w:tcPr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10,4 </w:t>
            </w:r>
            <w:r w:rsidRPr="00813409">
              <w:sym w:font="Symbol" w:char="00B1"/>
            </w:r>
            <w:r w:rsidRPr="00813409">
              <w:t xml:space="preserve"> 4,9</w:t>
            </w:r>
          </w:p>
        </w:tc>
        <w:tc>
          <w:tcPr>
            <w:tcW w:w="2268" w:type="dxa"/>
            <w:vAlign w:val="center"/>
          </w:tcPr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6,7 </w:t>
            </w:r>
            <w:r w:rsidRPr="00813409">
              <w:sym w:font="Symbol" w:char="00B1"/>
            </w:r>
            <w:r w:rsidRPr="00813409">
              <w:t xml:space="preserve"> 2,1</w:t>
            </w:r>
          </w:p>
        </w:tc>
        <w:tc>
          <w:tcPr>
            <w:tcW w:w="2338" w:type="dxa"/>
            <w:vAlign w:val="center"/>
          </w:tcPr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0,18 </w:t>
            </w:r>
            <w:r w:rsidRPr="00813409">
              <w:sym w:font="Symbol" w:char="00B1"/>
            </w:r>
            <w:r w:rsidRPr="00813409">
              <w:t xml:space="preserve"> 0,06</w:t>
            </w:r>
          </w:p>
        </w:tc>
      </w:tr>
    </w:tbl>
    <w:p w:rsidR="009C39F3" w:rsidRPr="00813409" w:rsidRDefault="009C39F3" w:rsidP="008C1DB1">
      <w:pPr>
        <w:ind w:left="0" w:firstLine="0"/>
      </w:pPr>
    </w:p>
    <w:p w:rsidR="009C39F3" w:rsidRPr="00813409" w:rsidRDefault="00F55E6F" w:rsidP="008C1DB1">
      <w:pPr>
        <w:ind w:left="0" w:firstLine="0"/>
      </w:pPr>
      <w:r w:rsidRPr="00813409">
        <w:lastRenderedPageBreak/>
        <w:t>Bolo preukázané</w:t>
      </w:r>
      <w:r w:rsidR="009C39F3" w:rsidRPr="00813409">
        <w:t xml:space="preserve">, že účinnosť </w:t>
      </w:r>
      <w:proofErr w:type="spellStart"/>
      <w:r w:rsidR="009C39F3" w:rsidRPr="00813409">
        <w:t>gancikloviru</w:t>
      </w:r>
      <w:proofErr w:type="spellEnd"/>
      <w:r w:rsidR="009C39F3" w:rsidRPr="00813409">
        <w:t xml:space="preserve"> </w:t>
      </w:r>
      <w:r w:rsidRPr="00813409">
        <w:t xml:space="preserve">pri predlžovaní </w:t>
      </w:r>
      <w:r w:rsidR="009C39F3" w:rsidRPr="00813409">
        <w:t xml:space="preserve">času do progresie CMV </w:t>
      </w:r>
      <w:proofErr w:type="spellStart"/>
      <w:r w:rsidR="009C39F3" w:rsidRPr="00813409">
        <w:t>retinitídy</w:t>
      </w:r>
      <w:proofErr w:type="spellEnd"/>
      <w:r w:rsidR="009C39F3" w:rsidRPr="00813409">
        <w:t xml:space="preserve"> koreluje so systémovou expozíciou (AUC).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Valganciklovir</w:t>
      </w:r>
      <w:proofErr w:type="spellEnd"/>
      <w:r w:rsidRPr="00813409">
        <w:rPr>
          <w:i/>
        </w:rPr>
        <w:t xml:space="preserve"> u pacientov s transplantátom solídneho orgánu:</w:t>
      </w:r>
    </w:p>
    <w:p w:rsidR="00F55E6F" w:rsidRPr="00813409" w:rsidRDefault="00F55E6F" w:rsidP="008C1DB1">
      <w:pPr>
        <w:ind w:left="0" w:firstLine="0"/>
        <w:rPr>
          <w:i/>
        </w:rPr>
      </w:pPr>
    </w:p>
    <w:p w:rsidR="009C39F3" w:rsidRPr="00813409" w:rsidRDefault="009C39F3" w:rsidP="008C1DB1">
      <w:pPr>
        <w:ind w:left="0" w:firstLine="0"/>
      </w:pPr>
      <w:r w:rsidRPr="00813409">
        <w:t xml:space="preserve">Ustálená systémová expozícia </w:t>
      </w:r>
      <w:proofErr w:type="spellStart"/>
      <w:r w:rsidRPr="00813409">
        <w:t>gancikloviru</w:t>
      </w:r>
      <w:proofErr w:type="spellEnd"/>
      <w:r w:rsidRPr="00813409">
        <w:t xml:space="preserve"> v rovnovážnom stave u pacientov s transplantátom solídneho orgánu po každodennom perorálnom podávaní </w:t>
      </w:r>
      <w:proofErr w:type="spellStart"/>
      <w:r w:rsidRPr="00813409">
        <w:t>gancikloviru</w:t>
      </w:r>
      <w:proofErr w:type="spellEnd"/>
      <w:r w:rsidRPr="00813409">
        <w:t xml:space="preserve"> a </w:t>
      </w:r>
      <w:proofErr w:type="spellStart"/>
      <w:r w:rsidRPr="00813409">
        <w:t>valgancikloviru</w:t>
      </w:r>
      <w:proofErr w:type="spellEnd"/>
      <w:r w:rsidRPr="00813409">
        <w:t xml:space="preserve"> je:</w:t>
      </w:r>
    </w:p>
    <w:p w:rsidR="009C39F3" w:rsidRPr="00813409" w:rsidRDefault="009C39F3" w:rsidP="008C1DB1">
      <w:pPr>
        <w:ind w:left="0" w:firstLine="0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987"/>
        <w:gridCol w:w="3922"/>
      </w:tblGrid>
      <w:tr w:rsidR="00F55E6F" w:rsidRPr="00813409" w:rsidTr="00F55E6F">
        <w:trPr>
          <w:cantSplit/>
        </w:trPr>
        <w:tc>
          <w:tcPr>
            <w:tcW w:w="2303" w:type="dxa"/>
            <w:vMerge w:val="restart"/>
          </w:tcPr>
          <w:p w:rsidR="00F55E6F" w:rsidRPr="00813409" w:rsidRDefault="00F55E6F" w:rsidP="008C1DB1">
            <w:pPr>
              <w:ind w:left="0" w:firstLine="0"/>
            </w:pPr>
            <w:r w:rsidRPr="00813409">
              <w:t>Parameter</w:t>
            </w:r>
          </w:p>
        </w:tc>
        <w:tc>
          <w:tcPr>
            <w:tcW w:w="2987" w:type="dxa"/>
            <w:vMerge w:val="restart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ganciklovir</w:t>
            </w:r>
            <w:proofErr w:type="spellEnd"/>
          </w:p>
          <w:p w:rsidR="00F55E6F" w:rsidRPr="00813409" w:rsidRDefault="00F55E6F" w:rsidP="008C1DB1">
            <w:pPr>
              <w:ind w:left="0" w:firstLine="0"/>
              <w:jc w:val="center"/>
            </w:pPr>
            <w:r w:rsidRPr="00813409">
              <w:t>(1000 mg trikrát denne)</w:t>
            </w:r>
          </w:p>
          <w:p w:rsidR="00F55E6F" w:rsidRPr="00813409" w:rsidRDefault="00F55E6F" w:rsidP="008C1DB1">
            <w:pPr>
              <w:ind w:left="0" w:firstLine="0"/>
              <w:jc w:val="center"/>
            </w:pPr>
            <w:r w:rsidRPr="00813409">
              <w:t>n = 82</w:t>
            </w:r>
          </w:p>
        </w:tc>
        <w:tc>
          <w:tcPr>
            <w:tcW w:w="3922" w:type="dxa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valganciklovir</w:t>
            </w:r>
            <w:proofErr w:type="spellEnd"/>
            <w:r w:rsidRPr="00813409">
              <w:t xml:space="preserve"> (900 mg, </w:t>
            </w:r>
            <w:r w:rsidR="007F167F">
              <w:t>jedenkrát</w:t>
            </w:r>
            <w:r w:rsidR="008428B8">
              <w:t xml:space="preserve"> </w:t>
            </w:r>
            <w:r w:rsidR="00602046">
              <w:t>denne</w:t>
            </w:r>
            <w:r w:rsidRPr="00813409">
              <w:t>)</w:t>
            </w:r>
          </w:p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>n = 161</w:t>
            </w:r>
          </w:p>
        </w:tc>
      </w:tr>
      <w:tr w:rsidR="00F55E6F" w:rsidRPr="00813409" w:rsidTr="00F55E6F">
        <w:trPr>
          <w:cantSplit/>
        </w:trPr>
        <w:tc>
          <w:tcPr>
            <w:tcW w:w="2303" w:type="dxa"/>
            <w:vMerge/>
          </w:tcPr>
          <w:p w:rsidR="00F55E6F" w:rsidRPr="00813409" w:rsidRDefault="00F55E6F" w:rsidP="008C1DB1">
            <w:pPr>
              <w:ind w:left="0" w:firstLine="0"/>
            </w:pPr>
          </w:p>
        </w:tc>
        <w:tc>
          <w:tcPr>
            <w:tcW w:w="2987" w:type="dxa"/>
            <w:vMerge/>
          </w:tcPr>
          <w:p w:rsidR="00F55E6F" w:rsidRPr="00813409" w:rsidRDefault="00F55E6F" w:rsidP="008C1DB1">
            <w:pPr>
              <w:ind w:left="0" w:firstLine="0"/>
            </w:pPr>
          </w:p>
        </w:tc>
        <w:tc>
          <w:tcPr>
            <w:tcW w:w="3922" w:type="dxa"/>
          </w:tcPr>
          <w:p w:rsidR="00F55E6F" w:rsidRPr="00813409" w:rsidRDefault="00F55E6F" w:rsidP="008C1DB1">
            <w:pPr>
              <w:ind w:left="0" w:firstLine="0"/>
              <w:jc w:val="center"/>
            </w:pPr>
            <w:proofErr w:type="spellStart"/>
            <w:r w:rsidRPr="00813409">
              <w:t>Ganciklovir</w:t>
            </w:r>
            <w:proofErr w:type="spellEnd"/>
          </w:p>
        </w:tc>
      </w:tr>
      <w:tr w:rsidR="009C39F3" w:rsidRPr="00813409" w:rsidTr="00F55E6F">
        <w:trPr>
          <w:cantSplit/>
        </w:trPr>
        <w:tc>
          <w:tcPr>
            <w:tcW w:w="2303" w:type="dxa"/>
          </w:tcPr>
          <w:p w:rsidR="009C39F3" w:rsidRPr="00813409" w:rsidRDefault="009C39F3" w:rsidP="008C1DB1">
            <w:pPr>
              <w:ind w:left="0" w:firstLine="0"/>
            </w:pPr>
            <w:r w:rsidRPr="00813409">
              <w:t>AUC (0 – 24 h) (</w:t>
            </w:r>
            <w:r w:rsidRPr="00813409">
              <w:sym w:font="Symbol" w:char="006D"/>
            </w:r>
            <w:proofErr w:type="spellStart"/>
            <w:r w:rsidRPr="00813409">
              <w:t>g.h</w:t>
            </w:r>
            <w:proofErr w:type="spellEnd"/>
            <w:r w:rsidRPr="00813409">
              <w:t>/ml)</w:t>
            </w:r>
          </w:p>
        </w:tc>
        <w:tc>
          <w:tcPr>
            <w:tcW w:w="2987" w:type="dxa"/>
            <w:vAlign w:val="center"/>
          </w:tcPr>
          <w:p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28,0 </w:t>
            </w:r>
            <w:r w:rsidRPr="00813409">
              <w:sym w:font="Symbol" w:char="00B1"/>
            </w:r>
            <w:r w:rsidRPr="00813409">
              <w:t xml:space="preserve"> 10,9</w:t>
            </w:r>
          </w:p>
        </w:tc>
        <w:tc>
          <w:tcPr>
            <w:tcW w:w="3922" w:type="dxa"/>
            <w:vAlign w:val="center"/>
          </w:tcPr>
          <w:p w:rsidR="009C39F3" w:rsidRPr="00813409" w:rsidRDefault="009C39F3" w:rsidP="00F55E6F">
            <w:pPr>
              <w:ind w:left="0" w:firstLine="0"/>
              <w:jc w:val="center"/>
            </w:pPr>
            <w:r w:rsidRPr="00813409">
              <w:t xml:space="preserve">46,3 </w:t>
            </w:r>
            <w:r w:rsidRPr="00813409">
              <w:sym w:font="Symbol" w:char="00B1"/>
            </w:r>
            <w:r w:rsidRPr="00813409">
              <w:t xml:space="preserve"> 15,2</w:t>
            </w:r>
          </w:p>
        </w:tc>
      </w:tr>
      <w:tr w:rsidR="00F55E6F" w:rsidRPr="00813409" w:rsidTr="00F55E6F">
        <w:trPr>
          <w:cantSplit/>
        </w:trPr>
        <w:tc>
          <w:tcPr>
            <w:tcW w:w="2303" w:type="dxa"/>
          </w:tcPr>
          <w:p w:rsidR="00F55E6F" w:rsidRPr="00813409" w:rsidRDefault="00F55E6F" w:rsidP="008C1DB1">
            <w:pPr>
              <w:ind w:left="0" w:firstLine="0"/>
            </w:pPr>
            <w:proofErr w:type="spellStart"/>
            <w:r w:rsidRPr="00813409">
              <w:t>C</w:t>
            </w:r>
            <w:r w:rsidRPr="00813409">
              <w:rPr>
                <w:vertAlign w:val="subscript"/>
              </w:rPr>
              <w:t>max</w:t>
            </w:r>
            <w:proofErr w:type="spellEnd"/>
            <w:r w:rsidRPr="00813409">
              <w:rPr>
                <w:vertAlign w:val="subscript"/>
              </w:rPr>
              <w:t xml:space="preserve"> </w:t>
            </w:r>
            <w:r w:rsidRPr="00813409">
              <w:t>(</w:t>
            </w:r>
            <w:r w:rsidRPr="00813409">
              <w:sym w:font="Symbol" w:char="006D"/>
            </w:r>
            <w:r w:rsidRPr="00813409">
              <w:t>g/ml)</w:t>
            </w:r>
          </w:p>
        </w:tc>
        <w:tc>
          <w:tcPr>
            <w:tcW w:w="2987" w:type="dxa"/>
            <w:vAlign w:val="center"/>
          </w:tcPr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1,4 </w:t>
            </w:r>
            <w:r w:rsidRPr="00813409">
              <w:sym w:font="Symbol" w:char="00B1"/>
            </w:r>
            <w:r w:rsidRPr="00813409">
              <w:t xml:space="preserve"> 0,5</w:t>
            </w:r>
          </w:p>
        </w:tc>
        <w:tc>
          <w:tcPr>
            <w:tcW w:w="3922" w:type="dxa"/>
            <w:vAlign w:val="center"/>
          </w:tcPr>
          <w:p w:rsidR="00F55E6F" w:rsidRPr="00813409" w:rsidRDefault="00F55E6F" w:rsidP="00F55E6F">
            <w:pPr>
              <w:ind w:left="0" w:firstLine="0"/>
              <w:jc w:val="center"/>
            </w:pPr>
            <w:r w:rsidRPr="00813409">
              <w:t xml:space="preserve">5,3 </w:t>
            </w:r>
            <w:r w:rsidRPr="00813409">
              <w:sym w:font="Symbol" w:char="00B1"/>
            </w:r>
            <w:r w:rsidRPr="00813409">
              <w:t xml:space="preserve"> 1,5</w:t>
            </w:r>
          </w:p>
        </w:tc>
      </w:tr>
    </w:tbl>
    <w:p w:rsidR="009C39F3" w:rsidRPr="00813409" w:rsidRDefault="009C39F3" w:rsidP="008C1DB1">
      <w:pPr>
        <w:ind w:left="0" w:firstLine="0"/>
      </w:pPr>
    </w:p>
    <w:p w:rsidR="009C39F3" w:rsidRDefault="009C39F3" w:rsidP="008C1DB1">
      <w:pPr>
        <w:ind w:left="0" w:firstLine="0"/>
      </w:pPr>
      <w:r w:rsidRPr="00813409">
        <w:t xml:space="preserve">Ustálená systémová expozícia </w:t>
      </w:r>
      <w:proofErr w:type="spellStart"/>
      <w:r w:rsidRPr="00813409">
        <w:t>gancikloviru</w:t>
      </w:r>
      <w:proofErr w:type="spellEnd"/>
      <w:r w:rsidRPr="00813409">
        <w:t xml:space="preserve"> u pacientov s transplantátom srdca, obličiek a pečene bola podobná po perorálnom podaní </w:t>
      </w:r>
      <w:proofErr w:type="spellStart"/>
      <w:r w:rsidRPr="00813409">
        <w:t>valgancikloviru</w:t>
      </w:r>
      <w:proofErr w:type="spellEnd"/>
      <w:r w:rsidRPr="00813409">
        <w:t xml:space="preserve"> podľa dávkova</w:t>
      </w:r>
      <w:r w:rsidR="001E040C" w:rsidRPr="00813409">
        <w:t>cieho algoritmu</w:t>
      </w:r>
      <w:r w:rsidRPr="00813409">
        <w:t xml:space="preserve"> </w:t>
      </w:r>
      <w:r w:rsidR="001E040C" w:rsidRPr="00813409">
        <w:t xml:space="preserve">závisiaceho od </w:t>
      </w:r>
      <w:r w:rsidRPr="00813409">
        <w:t>funkcie obličiek.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Účinok jedla:</w:t>
      </w:r>
    </w:p>
    <w:p w:rsidR="009C39F3" w:rsidRPr="00813409" w:rsidRDefault="009C39F3" w:rsidP="008C1DB1">
      <w:pPr>
        <w:ind w:left="0" w:firstLine="0"/>
      </w:pPr>
      <w:r w:rsidRPr="00813409">
        <w:t xml:space="preserve">Proporcionalita dávky s ohľadom na AUC </w:t>
      </w:r>
      <w:proofErr w:type="spellStart"/>
      <w:r w:rsidRPr="00813409">
        <w:t>gancikloviru</w:t>
      </w:r>
      <w:proofErr w:type="spellEnd"/>
      <w:r w:rsidRPr="00813409">
        <w:t xml:space="preserve"> po podaní </w:t>
      </w:r>
      <w:proofErr w:type="spellStart"/>
      <w:r w:rsidRPr="00813409">
        <w:t>valgancikloviru</w:t>
      </w:r>
      <w:proofErr w:type="spellEnd"/>
      <w:r w:rsidRPr="00813409">
        <w:t xml:space="preserve"> v dávke od 450 do 2 625 mg sa preukázala len </w:t>
      </w:r>
      <w:r w:rsidR="00602046">
        <w:t>po jedle</w:t>
      </w:r>
      <w:r w:rsidRPr="00813409">
        <w:t xml:space="preserve">. Ak sa </w:t>
      </w:r>
      <w:proofErr w:type="spellStart"/>
      <w:r w:rsidRPr="00813409">
        <w:t>valganciklovir</w:t>
      </w:r>
      <w:proofErr w:type="spellEnd"/>
      <w:r w:rsidRPr="00813409">
        <w:t xml:space="preserve"> v odporúčanej dávke 900 mg podával spolu s jedlom, zaznamenali sa vyššie hladiny priemernej AUC </w:t>
      </w:r>
      <w:proofErr w:type="spellStart"/>
      <w:r w:rsidRPr="00813409">
        <w:t>gancikloviru</w:t>
      </w:r>
      <w:proofErr w:type="spellEnd"/>
      <w:r w:rsidRPr="00813409">
        <w:t xml:space="preserve"> (približne o 30 %) a priemernej </w:t>
      </w:r>
      <w:proofErr w:type="spellStart"/>
      <w:r w:rsidRPr="00813409">
        <w:t>C</w:t>
      </w:r>
      <w:r w:rsidRPr="00813409">
        <w:rPr>
          <w:vertAlign w:val="subscript"/>
        </w:rPr>
        <w:t>max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(približne o 14 %) než </w:t>
      </w:r>
      <w:r w:rsidR="00CE5FB3" w:rsidRPr="00813409">
        <w:t>pri podávaní nalačno</w:t>
      </w:r>
      <w:r w:rsidRPr="00813409">
        <w:t xml:space="preserve">. Ak sa </w:t>
      </w:r>
      <w:proofErr w:type="spellStart"/>
      <w:r w:rsidR="00CE5FB3" w:rsidRPr="00813409">
        <w:t>valganciklovir</w:t>
      </w:r>
      <w:proofErr w:type="spellEnd"/>
      <w:r w:rsidR="00CE5FB3" w:rsidRPr="00813409">
        <w:t xml:space="preserve"> </w:t>
      </w:r>
      <w:r w:rsidRPr="00813409">
        <w:t xml:space="preserve">užíval spolu s jedlom, poklesli aj individuálne odchýlky v expozícii </w:t>
      </w:r>
      <w:proofErr w:type="spellStart"/>
      <w:r w:rsidRPr="00813409">
        <w:t>gancikloviru</w:t>
      </w:r>
      <w:proofErr w:type="spellEnd"/>
      <w:r w:rsidRPr="00813409">
        <w:t xml:space="preserve">. </w:t>
      </w:r>
      <w:proofErr w:type="spellStart"/>
      <w:r w:rsidR="00CE5FB3" w:rsidRPr="00813409">
        <w:t>Valgancik</w:t>
      </w:r>
      <w:r w:rsidR="0037584C" w:rsidRPr="00813409">
        <w:t>lovir</w:t>
      </w:r>
      <w:proofErr w:type="spellEnd"/>
      <w:r w:rsidR="0037584C" w:rsidRPr="00813409">
        <w:t xml:space="preserve"> </w:t>
      </w:r>
      <w:r w:rsidRPr="00813409">
        <w:t xml:space="preserve">sa v klinických štúdiách podával len s jedlom. Preto sa odporúča podávanie </w:t>
      </w:r>
      <w:proofErr w:type="spellStart"/>
      <w:r w:rsidR="00CE5FB3" w:rsidRPr="00813409">
        <w:t>valgancik</w:t>
      </w:r>
      <w:r w:rsidR="0037584C" w:rsidRPr="00813409">
        <w:t>lovir</w:t>
      </w:r>
      <w:r w:rsidR="00CE5FB3" w:rsidRPr="00813409">
        <w:t>u</w:t>
      </w:r>
      <w:proofErr w:type="spellEnd"/>
      <w:r w:rsidR="0037584C" w:rsidRPr="00813409">
        <w:t xml:space="preserve"> </w:t>
      </w:r>
      <w:r w:rsidRPr="00813409">
        <w:t>s jedlom (pozri časť 4.2).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Distribúcia</w:t>
      </w:r>
    </w:p>
    <w:p w:rsidR="009C39F3" w:rsidRPr="00813409" w:rsidRDefault="009C39F3" w:rsidP="008C1DB1">
      <w:pPr>
        <w:ind w:left="0" w:firstLine="0"/>
        <w:rPr>
          <w:u w:val="single"/>
        </w:rPr>
      </w:pPr>
      <w:r w:rsidRPr="00813409">
        <w:t xml:space="preserve">Kvôli rýchlej premene </w:t>
      </w:r>
      <w:proofErr w:type="spellStart"/>
      <w:r w:rsidRPr="00813409">
        <w:t>valgancikloviru</w:t>
      </w:r>
      <w:proofErr w:type="spellEnd"/>
      <w:r w:rsidRPr="00813409">
        <w:t xml:space="preserve"> na </w:t>
      </w:r>
      <w:proofErr w:type="spellStart"/>
      <w:r w:rsidRPr="00813409">
        <w:t>ganciklovir</w:t>
      </w:r>
      <w:proofErr w:type="spellEnd"/>
      <w:r w:rsidRPr="00813409">
        <w:t xml:space="preserve"> sa väzba </w:t>
      </w:r>
      <w:proofErr w:type="spellStart"/>
      <w:r w:rsidRPr="00813409">
        <w:t>valgancikloviru</w:t>
      </w:r>
      <w:proofErr w:type="spellEnd"/>
      <w:r w:rsidRPr="00813409">
        <w:t xml:space="preserve"> na plazmatické bielkoviny nestanovila. Väzba </w:t>
      </w:r>
      <w:proofErr w:type="spellStart"/>
      <w:r w:rsidRPr="00813409">
        <w:t>gancikloviru</w:t>
      </w:r>
      <w:proofErr w:type="spellEnd"/>
      <w:r w:rsidRPr="00813409">
        <w:t xml:space="preserve"> na plazmatické bielkoviny bola 1 – 2 % pri koncentráciách nad 0,5 a 51 </w:t>
      </w:r>
      <w:r w:rsidRPr="00813409">
        <w:sym w:font="Symbol" w:char="006D"/>
      </w:r>
      <w:r w:rsidRPr="00813409">
        <w:t xml:space="preserve">g/ml. Ustálený distribučný objem </w:t>
      </w:r>
      <w:r w:rsidR="00CE5FB3" w:rsidRPr="00813409">
        <w:t>(</w:t>
      </w:r>
      <w:proofErr w:type="spellStart"/>
      <w:r w:rsidR="00CE5FB3" w:rsidRPr="00813409">
        <w:t>V</w:t>
      </w:r>
      <w:r w:rsidR="00CE5FB3" w:rsidRPr="00813409">
        <w:rPr>
          <w:vertAlign w:val="subscript"/>
        </w:rPr>
        <w:t>d</w:t>
      </w:r>
      <w:proofErr w:type="spellEnd"/>
      <w:r w:rsidR="00CE5FB3" w:rsidRPr="00813409">
        <w:t xml:space="preserve">) </w:t>
      </w:r>
      <w:proofErr w:type="spellStart"/>
      <w:r w:rsidRPr="00813409">
        <w:t>gancikloviru</w:t>
      </w:r>
      <w:proofErr w:type="spellEnd"/>
      <w:r w:rsidRPr="00813409">
        <w:t xml:space="preserve"> po intravenóznom podaní bol 0,680 </w:t>
      </w:r>
      <w:r w:rsidRPr="00813409">
        <w:sym w:font="Symbol" w:char="00B1"/>
      </w:r>
      <w:r w:rsidRPr="00813409">
        <w:t xml:space="preserve"> 0,161 l/kg (n = 114).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C9795C" w:rsidP="008C1DB1">
      <w:pPr>
        <w:ind w:left="0" w:firstLine="0"/>
      </w:pPr>
      <w:proofErr w:type="spellStart"/>
      <w:r w:rsidRPr="00813409">
        <w:rPr>
          <w:u w:val="single"/>
        </w:rPr>
        <w:t>Biotransformácia</w:t>
      </w:r>
      <w:proofErr w:type="spellEnd"/>
    </w:p>
    <w:p w:rsidR="009C39F3" w:rsidRPr="00813409" w:rsidRDefault="009C39F3" w:rsidP="008C1DB1">
      <w:pPr>
        <w:ind w:left="0" w:firstLine="0"/>
      </w:pPr>
      <w:proofErr w:type="spellStart"/>
      <w:r w:rsidRPr="00813409">
        <w:t>Valganciklovir</w:t>
      </w:r>
      <w:proofErr w:type="spellEnd"/>
      <w:r w:rsidRPr="00813409">
        <w:t xml:space="preserve"> sa rýchlo a vo veľkom rozsahu metabolizuje na </w:t>
      </w:r>
      <w:proofErr w:type="spellStart"/>
      <w:r w:rsidRPr="00813409">
        <w:t>ganciklovir</w:t>
      </w:r>
      <w:proofErr w:type="spellEnd"/>
      <w:r w:rsidRPr="00813409">
        <w:t xml:space="preserve">. Žiadne iné </w:t>
      </w:r>
      <w:proofErr w:type="spellStart"/>
      <w:r w:rsidRPr="00813409">
        <w:t>metabolity</w:t>
      </w:r>
      <w:proofErr w:type="spellEnd"/>
      <w:r w:rsidRPr="00813409">
        <w:t xml:space="preserve"> sa nezistili. Po podaní rádioaktívne značeného </w:t>
      </w:r>
      <w:proofErr w:type="spellStart"/>
      <w:r w:rsidRPr="00813409">
        <w:t>gancikloviru</w:t>
      </w:r>
      <w:proofErr w:type="spellEnd"/>
      <w:r w:rsidRPr="00813409">
        <w:t xml:space="preserve"> (1 000 mg v jednorazovej dávke) sa žiadny </w:t>
      </w:r>
      <w:proofErr w:type="spellStart"/>
      <w:r w:rsidRPr="00813409">
        <w:t>metabolit</w:t>
      </w:r>
      <w:proofErr w:type="spellEnd"/>
      <w:r w:rsidRPr="00813409">
        <w:t xml:space="preserve"> nepodieľal na viac ako 1 – 2 % rádioaktivity nameranej v stolici alebo moči.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Eliminácia</w:t>
      </w:r>
    </w:p>
    <w:p w:rsidR="009C39F3" w:rsidRPr="00813409" w:rsidRDefault="009C39F3" w:rsidP="008C1DB1">
      <w:pPr>
        <w:ind w:left="0" w:firstLine="0"/>
      </w:pPr>
      <w:r w:rsidRPr="00813409">
        <w:t xml:space="preserve">Po podaní </w:t>
      </w:r>
      <w:proofErr w:type="spellStart"/>
      <w:r w:rsidR="00CE5FB3" w:rsidRPr="00813409">
        <w:t>valgancik</w:t>
      </w:r>
      <w:r w:rsidR="0037584C" w:rsidRPr="00813409">
        <w:t>lovir</w:t>
      </w:r>
      <w:r w:rsidR="00CE5FB3" w:rsidRPr="00813409">
        <w:t>u</w:t>
      </w:r>
      <w:proofErr w:type="spellEnd"/>
      <w:r w:rsidRPr="00813409">
        <w:t xml:space="preserve"> sa </w:t>
      </w:r>
      <w:proofErr w:type="spellStart"/>
      <w:r w:rsidRPr="00813409">
        <w:t>valganciklovir</w:t>
      </w:r>
      <w:proofErr w:type="spellEnd"/>
      <w:r w:rsidRPr="00813409">
        <w:t xml:space="preserve"> eliminuje z organizmu vo forme </w:t>
      </w:r>
      <w:proofErr w:type="spellStart"/>
      <w:r w:rsidRPr="00813409">
        <w:t>gancikloviru</w:t>
      </w:r>
      <w:proofErr w:type="spellEnd"/>
      <w:r w:rsidRPr="00813409">
        <w:t xml:space="preserve">, a to hlavne </w:t>
      </w:r>
      <w:proofErr w:type="spellStart"/>
      <w:r w:rsidRPr="00813409">
        <w:t>renálnou</w:t>
      </w:r>
      <w:proofErr w:type="spellEnd"/>
      <w:r w:rsidRPr="00813409">
        <w:t xml:space="preserve"> exkréciou, na ktorej sa podieľa </w:t>
      </w:r>
      <w:proofErr w:type="spellStart"/>
      <w:r w:rsidRPr="00813409">
        <w:t>glomerulárna</w:t>
      </w:r>
      <w:proofErr w:type="spellEnd"/>
      <w:r w:rsidRPr="00813409">
        <w:t xml:space="preserve"> filtrácia a aktívna </w:t>
      </w:r>
      <w:proofErr w:type="spellStart"/>
      <w:r w:rsidRPr="00813409">
        <w:t>tubulárna</w:t>
      </w:r>
      <w:proofErr w:type="spellEnd"/>
      <w:r w:rsidRPr="00813409">
        <w:t xml:space="preserve"> sekrécia. </w:t>
      </w:r>
      <w:proofErr w:type="spellStart"/>
      <w:r w:rsidRPr="00813409">
        <w:t>Renálny</w:t>
      </w:r>
      <w:proofErr w:type="spellEnd"/>
      <w:r w:rsidRPr="00813409">
        <w:t xml:space="preserve"> </w:t>
      </w:r>
      <w:proofErr w:type="spellStart"/>
      <w:r w:rsidRPr="00813409">
        <w:t>klírens</w:t>
      </w:r>
      <w:proofErr w:type="spellEnd"/>
      <w:r w:rsidRPr="00813409">
        <w:t xml:space="preserve"> sa podieľa na systémovom </w:t>
      </w:r>
      <w:proofErr w:type="spellStart"/>
      <w:r w:rsidRPr="00813409">
        <w:t>klírens</w:t>
      </w:r>
      <w:r w:rsidR="00CE5FB3" w:rsidRPr="00813409">
        <w:t>e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81,5 %</w:t>
      </w:r>
      <w:r w:rsidR="00161A0F" w:rsidRPr="00813409">
        <w:t> </w:t>
      </w:r>
      <w:r w:rsidRPr="00813409">
        <w:sym w:font="Symbol" w:char="00B1"/>
      </w:r>
      <w:r w:rsidR="00161A0F" w:rsidRPr="00813409">
        <w:t> </w:t>
      </w:r>
      <w:r w:rsidRPr="00813409">
        <w:t>22 % (n</w:t>
      </w:r>
      <w:r w:rsidR="00161A0F" w:rsidRPr="00813409">
        <w:t> </w:t>
      </w:r>
      <w:r w:rsidRPr="00813409">
        <w:t>=</w:t>
      </w:r>
      <w:r w:rsidR="00161A0F" w:rsidRPr="00813409">
        <w:t> </w:t>
      </w:r>
      <w:r w:rsidRPr="00813409">
        <w:t xml:space="preserve">70). </w:t>
      </w:r>
      <w:r w:rsidR="00161A0F" w:rsidRPr="00813409">
        <w:rPr>
          <w:szCs w:val="22"/>
        </w:rPr>
        <w:t xml:space="preserve">Podľa post hoc </w:t>
      </w:r>
      <w:proofErr w:type="spellStart"/>
      <w:r w:rsidR="00161A0F" w:rsidRPr="00813409">
        <w:rPr>
          <w:szCs w:val="22"/>
        </w:rPr>
        <w:t>Bayesovských</w:t>
      </w:r>
      <w:proofErr w:type="spellEnd"/>
      <w:r w:rsidR="00161A0F" w:rsidRPr="00813409">
        <w:rPr>
          <w:szCs w:val="22"/>
        </w:rPr>
        <w:t xml:space="preserve"> odhadov je priemerný zdanlivý </w:t>
      </w:r>
      <w:proofErr w:type="spellStart"/>
      <w:r w:rsidR="00161A0F" w:rsidRPr="00813409">
        <w:rPr>
          <w:szCs w:val="22"/>
        </w:rPr>
        <w:t>klírens</w:t>
      </w:r>
      <w:proofErr w:type="spellEnd"/>
      <w:r w:rsidR="00161A0F" w:rsidRPr="00813409">
        <w:rPr>
          <w:szCs w:val="22"/>
        </w:rPr>
        <w:t xml:space="preserve"> </w:t>
      </w:r>
      <w:proofErr w:type="spellStart"/>
      <w:r w:rsidR="00161A0F" w:rsidRPr="00813409">
        <w:rPr>
          <w:szCs w:val="22"/>
        </w:rPr>
        <w:t>gancikloviru</w:t>
      </w:r>
      <w:proofErr w:type="spellEnd"/>
      <w:r w:rsidR="00161A0F" w:rsidRPr="00813409">
        <w:rPr>
          <w:szCs w:val="22"/>
        </w:rPr>
        <w:t xml:space="preserve"> v populácii pacientov s </w:t>
      </w:r>
      <w:proofErr w:type="spellStart"/>
      <w:r w:rsidR="00161A0F" w:rsidRPr="00813409">
        <w:rPr>
          <w:szCs w:val="22"/>
        </w:rPr>
        <w:t>C</w:t>
      </w:r>
      <w:r w:rsidR="000123D4" w:rsidRPr="00813409">
        <w:rPr>
          <w:szCs w:val="22"/>
        </w:rPr>
        <w:t>r</w:t>
      </w:r>
      <w:r w:rsidR="00161A0F" w:rsidRPr="00813409">
        <w:rPr>
          <w:szCs w:val="22"/>
        </w:rPr>
        <w:t>C</w:t>
      </w:r>
      <w:r w:rsidR="000123D4" w:rsidRPr="00813409">
        <w:rPr>
          <w:szCs w:val="22"/>
        </w:rPr>
        <w:t>l</w:t>
      </w:r>
      <w:proofErr w:type="spellEnd"/>
      <w:r w:rsidR="00161A0F" w:rsidRPr="00813409">
        <w:rPr>
          <w:szCs w:val="22"/>
        </w:rPr>
        <w:t> &gt; 60 ml/m</w:t>
      </w:r>
      <w:r w:rsidR="00CE5FB3" w:rsidRPr="00813409">
        <w:rPr>
          <w:szCs w:val="22"/>
        </w:rPr>
        <w:t>in</w:t>
      </w:r>
      <w:r w:rsidR="00161A0F" w:rsidRPr="00813409">
        <w:rPr>
          <w:szCs w:val="22"/>
        </w:rPr>
        <w:t xml:space="preserve"> rovný 14,05 ± 4,13 l/h. U pacientov s poruchou funkcie obličiek je priemerný zdanlivý </w:t>
      </w:r>
      <w:proofErr w:type="spellStart"/>
      <w:r w:rsidR="00161A0F" w:rsidRPr="00813409">
        <w:rPr>
          <w:szCs w:val="22"/>
        </w:rPr>
        <w:t>klírens</w:t>
      </w:r>
      <w:proofErr w:type="spellEnd"/>
      <w:r w:rsidR="00161A0F" w:rsidRPr="00813409">
        <w:rPr>
          <w:szCs w:val="22"/>
        </w:rPr>
        <w:t xml:space="preserve"> </w:t>
      </w:r>
      <w:proofErr w:type="spellStart"/>
      <w:r w:rsidR="00161A0F" w:rsidRPr="00813409">
        <w:rPr>
          <w:szCs w:val="22"/>
        </w:rPr>
        <w:t>gancikloviru</w:t>
      </w:r>
      <w:proofErr w:type="spellEnd"/>
      <w:r w:rsidR="00161A0F" w:rsidRPr="00813409">
        <w:rPr>
          <w:szCs w:val="22"/>
        </w:rPr>
        <w:t xml:space="preserve"> 8,46 ± 1,67 l/h (</w:t>
      </w:r>
      <w:proofErr w:type="spellStart"/>
      <w:r w:rsidR="00161A0F" w:rsidRPr="00813409">
        <w:rPr>
          <w:szCs w:val="22"/>
        </w:rPr>
        <w:t>CrCl</w:t>
      </w:r>
      <w:proofErr w:type="spellEnd"/>
      <w:r w:rsidR="00161A0F" w:rsidRPr="00813409">
        <w:rPr>
          <w:szCs w:val="22"/>
        </w:rPr>
        <w:t xml:space="preserve"> medzi 40 a 60 ml/min) a 7,00 ± 1,08 l/h (</w:t>
      </w:r>
      <w:proofErr w:type="spellStart"/>
      <w:r w:rsidR="00161A0F" w:rsidRPr="00813409">
        <w:rPr>
          <w:szCs w:val="22"/>
        </w:rPr>
        <w:t>CrCl</w:t>
      </w:r>
      <w:proofErr w:type="spellEnd"/>
      <w:r w:rsidR="00161A0F" w:rsidRPr="00813409">
        <w:rPr>
          <w:szCs w:val="22"/>
        </w:rPr>
        <w:t> medzi 25 a 40 ml/min).</w:t>
      </w:r>
      <w:r w:rsidR="00CE5FB3" w:rsidRPr="00813409">
        <w:t xml:space="preserve"> </w:t>
      </w:r>
      <w:r w:rsidRPr="00813409">
        <w:t xml:space="preserve">Polčas </w:t>
      </w:r>
      <w:r w:rsidR="00CE5FB3" w:rsidRPr="00813409">
        <w:t xml:space="preserve">rozpadu </w:t>
      </w:r>
      <w:proofErr w:type="spellStart"/>
      <w:r w:rsidRPr="00813409">
        <w:t>gancikloviru</w:t>
      </w:r>
      <w:proofErr w:type="spellEnd"/>
      <w:r w:rsidRPr="00813409">
        <w:t xml:space="preserve"> vzniknutého z </w:t>
      </w:r>
      <w:proofErr w:type="spellStart"/>
      <w:r w:rsidRPr="00813409">
        <w:t>valgancikloviru</w:t>
      </w:r>
      <w:proofErr w:type="spellEnd"/>
      <w:r w:rsidRPr="00813409">
        <w:t xml:space="preserve"> je u HIV a CMV </w:t>
      </w:r>
      <w:proofErr w:type="spellStart"/>
      <w:r w:rsidRPr="00813409">
        <w:t>séropozitívnych</w:t>
      </w:r>
      <w:proofErr w:type="spellEnd"/>
      <w:r w:rsidRPr="00813409">
        <w:t xml:space="preserve"> pacientov 4,1</w:t>
      </w:r>
      <w:r w:rsidR="00161A0F" w:rsidRPr="00813409">
        <w:t> </w:t>
      </w:r>
      <w:r w:rsidRPr="00813409">
        <w:sym w:font="Symbol" w:char="00B1"/>
      </w:r>
      <w:r w:rsidR="00161A0F" w:rsidRPr="00813409">
        <w:t> </w:t>
      </w:r>
      <w:r w:rsidRPr="00813409">
        <w:t>0,9</w:t>
      </w:r>
      <w:r w:rsidR="00161A0F" w:rsidRPr="00813409">
        <w:t> </w:t>
      </w:r>
      <w:r w:rsidRPr="00813409">
        <w:t>hod</w:t>
      </w:r>
      <w:r w:rsidR="00161A0F" w:rsidRPr="00813409">
        <w:t>i</w:t>
      </w:r>
      <w:r w:rsidRPr="00813409">
        <w:t>n</w:t>
      </w:r>
      <w:r w:rsidR="00161A0F" w:rsidRPr="00813409">
        <w:t>y</w:t>
      </w:r>
      <w:r w:rsidRPr="00813409">
        <w:t>.</w:t>
      </w:r>
    </w:p>
    <w:p w:rsidR="009C39F3" w:rsidRPr="00813409" w:rsidRDefault="009C39F3" w:rsidP="008C1DB1">
      <w:pPr>
        <w:ind w:left="0" w:firstLine="0"/>
        <w:rPr>
          <w:b/>
        </w:rPr>
      </w:pPr>
    </w:p>
    <w:p w:rsidR="009C39F3" w:rsidRPr="00813409" w:rsidRDefault="009C39F3" w:rsidP="008C1DB1">
      <w:pPr>
        <w:ind w:left="0" w:firstLine="0"/>
        <w:rPr>
          <w:u w:val="single"/>
        </w:rPr>
      </w:pPr>
      <w:proofErr w:type="spellStart"/>
      <w:r w:rsidRPr="00813409">
        <w:rPr>
          <w:u w:val="single"/>
        </w:rPr>
        <w:t>Farmakokinetika</w:t>
      </w:r>
      <w:proofErr w:type="spellEnd"/>
      <w:r w:rsidRPr="00813409">
        <w:rPr>
          <w:u w:val="single"/>
        </w:rPr>
        <w:t xml:space="preserve"> v osobitných klinických situáciách</w:t>
      </w:r>
    </w:p>
    <w:p w:rsidR="009C39F3" w:rsidRPr="00813409" w:rsidRDefault="009C39F3" w:rsidP="008C1DB1">
      <w:pPr>
        <w:ind w:left="0" w:firstLine="0"/>
        <w:rPr>
          <w:b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Pacienti s </w:t>
      </w:r>
      <w:r w:rsidR="00BB0D4C" w:rsidRPr="00813409">
        <w:rPr>
          <w:i/>
        </w:rPr>
        <w:t xml:space="preserve">poruchou </w:t>
      </w:r>
      <w:r w:rsidRPr="00813409">
        <w:rPr>
          <w:i/>
        </w:rPr>
        <w:t>funkcie obličiek</w:t>
      </w:r>
    </w:p>
    <w:p w:rsidR="009C39F3" w:rsidRPr="00813409" w:rsidRDefault="009C39F3" w:rsidP="008C1DB1">
      <w:pPr>
        <w:ind w:left="0" w:firstLine="0"/>
      </w:pPr>
      <w:r w:rsidRPr="00813409">
        <w:t xml:space="preserve">Zníženie funkcie obličiek vedie k zníženiu </w:t>
      </w:r>
      <w:proofErr w:type="spellStart"/>
      <w:r w:rsidRPr="00813409">
        <w:t>klírens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 z </w:t>
      </w:r>
      <w:proofErr w:type="spellStart"/>
      <w:r w:rsidRPr="00813409">
        <w:t>valgancikloviru</w:t>
      </w:r>
      <w:proofErr w:type="spellEnd"/>
      <w:r w:rsidRPr="00813409">
        <w:t xml:space="preserve"> a teda k predĺženiu jeho </w:t>
      </w:r>
      <w:r w:rsidR="00CE5FB3" w:rsidRPr="00813409">
        <w:t xml:space="preserve">terminálneho </w:t>
      </w:r>
      <w:r w:rsidRPr="00813409">
        <w:t>polčasu</w:t>
      </w:r>
      <w:r w:rsidR="00CE5FB3" w:rsidRPr="00813409">
        <w:t xml:space="preserve"> rozpadu</w:t>
      </w:r>
      <w:r w:rsidRPr="00813409">
        <w:t>. Preto sa u pacientov s poškodením funkcie obličiek vyžaduje úprava dávky (pozri časti 4.2 a 4.4).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9C39F3" w:rsidP="008C1DB1">
      <w:pPr>
        <w:ind w:left="0" w:firstLine="0"/>
        <w:rPr>
          <w:i/>
        </w:rPr>
      </w:pPr>
      <w:proofErr w:type="spellStart"/>
      <w:r w:rsidRPr="00813409">
        <w:rPr>
          <w:i/>
        </w:rPr>
        <w:t>Hemodialyzovaní</w:t>
      </w:r>
      <w:proofErr w:type="spellEnd"/>
      <w:r w:rsidRPr="00813409">
        <w:rPr>
          <w:i/>
        </w:rPr>
        <w:t xml:space="preserve"> pacienti</w:t>
      </w:r>
    </w:p>
    <w:p w:rsidR="009C39F3" w:rsidRPr="00813409" w:rsidRDefault="009C39F3" w:rsidP="008C1DB1">
      <w:pPr>
        <w:ind w:left="0" w:firstLine="0"/>
      </w:pPr>
      <w:proofErr w:type="spellStart"/>
      <w:r w:rsidRPr="00813409">
        <w:lastRenderedPageBreak/>
        <w:t>Hemodialyzovaným</w:t>
      </w:r>
      <w:proofErr w:type="spellEnd"/>
      <w:r w:rsidRPr="00813409">
        <w:t xml:space="preserve"> pacientom nie je možné odporučiť žiadnu dávkovaciu schému </w:t>
      </w:r>
      <w:r w:rsidR="004C284E" w:rsidRPr="00813409">
        <w:t xml:space="preserve">pre </w:t>
      </w:r>
      <w:r w:rsidR="00CE5FB3" w:rsidRPr="00813409">
        <w:t xml:space="preserve">tablety </w:t>
      </w:r>
      <w:proofErr w:type="spellStart"/>
      <w:r w:rsidR="0037584C" w:rsidRPr="00813409">
        <w:t>Valganciclovir</w:t>
      </w:r>
      <w:r w:rsidR="00CE5FB3" w:rsidRPr="00813409">
        <w:t>u</w:t>
      </w:r>
      <w:proofErr w:type="spellEnd"/>
      <w:r w:rsidR="0037584C" w:rsidRPr="00813409">
        <w:t xml:space="preserve"> Mylan</w:t>
      </w:r>
      <w:r w:rsidRPr="00813409">
        <w:t xml:space="preserve">. Je to preto, lebo individuálna dávka </w:t>
      </w:r>
      <w:proofErr w:type="spellStart"/>
      <w:r w:rsidR="00CE5FB3" w:rsidRPr="00813409">
        <w:t>v</w:t>
      </w:r>
      <w:r w:rsidR="0037584C" w:rsidRPr="00813409">
        <w:t>alganci</w:t>
      </w:r>
      <w:r w:rsidR="00CE5FB3" w:rsidRPr="00813409">
        <w:t>k</w:t>
      </w:r>
      <w:r w:rsidR="0037584C" w:rsidRPr="00813409">
        <w:t>lovir</w:t>
      </w:r>
      <w:r w:rsidR="00CE5FB3" w:rsidRPr="00813409">
        <w:t>u</w:t>
      </w:r>
      <w:proofErr w:type="spellEnd"/>
      <w:r w:rsidRPr="00813409">
        <w:t xml:space="preserve"> </w:t>
      </w:r>
      <w:r w:rsidR="00CE5FB3" w:rsidRPr="00813409">
        <w:t xml:space="preserve">potrebná </w:t>
      </w:r>
      <w:r w:rsidRPr="00813409">
        <w:t xml:space="preserve">pre týchto pacientov je nižšia ako tablety sily 450 mg. </w:t>
      </w:r>
      <w:proofErr w:type="spellStart"/>
      <w:r w:rsidR="00CE5FB3" w:rsidRPr="00813409">
        <w:t>Valgancik</w:t>
      </w:r>
      <w:r w:rsidR="0037584C" w:rsidRPr="00813409">
        <w:t>lovir</w:t>
      </w:r>
      <w:proofErr w:type="spellEnd"/>
      <w:r w:rsidR="0037584C" w:rsidRPr="00813409">
        <w:t xml:space="preserve"> </w:t>
      </w:r>
      <w:r w:rsidR="008428B8">
        <w:t>filmom obalené tablety</w:t>
      </w:r>
      <w:r w:rsidR="004A7F7F">
        <w:t xml:space="preserve"> </w:t>
      </w:r>
      <w:r w:rsidRPr="00813409">
        <w:t xml:space="preserve">sa </w:t>
      </w:r>
      <w:r w:rsidR="008428B8">
        <w:t>preto</w:t>
      </w:r>
      <w:r w:rsidR="008428B8" w:rsidRPr="00813409">
        <w:t xml:space="preserve"> nem</w:t>
      </w:r>
      <w:r w:rsidR="008428B8">
        <w:t>ajú</w:t>
      </w:r>
      <w:r w:rsidR="008428B8" w:rsidRPr="00813409">
        <w:t xml:space="preserve"> </w:t>
      </w:r>
      <w:r w:rsidRPr="00813409">
        <w:t xml:space="preserve">používať u týchto pacientov (pozri časti 4.2 a 4.4). </w:t>
      </w:r>
    </w:p>
    <w:p w:rsidR="009C39F3" w:rsidRPr="00813409" w:rsidRDefault="009C39F3" w:rsidP="008C1DB1">
      <w:pPr>
        <w:ind w:left="0" w:firstLine="0"/>
        <w:rPr>
          <w:u w:val="single"/>
        </w:rPr>
      </w:pPr>
    </w:p>
    <w:p w:rsidR="009C39F3" w:rsidRPr="00813409" w:rsidRDefault="009C39F3" w:rsidP="008C1DB1">
      <w:pPr>
        <w:ind w:left="0" w:firstLine="0"/>
        <w:rPr>
          <w:i/>
        </w:rPr>
      </w:pPr>
      <w:r w:rsidRPr="00813409">
        <w:rPr>
          <w:i/>
        </w:rPr>
        <w:t>Pacienti s </w:t>
      </w:r>
      <w:r w:rsidR="008428B8" w:rsidRPr="00813409">
        <w:rPr>
          <w:i/>
        </w:rPr>
        <w:t>po</w:t>
      </w:r>
      <w:r w:rsidR="008428B8">
        <w:rPr>
          <w:i/>
        </w:rPr>
        <w:t>ruchou funkcie</w:t>
      </w:r>
      <w:r w:rsidR="008428B8" w:rsidRPr="00813409">
        <w:rPr>
          <w:i/>
        </w:rPr>
        <w:t xml:space="preserve"> </w:t>
      </w:r>
      <w:r w:rsidRPr="00813409">
        <w:rPr>
          <w:i/>
        </w:rPr>
        <w:t>pečene</w:t>
      </w:r>
    </w:p>
    <w:p w:rsidR="009C39F3" w:rsidRPr="00813409" w:rsidRDefault="009C39F3" w:rsidP="008C1DB1">
      <w:pPr>
        <w:ind w:left="0" w:firstLine="0"/>
      </w:pPr>
      <w:r w:rsidRPr="00813409">
        <w:t xml:space="preserve">Bezpečnosť a účinnosť </w:t>
      </w:r>
      <w:proofErr w:type="spellStart"/>
      <w:r w:rsidR="009C0DA8" w:rsidRPr="00813409">
        <w:t>v</w:t>
      </w:r>
      <w:r w:rsidR="0037584C" w:rsidRPr="00813409">
        <w:t>alganci</w:t>
      </w:r>
      <w:r w:rsidR="009C0DA8" w:rsidRPr="00813409">
        <w:t>k</w:t>
      </w:r>
      <w:r w:rsidR="0037584C" w:rsidRPr="00813409">
        <w:t>lovir</w:t>
      </w:r>
      <w:r w:rsidR="009C0DA8" w:rsidRPr="00813409">
        <w:t>u</w:t>
      </w:r>
      <w:proofErr w:type="spellEnd"/>
      <w:r w:rsidR="0037584C" w:rsidRPr="00813409">
        <w:t xml:space="preserve"> </w:t>
      </w:r>
      <w:r w:rsidRPr="00813409">
        <w:t>u pacientov s </w:t>
      </w:r>
      <w:r w:rsidR="008428B8" w:rsidRPr="00813409">
        <w:t>po</w:t>
      </w:r>
      <w:r w:rsidR="008428B8">
        <w:t>ruchou funkcie</w:t>
      </w:r>
      <w:r w:rsidR="008428B8" w:rsidRPr="00813409">
        <w:t xml:space="preserve"> </w:t>
      </w:r>
      <w:r w:rsidRPr="00813409">
        <w:t xml:space="preserve">pečene sa neskúmala. Poškodenie pečene by nemalo ovplyvniť </w:t>
      </w:r>
      <w:proofErr w:type="spellStart"/>
      <w:r w:rsidRPr="00813409">
        <w:t>farmakokinetiku</w:t>
      </w:r>
      <w:proofErr w:type="spellEnd"/>
      <w:r w:rsidRPr="00813409">
        <w:t xml:space="preserve"> </w:t>
      </w:r>
      <w:proofErr w:type="spellStart"/>
      <w:r w:rsidRPr="00813409">
        <w:t>gancikloviru</w:t>
      </w:r>
      <w:proofErr w:type="spellEnd"/>
      <w:r w:rsidRPr="00813409">
        <w:t xml:space="preserve">, keďže sa vylučuje obličkami. Žiadne špecifické odporúčania </w:t>
      </w:r>
      <w:r w:rsidR="00602046">
        <w:t>na</w:t>
      </w:r>
      <w:r w:rsidR="00602046" w:rsidRPr="00813409">
        <w:t xml:space="preserve"> </w:t>
      </w:r>
      <w:r w:rsidRPr="00813409">
        <w:t>dávkovanie sa preto nevytvorili.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62489B" w:rsidRPr="00813409" w:rsidRDefault="0062489B" w:rsidP="0062489B">
      <w:pPr>
        <w:ind w:left="0" w:firstLine="0"/>
        <w:rPr>
          <w:i/>
          <w:szCs w:val="22"/>
        </w:rPr>
      </w:pPr>
      <w:r w:rsidRPr="00813409">
        <w:rPr>
          <w:i/>
          <w:szCs w:val="22"/>
        </w:rPr>
        <w:t xml:space="preserve">Pacienti s cystickou </w:t>
      </w:r>
      <w:proofErr w:type="spellStart"/>
      <w:r w:rsidRPr="00813409">
        <w:rPr>
          <w:i/>
          <w:szCs w:val="22"/>
        </w:rPr>
        <w:t>fibrózou</w:t>
      </w:r>
      <w:proofErr w:type="spellEnd"/>
    </w:p>
    <w:p w:rsidR="0062489B" w:rsidRPr="00813409" w:rsidRDefault="0062489B" w:rsidP="0062489B">
      <w:pPr>
        <w:ind w:left="0" w:firstLine="0"/>
        <w:rPr>
          <w:szCs w:val="22"/>
        </w:rPr>
      </w:pPr>
      <w:r w:rsidRPr="00813409">
        <w:rPr>
          <w:szCs w:val="22"/>
        </w:rPr>
        <w:t xml:space="preserve">V štúdii fázy I zameranej na </w:t>
      </w:r>
      <w:proofErr w:type="spellStart"/>
      <w:r w:rsidRPr="00813409">
        <w:rPr>
          <w:szCs w:val="22"/>
        </w:rPr>
        <w:t>farmakokinetiku</w:t>
      </w:r>
      <w:proofErr w:type="spellEnd"/>
      <w:r w:rsidRPr="00813409">
        <w:rPr>
          <w:szCs w:val="22"/>
        </w:rPr>
        <w:t xml:space="preserve"> u pacientov, ktorým boli transplantované pľúca a ktorí mali alebo nemali cystickú </w:t>
      </w:r>
      <w:proofErr w:type="spellStart"/>
      <w:r w:rsidRPr="00813409">
        <w:rPr>
          <w:szCs w:val="22"/>
        </w:rPr>
        <w:t>fibrózu</w:t>
      </w:r>
      <w:proofErr w:type="spellEnd"/>
      <w:r w:rsidRPr="00813409">
        <w:rPr>
          <w:szCs w:val="22"/>
        </w:rPr>
        <w:t xml:space="preserve"> (C</w:t>
      </w:r>
      <w:r w:rsidR="009C0DA8" w:rsidRPr="00813409">
        <w:rPr>
          <w:szCs w:val="22"/>
        </w:rPr>
        <w:t>F</w:t>
      </w:r>
      <w:r w:rsidRPr="00813409">
        <w:rPr>
          <w:szCs w:val="22"/>
        </w:rPr>
        <w:t xml:space="preserve">), dostalo 31 pacientov (16 s CF/15 bez CF) </w:t>
      </w:r>
      <w:proofErr w:type="spellStart"/>
      <w:r w:rsidRPr="00813409">
        <w:rPr>
          <w:szCs w:val="22"/>
        </w:rPr>
        <w:t>potransplantačnú</w:t>
      </w:r>
      <w:proofErr w:type="spellEnd"/>
      <w:r w:rsidRPr="00813409">
        <w:rPr>
          <w:szCs w:val="22"/>
        </w:rPr>
        <w:t xml:space="preserve"> profylaxiu s</w:t>
      </w:r>
      <w:r w:rsidR="00EF312A" w:rsidRPr="00813409">
        <w:rPr>
          <w:szCs w:val="22"/>
        </w:rPr>
        <w:t> </w:t>
      </w:r>
      <w:proofErr w:type="spellStart"/>
      <w:r w:rsidR="009C0DA8" w:rsidRPr="00813409">
        <w:rPr>
          <w:szCs w:val="22"/>
        </w:rPr>
        <w:t>v</w:t>
      </w:r>
      <w:r w:rsidR="0037584C" w:rsidRPr="00813409">
        <w:rPr>
          <w:szCs w:val="22"/>
        </w:rPr>
        <w:t>alganci</w:t>
      </w:r>
      <w:r w:rsidR="009C0DA8" w:rsidRPr="00813409">
        <w:rPr>
          <w:szCs w:val="22"/>
        </w:rPr>
        <w:t>k</w:t>
      </w:r>
      <w:r w:rsidR="0037584C" w:rsidRPr="00813409">
        <w:rPr>
          <w:szCs w:val="22"/>
        </w:rPr>
        <w:t>lovir</w:t>
      </w:r>
      <w:r w:rsidR="009C0DA8" w:rsidRPr="00813409">
        <w:rPr>
          <w:szCs w:val="22"/>
        </w:rPr>
        <w:t>om</w:t>
      </w:r>
      <w:proofErr w:type="spellEnd"/>
      <w:r w:rsidRPr="00813409">
        <w:rPr>
          <w:szCs w:val="22"/>
        </w:rPr>
        <w:t xml:space="preserve"> v dávke 900 mg/deň. Štúdia poukázala na to, že cystická </w:t>
      </w:r>
      <w:proofErr w:type="spellStart"/>
      <w:r w:rsidRPr="00813409">
        <w:rPr>
          <w:szCs w:val="22"/>
        </w:rPr>
        <w:t>fibróza</w:t>
      </w:r>
      <w:proofErr w:type="spellEnd"/>
      <w:r w:rsidRPr="00813409">
        <w:rPr>
          <w:szCs w:val="22"/>
        </w:rPr>
        <w:t xml:space="preserve"> nemá žiaden štatisticky významný vplyv na celkovú priemernú systémovú expozíciu </w:t>
      </w:r>
      <w:proofErr w:type="spellStart"/>
      <w:r w:rsidRPr="00813409">
        <w:rPr>
          <w:szCs w:val="22"/>
        </w:rPr>
        <w:t>ganciklovir</w:t>
      </w:r>
      <w:r w:rsidR="009C0DA8" w:rsidRPr="00813409">
        <w:rPr>
          <w:szCs w:val="22"/>
        </w:rPr>
        <w:t>u</w:t>
      </w:r>
      <w:proofErr w:type="spellEnd"/>
      <w:r w:rsidRPr="00813409">
        <w:rPr>
          <w:szCs w:val="22"/>
        </w:rPr>
        <w:t xml:space="preserve"> u pacientov, ktorým boli transplantované pľúca. Expozícia </w:t>
      </w:r>
      <w:proofErr w:type="spellStart"/>
      <w:r w:rsidRPr="00813409">
        <w:rPr>
          <w:szCs w:val="22"/>
        </w:rPr>
        <w:t>ganciklovir</w:t>
      </w:r>
      <w:r w:rsidR="009C0DA8" w:rsidRPr="00813409">
        <w:rPr>
          <w:szCs w:val="22"/>
        </w:rPr>
        <w:t>u</w:t>
      </w:r>
      <w:proofErr w:type="spellEnd"/>
      <w:r w:rsidR="00EF312A" w:rsidRPr="00813409">
        <w:rPr>
          <w:szCs w:val="22"/>
        </w:rPr>
        <w:t xml:space="preserve"> </w:t>
      </w:r>
      <w:r w:rsidRPr="00813409">
        <w:rPr>
          <w:szCs w:val="22"/>
        </w:rPr>
        <w:t>u pacientov, ktorým boli transplantované pľúca, bola porovnateľná s expozíciou, ktorá sa ukázala ako účinná v prevencii CMV ochorenia u pacientov, ktorým bol transplantovaný iný solídny orgán.</w:t>
      </w:r>
    </w:p>
    <w:p w:rsidR="0062489B" w:rsidRPr="00813409" w:rsidRDefault="0062489B" w:rsidP="008C1DB1">
      <w:pPr>
        <w:ind w:left="0" w:firstLine="0"/>
        <w:rPr>
          <w:szCs w:val="22"/>
        </w:rPr>
      </w:pPr>
    </w:p>
    <w:p w:rsidR="009E2147" w:rsidRPr="00813409" w:rsidRDefault="009E2147" w:rsidP="009E2147">
      <w:pPr>
        <w:ind w:left="0" w:firstLine="0"/>
        <w:rPr>
          <w:i/>
          <w:szCs w:val="22"/>
        </w:rPr>
      </w:pPr>
      <w:r w:rsidRPr="00813409">
        <w:rPr>
          <w:i/>
          <w:szCs w:val="22"/>
        </w:rPr>
        <w:t>Pediatrick</w:t>
      </w:r>
      <w:r w:rsidR="00C9795C" w:rsidRPr="00813409">
        <w:rPr>
          <w:i/>
          <w:szCs w:val="22"/>
        </w:rPr>
        <w:t>á</w:t>
      </w:r>
      <w:r w:rsidRPr="00813409">
        <w:rPr>
          <w:i/>
          <w:szCs w:val="22"/>
        </w:rPr>
        <w:t xml:space="preserve"> </w:t>
      </w:r>
      <w:r w:rsidR="00C9795C" w:rsidRPr="00813409">
        <w:rPr>
          <w:i/>
          <w:szCs w:val="22"/>
        </w:rPr>
        <w:t>populácia</w:t>
      </w:r>
    </w:p>
    <w:p w:rsidR="0062489B" w:rsidRPr="00813409" w:rsidRDefault="009E2147" w:rsidP="009E2147">
      <w:pPr>
        <w:ind w:left="0" w:firstLine="0"/>
        <w:rPr>
          <w:szCs w:val="22"/>
        </w:rPr>
      </w:pPr>
      <w:r w:rsidRPr="00813409">
        <w:rPr>
          <w:iCs/>
          <w:szCs w:val="22"/>
        </w:rPr>
        <w:t xml:space="preserve">V štúdii fázy II zameranej na </w:t>
      </w:r>
      <w:proofErr w:type="spellStart"/>
      <w:r w:rsidRPr="00813409">
        <w:rPr>
          <w:iCs/>
          <w:szCs w:val="22"/>
        </w:rPr>
        <w:t>farmakokinetiku</w:t>
      </w:r>
      <w:proofErr w:type="spellEnd"/>
      <w:r w:rsidRPr="00813409">
        <w:rPr>
          <w:iCs/>
          <w:szCs w:val="22"/>
        </w:rPr>
        <w:t xml:space="preserve"> a bezpečnosť u</w:t>
      </w:r>
      <w:r w:rsidR="0062489B" w:rsidRPr="00813409">
        <w:rPr>
          <w:iCs/>
          <w:szCs w:val="22"/>
        </w:rPr>
        <w:t> </w:t>
      </w:r>
      <w:r w:rsidR="002E4B86" w:rsidRPr="00813409">
        <w:rPr>
          <w:iCs/>
          <w:szCs w:val="22"/>
        </w:rPr>
        <w:t>pediatrick</w:t>
      </w:r>
      <w:r w:rsidR="0062489B" w:rsidRPr="00813409">
        <w:rPr>
          <w:iCs/>
          <w:szCs w:val="22"/>
        </w:rPr>
        <w:t>ých pacientov</w:t>
      </w:r>
      <w:r w:rsidRPr="00813409">
        <w:rPr>
          <w:iCs/>
          <w:szCs w:val="22"/>
        </w:rPr>
        <w:t xml:space="preserve"> (vo veku od 4 mesiacov do 16 rokov, n = 63), ktorým bol transplantovaný solídny orgán, bol </w:t>
      </w:r>
      <w:proofErr w:type="spellStart"/>
      <w:r w:rsidRPr="00813409">
        <w:rPr>
          <w:iCs/>
          <w:szCs w:val="22"/>
        </w:rPr>
        <w:t>valganciklovir</w:t>
      </w:r>
      <w:proofErr w:type="spellEnd"/>
      <w:r w:rsidRPr="00813409">
        <w:rPr>
          <w:iCs/>
          <w:szCs w:val="22"/>
        </w:rPr>
        <w:t xml:space="preserve"> podávaný jedenkrát denne po dobu až 100 dní. </w:t>
      </w:r>
      <w:proofErr w:type="spellStart"/>
      <w:r w:rsidRPr="00813409">
        <w:rPr>
          <w:iCs/>
          <w:szCs w:val="22"/>
        </w:rPr>
        <w:t>Farmakokinetické</w:t>
      </w:r>
      <w:proofErr w:type="spellEnd"/>
      <w:r w:rsidRPr="00813409">
        <w:rPr>
          <w:iCs/>
          <w:szCs w:val="22"/>
        </w:rPr>
        <w:t xml:space="preserve"> parametre boli podobné pri rôznych typoch orgánov a rozličnom veku a porovnateľné s dospelými. Model </w:t>
      </w:r>
      <w:proofErr w:type="spellStart"/>
      <w:r w:rsidRPr="00813409">
        <w:rPr>
          <w:szCs w:val="22"/>
        </w:rPr>
        <w:t>farmakokinetiky</w:t>
      </w:r>
      <w:proofErr w:type="spellEnd"/>
      <w:r w:rsidRPr="00813409">
        <w:rPr>
          <w:szCs w:val="22"/>
        </w:rPr>
        <w:t xml:space="preserve"> populácie naznačil</w:t>
      </w:r>
      <w:r w:rsidRPr="00813409">
        <w:rPr>
          <w:iCs/>
          <w:szCs w:val="22"/>
        </w:rPr>
        <w:t xml:space="preserve">, že </w:t>
      </w:r>
      <w:r w:rsidRPr="00813409">
        <w:rPr>
          <w:szCs w:val="22"/>
        </w:rPr>
        <w:t xml:space="preserve">biologická dostupnosť </w:t>
      </w:r>
      <w:r w:rsidR="00F9248E" w:rsidRPr="00813409">
        <w:rPr>
          <w:szCs w:val="22"/>
        </w:rPr>
        <w:t xml:space="preserve">je </w:t>
      </w:r>
      <w:r w:rsidRPr="00813409">
        <w:rPr>
          <w:szCs w:val="22"/>
        </w:rPr>
        <w:t xml:space="preserve">približne 60 %. </w:t>
      </w:r>
      <w:proofErr w:type="spellStart"/>
      <w:r w:rsidRPr="00813409">
        <w:rPr>
          <w:szCs w:val="22"/>
        </w:rPr>
        <w:t>Klírens</w:t>
      </w:r>
      <w:proofErr w:type="spellEnd"/>
      <w:r w:rsidRPr="00813409">
        <w:rPr>
          <w:szCs w:val="22"/>
        </w:rPr>
        <w:t xml:space="preserve"> bol pozitívne ovplyvnený plochou povrchu tela aj </w:t>
      </w:r>
      <w:proofErr w:type="spellStart"/>
      <w:r w:rsidRPr="00813409">
        <w:rPr>
          <w:szCs w:val="22"/>
        </w:rPr>
        <w:t>renálnou</w:t>
      </w:r>
      <w:proofErr w:type="spellEnd"/>
      <w:r w:rsidRPr="00813409">
        <w:rPr>
          <w:szCs w:val="22"/>
        </w:rPr>
        <w:t xml:space="preserve"> funkciou. </w:t>
      </w:r>
    </w:p>
    <w:p w:rsidR="0062489B" w:rsidRPr="00813409" w:rsidRDefault="0062489B" w:rsidP="0062489B">
      <w:pPr>
        <w:ind w:left="0" w:firstLine="0"/>
        <w:rPr>
          <w:szCs w:val="22"/>
        </w:rPr>
      </w:pPr>
    </w:p>
    <w:p w:rsidR="0062489B" w:rsidRPr="00813409" w:rsidRDefault="0062489B" w:rsidP="0062489B">
      <w:pPr>
        <w:ind w:left="0" w:firstLine="0"/>
        <w:rPr>
          <w:szCs w:val="22"/>
        </w:rPr>
      </w:pPr>
      <w:r w:rsidRPr="00813409">
        <w:rPr>
          <w:iCs/>
          <w:szCs w:val="22"/>
        </w:rPr>
        <w:t xml:space="preserve">V štúdii fázy I zameranej na </w:t>
      </w:r>
      <w:proofErr w:type="spellStart"/>
      <w:r w:rsidRPr="00813409">
        <w:rPr>
          <w:iCs/>
          <w:szCs w:val="22"/>
        </w:rPr>
        <w:t>farmakokinetiku</w:t>
      </w:r>
      <w:proofErr w:type="spellEnd"/>
      <w:r w:rsidRPr="00813409">
        <w:rPr>
          <w:iCs/>
          <w:szCs w:val="22"/>
        </w:rPr>
        <w:t xml:space="preserve"> a bezpečnosť u pediatrických pacientov </w:t>
      </w:r>
      <w:r w:rsidRPr="00813409">
        <w:rPr>
          <w:szCs w:val="22"/>
        </w:rPr>
        <w:t>(vo veku 3 týžd</w:t>
      </w:r>
      <w:r w:rsidR="00285FB1" w:rsidRPr="00813409">
        <w:rPr>
          <w:szCs w:val="22"/>
        </w:rPr>
        <w:t>ne</w:t>
      </w:r>
      <w:r w:rsidRPr="00813409">
        <w:rPr>
          <w:szCs w:val="22"/>
        </w:rPr>
        <w:t xml:space="preserve"> </w:t>
      </w:r>
      <w:r w:rsidR="00285FB1" w:rsidRPr="00813409">
        <w:rPr>
          <w:szCs w:val="22"/>
        </w:rPr>
        <w:t>až</w:t>
      </w:r>
      <w:r w:rsidRPr="00813409">
        <w:rPr>
          <w:szCs w:val="22"/>
        </w:rPr>
        <w:t> 125 dní, n = 14)</w:t>
      </w:r>
      <w:r w:rsidRPr="00813409">
        <w:rPr>
          <w:iCs/>
          <w:szCs w:val="22"/>
        </w:rPr>
        <w:t>, ktorým bolo transplantované srdce,</w:t>
      </w:r>
      <w:r w:rsidRPr="00813409">
        <w:rPr>
          <w:szCs w:val="22"/>
        </w:rPr>
        <w:t xml:space="preserve"> bol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 xml:space="preserve"> podaný jedenkrát denne počas dvoch dní. Na základe </w:t>
      </w:r>
      <w:proofErr w:type="spellStart"/>
      <w:r w:rsidRPr="00813409">
        <w:rPr>
          <w:szCs w:val="22"/>
        </w:rPr>
        <w:t>farmakokinetiky</w:t>
      </w:r>
      <w:proofErr w:type="spellEnd"/>
      <w:r w:rsidRPr="00813409">
        <w:rPr>
          <w:szCs w:val="22"/>
        </w:rPr>
        <w:t xml:space="preserve"> v tejto populácii sa odhadlo, že priemerná biologická dostupnosť je 64 %.</w:t>
      </w:r>
    </w:p>
    <w:p w:rsidR="0062489B" w:rsidRPr="00813409" w:rsidRDefault="0062489B" w:rsidP="0062489B">
      <w:pPr>
        <w:ind w:left="0" w:firstLine="0"/>
        <w:rPr>
          <w:szCs w:val="22"/>
        </w:rPr>
      </w:pPr>
    </w:p>
    <w:p w:rsidR="0062489B" w:rsidRPr="00813409" w:rsidRDefault="0062489B" w:rsidP="0062489B">
      <w:pPr>
        <w:ind w:left="0" w:firstLine="0"/>
        <w:rPr>
          <w:szCs w:val="22"/>
        </w:rPr>
      </w:pPr>
      <w:r w:rsidRPr="00813409">
        <w:rPr>
          <w:szCs w:val="22"/>
        </w:rPr>
        <w:t>Porovnanie výsledkov z týchto dvoch štúdií a </w:t>
      </w:r>
      <w:proofErr w:type="spellStart"/>
      <w:r w:rsidRPr="00813409">
        <w:rPr>
          <w:szCs w:val="22"/>
        </w:rPr>
        <w:t>farmakokinetických</w:t>
      </w:r>
      <w:proofErr w:type="spellEnd"/>
      <w:r w:rsidRPr="00813409">
        <w:rPr>
          <w:szCs w:val="22"/>
        </w:rPr>
        <w:t xml:space="preserve"> výsledkov získaných v populácii dospelých ukazuje, že rozmedzie hodnôt AUC </w:t>
      </w:r>
      <w:r w:rsidRPr="00813409">
        <w:rPr>
          <w:szCs w:val="22"/>
          <w:vertAlign w:val="subscript"/>
        </w:rPr>
        <w:t xml:space="preserve">0-24h </w:t>
      </w:r>
      <w:r w:rsidRPr="00813409">
        <w:rPr>
          <w:szCs w:val="22"/>
        </w:rPr>
        <w:t>je veľmi podobné naprieč všetkými vekovými skupinami vrátane dospelých. Priemerné hodnoty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 xml:space="preserve">24h </w:t>
      </w:r>
      <w:r w:rsidRPr="00813409">
        <w:rPr>
          <w:szCs w:val="22"/>
        </w:rPr>
        <w:t xml:space="preserve">a </w:t>
      </w:r>
      <w:proofErr w:type="spellStart"/>
      <w:r w:rsidRPr="00813409">
        <w:rPr>
          <w:szCs w:val="22"/>
        </w:rPr>
        <w:t>C</w:t>
      </w:r>
      <w:r w:rsidRPr="00813409">
        <w:rPr>
          <w:szCs w:val="22"/>
          <w:vertAlign w:val="subscript"/>
        </w:rPr>
        <w:t>max</w:t>
      </w:r>
      <w:proofErr w:type="spellEnd"/>
      <w:r w:rsidRPr="00813409">
        <w:rPr>
          <w:szCs w:val="22"/>
        </w:rPr>
        <w:t xml:space="preserve"> boli tiež podobné naprieč pediatrickými vekovými skupinami &lt; 12</w:t>
      </w:r>
      <w:r w:rsidRPr="00813409">
        <w:rPr>
          <w:szCs w:val="22"/>
        </w:rPr>
        <w:noBreakHyphen/>
        <w:t>ročných, hoci sa zistila tendencia k znižujúcim sa priemerným hodnotám AUC</w:t>
      </w:r>
      <w:r w:rsidRPr="00813409">
        <w:rPr>
          <w:szCs w:val="22"/>
          <w:vertAlign w:val="subscript"/>
        </w:rPr>
        <w:t xml:space="preserve">0-24h </w:t>
      </w:r>
      <w:r w:rsidRPr="00813409">
        <w:rPr>
          <w:szCs w:val="22"/>
        </w:rPr>
        <w:t xml:space="preserve">a </w:t>
      </w:r>
      <w:proofErr w:type="spellStart"/>
      <w:r w:rsidRPr="00813409">
        <w:rPr>
          <w:szCs w:val="22"/>
        </w:rPr>
        <w:t>C</w:t>
      </w:r>
      <w:r w:rsidRPr="00813409">
        <w:rPr>
          <w:szCs w:val="22"/>
          <w:vertAlign w:val="subscript"/>
        </w:rPr>
        <w:t>max</w:t>
      </w:r>
      <w:proofErr w:type="spellEnd"/>
      <w:r w:rsidRPr="00813409">
        <w:rPr>
          <w:szCs w:val="22"/>
        </w:rPr>
        <w:t xml:space="preserve"> naprieč celým pediatrickým vekovým rozmedzím, ktorá zrejme korelovala so zvyšujúcim sa vekom. Táto tendencia bola zjavnejšia pri priemerných hodnotách </w:t>
      </w:r>
      <w:proofErr w:type="spellStart"/>
      <w:r w:rsidRPr="00813409">
        <w:rPr>
          <w:szCs w:val="22"/>
        </w:rPr>
        <w:t>klírensu</w:t>
      </w:r>
      <w:proofErr w:type="spellEnd"/>
      <w:r w:rsidRPr="00813409">
        <w:rPr>
          <w:szCs w:val="22"/>
        </w:rPr>
        <w:t xml:space="preserve"> a polčasu </w:t>
      </w:r>
      <w:r w:rsidR="009C0DA8" w:rsidRPr="00813409">
        <w:rPr>
          <w:szCs w:val="22"/>
        </w:rPr>
        <w:t xml:space="preserve">rozpadu </w:t>
      </w:r>
      <w:r w:rsidRPr="00813409">
        <w:rPr>
          <w:szCs w:val="22"/>
        </w:rPr>
        <w:t>(t</w:t>
      </w:r>
      <w:r w:rsidRPr="00813409">
        <w:rPr>
          <w:szCs w:val="22"/>
          <w:vertAlign w:val="subscript"/>
        </w:rPr>
        <w:t>1/2</w:t>
      </w:r>
      <w:r w:rsidRPr="00813409">
        <w:rPr>
          <w:szCs w:val="22"/>
        </w:rPr>
        <w:t>); to sa však očakáva</w:t>
      </w:r>
      <w:r w:rsidR="009C0DA8" w:rsidRPr="00813409">
        <w:rPr>
          <w:szCs w:val="22"/>
        </w:rPr>
        <w:t>lo</w:t>
      </w:r>
      <w:r w:rsidRPr="00813409">
        <w:rPr>
          <w:szCs w:val="22"/>
        </w:rPr>
        <w:t xml:space="preserve">, keďže </w:t>
      </w:r>
      <w:proofErr w:type="spellStart"/>
      <w:r w:rsidRPr="00813409">
        <w:rPr>
          <w:szCs w:val="22"/>
        </w:rPr>
        <w:t>klírens</w:t>
      </w:r>
      <w:proofErr w:type="spellEnd"/>
      <w:r w:rsidRPr="00813409">
        <w:rPr>
          <w:szCs w:val="22"/>
        </w:rPr>
        <w:t xml:space="preserve"> je ovplyvnený zmenami telesnej hmotnosti, telesnej výšky a funkcie obličiek, ktoré súvisia s rastom pacienta, ako to naznačilo modelovanie </w:t>
      </w:r>
      <w:proofErr w:type="spellStart"/>
      <w:r w:rsidRPr="00813409">
        <w:rPr>
          <w:szCs w:val="22"/>
        </w:rPr>
        <w:t>farmakokinetiky</w:t>
      </w:r>
      <w:proofErr w:type="spellEnd"/>
      <w:r w:rsidRPr="00813409">
        <w:rPr>
          <w:szCs w:val="22"/>
        </w:rPr>
        <w:t xml:space="preserve"> v tejto populácii.</w:t>
      </w:r>
    </w:p>
    <w:p w:rsidR="0062489B" w:rsidRPr="00813409" w:rsidRDefault="0062489B" w:rsidP="009E2147">
      <w:pPr>
        <w:ind w:left="0" w:firstLine="0"/>
        <w:rPr>
          <w:szCs w:val="22"/>
        </w:rPr>
      </w:pPr>
    </w:p>
    <w:p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szCs w:val="22"/>
        </w:rPr>
        <w:t xml:space="preserve">Nasledujúca tabuľka </w:t>
      </w:r>
      <w:r w:rsidR="0062489B" w:rsidRPr="00813409">
        <w:rPr>
          <w:szCs w:val="22"/>
        </w:rPr>
        <w:t>sumarizuje modelom odhadnuté rozmedzie hodnôt AUC</w:t>
      </w:r>
      <w:r w:rsidR="0062489B" w:rsidRPr="00813409">
        <w:rPr>
          <w:szCs w:val="22"/>
          <w:vertAlign w:val="subscript"/>
        </w:rPr>
        <w:t>0</w:t>
      </w:r>
      <w:r w:rsidR="0062489B" w:rsidRPr="00813409">
        <w:rPr>
          <w:szCs w:val="22"/>
          <w:vertAlign w:val="subscript"/>
        </w:rPr>
        <w:noBreakHyphen/>
        <w:t>24h</w:t>
      </w:r>
      <w:r w:rsidR="0062489B" w:rsidRPr="00813409">
        <w:rPr>
          <w:szCs w:val="22"/>
        </w:rPr>
        <w:t xml:space="preserve"> </w:t>
      </w:r>
      <w:proofErr w:type="spellStart"/>
      <w:r w:rsidR="0062489B" w:rsidRPr="00813409">
        <w:rPr>
          <w:szCs w:val="22"/>
        </w:rPr>
        <w:t>gancikloviru</w:t>
      </w:r>
      <w:proofErr w:type="spellEnd"/>
      <w:r w:rsidR="0062489B" w:rsidRPr="00813409">
        <w:rPr>
          <w:szCs w:val="22"/>
        </w:rPr>
        <w:t xml:space="preserve"> zistené v týchto dvoch štúdiách ako aj priemerné hodnoty a štandardné odchýlky hodnôt</w:t>
      </w:r>
      <w:r w:rsidR="0062489B" w:rsidRPr="00813409">
        <w:t xml:space="preserve"> </w:t>
      </w:r>
      <w:proofErr w:type="spellStart"/>
      <w:r w:rsidR="0062489B" w:rsidRPr="00813409">
        <w:t>C</w:t>
      </w:r>
      <w:r w:rsidR="0062489B" w:rsidRPr="00813409">
        <w:rPr>
          <w:vertAlign w:val="subscript"/>
        </w:rPr>
        <w:t>max</w:t>
      </w:r>
      <w:proofErr w:type="spellEnd"/>
      <w:r w:rsidR="0062489B" w:rsidRPr="00813409">
        <w:t>, t</w:t>
      </w:r>
      <w:r w:rsidR="0062489B" w:rsidRPr="00813409">
        <w:rPr>
          <w:vertAlign w:val="subscript"/>
        </w:rPr>
        <w:t>1/2</w:t>
      </w:r>
      <w:r w:rsidR="009C0DA8" w:rsidRPr="00813409">
        <w:t>, CL</w:t>
      </w:r>
      <w:r w:rsidRPr="00813409">
        <w:rPr>
          <w:szCs w:val="22"/>
        </w:rPr>
        <w:t xml:space="preserve"> </w:t>
      </w:r>
      <w:r w:rsidR="009C0DA8" w:rsidRPr="00813409">
        <w:rPr>
          <w:szCs w:val="22"/>
        </w:rPr>
        <w:t xml:space="preserve">a </w:t>
      </w:r>
      <w:r w:rsidR="009C0DA8" w:rsidRPr="00813409">
        <w:t>AUC</w:t>
      </w:r>
      <w:r w:rsidR="009C0DA8" w:rsidRPr="00813409">
        <w:rPr>
          <w:vertAlign w:val="subscript"/>
        </w:rPr>
        <w:t>0-24h</w:t>
      </w:r>
      <w:r w:rsidR="009C0DA8" w:rsidRPr="00813409">
        <w:rPr>
          <w:szCs w:val="22"/>
        </w:rPr>
        <w:t xml:space="preserve"> </w:t>
      </w:r>
      <w:r w:rsidRPr="00813409">
        <w:rPr>
          <w:szCs w:val="22"/>
        </w:rPr>
        <w:t>pre príslušné pediatrické vekové skupiny v porovnaní s údajmi u dospelých:</w:t>
      </w:r>
    </w:p>
    <w:p w:rsidR="0062489B" w:rsidRPr="00813409" w:rsidRDefault="0062489B" w:rsidP="0062489B"/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520"/>
        <w:gridCol w:w="1383"/>
        <w:gridCol w:w="1658"/>
        <w:gridCol w:w="1660"/>
        <w:gridCol w:w="1660"/>
      </w:tblGrid>
      <w:tr w:rsidR="00F86207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F86207" w:rsidRPr="00813409" w:rsidRDefault="00F86207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FK parameter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207" w:rsidRPr="00813409" w:rsidRDefault="00F86207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Dospelí*</w:t>
            </w:r>
          </w:p>
        </w:tc>
        <w:tc>
          <w:tcPr>
            <w:tcW w:w="3445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207" w:rsidRPr="00813409" w:rsidRDefault="00F86207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Pediatrickí pacienti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ind w:left="0" w:firstLine="0"/>
              <w:jc w:val="center"/>
              <w:rPr>
                <w:rStyle w:val="TextTi10Char"/>
                <w:rFonts w:eastAsia="SimSun"/>
                <w:b/>
                <w:szCs w:val="22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≥ 18 rokov</w:t>
            </w:r>
          </w:p>
          <w:p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160)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&lt; 4 mesiace</w:t>
            </w:r>
          </w:p>
          <w:p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(n</w:t>
            </w:r>
            <w:r w:rsidRPr="00813409">
              <w:rPr>
                <w:b/>
                <w:szCs w:val="22"/>
              </w:rPr>
              <w:t>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t>=</w:t>
            </w:r>
            <w:r w:rsidRPr="00813409">
              <w:rPr>
                <w:b/>
                <w:szCs w:val="22"/>
              </w:rPr>
              <w:t>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t>14)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F86207">
            <w:pPr>
              <w:tabs>
                <w:tab w:val="left" w:pos="26"/>
              </w:tabs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rStyle w:val="TextTi10Char"/>
                <w:rFonts w:eastAsia="SimSun"/>
                <w:b/>
                <w:szCs w:val="22"/>
              </w:rPr>
              <w:t>4 mesiace </w:t>
            </w:r>
            <w:r w:rsidRPr="00813409">
              <w:rPr>
                <w:rStyle w:val="TextTi10Char"/>
                <w:rFonts w:eastAsia="SimSun"/>
                <w:b/>
                <w:szCs w:val="22"/>
              </w:rPr>
              <w:noBreakHyphen/>
              <w:t> </w:t>
            </w:r>
            <w:r w:rsidRPr="00813409">
              <w:rPr>
                <w:b/>
                <w:szCs w:val="22"/>
              </w:rPr>
              <w:t>≤ 2 roky</w:t>
            </w:r>
          </w:p>
          <w:p w:rsidR="0062489B" w:rsidRPr="00813409" w:rsidRDefault="0062489B" w:rsidP="009144AA">
            <w:pPr>
              <w:spacing w:line="260" w:lineRule="atLeast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</w:t>
            </w:r>
            <w:r w:rsidR="001D3B56" w:rsidRPr="00813409">
              <w:rPr>
                <w:b/>
                <w:szCs w:val="22"/>
              </w:rPr>
              <w:t>1</w:t>
            </w:r>
            <w:r w:rsidRPr="00813409">
              <w:rPr>
                <w:b/>
                <w:szCs w:val="22"/>
              </w:rPr>
              <w:t>7)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F86207">
            <w:pPr>
              <w:spacing w:line="260" w:lineRule="atLeast"/>
              <w:ind w:left="3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&gt; 2 </w:t>
            </w:r>
            <w:r w:rsidRPr="00813409">
              <w:rPr>
                <w:b/>
                <w:szCs w:val="22"/>
              </w:rPr>
              <w:noBreakHyphen/>
              <w:t> &lt; 12 rokov</w:t>
            </w:r>
          </w:p>
          <w:p w:rsidR="0062489B" w:rsidRPr="00813409" w:rsidRDefault="0062489B" w:rsidP="00F86207">
            <w:pPr>
              <w:spacing w:line="260" w:lineRule="atLeast"/>
              <w:ind w:left="3" w:firstLine="0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21)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</w:tcPr>
          <w:p w:rsidR="0062489B" w:rsidRPr="00813409" w:rsidRDefault="0062489B" w:rsidP="00F86207">
            <w:pPr>
              <w:spacing w:line="260" w:lineRule="atLeast"/>
              <w:ind w:left="0" w:hanging="18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≥ 12 rokov </w:t>
            </w:r>
            <w:r w:rsidRPr="00813409">
              <w:rPr>
                <w:b/>
                <w:szCs w:val="22"/>
              </w:rPr>
              <w:noBreakHyphen/>
              <w:t> 16 rokov</w:t>
            </w:r>
          </w:p>
          <w:p w:rsidR="0062489B" w:rsidRPr="00813409" w:rsidRDefault="0062489B" w:rsidP="00F86207">
            <w:pPr>
              <w:spacing w:line="260" w:lineRule="atLeast"/>
              <w:ind w:left="0" w:hanging="18"/>
              <w:jc w:val="center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(n = 25)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 xml:space="preserve">0-24h </w:t>
            </w:r>
            <w:r w:rsidRPr="00813409">
              <w:rPr>
                <w:b/>
                <w:szCs w:val="22"/>
              </w:rPr>
              <w:t>(</w:t>
            </w:r>
            <w:r w:rsidRPr="00813409">
              <w:rPr>
                <w:b/>
                <w:szCs w:val="22"/>
              </w:rPr>
              <w:sym w:font="Symbol" w:char="F06D"/>
            </w:r>
            <w:proofErr w:type="spellStart"/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</w:t>
            </w:r>
            <w:proofErr w:type="spellEnd"/>
            <w:r w:rsidRPr="00813409">
              <w:rPr>
                <w:b/>
                <w:szCs w:val="22"/>
              </w:rPr>
              <w:t>/ml)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46,3 </w:t>
            </w:r>
            <w:r w:rsidRPr="00813409">
              <w:rPr>
                <w:szCs w:val="22"/>
              </w:rPr>
              <w:sym w:font="Symbol" w:char="F0B1"/>
            </w:r>
            <w:r w:rsidRPr="00813409">
              <w:rPr>
                <w:szCs w:val="22"/>
              </w:rPr>
              <w:t> 15,2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68,1 ± 19,8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64,3 ± 29,2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59,2 ± 15,1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50,3 ± 15,0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1D3B56" w:rsidRPr="00813409" w:rsidRDefault="001D3B56" w:rsidP="009144AA">
            <w:pPr>
              <w:spacing w:line="260" w:lineRule="atLeast"/>
              <w:ind w:left="0" w:firstLine="0"/>
              <w:rPr>
                <w:rFonts w:eastAsia="SimSun"/>
                <w:b/>
                <w:szCs w:val="22"/>
                <w:lang w:eastAsia="ja-JP"/>
              </w:rPr>
            </w:pPr>
            <w:r w:rsidRPr="00813409">
              <w:rPr>
                <w:rFonts w:eastAsia="SimSun"/>
                <w:b/>
                <w:szCs w:val="22"/>
                <w:lang w:eastAsia="ja-JP"/>
              </w:rPr>
              <w:t>Rozmedzie hodnôt</w:t>
            </w:r>
          </w:p>
          <w:p w:rsidR="0062489B" w:rsidRPr="00813409" w:rsidRDefault="001D3B56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rFonts w:eastAsia="SimSun"/>
                <w:b/>
                <w:szCs w:val="22"/>
                <w:lang w:eastAsia="ja-JP"/>
              </w:rPr>
              <w:t>AUC</w:t>
            </w:r>
            <w:r w:rsidRPr="00813409">
              <w:rPr>
                <w:rFonts w:eastAsia="SimSun"/>
                <w:b/>
                <w:szCs w:val="22"/>
                <w:vertAlign w:val="subscript"/>
                <w:lang w:eastAsia="ja-JP"/>
              </w:rPr>
              <w:t>0-24h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Fonts w:eastAsia="SimSun"/>
                <w:szCs w:val="22"/>
                <w:lang w:eastAsia="zh-CN"/>
              </w:rPr>
              <w:t>15,4</w:t>
            </w:r>
            <w:r w:rsidRPr="00813409">
              <w:rPr>
                <w:szCs w:val="22"/>
              </w:rPr>
              <w:t> </w:t>
            </w:r>
            <w:r w:rsidRPr="00813409">
              <w:rPr>
                <w:szCs w:val="22"/>
              </w:rPr>
              <w:noBreakHyphen/>
            </w:r>
            <w:r w:rsidR="001D3B56" w:rsidRPr="00813409">
              <w:rPr>
                <w:szCs w:val="22"/>
              </w:rPr>
              <w:t> </w:t>
            </w:r>
            <w:r w:rsidRPr="00813409">
              <w:rPr>
                <w:rFonts w:eastAsia="SimSun"/>
                <w:szCs w:val="22"/>
                <w:lang w:eastAsia="zh-CN"/>
              </w:rPr>
              <w:t>116,1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34 </w:t>
            </w:r>
            <w:r w:rsidRPr="00813409">
              <w:rPr>
                <w:szCs w:val="22"/>
              </w:rPr>
              <w:noBreakHyphen/>
              <w:t> 124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34 </w:t>
            </w:r>
            <w:r w:rsidRPr="00813409">
              <w:rPr>
                <w:szCs w:val="22"/>
              </w:rPr>
              <w:noBreakHyphen/>
              <w:t> 152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36 </w:t>
            </w:r>
            <w:r w:rsidRPr="00813409">
              <w:rPr>
                <w:szCs w:val="22"/>
              </w:rPr>
              <w:noBreakHyphen/>
              <w:t> 108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22 </w:t>
            </w:r>
            <w:r w:rsidRPr="00813409">
              <w:rPr>
                <w:szCs w:val="22"/>
              </w:rPr>
              <w:noBreakHyphen/>
              <w:t> 93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proofErr w:type="spellStart"/>
            <w:r w:rsidRPr="00813409">
              <w:rPr>
                <w:b/>
                <w:szCs w:val="22"/>
              </w:rPr>
              <w:lastRenderedPageBreak/>
              <w:t>C</w:t>
            </w:r>
            <w:r w:rsidRPr="00813409">
              <w:rPr>
                <w:b/>
                <w:szCs w:val="22"/>
                <w:vertAlign w:val="subscript"/>
              </w:rPr>
              <w:t>max</w:t>
            </w:r>
            <w:proofErr w:type="spellEnd"/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g/ml)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5,3 </w:t>
            </w:r>
            <w:r w:rsidRPr="00813409">
              <w:rPr>
                <w:szCs w:val="22"/>
              </w:rPr>
              <w:sym w:font="Symbol" w:char="F0B1"/>
            </w:r>
            <w:r w:rsidRPr="00813409">
              <w:rPr>
                <w:szCs w:val="22"/>
              </w:rPr>
              <w:t> 1,5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10,5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3,36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10,3 ± 3,3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9,4 ± 2,7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8,0 ± 2,4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proofErr w:type="spellStart"/>
            <w:r w:rsidRPr="00813409">
              <w:rPr>
                <w:b/>
                <w:szCs w:val="22"/>
              </w:rPr>
              <w:t>Klírens</w:t>
            </w:r>
            <w:proofErr w:type="spellEnd"/>
            <w:r w:rsidRPr="00813409">
              <w:rPr>
                <w:b/>
                <w:szCs w:val="22"/>
              </w:rPr>
              <w:t xml:space="preserve"> (l/h)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12,7 ± 4,5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1,25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0,473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2,5 ± 2,4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4,5 ± 2,9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6,4 ± 2,9</w:t>
            </w:r>
          </w:p>
        </w:tc>
      </w:tr>
      <w:tr w:rsidR="00E10988" w:rsidRPr="00813409" w:rsidTr="00A4736C">
        <w:tc>
          <w:tcPr>
            <w:tcW w:w="732" w:type="pct"/>
            <w:tcBorders>
              <w:right w:val="single" w:sz="4" w:space="0" w:color="auto"/>
            </w:tcBorders>
            <w:shd w:val="clear" w:color="auto" w:fill="auto"/>
          </w:tcPr>
          <w:p w:rsidR="0062489B" w:rsidRPr="00813409" w:rsidRDefault="0062489B" w:rsidP="009144AA">
            <w:pPr>
              <w:spacing w:line="260" w:lineRule="atLeast"/>
              <w:ind w:left="0" w:firstLine="0"/>
              <w:rPr>
                <w:rStyle w:val="TextTi10Char"/>
                <w:rFonts w:eastAsia="SimSun"/>
                <w:b/>
                <w:szCs w:val="22"/>
              </w:rPr>
            </w:pPr>
            <w:r w:rsidRPr="00813409">
              <w:rPr>
                <w:b/>
                <w:szCs w:val="22"/>
              </w:rPr>
              <w:t>t</w:t>
            </w:r>
            <w:r w:rsidRPr="00813409">
              <w:rPr>
                <w:b/>
                <w:szCs w:val="22"/>
                <w:vertAlign w:val="subscript"/>
              </w:rPr>
              <w:t>1/2</w:t>
            </w:r>
            <w:r w:rsidRPr="00813409">
              <w:rPr>
                <w:b/>
                <w:szCs w:val="22"/>
              </w:rPr>
              <w:t xml:space="preserve"> (h)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6,5 ± 1,4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rStyle w:val="TextTi10Char"/>
                <w:rFonts w:eastAsia="SimSun"/>
                <w:szCs w:val="22"/>
              </w:rPr>
              <w:t>1,97</w:t>
            </w:r>
            <w:r w:rsidRPr="00813409">
              <w:rPr>
                <w:szCs w:val="22"/>
              </w:rPr>
              <w:t> ± </w:t>
            </w:r>
            <w:r w:rsidRPr="00813409">
              <w:rPr>
                <w:rStyle w:val="TextTi10Char"/>
                <w:rFonts w:eastAsia="SimSun"/>
                <w:szCs w:val="22"/>
              </w:rPr>
              <w:t>0,185</w:t>
            </w:r>
          </w:p>
        </w:tc>
        <w:tc>
          <w:tcPr>
            <w:tcW w:w="8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3,1 ± 1,4</w:t>
            </w:r>
          </w:p>
        </w:tc>
        <w:tc>
          <w:tcPr>
            <w:tcW w:w="8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4,1 ± 1,3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89B" w:rsidRPr="00813409" w:rsidRDefault="0062489B" w:rsidP="00F86207">
            <w:pPr>
              <w:spacing w:line="260" w:lineRule="atLeast"/>
              <w:jc w:val="center"/>
              <w:rPr>
                <w:rStyle w:val="TextTi10Char"/>
                <w:rFonts w:eastAsia="SimSun"/>
                <w:szCs w:val="22"/>
              </w:rPr>
            </w:pPr>
            <w:r w:rsidRPr="00813409">
              <w:rPr>
                <w:szCs w:val="22"/>
              </w:rPr>
              <w:t>5,5 ± 1,1</w:t>
            </w:r>
          </w:p>
        </w:tc>
      </w:tr>
    </w:tbl>
    <w:p w:rsidR="00F86207" w:rsidRPr="00813409" w:rsidRDefault="00F86207" w:rsidP="009E2147">
      <w:pPr>
        <w:ind w:left="0" w:firstLine="0"/>
        <w:rPr>
          <w:szCs w:val="22"/>
        </w:rPr>
      </w:pPr>
    </w:p>
    <w:p w:rsidR="009E2147" w:rsidRPr="00813409" w:rsidRDefault="009E2147" w:rsidP="009E2147">
      <w:pPr>
        <w:ind w:left="0" w:firstLine="0"/>
        <w:rPr>
          <w:szCs w:val="22"/>
        </w:rPr>
      </w:pPr>
      <w:r w:rsidRPr="00813409">
        <w:rPr>
          <w:szCs w:val="22"/>
        </w:rPr>
        <w:t>* Vyňaté zo správy o štúdii PV 16000</w:t>
      </w:r>
    </w:p>
    <w:p w:rsidR="009E2147" w:rsidRPr="00813409" w:rsidRDefault="009E2147" w:rsidP="009E2147">
      <w:pPr>
        <w:ind w:left="0" w:firstLine="0"/>
        <w:rPr>
          <w:szCs w:val="22"/>
        </w:rPr>
      </w:pPr>
    </w:p>
    <w:p w:rsidR="009E2147" w:rsidRPr="00813409" w:rsidRDefault="009E2147" w:rsidP="009E2147">
      <w:pPr>
        <w:ind w:left="0" w:firstLine="0"/>
        <w:rPr>
          <w:iCs/>
          <w:szCs w:val="22"/>
        </w:rPr>
      </w:pPr>
      <w:r w:rsidRPr="00813409">
        <w:rPr>
          <w:iCs/>
          <w:szCs w:val="22"/>
        </w:rPr>
        <w:t xml:space="preserve">Dávka </w:t>
      </w:r>
      <w:proofErr w:type="spellStart"/>
      <w:r w:rsidR="00F86207" w:rsidRPr="00813409">
        <w:rPr>
          <w:iCs/>
          <w:szCs w:val="22"/>
        </w:rPr>
        <w:t>v</w:t>
      </w:r>
      <w:r w:rsidR="0037584C" w:rsidRPr="00813409">
        <w:rPr>
          <w:iCs/>
          <w:szCs w:val="22"/>
        </w:rPr>
        <w:t>alganci</w:t>
      </w:r>
      <w:r w:rsidR="00F86207" w:rsidRPr="00813409">
        <w:rPr>
          <w:iCs/>
          <w:szCs w:val="22"/>
        </w:rPr>
        <w:t>k</w:t>
      </w:r>
      <w:r w:rsidR="0037584C" w:rsidRPr="00813409">
        <w:rPr>
          <w:iCs/>
          <w:szCs w:val="22"/>
        </w:rPr>
        <w:t>lovir</w:t>
      </w:r>
      <w:r w:rsidR="00F86207" w:rsidRPr="00813409">
        <w:rPr>
          <w:iCs/>
          <w:szCs w:val="22"/>
        </w:rPr>
        <w:t>u</w:t>
      </w:r>
      <w:proofErr w:type="spellEnd"/>
      <w:r w:rsidRPr="00813409">
        <w:rPr>
          <w:iCs/>
          <w:szCs w:val="22"/>
        </w:rPr>
        <w:t xml:space="preserve"> podávaná jedenkrát denne </w:t>
      </w:r>
      <w:r w:rsidR="001D3B56" w:rsidRPr="00813409">
        <w:rPr>
          <w:iCs/>
          <w:szCs w:val="22"/>
        </w:rPr>
        <w:t xml:space="preserve">v oboch štúdiách opísaných vyššie </w:t>
      </w:r>
      <w:r w:rsidRPr="00813409">
        <w:rPr>
          <w:iCs/>
          <w:szCs w:val="22"/>
        </w:rPr>
        <w:t>vychádzala z</w:t>
      </w:r>
      <w:r w:rsidR="001D3B56" w:rsidRPr="00813409">
        <w:rPr>
          <w:iCs/>
          <w:szCs w:val="22"/>
        </w:rPr>
        <w:t> </w:t>
      </w:r>
      <w:r w:rsidRPr="00813409">
        <w:rPr>
          <w:iCs/>
          <w:szCs w:val="22"/>
        </w:rPr>
        <w:t xml:space="preserve">plochy povrchu tela (BSA) </w:t>
      </w:r>
      <w:r w:rsidRPr="00813409">
        <w:rPr>
          <w:szCs w:val="22"/>
        </w:rPr>
        <w:t xml:space="preserve">a z </w:t>
      </w:r>
      <w:proofErr w:type="spellStart"/>
      <w:r w:rsidRPr="00813409">
        <w:rPr>
          <w:szCs w:val="22"/>
        </w:rPr>
        <w:t>klírens</w:t>
      </w:r>
      <w:r w:rsidR="00F86207" w:rsidRPr="00813409">
        <w:rPr>
          <w:szCs w:val="22"/>
        </w:rPr>
        <w:t>u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kreatinínu</w:t>
      </w:r>
      <w:proofErr w:type="spellEnd"/>
      <w:r w:rsidRPr="00813409">
        <w:rPr>
          <w:szCs w:val="22"/>
        </w:rPr>
        <w:t xml:space="preserve"> (</w:t>
      </w:r>
      <w:proofErr w:type="spellStart"/>
      <w:r w:rsidRPr="00813409">
        <w:rPr>
          <w:szCs w:val="22"/>
        </w:rPr>
        <w:t>CrCl</w:t>
      </w:r>
      <w:proofErr w:type="spellEnd"/>
      <w:r w:rsidRPr="00813409">
        <w:rPr>
          <w:szCs w:val="22"/>
        </w:rPr>
        <w:t xml:space="preserve">) odvodeného z upraveného </w:t>
      </w:r>
      <w:proofErr w:type="spellStart"/>
      <w:r w:rsidRPr="00813409">
        <w:rPr>
          <w:szCs w:val="22"/>
        </w:rPr>
        <w:t>Schwartzovho</w:t>
      </w:r>
      <w:proofErr w:type="spellEnd"/>
      <w:r w:rsidRPr="00813409">
        <w:rPr>
          <w:szCs w:val="22"/>
        </w:rPr>
        <w:t xml:space="preserve"> vzorca a bola vypočítaná pomocou </w:t>
      </w:r>
      <w:r w:rsidR="001D3B56" w:rsidRPr="00813409">
        <w:rPr>
          <w:szCs w:val="22"/>
        </w:rPr>
        <w:t>dávkovacieho algoritmu uvedeného v časti 4.2.</w:t>
      </w:r>
    </w:p>
    <w:p w:rsidR="009E2147" w:rsidRPr="00813409" w:rsidRDefault="009E2147" w:rsidP="009E2147">
      <w:pPr>
        <w:ind w:left="0" w:firstLine="0"/>
        <w:rPr>
          <w:szCs w:val="22"/>
        </w:rPr>
      </w:pPr>
    </w:p>
    <w:p w:rsidR="001D3B56" w:rsidRPr="00813409" w:rsidRDefault="009E2147" w:rsidP="009E2147">
      <w:pPr>
        <w:ind w:left="0" w:firstLine="0"/>
        <w:rPr>
          <w:szCs w:val="22"/>
        </w:rPr>
      </w:pPr>
      <w:proofErr w:type="spellStart"/>
      <w:r w:rsidRPr="00813409">
        <w:rPr>
          <w:szCs w:val="22"/>
        </w:rPr>
        <w:t>Farmakokinetika</w:t>
      </w:r>
      <w:proofErr w:type="spellEnd"/>
      <w:r w:rsidRPr="00813409">
        <w:rPr>
          <w:szCs w:val="22"/>
        </w:rPr>
        <w:t xml:space="preserve">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</w:t>
      </w:r>
      <w:r w:rsidR="001D3B56" w:rsidRPr="00813409">
        <w:rPr>
          <w:szCs w:val="22"/>
        </w:rPr>
        <w:t xml:space="preserve">po podaní </w:t>
      </w:r>
      <w:proofErr w:type="spellStart"/>
      <w:r w:rsidR="001D3B56" w:rsidRPr="00813409">
        <w:rPr>
          <w:szCs w:val="22"/>
        </w:rPr>
        <w:t>valgancikloviru</w:t>
      </w:r>
      <w:proofErr w:type="spellEnd"/>
      <w:r w:rsidR="001D3B56" w:rsidRPr="00813409">
        <w:rPr>
          <w:szCs w:val="22"/>
        </w:rPr>
        <w:t xml:space="preserve"> </w:t>
      </w:r>
      <w:r w:rsidRPr="00813409">
        <w:rPr>
          <w:szCs w:val="22"/>
        </w:rPr>
        <w:t xml:space="preserve">sa taktiež hodnotila </w:t>
      </w:r>
      <w:r w:rsidR="001D3B56" w:rsidRPr="00813409">
        <w:rPr>
          <w:szCs w:val="22"/>
        </w:rPr>
        <w:t xml:space="preserve">v dvoch štúdiách s novorodencami a dojčatami so symptomatickým </w:t>
      </w:r>
      <w:proofErr w:type="spellStart"/>
      <w:r w:rsidR="001D3B56" w:rsidRPr="00813409">
        <w:rPr>
          <w:szCs w:val="22"/>
        </w:rPr>
        <w:t>kongenitálny</w:t>
      </w:r>
      <w:r w:rsidR="006F239D">
        <w:rPr>
          <w:szCs w:val="22"/>
        </w:rPr>
        <w:t>m</w:t>
      </w:r>
      <w:proofErr w:type="spellEnd"/>
      <w:r w:rsidR="001D3B56" w:rsidRPr="00813409">
        <w:rPr>
          <w:szCs w:val="22"/>
        </w:rPr>
        <w:t xml:space="preserve"> CMV ochorením. V prvej štúdii dostávalo </w:t>
      </w:r>
      <w:r w:rsidRPr="00813409">
        <w:rPr>
          <w:szCs w:val="22"/>
        </w:rPr>
        <w:t>24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novorodencov vo veku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8</w:t>
      </w:r>
      <w:r w:rsidR="001D3B56" w:rsidRPr="00813409">
        <w:rPr>
          <w:szCs w:val="22"/>
        </w:rPr>
        <w:t> </w:t>
      </w:r>
      <w:r w:rsidR="00A2747E" w:rsidRPr="00813409">
        <w:rPr>
          <w:szCs w:val="22"/>
        </w:rPr>
        <w:t>až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>34</w:t>
      </w:r>
      <w:r w:rsidR="001D3B56" w:rsidRPr="00813409">
        <w:rPr>
          <w:szCs w:val="22"/>
        </w:rPr>
        <w:t> </w:t>
      </w:r>
      <w:r w:rsidRPr="00813409">
        <w:rPr>
          <w:szCs w:val="22"/>
        </w:rPr>
        <w:t xml:space="preserve">dní 6 mg/kg intravenózneho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dvakrát denne. Pacienti </w:t>
      </w:r>
      <w:r w:rsidR="00F86207" w:rsidRPr="00813409">
        <w:rPr>
          <w:szCs w:val="22"/>
        </w:rPr>
        <w:t>boli</w:t>
      </w:r>
      <w:r w:rsidRPr="00813409">
        <w:rPr>
          <w:szCs w:val="22"/>
        </w:rPr>
        <w:t xml:space="preserve"> </w:t>
      </w:r>
      <w:r w:rsidR="00F86207" w:rsidRPr="00813409">
        <w:rPr>
          <w:szCs w:val="22"/>
        </w:rPr>
        <w:t xml:space="preserve">následne liečení </w:t>
      </w:r>
      <w:r w:rsidRPr="00813409">
        <w:rPr>
          <w:szCs w:val="22"/>
        </w:rPr>
        <w:t xml:space="preserve">perorálnym </w:t>
      </w:r>
      <w:proofErr w:type="spellStart"/>
      <w:r w:rsidRPr="00813409">
        <w:rPr>
          <w:szCs w:val="22"/>
        </w:rPr>
        <w:t>valganciklovirom</w:t>
      </w:r>
      <w:proofErr w:type="spellEnd"/>
      <w:r w:rsidRPr="00813409">
        <w:rPr>
          <w:szCs w:val="22"/>
        </w:rPr>
        <w:t xml:space="preserve">, pričom sa dávka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vo forme prášku na perorálny roztok pohybovala v rozmedzí od 14 mg/kg do 20 mg/kg dvakrát denne</w:t>
      </w:r>
      <w:r w:rsidR="001D3B56" w:rsidRPr="00813409">
        <w:rPr>
          <w:szCs w:val="22"/>
        </w:rPr>
        <w:t>; celková dĺžka liečby bola 6 týždňov</w:t>
      </w:r>
      <w:r w:rsidRPr="00813409">
        <w:rPr>
          <w:szCs w:val="22"/>
        </w:rPr>
        <w:t xml:space="preserve">. Dávka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16 mg/kg dvakrát denne vo forme prášku na perorálny roztok poskytla porovnateľnú expozíciu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ako dávka 6 mg/kg pri intravenóznom podaní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dvakrát denne u novorodencov, a taktiež dosiahla expozíciu </w:t>
      </w:r>
      <w:proofErr w:type="spellStart"/>
      <w:r w:rsidRPr="00813409">
        <w:rPr>
          <w:szCs w:val="22"/>
        </w:rPr>
        <w:t>gancikloviru</w:t>
      </w:r>
      <w:proofErr w:type="spellEnd"/>
      <w:r w:rsidRPr="00813409">
        <w:rPr>
          <w:szCs w:val="22"/>
        </w:rPr>
        <w:t xml:space="preserve"> podobnú účinn</w:t>
      </w:r>
      <w:r w:rsidR="00F86207" w:rsidRPr="00813409">
        <w:rPr>
          <w:szCs w:val="22"/>
        </w:rPr>
        <w:t>ej</w:t>
      </w:r>
      <w:r w:rsidRPr="00813409">
        <w:rPr>
          <w:szCs w:val="22"/>
        </w:rPr>
        <w:t xml:space="preserve"> intravenóznej dávke</w:t>
      </w:r>
      <w:r w:rsidR="00F86207" w:rsidRPr="00813409">
        <w:rPr>
          <w:szCs w:val="22"/>
        </w:rPr>
        <w:t xml:space="preserve"> 5 mg/kg</w:t>
      </w:r>
      <w:r w:rsidRPr="00813409">
        <w:rPr>
          <w:szCs w:val="22"/>
        </w:rPr>
        <w:t xml:space="preserve"> pre dospelých.</w:t>
      </w:r>
    </w:p>
    <w:p w:rsidR="001D3B56" w:rsidRPr="00813409" w:rsidRDefault="001D3B56" w:rsidP="009E2147">
      <w:pPr>
        <w:ind w:left="0" w:firstLine="0"/>
        <w:rPr>
          <w:szCs w:val="22"/>
        </w:rPr>
      </w:pPr>
    </w:p>
    <w:p w:rsidR="009E2147" w:rsidRPr="00813409" w:rsidRDefault="001D3B56" w:rsidP="009E2147">
      <w:pPr>
        <w:ind w:left="0" w:firstLine="0"/>
        <w:rPr>
          <w:szCs w:val="22"/>
        </w:rPr>
      </w:pPr>
      <w:r w:rsidRPr="00813409">
        <w:rPr>
          <w:szCs w:val="22"/>
        </w:rPr>
        <w:t>V druhej štúdii dostávalo 109 novorodencov vo veku 2 </w:t>
      </w:r>
      <w:r w:rsidR="00A2747E" w:rsidRPr="00813409">
        <w:rPr>
          <w:szCs w:val="22"/>
        </w:rPr>
        <w:t>až</w:t>
      </w:r>
      <w:r w:rsidRPr="00813409">
        <w:rPr>
          <w:szCs w:val="22"/>
        </w:rPr>
        <w:t xml:space="preserve"> 30 dní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 xml:space="preserve"> vo forme prášku na perorálny roztok v dávke 16 mg/kg dvakrát denne počas 6 týždňov a následne bolo</w:t>
      </w:r>
      <w:r w:rsidR="00F86207" w:rsidRPr="00813409">
        <w:rPr>
          <w:szCs w:val="22"/>
        </w:rPr>
        <w:t xml:space="preserve"> </w:t>
      </w:r>
      <w:r w:rsidRPr="00813409">
        <w:rPr>
          <w:szCs w:val="22"/>
        </w:rPr>
        <w:t>96 zo 109</w:t>
      </w:r>
      <w:r w:rsidR="00F86207" w:rsidRPr="00813409">
        <w:rPr>
          <w:szCs w:val="22"/>
        </w:rPr>
        <w:t xml:space="preserve"> </w:t>
      </w:r>
      <w:r w:rsidRPr="00813409">
        <w:rPr>
          <w:szCs w:val="22"/>
        </w:rPr>
        <w:t xml:space="preserve">zaradených pacientov </w:t>
      </w:r>
      <w:proofErr w:type="spellStart"/>
      <w:r w:rsidRPr="00813409">
        <w:rPr>
          <w:szCs w:val="22"/>
        </w:rPr>
        <w:t>randomizovaných</w:t>
      </w:r>
      <w:proofErr w:type="spellEnd"/>
      <w:r w:rsidRPr="00813409">
        <w:rPr>
          <w:szCs w:val="22"/>
        </w:rPr>
        <w:t xml:space="preserve"> na pokračovanie podávania </w:t>
      </w:r>
      <w:proofErr w:type="spellStart"/>
      <w:r w:rsidRPr="00813409">
        <w:rPr>
          <w:szCs w:val="22"/>
        </w:rPr>
        <w:t>valgancikloviru</w:t>
      </w:r>
      <w:proofErr w:type="spellEnd"/>
      <w:r w:rsidRPr="00813409">
        <w:rPr>
          <w:szCs w:val="22"/>
        </w:rPr>
        <w:t xml:space="preserve"> alebo placeba počas 6 mesiacov. Priemerné hodnoty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 xml:space="preserve">12h </w:t>
      </w:r>
      <w:r w:rsidRPr="00813409">
        <w:rPr>
          <w:szCs w:val="22"/>
        </w:rPr>
        <w:t>však boli nižšie v porovnaní s priemernými hodnotami AUC</w:t>
      </w:r>
      <w:r w:rsidRPr="00813409">
        <w:rPr>
          <w:szCs w:val="22"/>
          <w:vertAlign w:val="subscript"/>
        </w:rPr>
        <w:t>0</w:t>
      </w:r>
      <w:r w:rsidRPr="00813409">
        <w:rPr>
          <w:szCs w:val="22"/>
          <w:vertAlign w:val="subscript"/>
        </w:rPr>
        <w:noBreakHyphen/>
        <w:t>12h</w:t>
      </w:r>
      <w:r w:rsidRPr="00813409">
        <w:rPr>
          <w:szCs w:val="22"/>
        </w:rPr>
        <w:t xml:space="preserve"> zistenými v prvej štúdii. </w:t>
      </w:r>
      <w:r w:rsidR="009E2147" w:rsidRPr="00813409">
        <w:rPr>
          <w:szCs w:val="22"/>
        </w:rPr>
        <w:t xml:space="preserve">Nasledujúca tabuľka </w:t>
      </w:r>
      <w:r w:rsidR="006659E6" w:rsidRPr="00813409">
        <w:rPr>
          <w:szCs w:val="22"/>
        </w:rPr>
        <w:t>uvádza</w:t>
      </w:r>
      <w:r w:rsidR="009E2147" w:rsidRPr="00813409">
        <w:rPr>
          <w:szCs w:val="22"/>
        </w:rPr>
        <w:t xml:space="preserve"> </w:t>
      </w:r>
      <w:r w:rsidRPr="00813409">
        <w:rPr>
          <w:szCs w:val="22"/>
        </w:rPr>
        <w:t xml:space="preserve">priemerné </w:t>
      </w:r>
      <w:r w:rsidR="009E2147" w:rsidRPr="00813409">
        <w:rPr>
          <w:szCs w:val="22"/>
        </w:rPr>
        <w:t xml:space="preserve">hodnoty AUC, </w:t>
      </w:r>
      <w:proofErr w:type="spellStart"/>
      <w:r w:rsidR="009E2147" w:rsidRPr="00813409">
        <w:rPr>
          <w:szCs w:val="22"/>
        </w:rPr>
        <w:t>C</w:t>
      </w:r>
      <w:r w:rsidR="009E2147" w:rsidRPr="00813409">
        <w:rPr>
          <w:szCs w:val="22"/>
          <w:vertAlign w:val="subscript"/>
        </w:rPr>
        <w:t>max</w:t>
      </w:r>
      <w:proofErr w:type="spellEnd"/>
      <w:r w:rsidR="009E2147" w:rsidRPr="00813409">
        <w:rPr>
          <w:szCs w:val="22"/>
        </w:rPr>
        <w:t xml:space="preserve"> a </w:t>
      </w:r>
      <w:r w:rsidRPr="00813409">
        <w:t>t</w:t>
      </w:r>
      <w:r w:rsidRPr="00813409">
        <w:rPr>
          <w:vertAlign w:val="subscript"/>
        </w:rPr>
        <w:t>1/2</w:t>
      </w:r>
      <w:r w:rsidR="009E2147" w:rsidRPr="00813409">
        <w:rPr>
          <w:szCs w:val="22"/>
        </w:rPr>
        <w:t xml:space="preserve"> vrátane štandardných odchýlok v porovnaní s údajmi u</w:t>
      </w:r>
      <w:r w:rsidR="006659E6" w:rsidRPr="00813409">
        <w:rPr>
          <w:szCs w:val="22"/>
        </w:rPr>
        <w:t> </w:t>
      </w:r>
      <w:r w:rsidR="009E2147" w:rsidRPr="00813409">
        <w:rPr>
          <w:szCs w:val="22"/>
        </w:rPr>
        <w:t>dospelých:</w:t>
      </w:r>
    </w:p>
    <w:p w:rsidR="001D3B56" w:rsidRPr="00813409" w:rsidRDefault="001D3B56" w:rsidP="001D3B56">
      <w:pPr>
        <w:rPr>
          <w:rStyle w:val="TextTi10Char"/>
          <w:rFonts w:eastAsia="SimSu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591"/>
        <w:gridCol w:w="1839"/>
        <w:gridCol w:w="1840"/>
        <w:gridCol w:w="1870"/>
      </w:tblGrid>
      <w:tr w:rsidR="001D3B56" w:rsidRPr="00813409" w:rsidTr="003A1A81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rPr>
                <w:szCs w:val="22"/>
              </w:rPr>
            </w:pPr>
            <w:r w:rsidRPr="00813409">
              <w:rPr>
                <w:b/>
                <w:szCs w:val="22"/>
              </w:rPr>
              <w:t>FK parameter</w:t>
            </w:r>
          </w:p>
        </w:tc>
        <w:tc>
          <w:tcPr>
            <w:tcW w:w="1591" w:type="dxa"/>
            <w:shd w:val="clear" w:color="auto" w:fill="auto"/>
          </w:tcPr>
          <w:p w:rsidR="001D3B56" w:rsidRPr="00A4736C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A4736C">
              <w:rPr>
                <w:b/>
                <w:szCs w:val="22"/>
              </w:rPr>
              <w:t>Dospelí</w:t>
            </w:r>
          </w:p>
        </w:tc>
        <w:tc>
          <w:tcPr>
            <w:tcW w:w="5549" w:type="dxa"/>
            <w:gridSpan w:val="3"/>
            <w:shd w:val="clear" w:color="auto" w:fill="auto"/>
          </w:tcPr>
          <w:p w:rsidR="001D3B56" w:rsidRPr="00A4736C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A4736C">
              <w:rPr>
                <w:b/>
                <w:szCs w:val="22"/>
              </w:rPr>
              <w:t>Pediatrickí pacienti (novorodenci a dojčatá)</w:t>
            </w:r>
          </w:p>
        </w:tc>
      </w:tr>
      <w:tr w:rsidR="001D3B56" w:rsidRPr="00813409" w:rsidTr="003A1A81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rPr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5 mg/kg GAN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Jednorazová dávka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8)</w:t>
            </w:r>
          </w:p>
        </w:tc>
        <w:tc>
          <w:tcPr>
            <w:tcW w:w="1839" w:type="dxa"/>
            <w:shd w:val="clear" w:color="auto" w:fill="auto"/>
          </w:tcPr>
          <w:p w:rsidR="001D3B56" w:rsidRPr="00813409" w:rsidRDefault="001D3B56" w:rsidP="003A1A81">
            <w:pPr>
              <w:pStyle w:val="TextTi12"/>
              <w:keepNext/>
              <w:keepLines/>
              <w:spacing w:after="0" w:line="260" w:lineRule="atLeast"/>
              <w:jc w:val="center"/>
              <w:rPr>
                <w:b/>
                <w:sz w:val="22"/>
                <w:szCs w:val="22"/>
                <w:lang w:val="sk-SK"/>
              </w:rPr>
            </w:pPr>
            <w:r w:rsidRPr="00813409">
              <w:rPr>
                <w:b/>
                <w:sz w:val="22"/>
                <w:szCs w:val="22"/>
                <w:lang w:val="sk-SK"/>
              </w:rPr>
              <w:t>6 mg/kg GAN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ind w:left="0" w:firstLine="0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19)</w:t>
            </w:r>
          </w:p>
        </w:tc>
        <w:tc>
          <w:tcPr>
            <w:tcW w:w="1840" w:type="dxa"/>
            <w:shd w:val="clear" w:color="auto" w:fill="auto"/>
          </w:tcPr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16 mg/kg VAL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19)</w:t>
            </w:r>
          </w:p>
        </w:tc>
        <w:tc>
          <w:tcPr>
            <w:tcW w:w="1870" w:type="dxa"/>
            <w:shd w:val="clear" w:color="auto" w:fill="auto"/>
          </w:tcPr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16 mg/kg VAL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Dvakrát denne</w:t>
            </w:r>
          </w:p>
          <w:p w:rsidR="001D3B56" w:rsidRPr="00813409" w:rsidRDefault="001D3B56" w:rsidP="003A1A81">
            <w:pPr>
              <w:keepNext/>
              <w:keepLines/>
              <w:spacing w:line="260" w:lineRule="atLeast"/>
              <w:jc w:val="center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(n = 100)</w:t>
            </w:r>
          </w:p>
        </w:tc>
      </w:tr>
      <w:tr w:rsidR="001D3B56" w:rsidRPr="00813409" w:rsidTr="007D58F6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spacing w:line="260" w:lineRule="atLeast"/>
              <w:ind w:left="0" w:firstLine="0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>0-∞</w:t>
            </w:r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proofErr w:type="spellStart"/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</w:t>
            </w:r>
            <w:proofErr w:type="spellEnd"/>
            <w:r w:rsidRPr="00813409">
              <w:rPr>
                <w:b/>
                <w:szCs w:val="22"/>
              </w:rPr>
              <w:t>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25,4 ± 4,32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D3B56" w:rsidRPr="00813409" w:rsidRDefault="003A1A81" w:rsidP="007D58F6">
            <w:pPr>
              <w:pStyle w:val="TextTi12"/>
              <w:keepNext/>
              <w:keepLines/>
              <w:spacing w:after="0" w:line="260" w:lineRule="atLeast"/>
              <w:jc w:val="center"/>
              <w:rPr>
                <w:b/>
                <w:sz w:val="22"/>
                <w:szCs w:val="22"/>
                <w:lang w:val="sk-SK"/>
              </w:rPr>
            </w:pPr>
            <w:r w:rsidRPr="00813409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</w:tr>
      <w:tr w:rsidR="001D3B56" w:rsidRPr="00813409" w:rsidTr="007D58F6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spacing w:line="260" w:lineRule="atLeast"/>
              <w:ind w:left="0" w:firstLine="0"/>
              <w:rPr>
                <w:szCs w:val="22"/>
              </w:rPr>
            </w:pPr>
            <w:r w:rsidRPr="00813409">
              <w:rPr>
                <w:b/>
                <w:szCs w:val="22"/>
              </w:rPr>
              <w:t>AUC</w:t>
            </w:r>
            <w:r w:rsidRPr="00813409">
              <w:rPr>
                <w:b/>
                <w:szCs w:val="22"/>
                <w:vertAlign w:val="subscript"/>
              </w:rPr>
              <w:t xml:space="preserve">0-12h </w:t>
            </w:r>
            <w:r w:rsidRPr="00813409">
              <w:rPr>
                <w:b/>
                <w:szCs w:val="22"/>
              </w:rPr>
              <w:t>(</w:t>
            </w:r>
            <w:r w:rsidRPr="00813409">
              <w:rPr>
                <w:b/>
                <w:szCs w:val="22"/>
              </w:rPr>
              <w:sym w:font="Symbol" w:char="F06D"/>
            </w:r>
            <w:proofErr w:type="spellStart"/>
            <w:r w:rsidRPr="00813409">
              <w:rPr>
                <w:b/>
                <w:szCs w:val="22"/>
              </w:rPr>
              <w:t>g</w:t>
            </w:r>
            <w:r w:rsidRPr="00813409">
              <w:rPr>
                <w:b/>
                <w:szCs w:val="22"/>
                <w:vertAlign w:val="superscript"/>
              </w:rPr>
              <w:t>.</w:t>
            </w:r>
            <w:r w:rsidRPr="00813409">
              <w:rPr>
                <w:b/>
                <w:szCs w:val="22"/>
              </w:rPr>
              <w:t>h</w:t>
            </w:r>
            <w:proofErr w:type="spellEnd"/>
            <w:r w:rsidRPr="00813409">
              <w:rPr>
                <w:b/>
                <w:szCs w:val="22"/>
              </w:rPr>
              <w:t>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38,2 ± 42,7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30,1 ± 15,1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20,85 ± 5,40</w:t>
            </w:r>
          </w:p>
        </w:tc>
      </w:tr>
      <w:tr w:rsidR="001D3B56" w:rsidRPr="00813409" w:rsidTr="007D58F6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spacing w:line="260" w:lineRule="atLeast"/>
              <w:ind w:left="0" w:firstLine="0"/>
              <w:rPr>
                <w:szCs w:val="22"/>
              </w:rPr>
            </w:pPr>
            <w:proofErr w:type="spellStart"/>
            <w:r w:rsidRPr="00813409">
              <w:rPr>
                <w:b/>
                <w:szCs w:val="22"/>
              </w:rPr>
              <w:t>C</w:t>
            </w:r>
            <w:r w:rsidRPr="00813409">
              <w:rPr>
                <w:b/>
                <w:szCs w:val="22"/>
                <w:vertAlign w:val="subscript"/>
              </w:rPr>
              <w:t>max</w:t>
            </w:r>
            <w:proofErr w:type="spellEnd"/>
            <w:r w:rsidRPr="00813409">
              <w:rPr>
                <w:b/>
                <w:szCs w:val="22"/>
              </w:rPr>
              <w:t xml:space="preserve"> (</w:t>
            </w:r>
            <w:r w:rsidRPr="00813409">
              <w:rPr>
                <w:b/>
                <w:szCs w:val="22"/>
              </w:rPr>
              <w:sym w:font="Symbol" w:char="F06D"/>
            </w:r>
            <w:r w:rsidRPr="00813409">
              <w:rPr>
                <w:b/>
                <w:szCs w:val="22"/>
              </w:rPr>
              <w:t>g/ml)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9,03 ± 1,26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12,9 ± 21,5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5,44 ± 4,04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-</w:t>
            </w:r>
          </w:p>
        </w:tc>
      </w:tr>
      <w:tr w:rsidR="001D3B56" w:rsidRPr="00813409" w:rsidTr="007D58F6">
        <w:tc>
          <w:tcPr>
            <w:tcW w:w="2088" w:type="dxa"/>
            <w:shd w:val="clear" w:color="auto" w:fill="auto"/>
          </w:tcPr>
          <w:p w:rsidR="001D3B56" w:rsidRPr="00813409" w:rsidRDefault="001D3B56" w:rsidP="003A1A81">
            <w:pPr>
              <w:spacing w:line="260" w:lineRule="atLeast"/>
              <w:ind w:left="0" w:firstLine="0"/>
              <w:rPr>
                <w:b/>
                <w:szCs w:val="22"/>
              </w:rPr>
            </w:pPr>
            <w:r w:rsidRPr="00813409">
              <w:rPr>
                <w:b/>
                <w:szCs w:val="22"/>
              </w:rPr>
              <w:t>t</w:t>
            </w:r>
            <w:r w:rsidRPr="00813409">
              <w:rPr>
                <w:b/>
                <w:szCs w:val="22"/>
                <w:vertAlign w:val="subscript"/>
              </w:rPr>
              <w:t>1/2</w:t>
            </w:r>
            <w:r w:rsidRPr="00813409">
              <w:rPr>
                <w:b/>
                <w:szCs w:val="22"/>
              </w:rPr>
              <w:t xml:space="preserve"> (h)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3,32 ± 0,47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ind w:left="0" w:firstLine="0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2,52 ± 0,55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2,98 ± 1,26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D3B56" w:rsidRPr="00813409" w:rsidRDefault="001D3B56" w:rsidP="007D58F6">
            <w:pPr>
              <w:spacing w:line="260" w:lineRule="atLeast"/>
              <w:jc w:val="center"/>
              <w:rPr>
                <w:szCs w:val="22"/>
              </w:rPr>
            </w:pPr>
            <w:r w:rsidRPr="00813409">
              <w:rPr>
                <w:szCs w:val="22"/>
              </w:rPr>
              <w:t>2,98 ± 1,12</w:t>
            </w:r>
          </w:p>
        </w:tc>
      </w:tr>
    </w:tbl>
    <w:p w:rsidR="009E2147" w:rsidRPr="00813409" w:rsidRDefault="009E2147" w:rsidP="006819C5">
      <w:pPr>
        <w:ind w:left="0" w:firstLine="0"/>
        <w:rPr>
          <w:szCs w:val="22"/>
        </w:rPr>
      </w:pPr>
      <w:r w:rsidRPr="00813409">
        <w:rPr>
          <w:szCs w:val="22"/>
        </w:rPr>
        <w:t xml:space="preserve">GAN = </w:t>
      </w:r>
      <w:proofErr w:type="spellStart"/>
      <w:r w:rsidRPr="00813409">
        <w:rPr>
          <w:szCs w:val="22"/>
        </w:rPr>
        <w:t>ganciklovir</w:t>
      </w:r>
      <w:proofErr w:type="spellEnd"/>
      <w:r w:rsidRPr="00813409">
        <w:rPr>
          <w:szCs w:val="22"/>
        </w:rPr>
        <w:t xml:space="preserve">, </w:t>
      </w:r>
      <w:proofErr w:type="spellStart"/>
      <w:r w:rsidRPr="00813409">
        <w:rPr>
          <w:szCs w:val="22"/>
        </w:rPr>
        <w:t>i.v</w:t>
      </w:r>
      <w:proofErr w:type="spellEnd"/>
      <w:r w:rsidRPr="00813409">
        <w:rPr>
          <w:szCs w:val="22"/>
        </w:rPr>
        <w:t>.</w:t>
      </w:r>
    </w:p>
    <w:p w:rsidR="009E2147" w:rsidRPr="00813409" w:rsidRDefault="009E2147" w:rsidP="009E2147">
      <w:pPr>
        <w:ind w:left="0" w:firstLine="0"/>
        <w:rPr>
          <w:sz w:val="18"/>
          <w:szCs w:val="18"/>
        </w:rPr>
      </w:pPr>
      <w:r w:rsidRPr="00813409">
        <w:rPr>
          <w:szCs w:val="22"/>
        </w:rPr>
        <w:t xml:space="preserve">VAL = </w:t>
      </w:r>
      <w:proofErr w:type="spellStart"/>
      <w:r w:rsidRPr="00813409">
        <w:rPr>
          <w:szCs w:val="22"/>
        </w:rPr>
        <w:t>valganciklovir</w:t>
      </w:r>
      <w:proofErr w:type="spellEnd"/>
      <w:r w:rsidRPr="00813409">
        <w:rPr>
          <w:szCs w:val="22"/>
        </w:rPr>
        <w:t>, perorálne</w:t>
      </w:r>
    </w:p>
    <w:p w:rsidR="009E2147" w:rsidRPr="00813409" w:rsidRDefault="009E2147" w:rsidP="009E2147">
      <w:pPr>
        <w:ind w:left="0" w:firstLine="0"/>
        <w:rPr>
          <w:szCs w:val="22"/>
        </w:rPr>
      </w:pPr>
    </w:p>
    <w:p w:rsidR="009E2147" w:rsidRPr="00813409" w:rsidRDefault="009E2147" w:rsidP="003F56A9">
      <w:pPr>
        <w:ind w:left="0" w:firstLine="0"/>
        <w:rPr>
          <w:szCs w:val="22"/>
        </w:rPr>
      </w:pPr>
      <w:r w:rsidRPr="00813409">
        <w:rPr>
          <w:szCs w:val="22"/>
        </w:rPr>
        <w:t xml:space="preserve">Tieto údaje boli príliš obmedzené na to, aby umožňovali vyvodiť závery týkajúce sa účinnosti alebo odporúčania </w:t>
      </w:r>
      <w:r w:rsidR="00070CF6" w:rsidRPr="00813409">
        <w:rPr>
          <w:szCs w:val="22"/>
        </w:rPr>
        <w:t xml:space="preserve">na </w:t>
      </w:r>
      <w:r w:rsidRPr="00813409">
        <w:rPr>
          <w:szCs w:val="22"/>
        </w:rPr>
        <w:t>dávkovanie pre pediatrick</w:t>
      </w:r>
      <w:r w:rsidR="00EF7A01" w:rsidRPr="00813409">
        <w:rPr>
          <w:szCs w:val="22"/>
        </w:rPr>
        <w:t>ú populáciu</w:t>
      </w:r>
      <w:r w:rsidRPr="00813409">
        <w:rPr>
          <w:szCs w:val="22"/>
        </w:rPr>
        <w:t xml:space="preserve"> s </w:t>
      </w:r>
      <w:proofErr w:type="spellStart"/>
      <w:r w:rsidRPr="00813409">
        <w:rPr>
          <w:szCs w:val="22"/>
        </w:rPr>
        <w:t>kongenitálnou</w:t>
      </w:r>
      <w:proofErr w:type="spellEnd"/>
      <w:r w:rsidRPr="00813409">
        <w:rPr>
          <w:szCs w:val="22"/>
        </w:rPr>
        <w:t xml:space="preserve"> CMV infekciou.</w:t>
      </w:r>
    </w:p>
    <w:p w:rsidR="009E2147" w:rsidRPr="00813409" w:rsidRDefault="009E2147" w:rsidP="008C1DB1">
      <w:pPr>
        <w:ind w:left="0" w:firstLine="0"/>
        <w:rPr>
          <w:b/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5.3</w:t>
      </w:r>
      <w:r w:rsidRPr="00813409">
        <w:rPr>
          <w:b/>
          <w:szCs w:val="22"/>
        </w:rPr>
        <w:tab/>
        <w:t>Predklinické údaje o bezpečnosti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</w:pPr>
      <w:proofErr w:type="spellStart"/>
      <w:r w:rsidRPr="00813409">
        <w:t>Valganciklovir</w:t>
      </w:r>
      <w:proofErr w:type="spellEnd"/>
      <w:r w:rsidRPr="00813409">
        <w:t xml:space="preserve"> je prekurzorom </w:t>
      </w:r>
      <w:proofErr w:type="spellStart"/>
      <w:r w:rsidRPr="00813409">
        <w:t>gancikloviru</w:t>
      </w:r>
      <w:proofErr w:type="spellEnd"/>
      <w:r w:rsidRPr="00813409">
        <w:t xml:space="preserve">, a preto účinky, ktoré sa pozorujú u </w:t>
      </w:r>
      <w:proofErr w:type="spellStart"/>
      <w:r w:rsidRPr="00813409">
        <w:t>gancikloviru</w:t>
      </w:r>
      <w:proofErr w:type="spellEnd"/>
      <w:r w:rsidRPr="00813409">
        <w:t xml:space="preserve"> sa rovnako vzťahujú aj na </w:t>
      </w:r>
      <w:proofErr w:type="spellStart"/>
      <w:r w:rsidRPr="00813409">
        <w:t>valganciklovir</w:t>
      </w:r>
      <w:proofErr w:type="spellEnd"/>
      <w:r w:rsidRPr="00813409">
        <w:t xml:space="preserve">. Toxicita </w:t>
      </w:r>
      <w:proofErr w:type="spellStart"/>
      <w:r w:rsidRPr="00813409">
        <w:t>valgancikloviru</w:t>
      </w:r>
      <w:proofErr w:type="spellEnd"/>
      <w:r w:rsidRPr="00813409">
        <w:t xml:space="preserve"> v predklinických štúdiách o bezpečnosti bola rovnaká ako u </w:t>
      </w:r>
      <w:proofErr w:type="spellStart"/>
      <w:r w:rsidRPr="00813409">
        <w:t>gancikloviru</w:t>
      </w:r>
      <w:proofErr w:type="spellEnd"/>
      <w:r w:rsidR="007D58F6" w:rsidRPr="00813409">
        <w:t xml:space="preserve"> a</w:t>
      </w:r>
      <w:r w:rsidRPr="00813409">
        <w:t xml:space="preserve"> </w:t>
      </w:r>
      <w:r w:rsidR="007D58F6" w:rsidRPr="00813409">
        <w:t xml:space="preserve">bola vyvolaná </w:t>
      </w:r>
      <w:r w:rsidRPr="00813409">
        <w:t xml:space="preserve">pri expozícii </w:t>
      </w:r>
      <w:proofErr w:type="spellStart"/>
      <w:r w:rsidRPr="00813409">
        <w:t>ganciklovir</w:t>
      </w:r>
      <w:r w:rsidR="007D58F6" w:rsidRPr="00813409">
        <w:t>u</w:t>
      </w:r>
      <w:proofErr w:type="spellEnd"/>
      <w:r w:rsidRPr="00813409">
        <w:t xml:space="preserve"> v koncentráciách, porovnateľných alebo nižších ako koncentráci</w:t>
      </w:r>
      <w:r w:rsidR="007D58F6" w:rsidRPr="00813409">
        <w:t>e</w:t>
      </w:r>
      <w:r w:rsidRPr="00813409">
        <w:t>, ktoré sa podávali ľuďom v indukčnej dávke.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t xml:space="preserve">Pozorovala sa </w:t>
      </w:r>
      <w:proofErr w:type="spellStart"/>
      <w:r w:rsidRPr="00813409">
        <w:t>gonadotoxicita</w:t>
      </w:r>
      <w:proofErr w:type="spellEnd"/>
      <w:r w:rsidRPr="00813409">
        <w:t xml:space="preserve"> (strata </w:t>
      </w:r>
      <w:proofErr w:type="spellStart"/>
      <w:r w:rsidRPr="00813409">
        <w:t>testikulárnych</w:t>
      </w:r>
      <w:proofErr w:type="spellEnd"/>
      <w:r w:rsidRPr="00813409">
        <w:t xml:space="preserve"> buniek) a </w:t>
      </w:r>
      <w:proofErr w:type="spellStart"/>
      <w:r w:rsidRPr="00813409">
        <w:t>nefrotoxicita</w:t>
      </w:r>
      <w:proofErr w:type="spellEnd"/>
      <w:r w:rsidRPr="00813409">
        <w:t xml:space="preserve"> (urémia, bunková degenerácia), ktoré boli ireverzibilné, </w:t>
      </w:r>
      <w:proofErr w:type="spellStart"/>
      <w:r w:rsidRPr="00813409">
        <w:t>myelotoxicita</w:t>
      </w:r>
      <w:proofErr w:type="spellEnd"/>
      <w:r w:rsidRPr="00813409">
        <w:t xml:space="preserve"> (anémia, </w:t>
      </w:r>
      <w:proofErr w:type="spellStart"/>
      <w:r w:rsidRPr="00813409">
        <w:t>neutropénia</w:t>
      </w:r>
      <w:proofErr w:type="spellEnd"/>
      <w:r w:rsidRPr="00813409">
        <w:t xml:space="preserve">, </w:t>
      </w:r>
      <w:proofErr w:type="spellStart"/>
      <w:r w:rsidRPr="00813409">
        <w:t>lymfocytopénia</w:t>
      </w:r>
      <w:proofErr w:type="spellEnd"/>
      <w:r w:rsidRPr="00813409">
        <w:t xml:space="preserve">) a </w:t>
      </w:r>
      <w:proofErr w:type="spellStart"/>
      <w:r w:rsidRPr="00813409">
        <w:t>gastrointestinálna</w:t>
      </w:r>
      <w:proofErr w:type="spellEnd"/>
      <w:r w:rsidRPr="00813409">
        <w:t xml:space="preserve"> toxicita (</w:t>
      </w:r>
      <w:proofErr w:type="spellStart"/>
      <w:r w:rsidRPr="00813409">
        <w:t>nekróza</w:t>
      </w:r>
      <w:proofErr w:type="spellEnd"/>
      <w:r w:rsidRPr="00813409">
        <w:t xml:space="preserve"> slizničných buniek), ktoré boli reverzibilné.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lastRenderedPageBreak/>
        <w:t xml:space="preserve">Ďalšie štúdie ukázali, že </w:t>
      </w:r>
      <w:proofErr w:type="spellStart"/>
      <w:r w:rsidRPr="00813409">
        <w:t>ganciklovir</w:t>
      </w:r>
      <w:proofErr w:type="spellEnd"/>
      <w:r w:rsidRPr="00813409">
        <w:t xml:space="preserve"> je mutagénny, karcinogénny, </w:t>
      </w:r>
      <w:proofErr w:type="spellStart"/>
      <w:r w:rsidRPr="00813409">
        <w:t>teratogénny</w:t>
      </w:r>
      <w:proofErr w:type="spellEnd"/>
      <w:r w:rsidRPr="00813409">
        <w:t xml:space="preserve">, </w:t>
      </w:r>
      <w:proofErr w:type="spellStart"/>
      <w:r w:rsidRPr="00813409">
        <w:t>embryotoxický</w:t>
      </w:r>
      <w:proofErr w:type="spellEnd"/>
      <w:r w:rsidRPr="00813409">
        <w:t xml:space="preserve">, </w:t>
      </w:r>
      <w:proofErr w:type="spellStart"/>
      <w:r w:rsidRPr="00813409">
        <w:t>aspermatogénny</w:t>
      </w:r>
      <w:proofErr w:type="spellEnd"/>
      <w:r w:rsidRPr="00813409">
        <w:t xml:space="preserve"> (poškodzuje mužskú plodnosť) a potláča ženskú plodnosť.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  <w:r w:rsidRPr="00813409">
        <w:rPr>
          <w:b/>
          <w:szCs w:val="22"/>
        </w:rPr>
        <w:t>6.</w:t>
      </w:r>
      <w:r w:rsidRPr="00813409">
        <w:rPr>
          <w:b/>
          <w:szCs w:val="22"/>
        </w:rPr>
        <w:tab/>
        <w:t>FARMACEUTICKÉ INFORMÁCIE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6.1</w:t>
      </w:r>
      <w:r w:rsidRPr="00813409">
        <w:rPr>
          <w:b/>
          <w:szCs w:val="22"/>
        </w:rPr>
        <w:tab/>
        <w:t>Zoznam pomocných látok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</w:pPr>
      <w:r w:rsidRPr="00813409">
        <w:rPr>
          <w:u w:val="single"/>
        </w:rPr>
        <w:t>Jadro tablety:</w:t>
      </w:r>
    </w:p>
    <w:p w:rsidR="007D58F6" w:rsidRPr="00813409" w:rsidRDefault="007D58F6" w:rsidP="007D58F6">
      <w:pPr>
        <w:ind w:left="0" w:firstLine="0"/>
      </w:pPr>
      <w:r w:rsidRPr="00813409">
        <w:t>mikrokryštalická celulóza (E460)</w:t>
      </w:r>
    </w:p>
    <w:p w:rsidR="009C39F3" w:rsidRPr="00813409" w:rsidRDefault="00427DA9" w:rsidP="008C1DB1">
      <w:pPr>
        <w:ind w:left="0" w:firstLine="0"/>
      </w:pPr>
      <w:proofErr w:type="spellStart"/>
      <w:r w:rsidRPr="00813409">
        <w:t>krospovidón</w:t>
      </w:r>
      <w:proofErr w:type="spellEnd"/>
    </w:p>
    <w:p w:rsidR="009C39F3" w:rsidRPr="00813409" w:rsidRDefault="009C39F3" w:rsidP="008C1DB1">
      <w:pPr>
        <w:ind w:left="0" w:firstLine="0"/>
      </w:pPr>
      <w:r w:rsidRPr="00813409">
        <w:t xml:space="preserve">kyselina </w:t>
      </w:r>
      <w:proofErr w:type="spellStart"/>
      <w:r w:rsidRPr="00813409">
        <w:t>stearová</w:t>
      </w:r>
      <w:proofErr w:type="spellEnd"/>
      <w:r w:rsidR="007D58F6" w:rsidRPr="00813409">
        <w:t xml:space="preserve"> (E570)</w:t>
      </w:r>
    </w:p>
    <w:p w:rsidR="009C39F3" w:rsidRPr="00813409" w:rsidRDefault="009C39F3" w:rsidP="008C1DB1">
      <w:pPr>
        <w:ind w:left="0" w:firstLine="0"/>
      </w:pPr>
    </w:p>
    <w:p w:rsidR="009C39F3" w:rsidRPr="00813409" w:rsidRDefault="007D58F6" w:rsidP="008C1DB1">
      <w:pPr>
        <w:ind w:left="0" w:firstLine="0"/>
      </w:pPr>
      <w:r w:rsidRPr="00813409">
        <w:rPr>
          <w:u w:val="single"/>
        </w:rPr>
        <w:t>Filmový obal tablety</w:t>
      </w:r>
      <w:r w:rsidRPr="00813409">
        <w:t>:</w:t>
      </w:r>
    </w:p>
    <w:p w:rsidR="007D58F6" w:rsidRPr="00813409" w:rsidRDefault="007D58F6" w:rsidP="008C1DB1">
      <w:pPr>
        <w:ind w:left="0" w:firstLine="0"/>
        <w:rPr>
          <w:szCs w:val="22"/>
        </w:rPr>
      </w:pPr>
      <w:proofErr w:type="spellStart"/>
      <w:r w:rsidRPr="00813409">
        <w:rPr>
          <w:szCs w:val="22"/>
        </w:rPr>
        <w:t>hypromelóza</w:t>
      </w:r>
      <w:proofErr w:type="spellEnd"/>
      <w:r w:rsidRPr="00813409">
        <w:rPr>
          <w:szCs w:val="22"/>
        </w:rPr>
        <w:t xml:space="preserve"> (E464) </w:t>
      </w:r>
    </w:p>
    <w:p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oxid </w:t>
      </w:r>
      <w:proofErr w:type="spellStart"/>
      <w:r w:rsidRPr="00813409">
        <w:rPr>
          <w:szCs w:val="22"/>
        </w:rPr>
        <w:t>titaničitý</w:t>
      </w:r>
      <w:proofErr w:type="spellEnd"/>
      <w:r w:rsidRPr="00813409">
        <w:rPr>
          <w:szCs w:val="22"/>
        </w:rPr>
        <w:t xml:space="preserve"> (E171) </w:t>
      </w:r>
    </w:p>
    <w:p w:rsidR="007D58F6" w:rsidRPr="00813409" w:rsidRDefault="007D58F6" w:rsidP="008C1DB1">
      <w:pPr>
        <w:ind w:left="0" w:firstLine="0"/>
        <w:rPr>
          <w:szCs w:val="22"/>
        </w:rPr>
      </w:pPr>
      <w:proofErr w:type="spellStart"/>
      <w:r w:rsidRPr="00813409">
        <w:rPr>
          <w:szCs w:val="22"/>
        </w:rPr>
        <w:t>makrogol</w:t>
      </w:r>
      <w:proofErr w:type="spellEnd"/>
      <w:r w:rsidRPr="00813409">
        <w:rPr>
          <w:szCs w:val="22"/>
        </w:rPr>
        <w:t xml:space="preserve"> 400</w:t>
      </w:r>
    </w:p>
    <w:p w:rsidR="007D58F6" w:rsidRPr="00813409" w:rsidRDefault="007D58F6" w:rsidP="008C1DB1">
      <w:pPr>
        <w:ind w:left="0" w:firstLine="0"/>
        <w:rPr>
          <w:szCs w:val="22"/>
        </w:rPr>
      </w:pPr>
      <w:r w:rsidRPr="00813409">
        <w:rPr>
          <w:szCs w:val="22"/>
        </w:rPr>
        <w:t xml:space="preserve">červený oxid železitý (E172) </w:t>
      </w:r>
    </w:p>
    <w:p w:rsidR="007D58F6" w:rsidRPr="00813409" w:rsidRDefault="007D58F6" w:rsidP="008C1DB1">
      <w:pPr>
        <w:ind w:left="0" w:firstLine="0"/>
        <w:rPr>
          <w:szCs w:val="22"/>
        </w:rPr>
      </w:pPr>
      <w:proofErr w:type="spellStart"/>
      <w:r w:rsidRPr="00813409">
        <w:rPr>
          <w:szCs w:val="22"/>
        </w:rPr>
        <w:t>polysorbát</w:t>
      </w:r>
      <w:proofErr w:type="spellEnd"/>
      <w:r w:rsidRPr="00813409">
        <w:rPr>
          <w:szCs w:val="22"/>
        </w:rPr>
        <w:t xml:space="preserve"> 80 (E433)</w:t>
      </w:r>
    </w:p>
    <w:p w:rsidR="007D58F6" w:rsidRPr="00813409" w:rsidRDefault="007D58F6" w:rsidP="008C1DB1">
      <w:pPr>
        <w:ind w:left="0" w:firstLine="0"/>
        <w:rPr>
          <w:b/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6.2</w:t>
      </w:r>
      <w:r w:rsidRPr="00813409">
        <w:rPr>
          <w:b/>
          <w:szCs w:val="22"/>
        </w:rPr>
        <w:tab/>
        <w:t>Inkompatibility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t>Neaplikovateľné</w:t>
      </w:r>
      <w:r w:rsidRPr="00813409">
        <w:rPr>
          <w:szCs w:val="22"/>
        </w:rPr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6.3</w:t>
      </w:r>
      <w:r w:rsidRPr="00813409">
        <w:rPr>
          <w:b/>
          <w:szCs w:val="22"/>
        </w:rPr>
        <w:tab/>
        <w:t>Čas použiteľnosti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B2040A" w:rsidRPr="00813409" w:rsidRDefault="00B2040A" w:rsidP="00B2040A">
      <w:pPr>
        <w:ind w:left="0" w:firstLine="0"/>
      </w:pPr>
      <w:r>
        <w:t>HDPE fľašky: 3 </w:t>
      </w:r>
      <w:r w:rsidR="009C39F3" w:rsidRPr="00813409">
        <w:t>roky</w:t>
      </w:r>
      <w:r>
        <w:t>;</w:t>
      </w:r>
      <w:r w:rsidRPr="00B2040A">
        <w:t xml:space="preserve"> </w:t>
      </w:r>
      <w:r>
        <w:t>p</w:t>
      </w:r>
      <w:r w:rsidRPr="00813409">
        <w:t>o prvom otvorení spotrebujte do 3 mesiacov.</w:t>
      </w:r>
    </w:p>
    <w:p w:rsidR="009C39F3" w:rsidRDefault="009C39F3" w:rsidP="008C1DB1">
      <w:pPr>
        <w:ind w:left="0" w:firstLine="0"/>
      </w:pPr>
    </w:p>
    <w:p w:rsidR="00B2040A" w:rsidRPr="00813409" w:rsidRDefault="00B2040A" w:rsidP="008C1DB1">
      <w:pPr>
        <w:ind w:left="0" w:firstLine="0"/>
      </w:pPr>
      <w:proofErr w:type="spellStart"/>
      <w:r>
        <w:t>Blistre</w:t>
      </w:r>
      <w:proofErr w:type="spellEnd"/>
      <w:r>
        <w:t>: 2 roky</w:t>
      </w:r>
    </w:p>
    <w:p w:rsidR="009C39F3" w:rsidRPr="00813409" w:rsidRDefault="009C39F3" w:rsidP="008C1DB1">
      <w:pPr>
        <w:ind w:left="0" w:firstLine="0"/>
      </w:pPr>
    </w:p>
    <w:p w:rsidR="007D58F6" w:rsidRPr="00813409" w:rsidRDefault="007D58F6" w:rsidP="008C1DB1">
      <w:pPr>
        <w:ind w:left="0" w:firstLine="0"/>
      </w:pPr>
    </w:p>
    <w:p w:rsidR="009C39F3" w:rsidRPr="00813409" w:rsidRDefault="009C39F3" w:rsidP="008C1DB1">
      <w:pPr>
        <w:numPr>
          <w:ilvl w:val="1"/>
          <w:numId w:val="16"/>
        </w:numPr>
        <w:ind w:left="0" w:firstLine="0"/>
        <w:rPr>
          <w:b/>
          <w:szCs w:val="22"/>
        </w:rPr>
      </w:pPr>
      <w:r w:rsidRPr="00813409">
        <w:rPr>
          <w:b/>
          <w:szCs w:val="22"/>
        </w:rPr>
        <w:t>Špeciálne upozornenia na uchovávanie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</w:pPr>
      <w:r w:rsidRPr="00813409">
        <w:t>Tento liek nevyžaduje žiadne zvláštne podmienky na uchovávanie.</w:t>
      </w:r>
    </w:p>
    <w:p w:rsidR="009C39F3" w:rsidRPr="00813409" w:rsidRDefault="009C39F3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szCs w:val="22"/>
        </w:rPr>
      </w:pPr>
      <w:r w:rsidRPr="00813409">
        <w:rPr>
          <w:b/>
          <w:szCs w:val="22"/>
        </w:rPr>
        <w:t>6.5</w:t>
      </w:r>
      <w:r w:rsidRPr="00813409">
        <w:rPr>
          <w:b/>
          <w:szCs w:val="22"/>
        </w:rPr>
        <w:tab/>
        <w:t xml:space="preserve">Druh obalu a obsah balenia 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B572C6" w:rsidRPr="00813409" w:rsidRDefault="007D58F6" w:rsidP="00B572C6">
      <w:pPr>
        <w:numPr>
          <w:ilvl w:val="12"/>
          <w:numId w:val="0"/>
        </w:numPr>
        <w:ind w:right="-2"/>
        <w:rPr>
          <w:szCs w:val="22"/>
        </w:rPr>
      </w:pPr>
      <w:r w:rsidRPr="00813409">
        <w:t xml:space="preserve">Fľaše </w:t>
      </w:r>
      <w:r w:rsidR="009C39F3" w:rsidRPr="00813409">
        <w:t xml:space="preserve">z polyetylénu vysokej hustoty </w:t>
      </w:r>
      <w:r w:rsidR="009C39F3" w:rsidRPr="00813409">
        <w:rPr>
          <w:szCs w:val="22"/>
        </w:rPr>
        <w:t xml:space="preserve">(HDPE) s ochranným polypropylénovým </w:t>
      </w:r>
      <w:r w:rsidRPr="00813409">
        <w:rPr>
          <w:szCs w:val="22"/>
        </w:rPr>
        <w:t xml:space="preserve">(PP) </w:t>
      </w:r>
      <w:r w:rsidR="009C39F3" w:rsidRPr="00813409">
        <w:rPr>
          <w:szCs w:val="22"/>
        </w:rPr>
        <w:t xml:space="preserve">uzáverom </w:t>
      </w:r>
      <w:r w:rsidR="00E76805" w:rsidRPr="00813409">
        <w:rPr>
          <w:szCs w:val="22"/>
        </w:rPr>
        <w:t>s detskou poistkou</w:t>
      </w:r>
      <w:r w:rsidR="009C39F3" w:rsidRPr="00813409">
        <w:rPr>
          <w:szCs w:val="22"/>
        </w:rPr>
        <w:t xml:space="preserve"> a </w:t>
      </w:r>
      <w:r w:rsidR="00B572C6" w:rsidRPr="00813409">
        <w:rPr>
          <w:szCs w:val="22"/>
        </w:rPr>
        <w:t>indukovanou tesniacou vložkou, obsahujúce 60 filmom obalených tabliet.</w:t>
      </w:r>
    </w:p>
    <w:p w:rsidR="009C39F3" w:rsidRPr="00813409" w:rsidRDefault="009C39F3" w:rsidP="008C1DB1">
      <w:pPr>
        <w:ind w:left="0" w:firstLine="0"/>
      </w:pPr>
    </w:p>
    <w:p w:rsidR="00B572C6" w:rsidRPr="00813409" w:rsidRDefault="00B572C6" w:rsidP="00B572C6">
      <w:pPr>
        <w:ind w:left="0" w:firstLine="0"/>
      </w:pPr>
      <w:r w:rsidRPr="00813409">
        <w:t>HDPE fľaš</w:t>
      </w:r>
      <w:r w:rsidR="00427DA9" w:rsidRPr="00813409">
        <w:t>e môžu byť buď balené v</w:t>
      </w:r>
      <w:r w:rsidRPr="00813409">
        <w:t xml:space="preserve"> papierových škatuliach alebo voľne, v závislosti od požiadavky trhu.</w:t>
      </w:r>
    </w:p>
    <w:p w:rsidR="00B2040A" w:rsidRDefault="00B2040A" w:rsidP="00B572C6">
      <w:pPr>
        <w:ind w:left="0" w:firstLine="0"/>
      </w:pPr>
    </w:p>
    <w:p w:rsidR="009C39F3" w:rsidRDefault="00B2040A" w:rsidP="00B572C6">
      <w:pPr>
        <w:ind w:left="0" w:firstLine="0"/>
      </w:pPr>
      <w:r>
        <w:t xml:space="preserve">PVC </w:t>
      </w:r>
      <w:r w:rsidR="00B97100">
        <w:t>priehľadné</w:t>
      </w:r>
      <w:r>
        <w:t>/PE/</w:t>
      </w:r>
      <w:proofErr w:type="spellStart"/>
      <w:r>
        <w:t>PVdC</w:t>
      </w:r>
      <w:proofErr w:type="spellEnd"/>
      <w:r>
        <w:t xml:space="preserve"> – hliníkové </w:t>
      </w:r>
      <w:proofErr w:type="spellStart"/>
      <w:r>
        <w:t>blistrové</w:t>
      </w:r>
      <w:proofErr w:type="spellEnd"/>
      <w:r>
        <w:t xml:space="preserve"> balenia obsahujúce 60 filmom obalených tabliet.</w:t>
      </w:r>
    </w:p>
    <w:p w:rsidR="00B2040A" w:rsidRDefault="00B2040A" w:rsidP="00B572C6">
      <w:pPr>
        <w:ind w:left="0" w:firstLine="0"/>
      </w:pPr>
      <w:r>
        <w:t xml:space="preserve">PVC </w:t>
      </w:r>
      <w:r w:rsidR="00B97100">
        <w:t>priehľadné</w:t>
      </w:r>
      <w:r>
        <w:t>/PE/</w:t>
      </w:r>
      <w:proofErr w:type="spellStart"/>
      <w:r>
        <w:t>PVdC</w:t>
      </w:r>
      <w:proofErr w:type="spellEnd"/>
      <w:r>
        <w:t xml:space="preserve"> – hliníkové perforované </w:t>
      </w:r>
      <w:r w:rsidR="00585050">
        <w:t xml:space="preserve">jednodávkové </w:t>
      </w:r>
      <w:proofErr w:type="spellStart"/>
      <w:r>
        <w:t>blistrové</w:t>
      </w:r>
      <w:proofErr w:type="spellEnd"/>
      <w:r>
        <w:t xml:space="preserve"> balenia obsahujúce 60 x 1 filmom obalen</w:t>
      </w:r>
      <w:r w:rsidR="00BA24B8">
        <w:t>ú</w:t>
      </w:r>
      <w:r>
        <w:t xml:space="preserve"> tablet</w:t>
      </w:r>
      <w:r w:rsidR="00BA24B8">
        <w:t>u</w:t>
      </w:r>
      <w:r>
        <w:t>.</w:t>
      </w:r>
    </w:p>
    <w:p w:rsidR="00320227" w:rsidRDefault="00320227" w:rsidP="0032022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20227" w:rsidRDefault="00320227" w:rsidP="00320227">
      <w:pPr>
        <w:numPr>
          <w:ilvl w:val="12"/>
          <w:numId w:val="0"/>
        </w:numPr>
        <w:ind w:right="-2"/>
        <w:rPr>
          <w:noProof/>
          <w:szCs w:val="22"/>
        </w:rPr>
      </w:pPr>
      <w:r w:rsidRPr="004D6CA4">
        <w:rPr>
          <w:noProof/>
          <w:szCs w:val="22"/>
        </w:rPr>
        <w:t>Na trh nemusia byť uvedené všetky veľkosti balenia.</w:t>
      </w:r>
    </w:p>
    <w:p w:rsidR="00B2040A" w:rsidRPr="00813409" w:rsidRDefault="00B2040A" w:rsidP="00B572C6">
      <w:pPr>
        <w:ind w:left="0" w:firstLine="0"/>
      </w:pPr>
    </w:p>
    <w:p w:rsidR="009C39F3" w:rsidRPr="00813409" w:rsidRDefault="009C39F3" w:rsidP="008C1DB1">
      <w:pPr>
        <w:ind w:left="0" w:firstLine="0"/>
        <w:rPr>
          <w:b/>
          <w:bCs/>
        </w:rPr>
      </w:pPr>
      <w:r w:rsidRPr="00813409">
        <w:rPr>
          <w:b/>
          <w:szCs w:val="22"/>
        </w:rPr>
        <w:t>6.6</w:t>
      </w:r>
      <w:r w:rsidRPr="00813409">
        <w:rPr>
          <w:b/>
          <w:szCs w:val="22"/>
        </w:rPr>
        <w:tab/>
      </w:r>
      <w:r w:rsidRPr="00813409">
        <w:rPr>
          <w:b/>
          <w:bCs/>
        </w:rPr>
        <w:t>Špeciálne opatrenia na likvidáciu</w:t>
      </w:r>
      <w:r w:rsidRPr="00813409">
        <w:rPr>
          <w:b/>
          <w:szCs w:val="22"/>
        </w:rPr>
        <w:t xml:space="preserve"> </w:t>
      </w:r>
      <w:r w:rsidRPr="00813409">
        <w:rPr>
          <w:b/>
          <w:bCs/>
        </w:rPr>
        <w:t>a iné zaobchádzanie s liekom</w:t>
      </w:r>
    </w:p>
    <w:p w:rsidR="009C39F3" w:rsidRPr="00813409" w:rsidRDefault="009C39F3" w:rsidP="008C1DB1">
      <w:pPr>
        <w:ind w:left="0" w:firstLine="0"/>
        <w:rPr>
          <w:b/>
          <w:bCs/>
        </w:rPr>
      </w:pPr>
    </w:p>
    <w:p w:rsidR="009C39F3" w:rsidRPr="00813409" w:rsidRDefault="00775F85" w:rsidP="003711D5">
      <w:pPr>
        <w:ind w:left="0" w:firstLine="0"/>
        <w:rPr>
          <w:szCs w:val="22"/>
        </w:rPr>
      </w:pPr>
      <w:r w:rsidRPr="00813409">
        <w:rPr>
          <w:szCs w:val="22"/>
        </w:rPr>
        <w:t>N</w:t>
      </w:r>
      <w:r w:rsidR="009C39F3" w:rsidRPr="00813409">
        <w:rPr>
          <w:szCs w:val="22"/>
        </w:rPr>
        <w:t>epoužit</w:t>
      </w:r>
      <w:r w:rsidRPr="00813409">
        <w:rPr>
          <w:szCs w:val="22"/>
        </w:rPr>
        <w:t>ý</w:t>
      </w:r>
      <w:r w:rsidR="009C39F3" w:rsidRPr="00813409">
        <w:rPr>
          <w:szCs w:val="22"/>
        </w:rPr>
        <w:t xml:space="preserve"> liek alebo odpad vzniknutý z liek</w:t>
      </w:r>
      <w:r w:rsidRPr="00813409">
        <w:rPr>
          <w:szCs w:val="22"/>
        </w:rPr>
        <w:t>u</w:t>
      </w:r>
      <w:r w:rsidR="009C39F3" w:rsidRPr="00813409">
        <w:rPr>
          <w:szCs w:val="22"/>
        </w:rPr>
        <w:t xml:space="preserve"> </w:t>
      </w:r>
      <w:r w:rsidRPr="00813409">
        <w:rPr>
          <w:szCs w:val="22"/>
        </w:rPr>
        <w:t>treba vrátiť do lekárne</w:t>
      </w:r>
      <w:r w:rsidR="009C39F3" w:rsidRPr="00813409">
        <w:rPr>
          <w:szCs w:val="22"/>
        </w:rPr>
        <w:t>.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  <w:r w:rsidRPr="00813409">
        <w:rPr>
          <w:b/>
          <w:szCs w:val="22"/>
        </w:rPr>
        <w:t>7.</w:t>
      </w:r>
      <w:r w:rsidRPr="00813409">
        <w:rPr>
          <w:b/>
          <w:szCs w:val="22"/>
        </w:rPr>
        <w:tab/>
        <w:t>DRŽITEĽ ROZHODNUTIA O REGISTRÁCII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 xml:space="preserve">Mylan </w:t>
      </w:r>
      <w:proofErr w:type="spellStart"/>
      <w:r w:rsidRPr="007E3E89">
        <w:rPr>
          <w:color w:val="222222"/>
          <w:szCs w:val="22"/>
          <w:lang w:eastAsia="en-US"/>
        </w:rPr>
        <w:t>Ireland</w:t>
      </w:r>
      <w:proofErr w:type="spellEnd"/>
      <w:r w:rsidRPr="007E3E89">
        <w:rPr>
          <w:color w:val="222222"/>
          <w:szCs w:val="22"/>
          <w:lang w:eastAsia="en-US"/>
        </w:rPr>
        <w:t xml:space="preserve"> </w:t>
      </w:r>
      <w:proofErr w:type="spellStart"/>
      <w:r w:rsidRPr="007E3E89">
        <w:rPr>
          <w:color w:val="222222"/>
          <w:szCs w:val="22"/>
          <w:lang w:eastAsia="en-US"/>
        </w:rPr>
        <w:t>Limited</w:t>
      </w:r>
      <w:proofErr w:type="spellEnd"/>
    </w:p>
    <w:p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proofErr w:type="spellStart"/>
      <w:r>
        <w:rPr>
          <w:color w:val="222222"/>
          <w:szCs w:val="22"/>
          <w:lang w:eastAsia="en-US"/>
        </w:rPr>
        <w:lastRenderedPageBreak/>
        <w:t>Unit</w:t>
      </w:r>
      <w:proofErr w:type="spellEnd"/>
      <w:r>
        <w:rPr>
          <w:color w:val="222222"/>
          <w:szCs w:val="22"/>
          <w:lang w:eastAsia="en-US"/>
        </w:rPr>
        <w:t xml:space="preserve"> </w:t>
      </w:r>
      <w:r w:rsidRPr="007E3E89">
        <w:rPr>
          <w:color w:val="222222"/>
          <w:szCs w:val="22"/>
          <w:lang w:eastAsia="en-US"/>
        </w:rPr>
        <w:t xml:space="preserve">35/36 Grange </w:t>
      </w:r>
      <w:proofErr w:type="spellStart"/>
      <w:r w:rsidRPr="007E3E89">
        <w:rPr>
          <w:color w:val="222222"/>
          <w:szCs w:val="22"/>
          <w:lang w:eastAsia="en-US"/>
        </w:rPr>
        <w:t>Parade</w:t>
      </w:r>
      <w:proofErr w:type="spellEnd"/>
    </w:p>
    <w:p w:rsidR="00824F3D" w:rsidRPr="007E3E89" w:rsidRDefault="00824F3D" w:rsidP="00824F3D">
      <w:pPr>
        <w:ind w:left="0" w:firstLine="0"/>
        <w:rPr>
          <w:color w:val="222222"/>
          <w:szCs w:val="22"/>
          <w:lang w:eastAsia="en-US"/>
        </w:rPr>
      </w:pPr>
      <w:proofErr w:type="spellStart"/>
      <w:r w:rsidRPr="007E3E89">
        <w:rPr>
          <w:color w:val="222222"/>
          <w:szCs w:val="22"/>
          <w:lang w:eastAsia="en-US"/>
        </w:rPr>
        <w:t>Baldoyle</w:t>
      </w:r>
      <w:proofErr w:type="spellEnd"/>
      <w:r w:rsidRPr="007E3E89">
        <w:rPr>
          <w:color w:val="222222"/>
          <w:szCs w:val="22"/>
          <w:lang w:eastAsia="en-US"/>
        </w:rPr>
        <w:t xml:space="preserve"> Industrial </w:t>
      </w:r>
      <w:proofErr w:type="spellStart"/>
      <w:r w:rsidRPr="007E3E89">
        <w:rPr>
          <w:color w:val="222222"/>
          <w:szCs w:val="22"/>
          <w:lang w:eastAsia="en-US"/>
        </w:rPr>
        <w:t>Estate</w:t>
      </w:r>
      <w:proofErr w:type="spellEnd"/>
    </w:p>
    <w:p w:rsidR="00824F3D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>Dublin 13</w:t>
      </w:r>
    </w:p>
    <w:p w:rsidR="00824F3D" w:rsidRDefault="00824F3D" w:rsidP="00824F3D">
      <w:pPr>
        <w:ind w:left="0" w:firstLine="0"/>
        <w:rPr>
          <w:color w:val="222222"/>
          <w:szCs w:val="22"/>
          <w:lang w:eastAsia="en-US"/>
        </w:rPr>
      </w:pPr>
      <w:r w:rsidRPr="007E3E89">
        <w:rPr>
          <w:color w:val="222222"/>
          <w:szCs w:val="22"/>
          <w:lang w:eastAsia="en-US"/>
        </w:rPr>
        <w:t>Írsko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  <w:r w:rsidRPr="00813409">
        <w:rPr>
          <w:b/>
          <w:szCs w:val="22"/>
        </w:rPr>
        <w:t>8.</w:t>
      </w:r>
      <w:r w:rsidRPr="00813409">
        <w:rPr>
          <w:b/>
          <w:szCs w:val="22"/>
        </w:rPr>
        <w:tab/>
        <w:t>REGISTRAČNÉ ČÍSLO</w:t>
      </w:r>
    </w:p>
    <w:p w:rsidR="009C39F3" w:rsidRPr="00813409" w:rsidRDefault="009C39F3" w:rsidP="008C1DB1">
      <w:pPr>
        <w:ind w:left="0" w:firstLine="0"/>
        <w:rPr>
          <w:i/>
        </w:rPr>
      </w:pPr>
    </w:p>
    <w:p w:rsidR="009C39F3" w:rsidRDefault="00034C46" w:rsidP="008C1DB1">
      <w:pPr>
        <w:ind w:left="0" w:firstLine="0"/>
        <w:rPr>
          <w:szCs w:val="22"/>
        </w:rPr>
      </w:pPr>
      <w:r w:rsidRPr="00034C46">
        <w:rPr>
          <w:szCs w:val="22"/>
        </w:rPr>
        <w:t>42/0018/15-S</w:t>
      </w:r>
    </w:p>
    <w:p w:rsidR="00034C46" w:rsidRDefault="00034C46" w:rsidP="008C1DB1">
      <w:pPr>
        <w:ind w:left="0" w:firstLine="0"/>
        <w:rPr>
          <w:szCs w:val="22"/>
        </w:rPr>
      </w:pPr>
    </w:p>
    <w:p w:rsidR="00034C46" w:rsidRPr="00813409" w:rsidRDefault="00034C46" w:rsidP="008C1DB1">
      <w:pPr>
        <w:ind w:left="0" w:firstLine="0"/>
        <w:rPr>
          <w:szCs w:val="22"/>
        </w:rPr>
      </w:pPr>
    </w:p>
    <w:p w:rsidR="009C39F3" w:rsidRPr="00813409" w:rsidRDefault="009C39F3" w:rsidP="008C1DB1">
      <w:pPr>
        <w:ind w:left="0" w:firstLine="0"/>
        <w:rPr>
          <w:b/>
          <w:szCs w:val="22"/>
        </w:rPr>
      </w:pPr>
      <w:r w:rsidRPr="00813409">
        <w:rPr>
          <w:b/>
          <w:szCs w:val="22"/>
        </w:rPr>
        <w:t>9.</w:t>
      </w:r>
      <w:r w:rsidRPr="00813409">
        <w:rPr>
          <w:b/>
          <w:szCs w:val="22"/>
        </w:rPr>
        <w:tab/>
        <w:t>DÁTUM PRVEJ REGISTRÁCIE/PREDĹŽENIA REGISTRÁCIE</w:t>
      </w:r>
    </w:p>
    <w:p w:rsidR="009C39F3" w:rsidRPr="00813409" w:rsidRDefault="009C39F3" w:rsidP="008C1DB1">
      <w:pPr>
        <w:ind w:left="0" w:firstLine="0"/>
        <w:rPr>
          <w:szCs w:val="22"/>
        </w:rPr>
      </w:pPr>
    </w:p>
    <w:p w:rsidR="00E56034" w:rsidRPr="00813409" w:rsidRDefault="00E56034" w:rsidP="008C1DB1">
      <w:pPr>
        <w:ind w:left="0" w:firstLine="0"/>
      </w:pPr>
      <w:r w:rsidRPr="00813409">
        <w:t xml:space="preserve">Dátum prvej registrácie: </w:t>
      </w:r>
      <w:r w:rsidR="002E5967">
        <w:t xml:space="preserve"> 21. januára 2015</w:t>
      </w:r>
    </w:p>
    <w:p w:rsidR="00070CF6" w:rsidRPr="00813409" w:rsidRDefault="00070CF6" w:rsidP="008C1DB1">
      <w:pPr>
        <w:ind w:left="0" w:firstLine="0"/>
      </w:pPr>
    </w:p>
    <w:p w:rsidR="009C39F3" w:rsidRPr="00813409" w:rsidRDefault="009C39F3" w:rsidP="008C1DB1">
      <w:pPr>
        <w:ind w:left="0" w:firstLine="0"/>
        <w:rPr>
          <w:szCs w:val="22"/>
        </w:rPr>
      </w:pPr>
    </w:p>
    <w:p w:rsidR="009C39F3" w:rsidRPr="00813409" w:rsidRDefault="009C39F3" w:rsidP="007C342D">
      <w:pPr>
        <w:keepNext/>
        <w:keepLines/>
        <w:ind w:left="0" w:firstLine="0"/>
        <w:rPr>
          <w:b/>
          <w:szCs w:val="22"/>
        </w:rPr>
      </w:pPr>
      <w:r w:rsidRPr="00813409">
        <w:rPr>
          <w:b/>
          <w:szCs w:val="22"/>
        </w:rPr>
        <w:t>10.</w:t>
      </w:r>
      <w:r w:rsidRPr="00813409">
        <w:rPr>
          <w:b/>
          <w:szCs w:val="22"/>
        </w:rPr>
        <w:tab/>
        <w:t>DÁTUM REVÍZIE TEXTU</w:t>
      </w:r>
    </w:p>
    <w:p w:rsidR="00235926" w:rsidRDefault="00235926">
      <w:pPr>
        <w:ind w:left="0" w:firstLine="0"/>
      </w:pPr>
    </w:p>
    <w:p w:rsidR="00F517E5" w:rsidRDefault="00035ADE">
      <w:pPr>
        <w:ind w:left="0" w:firstLine="0"/>
      </w:pPr>
      <w:r>
        <w:t>0</w:t>
      </w:r>
      <w:r w:rsidR="00D615D7">
        <w:t>6</w:t>
      </w:r>
      <w:r>
        <w:t>/2018</w:t>
      </w:r>
    </w:p>
    <w:sectPr w:rsidR="00F517E5" w:rsidSect="00A938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E5" w:rsidRDefault="00F517E5">
      <w:r>
        <w:separator/>
      </w:r>
    </w:p>
  </w:endnote>
  <w:endnote w:type="continuationSeparator" w:id="0">
    <w:p w:rsidR="00F517E5" w:rsidRDefault="00F5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3D" w:rsidRDefault="00824F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D7" w:rsidRPr="006D2423" w:rsidRDefault="009A6BAE" w:rsidP="006D2423">
    <w:pPr>
      <w:pStyle w:val="Pta"/>
      <w:jc w:val="center"/>
      <w:rPr>
        <w:rFonts w:ascii="Times New Roman" w:hAnsi="Times New Roman"/>
        <w:sz w:val="18"/>
      </w:rPr>
    </w:pPr>
    <w:r w:rsidRPr="007C342D">
      <w:rPr>
        <w:rFonts w:ascii="Times New Roman" w:hAnsi="Times New Roman"/>
        <w:sz w:val="18"/>
      </w:rPr>
      <w:fldChar w:fldCharType="begin"/>
    </w:r>
    <w:r w:rsidR="00D615D7" w:rsidRPr="007C342D">
      <w:rPr>
        <w:rFonts w:ascii="Times New Roman" w:hAnsi="Times New Roman"/>
        <w:sz w:val="18"/>
      </w:rPr>
      <w:instrText>PAGE   \* MERGEFORMAT</w:instrText>
    </w:r>
    <w:r w:rsidRPr="007C342D">
      <w:rPr>
        <w:rFonts w:ascii="Times New Roman" w:hAnsi="Times New Roman"/>
        <w:sz w:val="18"/>
      </w:rPr>
      <w:fldChar w:fldCharType="separate"/>
    </w:r>
    <w:r w:rsidR="00AC7DFE" w:rsidRPr="00AC7DFE">
      <w:rPr>
        <w:rFonts w:ascii="Times New Roman" w:hAnsi="Times New Roman"/>
        <w:noProof/>
        <w:sz w:val="18"/>
        <w:lang w:val="sk-SK"/>
      </w:rPr>
      <w:t>1</w:t>
    </w:r>
    <w:r w:rsidRPr="007C342D"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D7" w:rsidRPr="006D2423" w:rsidRDefault="009A6BAE" w:rsidP="006D2423">
    <w:pPr>
      <w:pStyle w:val="Pta"/>
      <w:jc w:val="center"/>
      <w:rPr>
        <w:rFonts w:ascii="Times New Roman" w:hAnsi="Times New Roman"/>
        <w:sz w:val="18"/>
      </w:rPr>
    </w:pPr>
    <w:r w:rsidRPr="007C342D">
      <w:rPr>
        <w:rFonts w:ascii="Times New Roman" w:hAnsi="Times New Roman"/>
        <w:sz w:val="18"/>
      </w:rPr>
      <w:fldChar w:fldCharType="begin"/>
    </w:r>
    <w:r w:rsidR="00D615D7" w:rsidRPr="007C342D">
      <w:rPr>
        <w:rFonts w:ascii="Times New Roman" w:hAnsi="Times New Roman"/>
        <w:sz w:val="18"/>
      </w:rPr>
      <w:instrText>PAGE   \* MERGEFORMAT</w:instrText>
    </w:r>
    <w:r w:rsidRPr="007C342D">
      <w:rPr>
        <w:rFonts w:ascii="Times New Roman" w:hAnsi="Times New Roman"/>
        <w:sz w:val="18"/>
      </w:rPr>
      <w:fldChar w:fldCharType="separate"/>
    </w:r>
    <w:r w:rsidR="00D615D7" w:rsidRPr="00A9387D">
      <w:rPr>
        <w:rFonts w:ascii="Times New Roman" w:hAnsi="Times New Roman"/>
        <w:noProof/>
        <w:sz w:val="18"/>
        <w:lang w:val="sk-SK"/>
      </w:rPr>
      <w:t>1</w:t>
    </w:r>
    <w:r w:rsidRPr="007C342D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E5" w:rsidRDefault="00F517E5">
      <w:r>
        <w:separator/>
      </w:r>
    </w:p>
  </w:footnote>
  <w:footnote w:type="continuationSeparator" w:id="0">
    <w:p w:rsidR="00F517E5" w:rsidRDefault="00F5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3D" w:rsidRDefault="00824F3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3D" w:rsidRPr="00D65051" w:rsidRDefault="00824F3D" w:rsidP="00824F3D">
    <w:pPr>
      <w:rPr>
        <w:sz w:val="18"/>
        <w:szCs w:val="18"/>
      </w:rPr>
    </w:pPr>
    <w:r w:rsidRPr="00D65051">
      <w:rPr>
        <w:noProof/>
        <w:sz w:val="18"/>
        <w:szCs w:val="18"/>
      </w:rPr>
      <w:t>Schválený text k rozhodnutiu o prevode, ev. č.: 2018/02818-TR</w:t>
    </w:r>
  </w:p>
  <w:p w:rsidR="00D615D7" w:rsidRDefault="00D615D7">
    <w:pPr>
      <w:pStyle w:val="Hlavika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D7" w:rsidRDefault="00D615D7" w:rsidP="006D2423">
    <w:pPr>
      <w:rPr>
        <w:sz w:val="18"/>
        <w:szCs w:val="18"/>
      </w:rPr>
    </w:pPr>
    <w:r>
      <w:rPr>
        <w:sz w:val="18"/>
        <w:szCs w:val="18"/>
      </w:rPr>
      <w:t>Príloha č. 1 k notifikácii o zmene, ev. č.:</w:t>
    </w:r>
    <w:r w:rsidRPr="003732E9">
      <w:t xml:space="preserve"> </w:t>
    </w:r>
    <w:r w:rsidRPr="003732E9">
      <w:rPr>
        <w:sz w:val="18"/>
        <w:szCs w:val="18"/>
      </w:rPr>
      <w:t>2015/05464-Z1B</w:t>
    </w:r>
  </w:p>
  <w:p w:rsidR="00D615D7" w:rsidRPr="006D2423" w:rsidRDefault="00D615D7" w:rsidP="006D2423">
    <w:pPr>
      <w:rPr>
        <w:sz w:val="18"/>
        <w:szCs w:val="18"/>
      </w:rPr>
    </w:pPr>
    <w:r>
      <w:rPr>
        <w:sz w:val="18"/>
        <w:szCs w:val="18"/>
      </w:rPr>
      <w:t>Príloha č. 2 k notifikácii o zmene, ev. č.: 2016/06456-Z1B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952CE"/>
    <w:multiLevelType w:val="multilevel"/>
    <w:tmpl w:val="E48C5DF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1FD27E99"/>
    <w:multiLevelType w:val="multilevel"/>
    <w:tmpl w:val="FB50E98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741D1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9" w15:restartNumberingAfterBreak="0">
    <w:nsid w:val="365231D6"/>
    <w:multiLevelType w:val="hybridMultilevel"/>
    <w:tmpl w:val="92DECF1A"/>
    <w:lvl w:ilvl="0" w:tplc="4880B97E">
      <w:start w:val="4"/>
      <w:numFmt w:val="bullet"/>
      <w:lvlText w:val="–"/>
      <w:lvlJc w:val="left"/>
      <w:pPr>
        <w:tabs>
          <w:tab w:val="num" w:pos="570"/>
        </w:tabs>
        <w:ind w:left="570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8AC6A0D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12" w15:restartNumberingAfterBreak="0">
    <w:nsid w:val="3EDD6FDC"/>
    <w:multiLevelType w:val="singleLevel"/>
    <w:tmpl w:val="13448CAE"/>
    <w:lvl w:ilvl="0">
      <w:start w:val="2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4A8F1EB9"/>
    <w:multiLevelType w:val="hybridMultilevel"/>
    <w:tmpl w:val="988E14F6"/>
    <w:lvl w:ilvl="0" w:tplc="48BEFCC2">
      <w:start w:val="9"/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70A74"/>
    <w:multiLevelType w:val="hybridMultilevel"/>
    <w:tmpl w:val="86061778"/>
    <w:lvl w:ilvl="0" w:tplc="681A2C44">
      <w:start w:val="1"/>
      <w:numFmt w:val="bullet"/>
      <w:pStyle w:val="TextDash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F40DCF"/>
    <w:multiLevelType w:val="singleLevel"/>
    <w:tmpl w:val="1F788D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/>
        <w:i w:val="0"/>
        <w:sz w:val="22"/>
        <w:u w:val="none"/>
      </w:rPr>
    </w:lvl>
  </w:abstractNum>
  <w:abstractNum w:abstractNumId="19" w15:restartNumberingAfterBreak="0">
    <w:nsid w:val="6198433C"/>
    <w:multiLevelType w:val="hybridMultilevel"/>
    <w:tmpl w:val="2C369DB8"/>
    <w:lvl w:ilvl="0" w:tplc="6D8ADA5C">
      <w:start w:val="3"/>
      <w:numFmt w:val="bullet"/>
      <w:lvlText w:val="–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8B06CEE"/>
    <w:multiLevelType w:val="hybridMultilevel"/>
    <w:tmpl w:val="7A8CDC20"/>
    <w:lvl w:ilvl="0" w:tplc="82045BF4">
      <w:start w:val="3"/>
      <w:numFmt w:val="bullet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978704B"/>
    <w:multiLevelType w:val="hybridMultilevel"/>
    <w:tmpl w:val="5CF223CC"/>
    <w:lvl w:ilvl="0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219C"/>
    <w:multiLevelType w:val="hybridMultilevel"/>
    <w:tmpl w:val="23ACC17A"/>
    <w:lvl w:ilvl="0" w:tplc="82045BF4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73C22E16"/>
    <w:multiLevelType w:val="hybridMultilevel"/>
    <w:tmpl w:val="8B62C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6"/>
  </w:num>
  <w:num w:numId="6">
    <w:abstractNumId w:val="16"/>
  </w:num>
  <w:num w:numId="7">
    <w:abstractNumId w:val="13"/>
  </w:num>
  <w:num w:numId="8">
    <w:abstractNumId w:val="3"/>
  </w:num>
  <w:num w:numId="9">
    <w:abstractNumId w:val="20"/>
  </w:num>
  <w:num w:numId="10">
    <w:abstractNumId w:val="24"/>
  </w:num>
  <w:num w:numId="11">
    <w:abstractNumId w:val="1"/>
  </w:num>
  <w:num w:numId="12">
    <w:abstractNumId w:val="18"/>
  </w:num>
  <w:num w:numId="13">
    <w:abstractNumId w:val="12"/>
  </w:num>
  <w:num w:numId="14">
    <w:abstractNumId w:val="8"/>
  </w:num>
  <w:num w:numId="15">
    <w:abstractNumId w:val="11"/>
  </w:num>
  <w:num w:numId="16">
    <w:abstractNumId w:val="2"/>
  </w:num>
  <w:num w:numId="17">
    <w:abstractNumId w:val="17"/>
  </w:num>
  <w:num w:numId="18">
    <w:abstractNumId w:val="25"/>
  </w:num>
  <w:num w:numId="19">
    <w:abstractNumId w:val="10"/>
  </w:num>
  <w:num w:numId="20">
    <w:abstractNumId w:val="7"/>
  </w:num>
  <w:num w:numId="21">
    <w:abstractNumId w:val="5"/>
  </w:num>
  <w:num w:numId="22">
    <w:abstractNumId w:val="15"/>
  </w:num>
  <w:num w:numId="23">
    <w:abstractNumId w:val="4"/>
  </w:num>
  <w:num w:numId="24">
    <w:abstractNumId w:val="9"/>
  </w:num>
  <w:num w:numId="25">
    <w:abstractNumId w:val="14"/>
  </w:num>
  <w:num w:numId="26">
    <w:abstractNumId w:val="19"/>
  </w:num>
  <w:num w:numId="27">
    <w:abstractNumId w:val="22"/>
  </w:num>
  <w:num w:numId="28">
    <w:abstractNumId w:val="21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34"/>
    <w:rsid w:val="00007B58"/>
    <w:rsid w:val="000123D4"/>
    <w:rsid w:val="00021AA8"/>
    <w:rsid w:val="00032A72"/>
    <w:rsid w:val="00034C46"/>
    <w:rsid w:val="00035ADE"/>
    <w:rsid w:val="000427A9"/>
    <w:rsid w:val="00044732"/>
    <w:rsid w:val="000547E6"/>
    <w:rsid w:val="00062BC4"/>
    <w:rsid w:val="00065DD2"/>
    <w:rsid w:val="00070CF6"/>
    <w:rsid w:val="00075420"/>
    <w:rsid w:val="000858C7"/>
    <w:rsid w:val="00097F71"/>
    <w:rsid w:val="000B2DD7"/>
    <w:rsid w:val="000E69ED"/>
    <w:rsid w:val="000F264B"/>
    <w:rsid w:val="00104CDC"/>
    <w:rsid w:val="001149E3"/>
    <w:rsid w:val="00122C50"/>
    <w:rsid w:val="0013437D"/>
    <w:rsid w:val="001343E8"/>
    <w:rsid w:val="00161A0F"/>
    <w:rsid w:val="00163EBB"/>
    <w:rsid w:val="001665A1"/>
    <w:rsid w:val="00175BFF"/>
    <w:rsid w:val="00192960"/>
    <w:rsid w:val="001968DA"/>
    <w:rsid w:val="001B6E53"/>
    <w:rsid w:val="001C3A11"/>
    <w:rsid w:val="001C474F"/>
    <w:rsid w:val="001D3B56"/>
    <w:rsid w:val="001E040C"/>
    <w:rsid w:val="001E7EE2"/>
    <w:rsid w:val="001F06F0"/>
    <w:rsid w:val="001F6BB3"/>
    <w:rsid w:val="001F75D5"/>
    <w:rsid w:val="002013C5"/>
    <w:rsid w:val="00213E7C"/>
    <w:rsid w:val="00221539"/>
    <w:rsid w:val="00222171"/>
    <w:rsid w:val="00235628"/>
    <w:rsid w:val="0023566D"/>
    <w:rsid w:val="00235926"/>
    <w:rsid w:val="002517EA"/>
    <w:rsid w:val="00255D3F"/>
    <w:rsid w:val="00272663"/>
    <w:rsid w:val="00272BD2"/>
    <w:rsid w:val="0027659C"/>
    <w:rsid w:val="00285FB1"/>
    <w:rsid w:val="002907D4"/>
    <w:rsid w:val="00292878"/>
    <w:rsid w:val="002932AE"/>
    <w:rsid w:val="00294496"/>
    <w:rsid w:val="002A2DD5"/>
    <w:rsid w:val="002A5AB3"/>
    <w:rsid w:val="002B1808"/>
    <w:rsid w:val="002C4FE1"/>
    <w:rsid w:val="002D73D1"/>
    <w:rsid w:val="002E35AD"/>
    <w:rsid w:val="002E4B86"/>
    <w:rsid w:val="002E5967"/>
    <w:rsid w:val="0030187B"/>
    <w:rsid w:val="00306D46"/>
    <w:rsid w:val="00320227"/>
    <w:rsid w:val="00321503"/>
    <w:rsid w:val="00343E10"/>
    <w:rsid w:val="00345F7D"/>
    <w:rsid w:val="0035584F"/>
    <w:rsid w:val="00367FB2"/>
    <w:rsid w:val="003711D5"/>
    <w:rsid w:val="003732E9"/>
    <w:rsid w:val="0037584C"/>
    <w:rsid w:val="00377BD9"/>
    <w:rsid w:val="00391D59"/>
    <w:rsid w:val="003A0BE9"/>
    <w:rsid w:val="003A18E3"/>
    <w:rsid w:val="003A1A81"/>
    <w:rsid w:val="003A6CBC"/>
    <w:rsid w:val="003A77E2"/>
    <w:rsid w:val="003B428C"/>
    <w:rsid w:val="003B564D"/>
    <w:rsid w:val="003B5BC8"/>
    <w:rsid w:val="003C3E74"/>
    <w:rsid w:val="003C4428"/>
    <w:rsid w:val="003E06EA"/>
    <w:rsid w:val="003F051E"/>
    <w:rsid w:val="003F1260"/>
    <w:rsid w:val="003F1F4B"/>
    <w:rsid w:val="003F56A9"/>
    <w:rsid w:val="003F7D9D"/>
    <w:rsid w:val="00400914"/>
    <w:rsid w:val="00400F7A"/>
    <w:rsid w:val="00413BAB"/>
    <w:rsid w:val="00416848"/>
    <w:rsid w:val="00421975"/>
    <w:rsid w:val="004231D9"/>
    <w:rsid w:val="00426BCE"/>
    <w:rsid w:val="00427DA9"/>
    <w:rsid w:val="00430B51"/>
    <w:rsid w:val="00431807"/>
    <w:rsid w:val="004319E1"/>
    <w:rsid w:val="00433FF5"/>
    <w:rsid w:val="00442DB4"/>
    <w:rsid w:val="00451C90"/>
    <w:rsid w:val="00453ED2"/>
    <w:rsid w:val="00455785"/>
    <w:rsid w:val="00466F58"/>
    <w:rsid w:val="00492831"/>
    <w:rsid w:val="0049674F"/>
    <w:rsid w:val="004A3F2F"/>
    <w:rsid w:val="004A7F7F"/>
    <w:rsid w:val="004B1277"/>
    <w:rsid w:val="004C0454"/>
    <w:rsid w:val="004C284E"/>
    <w:rsid w:val="004D064C"/>
    <w:rsid w:val="004D1C66"/>
    <w:rsid w:val="004D678D"/>
    <w:rsid w:val="004E1F10"/>
    <w:rsid w:val="004E441C"/>
    <w:rsid w:val="004E6876"/>
    <w:rsid w:val="004F2104"/>
    <w:rsid w:val="004F3415"/>
    <w:rsid w:val="005038F3"/>
    <w:rsid w:val="0050772C"/>
    <w:rsid w:val="00511F79"/>
    <w:rsid w:val="00515FC8"/>
    <w:rsid w:val="00516BBC"/>
    <w:rsid w:val="0052153A"/>
    <w:rsid w:val="00541ED2"/>
    <w:rsid w:val="00542666"/>
    <w:rsid w:val="00573BA2"/>
    <w:rsid w:val="00574363"/>
    <w:rsid w:val="00577482"/>
    <w:rsid w:val="00585050"/>
    <w:rsid w:val="00590F4E"/>
    <w:rsid w:val="00596049"/>
    <w:rsid w:val="005A1555"/>
    <w:rsid w:val="005A698E"/>
    <w:rsid w:val="005B31F9"/>
    <w:rsid w:val="005C02CD"/>
    <w:rsid w:val="005C0B6C"/>
    <w:rsid w:val="005D792E"/>
    <w:rsid w:val="005E7491"/>
    <w:rsid w:val="005F57B0"/>
    <w:rsid w:val="005F6D1F"/>
    <w:rsid w:val="005F7D2C"/>
    <w:rsid w:val="00602046"/>
    <w:rsid w:val="006178F9"/>
    <w:rsid w:val="0062489B"/>
    <w:rsid w:val="006350E7"/>
    <w:rsid w:val="00643052"/>
    <w:rsid w:val="00647C3A"/>
    <w:rsid w:val="006659E6"/>
    <w:rsid w:val="00666AA3"/>
    <w:rsid w:val="0066714A"/>
    <w:rsid w:val="0067182D"/>
    <w:rsid w:val="00676F52"/>
    <w:rsid w:val="006819C5"/>
    <w:rsid w:val="00683733"/>
    <w:rsid w:val="006869D4"/>
    <w:rsid w:val="006942D8"/>
    <w:rsid w:val="006A119E"/>
    <w:rsid w:val="006A1C56"/>
    <w:rsid w:val="006A4884"/>
    <w:rsid w:val="006A6431"/>
    <w:rsid w:val="006B467B"/>
    <w:rsid w:val="006C1105"/>
    <w:rsid w:val="006C1469"/>
    <w:rsid w:val="006C228E"/>
    <w:rsid w:val="006C306F"/>
    <w:rsid w:val="006D2423"/>
    <w:rsid w:val="006D3A77"/>
    <w:rsid w:val="006E6BEA"/>
    <w:rsid w:val="006F239D"/>
    <w:rsid w:val="0070150E"/>
    <w:rsid w:val="0071267B"/>
    <w:rsid w:val="00725DE7"/>
    <w:rsid w:val="0072640D"/>
    <w:rsid w:val="00726AB9"/>
    <w:rsid w:val="00726CA1"/>
    <w:rsid w:val="00727839"/>
    <w:rsid w:val="00740A68"/>
    <w:rsid w:val="00742F05"/>
    <w:rsid w:val="0074750D"/>
    <w:rsid w:val="00754904"/>
    <w:rsid w:val="007555D5"/>
    <w:rsid w:val="0075585E"/>
    <w:rsid w:val="00775E27"/>
    <w:rsid w:val="00775F85"/>
    <w:rsid w:val="00784352"/>
    <w:rsid w:val="007847CE"/>
    <w:rsid w:val="007A11E7"/>
    <w:rsid w:val="007B3A0D"/>
    <w:rsid w:val="007B48C5"/>
    <w:rsid w:val="007C342D"/>
    <w:rsid w:val="007C7169"/>
    <w:rsid w:val="007D3E51"/>
    <w:rsid w:val="007D5200"/>
    <w:rsid w:val="007D58F6"/>
    <w:rsid w:val="007F167F"/>
    <w:rsid w:val="007F1E2B"/>
    <w:rsid w:val="007F2D3D"/>
    <w:rsid w:val="00801AA9"/>
    <w:rsid w:val="00807660"/>
    <w:rsid w:val="00810625"/>
    <w:rsid w:val="00811A20"/>
    <w:rsid w:val="008129A9"/>
    <w:rsid w:val="00813409"/>
    <w:rsid w:val="00817926"/>
    <w:rsid w:val="00820D3C"/>
    <w:rsid w:val="00824F3D"/>
    <w:rsid w:val="00835964"/>
    <w:rsid w:val="008428B8"/>
    <w:rsid w:val="00846550"/>
    <w:rsid w:val="0085251C"/>
    <w:rsid w:val="00854F8D"/>
    <w:rsid w:val="00857BF8"/>
    <w:rsid w:val="008737A3"/>
    <w:rsid w:val="0087617E"/>
    <w:rsid w:val="0088483E"/>
    <w:rsid w:val="00886C97"/>
    <w:rsid w:val="00892681"/>
    <w:rsid w:val="00895EFE"/>
    <w:rsid w:val="008A7A32"/>
    <w:rsid w:val="008B149D"/>
    <w:rsid w:val="008B2141"/>
    <w:rsid w:val="008C015C"/>
    <w:rsid w:val="008C195E"/>
    <w:rsid w:val="008C1DB1"/>
    <w:rsid w:val="008D26AB"/>
    <w:rsid w:val="009028C6"/>
    <w:rsid w:val="0090444E"/>
    <w:rsid w:val="00905732"/>
    <w:rsid w:val="009144AA"/>
    <w:rsid w:val="0092660C"/>
    <w:rsid w:val="00935A18"/>
    <w:rsid w:val="00937856"/>
    <w:rsid w:val="00971A3A"/>
    <w:rsid w:val="009826E9"/>
    <w:rsid w:val="00987D10"/>
    <w:rsid w:val="009A2DAE"/>
    <w:rsid w:val="009A6BAE"/>
    <w:rsid w:val="009C0DA8"/>
    <w:rsid w:val="009C39F3"/>
    <w:rsid w:val="009D1FFB"/>
    <w:rsid w:val="009D586A"/>
    <w:rsid w:val="009D6C9F"/>
    <w:rsid w:val="009E2147"/>
    <w:rsid w:val="009E232A"/>
    <w:rsid w:val="009E4D60"/>
    <w:rsid w:val="009F38AF"/>
    <w:rsid w:val="009F4536"/>
    <w:rsid w:val="009F5ED1"/>
    <w:rsid w:val="00A01B04"/>
    <w:rsid w:val="00A03981"/>
    <w:rsid w:val="00A12197"/>
    <w:rsid w:val="00A129F0"/>
    <w:rsid w:val="00A2174B"/>
    <w:rsid w:val="00A2747E"/>
    <w:rsid w:val="00A275BB"/>
    <w:rsid w:val="00A33886"/>
    <w:rsid w:val="00A3612A"/>
    <w:rsid w:val="00A4555B"/>
    <w:rsid w:val="00A4736C"/>
    <w:rsid w:val="00A5625E"/>
    <w:rsid w:val="00A63BC5"/>
    <w:rsid w:val="00A64C19"/>
    <w:rsid w:val="00A71D9E"/>
    <w:rsid w:val="00A73E28"/>
    <w:rsid w:val="00A77F1F"/>
    <w:rsid w:val="00A83094"/>
    <w:rsid w:val="00A85660"/>
    <w:rsid w:val="00A91DF9"/>
    <w:rsid w:val="00A9387D"/>
    <w:rsid w:val="00AA3FB7"/>
    <w:rsid w:val="00AB13F9"/>
    <w:rsid w:val="00AB1D29"/>
    <w:rsid w:val="00AB4A37"/>
    <w:rsid w:val="00AB5CA8"/>
    <w:rsid w:val="00AC7DFE"/>
    <w:rsid w:val="00AD38DD"/>
    <w:rsid w:val="00AF4057"/>
    <w:rsid w:val="00AF5C95"/>
    <w:rsid w:val="00B0201C"/>
    <w:rsid w:val="00B104C8"/>
    <w:rsid w:val="00B13F69"/>
    <w:rsid w:val="00B2040A"/>
    <w:rsid w:val="00B32FEE"/>
    <w:rsid w:val="00B42E42"/>
    <w:rsid w:val="00B53055"/>
    <w:rsid w:val="00B572C6"/>
    <w:rsid w:val="00B572FD"/>
    <w:rsid w:val="00B617B3"/>
    <w:rsid w:val="00B72775"/>
    <w:rsid w:val="00B821EF"/>
    <w:rsid w:val="00B97100"/>
    <w:rsid w:val="00BA24B8"/>
    <w:rsid w:val="00BB0D4C"/>
    <w:rsid w:val="00BB32C2"/>
    <w:rsid w:val="00BC2939"/>
    <w:rsid w:val="00BC6241"/>
    <w:rsid w:val="00BD0D2D"/>
    <w:rsid w:val="00BE2D31"/>
    <w:rsid w:val="00BE47DF"/>
    <w:rsid w:val="00BE6E27"/>
    <w:rsid w:val="00BF7CD2"/>
    <w:rsid w:val="00C0310E"/>
    <w:rsid w:val="00C05189"/>
    <w:rsid w:val="00C07DE1"/>
    <w:rsid w:val="00C170FB"/>
    <w:rsid w:val="00C171EE"/>
    <w:rsid w:val="00C30D9E"/>
    <w:rsid w:val="00C43AFB"/>
    <w:rsid w:val="00C43EDE"/>
    <w:rsid w:val="00C47A06"/>
    <w:rsid w:val="00C57DAE"/>
    <w:rsid w:val="00C60763"/>
    <w:rsid w:val="00C60C69"/>
    <w:rsid w:val="00C616F4"/>
    <w:rsid w:val="00C63FD2"/>
    <w:rsid w:val="00C65ED0"/>
    <w:rsid w:val="00C70026"/>
    <w:rsid w:val="00C712C3"/>
    <w:rsid w:val="00C72217"/>
    <w:rsid w:val="00C72B76"/>
    <w:rsid w:val="00C745DF"/>
    <w:rsid w:val="00C81518"/>
    <w:rsid w:val="00C847DA"/>
    <w:rsid w:val="00C9795C"/>
    <w:rsid w:val="00CB1CE2"/>
    <w:rsid w:val="00CB4DD2"/>
    <w:rsid w:val="00CB7880"/>
    <w:rsid w:val="00CC186E"/>
    <w:rsid w:val="00CD17F9"/>
    <w:rsid w:val="00CD1D66"/>
    <w:rsid w:val="00CD643E"/>
    <w:rsid w:val="00CE4072"/>
    <w:rsid w:val="00CE49D8"/>
    <w:rsid w:val="00CE5FB3"/>
    <w:rsid w:val="00CF5F24"/>
    <w:rsid w:val="00D100A7"/>
    <w:rsid w:val="00D202FD"/>
    <w:rsid w:val="00D36C7D"/>
    <w:rsid w:val="00D5139E"/>
    <w:rsid w:val="00D55222"/>
    <w:rsid w:val="00D569D1"/>
    <w:rsid w:val="00D615D7"/>
    <w:rsid w:val="00D62E17"/>
    <w:rsid w:val="00D72B65"/>
    <w:rsid w:val="00D81394"/>
    <w:rsid w:val="00D817D9"/>
    <w:rsid w:val="00D8589D"/>
    <w:rsid w:val="00D859F5"/>
    <w:rsid w:val="00D9125B"/>
    <w:rsid w:val="00D92E2F"/>
    <w:rsid w:val="00D97F1B"/>
    <w:rsid w:val="00DA3BE7"/>
    <w:rsid w:val="00DB5ED4"/>
    <w:rsid w:val="00DC76EC"/>
    <w:rsid w:val="00DE37BF"/>
    <w:rsid w:val="00DF4189"/>
    <w:rsid w:val="00E10988"/>
    <w:rsid w:val="00E12511"/>
    <w:rsid w:val="00E14934"/>
    <w:rsid w:val="00E16C5A"/>
    <w:rsid w:val="00E337E0"/>
    <w:rsid w:val="00E35EBB"/>
    <w:rsid w:val="00E44CF4"/>
    <w:rsid w:val="00E51AAC"/>
    <w:rsid w:val="00E56034"/>
    <w:rsid w:val="00E63F8F"/>
    <w:rsid w:val="00E757E3"/>
    <w:rsid w:val="00E76805"/>
    <w:rsid w:val="00E76817"/>
    <w:rsid w:val="00E83C08"/>
    <w:rsid w:val="00EA049E"/>
    <w:rsid w:val="00EB1456"/>
    <w:rsid w:val="00EC0046"/>
    <w:rsid w:val="00EC1142"/>
    <w:rsid w:val="00ED2EFC"/>
    <w:rsid w:val="00ED3893"/>
    <w:rsid w:val="00EF2430"/>
    <w:rsid w:val="00EF312A"/>
    <w:rsid w:val="00EF7A01"/>
    <w:rsid w:val="00F01319"/>
    <w:rsid w:val="00F1349F"/>
    <w:rsid w:val="00F30F40"/>
    <w:rsid w:val="00F517E5"/>
    <w:rsid w:val="00F51B71"/>
    <w:rsid w:val="00F55E6F"/>
    <w:rsid w:val="00F63666"/>
    <w:rsid w:val="00F644E0"/>
    <w:rsid w:val="00F660C6"/>
    <w:rsid w:val="00F828D1"/>
    <w:rsid w:val="00F84686"/>
    <w:rsid w:val="00F86207"/>
    <w:rsid w:val="00F87A4E"/>
    <w:rsid w:val="00F9248E"/>
    <w:rsid w:val="00F9515D"/>
    <w:rsid w:val="00F97CE6"/>
    <w:rsid w:val="00FB10F6"/>
    <w:rsid w:val="00FB56F8"/>
    <w:rsid w:val="00FB7E77"/>
    <w:rsid w:val="00FC23D0"/>
    <w:rsid w:val="00FC7F05"/>
    <w:rsid w:val="00FD5116"/>
    <w:rsid w:val="00FE59E5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AE7D1CB"/>
  <w15:docId w15:val="{01AC9C05-14FC-4A22-997A-6275D57F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y">
    <w:name w:val="Normal"/>
    <w:qFormat/>
    <w:rsid w:val="008C015C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8C015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8C015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8C015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8C015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8C015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8C015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8C015C"/>
  </w:style>
  <w:style w:type="paragraph" w:styleId="Pta">
    <w:name w:val="footer"/>
    <w:basedOn w:val="Normlny"/>
    <w:link w:val="PtaChar"/>
    <w:uiPriority w:val="99"/>
    <w:rsid w:val="008C015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8C015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8C015C"/>
    <w:rPr>
      <w:color w:val="0000FF"/>
      <w:u w:val="single"/>
    </w:rPr>
  </w:style>
  <w:style w:type="paragraph" w:customStyle="1" w:styleId="EMEAEnBodyText">
    <w:name w:val="EMEA En Body Text"/>
    <w:basedOn w:val="Normlny"/>
    <w:rsid w:val="008C015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8C015C"/>
    <w:pPr>
      <w:ind w:left="0" w:firstLine="0"/>
    </w:pPr>
  </w:style>
  <w:style w:type="paragraph" w:styleId="Zkladntext2">
    <w:name w:val="Body Text 2"/>
    <w:basedOn w:val="Normlny"/>
    <w:rsid w:val="008C015C"/>
    <w:pPr>
      <w:spacing w:after="120" w:line="480" w:lineRule="auto"/>
    </w:pPr>
  </w:style>
  <w:style w:type="paragraph" w:customStyle="1" w:styleId="Style1">
    <w:name w:val="Style1"/>
    <w:basedOn w:val="Normlny"/>
    <w:rsid w:val="008C015C"/>
    <w:pPr>
      <w:ind w:left="0" w:firstLine="0"/>
    </w:pPr>
    <w:rPr>
      <w:rFonts w:ascii="Arial" w:hAnsi="Arial"/>
      <w:sz w:val="20"/>
      <w:szCs w:val="20"/>
      <w:lang w:val="en-US"/>
    </w:rPr>
  </w:style>
  <w:style w:type="paragraph" w:styleId="Dtum">
    <w:name w:val="Date"/>
    <w:basedOn w:val="Normlny"/>
    <w:next w:val="Normlny"/>
    <w:rsid w:val="008C015C"/>
  </w:style>
  <w:style w:type="paragraph" w:customStyle="1" w:styleId="AHeader1">
    <w:name w:val="AHeader 1"/>
    <w:basedOn w:val="Normlny"/>
    <w:rsid w:val="008C015C"/>
    <w:pPr>
      <w:numPr>
        <w:numId w:val="21"/>
      </w:numPr>
      <w:spacing w:after="120"/>
    </w:pPr>
    <w:rPr>
      <w:rFonts w:ascii="Arial" w:hAnsi="Arial" w:cs="Arial"/>
      <w:b/>
      <w:bCs/>
      <w:sz w:val="24"/>
      <w:szCs w:val="20"/>
      <w:lang w:val="en-US" w:eastAsia="ja-JP"/>
    </w:rPr>
  </w:style>
  <w:style w:type="paragraph" w:customStyle="1" w:styleId="AHeader2">
    <w:name w:val="AHeader 2"/>
    <w:basedOn w:val="AHeader1"/>
    <w:rsid w:val="008C015C"/>
    <w:pPr>
      <w:numPr>
        <w:ilvl w:val="1"/>
      </w:numPr>
      <w:tabs>
        <w:tab w:val="clear" w:pos="709"/>
        <w:tab w:val="num" w:pos="360"/>
      </w:tabs>
      <w:ind w:left="1800" w:hanging="360"/>
    </w:pPr>
    <w:rPr>
      <w:sz w:val="22"/>
    </w:rPr>
  </w:style>
  <w:style w:type="paragraph" w:customStyle="1" w:styleId="AHeader3">
    <w:name w:val="AHeader 3"/>
    <w:basedOn w:val="AHeader2"/>
    <w:rsid w:val="008C015C"/>
    <w:pPr>
      <w:numPr>
        <w:ilvl w:val="2"/>
      </w:numPr>
      <w:tabs>
        <w:tab w:val="clear" w:pos="1276"/>
        <w:tab w:val="num" w:pos="360"/>
      </w:tabs>
      <w:ind w:left="1800" w:hanging="360"/>
    </w:pPr>
  </w:style>
  <w:style w:type="paragraph" w:customStyle="1" w:styleId="AHeader2abc">
    <w:name w:val="AHeader 2 abc"/>
    <w:basedOn w:val="AHeader3"/>
    <w:rsid w:val="008C015C"/>
    <w:pPr>
      <w:numPr>
        <w:ilvl w:val="3"/>
      </w:numPr>
      <w:tabs>
        <w:tab w:val="clear" w:pos="1276"/>
        <w:tab w:val="num" w:pos="360"/>
      </w:tabs>
      <w:ind w:left="180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8C015C"/>
    <w:pPr>
      <w:numPr>
        <w:ilvl w:val="4"/>
      </w:numPr>
      <w:tabs>
        <w:tab w:val="clear" w:pos="1701"/>
        <w:tab w:val="num" w:pos="360"/>
      </w:tabs>
      <w:ind w:left="1800" w:hanging="360"/>
    </w:pPr>
  </w:style>
  <w:style w:type="paragraph" w:customStyle="1" w:styleId="TextDash">
    <w:name w:val="Text:Dash"/>
    <w:basedOn w:val="Normlny"/>
    <w:rsid w:val="008C015C"/>
    <w:pPr>
      <w:numPr>
        <w:numId w:val="22"/>
      </w:numPr>
      <w:tabs>
        <w:tab w:val="clear" w:pos="357"/>
        <w:tab w:val="num" w:pos="360"/>
      </w:tabs>
      <w:spacing w:after="170" w:line="280" w:lineRule="atLeast"/>
      <w:ind w:left="360" w:hanging="360"/>
      <w:jc w:val="both"/>
    </w:pPr>
    <w:rPr>
      <w:sz w:val="24"/>
      <w:lang w:val="en-US" w:eastAsia="de-DE"/>
    </w:rPr>
  </w:style>
  <w:style w:type="paragraph" w:styleId="Textbubliny">
    <w:name w:val="Balloon Text"/>
    <w:basedOn w:val="Normlny"/>
    <w:semiHidden/>
    <w:rsid w:val="00E1493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9E2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9F4536"/>
    <w:rPr>
      <w:sz w:val="22"/>
      <w:szCs w:val="24"/>
      <w:lang w:val="sk-SK" w:eastAsia="sk-SK"/>
    </w:rPr>
  </w:style>
  <w:style w:type="paragraph" w:customStyle="1" w:styleId="TextTi10">
    <w:name w:val="Text:Ti10"/>
    <w:basedOn w:val="Normlny"/>
    <w:link w:val="TextTi10Char"/>
    <w:rsid w:val="0062489B"/>
    <w:pPr>
      <w:ind w:left="0" w:firstLine="0"/>
    </w:pPr>
    <w:rPr>
      <w:sz w:val="20"/>
      <w:szCs w:val="20"/>
      <w:lang w:eastAsia="ja-JP"/>
    </w:rPr>
  </w:style>
  <w:style w:type="character" w:customStyle="1" w:styleId="TextTi10Char">
    <w:name w:val="Text:Ti10 Char"/>
    <w:link w:val="TextTi10"/>
    <w:rsid w:val="0062489B"/>
    <w:rPr>
      <w:lang w:eastAsia="ja-JP"/>
    </w:rPr>
  </w:style>
  <w:style w:type="paragraph" w:customStyle="1" w:styleId="TextTi12">
    <w:name w:val="Text:Ti12"/>
    <w:basedOn w:val="Normlny"/>
    <w:rsid w:val="001D3B56"/>
    <w:pPr>
      <w:spacing w:after="170" w:line="280" w:lineRule="atLeast"/>
      <w:ind w:left="0" w:firstLine="0"/>
      <w:jc w:val="both"/>
    </w:pPr>
    <w:rPr>
      <w:rFonts w:eastAsia="MS Mincho"/>
      <w:sz w:val="24"/>
      <w:lang w:val="en-US" w:eastAsia="ja-JP"/>
    </w:rPr>
  </w:style>
  <w:style w:type="character" w:customStyle="1" w:styleId="HlavikaChar">
    <w:name w:val="Hlavička Char"/>
    <w:link w:val="Hlavika"/>
    <w:rsid w:val="00BE6E27"/>
    <w:rPr>
      <w:rFonts w:ascii="Helvetica" w:hAnsi="Helvetica"/>
      <w:lang w:val="cs-CZ" w:eastAsia="en-US"/>
    </w:rPr>
  </w:style>
  <w:style w:type="character" w:customStyle="1" w:styleId="PtaChar">
    <w:name w:val="Päta Char"/>
    <w:link w:val="Pta"/>
    <w:uiPriority w:val="99"/>
    <w:rsid w:val="00D72B65"/>
    <w:rPr>
      <w:rFonts w:ascii="Helvetica" w:hAnsi="Helvetica"/>
      <w:sz w:val="16"/>
      <w:lang w:val="cs-CZ" w:eastAsia="en-US"/>
    </w:rPr>
  </w:style>
  <w:style w:type="character" w:styleId="Odkaznakomentr">
    <w:name w:val="annotation reference"/>
    <w:rsid w:val="0057436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743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74363"/>
  </w:style>
  <w:style w:type="paragraph" w:styleId="Predmetkomentra">
    <w:name w:val="annotation subject"/>
    <w:basedOn w:val="Textkomentra"/>
    <w:next w:val="Textkomentra"/>
    <w:link w:val="PredmetkomentraChar"/>
    <w:rsid w:val="00574363"/>
    <w:rPr>
      <w:b/>
      <w:bCs/>
    </w:rPr>
  </w:style>
  <w:style w:type="character" w:customStyle="1" w:styleId="PredmetkomentraChar">
    <w:name w:val="Predmet komentára Char"/>
    <w:link w:val="Predmetkomentra"/>
    <w:rsid w:val="00574363"/>
    <w:rPr>
      <w:b/>
      <w:bCs/>
    </w:rPr>
  </w:style>
  <w:style w:type="paragraph" w:customStyle="1" w:styleId="big">
    <w:name w:val="big"/>
    <w:basedOn w:val="Normlny"/>
    <w:rsid w:val="005A1555"/>
    <w:pPr>
      <w:ind w:left="188" w:right="188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0598-D6E0-452B-ACF6-421FAD04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8215</Words>
  <Characters>46827</Characters>
  <Application>Microsoft Office Word</Application>
  <DocSecurity>0</DocSecurity>
  <Lines>390</Lines>
  <Paragraphs>109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54933</CharactersWithSpaces>
  <SharedDoc>false</SharedDoc>
  <HLinks>
    <vt:vector size="6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marosz</dc:creator>
  <cp:keywords/>
  <cp:lastModifiedBy>Marcela Kulcsarová</cp:lastModifiedBy>
  <cp:revision>3</cp:revision>
  <cp:lastPrinted>2014-07-10T11:01:00Z</cp:lastPrinted>
  <dcterms:created xsi:type="dcterms:W3CDTF">2018-05-31T07:03:00Z</dcterms:created>
  <dcterms:modified xsi:type="dcterms:W3CDTF">2018-05-31T07:03:00Z</dcterms:modified>
</cp:coreProperties>
</file>