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7E575" w14:textId="77777777" w:rsidR="00722412" w:rsidRPr="00927728" w:rsidRDefault="00722412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5B7A7CB7" w14:textId="77777777" w:rsidR="00C1656D" w:rsidRPr="001358B9" w:rsidRDefault="00C1656D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>SÚHRN CHARAKTERISTICKÝCH VLASTNOSTÍ LIEKU</w:t>
      </w:r>
    </w:p>
    <w:p w14:paraId="050F4FB3" w14:textId="77777777" w:rsidR="00C1656D" w:rsidRPr="001358B9" w:rsidRDefault="00C1656D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377149FD" w14:textId="77777777" w:rsidR="00C1656D" w:rsidRPr="001358B9" w:rsidRDefault="00C1656D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10303F16" w14:textId="77777777" w:rsidR="00C51A9C" w:rsidRPr="001358B9" w:rsidRDefault="00C51A9C" w:rsidP="009F07FA">
      <w:pPr>
        <w:widowControl w:val="0"/>
        <w:numPr>
          <w:ilvl w:val="0"/>
          <w:numId w:val="1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NÁZOV LIEKU </w:t>
      </w:r>
    </w:p>
    <w:p w14:paraId="25F0F01B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67497D4" w14:textId="3CC8ADFE" w:rsidR="000241CE" w:rsidRPr="001358B9" w:rsidRDefault="00EE274B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Pemetrexed Pharmevid 500 mg</w:t>
      </w:r>
      <w:r w:rsidR="00C51A9C" w:rsidRPr="001358B9">
        <w:rPr>
          <w:rFonts w:ascii="Times New Roman" w:hAnsi="Times New Roman"/>
          <w:color w:val="000000"/>
        </w:rPr>
        <w:t xml:space="preserve"> </w:t>
      </w:r>
      <w:r w:rsidR="000241CE" w:rsidRPr="001358B9">
        <w:rPr>
          <w:rFonts w:ascii="Times New Roman" w:hAnsi="Times New Roman"/>
          <w:color w:val="000000"/>
        </w:rPr>
        <w:t xml:space="preserve">prášok na </w:t>
      </w:r>
      <w:r w:rsidR="001F6987" w:rsidRPr="001358B9">
        <w:rPr>
          <w:rFonts w:ascii="Times New Roman" w:hAnsi="Times New Roman"/>
          <w:color w:val="000000"/>
        </w:rPr>
        <w:t xml:space="preserve">prípravu </w:t>
      </w:r>
      <w:r w:rsidR="000241CE" w:rsidRPr="001358B9">
        <w:rPr>
          <w:rFonts w:ascii="Times New Roman" w:hAnsi="Times New Roman"/>
          <w:color w:val="000000"/>
        </w:rPr>
        <w:t>infúzn</w:t>
      </w:r>
      <w:r w:rsidR="001F6987" w:rsidRPr="001358B9">
        <w:rPr>
          <w:rFonts w:ascii="Times New Roman" w:hAnsi="Times New Roman"/>
          <w:color w:val="000000"/>
        </w:rPr>
        <w:t>eho</w:t>
      </w:r>
      <w:r w:rsidR="000241CE" w:rsidRPr="001358B9">
        <w:rPr>
          <w:rFonts w:ascii="Times New Roman" w:hAnsi="Times New Roman"/>
          <w:color w:val="000000"/>
        </w:rPr>
        <w:t xml:space="preserve"> koncentrát</w:t>
      </w:r>
      <w:r w:rsidR="001F6987" w:rsidRPr="001358B9">
        <w:rPr>
          <w:rFonts w:ascii="Times New Roman" w:hAnsi="Times New Roman"/>
          <w:color w:val="000000"/>
        </w:rPr>
        <w:t>u</w:t>
      </w:r>
    </w:p>
    <w:p w14:paraId="41F14F12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1734213" w14:textId="77777777" w:rsidR="00850727" w:rsidRPr="001358B9" w:rsidRDefault="00850727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DBAB942" w14:textId="77777777" w:rsidR="00C51A9C" w:rsidRPr="001358B9" w:rsidRDefault="00C51A9C" w:rsidP="009F07FA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KVALITATÍVNE A KVANTITATÍVNE ZLOŽENIE </w:t>
      </w:r>
    </w:p>
    <w:p w14:paraId="1F61D11A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69F87CC" w14:textId="429B8E60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Každá injekčná liekovka obsahuje </w:t>
      </w:r>
      <w:r w:rsidR="00541CF8" w:rsidRPr="001358B9">
        <w:rPr>
          <w:rFonts w:ascii="Times New Roman" w:hAnsi="Times New Roman"/>
          <w:color w:val="000000"/>
        </w:rPr>
        <w:t>500 </w:t>
      </w:r>
      <w:r w:rsidRPr="001358B9">
        <w:rPr>
          <w:rFonts w:ascii="Times New Roman" w:hAnsi="Times New Roman"/>
          <w:color w:val="000000"/>
        </w:rPr>
        <w:t>mg pemetrexedu (</w:t>
      </w:r>
      <w:r w:rsidR="00D211BE" w:rsidRPr="001358B9">
        <w:rPr>
          <w:rFonts w:ascii="Times New Roman" w:hAnsi="Times New Roman"/>
          <w:color w:val="000000"/>
        </w:rPr>
        <w:t>vo forme</w:t>
      </w:r>
      <w:r w:rsidRPr="001358B9">
        <w:rPr>
          <w:rFonts w:ascii="Times New Roman" w:hAnsi="Times New Roman"/>
          <w:color w:val="000000"/>
        </w:rPr>
        <w:t xml:space="preserve"> </w:t>
      </w:r>
      <w:r w:rsidR="0036275A" w:rsidRPr="001358B9">
        <w:rPr>
          <w:rFonts w:ascii="Times New Roman" w:hAnsi="Times New Roman"/>
          <w:bCs/>
        </w:rPr>
        <w:t>pemetrexedu, disodnej soli</w:t>
      </w:r>
      <w:r w:rsidRPr="001358B9">
        <w:rPr>
          <w:rFonts w:ascii="Times New Roman" w:hAnsi="Times New Roman"/>
          <w:color w:val="000000"/>
        </w:rPr>
        <w:t>).</w:t>
      </w:r>
    </w:p>
    <w:p w14:paraId="31295D2D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AE84671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Po rekonštitúcii (pozri časť 6.6) obsahuje každá injekčná liekovka 25 mg/ml pemetrexedu.</w:t>
      </w:r>
    </w:p>
    <w:p w14:paraId="5BE30E47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0A7A099" w14:textId="77777777" w:rsidR="00850727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  <w:u w:val="single"/>
        </w:rPr>
        <w:t>Pomocn</w:t>
      </w:r>
      <w:r w:rsidR="00190544" w:rsidRPr="001358B9">
        <w:rPr>
          <w:rFonts w:ascii="Times New Roman" w:hAnsi="Times New Roman"/>
          <w:color w:val="000000"/>
          <w:u w:val="single"/>
        </w:rPr>
        <w:t>é</w:t>
      </w:r>
      <w:r w:rsidRPr="001358B9">
        <w:rPr>
          <w:rFonts w:ascii="Times New Roman" w:hAnsi="Times New Roman"/>
          <w:color w:val="000000"/>
          <w:u w:val="single"/>
        </w:rPr>
        <w:t xml:space="preserve"> látk</w:t>
      </w:r>
      <w:r w:rsidR="00190544" w:rsidRPr="001358B9">
        <w:rPr>
          <w:rFonts w:ascii="Times New Roman" w:hAnsi="Times New Roman"/>
          <w:color w:val="000000"/>
          <w:u w:val="single"/>
        </w:rPr>
        <w:t>y</w:t>
      </w:r>
      <w:r w:rsidRPr="001358B9">
        <w:rPr>
          <w:rFonts w:ascii="Times New Roman" w:hAnsi="Times New Roman"/>
          <w:color w:val="000000"/>
          <w:u w:val="single"/>
        </w:rPr>
        <w:t xml:space="preserve"> so známym účinkom:</w:t>
      </w:r>
      <w:r w:rsidRPr="001358B9">
        <w:rPr>
          <w:rFonts w:ascii="Times New Roman" w:hAnsi="Times New Roman"/>
          <w:color w:val="000000"/>
        </w:rPr>
        <w:t xml:space="preserve"> </w:t>
      </w:r>
    </w:p>
    <w:p w14:paraId="29C8C927" w14:textId="63608602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>Každá</w:t>
      </w:r>
      <w:r w:rsidR="00850727" w:rsidRPr="001358B9">
        <w:rPr>
          <w:rFonts w:ascii="Times New Roman" w:hAnsi="Times New Roman"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 xml:space="preserve">injekčná liekovka obsahuje približne </w:t>
      </w:r>
      <w:r w:rsidR="00541CF8" w:rsidRPr="001358B9">
        <w:rPr>
          <w:rFonts w:ascii="Times New Roman" w:hAnsi="Times New Roman"/>
          <w:color w:val="000000"/>
        </w:rPr>
        <w:t>2,4 mmol (alebo 54</w:t>
      </w:r>
      <w:r w:rsidRPr="001358B9">
        <w:rPr>
          <w:rFonts w:ascii="Times New Roman" w:hAnsi="Times New Roman"/>
          <w:color w:val="000000"/>
        </w:rPr>
        <w:t xml:space="preserve"> mg</w:t>
      </w:r>
      <w:r w:rsidR="00541CF8" w:rsidRPr="001358B9">
        <w:rPr>
          <w:rFonts w:ascii="Times New Roman" w:hAnsi="Times New Roman"/>
          <w:color w:val="000000"/>
        </w:rPr>
        <w:t>)</w:t>
      </w:r>
      <w:r w:rsidRPr="001358B9">
        <w:rPr>
          <w:rFonts w:ascii="Times New Roman" w:hAnsi="Times New Roman"/>
          <w:color w:val="000000"/>
        </w:rPr>
        <w:t xml:space="preserve"> sodíka.</w:t>
      </w:r>
    </w:p>
    <w:p w14:paraId="357B8ECB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021D0CB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Úplný zoznam pomocných látok, pozri časť 6.1.</w:t>
      </w:r>
    </w:p>
    <w:p w14:paraId="0C53EDCA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AD62365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189855" w14:textId="77777777" w:rsidR="00C51A9C" w:rsidRPr="001358B9" w:rsidRDefault="00C51A9C" w:rsidP="009F07FA">
      <w:pPr>
        <w:widowControl w:val="0"/>
        <w:numPr>
          <w:ilvl w:val="0"/>
          <w:numId w:val="3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LIEKOVÁ FORMA </w:t>
      </w:r>
    </w:p>
    <w:p w14:paraId="4E98C906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664C458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Prášok na </w:t>
      </w:r>
      <w:r w:rsidR="00C3554D" w:rsidRPr="001358B9">
        <w:rPr>
          <w:rFonts w:ascii="Times New Roman" w:hAnsi="Times New Roman"/>
          <w:color w:val="000000"/>
        </w:rPr>
        <w:t xml:space="preserve">prípravu </w:t>
      </w:r>
      <w:r w:rsidRPr="001358B9">
        <w:rPr>
          <w:rFonts w:ascii="Times New Roman" w:hAnsi="Times New Roman"/>
          <w:color w:val="000000"/>
        </w:rPr>
        <w:t>infúzn</w:t>
      </w:r>
      <w:r w:rsidR="00C3554D" w:rsidRPr="001358B9">
        <w:rPr>
          <w:rFonts w:ascii="Times New Roman" w:hAnsi="Times New Roman"/>
          <w:color w:val="000000"/>
        </w:rPr>
        <w:t>eho</w:t>
      </w:r>
      <w:r w:rsidRPr="001358B9">
        <w:rPr>
          <w:rFonts w:ascii="Times New Roman" w:hAnsi="Times New Roman"/>
          <w:color w:val="000000"/>
        </w:rPr>
        <w:t xml:space="preserve"> koncentrát</w:t>
      </w:r>
      <w:r w:rsidR="00C3554D" w:rsidRPr="001358B9">
        <w:rPr>
          <w:rFonts w:ascii="Times New Roman" w:hAnsi="Times New Roman"/>
          <w:color w:val="000000"/>
        </w:rPr>
        <w:t>u</w:t>
      </w:r>
      <w:r w:rsidRPr="001358B9">
        <w:rPr>
          <w:rFonts w:ascii="Times New Roman" w:hAnsi="Times New Roman"/>
          <w:color w:val="000000"/>
        </w:rPr>
        <w:t>.</w:t>
      </w:r>
    </w:p>
    <w:p w14:paraId="72CD43A6" w14:textId="77777777" w:rsidR="00544736" w:rsidRPr="001358B9" w:rsidRDefault="00544736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7A935C9" w14:textId="2DA21693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Biely až svetložltý </w:t>
      </w:r>
      <w:r w:rsidR="00541CF8" w:rsidRPr="001358B9">
        <w:rPr>
          <w:rFonts w:ascii="Times New Roman" w:hAnsi="Times New Roman"/>
          <w:color w:val="000000"/>
        </w:rPr>
        <w:t xml:space="preserve">alebo zelenožltý lyofilizovaný </w:t>
      </w:r>
      <w:r w:rsidR="009F2BB9" w:rsidRPr="001358B9">
        <w:rPr>
          <w:rFonts w:ascii="Times New Roman" w:hAnsi="Times New Roman"/>
          <w:color w:val="000000"/>
        </w:rPr>
        <w:t xml:space="preserve">koláč alebo </w:t>
      </w:r>
      <w:r w:rsidRPr="001358B9">
        <w:rPr>
          <w:rFonts w:ascii="Times New Roman" w:hAnsi="Times New Roman"/>
          <w:color w:val="000000"/>
        </w:rPr>
        <w:t>prášok.</w:t>
      </w:r>
    </w:p>
    <w:p w14:paraId="41812AE0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3569876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23AC79" w14:textId="77777777" w:rsidR="00C51A9C" w:rsidRPr="001358B9" w:rsidRDefault="00C51A9C" w:rsidP="009F07FA">
      <w:pPr>
        <w:widowControl w:val="0"/>
        <w:numPr>
          <w:ilvl w:val="0"/>
          <w:numId w:val="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KLINICKÉ ÚDAJE </w:t>
      </w:r>
    </w:p>
    <w:p w14:paraId="7F9C9457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4F3CD82" w14:textId="77777777" w:rsidR="00C51A9C" w:rsidRPr="001358B9" w:rsidRDefault="00C51A9C" w:rsidP="009F07FA">
      <w:pPr>
        <w:widowControl w:val="0"/>
        <w:numPr>
          <w:ilvl w:val="0"/>
          <w:numId w:val="5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Terapeutické indikácie </w:t>
      </w:r>
    </w:p>
    <w:p w14:paraId="081FD078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78D2FB6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  <w:u w:val="single"/>
        </w:rPr>
        <w:t>Malígny mezotelióm pleury</w:t>
      </w:r>
    </w:p>
    <w:p w14:paraId="0E6C21BA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556906B" w14:textId="5AF54776" w:rsidR="00C51A9C" w:rsidRPr="001358B9" w:rsidRDefault="00541CF8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Pemetrexed Pharmevid</w:t>
      </w:r>
      <w:r w:rsidR="00C51A9C" w:rsidRPr="001358B9">
        <w:rPr>
          <w:rFonts w:ascii="Times New Roman" w:hAnsi="Times New Roman"/>
          <w:color w:val="000000"/>
        </w:rPr>
        <w:t xml:space="preserve"> v kombinácii s cisplatinou je indikovaný </w:t>
      </w:r>
      <w:r w:rsidR="0072645E" w:rsidRPr="001358B9">
        <w:rPr>
          <w:rFonts w:ascii="Times New Roman" w:hAnsi="Times New Roman"/>
          <w:color w:val="000000"/>
        </w:rPr>
        <w:t xml:space="preserve">pacientom bez predchádzajúcej chemoterapie </w:t>
      </w:r>
      <w:r w:rsidR="00C51A9C" w:rsidRPr="001358B9">
        <w:rPr>
          <w:rFonts w:ascii="Times New Roman" w:hAnsi="Times New Roman"/>
          <w:color w:val="000000"/>
        </w:rPr>
        <w:t>na liečbu neresekovateľn</w:t>
      </w:r>
      <w:r w:rsidR="0072645E" w:rsidRPr="001358B9">
        <w:rPr>
          <w:rFonts w:ascii="Times New Roman" w:hAnsi="Times New Roman"/>
          <w:color w:val="000000"/>
        </w:rPr>
        <w:t>ého</w:t>
      </w:r>
      <w:r w:rsidR="00C51A9C" w:rsidRPr="001358B9">
        <w:rPr>
          <w:rFonts w:ascii="Times New Roman" w:hAnsi="Times New Roman"/>
          <w:color w:val="000000"/>
        </w:rPr>
        <w:t xml:space="preserve"> malígn</w:t>
      </w:r>
      <w:r w:rsidR="0072645E" w:rsidRPr="001358B9">
        <w:rPr>
          <w:rFonts w:ascii="Times New Roman" w:hAnsi="Times New Roman"/>
          <w:color w:val="000000"/>
        </w:rPr>
        <w:t>eho</w:t>
      </w:r>
      <w:r w:rsidR="00C51A9C" w:rsidRPr="001358B9">
        <w:rPr>
          <w:rFonts w:ascii="Times New Roman" w:hAnsi="Times New Roman"/>
          <w:color w:val="000000"/>
        </w:rPr>
        <w:t xml:space="preserve"> mezotelióm</w:t>
      </w:r>
      <w:r w:rsidR="0072645E" w:rsidRPr="001358B9">
        <w:rPr>
          <w:rFonts w:ascii="Times New Roman" w:hAnsi="Times New Roman"/>
          <w:color w:val="000000"/>
        </w:rPr>
        <w:t>u</w:t>
      </w:r>
      <w:r w:rsidR="00C51A9C" w:rsidRPr="001358B9">
        <w:rPr>
          <w:rFonts w:ascii="Times New Roman" w:hAnsi="Times New Roman"/>
          <w:color w:val="000000"/>
        </w:rPr>
        <w:t xml:space="preserve"> pleury.</w:t>
      </w:r>
    </w:p>
    <w:p w14:paraId="44EF4D62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B7893C0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  <w:u w:val="single"/>
        </w:rPr>
        <w:t>Nemalobunkový karcinóm pľúc</w:t>
      </w:r>
    </w:p>
    <w:p w14:paraId="4BC8FCD9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898F156" w14:textId="3F246865" w:rsidR="00C51A9C" w:rsidRPr="001358B9" w:rsidRDefault="00541CF8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Pemetrexed Pharmevid </w:t>
      </w:r>
      <w:r w:rsidR="00C51A9C" w:rsidRPr="001358B9">
        <w:rPr>
          <w:rFonts w:ascii="Times New Roman" w:hAnsi="Times New Roman"/>
          <w:color w:val="000000"/>
        </w:rPr>
        <w:t xml:space="preserve">v kombinácii s cisplatinou je indikovaný </w:t>
      </w:r>
      <w:r w:rsidR="00005735" w:rsidRPr="001358B9">
        <w:rPr>
          <w:rFonts w:ascii="Times New Roman" w:hAnsi="Times New Roman"/>
          <w:color w:val="000000"/>
        </w:rPr>
        <w:t xml:space="preserve">pacientom </w:t>
      </w:r>
      <w:r w:rsidR="00241722" w:rsidRPr="001358B9">
        <w:rPr>
          <w:rFonts w:ascii="Times New Roman" w:hAnsi="Times New Roman"/>
          <w:color w:val="000000"/>
        </w:rPr>
        <w:t xml:space="preserve">v </w:t>
      </w:r>
      <w:r w:rsidR="00B43D7E" w:rsidRPr="001358B9">
        <w:rPr>
          <w:rFonts w:ascii="Times New Roman" w:hAnsi="Times New Roman"/>
          <w:color w:val="000000"/>
        </w:rPr>
        <w:t>prvej línii</w:t>
      </w:r>
      <w:r w:rsidR="00005735" w:rsidRPr="001358B9">
        <w:rPr>
          <w:rFonts w:ascii="Times New Roman" w:hAnsi="Times New Roman"/>
          <w:color w:val="000000"/>
        </w:rPr>
        <w:t xml:space="preserve"> na</w:t>
      </w:r>
      <w:r w:rsidR="00C51A9C" w:rsidRPr="001358B9">
        <w:rPr>
          <w:rFonts w:ascii="Times New Roman" w:hAnsi="Times New Roman"/>
          <w:color w:val="000000"/>
        </w:rPr>
        <w:t xml:space="preserve"> liečb</w:t>
      </w:r>
      <w:r w:rsidR="00005735" w:rsidRPr="001358B9">
        <w:rPr>
          <w:rFonts w:ascii="Times New Roman" w:hAnsi="Times New Roman"/>
          <w:color w:val="000000"/>
        </w:rPr>
        <w:t>u</w:t>
      </w:r>
      <w:r w:rsidR="00C51A9C" w:rsidRPr="001358B9">
        <w:rPr>
          <w:rFonts w:ascii="Times New Roman" w:hAnsi="Times New Roman"/>
          <w:color w:val="000000"/>
        </w:rPr>
        <w:t xml:space="preserve"> lokálne pokročil</w:t>
      </w:r>
      <w:r w:rsidR="00005735" w:rsidRPr="001358B9">
        <w:rPr>
          <w:rFonts w:ascii="Times New Roman" w:hAnsi="Times New Roman"/>
          <w:color w:val="000000"/>
        </w:rPr>
        <w:t>ého</w:t>
      </w:r>
      <w:r w:rsidR="00C51A9C" w:rsidRPr="001358B9">
        <w:rPr>
          <w:rFonts w:ascii="Times New Roman" w:hAnsi="Times New Roman"/>
          <w:color w:val="000000"/>
        </w:rPr>
        <w:t xml:space="preserve"> alebo metastatick</w:t>
      </w:r>
      <w:r w:rsidR="00005735" w:rsidRPr="001358B9">
        <w:rPr>
          <w:rFonts w:ascii="Times New Roman" w:hAnsi="Times New Roman"/>
          <w:color w:val="000000"/>
        </w:rPr>
        <w:t>ého</w:t>
      </w:r>
      <w:r w:rsidR="00C51A9C" w:rsidRPr="001358B9">
        <w:rPr>
          <w:rFonts w:ascii="Times New Roman" w:hAnsi="Times New Roman"/>
          <w:color w:val="000000"/>
        </w:rPr>
        <w:t xml:space="preserve"> nemalobunkov</w:t>
      </w:r>
      <w:r w:rsidR="00005735" w:rsidRPr="001358B9">
        <w:rPr>
          <w:rFonts w:ascii="Times New Roman" w:hAnsi="Times New Roman"/>
          <w:color w:val="000000"/>
        </w:rPr>
        <w:t>ého</w:t>
      </w:r>
      <w:r w:rsidR="00C51A9C" w:rsidRPr="001358B9">
        <w:rPr>
          <w:rFonts w:ascii="Times New Roman" w:hAnsi="Times New Roman"/>
          <w:color w:val="000000"/>
        </w:rPr>
        <w:t xml:space="preserve"> karcinóm</w:t>
      </w:r>
      <w:r w:rsidR="00005735" w:rsidRPr="001358B9">
        <w:rPr>
          <w:rFonts w:ascii="Times New Roman" w:hAnsi="Times New Roman"/>
          <w:color w:val="000000"/>
        </w:rPr>
        <w:t>u</w:t>
      </w:r>
      <w:r w:rsidR="00C51A9C" w:rsidRPr="001358B9">
        <w:rPr>
          <w:rFonts w:ascii="Times New Roman" w:hAnsi="Times New Roman"/>
          <w:color w:val="000000"/>
        </w:rPr>
        <w:t xml:space="preserve"> pľúc okrem prevažne skvamóznej bunkovej histológie (pozri časť 5.1).</w:t>
      </w:r>
    </w:p>
    <w:p w14:paraId="1E6F6EA6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F49A44" w14:textId="26623A7B" w:rsidR="00C51A9C" w:rsidRPr="001358B9" w:rsidRDefault="00541CF8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Pemetrexed Pharmevid</w:t>
      </w:r>
      <w:r w:rsidR="00C51A9C" w:rsidRPr="001358B9">
        <w:rPr>
          <w:rFonts w:ascii="Times New Roman" w:hAnsi="Times New Roman"/>
          <w:color w:val="000000"/>
        </w:rPr>
        <w:t xml:space="preserve"> je indikovaný </w:t>
      </w:r>
      <w:r w:rsidR="00082CA8" w:rsidRPr="001358B9">
        <w:rPr>
          <w:rFonts w:ascii="Times New Roman" w:hAnsi="Times New Roman"/>
          <w:color w:val="000000"/>
        </w:rPr>
        <w:t xml:space="preserve">v monoterapii </w:t>
      </w:r>
      <w:r w:rsidR="0023113B" w:rsidRPr="001358B9">
        <w:rPr>
          <w:rFonts w:ascii="Times New Roman" w:hAnsi="Times New Roman"/>
          <w:color w:val="000000"/>
        </w:rPr>
        <w:t xml:space="preserve">pacientom </w:t>
      </w:r>
      <w:r w:rsidR="00C51A9C" w:rsidRPr="001358B9">
        <w:rPr>
          <w:rFonts w:ascii="Times New Roman" w:hAnsi="Times New Roman"/>
          <w:color w:val="000000"/>
        </w:rPr>
        <w:t>na udržiavaciu liečbu lokálne pokročilého alebo metast</w:t>
      </w:r>
      <w:r w:rsidR="00343BE0" w:rsidRPr="001358B9">
        <w:rPr>
          <w:rFonts w:ascii="Times New Roman" w:hAnsi="Times New Roman"/>
          <w:color w:val="000000"/>
        </w:rPr>
        <w:t>atické</w:t>
      </w:r>
      <w:r w:rsidR="00C51A9C" w:rsidRPr="001358B9">
        <w:rPr>
          <w:rFonts w:ascii="Times New Roman" w:hAnsi="Times New Roman"/>
          <w:color w:val="000000"/>
        </w:rPr>
        <w:t>ho nemalobunkového karcinómu pľúc, inej ako prevažne skvamóznej bunkovej histológie, u ktorých po chemoterapii založenej na platine nedošlo k bezprostrednej progresii ochorenia (pozri časť 5.1).</w:t>
      </w:r>
    </w:p>
    <w:p w14:paraId="49CEF2E0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34862DA" w14:textId="0B4B92F3" w:rsidR="00C51A9C" w:rsidRPr="001358B9" w:rsidRDefault="006902F5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Pemetrexed Pharmevid</w:t>
      </w:r>
      <w:r w:rsidR="00C51A9C" w:rsidRPr="001358B9">
        <w:rPr>
          <w:rFonts w:ascii="Times New Roman" w:hAnsi="Times New Roman"/>
          <w:color w:val="000000"/>
        </w:rPr>
        <w:t xml:space="preserve"> je indikovaný v monoterapii </w:t>
      </w:r>
      <w:r w:rsidR="00970E9A" w:rsidRPr="001358B9">
        <w:rPr>
          <w:rFonts w:ascii="Times New Roman" w:hAnsi="Times New Roman"/>
          <w:color w:val="000000"/>
        </w:rPr>
        <w:t xml:space="preserve">pacientom v druhej línii </w:t>
      </w:r>
      <w:r w:rsidR="00C51A9C" w:rsidRPr="001358B9">
        <w:rPr>
          <w:rFonts w:ascii="Times New Roman" w:hAnsi="Times New Roman"/>
          <w:color w:val="000000"/>
        </w:rPr>
        <w:t>na liečbu lokálne pokročil</w:t>
      </w:r>
      <w:r w:rsidR="00970E9A" w:rsidRPr="001358B9">
        <w:rPr>
          <w:rFonts w:ascii="Times New Roman" w:hAnsi="Times New Roman"/>
          <w:color w:val="000000"/>
        </w:rPr>
        <w:t>ého</w:t>
      </w:r>
      <w:r w:rsidR="00C51A9C" w:rsidRPr="001358B9">
        <w:rPr>
          <w:rFonts w:ascii="Times New Roman" w:hAnsi="Times New Roman"/>
          <w:color w:val="000000"/>
        </w:rPr>
        <w:t xml:space="preserve"> alebo metastatick</w:t>
      </w:r>
      <w:r w:rsidR="00970E9A" w:rsidRPr="001358B9">
        <w:rPr>
          <w:rFonts w:ascii="Times New Roman" w:hAnsi="Times New Roman"/>
          <w:color w:val="000000"/>
        </w:rPr>
        <w:t>ého</w:t>
      </w:r>
      <w:r w:rsidR="00C51A9C" w:rsidRPr="001358B9">
        <w:rPr>
          <w:rFonts w:ascii="Times New Roman" w:hAnsi="Times New Roman"/>
          <w:color w:val="000000"/>
        </w:rPr>
        <w:t xml:space="preserve"> nemalobunkov</w:t>
      </w:r>
      <w:r w:rsidR="00970E9A" w:rsidRPr="001358B9">
        <w:rPr>
          <w:rFonts w:ascii="Times New Roman" w:hAnsi="Times New Roman"/>
          <w:color w:val="000000"/>
        </w:rPr>
        <w:t>ého</w:t>
      </w:r>
      <w:r w:rsidR="00C51A9C" w:rsidRPr="001358B9">
        <w:rPr>
          <w:rFonts w:ascii="Times New Roman" w:hAnsi="Times New Roman"/>
          <w:color w:val="000000"/>
        </w:rPr>
        <w:t xml:space="preserve"> karcinóm</w:t>
      </w:r>
      <w:r w:rsidR="00970E9A" w:rsidRPr="001358B9">
        <w:rPr>
          <w:rFonts w:ascii="Times New Roman" w:hAnsi="Times New Roman"/>
          <w:color w:val="000000"/>
        </w:rPr>
        <w:t>u</w:t>
      </w:r>
      <w:r w:rsidR="00C51A9C" w:rsidRPr="001358B9">
        <w:rPr>
          <w:rFonts w:ascii="Times New Roman" w:hAnsi="Times New Roman"/>
          <w:color w:val="000000"/>
        </w:rPr>
        <w:t xml:space="preserve"> pľúc okrem prevažne skvamóznej bunkovej histológie (pozri časť 5.1).</w:t>
      </w:r>
    </w:p>
    <w:p w14:paraId="2B05191E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DA15828" w14:textId="77777777" w:rsidR="00C51A9C" w:rsidRPr="001358B9" w:rsidRDefault="00C51A9C" w:rsidP="009F07FA">
      <w:pPr>
        <w:widowControl w:val="0"/>
        <w:numPr>
          <w:ilvl w:val="0"/>
          <w:numId w:val="6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Dávkovanie a spôsob podávania </w:t>
      </w:r>
    </w:p>
    <w:p w14:paraId="31BFE294" w14:textId="77777777" w:rsidR="00343BE0" w:rsidRPr="001358B9" w:rsidRDefault="00343BE0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</w:p>
    <w:p w14:paraId="29641EE9" w14:textId="77777777" w:rsidR="00C51A9C" w:rsidRPr="001358B9" w:rsidRDefault="00343BE0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1358B9">
        <w:rPr>
          <w:rFonts w:ascii="Times New Roman" w:hAnsi="Times New Roman"/>
          <w:u w:val="single"/>
        </w:rPr>
        <w:t>Dávkovanie</w:t>
      </w:r>
    </w:p>
    <w:p w14:paraId="01028DA4" w14:textId="77777777" w:rsidR="00343BE0" w:rsidRPr="001358B9" w:rsidRDefault="00343BE0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</w:p>
    <w:p w14:paraId="5A007A82" w14:textId="60126A64" w:rsidR="00C51A9C" w:rsidRPr="001358B9" w:rsidRDefault="006902F5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Pemetrexed Pharmevid</w:t>
      </w:r>
      <w:r w:rsidR="00C51A9C" w:rsidRPr="001358B9">
        <w:rPr>
          <w:rFonts w:ascii="Times New Roman" w:hAnsi="Times New Roman"/>
          <w:color w:val="000000"/>
        </w:rPr>
        <w:t xml:space="preserve"> sa musí podávať len pod dohľadom lekára s kvalifikáciou pre používanie protinádorovej chemoterapie.</w:t>
      </w:r>
    </w:p>
    <w:p w14:paraId="5F68B454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EDADD6C" w14:textId="36F549E4" w:rsidR="00C51A9C" w:rsidRPr="001358B9" w:rsidRDefault="006902F5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i/>
          <w:color w:val="000000"/>
        </w:rPr>
        <w:t>Pemetrexed Pharmevid</w:t>
      </w:r>
      <w:r w:rsidR="00C51A9C" w:rsidRPr="001358B9">
        <w:rPr>
          <w:rFonts w:ascii="Times New Roman" w:hAnsi="Times New Roman"/>
          <w:i/>
          <w:iCs/>
          <w:color w:val="000000"/>
        </w:rPr>
        <w:t xml:space="preserve"> v kombinácii s cisplatinou</w:t>
      </w:r>
    </w:p>
    <w:p w14:paraId="3D6D4915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4998418" w14:textId="2FAD4084" w:rsidR="00C51A9C" w:rsidRPr="001358B9" w:rsidRDefault="00C51A9C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Odporúčaná dávka </w:t>
      </w:r>
      <w:r w:rsidR="006902F5" w:rsidRPr="001358B9">
        <w:rPr>
          <w:rFonts w:ascii="Times New Roman" w:hAnsi="Times New Roman"/>
          <w:color w:val="000000"/>
        </w:rPr>
        <w:t xml:space="preserve">Pemetrexedu Pharmevid </w:t>
      </w:r>
      <w:r w:rsidRPr="001358B9">
        <w:rPr>
          <w:rFonts w:ascii="Times New Roman" w:hAnsi="Times New Roman"/>
          <w:color w:val="000000"/>
        </w:rPr>
        <w:t>je 500 mg/m</w:t>
      </w:r>
      <w:r w:rsidRPr="001358B9">
        <w:rPr>
          <w:rFonts w:ascii="Times New Roman" w:hAnsi="Times New Roman"/>
          <w:color w:val="000000"/>
          <w:vertAlign w:val="superscript"/>
        </w:rPr>
        <w:t>2</w:t>
      </w:r>
      <w:r w:rsidRPr="001358B9">
        <w:rPr>
          <w:rFonts w:ascii="Times New Roman" w:hAnsi="Times New Roman"/>
          <w:color w:val="000000"/>
        </w:rPr>
        <w:t xml:space="preserve"> telesného povrchu (BSA) podávaná ako intravenózna infúzia počas 10 minút v prvý deň každého 21-dňového cyklu. Odporúčaná dávka cisplatiny je</w:t>
      </w:r>
      <w:r w:rsidR="00D00C55" w:rsidRPr="001358B9">
        <w:rPr>
          <w:rFonts w:ascii="Times New Roman" w:hAnsi="Times New Roman"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>75</w:t>
      </w:r>
      <w:r w:rsidR="00D00C55" w:rsidRPr="001358B9">
        <w:rPr>
          <w:rFonts w:ascii="Times New Roman" w:hAnsi="Times New Roman"/>
          <w:color w:val="000000"/>
        </w:rPr>
        <w:t> </w:t>
      </w:r>
      <w:r w:rsidRPr="001358B9">
        <w:rPr>
          <w:rFonts w:ascii="Times New Roman" w:hAnsi="Times New Roman"/>
          <w:color w:val="000000"/>
        </w:rPr>
        <w:t>mg/m</w:t>
      </w:r>
      <w:r w:rsidRPr="001358B9">
        <w:rPr>
          <w:rFonts w:ascii="Times New Roman" w:hAnsi="Times New Roman"/>
          <w:color w:val="000000"/>
          <w:vertAlign w:val="superscript"/>
        </w:rPr>
        <w:t>2</w:t>
      </w:r>
      <w:r w:rsidRPr="001358B9">
        <w:rPr>
          <w:rFonts w:ascii="Times New Roman" w:hAnsi="Times New Roman"/>
          <w:color w:val="000000"/>
        </w:rPr>
        <w:t xml:space="preserve"> BSA, podávaná infúziou počas 2 hodín približne 30 minút po ukončení infúzie</w:t>
      </w:r>
      <w:bookmarkStart w:id="0" w:name="page3"/>
      <w:bookmarkEnd w:id="0"/>
      <w:r w:rsidR="00C1656D" w:rsidRPr="001358B9">
        <w:rPr>
          <w:rFonts w:ascii="Times New Roman" w:hAnsi="Times New Roman"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>pemetrexed</w:t>
      </w:r>
      <w:r w:rsidR="00EC6DC7" w:rsidRPr="001358B9">
        <w:rPr>
          <w:rFonts w:ascii="Times New Roman" w:hAnsi="Times New Roman"/>
          <w:color w:val="000000"/>
        </w:rPr>
        <w:t>u</w:t>
      </w:r>
      <w:r w:rsidRPr="001358B9">
        <w:rPr>
          <w:rFonts w:ascii="Times New Roman" w:hAnsi="Times New Roman"/>
          <w:color w:val="000000"/>
        </w:rPr>
        <w:t xml:space="preserve"> v prvý deň každého 21-dňového cyklu. </w:t>
      </w:r>
      <w:r w:rsidRPr="001358B9">
        <w:rPr>
          <w:rFonts w:ascii="Times New Roman" w:hAnsi="Times New Roman"/>
          <w:color w:val="000000"/>
          <w:u w:val="single"/>
        </w:rPr>
        <w:t>Pacientom musí byť podaná primeraná</w:t>
      </w:r>
      <w:r w:rsidRPr="001358B9">
        <w:rPr>
          <w:rFonts w:ascii="Times New Roman" w:hAnsi="Times New Roman"/>
          <w:color w:val="000000"/>
        </w:rPr>
        <w:t xml:space="preserve"> </w:t>
      </w:r>
      <w:r w:rsidRPr="001358B9">
        <w:rPr>
          <w:rFonts w:ascii="Times New Roman" w:hAnsi="Times New Roman"/>
          <w:color w:val="000000"/>
          <w:u w:val="single"/>
        </w:rPr>
        <w:t xml:space="preserve">antiemetická liečba a primeraná hydratácia pred </w:t>
      </w:r>
      <w:r w:rsidR="00343BE0" w:rsidRPr="001358B9">
        <w:rPr>
          <w:rFonts w:ascii="Times New Roman" w:hAnsi="Times New Roman"/>
          <w:color w:val="000000"/>
          <w:u w:val="single"/>
        </w:rPr>
        <w:t xml:space="preserve">a/alebo po </w:t>
      </w:r>
      <w:r w:rsidRPr="001358B9">
        <w:rPr>
          <w:rFonts w:ascii="Times New Roman" w:hAnsi="Times New Roman"/>
          <w:color w:val="000000"/>
          <w:u w:val="single"/>
        </w:rPr>
        <w:t xml:space="preserve">podaní cisplatiny </w:t>
      </w:r>
      <w:r w:rsidRPr="001358B9">
        <w:rPr>
          <w:rFonts w:ascii="Times New Roman" w:hAnsi="Times New Roman"/>
          <w:color w:val="000000"/>
        </w:rPr>
        <w:t>(</w:t>
      </w:r>
      <w:r w:rsidR="00D00C55" w:rsidRPr="001358B9">
        <w:rPr>
          <w:rFonts w:ascii="Times New Roman" w:hAnsi="Times New Roman"/>
          <w:color w:val="000000"/>
        </w:rPr>
        <w:t xml:space="preserve">špecifické odporúčané dávkovanie </w:t>
      </w:r>
      <w:r w:rsidR="00343BE0" w:rsidRPr="001358B9">
        <w:rPr>
          <w:rFonts w:ascii="Times New Roman" w:hAnsi="Times New Roman"/>
          <w:color w:val="000000"/>
        </w:rPr>
        <w:t xml:space="preserve">pozri tiež </w:t>
      </w:r>
      <w:r w:rsidR="00D00C55" w:rsidRPr="001358B9">
        <w:rPr>
          <w:rFonts w:ascii="Times New Roman" w:hAnsi="Times New Roman"/>
          <w:color w:val="000000"/>
        </w:rPr>
        <w:t xml:space="preserve">v </w:t>
      </w:r>
      <w:r w:rsidR="00343BE0" w:rsidRPr="001358B9">
        <w:rPr>
          <w:rFonts w:ascii="Times New Roman" w:hAnsi="Times New Roman"/>
          <w:color w:val="000000"/>
        </w:rPr>
        <w:t>súhrn</w:t>
      </w:r>
      <w:r w:rsidR="00D00C55" w:rsidRPr="001358B9">
        <w:rPr>
          <w:rFonts w:ascii="Times New Roman" w:hAnsi="Times New Roman"/>
          <w:color w:val="000000"/>
        </w:rPr>
        <w:t>e</w:t>
      </w:r>
      <w:r w:rsidR="00343BE0" w:rsidRPr="001358B9">
        <w:rPr>
          <w:rFonts w:ascii="Times New Roman" w:hAnsi="Times New Roman"/>
          <w:color w:val="000000"/>
        </w:rPr>
        <w:t xml:space="preserve"> charakteristických vlastností lieku cisplatiny</w:t>
      </w:r>
      <w:r w:rsidRPr="001358B9">
        <w:rPr>
          <w:rFonts w:ascii="Times New Roman" w:hAnsi="Times New Roman"/>
          <w:color w:val="000000"/>
        </w:rPr>
        <w:t>).</w:t>
      </w:r>
    </w:p>
    <w:p w14:paraId="306D61EA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F5215A3" w14:textId="642D662F" w:rsidR="00C51A9C" w:rsidRPr="001358B9" w:rsidRDefault="006902F5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1358B9">
        <w:rPr>
          <w:rFonts w:ascii="Times New Roman" w:hAnsi="Times New Roman"/>
          <w:i/>
          <w:color w:val="000000"/>
        </w:rPr>
        <w:t>Pemetrexed Pharmevid</w:t>
      </w:r>
      <w:r w:rsidR="00C51A9C" w:rsidRPr="001358B9">
        <w:rPr>
          <w:rFonts w:ascii="Times New Roman" w:hAnsi="Times New Roman"/>
          <w:i/>
          <w:iCs/>
          <w:color w:val="000000"/>
        </w:rPr>
        <w:t xml:space="preserve"> v monoterapii</w:t>
      </w:r>
    </w:p>
    <w:p w14:paraId="3B1500EE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FD187E6" w14:textId="5934FC37" w:rsidR="00C51A9C" w:rsidRPr="001358B9" w:rsidRDefault="00C51A9C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U pacientov liečených </w:t>
      </w:r>
      <w:r w:rsidR="001541D0" w:rsidRPr="001358B9">
        <w:rPr>
          <w:rFonts w:ascii="Times New Roman" w:hAnsi="Times New Roman"/>
          <w:color w:val="000000"/>
        </w:rPr>
        <w:t>na</w:t>
      </w:r>
      <w:r w:rsidRPr="001358B9">
        <w:rPr>
          <w:rFonts w:ascii="Times New Roman" w:hAnsi="Times New Roman"/>
          <w:color w:val="000000"/>
        </w:rPr>
        <w:t xml:space="preserve"> nemalobunkový karcinóm pľúc po predchádzajúcej chemoterapii, odporúčaná dávka </w:t>
      </w:r>
      <w:r w:rsidR="006902F5" w:rsidRPr="001358B9">
        <w:rPr>
          <w:rFonts w:ascii="Times New Roman" w:hAnsi="Times New Roman"/>
          <w:color w:val="000000"/>
        </w:rPr>
        <w:t xml:space="preserve">Pemetrexedu Pharmevid </w:t>
      </w:r>
      <w:r w:rsidRPr="001358B9">
        <w:rPr>
          <w:rFonts w:ascii="Times New Roman" w:hAnsi="Times New Roman"/>
          <w:color w:val="000000"/>
        </w:rPr>
        <w:t>je 500 mg/m</w:t>
      </w:r>
      <w:r w:rsidRPr="001358B9">
        <w:rPr>
          <w:rFonts w:ascii="Times New Roman" w:hAnsi="Times New Roman"/>
          <w:color w:val="000000"/>
          <w:vertAlign w:val="superscript"/>
        </w:rPr>
        <w:t>2</w:t>
      </w:r>
      <w:r w:rsidRPr="001358B9">
        <w:rPr>
          <w:rFonts w:ascii="Times New Roman" w:hAnsi="Times New Roman"/>
          <w:color w:val="000000"/>
        </w:rPr>
        <w:t xml:space="preserve"> BSA podávaná ako intravenózna infúzia počas 10 minút v prvý deň každého 21-dňového cyklu.</w:t>
      </w:r>
    </w:p>
    <w:p w14:paraId="14574971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3A92114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1358B9">
        <w:rPr>
          <w:rFonts w:ascii="Times New Roman" w:hAnsi="Times New Roman"/>
          <w:i/>
          <w:color w:val="000000"/>
        </w:rPr>
        <w:t>Režim premedikácie</w:t>
      </w:r>
    </w:p>
    <w:p w14:paraId="3A6702D6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CE4AE46" w14:textId="77777777" w:rsidR="00C51A9C" w:rsidRPr="001358B9" w:rsidRDefault="00C51A9C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4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Na zníženie výskytu a závažnosti kožných reakcií sa podá kortikosteroid deň pred podaním pemetrexedu, v deň podania a deň po podaní pemetrexedu. Kortikosteroid by mal byť ekvivalentom 4 mg dexametazónu perorálne podávaného dvakrát denne (pozri časť 4.4).</w:t>
      </w:r>
    </w:p>
    <w:p w14:paraId="0BFE87CD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AC8B2E" w14:textId="77777777" w:rsidR="00C51A9C" w:rsidRPr="001358B9" w:rsidRDefault="00C51A9C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Na zníženie toxicity musia pacienti liečení pemetrexedom dostávať tiež vitamínovú suplementáciu (pozri časť 4.4). Pacienti musia denne užívať perorálne kyselinu listovú alebo multivitamíny obsahujúce kyselinu listovú (od 350 do 1 000 mikrogramov). Aspoň päť dávok kyseliny listovej musí byť podaných počas 7 dní pred prvou dávkou pemetrexedu a dávkovanie musí pokračovať v priebehu celej liečby a ďalších 21 dní po poslednej dávke pemetrexedu. Pacienti musia tiež dostať intramuskulárnu injekciu</w:t>
      </w:r>
      <w:r w:rsidR="000E5DE0" w:rsidRPr="001358B9">
        <w:rPr>
          <w:rFonts w:ascii="Times New Roman" w:hAnsi="Times New Roman"/>
          <w:color w:val="000000"/>
        </w:rPr>
        <w:t xml:space="preserve"> s obsahom</w:t>
      </w:r>
      <w:r w:rsidRPr="001358B9">
        <w:rPr>
          <w:rFonts w:ascii="Times New Roman" w:hAnsi="Times New Roman"/>
          <w:color w:val="000000"/>
        </w:rPr>
        <w:t xml:space="preserve"> vitamínu B</w:t>
      </w:r>
      <w:r w:rsidRPr="001358B9">
        <w:rPr>
          <w:rFonts w:ascii="Times New Roman" w:hAnsi="Times New Roman"/>
          <w:color w:val="000000"/>
          <w:vertAlign w:val="subscript"/>
        </w:rPr>
        <w:t>12</w:t>
      </w:r>
      <w:r w:rsidRPr="001358B9">
        <w:rPr>
          <w:rFonts w:ascii="Times New Roman" w:hAnsi="Times New Roman"/>
          <w:color w:val="000000"/>
        </w:rPr>
        <w:t xml:space="preserve"> (1 000 mikrogramov) v týždni pred prvou dávkou pemetrexedu a jedenkrát každé 3 cykly potom. Nasledujúce injekcie </w:t>
      </w:r>
      <w:r w:rsidR="000E165D" w:rsidRPr="001358B9">
        <w:rPr>
          <w:rFonts w:ascii="Times New Roman" w:hAnsi="Times New Roman"/>
          <w:color w:val="000000"/>
        </w:rPr>
        <w:t xml:space="preserve">s obsahom </w:t>
      </w:r>
      <w:r w:rsidRPr="001358B9">
        <w:rPr>
          <w:rFonts w:ascii="Times New Roman" w:hAnsi="Times New Roman"/>
          <w:color w:val="000000"/>
        </w:rPr>
        <w:t>vitamín</w:t>
      </w:r>
      <w:r w:rsidR="00D00C55" w:rsidRPr="001358B9">
        <w:rPr>
          <w:rFonts w:ascii="Times New Roman" w:hAnsi="Times New Roman"/>
          <w:color w:val="000000"/>
        </w:rPr>
        <w:t>u</w:t>
      </w:r>
      <w:r w:rsidRPr="001358B9">
        <w:rPr>
          <w:rFonts w:ascii="Times New Roman" w:hAnsi="Times New Roman"/>
          <w:color w:val="000000"/>
        </w:rPr>
        <w:t xml:space="preserve"> B</w:t>
      </w:r>
      <w:r w:rsidRPr="001358B9">
        <w:rPr>
          <w:rFonts w:ascii="Times New Roman" w:hAnsi="Times New Roman"/>
          <w:color w:val="000000"/>
          <w:vertAlign w:val="subscript"/>
        </w:rPr>
        <w:t>12</w:t>
      </w:r>
      <w:r w:rsidRPr="001358B9">
        <w:rPr>
          <w:rFonts w:ascii="Times New Roman" w:hAnsi="Times New Roman"/>
          <w:color w:val="000000"/>
        </w:rPr>
        <w:t xml:space="preserve"> sa môžu podávať v rovnaký deň ako pemetrexed.</w:t>
      </w:r>
    </w:p>
    <w:p w14:paraId="7C643707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BA00726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1358B9">
        <w:rPr>
          <w:rFonts w:ascii="Times New Roman" w:hAnsi="Times New Roman"/>
          <w:i/>
          <w:color w:val="000000"/>
        </w:rPr>
        <w:t>Monitorovanie</w:t>
      </w:r>
    </w:p>
    <w:p w14:paraId="353EFD2B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C833595" w14:textId="0901E4E7" w:rsidR="00C51A9C" w:rsidRPr="001358B9" w:rsidRDefault="00C51A9C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>Pacientom liečeným pemetrexedom sa musí pred každou dávkou sledovať celkový krvný obraz, vrátane diferenciálneho počtu bielych krviniek (WCC) a krvných doštičiek. Pred každým podaním chemoterapie musia byť vykonané krvné chemické testy na zhodnotenie obličkových a pečeňových funkcií. Pred za</w:t>
      </w:r>
      <w:r w:rsidR="00FC2536" w:rsidRPr="001358B9">
        <w:rPr>
          <w:rFonts w:ascii="Times New Roman" w:hAnsi="Times New Roman"/>
          <w:color w:val="000000"/>
        </w:rPr>
        <w:t>čatím</w:t>
      </w:r>
      <w:r w:rsidRPr="001358B9">
        <w:rPr>
          <w:rFonts w:ascii="Times New Roman" w:hAnsi="Times New Roman"/>
          <w:color w:val="000000"/>
        </w:rPr>
        <w:t xml:space="preserve"> každého cyklu chemoterapie je </w:t>
      </w:r>
      <w:r w:rsidR="008F4A5B" w:rsidRPr="001358B9">
        <w:rPr>
          <w:rFonts w:ascii="Times New Roman" w:hAnsi="Times New Roman"/>
          <w:color w:val="000000"/>
        </w:rPr>
        <w:t>potreb</w:t>
      </w:r>
      <w:r w:rsidRPr="001358B9">
        <w:rPr>
          <w:rFonts w:ascii="Times New Roman" w:hAnsi="Times New Roman"/>
          <w:color w:val="000000"/>
        </w:rPr>
        <w:t>né, aby pacienti mali nasledovné výsledky vyšetrení: absolútny počet neutrofilov (ANC) musí byť ≥ 1 500 buniek/mm</w:t>
      </w:r>
      <w:r w:rsidRPr="001358B9">
        <w:rPr>
          <w:rFonts w:ascii="Times New Roman" w:hAnsi="Times New Roman"/>
          <w:color w:val="000000"/>
          <w:vertAlign w:val="superscript"/>
        </w:rPr>
        <w:t>3</w:t>
      </w:r>
      <w:r w:rsidRPr="001358B9">
        <w:rPr>
          <w:rFonts w:ascii="Times New Roman" w:hAnsi="Times New Roman"/>
          <w:color w:val="000000"/>
        </w:rPr>
        <w:t xml:space="preserve"> a počet krvných doštičiek musí byť ≥ 100 000 buniek/mm</w:t>
      </w:r>
      <w:r w:rsidRPr="001358B9">
        <w:rPr>
          <w:rFonts w:ascii="Times New Roman" w:hAnsi="Times New Roman"/>
          <w:color w:val="000000"/>
          <w:vertAlign w:val="superscript"/>
        </w:rPr>
        <w:t>3</w:t>
      </w:r>
      <w:r w:rsidRPr="001358B9">
        <w:rPr>
          <w:rFonts w:ascii="Times New Roman" w:hAnsi="Times New Roman"/>
          <w:color w:val="000000"/>
        </w:rPr>
        <w:t>.</w:t>
      </w:r>
      <w:r w:rsidR="00D00C55" w:rsidRPr="001358B9">
        <w:rPr>
          <w:rFonts w:ascii="Times New Roman" w:hAnsi="Times New Roman"/>
        </w:rPr>
        <w:t xml:space="preserve"> </w:t>
      </w:r>
      <w:r w:rsidRPr="001358B9">
        <w:rPr>
          <w:rFonts w:ascii="Times New Roman" w:hAnsi="Times New Roman"/>
          <w:color w:val="000000"/>
        </w:rPr>
        <w:t>Klírens kreatinínu musí byť ≥ 45 ml/min.</w:t>
      </w:r>
    </w:p>
    <w:p w14:paraId="60AB8299" w14:textId="77777777" w:rsidR="00D00C55" w:rsidRPr="001358B9" w:rsidRDefault="00D00C55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EBE0FE2" w14:textId="77777777" w:rsidR="00C51A9C" w:rsidRPr="001358B9" w:rsidRDefault="00C51A9C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6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Celkový bilirubín musí byť ≤ 1,5</w:t>
      </w:r>
      <w:r w:rsidR="00C24399" w:rsidRPr="001358B9">
        <w:rPr>
          <w:rFonts w:ascii="Times New Roman" w:hAnsi="Times New Roman"/>
          <w:color w:val="000000"/>
        </w:rPr>
        <w:t>-</w:t>
      </w:r>
      <w:r w:rsidRPr="001358B9">
        <w:rPr>
          <w:rFonts w:ascii="Times New Roman" w:hAnsi="Times New Roman"/>
          <w:color w:val="000000"/>
        </w:rPr>
        <w:t>násobok hornej hranice normálnych hodnôt. Alkalická fosfatáza (AP), aspartátaminotransferáza (AST alebo SGOT) a alanínaminotransferáza (ALT alebo SGPT) musia byť ≤ 3</w:t>
      </w:r>
      <w:r w:rsidR="00C24399" w:rsidRPr="001358B9">
        <w:rPr>
          <w:rFonts w:ascii="Times New Roman" w:hAnsi="Times New Roman"/>
          <w:color w:val="000000"/>
        </w:rPr>
        <w:t>-</w:t>
      </w:r>
      <w:r w:rsidRPr="001358B9">
        <w:rPr>
          <w:rFonts w:ascii="Times New Roman" w:hAnsi="Times New Roman"/>
          <w:color w:val="000000"/>
        </w:rPr>
        <w:t>násobok hornej hranice normálnych hodnôt. V prípade postihnutia pečene nádorom sú akceptovateľné hodnoty alkalickej fosfatázy, AST a ALT ≤</w:t>
      </w:r>
      <w:r w:rsidR="00C24399" w:rsidRPr="001358B9">
        <w:rPr>
          <w:rFonts w:ascii="Times New Roman" w:hAnsi="Times New Roman"/>
          <w:color w:val="000000"/>
        </w:rPr>
        <w:t> </w:t>
      </w:r>
      <w:r w:rsidRPr="001358B9">
        <w:rPr>
          <w:rFonts w:ascii="Times New Roman" w:hAnsi="Times New Roman"/>
          <w:color w:val="000000"/>
        </w:rPr>
        <w:t>5</w:t>
      </w:r>
      <w:r w:rsidR="00C24399" w:rsidRPr="001358B9">
        <w:rPr>
          <w:rFonts w:ascii="Times New Roman" w:hAnsi="Times New Roman"/>
          <w:color w:val="000000"/>
        </w:rPr>
        <w:t>-</w:t>
      </w:r>
      <w:r w:rsidRPr="001358B9">
        <w:rPr>
          <w:rFonts w:ascii="Times New Roman" w:hAnsi="Times New Roman"/>
          <w:color w:val="000000"/>
        </w:rPr>
        <w:t>násobok hornej hranice normálnych hodnôt.</w:t>
      </w:r>
    </w:p>
    <w:p w14:paraId="4C7424F2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EBA3B92" w14:textId="28B73428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1358B9">
        <w:rPr>
          <w:rFonts w:ascii="Times New Roman" w:hAnsi="Times New Roman"/>
          <w:i/>
          <w:color w:val="000000"/>
        </w:rPr>
        <w:t>Úprav</w:t>
      </w:r>
      <w:r w:rsidR="00BB7021" w:rsidRPr="001358B9">
        <w:rPr>
          <w:rFonts w:ascii="Times New Roman" w:hAnsi="Times New Roman"/>
          <w:i/>
          <w:color w:val="000000"/>
        </w:rPr>
        <w:t>y</w:t>
      </w:r>
      <w:r w:rsidRPr="001358B9">
        <w:rPr>
          <w:rFonts w:ascii="Times New Roman" w:hAnsi="Times New Roman"/>
          <w:i/>
          <w:color w:val="000000"/>
        </w:rPr>
        <w:t xml:space="preserve"> dávky</w:t>
      </w:r>
    </w:p>
    <w:p w14:paraId="698C19D7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C84A16" w14:textId="3FC6F6A3" w:rsidR="00C42D3B" w:rsidRPr="001358B9" w:rsidRDefault="00C51A9C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Úprav</w:t>
      </w:r>
      <w:r w:rsidR="001B4FD9" w:rsidRPr="001358B9">
        <w:rPr>
          <w:rFonts w:ascii="Times New Roman" w:hAnsi="Times New Roman"/>
          <w:color w:val="000000"/>
        </w:rPr>
        <w:t>y</w:t>
      </w:r>
      <w:r w:rsidRPr="001358B9">
        <w:rPr>
          <w:rFonts w:ascii="Times New Roman" w:hAnsi="Times New Roman"/>
          <w:color w:val="000000"/>
        </w:rPr>
        <w:t xml:space="preserve"> dávky na začiatku nasledujúceho cyklu sa vykon</w:t>
      </w:r>
      <w:r w:rsidR="00A6731E" w:rsidRPr="001358B9">
        <w:rPr>
          <w:rFonts w:ascii="Times New Roman" w:hAnsi="Times New Roman"/>
          <w:color w:val="000000"/>
        </w:rPr>
        <w:t>ajú</w:t>
      </w:r>
      <w:r w:rsidRPr="001358B9">
        <w:rPr>
          <w:rFonts w:ascii="Times New Roman" w:hAnsi="Times New Roman"/>
          <w:color w:val="000000"/>
        </w:rPr>
        <w:t xml:space="preserve"> na základe najhlbšieho poklesu hematologických hodnôt alebo na základe maximálnej nehematologickej toxicity zistenej</w:t>
      </w:r>
      <w:r w:rsidR="00C42D3B" w:rsidRPr="001358B9">
        <w:rPr>
          <w:rFonts w:ascii="Times New Roman" w:hAnsi="Times New Roman"/>
          <w:color w:val="000000"/>
        </w:rPr>
        <w:t xml:space="preserve"> </w:t>
      </w:r>
    </w:p>
    <w:p w14:paraId="24CF06EF" w14:textId="2295018C" w:rsidR="00C51A9C" w:rsidRPr="001358B9" w:rsidRDefault="00C51A9C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v</w:t>
      </w:r>
      <w:r w:rsidR="00C42D3B" w:rsidRPr="001358B9">
        <w:rPr>
          <w:rFonts w:ascii="Times New Roman" w:hAnsi="Times New Roman"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 xml:space="preserve">predchádzajúcom cykle liečby. Liečba môže byť odložená, aby bol dostatok času na úpravu. Po úprave sa pacienti liečia podľa </w:t>
      </w:r>
      <w:r w:rsidR="00D00C55" w:rsidRPr="001358B9">
        <w:rPr>
          <w:rFonts w:ascii="Times New Roman" w:hAnsi="Times New Roman"/>
          <w:color w:val="000000"/>
        </w:rPr>
        <w:t>pokynov</w:t>
      </w:r>
      <w:r w:rsidRPr="001358B9">
        <w:rPr>
          <w:rFonts w:ascii="Times New Roman" w:hAnsi="Times New Roman"/>
          <w:color w:val="000000"/>
        </w:rPr>
        <w:t xml:space="preserve"> v tabuľkách 1, 2 a 3, ktoré sa použijú v prípade podávania </w:t>
      </w:r>
      <w:r w:rsidR="006902F5" w:rsidRPr="001358B9">
        <w:rPr>
          <w:rFonts w:ascii="Times New Roman" w:hAnsi="Times New Roman"/>
          <w:color w:val="000000"/>
        </w:rPr>
        <w:lastRenderedPageBreak/>
        <w:t xml:space="preserve">Pemetrexedu Pharmevid </w:t>
      </w:r>
      <w:r w:rsidRPr="001358B9">
        <w:rPr>
          <w:rFonts w:ascii="Times New Roman" w:hAnsi="Times New Roman"/>
          <w:color w:val="000000"/>
        </w:rPr>
        <w:t>v monoterapii alebo v kombinácii s cisplatinou.</w:t>
      </w:r>
    </w:p>
    <w:p w14:paraId="3549C99B" w14:textId="77777777" w:rsidR="004E4E3D" w:rsidRPr="001358B9" w:rsidRDefault="004E4E3D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en-GB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471"/>
        <w:gridCol w:w="4591"/>
      </w:tblGrid>
      <w:tr w:rsidR="004E4E3D" w:rsidRPr="001358B9" w14:paraId="15520854" w14:textId="77777777" w:rsidTr="000436B6">
        <w:tc>
          <w:tcPr>
            <w:tcW w:w="5000" w:type="pct"/>
            <w:gridSpan w:val="2"/>
          </w:tcPr>
          <w:p w14:paraId="6AC7FD6C" w14:textId="5482F7FD" w:rsidR="004E4E3D" w:rsidRPr="00927728" w:rsidRDefault="004E4E3D" w:rsidP="009F07FA">
            <w:pPr>
              <w:widowControl w:val="0"/>
              <w:overflowPunct w:val="0"/>
              <w:autoSpaceDE w:val="0"/>
              <w:autoSpaceDN w:val="0"/>
              <w:adjustRightInd w:val="0"/>
              <w:ind w:right="900"/>
              <w:rPr>
                <w:sz w:val="22"/>
                <w:szCs w:val="22"/>
                <w:lang w:val="sk-SK"/>
              </w:rPr>
            </w:pPr>
            <w:r w:rsidRPr="001358B9">
              <w:rPr>
                <w:b/>
                <w:bCs/>
                <w:color w:val="000000"/>
                <w:sz w:val="22"/>
                <w:szCs w:val="22"/>
              </w:rPr>
              <w:t xml:space="preserve">Tabuľka 1 – Tabuľka modifikácie dávky </w:t>
            </w:r>
            <w:r w:rsidR="006902F5" w:rsidRPr="001358B9">
              <w:rPr>
                <w:b/>
                <w:bCs/>
                <w:color w:val="000000"/>
                <w:sz w:val="22"/>
                <w:szCs w:val="22"/>
              </w:rPr>
              <w:t>P</w:t>
            </w:r>
            <w:r w:rsidR="00EC6DC7" w:rsidRPr="001358B9">
              <w:rPr>
                <w:b/>
                <w:bCs/>
                <w:color w:val="000000"/>
                <w:sz w:val="22"/>
                <w:szCs w:val="22"/>
              </w:rPr>
              <w:t>emetrexedu</w:t>
            </w:r>
            <w:r w:rsidRPr="001358B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902F5" w:rsidRPr="001358B9">
              <w:rPr>
                <w:b/>
                <w:bCs/>
                <w:color w:val="000000"/>
                <w:sz w:val="22"/>
                <w:szCs w:val="22"/>
              </w:rPr>
              <w:t xml:space="preserve">Pharmevid </w:t>
            </w:r>
            <w:r w:rsidRPr="001358B9">
              <w:rPr>
                <w:b/>
                <w:bCs/>
                <w:color w:val="000000"/>
                <w:sz w:val="22"/>
                <w:szCs w:val="22"/>
              </w:rPr>
              <w:t>(v monoterapii alebo v kombinácii) a cisplatiny – Hematologick</w:t>
            </w:r>
            <w:r w:rsidR="00A90050">
              <w:rPr>
                <w:b/>
                <w:bCs/>
                <w:color w:val="000000"/>
                <w:sz w:val="22"/>
                <w:szCs w:val="22"/>
              </w:rPr>
              <w:t>é</w:t>
            </w:r>
            <w:r w:rsidRPr="001358B9">
              <w:rPr>
                <w:b/>
                <w:bCs/>
                <w:color w:val="000000"/>
                <w:sz w:val="22"/>
                <w:szCs w:val="22"/>
              </w:rPr>
              <w:t xml:space="preserve"> toxicit</w:t>
            </w:r>
            <w:r w:rsidR="00A90050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4E4E3D" w:rsidRPr="001358B9" w14:paraId="0317DA32" w14:textId="77777777" w:rsidTr="000436B6">
        <w:trPr>
          <w:trHeight w:val="719"/>
        </w:trPr>
        <w:tc>
          <w:tcPr>
            <w:tcW w:w="2467" w:type="pct"/>
            <w:vAlign w:val="center"/>
          </w:tcPr>
          <w:p w14:paraId="07164E2B" w14:textId="77777777" w:rsidR="004E4E3D" w:rsidRPr="00927728" w:rsidRDefault="004E4E3D" w:rsidP="009F07F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927728">
              <w:rPr>
                <w:color w:val="000000"/>
                <w:sz w:val="22"/>
                <w:szCs w:val="22"/>
                <w:lang w:val="sk-SK"/>
              </w:rPr>
              <w:t>Absolútny počet neutrofilov &lt; 500/mm</w:t>
            </w:r>
            <w:r w:rsidRPr="001358B9">
              <w:rPr>
                <w:color w:val="000000"/>
                <w:sz w:val="22"/>
                <w:szCs w:val="22"/>
                <w:vertAlign w:val="superscript"/>
                <w:lang w:val="sk-SK"/>
              </w:rPr>
              <w:t>3</w:t>
            </w:r>
            <w:r w:rsidRPr="001358B9">
              <w:rPr>
                <w:color w:val="000000"/>
                <w:sz w:val="22"/>
                <w:szCs w:val="22"/>
                <w:lang w:val="sk-SK"/>
              </w:rPr>
              <w:t xml:space="preserve"> a doštičiek ≥ 50 000/mm</w:t>
            </w:r>
            <w:r w:rsidRPr="001358B9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1358B9">
              <w:rPr>
                <w:color w:val="000000"/>
                <w:sz w:val="22"/>
                <w:szCs w:val="22"/>
              </w:rPr>
              <w:t xml:space="preserve"> v období najhlbšieho poklesu</w:t>
            </w:r>
          </w:p>
        </w:tc>
        <w:tc>
          <w:tcPr>
            <w:tcW w:w="2533" w:type="pct"/>
            <w:vAlign w:val="center"/>
          </w:tcPr>
          <w:p w14:paraId="7DC17E51" w14:textId="678ACECD" w:rsidR="004E4E3D" w:rsidRPr="00927728" w:rsidRDefault="004E4E3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1358B9">
              <w:rPr>
                <w:rFonts w:eastAsia="Times New Roman"/>
                <w:sz w:val="22"/>
                <w:szCs w:val="22"/>
                <w:lang w:eastAsia="en-GB"/>
              </w:rPr>
              <w:t>75 % predchádzajúcej dávky (</w:t>
            </w:r>
            <w:r w:rsidR="006902F5" w:rsidRPr="001358B9">
              <w:rPr>
                <w:rFonts w:eastAsia="Times New Roman"/>
                <w:sz w:val="22"/>
                <w:szCs w:val="22"/>
                <w:lang w:eastAsia="en-GB"/>
              </w:rPr>
              <w:t>P</w:t>
            </w:r>
            <w:r w:rsidRPr="001358B9">
              <w:rPr>
                <w:rFonts w:eastAsia="Times New Roman"/>
                <w:sz w:val="22"/>
                <w:szCs w:val="22"/>
                <w:lang w:eastAsia="en-GB"/>
              </w:rPr>
              <w:t xml:space="preserve">emetrexedu </w:t>
            </w:r>
            <w:r w:rsidR="006902F5" w:rsidRPr="001358B9">
              <w:rPr>
                <w:rFonts w:eastAsia="Times New Roman"/>
                <w:sz w:val="22"/>
                <w:szCs w:val="22"/>
                <w:lang w:eastAsia="en-GB"/>
              </w:rPr>
              <w:t xml:space="preserve">Pharmevid </w:t>
            </w:r>
            <w:r w:rsidRPr="001358B9">
              <w:rPr>
                <w:rFonts w:eastAsia="Times New Roman"/>
                <w:sz w:val="22"/>
                <w:szCs w:val="22"/>
                <w:lang w:eastAsia="en-GB"/>
              </w:rPr>
              <w:t>aj cisp</w:t>
            </w:r>
            <w:r w:rsidR="006902F5" w:rsidRPr="001358B9">
              <w:rPr>
                <w:rFonts w:eastAsia="Times New Roman"/>
                <w:sz w:val="22"/>
                <w:szCs w:val="22"/>
                <w:lang w:eastAsia="en-GB"/>
              </w:rPr>
              <w:t>la</w:t>
            </w:r>
            <w:r w:rsidRPr="001358B9">
              <w:rPr>
                <w:rFonts w:eastAsia="Times New Roman"/>
                <w:sz w:val="22"/>
                <w:szCs w:val="22"/>
                <w:lang w:eastAsia="en-GB"/>
              </w:rPr>
              <w:t>tiny)</w:t>
            </w:r>
          </w:p>
        </w:tc>
      </w:tr>
      <w:tr w:rsidR="004E4E3D" w:rsidRPr="001358B9" w14:paraId="76BB8ADE" w14:textId="77777777" w:rsidTr="000436B6">
        <w:trPr>
          <w:trHeight w:val="701"/>
        </w:trPr>
        <w:tc>
          <w:tcPr>
            <w:tcW w:w="2467" w:type="pct"/>
            <w:vAlign w:val="center"/>
          </w:tcPr>
          <w:p w14:paraId="451A71E0" w14:textId="77777777" w:rsidR="004E4E3D" w:rsidRPr="00927728" w:rsidRDefault="004E4E3D" w:rsidP="009F07F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927728">
              <w:rPr>
                <w:color w:val="000000"/>
                <w:sz w:val="22"/>
                <w:szCs w:val="22"/>
                <w:lang w:val="sk-SK"/>
              </w:rPr>
              <w:t>Počet doštičiek v období najhlbšieho poklesu &lt; 50 000/mm</w:t>
            </w:r>
            <w:r w:rsidRPr="001358B9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1358B9">
              <w:rPr>
                <w:color w:val="000000"/>
                <w:sz w:val="22"/>
                <w:szCs w:val="22"/>
              </w:rPr>
              <w:t xml:space="preserve"> bez ohľadu na absolútny počet neutrofilov v období najhlbšieho poklesu</w:t>
            </w:r>
          </w:p>
        </w:tc>
        <w:tc>
          <w:tcPr>
            <w:tcW w:w="2533" w:type="pct"/>
            <w:vAlign w:val="center"/>
          </w:tcPr>
          <w:p w14:paraId="228F83AF" w14:textId="40165D37" w:rsidR="004E4E3D" w:rsidRPr="00927728" w:rsidRDefault="004E4E3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1358B9">
              <w:rPr>
                <w:rFonts w:eastAsia="Times New Roman"/>
                <w:sz w:val="22"/>
                <w:szCs w:val="22"/>
                <w:lang w:eastAsia="en-GB"/>
              </w:rPr>
              <w:t>75 % predchádzajúcej dávky (</w:t>
            </w:r>
            <w:r w:rsidR="006902F5" w:rsidRPr="001358B9">
              <w:rPr>
                <w:rFonts w:eastAsia="Times New Roman"/>
                <w:sz w:val="22"/>
                <w:szCs w:val="22"/>
                <w:lang w:eastAsia="en-GB"/>
              </w:rPr>
              <w:t>P</w:t>
            </w:r>
            <w:r w:rsidRPr="001358B9">
              <w:rPr>
                <w:rFonts w:eastAsia="Times New Roman"/>
                <w:sz w:val="22"/>
                <w:szCs w:val="22"/>
                <w:lang w:eastAsia="en-GB"/>
              </w:rPr>
              <w:t xml:space="preserve">emetrexedu </w:t>
            </w:r>
            <w:r w:rsidR="006902F5" w:rsidRPr="001358B9">
              <w:rPr>
                <w:rFonts w:eastAsia="Times New Roman"/>
                <w:sz w:val="22"/>
                <w:szCs w:val="22"/>
                <w:lang w:eastAsia="en-GB"/>
              </w:rPr>
              <w:t xml:space="preserve">Pharmevid </w:t>
            </w:r>
            <w:r w:rsidRPr="001358B9">
              <w:rPr>
                <w:rFonts w:eastAsia="Times New Roman"/>
                <w:sz w:val="22"/>
                <w:szCs w:val="22"/>
                <w:lang w:eastAsia="en-GB"/>
              </w:rPr>
              <w:t>aj cisp</w:t>
            </w:r>
            <w:r w:rsidR="006902F5" w:rsidRPr="001358B9">
              <w:rPr>
                <w:rFonts w:eastAsia="Times New Roman"/>
                <w:sz w:val="22"/>
                <w:szCs w:val="22"/>
                <w:lang w:eastAsia="en-GB"/>
              </w:rPr>
              <w:t>la</w:t>
            </w:r>
            <w:r w:rsidRPr="001358B9">
              <w:rPr>
                <w:rFonts w:eastAsia="Times New Roman"/>
                <w:sz w:val="22"/>
                <w:szCs w:val="22"/>
                <w:lang w:eastAsia="en-GB"/>
              </w:rPr>
              <w:t>tiny)</w:t>
            </w:r>
          </w:p>
        </w:tc>
      </w:tr>
      <w:tr w:rsidR="004E4E3D" w:rsidRPr="001358B9" w14:paraId="45DB5A2D" w14:textId="77777777" w:rsidTr="000436B6">
        <w:trPr>
          <w:trHeight w:val="697"/>
        </w:trPr>
        <w:tc>
          <w:tcPr>
            <w:tcW w:w="2467" w:type="pct"/>
            <w:vAlign w:val="center"/>
          </w:tcPr>
          <w:p w14:paraId="13CB4CA1" w14:textId="77777777" w:rsidR="004E4E3D" w:rsidRPr="00927728" w:rsidRDefault="004E4E3D" w:rsidP="009F07F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927728">
              <w:rPr>
                <w:color w:val="000000"/>
                <w:sz w:val="22"/>
                <w:szCs w:val="22"/>
                <w:lang w:val="sk-SK"/>
              </w:rPr>
              <w:t>Počet doštičiek v období najhlbšieho poklesu</w:t>
            </w:r>
            <w:r w:rsidR="00186C3A" w:rsidRPr="001358B9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r w:rsidRPr="001358B9">
              <w:rPr>
                <w:color w:val="000000"/>
                <w:sz w:val="22"/>
                <w:szCs w:val="22"/>
              </w:rPr>
              <w:t>&lt;</w:t>
            </w:r>
            <w:r w:rsidR="00186C3A" w:rsidRPr="001358B9">
              <w:rPr>
                <w:color w:val="000000"/>
                <w:sz w:val="22"/>
                <w:szCs w:val="22"/>
              </w:rPr>
              <w:t> </w:t>
            </w:r>
            <w:r w:rsidRPr="001358B9">
              <w:rPr>
                <w:color w:val="000000"/>
                <w:sz w:val="22"/>
                <w:szCs w:val="22"/>
              </w:rPr>
              <w:t>50</w:t>
            </w:r>
            <w:r w:rsidR="00186C3A" w:rsidRPr="001358B9">
              <w:rPr>
                <w:color w:val="000000"/>
                <w:sz w:val="22"/>
                <w:szCs w:val="22"/>
              </w:rPr>
              <w:t> </w:t>
            </w:r>
            <w:r w:rsidRPr="001358B9">
              <w:rPr>
                <w:color w:val="000000"/>
                <w:sz w:val="22"/>
                <w:szCs w:val="22"/>
              </w:rPr>
              <w:t>000/mm</w:t>
            </w:r>
            <w:r w:rsidRPr="001358B9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1358B9">
              <w:rPr>
                <w:color w:val="000000"/>
                <w:sz w:val="22"/>
                <w:szCs w:val="22"/>
              </w:rPr>
              <w:t xml:space="preserve"> s krvácaním</w:t>
            </w:r>
            <w:r w:rsidRPr="001358B9">
              <w:rPr>
                <w:color w:val="000000"/>
                <w:sz w:val="22"/>
                <w:szCs w:val="22"/>
                <w:vertAlign w:val="superscript"/>
              </w:rPr>
              <w:t>a</w:t>
            </w:r>
            <w:r w:rsidRPr="001358B9">
              <w:rPr>
                <w:color w:val="000000"/>
                <w:sz w:val="22"/>
                <w:szCs w:val="22"/>
              </w:rPr>
              <w:t>, bez ohľadu na</w:t>
            </w:r>
            <w:r w:rsidRPr="001358B9">
              <w:rPr>
                <w:sz w:val="22"/>
                <w:szCs w:val="22"/>
              </w:rPr>
              <w:t xml:space="preserve"> </w:t>
            </w:r>
            <w:r w:rsidRPr="001358B9">
              <w:rPr>
                <w:color w:val="000000"/>
                <w:sz w:val="22"/>
                <w:szCs w:val="22"/>
              </w:rPr>
              <w:t>absolútny počet neutrofilov v období najhlbšieho</w:t>
            </w:r>
            <w:r w:rsidR="00186C3A" w:rsidRPr="001358B9">
              <w:rPr>
                <w:color w:val="000000"/>
                <w:sz w:val="22"/>
                <w:szCs w:val="22"/>
              </w:rPr>
              <w:t xml:space="preserve"> poklesu</w:t>
            </w:r>
          </w:p>
        </w:tc>
        <w:tc>
          <w:tcPr>
            <w:tcW w:w="2533" w:type="pct"/>
            <w:vAlign w:val="center"/>
          </w:tcPr>
          <w:p w14:paraId="79477834" w14:textId="0BA3BA11" w:rsidR="004E4E3D" w:rsidRPr="00927728" w:rsidRDefault="004E4E3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1358B9">
              <w:rPr>
                <w:rFonts w:eastAsia="Times New Roman"/>
                <w:sz w:val="22"/>
                <w:szCs w:val="22"/>
                <w:lang w:eastAsia="en-GB"/>
              </w:rPr>
              <w:t>50 % predchádzajúcej dávky (</w:t>
            </w:r>
            <w:r w:rsidR="006902F5" w:rsidRPr="001358B9">
              <w:rPr>
                <w:rFonts w:eastAsia="Times New Roman"/>
                <w:sz w:val="22"/>
                <w:szCs w:val="22"/>
                <w:lang w:eastAsia="en-GB"/>
              </w:rPr>
              <w:t>P</w:t>
            </w:r>
            <w:r w:rsidRPr="001358B9">
              <w:rPr>
                <w:rFonts w:eastAsia="Times New Roman"/>
                <w:sz w:val="22"/>
                <w:szCs w:val="22"/>
                <w:lang w:eastAsia="en-GB"/>
              </w:rPr>
              <w:t xml:space="preserve">emetrexedu </w:t>
            </w:r>
            <w:r w:rsidR="006902F5" w:rsidRPr="001358B9">
              <w:rPr>
                <w:rFonts w:eastAsia="Times New Roman"/>
                <w:sz w:val="22"/>
                <w:szCs w:val="22"/>
                <w:lang w:eastAsia="en-GB"/>
              </w:rPr>
              <w:t xml:space="preserve">Pharmevid </w:t>
            </w:r>
            <w:r w:rsidRPr="001358B9">
              <w:rPr>
                <w:rFonts w:eastAsia="Times New Roman"/>
                <w:sz w:val="22"/>
                <w:szCs w:val="22"/>
                <w:lang w:eastAsia="en-GB"/>
              </w:rPr>
              <w:t>aj cisp</w:t>
            </w:r>
            <w:r w:rsidR="006902F5" w:rsidRPr="001358B9">
              <w:rPr>
                <w:rFonts w:eastAsia="Times New Roman"/>
                <w:sz w:val="22"/>
                <w:szCs w:val="22"/>
                <w:lang w:eastAsia="en-GB"/>
              </w:rPr>
              <w:t>la</w:t>
            </w:r>
            <w:r w:rsidRPr="001358B9">
              <w:rPr>
                <w:rFonts w:eastAsia="Times New Roman"/>
                <w:sz w:val="22"/>
                <w:szCs w:val="22"/>
                <w:lang w:eastAsia="en-GB"/>
              </w:rPr>
              <w:t>tiny)</w:t>
            </w:r>
          </w:p>
        </w:tc>
      </w:tr>
    </w:tbl>
    <w:p w14:paraId="0B1F50C9" w14:textId="7ECB34D8" w:rsidR="00935375" w:rsidRPr="001358B9" w:rsidRDefault="004E4E3D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  <w:color w:val="000000"/>
        </w:rPr>
      </w:pPr>
      <w:r w:rsidRPr="00927728">
        <w:rPr>
          <w:rFonts w:ascii="Times New Roman" w:hAnsi="Times New Roman"/>
          <w:color w:val="000000"/>
          <w:vertAlign w:val="superscript"/>
        </w:rPr>
        <w:t>a</w:t>
      </w:r>
      <w:r w:rsidRPr="001358B9">
        <w:rPr>
          <w:rFonts w:ascii="Times New Roman" w:hAnsi="Times New Roman"/>
          <w:color w:val="000000"/>
        </w:rPr>
        <w:t xml:space="preserve"> Tieto kritériá sú v súlade s definíciou krvácania ≥ CTC </w:t>
      </w:r>
      <w:r w:rsidR="003D673E" w:rsidRPr="001358B9">
        <w:rPr>
          <w:rFonts w:ascii="Times New Roman" w:hAnsi="Times New Roman"/>
          <w:color w:val="000000"/>
        </w:rPr>
        <w:t>2. s</w:t>
      </w:r>
      <w:r w:rsidR="00E12650" w:rsidRPr="001358B9">
        <w:rPr>
          <w:rFonts w:ascii="Times New Roman" w:hAnsi="Times New Roman"/>
          <w:color w:val="000000"/>
        </w:rPr>
        <w:t>tupňa Všeobecných</w:t>
      </w:r>
      <w:r w:rsidRPr="001358B9">
        <w:rPr>
          <w:rFonts w:ascii="Times New Roman" w:hAnsi="Times New Roman"/>
          <w:color w:val="000000"/>
        </w:rPr>
        <w:t xml:space="preserve"> kritérií toxicity (CTC) podľa „National Cancer Institute” (v2.0; NCI 1998).</w:t>
      </w:r>
    </w:p>
    <w:p w14:paraId="4B6AD9BA" w14:textId="77777777" w:rsidR="004E4E3D" w:rsidRPr="001358B9" w:rsidRDefault="004E4E3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  <w:color w:val="000000"/>
        </w:rPr>
      </w:pPr>
    </w:p>
    <w:p w14:paraId="5D2FA2F0" w14:textId="79A6C101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>Ak sa u pacient</w:t>
      </w:r>
      <w:r w:rsidR="002D611C" w:rsidRPr="001358B9">
        <w:rPr>
          <w:rFonts w:ascii="Times New Roman" w:hAnsi="Times New Roman"/>
          <w:color w:val="000000"/>
        </w:rPr>
        <w:t>ov</w:t>
      </w:r>
      <w:r w:rsidRPr="001358B9">
        <w:rPr>
          <w:rFonts w:ascii="Times New Roman" w:hAnsi="Times New Roman"/>
          <w:color w:val="000000"/>
        </w:rPr>
        <w:t xml:space="preserve"> vyvin</w:t>
      </w:r>
      <w:r w:rsidR="00760F2B" w:rsidRPr="001358B9">
        <w:rPr>
          <w:rFonts w:ascii="Times New Roman" w:hAnsi="Times New Roman"/>
          <w:color w:val="000000"/>
        </w:rPr>
        <w:t>ú</w:t>
      </w:r>
      <w:r w:rsidRPr="001358B9">
        <w:rPr>
          <w:rFonts w:ascii="Times New Roman" w:hAnsi="Times New Roman"/>
          <w:color w:val="000000"/>
        </w:rPr>
        <w:t xml:space="preserve"> nehematologick</w:t>
      </w:r>
      <w:r w:rsidR="00760F2B" w:rsidRPr="001358B9">
        <w:rPr>
          <w:rFonts w:ascii="Times New Roman" w:hAnsi="Times New Roman"/>
          <w:color w:val="000000"/>
        </w:rPr>
        <w:t>é</w:t>
      </w:r>
      <w:r w:rsidRPr="001358B9">
        <w:rPr>
          <w:rFonts w:ascii="Times New Roman" w:hAnsi="Times New Roman"/>
          <w:color w:val="000000"/>
        </w:rPr>
        <w:t xml:space="preserve"> toxicit</w:t>
      </w:r>
      <w:r w:rsidR="00760F2B" w:rsidRPr="001358B9">
        <w:rPr>
          <w:rFonts w:ascii="Times New Roman" w:hAnsi="Times New Roman"/>
          <w:color w:val="000000"/>
        </w:rPr>
        <w:t>y</w:t>
      </w:r>
      <w:r w:rsidRPr="001358B9">
        <w:rPr>
          <w:rFonts w:ascii="Times New Roman" w:hAnsi="Times New Roman"/>
          <w:color w:val="000000"/>
        </w:rPr>
        <w:t xml:space="preserve"> ≥ 3. stupňa (s výnimkou neurotoxicity), </w:t>
      </w:r>
      <w:r w:rsidR="006902F5" w:rsidRPr="001358B9">
        <w:rPr>
          <w:rFonts w:ascii="Times New Roman" w:hAnsi="Times New Roman"/>
          <w:color w:val="000000"/>
        </w:rPr>
        <w:t xml:space="preserve">Pemetrexed Pharmevid </w:t>
      </w:r>
      <w:r w:rsidRPr="001358B9">
        <w:rPr>
          <w:rFonts w:ascii="Times New Roman" w:hAnsi="Times New Roman"/>
          <w:color w:val="000000"/>
        </w:rPr>
        <w:t>musí byť vysadený až do úpravy parametrov na hodnoty nižšie alebo rovnaké ako boli hodnoty pred liečbou. Liečba sa z</w:t>
      </w:r>
      <w:r w:rsidR="006017F4" w:rsidRPr="001358B9">
        <w:rPr>
          <w:rFonts w:ascii="Times New Roman" w:hAnsi="Times New Roman"/>
          <w:color w:val="000000"/>
        </w:rPr>
        <w:t>ačína</w:t>
      </w:r>
      <w:r w:rsidRPr="001358B9">
        <w:rPr>
          <w:rFonts w:ascii="Times New Roman" w:hAnsi="Times New Roman"/>
          <w:color w:val="000000"/>
        </w:rPr>
        <w:t xml:space="preserve"> podľa </w:t>
      </w:r>
      <w:r w:rsidR="00186C3A" w:rsidRPr="001358B9">
        <w:rPr>
          <w:rFonts w:ascii="Times New Roman" w:hAnsi="Times New Roman"/>
          <w:color w:val="000000"/>
        </w:rPr>
        <w:t>pokynov</w:t>
      </w:r>
      <w:r w:rsidRPr="001358B9">
        <w:rPr>
          <w:rFonts w:ascii="Times New Roman" w:hAnsi="Times New Roman"/>
          <w:color w:val="000000"/>
        </w:rPr>
        <w:t xml:space="preserve"> v tabuľke 2.</w:t>
      </w:r>
    </w:p>
    <w:p w14:paraId="078AC063" w14:textId="77777777" w:rsidR="009405DA" w:rsidRPr="001358B9" w:rsidRDefault="009405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  <w:color w:val="000000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052"/>
        <w:gridCol w:w="3139"/>
        <w:gridCol w:w="2871"/>
      </w:tblGrid>
      <w:tr w:rsidR="009405DA" w:rsidRPr="001358B9" w14:paraId="2395E336" w14:textId="77777777" w:rsidTr="000436B6">
        <w:tc>
          <w:tcPr>
            <w:tcW w:w="5000" w:type="pct"/>
            <w:gridSpan w:val="3"/>
          </w:tcPr>
          <w:p w14:paraId="7103385B" w14:textId="5BA9C72D" w:rsidR="009405DA" w:rsidRPr="00927728" w:rsidRDefault="009405D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1358B9">
              <w:rPr>
                <w:b/>
                <w:bCs/>
                <w:color w:val="000000"/>
                <w:sz w:val="22"/>
                <w:szCs w:val="22"/>
              </w:rPr>
              <w:t xml:space="preserve">Tabuľka 2 – Tabuľka modifikácie dávky </w:t>
            </w:r>
            <w:r w:rsidR="006902F5" w:rsidRPr="001358B9">
              <w:rPr>
                <w:b/>
                <w:bCs/>
                <w:color w:val="000000"/>
                <w:sz w:val="22"/>
                <w:szCs w:val="22"/>
              </w:rPr>
              <w:t>P</w:t>
            </w:r>
            <w:r w:rsidRPr="001358B9">
              <w:rPr>
                <w:b/>
                <w:bCs/>
                <w:color w:val="000000"/>
                <w:sz w:val="22"/>
                <w:szCs w:val="22"/>
              </w:rPr>
              <w:t xml:space="preserve">emetrexedu </w:t>
            </w:r>
            <w:r w:rsidR="006902F5" w:rsidRPr="001358B9">
              <w:rPr>
                <w:b/>
                <w:bCs/>
                <w:color w:val="000000"/>
                <w:sz w:val="22"/>
                <w:szCs w:val="22"/>
              </w:rPr>
              <w:t xml:space="preserve">Pharmevid </w:t>
            </w:r>
            <w:r w:rsidRPr="001358B9">
              <w:rPr>
                <w:b/>
                <w:bCs/>
                <w:color w:val="000000"/>
                <w:sz w:val="22"/>
                <w:szCs w:val="22"/>
              </w:rPr>
              <w:t>(v monoterapii alebo v kombinácii) a cisplatiny – Nehematologick</w:t>
            </w:r>
            <w:r w:rsidR="00A90050">
              <w:rPr>
                <w:b/>
                <w:bCs/>
                <w:color w:val="000000"/>
                <w:sz w:val="22"/>
                <w:szCs w:val="22"/>
              </w:rPr>
              <w:t>é</w:t>
            </w:r>
            <w:r w:rsidRPr="001358B9">
              <w:rPr>
                <w:b/>
                <w:bCs/>
                <w:color w:val="000000"/>
                <w:sz w:val="22"/>
                <w:szCs w:val="22"/>
              </w:rPr>
              <w:t xml:space="preserve"> toxicit</w:t>
            </w:r>
            <w:r w:rsidR="00A90050">
              <w:rPr>
                <w:b/>
                <w:bCs/>
                <w:color w:val="000000"/>
                <w:sz w:val="22"/>
                <w:szCs w:val="22"/>
              </w:rPr>
              <w:t>y</w:t>
            </w:r>
            <w:r w:rsidRPr="001358B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358B9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a, b</w:t>
            </w:r>
          </w:p>
        </w:tc>
      </w:tr>
      <w:tr w:rsidR="009405DA" w:rsidRPr="001358B9" w14:paraId="034C9B4F" w14:textId="77777777" w:rsidTr="006902F5">
        <w:tc>
          <w:tcPr>
            <w:tcW w:w="1684" w:type="pct"/>
          </w:tcPr>
          <w:p w14:paraId="483A54AD" w14:textId="77777777" w:rsidR="009405DA" w:rsidRPr="00927728" w:rsidRDefault="009405DA" w:rsidP="009F07F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</w:p>
        </w:tc>
        <w:tc>
          <w:tcPr>
            <w:tcW w:w="1732" w:type="pct"/>
          </w:tcPr>
          <w:p w14:paraId="00CF4452" w14:textId="6DF96E0F" w:rsidR="009405DA" w:rsidRPr="00927728" w:rsidRDefault="009405DA" w:rsidP="009F07FA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</w:pPr>
            <w:r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D</w:t>
            </w:r>
            <w:r w:rsidR="00884364"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ávka</w:t>
            </w:r>
            <w:r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6902F5" w:rsidRPr="001358B9">
              <w:rPr>
                <w:rFonts w:eastAsia="Times New Roman"/>
                <w:b/>
                <w:sz w:val="22"/>
                <w:szCs w:val="22"/>
                <w:lang w:eastAsia="en-US"/>
              </w:rPr>
              <w:t>P</w:t>
            </w:r>
            <w:r w:rsidRPr="001358B9">
              <w:rPr>
                <w:rFonts w:eastAsia="Times New Roman"/>
                <w:b/>
                <w:sz w:val="22"/>
                <w:szCs w:val="22"/>
                <w:lang w:eastAsia="en-US"/>
              </w:rPr>
              <w:t>emetrexed</w:t>
            </w:r>
            <w:r w:rsidR="00884364" w:rsidRPr="001358B9">
              <w:rPr>
                <w:rFonts w:eastAsia="Times New Roman"/>
                <w:b/>
                <w:sz w:val="22"/>
                <w:szCs w:val="22"/>
                <w:lang w:eastAsia="en-US"/>
              </w:rPr>
              <w:t>u</w:t>
            </w:r>
            <w:r w:rsidR="006902F5" w:rsidRPr="001358B9">
              <w:rPr>
                <w:rFonts w:eastAsia="Times New Roman"/>
                <w:b/>
                <w:sz w:val="22"/>
                <w:szCs w:val="22"/>
                <w:lang w:eastAsia="en-US"/>
              </w:rPr>
              <w:t xml:space="preserve"> Pharmevid</w:t>
            </w:r>
            <w:r w:rsidRPr="001358B9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14:paraId="2A7CBE9B" w14:textId="77777777" w:rsidR="009405DA" w:rsidRPr="00927728" w:rsidRDefault="009405D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(mg/m</w:t>
            </w:r>
            <w:r w:rsidRPr="001358B9">
              <w:rPr>
                <w:rFonts w:eastAsia="Times New Roman"/>
                <w:b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84" w:type="pct"/>
          </w:tcPr>
          <w:p w14:paraId="0EA8F85C" w14:textId="77777777" w:rsidR="009405DA" w:rsidRPr="00927728" w:rsidRDefault="009405D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D</w:t>
            </w:r>
            <w:r w:rsidR="00EC6DC7"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ávka</w:t>
            </w:r>
            <w:r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 cisplatin</w:t>
            </w:r>
            <w:r w:rsidR="00884364"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y</w:t>
            </w:r>
            <w:r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 (mg/m</w:t>
            </w:r>
            <w:r w:rsidRPr="001358B9">
              <w:rPr>
                <w:rFonts w:eastAsia="Times New Roman"/>
                <w:b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9405DA" w:rsidRPr="001358B9" w14:paraId="7BACCEDA" w14:textId="77777777" w:rsidTr="006902F5">
        <w:tc>
          <w:tcPr>
            <w:tcW w:w="1684" w:type="pct"/>
            <w:vAlign w:val="center"/>
          </w:tcPr>
          <w:p w14:paraId="2CEED22C" w14:textId="77777777" w:rsidR="009405DA" w:rsidRPr="00927728" w:rsidRDefault="00167767" w:rsidP="009F07F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927728">
              <w:rPr>
                <w:color w:val="000000"/>
                <w:sz w:val="22"/>
                <w:szCs w:val="22"/>
                <w:lang w:val="sk-SK"/>
              </w:rPr>
              <w:t>Akákoľvek toxicita 3. alebo 4. stupňa s výnimkou mukozitídy</w:t>
            </w:r>
            <w:r w:rsidRPr="001358B9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2" w:type="pct"/>
            <w:vAlign w:val="center"/>
          </w:tcPr>
          <w:p w14:paraId="6101A11D" w14:textId="77777777" w:rsidR="009405DA" w:rsidRPr="00927728" w:rsidRDefault="0016776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1358B9">
              <w:rPr>
                <w:rFonts w:eastAsia="Times New Roman"/>
                <w:sz w:val="22"/>
                <w:szCs w:val="22"/>
                <w:lang w:eastAsia="en-GB"/>
              </w:rPr>
              <w:t>75 % predchádzajúcej dávky</w:t>
            </w:r>
          </w:p>
        </w:tc>
        <w:tc>
          <w:tcPr>
            <w:tcW w:w="1584" w:type="pct"/>
            <w:vAlign w:val="center"/>
          </w:tcPr>
          <w:p w14:paraId="168EB46F" w14:textId="77777777" w:rsidR="009405DA" w:rsidRPr="00927728" w:rsidRDefault="0016776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1358B9">
              <w:rPr>
                <w:rFonts w:eastAsia="Times New Roman"/>
                <w:sz w:val="22"/>
                <w:szCs w:val="22"/>
                <w:lang w:eastAsia="en-GB"/>
              </w:rPr>
              <w:t>75 % predchádzajúcej dávky</w:t>
            </w:r>
          </w:p>
        </w:tc>
      </w:tr>
      <w:tr w:rsidR="009405DA" w:rsidRPr="001358B9" w14:paraId="240C4AA4" w14:textId="77777777" w:rsidTr="006902F5">
        <w:trPr>
          <w:trHeight w:val="745"/>
        </w:trPr>
        <w:tc>
          <w:tcPr>
            <w:tcW w:w="1684" w:type="pct"/>
            <w:vAlign w:val="center"/>
          </w:tcPr>
          <w:p w14:paraId="2F887ACE" w14:textId="77777777" w:rsidR="009405DA" w:rsidRPr="00927728" w:rsidRDefault="00167767" w:rsidP="009F07F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927728">
              <w:rPr>
                <w:color w:val="000000"/>
                <w:sz w:val="22"/>
                <w:szCs w:val="22"/>
                <w:lang w:val="sk-SK"/>
              </w:rPr>
              <w:t>Hnačka s nutnosťou hospitalizácie</w:t>
            </w:r>
            <w:r w:rsidRPr="001358B9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1358B9">
              <w:rPr>
                <w:color w:val="000000"/>
                <w:sz w:val="22"/>
                <w:szCs w:val="22"/>
              </w:rPr>
              <w:t>(bez ohľadu na stupeň) alebo</w:t>
            </w:r>
            <w:r w:rsidRPr="001358B9">
              <w:rPr>
                <w:rFonts w:eastAsia="Times New Roman"/>
                <w:sz w:val="22"/>
                <w:szCs w:val="22"/>
                <w:lang w:eastAsia="en-US"/>
              </w:rPr>
              <w:t xml:space="preserve"> hnačka 3. a</w:t>
            </w:r>
            <w:r w:rsidR="001541D0" w:rsidRPr="001358B9">
              <w:rPr>
                <w:rFonts w:eastAsia="Times New Roman"/>
                <w:sz w:val="22"/>
                <w:szCs w:val="22"/>
                <w:lang w:eastAsia="en-US"/>
              </w:rPr>
              <w:t>lebo</w:t>
            </w:r>
            <w:r w:rsidRPr="001358B9">
              <w:rPr>
                <w:rFonts w:eastAsia="Times New Roman"/>
                <w:sz w:val="22"/>
                <w:szCs w:val="22"/>
                <w:lang w:eastAsia="en-US"/>
              </w:rPr>
              <w:t xml:space="preserve"> 4. stupňa</w:t>
            </w:r>
          </w:p>
        </w:tc>
        <w:tc>
          <w:tcPr>
            <w:tcW w:w="1732" w:type="pct"/>
            <w:vAlign w:val="center"/>
          </w:tcPr>
          <w:p w14:paraId="21DC032F" w14:textId="77777777" w:rsidR="009405DA" w:rsidRPr="00927728" w:rsidRDefault="0016776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1358B9">
              <w:rPr>
                <w:rFonts w:eastAsia="Times New Roman"/>
                <w:sz w:val="22"/>
                <w:szCs w:val="22"/>
                <w:lang w:eastAsia="en-GB"/>
              </w:rPr>
              <w:t>75 % predchádzajúcej dávky</w:t>
            </w:r>
          </w:p>
        </w:tc>
        <w:tc>
          <w:tcPr>
            <w:tcW w:w="1584" w:type="pct"/>
            <w:vAlign w:val="center"/>
          </w:tcPr>
          <w:p w14:paraId="1072ED75" w14:textId="77777777" w:rsidR="009405DA" w:rsidRPr="00927728" w:rsidRDefault="0016776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1358B9">
              <w:rPr>
                <w:rFonts w:eastAsia="Times New Roman"/>
                <w:sz w:val="22"/>
                <w:szCs w:val="22"/>
                <w:lang w:eastAsia="en-GB"/>
              </w:rPr>
              <w:t>75 % predchádzajúcej dávky</w:t>
            </w:r>
          </w:p>
        </w:tc>
      </w:tr>
      <w:tr w:rsidR="009405DA" w:rsidRPr="001358B9" w14:paraId="16C293B2" w14:textId="77777777" w:rsidTr="006902F5">
        <w:tc>
          <w:tcPr>
            <w:tcW w:w="1684" w:type="pct"/>
            <w:vAlign w:val="center"/>
          </w:tcPr>
          <w:p w14:paraId="069844B5" w14:textId="77777777" w:rsidR="009405DA" w:rsidRPr="001358B9" w:rsidRDefault="00167767" w:rsidP="009F07F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927728">
              <w:rPr>
                <w:color w:val="000000"/>
                <w:sz w:val="22"/>
                <w:szCs w:val="22"/>
                <w:lang w:val="sk-SK"/>
              </w:rPr>
              <w:t>Mukozitída 3. a</w:t>
            </w:r>
            <w:r w:rsidR="001541D0" w:rsidRPr="001358B9">
              <w:rPr>
                <w:color w:val="000000"/>
                <w:sz w:val="22"/>
                <w:szCs w:val="22"/>
                <w:lang w:val="sk-SK"/>
              </w:rPr>
              <w:t>lebo</w:t>
            </w:r>
            <w:r w:rsidRPr="001358B9">
              <w:rPr>
                <w:color w:val="000000"/>
                <w:sz w:val="22"/>
                <w:szCs w:val="22"/>
                <w:lang w:val="sk-SK"/>
              </w:rPr>
              <w:t xml:space="preserve"> 4. stupňa</w:t>
            </w:r>
          </w:p>
        </w:tc>
        <w:tc>
          <w:tcPr>
            <w:tcW w:w="1732" w:type="pct"/>
            <w:vAlign w:val="center"/>
          </w:tcPr>
          <w:p w14:paraId="1A90800A" w14:textId="77777777" w:rsidR="009405DA" w:rsidRPr="00927728" w:rsidRDefault="0016776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1358B9">
              <w:rPr>
                <w:rFonts w:eastAsia="Times New Roman"/>
                <w:sz w:val="22"/>
                <w:szCs w:val="22"/>
                <w:lang w:eastAsia="en-GB"/>
              </w:rPr>
              <w:t>50 % predchádzajúcej dávky</w:t>
            </w:r>
          </w:p>
        </w:tc>
        <w:tc>
          <w:tcPr>
            <w:tcW w:w="1584" w:type="pct"/>
            <w:vAlign w:val="center"/>
          </w:tcPr>
          <w:p w14:paraId="348CC086" w14:textId="77777777" w:rsidR="009405DA" w:rsidRPr="00927728" w:rsidRDefault="009405D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1358B9">
              <w:rPr>
                <w:rFonts w:eastAsia="Times New Roman"/>
                <w:sz w:val="22"/>
                <w:szCs w:val="22"/>
                <w:lang w:eastAsia="en-US"/>
              </w:rPr>
              <w:t xml:space="preserve">100 % </w:t>
            </w:r>
            <w:r w:rsidR="00167767" w:rsidRPr="001358B9">
              <w:rPr>
                <w:rFonts w:eastAsia="Times New Roman"/>
                <w:sz w:val="22"/>
                <w:szCs w:val="22"/>
                <w:lang w:eastAsia="en-GB"/>
              </w:rPr>
              <w:t>predchádzajúcej dávky</w:t>
            </w:r>
          </w:p>
        </w:tc>
      </w:tr>
    </w:tbl>
    <w:p w14:paraId="41A8E44A" w14:textId="005CD5D8" w:rsidR="00167767" w:rsidRPr="001358B9" w:rsidRDefault="00167767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vertAlign w:val="superscript"/>
        </w:rPr>
      </w:pPr>
      <w:r w:rsidRPr="00927728">
        <w:rPr>
          <w:rFonts w:ascii="Times New Roman" w:hAnsi="Times New Roman"/>
          <w:color w:val="000000"/>
          <w:vertAlign w:val="superscript"/>
        </w:rPr>
        <w:t xml:space="preserve">a </w:t>
      </w:r>
      <w:r w:rsidR="00E2479D" w:rsidRPr="001358B9">
        <w:rPr>
          <w:rFonts w:ascii="Times New Roman" w:hAnsi="Times New Roman"/>
          <w:color w:val="000000"/>
        </w:rPr>
        <w:t>Všeobecné k</w:t>
      </w:r>
      <w:r w:rsidRPr="001358B9">
        <w:rPr>
          <w:rFonts w:ascii="Times New Roman" w:hAnsi="Times New Roman"/>
          <w:color w:val="000000"/>
        </w:rPr>
        <w:t xml:space="preserve">ritériá toxicity (CTC) podľa „National Cancer Institute“ (v2.0; NCI 1998) </w:t>
      </w:r>
    </w:p>
    <w:p w14:paraId="074AAF72" w14:textId="77777777" w:rsidR="00167767" w:rsidRPr="001358B9" w:rsidRDefault="001677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vertAlign w:val="superscript"/>
        </w:rPr>
      </w:pPr>
      <w:r w:rsidRPr="001358B9">
        <w:rPr>
          <w:rFonts w:ascii="Times New Roman" w:hAnsi="Times New Roman"/>
          <w:color w:val="000000"/>
          <w:vertAlign w:val="superscript"/>
        </w:rPr>
        <w:t xml:space="preserve">b </w:t>
      </w:r>
      <w:r w:rsidRPr="001358B9">
        <w:rPr>
          <w:rFonts w:ascii="Times New Roman" w:hAnsi="Times New Roman"/>
          <w:color w:val="000000"/>
        </w:rPr>
        <w:t xml:space="preserve">S výnimkou neurotoxicity </w:t>
      </w:r>
    </w:p>
    <w:p w14:paraId="5739639B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FAF1E2E" w14:textId="6530C2A8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V prípade neurotoxicity, odporúčaná úprava dávky pre </w:t>
      </w:r>
      <w:r w:rsidR="006902F5" w:rsidRPr="001358B9">
        <w:rPr>
          <w:rFonts w:ascii="Times New Roman" w:hAnsi="Times New Roman"/>
          <w:color w:val="000000"/>
        </w:rPr>
        <w:t xml:space="preserve">Pemetrexed Pharmevid </w:t>
      </w:r>
      <w:r w:rsidRPr="001358B9">
        <w:rPr>
          <w:rFonts w:ascii="Times New Roman" w:hAnsi="Times New Roman"/>
          <w:color w:val="000000"/>
        </w:rPr>
        <w:t>a cisplati</w:t>
      </w:r>
      <w:r w:rsidR="00884364" w:rsidRPr="001358B9">
        <w:rPr>
          <w:rFonts w:ascii="Times New Roman" w:hAnsi="Times New Roman"/>
          <w:color w:val="000000"/>
        </w:rPr>
        <w:t>nu je uvedená v tabuľke </w:t>
      </w:r>
      <w:r w:rsidRPr="001358B9">
        <w:rPr>
          <w:rFonts w:ascii="Times New Roman" w:hAnsi="Times New Roman"/>
          <w:color w:val="000000"/>
        </w:rPr>
        <w:t>3. Pacienti musia prerušiť liečbu pri výskyte neurotoxicity 3.</w:t>
      </w:r>
      <w:r w:rsidR="00DF134F" w:rsidRPr="001358B9">
        <w:rPr>
          <w:rFonts w:ascii="Times New Roman" w:hAnsi="Times New Roman"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>alebo 4. stupňa.</w:t>
      </w:r>
    </w:p>
    <w:p w14:paraId="0C25A1A2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042"/>
        <w:gridCol w:w="3973"/>
        <w:gridCol w:w="3047"/>
      </w:tblGrid>
      <w:tr w:rsidR="00167767" w:rsidRPr="001358B9" w14:paraId="6357B6D8" w14:textId="77777777" w:rsidTr="000436B6">
        <w:tc>
          <w:tcPr>
            <w:tcW w:w="5000" w:type="pct"/>
            <w:gridSpan w:val="3"/>
          </w:tcPr>
          <w:p w14:paraId="1AB66BF1" w14:textId="4D1842FB" w:rsidR="00167767" w:rsidRPr="00927728" w:rsidRDefault="00167767">
            <w:pPr>
              <w:widowControl w:val="0"/>
              <w:overflowPunct w:val="0"/>
              <w:autoSpaceDE w:val="0"/>
              <w:autoSpaceDN w:val="0"/>
              <w:adjustRightInd w:val="0"/>
              <w:ind w:right="400"/>
              <w:rPr>
                <w:sz w:val="22"/>
                <w:szCs w:val="22"/>
                <w:lang w:val="sk-SK"/>
              </w:rPr>
            </w:pPr>
            <w:r w:rsidRPr="001358B9">
              <w:rPr>
                <w:b/>
                <w:bCs/>
                <w:color w:val="000000"/>
                <w:sz w:val="22"/>
                <w:szCs w:val="22"/>
              </w:rPr>
              <w:t xml:space="preserve">Tabuľka 3 – Modifikácia dávky </w:t>
            </w:r>
            <w:r w:rsidR="006902F5" w:rsidRPr="001358B9">
              <w:rPr>
                <w:b/>
                <w:bCs/>
                <w:color w:val="000000"/>
                <w:sz w:val="22"/>
                <w:szCs w:val="22"/>
              </w:rPr>
              <w:t>P</w:t>
            </w:r>
            <w:r w:rsidRPr="001358B9">
              <w:rPr>
                <w:b/>
                <w:bCs/>
                <w:color w:val="000000"/>
                <w:sz w:val="22"/>
                <w:szCs w:val="22"/>
              </w:rPr>
              <w:t xml:space="preserve">emetrexedu </w:t>
            </w:r>
            <w:r w:rsidR="006902F5" w:rsidRPr="001358B9">
              <w:rPr>
                <w:b/>
                <w:bCs/>
                <w:color w:val="000000"/>
                <w:sz w:val="22"/>
                <w:szCs w:val="22"/>
              </w:rPr>
              <w:t xml:space="preserve">Pharmevid </w:t>
            </w:r>
            <w:r w:rsidRPr="001358B9">
              <w:rPr>
                <w:b/>
                <w:bCs/>
                <w:color w:val="000000"/>
                <w:sz w:val="22"/>
                <w:szCs w:val="22"/>
              </w:rPr>
              <w:t>(v monoterapii alebo v</w:t>
            </w:r>
            <w:r w:rsidR="006902F5" w:rsidRPr="001358B9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1358B9">
              <w:rPr>
                <w:b/>
                <w:bCs/>
                <w:color w:val="000000"/>
                <w:sz w:val="22"/>
                <w:szCs w:val="22"/>
              </w:rPr>
              <w:t>kombinácii) a cisplatiny – Neurotoxicita</w:t>
            </w:r>
          </w:p>
        </w:tc>
      </w:tr>
      <w:tr w:rsidR="006902F5" w:rsidRPr="001358B9" w14:paraId="0A4A63FF" w14:textId="77777777" w:rsidTr="006902F5">
        <w:tc>
          <w:tcPr>
            <w:tcW w:w="1127" w:type="pct"/>
          </w:tcPr>
          <w:p w14:paraId="370E6272" w14:textId="77777777" w:rsidR="00167767" w:rsidRPr="001358B9" w:rsidRDefault="00167767" w:rsidP="009F07F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927728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>Stupeň CTC</w:t>
            </w:r>
            <w:r w:rsidRPr="001358B9">
              <w:rPr>
                <w:rFonts w:eastAsia="Times New Roman"/>
                <w:b/>
                <w:bCs/>
                <w:sz w:val="22"/>
                <w:szCs w:val="22"/>
                <w:vertAlign w:val="superscript"/>
                <w:lang w:eastAsia="en-US"/>
              </w:rPr>
              <w:t>a</w:t>
            </w:r>
            <w:r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92" w:type="pct"/>
          </w:tcPr>
          <w:p w14:paraId="3DE3916C" w14:textId="686DEBD3" w:rsidR="00167767" w:rsidRPr="00927728" w:rsidRDefault="0016776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1358B9">
              <w:rPr>
                <w:b/>
                <w:bCs/>
                <w:color w:val="000000"/>
                <w:sz w:val="22"/>
                <w:szCs w:val="22"/>
              </w:rPr>
              <w:t xml:space="preserve">Dávka </w:t>
            </w:r>
            <w:r w:rsidR="006902F5" w:rsidRPr="001358B9">
              <w:rPr>
                <w:b/>
                <w:bCs/>
                <w:color w:val="000000"/>
                <w:sz w:val="22"/>
                <w:szCs w:val="22"/>
              </w:rPr>
              <w:t>P</w:t>
            </w:r>
            <w:r w:rsidRPr="001358B9">
              <w:rPr>
                <w:b/>
                <w:bCs/>
                <w:color w:val="000000"/>
                <w:sz w:val="22"/>
                <w:szCs w:val="22"/>
              </w:rPr>
              <w:t>emetrexedu</w:t>
            </w:r>
            <w:r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6902F5"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Pharmevid </w:t>
            </w:r>
            <w:r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(mg/m</w:t>
            </w:r>
            <w:r w:rsidRPr="001358B9">
              <w:rPr>
                <w:rFonts w:eastAsia="Times New Roman"/>
                <w:b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81" w:type="pct"/>
          </w:tcPr>
          <w:p w14:paraId="5E4EA630" w14:textId="77777777" w:rsidR="00167767" w:rsidRPr="00927728" w:rsidRDefault="0016776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1358B9">
              <w:rPr>
                <w:b/>
                <w:bCs/>
                <w:color w:val="000000"/>
                <w:sz w:val="22"/>
                <w:szCs w:val="22"/>
              </w:rPr>
              <w:t>Dávka cisplatiny</w:t>
            </w:r>
            <w:r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 (mg/m</w:t>
            </w:r>
            <w:r w:rsidRPr="001358B9">
              <w:rPr>
                <w:rFonts w:eastAsia="Times New Roman"/>
                <w:b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Pr="001358B9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6902F5" w:rsidRPr="001358B9" w14:paraId="192B106F" w14:textId="77777777" w:rsidTr="006902F5">
        <w:tc>
          <w:tcPr>
            <w:tcW w:w="1127" w:type="pct"/>
          </w:tcPr>
          <w:p w14:paraId="62EAD7F8" w14:textId="77777777" w:rsidR="00167767" w:rsidRPr="001358B9" w:rsidRDefault="00167767" w:rsidP="009F07F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927728">
              <w:rPr>
                <w:rFonts w:eastAsia="Times New Roman"/>
                <w:sz w:val="22"/>
                <w:szCs w:val="22"/>
                <w:lang w:val="sk-SK" w:eastAsia="en-US"/>
              </w:rPr>
              <w:t>0 –</w:t>
            </w:r>
            <w:r w:rsidRPr="001358B9">
              <w:rPr>
                <w:rFonts w:eastAsia="Times New Roman"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2192" w:type="pct"/>
          </w:tcPr>
          <w:p w14:paraId="666C36FC" w14:textId="77777777" w:rsidR="00167767" w:rsidRPr="00927728" w:rsidRDefault="0016776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1358B9">
              <w:rPr>
                <w:rFonts w:eastAsia="Times New Roman"/>
                <w:sz w:val="22"/>
                <w:szCs w:val="22"/>
                <w:lang w:eastAsia="en-US"/>
              </w:rPr>
              <w:t xml:space="preserve">100 % </w:t>
            </w:r>
            <w:r w:rsidRPr="001358B9">
              <w:rPr>
                <w:rFonts w:eastAsia="Times New Roman"/>
                <w:sz w:val="22"/>
                <w:szCs w:val="22"/>
                <w:lang w:eastAsia="en-GB"/>
              </w:rPr>
              <w:t>predchádzajúcej dávky</w:t>
            </w:r>
          </w:p>
        </w:tc>
        <w:tc>
          <w:tcPr>
            <w:tcW w:w="1681" w:type="pct"/>
          </w:tcPr>
          <w:p w14:paraId="60863EFB" w14:textId="77777777" w:rsidR="00167767" w:rsidRPr="00927728" w:rsidRDefault="0016776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1358B9">
              <w:rPr>
                <w:rFonts w:eastAsia="Times New Roman"/>
                <w:sz w:val="22"/>
                <w:szCs w:val="22"/>
                <w:lang w:eastAsia="en-US"/>
              </w:rPr>
              <w:t xml:space="preserve">100 % </w:t>
            </w:r>
            <w:r w:rsidRPr="001358B9">
              <w:rPr>
                <w:rFonts w:eastAsia="Times New Roman"/>
                <w:sz w:val="22"/>
                <w:szCs w:val="22"/>
                <w:lang w:eastAsia="en-GB"/>
              </w:rPr>
              <w:t>predchádzajúcej dávky</w:t>
            </w:r>
          </w:p>
        </w:tc>
      </w:tr>
      <w:tr w:rsidR="006902F5" w:rsidRPr="001358B9" w14:paraId="60B42F2A" w14:textId="77777777" w:rsidTr="006902F5">
        <w:tc>
          <w:tcPr>
            <w:tcW w:w="1127" w:type="pct"/>
          </w:tcPr>
          <w:p w14:paraId="24221F5C" w14:textId="77777777" w:rsidR="00167767" w:rsidRPr="001358B9" w:rsidRDefault="00167767" w:rsidP="009F07F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927728">
              <w:rPr>
                <w:rFonts w:eastAsia="Times New Roman"/>
                <w:sz w:val="22"/>
                <w:szCs w:val="22"/>
                <w:lang w:val="sk-SK" w:eastAsia="en-US"/>
              </w:rPr>
              <w:t>2</w:t>
            </w:r>
          </w:p>
        </w:tc>
        <w:tc>
          <w:tcPr>
            <w:tcW w:w="2192" w:type="pct"/>
          </w:tcPr>
          <w:p w14:paraId="4C19C644" w14:textId="77777777" w:rsidR="00167767" w:rsidRPr="00927728" w:rsidRDefault="0016776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1358B9">
              <w:rPr>
                <w:rFonts w:eastAsia="Times New Roman"/>
                <w:sz w:val="22"/>
                <w:szCs w:val="22"/>
                <w:lang w:eastAsia="en-US"/>
              </w:rPr>
              <w:t xml:space="preserve">100 % </w:t>
            </w:r>
            <w:r w:rsidRPr="001358B9">
              <w:rPr>
                <w:rFonts w:eastAsia="Times New Roman"/>
                <w:sz w:val="22"/>
                <w:szCs w:val="22"/>
                <w:lang w:eastAsia="en-GB"/>
              </w:rPr>
              <w:t>predchádzajúcej dávky</w:t>
            </w:r>
          </w:p>
        </w:tc>
        <w:tc>
          <w:tcPr>
            <w:tcW w:w="1681" w:type="pct"/>
          </w:tcPr>
          <w:p w14:paraId="13D8013D" w14:textId="77777777" w:rsidR="00167767" w:rsidRPr="00927728" w:rsidRDefault="0016776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1358B9">
              <w:rPr>
                <w:rFonts w:eastAsia="Times New Roman"/>
                <w:sz w:val="22"/>
                <w:szCs w:val="22"/>
                <w:lang w:eastAsia="en-US"/>
              </w:rPr>
              <w:t xml:space="preserve">50 % </w:t>
            </w:r>
            <w:r w:rsidRPr="001358B9">
              <w:rPr>
                <w:rFonts w:eastAsia="Times New Roman"/>
                <w:sz w:val="22"/>
                <w:szCs w:val="22"/>
                <w:lang w:eastAsia="en-GB"/>
              </w:rPr>
              <w:t>predchádzajúcej dávky</w:t>
            </w:r>
          </w:p>
        </w:tc>
      </w:tr>
    </w:tbl>
    <w:p w14:paraId="7B824C53" w14:textId="6A3D0870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27728">
        <w:rPr>
          <w:rFonts w:ascii="Times New Roman" w:hAnsi="Times New Roman"/>
          <w:color w:val="000000"/>
          <w:vertAlign w:val="superscript"/>
        </w:rPr>
        <w:t>a</w:t>
      </w:r>
      <w:r w:rsidRPr="001358B9">
        <w:rPr>
          <w:rFonts w:ascii="Times New Roman" w:hAnsi="Times New Roman"/>
          <w:color w:val="000000"/>
        </w:rPr>
        <w:t xml:space="preserve"> </w:t>
      </w:r>
      <w:r w:rsidR="00914227" w:rsidRPr="001358B9">
        <w:rPr>
          <w:rFonts w:ascii="Times New Roman" w:hAnsi="Times New Roman"/>
          <w:color w:val="000000"/>
        </w:rPr>
        <w:t>Všeobecné k</w:t>
      </w:r>
      <w:r w:rsidRPr="001358B9">
        <w:rPr>
          <w:rFonts w:ascii="Times New Roman" w:hAnsi="Times New Roman"/>
          <w:color w:val="000000"/>
        </w:rPr>
        <w:t>ritériá</w:t>
      </w:r>
      <w:r w:rsidR="00914227" w:rsidRPr="001358B9">
        <w:rPr>
          <w:rFonts w:ascii="Times New Roman" w:hAnsi="Times New Roman"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>toxicity (CTC) podľa „National Cancer Institute“ (v2.0; NCI 1998)</w:t>
      </w:r>
    </w:p>
    <w:p w14:paraId="50B705D6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867BBFC" w14:textId="4741000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0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 xml:space="preserve">Liečba </w:t>
      </w:r>
      <w:r w:rsidR="006902F5" w:rsidRPr="001358B9">
        <w:rPr>
          <w:rFonts w:ascii="Times New Roman" w:hAnsi="Times New Roman"/>
          <w:color w:val="000000"/>
        </w:rPr>
        <w:t>P</w:t>
      </w:r>
      <w:r w:rsidRPr="001358B9">
        <w:rPr>
          <w:rFonts w:ascii="Times New Roman" w:hAnsi="Times New Roman"/>
          <w:color w:val="000000"/>
        </w:rPr>
        <w:t xml:space="preserve">emetrexedom </w:t>
      </w:r>
      <w:r w:rsidR="006902F5" w:rsidRPr="001358B9">
        <w:rPr>
          <w:rFonts w:ascii="Times New Roman" w:hAnsi="Times New Roman"/>
          <w:color w:val="000000"/>
        </w:rPr>
        <w:t xml:space="preserve">Pharmevid </w:t>
      </w:r>
      <w:r w:rsidRPr="001358B9">
        <w:rPr>
          <w:rFonts w:ascii="Times New Roman" w:hAnsi="Times New Roman"/>
          <w:color w:val="000000"/>
        </w:rPr>
        <w:t>musí byť prerušená, ak sa u pacienta vyskytne hematologická alebo nehematologická toxicita 3. alebo 4. stupňa po 2 redukciách dávky alebo okamžite</w:t>
      </w:r>
      <w:r w:rsidR="00686DF9" w:rsidRPr="001358B9">
        <w:rPr>
          <w:rFonts w:ascii="Times New Roman" w:hAnsi="Times New Roman"/>
          <w:color w:val="000000"/>
        </w:rPr>
        <w:t>,</w:t>
      </w:r>
      <w:r w:rsidRPr="001358B9">
        <w:rPr>
          <w:rFonts w:ascii="Times New Roman" w:hAnsi="Times New Roman"/>
          <w:color w:val="000000"/>
        </w:rPr>
        <w:t xml:space="preserve"> ak sa vyskytne neurotoxicita 3. alebo 4. stupňa.</w:t>
      </w:r>
    </w:p>
    <w:p w14:paraId="2BF4D0E4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9FE7C63" w14:textId="77777777" w:rsidR="00272322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1358B9">
        <w:rPr>
          <w:rFonts w:ascii="Times New Roman" w:hAnsi="Times New Roman"/>
          <w:i/>
          <w:iCs/>
          <w:color w:val="000000"/>
        </w:rPr>
        <w:t>Starší</w:t>
      </w:r>
    </w:p>
    <w:p w14:paraId="62F6DFB1" w14:textId="1902B78C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V klinických štúdiách neboli zistené žiadne údaje,  </w:t>
      </w:r>
      <w:r w:rsidR="00DF134F" w:rsidRPr="001358B9">
        <w:rPr>
          <w:rFonts w:ascii="Times New Roman" w:hAnsi="Times New Roman"/>
          <w:color w:val="000000"/>
        </w:rPr>
        <w:t>a</w:t>
      </w:r>
      <w:r w:rsidRPr="001358B9">
        <w:rPr>
          <w:rFonts w:ascii="Times New Roman" w:hAnsi="Times New Roman"/>
          <w:color w:val="000000"/>
        </w:rPr>
        <w:t>by pacienti vo veku 65 rokov a</w:t>
      </w:r>
      <w:r w:rsidR="003E7E32" w:rsidRPr="001358B9">
        <w:rPr>
          <w:rFonts w:ascii="Times New Roman" w:hAnsi="Times New Roman"/>
          <w:color w:val="000000"/>
        </w:rPr>
        <w:t>lebo</w:t>
      </w:r>
      <w:r w:rsidRPr="001358B9">
        <w:rPr>
          <w:rFonts w:ascii="Times New Roman" w:hAnsi="Times New Roman"/>
          <w:color w:val="000000"/>
        </w:rPr>
        <w:t xml:space="preserve"> starší mali</w:t>
      </w:r>
      <w:r w:rsidRPr="001358B9">
        <w:rPr>
          <w:rFonts w:ascii="Times New Roman" w:hAnsi="Times New Roman"/>
          <w:i/>
          <w:iCs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 xml:space="preserve">vyššie riziko nežiaducich účinkov v porovnaní s pacientmi mladšími ako 65 rokov. Nie je </w:t>
      </w:r>
      <w:r w:rsidR="00F358AD" w:rsidRPr="001358B9">
        <w:rPr>
          <w:rFonts w:ascii="Times New Roman" w:hAnsi="Times New Roman"/>
          <w:color w:val="000000"/>
        </w:rPr>
        <w:t>potreb</w:t>
      </w:r>
      <w:r w:rsidRPr="001358B9">
        <w:rPr>
          <w:rFonts w:ascii="Times New Roman" w:hAnsi="Times New Roman"/>
          <w:color w:val="000000"/>
        </w:rPr>
        <w:t xml:space="preserve">né </w:t>
      </w:r>
      <w:r w:rsidRPr="001358B9">
        <w:rPr>
          <w:rFonts w:ascii="Times New Roman" w:hAnsi="Times New Roman"/>
          <w:color w:val="000000"/>
        </w:rPr>
        <w:lastRenderedPageBreak/>
        <w:t xml:space="preserve">žiadne zníženie dávky, okrem prípadov, </w:t>
      </w:r>
      <w:r w:rsidR="00771358" w:rsidRPr="001358B9">
        <w:rPr>
          <w:rFonts w:ascii="Times New Roman" w:hAnsi="Times New Roman"/>
          <w:color w:val="000000"/>
        </w:rPr>
        <w:t>ak</w:t>
      </w:r>
      <w:r w:rsidRPr="001358B9">
        <w:rPr>
          <w:rFonts w:ascii="Times New Roman" w:hAnsi="Times New Roman"/>
          <w:color w:val="000000"/>
        </w:rPr>
        <w:t xml:space="preserve"> je toto zníženie nevyhnutné pre všetkých pacientov.</w:t>
      </w:r>
    </w:p>
    <w:p w14:paraId="33F08190" w14:textId="77777777" w:rsidR="00272322" w:rsidRPr="001358B9" w:rsidRDefault="002723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bookmarkStart w:id="1" w:name="page5"/>
      <w:bookmarkEnd w:id="1"/>
    </w:p>
    <w:p w14:paraId="2CA7393F" w14:textId="77777777" w:rsidR="00272322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1358B9">
        <w:rPr>
          <w:rFonts w:ascii="Times New Roman" w:hAnsi="Times New Roman"/>
          <w:i/>
          <w:iCs/>
          <w:color w:val="000000"/>
        </w:rPr>
        <w:t>Pediatrická populácia</w:t>
      </w:r>
    </w:p>
    <w:p w14:paraId="264BE7C0" w14:textId="318B78AB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Použitie </w:t>
      </w:r>
      <w:r w:rsidR="006902F5" w:rsidRPr="001358B9">
        <w:rPr>
          <w:rFonts w:ascii="Times New Roman" w:hAnsi="Times New Roman"/>
          <w:color w:val="000000"/>
        </w:rPr>
        <w:t xml:space="preserve">Pemetrexedu Pharmevid </w:t>
      </w:r>
      <w:r w:rsidRPr="001358B9">
        <w:rPr>
          <w:rFonts w:ascii="Times New Roman" w:hAnsi="Times New Roman"/>
          <w:color w:val="000000"/>
        </w:rPr>
        <w:t>pri liečbe malígneho mezoteliómu pleury a</w:t>
      </w:r>
      <w:r w:rsidRPr="001358B9">
        <w:rPr>
          <w:rFonts w:ascii="Times New Roman" w:hAnsi="Times New Roman"/>
          <w:i/>
          <w:iCs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 xml:space="preserve">nemalobunkového karcinómu pľúc sa netýka </w:t>
      </w:r>
      <w:r w:rsidR="00895C01" w:rsidRPr="001358B9">
        <w:rPr>
          <w:rFonts w:ascii="Times New Roman" w:hAnsi="Times New Roman"/>
          <w:color w:val="000000"/>
        </w:rPr>
        <w:t>pediatrickej populácie</w:t>
      </w:r>
      <w:r w:rsidRPr="001358B9">
        <w:rPr>
          <w:rFonts w:ascii="Times New Roman" w:hAnsi="Times New Roman"/>
          <w:color w:val="000000"/>
        </w:rPr>
        <w:t>.</w:t>
      </w:r>
    </w:p>
    <w:p w14:paraId="49067DA0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90E4AE7" w14:textId="77777777" w:rsidR="00272322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rPr>
          <w:rFonts w:ascii="Times New Roman" w:hAnsi="Times New Roman"/>
          <w:i/>
          <w:iCs/>
          <w:color w:val="000000"/>
        </w:rPr>
      </w:pPr>
      <w:r w:rsidRPr="001358B9">
        <w:rPr>
          <w:rFonts w:ascii="Times New Roman" w:hAnsi="Times New Roman"/>
          <w:i/>
          <w:iCs/>
          <w:color w:val="000000"/>
        </w:rPr>
        <w:t>P</w:t>
      </w:r>
      <w:r w:rsidR="00272322" w:rsidRPr="001358B9">
        <w:rPr>
          <w:rFonts w:ascii="Times New Roman" w:hAnsi="Times New Roman"/>
          <w:i/>
          <w:iCs/>
          <w:color w:val="000000"/>
        </w:rPr>
        <w:t>acienti s poruchou</w:t>
      </w:r>
      <w:r w:rsidRPr="001358B9">
        <w:rPr>
          <w:rFonts w:ascii="Times New Roman" w:hAnsi="Times New Roman"/>
          <w:i/>
          <w:iCs/>
          <w:color w:val="000000"/>
        </w:rPr>
        <w:t xml:space="preserve"> </w:t>
      </w:r>
      <w:r w:rsidR="00037E6A" w:rsidRPr="001358B9">
        <w:rPr>
          <w:rFonts w:ascii="Times New Roman" w:hAnsi="Times New Roman"/>
          <w:i/>
          <w:iCs/>
          <w:color w:val="000000"/>
        </w:rPr>
        <w:t xml:space="preserve">funkcie </w:t>
      </w:r>
      <w:r w:rsidRPr="001358B9">
        <w:rPr>
          <w:rFonts w:ascii="Times New Roman" w:hAnsi="Times New Roman"/>
          <w:i/>
          <w:iCs/>
          <w:color w:val="000000"/>
        </w:rPr>
        <w:t>obličiek</w:t>
      </w:r>
    </w:p>
    <w:p w14:paraId="545C4959" w14:textId="1B4AF6D2" w:rsidR="00C51A9C" w:rsidRPr="001358B9" w:rsidRDefault="002723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rPr>
          <w:rFonts w:ascii="Times New Roman" w:hAnsi="Times New Roman"/>
        </w:rPr>
      </w:pPr>
      <w:r w:rsidRPr="001358B9">
        <w:rPr>
          <w:rFonts w:ascii="Times New Roman" w:hAnsi="Times New Roman"/>
          <w:iCs/>
          <w:color w:val="000000"/>
        </w:rPr>
        <w:t>(Š</w:t>
      </w:r>
      <w:r w:rsidR="00C51A9C" w:rsidRPr="001358B9">
        <w:rPr>
          <w:rFonts w:ascii="Times New Roman" w:hAnsi="Times New Roman"/>
          <w:iCs/>
          <w:color w:val="000000"/>
        </w:rPr>
        <w:t>tandardný Cockcroftov a Gaultov vzorec alebo glomerulárna filtrácia meraná metódou klírensu Tc99m-DPTA v sére)</w:t>
      </w:r>
      <w:r w:rsidR="00C51A9C" w:rsidRPr="001358B9">
        <w:rPr>
          <w:rFonts w:ascii="Times New Roman" w:hAnsi="Times New Roman"/>
          <w:color w:val="000000"/>
        </w:rPr>
        <w:t>: pemetrexed sa primárne vylučuje v nezmenenej forme</w:t>
      </w:r>
      <w:r w:rsidR="00C51A9C" w:rsidRPr="001358B9">
        <w:rPr>
          <w:rFonts w:ascii="Times New Roman" w:hAnsi="Times New Roman"/>
          <w:i/>
          <w:iCs/>
          <w:color w:val="000000"/>
        </w:rPr>
        <w:t xml:space="preserve"> </w:t>
      </w:r>
      <w:r w:rsidR="00C51A9C" w:rsidRPr="001358B9">
        <w:rPr>
          <w:rFonts w:ascii="Times New Roman" w:hAnsi="Times New Roman"/>
          <w:color w:val="000000"/>
        </w:rPr>
        <w:t>obličkami. V klinických štúdiách nebol</w:t>
      </w:r>
      <w:r w:rsidR="004A7016">
        <w:rPr>
          <w:rFonts w:ascii="Times New Roman" w:hAnsi="Times New Roman"/>
          <w:color w:val="000000"/>
        </w:rPr>
        <w:t>i</w:t>
      </w:r>
      <w:r w:rsidR="00C51A9C" w:rsidRPr="001358B9">
        <w:rPr>
          <w:rFonts w:ascii="Times New Roman" w:hAnsi="Times New Roman"/>
          <w:color w:val="000000"/>
        </w:rPr>
        <w:t xml:space="preserve"> u pacientov s klírensom kreatinínu ≥ 45 ml/min potrebn</w:t>
      </w:r>
      <w:r w:rsidR="00B16C5C" w:rsidRPr="001358B9">
        <w:rPr>
          <w:rFonts w:ascii="Times New Roman" w:hAnsi="Times New Roman"/>
          <w:color w:val="000000"/>
        </w:rPr>
        <w:t>é</w:t>
      </w:r>
      <w:r w:rsidR="00C51A9C" w:rsidRPr="001358B9">
        <w:rPr>
          <w:rFonts w:ascii="Times New Roman" w:hAnsi="Times New Roman"/>
          <w:color w:val="000000"/>
        </w:rPr>
        <w:t xml:space="preserve"> žiadn</w:t>
      </w:r>
      <w:r w:rsidR="00B16C5C" w:rsidRPr="001358B9">
        <w:rPr>
          <w:rFonts w:ascii="Times New Roman" w:hAnsi="Times New Roman"/>
          <w:color w:val="000000"/>
        </w:rPr>
        <w:t>e</w:t>
      </w:r>
      <w:r w:rsidR="00C51A9C" w:rsidRPr="001358B9">
        <w:rPr>
          <w:rFonts w:ascii="Times New Roman" w:hAnsi="Times New Roman"/>
          <w:color w:val="000000"/>
        </w:rPr>
        <w:t xml:space="preserve"> úprav</w:t>
      </w:r>
      <w:r w:rsidR="00B16C5C" w:rsidRPr="001358B9">
        <w:rPr>
          <w:rFonts w:ascii="Times New Roman" w:hAnsi="Times New Roman"/>
          <w:color w:val="000000"/>
        </w:rPr>
        <w:t>y</w:t>
      </w:r>
      <w:r w:rsidR="00C51A9C" w:rsidRPr="001358B9">
        <w:rPr>
          <w:rFonts w:ascii="Times New Roman" w:hAnsi="Times New Roman"/>
          <w:color w:val="000000"/>
        </w:rPr>
        <w:t xml:space="preserve"> dávky mimo úprav odporúčaných pre všetkých pacientov. Nie sú dostatočné </w:t>
      </w:r>
      <w:r w:rsidR="00D84478" w:rsidRPr="001358B9">
        <w:rPr>
          <w:rFonts w:ascii="Times New Roman" w:hAnsi="Times New Roman"/>
          <w:color w:val="000000"/>
        </w:rPr>
        <w:t>údaje</w:t>
      </w:r>
      <w:r w:rsidR="00C51A9C" w:rsidRPr="001358B9">
        <w:rPr>
          <w:rFonts w:ascii="Times New Roman" w:hAnsi="Times New Roman"/>
          <w:color w:val="000000"/>
        </w:rPr>
        <w:t xml:space="preserve"> o použití pemetrexedu u pacientov s klírensom kreatinínu pod 45 ml/min a preto sa použitie pemetrexedu u týchto pacientov neodporúča (pozri časť 4.4).</w:t>
      </w:r>
    </w:p>
    <w:p w14:paraId="7376B578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1CAA24" w14:textId="77777777" w:rsidR="00272322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40"/>
        <w:rPr>
          <w:rFonts w:ascii="Times New Roman" w:hAnsi="Times New Roman"/>
          <w:i/>
          <w:iCs/>
          <w:color w:val="000000"/>
        </w:rPr>
      </w:pPr>
      <w:r w:rsidRPr="001358B9">
        <w:rPr>
          <w:rFonts w:ascii="Times New Roman" w:hAnsi="Times New Roman"/>
          <w:i/>
          <w:iCs/>
          <w:color w:val="000000"/>
        </w:rPr>
        <w:t>P</w:t>
      </w:r>
      <w:r w:rsidR="00272322" w:rsidRPr="001358B9">
        <w:rPr>
          <w:rFonts w:ascii="Times New Roman" w:hAnsi="Times New Roman"/>
          <w:i/>
          <w:iCs/>
          <w:color w:val="000000"/>
        </w:rPr>
        <w:t>acienti s poruchou</w:t>
      </w:r>
      <w:r w:rsidRPr="001358B9">
        <w:rPr>
          <w:rFonts w:ascii="Times New Roman" w:hAnsi="Times New Roman"/>
          <w:i/>
          <w:iCs/>
          <w:color w:val="000000"/>
        </w:rPr>
        <w:t xml:space="preserve"> </w:t>
      </w:r>
      <w:r w:rsidR="000676C8" w:rsidRPr="001358B9">
        <w:rPr>
          <w:rFonts w:ascii="Times New Roman" w:hAnsi="Times New Roman"/>
          <w:i/>
          <w:iCs/>
          <w:color w:val="000000"/>
        </w:rPr>
        <w:t xml:space="preserve">funkcie </w:t>
      </w:r>
      <w:r w:rsidRPr="001358B9">
        <w:rPr>
          <w:rFonts w:ascii="Times New Roman" w:hAnsi="Times New Roman"/>
          <w:i/>
          <w:iCs/>
          <w:color w:val="000000"/>
        </w:rPr>
        <w:t>pečene</w:t>
      </w:r>
    </w:p>
    <w:p w14:paraId="62B7F022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Nebol zistený žiadny vzťah medzi AST (SGOT), ALT (SGPT) alebo celkovým</w:t>
      </w:r>
      <w:r w:rsidRPr="001358B9">
        <w:rPr>
          <w:rFonts w:ascii="Times New Roman" w:hAnsi="Times New Roman"/>
          <w:i/>
          <w:iCs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 xml:space="preserve">bilirubínom a farmakokinetikou pemetrexedu. </w:t>
      </w:r>
      <w:r w:rsidR="00895C01" w:rsidRPr="001358B9">
        <w:rPr>
          <w:rFonts w:ascii="Times New Roman" w:hAnsi="Times New Roman"/>
          <w:color w:val="000000"/>
        </w:rPr>
        <w:t>P</w:t>
      </w:r>
      <w:r w:rsidRPr="001358B9">
        <w:rPr>
          <w:rFonts w:ascii="Times New Roman" w:hAnsi="Times New Roman"/>
          <w:color w:val="000000"/>
        </w:rPr>
        <w:t>acienti s</w:t>
      </w:r>
      <w:r w:rsidR="00E11012" w:rsidRPr="001358B9">
        <w:rPr>
          <w:rFonts w:ascii="Times New Roman" w:hAnsi="Times New Roman"/>
          <w:color w:val="000000"/>
        </w:rPr>
        <w:t> </w:t>
      </w:r>
      <w:r w:rsidR="00895C01" w:rsidRPr="001358B9">
        <w:rPr>
          <w:rFonts w:ascii="Times New Roman" w:hAnsi="Times New Roman"/>
          <w:color w:val="000000"/>
        </w:rPr>
        <w:t>poruchou</w:t>
      </w:r>
      <w:r w:rsidR="00E11012" w:rsidRPr="001358B9">
        <w:rPr>
          <w:rFonts w:ascii="Times New Roman" w:hAnsi="Times New Roman"/>
          <w:color w:val="000000"/>
        </w:rPr>
        <w:t xml:space="preserve"> funkcie</w:t>
      </w:r>
      <w:r w:rsidR="00895C01" w:rsidRPr="001358B9">
        <w:rPr>
          <w:rFonts w:ascii="Times New Roman" w:hAnsi="Times New Roman"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>peče</w:t>
      </w:r>
      <w:r w:rsidR="00895C01" w:rsidRPr="001358B9">
        <w:rPr>
          <w:rFonts w:ascii="Times New Roman" w:hAnsi="Times New Roman"/>
          <w:color w:val="000000"/>
        </w:rPr>
        <w:t xml:space="preserve">ne </w:t>
      </w:r>
      <w:r w:rsidR="00C24399" w:rsidRPr="001358B9">
        <w:rPr>
          <w:rFonts w:ascii="Times New Roman" w:hAnsi="Times New Roman"/>
          <w:color w:val="000000"/>
        </w:rPr>
        <w:t>ako sú</w:t>
      </w:r>
      <w:r w:rsidRPr="001358B9">
        <w:rPr>
          <w:rFonts w:ascii="Times New Roman" w:hAnsi="Times New Roman"/>
          <w:color w:val="000000"/>
        </w:rPr>
        <w:t xml:space="preserve"> bilirubín &gt; 1,5</w:t>
      </w:r>
      <w:r w:rsidR="00C24399" w:rsidRPr="001358B9">
        <w:rPr>
          <w:rFonts w:ascii="Times New Roman" w:hAnsi="Times New Roman"/>
          <w:color w:val="000000"/>
        </w:rPr>
        <w:t>-</w:t>
      </w:r>
      <w:r w:rsidR="00895C01" w:rsidRPr="001358B9">
        <w:rPr>
          <w:rFonts w:ascii="Times New Roman" w:hAnsi="Times New Roman"/>
          <w:color w:val="000000"/>
        </w:rPr>
        <w:t>násobok</w:t>
      </w:r>
      <w:r w:rsidRPr="001358B9">
        <w:rPr>
          <w:rFonts w:ascii="Times New Roman" w:hAnsi="Times New Roman"/>
          <w:color w:val="000000"/>
        </w:rPr>
        <w:t xml:space="preserve"> horn</w:t>
      </w:r>
      <w:r w:rsidR="00895C01" w:rsidRPr="001358B9">
        <w:rPr>
          <w:rFonts w:ascii="Times New Roman" w:hAnsi="Times New Roman"/>
          <w:color w:val="000000"/>
        </w:rPr>
        <w:t>ej</w:t>
      </w:r>
      <w:r w:rsidRPr="001358B9">
        <w:rPr>
          <w:rFonts w:ascii="Times New Roman" w:hAnsi="Times New Roman"/>
          <w:color w:val="000000"/>
        </w:rPr>
        <w:t xml:space="preserve"> hranic</w:t>
      </w:r>
      <w:r w:rsidR="00895C01" w:rsidRPr="001358B9">
        <w:rPr>
          <w:rFonts w:ascii="Times New Roman" w:hAnsi="Times New Roman"/>
          <w:color w:val="000000"/>
        </w:rPr>
        <w:t>e</w:t>
      </w:r>
      <w:r w:rsidRPr="001358B9">
        <w:rPr>
          <w:rFonts w:ascii="Times New Roman" w:hAnsi="Times New Roman"/>
          <w:color w:val="000000"/>
        </w:rPr>
        <w:t xml:space="preserve"> normy a/alebo aminotransferáz</w:t>
      </w:r>
      <w:r w:rsidR="00C24399" w:rsidRPr="001358B9">
        <w:rPr>
          <w:rFonts w:ascii="Times New Roman" w:hAnsi="Times New Roman"/>
          <w:color w:val="000000"/>
        </w:rPr>
        <w:t>y</w:t>
      </w:r>
      <w:r w:rsidRPr="001358B9">
        <w:rPr>
          <w:rFonts w:ascii="Times New Roman" w:hAnsi="Times New Roman"/>
          <w:color w:val="000000"/>
        </w:rPr>
        <w:t xml:space="preserve"> &gt; 3,0</w:t>
      </w:r>
      <w:r w:rsidR="00C24399" w:rsidRPr="001358B9">
        <w:rPr>
          <w:rFonts w:ascii="Times New Roman" w:hAnsi="Times New Roman"/>
          <w:color w:val="000000"/>
        </w:rPr>
        <w:t>-</w:t>
      </w:r>
      <w:r w:rsidR="00895C01" w:rsidRPr="001358B9">
        <w:rPr>
          <w:rFonts w:ascii="Times New Roman" w:hAnsi="Times New Roman"/>
          <w:color w:val="000000"/>
        </w:rPr>
        <w:t>násobok</w:t>
      </w:r>
      <w:r w:rsidRPr="001358B9">
        <w:rPr>
          <w:rFonts w:ascii="Times New Roman" w:hAnsi="Times New Roman"/>
          <w:color w:val="000000"/>
        </w:rPr>
        <w:t xml:space="preserve"> horn</w:t>
      </w:r>
      <w:r w:rsidR="00895C01" w:rsidRPr="001358B9">
        <w:rPr>
          <w:rFonts w:ascii="Times New Roman" w:hAnsi="Times New Roman"/>
          <w:color w:val="000000"/>
        </w:rPr>
        <w:t>ej</w:t>
      </w:r>
      <w:r w:rsidRPr="001358B9">
        <w:rPr>
          <w:rFonts w:ascii="Times New Roman" w:hAnsi="Times New Roman"/>
          <w:color w:val="000000"/>
        </w:rPr>
        <w:t xml:space="preserve"> hranic</w:t>
      </w:r>
      <w:r w:rsidR="00895C01" w:rsidRPr="001358B9">
        <w:rPr>
          <w:rFonts w:ascii="Times New Roman" w:hAnsi="Times New Roman"/>
          <w:color w:val="000000"/>
        </w:rPr>
        <w:t>e</w:t>
      </w:r>
      <w:r w:rsidRPr="001358B9">
        <w:rPr>
          <w:rFonts w:ascii="Times New Roman" w:hAnsi="Times New Roman"/>
          <w:color w:val="000000"/>
        </w:rPr>
        <w:t xml:space="preserve"> normálnych hodnôt (hepatálne metastázy neprítomné) alebo &gt; 5,0</w:t>
      </w:r>
      <w:r w:rsidR="00C24399" w:rsidRPr="001358B9">
        <w:rPr>
          <w:rFonts w:ascii="Times New Roman" w:hAnsi="Times New Roman"/>
          <w:color w:val="000000"/>
        </w:rPr>
        <w:t>-</w:t>
      </w:r>
      <w:r w:rsidR="00895C01" w:rsidRPr="001358B9">
        <w:rPr>
          <w:rFonts w:ascii="Times New Roman" w:hAnsi="Times New Roman"/>
          <w:color w:val="000000"/>
        </w:rPr>
        <w:t>násobok</w:t>
      </w:r>
      <w:r w:rsidRPr="001358B9">
        <w:rPr>
          <w:rFonts w:ascii="Times New Roman" w:hAnsi="Times New Roman"/>
          <w:color w:val="000000"/>
        </w:rPr>
        <w:t xml:space="preserve"> horn</w:t>
      </w:r>
      <w:r w:rsidR="00895C01" w:rsidRPr="001358B9">
        <w:rPr>
          <w:rFonts w:ascii="Times New Roman" w:hAnsi="Times New Roman"/>
          <w:color w:val="000000"/>
        </w:rPr>
        <w:t>ej</w:t>
      </w:r>
      <w:r w:rsidRPr="001358B9">
        <w:rPr>
          <w:rFonts w:ascii="Times New Roman" w:hAnsi="Times New Roman"/>
          <w:color w:val="000000"/>
        </w:rPr>
        <w:t xml:space="preserve"> hranic</w:t>
      </w:r>
      <w:r w:rsidR="00895C01" w:rsidRPr="001358B9">
        <w:rPr>
          <w:rFonts w:ascii="Times New Roman" w:hAnsi="Times New Roman"/>
          <w:color w:val="000000"/>
        </w:rPr>
        <w:t>e</w:t>
      </w:r>
      <w:r w:rsidRPr="001358B9">
        <w:rPr>
          <w:rFonts w:ascii="Times New Roman" w:hAnsi="Times New Roman"/>
          <w:color w:val="000000"/>
        </w:rPr>
        <w:t xml:space="preserve"> normálnych hodnôt (hepatálne metastázy prítomné)</w:t>
      </w:r>
      <w:r w:rsidR="00895C01" w:rsidRPr="001358B9">
        <w:rPr>
          <w:rFonts w:ascii="Times New Roman" w:hAnsi="Times New Roman"/>
          <w:color w:val="000000"/>
        </w:rPr>
        <w:t xml:space="preserve"> však</w:t>
      </w:r>
      <w:r w:rsidRPr="001358B9">
        <w:rPr>
          <w:rFonts w:ascii="Times New Roman" w:hAnsi="Times New Roman"/>
          <w:color w:val="000000"/>
        </w:rPr>
        <w:t xml:space="preserve"> neboli doteraz špeciálne </w:t>
      </w:r>
      <w:r w:rsidR="00895C01" w:rsidRPr="001358B9">
        <w:rPr>
          <w:rFonts w:ascii="Times New Roman" w:hAnsi="Times New Roman"/>
          <w:color w:val="000000"/>
        </w:rPr>
        <w:t>skúma</w:t>
      </w:r>
      <w:r w:rsidRPr="001358B9">
        <w:rPr>
          <w:rFonts w:ascii="Times New Roman" w:hAnsi="Times New Roman"/>
          <w:color w:val="000000"/>
        </w:rPr>
        <w:t>ní.</w:t>
      </w:r>
    </w:p>
    <w:p w14:paraId="45842603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9B31CE0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  <w:u w:val="single"/>
        </w:rPr>
        <w:t>Spôsob podávania</w:t>
      </w:r>
    </w:p>
    <w:p w14:paraId="6767AAC5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F0F28E7" w14:textId="550F4B3D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Opatrenia pred zaobchádzaním alebo podaní</w:t>
      </w:r>
      <w:r w:rsidR="00BC7BC1" w:rsidRPr="001358B9">
        <w:rPr>
          <w:rFonts w:ascii="Times New Roman" w:hAnsi="Times New Roman"/>
          <w:color w:val="000000"/>
        </w:rPr>
        <w:t>m</w:t>
      </w:r>
      <w:r w:rsidRPr="001358B9">
        <w:rPr>
          <w:rFonts w:ascii="Times New Roman" w:hAnsi="Times New Roman"/>
          <w:color w:val="000000"/>
        </w:rPr>
        <w:t xml:space="preserve"> </w:t>
      </w:r>
      <w:r w:rsidR="006902F5" w:rsidRPr="001358B9">
        <w:rPr>
          <w:rFonts w:ascii="Times New Roman" w:hAnsi="Times New Roman"/>
          <w:color w:val="000000"/>
        </w:rPr>
        <w:t>Pemetrexedu Pharmevid</w:t>
      </w:r>
      <w:r w:rsidRPr="001358B9">
        <w:rPr>
          <w:rFonts w:ascii="Times New Roman" w:hAnsi="Times New Roman"/>
          <w:color w:val="000000"/>
        </w:rPr>
        <w:t>, pozri časť 6.6.</w:t>
      </w:r>
    </w:p>
    <w:p w14:paraId="53A0D785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C78EC98" w14:textId="3D4D10C7" w:rsidR="00C51A9C" w:rsidRPr="001358B9" w:rsidRDefault="006716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>Pemetrexe</w:t>
      </w:r>
      <w:r w:rsidR="00544736" w:rsidRPr="001358B9">
        <w:rPr>
          <w:rFonts w:ascii="Times New Roman" w:hAnsi="Times New Roman"/>
          <w:color w:val="000000"/>
        </w:rPr>
        <w:t>d</w:t>
      </w:r>
      <w:r w:rsidR="00C51A9C" w:rsidRPr="001358B9">
        <w:rPr>
          <w:rFonts w:ascii="Times New Roman" w:hAnsi="Times New Roman"/>
          <w:color w:val="000000"/>
        </w:rPr>
        <w:t xml:space="preserve"> </w:t>
      </w:r>
      <w:r w:rsidR="006902F5" w:rsidRPr="001358B9">
        <w:rPr>
          <w:rFonts w:ascii="Times New Roman" w:hAnsi="Times New Roman"/>
          <w:color w:val="000000"/>
        </w:rPr>
        <w:t xml:space="preserve">Pharmevid </w:t>
      </w:r>
      <w:r w:rsidR="00C51A9C" w:rsidRPr="001358B9">
        <w:rPr>
          <w:rFonts w:ascii="Times New Roman" w:hAnsi="Times New Roman"/>
          <w:color w:val="000000"/>
        </w:rPr>
        <w:t xml:space="preserve">sa má podávať ako intravenózna infúzia počas 10 minút v prvý deň každého 21-denného cyklu. Pokyny na rekonštitúciu a </w:t>
      </w:r>
      <w:r w:rsidR="00BC7BC1" w:rsidRPr="001358B9">
        <w:rPr>
          <w:rFonts w:ascii="Times New Roman" w:hAnsi="Times New Roman"/>
          <w:color w:val="000000"/>
        </w:rPr>
        <w:t>r</w:t>
      </w:r>
      <w:r w:rsidR="00C51A9C" w:rsidRPr="001358B9">
        <w:rPr>
          <w:rFonts w:ascii="Times New Roman" w:hAnsi="Times New Roman"/>
          <w:color w:val="000000"/>
        </w:rPr>
        <w:t xml:space="preserve">iedenie </w:t>
      </w:r>
      <w:r w:rsidR="006902F5" w:rsidRPr="001358B9">
        <w:rPr>
          <w:rFonts w:ascii="Times New Roman" w:hAnsi="Times New Roman"/>
          <w:color w:val="000000"/>
        </w:rPr>
        <w:t xml:space="preserve">Pemetrexedu Pharmevid </w:t>
      </w:r>
      <w:r w:rsidR="00C51A9C" w:rsidRPr="001358B9">
        <w:rPr>
          <w:rFonts w:ascii="Times New Roman" w:hAnsi="Times New Roman"/>
          <w:color w:val="000000"/>
        </w:rPr>
        <w:t>pred podaním, pozri časť 6.6.</w:t>
      </w:r>
      <w:r w:rsidR="00503B80" w:rsidRPr="001358B9">
        <w:rPr>
          <w:rFonts w:ascii="Times New Roman" w:hAnsi="Times New Roman"/>
          <w:color w:val="000000"/>
        </w:rPr>
        <w:t xml:space="preserve"> Po rekonštitúcii sa má získať číry</w:t>
      </w:r>
      <w:r w:rsidR="001128AE" w:rsidRPr="001358B9">
        <w:rPr>
          <w:rFonts w:ascii="Times New Roman" w:hAnsi="Times New Roman"/>
          <w:color w:val="000000"/>
        </w:rPr>
        <w:t xml:space="preserve">, </w:t>
      </w:r>
      <w:r w:rsidR="00503B80" w:rsidRPr="001358B9">
        <w:rPr>
          <w:rFonts w:ascii="Times New Roman" w:hAnsi="Times New Roman"/>
          <w:color w:val="000000"/>
        </w:rPr>
        <w:t>bezfarebn</w:t>
      </w:r>
      <w:r w:rsidR="001128AE" w:rsidRPr="001358B9">
        <w:rPr>
          <w:rFonts w:ascii="Times New Roman" w:hAnsi="Times New Roman"/>
          <w:color w:val="000000"/>
        </w:rPr>
        <w:t xml:space="preserve">ý alebo </w:t>
      </w:r>
      <w:r w:rsidR="00503B80" w:rsidRPr="001358B9">
        <w:rPr>
          <w:rFonts w:ascii="Times New Roman" w:hAnsi="Times New Roman"/>
          <w:color w:val="000000"/>
        </w:rPr>
        <w:t>žlt</w:t>
      </w:r>
      <w:r w:rsidR="001128AE" w:rsidRPr="001358B9">
        <w:rPr>
          <w:rFonts w:ascii="Times New Roman" w:hAnsi="Times New Roman"/>
          <w:color w:val="000000"/>
        </w:rPr>
        <w:t>ý</w:t>
      </w:r>
      <w:r w:rsidR="00503B80" w:rsidRPr="001358B9">
        <w:rPr>
          <w:rFonts w:ascii="Times New Roman" w:hAnsi="Times New Roman"/>
          <w:color w:val="000000"/>
        </w:rPr>
        <w:t xml:space="preserve"> alebo žltozelen</w:t>
      </w:r>
      <w:r w:rsidR="001128AE" w:rsidRPr="001358B9">
        <w:rPr>
          <w:rFonts w:ascii="Times New Roman" w:hAnsi="Times New Roman"/>
          <w:color w:val="000000"/>
        </w:rPr>
        <w:t>ý</w:t>
      </w:r>
      <w:r w:rsidR="00503B80" w:rsidRPr="001358B9">
        <w:rPr>
          <w:rFonts w:ascii="Times New Roman" w:hAnsi="Times New Roman"/>
          <w:color w:val="000000"/>
        </w:rPr>
        <w:t xml:space="preserve"> alebo hnedo</w:t>
      </w:r>
      <w:r w:rsidR="00A256AD" w:rsidRPr="001358B9">
        <w:rPr>
          <w:rFonts w:ascii="Times New Roman" w:hAnsi="Times New Roman"/>
          <w:color w:val="000000"/>
        </w:rPr>
        <w:t>žltý</w:t>
      </w:r>
      <w:r w:rsidR="001128AE" w:rsidRPr="001358B9">
        <w:rPr>
          <w:rFonts w:ascii="Times New Roman" w:hAnsi="Times New Roman"/>
          <w:color w:val="000000"/>
        </w:rPr>
        <w:t xml:space="preserve"> zafarbený roztok</w:t>
      </w:r>
      <w:r w:rsidR="00503B80" w:rsidRPr="001358B9">
        <w:rPr>
          <w:rFonts w:ascii="Times New Roman" w:hAnsi="Times New Roman"/>
          <w:color w:val="000000"/>
        </w:rPr>
        <w:t xml:space="preserve">.  </w:t>
      </w:r>
    </w:p>
    <w:p w14:paraId="5FEB71E2" w14:textId="77777777" w:rsidR="00A4702B" w:rsidRPr="001358B9" w:rsidRDefault="00A4702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</w:rPr>
      </w:pPr>
    </w:p>
    <w:p w14:paraId="39F38D81" w14:textId="77777777" w:rsidR="00C51A9C" w:rsidRPr="001358B9" w:rsidRDefault="00C51A9C" w:rsidP="001358B9">
      <w:pPr>
        <w:widowControl w:val="0"/>
        <w:numPr>
          <w:ilvl w:val="0"/>
          <w:numId w:val="8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Kontraindikácie </w:t>
      </w:r>
    </w:p>
    <w:p w14:paraId="4F8864EE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94DAD9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Precitlivenosť na liečivo alebo na ktorúkoľvek z pomocných látok uvedených v časti 6.1.</w:t>
      </w:r>
    </w:p>
    <w:p w14:paraId="6F9C8F3F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4304A9D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Dojčenie (pozri časť 4.6).</w:t>
      </w:r>
    </w:p>
    <w:p w14:paraId="2BAB4413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45F5AFA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Súbežná vakcinácia proti žltej zimnici (pozri časť 4.5).</w:t>
      </w:r>
    </w:p>
    <w:p w14:paraId="39320D00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0298D38" w14:textId="77777777" w:rsidR="00C51A9C" w:rsidRPr="001358B9" w:rsidRDefault="00C51A9C" w:rsidP="001358B9">
      <w:pPr>
        <w:widowControl w:val="0"/>
        <w:numPr>
          <w:ilvl w:val="0"/>
          <w:numId w:val="9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Osobitné upozornenia a opatrenia pri používaní </w:t>
      </w:r>
    </w:p>
    <w:p w14:paraId="651B7D7A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AA98CE1" w14:textId="457D353F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Pemetrexed môže utlmiť funkciu kostnej drene čoho výsledkom je neutropénia, trombocytopénia a anémia (alebo pancytopénia) (pozri časť 4.8). Potlačenie tvorby kostnej drene predstavuje obvykle toxicitu, ktorá limituje veľkosť použitej dávky. Pacienti musia byť sledovaní z hľadiska útlmu kostnej drene počas liečby a pemetrexed nesmie byť podaný pacientom</w:t>
      </w:r>
      <w:r w:rsidR="00E95CAC" w:rsidRPr="001358B9">
        <w:rPr>
          <w:rFonts w:ascii="Times New Roman" w:hAnsi="Times New Roman"/>
          <w:color w:val="000000"/>
        </w:rPr>
        <w:t>,</w:t>
      </w:r>
      <w:r w:rsidRPr="001358B9">
        <w:rPr>
          <w:rFonts w:ascii="Times New Roman" w:hAnsi="Times New Roman"/>
          <w:color w:val="000000"/>
        </w:rPr>
        <w:t xml:space="preserve"> pokiaľ sa absolútny počet neutrofilov (ANC) nevráti na hodnotu ≥ 1 500 buniek/mm</w:t>
      </w:r>
      <w:r w:rsidRPr="001358B9">
        <w:rPr>
          <w:rFonts w:ascii="Times New Roman" w:hAnsi="Times New Roman"/>
          <w:color w:val="000000"/>
          <w:vertAlign w:val="superscript"/>
        </w:rPr>
        <w:t>3</w:t>
      </w:r>
      <w:r w:rsidRPr="001358B9">
        <w:rPr>
          <w:rFonts w:ascii="Times New Roman" w:hAnsi="Times New Roman"/>
          <w:color w:val="000000"/>
        </w:rPr>
        <w:t xml:space="preserve"> a počet doštičiek na ≥ 100 000 buniek/mm</w:t>
      </w:r>
      <w:r w:rsidRPr="001358B9">
        <w:rPr>
          <w:rFonts w:ascii="Times New Roman" w:hAnsi="Times New Roman"/>
          <w:color w:val="000000"/>
          <w:vertAlign w:val="superscript"/>
        </w:rPr>
        <w:t>3</w:t>
      </w:r>
      <w:r w:rsidRPr="001358B9">
        <w:rPr>
          <w:rFonts w:ascii="Times New Roman" w:hAnsi="Times New Roman"/>
          <w:color w:val="000000"/>
        </w:rPr>
        <w:t>. Zníženi</w:t>
      </w:r>
      <w:r w:rsidR="002667E9" w:rsidRPr="001358B9">
        <w:rPr>
          <w:rFonts w:ascii="Times New Roman" w:hAnsi="Times New Roman"/>
          <w:color w:val="000000"/>
        </w:rPr>
        <w:t>a</w:t>
      </w:r>
      <w:r w:rsidRPr="001358B9">
        <w:rPr>
          <w:rFonts w:ascii="Times New Roman" w:hAnsi="Times New Roman"/>
          <w:color w:val="000000"/>
        </w:rPr>
        <w:t xml:space="preserve"> dávky v nasledujúcom cykle závis</w:t>
      </w:r>
      <w:r w:rsidR="002667E9" w:rsidRPr="001358B9">
        <w:rPr>
          <w:rFonts w:ascii="Times New Roman" w:hAnsi="Times New Roman"/>
          <w:color w:val="000000"/>
        </w:rPr>
        <w:t>ia</w:t>
      </w:r>
      <w:r w:rsidRPr="001358B9">
        <w:rPr>
          <w:rFonts w:ascii="Times New Roman" w:hAnsi="Times New Roman"/>
          <w:color w:val="000000"/>
        </w:rPr>
        <w:t xml:space="preserve"> od hodnôt absolútneho počtu neutrofilov v čase najhlbšieho poklesu, počtu doštičiek a maximálnej nehematologickej toxicity vyskytujúcej sa v predchádzajúcom cykle (pozri časť 4.2).</w:t>
      </w:r>
    </w:p>
    <w:p w14:paraId="058E9299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99A988D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Bolo zaznamenaných menej redukcií a hematologickej toxicity stupňa 3/4 a nehematologickej toxicity ako je neutropénia, febrilná neutropénia a infekcia s neutropéniou stupňa 3/4, </w:t>
      </w:r>
      <w:r w:rsidR="00042FE3" w:rsidRPr="001358B9">
        <w:rPr>
          <w:rFonts w:ascii="Times New Roman" w:hAnsi="Times New Roman"/>
          <w:color w:val="000000"/>
        </w:rPr>
        <w:t>ak</w:t>
      </w:r>
      <w:r w:rsidRPr="001358B9">
        <w:rPr>
          <w:rFonts w:ascii="Times New Roman" w:hAnsi="Times New Roman"/>
          <w:color w:val="000000"/>
        </w:rPr>
        <w:t xml:space="preserve"> boli pred liečbou podávané kyselina listová a vitamín B</w:t>
      </w:r>
      <w:r w:rsidRPr="001358B9">
        <w:rPr>
          <w:rFonts w:ascii="Times New Roman" w:hAnsi="Times New Roman"/>
          <w:color w:val="000000"/>
          <w:vertAlign w:val="subscript"/>
        </w:rPr>
        <w:t>12</w:t>
      </w:r>
      <w:r w:rsidRPr="001358B9">
        <w:rPr>
          <w:rFonts w:ascii="Times New Roman" w:hAnsi="Times New Roman"/>
          <w:color w:val="000000"/>
        </w:rPr>
        <w:t>. Preto musia byť všetci pacienti liečení pemetrexedom poučení, aby užívali profylakticky kyselinu listovú a vitamín B</w:t>
      </w:r>
      <w:r w:rsidRPr="001358B9">
        <w:rPr>
          <w:rFonts w:ascii="Times New Roman" w:hAnsi="Times New Roman"/>
          <w:color w:val="000000"/>
          <w:vertAlign w:val="subscript"/>
        </w:rPr>
        <w:t>12</w:t>
      </w:r>
      <w:r w:rsidRPr="001358B9">
        <w:rPr>
          <w:rFonts w:ascii="Times New Roman" w:hAnsi="Times New Roman"/>
          <w:color w:val="000000"/>
        </w:rPr>
        <w:t xml:space="preserve"> za účelom zníženia toxicity súvisiacej s liečbou (pozri časť 4.2).</w:t>
      </w:r>
    </w:p>
    <w:p w14:paraId="4ADB3010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5CFC3A8" w14:textId="6F7098E9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lastRenderedPageBreak/>
        <w:t>Kožné reakcie boli zaznamenané u pacientov, ktorí nedostávali pred liečbou kortikosteroid. Podávanie dexametazónu (alebo ekvivalentného kortikosteroidu) pred liečbou pemetrexedom môže znížiť výskyt a závažnosť kožných reakcií (pozri časť 4.2).</w:t>
      </w:r>
    </w:p>
    <w:p w14:paraId="1E91E8D0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E9D32CD" w14:textId="77777777" w:rsidR="00C24399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>Nebol študovaný dostatočný počet pacientov s klírensom kreatinínu pod 45 ml/min. Preto sa použitie pemetrexedu u pacientov s klírensom kreatinínu &lt; 45 ml/min neodporúča (pozri časť 4.2).</w:t>
      </w:r>
      <w:bookmarkStart w:id="2" w:name="page6"/>
      <w:bookmarkEnd w:id="2"/>
      <w:r w:rsidR="007546E7" w:rsidRPr="001358B9">
        <w:rPr>
          <w:rFonts w:ascii="Times New Roman" w:hAnsi="Times New Roman"/>
          <w:color w:val="000000"/>
        </w:rPr>
        <w:t xml:space="preserve"> </w:t>
      </w:r>
    </w:p>
    <w:p w14:paraId="4FB2C800" w14:textId="77777777" w:rsidR="00C24399" w:rsidRPr="001358B9" w:rsidRDefault="00C243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  <w:color w:val="000000"/>
        </w:rPr>
      </w:pPr>
    </w:p>
    <w:p w14:paraId="18AF8690" w14:textId="22186F48" w:rsidR="003853C3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 xml:space="preserve">Pacienti s miernou až stredne závažnou </w:t>
      </w:r>
      <w:r w:rsidR="003853C3" w:rsidRPr="001358B9">
        <w:rPr>
          <w:rFonts w:ascii="Times New Roman" w:hAnsi="Times New Roman"/>
          <w:color w:val="000000"/>
        </w:rPr>
        <w:t xml:space="preserve">poruchou </w:t>
      </w:r>
      <w:r w:rsidR="00C12B7B" w:rsidRPr="001358B9">
        <w:rPr>
          <w:rFonts w:ascii="Times New Roman" w:hAnsi="Times New Roman"/>
          <w:color w:val="000000"/>
        </w:rPr>
        <w:t xml:space="preserve">funkcie </w:t>
      </w:r>
      <w:r w:rsidR="003853C3" w:rsidRPr="001358B9">
        <w:rPr>
          <w:rFonts w:ascii="Times New Roman" w:hAnsi="Times New Roman"/>
          <w:color w:val="000000"/>
        </w:rPr>
        <w:t>obličiek</w:t>
      </w:r>
      <w:r w:rsidRPr="001358B9">
        <w:rPr>
          <w:rFonts w:ascii="Times New Roman" w:hAnsi="Times New Roman"/>
          <w:color w:val="000000"/>
        </w:rPr>
        <w:t xml:space="preserve"> (klírens kreatinínu 45 až 79</w:t>
      </w:r>
      <w:r w:rsidR="00503B80" w:rsidRPr="001358B9">
        <w:rPr>
          <w:rFonts w:ascii="Times New Roman" w:hAnsi="Times New Roman"/>
          <w:color w:val="000000"/>
        </w:rPr>
        <w:t> </w:t>
      </w:r>
      <w:r w:rsidRPr="001358B9">
        <w:rPr>
          <w:rFonts w:ascii="Times New Roman" w:hAnsi="Times New Roman"/>
          <w:color w:val="000000"/>
        </w:rPr>
        <w:t>ml/min) sa musia vyvarovať užívania nesteroid</w:t>
      </w:r>
      <w:r w:rsidR="00365A01" w:rsidRPr="001358B9">
        <w:rPr>
          <w:rFonts w:ascii="Times New Roman" w:hAnsi="Times New Roman"/>
          <w:color w:val="000000"/>
        </w:rPr>
        <w:t>ových</w:t>
      </w:r>
      <w:r w:rsidRPr="001358B9">
        <w:rPr>
          <w:rFonts w:ascii="Times New Roman" w:hAnsi="Times New Roman"/>
          <w:color w:val="000000"/>
        </w:rPr>
        <w:t xml:space="preserve"> antiflogistík (NSA</w:t>
      </w:r>
      <w:r w:rsidR="00EF35F5" w:rsidRPr="001358B9">
        <w:rPr>
          <w:rFonts w:ascii="Times New Roman" w:hAnsi="Times New Roman"/>
          <w:color w:val="000000"/>
        </w:rPr>
        <w:t>ID</w:t>
      </w:r>
      <w:r w:rsidRPr="001358B9">
        <w:rPr>
          <w:rFonts w:ascii="Times New Roman" w:hAnsi="Times New Roman"/>
          <w:color w:val="000000"/>
        </w:rPr>
        <w:t xml:space="preserve">), ako je ibuprofen a kyselina acetylsalicylová (&gt; 1,3 g denne), 2 dni pred, v deň a 2 dni po podaní pemetrexedu (pozri časť 4.5). </w:t>
      </w:r>
    </w:p>
    <w:p w14:paraId="20C9FEA2" w14:textId="77777777" w:rsidR="003853C3" w:rsidRPr="001358B9" w:rsidRDefault="003853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  <w:color w:val="000000"/>
        </w:rPr>
      </w:pPr>
    </w:p>
    <w:p w14:paraId="003A48CC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Pacienti s miernou až stredne závažnou </w:t>
      </w:r>
      <w:r w:rsidR="003853C3" w:rsidRPr="001358B9">
        <w:rPr>
          <w:rFonts w:ascii="Times New Roman" w:hAnsi="Times New Roman"/>
          <w:color w:val="000000"/>
        </w:rPr>
        <w:t xml:space="preserve">poruchou </w:t>
      </w:r>
      <w:r w:rsidR="00EF35F5" w:rsidRPr="001358B9">
        <w:rPr>
          <w:rFonts w:ascii="Times New Roman" w:hAnsi="Times New Roman"/>
          <w:color w:val="000000"/>
        </w:rPr>
        <w:t xml:space="preserve">funkcie </w:t>
      </w:r>
      <w:r w:rsidR="003853C3" w:rsidRPr="001358B9">
        <w:rPr>
          <w:rFonts w:ascii="Times New Roman" w:hAnsi="Times New Roman"/>
          <w:color w:val="000000"/>
        </w:rPr>
        <w:t>obličiek</w:t>
      </w:r>
      <w:r w:rsidRPr="001358B9">
        <w:rPr>
          <w:rFonts w:ascii="Times New Roman" w:hAnsi="Times New Roman"/>
          <w:color w:val="000000"/>
        </w:rPr>
        <w:t>, vhodní na liečbu pemetrexedom, majú prerušiť užívanie NSA</w:t>
      </w:r>
      <w:r w:rsidR="005F0112" w:rsidRPr="001358B9">
        <w:rPr>
          <w:rFonts w:ascii="Times New Roman" w:hAnsi="Times New Roman"/>
          <w:color w:val="000000"/>
        </w:rPr>
        <w:t>ID</w:t>
      </w:r>
      <w:r w:rsidRPr="001358B9">
        <w:rPr>
          <w:rFonts w:ascii="Times New Roman" w:hAnsi="Times New Roman"/>
          <w:color w:val="000000"/>
        </w:rPr>
        <w:t xml:space="preserve"> s dlhšími polčasmi vylučovania najmenej 5 dní pred, v deň a</w:t>
      </w:r>
      <w:r w:rsidR="005F0112" w:rsidRPr="001358B9">
        <w:rPr>
          <w:rFonts w:ascii="Times New Roman" w:hAnsi="Times New Roman"/>
          <w:color w:val="000000"/>
        </w:rPr>
        <w:t> </w:t>
      </w:r>
      <w:r w:rsidRPr="001358B9">
        <w:rPr>
          <w:rFonts w:ascii="Times New Roman" w:hAnsi="Times New Roman"/>
          <w:color w:val="000000"/>
        </w:rPr>
        <w:t>najmenej</w:t>
      </w:r>
      <w:r w:rsidR="005F0112" w:rsidRPr="001358B9">
        <w:rPr>
          <w:rFonts w:ascii="Times New Roman" w:hAnsi="Times New Roman"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>2 dni po podaní pemetrexedu (pozri časť 4.5).</w:t>
      </w:r>
    </w:p>
    <w:p w14:paraId="57077993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37D928A" w14:textId="430258E9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V súvislosti s pemetrexedom samotným alebo v kombinácii s inými chemoterapeutikami boli hlásené závažné renálne príhody, vrátane akútneho renálneho zlyhania. Mnoho pacientov, u ktorých sa tieto príhody objavili, malo rizikové faktory pre rozvoj renálnych príhod, vrátane dehydratácie alebo pre-existujúcej hypertenzie alebo diabet</w:t>
      </w:r>
      <w:r w:rsidR="00D70DA0">
        <w:rPr>
          <w:rFonts w:ascii="Times New Roman" w:hAnsi="Times New Roman"/>
          <w:color w:val="000000"/>
        </w:rPr>
        <w:t>u</w:t>
      </w:r>
      <w:r w:rsidRPr="001358B9">
        <w:rPr>
          <w:rFonts w:ascii="Times New Roman" w:hAnsi="Times New Roman"/>
          <w:color w:val="000000"/>
        </w:rPr>
        <w:t>.</w:t>
      </w:r>
      <w:r w:rsidR="00D70DA0">
        <w:rPr>
          <w:rFonts w:ascii="Times New Roman" w:hAnsi="Times New Roman"/>
          <w:color w:val="000000"/>
        </w:rPr>
        <w:t xml:space="preserve"> Pri samotnom používaní pemetrexedu alebo jeho používaní s inými chemoterapeutickými liekmi bol po uvedení na trh hlásený aj nefrogenický diabetes insipidus a tubulárna nekróza obličiek. Väčšina z týchto príhod ustúpila po prerušení liečby pemetrexedom. U pacientov je potrebné pravidelne kontrolovať symptómy akútnej tubulárnej nekrózy, zníženej funkcie obličiek a prejavy a symptómy nefrogenického diabetu insipidus (napr. hypernatriémia). </w:t>
      </w:r>
    </w:p>
    <w:p w14:paraId="436B9724" w14:textId="4DA7197B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Vplyv prítomnosti tekutín v treťom priestore, ako je pleurálny výpotok alebo ascites, na pemetrexed nie je presne stanovený. Klinické skúšanie 2. fázy s pemetrexedom na 31 pacientoch s ohraničeným tumorom </w:t>
      </w:r>
      <w:r w:rsidR="00A21184" w:rsidRPr="001358B9">
        <w:rPr>
          <w:rFonts w:ascii="Times New Roman" w:hAnsi="Times New Roman"/>
          <w:color w:val="000000"/>
        </w:rPr>
        <w:t>so</w:t>
      </w:r>
      <w:r w:rsidRPr="001358B9">
        <w:rPr>
          <w:rFonts w:ascii="Times New Roman" w:hAnsi="Times New Roman"/>
          <w:color w:val="000000"/>
        </w:rPr>
        <w:t xml:space="preserve"> stabilným výskytom tekutiny v treťom priestore nepreukázalo žiadny rozdiel</w:t>
      </w:r>
    </w:p>
    <w:p w14:paraId="11922635" w14:textId="0D89515A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v plazmatických koncentráciách a</w:t>
      </w:r>
      <w:r w:rsidR="00A21184" w:rsidRPr="001358B9">
        <w:rPr>
          <w:rFonts w:ascii="Times New Roman" w:hAnsi="Times New Roman"/>
          <w:color w:val="000000"/>
        </w:rPr>
        <w:t>lebo</w:t>
      </w:r>
      <w:r w:rsidRPr="001358B9">
        <w:rPr>
          <w:rFonts w:ascii="Times New Roman" w:hAnsi="Times New Roman"/>
          <w:color w:val="000000"/>
        </w:rPr>
        <w:t xml:space="preserve"> klírense pemetrexedu normalizovaných podľa dávky oproti pacientom bez prítomnosti tekutín v treťom priestore. Preto je vhodné pred začatím liečby pemetrexedom zvážiť drenáž tekutiny z tretieho priestoru, avšak </w:t>
      </w:r>
      <w:r w:rsidR="00D61233" w:rsidRPr="001358B9">
        <w:rPr>
          <w:rFonts w:ascii="Times New Roman" w:hAnsi="Times New Roman"/>
          <w:color w:val="000000"/>
        </w:rPr>
        <w:t>nie je to potrebné</w:t>
      </w:r>
      <w:r w:rsidRPr="001358B9">
        <w:rPr>
          <w:rFonts w:ascii="Times New Roman" w:hAnsi="Times New Roman"/>
          <w:color w:val="000000"/>
        </w:rPr>
        <w:t>.</w:t>
      </w:r>
    </w:p>
    <w:p w14:paraId="2ED088D6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11E3B75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Ako dôsledok gastrointestinálnej toxicity pemetrexedu podávaného v kombinácii s cisplatinou sa pozorovala závažná dehydratácia. Preto </w:t>
      </w:r>
      <w:r w:rsidR="003853C3" w:rsidRPr="001358B9">
        <w:rPr>
          <w:rFonts w:ascii="Times New Roman" w:hAnsi="Times New Roman"/>
          <w:color w:val="000000"/>
        </w:rPr>
        <w:t xml:space="preserve">majú </w:t>
      </w:r>
      <w:r w:rsidRPr="001358B9">
        <w:rPr>
          <w:rFonts w:ascii="Times New Roman" w:hAnsi="Times New Roman"/>
          <w:color w:val="000000"/>
        </w:rPr>
        <w:t>pacienti dostávať adekvátnu antiemetickú liečbu a primeranú hydratáciu pred a/alebo po podaní liečby.</w:t>
      </w:r>
    </w:p>
    <w:p w14:paraId="4FDBB671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AF2FD12" w14:textId="1E8960D2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Menej často boli v priebehu klinických štúdií s pemetrexedom hlásené závažné kardiovaskulárne príhody vrátane infarktu myokardu a cerebrovaskulárne príhody, hlavne pri podaní v kombinácii s ďalším cytostatikom. Väčšina pacientov, u ktorých sa pozorovali tieto príhody, mala </w:t>
      </w:r>
      <w:r w:rsidR="007556BF" w:rsidRPr="001358B9">
        <w:rPr>
          <w:rFonts w:ascii="Times New Roman" w:hAnsi="Times New Roman"/>
          <w:color w:val="000000"/>
        </w:rPr>
        <w:t xml:space="preserve">už </w:t>
      </w:r>
      <w:r w:rsidRPr="001358B9">
        <w:rPr>
          <w:rFonts w:ascii="Times New Roman" w:hAnsi="Times New Roman"/>
          <w:color w:val="000000"/>
        </w:rPr>
        <w:t>existujúce kardiovaskulárne rizikové faktory (pozri časť 4.8).</w:t>
      </w:r>
    </w:p>
    <w:p w14:paraId="16E36439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889987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2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U pacientov s rakovinou je častý pokles imunity. Preto sa neodporúča súbežné užívanie živých oslabených vakcín (pozri čas</w:t>
      </w:r>
      <w:r w:rsidR="002B47C4" w:rsidRPr="001358B9">
        <w:rPr>
          <w:rFonts w:ascii="Times New Roman" w:hAnsi="Times New Roman"/>
          <w:color w:val="000000"/>
        </w:rPr>
        <w:t>ť</w:t>
      </w:r>
      <w:r w:rsidRPr="001358B9">
        <w:rPr>
          <w:rFonts w:ascii="Times New Roman" w:hAnsi="Times New Roman"/>
          <w:color w:val="000000"/>
        </w:rPr>
        <w:t xml:space="preserve"> 4.3 a 4.5).</w:t>
      </w:r>
    </w:p>
    <w:p w14:paraId="0F769A13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01900F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Pemetrexed môže mať geneticky škodlivé účinky. Pohlavne zrelým mužom sa neodporúča splodiť dieťa počas liečby a do 6 mesiacov od ukončenia liečby. Odporúča sa používanie antikoncepčných metód alebo abstinencia. Vzhľadom na možnosť ireverzibilnej infertility spôsobenej liečbou pemetrexedom sa mužom odporúča, aby vyhľadali konzultáciu o možnosti uchovania spermií pred zač</w:t>
      </w:r>
      <w:r w:rsidR="007F57B2" w:rsidRPr="001358B9">
        <w:rPr>
          <w:rFonts w:ascii="Times New Roman" w:hAnsi="Times New Roman"/>
          <w:color w:val="000000"/>
        </w:rPr>
        <w:t>atím</w:t>
      </w:r>
      <w:r w:rsidRPr="001358B9">
        <w:rPr>
          <w:rFonts w:ascii="Times New Roman" w:hAnsi="Times New Roman"/>
          <w:color w:val="000000"/>
        </w:rPr>
        <w:t xml:space="preserve"> liečby.</w:t>
      </w:r>
    </w:p>
    <w:p w14:paraId="5B008263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D97023B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Ženy v plodnom veku musia počas liečby pemetrexedom používať účinnú antikoncepčnú metódu (pozri časť 4.6).</w:t>
      </w:r>
    </w:p>
    <w:p w14:paraId="653D6B58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04C0DFA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Prípady radiačnej pneumonitídy boli zaznamenané u pacientov liečených ožarovaním buď pred, počas alebo po ich liečbe pemetrexedom. U týchto pacientov je potrebná zvláštna pozornosť a opatrnosť pri užívaní iných rádiosenzibilizujúcich látok.</w:t>
      </w:r>
    </w:p>
    <w:p w14:paraId="00C0DEBB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22D542D" w14:textId="175429AA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U pacientov, ktorí podstúpili rádioterapiu pred týždňami a</w:t>
      </w:r>
      <w:r w:rsidR="00A21184" w:rsidRPr="001358B9">
        <w:rPr>
          <w:rFonts w:ascii="Times New Roman" w:hAnsi="Times New Roman"/>
          <w:color w:val="000000"/>
        </w:rPr>
        <w:t>lebo</w:t>
      </w:r>
      <w:r w:rsidRPr="001358B9">
        <w:rPr>
          <w:rFonts w:ascii="Times New Roman" w:hAnsi="Times New Roman"/>
          <w:color w:val="000000"/>
        </w:rPr>
        <w:t xml:space="preserve"> rokmi, boli zaznamenané prípady radiačného poškodenia typu „recall fenomén“.</w:t>
      </w:r>
    </w:p>
    <w:p w14:paraId="2002F297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6497E8D" w14:textId="12CF1C47" w:rsidR="00132333" w:rsidRPr="001358B9" w:rsidRDefault="005447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T</w:t>
      </w:r>
      <w:r w:rsidR="00503B80" w:rsidRPr="001358B9">
        <w:rPr>
          <w:rFonts w:ascii="Times New Roman" w:hAnsi="Times New Roman"/>
          <w:color w:val="000000"/>
        </w:rPr>
        <w:t xml:space="preserve">ento liek </w:t>
      </w:r>
      <w:r w:rsidR="00C51A9C" w:rsidRPr="001358B9">
        <w:rPr>
          <w:rFonts w:ascii="Times New Roman" w:hAnsi="Times New Roman"/>
          <w:color w:val="000000"/>
        </w:rPr>
        <w:t xml:space="preserve">obsahuje </w:t>
      </w:r>
      <w:r w:rsidR="00132333" w:rsidRPr="001358B9">
        <w:rPr>
          <w:rFonts w:ascii="Times New Roman" w:hAnsi="Times New Roman"/>
          <w:color w:val="000000"/>
        </w:rPr>
        <w:t>približne</w:t>
      </w:r>
      <w:r w:rsidR="00C51A9C" w:rsidRPr="001358B9">
        <w:rPr>
          <w:rFonts w:ascii="Times New Roman" w:hAnsi="Times New Roman"/>
          <w:color w:val="000000"/>
        </w:rPr>
        <w:t xml:space="preserve"> </w:t>
      </w:r>
      <w:r w:rsidR="00503B80" w:rsidRPr="001358B9">
        <w:rPr>
          <w:rFonts w:ascii="Times New Roman" w:hAnsi="Times New Roman"/>
          <w:color w:val="000000"/>
        </w:rPr>
        <w:t>54</w:t>
      </w:r>
      <w:r w:rsidR="00132333" w:rsidRPr="001358B9">
        <w:rPr>
          <w:rFonts w:ascii="Times New Roman" w:hAnsi="Times New Roman"/>
          <w:color w:val="000000"/>
        </w:rPr>
        <w:t xml:space="preserve"> mg </w:t>
      </w:r>
      <w:r w:rsidR="00C51A9C" w:rsidRPr="001358B9">
        <w:rPr>
          <w:rFonts w:ascii="Times New Roman" w:hAnsi="Times New Roman"/>
          <w:color w:val="000000"/>
        </w:rPr>
        <w:t>sodíka v každej injekčnej liekovke</w:t>
      </w:r>
      <w:r w:rsidR="00132333" w:rsidRPr="001358B9">
        <w:rPr>
          <w:rFonts w:ascii="Times New Roman" w:hAnsi="Times New Roman"/>
        </w:rPr>
        <w:t xml:space="preserve">. Má sa vziať do úvahy u pacientov na diéte s kontrolovaným </w:t>
      </w:r>
      <w:r w:rsidR="00551BBF" w:rsidRPr="001358B9">
        <w:rPr>
          <w:rFonts w:ascii="Times New Roman" w:hAnsi="Times New Roman"/>
        </w:rPr>
        <w:t>obsah</w:t>
      </w:r>
      <w:r w:rsidR="00A82C78" w:rsidRPr="001358B9">
        <w:rPr>
          <w:rFonts w:ascii="Times New Roman" w:hAnsi="Times New Roman"/>
        </w:rPr>
        <w:t>om</w:t>
      </w:r>
      <w:r w:rsidR="00132333" w:rsidRPr="001358B9">
        <w:rPr>
          <w:rFonts w:ascii="Times New Roman" w:hAnsi="Times New Roman"/>
        </w:rPr>
        <w:t xml:space="preserve"> sodíka. </w:t>
      </w:r>
    </w:p>
    <w:p w14:paraId="41C2DE42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BD557C0" w14:textId="77777777" w:rsidR="00C51A9C" w:rsidRPr="001358B9" w:rsidRDefault="00C51A9C" w:rsidP="001358B9">
      <w:pPr>
        <w:widowControl w:val="0"/>
        <w:numPr>
          <w:ilvl w:val="0"/>
          <w:numId w:val="10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Liekové a iné interakcie </w:t>
      </w:r>
    </w:p>
    <w:p w14:paraId="72944F6B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B7A0A6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Pemetrexed sa vylučuje v nezmenenej forme hlavne obličkami, a to tubulárnou sekréciou a v menšom množstve glomerulárnou filtráciou. Súbežné podávanie nefrotoxických liekov (napr. aminoglykozidy,</w:t>
      </w:r>
      <w:bookmarkStart w:id="3" w:name="page7"/>
      <w:bookmarkEnd w:id="3"/>
      <w:r w:rsidR="007546E7" w:rsidRPr="001358B9">
        <w:rPr>
          <w:rFonts w:ascii="Times New Roman" w:hAnsi="Times New Roman"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>kľučkové diuretiká, zlúčeniny platiny, cyklosporín) môže viesť k oneskorenému klírensu pemetrexedu. Táto kombinácia sa musí používať s opatrnosťou. Ak je to nevyhnutné, klírens kreatinínu musí byť prísne monitorovaný.</w:t>
      </w:r>
    </w:p>
    <w:p w14:paraId="259AE5FC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275BAAE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Súbežné podávanie látok, ktoré sa vylučujú taktiež tubulárnou sekréciou (napr. probenecid, penicilín) môže viesť k oneskoreniu klírensu pemetrexedu. V prípade kombinovaného podania týchto liekov a pemetrexedu je </w:t>
      </w:r>
      <w:r w:rsidR="009F0AB0" w:rsidRPr="001358B9">
        <w:rPr>
          <w:rFonts w:ascii="Times New Roman" w:hAnsi="Times New Roman"/>
          <w:color w:val="000000"/>
        </w:rPr>
        <w:t>potreb</w:t>
      </w:r>
      <w:r w:rsidRPr="001358B9">
        <w:rPr>
          <w:rFonts w:ascii="Times New Roman" w:hAnsi="Times New Roman"/>
          <w:color w:val="000000"/>
        </w:rPr>
        <w:t>né postupovať s opatrnosťou. V prípade potreby musí byť klírens kreatinínu starostlivo monitorovaný.</w:t>
      </w:r>
    </w:p>
    <w:p w14:paraId="39877FA6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E38E65D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U pacientov s normálnymi renálnymi funkciami (klírens kreatinínu ≥ 80 ml/min) môžu vysoké dávky nesteroid</w:t>
      </w:r>
      <w:r w:rsidR="00365A01" w:rsidRPr="001358B9">
        <w:rPr>
          <w:rFonts w:ascii="Times New Roman" w:hAnsi="Times New Roman"/>
          <w:color w:val="000000"/>
        </w:rPr>
        <w:t>ových</w:t>
      </w:r>
      <w:r w:rsidRPr="001358B9">
        <w:rPr>
          <w:rFonts w:ascii="Times New Roman" w:hAnsi="Times New Roman"/>
          <w:color w:val="000000"/>
        </w:rPr>
        <w:t xml:space="preserve"> antiflogistík (NSA</w:t>
      </w:r>
      <w:r w:rsidR="00D91391" w:rsidRPr="001358B9">
        <w:rPr>
          <w:rFonts w:ascii="Times New Roman" w:hAnsi="Times New Roman"/>
          <w:color w:val="000000"/>
        </w:rPr>
        <w:t>ID</w:t>
      </w:r>
      <w:r w:rsidRPr="001358B9">
        <w:rPr>
          <w:rFonts w:ascii="Times New Roman" w:hAnsi="Times New Roman"/>
          <w:color w:val="000000"/>
        </w:rPr>
        <w:t>, ako je ibuprofen &gt; 1 600 mg/deň) a vyššia dávka kyseliny acetylsalicylovej (≥ 1,3 g denne) znížiť elimináciu a následne zvýšiť výskyt nežiaducich účinkov pemetrexedu. Preto sa pri súbežnom podávaní vyšších dávok NSA</w:t>
      </w:r>
      <w:r w:rsidR="00453BB3" w:rsidRPr="001358B9">
        <w:rPr>
          <w:rFonts w:ascii="Times New Roman" w:hAnsi="Times New Roman"/>
          <w:color w:val="000000"/>
        </w:rPr>
        <w:t>ID</w:t>
      </w:r>
      <w:r w:rsidRPr="001358B9">
        <w:rPr>
          <w:rFonts w:ascii="Times New Roman" w:hAnsi="Times New Roman"/>
          <w:color w:val="000000"/>
        </w:rPr>
        <w:t xml:space="preserve"> alebo vyššej dávky kyseliny acetylsalicylovej s pemetrexedom u pacientov s normálnymi renálnymi funkciami (klírens kreatinínu ≥ 80 ml/min) musí postupovať s opatrnosťou.</w:t>
      </w:r>
    </w:p>
    <w:p w14:paraId="07EA3636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F2E607A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Pacienti s miernou až stredne závažnou </w:t>
      </w:r>
      <w:r w:rsidR="00132333" w:rsidRPr="001358B9">
        <w:rPr>
          <w:rFonts w:ascii="Times New Roman" w:hAnsi="Times New Roman"/>
          <w:color w:val="000000"/>
        </w:rPr>
        <w:t>poruchou</w:t>
      </w:r>
      <w:r w:rsidR="002917F5" w:rsidRPr="001358B9">
        <w:rPr>
          <w:rFonts w:ascii="Times New Roman" w:hAnsi="Times New Roman"/>
          <w:color w:val="000000"/>
        </w:rPr>
        <w:t xml:space="preserve"> funkcie</w:t>
      </w:r>
      <w:r w:rsidR="00132333" w:rsidRPr="001358B9">
        <w:rPr>
          <w:rFonts w:ascii="Times New Roman" w:hAnsi="Times New Roman"/>
          <w:color w:val="000000"/>
        </w:rPr>
        <w:t xml:space="preserve"> obličiek</w:t>
      </w:r>
      <w:r w:rsidRPr="001358B9">
        <w:rPr>
          <w:rFonts w:ascii="Times New Roman" w:hAnsi="Times New Roman"/>
          <w:color w:val="000000"/>
        </w:rPr>
        <w:t xml:space="preserve"> (klírens kreatinínu 45 až 79 ml/min) sa musia vyvarovať súbež</w:t>
      </w:r>
      <w:r w:rsidR="00096167" w:rsidRPr="001358B9">
        <w:rPr>
          <w:rFonts w:ascii="Times New Roman" w:hAnsi="Times New Roman"/>
          <w:color w:val="000000"/>
        </w:rPr>
        <w:t>nému</w:t>
      </w:r>
      <w:r w:rsidRPr="001358B9">
        <w:rPr>
          <w:rFonts w:ascii="Times New Roman" w:hAnsi="Times New Roman"/>
          <w:color w:val="000000"/>
        </w:rPr>
        <w:t xml:space="preserve"> podávani</w:t>
      </w:r>
      <w:r w:rsidR="00096167" w:rsidRPr="001358B9">
        <w:rPr>
          <w:rFonts w:ascii="Times New Roman" w:hAnsi="Times New Roman"/>
          <w:color w:val="000000"/>
        </w:rPr>
        <w:t>u</w:t>
      </w:r>
      <w:r w:rsidRPr="001358B9">
        <w:rPr>
          <w:rFonts w:ascii="Times New Roman" w:hAnsi="Times New Roman"/>
          <w:color w:val="000000"/>
        </w:rPr>
        <w:t xml:space="preserve"> pemetrexedu s NSA</w:t>
      </w:r>
      <w:r w:rsidR="00096167" w:rsidRPr="001358B9">
        <w:rPr>
          <w:rFonts w:ascii="Times New Roman" w:hAnsi="Times New Roman"/>
          <w:color w:val="000000"/>
        </w:rPr>
        <w:t>ID</w:t>
      </w:r>
      <w:r w:rsidRPr="001358B9">
        <w:rPr>
          <w:rFonts w:ascii="Times New Roman" w:hAnsi="Times New Roman"/>
          <w:color w:val="000000"/>
        </w:rPr>
        <w:t xml:space="preserve"> (napr. ibuprofen) alebo vyššej dávky kyseliny acetylsalicylovej 2 dni pred, v deň a 2 dni po podaní pemetrexedu (pozri časť 4.4).</w:t>
      </w:r>
    </w:p>
    <w:p w14:paraId="7137FE43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C22374B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Vzhľadom na nedostatok </w:t>
      </w:r>
      <w:r w:rsidR="006A46EB" w:rsidRPr="001358B9">
        <w:rPr>
          <w:rFonts w:ascii="Times New Roman" w:hAnsi="Times New Roman"/>
          <w:color w:val="000000"/>
        </w:rPr>
        <w:t>údajov</w:t>
      </w:r>
      <w:r w:rsidRPr="001358B9">
        <w:rPr>
          <w:rFonts w:ascii="Times New Roman" w:hAnsi="Times New Roman"/>
          <w:color w:val="000000"/>
        </w:rPr>
        <w:t xml:space="preserve"> ohľadom potenciálnej interakcie s NSA</w:t>
      </w:r>
      <w:r w:rsidR="006E3AA5" w:rsidRPr="001358B9">
        <w:rPr>
          <w:rFonts w:ascii="Times New Roman" w:hAnsi="Times New Roman"/>
          <w:color w:val="000000"/>
        </w:rPr>
        <w:t>ID</w:t>
      </w:r>
      <w:r w:rsidRPr="001358B9">
        <w:rPr>
          <w:rFonts w:ascii="Times New Roman" w:hAnsi="Times New Roman"/>
          <w:color w:val="000000"/>
        </w:rPr>
        <w:t xml:space="preserve"> s dlhšími polčasmi, ako sú piroxikam alebo rofekoxib, je potrebné prerušiť ich podávanie u pacientov s miernou až stredne závažnou </w:t>
      </w:r>
      <w:r w:rsidR="005F10E0" w:rsidRPr="001358B9">
        <w:rPr>
          <w:rFonts w:ascii="Times New Roman" w:hAnsi="Times New Roman"/>
          <w:color w:val="000000"/>
        </w:rPr>
        <w:t>poruchou</w:t>
      </w:r>
      <w:r w:rsidR="00195968" w:rsidRPr="001358B9">
        <w:rPr>
          <w:rFonts w:ascii="Times New Roman" w:hAnsi="Times New Roman"/>
          <w:color w:val="000000"/>
        </w:rPr>
        <w:t xml:space="preserve"> funkcie</w:t>
      </w:r>
      <w:r w:rsidR="005F10E0" w:rsidRPr="001358B9">
        <w:rPr>
          <w:rFonts w:ascii="Times New Roman" w:hAnsi="Times New Roman"/>
          <w:color w:val="000000"/>
        </w:rPr>
        <w:t xml:space="preserve"> obličiek</w:t>
      </w:r>
      <w:r w:rsidRPr="001358B9">
        <w:rPr>
          <w:rFonts w:ascii="Times New Roman" w:hAnsi="Times New Roman"/>
          <w:color w:val="000000"/>
        </w:rPr>
        <w:t xml:space="preserve"> najmenej 5 dní pred, v deň a najmenej 2 dni po podaní pemetrexedu (pozri časť 4.4). Ak je potrebné súbežne podávať NSA</w:t>
      </w:r>
      <w:r w:rsidR="006A7ACB" w:rsidRPr="001358B9">
        <w:rPr>
          <w:rFonts w:ascii="Times New Roman" w:hAnsi="Times New Roman"/>
          <w:color w:val="000000"/>
        </w:rPr>
        <w:t>ID</w:t>
      </w:r>
      <w:r w:rsidRPr="001358B9">
        <w:rPr>
          <w:rFonts w:ascii="Times New Roman" w:hAnsi="Times New Roman"/>
          <w:color w:val="000000"/>
        </w:rPr>
        <w:t>, u týchto pacientov je potrebné dôkladne monitorovať toxicitu, najmä myelosupresiu a gastrointestinálnu toxicitu.</w:t>
      </w:r>
    </w:p>
    <w:p w14:paraId="17B001E7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645C399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Pemetrexed prechádza obmedzeným pečeňovým metabolizmom. Výsledky z </w:t>
      </w:r>
      <w:r w:rsidRPr="001358B9">
        <w:rPr>
          <w:rFonts w:ascii="Times New Roman" w:hAnsi="Times New Roman"/>
          <w:i/>
          <w:iCs/>
          <w:color w:val="000000"/>
        </w:rPr>
        <w:t>in vitro</w:t>
      </w:r>
      <w:r w:rsidRPr="001358B9">
        <w:rPr>
          <w:rFonts w:ascii="Times New Roman" w:hAnsi="Times New Roman"/>
          <w:color w:val="000000"/>
        </w:rPr>
        <w:t xml:space="preserve"> štúdií s ľudskými pečeňovými mikrozómami ukázali, že sa nedá predpokladať, že pemetrexed spôsobuje klinicky významnú inhibíciu metabolického klírensu liekov metabolizovaných CYP3A, CYP2D6, CYP2C9, a CYP1A2.</w:t>
      </w:r>
    </w:p>
    <w:p w14:paraId="4D6DA5C3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27D1A3D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Interakcie bežné </w:t>
      </w:r>
      <w:r w:rsidR="005F10E0" w:rsidRPr="001358B9">
        <w:rPr>
          <w:rFonts w:ascii="Times New Roman" w:hAnsi="Times New Roman"/>
          <w:color w:val="000000"/>
        </w:rPr>
        <w:t>pri</w:t>
      </w:r>
      <w:r w:rsidRPr="001358B9">
        <w:rPr>
          <w:rFonts w:ascii="Times New Roman" w:hAnsi="Times New Roman"/>
          <w:color w:val="000000"/>
        </w:rPr>
        <w:t xml:space="preserve"> všetkých cytotoxických lieko</w:t>
      </w:r>
      <w:r w:rsidR="005F10E0" w:rsidRPr="001358B9">
        <w:rPr>
          <w:rFonts w:ascii="Times New Roman" w:hAnsi="Times New Roman"/>
          <w:color w:val="000000"/>
        </w:rPr>
        <w:t>ch</w:t>
      </w:r>
      <w:r w:rsidRPr="001358B9">
        <w:rPr>
          <w:rFonts w:ascii="Times New Roman" w:hAnsi="Times New Roman"/>
          <w:color w:val="000000"/>
        </w:rPr>
        <w:t>:</w:t>
      </w:r>
    </w:p>
    <w:p w14:paraId="146434F5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3506795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Vzhľadom na zvýšené riziko trombózy u pacientov s rakovinou je použitie antikoagulačnej liečby časté. Vysoká intraindividuálna variabilita stavu koagulácie počas choroby a možnosť interakcie medzi perorálnymi antikoagulanciami a protinádorovou chemoterapiou vyžaduje zvýšenú frekvenciu monitorovania INR (International Normalised Ratio), pokiaľ sa rozhodneme pacienta liečiť perorálnymi antikoagulanciami.</w:t>
      </w:r>
    </w:p>
    <w:p w14:paraId="1EA2A209" w14:textId="77777777" w:rsidR="005F10E0" w:rsidRPr="001358B9" w:rsidRDefault="005F10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0"/>
        <w:rPr>
          <w:rFonts w:ascii="Times New Roman" w:hAnsi="Times New Roman"/>
          <w:color w:val="000000"/>
        </w:rPr>
      </w:pPr>
    </w:p>
    <w:p w14:paraId="602F041E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Kontraindikované súbežné podávanie: Vakcína proti žltej zimnici: riziko fatálnej generalizovanej postvakcinačnej reakcie (pozri časť 4.3).</w:t>
      </w:r>
    </w:p>
    <w:p w14:paraId="06BDCC5E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Neodporučené súbežné podávanie: Živé oslabené vakcíny (okrem žltej zimnice, v tomto prípade je súbežné podávanie kontraindikované): riziko systémov</w:t>
      </w:r>
      <w:r w:rsidR="005F10E0" w:rsidRPr="001358B9">
        <w:rPr>
          <w:rFonts w:ascii="Times New Roman" w:hAnsi="Times New Roman"/>
          <w:color w:val="000000"/>
        </w:rPr>
        <w:t>ého</w:t>
      </w:r>
      <w:r w:rsidRPr="001358B9">
        <w:rPr>
          <w:rFonts w:ascii="Times New Roman" w:hAnsi="Times New Roman"/>
          <w:color w:val="000000"/>
        </w:rPr>
        <w:t xml:space="preserve"> </w:t>
      </w:r>
      <w:r w:rsidR="005F10E0" w:rsidRPr="001358B9">
        <w:rPr>
          <w:rFonts w:ascii="Times New Roman" w:hAnsi="Times New Roman"/>
          <w:color w:val="000000"/>
        </w:rPr>
        <w:t>ochorenia</w:t>
      </w:r>
      <w:r w:rsidRPr="001358B9">
        <w:rPr>
          <w:rFonts w:ascii="Times New Roman" w:hAnsi="Times New Roman"/>
          <w:color w:val="000000"/>
        </w:rPr>
        <w:t xml:space="preserve"> s možným fatálnym koncom. Riziko je zvýšené u jedincov, ktorí už majú pokles imunity spôsobený základným ochorením. Použite </w:t>
      </w:r>
      <w:r w:rsidRPr="001358B9">
        <w:rPr>
          <w:rFonts w:ascii="Times New Roman" w:hAnsi="Times New Roman"/>
          <w:color w:val="000000"/>
        </w:rPr>
        <w:lastRenderedPageBreak/>
        <w:t>inaktivovanú vakcínu, pokiaľ je k dispozícii (poliomyelitída) (pozri časť 4.4).</w:t>
      </w:r>
    </w:p>
    <w:p w14:paraId="3A55E0FB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BA4C4D2" w14:textId="77777777" w:rsidR="00C51A9C" w:rsidRPr="001358B9" w:rsidRDefault="00C51A9C" w:rsidP="001358B9">
      <w:pPr>
        <w:widowControl w:val="0"/>
        <w:numPr>
          <w:ilvl w:val="0"/>
          <w:numId w:val="11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Fertilita, gravidita a laktácia </w:t>
      </w:r>
    </w:p>
    <w:p w14:paraId="4B1F5247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E3FD72" w14:textId="7ECA63AB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1358B9">
        <w:rPr>
          <w:rFonts w:ascii="Times New Roman" w:hAnsi="Times New Roman"/>
          <w:color w:val="000000"/>
          <w:u w:val="single"/>
        </w:rPr>
        <w:t>Antikoncepcia u mužov a žien</w:t>
      </w:r>
    </w:p>
    <w:p w14:paraId="1D7ED5EF" w14:textId="7A7F9754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Ženy v plodnom veku musia v priebehu liečby pemetrexedom používať účinnú antikoncepciu. Pemetrexed môže mať geneticky škodliv</w:t>
      </w:r>
      <w:r w:rsidR="00AF635A" w:rsidRPr="001358B9">
        <w:rPr>
          <w:rFonts w:ascii="Times New Roman" w:hAnsi="Times New Roman"/>
          <w:color w:val="000000"/>
        </w:rPr>
        <w:t>é</w:t>
      </w:r>
      <w:r w:rsidRPr="001358B9">
        <w:rPr>
          <w:rFonts w:ascii="Times New Roman" w:hAnsi="Times New Roman"/>
          <w:color w:val="000000"/>
        </w:rPr>
        <w:t xml:space="preserve"> účin</w:t>
      </w:r>
      <w:r w:rsidR="00AF635A" w:rsidRPr="001358B9">
        <w:rPr>
          <w:rFonts w:ascii="Times New Roman" w:hAnsi="Times New Roman"/>
          <w:color w:val="000000"/>
        </w:rPr>
        <w:t>ky</w:t>
      </w:r>
      <w:r w:rsidRPr="001358B9">
        <w:rPr>
          <w:rFonts w:ascii="Times New Roman" w:hAnsi="Times New Roman"/>
          <w:color w:val="000000"/>
        </w:rPr>
        <w:t>. Pohlavne zrelým mužom sa neodporúča splodiť dieťa počas liečby a do 6 mesiacov od ukončenia liečby. Odporúča sa používanie antikoncepčných metód alebo abstinencia.</w:t>
      </w:r>
    </w:p>
    <w:p w14:paraId="25E1EB4C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5EF8695" w14:textId="355E8DF5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1358B9">
        <w:rPr>
          <w:rFonts w:ascii="Times New Roman" w:hAnsi="Times New Roman"/>
          <w:color w:val="000000"/>
          <w:u w:val="single"/>
        </w:rPr>
        <w:t>Gravidita</w:t>
      </w:r>
    </w:p>
    <w:p w14:paraId="310AEE54" w14:textId="77777777" w:rsidR="00C51A9C" w:rsidRPr="001358B9" w:rsidRDefault="00A54B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Nie sú k dispozícii </w:t>
      </w:r>
      <w:r w:rsidR="00C51A9C" w:rsidRPr="001358B9">
        <w:rPr>
          <w:rFonts w:ascii="Times New Roman" w:hAnsi="Times New Roman"/>
          <w:color w:val="000000"/>
        </w:rPr>
        <w:t xml:space="preserve">údaje o použití pemetrexedu u </w:t>
      </w:r>
      <w:r w:rsidR="006340CE" w:rsidRPr="001358B9">
        <w:rPr>
          <w:rFonts w:ascii="Times New Roman" w:hAnsi="Times New Roman"/>
          <w:color w:val="000000"/>
        </w:rPr>
        <w:t>gravidných</w:t>
      </w:r>
      <w:r w:rsidR="00C51A9C" w:rsidRPr="001358B9">
        <w:rPr>
          <w:rFonts w:ascii="Times New Roman" w:hAnsi="Times New Roman"/>
          <w:color w:val="000000"/>
        </w:rPr>
        <w:t xml:space="preserve"> žien, avšak je podozrenie, že pemetrexed, tak ako iné antimetabolity, pravdepodobne spôsobuje závažné vrodené chyby,</w:t>
      </w:r>
      <w:r w:rsidR="00F12BB5" w:rsidRPr="001358B9">
        <w:rPr>
          <w:rFonts w:ascii="Times New Roman" w:hAnsi="Times New Roman"/>
          <w:color w:val="000000"/>
        </w:rPr>
        <w:t xml:space="preserve"> ak</w:t>
      </w:r>
      <w:r w:rsidR="00C51A9C" w:rsidRPr="001358B9">
        <w:rPr>
          <w:rFonts w:ascii="Times New Roman" w:hAnsi="Times New Roman"/>
          <w:color w:val="000000"/>
        </w:rPr>
        <w:t xml:space="preserve"> je použitý počas gravidity.</w:t>
      </w:r>
      <w:bookmarkStart w:id="4" w:name="page8"/>
      <w:bookmarkEnd w:id="4"/>
      <w:r w:rsidR="007546E7" w:rsidRPr="001358B9">
        <w:rPr>
          <w:rFonts w:ascii="Times New Roman" w:hAnsi="Times New Roman"/>
          <w:color w:val="000000"/>
        </w:rPr>
        <w:t xml:space="preserve"> </w:t>
      </w:r>
      <w:r w:rsidR="00C51A9C" w:rsidRPr="001358B9">
        <w:rPr>
          <w:rFonts w:ascii="Times New Roman" w:hAnsi="Times New Roman"/>
          <w:color w:val="000000"/>
        </w:rPr>
        <w:t>Štúdie na zvieratách preukázali reprodukčnú toxicitu (pozri časť 5.3). Pemetrexed sa ne</w:t>
      </w:r>
      <w:r w:rsidR="004B0DFA" w:rsidRPr="001358B9">
        <w:rPr>
          <w:rFonts w:ascii="Times New Roman" w:hAnsi="Times New Roman"/>
          <w:color w:val="000000"/>
        </w:rPr>
        <w:t>má</w:t>
      </w:r>
      <w:r w:rsidR="00C51A9C" w:rsidRPr="001358B9">
        <w:rPr>
          <w:rFonts w:ascii="Times New Roman" w:hAnsi="Times New Roman"/>
          <w:color w:val="000000"/>
        </w:rPr>
        <w:t xml:space="preserve"> používať </w:t>
      </w:r>
      <w:r w:rsidR="003250C1" w:rsidRPr="001358B9">
        <w:rPr>
          <w:rFonts w:ascii="Times New Roman" w:hAnsi="Times New Roman"/>
          <w:color w:val="000000"/>
        </w:rPr>
        <w:t>počas</w:t>
      </w:r>
      <w:r w:rsidR="00C51A9C" w:rsidRPr="001358B9">
        <w:rPr>
          <w:rFonts w:ascii="Times New Roman" w:hAnsi="Times New Roman"/>
          <w:color w:val="000000"/>
        </w:rPr>
        <w:t xml:space="preserve"> gravidit</w:t>
      </w:r>
      <w:r w:rsidR="003250C1" w:rsidRPr="001358B9">
        <w:rPr>
          <w:rFonts w:ascii="Times New Roman" w:hAnsi="Times New Roman"/>
          <w:color w:val="000000"/>
        </w:rPr>
        <w:t>y</w:t>
      </w:r>
      <w:r w:rsidR="00C51A9C" w:rsidRPr="001358B9">
        <w:rPr>
          <w:rFonts w:ascii="Times New Roman" w:hAnsi="Times New Roman"/>
          <w:color w:val="000000"/>
        </w:rPr>
        <w:t>, pokiaľ to nie je nevyhnutné a po starostlivom zvážení potrieb liečby u matky a rizika pre plod (pozri časť 4.4).</w:t>
      </w:r>
    </w:p>
    <w:p w14:paraId="0B65CB16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CAE091F" w14:textId="0778CD25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1358B9">
        <w:rPr>
          <w:rFonts w:ascii="Times New Roman" w:hAnsi="Times New Roman"/>
          <w:color w:val="000000"/>
          <w:u w:val="single"/>
        </w:rPr>
        <w:t>Dojčenie</w:t>
      </w:r>
    </w:p>
    <w:p w14:paraId="1BA0C993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Nie je známe, či sa pemetrexed vylučuje do materského mlieka a nežiaduce reakcie na dojčené dieťa sa nedajú vylúčiť. Dojčenie m</w:t>
      </w:r>
      <w:r w:rsidR="00CD34D3" w:rsidRPr="001358B9">
        <w:rPr>
          <w:rFonts w:ascii="Times New Roman" w:hAnsi="Times New Roman"/>
          <w:color w:val="000000"/>
        </w:rPr>
        <w:t>á</w:t>
      </w:r>
      <w:r w:rsidRPr="001358B9">
        <w:rPr>
          <w:rFonts w:ascii="Times New Roman" w:hAnsi="Times New Roman"/>
          <w:color w:val="000000"/>
        </w:rPr>
        <w:t xml:space="preserve"> byť počas liečby pemetrexedom </w:t>
      </w:r>
      <w:r w:rsidR="00CD34D3" w:rsidRPr="001358B9">
        <w:rPr>
          <w:rFonts w:ascii="Times New Roman" w:hAnsi="Times New Roman"/>
          <w:color w:val="000000"/>
        </w:rPr>
        <w:t>ukončené</w:t>
      </w:r>
      <w:r w:rsidRPr="001358B9">
        <w:rPr>
          <w:rFonts w:ascii="Times New Roman" w:hAnsi="Times New Roman"/>
          <w:color w:val="000000"/>
        </w:rPr>
        <w:t xml:space="preserve"> (pozri časť 4.3).</w:t>
      </w:r>
    </w:p>
    <w:p w14:paraId="0261C1AE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3B63EEA" w14:textId="4062AF73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1358B9">
        <w:rPr>
          <w:rFonts w:ascii="Times New Roman" w:hAnsi="Times New Roman"/>
          <w:color w:val="000000"/>
          <w:u w:val="single"/>
        </w:rPr>
        <w:t>Fertilita</w:t>
      </w:r>
    </w:p>
    <w:p w14:paraId="41985EDD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2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Vzhľadom na možnosť ireverzibilnej infertility spôsobenej liečbou pemetrexedom sa mužom odporúča, aby vyhľadali konzultáciu o možnosti uchovania spermií pred začiatkom liečby.</w:t>
      </w:r>
    </w:p>
    <w:p w14:paraId="0D7C258C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EB9167E" w14:textId="77777777" w:rsidR="00C51A9C" w:rsidRPr="001358B9" w:rsidRDefault="00C51A9C" w:rsidP="001358B9">
      <w:pPr>
        <w:widowControl w:val="0"/>
        <w:numPr>
          <w:ilvl w:val="0"/>
          <w:numId w:val="12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Ovplyvnenie schopnosti viesť vozidlá a obsluhovať stroje </w:t>
      </w:r>
    </w:p>
    <w:p w14:paraId="4DA0C72D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05D64D" w14:textId="77777777" w:rsidR="00C51A9C" w:rsidRPr="001358B9" w:rsidRDefault="002C45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Neuskutočnili sa žiadne štúdie o účinkoch na </w:t>
      </w:r>
      <w:r w:rsidR="00C51A9C" w:rsidRPr="001358B9">
        <w:rPr>
          <w:rFonts w:ascii="Times New Roman" w:hAnsi="Times New Roman"/>
          <w:color w:val="000000"/>
        </w:rPr>
        <w:t>schopnos</w:t>
      </w:r>
      <w:r w:rsidRPr="001358B9">
        <w:rPr>
          <w:rFonts w:ascii="Times New Roman" w:hAnsi="Times New Roman"/>
          <w:color w:val="000000"/>
        </w:rPr>
        <w:t>ť</w:t>
      </w:r>
      <w:r w:rsidR="00C51A9C" w:rsidRPr="001358B9">
        <w:rPr>
          <w:rFonts w:ascii="Times New Roman" w:hAnsi="Times New Roman"/>
          <w:color w:val="000000"/>
        </w:rPr>
        <w:t xml:space="preserve"> viesť vozidlá a obsluhovať stroje</w:t>
      </w:r>
      <w:r w:rsidRPr="001358B9">
        <w:rPr>
          <w:rFonts w:ascii="Times New Roman" w:hAnsi="Times New Roman"/>
          <w:color w:val="000000"/>
        </w:rPr>
        <w:t>.</w:t>
      </w:r>
      <w:r w:rsidR="00C51A9C" w:rsidRPr="001358B9">
        <w:rPr>
          <w:rFonts w:ascii="Times New Roman" w:hAnsi="Times New Roman"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>B</w:t>
      </w:r>
      <w:r w:rsidR="00C51A9C" w:rsidRPr="001358B9">
        <w:rPr>
          <w:rFonts w:ascii="Times New Roman" w:hAnsi="Times New Roman"/>
          <w:color w:val="000000"/>
        </w:rPr>
        <w:t xml:space="preserve">olo </w:t>
      </w:r>
      <w:r w:rsidRPr="001358B9">
        <w:rPr>
          <w:rFonts w:ascii="Times New Roman" w:hAnsi="Times New Roman"/>
          <w:color w:val="000000"/>
        </w:rPr>
        <w:t>však hlás</w:t>
      </w:r>
      <w:r w:rsidR="00C51A9C" w:rsidRPr="001358B9">
        <w:rPr>
          <w:rFonts w:ascii="Times New Roman" w:hAnsi="Times New Roman"/>
          <w:color w:val="000000"/>
        </w:rPr>
        <w:t>ené, že pemetrexed môže spôsobovať únavu. Preto musia byť pacienti upozornení, aby neviedli vozidlá a neobsluhovali stroje, ak sa táto udalosť vyskytne.</w:t>
      </w:r>
    </w:p>
    <w:p w14:paraId="76FB105A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8AF385F" w14:textId="77777777" w:rsidR="00C51A9C" w:rsidRPr="001358B9" w:rsidRDefault="00C51A9C" w:rsidP="001358B9">
      <w:pPr>
        <w:widowControl w:val="0"/>
        <w:numPr>
          <w:ilvl w:val="0"/>
          <w:numId w:val="13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Nežiaduce účinky </w:t>
      </w:r>
    </w:p>
    <w:p w14:paraId="151248BD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5D7FE6D" w14:textId="24F1B2A9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  <w:u w:val="single"/>
        </w:rPr>
        <w:t>Súhrn bezpečnostného profilu</w:t>
      </w:r>
    </w:p>
    <w:p w14:paraId="5A486DA5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Najčastejšie hlásenými nežiaducimi účinkami v súvislosti s pemetrexedom, použitým či už</w:t>
      </w:r>
    </w:p>
    <w:p w14:paraId="27A328D0" w14:textId="565A546E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v monoterapii alebo v kombinácii, </w:t>
      </w:r>
      <w:r w:rsidR="003D1D0C" w:rsidRPr="001358B9">
        <w:rPr>
          <w:rFonts w:ascii="Times New Roman" w:hAnsi="Times New Roman"/>
          <w:color w:val="000000"/>
        </w:rPr>
        <w:t>sú</w:t>
      </w:r>
      <w:r w:rsidRPr="001358B9">
        <w:rPr>
          <w:rFonts w:ascii="Times New Roman" w:hAnsi="Times New Roman"/>
          <w:color w:val="000000"/>
        </w:rPr>
        <w:t xml:space="preserve"> útlm kostnej drene prejavujúci sa ako anémia, neutropénia, leukopénia, trombocytopénia; a gastrointestináln</w:t>
      </w:r>
      <w:r w:rsidR="00F84369" w:rsidRPr="001358B9">
        <w:rPr>
          <w:rFonts w:ascii="Times New Roman" w:hAnsi="Times New Roman"/>
          <w:color w:val="000000"/>
        </w:rPr>
        <w:t>e</w:t>
      </w:r>
      <w:r w:rsidRPr="001358B9">
        <w:rPr>
          <w:rFonts w:ascii="Times New Roman" w:hAnsi="Times New Roman"/>
          <w:color w:val="000000"/>
        </w:rPr>
        <w:t xml:space="preserve"> toxicit</w:t>
      </w:r>
      <w:r w:rsidR="00F84369" w:rsidRPr="001358B9">
        <w:rPr>
          <w:rFonts w:ascii="Times New Roman" w:hAnsi="Times New Roman"/>
          <w:color w:val="000000"/>
        </w:rPr>
        <w:t>y</w:t>
      </w:r>
      <w:r w:rsidRPr="001358B9">
        <w:rPr>
          <w:rFonts w:ascii="Times New Roman" w:hAnsi="Times New Roman"/>
          <w:color w:val="000000"/>
        </w:rPr>
        <w:t xml:space="preserve"> prejavujúc</w:t>
      </w:r>
      <w:r w:rsidR="00F84369" w:rsidRPr="001358B9">
        <w:rPr>
          <w:rFonts w:ascii="Times New Roman" w:hAnsi="Times New Roman"/>
          <w:color w:val="000000"/>
        </w:rPr>
        <w:t>e</w:t>
      </w:r>
      <w:r w:rsidRPr="001358B9">
        <w:rPr>
          <w:rFonts w:ascii="Times New Roman" w:hAnsi="Times New Roman"/>
          <w:color w:val="000000"/>
        </w:rPr>
        <w:t xml:space="preserve"> sa ako anorexia, nevoľnosť, vracanie, hnačka, zápcha, faryngitíta, mukozitída a stomatitída. Ďalšie nežiaduce účinky zahŕňajú renáln</w:t>
      </w:r>
      <w:r w:rsidR="00071856" w:rsidRPr="001358B9">
        <w:rPr>
          <w:rFonts w:ascii="Times New Roman" w:hAnsi="Times New Roman"/>
          <w:color w:val="000000"/>
        </w:rPr>
        <w:t>e</w:t>
      </w:r>
      <w:r w:rsidRPr="001358B9">
        <w:rPr>
          <w:rFonts w:ascii="Times New Roman" w:hAnsi="Times New Roman"/>
          <w:color w:val="000000"/>
        </w:rPr>
        <w:t xml:space="preserve"> toxicit</w:t>
      </w:r>
      <w:r w:rsidR="00071856" w:rsidRPr="001358B9">
        <w:rPr>
          <w:rFonts w:ascii="Times New Roman" w:hAnsi="Times New Roman"/>
          <w:color w:val="000000"/>
        </w:rPr>
        <w:t>y</w:t>
      </w:r>
      <w:r w:rsidRPr="001358B9">
        <w:rPr>
          <w:rFonts w:ascii="Times New Roman" w:hAnsi="Times New Roman"/>
          <w:color w:val="000000"/>
        </w:rPr>
        <w:t>, zvýšenie koncentrácie aminotransferáz, alopéciu, únavu, dehydratáciu, vyrážku, infekciu/sepsu a neuropatiu. Medzi zriedkavé patria Stevensov-Johnsonov syndróm a toxická epidermálna nekrolýza.</w:t>
      </w:r>
    </w:p>
    <w:p w14:paraId="39616D2F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164C0C3" w14:textId="675FB5BD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  <w:u w:val="single"/>
        </w:rPr>
        <w:t>Tabuľkový prehľad nežiaducich reakcií</w:t>
      </w:r>
    </w:p>
    <w:p w14:paraId="0143BF6D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Tabuľka</w:t>
      </w:r>
      <w:r w:rsidR="00FB6698" w:rsidRPr="001358B9">
        <w:rPr>
          <w:rFonts w:ascii="Times New Roman" w:hAnsi="Times New Roman"/>
          <w:color w:val="000000"/>
        </w:rPr>
        <w:t xml:space="preserve"> nižšie</w:t>
      </w:r>
      <w:r w:rsidRPr="001358B9">
        <w:rPr>
          <w:rFonts w:ascii="Times New Roman" w:hAnsi="Times New Roman"/>
          <w:color w:val="000000"/>
        </w:rPr>
        <w:t xml:space="preserve"> uvádza frekvenciu a závažnosť nežiaducich účinkov, ktoré boli zaznamenané u viac ako 5 % zo 168 pacientov s mezoteliómom randomizovaných na liečbu cisplatinou a pemetrexedom a zo 163 pacientov s mezoteliómom randomizovaných na liečbu cisplatinou v monoterapii. V oboch liečebných ramenách bola pacientom bez predošlej chemoterapie pridaná kyselina listová a vitamín B</w:t>
      </w:r>
      <w:r w:rsidRPr="001358B9">
        <w:rPr>
          <w:rFonts w:ascii="Times New Roman" w:hAnsi="Times New Roman"/>
          <w:color w:val="000000"/>
          <w:vertAlign w:val="subscript"/>
        </w:rPr>
        <w:t>12</w:t>
      </w:r>
      <w:r w:rsidRPr="001358B9">
        <w:rPr>
          <w:rFonts w:ascii="Times New Roman" w:hAnsi="Times New Roman"/>
          <w:color w:val="000000"/>
        </w:rPr>
        <w:t>.</w:t>
      </w:r>
    </w:p>
    <w:p w14:paraId="1F13701F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7C11F97" w14:textId="77777777" w:rsidR="004F0AFF" w:rsidRPr="001358B9" w:rsidRDefault="004F0A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1358B9">
        <w:rPr>
          <w:rFonts w:ascii="Times New Roman" w:hAnsi="Times New Roman"/>
          <w:i/>
        </w:rPr>
        <w:t>Nežiaduce reakcie</w:t>
      </w:r>
    </w:p>
    <w:p w14:paraId="56E5D063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Stanovenie frekvencie: veľmi časté (≥ 1/10), časté (≥ 1/100 až &lt; 1/1</w:t>
      </w:r>
      <w:r w:rsidR="004F0AFF" w:rsidRPr="001358B9">
        <w:rPr>
          <w:rFonts w:ascii="Times New Roman" w:hAnsi="Times New Roman"/>
          <w:color w:val="000000"/>
        </w:rPr>
        <w:t>0), menej časté (≥ 1/1 000 až &lt; </w:t>
      </w:r>
      <w:r w:rsidRPr="001358B9">
        <w:rPr>
          <w:rFonts w:ascii="Times New Roman" w:hAnsi="Times New Roman"/>
          <w:color w:val="000000"/>
        </w:rPr>
        <w:t>1/100), zriedkavé (≥ 1/10 000 až &lt; 1/1 000), veľmi zriedkavé (&lt; 1/10 000) a neznáma frekvencia (frekvencia nemôže byť stanovená na základe dostupných spontánnych hlásení).</w:t>
      </w:r>
    </w:p>
    <w:p w14:paraId="4978571B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8B28B4A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V rámci jednotlivých skupín frekvencií sú nežiaduce účinky usporiadané v poradí klesajúcej </w:t>
      </w:r>
      <w:r w:rsidRPr="001358B9">
        <w:rPr>
          <w:rFonts w:ascii="Times New Roman" w:hAnsi="Times New Roman"/>
          <w:color w:val="000000"/>
        </w:rPr>
        <w:lastRenderedPageBreak/>
        <w:t>závažnosti.</w:t>
      </w:r>
    </w:p>
    <w:p w14:paraId="64965F9C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1451"/>
        <w:gridCol w:w="1436"/>
        <w:gridCol w:w="1610"/>
        <w:gridCol w:w="1174"/>
        <w:gridCol w:w="1174"/>
        <w:gridCol w:w="1174"/>
        <w:gridCol w:w="1043"/>
      </w:tblGrid>
      <w:tr w:rsidR="003D1D0C" w:rsidRPr="001358B9" w14:paraId="58928082" w14:textId="77777777" w:rsidTr="008018EA">
        <w:tc>
          <w:tcPr>
            <w:tcW w:w="797" w:type="pct"/>
            <w:vMerge w:val="restart"/>
            <w:shd w:val="clear" w:color="auto" w:fill="FFFFFF" w:themeFill="background1"/>
          </w:tcPr>
          <w:p w14:paraId="77DED9AE" w14:textId="77777777" w:rsidR="003D1D0C" w:rsidRPr="00927728" w:rsidRDefault="003D1D0C">
            <w:pPr>
              <w:rPr>
                <w:b/>
                <w:sz w:val="22"/>
                <w:szCs w:val="22"/>
                <w:lang w:val="sk-SK"/>
              </w:rPr>
            </w:pPr>
            <w:r w:rsidRPr="001358B9">
              <w:rPr>
                <w:b/>
                <w:sz w:val="22"/>
                <w:szCs w:val="22"/>
              </w:rPr>
              <w:t>Trieda orgánových systémov</w:t>
            </w:r>
            <w:r w:rsidR="00692225" w:rsidRPr="001358B9">
              <w:rPr>
                <w:b/>
                <w:sz w:val="22"/>
                <w:szCs w:val="22"/>
              </w:rPr>
              <w:t xml:space="preserve"> podľa databázy MedDRA</w:t>
            </w:r>
          </w:p>
        </w:tc>
        <w:tc>
          <w:tcPr>
            <w:tcW w:w="797" w:type="pct"/>
            <w:vMerge w:val="restart"/>
            <w:shd w:val="clear" w:color="auto" w:fill="FFFFFF" w:themeFill="background1"/>
          </w:tcPr>
          <w:p w14:paraId="3B51EBA3" w14:textId="77777777" w:rsidR="003D1D0C" w:rsidRPr="00927728" w:rsidRDefault="003D1D0C">
            <w:pPr>
              <w:rPr>
                <w:b/>
                <w:sz w:val="22"/>
                <w:szCs w:val="22"/>
                <w:lang w:val="sk-SK"/>
              </w:rPr>
            </w:pPr>
            <w:r w:rsidRPr="001358B9">
              <w:rPr>
                <w:b/>
                <w:sz w:val="22"/>
                <w:szCs w:val="22"/>
              </w:rPr>
              <w:t>Fre</w:t>
            </w:r>
            <w:r w:rsidR="00FC5A49" w:rsidRPr="001358B9">
              <w:rPr>
                <w:b/>
                <w:sz w:val="22"/>
                <w:szCs w:val="22"/>
              </w:rPr>
              <w:t>kvencia</w:t>
            </w:r>
          </w:p>
        </w:tc>
        <w:tc>
          <w:tcPr>
            <w:tcW w:w="870" w:type="pct"/>
            <w:vMerge w:val="restart"/>
            <w:shd w:val="clear" w:color="auto" w:fill="FFFFFF" w:themeFill="background1"/>
          </w:tcPr>
          <w:p w14:paraId="50C996C5" w14:textId="77777777" w:rsidR="003D1D0C" w:rsidRPr="00927728" w:rsidRDefault="00FC5A49">
            <w:pPr>
              <w:rPr>
                <w:b/>
                <w:sz w:val="22"/>
                <w:szCs w:val="22"/>
                <w:lang w:val="sk-SK"/>
              </w:rPr>
            </w:pPr>
            <w:r w:rsidRPr="001358B9">
              <w:rPr>
                <w:b/>
                <w:sz w:val="22"/>
                <w:szCs w:val="22"/>
              </w:rPr>
              <w:t>Udalosť</w:t>
            </w:r>
            <w:r w:rsidR="003D1D0C" w:rsidRPr="001358B9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304" w:type="pct"/>
            <w:gridSpan w:val="2"/>
            <w:shd w:val="clear" w:color="auto" w:fill="FFFFFF" w:themeFill="background1"/>
          </w:tcPr>
          <w:p w14:paraId="60A9D323" w14:textId="77777777" w:rsidR="003D1D0C" w:rsidRPr="00927728" w:rsidRDefault="003D1D0C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1358B9">
              <w:rPr>
                <w:b/>
                <w:sz w:val="22"/>
                <w:szCs w:val="22"/>
              </w:rPr>
              <w:t>Pemetrexed/cisplatin</w:t>
            </w:r>
            <w:r w:rsidR="00FC5A49" w:rsidRPr="001358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232" w:type="pct"/>
            <w:gridSpan w:val="2"/>
            <w:shd w:val="clear" w:color="auto" w:fill="FFFFFF" w:themeFill="background1"/>
          </w:tcPr>
          <w:p w14:paraId="6E15E22B" w14:textId="77777777" w:rsidR="003D1D0C" w:rsidRPr="00927728" w:rsidRDefault="003D1D0C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1358B9">
              <w:rPr>
                <w:b/>
                <w:sz w:val="22"/>
                <w:szCs w:val="22"/>
              </w:rPr>
              <w:t>Cisplatin</w:t>
            </w:r>
            <w:r w:rsidR="00FC5A49" w:rsidRPr="001358B9">
              <w:rPr>
                <w:b/>
                <w:sz w:val="22"/>
                <w:szCs w:val="22"/>
              </w:rPr>
              <w:t>a</w:t>
            </w:r>
          </w:p>
        </w:tc>
      </w:tr>
      <w:tr w:rsidR="003D1D0C" w:rsidRPr="001358B9" w14:paraId="0166326C" w14:textId="77777777" w:rsidTr="008018EA">
        <w:tc>
          <w:tcPr>
            <w:tcW w:w="797" w:type="pct"/>
            <w:vMerge/>
            <w:shd w:val="clear" w:color="auto" w:fill="FFFFFF" w:themeFill="background1"/>
          </w:tcPr>
          <w:p w14:paraId="0758E2DB" w14:textId="77777777" w:rsidR="003D1D0C" w:rsidRPr="001358B9" w:rsidRDefault="003D1D0C">
            <w:pPr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  <w:shd w:val="clear" w:color="auto" w:fill="FFFFFF" w:themeFill="background1"/>
          </w:tcPr>
          <w:p w14:paraId="7803A70C" w14:textId="77777777" w:rsidR="003D1D0C" w:rsidRPr="001358B9" w:rsidRDefault="003D1D0C">
            <w:pPr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870" w:type="pct"/>
            <w:vMerge/>
            <w:shd w:val="clear" w:color="auto" w:fill="FFFFFF" w:themeFill="background1"/>
          </w:tcPr>
          <w:p w14:paraId="3F2C801B" w14:textId="77777777" w:rsidR="003D1D0C" w:rsidRPr="001358B9" w:rsidRDefault="003D1D0C">
            <w:pPr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304" w:type="pct"/>
            <w:gridSpan w:val="2"/>
            <w:shd w:val="clear" w:color="auto" w:fill="FFFFFF" w:themeFill="background1"/>
          </w:tcPr>
          <w:p w14:paraId="293B5251" w14:textId="77777777" w:rsidR="003D1D0C" w:rsidRPr="00927728" w:rsidRDefault="003D1D0C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1358B9">
              <w:rPr>
                <w:b/>
                <w:sz w:val="22"/>
                <w:szCs w:val="22"/>
              </w:rPr>
              <w:t>(</w:t>
            </w:r>
            <w:r w:rsidR="00FC5A49" w:rsidRPr="001358B9">
              <w:rPr>
                <w:b/>
                <w:sz w:val="22"/>
                <w:szCs w:val="22"/>
              </w:rPr>
              <w:t>n </w:t>
            </w:r>
            <w:r w:rsidRPr="001358B9">
              <w:rPr>
                <w:b/>
                <w:sz w:val="22"/>
                <w:szCs w:val="22"/>
              </w:rPr>
              <w:t>=</w:t>
            </w:r>
            <w:r w:rsidR="00FC5A49" w:rsidRPr="001358B9">
              <w:rPr>
                <w:b/>
                <w:sz w:val="22"/>
                <w:szCs w:val="22"/>
              </w:rPr>
              <w:t> </w:t>
            </w:r>
            <w:r w:rsidRPr="001358B9">
              <w:rPr>
                <w:b/>
                <w:sz w:val="22"/>
                <w:szCs w:val="22"/>
              </w:rPr>
              <w:t>168)</w:t>
            </w:r>
          </w:p>
        </w:tc>
        <w:tc>
          <w:tcPr>
            <w:tcW w:w="1232" w:type="pct"/>
            <w:gridSpan w:val="2"/>
            <w:shd w:val="clear" w:color="auto" w:fill="FFFFFF" w:themeFill="background1"/>
          </w:tcPr>
          <w:p w14:paraId="63D1C457" w14:textId="77777777" w:rsidR="003D1D0C" w:rsidRPr="00927728" w:rsidRDefault="003D1D0C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1358B9">
              <w:rPr>
                <w:b/>
                <w:sz w:val="22"/>
                <w:szCs w:val="22"/>
              </w:rPr>
              <w:t>(</w:t>
            </w:r>
            <w:r w:rsidR="00FC5A49" w:rsidRPr="001358B9">
              <w:rPr>
                <w:b/>
                <w:sz w:val="22"/>
                <w:szCs w:val="22"/>
              </w:rPr>
              <w:t>n </w:t>
            </w:r>
            <w:r w:rsidRPr="001358B9">
              <w:rPr>
                <w:b/>
                <w:sz w:val="22"/>
                <w:szCs w:val="22"/>
              </w:rPr>
              <w:t>=</w:t>
            </w:r>
            <w:r w:rsidR="00FC5A49" w:rsidRPr="001358B9">
              <w:rPr>
                <w:b/>
                <w:sz w:val="22"/>
                <w:szCs w:val="22"/>
              </w:rPr>
              <w:t> </w:t>
            </w:r>
            <w:r w:rsidRPr="001358B9">
              <w:rPr>
                <w:b/>
                <w:sz w:val="22"/>
                <w:szCs w:val="22"/>
              </w:rPr>
              <w:t>163)</w:t>
            </w:r>
          </w:p>
        </w:tc>
      </w:tr>
      <w:tr w:rsidR="003D1D0C" w:rsidRPr="001358B9" w14:paraId="1BA7BB6D" w14:textId="77777777" w:rsidTr="008018EA">
        <w:tc>
          <w:tcPr>
            <w:tcW w:w="797" w:type="pct"/>
            <w:vMerge/>
            <w:shd w:val="clear" w:color="auto" w:fill="FFFFFF" w:themeFill="background1"/>
          </w:tcPr>
          <w:p w14:paraId="48A91387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  <w:shd w:val="clear" w:color="auto" w:fill="FFFFFF" w:themeFill="background1"/>
          </w:tcPr>
          <w:p w14:paraId="195F0806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70" w:type="pct"/>
            <w:vMerge/>
            <w:shd w:val="clear" w:color="auto" w:fill="FFFFFF" w:themeFill="background1"/>
          </w:tcPr>
          <w:p w14:paraId="6DC39549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652" w:type="pct"/>
            <w:shd w:val="clear" w:color="auto" w:fill="FFFFFF" w:themeFill="background1"/>
          </w:tcPr>
          <w:p w14:paraId="0342F9D3" w14:textId="77777777" w:rsidR="00FC5A49" w:rsidRPr="00927728" w:rsidRDefault="00FC5A49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1358B9">
              <w:rPr>
                <w:b/>
                <w:sz w:val="22"/>
                <w:szCs w:val="22"/>
              </w:rPr>
              <w:t>Všetky stupne</w:t>
            </w:r>
            <w:r w:rsidR="003D1D0C" w:rsidRPr="001358B9">
              <w:rPr>
                <w:b/>
                <w:sz w:val="22"/>
                <w:szCs w:val="22"/>
              </w:rPr>
              <w:t xml:space="preserve"> toxicity</w:t>
            </w:r>
          </w:p>
          <w:p w14:paraId="3B76C122" w14:textId="77777777" w:rsidR="003D1D0C" w:rsidRPr="00927728" w:rsidRDefault="003D1D0C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1358B9"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652" w:type="pct"/>
            <w:shd w:val="clear" w:color="auto" w:fill="FFFFFF" w:themeFill="background1"/>
          </w:tcPr>
          <w:p w14:paraId="55DC1902" w14:textId="77777777" w:rsidR="00FC5A49" w:rsidRPr="00927728" w:rsidRDefault="00FC5A49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1358B9">
              <w:rPr>
                <w:b/>
                <w:sz w:val="22"/>
                <w:szCs w:val="22"/>
              </w:rPr>
              <w:t>Toxicita</w:t>
            </w:r>
          </w:p>
          <w:p w14:paraId="77B84288" w14:textId="77777777" w:rsidR="00FC5A49" w:rsidRPr="00927728" w:rsidRDefault="003D1D0C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1358B9">
              <w:rPr>
                <w:b/>
                <w:sz w:val="22"/>
                <w:szCs w:val="22"/>
              </w:rPr>
              <w:t>3</w:t>
            </w:r>
            <w:r w:rsidR="00FC5A49" w:rsidRPr="001358B9">
              <w:rPr>
                <w:b/>
                <w:sz w:val="22"/>
                <w:szCs w:val="22"/>
              </w:rPr>
              <w:t>.</w:t>
            </w:r>
            <w:r w:rsidRPr="001358B9">
              <w:rPr>
                <w:b/>
                <w:sz w:val="22"/>
                <w:szCs w:val="22"/>
              </w:rPr>
              <w:t xml:space="preserve"> </w:t>
            </w:r>
            <w:r w:rsidR="00FC5A49" w:rsidRPr="001358B9">
              <w:rPr>
                <w:b/>
                <w:sz w:val="22"/>
                <w:szCs w:val="22"/>
              </w:rPr>
              <w:t xml:space="preserve">až </w:t>
            </w:r>
            <w:r w:rsidRPr="001358B9">
              <w:rPr>
                <w:b/>
                <w:sz w:val="22"/>
                <w:szCs w:val="22"/>
              </w:rPr>
              <w:t>4</w:t>
            </w:r>
            <w:r w:rsidR="00FC5A49" w:rsidRPr="001358B9">
              <w:rPr>
                <w:b/>
                <w:sz w:val="22"/>
                <w:szCs w:val="22"/>
              </w:rPr>
              <w:t>. stupňa</w:t>
            </w:r>
          </w:p>
          <w:p w14:paraId="72DD4F51" w14:textId="77777777" w:rsidR="003D1D0C" w:rsidRPr="00927728" w:rsidRDefault="003D1D0C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1358B9"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652" w:type="pct"/>
            <w:shd w:val="clear" w:color="auto" w:fill="FFFFFF" w:themeFill="background1"/>
          </w:tcPr>
          <w:p w14:paraId="2F38D6A1" w14:textId="77777777" w:rsidR="00FC5A49" w:rsidRPr="00927728" w:rsidRDefault="00FC5A49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1358B9">
              <w:rPr>
                <w:b/>
                <w:sz w:val="22"/>
                <w:szCs w:val="22"/>
              </w:rPr>
              <w:t>Všetky stupne</w:t>
            </w:r>
            <w:r w:rsidR="003D1D0C" w:rsidRPr="001358B9">
              <w:rPr>
                <w:b/>
                <w:sz w:val="22"/>
                <w:szCs w:val="22"/>
              </w:rPr>
              <w:t xml:space="preserve"> toxicity</w:t>
            </w:r>
          </w:p>
          <w:p w14:paraId="328EB03C" w14:textId="77777777" w:rsidR="003D1D0C" w:rsidRPr="00927728" w:rsidRDefault="003D1D0C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1358B9"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580" w:type="pct"/>
            <w:shd w:val="clear" w:color="auto" w:fill="FFFFFF" w:themeFill="background1"/>
          </w:tcPr>
          <w:p w14:paraId="270BCE28" w14:textId="77777777" w:rsidR="00FC5A49" w:rsidRPr="00927728" w:rsidRDefault="00FC5A49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1358B9">
              <w:rPr>
                <w:b/>
                <w:sz w:val="22"/>
                <w:szCs w:val="22"/>
              </w:rPr>
              <w:t>Toxicita</w:t>
            </w:r>
          </w:p>
          <w:p w14:paraId="0AF09EA4" w14:textId="77777777" w:rsidR="00FC5A49" w:rsidRPr="00927728" w:rsidRDefault="00FC5A49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1358B9">
              <w:rPr>
                <w:b/>
                <w:sz w:val="22"/>
                <w:szCs w:val="22"/>
              </w:rPr>
              <w:t>3. až 4. stupňa</w:t>
            </w:r>
          </w:p>
          <w:p w14:paraId="4C029F57" w14:textId="77777777" w:rsidR="003D1D0C" w:rsidRPr="00927728" w:rsidRDefault="003D1D0C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1358B9">
              <w:rPr>
                <w:b/>
                <w:sz w:val="22"/>
                <w:szCs w:val="22"/>
              </w:rPr>
              <w:t>(%)</w:t>
            </w:r>
          </w:p>
        </w:tc>
      </w:tr>
      <w:tr w:rsidR="003D1D0C" w:rsidRPr="001358B9" w14:paraId="2FE87809" w14:textId="77777777" w:rsidTr="000436B6">
        <w:tc>
          <w:tcPr>
            <w:tcW w:w="797" w:type="pct"/>
            <w:vMerge w:val="restart"/>
          </w:tcPr>
          <w:p w14:paraId="0CCE10E1" w14:textId="77777777" w:rsidR="00FC5A49" w:rsidRPr="001358B9" w:rsidRDefault="00FC5A49" w:rsidP="009F07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927728">
              <w:rPr>
                <w:rFonts w:eastAsiaTheme="minorHAnsi"/>
                <w:sz w:val="22"/>
                <w:szCs w:val="22"/>
                <w:lang w:val="sk-SK" w:eastAsia="en-US"/>
              </w:rPr>
              <w:t>Poruchy krvi a</w:t>
            </w:r>
          </w:p>
          <w:p w14:paraId="586A37C4" w14:textId="77777777" w:rsidR="00FC5A49" w:rsidRPr="00927728" w:rsidRDefault="00FC5A4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lymfatického</w:t>
            </w:r>
          </w:p>
          <w:p w14:paraId="7DEA4499" w14:textId="77777777" w:rsidR="003D1D0C" w:rsidRPr="00927728" w:rsidRDefault="00FC5A49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systému</w:t>
            </w:r>
          </w:p>
        </w:tc>
        <w:tc>
          <w:tcPr>
            <w:tcW w:w="797" w:type="pct"/>
            <w:vMerge w:val="restart"/>
          </w:tcPr>
          <w:p w14:paraId="1F569F17" w14:textId="77777777" w:rsidR="003D1D0C" w:rsidRPr="00927728" w:rsidRDefault="00FC5A49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</w:rPr>
              <w:t>Veľmi časté</w:t>
            </w:r>
          </w:p>
        </w:tc>
        <w:tc>
          <w:tcPr>
            <w:tcW w:w="870" w:type="pct"/>
          </w:tcPr>
          <w:p w14:paraId="5921F26C" w14:textId="77777777" w:rsidR="00A140ED" w:rsidRPr="00927728" w:rsidRDefault="00A140ED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</w:rPr>
              <w:t>Pokles</w:t>
            </w:r>
          </w:p>
          <w:p w14:paraId="065DF480" w14:textId="77777777" w:rsidR="00A140ED" w:rsidRPr="00927728" w:rsidRDefault="00A140ED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</w:rPr>
              <w:t>neutrofilov/</w:t>
            </w:r>
          </w:p>
          <w:p w14:paraId="5D798F1E" w14:textId="77777777" w:rsidR="003D1D0C" w:rsidRPr="00927728" w:rsidRDefault="00A140ED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</w:rPr>
              <w:t>granulocytov</w:t>
            </w:r>
          </w:p>
        </w:tc>
        <w:tc>
          <w:tcPr>
            <w:tcW w:w="652" w:type="pct"/>
            <w:vAlign w:val="center"/>
          </w:tcPr>
          <w:p w14:paraId="1B7449B8" w14:textId="77777777" w:rsidR="003D1D0C" w:rsidRPr="00927728" w:rsidRDefault="003D1D0C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56</w:t>
            </w:r>
            <w:r w:rsidR="00A140ED" w:rsidRPr="001358B9">
              <w:rPr>
                <w:sz w:val="22"/>
                <w:szCs w:val="22"/>
                <w:lang w:eastAsia="en-US"/>
              </w:rPr>
              <w:t>,</w:t>
            </w:r>
            <w:r w:rsidRPr="001358B9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52" w:type="pct"/>
            <w:vAlign w:val="center"/>
          </w:tcPr>
          <w:p w14:paraId="573CC6D3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23,</w:t>
            </w:r>
            <w:r w:rsidR="003D1D0C" w:rsidRPr="001358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2" w:type="pct"/>
            <w:vAlign w:val="center"/>
          </w:tcPr>
          <w:p w14:paraId="51A46238" w14:textId="77777777" w:rsidR="003D1D0C" w:rsidRPr="00927728" w:rsidRDefault="00A140ED">
            <w:pPr>
              <w:tabs>
                <w:tab w:val="left" w:pos="495"/>
              </w:tabs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13,</w:t>
            </w:r>
            <w:r w:rsidR="003D1D0C" w:rsidRPr="001358B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0" w:type="pct"/>
            <w:vAlign w:val="center"/>
          </w:tcPr>
          <w:p w14:paraId="2A58E8D2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3,</w:t>
            </w:r>
            <w:r w:rsidR="003D1D0C" w:rsidRPr="001358B9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D1D0C" w:rsidRPr="001358B9" w14:paraId="754D5C71" w14:textId="77777777" w:rsidTr="000436B6">
        <w:tc>
          <w:tcPr>
            <w:tcW w:w="797" w:type="pct"/>
            <w:vMerge/>
          </w:tcPr>
          <w:p w14:paraId="0451D082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</w:tcPr>
          <w:p w14:paraId="51B8B988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70" w:type="pct"/>
          </w:tcPr>
          <w:p w14:paraId="36B279FD" w14:textId="77777777" w:rsidR="00A140ED" w:rsidRPr="00927728" w:rsidRDefault="00A140ED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Pokles</w:t>
            </w:r>
          </w:p>
          <w:p w14:paraId="77FEA1BE" w14:textId="77777777" w:rsidR="003D1D0C" w:rsidRPr="00927728" w:rsidRDefault="00A140ED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leukocytov</w:t>
            </w:r>
          </w:p>
        </w:tc>
        <w:tc>
          <w:tcPr>
            <w:tcW w:w="652" w:type="pct"/>
            <w:vAlign w:val="center"/>
          </w:tcPr>
          <w:p w14:paraId="7E8FF71F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53,</w:t>
            </w:r>
            <w:r w:rsidR="003D1D0C" w:rsidRPr="001358B9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52" w:type="pct"/>
            <w:vAlign w:val="center"/>
          </w:tcPr>
          <w:p w14:paraId="74085F43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14,</w:t>
            </w:r>
            <w:r w:rsidR="003D1D0C" w:rsidRPr="001358B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52" w:type="pct"/>
            <w:vAlign w:val="center"/>
          </w:tcPr>
          <w:p w14:paraId="003B890D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16,</w:t>
            </w:r>
            <w:r w:rsidR="003D1D0C" w:rsidRPr="001358B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0" w:type="pct"/>
            <w:vAlign w:val="center"/>
          </w:tcPr>
          <w:p w14:paraId="07056702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3D1D0C" w:rsidRPr="001358B9" w14:paraId="6C34BBF2" w14:textId="77777777" w:rsidTr="000436B6">
        <w:tc>
          <w:tcPr>
            <w:tcW w:w="797" w:type="pct"/>
            <w:vMerge/>
          </w:tcPr>
          <w:p w14:paraId="33E0436B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</w:tcPr>
          <w:p w14:paraId="3D872B79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70" w:type="pct"/>
          </w:tcPr>
          <w:p w14:paraId="059BA55D" w14:textId="77777777" w:rsidR="00A140ED" w:rsidRPr="00927728" w:rsidRDefault="00A140ED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Pokles</w:t>
            </w:r>
          </w:p>
          <w:p w14:paraId="3F23A38C" w14:textId="77777777" w:rsidR="003D1D0C" w:rsidRPr="00927728" w:rsidRDefault="00A140ED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 xml:space="preserve">hemoglobínu </w:t>
            </w:r>
          </w:p>
        </w:tc>
        <w:tc>
          <w:tcPr>
            <w:tcW w:w="652" w:type="pct"/>
            <w:vAlign w:val="center"/>
          </w:tcPr>
          <w:p w14:paraId="554605A1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26,</w:t>
            </w:r>
            <w:r w:rsidR="003D1D0C" w:rsidRPr="001358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2" w:type="pct"/>
            <w:vAlign w:val="center"/>
          </w:tcPr>
          <w:p w14:paraId="7A52CE2C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4,</w:t>
            </w:r>
            <w:r w:rsidR="003D1D0C" w:rsidRPr="001358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2" w:type="pct"/>
            <w:vAlign w:val="center"/>
          </w:tcPr>
          <w:p w14:paraId="55BC6246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10,</w:t>
            </w:r>
            <w:r w:rsidR="003D1D0C" w:rsidRPr="001358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0" w:type="pct"/>
            <w:vAlign w:val="center"/>
          </w:tcPr>
          <w:p w14:paraId="3712EDAC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D1D0C" w:rsidRPr="001358B9" w14:paraId="73D3BBD6" w14:textId="77777777" w:rsidTr="000436B6">
        <w:tc>
          <w:tcPr>
            <w:tcW w:w="797" w:type="pct"/>
            <w:vMerge/>
          </w:tcPr>
          <w:p w14:paraId="3E1B124C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</w:tcPr>
          <w:p w14:paraId="2F99D04B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70" w:type="pct"/>
          </w:tcPr>
          <w:p w14:paraId="3AD88930" w14:textId="77777777" w:rsidR="00A140ED" w:rsidRPr="00927728" w:rsidRDefault="00A140E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Pokles</w:t>
            </w:r>
          </w:p>
          <w:p w14:paraId="2013DC44" w14:textId="77777777" w:rsidR="003D1D0C" w:rsidRPr="00927728" w:rsidRDefault="00A140ED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trombocytov</w:t>
            </w:r>
          </w:p>
        </w:tc>
        <w:tc>
          <w:tcPr>
            <w:tcW w:w="652" w:type="pct"/>
            <w:vAlign w:val="center"/>
          </w:tcPr>
          <w:p w14:paraId="34F5F0C6" w14:textId="77777777" w:rsidR="003D1D0C" w:rsidRPr="00927728" w:rsidRDefault="00A140ED">
            <w:pPr>
              <w:tabs>
                <w:tab w:val="left" w:pos="540"/>
              </w:tabs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23,</w:t>
            </w:r>
            <w:r w:rsidR="003D1D0C" w:rsidRPr="001358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2" w:type="pct"/>
            <w:vAlign w:val="center"/>
          </w:tcPr>
          <w:p w14:paraId="5A22AE20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5,</w:t>
            </w:r>
            <w:r w:rsidR="003D1D0C" w:rsidRPr="001358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52" w:type="pct"/>
            <w:vAlign w:val="center"/>
          </w:tcPr>
          <w:p w14:paraId="7F7EE56D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8,</w:t>
            </w:r>
            <w:r w:rsidR="003D1D0C" w:rsidRPr="001358B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0" w:type="pct"/>
            <w:vAlign w:val="center"/>
          </w:tcPr>
          <w:p w14:paraId="423484B4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D1D0C" w:rsidRPr="001358B9" w14:paraId="7BC0BA43" w14:textId="77777777" w:rsidTr="000436B6">
        <w:tc>
          <w:tcPr>
            <w:tcW w:w="797" w:type="pct"/>
          </w:tcPr>
          <w:p w14:paraId="1CDA07C4" w14:textId="77777777" w:rsidR="00FC5A49" w:rsidRPr="001358B9" w:rsidRDefault="00FC5A49" w:rsidP="009F07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927728">
              <w:rPr>
                <w:rFonts w:eastAsiaTheme="minorHAnsi"/>
                <w:sz w:val="22"/>
                <w:szCs w:val="22"/>
                <w:lang w:val="sk-SK" w:eastAsia="en-US"/>
              </w:rPr>
              <w:t>Poruchy</w:t>
            </w:r>
          </w:p>
          <w:p w14:paraId="7368A9F7" w14:textId="77777777" w:rsidR="00FC5A49" w:rsidRPr="00927728" w:rsidRDefault="00FC5A4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metabolizmu</w:t>
            </w:r>
          </w:p>
          <w:p w14:paraId="114D58AD" w14:textId="77777777" w:rsidR="003D1D0C" w:rsidRPr="00927728" w:rsidRDefault="00FC5A49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a výživy</w:t>
            </w:r>
          </w:p>
        </w:tc>
        <w:tc>
          <w:tcPr>
            <w:tcW w:w="797" w:type="pct"/>
          </w:tcPr>
          <w:p w14:paraId="5F4FA6B5" w14:textId="77777777" w:rsidR="003D1D0C" w:rsidRPr="00927728" w:rsidRDefault="00FC5A49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</w:rPr>
              <w:t>Časté</w:t>
            </w:r>
          </w:p>
          <w:p w14:paraId="0DBB60FF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70" w:type="pct"/>
          </w:tcPr>
          <w:p w14:paraId="6884D80C" w14:textId="77777777" w:rsidR="003D1D0C" w:rsidRPr="00927728" w:rsidRDefault="003D1D0C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Dehydrat</w:t>
            </w:r>
            <w:r w:rsidR="00A140ED" w:rsidRPr="001358B9">
              <w:rPr>
                <w:sz w:val="22"/>
                <w:szCs w:val="22"/>
                <w:lang w:eastAsia="en-US"/>
              </w:rPr>
              <w:t>ácia</w:t>
            </w:r>
          </w:p>
        </w:tc>
        <w:tc>
          <w:tcPr>
            <w:tcW w:w="652" w:type="pct"/>
            <w:vAlign w:val="center"/>
          </w:tcPr>
          <w:p w14:paraId="4B613427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6,</w:t>
            </w:r>
            <w:r w:rsidR="003D1D0C" w:rsidRPr="001358B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52" w:type="pct"/>
            <w:vAlign w:val="center"/>
          </w:tcPr>
          <w:p w14:paraId="6B1A964E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4,</w:t>
            </w:r>
            <w:r w:rsidR="003D1D0C" w:rsidRPr="001358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2" w:type="pct"/>
            <w:vAlign w:val="center"/>
          </w:tcPr>
          <w:p w14:paraId="76051BE1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0" w:type="pct"/>
            <w:vAlign w:val="center"/>
          </w:tcPr>
          <w:p w14:paraId="3D0B7628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3D1D0C" w:rsidRPr="001358B9" w14:paraId="713F6987" w14:textId="77777777" w:rsidTr="000436B6">
        <w:tc>
          <w:tcPr>
            <w:tcW w:w="797" w:type="pct"/>
            <w:vMerge w:val="restart"/>
          </w:tcPr>
          <w:p w14:paraId="2BB6A576" w14:textId="77777777" w:rsidR="00FC5A49" w:rsidRPr="001358B9" w:rsidRDefault="00FC5A49" w:rsidP="009F07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927728">
              <w:rPr>
                <w:rFonts w:eastAsiaTheme="minorHAnsi"/>
                <w:sz w:val="22"/>
                <w:szCs w:val="22"/>
                <w:lang w:val="sk-SK" w:eastAsia="en-US"/>
              </w:rPr>
              <w:t>Poruchy</w:t>
            </w:r>
          </w:p>
          <w:p w14:paraId="18F662EE" w14:textId="77777777" w:rsidR="00FC5A49" w:rsidRPr="00927728" w:rsidRDefault="00FC5A4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nervového</w:t>
            </w:r>
          </w:p>
          <w:p w14:paraId="3F3E0DBE" w14:textId="77777777" w:rsidR="003D1D0C" w:rsidRPr="00927728" w:rsidRDefault="00FC5A49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systému</w:t>
            </w:r>
          </w:p>
        </w:tc>
        <w:tc>
          <w:tcPr>
            <w:tcW w:w="797" w:type="pct"/>
          </w:tcPr>
          <w:p w14:paraId="4AA1FE3A" w14:textId="77777777" w:rsidR="003D1D0C" w:rsidRPr="00927728" w:rsidRDefault="00FC5A49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</w:rPr>
              <w:t>Veľmi časté</w:t>
            </w:r>
          </w:p>
        </w:tc>
        <w:tc>
          <w:tcPr>
            <w:tcW w:w="870" w:type="pct"/>
          </w:tcPr>
          <w:p w14:paraId="43A2C67F" w14:textId="77777777" w:rsidR="003D1D0C" w:rsidRPr="00927728" w:rsidRDefault="003D1D0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Neuropat</w:t>
            </w:r>
            <w:r w:rsidR="00A140ED" w:rsidRPr="001358B9">
              <w:rPr>
                <w:sz w:val="22"/>
                <w:szCs w:val="22"/>
                <w:lang w:eastAsia="en-US"/>
              </w:rPr>
              <w:t>ia</w:t>
            </w:r>
            <w:r w:rsidRPr="001358B9">
              <w:rPr>
                <w:sz w:val="22"/>
                <w:szCs w:val="22"/>
                <w:lang w:eastAsia="en-US"/>
              </w:rPr>
              <w:t>-</w:t>
            </w:r>
          </w:p>
          <w:p w14:paraId="56A5BE4B" w14:textId="77777777" w:rsidR="003D1D0C" w:rsidRPr="00927728" w:rsidRDefault="00A140ED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s</w:t>
            </w:r>
            <w:r w:rsidR="003D1D0C" w:rsidRPr="001358B9">
              <w:rPr>
                <w:sz w:val="22"/>
                <w:szCs w:val="22"/>
                <w:lang w:eastAsia="en-US"/>
              </w:rPr>
              <w:t>en</w:t>
            </w:r>
            <w:r w:rsidRPr="001358B9">
              <w:rPr>
                <w:sz w:val="22"/>
                <w:szCs w:val="22"/>
                <w:lang w:eastAsia="en-US"/>
              </w:rPr>
              <w:t>zorická</w:t>
            </w:r>
          </w:p>
        </w:tc>
        <w:tc>
          <w:tcPr>
            <w:tcW w:w="652" w:type="pct"/>
            <w:vAlign w:val="center"/>
          </w:tcPr>
          <w:p w14:paraId="2F821A04" w14:textId="77777777" w:rsidR="003D1D0C" w:rsidRPr="00927728" w:rsidRDefault="003D1D0C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10</w:t>
            </w:r>
            <w:r w:rsidR="00A140ED" w:rsidRPr="001358B9">
              <w:rPr>
                <w:sz w:val="22"/>
                <w:szCs w:val="22"/>
                <w:lang w:eastAsia="en-US"/>
              </w:rPr>
              <w:t>,</w:t>
            </w:r>
            <w:r w:rsidRPr="001358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2" w:type="pct"/>
            <w:vAlign w:val="center"/>
          </w:tcPr>
          <w:p w14:paraId="2D2CCBF8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52" w:type="pct"/>
            <w:vAlign w:val="center"/>
          </w:tcPr>
          <w:p w14:paraId="2A99ABA2" w14:textId="77777777" w:rsidR="003D1D0C" w:rsidRPr="00927728" w:rsidRDefault="00A140ED">
            <w:pPr>
              <w:tabs>
                <w:tab w:val="left" w:pos="555"/>
              </w:tabs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9,</w:t>
            </w:r>
            <w:r w:rsidR="003D1D0C" w:rsidRPr="001358B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80" w:type="pct"/>
            <w:vAlign w:val="center"/>
          </w:tcPr>
          <w:p w14:paraId="645A24B7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3D1D0C" w:rsidRPr="001358B9" w14:paraId="3FA50B50" w14:textId="77777777" w:rsidTr="000436B6">
        <w:tc>
          <w:tcPr>
            <w:tcW w:w="797" w:type="pct"/>
            <w:vMerge/>
          </w:tcPr>
          <w:p w14:paraId="28C05336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</w:tcPr>
          <w:p w14:paraId="7544F922" w14:textId="77777777" w:rsidR="003D1D0C" w:rsidRPr="00927728" w:rsidRDefault="00FC5A49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</w:rPr>
              <w:t>Časté</w:t>
            </w:r>
          </w:p>
        </w:tc>
        <w:tc>
          <w:tcPr>
            <w:tcW w:w="870" w:type="pct"/>
          </w:tcPr>
          <w:p w14:paraId="7216883B" w14:textId="77777777" w:rsidR="003D1D0C" w:rsidRPr="00927728" w:rsidRDefault="00A140ED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Porucha chuti</w:t>
            </w:r>
          </w:p>
        </w:tc>
        <w:tc>
          <w:tcPr>
            <w:tcW w:w="652" w:type="pct"/>
            <w:vAlign w:val="center"/>
          </w:tcPr>
          <w:p w14:paraId="65753B70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7,</w:t>
            </w:r>
            <w:r w:rsidR="003D1D0C" w:rsidRPr="001358B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52" w:type="pct"/>
            <w:vAlign w:val="center"/>
          </w:tcPr>
          <w:p w14:paraId="5D762934" w14:textId="77777777" w:rsidR="003D1D0C" w:rsidRPr="00927728" w:rsidRDefault="0052173C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 xml:space="preserve">      </w:t>
            </w:r>
            <w:r w:rsidR="00A140ED"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0***</w:t>
            </w:r>
          </w:p>
        </w:tc>
        <w:tc>
          <w:tcPr>
            <w:tcW w:w="652" w:type="pct"/>
            <w:vAlign w:val="center"/>
          </w:tcPr>
          <w:p w14:paraId="191790DA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6,</w:t>
            </w:r>
            <w:r w:rsidR="003D1D0C" w:rsidRPr="001358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" w:type="pct"/>
            <w:vAlign w:val="center"/>
          </w:tcPr>
          <w:p w14:paraId="381CB052" w14:textId="77777777" w:rsidR="003D1D0C" w:rsidRPr="00927728" w:rsidRDefault="0052173C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 xml:space="preserve">   </w:t>
            </w:r>
            <w:r w:rsidR="00A140ED"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0***</w:t>
            </w:r>
          </w:p>
        </w:tc>
      </w:tr>
      <w:tr w:rsidR="003D1D0C" w:rsidRPr="001358B9" w14:paraId="6D63BB02" w14:textId="77777777" w:rsidTr="000436B6">
        <w:tc>
          <w:tcPr>
            <w:tcW w:w="797" w:type="pct"/>
          </w:tcPr>
          <w:p w14:paraId="39AFC784" w14:textId="77777777" w:rsidR="003D1D0C" w:rsidRPr="001358B9" w:rsidRDefault="00FC5A49" w:rsidP="009F07FA">
            <w:pPr>
              <w:tabs>
                <w:tab w:val="left" w:pos="-142"/>
              </w:tabs>
              <w:rPr>
                <w:sz w:val="22"/>
                <w:szCs w:val="22"/>
                <w:lang w:val="sk-SK"/>
              </w:rPr>
            </w:pPr>
            <w:r w:rsidRPr="00927728">
              <w:rPr>
                <w:rFonts w:eastAsiaTheme="minorHAnsi"/>
                <w:sz w:val="22"/>
                <w:szCs w:val="22"/>
                <w:lang w:val="sk-SK" w:eastAsia="en-US"/>
              </w:rPr>
              <w:t>Poruchy oka</w:t>
            </w:r>
          </w:p>
        </w:tc>
        <w:tc>
          <w:tcPr>
            <w:tcW w:w="797" w:type="pct"/>
          </w:tcPr>
          <w:p w14:paraId="2785E96C" w14:textId="77777777" w:rsidR="003D1D0C" w:rsidRPr="00927728" w:rsidRDefault="00FC5A49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</w:rPr>
              <w:t>Časté</w:t>
            </w:r>
          </w:p>
        </w:tc>
        <w:tc>
          <w:tcPr>
            <w:tcW w:w="870" w:type="pct"/>
          </w:tcPr>
          <w:p w14:paraId="57589F3D" w14:textId="77777777" w:rsidR="003D1D0C" w:rsidRPr="00927728" w:rsidRDefault="00A140ED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Konjunktivitída</w:t>
            </w:r>
          </w:p>
        </w:tc>
        <w:tc>
          <w:tcPr>
            <w:tcW w:w="652" w:type="pct"/>
            <w:vAlign w:val="center"/>
          </w:tcPr>
          <w:p w14:paraId="7DE1BA2D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5,</w:t>
            </w:r>
            <w:r w:rsidR="003D1D0C" w:rsidRPr="001358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52" w:type="pct"/>
            <w:vAlign w:val="center"/>
          </w:tcPr>
          <w:p w14:paraId="57B05A70" w14:textId="77777777" w:rsidR="003D1D0C" w:rsidRPr="00927728" w:rsidRDefault="003D1D0C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</w:t>
            </w:r>
            <w:r w:rsidR="00A140ED" w:rsidRPr="001358B9">
              <w:rPr>
                <w:sz w:val="22"/>
                <w:szCs w:val="22"/>
                <w:lang w:eastAsia="en-US"/>
              </w:rPr>
              <w:t>,</w:t>
            </w:r>
            <w:r w:rsidRPr="001358B9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52" w:type="pct"/>
            <w:vAlign w:val="center"/>
          </w:tcPr>
          <w:p w14:paraId="238A71E7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0" w:type="pct"/>
            <w:vAlign w:val="center"/>
          </w:tcPr>
          <w:p w14:paraId="11405E06" w14:textId="77777777" w:rsidR="003D1D0C" w:rsidRPr="00927728" w:rsidRDefault="003D1D0C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</w:t>
            </w:r>
            <w:r w:rsidR="00A140ED" w:rsidRPr="001358B9">
              <w:rPr>
                <w:sz w:val="22"/>
                <w:szCs w:val="22"/>
                <w:lang w:eastAsia="en-US"/>
              </w:rPr>
              <w:t>,</w:t>
            </w:r>
            <w:r w:rsidRPr="001358B9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D1D0C" w:rsidRPr="001358B9" w14:paraId="13FA6AF3" w14:textId="77777777" w:rsidTr="000436B6">
        <w:tc>
          <w:tcPr>
            <w:tcW w:w="797" w:type="pct"/>
            <w:vMerge w:val="restart"/>
          </w:tcPr>
          <w:p w14:paraId="260A29B9" w14:textId="77777777" w:rsidR="00FC5A49" w:rsidRPr="001358B9" w:rsidRDefault="00FC5A49" w:rsidP="009F07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927728">
              <w:rPr>
                <w:rFonts w:eastAsiaTheme="minorHAnsi"/>
                <w:sz w:val="22"/>
                <w:szCs w:val="22"/>
                <w:lang w:val="sk-SK" w:eastAsia="en-US"/>
              </w:rPr>
              <w:t>Poruchy</w:t>
            </w:r>
          </w:p>
          <w:p w14:paraId="6EEF6A8E" w14:textId="77777777" w:rsidR="00FC5A49" w:rsidRPr="00927728" w:rsidRDefault="001541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g</w:t>
            </w:r>
            <w:r w:rsidR="00FC5A49" w:rsidRPr="001358B9">
              <w:rPr>
                <w:rFonts w:eastAsiaTheme="minorHAnsi"/>
                <w:sz w:val="22"/>
                <w:szCs w:val="22"/>
                <w:lang w:eastAsia="en-US"/>
              </w:rPr>
              <w:t>astro</w:t>
            </w: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FC5A49" w:rsidRPr="001358B9">
              <w:rPr>
                <w:rFonts w:eastAsiaTheme="minorHAnsi"/>
                <w:sz w:val="22"/>
                <w:szCs w:val="22"/>
                <w:lang w:eastAsia="en-US"/>
              </w:rPr>
              <w:t>intestinálneho</w:t>
            </w:r>
          </w:p>
          <w:p w14:paraId="71D7CD4F" w14:textId="77777777" w:rsidR="003D1D0C" w:rsidRPr="00927728" w:rsidRDefault="00FC5A4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traktu</w:t>
            </w:r>
          </w:p>
        </w:tc>
        <w:tc>
          <w:tcPr>
            <w:tcW w:w="797" w:type="pct"/>
            <w:vMerge w:val="restart"/>
          </w:tcPr>
          <w:p w14:paraId="7EEC361F" w14:textId="77777777" w:rsidR="003D1D0C" w:rsidRPr="00927728" w:rsidRDefault="00FC5A49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</w:rPr>
              <w:t>Veľmi časté</w:t>
            </w:r>
          </w:p>
        </w:tc>
        <w:tc>
          <w:tcPr>
            <w:tcW w:w="870" w:type="pct"/>
          </w:tcPr>
          <w:p w14:paraId="46E54F27" w14:textId="77777777" w:rsidR="003D1D0C" w:rsidRPr="00927728" w:rsidRDefault="00A140ED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</w:rPr>
              <w:t>Hnačka</w:t>
            </w:r>
          </w:p>
        </w:tc>
        <w:tc>
          <w:tcPr>
            <w:tcW w:w="652" w:type="pct"/>
            <w:vAlign w:val="center"/>
          </w:tcPr>
          <w:p w14:paraId="661A69CD" w14:textId="77777777" w:rsidR="003D1D0C" w:rsidRPr="00927728" w:rsidRDefault="003D1D0C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16</w:t>
            </w:r>
            <w:r w:rsidR="00A140ED" w:rsidRPr="001358B9">
              <w:rPr>
                <w:sz w:val="22"/>
                <w:szCs w:val="22"/>
                <w:lang w:eastAsia="en-US"/>
              </w:rPr>
              <w:t>,</w:t>
            </w:r>
            <w:r w:rsidRPr="001358B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52" w:type="pct"/>
            <w:vAlign w:val="center"/>
          </w:tcPr>
          <w:p w14:paraId="1E59C720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3,</w:t>
            </w:r>
            <w:r w:rsidR="003D1D0C" w:rsidRPr="001358B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2" w:type="pct"/>
            <w:vAlign w:val="center"/>
          </w:tcPr>
          <w:p w14:paraId="7538CE72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8,</w:t>
            </w:r>
            <w:r w:rsidR="003D1D0C" w:rsidRPr="001358B9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80" w:type="pct"/>
            <w:vAlign w:val="center"/>
          </w:tcPr>
          <w:p w14:paraId="1F54D19E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D1D0C" w:rsidRPr="001358B9" w14:paraId="53235822" w14:textId="77777777" w:rsidTr="000436B6">
        <w:tc>
          <w:tcPr>
            <w:tcW w:w="797" w:type="pct"/>
            <w:vMerge/>
          </w:tcPr>
          <w:p w14:paraId="08E5A9DF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</w:tcPr>
          <w:p w14:paraId="6DB28F53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70" w:type="pct"/>
          </w:tcPr>
          <w:p w14:paraId="76314FA5" w14:textId="77777777" w:rsidR="003D1D0C" w:rsidRPr="00927728" w:rsidRDefault="00A140ED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Vracanie</w:t>
            </w:r>
          </w:p>
        </w:tc>
        <w:tc>
          <w:tcPr>
            <w:tcW w:w="652" w:type="pct"/>
            <w:vAlign w:val="center"/>
          </w:tcPr>
          <w:p w14:paraId="5CC96DBE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56,</w:t>
            </w:r>
            <w:r w:rsidR="003D1D0C" w:rsidRPr="001358B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52" w:type="pct"/>
            <w:vAlign w:val="center"/>
          </w:tcPr>
          <w:p w14:paraId="3683F528" w14:textId="77777777" w:rsidR="003D1D0C" w:rsidRPr="00927728" w:rsidRDefault="003D1D0C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10</w:t>
            </w:r>
            <w:r w:rsidR="00A140ED" w:rsidRPr="001358B9">
              <w:rPr>
                <w:sz w:val="22"/>
                <w:szCs w:val="22"/>
                <w:lang w:eastAsia="en-US"/>
              </w:rPr>
              <w:t>,</w:t>
            </w:r>
            <w:r w:rsidRPr="001358B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52" w:type="pct"/>
            <w:vAlign w:val="center"/>
          </w:tcPr>
          <w:p w14:paraId="7F60BEEB" w14:textId="77777777" w:rsidR="003D1D0C" w:rsidRPr="00927728" w:rsidRDefault="003D1D0C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49</w:t>
            </w:r>
            <w:r w:rsidR="00A140ED" w:rsidRPr="001358B9">
              <w:rPr>
                <w:sz w:val="22"/>
                <w:szCs w:val="22"/>
                <w:lang w:eastAsia="en-US"/>
              </w:rPr>
              <w:t>,</w:t>
            </w:r>
            <w:r w:rsidRPr="001358B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80" w:type="pct"/>
            <w:vAlign w:val="center"/>
          </w:tcPr>
          <w:p w14:paraId="3D8930D6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4,</w:t>
            </w:r>
            <w:r w:rsidR="003D1D0C" w:rsidRPr="001358B9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3D1D0C" w:rsidRPr="001358B9" w14:paraId="260B9DEF" w14:textId="77777777" w:rsidTr="000436B6">
        <w:tc>
          <w:tcPr>
            <w:tcW w:w="797" w:type="pct"/>
            <w:vMerge/>
          </w:tcPr>
          <w:p w14:paraId="0DF8FAC1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</w:tcPr>
          <w:p w14:paraId="23B86EE5" w14:textId="77777777" w:rsidR="003D1D0C" w:rsidRPr="001358B9" w:rsidRDefault="003D1D0C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870" w:type="pct"/>
          </w:tcPr>
          <w:p w14:paraId="7583042E" w14:textId="77777777" w:rsidR="003D1D0C" w:rsidRPr="00927728" w:rsidRDefault="003D1D0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Stomatit</w:t>
            </w:r>
            <w:r w:rsidR="00A140ED" w:rsidRPr="001358B9">
              <w:rPr>
                <w:sz w:val="22"/>
                <w:szCs w:val="22"/>
                <w:lang w:eastAsia="en-US"/>
              </w:rPr>
              <w:t>ída</w:t>
            </w:r>
            <w:r w:rsidRPr="001358B9">
              <w:rPr>
                <w:sz w:val="22"/>
                <w:szCs w:val="22"/>
                <w:lang w:eastAsia="en-US"/>
              </w:rPr>
              <w:t>/</w:t>
            </w:r>
          </w:p>
          <w:p w14:paraId="3E44535E" w14:textId="77777777" w:rsidR="003D1D0C" w:rsidRPr="00927728" w:rsidRDefault="00A140ED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F</w:t>
            </w:r>
            <w:r w:rsidR="003D1D0C" w:rsidRPr="001358B9">
              <w:rPr>
                <w:sz w:val="22"/>
                <w:szCs w:val="22"/>
                <w:lang w:eastAsia="en-US"/>
              </w:rPr>
              <w:t>aryngit</w:t>
            </w:r>
            <w:r w:rsidRPr="001358B9">
              <w:rPr>
                <w:sz w:val="22"/>
                <w:szCs w:val="22"/>
                <w:lang w:eastAsia="en-US"/>
              </w:rPr>
              <w:t>ída</w:t>
            </w:r>
          </w:p>
        </w:tc>
        <w:tc>
          <w:tcPr>
            <w:tcW w:w="652" w:type="pct"/>
            <w:vAlign w:val="center"/>
          </w:tcPr>
          <w:p w14:paraId="5E3F2453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23,</w:t>
            </w:r>
            <w:r w:rsidR="003D1D0C" w:rsidRPr="001358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2" w:type="pct"/>
            <w:vAlign w:val="center"/>
          </w:tcPr>
          <w:p w14:paraId="37616290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3,</w:t>
            </w:r>
            <w:r w:rsidR="003D1D0C" w:rsidRPr="001358B9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52" w:type="pct"/>
            <w:vAlign w:val="center"/>
          </w:tcPr>
          <w:p w14:paraId="2E0F030F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6,</w:t>
            </w:r>
            <w:r w:rsidR="003D1D0C" w:rsidRPr="001358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" w:type="pct"/>
            <w:vAlign w:val="center"/>
          </w:tcPr>
          <w:p w14:paraId="10F51AA3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D1D0C" w:rsidRPr="001358B9" w14:paraId="55C83F90" w14:textId="77777777" w:rsidTr="000436B6">
        <w:tc>
          <w:tcPr>
            <w:tcW w:w="797" w:type="pct"/>
            <w:vMerge/>
          </w:tcPr>
          <w:p w14:paraId="26B68E93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</w:tcPr>
          <w:p w14:paraId="44887272" w14:textId="77777777" w:rsidR="003D1D0C" w:rsidRPr="001358B9" w:rsidRDefault="003D1D0C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870" w:type="pct"/>
          </w:tcPr>
          <w:p w14:paraId="419B5F79" w14:textId="77777777" w:rsidR="003D1D0C" w:rsidRPr="00927728" w:rsidRDefault="003D1D0C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Nau</w:t>
            </w:r>
            <w:r w:rsidR="00A140ED" w:rsidRPr="001358B9">
              <w:rPr>
                <w:sz w:val="22"/>
                <w:szCs w:val="22"/>
                <w:lang w:eastAsia="en-US"/>
              </w:rPr>
              <w:t>z</w:t>
            </w:r>
            <w:r w:rsidRPr="001358B9">
              <w:rPr>
                <w:sz w:val="22"/>
                <w:szCs w:val="22"/>
                <w:lang w:eastAsia="en-US"/>
              </w:rPr>
              <w:t>ea</w:t>
            </w:r>
          </w:p>
        </w:tc>
        <w:tc>
          <w:tcPr>
            <w:tcW w:w="652" w:type="pct"/>
            <w:vAlign w:val="center"/>
          </w:tcPr>
          <w:p w14:paraId="00AA798E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82,</w:t>
            </w:r>
            <w:r w:rsidR="003D1D0C" w:rsidRPr="001358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2" w:type="pct"/>
            <w:vAlign w:val="center"/>
          </w:tcPr>
          <w:p w14:paraId="2705F2D6" w14:textId="77777777" w:rsidR="003D1D0C" w:rsidRPr="00927728" w:rsidRDefault="003D1D0C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11</w:t>
            </w:r>
            <w:r w:rsidR="00A140ED" w:rsidRPr="001358B9">
              <w:rPr>
                <w:sz w:val="22"/>
                <w:szCs w:val="22"/>
                <w:lang w:eastAsia="en-US"/>
              </w:rPr>
              <w:t>,</w:t>
            </w:r>
            <w:r w:rsidRPr="001358B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52" w:type="pct"/>
            <w:vAlign w:val="center"/>
          </w:tcPr>
          <w:p w14:paraId="2A41C2B4" w14:textId="77777777" w:rsidR="003D1D0C" w:rsidRPr="00927728" w:rsidRDefault="003D1D0C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76</w:t>
            </w:r>
            <w:r w:rsidR="00A140ED" w:rsidRPr="001358B9">
              <w:rPr>
                <w:sz w:val="22"/>
                <w:szCs w:val="22"/>
                <w:lang w:eastAsia="en-US"/>
              </w:rPr>
              <w:t>,</w:t>
            </w:r>
            <w:r w:rsidRPr="001358B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80" w:type="pct"/>
            <w:vAlign w:val="center"/>
          </w:tcPr>
          <w:p w14:paraId="37D732E5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5,</w:t>
            </w:r>
            <w:r w:rsidR="003D1D0C" w:rsidRPr="001358B9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3D1D0C" w:rsidRPr="001358B9" w14:paraId="48CC54A3" w14:textId="77777777" w:rsidTr="000436B6">
        <w:tc>
          <w:tcPr>
            <w:tcW w:w="797" w:type="pct"/>
            <w:vMerge/>
          </w:tcPr>
          <w:p w14:paraId="7E3B5AAA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</w:tcPr>
          <w:p w14:paraId="4612266A" w14:textId="77777777" w:rsidR="003D1D0C" w:rsidRPr="001358B9" w:rsidRDefault="003D1D0C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870" w:type="pct"/>
          </w:tcPr>
          <w:p w14:paraId="415897AF" w14:textId="77777777" w:rsidR="003D1D0C" w:rsidRPr="00927728" w:rsidRDefault="003D1D0C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Anorexia</w:t>
            </w:r>
          </w:p>
        </w:tc>
        <w:tc>
          <w:tcPr>
            <w:tcW w:w="652" w:type="pct"/>
            <w:vAlign w:val="center"/>
          </w:tcPr>
          <w:p w14:paraId="7EBFF2FB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20,</w:t>
            </w:r>
            <w:r w:rsidR="003D1D0C" w:rsidRPr="001358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2" w:type="pct"/>
            <w:vAlign w:val="center"/>
          </w:tcPr>
          <w:p w14:paraId="24D9824B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1,</w:t>
            </w:r>
            <w:r w:rsidR="003D1D0C" w:rsidRPr="001358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2" w:type="pct"/>
            <w:vAlign w:val="center"/>
          </w:tcPr>
          <w:p w14:paraId="47683B81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14,</w:t>
            </w:r>
            <w:r w:rsidR="003D1D0C" w:rsidRPr="001358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" w:type="pct"/>
            <w:vAlign w:val="center"/>
          </w:tcPr>
          <w:p w14:paraId="04BFAFEA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3D1D0C" w:rsidRPr="001358B9" w14:paraId="70B04D17" w14:textId="77777777" w:rsidTr="000436B6">
        <w:tc>
          <w:tcPr>
            <w:tcW w:w="797" w:type="pct"/>
            <w:vMerge/>
          </w:tcPr>
          <w:p w14:paraId="61D7C6A2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</w:tcPr>
          <w:p w14:paraId="2DEC1164" w14:textId="77777777" w:rsidR="003D1D0C" w:rsidRPr="001358B9" w:rsidRDefault="003D1D0C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870" w:type="pct"/>
          </w:tcPr>
          <w:p w14:paraId="5463E951" w14:textId="77777777" w:rsidR="003D1D0C" w:rsidRPr="00927728" w:rsidRDefault="00A140ED">
            <w:pPr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Zápcha</w:t>
            </w:r>
          </w:p>
        </w:tc>
        <w:tc>
          <w:tcPr>
            <w:tcW w:w="652" w:type="pct"/>
            <w:vAlign w:val="center"/>
          </w:tcPr>
          <w:p w14:paraId="17FAA6EA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11,</w:t>
            </w:r>
            <w:r w:rsidR="003D1D0C" w:rsidRPr="001358B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52" w:type="pct"/>
            <w:vAlign w:val="center"/>
          </w:tcPr>
          <w:p w14:paraId="05E2145C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2" w:type="pct"/>
            <w:vAlign w:val="center"/>
          </w:tcPr>
          <w:p w14:paraId="4D33CD7C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7,</w:t>
            </w:r>
            <w:r w:rsidR="003D1D0C" w:rsidRPr="001358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0" w:type="pct"/>
            <w:vAlign w:val="center"/>
          </w:tcPr>
          <w:p w14:paraId="575EF380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3D1D0C" w:rsidRPr="001358B9" w14:paraId="607BD2F1" w14:textId="77777777" w:rsidTr="000436B6">
        <w:tc>
          <w:tcPr>
            <w:tcW w:w="797" w:type="pct"/>
            <w:vMerge/>
          </w:tcPr>
          <w:p w14:paraId="368A5228" w14:textId="77777777" w:rsidR="003D1D0C" w:rsidRPr="001358B9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</w:tcPr>
          <w:p w14:paraId="737EAA76" w14:textId="77777777" w:rsidR="003D1D0C" w:rsidRPr="00927728" w:rsidRDefault="00FC5A49">
            <w:pPr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870" w:type="pct"/>
          </w:tcPr>
          <w:p w14:paraId="5D5E5A37" w14:textId="77777777" w:rsidR="003D1D0C" w:rsidRPr="00927728" w:rsidRDefault="003D1D0C">
            <w:pPr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Dyspepsia</w:t>
            </w:r>
          </w:p>
        </w:tc>
        <w:tc>
          <w:tcPr>
            <w:tcW w:w="652" w:type="pct"/>
            <w:vAlign w:val="center"/>
          </w:tcPr>
          <w:p w14:paraId="07B7D8CF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5,</w:t>
            </w:r>
            <w:r w:rsidR="003D1D0C" w:rsidRPr="001358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52" w:type="pct"/>
            <w:vAlign w:val="center"/>
          </w:tcPr>
          <w:p w14:paraId="33053519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2" w:type="pct"/>
            <w:vAlign w:val="center"/>
          </w:tcPr>
          <w:p w14:paraId="69D2C6E3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0" w:type="pct"/>
            <w:vAlign w:val="center"/>
          </w:tcPr>
          <w:p w14:paraId="5624E541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D1D0C" w:rsidRPr="001358B9" w14:paraId="5CE4FA03" w14:textId="77777777" w:rsidTr="000436B6">
        <w:tc>
          <w:tcPr>
            <w:tcW w:w="797" w:type="pct"/>
            <w:vMerge w:val="restart"/>
          </w:tcPr>
          <w:p w14:paraId="095849B6" w14:textId="77777777" w:rsidR="00FC5A49" w:rsidRPr="001358B9" w:rsidRDefault="00FC5A49" w:rsidP="009F07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927728">
              <w:rPr>
                <w:rFonts w:eastAsiaTheme="minorHAnsi"/>
                <w:sz w:val="22"/>
                <w:szCs w:val="22"/>
                <w:lang w:val="sk-SK" w:eastAsia="en-US"/>
              </w:rPr>
              <w:t>Poruchy kože a</w:t>
            </w:r>
          </w:p>
          <w:p w14:paraId="1B107CA6" w14:textId="77777777" w:rsidR="00FC5A49" w:rsidRPr="00927728" w:rsidRDefault="00FC5A4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podkožného</w:t>
            </w:r>
          </w:p>
          <w:p w14:paraId="628AA240" w14:textId="77777777" w:rsidR="003D1D0C" w:rsidRPr="00927728" w:rsidRDefault="00FC5A49">
            <w:pPr>
              <w:rPr>
                <w:sz w:val="22"/>
                <w:szCs w:val="22"/>
                <w:lang w:val="sk-SK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tkaniva</w:t>
            </w:r>
          </w:p>
        </w:tc>
        <w:tc>
          <w:tcPr>
            <w:tcW w:w="797" w:type="pct"/>
            <w:vMerge w:val="restart"/>
          </w:tcPr>
          <w:p w14:paraId="7B7F690F" w14:textId="77777777" w:rsidR="003D1D0C" w:rsidRPr="00927728" w:rsidRDefault="00FC5A49">
            <w:pPr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Veľmi časté</w:t>
            </w:r>
          </w:p>
        </w:tc>
        <w:tc>
          <w:tcPr>
            <w:tcW w:w="870" w:type="pct"/>
          </w:tcPr>
          <w:p w14:paraId="61EE4F4C" w14:textId="77777777" w:rsidR="003D1D0C" w:rsidRPr="00927728" w:rsidRDefault="00A140ED">
            <w:pPr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Vyrážka</w:t>
            </w:r>
          </w:p>
        </w:tc>
        <w:tc>
          <w:tcPr>
            <w:tcW w:w="652" w:type="pct"/>
            <w:vAlign w:val="center"/>
          </w:tcPr>
          <w:p w14:paraId="0E64F15A" w14:textId="77777777" w:rsidR="003D1D0C" w:rsidRPr="00927728" w:rsidRDefault="003D1D0C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16</w:t>
            </w:r>
            <w:r w:rsidR="00A140ED" w:rsidRPr="001358B9">
              <w:rPr>
                <w:sz w:val="22"/>
                <w:szCs w:val="22"/>
                <w:lang w:eastAsia="en-US"/>
              </w:rPr>
              <w:t>,</w:t>
            </w:r>
            <w:r w:rsidRPr="001358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2" w:type="pct"/>
            <w:vAlign w:val="center"/>
          </w:tcPr>
          <w:p w14:paraId="518BBBE6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2" w:type="pct"/>
            <w:vAlign w:val="center"/>
          </w:tcPr>
          <w:p w14:paraId="78B434DA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4,</w:t>
            </w:r>
            <w:r w:rsidR="003D1D0C" w:rsidRPr="001358B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80" w:type="pct"/>
            <w:vAlign w:val="center"/>
          </w:tcPr>
          <w:p w14:paraId="345C8848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D1D0C" w:rsidRPr="001358B9" w14:paraId="093CD1F5" w14:textId="77777777" w:rsidTr="000436B6">
        <w:tc>
          <w:tcPr>
            <w:tcW w:w="797" w:type="pct"/>
            <w:vMerge/>
          </w:tcPr>
          <w:p w14:paraId="57582658" w14:textId="77777777" w:rsidR="003D1D0C" w:rsidRPr="001358B9" w:rsidRDefault="003D1D0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797" w:type="pct"/>
            <w:vMerge/>
          </w:tcPr>
          <w:p w14:paraId="6BC3F554" w14:textId="77777777" w:rsidR="003D1D0C" w:rsidRPr="001358B9" w:rsidRDefault="003D1D0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870" w:type="pct"/>
          </w:tcPr>
          <w:p w14:paraId="57A77EEA" w14:textId="77777777" w:rsidR="003D1D0C" w:rsidRPr="00927728" w:rsidRDefault="00A140ED">
            <w:pPr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Alopé</w:t>
            </w:r>
            <w:r w:rsidR="003D1D0C" w:rsidRPr="001358B9">
              <w:rPr>
                <w:sz w:val="22"/>
                <w:szCs w:val="22"/>
                <w:lang w:eastAsia="en-US"/>
              </w:rPr>
              <w:t>cia</w:t>
            </w:r>
          </w:p>
          <w:p w14:paraId="4FBCCA52" w14:textId="77777777" w:rsidR="003D1D0C" w:rsidRPr="001358B9" w:rsidRDefault="003D1D0C">
            <w:pPr>
              <w:rPr>
                <w:sz w:val="22"/>
                <w:szCs w:val="22"/>
                <w:lang w:val="sk-SK" w:eastAsia="en-US"/>
              </w:rPr>
            </w:pPr>
          </w:p>
          <w:p w14:paraId="18AA9A89" w14:textId="77777777" w:rsidR="003D1D0C" w:rsidRPr="001358B9" w:rsidRDefault="003D1D0C">
            <w:pPr>
              <w:ind w:firstLine="425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652" w:type="pct"/>
            <w:vAlign w:val="center"/>
          </w:tcPr>
          <w:p w14:paraId="63F73F14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11,</w:t>
            </w:r>
            <w:r w:rsidR="003D1D0C" w:rsidRPr="001358B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52" w:type="pct"/>
            <w:vAlign w:val="center"/>
          </w:tcPr>
          <w:p w14:paraId="1F3BBCC8" w14:textId="77777777" w:rsidR="003D1D0C" w:rsidRPr="00927728" w:rsidRDefault="0052173C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 xml:space="preserve">      </w:t>
            </w:r>
            <w:r w:rsidR="00A140ED"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0***</w:t>
            </w:r>
          </w:p>
        </w:tc>
        <w:tc>
          <w:tcPr>
            <w:tcW w:w="652" w:type="pct"/>
            <w:vAlign w:val="center"/>
          </w:tcPr>
          <w:p w14:paraId="51C60851" w14:textId="77777777" w:rsidR="003D1D0C" w:rsidRPr="00927728" w:rsidRDefault="00A140ED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>5,</w:t>
            </w:r>
            <w:r w:rsidR="003D1D0C" w:rsidRPr="001358B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0" w:type="pct"/>
            <w:vAlign w:val="center"/>
          </w:tcPr>
          <w:p w14:paraId="3539E617" w14:textId="77777777" w:rsidR="003D1D0C" w:rsidRPr="00927728" w:rsidRDefault="0052173C">
            <w:pPr>
              <w:jc w:val="center"/>
              <w:rPr>
                <w:sz w:val="22"/>
                <w:szCs w:val="22"/>
                <w:lang w:val="sk-SK"/>
              </w:rPr>
            </w:pPr>
            <w:r w:rsidRPr="001358B9">
              <w:rPr>
                <w:sz w:val="22"/>
                <w:szCs w:val="22"/>
                <w:lang w:eastAsia="en-US"/>
              </w:rPr>
              <w:t xml:space="preserve">    </w:t>
            </w:r>
            <w:r w:rsidR="00A140ED"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0***</w:t>
            </w:r>
          </w:p>
        </w:tc>
      </w:tr>
      <w:tr w:rsidR="003D1D0C" w:rsidRPr="001358B9" w14:paraId="5FC16779" w14:textId="77777777" w:rsidTr="000436B6">
        <w:tc>
          <w:tcPr>
            <w:tcW w:w="797" w:type="pct"/>
            <w:vMerge w:val="restart"/>
          </w:tcPr>
          <w:p w14:paraId="7D4F500F" w14:textId="77777777" w:rsidR="00FC5A49" w:rsidRPr="001358B9" w:rsidRDefault="00FC5A49" w:rsidP="009F07F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927728">
              <w:rPr>
                <w:sz w:val="22"/>
                <w:szCs w:val="22"/>
                <w:lang w:val="sk-SK" w:eastAsia="en-US"/>
              </w:rPr>
              <w:t>Poruchy</w:t>
            </w:r>
          </w:p>
          <w:p w14:paraId="66BF4828" w14:textId="77777777" w:rsidR="00FC5A49" w:rsidRPr="00927728" w:rsidRDefault="00FC5A4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obličiek a</w:t>
            </w:r>
          </w:p>
          <w:p w14:paraId="53401859" w14:textId="77777777" w:rsidR="003D1D0C" w:rsidRPr="00927728" w:rsidRDefault="00FC5A4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močových ciest</w:t>
            </w:r>
          </w:p>
        </w:tc>
        <w:tc>
          <w:tcPr>
            <w:tcW w:w="797" w:type="pct"/>
            <w:vMerge w:val="restart"/>
          </w:tcPr>
          <w:p w14:paraId="5CF2E4CC" w14:textId="77777777" w:rsidR="003D1D0C" w:rsidRPr="00927728" w:rsidRDefault="00FC5A4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Veľmi časté</w:t>
            </w:r>
          </w:p>
        </w:tc>
        <w:tc>
          <w:tcPr>
            <w:tcW w:w="870" w:type="pct"/>
          </w:tcPr>
          <w:p w14:paraId="6D405779" w14:textId="77777777" w:rsidR="00A140ED" w:rsidRPr="00927728" w:rsidRDefault="00A140ED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Vzostup</w:t>
            </w:r>
          </w:p>
          <w:p w14:paraId="5868B657" w14:textId="77777777" w:rsidR="003D1D0C" w:rsidRPr="00927728" w:rsidRDefault="00A140ED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k</w:t>
            </w:r>
            <w:r w:rsidR="003D1D0C" w:rsidRPr="001358B9">
              <w:rPr>
                <w:sz w:val="22"/>
                <w:szCs w:val="22"/>
                <w:lang w:eastAsia="en-US"/>
              </w:rPr>
              <w:t>reatin</w:t>
            </w:r>
            <w:r w:rsidRPr="001358B9">
              <w:rPr>
                <w:sz w:val="22"/>
                <w:szCs w:val="22"/>
                <w:lang w:eastAsia="en-US"/>
              </w:rPr>
              <w:t>í</w:t>
            </w:r>
            <w:r w:rsidR="003D1D0C" w:rsidRPr="001358B9">
              <w:rPr>
                <w:sz w:val="22"/>
                <w:szCs w:val="22"/>
                <w:lang w:eastAsia="en-US"/>
              </w:rPr>
              <w:t>n</w:t>
            </w:r>
            <w:r w:rsidRPr="001358B9">
              <w:rPr>
                <w:sz w:val="22"/>
                <w:szCs w:val="22"/>
                <w:lang w:eastAsia="en-US"/>
              </w:rPr>
              <w:t>u</w:t>
            </w:r>
          </w:p>
        </w:tc>
        <w:tc>
          <w:tcPr>
            <w:tcW w:w="652" w:type="pct"/>
            <w:vAlign w:val="center"/>
          </w:tcPr>
          <w:p w14:paraId="44280B56" w14:textId="77777777" w:rsidR="003D1D0C" w:rsidRPr="00927728" w:rsidRDefault="00A140ED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10,</w:t>
            </w:r>
            <w:r w:rsidR="003D1D0C" w:rsidRPr="001358B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52" w:type="pct"/>
            <w:vAlign w:val="center"/>
          </w:tcPr>
          <w:p w14:paraId="4F47B304" w14:textId="77777777" w:rsidR="003D1D0C" w:rsidRPr="00927728" w:rsidRDefault="003D1D0C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0</w:t>
            </w:r>
            <w:r w:rsidR="00A140ED" w:rsidRPr="001358B9">
              <w:rPr>
                <w:sz w:val="22"/>
                <w:szCs w:val="22"/>
                <w:lang w:eastAsia="en-US"/>
              </w:rPr>
              <w:t>,</w:t>
            </w:r>
            <w:r w:rsidRPr="001358B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2" w:type="pct"/>
            <w:vAlign w:val="center"/>
          </w:tcPr>
          <w:p w14:paraId="0CAB72F4" w14:textId="77777777" w:rsidR="003D1D0C" w:rsidRPr="00927728" w:rsidRDefault="00A140ED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9,</w:t>
            </w:r>
            <w:r w:rsidR="003D1D0C" w:rsidRPr="001358B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80" w:type="pct"/>
            <w:vAlign w:val="center"/>
          </w:tcPr>
          <w:p w14:paraId="2865AD98" w14:textId="77777777" w:rsidR="003D1D0C" w:rsidRPr="00927728" w:rsidRDefault="003D1D0C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1</w:t>
            </w:r>
            <w:r w:rsidR="00A140ED" w:rsidRPr="001358B9">
              <w:rPr>
                <w:sz w:val="22"/>
                <w:szCs w:val="22"/>
                <w:lang w:eastAsia="en-US"/>
              </w:rPr>
              <w:t>,</w:t>
            </w:r>
            <w:r w:rsidRPr="001358B9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3D1D0C" w:rsidRPr="001358B9" w14:paraId="3DF3E7AC" w14:textId="77777777" w:rsidTr="000436B6">
        <w:tc>
          <w:tcPr>
            <w:tcW w:w="797" w:type="pct"/>
            <w:vMerge/>
          </w:tcPr>
          <w:p w14:paraId="19AB8332" w14:textId="77777777" w:rsidR="003D1D0C" w:rsidRPr="001358B9" w:rsidRDefault="003D1D0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797" w:type="pct"/>
            <w:vMerge/>
          </w:tcPr>
          <w:p w14:paraId="63D4E0C4" w14:textId="77777777" w:rsidR="003D1D0C" w:rsidRPr="001358B9" w:rsidRDefault="003D1D0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870" w:type="pct"/>
          </w:tcPr>
          <w:p w14:paraId="78BFA39B" w14:textId="77777777" w:rsidR="00A140ED" w:rsidRPr="00927728" w:rsidRDefault="00A140E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Znížený klírens</w:t>
            </w:r>
          </w:p>
          <w:p w14:paraId="6AF45A6E" w14:textId="77777777" w:rsidR="003D1D0C" w:rsidRPr="00927728" w:rsidRDefault="00A140ED">
            <w:pPr>
              <w:rPr>
                <w:sz w:val="22"/>
                <w:szCs w:val="22"/>
                <w:lang w:val="sk-SK" w:eastAsia="en-US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kreatinínu</w:t>
            </w:r>
            <w:r w:rsidRPr="001358B9">
              <w:rPr>
                <w:sz w:val="22"/>
                <w:szCs w:val="22"/>
                <w:lang w:eastAsia="en-US"/>
              </w:rPr>
              <w:t xml:space="preserve"> </w:t>
            </w:r>
            <w:r w:rsidR="003D1D0C" w:rsidRPr="001358B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52" w:type="pct"/>
            <w:vAlign w:val="center"/>
          </w:tcPr>
          <w:p w14:paraId="3B3E282B" w14:textId="77777777" w:rsidR="003D1D0C" w:rsidRPr="00927728" w:rsidRDefault="00A140ED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16,</w:t>
            </w:r>
            <w:r w:rsidR="003D1D0C" w:rsidRPr="001358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2" w:type="pct"/>
            <w:vAlign w:val="center"/>
          </w:tcPr>
          <w:p w14:paraId="5A97DD59" w14:textId="77777777" w:rsidR="003D1D0C" w:rsidRPr="00927728" w:rsidRDefault="00A140ED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0,</w:t>
            </w:r>
            <w:r w:rsidR="003D1D0C" w:rsidRPr="001358B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2" w:type="pct"/>
            <w:vAlign w:val="center"/>
          </w:tcPr>
          <w:p w14:paraId="0F139679" w14:textId="77777777" w:rsidR="003D1D0C" w:rsidRPr="00927728" w:rsidRDefault="003D1D0C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17</w:t>
            </w:r>
            <w:r w:rsidR="00A140ED" w:rsidRPr="001358B9">
              <w:rPr>
                <w:sz w:val="22"/>
                <w:szCs w:val="22"/>
                <w:lang w:eastAsia="en-US"/>
              </w:rPr>
              <w:t>,</w:t>
            </w:r>
            <w:r w:rsidRPr="001358B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80" w:type="pct"/>
            <w:vAlign w:val="center"/>
          </w:tcPr>
          <w:p w14:paraId="7D804C16" w14:textId="77777777" w:rsidR="003D1D0C" w:rsidRPr="00927728" w:rsidRDefault="00A140ED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1,</w:t>
            </w:r>
            <w:r w:rsidR="003D1D0C" w:rsidRPr="001358B9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3D1D0C" w:rsidRPr="001358B9" w14:paraId="43721711" w14:textId="77777777" w:rsidTr="000436B6">
        <w:tc>
          <w:tcPr>
            <w:tcW w:w="797" w:type="pct"/>
          </w:tcPr>
          <w:p w14:paraId="510B78BE" w14:textId="77777777" w:rsidR="00FC5A49" w:rsidRPr="001358B9" w:rsidRDefault="00FC5A49" w:rsidP="009F07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927728">
              <w:rPr>
                <w:rFonts w:eastAsiaTheme="minorHAnsi"/>
                <w:sz w:val="22"/>
                <w:szCs w:val="22"/>
                <w:lang w:val="sk-SK" w:eastAsia="en-US"/>
              </w:rPr>
              <w:t>Celkové</w:t>
            </w:r>
          </w:p>
          <w:p w14:paraId="4023E0E6" w14:textId="77777777" w:rsidR="00FC5A49" w:rsidRPr="00927728" w:rsidRDefault="00FC5A4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poruchy</w:t>
            </w:r>
          </w:p>
          <w:p w14:paraId="3B77A328" w14:textId="77777777" w:rsidR="00FC5A49" w:rsidRPr="00927728" w:rsidRDefault="00FC5A4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a reakcie</w:t>
            </w:r>
          </w:p>
          <w:p w14:paraId="77BB19EF" w14:textId="77777777" w:rsidR="00FC5A49" w:rsidRPr="00927728" w:rsidRDefault="00FC5A4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v mieste</w:t>
            </w:r>
          </w:p>
          <w:p w14:paraId="5FDECEF2" w14:textId="77777777" w:rsidR="003D1D0C" w:rsidRPr="00927728" w:rsidRDefault="00FC5A4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rFonts w:eastAsiaTheme="minorHAnsi"/>
                <w:sz w:val="22"/>
                <w:szCs w:val="22"/>
                <w:lang w:eastAsia="en-US"/>
              </w:rPr>
              <w:t>podania</w:t>
            </w:r>
          </w:p>
        </w:tc>
        <w:tc>
          <w:tcPr>
            <w:tcW w:w="797" w:type="pct"/>
          </w:tcPr>
          <w:p w14:paraId="01B61420" w14:textId="77777777" w:rsidR="003D1D0C" w:rsidRPr="00927728" w:rsidRDefault="00FC5A4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Veľmi časté</w:t>
            </w:r>
          </w:p>
        </w:tc>
        <w:tc>
          <w:tcPr>
            <w:tcW w:w="870" w:type="pct"/>
          </w:tcPr>
          <w:p w14:paraId="412ECCEB" w14:textId="77777777" w:rsidR="003D1D0C" w:rsidRPr="00927728" w:rsidRDefault="00A140ED">
            <w:pPr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Únava</w:t>
            </w:r>
          </w:p>
        </w:tc>
        <w:tc>
          <w:tcPr>
            <w:tcW w:w="652" w:type="pct"/>
            <w:vAlign w:val="center"/>
          </w:tcPr>
          <w:p w14:paraId="3B781D2E" w14:textId="77777777" w:rsidR="003D1D0C" w:rsidRPr="00927728" w:rsidRDefault="00A140ED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47,</w:t>
            </w:r>
            <w:r w:rsidR="003D1D0C" w:rsidRPr="001358B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2" w:type="pct"/>
            <w:vAlign w:val="center"/>
          </w:tcPr>
          <w:p w14:paraId="0A0434F9" w14:textId="77777777" w:rsidR="003D1D0C" w:rsidRPr="00927728" w:rsidRDefault="003D1D0C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10</w:t>
            </w:r>
            <w:r w:rsidR="00A140ED" w:rsidRPr="001358B9">
              <w:rPr>
                <w:sz w:val="22"/>
                <w:szCs w:val="22"/>
                <w:lang w:eastAsia="en-US"/>
              </w:rPr>
              <w:t>,</w:t>
            </w:r>
            <w:r w:rsidRPr="001358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2" w:type="pct"/>
            <w:vAlign w:val="center"/>
          </w:tcPr>
          <w:p w14:paraId="5E70DDF7" w14:textId="77777777" w:rsidR="003D1D0C" w:rsidRPr="00927728" w:rsidRDefault="00A140ED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42,</w:t>
            </w:r>
            <w:r w:rsidR="003D1D0C" w:rsidRPr="001358B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0" w:type="pct"/>
            <w:vAlign w:val="center"/>
          </w:tcPr>
          <w:p w14:paraId="2B003EB3" w14:textId="77777777" w:rsidR="003D1D0C" w:rsidRPr="00927728" w:rsidRDefault="00A140ED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1358B9">
              <w:rPr>
                <w:sz w:val="22"/>
                <w:szCs w:val="22"/>
                <w:lang w:eastAsia="en-US"/>
              </w:rPr>
              <w:t>9,</w:t>
            </w:r>
            <w:r w:rsidR="003D1D0C" w:rsidRPr="001358B9">
              <w:rPr>
                <w:sz w:val="22"/>
                <w:szCs w:val="22"/>
                <w:lang w:eastAsia="en-US"/>
              </w:rPr>
              <w:t>2</w:t>
            </w:r>
          </w:p>
        </w:tc>
      </w:tr>
    </w:tbl>
    <w:p w14:paraId="0AEBD04E" w14:textId="77777777" w:rsidR="00C51A9C" w:rsidRPr="001358B9" w:rsidRDefault="00C51A9C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927728">
        <w:rPr>
          <w:rFonts w:ascii="Times New Roman" w:hAnsi="Times New Roman"/>
        </w:rPr>
        <w:t>* pozri „National Cancer Institute“ CTC verzia 2 pre každý stupeň toxicity s výnimkou termínu „znížený klírens kreatinínu“.</w:t>
      </w:r>
    </w:p>
    <w:p w14:paraId="13A2EDBF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>** ktorý je odvodený z termínu „obličkové/urogenitálne iné“.</w:t>
      </w:r>
    </w:p>
    <w:p w14:paraId="6C876EB5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</w:rPr>
      </w:pPr>
      <w:r w:rsidRPr="001358B9">
        <w:rPr>
          <w:rFonts w:ascii="Times New Roman" w:hAnsi="Times New Roman"/>
        </w:rPr>
        <w:t>*** podľa „National Cancer Institute“ CTC (v2.0; NCI 1998) porucha chuti a alopécia sa majú hlásiť len ako 1. alebo 2.stupeň.</w:t>
      </w:r>
    </w:p>
    <w:p w14:paraId="22AF0A0B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0211E3D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Times New Roman" w:hAnsi="Times New Roman"/>
        </w:rPr>
      </w:pPr>
      <w:r w:rsidRPr="001358B9">
        <w:rPr>
          <w:rFonts w:ascii="Times New Roman" w:hAnsi="Times New Roman"/>
        </w:rPr>
        <w:t>Pre účely tejto tabuľky bola použitá hraničná hodnota 5 % na zaradenie všetkých udalostí, ktoré mali podľa ohlasovateľa možný vzťah s pemetrexedom a cisplatinou.</w:t>
      </w:r>
    </w:p>
    <w:p w14:paraId="0191E6A0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5494125" w14:textId="6265D3CE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</w:rPr>
        <w:lastRenderedPageBreak/>
        <w:t xml:space="preserve">Klinicky relevantné </w:t>
      </w:r>
      <w:r w:rsidR="009D405F" w:rsidRPr="001358B9">
        <w:rPr>
          <w:rFonts w:ascii="Times New Roman" w:hAnsi="Times New Roman"/>
        </w:rPr>
        <w:t xml:space="preserve">všeobecné </w:t>
      </w:r>
      <w:r w:rsidRPr="001358B9">
        <w:rPr>
          <w:rFonts w:ascii="Times New Roman" w:hAnsi="Times New Roman"/>
        </w:rPr>
        <w:t xml:space="preserve">kritériá toxicity, zaznamenané u ≥ 1 % a </w:t>
      </w:r>
      <w:r w:rsidRPr="001358B9">
        <w:rPr>
          <w:rFonts w:ascii="Times New Roman" w:hAnsi="Times New Roman"/>
          <w:u w:val="single"/>
        </w:rPr>
        <w:t>&lt;</w:t>
      </w:r>
      <w:r w:rsidRPr="001358B9">
        <w:rPr>
          <w:rFonts w:ascii="Times New Roman" w:hAnsi="Times New Roman"/>
        </w:rPr>
        <w:t xml:space="preserve"> 5 % pacientov, ktorí boli náhodne vybratí (randomizovaní) na liečbu cisplatinou a pemetrexedom, sú: renálne zlyhanie, infekcia, pyrexia, febrilná neutropénia, zvýšené AST, ALT a G</w:t>
      </w:r>
      <w:r w:rsidR="003B0DB8" w:rsidRPr="001358B9">
        <w:rPr>
          <w:rFonts w:ascii="Times New Roman" w:hAnsi="Times New Roman"/>
        </w:rPr>
        <w:t>G</w:t>
      </w:r>
      <w:r w:rsidRPr="001358B9">
        <w:rPr>
          <w:rFonts w:ascii="Times New Roman" w:hAnsi="Times New Roman"/>
        </w:rPr>
        <w:t>T, urtikária a bolesť na hrudi.</w:t>
      </w:r>
    </w:p>
    <w:p w14:paraId="76550B0C" w14:textId="77777777" w:rsidR="004F0AFF" w:rsidRPr="001358B9" w:rsidRDefault="004F0A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0"/>
        <w:rPr>
          <w:rFonts w:ascii="Times New Roman" w:hAnsi="Times New Roman"/>
        </w:rPr>
      </w:pPr>
    </w:p>
    <w:p w14:paraId="3795B229" w14:textId="777B697D" w:rsidR="007546E7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 xml:space="preserve">Klinicky relevantné </w:t>
      </w:r>
      <w:r w:rsidR="007B32DE" w:rsidRPr="001358B9">
        <w:rPr>
          <w:rFonts w:ascii="Times New Roman" w:hAnsi="Times New Roman"/>
        </w:rPr>
        <w:t xml:space="preserve">všeobecné </w:t>
      </w:r>
      <w:r w:rsidRPr="001358B9">
        <w:rPr>
          <w:rFonts w:ascii="Times New Roman" w:hAnsi="Times New Roman"/>
        </w:rPr>
        <w:t>kritériá toxicity, zaznamenané u &lt; 1 % pacientov, ktorí boli randomizovaní na liečbu cisplatinou a pemetrexedom, sú: arytmia a motorická neuropatia.</w:t>
      </w:r>
      <w:bookmarkStart w:id="5" w:name="page10"/>
      <w:bookmarkEnd w:id="5"/>
      <w:r w:rsidR="007546E7" w:rsidRPr="001358B9">
        <w:rPr>
          <w:rFonts w:ascii="Times New Roman" w:hAnsi="Times New Roman"/>
        </w:rPr>
        <w:t xml:space="preserve"> </w:t>
      </w:r>
    </w:p>
    <w:p w14:paraId="04E0B0D4" w14:textId="77777777" w:rsidR="007546E7" w:rsidRPr="001358B9" w:rsidRDefault="007546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0"/>
        <w:rPr>
          <w:rFonts w:ascii="Times New Roman" w:hAnsi="Times New Roman"/>
        </w:rPr>
      </w:pPr>
    </w:p>
    <w:p w14:paraId="3AEC7801" w14:textId="77777777" w:rsidR="00C51A9C" w:rsidRPr="001358B9" w:rsidRDefault="00C51A9C">
      <w:pPr>
        <w:widowControl w:val="0"/>
        <w:tabs>
          <w:tab w:val="left" w:pos="9066"/>
        </w:tabs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Tabuľka </w:t>
      </w:r>
      <w:r w:rsidR="00735E39" w:rsidRPr="001358B9">
        <w:rPr>
          <w:rFonts w:ascii="Times New Roman" w:hAnsi="Times New Roman"/>
          <w:color w:val="000000"/>
        </w:rPr>
        <w:t>nižšie</w:t>
      </w:r>
      <w:r w:rsidRPr="001358B9">
        <w:rPr>
          <w:rFonts w:ascii="Times New Roman" w:hAnsi="Times New Roman"/>
          <w:color w:val="000000"/>
        </w:rPr>
        <w:t xml:space="preserve"> uvádza frekvenciu a závažnosť nežiaducich účinkov, ktoré boli zaznamenané u &gt; 5</w:t>
      </w:r>
      <w:r w:rsidR="003B0DB8" w:rsidRPr="001358B9">
        <w:rPr>
          <w:rFonts w:ascii="Times New Roman" w:hAnsi="Times New Roman"/>
          <w:color w:val="000000"/>
        </w:rPr>
        <w:t> </w:t>
      </w:r>
      <w:r w:rsidRPr="001358B9">
        <w:rPr>
          <w:rFonts w:ascii="Times New Roman" w:hAnsi="Times New Roman"/>
          <w:color w:val="000000"/>
        </w:rPr>
        <w:t>% z 265 pacientov randomizovaných na liečbu pemetrexedom v monoterapii so suplementáciou kyselinou listovou a vitamínom B</w:t>
      </w:r>
      <w:r w:rsidRPr="001358B9">
        <w:rPr>
          <w:rFonts w:ascii="Times New Roman" w:hAnsi="Times New Roman"/>
          <w:color w:val="000000"/>
          <w:vertAlign w:val="subscript"/>
        </w:rPr>
        <w:t>12</w:t>
      </w:r>
      <w:r w:rsidRPr="001358B9">
        <w:rPr>
          <w:rFonts w:ascii="Times New Roman" w:hAnsi="Times New Roman"/>
          <w:color w:val="000000"/>
        </w:rPr>
        <w:t xml:space="preserve"> a u 276 pacientov randomizovaných na liečbu docetaxelom v monoterapii. Všetci pacienti mali stanovenú diagnózu lokálne pokročilého alebo metastatického nemalobunkového karcinómu pľúc a predtým boli liečení chemoterapiou.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1424"/>
        <w:gridCol w:w="1552"/>
        <w:gridCol w:w="1165"/>
        <w:gridCol w:w="1163"/>
        <w:gridCol w:w="1034"/>
        <w:gridCol w:w="1165"/>
      </w:tblGrid>
      <w:tr w:rsidR="003B0DB8" w:rsidRPr="001358B9" w14:paraId="3E1EB8CA" w14:textId="77777777" w:rsidTr="008018EA">
        <w:trPr>
          <w:trHeight w:hRule="exact" w:val="301"/>
        </w:trPr>
        <w:tc>
          <w:tcPr>
            <w:tcW w:w="8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</w:tcPr>
          <w:p w14:paraId="1CC480AD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Trieda</w:t>
            </w:r>
          </w:p>
          <w:p w14:paraId="39893D2C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orgánových</w:t>
            </w:r>
          </w:p>
          <w:p w14:paraId="60FC9008" w14:textId="77777777" w:rsidR="003B0DB8" w:rsidRPr="001358B9" w:rsidRDefault="003B0DB8">
            <w:pPr>
              <w:spacing w:before="1" w:line="240" w:lineRule="auto"/>
              <w:ind w:left="148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systémov</w:t>
            </w:r>
            <w:r w:rsidR="00185DC9"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podľa databázy MedDRA</w:t>
            </w:r>
          </w:p>
        </w:tc>
        <w:tc>
          <w:tcPr>
            <w:tcW w:w="7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</w:tcPr>
          <w:p w14:paraId="542E74F2" w14:textId="77777777" w:rsidR="003B0DB8" w:rsidRPr="001358B9" w:rsidRDefault="003B0DB8">
            <w:pPr>
              <w:spacing w:before="24" w:line="240" w:lineRule="auto"/>
              <w:ind w:left="106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  <w:color w:val="000000"/>
              </w:rPr>
              <w:t>Frekvencia</w:t>
            </w:r>
          </w:p>
        </w:tc>
        <w:tc>
          <w:tcPr>
            <w:tcW w:w="8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</w:tcPr>
          <w:p w14:paraId="1549534A" w14:textId="77777777" w:rsidR="003B0DB8" w:rsidRPr="001358B9" w:rsidRDefault="003B0DB8">
            <w:pPr>
              <w:spacing w:before="24" w:line="240" w:lineRule="auto"/>
              <w:ind w:left="100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  <w:color w:val="000000"/>
              </w:rPr>
              <w:t>Udalosť*</w:t>
            </w:r>
          </w:p>
        </w:tc>
        <w:tc>
          <w:tcPr>
            <w:tcW w:w="1285" w:type="pct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90CFC86" w14:textId="77777777" w:rsidR="003B0DB8" w:rsidRPr="001358B9" w:rsidRDefault="003B0DB8">
            <w:pPr>
              <w:spacing w:before="24" w:line="240" w:lineRule="auto"/>
              <w:ind w:left="142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  <w:color w:val="000000"/>
              </w:rPr>
              <w:t>Pemetrexed</w:t>
            </w:r>
          </w:p>
          <w:p w14:paraId="424074D3" w14:textId="77777777" w:rsidR="003B0DB8" w:rsidRPr="001358B9" w:rsidRDefault="003B0DB8">
            <w:pPr>
              <w:spacing w:before="1" w:line="240" w:lineRule="auto"/>
              <w:ind w:left="14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DCE9BD1" w14:textId="77777777" w:rsidR="003B0DB8" w:rsidRPr="001358B9" w:rsidRDefault="003B0DB8">
            <w:pPr>
              <w:spacing w:before="24" w:line="240" w:lineRule="auto"/>
              <w:ind w:left="141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  <w:color w:val="000000"/>
              </w:rPr>
              <w:t>Docetaxel</w:t>
            </w:r>
          </w:p>
          <w:p w14:paraId="3A3C809C" w14:textId="77777777" w:rsidR="003B0DB8" w:rsidRPr="001358B9" w:rsidRDefault="003B0DB8">
            <w:pPr>
              <w:spacing w:before="1" w:line="240" w:lineRule="auto"/>
              <w:ind w:left="14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B0DB8" w:rsidRPr="001358B9" w14:paraId="6F8F6B8F" w14:textId="77777777" w:rsidTr="008018EA">
        <w:trPr>
          <w:trHeight w:hRule="exact" w:val="323"/>
        </w:trPr>
        <w:tc>
          <w:tcPr>
            <w:tcW w:w="858" w:type="pct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BA3E83D" w14:textId="77777777" w:rsidR="003B0DB8" w:rsidRPr="001358B9" w:rsidRDefault="003B0DB8">
            <w:pPr>
              <w:spacing w:before="24" w:line="240" w:lineRule="auto"/>
              <w:ind w:left="122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86" w:type="pct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A11313F" w14:textId="77777777" w:rsidR="003B0DB8" w:rsidRPr="001358B9" w:rsidRDefault="003B0DB8">
            <w:pPr>
              <w:spacing w:before="24" w:line="240" w:lineRule="auto"/>
              <w:ind w:left="106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7" w:type="pct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09B037F" w14:textId="77777777" w:rsidR="003B0DB8" w:rsidRPr="001358B9" w:rsidRDefault="003B0DB8">
            <w:pPr>
              <w:spacing w:before="24" w:line="240" w:lineRule="auto"/>
              <w:ind w:left="10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85" w:type="pct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5E1EF28" w14:textId="77777777" w:rsidR="003B0DB8" w:rsidRPr="001358B9" w:rsidRDefault="003B0DB8">
            <w:pPr>
              <w:spacing w:before="24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358B9">
              <w:rPr>
                <w:rFonts w:ascii="Times New Roman" w:hAnsi="Times New Roman"/>
                <w:b/>
                <w:color w:val="000000"/>
              </w:rPr>
              <w:t>n = 265</w:t>
            </w:r>
          </w:p>
        </w:tc>
        <w:tc>
          <w:tcPr>
            <w:tcW w:w="1214" w:type="pct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7A0D16E" w14:textId="77777777" w:rsidR="003B0DB8" w:rsidRPr="001358B9" w:rsidRDefault="003B0DB8">
            <w:pPr>
              <w:spacing w:before="24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358B9">
              <w:rPr>
                <w:rFonts w:ascii="Times New Roman" w:hAnsi="Times New Roman"/>
                <w:b/>
                <w:color w:val="000000"/>
              </w:rPr>
              <w:t>n = 276</w:t>
            </w:r>
          </w:p>
        </w:tc>
      </w:tr>
      <w:tr w:rsidR="003B0DB8" w:rsidRPr="001358B9" w14:paraId="758FB6C2" w14:textId="77777777" w:rsidTr="008018EA">
        <w:trPr>
          <w:trHeight w:hRule="exact" w:val="1068"/>
        </w:trPr>
        <w:tc>
          <w:tcPr>
            <w:tcW w:w="8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C1E3DDD" w14:textId="77777777" w:rsidR="003B0DB8" w:rsidRPr="001358B9" w:rsidRDefault="003B0DB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F383D4C" w14:textId="77777777" w:rsidR="003B0DB8" w:rsidRPr="001358B9" w:rsidRDefault="003B0DB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B9469C0" w14:textId="77777777" w:rsidR="003B0DB8" w:rsidRPr="001358B9" w:rsidRDefault="003B0DB8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43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7A995C2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Všetky</w:t>
            </w:r>
            <w:r w:rsidR="00417C94"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</w:t>
            </w: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stupne</w:t>
            </w:r>
            <w:r w:rsidR="00417C94"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</w:t>
            </w: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toxicity</w:t>
            </w:r>
          </w:p>
          <w:p w14:paraId="1FE3175C" w14:textId="77777777" w:rsidR="003B0DB8" w:rsidRPr="001358B9" w:rsidRDefault="003B0DB8">
            <w:pPr>
              <w:spacing w:before="2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(%)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603DCC4" w14:textId="77777777" w:rsidR="00417C94" w:rsidRPr="001358B9" w:rsidRDefault="00417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Toxicita</w:t>
            </w:r>
          </w:p>
          <w:p w14:paraId="3D393BD2" w14:textId="77777777" w:rsidR="00417C94" w:rsidRPr="001358B9" w:rsidRDefault="00417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3. až 4.</w:t>
            </w:r>
          </w:p>
          <w:p w14:paraId="57B8C15A" w14:textId="77777777" w:rsidR="00417C94" w:rsidRPr="001358B9" w:rsidRDefault="00417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  <w:lang w:eastAsia="en-US"/>
              </w:rPr>
            </w:pPr>
            <w:r w:rsidRPr="001358B9">
              <w:rPr>
                <w:rFonts w:ascii="Times New Roman" w:eastAsia="TimesNewRomanPS-BoldMT" w:hAnsi="Times New Roman"/>
                <w:b/>
                <w:bCs/>
                <w:lang w:eastAsia="en-US"/>
              </w:rPr>
              <w:t>stupňa</w:t>
            </w:r>
          </w:p>
          <w:p w14:paraId="65DE8045" w14:textId="77777777" w:rsidR="003B0DB8" w:rsidRPr="001358B9" w:rsidRDefault="00417C94">
            <w:pPr>
              <w:spacing w:before="2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(%)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3EBCA75" w14:textId="77777777" w:rsidR="00417C94" w:rsidRPr="001358B9" w:rsidRDefault="00417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Všetky</w:t>
            </w:r>
          </w:p>
          <w:p w14:paraId="27C2B9DB" w14:textId="77777777" w:rsidR="00417C94" w:rsidRPr="001358B9" w:rsidRDefault="00417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stupne</w:t>
            </w:r>
          </w:p>
          <w:p w14:paraId="7460C7BE" w14:textId="77777777" w:rsidR="00417C94" w:rsidRPr="001358B9" w:rsidRDefault="00417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toxicity</w:t>
            </w:r>
          </w:p>
          <w:p w14:paraId="3FDBC546" w14:textId="77777777" w:rsidR="003B0DB8" w:rsidRPr="001358B9" w:rsidRDefault="00417C94">
            <w:pPr>
              <w:spacing w:before="2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(%)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D2BF501" w14:textId="77777777" w:rsidR="00417C94" w:rsidRPr="001358B9" w:rsidRDefault="00417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Toxicita</w:t>
            </w:r>
          </w:p>
          <w:p w14:paraId="4A631AC1" w14:textId="77777777" w:rsidR="00417C94" w:rsidRPr="001358B9" w:rsidRDefault="00417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3. a 4.</w:t>
            </w:r>
          </w:p>
          <w:p w14:paraId="57062D76" w14:textId="77777777" w:rsidR="00417C94" w:rsidRPr="001358B9" w:rsidRDefault="00417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stupňa</w:t>
            </w:r>
          </w:p>
          <w:p w14:paraId="230AEF6C" w14:textId="77777777" w:rsidR="003B0DB8" w:rsidRPr="001358B9" w:rsidRDefault="00417C94">
            <w:pPr>
              <w:spacing w:before="2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(%)</w:t>
            </w:r>
          </w:p>
        </w:tc>
      </w:tr>
      <w:tr w:rsidR="003B0DB8" w:rsidRPr="001358B9" w14:paraId="53CD82E1" w14:textId="77777777" w:rsidTr="008018EA">
        <w:trPr>
          <w:trHeight w:hRule="exact" w:val="789"/>
        </w:trPr>
        <w:tc>
          <w:tcPr>
            <w:tcW w:w="858" w:type="pct"/>
            <w:vMerge w:val="restar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316FB" w14:textId="77777777" w:rsidR="003B0DB8" w:rsidRPr="001358B9" w:rsidRDefault="003B0DB8" w:rsidP="009F07FA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927728">
              <w:rPr>
                <w:rFonts w:ascii="Times New Roman" w:eastAsiaTheme="minorHAnsi" w:hAnsi="Times New Roman"/>
                <w:lang w:eastAsia="en-US"/>
              </w:rPr>
              <w:t>Poruchy krvi a</w:t>
            </w:r>
          </w:p>
          <w:p w14:paraId="6575613D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lymfatického</w:t>
            </w:r>
          </w:p>
          <w:p w14:paraId="63205AFE" w14:textId="77777777" w:rsidR="003B0DB8" w:rsidRPr="001358B9" w:rsidRDefault="003B0DB8">
            <w:pPr>
              <w:spacing w:before="2"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systému</w:t>
            </w:r>
          </w:p>
        </w:tc>
        <w:tc>
          <w:tcPr>
            <w:tcW w:w="786" w:type="pct"/>
            <w:vMerge w:val="restar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FA973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="TimesNewRomanPSMT" w:hAnsi="Times New Roman"/>
                <w:lang w:eastAsia="en-US"/>
              </w:rPr>
              <w:t>Veľmi</w:t>
            </w:r>
            <w:r w:rsidR="00417C94" w:rsidRPr="001358B9">
              <w:rPr>
                <w:rFonts w:ascii="Times New Roman" w:eastAsia="TimesNewRomanPSMT" w:hAnsi="Times New Roman"/>
                <w:lang w:eastAsia="en-US"/>
              </w:rPr>
              <w:t xml:space="preserve"> </w:t>
            </w:r>
            <w:r w:rsidRPr="001358B9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47F2F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Pokles</w:t>
            </w:r>
          </w:p>
          <w:p w14:paraId="1530292F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neutrofilov/</w:t>
            </w:r>
          </w:p>
          <w:p w14:paraId="73A8B442" w14:textId="77777777" w:rsidR="003B0DB8" w:rsidRPr="001358B9" w:rsidRDefault="003B0DB8">
            <w:pPr>
              <w:spacing w:before="3"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granulocytov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182D0E" w14:textId="77777777" w:rsidR="003B0DB8" w:rsidRPr="001358B9" w:rsidRDefault="003B0DB8">
            <w:pPr>
              <w:spacing w:before="21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10</w:t>
            </w:r>
            <w:r w:rsidR="00351E41" w:rsidRPr="001358B9">
              <w:rPr>
                <w:rFonts w:ascii="Times New Roman" w:hAnsi="Times New Roman"/>
                <w:color w:val="000000"/>
              </w:rPr>
              <w:t>,</w:t>
            </w:r>
            <w:r w:rsidRPr="001358B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854D45" w14:textId="77777777" w:rsidR="003B0DB8" w:rsidRPr="001358B9" w:rsidRDefault="00A61B8A">
            <w:pPr>
              <w:spacing w:before="21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5,</w:t>
            </w:r>
            <w:r w:rsidR="003B0DB8" w:rsidRPr="001358B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F25272" w14:textId="77777777" w:rsidR="003B0DB8" w:rsidRPr="001358B9" w:rsidRDefault="00A61B8A">
            <w:pPr>
              <w:spacing w:before="21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45,</w:t>
            </w:r>
            <w:r w:rsidR="003B0DB8" w:rsidRPr="001358B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5194FE" w14:textId="77777777" w:rsidR="003B0DB8" w:rsidRPr="001358B9" w:rsidRDefault="001B277B">
            <w:pPr>
              <w:spacing w:before="21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40,</w:t>
            </w:r>
            <w:r w:rsidR="003B0DB8" w:rsidRPr="001358B9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3B0DB8" w:rsidRPr="001358B9" w14:paraId="6C84B286" w14:textId="77777777" w:rsidTr="000436B6">
        <w:trPr>
          <w:trHeight w:hRule="exact" w:val="511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2CAD5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BFFBB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E852C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Pokles</w:t>
            </w:r>
          </w:p>
          <w:p w14:paraId="65E7B376" w14:textId="77777777" w:rsidR="003B0DB8" w:rsidRPr="001358B9" w:rsidRDefault="003B0DB8">
            <w:pPr>
              <w:spacing w:before="1"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leukocytov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CA4D7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12,</w:t>
            </w:r>
            <w:r w:rsidR="003B0DB8" w:rsidRPr="001358B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AC7FF5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4,</w:t>
            </w:r>
            <w:r w:rsidR="003B0DB8" w:rsidRPr="001358B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B5A828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34,</w:t>
            </w:r>
            <w:r w:rsidR="003B0DB8" w:rsidRPr="001358B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00CB51" w14:textId="77777777" w:rsidR="003B0DB8" w:rsidRPr="001358B9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27,</w:t>
            </w:r>
            <w:r w:rsidR="003B0DB8" w:rsidRPr="001358B9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3B0DB8" w:rsidRPr="001358B9" w14:paraId="3304CC14" w14:textId="77777777" w:rsidTr="000436B6">
        <w:trPr>
          <w:trHeight w:hRule="exact" w:val="511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19F30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CC7A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54E91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Pokles</w:t>
            </w:r>
          </w:p>
          <w:p w14:paraId="4D44003E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hemoglobínu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CA361F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19,</w:t>
            </w:r>
            <w:r w:rsidR="003B0DB8" w:rsidRPr="001358B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8B16CF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4,</w:t>
            </w:r>
            <w:r w:rsidR="003B0DB8" w:rsidRPr="001358B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F6CAFC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22,</w:t>
            </w:r>
            <w:r w:rsidR="003B0DB8" w:rsidRPr="001358B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D5D978" w14:textId="77777777" w:rsidR="003B0DB8" w:rsidRPr="001358B9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4,</w:t>
            </w:r>
            <w:r w:rsidR="003B0DB8" w:rsidRPr="001358B9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3B0DB8" w:rsidRPr="001358B9" w14:paraId="1E1E1656" w14:textId="77777777" w:rsidTr="000436B6">
        <w:trPr>
          <w:trHeight w:hRule="exact" w:val="511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5DBED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309F0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0F2CF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Pokles</w:t>
            </w:r>
          </w:p>
          <w:p w14:paraId="352FD900" w14:textId="77777777" w:rsidR="003B0DB8" w:rsidRPr="001358B9" w:rsidRDefault="003B0DB8">
            <w:pPr>
              <w:spacing w:before="1"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trombocytov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A49AC3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8,</w:t>
            </w:r>
            <w:r w:rsidR="003B0DB8" w:rsidRPr="001358B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D1E270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1,</w:t>
            </w:r>
            <w:r w:rsidR="003B0DB8" w:rsidRPr="001358B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E8B3FD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1,</w:t>
            </w:r>
            <w:r w:rsidR="003B0DB8" w:rsidRPr="001358B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DA775" w14:textId="77777777" w:rsidR="003B0DB8" w:rsidRPr="001358B9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0,</w:t>
            </w:r>
            <w:r w:rsidR="003B0DB8" w:rsidRPr="001358B9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3B0DB8" w:rsidRPr="001358B9" w14:paraId="69915C48" w14:textId="77777777" w:rsidTr="000436B6">
        <w:trPr>
          <w:trHeight w:hRule="exact" w:val="283"/>
        </w:trPr>
        <w:tc>
          <w:tcPr>
            <w:tcW w:w="8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BAB20" w14:textId="77777777" w:rsidR="003B0DB8" w:rsidRPr="001358B9" w:rsidRDefault="003B0DB8" w:rsidP="009F07FA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927728">
              <w:rPr>
                <w:rFonts w:ascii="Times New Roman" w:eastAsiaTheme="minorHAnsi" w:hAnsi="Times New Roman"/>
                <w:lang w:eastAsia="en-US"/>
              </w:rPr>
              <w:t>Poruchy</w:t>
            </w:r>
          </w:p>
          <w:p w14:paraId="08F0A1DA" w14:textId="77777777" w:rsidR="003B0DB8" w:rsidRPr="001358B9" w:rsidRDefault="00417C94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g</w:t>
            </w:r>
            <w:r w:rsidR="003B0DB8" w:rsidRPr="001358B9">
              <w:rPr>
                <w:rFonts w:ascii="Times New Roman" w:eastAsiaTheme="minorHAnsi" w:hAnsi="Times New Roman"/>
                <w:lang w:eastAsia="en-US"/>
              </w:rPr>
              <w:t>astro</w:t>
            </w:r>
            <w:r w:rsidRPr="001358B9">
              <w:rPr>
                <w:rFonts w:ascii="Times New Roman" w:eastAsiaTheme="minorHAnsi" w:hAnsi="Times New Roman"/>
                <w:lang w:eastAsia="en-US"/>
              </w:rPr>
              <w:t>-</w:t>
            </w:r>
            <w:r w:rsidR="003B0DB8" w:rsidRPr="001358B9">
              <w:rPr>
                <w:rFonts w:ascii="Times New Roman" w:eastAsiaTheme="minorHAnsi" w:hAnsi="Times New Roman"/>
                <w:lang w:eastAsia="en-US"/>
              </w:rPr>
              <w:t>intestinálneho</w:t>
            </w:r>
          </w:p>
          <w:p w14:paraId="127DD6A8" w14:textId="77777777" w:rsidR="003B0DB8" w:rsidRPr="001358B9" w:rsidRDefault="003B0DB8">
            <w:pPr>
              <w:spacing w:before="1"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traktu</w:t>
            </w:r>
          </w:p>
        </w:tc>
        <w:tc>
          <w:tcPr>
            <w:tcW w:w="78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0A6D2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="TimesNewRomanPSMT" w:hAnsi="Times New Roman"/>
                <w:lang w:eastAsia="en-US"/>
              </w:rPr>
              <w:t>Veľmi</w:t>
            </w:r>
            <w:r w:rsidR="00417C94" w:rsidRPr="001358B9">
              <w:rPr>
                <w:rFonts w:ascii="Times New Roman" w:eastAsia="TimesNewRomanPSMT" w:hAnsi="Times New Roman"/>
                <w:lang w:eastAsia="en-US"/>
              </w:rPr>
              <w:t xml:space="preserve"> </w:t>
            </w:r>
            <w:r w:rsidRPr="001358B9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C6892" w14:textId="77777777" w:rsidR="003B0DB8" w:rsidRPr="001358B9" w:rsidRDefault="003B0DB8">
            <w:pPr>
              <w:spacing w:before="19"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Hnačka</w:t>
            </w:r>
          </w:p>
          <w:p w14:paraId="78B4738E" w14:textId="77777777" w:rsidR="003B0DB8" w:rsidRPr="001358B9" w:rsidRDefault="003B0DB8">
            <w:pPr>
              <w:spacing w:before="19"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1F95C" w14:textId="77777777" w:rsidR="003B0DB8" w:rsidRPr="001358B9" w:rsidRDefault="003B0DB8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12</w:t>
            </w:r>
            <w:r w:rsidR="00A61B8A" w:rsidRPr="001358B9">
              <w:rPr>
                <w:rFonts w:ascii="Times New Roman" w:hAnsi="Times New Roman"/>
                <w:color w:val="000000"/>
              </w:rPr>
              <w:t>,</w:t>
            </w:r>
            <w:r w:rsidRPr="001358B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88121E" w14:textId="77777777" w:rsidR="003B0DB8" w:rsidRPr="001358B9" w:rsidRDefault="00A61B8A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0,</w:t>
            </w:r>
            <w:r w:rsidR="003B0DB8" w:rsidRPr="001358B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2BDE9D" w14:textId="77777777" w:rsidR="003B0DB8" w:rsidRPr="001358B9" w:rsidRDefault="00A61B8A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24,</w:t>
            </w:r>
            <w:r w:rsidR="003B0DB8" w:rsidRPr="001358B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82573" w14:textId="77777777" w:rsidR="003B0DB8" w:rsidRPr="001358B9" w:rsidRDefault="001B277B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2,</w:t>
            </w:r>
            <w:r w:rsidR="003B0DB8" w:rsidRPr="001358B9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3B0DB8" w:rsidRPr="001358B9" w14:paraId="460C9218" w14:textId="77777777" w:rsidTr="000436B6">
        <w:trPr>
          <w:trHeight w:hRule="exact" w:val="256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E1625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430B4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D4A20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Vracanie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117435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16,</w:t>
            </w:r>
            <w:r w:rsidR="003B0DB8" w:rsidRPr="001358B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A3F323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1,</w:t>
            </w:r>
            <w:r w:rsidR="003B0DB8" w:rsidRPr="001358B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B37668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12,</w:t>
            </w:r>
            <w:r w:rsidR="003B0DB8" w:rsidRPr="001358B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D254D0" w14:textId="77777777" w:rsidR="003B0DB8" w:rsidRPr="001358B9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1,</w:t>
            </w:r>
            <w:r w:rsidR="003B0DB8" w:rsidRPr="001358B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3B0DB8" w:rsidRPr="001358B9" w14:paraId="722FDB24" w14:textId="77777777" w:rsidTr="000436B6">
        <w:trPr>
          <w:trHeight w:hRule="exact" w:val="531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D7716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E7511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DBA36" w14:textId="77777777" w:rsidR="003B0DB8" w:rsidRPr="001358B9" w:rsidRDefault="003B0DB8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  <w:r w:rsidRPr="001358B9">
              <w:rPr>
                <w:rFonts w:ascii="Times New Roman" w:hAnsi="Times New Roman"/>
                <w:color w:val="000000"/>
              </w:rPr>
              <w:t>Stomatitída/</w:t>
            </w:r>
          </w:p>
          <w:p w14:paraId="651D6376" w14:textId="77777777" w:rsidR="003B0DB8" w:rsidRPr="001358B9" w:rsidRDefault="003B0DB8">
            <w:pPr>
              <w:spacing w:before="3" w:after="0"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Faryngitída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7D8866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14,</w:t>
            </w:r>
            <w:r w:rsidR="003B0DB8" w:rsidRPr="001358B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E6856C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1,</w:t>
            </w:r>
            <w:r w:rsidR="003B0DB8" w:rsidRPr="001358B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96E4E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17,</w:t>
            </w:r>
            <w:r w:rsidR="003B0DB8" w:rsidRPr="001358B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2979BC" w14:textId="77777777" w:rsidR="003B0DB8" w:rsidRPr="001358B9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1,</w:t>
            </w:r>
            <w:r w:rsidR="003B0DB8" w:rsidRPr="001358B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3B0DB8" w:rsidRPr="001358B9" w14:paraId="1E69B1EC" w14:textId="77777777" w:rsidTr="000436B6">
        <w:trPr>
          <w:trHeight w:hRule="exact" w:val="256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6D69C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3F31F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29493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Nauzea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6A9A9A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30,</w:t>
            </w:r>
            <w:r w:rsidR="003B0DB8" w:rsidRPr="001358B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9DF90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2,</w:t>
            </w:r>
            <w:r w:rsidR="003B0DB8" w:rsidRPr="001358B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C25414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16,</w:t>
            </w:r>
            <w:r w:rsidR="003B0DB8" w:rsidRPr="001358B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206905" w14:textId="77777777" w:rsidR="003B0DB8" w:rsidRPr="001358B9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1,</w:t>
            </w:r>
            <w:r w:rsidR="003B0DB8" w:rsidRPr="001358B9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3B0DB8" w:rsidRPr="001358B9" w14:paraId="3D934ABF" w14:textId="77777777" w:rsidTr="000436B6">
        <w:trPr>
          <w:trHeight w:hRule="exact" w:val="259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B5AB0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2F55F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BF269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Anorexia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8F8921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21,</w:t>
            </w:r>
            <w:r w:rsidR="003B0DB8" w:rsidRPr="001358B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8C6871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1,</w:t>
            </w:r>
            <w:r w:rsidR="003B0DB8" w:rsidRPr="001358B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8F8C66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23,</w:t>
            </w:r>
            <w:r w:rsidR="003B0DB8" w:rsidRPr="001358B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09EB43" w14:textId="77777777" w:rsidR="003B0DB8" w:rsidRPr="001358B9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2,</w:t>
            </w:r>
            <w:r w:rsidR="003B0DB8" w:rsidRPr="001358B9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3B0DB8" w:rsidRPr="001358B9" w14:paraId="789F352C" w14:textId="77777777" w:rsidTr="000436B6">
        <w:trPr>
          <w:trHeight w:hRule="exact" w:val="256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76052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708F2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F1FFA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Zápcha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CAA199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5,</w:t>
            </w:r>
            <w:r w:rsidR="003B0DB8" w:rsidRPr="001358B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A63402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0,</w:t>
            </w:r>
            <w:r w:rsidR="003B0DB8" w:rsidRPr="001358B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26313A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4,</w:t>
            </w:r>
            <w:r w:rsidR="003B0DB8" w:rsidRPr="001358B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3B6BB0" w14:textId="77777777" w:rsidR="003B0DB8" w:rsidRPr="001358B9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0,</w:t>
            </w:r>
            <w:r w:rsidR="003B0DB8" w:rsidRPr="001358B9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B0DB8" w:rsidRPr="001358B9" w14:paraId="71574A54" w14:textId="77777777" w:rsidTr="000436B6">
        <w:trPr>
          <w:trHeight w:hRule="exact" w:val="494"/>
        </w:trPr>
        <w:tc>
          <w:tcPr>
            <w:tcW w:w="8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7CB1A" w14:textId="77777777" w:rsidR="003B0DB8" w:rsidRPr="001358B9" w:rsidRDefault="003B0DB8" w:rsidP="009F07FA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NewRomanPSMT" w:hAnsi="Times New Roman"/>
                <w:lang w:eastAsia="en-US"/>
              </w:rPr>
            </w:pPr>
            <w:r w:rsidRPr="00927728">
              <w:rPr>
                <w:rFonts w:ascii="Times New Roman" w:eastAsia="TimesNewRomanPSMT" w:hAnsi="Times New Roman"/>
                <w:lang w:eastAsia="en-US"/>
              </w:rPr>
              <w:t>Poruchy pečene</w:t>
            </w:r>
          </w:p>
          <w:p w14:paraId="21C77080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="TimesNewRomanPSMT" w:hAnsi="Times New Roman"/>
                <w:lang w:eastAsia="en-US"/>
              </w:rPr>
              <w:t>a žlčových ciest</w:t>
            </w:r>
          </w:p>
        </w:tc>
        <w:tc>
          <w:tcPr>
            <w:tcW w:w="78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39FFC" w14:textId="77777777" w:rsidR="003B0DB8" w:rsidRPr="001358B9" w:rsidRDefault="003B0DB8">
            <w:pPr>
              <w:spacing w:before="21"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D7D50" w14:textId="77777777" w:rsidR="003B0DB8" w:rsidRPr="001358B9" w:rsidRDefault="00351E41">
            <w:pPr>
              <w:spacing w:before="21"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 xml:space="preserve">Vzostup </w:t>
            </w:r>
            <w:r w:rsidR="003B0DB8" w:rsidRPr="001358B9">
              <w:rPr>
                <w:rFonts w:ascii="Times New Roman" w:hAnsi="Times New Roman"/>
                <w:color w:val="000000"/>
              </w:rPr>
              <w:t>SGPT (ALT)</w:t>
            </w:r>
          </w:p>
          <w:p w14:paraId="7D0D15CA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09DB45" w14:textId="77777777" w:rsidR="003B0DB8" w:rsidRPr="001358B9" w:rsidRDefault="00A61B8A">
            <w:pPr>
              <w:spacing w:before="21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7,</w:t>
            </w:r>
            <w:r w:rsidR="003B0DB8" w:rsidRPr="001358B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2DCDB1" w14:textId="77777777" w:rsidR="003B0DB8" w:rsidRPr="001358B9" w:rsidRDefault="00A61B8A">
            <w:pPr>
              <w:spacing w:before="21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1,</w:t>
            </w:r>
            <w:r w:rsidR="003B0DB8" w:rsidRPr="001358B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38E13B" w14:textId="77777777" w:rsidR="003B0DB8" w:rsidRPr="001358B9" w:rsidRDefault="00A61B8A">
            <w:pPr>
              <w:spacing w:before="21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1,</w:t>
            </w:r>
            <w:r w:rsidR="003B0DB8" w:rsidRPr="001358B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257DC9" w14:textId="77777777" w:rsidR="003B0DB8" w:rsidRPr="001358B9" w:rsidRDefault="001B277B">
            <w:pPr>
              <w:spacing w:before="21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0,</w:t>
            </w:r>
            <w:r w:rsidR="003B0DB8" w:rsidRPr="001358B9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B0DB8" w:rsidRPr="001358B9" w14:paraId="01C4AF90" w14:textId="77777777" w:rsidTr="000436B6">
        <w:trPr>
          <w:trHeight w:hRule="exact" w:val="572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B6F34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5ECF0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FA53B" w14:textId="77777777" w:rsidR="003B0DB8" w:rsidRPr="001358B9" w:rsidRDefault="00351E41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 xml:space="preserve">Vzostup </w:t>
            </w:r>
            <w:r w:rsidR="003B0DB8" w:rsidRPr="001358B9">
              <w:rPr>
                <w:rFonts w:ascii="Times New Roman" w:hAnsi="Times New Roman"/>
                <w:color w:val="000000"/>
              </w:rPr>
              <w:t>SGOT (AST)</w:t>
            </w:r>
          </w:p>
          <w:p w14:paraId="79428D70" w14:textId="77777777" w:rsidR="003B0DB8" w:rsidRPr="001358B9" w:rsidRDefault="003B0DB8">
            <w:pPr>
              <w:spacing w:before="2" w:line="240" w:lineRule="auto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390D0F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6,</w:t>
            </w:r>
            <w:r w:rsidR="003B0DB8" w:rsidRPr="001358B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B6A63A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1,</w:t>
            </w:r>
            <w:r w:rsidR="003B0DB8" w:rsidRPr="001358B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13FE99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0,</w:t>
            </w:r>
            <w:r w:rsidR="003B0DB8" w:rsidRPr="001358B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1B136B" w14:textId="77777777" w:rsidR="003B0DB8" w:rsidRPr="001358B9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0,</w:t>
            </w:r>
            <w:r w:rsidR="003B0DB8" w:rsidRPr="001358B9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B0DB8" w:rsidRPr="001358B9" w14:paraId="098A7AAA" w14:textId="77777777" w:rsidTr="000436B6">
        <w:trPr>
          <w:trHeight w:hRule="exact" w:val="535"/>
        </w:trPr>
        <w:tc>
          <w:tcPr>
            <w:tcW w:w="8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FE9EC" w14:textId="77777777" w:rsidR="003B0DB8" w:rsidRPr="001358B9" w:rsidRDefault="003B0DB8" w:rsidP="009F07FA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927728">
              <w:rPr>
                <w:rFonts w:ascii="Times New Roman" w:eastAsiaTheme="minorHAnsi" w:hAnsi="Times New Roman"/>
                <w:lang w:eastAsia="en-US"/>
              </w:rPr>
              <w:t>Poruchy kože a</w:t>
            </w:r>
          </w:p>
          <w:p w14:paraId="390DEEEF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podkožného</w:t>
            </w:r>
          </w:p>
          <w:p w14:paraId="66941C77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tkaniva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4F2AC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="TimesNewRomanPSMT" w:hAnsi="Times New Roman"/>
                <w:lang w:eastAsia="en-US"/>
              </w:rPr>
              <w:t>Veľmi</w:t>
            </w:r>
            <w:r w:rsidR="00417C94" w:rsidRPr="001358B9">
              <w:rPr>
                <w:rFonts w:ascii="Times New Roman" w:eastAsia="TimesNewRomanPSMT" w:hAnsi="Times New Roman"/>
                <w:lang w:eastAsia="en-US"/>
              </w:rPr>
              <w:t xml:space="preserve"> </w:t>
            </w:r>
            <w:r w:rsidRPr="001358B9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E8A79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Vyrážka/</w:t>
            </w:r>
          </w:p>
          <w:p w14:paraId="3C032391" w14:textId="77777777" w:rsidR="003B0DB8" w:rsidRPr="001358B9" w:rsidRDefault="003B0DB8">
            <w:pPr>
              <w:spacing w:before="1"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Deskvamácia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7842D2" w14:textId="77777777" w:rsidR="003B0DB8" w:rsidRPr="001358B9" w:rsidRDefault="003B0DB8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14</w:t>
            </w:r>
            <w:r w:rsidR="00A61B8A" w:rsidRPr="001358B9">
              <w:rPr>
                <w:rFonts w:ascii="Times New Roman" w:hAnsi="Times New Roman"/>
                <w:color w:val="000000"/>
              </w:rPr>
              <w:t>,</w:t>
            </w:r>
            <w:r w:rsidRPr="001358B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A867A1" w14:textId="77777777" w:rsidR="003B0DB8" w:rsidRPr="001358B9" w:rsidRDefault="00A61B8A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0,</w:t>
            </w:r>
            <w:r w:rsidR="003B0DB8" w:rsidRPr="001358B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9C5033" w14:textId="77777777" w:rsidR="003B0DB8" w:rsidRPr="001358B9" w:rsidRDefault="00A61B8A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6,</w:t>
            </w:r>
            <w:r w:rsidR="003B0DB8" w:rsidRPr="001358B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BD7DA9" w14:textId="77777777" w:rsidR="003B0DB8" w:rsidRPr="001358B9" w:rsidRDefault="001B277B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0,</w:t>
            </w:r>
            <w:r w:rsidR="003B0DB8" w:rsidRPr="001358B9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B0DB8" w:rsidRPr="001358B9" w14:paraId="56478A8F" w14:textId="77777777" w:rsidTr="000436B6">
        <w:trPr>
          <w:trHeight w:hRule="exact" w:val="256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07D10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A9638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1C028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Pruritus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581E5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6,</w:t>
            </w:r>
            <w:r w:rsidR="003B0DB8" w:rsidRPr="001358B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C4ECFB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0,</w:t>
            </w:r>
            <w:r w:rsidR="003B0DB8" w:rsidRPr="001358B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C43B44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1,</w:t>
            </w:r>
            <w:r w:rsidR="003B0DB8" w:rsidRPr="001358B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2270A0" w14:textId="77777777" w:rsidR="003B0DB8" w:rsidRPr="001358B9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0,</w:t>
            </w:r>
            <w:r w:rsidR="003B0DB8" w:rsidRPr="001358B9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B0DB8" w:rsidRPr="001358B9" w14:paraId="322B28F9" w14:textId="77777777" w:rsidTr="000436B6">
        <w:trPr>
          <w:trHeight w:hRule="exact" w:val="259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B6106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5EB30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C5944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Alopécia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7974D2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6,</w:t>
            </w:r>
            <w:r w:rsidR="003B0DB8" w:rsidRPr="001358B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838471" w14:textId="77777777" w:rsidR="003B0DB8" w:rsidRPr="001358B9" w:rsidRDefault="001C27A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 xml:space="preserve">    </w:t>
            </w:r>
            <w:r w:rsidR="00A61B8A" w:rsidRPr="001358B9">
              <w:rPr>
                <w:rFonts w:ascii="Times New Roman" w:hAnsi="Times New Roman"/>
                <w:color w:val="000000"/>
              </w:rPr>
              <w:t>0,</w:t>
            </w:r>
            <w:r w:rsidR="003B0DB8" w:rsidRPr="001358B9">
              <w:rPr>
                <w:rFonts w:ascii="Times New Roman" w:hAnsi="Times New Roman"/>
                <w:color w:val="000000"/>
              </w:rPr>
              <w:t>4**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7CA8F5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37,</w:t>
            </w:r>
            <w:r w:rsidR="003B0DB8" w:rsidRPr="001358B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6AAAE6" w14:textId="77777777" w:rsidR="003B0DB8" w:rsidRPr="001358B9" w:rsidRDefault="001C27A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 xml:space="preserve">    </w:t>
            </w:r>
            <w:r w:rsidR="001B277B" w:rsidRPr="001358B9">
              <w:rPr>
                <w:rFonts w:ascii="Times New Roman" w:hAnsi="Times New Roman"/>
                <w:color w:val="000000"/>
              </w:rPr>
              <w:t>2,</w:t>
            </w:r>
            <w:r w:rsidR="003B0DB8" w:rsidRPr="001358B9">
              <w:rPr>
                <w:rFonts w:ascii="Times New Roman" w:hAnsi="Times New Roman"/>
                <w:color w:val="000000"/>
              </w:rPr>
              <w:t>2**</w:t>
            </w:r>
          </w:p>
        </w:tc>
      </w:tr>
      <w:tr w:rsidR="003B0DB8" w:rsidRPr="001358B9" w14:paraId="6FBECFB1" w14:textId="77777777" w:rsidTr="000436B6">
        <w:trPr>
          <w:trHeight w:hRule="exact" w:val="535"/>
        </w:trPr>
        <w:tc>
          <w:tcPr>
            <w:tcW w:w="8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FB61E" w14:textId="77777777" w:rsidR="003B0DB8" w:rsidRPr="001358B9" w:rsidRDefault="003B0DB8" w:rsidP="009F07FA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927728">
              <w:rPr>
                <w:rFonts w:ascii="Times New Roman" w:eastAsiaTheme="minorHAnsi" w:hAnsi="Times New Roman"/>
                <w:lang w:eastAsia="en-US"/>
              </w:rPr>
              <w:t>Celkové</w:t>
            </w:r>
          </w:p>
          <w:p w14:paraId="078A78B0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poruchy</w:t>
            </w:r>
          </w:p>
          <w:p w14:paraId="6644BEF8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a reakcie</w:t>
            </w:r>
          </w:p>
          <w:p w14:paraId="765F116C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v mieste</w:t>
            </w:r>
          </w:p>
          <w:p w14:paraId="382C5A90" w14:textId="77777777" w:rsidR="003B0DB8" w:rsidRPr="001358B9" w:rsidRDefault="003B0DB8">
            <w:pPr>
              <w:spacing w:before="3"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Theme="minorHAnsi" w:hAnsi="Times New Roman"/>
                <w:lang w:eastAsia="en-US"/>
              </w:rPr>
              <w:t>podania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B29BF" w14:textId="77777777" w:rsidR="003B0DB8" w:rsidRPr="001358B9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="TimesNewRomanPSMT" w:hAnsi="Times New Roman"/>
                <w:lang w:eastAsia="en-US"/>
              </w:rPr>
              <w:t>Veľmi</w:t>
            </w:r>
            <w:r w:rsidR="00417C94" w:rsidRPr="001358B9">
              <w:rPr>
                <w:rFonts w:ascii="Times New Roman" w:eastAsia="TimesNewRomanPSMT" w:hAnsi="Times New Roman"/>
                <w:lang w:eastAsia="en-US"/>
              </w:rPr>
              <w:t xml:space="preserve"> </w:t>
            </w:r>
            <w:r w:rsidRPr="001358B9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D394A" w14:textId="77777777" w:rsidR="003B0DB8" w:rsidRPr="001358B9" w:rsidRDefault="003B0DB8">
            <w:pPr>
              <w:spacing w:before="19"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Únava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AB8881" w14:textId="77777777" w:rsidR="003B0DB8" w:rsidRPr="001358B9" w:rsidRDefault="003B0DB8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34</w:t>
            </w:r>
            <w:r w:rsidR="00A61B8A" w:rsidRPr="001358B9">
              <w:rPr>
                <w:rFonts w:ascii="Times New Roman" w:hAnsi="Times New Roman"/>
                <w:color w:val="000000"/>
              </w:rPr>
              <w:t>,</w:t>
            </w:r>
            <w:r w:rsidRPr="001358B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A06E50" w14:textId="77777777" w:rsidR="003B0DB8" w:rsidRPr="001358B9" w:rsidRDefault="00A61B8A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5,</w:t>
            </w:r>
            <w:r w:rsidR="003B0DB8" w:rsidRPr="001358B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B4EEC5" w14:textId="77777777" w:rsidR="003B0DB8" w:rsidRPr="001358B9" w:rsidRDefault="00A61B8A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35,</w:t>
            </w:r>
            <w:r w:rsidR="003B0DB8" w:rsidRPr="001358B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38D137" w14:textId="77777777" w:rsidR="003B0DB8" w:rsidRPr="001358B9" w:rsidRDefault="001B277B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5,</w:t>
            </w:r>
            <w:r w:rsidR="003B0DB8" w:rsidRPr="001358B9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3B0DB8" w:rsidRPr="001358B9" w14:paraId="6F9F0814" w14:textId="77777777" w:rsidTr="000436B6">
        <w:trPr>
          <w:trHeight w:hRule="exact" w:val="687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2B9A8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91B59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B23CF" w14:textId="77777777" w:rsidR="003B0DB8" w:rsidRPr="001358B9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Horúčka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49AD6A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8,</w:t>
            </w:r>
            <w:r w:rsidR="003B0DB8" w:rsidRPr="001358B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8EA708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0,</w:t>
            </w:r>
            <w:r w:rsidR="003B0DB8" w:rsidRPr="001358B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AAAA8F" w14:textId="77777777" w:rsidR="003B0DB8" w:rsidRPr="001358B9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7,</w:t>
            </w:r>
            <w:r w:rsidR="003B0DB8" w:rsidRPr="001358B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5E02D2" w14:textId="77777777" w:rsidR="003B0DB8" w:rsidRPr="001358B9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color w:val="000000"/>
              </w:rPr>
              <w:t>0,</w:t>
            </w:r>
            <w:r w:rsidR="003B0DB8" w:rsidRPr="001358B9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14:paraId="4305E6A5" w14:textId="77777777" w:rsidR="00C51A9C" w:rsidRPr="001358B9" w:rsidRDefault="00C51A9C" w:rsidP="009F07FA">
      <w:pPr>
        <w:widowControl w:val="0"/>
        <w:numPr>
          <w:ilvl w:val="0"/>
          <w:numId w:val="14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</w:rPr>
      </w:pPr>
      <w:r w:rsidRPr="00927728">
        <w:rPr>
          <w:rFonts w:ascii="Times New Roman" w:hAnsi="Times New Roman"/>
        </w:rPr>
        <w:t xml:space="preserve">pozri „National Cancer Institute“ CTC verzia 2 pre každý stupeň toxicity. </w:t>
      </w:r>
    </w:p>
    <w:p w14:paraId="546E19B0" w14:textId="77777777" w:rsidR="00C51A9C" w:rsidRPr="001358B9" w:rsidRDefault="00C51A9C" w:rsidP="001358B9">
      <w:pPr>
        <w:widowControl w:val="0"/>
        <w:numPr>
          <w:ilvl w:val="0"/>
          <w:numId w:val="15"/>
        </w:numPr>
        <w:tabs>
          <w:tab w:val="clear" w:pos="720"/>
          <w:tab w:val="num" w:pos="356"/>
        </w:tabs>
        <w:overflowPunct w:val="0"/>
        <w:autoSpaceDE w:val="0"/>
        <w:autoSpaceDN w:val="0"/>
        <w:adjustRightInd w:val="0"/>
        <w:spacing w:after="0" w:line="240" w:lineRule="auto"/>
        <w:ind w:left="0" w:right="-6" w:firstLine="0"/>
        <w:rPr>
          <w:rFonts w:ascii="Times New Roman" w:hAnsi="Times New Roman"/>
        </w:rPr>
      </w:pPr>
      <w:r w:rsidRPr="001358B9">
        <w:rPr>
          <w:rFonts w:ascii="Times New Roman" w:hAnsi="Times New Roman"/>
        </w:rPr>
        <w:t xml:space="preserve">podľa „National Cancer Institute“ CTC (v2.0; NCI 1998) alopécia sa má hlásiť len ako 1. alebo 2.stupeň. </w:t>
      </w:r>
    </w:p>
    <w:p w14:paraId="1EDC554C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5C10EB8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</w:rPr>
        <w:t>Pre účely tejto tabuľky bola použitá hraničná hodnota 5 % na zaradenie všetkých udalostí, ktoré mali podľa ohlasovateľa možný vzťah s pemetrexedom.</w:t>
      </w:r>
    </w:p>
    <w:p w14:paraId="5A5E4E9B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EFA7F20" w14:textId="548AD094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60"/>
        <w:rPr>
          <w:rFonts w:ascii="Times New Roman" w:hAnsi="Times New Roman"/>
        </w:rPr>
      </w:pPr>
      <w:r w:rsidRPr="001358B9">
        <w:rPr>
          <w:rFonts w:ascii="Times New Roman" w:hAnsi="Times New Roman"/>
        </w:rPr>
        <w:t xml:space="preserve">Klinicky relevantné </w:t>
      </w:r>
      <w:r w:rsidR="00481F72" w:rsidRPr="001358B9">
        <w:rPr>
          <w:rFonts w:ascii="Times New Roman" w:hAnsi="Times New Roman"/>
        </w:rPr>
        <w:t xml:space="preserve">všeobecné </w:t>
      </w:r>
      <w:r w:rsidRPr="001358B9">
        <w:rPr>
          <w:rFonts w:ascii="Times New Roman" w:hAnsi="Times New Roman"/>
        </w:rPr>
        <w:t xml:space="preserve">kritériá toxicity, zaznamenané u ≥ 1 % a </w:t>
      </w:r>
      <w:r w:rsidRPr="001358B9">
        <w:rPr>
          <w:rFonts w:ascii="Times New Roman" w:hAnsi="Times New Roman"/>
          <w:u w:val="single"/>
        </w:rPr>
        <w:t>&lt;</w:t>
      </w:r>
      <w:r w:rsidRPr="001358B9">
        <w:rPr>
          <w:rFonts w:ascii="Times New Roman" w:hAnsi="Times New Roman"/>
        </w:rPr>
        <w:t xml:space="preserve"> 5 % pacientov, ktorí boli randomizovaní na liečbu pemetrexedom, sú: infekcia bez neutropénie, febrilná neutropénia, alergická reakcia/precitlivenosť, zvýšený kreatinín, motorická neuropatia, senzorická neuropatia, multiformný erytém a abdominálna bolesť.</w:t>
      </w:r>
    </w:p>
    <w:p w14:paraId="1AEBE145" w14:textId="77777777" w:rsidR="007546E7" w:rsidRPr="001358B9" w:rsidRDefault="007546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60"/>
        <w:rPr>
          <w:rFonts w:ascii="Times New Roman" w:hAnsi="Times New Roman"/>
          <w:color w:val="000000"/>
        </w:rPr>
      </w:pPr>
      <w:bookmarkStart w:id="6" w:name="page11"/>
      <w:bookmarkEnd w:id="6"/>
    </w:p>
    <w:p w14:paraId="662DC43E" w14:textId="6C709475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Klinicky relevantné </w:t>
      </w:r>
      <w:r w:rsidR="000635B6" w:rsidRPr="001358B9">
        <w:rPr>
          <w:rFonts w:ascii="Times New Roman" w:hAnsi="Times New Roman"/>
          <w:color w:val="000000"/>
        </w:rPr>
        <w:t xml:space="preserve">všeobecné </w:t>
      </w:r>
      <w:r w:rsidRPr="001358B9">
        <w:rPr>
          <w:rFonts w:ascii="Times New Roman" w:hAnsi="Times New Roman"/>
          <w:color w:val="000000"/>
        </w:rPr>
        <w:t>kritériá toxicity, zaznamenané u &lt; 1 % pacientov, ktorí boli randomizovaní na liečbu pemetrexedom, sú: supraventrikulárne arytmie.</w:t>
      </w:r>
    </w:p>
    <w:p w14:paraId="04CE76DD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FB2A4D1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Klinicky relevantné laboratórne toxicity 3. a 4. stupňa boli podobné pri hodnotení integrovaných výsledkov troch štúdií fázy 2 sledujúcich pemetrexed v monoterapii (n = 164) a štúdie fázy 3</w:t>
      </w:r>
    </w:p>
    <w:p w14:paraId="0369F066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s pemetrexedom v monoterapii (popisovanej vyššie), s výnimkou neutropénie (12,8 % oproti 5,3 %) a zvýšenia alanínaminotransferázy (15,2 % oproti 1,9 %). Tieto rozdiely boli pravdepodobne spôsobené rozdielmi v populácii pacientov, pretože štúdie fázy 2 zahŕňali aj pacientov dovtedy neliečených aj ťažko predliečených pacientov s rakovinou prsníka s už existujúcimi pečeňovými metastázami a/alebo abnormálnymi pečeňovými testami pred liečbou.</w:t>
      </w:r>
    </w:p>
    <w:p w14:paraId="12381FF2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E2E44CF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Tabuľka </w:t>
      </w:r>
      <w:r w:rsidR="00091D10" w:rsidRPr="001358B9">
        <w:rPr>
          <w:rFonts w:ascii="Times New Roman" w:hAnsi="Times New Roman"/>
          <w:color w:val="000000"/>
        </w:rPr>
        <w:t>nižšie</w:t>
      </w:r>
      <w:r w:rsidRPr="001358B9">
        <w:rPr>
          <w:rFonts w:ascii="Times New Roman" w:hAnsi="Times New Roman"/>
          <w:color w:val="000000"/>
        </w:rPr>
        <w:t xml:space="preserve"> uvádza frekvenciu a závažnosť nežiaducich účinkov, ktoré môžu súvisieť so skúmaným liekom a ktoré boli zaznamenané u &gt; 5 % z 839 pacientov s nemalobunkovým karcinómom pľúc (NSCLC) randomizovaných na liečbu cisplatinou a pemetrexedom a z 830 pacientov s NSCLC randomizovaných na liečbu cisplatinou a gemcitabínom. Všetci pacienti dostávali skúmanú liečbu ako inic</w:t>
      </w:r>
      <w:r w:rsidR="00A2592B" w:rsidRPr="001358B9">
        <w:rPr>
          <w:rFonts w:ascii="Times New Roman" w:hAnsi="Times New Roman"/>
          <w:color w:val="000000"/>
        </w:rPr>
        <w:t>i</w:t>
      </w:r>
      <w:r w:rsidRPr="001358B9">
        <w:rPr>
          <w:rFonts w:ascii="Times New Roman" w:hAnsi="Times New Roman"/>
          <w:color w:val="000000"/>
        </w:rPr>
        <w:t>álnu liečbu lokálne pokročilého alebo metastatického NSCLC a pacienti v oboch liečebných skupinách boli plne suplementovaní kyselinou listovou a vitamínom B</w:t>
      </w:r>
      <w:r w:rsidRPr="001358B9">
        <w:rPr>
          <w:rFonts w:ascii="Times New Roman" w:hAnsi="Times New Roman"/>
          <w:color w:val="000000"/>
          <w:vertAlign w:val="subscript"/>
        </w:rPr>
        <w:t>12</w:t>
      </w:r>
      <w:r w:rsidRPr="001358B9">
        <w:rPr>
          <w:rFonts w:ascii="Times New Roman" w:hAnsi="Times New Roman"/>
          <w:color w:val="000000"/>
        </w:rPr>
        <w:t>.</w:t>
      </w:r>
    </w:p>
    <w:p w14:paraId="20126E07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1386"/>
        <w:gridCol w:w="1634"/>
        <w:gridCol w:w="982"/>
        <w:gridCol w:w="1148"/>
        <w:gridCol w:w="982"/>
        <w:gridCol w:w="1291"/>
      </w:tblGrid>
      <w:tr w:rsidR="00F75269" w:rsidRPr="001358B9" w14:paraId="29E573C0" w14:textId="77777777" w:rsidTr="008018EA">
        <w:trPr>
          <w:trHeight w:hRule="exact" w:val="562"/>
        </w:trPr>
        <w:tc>
          <w:tcPr>
            <w:tcW w:w="9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</w:tcPr>
          <w:p w14:paraId="7E13B830" w14:textId="77777777" w:rsidR="00F75269" w:rsidRPr="001358B9" w:rsidRDefault="00F75269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b/>
                <w:bCs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lang w:eastAsia="en-GB"/>
              </w:rPr>
              <w:t>Trieda</w:t>
            </w:r>
          </w:p>
          <w:p w14:paraId="558E0BBD" w14:textId="77777777" w:rsidR="00F75269" w:rsidRPr="001358B9" w:rsidRDefault="00F75269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b/>
                <w:bCs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lang w:eastAsia="en-GB"/>
              </w:rPr>
              <w:t>orgánových</w:t>
            </w:r>
          </w:p>
          <w:p w14:paraId="456526B4" w14:textId="77777777" w:rsidR="00F75269" w:rsidRPr="001358B9" w:rsidRDefault="00F75269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lang w:eastAsia="en-GB"/>
              </w:rPr>
              <w:t>systémov</w:t>
            </w:r>
            <w:r w:rsidR="001015A5" w:rsidRPr="001358B9">
              <w:rPr>
                <w:rFonts w:ascii="Times New Roman" w:eastAsia="Times New Roman" w:hAnsi="Times New Roman"/>
                <w:b/>
                <w:bCs/>
                <w:lang w:eastAsia="en-GB"/>
              </w:rPr>
              <w:t xml:space="preserve"> podľa databázy MedDRA</w:t>
            </w:r>
          </w:p>
        </w:tc>
        <w:tc>
          <w:tcPr>
            <w:tcW w:w="7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</w:tcPr>
          <w:p w14:paraId="548AA773" w14:textId="77777777" w:rsidR="00F75269" w:rsidRPr="001358B9" w:rsidRDefault="00F75269">
            <w:pPr>
              <w:spacing w:before="31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lang w:eastAsia="en-GB"/>
              </w:rPr>
              <w:t>Frekvencia</w:t>
            </w:r>
          </w:p>
        </w:tc>
        <w:tc>
          <w:tcPr>
            <w:tcW w:w="9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</w:tcPr>
          <w:p w14:paraId="6646BB5F" w14:textId="77777777" w:rsidR="00F75269" w:rsidRPr="001358B9" w:rsidRDefault="00F75269">
            <w:pPr>
              <w:spacing w:before="31" w:after="0" w:line="240" w:lineRule="auto"/>
              <w:ind w:left="142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Udalosť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**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28F0820" w14:textId="77777777" w:rsidR="00F75269" w:rsidRPr="001358B9" w:rsidRDefault="00F75269">
            <w:pPr>
              <w:spacing w:before="31" w:after="0" w:line="240" w:lineRule="auto"/>
              <w:ind w:left="79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Pemetrexed/</w:t>
            </w:r>
          </w:p>
          <w:p w14:paraId="04377A96" w14:textId="77777777" w:rsidR="00F75269" w:rsidRPr="001358B9" w:rsidRDefault="00F75269">
            <w:pPr>
              <w:spacing w:before="7" w:after="0" w:line="240" w:lineRule="auto"/>
              <w:ind w:left="79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cisplatina</w:t>
            </w:r>
          </w:p>
          <w:p w14:paraId="5F66807E" w14:textId="77777777" w:rsidR="00F75269" w:rsidRPr="001358B9" w:rsidRDefault="00F75269">
            <w:pPr>
              <w:spacing w:before="6" w:after="0" w:line="240" w:lineRule="auto"/>
              <w:ind w:left="79" w:firstLine="492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</w:p>
        </w:tc>
        <w:tc>
          <w:tcPr>
            <w:tcW w:w="1255" w:type="pct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A5C3DDB" w14:textId="77777777" w:rsidR="00F75269" w:rsidRPr="001358B9" w:rsidRDefault="00F75269">
            <w:pPr>
              <w:spacing w:before="31" w:after="0" w:line="240" w:lineRule="auto"/>
              <w:ind w:left="47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Gemcitabín/</w:t>
            </w:r>
          </w:p>
          <w:p w14:paraId="3FBE03D4" w14:textId="77777777" w:rsidR="00F75269" w:rsidRPr="001358B9" w:rsidRDefault="00F75269">
            <w:pPr>
              <w:spacing w:before="7" w:after="0" w:line="240" w:lineRule="auto"/>
              <w:ind w:left="47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cisplatina</w:t>
            </w:r>
          </w:p>
          <w:p w14:paraId="77A5ACDC" w14:textId="77777777" w:rsidR="00F75269" w:rsidRPr="001358B9" w:rsidRDefault="00F75269">
            <w:pPr>
              <w:spacing w:before="6" w:after="0" w:line="240" w:lineRule="auto"/>
              <w:ind w:left="47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</w:p>
        </w:tc>
      </w:tr>
      <w:tr w:rsidR="00F75269" w:rsidRPr="001358B9" w14:paraId="2F9A246A" w14:textId="77777777" w:rsidTr="008018EA">
        <w:trPr>
          <w:trHeight w:hRule="exact" w:val="428"/>
        </w:trPr>
        <w:tc>
          <w:tcPr>
            <w:tcW w:w="902" w:type="pct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</w:tcPr>
          <w:p w14:paraId="62966217" w14:textId="77777777" w:rsidR="00F75269" w:rsidRPr="001358B9" w:rsidRDefault="00F75269">
            <w:pPr>
              <w:spacing w:before="31" w:after="0" w:line="240" w:lineRule="auto"/>
              <w:ind w:left="122"/>
              <w:rPr>
                <w:rFonts w:ascii="Times New Roman" w:eastAsia="Times New Roman" w:hAnsi="Times New Roman"/>
                <w:color w:val="000000"/>
                <w:lang w:eastAsia="en-GB"/>
              </w:rPr>
            </w:pPr>
          </w:p>
        </w:tc>
        <w:tc>
          <w:tcPr>
            <w:tcW w:w="765" w:type="pct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</w:tcPr>
          <w:p w14:paraId="3E3E084A" w14:textId="77777777" w:rsidR="00F75269" w:rsidRPr="001358B9" w:rsidRDefault="00F75269">
            <w:pPr>
              <w:spacing w:before="31" w:after="0" w:line="240" w:lineRule="auto"/>
              <w:ind w:left="108"/>
              <w:rPr>
                <w:rFonts w:ascii="Times New Roman" w:eastAsia="Times New Roman" w:hAnsi="Times New Roman"/>
                <w:color w:val="000000"/>
                <w:lang w:eastAsia="en-GB"/>
              </w:rPr>
            </w:pPr>
          </w:p>
        </w:tc>
        <w:tc>
          <w:tcPr>
            <w:tcW w:w="902" w:type="pct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</w:tcPr>
          <w:p w14:paraId="6CD0C2FD" w14:textId="77777777" w:rsidR="00F75269" w:rsidRPr="001358B9" w:rsidRDefault="00F75269">
            <w:pPr>
              <w:spacing w:before="31" w:after="0" w:line="240" w:lineRule="auto"/>
              <w:ind w:left="596"/>
              <w:rPr>
                <w:rFonts w:ascii="Times New Roman" w:eastAsia="Times New Roman" w:hAnsi="Times New Roman"/>
                <w:color w:val="000000"/>
                <w:lang w:eastAsia="en-GB"/>
              </w:rPr>
            </w:pPr>
          </w:p>
        </w:tc>
        <w:tc>
          <w:tcPr>
            <w:tcW w:w="1176" w:type="pct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FD56863" w14:textId="77777777" w:rsidR="00F75269" w:rsidRPr="001358B9" w:rsidRDefault="00F75269">
            <w:pPr>
              <w:spacing w:before="31" w:after="0" w:line="240" w:lineRule="auto"/>
              <w:ind w:left="79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(n = 839)</w:t>
            </w:r>
          </w:p>
        </w:tc>
        <w:tc>
          <w:tcPr>
            <w:tcW w:w="1255" w:type="pct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91256D6" w14:textId="77777777" w:rsidR="00F75269" w:rsidRPr="001358B9" w:rsidRDefault="00F75269">
            <w:pPr>
              <w:spacing w:before="31" w:after="0" w:line="240" w:lineRule="auto"/>
              <w:ind w:left="47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(n = 830)</w:t>
            </w:r>
          </w:p>
        </w:tc>
      </w:tr>
      <w:tr w:rsidR="00F75269" w:rsidRPr="001358B9" w14:paraId="211C96A0" w14:textId="77777777" w:rsidTr="008018EA">
        <w:trPr>
          <w:trHeight w:hRule="exact" w:val="1046"/>
        </w:trPr>
        <w:tc>
          <w:tcPr>
            <w:tcW w:w="90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773B3B9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CC2A968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2E9D586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542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FB127E2" w14:textId="77777777" w:rsidR="00047F10" w:rsidRPr="001358B9" w:rsidRDefault="00047F10">
            <w:pPr>
              <w:spacing w:before="6" w:after="0" w:line="240" w:lineRule="auto"/>
              <w:ind w:left="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Všetky</w:t>
            </w:r>
          </w:p>
          <w:p w14:paraId="3A53D767" w14:textId="77777777" w:rsidR="00047F10" w:rsidRPr="001358B9" w:rsidRDefault="00047F10">
            <w:pPr>
              <w:spacing w:before="6" w:after="0" w:line="240" w:lineRule="auto"/>
              <w:ind w:left="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stupne</w:t>
            </w:r>
          </w:p>
          <w:p w14:paraId="3D7B5D24" w14:textId="77777777" w:rsidR="00F75269" w:rsidRPr="001358B9" w:rsidRDefault="00047F10">
            <w:pPr>
              <w:spacing w:before="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toxicity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</w:t>
            </w:r>
            <w:r w:rsidR="00F75269"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(%)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0B0F5EF" w14:textId="77777777" w:rsidR="00047F10" w:rsidRPr="001358B9" w:rsidRDefault="0004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Toxicita</w:t>
            </w:r>
          </w:p>
          <w:p w14:paraId="5FD7B314" w14:textId="77777777" w:rsidR="00047F10" w:rsidRPr="001358B9" w:rsidRDefault="0004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3. a 4.</w:t>
            </w:r>
          </w:p>
          <w:p w14:paraId="70FDFDA0" w14:textId="77777777" w:rsidR="000423AF" w:rsidRPr="001358B9" w:rsidRDefault="000423AF">
            <w:pPr>
              <w:spacing w:before="6" w:after="0" w:line="240" w:lineRule="auto"/>
              <w:ind w:left="11"/>
              <w:jc w:val="center"/>
              <w:rPr>
                <w:rFonts w:ascii="Times New Roman" w:eastAsia="TimesNewRomanPS-BoldMT" w:hAnsi="Times New Roman"/>
                <w:b/>
                <w:bCs/>
                <w:lang w:eastAsia="en-US"/>
              </w:rPr>
            </w:pPr>
            <w:r w:rsidRPr="001358B9">
              <w:rPr>
                <w:rFonts w:ascii="Times New Roman" w:eastAsia="TimesNewRomanPS-BoldMT" w:hAnsi="Times New Roman"/>
                <w:b/>
                <w:bCs/>
                <w:lang w:eastAsia="en-US"/>
              </w:rPr>
              <w:t>s</w:t>
            </w:r>
            <w:r w:rsidR="00047F10" w:rsidRPr="001358B9">
              <w:rPr>
                <w:rFonts w:ascii="Times New Roman" w:eastAsia="TimesNewRomanPS-BoldMT" w:hAnsi="Times New Roman"/>
                <w:b/>
                <w:bCs/>
                <w:lang w:eastAsia="en-US"/>
              </w:rPr>
              <w:t>tupňa</w:t>
            </w:r>
          </w:p>
          <w:p w14:paraId="5AF7CA86" w14:textId="77777777" w:rsidR="00F75269" w:rsidRPr="001358B9" w:rsidRDefault="00F75269">
            <w:pPr>
              <w:spacing w:before="6" w:after="0" w:line="240" w:lineRule="auto"/>
              <w:ind w:left="11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(%)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F2169FE" w14:textId="77777777" w:rsidR="00047F10" w:rsidRPr="001358B9" w:rsidRDefault="00047F10">
            <w:pPr>
              <w:autoSpaceDE w:val="0"/>
              <w:autoSpaceDN w:val="0"/>
              <w:adjustRightInd w:val="0"/>
              <w:spacing w:after="0" w:line="240" w:lineRule="auto"/>
              <w:ind w:left="47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Všetky</w:t>
            </w:r>
          </w:p>
          <w:p w14:paraId="6FEC2404" w14:textId="77777777" w:rsidR="00047F10" w:rsidRPr="001358B9" w:rsidRDefault="00047F10">
            <w:pPr>
              <w:autoSpaceDE w:val="0"/>
              <w:autoSpaceDN w:val="0"/>
              <w:adjustRightInd w:val="0"/>
              <w:spacing w:after="0" w:line="240" w:lineRule="auto"/>
              <w:ind w:left="47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stupne</w:t>
            </w:r>
          </w:p>
          <w:p w14:paraId="512E9946" w14:textId="77777777" w:rsidR="00047F10" w:rsidRPr="001358B9" w:rsidRDefault="00047F10">
            <w:pPr>
              <w:autoSpaceDE w:val="0"/>
              <w:autoSpaceDN w:val="0"/>
              <w:adjustRightInd w:val="0"/>
              <w:spacing w:after="0" w:line="240" w:lineRule="auto"/>
              <w:ind w:left="47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toxicity</w:t>
            </w:r>
          </w:p>
          <w:p w14:paraId="03BAFAF5" w14:textId="77777777" w:rsidR="00F75269" w:rsidRPr="001358B9" w:rsidRDefault="00047F10">
            <w:pPr>
              <w:spacing w:before="6" w:after="0" w:line="240" w:lineRule="auto"/>
              <w:ind w:left="47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(%)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73A4B64" w14:textId="77777777" w:rsidR="00047F10" w:rsidRPr="001358B9" w:rsidRDefault="0004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Toxicita</w:t>
            </w:r>
          </w:p>
          <w:p w14:paraId="526B129E" w14:textId="77777777" w:rsidR="00047F10" w:rsidRPr="001358B9" w:rsidRDefault="0004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1358B9">
              <w:rPr>
                <w:rFonts w:ascii="Times New Roman" w:eastAsiaTheme="minorHAnsi" w:hAnsi="Times New Roman"/>
                <w:b/>
                <w:bCs/>
                <w:lang w:eastAsia="en-US"/>
              </w:rPr>
              <w:t>3. a 4.</w:t>
            </w:r>
          </w:p>
          <w:p w14:paraId="70B628B0" w14:textId="77777777" w:rsidR="00F75269" w:rsidRPr="001358B9" w:rsidRDefault="00047F10">
            <w:pPr>
              <w:spacing w:before="6"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NewRomanPS-BoldMT" w:hAnsi="Times New Roman"/>
                <w:b/>
                <w:bCs/>
                <w:lang w:eastAsia="en-US"/>
              </w:rPr>
              <w:t>stupňa</w:t>
            </w:r>
          </w:p>
          <w:p w14:paraId="1743DA5B" w14:textId="77777777" w:rsidR="00F75269" w:rsidRPr="001358B9" w:rsidRDefault="00F75269">
            <w:pPr>
              <w:spacing w:before="6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(%)</w:t>
            </w:r>
          </w:p>
        </w:tc>
      </w:tr>
      <w:tr w:rsidR="00F75269" w:rsidRPr="001358B9" w14:paraId="562CE1CC" w14:textId="77777777" w:rsidTr="008018EA">
        <w:trPr>
          <w:trHeight w:hRule="exact" w:val="695"/>
        </w:trPr>
        <w:tc>
          <w:tcPr>
            <w:tcW w:w="902" w:type="pct"/>
            <w:vMerge w:val="restar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B2920" w14:textId="77777777" w:rsidR="00047F10" w:rsidRPr="001358B9" w:rsidRDefault="00047F10" w:rsidP="009F07FA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Poruchy krvi a</w:t>
            </w:r>
          </w:p>
          <w:p w14:paraId="6CF5A8E2" w14:textId="77777777" w:rsidR="00047F10" w:rsidRPr="001358B9" w:rsidRDefault="00047F10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lymfatického</w:t>
            </w:r>
          </w:p>
          <w:p w14:paraId="275CD466" w14:textId="77777777" w:rsidR="00F75269" w:rsidRPr="001358B9" w:rsidRDefault="00047F10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systému</w:t>
            </w:r>
          </w:p>
        </w:tc>
        <w:tc>
          <w:tcPr>
            <w:tcW w:w="765" w:type="pct"/>
            <w:vMerge w:val="restar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D0EEB" w14:textId="77777777" w:rsidR="00F75269" w:rsidRPr="001358B9" w:rsidRDefault="003B4BDE">
            <w:pPr>
              <w:spacing w:before="6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Veľmi časté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21A40" w14:textId="77777777" w:rsidR="003B4BDE" w:rsidRPr="001358B9" w:rsidRDefault="003B4BDE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Pokles</w:t>
            </w:r>
          </w:p>
          <w:p w14:paraId="14F5CAAA" w14:textId="77777777" w:rsidR="00F75269" w:rsidRPr="001358B9" w:rsidRDefault="003B4BDE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h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emoglob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ínu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6CA530" w14:textId="77777777" w:rsidR="00F75269" w:rsidRPr="001358B9" w:rsidRDefault="00F75269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33</w:t>
            </w:r>
            <w:r w:rsidR="00047F10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0*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09FC93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6*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B80F2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45,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7*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FEB32F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9*</w:t>
            </w:r>
          </w:p>
        </w:tc>
      </w:tr>
      <w:tr w:rsidR="00F75269" w:rsidRPr="001358B9" w14:paraId="3511F1F5" w14:textId="77777777" w:rsidTr="000436B6">
        <w:trPr>
          <w:trHeight w:hRule="exact" w:val="806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F3324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9B25D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C5BCC" w14:textId="77777777" w:rsidR="00F75269" w:rsidRPr="001358B9" w:rsidRDefault="003B4BDE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Pokles neutrofilov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/</w:t>
            </w:r>
          </w:p>
          <w:p w14:paraId="715A7BEB" w14:textId="77777777" w:rsidR="00F75269" w:rsidRPr="001358B9" w:rsidRDefault="003B4BDE">
            <w:pPr>
              <w:spacing w:before="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g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ranulocyt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ov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50EC45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29,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0*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84DD52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15,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1*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2B6CDB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38,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4*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FBCDC5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26,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7*</w:t>
            </w:r>
          </w:p>
        </w:tc>
      </w:tr>
      <w:tr w:rsidR="00F75269" w:rsidRPr="001358B9" w14:paraId="39DE6DC7" w14:textId="77777777" w:rsidTr="000436B6">
        <w:trPr>
          <w:trHeight w:hRule="exact" w:val="547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C135B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F4B40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68AC6" w14:textId="77777777" w:rsidR="003B4BDE" w:rsidRPr="001358B9" w:rsidRDefault="003B4BDE">
            <w:pPr>
              <w:spacing w:before="27" w:after="0" w:line="240" w:lineRule="auto"/>
              <w:ind w:left="12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Pokles </w:t>
            </w:r>
          </w:p>
          <w:p w14:paraId="7736B46E" w14:textId="77777777" w:rsidR="00F75269" w:rsidRPr="001358B9" w:rsidRDefault="003B4BDE">
            <w:pPr>
              <w:spacing w:before="27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leukocytov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B4CC63" w14:textId="77777777" w:rsidR="00F75269" w:rsidRPr="001358B9" w:rsidRDefault="00F75269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17</w:t>
            </w:r>
            <w:r w:rsidR="00047F10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19F26" w14:textId="77777777" w:rsidR="00F75269" w:rsidRPr="001358B9" w:rsidRDefault="00047F10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8*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133C97" w14:textId="77777777" w:rsidR="00F75269" w:rsidRPr="001358B9" w:rsidRDefault="00F75269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20</w:t>
            </w:r>
            <w:r w:rsidR="00047F10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0820C9" w14:textId="77777777" w:rsidR="00F75269" w:rsidRPr="001358B9" w:rsidRDefault="00047F10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6*</w:t>
            </w:r>
          </w:p>
        </w:tc>
      </w:tr>
      <w:tr w:rsidR="00F75269" w:rsidRPr="001358B9" w14:paraId="4258329C" w14:textId="77777777" w:rsidTr="000436B6">
        <w:trPr>
          <w:trHeight w:hRule="exact" w:val="549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62BF5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1267A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DF34E" w14:textId="77777777" w:rsidR="00F75269" w:rsidRPr="001358B9" w:rsidRDefault="00F75269">
            <w:pPr>
              <w:spacing w:before="27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P</w:t>
            </w:r>
            <w:r w:rsidR="003B4BDE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okles</w:t>
            </w:r>
          </w:p>
          <w:p w14:paraId="34CBE123" w14:textId="77777777" w:rsidR="00F75269" w:rsidRPr="001358B9" w:rsidRDefault="00A03084">
            <w:pPr>
              <w:spacing w:before="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t</w:t>
            </w:r>
            <w:r w:rsidR="003B4BDE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rombocytov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88C17A" w14:textId="77777777" w:rsidR="00F75269" w:rsidRPr="001358B9" w:rsidRDefault="00047F10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10,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1*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731CEA" w14:textId="77777777" w:rsidR="00F75269" w:rsidRPr="001358B9" w:rsidRDefault="00047F10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1*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2934AB" w14:textId="77777777" w:rsidR="00F75269" w:rsidRPr="001358B9" w:rsidRDefault="00047F10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26,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6*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D6611C" w14:textId="77777777" w:rsidR="00F75269" w:rsidRPr="001358B9" w:rsidRDefault="00047F10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12,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7*</w:t>
            </w:r>
          </w:p>
        </w:tc>
      </w:tr>
      <w:tr w:rsidR="00F75269" w:rsidRPr="001358B9" w14:paraId="70B91A66" w14:textId="77777777" w:rsidTr="000436B6">
        <w:trPr>
          <w:trHeight w:hRule="exact" w:val="547"/>
        </w:trPr>
        <w:tc>
          <w:tcPr>
            <w:tcW w:w="90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A506E" w14:textId="77777777" w:rsidR="00047F10" w:rsidRPr="001358B9" w:rsidRDefault="00047F10" w:rsidP="009F07FA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Poruchy</w:t>
            </w:r>
          </w:p>
          <w:p w14:paraId="570C69EC" w14:textId="77777777" w:rsidR="00047F10" w:rsidRPr="001358B9" w:rsidRDefault="00047F10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nervového</w:t>
            </w:r>
          </w:p>
          <w:p w14:paraId="12485409" w14:textId="77777777" w:rsidR="00F75269" w:rsidRPr="001358B9" w:rsidRDefault="00047F10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systému</w:t>
            </w:r>
          </w:p>
        </w:tc>
        <w:tc>
          <w:tcPr>
            <w:tcW w:w="7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C93D0" w14:textId="77777777" w:rsidR="00F75269" w:rsidRPr="001358B9" w:rsidRDefault="003B4BDE">
            <w:pPr>
              <w:spacing w:before="24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Časté</w:t>
            </w: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F9BC1" w14:textId="77777777" w:rsidR="00F75269" w:rsidRPr="001358B9" w:rsidRDefault="00F75269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Neuropat</w:t>
            </w:r>
            <w:r w:rsidR="003B4BDE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ia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-</w:t>
            </w:r>
          </w:p>
          <w:p w14:paraId="73172B6E" w14:textId="77777777" w:rsidR="00F75269" w:rsidRPr="001358B9" w:rsidRDefault="00F75269">
            <w:pPr>
              <w:spacing w:before="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sen</w:t>
            </w:r>
            <w:r w:rsidR="003B4BDE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z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or</w:t>
            </w:r>
            <w:r w:rsidR="003B4BDE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ická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E9FF97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5*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FF1B98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0*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D28AF6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12,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4*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29B2B2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6*</w:t>
            </w:r>
          </w:p>
        </w:tc>
      </w:tr>
      <w:tr w:rsidR="00F75269" w:rsidRPr="001358B9" w14:paraId="7A9C5F8C" w14:textId="77777777" w:rsidTr="000436B6">
        <w:trPr>
          <w:trHeight w:hRule="exact" w:val="290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69CB1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5D97D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56A2C" w14:textId="77777777" w:rsidR="00F75269" w:rsidRPr="001358B9" w:rsidRDefault="003B4BDE">
            <w:pPr>
              <w:spacing w:before="27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Porucha chuti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970B0D" w14:textId="77777777" w:rsidR="00F75269" w:rsidRPr="001358B9" w:rsidRDefault="00F75269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  <w:r w:rsidR="00047F10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8FCF50" w14:textId="77777777" w:rsidR="00F75269" w:rsidRPr="001358B9" w:rsidRDefault="00047F10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0***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10DE84" w14:textId="77777777" w:rsidR="00F75269" w:rsidRPr="001358B9" w:rsidRDefault="00F75269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  <w:r w:rsidR="00047F10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355F78" w14:textId="77777777" w:rsidR="00F75269" w:rsidRPr="001358B9" w:rsidRDefault="00047F10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0***</w:t>
            </w:r>
          </w:p>
        </w:tc>
      </w:tr>
      <w:tr w:rsidR="00F75269" w:rsidRPr="001358B9" w14:paraId="0E07DAC0" w14:textId="77777777" w:rsidTr="000436B6">
        <w:trPr>
          <w:trHeight w:hRule="exact" w:val="287"/>
        </w:trPr>
        <w:tc>
          <w:tcPr>
            <w:tcW w:w="90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A7FB5" w14:textId="77777777" w:rsidR="003B4BDE" w:rsidRPr="001358B9" w:rsidRDefault="003B4BDE" w:rsidP="009F07FA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Poruchy</w:t>
            </w:r>
          </w:p>
          <w:p w14:paraId="19D23AB7" w14:textId="77777777" w:rsidR="003B4BDE" w:rsidRPr="001358B9" w:rsidRDefault="003B4BDE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gastro-intestinálneho</w:t>
            </w:r>
          </w:p>
          <w:p w14:paraId="312350E7" w14:textId="77777777" w:rsidR="00F75269" w:rsidRPr="001358B9" w:rsidRDefault="003B4BDE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traktu</w:t>
            </w:r>
          </w:p>
        </w:tc>
        <w:tc>
          <w:tcPr>
            <w:tcW w:w="7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38044" w14:textId="77777777" w:rsidR="00F75269" w:rsidRPr="001358B9" w:rsidRDefault="003B4BDE">
            <w:pPr>
              <w:spacing w:before="7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Veľmi časté</w:t>
            </w: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C7C14" w14:textId="77777777" w:rsidR="00F75269" w:rsidRPr="001358B9" w:rsidRDefault="003B4BDE">
            <w:pPr>
              <w:spacing w:before="23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Nauz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ea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F10121" w14:textId="77777777" w:rsidR="00F75269" w:rsidRPr="001358B9" w:rsidRDefault="00047F10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56,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C51E1D" w14:textId="77777777" w:rsidR="00F75269" w:rsidRPr="001358B9" w:rsidRDefault="00F75269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  <w:r w:rsidR="00047F10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2*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21112F" w14:textId="77777777" w:rsidR="00F75269" w:rsidRPr="001358B9" w:rsidRDefault="00047F10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53,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9CF8F6" w14:textId="77777777" w:rsidR="00F75269" w:rsidRPr="001358B9" w:rsidRDefault="00047F10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3,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9*</w:t>
            </w:r>
          </w:p>
        </w:tc>
      </w:tr>
      <w:tr w:rsidR="00F75269" w:rsidRPr="001358B9" w14:paraId="776459D2" w14:textId="77777777" w:rsidTr="000436B6">
        <w:trPr>
          <w:trHeight w:hRule="exact" w:val="287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FA202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711A7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CEEDC" w14:textId="77777777" w:rsidR="00F75269" w:rsidRPr="001358B9" w:rsidRDefault="00F75269">
            <w:pPr>
              <w:spacing w:before="23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V</w:t>
            </w:r>
            <w:r w:rsidR="003B4BDE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racanie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F45ACB" w14:textId="77777777" w:rsidR="00F75269" w:rsidRPr="001358B9" w:rsidRDefault="00047F10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39,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4BF4BC" w14:textId="77777777" w:rsidR="00F75269" w:rsidRPr="001358B9" w:rsidRDefault="00047F10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F8CC14" w14:textId="77777777" w:rsidR="00F75269" w:rsidRPr="001358B9" w:rsidRDefault="00047F10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35,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B9F7CE" w14:textId="77777777" w:rsidR="00F75269" w:rsidRPr="001358B9" w:rsidRDefault="00F75269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  <w:r w:rsidR="00047F10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</w:tr>
      <w:tr w:rsidR="00F75269" w:rsidRPr="001358B9" w14:paraId="15D98C22" w14:textId="77777777" w:rsidTr="000436B6">
        <w:trPr>
          <w:trHeight w:hRule="exact" w:val="290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6D223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86480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46FE6" w14:textId="77777777" w:rsidR="00F75269" w:rsidRPr="001358B9" w:rsidRDefault="00F75269">
            <w:pPr>
              <w:spacing w:before="2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Anorexia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858587" w14:textId="77777777" w:rsidR="00F75269" w:rsidRPr="001358B9" w:rsidRDefault="00047F10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26,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603DA6" w14:textId="77777777" w:rsidR="00F75269" w:rsidRPr="001358B9" w:rsidRDefault="00047F10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4*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29C63A" w14:textId="77777777" w:rsidR="00F75269" w:rsidRPr="001358B9" w:rsidRDefault="00047F10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24,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A64608" w14:textId="77777777" w:rsidR="00F75269" w:rsidRPr="001358B9" w:rsidRDefault="00047F10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7*</w:t>
            </w:r>
          </w:p>
        </w:tc>
      </w:tr>
      <w:tr w:rsidR="00F75269" w:rsidRPr="001358B9" w14:paraId="0CF95FA5" w14:textId="77777777" w:rsidTr="000436B6">
        <w:trPr>
          <w:trHeight w:hRule="exact" w:val="288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1A50E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5E679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7885F" w14:textId="77777777" w:rsidR="00F75269" w:rsidRPr="001358B9" w:rsidRDefault="003B4BDE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Zápcha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678B3E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21,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557E1F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D458BC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19,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5CE63C" w14:textId="77777777" w:rsidR="00F75269" w:rsidRPr="001358B9" w:rsidRDefault="00F75269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  <w:r w:rsidR="00047F10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</w:p>
        </w:tc>
      </w:tr>
      <w:tr w:rsidR="00F75269" w:rsidRPr="001358B9" w14:paraId="46CED73C" w14:textId="77777777" w:rsidTr="000436B6">
        <w:trPr>
          <w:trHeight w:hRule="exact" w:val="549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6FA3B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A999A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37F90" w14:textId="77777777" w:rsidR="00F75269" w:rsidRPr="001358B9" w:rsidRDefault="00F75269">
            <w:pPr>
              <w:spacing w:before="2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Stomatit</w:t>
            </w:r>
            <w:r w:rsidR="003B4BDE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ída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/</w:t>
            </w:r>
          </w:p>
          <w:p w14:paraId="4B719041" w14:textId="77777777" w:rsidR="00F75269" w:rsidRPr="001358B9" w:rsidRDefault="003B4BDE">
            <w:pPr>
              <w:spacing w:before="7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F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aryngit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ída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B7D864" w14:textId="77777777" w:rsidR="00F75269" w:rsidRPr="001358B9" w:rsidRDefault="00047F10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13,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F558CE" w14:textId="77777777" w:rsidR="00F75269" w:rsidRPr="001358B9" w:rsidRDefault="00047F10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5CC6ED" w14:textId="77777777" w:rsidR="00F75269" w:rsidRPr="001358B9" w:rsidRDefault="00047F10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12,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48681B" w14:textId="77777777" w:rsidR="00F75269" w:rsidRPr="001358B9" w:rsidRDefault="00047F10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</w:tr>
      <w:tr w:rsidR="00F75269" w:rsidRPr="001358B9" w14:paraId="0F03C62F" w14:textId="77777777" w:rsidTr="000436B6">
        <w:trPr>
          <w:trHeight w:hRule="exact" w:val="547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3E35B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5C344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10429" w14:textId="77777777" w:rsidR="00F75269" w:rsidRPr="001358B9" w:rsidRDefault="003B4BDE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Hnačka bez</w:t>
            </w:r>
          </w:p>
          <w:p w14:paraId="13F9676C" w14:textId="77777777" w:rsidR="00F75269" w:rsidRPr="001358B9" w:rsidRDefault="003B4BDE">
            <w:pPr>
              <w:spacing w:before="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k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olost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ómie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015B7F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12,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1FF8FE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3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A00AA8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12,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C59577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</w:p>
        </w:tc>
      </w:tr>
      <w:tr w:rsidR="00F75269" w:rsidRPr="001358B9" w14:paraId="49762EC9" w14:textId="77777777" w:rsidTr="000436B6">
        <w:trPr>
          <w:trHeight w:hRule="exact" w:val="547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6A549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F9B71" w14:textId="77777777" w:rsidR="00F75269" w:rsidRPr="001358B9" w:rsidRDefault="003B4BDE">
            <w:pPr>
              <w:spacing w:before="24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Časté</w:t>
            </w: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B0130" w14:textId="77777777" w:rsidR="00F75269" w:rsidRPr="001358B9" w:rsidRDefault="00F75269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Dyspepsia/</w:t>
            </w:r>
          </w:p>
          <w:p w14:paraId="3B795EB0" w14:textId="77777777" w:rsidR="00F75269" w:rsidRPr="001358B9" w:rsidRDefault="003B4BDE">
            <w:pPr>
              <w:spacing w:before="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Pálenie záhy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24E05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E7E59E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60A308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5B526F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F75269" w:rsidRPr="001358B9" w14:paraId="7381B90D" w14:textId="77777777" w:rsidTr="000436B6">
        <w:trPr>
          <w:trHeight w:hRule="exact" w:val="549"/>
        </w:trPr>
        <w:tc>
          <w:tcPr>
            <w:tcW w:w="90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DB347" w14:textId="77777777" w:rsidR="003B4BDE" w:rsidRPr="001358B9" w:rsidRDefault="003B4BDE" w:rsidP="009F07FA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Poruchy kože a</w:t>
            </w:r>
          </w:p>
          <w:p w14:paraId="1B0397F7" w14:textId="77777777" w:rsidR="003B4BDE" w:rsidRPr="001358B9" w:rsidRDefault="003B4BDE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podkožného</w:t>
            </w:r>
          </w:p>
          <w:p w14:paraId="73E9AB28" w14:textId="77777777" w:rsidR="00F75269" w:rsidRPr="001358B9" w:rsidRDefault="003B4BDE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tkaniva</w:t>
            </w:r>
          </w:p>
        </w:tc>
        <w:tc>
          <w:tcPr>
            <w:tcW w:w="7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801DC" w14:textId="77777777" w:rsidR="00F75269" w:rsidRPr="001358B9" w:rsidRDefault="003B4BDE">
            <w:pPr>
              <w:spacing w:before="6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Veľmi časté</w:t>
            </w: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C3727" w14:textId="77777777" w:rsidR="00F75269" w:rsidRPr="001358B9" w:rsidRDefault="00F75269">
            <w:pPr>
              <w:spacing w:before="2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Alop</w:t>
            </w:r>
            <w:r w:rsidR="003B4BDE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é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cia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CB207" w14:textId="77777777" w:rsidR="00F75269" w:rsidRPr="001358B9" w:rsidRDefault="00047F10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11,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9*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768EBC" w14:textId="77777777" w:rsidR="00F75269" w:rsidRPr="001358B9" w:rsidRDefault="00F75269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0***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4E941F" w14:textId="77777777" w:rsidR="00F75269" w:rsidRPr="001358B9" w:rsidRDefault="00047F10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21,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4*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952A3A" w14:textId="77777777" w:rsidR="00F75269" w:rsidRPr="001358B9" w:rsidRDefault="00047F10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5***</w:t>
            </w:r>
          </w:p>
        </w:tc>
      </w:tr>
      <w:tr w:rsidR="00F75269" w:rsidRPr="001358B9" w14:paraId="3075BD63" w14:textId="77777777" w:rsidTr="000436B6">
        <w:trPr>
          <w:trHeight w:hRule="exact" w:val="673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51A96" w14:textId="77777777" w:rsidR="00F75269" w:rsidRPr="001358B9" w:rsidRDefault="00F75269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9D7DE" w14:textId="77777777" w:rsidR="00F75269" w:rsidRPr="001358B9" w:rsidRDefault="003B4BDE">
            <w:pPr>
              <w:spacing w:before="23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Časté</w:t>
            </w: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B1E49" w14:textId="77777777" w:rsidR="003B4BDE" w:rsidRPr="001358B9" w:rsidRDefault="003B4BDE">
            <w:pPr>
              <w:spacing w:before="23" w:after="0" w:line="240" w:lineRule="auto"/>
              <w:ind w:left="12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Vyrážka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/</w:t>
            </w:r>
          </w:p>
          <w:p w14:paraId="2225D108" w14:textId="77777777" w:rsidR="00F75269" w:rsidRPr="001358B9" w:rsidRDefault="00F75269">
            <w:pPr>
              <w:spacing w:before="23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des</w:t>
            </w:r>
            <w:r w:rsidR="003B4BDE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kv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am</w:t>
            </w:r>
            <w:r w:rsidR="003B4BDE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ácia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D0D2B6" w14:textId="77777777" w:rsidR="00F75269" w:rsidRPr="001358B9" w:rsidRDefault="00F75269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  <w:r w:rsidR="00047F10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304970" w14:textId="77777777" w:rsidR="00F75269" w:rsidRPr="001358B9" w:rsidRDefault="00047F10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7E25CE" w14:textId="77777777" w:rsidR="00F75269" w:rsidRPr="001358B9" w:rsidRDefault="00F75269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  <w:r w:rsidR="00047F10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D1AB0" w14:textId="77777777" w:rsidR="00F75269" w:rsidRPr="001358B9" w:rsidRDefault="00F75269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  <w:r w:rsidR="00047F10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</w:tr>
      <w:tr w:rsidR="00F75269" w:rsidRPr="001358B9" w14:paraId="1CA9CF77" w14:textId="77777777" w:rsidTr="008018EA">
        <w:trPr>
          <w:trHeight w:hRule="exact" w:val="1141"/>
        </w:trPr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F4493" w14:textId="77777777" w:rsidR="003B4BDE" w:rsidRPr="001358B9" w:rsidRDefault="003B4BDE" w:rsidP="009F07FA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Poruchy</w:t>
            </w:r>
          </w:p>
          <w:p w14:paraId="09268B6E" w14:textId="77777777" w:rsidR="003B4BDE" w:rsidRPr="001358B9" w:rsidRDefault="003B4BDE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obličiek</w:t>
            </w:r>
          </w:p>
          <w:p w14:paraId="26BFAE24" w14:textId="77777777" w:rsidR="003B4BDE" w:rsidRPr="001358B9" w:rsidRDefault="003B4BDE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a močových</w:t>
            </w:r>
          </w:p>
          <w:p w14:paraId="228850E1" w14:textId="77777777" w:rsidR="00F75269" w:rsidRPr="001358B9" w:rsidRDefault="003B4BDE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ciest</w:t>
            </w:r>
          </w:p>
        </w:tc>
        <w:tc>
          <w:tcPr>
            <w:tcW w:w="7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38B3F" w14:textId="77777777" w:rsidR="00F75269" w:rsidRPr="001358B9" w:rsidRDefault="003B4BDE">
            <w:pPr>
              <w:spacing w:before="6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Veľmi časté</w:t>
            </w: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1E2FA" w14:textId="77777777" w:rsidR="003B4BDE" w:rsidRPr="001358B9" w:rsidRDefault="003B4BDE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Zvýšenie</w:t>
            </w:r>
          </w:p>
          <w:p w14:paraId="4D7D6AA9" w14:textId="77777777" w:rsidR="00F75269" w:rsidRPr="001358B9" w:rsidRDefault="003B4BDE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k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reatin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ínu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71A711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10,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1*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31091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3F58E7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9*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4261AB" w14:textId="77777777" w:rsidR="00F75269" w:rsidRPr="001358B9" w:rsidRDefault="00047F10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</w:tr>
      <w:tr w:rsidR="00F75269" w:rsidRPr="001358B9" w14:paraId="2B55ED07" w14:textId="77777777" w:rsidTr="000436B6">
        <w:trPr>
          <w:trHeight w:hRule="exact" w:val="1065"/>
        </w:trPr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8C2C0" w14:textId="77777777" w:rsidR="00F75269" w:rsidRPr="001358B9" w:rsidRDefault="00325DA5" w:rsidP="009F07FA">
            <w:pPr>
              <w:spacing w:before="4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Celkové poruchy a reakcie v mieste podania</w:t>
            </w:r>
          </w:p>
        </w:tc>
        <w:tc>
          <w:tcPr>
            <w:tcW w:w="7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41445" w14:textId="77777777" w:rsidR="00F75269" w:rsidRPr="001358B9" w:rsidRDefault="003B4BDE">
            <w:pPr>
              <w:spacing w:before="6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Veľmi časté</w:t>
            </w: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A70B7" w14:textId="77777777" w:rsidR="00F75269" w:rsidRPr="001358B9" w:rsidRDefault="003B4BDE">
            <w:pPr>
              <w:spacing w:before="2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Únava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2C132" w14:textId="77777777" w:rsidR="00F75269" w:rsidRPr="001358B9" w:rsidRDefault="00F75269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42</w:t>
            </w:r>
            <w:r w:rsidR="00047F10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AA7527" w14:textId="77777777" w:rsidR="00F75269" w:rsidRPr="001358B9" w:rsidRDefault="00047F10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5D38C7" w14:textId="77777777" w:rsidR="00F75269" w:rsidRPr="001358B9" w:rsidRDefault="00F75269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44</w:t>
            </w:r>
            <w:r w:rsidR="00047F10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57FB70" w14:textId="77777777" w:rsidR="00F75269" w:rsidRPr="001358B9" w:rsidRDefault="00047F10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4,</w:t>
            </w:r>
            <w:r w:rsidR="00F7526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</w:t>
            </w:r>
          </w:p>
        </w:tc>
      </w:tr>
    </w:tbl>
    <w:p w14:paraId="1A72EA41" w14:textId="35FC2C6A" w:rsidR="00C51A9C" w:rsidRPr="001358B9" w:rsidRDefault="000423AF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20"/>
        <w:rPr>
          <w:rFonts w:ascii="Times New Roman" w:hAnsi="Times New Roman"/>
        </w:rPr>
      </w:pPr>
      <w:r w:rsidRPr="00927728">
        <w:rPr>
          <w:rFonts w:ascii="Times New Roman" w:hAnsi="Times New Roman"/>
        </w:rPr>
        <w:t xml:space="preserve">* </w:t>
      </w:r>
      <w:r w:rsidR="00A03084" w:rsidRPr="001358B9">
        <w:rPr>
          <w:rFonts w:ascii="Times New Roman" w:hAnsi="Times New Roman"/>
        </w:rPr>
        <w:t>p</w:t>
      </w:r>
      <w:r w:rsidR="00C51A9C" w:rsidRPr="001358B9">
        <w:rPr>
          <w:rFonts w:ascii="Times New Roman" w:hAnsi="Times New Roman"/>
        </w:rPr>
        <w:t>-hodnoty &lt; 0,05 v porovnaní pemetrexedu/cisplatiny s gemcitabínom/cisplatinou, použitím Fisher</w:t>
      </w:r>
      <w:r w:rsidR="00DC49A7" w:rsidRPr="001358B9">
        <w:rPr>
          <w:rFonts w:ascii="Times New Roman" w:hAnsi="Times New Roman"/>
        </w:rPr>
        <w:t>ovho presného</w:t>
      </w:r>
      <w:r w:rsidR="00C51A9C" w:rsidRPr="001358B9">
        <w:rPr>
          <w:rFonts w:ascii="Times New Roman" w:hAnsi="Times New Roman"/>
        </w:rPr>
        <w:t xml:space="preserve"> testu</w:t>
      </w:r>
      <w:r w:rsidRPr="001358B9">
        <w:rPr>
          <w:rFonts w:ascii="Times New Roman" w:hAnsi="Times New Roman"/>
        </w:rPr>
        <w:t>.</w:t>
      </w:r>
      <w:r w:rsidR="00C51A9C" w:rsidRPr="001358B9">
        <w:rPr>
          <w:rFonts w:ascii="Times New Roman" w:hAnsi="Times New Roman"/>
        </w:rPr>
        <w:t xml:space="preserve"> </w:t>
      </w:r>
    </w:p>
    <w:p w14:paraId="459188BE" w14:textId="77777777" w:rsidR="00C51A9C" w:rsidRPr="001358B9" w:rsidRDefault="000423A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>** P</w:t>
      </w:r>
      <w:r w:rsidR="00C51A9C" w:rsidRPr="001358B9">
        <w:rPr>
          <w:rFonts w:ascii="Times New Roman" w:hAnsi="Times New Roman"/>
        </w:rPr>
        <w:t xml:space="preserve">ozri „National Cancer Institute“ CTC (v2.0; NCI 1998) pre každý stupeň toxicity. </w:t>
      </w:r>
    </w:p>
    <w:p w14:paraId="7B37C5A6" w14:textId="77777777" w:rsidR="00C51A9C" w:rsidRPr="001358B9" w:rsidRDefault="000423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00"/>
        <w:rPr>
          <w:rFonts w:ascii="Times New Roman" w:hAnsi="Times New Roman"/>
        </w:rPr>
      </w:pPr>
      <w:r w:rsidRPr="001358B9">
        <w:rPr>
          <w:rFonts w:ascii="Times New Roman" w:hAnsi="Times New Roman"/>
        </w:rPr>
        <w:t>*** P</w:t>
      </w:r>
      <w:r w:rsidR="00C51A9C" w:rsidRPr="001358B9">
        <w:rPr>
          <w:rFonts w:ascii="Times New Roman" w:hAnsi="Times New Roman"/>
        </w:rPr>
        <w:t xml:space="preserve">odľa „National Cancer Institute“ CTC (v2.0; NCI 1998) porucha chuti a alopécia sa majú hlásiť len ako 1. alebo 2. stupeň. </w:t>
      </w:r>
    </w:p>
    <w:p w14:paraId="25A66F56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D09FDCC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00"/>
        <w:rPr>
          <w:rFonts w:ascii="Times New Roman" w:hAnsi="Times New Roman"/>
        </w:rPr>
      </w:pPr>
      <w:r w:rsidRPr="001358B9">
        <w:rPr>
          <w:rFonts w:ascii="Times New Roman" w:hAnsi="Times New Roman"/>
        </w:rPr>
        <w:t>Pre účely tejto tabuľky bola použitá hraničná hodnota 5 % na zaradenie všetkých udalostí, ktoré mali podľa ohlasovateľa možný vzťah s pemetrexedom a cisplatinou.</w:t>
      </w:r>
    </w:p>
    <w:p w14:paraId="035A66DC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28C131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</w:rPr>
        <w:t xml:space="preserve">Klinicky relevantná toxicita zaznamenaná u ≥ 1 % a </w:t>
      </w:r>
      <w:r w:rsidRPr="001358B9">
        <w:rPr>
          <w:rFonts w:ascii="Times New Roman" w:hAnsi="Times New Roman"/>
          <w:u w:val="single"/>
        </w:rPr>
        <w:t>&lt;</w:t>
      </w:r>
      <w:r w:rsidRPr="001358B9">
        <w:rPr>
          <w:rFonts w:ascii="Times New Roman" w:hAnsi="Times New Roman"/>
        </w:rPr>
        <w:t xml:space="preserve"> 5 % pacientov, ktorí boli randomizovaní na liečbu cisplatinou a pemetrexedom, zahŕňa: zvýšenie AST, zvýšenie ALT, infekciu, febrilnú neutropéniu, renálne zlyhanie, pyrexiu, dehydratáciu, konjunktivitídu a pokles klírensu kreatinínu.</w:t>
      </w:r>
    </w:p>
    <w:p w14:paraId="3C884247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0"/>
        <w:rPr>
          <w:rFonts w:ascii="Times New Roman" w:hAnsi="Times New Roman"/>
        </w:rPr>
      </w:pPr>
      <w:r w:rsidRPr="001358B9">
        <w:rPr>
          <w:rFonts w:ascii="Times New Roman" w:hAnsi="Times New Roman"/>
        </w:rPr>
        <w:t>Klinicky relevantná toxicita zaznamenaná u &lt; 1 % pacientov, ktorí boli randomizovaní na liečbu cisplatinou a pemetrexedom, zahŕňa: zvýšenie GGT, bolesť na hrudi, arytmiu a motorickú neuropatiu.</w:t>
      </w:r>
    </w:p>
    <w:p w14:paraId="52637097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BE31FAE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80"/>
        <w:rPr>
          <w:rFonts w:ascii="Times New Roman" w:hAnsi="Times New Roman"/>
        </w:rPr>
      </w:pPr>
      <w:r w:rsidRPr="001358B9">
        <w:rPr>
          <w:rFonts w:ascii="Times New Roman" w:hAnsi="Times New Roman"/>
        </w:rPr>
        <w:t>Klinicky významné prejavy toxicity s ohľadom na pohlavie boli rovnaké ako v celkovej populácii u pacientov užívajúcich pemetrexed s cisplatinou.</w:t>
      </w:r>
    </w:p>
    <w:p w14:paraId="63433358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415AEB5" w14:textId="77777777" w:rsidR="00C51A9C" w:rsidRPr="001358B9" w:rsidRDefault="003059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60"/>
        <w:rPr>
          <w:rFonts w:ascii="Times New Roman" w:hAnsi="Times New Roman"/>
        </w:rPr>
      </w:pPr>
      <w:r w:rsidRPr="001358B9">
        <w:rPr>
          <w:rFonts w:ascii="Times New Roman" w:hAnsi="Times New Roman"/>
        </w:rPr>
        <w:t>T</w:t>
      </w:r>
      <w:r w:rsidR="00C51A9C" w:rsidRPr="001358B9">
        <w:rPr>
          <w:rFonts w:ascii="Times New Roman" w:hAnsi="Times New Roman"/>
        </w:rPr>
        <w:t xml:space="preserve">abuľka </w:t>
      </w:r>
      <w:r w:rsidRPr="001358B9">
        <w:rPr>
          <w:rFonts w:ascii="Times New Roman" w:hAnsi="Times New Roman"/>
        </w:rPr>
        <w:t xml:space="preserve">nižšie </w:t>
      </w:r>
      <w:r w:rsidR="00C51A9C" w:rsidRPr="001358B9">
        <w:rPr>
          <w:rFonts w:ascii="Times New Roman" w:hAnsi="Times New Roman"/>
        </w:rPr>
        <w:t xml:space="preserve">uvádza frekvenciu a závažnosť nežiaducich účinkov pravdepodobne súvisiacich so skúmaným liekom, ktoré boli zaznamenané v klinických štúdiách udržiavacej liečby pemetrexedom v monoterapii (JMEN: n = 663) a v pokračovacej udržiavacej liečbe pemetrexedom (PARAMOUNT: n = 539) u viac ako 5 % z 800 pacientov randomizovaných na liečbu samotným pemetrexedom a 402 pacientov randomizovaných na liečbu placebom. Všetkým pacientom </w:t>
      </w:r>
      <w:r w:rsidR="00322D6D" w:rsidRPr="001358B9">
        <w:rPr>
          <w:rFonts w:ascii="Times New Roman" w:hAnsi="Times New Roman"/>
        </w:rPr>
        <w:t>diagnostikovali štádium IIIB alebo IV NSCLC</w:t>
      </w:r>
      <w:r w:rsidR="00293830" w:rsidRPr="001358B9">
        <w:rPr>
          <w:rFonts w:ascii="Times New Roman" w:hAnsi="Times New Roman"/>
        </w:rPr>
        <w:t>,</w:t>
      </w:r>
      <w:r w:rsidR="00322D6D" w:rsidRPr="001358B9">
        <w:rPr>
          <w:rFonts w:ascii="Times New Roman" w:hAnsi="Times New Roman"/>
        </w:rPr>
        <w:t xml:space="preserve"> </w:t>
      </w:r>
      <w:r w:rsidR="00C51A9C" w:rsidRPr="001358B9">
        <w:rPr>
          <w:rFonts w:ascii="Times New Roman" w:hAnsi="Times New Roman"/>
        </w:rPr>
        <w:t>pred</w:t>
      </w:r>
      <w:r w:rsidR="00322D6D" w:rsidRPr="001358B9">
        <w:rPr>
          <w:rFonts w:ascii="Times New Roman" w:hAnsi="Times New Roman"/>
        </w:rPr>
        <w:t>tým</w:t>
      </w:r>
      <w:r w:rsidR="00C51A9C" w:rsidRPr="001358B9">
        <w:rPr>
          <w:rFonts w:ascii="Times New Roman" w:hAnsi="Times New Roman"/>
        </w:rPr>
        <w:t xml:space="preserve"> </w:t>
      </w:r>
      <w:r w:rsidR="00322D6D" w:rsidRPr="001358B9">
        <w:rPr>
          <w:rFonts w:ascii="Times New Roman" w:hAnsi="Times New Roman"/>
        </w:rPr>
        <w:t>dostávali</w:t>
      </w:r>
      <w:r w:rsidR="00C51A9C" w:rsidRPr="001358B9">
        <w:rPr>
          <w:rFonts w:ascii="Times New Roman" w:hAnsi="Times New Roman"/>
        </w:rPr>
        <w:t xml:space="preserve"> chemoterapi</w:t>
      </w:r>
      <w:r w:rsidR="00322D6D" w:rsidRPr="001358B9">
        <w:rPr>
          <w:rFonts w:ascii="Times New Roman" w:hAnsi="Times New Roman"/>
        </w:rPr>
        <w:t>u</w:t>
      </w:r>
      <w:r w:rsidR="00C51A9C" w:rsidRPr="001358B9">
        <w:rPr>
          <w:rFonts w:ascii="Times New Roman" w:hAnsi="Times New Roman"/>
        </w:rPr>
        <w:t xml:space="preserve"> na báze platiny. Pacienti v obidvoch štud</w:t>
      </w:r>
      <w:r w:rsidR="00293830" w:rsidRPr="001358B9">
        <w:rPr>
          <w:rFonts w:ascii="Times New Roman" w:hAnsi="Times New Roman"/>
        </w:rPr>
        <w:t>ova</w:t>
      </w:r>
      <w:r w:rsidR="00C51A9C" w:rsidRPr="001358B9">
        <w:rPr>
          <w:rFonts w:ascii="Times New Roman" w:hAnsi="Times New Roman"/>
        </w:rPr>
        <w:t>ných ramenách dostávali plnú náhradu kyseliny listovej a vitamínu B</w:t>
      </w:r>
      <w:r w:rsidR="00C51A9C" w:rsidRPr="001358B9">
        <w:rPr>
          <w:rFonts w:ascii="Times New Roman" w:hAnsi="Times New Roman"/>
          <w:vertAlign w:val="subscript"/>
        </w:rPr>
        <w:t>12</w:t>
      </w:r>
      <w:r w:rsidR="00C51A9C" w:rsidRPr="001358B9">
        <w:rPr>
          <w:rFonts w:ascii="Times New Roman" w:hAnsi="Times New Roman"/>
        </w:rPr>
        <w:t>.</w:t>
      </w:r>
    </w:p>
    <w:p w14:paraId="6EDC1344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1285"/>
        <w:gridCol w:w="1402"/>
        <w:gridCol w:w="1133"/>
        <w:gridCol w:w="1111"/>
        <w:gridCol w:w="1274"/>
        <w:gridCol w:w="1274"/>
      </w:tblGrid>
      <w:tr w:rsidR="00322D6D" w:rsidRPr="001358B9" w14:paraId="3FB5569B" w14:textId="77777777" w:rsidTr="008018EA">
        <w:trPr>
          <w:trHeight w:hRule="exact" w:val="527"/>
        </w:trPr>
        <w:tc>
          <w:tcPr>
            <w:tcW w:w="8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</w:tcPr>
          <w:p w14:paraId="0BDC1CC7" w14:textId="77777777" w:rsidR="00322D6D" w:rsidRPr="001358B9" w:rsidRDefault="00322D6D">
            <w:pPr>
              <w:spacing w:after="0" w:line="240" w:lineRule="auto"/>
              <w:ind w:left="110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lang w:eastAsia="en-GB"/>
              </w:rPr>
              <w:t>Trieda orgánových systémov</w:t>
            </w:r>
            <w:r w:rsidR="00356D11" w:rsidRPr="001358B9">
              <w:rPr>
                <w:rFonts w:ascii="Times New Roman" w:eastAsia="Times New Roman" w:hAnsi="Times New Roman"/>
                <w:b/>
                <w:lang w:eastAsia="en-GB"/>
              </w:rPr>
              <w:t xml:space="preserve"> podľa databázy MedDRA</w:t>
            </w:r>
          </w:p>
        </w:tc>
        <w:tc>
          <w:tcPr>
            <w:tcW w:w="7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</w:tcPr>
          <w:p w14:paraId="1648C88D" w14:textId="77777777" w:rsidR="00322D6D" w:rsidRPr="001358B9" w:rsidRDefault="00322D6D">
            <w:pPr>
              <w:spacing w:before="24" w:after="0" w:line="240" w:lineRule="auto"/>
              <w:ind w:left="109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Fre</w:t>
            </w:r>
            <w:r w:rsidR="00D21768"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kvencia</w:t>
            </w: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*</w:t>
            </w:r>
          </w:p>
        </w:tc>
        <w:tc>
          <w:tcPr>
            <w:tcW w:w="7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</w:tcPr>
          <w:p w14:paraId="01427CED" w14:textId="77777777" w:rsidR="00322D6D" w:rsidRPr="001358B9" w:rsidRDefault="00D21768">
            <w:pPr>
              <w:spacing w:before="24" w:after="0" w:line="240" w:lineRule="auto"/>
              <w:ind w:left="86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Udalosť</w:t>
            </w:r>
            <w:r w:rsidR="00322D6D"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**</w:t>
            </w:r>
          </w:p>
        </w:tc>
        <w:tc>
          <w:tcPr>
            <w:tcW w:w="1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EBF504F" w14:textId="77777777" w:rsidR="00322D6D" w:rsidRPr="001358B9" w:rsidRDefault="00322D6D">
            <w:pPr>
              <w:spacing w:before="9" w:after="0" w:line="240" w:lineRule="auto"/>
              <w:ind w:left="85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Pemetrexed***</w:t>
            </w:r>
          </w:p>
          <w:p w14:paraId="3C78DA17" w14:textId="77777777" w:rsidR="00322D6D" w:rsidRPr="001358B9" w:rsidRDefault="00322D6D">
            <w:pPr>
              <w:spacing w:before="6" w:after="0" w:line="240" w:lineRule="auto"/>
              <w:ind w:left="722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</w:p>
        </w:tc>
        <w:tc>
          <w:tcPr>
            <w:tcW w:w="1408" w:type="pct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3537F3F" w14:textId="77777777" w:rsidR="00322D6D" w:rsidRPr="001358B9" w:rsidRDefault="00322D6D">
            <w:pPr>
              <w:spacing w:before="9" w:after="0" w:line="240" w:lineRule="auto"/>
              <w:ind w:left="141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Placebo***</w:t>
            </w:r>
          </w:p>
          <w:p w14:paraId="35455407" w14:textId="77777777" w:rsidR="00322D6D" w:rsidRPr="001358B9" w:rsidRDefault="00322D6D">
            <w:pPr>
              <w:spacing w:before="6" w:after="0" w:line="240" w:lineRule="auto"/>
              <w:ind w:left="552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</w:p>
        </w:tc>
      </w:tr>
      <w:tr w:rsidR="00322D6D" w:rsidRPr="001358B9" w14:paraId="0D25DF23" w14:textId="77777777" w:rsidTr="008018EA">
        <w:trPr>
          <w:trHeight w:hRule="exact" w:val="527"/>
        </w:trPr>
        <w:tc>
          <w:tcPr>
            <w:tcW w:w="872" w:type="pct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AC83C6C" w14:textId="77777777" w:rsidR="00322D6D" w:rsidRPr="001358B9" w:rsidRDefault="00322D6D">
            <w:pPr>
              <w:spacing w:after="0" w:line="240" w:lineRule="auto"/>
              <w:ind w:left="110"/>
              <w:rPr>
                <w:rFonts w:ascii="Times New Roman" w:eastAsia="Times New Roman" w:hAnsi="Times New Roman"/>
                <w:b/>
                <w:lang w:eastAsia="en-GB"/>
              </w:rPr>
            </w:pPr>
          </w:p>
        </w:tc>
        <w:tc>
          <w:tcPr>
            <w:tcW w:w="705" w:type="pct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EC2B2FB" w14:textId="77777777" w:rsidR="00322D6D" w:rsidRPr="001358B9" w:rsidRDefault="00322D6D">
            <w:pPr>
              <w:spacing w:after="0" w:line="240" w:lineRule="auto"/>
              <w:ind w:left="109"/>
              <w:rPr>
                <w:rFonts w:ascii="Times New Roman" w:eastAsia="Times New Roman" w:hAnsi="Times New Roman"/>
                <w:b/>
                <w:lang w:eastAsia="en-GB"/>
              </w:rPr>
            </w:pPr>
          </w:p>
        </w:tc>
        <w:tc>
          <w:tcPr>
            <w:tcW w:w="775" w:type="pct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E59266A" w14:textId="77777777" w:rsidR="00322D6D" w:rsidRPr="001358B9" w:rsidRDefault="00322D6D">
            <w:pPr>
              <w:spacing w:after="0" w:line="240" w:lineRule="auto"/>
              <w:ind w:left="393"/>
              <w:rPr>
                <w:rFonts w:ascii="Times New Roman" w:eastAsia="Times New Roman" w:hAnsi="Times New Roman"/>
                <w:b/>
                <w:lang w:eastAsia="en-GB"/>
              </w:rPr>
            </w:pPr>
          </w:p>
        </w:tc>
        <w:tc>
          <w:tcPr>
            <w:tcW w:w="1239" w:type="pct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D23AB8A" w14:textId="77777777" w:rsidR="00322D6D" w:rsidRPr="001358B9" w:rsidRDefault="00322D6D">
            <w:pPr>
              <w:spacing w:before="9" w:after="0" w:line="240" w:lineRule="auto"/>
              <w:ind w:left="410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</w:t>
            </w:r>
            <w:r w:rsidR="00D21768"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n</w:t>
            </w: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 xml:space="preserve"> =</w:t>
            </w:r>
            <w:r w:rsidR="00D21768"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 xml:space="preserve"> </w:t>
            </w: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800)</w:t>
            </w:r>
          </w:p>
        </w:tc>
        <w:tc>
          <w:tcPr>
            <w:tcW w:w="1408" w:type="pct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C78B0DE" w14:textId="77777777" w:rsidR="00322D6D" w:rsidRPr="001358B9" w:rsidRDefault="00322D6D">
            <w:pPr>
              <w:spacing w:before="9" w:after="0" w:line="240" w:lineRule="auto"/>
              <w:ind w:left="141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</w:t>
            </w:r>
            <w:r w:rsidR="00D21768"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n</w:t>
            </w: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 xml:space="preserve"> =</w:t>
            </w:r>
            <w:r w:rsidR="00D21768"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 xml:space="preserve"> </w:t>
            </w: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402)</w:t>
            </w:r>
          </w:p>
        </w:tc>
      </w:tr>
      <w:tr w:rsidR="00322D6D" w:rsidRPr="001358B9" w14:paraId="3D9B9949" w14:textId="77777777" w:rsidTr="008018EA">
        <w:trPr>
          <w:trHeight w:hRule="exact" w:val="1044"/>
        </w:trPr>
        <w:tc>
          <w:tcPr>
            <w:tcW w:w="8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0EDF4D2" w14:textId="77777777" w:rsidR="00322D6D" w:rsidRPr="001358B9" w:rsidRDefault="00322D6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n-GB"/>
              </w:rPr>
            </w:pPr>
          </w:p>
        </w:tc>
        <w:tc>
          <w:tcPr>
            <w:tcW w:w="70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3D5CB1F" w14:textId="77777777" w:rsidR="00322D6D" w:rsidRPr="001358B9" w:rsidRDefault="00322D6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n-GB"/>
              </w:rPr>
            </w:pPr>
          </w:p>
        </w:tc>
        <w:tc>
          <w:tcPr>
            <w:tcW w:w="77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BDE2BE4" w14:textId="77777777" w:rsidR="00322D6D" w:rsidRPr="001358B9" w:rsidRDefault="00322D6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n-GB"/>
              </w:rPr>
            </w:pPr>
          </w:p>
        </w:tc>
        <w:tc>
          <w:tcPr>
            <w:tcW w:w="626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546C803" w14:textId="77777777" w:rsidR="00322D6D" w:rsidRPr="001358B9" w:rsidRDefault="00D21768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lang w:eastAsia="en-GB"/>
              </w:rPr>
              <w:t>Všetky</w:t>
            </w:r>
          </w:p>
          <w:p w14:paraId="5773CA12" w14:textId="77777777" w:rsidR="00D21768" w:rsidRPr="001358B9" w:rsidRDefault="00D21768">
            <w:pPr>
              <w:spacing w:before="12" w:after="0" w:line="240" w:lineRule="auto"/>
              <w:ind w:left="85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stupne</w:t>
            </w:r>
          </w:p>
          <w:p w14:paraId="101BEA1C" w14:textId="77777777" w:rsidR="00322D6D" w:rsidRPr="001358B9" w:rsidRDefault="00322D6D">
            <w:pPr>
              <w:spacing w:before="12" w:after="0" w:line="240" w:lineRule="auto"/>
              <w:ind w:left="85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toxicity</w:t>
            </w:r>
          </w:p>
          <w:p w14:paraId="19F0F849" w14:textId="77777777" w:rsidR="00322D6D" w:rsidRPr="001358B9" w:rsidRDefault="00322D6D">
            <w:pPr>
              <w:spacing w:before="4" w:after="0" w:line="240" w:lineRule="auto"/>
              <w:ind w:left="85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(%)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C71C044" w14:textId="77777777" w:rsidR="00322D6D" w:rsidRPr="001358B9" w:rsidRDefault="00D21768">
            <w:pPr>
              <w:spacing w:before="10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lang w:eastAsia="en-GB"/>
              </w:rPr>
              <w:t>Toxicita</w:t>
            </w:r>
          </w:p>
          <w:p w14:paraId="42E9CFF0" w14:textId="77777777" w:rsidR="00322D6D" w:rsidRPr="001358B9" w:rsidRDefault="00322D6D">
            <w:pPr>
              <w:spacing w:before="6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3</w:t>
            </w:r>
            <w:r w:rsidR="00D21768"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.</w:t>
            </w: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 xml:space="preserve"> </w:t>
            </w:r>
            <w:r w:rsidR="00D21768"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až</w:t>
            </w: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 xml:space="preserve"> 4</w:t>
            </w:r>
            <w:r w:rsidR="00D21768"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.</w:t>
            </w:r>
          </w:p>
          <w:p w14:paraId="1EDAFEDC" w14:textId="77777777" w:rsidR="00322D6D" w:rsidRPr="001358B9" w:rsidRDefault="00D21768">
            <w:pPr>
              <w:spacing w:before="6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stupňa</w:t>
            </w:r>
          </w:p>
          <w:p w14:paraId="526FFB23" w14:textId="77777777" w:rsidR="00322D6D" w:rsidRPr="001358B9" w:rsidRDefault="00322D6D">
            <w:pPr>
              <w:spacing w:before="4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(%)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0256EA" w14:textId="77777777" w:rsidR="00322D6D" w:rsidRPr="001358B9" w:rsidRDefault="00D21768">
            <w:pPr>
              <w:spacing w:before="10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lang w:eastAsia="en-GB"/>
              </w:rPr>
              <w:t>Všetky</w:t>
            </w:r>
          </w:p>
          <w:p w14:paraId="4DCD29BF" w14:textId="77777777" w:rsidR="00322D6D" w:rsidRPr="001358B9" w:rsidRDefault="00D21768">
            <w:pPr>
              <w:spacing w:before="6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stupne</w:t>
            </w:r>
          </w:p>
          <w:p w14:paraId="52C75CF3" w14:textId="77777777" w:rsidR="00322D6D" w:rsidRPr="001358B9" w:rsidRDefault="00322D6D">
            <w:pPr>
              <w:spacing w:before="6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toxicity</w:t>
            </w:r>
          </w:p>
          <w:p w14:paraId="4545CAF1" w14:textId="77777777" w:rsidR="00322D6D" w:rsidRPr="001358B9" w:rsidRDefault="00322D6D">
            <w:pPr>
              <w:spacing w:before="4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(%)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1875246" w14:textId="77777777" w:rsidR="00322D6D" w:rsidRPr="001358B9" w:rsidRDefault="00D21768">
            <w:pPr>
              <w:spacing w:before="10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lang w:eastAsia="en-GB"/>
              </w:rPr>
              <w:t>Toxicita</w:t>
            </w:r>
          </w:p>
          <w:p w14:paraId="5F6C0F49" w14:textId="77777777" w:rsidR="00322D6D" w:rsidRPr="001358B9" w:rsidRDefault="00322D6D">
            <w:pPr>
              <w:spacing w:before="6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3</w:t>
            </w:r>
            <w:r w:rsidR="00D21768"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.</w:t>
            </w: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 xml:space="preserve"> </w:t>
            </w:r>
            <w:r w:rsidR="00D21768"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až</w:t>
            </w: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 xml:space="preserve"> 4</w:t>
            </w:r>
            <w:r w:rsidR="00D21768"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.</w:t>
            </w:r>
          </w:p>
          <w:p w14:paraId="4F9344C7" w14:textId="77777777" w:rsidR="00322D6D" w:rsidRPr="001358B9" w:rsidRDefault="00D21768">
            <w:pPr>
              <w:spacing w:before="6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lang w:eastAsia="en-GB"/>
              </w:rPr>
              <w:t>stupňa</w:t>
            </w:r>
          </w:p>
          <w:p w14:paraId="5FC2574A" w14:textId="77777777" w:rsidR="00322D6D" w:rsidRPr="001358B9" w:rsidRDefault="00322D6D">
            <w:pPr>
              <w:spacing w:before="4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(%)</w:t>
            </w:r>
          </w:p>
        </w:tc>
      </w:tr>
      <w:tr w:rsidR="00322D6D" w:rsidRPr="001358B9" w14:paraId="3EE2EEAA" w14:textId="77777777" w:rsidTr="008018EA">
        <w:trPr>
          <w:trHeight w:hRule="exact" w:val="527"/>
        </w:trPr>
        <w:tc>
          <w:tcPr>
            <w:tcW w:w="872" w:type="pct"/>
            <w:vMerge w:val="restar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45279" w14:textId="77777777" w:rsidR="00192178" w:rsidRPr="001358B9" w:rsidRDefault="00192178" w:rsidP="009F07FA">
            <w:pPr>
              <w:spacing w:before="7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Poruchy krvi a</w:t>
            </w:r>
          </w:p>
          <w:p w14:paraId="5EECB456" w14:textId="77777777" w:rsidR="00192178" w:rsidRPr="001358B9" w:rsidRDefault="00192178">
            <w:pPr>
              <w:spacing w:before="7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lymfatického</w:t>
            </w:r>
          </w:p>
          <w:p w14:paraId="39CF32EA" w14:textId="77777777" w:rsidR="00322D6D" w:rsidRPr="001358B9" w:rsidRDefault="00192178">
            <w:pPr>
              <w:spacing w:before="7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systému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11585" w14:textId="77777777" w:rsidR="00322D6D" w:rsidRPr="001358B9" w:rsidRDefault="00192178">
            <w:pPr>
              <w:spacing w:before="4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Veľmi časté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37957" w14:textId="77777777" w:rsidR="00192178" w:rsidRPr="001358B9" w:rsidRDefault="00192178">
            <w:pPr>
              <w:spacing w:before="4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Pokles</w:t>
            </w:r>
          </w:p>
          <w:p w14:paraId="1A52D945" w14:textId="77777777" w:rsidR="00322D6D" w:rsidRPr="001358B9" w:rsidRDefault="00192178">
            <w:pPr>
              <w:spacing w:before="4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hemoglobínu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65FDA9" w14:textId="77777777" w:rsidR="00322D6D" w:rsidRPr="001358B9" w:rsidRDefault="001F6029">
            <w:pPr>
              <w:spacing w:before="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18,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C1352E" w14:textId="77777777" w:rsidR="00322D6D" w:rsidRPr="001358B9" w:rsidRDefault="00322D6D">
            <w:pPr>
              <w:spacing w:before="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  <w:r w:rsidR="001F602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1F80E" w14:textId="77777777" w:rsidR="00322D6D" w:rsidRPr="001358B9" w:rsidRDefault="001F6029">
            <w:pPr>
              <w:spacing w:before="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3622D4" w14:textId="77777777" w:rsidR="00322D6D" w:rsidRPr="001358B9" w:rsidRDefault="001F6029">
            <w:pPr>
              <w:spacing w:before="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</w:tr>
      <w:tr w:rsidR="00322D6D" w:rsidRPr="001358B9" w14:paraId="52FBF615" w14:textId="77777777" w:rsidTr="000436B6">
        <w:trPr>
          <w:trHeight w:hRule="exact" w:val="508"/>
        </w:trPr>
        <w:tc>
          <w:tcPr>
            <w:tcW w:w="87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ACCD2" w14:textId="77777777" w:rsidR="00322D6D" w:rsidRPr="001358B9" w:rsidRDefault="00322D6D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0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05EB2" w14:textId="77777777" w:rsidR="00322D6D" w:rsidRPr="001358B9" w:rsidRDefault="00192178">
            <w:pPr>
              <w:spacing w:before="6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Č</w:t>
            </w:r>
            <w:r w:rsidRPr="00927728">
              <w:rPr>
                <w:rFonts w:ascii="Times New Roman" w:eastAsia="Times New Roman" w:hAnsi="Times New Roman"/>
                <w:lang w:eastAsia="en-GB"/>
              </w:rPr>
              <w:t>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D944E" w14:textId="77777777" w:rsidR="00322D6D" w:rsidRPr="001358B9" w:rsidRDefault="00192178">
            <w:pPr>
              <w:spacing w:before="4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Pokles leukocytov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2F2C4E" w14:textId="77777777" w:rsidR="00322D6D" w:rsidRPr="001358B9" w:rsidRDefault="001F6029">
            <w:pPr>
              <w:spacing w:before="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C3A07B" w14:textId="77777777" w:rsidR="00322D6D" w:rsidRPr="001358B9" w:rsidRDefault="001F6029">
            <w:pPr>
              <w:spacing w:before="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F047A2" w14:textId="77777777" w:rsidR="00322D6D" w:rsidRPr="001358B9" w:rsidRDefault="001F6029">
            <w:pPr>
              <w:spacing w:before="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F8C720" w14:textId="77777777" w:rsidR="00322D6D" w:rsidRPr="001358B9" w:rsidRDefault="001F6029">
            <w:pPr>
              <w:spacing w:before="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</w:tr>
      <w:tr w:rsidR="00322D6D" w:rsidRPr="001358B9" w14:paraId="56F7BA1A" w14:textId="77777777" w:rsidTr="000436B6">
        <w:trPr>
          <w:trHeight w:hRule="exact" w:val="557"/>
        </w:trPr>
        <w:tc>
          <w:tcPr>
            <w:tcW w:w="87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C6D34" w14:textId="77777777" w:rsidR="00322D6D" w:rsidRPr="001358B9" w:rsidRDefault="00322D6D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0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63B1C" w14:textId="77777777" w:rsidR="00322D6D" w:rsidRPr="001358B9" w:rsidRDefault="00322D6D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66523" w14:textId="77777777" w:rsidR="00322D6D" w:rsidRPr="001358B9" w:rsidRDefault="00192178">
            <w:pPr>
              <w:spacing w:before="3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Pokles neutrofilov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429987" w14:textId="77777777" w:rsidR="00322D6D" w:rsidRPr="001358B9" w:rsidRDefault="001F6029">
            <w:pPr>
              <w:spacing w:before="8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089129" w14:textId="77777777" w:rsidR="00322D6D" w:rsidRPr="001358B9" w:rsidRDefault="001F6029">
            <w:pPr>
              <w:spacing w:before="8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B57F73" w14:textId="77777777" w:rsidR="00322D6D" w:rsidRPr="001358B9" w:rsidRDefault="001F6029">
            <w:pPr>
              <w:spacing w:before="8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E74967" w14:textId="77777777" w:rsidR="00322D6D" w:rsidRPr="001358B9" w:rsidRDefault="001F6029">
            <w:pPr>
              <w:spacing w:before="8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322D6D" w:rsidRPr="001358B9" w14:paraId="622EF973" w14:textId="77777777" w:rsidTr="000436B6">
        <w:trPr>
          <w:trHeight w:hRule="exact" w:val="801"/>
        </w:trPr>
        <w:tc>
          <w:tcPr>
            <w:tcW w:w="8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B4E6F" w14:textId="77777777" w:rsidR="00192178" w:rsidRPr="001358B9" w:rsidRDefault="00192178" w:rsidP="009F07FA">
            <w:pPr>
              <w:spacing w:before="3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Poruchy</w:t>
            </w:r>
          </w:p>
          <w:p w14:paraId="5EECF41B" w14:textId="77777777" w:rsidR="00192178" w:rsidRPr="001358B9" w:rsidRDefault="00192178">
            <w:pPr>
              <w:spacing w:before="3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nervového</w:t>
            </w:r>
          </w:p>
          <w:p w14:paraId="435D8C58" w14:textId="77777777" w:rsidR="00322D6D" w:rsidRPr="001358B9" w:rsidRDefault="00192178">
            <w:pPr>
              <w:spacing w:before="3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systému</w:t>
            </w: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DF251" w14:textId="77777777" w:rsidR="00322D6D" w:rsidRPr="001358B9" w:rsidRDefault="00192178">
            <w:pPr>
              <w:spacing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Č</w:t>
            </w:r>
            <w:r w:rsidRPr="00927728">
              <w:rPr>
                <w:rFonts w:ascii="Times New Roman" w:eastAsia="Times New Roman" w:hAnsi="Times New Roman"/>
                <w:lang w:eastAsia="en-GB"/>
              </w:rPr>
              <w:t>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61246" w14:textId="77777777" w:rsidR="00192178" w:rsidRPr="001358B9" w:rsidRDefault="00192178">
            <w:pPr>
              <w:spacing w:before="3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Neuropatia –</w:t>
            </w:r>
          </w:p>
          <w:p w14:paraId="6D17E337" w14:textId="77777777" w:rsidR="00322D6D" w:rsidRPr="001358B9" w:rsidRDefault="00192178">
            <w:pPr>
              <w:spacing w:before="3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senzorická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74A260" w14:textId="77777777" w:rsidR="00322D6D" w:rsidRPr="001358B9" w:rsidRDefault="001F6029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861E35" w14:textId="77777777" w:rsidR="00322D6D" w:rsidRPr="001358B9" w:rsidRDefault="001F6029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41AF38" w14:textId="77777777" w:rsidR="00322D6D" w:rsidRPr="001358B9" w:rsidRDefault="001F6029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EBDAA0" w14:textId="77777777" w:rsidR="00322D6D" w:rsidRPr="001358B9" w:rsidRDefault="001F6029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</w:tr>
      <w:tr w:rsidR="00322D6D" w:rsidRPr="001358B9" w14:paraId="48D3EDD0" w14:textId="77777777" w:rsidTr="000436B6">
        <w:trPr>
          <w:trHeight w:hRule="exact" w:val="302"/>
        </w:trPr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49C00" w14:textId="77777777" w:rsidR="00192178" w:rsidRPr="001358B9" w:rsidRDefault="00192178" w:rsidP="009F07FA">
            <w:pPr>
              <w:spacing w:before="3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Poruchy</w:t>
            </w:r>
          </w:p>
          <w:p w14:paraId="7A818310" w14:textId="77777777" w:rsidR="00192178" w:rsidRPr="001358B9" w:rsidRDefault="00192178">
            <w:pPr>
              <w:spacing w:before="3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gastro-intestinálneho</w:t>
            </w:r>
          </w:p>
          <w:p w14:paraId="558DFF90" w14:textId="77777777" w:rsidR="00322D6D" w:rsidRPr="001358B9" w:rsidRDefault="00192178">
            <w:pPr>
              <w:spacing w:before="3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traktu</w:t>
            </w:r>
          </w:p>
        </w:tc>
        <w:tc>
          <w:tcPr>
            <w:tcW w:w="70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20FCE" w14:textId="77777777" w:rsidR="00322D6D" w:rsidRPr="001358B9" w:rsidRDefault="00192178">
            <w:pPr>
              <w:spacing w:before="3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Veľmi časté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5192B" w14:textId="77777777" w:rsidR="00322D6D" w:rsidRPr="001358B9" w:rsidRDefault="00192178">
            <w:pPr>
              <w:spacing w:before="7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Nauz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ea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535D77" w14:textId="77777777" w:rsidR="00322D6D" w:rsidRPr="001358B9" w:rsidRDefault="001F6029">
            <w:pPr>
              <w:spacing w:before="7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17,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3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3565B7" w14:textId="77777777" w:rsidR="00322D6D" w:rsidRPr="001358B9" w:rsidRDefault="001F6029">
            <w:pPr>
              <w:spacing w:before="7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8BDBE5" w14:textId="77777777" w:rsidR="00322D6D" w:rsidRPr="001358B9" w:rsidRDefault="001F6029">
            <w:pPr>
              <w:spacing w:before="7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7FC5CC" w14:textId="77777777" w:rsidR="00322D6D" w:rsidRPr="001358B9" w:rsidRDefault="001F6029">
            <w:pPr>
              <w:spacing w:before="7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</w:tr>
      <w:tr w:rsidR="00322D6D" w:rsidRPr="001358B9" w14:paraId="4A3C1CB2" w14:textId="77777777" w:rsidTr="000436B6">
        <w:trPr>
          <w:trHeight w:hRule="exact" w:val="350"/>
        </w:trPr>
        <w:tc>
          <w:tcPr>
            <w:tcW w:w="87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72214" w14:textId="77777777" w:rsidR="00322D6D" w:rsidRPr="001358B9" w:rsidRDefault="00322D6D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0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300C0" w14:textId="77777777" w:rsidR="00322D6D" w:rsidRPr="001358B9" w:rsidRDefault="00322D6D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0BB64" w14:textId="77777777" w:rsidR="00322D6D" w:rsidRPr="001358B9" w:rsidRDefault="00322D6D">
            <w:pPr>
              <w:spacing w:before="5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Anorexia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21A5B4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12,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DE8A9B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78608E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3,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1D185A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322D6D" w:rsidRPr="001358B9" w14:paraId="7C16AE2F" w14:textId="77777777" w:rsidTr="000436B6">
        <w:trPr>
          <w:trHeight w:hRule="exact" w:val="411"/>
        </w:trPr>
        <w:tc>
          <w:tcPr>
            <w:tcW w:w="87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5B6FF" w14:textId="77777777" w:rsidR="00322D6D" w:rsidRPr="001358B9" w:rsidRDefault="00322D6D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0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A48C6" w14:textId="77777777" w:rsidR="00322D6D" w:rsidRPr="001358B9" w:rsidRDefault="00192178">
            <w:pPr>
              <w:spacing w:before="5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Č</w:t>
            </w:r>
            <w:r w:rsidRPr="00927728">
              <w:rPr>
                <w:rFonts w:ascii="Times New Roman" w:eastAsia="Times New Roman" w:hAnsi="Times New Roman"/>
                <w:lang w:eastAsia="en-GB"/>
              </w:rPr>
              <w:t>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6C2C1" w14:textId="77777777" w:rsidR="00322D6D" w:rsidRPr="001358B9" w:rsidRDefault="00192178">
            <w:pPr>
              <w:spacing w:before="5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Vracanie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9A0C07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CC3EF0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3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974139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ADFEDA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322D6D" w:rsidRPr="001358B9" w14:paraId="2C70FA09" w14:textId="77777777" w:rsidTr="000436B6">
        <w:trPr>
          <w:trHeight w:hRule="exact" w:val="527"/>
        </w:trPr>
        <w:tc>
          <w:tcPr>
            <w:tcW w:w="87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53BBC" w14:textId="77777777" w:rsidR="00322D6D" w:rsidRPr="001358B9" w:rsidRDefault="00322D6D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0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15C1C" w14:textId="77777777" w:rsidR="00322D6D" w:rsidRPr="001358B9" w:rsidRDefault="00322D6D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77C94" w14:textId="77777777" w:rsidR="00192178" w:rsidRPr="001358B9" w:rsidRDefault="00192178">
            <w:pPr>
              <w:spacing w:before="6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Mukozitída /</w:t>
            </w:r>
          </w:p>
          <w:p w14:paraId="4EA334DF" w14:textId="77777777" w:rsidR="00322D6D" w:rsidRPr="001358B9" w:rsidRDefault="00192178">
            <w:pPr>
              <w:spacing w:before="6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stomatitída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0398F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1D0807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C9CFA7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303513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322D6D" w:rsidRPr="001358B9" w14:paraId="35FDD26F" w14:textId="77777777" w:rsidTr="000436B6">
        <w:trPr>
          <w:trHeight w:hRule="exact" w:val="527"/>
        </w:trPr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506D6" w14:textId="77777777" w:rsidR="00192178" w:rsidRPr="001358B9" w:rsidRDefault="00192178" w:rsidP="009F07FA">
            <w:pPr>
              <w:spacing w:before="6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Poruchy pe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č</w:t>
            </w:r>
            <w:r w:rsidRPr="00927728">
              <w:rPr>
                <w:rFonts w:ascii="Times New Roman" w:eastAsia="Times New Roman" w:hAnsi="Times New Roman"/>
                <w:lang w:eastAsia="en-GB"/>
              </w:rPr>
              <w:t>ene a</w:t>
            </w:r>
          </w:p>
          <w:p w14:paraId="5E53F1DE" w14:textId="77777777" w:rsidR="00322D6D" w:rsidRPr="001358B9" w:rsidRDefault="00192178">
            <w:pPr>
              <w:spacing w:before="6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ž</w:t>
            </w:r>
            <w:r w:rsidRPr="00927728">
              <w:rPr>
                <w:rFonts w:ascii="Times New Roman" w:eastAsia="Times New Roman" w:hAnsi="Times New Roman"/>
                <w:lang w:eastAsia="en-GB"/>
              </w:rPr>
              <w:t>l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č</w:t>
            </w:r>
            <w:r w:rsidRPr="00927728">
              <w:rPr>
                <w:rFonts w:ascii="Times New Roman" w:eastAsia="Times New Roman" w:hAnsi="Times New Roman"/>
                <w:lang w:eastAsia="en-GB"/>
              </w:rPr>
              <w:t>ov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ý</w:t>
            </w:r>
            <w:r w:rsidRPr="00927728">
              <w:rPr>
                <w:rFonts w:ascii="Times New Roman" w:eastAsia="Times New Roman" w:hAnsi="Times New Roman"/>
                <w:lang w:eastAsia="en-GB"/>
              </w:rPr>
              <w:t>ch ciest</w:t>
            </w:r>
          </w:p>
        </w:tc>
        <w:tc>
          <w:tcPr>
            <w:tcW w:w="70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2BF58" w14:textId="77777777" w:rsidR="00322D6D" w:rsidRPr="001358B9" w:rsidRDefault="00192178">
            <w:pPr>
              <w:spacing w:before="5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Č</w:t>
            </w:r>
            <w:r w:rsidRPr="00927728">
              <w:rPr>
                <w:rFonts w:ascii="Times New Roman" w:eastAsia="Times New Roman" w:hAnsi="Times New Roman"/>
                <w:lang w:eastAsia="en-GB"/>
              </w:rPr>
              <w:t>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369D0" w14:textId="77777777" w:rsidR="00322D6D" w:rsidRPr="001358B9" w:rsidRDefault="00322D6D">
            <w:pPr>
              <w:spacing w:before="5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ALT (SGPT)</w:t>
            </w:r>
          </w:p>
          <w:p w14:paraId="1F9F180C" w14:textId="77777777" w:rsidR="00322D6D" w:rsidRPr="001358B9" w:rsidRDefault="00192178">
            <w:pPr>
              <w:spacing w:before="6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zvýšenie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6A42C7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908B88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45C5EF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C74062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322D6D" w:rsidRPr="001358B9" w14:paraId="6F47A1E6" w14:textId="77777777" w:rsidTr="000436B6">
        <w:trPr>
          <w:trHeight w:hRule="exact" w:val="527"/>
        </w:trPr>
        <w:tc>
          <w:tcPr>
            <w:tcW w:w="87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EB634" w14:textId="77777777" w:rsidR="00322D6D" w:rsidRPr="001358B9" w:rsidRDefault="00322D6D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0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0C67A" w14:textId="77777777" w:rsidR="00322D6D" w:rsidRPr="001358B9" w:rsidRDefault="00322D6D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B0B25" w14:textId="77777777" w:rsidR="00322D6D" w:rsidRPr="001358B9" w:rsidRDefault="00322D6D">
            <w:pPr>
              <w:spacing w:before="5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AST (SGOT)</w:t>
            </w:r>
          </w:p>
          <w:p w14:paraId="6A972F3B" w14:textId="77777777" w:rsidR="00322D6D" w:rsidRPr="001358B9" w:rsidRDefault="00192178">
            <w:pPr>
              <w:spacing w:before="6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zvýšenie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FBCB64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B696D2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C4A173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72843B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322D6D" w:rsidRPr="001358B9" w14:paraId="1C274F7B" w14:textId="77777777" w:rsidTr="000436B6">
        <w:trPr>
          <w:trHeight w:hRule="exact" w:val="787"/>
        </w:trPr>
        <w:tc>
          <w:tcPr>
            <w:tcW w:w="8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AE5EC" w14:textId="77777777" w:rsidR="00192178" w:rsidRPr="001358B9" w:rsidRDefault="00192178" w:rsidP="009F07FA">
            <w:pPr>
              <w:spacing w:before="6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Poruchy kože a</w:t>
            </w:r>
          </w:p>
          <w:p w14:paraId="64F361D4" w14:textId="77777777" w:rsidR="00192178" w:rsidRPr="001358B9" w:rsidRDefault="00192178">
            <w:pPr>
              <w:spacing w:before="6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podkožného</w:t>
            </w:r>
          </w:p>
          <w:p w14:paraId="67FCECB6" w14:textId="77777777" w:rsidR="00322D6D" w:rsidRPr="001358B9" w:rsidRDefault="00192178">
            <w:pPr>
              <w:spacing w:before="6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tkaniva</w:t>
            </w: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1F521" w14:textId="77777777" w:rsidR="00322D6D" w:rsidRPr="001358B9" w:rsidRDefault="00192178">
            <w:pPr>
              <w:spacing w:before="226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Č</w:t>
            </w:r>
            <w:r w:rsidRPr="00927728">
              <w:rPr>
                <w:rFonts w:ascii="Times New Roman" w:eastAsia="Times New Roman" w:hAnsi="Times New Roman"/>
                <w:lang w:eastAsia="en-GB"/>
              </w:rPr>
              <w:t>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5EC38" w14:textId="77777777" w:rsidR="00192178" w:rsidRPr="001358B9" w:rsidRDefault="00192178">
            <w:pPr>
              <w:spacing w:before="13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Vyrážka/</w:t>
            </w:r>
          </w:p>
          <w:p w14:paraId="49741CA6" w14:textId="77777777" w:rsidR="00322D6D" w:rsidRPr="001358B9" w:rsidRDefault="00192178">
            <w:pPr>
              <w:spacing w:before="13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Deskvamácia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7BF343" w14:textId="77777777" w:rsidR="00322D6D" w:rsidRPr="001358B9" w:rsidRDefault="001F6029">
            <w:pPr>
              <w:spacing w:before="22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2FF47B" w14:textId="77777777" w:rsidR="00322D6D" w:rsidRPr="001358B9" w:rsidRDefault="001F6029">
            <w:pPr>
              <w:spacing w:before="22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C2F3CB" w14:textId="77777777" w:rsidR="00322D6D" w:rsidRPr="001358B9" w:rsidRDefault="001F6029">
            <w:pPr>
              <w:spacing w:before="22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3,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0F75CE" w14:textId="77777777" w:rsidR="00322D6D" w:rsidRPr="001358B9" w:rsidRDefault="001F6029">
            <w:pPr>
              <w:spacing w:before="22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322D6D" w:rsidRPr="001358B9" w14:paraId="6546EF88" w14:textId="77777777" w:rsidTr="000436B6">
        <w:trPr>
          <w:trHeight w:hRule="exact" w:val="528"/>
        </w:trPr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0EE0A" w14:textId="77777777" w:rsidR="00192178" w:rsidRPr="001358B9" w:rsidRDefault="00192178" w:rsidP="009F07FA">
            <w:pPr>
              <w:spacing w:before="7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Celkové poruchy</w:t>
            </w:r>
          </w:p>
          <w:p w14:paraId="2958ACA2" w14:textId="77777777" w:rsidR="00192178" w:rsidRPr="001358B9" w:rsidRDefault="00192178">
            <w:pPr>
              <w:spacing w:before="7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a reakcie v mieste</w:t>
            </w:r>
          </w:p>
          <w:p w14:paraId="49E382C4" w14:textId="77777777" w:rsidR="00322D6D" w:rsidRPr="001358B9" w:rsidRDefault="00192178">
            <w:pPr>
              <w:spacing w:before="7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podania</w:t>
            </w: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C70B8" w14:textId="77777777" w:rsidR="00322D6D" w:rsidRPr="001358B9" w:rsidRDefault="00192178">
            <w:pPr>
              <w:spacing w:before="6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Veľmi časté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D22AE" w14:textId="77777777" w:rsidR="00322D6D" w:rsidRPr="001358B9" w:rsidRDefault="001F6029">
            <w:pPr>
              <w:spacing w:before="5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Únava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82CE7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24,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6F5C88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3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3D933E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467016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</w:p>
        </w:tc>
      </w:tr>
      <w:tr w:rsidR="00322D6D" w:rsidRPr="001358B9" w14:paraId="7FFC88D4" w14:textId="77777777" w:rsidTr="000436B6">
        <w:trPr>
          <w:trHeight w:hRule="exact" w:val="428"/>
        </w:trPr>
        <w:tc>
          <w:tcPr>
            <w:tcW w:w="87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028C4" w14:textId="77777777" w:rsidR="00322D6D" w:rsidRPr="001358B9" w:rsidRDefault="00322D6D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0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8EAC8" w14:textId="77777777" w:rsidR="00322D6D" w:rsidRPr="001358B9" w:rsidRDefault="00192178">
            <w:pPr>
              <w:spacing w:before="5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Č</w:t>
            </w:r>
            <w:r w:rsidRPr="00927728">
              <w:rPr>
                <w:rFonts w:ascii="Times New Roman" w:eastAsia="Times New Roman" w:hAnsi="Times New Roman"/>
                <w:lang w:eastAsia="en-GB"/>
              </w:rPr>
              <w:t>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3ACA1" w14:textId="77777777" w:rsidR="00322D6D" w:rsidRPr="001358B9" w:rsidRDefault="001F6029">
            <w:pPr>
              <w:spacing w:before="5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Bolesť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A2A29C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4519E9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FFADF3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C126DC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322D6D" w:rsidRPr="001358B9" w14:paraId="1B7AF7CC" w14:textId="77777777" w:rsidTr="000436B6">
        <w:trPr>
          <w:trHeight w:hRule="exact" w:val="431"/>
        </w:trPr>
        <w:tc>
          <w:tcPr>
            <w:tcW w:w="87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A3517" w14:textId="77777777" w:rsidR="00322D6D" w:rsidRPr="001358B9" w:rsidRDefault="00322D6D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0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36171" w14:textId="77777777" w:rsidR="00322D6D" w:rsidRPr="001358B9" w:rsidRDefault="00322D6D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DD45E" w14:textId="77777777" w:rsidR="00322D6D" w:rsidRPr="001358B9" w:rsidRDefault="001F6029">
            <w:pPr>
              <w:spacing w:before="5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Edém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78C2FB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DD1729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CE6307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B9C302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322D6D" w:rsidRPr="001358B9" w14:paraId="350AD83B" w14:textId="77777777" w:rsidTr="008018EA">
        <w:trPr>
          <w:trHeight w:hRule="exact" w:val="1083"/>
        </w:trPr>
        <w:tc>
          <w:tcPr>
            <w:tcW w:w="8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11F4E" w14:textId="2640A52B" w:rsidR="00322D6D" w:rsidRPr="001358B9" w:rsidRDefault="00192178" w:rsidP="00FC45A9">
            <w:pPr>
              <w:spacing w:before="5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Poruchy obli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č</w:t>
            </w:r>
            <w:r w:rsidRPr="00927728">
              <w:rPr>
                <w:rFonts w:ascii="Times New Roman" w:eastAsia="Times New Roman" w:hAnsi="Times New Roman"/>
                <w:lang w:eastAsia="en-GB"/>
              </w:rPr>
              <w:t>iek</w:t>
            </w:r>
            <w:r w:rsidR="00774450" w:rsidRPr="001358B9">
              <w:rPr>
                <w:rFonts w:ascii="Times New Roman" w:eastAsia="Times New Roman" w:hAnsi="Times New Roman"/>
                <w:lang w:eastAsia="en-GB"/>
              </w:rPr>
              <w:t xml:space="preserve"> </w:t>
            </w: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AD725" w14:textId="77777777" w:rsidR="00322D6D" w:rsidRPr="001358B9" w:rsidRDefault="00192178">
            <w:pPr>
              <w:spacing w:before="5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Č</w:t>
            </w:r>
            <w:r w:rsidRPr="00927728">
              <w:rPr>
                <w:rFonts w:ascii="Times New Roman" w:eastAsia="Times New Roman" w:hAnsi="Times New Roman"/>
                <w:lang w:eastAsia="en-GB"/>
              </w:rPr>
              <w:t>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C57D2" w14:textId="77777777" w:rsidR="001F6029" w:rsidRPr="001358B9" w:rsidRDefault="001F6029">
            <w:pPr>
              <w:spacing w:before="6" w:after="0" w:line="240" w:lineRule="auto"/>
              <w:ind w:left="107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Poruchy</w:t>
            </w:r>
          </w:p>
          <w:p w14:paraId="2001E1AB" w14:textId="77777777" w:rsidR="00322D6D" w:rsidRPr="001358B9" w:rsidRDefault="001F6029">
            <w:pPr>
              <w:spacing w:before="6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obličiek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****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3B1073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F2CF84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0FB638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1,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CE8D2D" w14:textId="77777777" w:rsidR="00322D6D" w:rsidRPr="001358B9" w:rsidRDefault="001F6029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</w:tbl>
    <w:p w14:paraId="7C1623F3" w14:textId="77777777" w:rsidR="00C51A9C" w:rsidRPr="001358B9" w:rsidRDefault="00C51A9C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40"/>
        <w:rPr>
          <w:rFonts w:ascii="Times New Roman" w:hAnsi="Times New Roman"/>
        </w:rPr>
      </w:pPr>
      <w:r w:rsidRPr="00927728">
        <w:rPr>
          <w:rFonts w:ascii="Times New Roman" w:hAnsi="Times New Roman"/>
        </w:rPr>
        <w:t>Skratky: ALT =</w:t>
      </w:r>
      <w:r w:rsidRPr="001358B9">
        <w:rPr>
          <w:rFonts w:ascii="Times New Roman" w:hAnsi="Times New Roman"/>
        </w:rPr>
        <w:t xml:space="preserve"> alanínaminotransferáza,</w:t>
      </w:r>
      <w:r w:rsidR="001F6029" w:rsidRPr="001358B9">
        <w:rPr>
          <w:rFonts w:ascii="Times New Roman" w:hAnsi="Times New Roman"/>
        </w:rPr>
        <w:t xml:space="preserve"> AST = aspartátaminotransferá</w:t>
      </w:r>
      <w:r w:rsidRPr="001358B9">
        <w:rPr>
          <w:rFonts w:ascii="Times New Roman" w:hAnsi="Times New Roman"/>
        </w:rPr>
        <w:t>za; CTCAE = Com</w:t>
      </w:r>
      <w:r w:rsidR="00322D6D" w:rsidRPr="001358B9">
        <w:rPr>
          <w:rFonts w:ascii="Times New Roman" w:hAnsi="Times New Roman"/>
        </w:rPr>
        <w:t>m</w:t>
      </w:r>
      <w:r w:rsidRPr="001358B9">
        <w:rPr>
          <w:rFonts w:ascii="Times New Roman" w:hAnsi="Times New Roman"/>
        </w:rPr>
        <w:t>on Terminology Criteria for Adverse Event (Všeobecná terminológia nežiaducich reakcií); NCI = National Cancer Institute; SGOT = sérová glutámovooxalooctová aminotransferáza; SGPT = sérová glutámovopyrohroznová aminotransferáza</w:t>
      </w:r>
    </w:p>
    <w:p w14:paraId="786E1D48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0"/>
        <w:rPr>
          <w:rFonts w:ascii="Times New Roman" w:hAnsi="Times New Roman"/>
        </w:rPr>
      </w:pPr>
      <w:r w:rsidRPr="001358B9">
        <w:rPr>
          <w:rFonts w:ascii="Times New Roman" w:hAnsi="Times New Roman"/>
        </w:rPr>
        <w:t>* Definícia frekvencií: Veľmi časté  ≥ 10 %; Časté  &gt; 5 % a &lt; 10 %. Pre účely tejto tabuľky bola použitá 5 % hranica pre zaradenie všetkých účinkov, ktoré zaznamenávajúci považoval za súvisiace s pemetrexedom.</w:t>
      </w:r>
    </w:p>
    <w:p w14:paraId="336644AC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40"/>
        <w:rPr>
          <w:rFonts w:ascii="Times New Roman" w:hAnsi="Times New Roman"/>
        </w:rPr>
      </w:pPr>
      <w:r w:rsidRPr="001358B9">
        <w:rPr>
          <w:rFonts w:ascii="Times New Roman" w:hAnsi="Times New Roman"/>
        </w:rPr>
        <w:t>** Pre každý stupeň toxicity pozri NCI CTCAE Criteria (verzia 3.0; NCI 2003). Uvedené hlásené výskyty sú v súlade s CTCAE, verzia 3,0.</w:t>
      </w:r>
    </w:p>
    <w:p w14:paraId="75655B83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0"/>
        <w:rPr>
          <w:rFonts w:ascii="Times New Roman" w:hAnsi="Times New Roman"/>
        </w:rPr>
      </w:pPr>
      <w:r w:rsidRPr="001358B9">
        <w:rPr>
          <w:rFonts w:ascii="Times New Roman" w:hAnsi="Times New Roman"/>
        </w:rPr>
        <w:t xml:space="preserve">*** </w:t>
      </w:r>
      <w:r w:rsidR="001F6029" w:rsidRPr="001358B9">
        <w:rPr>
          <w:rFonts w:ascii="Times New Roman" w:hAnsi="Times New Roman"/>
        </w:rPr>
        <w:t>V</w:t>
      </w:r>
      <w:r w:rsidRPr="001358B9">
        <w:rPr>
          <w:rFonts w:ascii="Times New Roman" w:hAnsi="Times New Roman"/>
        </w:rPr>
        <w:t xml:space="preserve"> integrovanej tabuľke nežiaducich reakcií sú spojené výsledky klinických </w:t>
      </w:r>
      <w:r w:rsidR="001F6029" w:rsidRPr="001358B9">
        <w:rPr>
          <w:rFonts w:ascii="Times New Roman" w:hAnsi="Times New Roman"/>
        </w:rPr>
        <w:t>štúdií</w:t>
      </w:r>
      <w:r w:rsidRPr="001358B9">
        <w:rPr>
          <w:rFonts w:ascii="Times New Roman" w:hAnsi="Times New Roman"/>
        </w:rPr>
        <w:t xml:space="preserve"> udržiavacej liečby pemetrexedom JMEN (n = 663) a pokračovania udržiavacej liečby pemetrexedom PARAMOUNT (n = 539).</w:t>
      </w:r>
    </w:p>
    <w:p w14:paraId="4C74B969" w14:textId="77777777" w:rsidR="00C51A9C" w:rsidRPr="001358B9" w:rsidRDefault="00C51A9C">
      <w:pPr>
        <w:widowControl w:val="0"/>
        <w:tabs>
          <w:tab w:val="left" w:pos="9066"/>
        </w:tabs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</w:rPr>
        <w:t xml:space="preserve">**** Slovné spojenie zahŕňa zvýšenú hladinu kreatinínu v sére/krvi, zníženie rýchlosti glomerulárnej filtrácie, zlyhanie obličiek a renálne/urogenitálne </w:t>
      </w:r>
      <w:r w:rsidR="00FA40AD" w:rsidRPr="001358B9">
        <w:rPr>
          <w:rFonts w:ascii="Times New Roman" w:hAnsi="Times New Roman"/>
        </w:rPr>
        <w:t>–</w:t>
      </w:r>
      <w:r w:rsidRPr="001358B9">
        <w:rPr>
          <w:rFonts w:ascii="Times New Roman" w:hAnsi="Times New Roman"/>
        </w:rPr>
        <w:t xml:space="preserve"> ostatné</w:t>
      </w:r>
      <w:r w:rsidR="00FA40AD" w:rsidRPr="001358B9">
        <w:rPr>
          <w:rFonts w:ascii="Times New Roman" w:hAnsi="Times New Roman"/>
        </w:rPr>
        <w:t>.</w:t>
      </w:r>
    </w:p>
    <w:p w14:paraId="34F9BEB2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C158C6D" w14:textId="190D211D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</w:rPr>
        <w:t>Klinicky relevantná toxicita (podľa CTC) akéhokoľvek stupňa hlásená u ≥ 1 % a ≤ 5 % pacientov randomizovaných na pemetrexed zahŕňa: febrilnú neutropéniu, infekciu, pokles krvných doštičiek, hnačku, zápchu, alopéciu, pruritus/svrbenie, horúčk</w:t>
      </w:r>
      <w:r w:rsidR="00D347EA" w:rsidRPr="001358B9">
        <w:rPr>
          <w:rFonts w:ascii="Times New Roman" w:hAnsi="Times New Roman"/>
        </w:rPr>
        <w:t>a</w:t>
      </w:r>
      <w:r w:rsidRPr="001358B9">
        <w:rPr>
          <w:rFonts w:ascii="Times New Roman" w:hAnsi="Times New Roman"/>
        </w:rPr>
        <w:t xml:space="preserve"> (bez neutropénie), </w:t>
      </w:r>
      <w:r w:rsidR="00280164" w:rsidRPr="001358B9">
        <w:rPr>
          <w:rFonts w:ascii="Times New Roman" w:hAnsi="Times New Roman"/>
        </w:rPr>
        <w:t xml:space="preserve">povrchové </w:t>
      </w:r>
      <w:r w:rsidRPr="001358B9">
        <w:rPr>
          <w:rFonts w:ascii="Times New Roman" w:hAnsi="Times New Roman"/>
        </w:rPr>
        <w:t xml:space="preserve">očné </w:t>
      </w:r>
      <w:r w:rsidR="00280164" w:rsidRPr="001358B9">
        <w:rPr>
          <w:rFonts w:ascii="Times New Roman" w:hAnsi="Times New Roman"/>
        </w:rPr>
        <w:t>p</w:t>
      </w:r>
      <w:r w:rsidRPr="001358B9">
        <w:rPr>
          <w:rFonts w:ascii="Times New Roman" w:hAnsi="Times New Roman"/>
        </w:rPr>
        <w:t>o</w:t>
      </w:r>
      <w:r w:rsidR="00280164" w:rsidRPr="001358B9">
        <w:rPr>
          <w:rFonts w:ascii="Times New Roman" w:hAnsi="Times New Roman"/>
        </w:rPr>
        <w:t>r</w:t>
      </w:r>
      <w:r w:rsidRPr="001358B9">
        <w:rPr>
          <w:rFonts w:ascii="Times New Roman" w:hAnsi="Times New Roman"/>
        </w:rPr>
        <w:t>uchy (vrátane konjunktivitídy), zvýšené slzenie, závrat a motorickú neuropatiu.</w:t>
      </w:r>
    </w:p>
    <w:p w14:paraId="11B922AB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673B159" w14:textId="7681296D" w:rsidR="00C51A9C" w:rsidRPr="001358B9" w:rsidRDefault="00C51A9C">
      <w:pPr>
        <w:widowControl w:val="0"/>
        <w:tabs>
          <w:tab w:val="left" w:pos="9066"/>
        </w:tabs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</w:rPr>
        <w:t>Klinicky relevantná toxicita (podľa CTC) hlásená u &lt; 1 % pacientov randomizovaných na pemetrexed zahŕňa: alergick</w:t>
      </w:r>
      <w:r w:rsidR="00D347EA" w:rsidRPr="001358B9">
        <w:rPr>
          <w:rFonts w:ascii="Times New Roman" w:hAnsi="Times New Roman"/>
        </w:rPr>
        <w:t>ú</w:t>
      </w:r>
      <w:r w:rsidRPr="001358B9">
        <w:rPr>
          <w:rFonts w:ascii="Times New Roman" w:hAnsi="Times New Roman"/>
        </w:rPr>
        <w:t xml:space="preserve"> reakci</w:t>
      </w:r>
      <w:r w:rsidR="00D347EA" w:rsidRPr="001358B9">
        <w:rPr>
          <w:rFonts w:ascii="Times New Roman" w:hAnsi="Times New Roman"/>
        </w:rPr>
        <w:t>u</w:t>
      </w:r>
      <w:r w:rsidRPr="001358B9">
        <w:rPr>
          <w:rFonts w:ascii="Times New Roman" w:hAnsi="Times New Roman"/>
        </w:rPr>
        <w:t>/hypersenzitivitu, multiformný erytém, supraventikulárnu arytmiu a pľúcnu embóliu.</w:t>
      </w:r>
    </w:p>
    <w:p w14:paraId="1F6751CA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9B97D89" w14:textId="28EAC27C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 xml:space="preserve">Bezpečnosť sa hodnotila u pacientov, ktorí boli randomizovaní na liečbu pemetrexedom (n = 800). Výskyt nežiaducich reakcií bol vyhodnotený u pacientov, ktorí dostali udržiavaciu liečbu </w:t>
      </w:r>
      <w:r w:rsidRPr="001358B9">
        <w:rPr>
          <w:rFonts w:ascii="Times New Roman" w:hAnsi="Times New Roman"/>
        </w:rPr>
        <w:lastRenderedPageBreak/>
        <w:t>pemetrexedom ≤ 6 cyklov (n = 519) v porovnaní s výskytom u pacientov, ktorí dostali liečbu pemetrexedom &gt; 6 cyklov (n = 281). Nárast</w:t>
      </w:r>
      <w:r w:rsidR="00056BE6" w:rsidRPr="001358B9">
        <w:rPr>
          <w:rFonts w:ascii="Times New Roman" w:hAnsi="Times New Roman"/>
        </w:rPr>
        <w:t>y</w:t>
      </w:r>
      <w:r w:rsidRPr="001358B9">
        <w:rPr>
          <w:rFonts w:ascii="Times New Roman" w:hAnsi="Times New Roman"/>
        </w:rPr>
        <w:t xml:space="preserve"> nežiaducich reakcií (všetkých stupňov) sa pozoroval</w:t>
      </w:r>
      <w:r w:rsidR="00DF08E7" w:rsidRPr="001358B9">
        <w:rPr>
          <w:rFonts w:ascii="Times New Roman" w:hAnsi="Times New Roman"/>
        </w:rPr>
        <w:t>i</w:t>
      </w:r>
      <w:r w:rsidRPr="001358B9">
        <w:rPr>
          <w:rFonts w:ascii="Times New Roman" w:hAnsi="Times New Roman"/>
        </w:rPr>
        <w:t xml:space="preserve"> pri dlhodobej expozícii. Signifikantný nárast incidencie neutropénie stupňa 3/4, s možnou súvislosťou s liečbou podávanou v štúdii, sa pozoroval pri dlhšej expozícii pemetrexedu (≤ 6 cyklov: 3,3 %, &gt; 6 cyklov: 6,4 %: p = 0,046). Neboli zaznamenané žiadne ďalšie štatisticky významné rozdiely medzi nežiaducimi reakciami stupňa 3/4/5 pri dlhšej expozícii.</w:t>
      </w:r>
    </w:p>
    <w:p w14:paraId="3C11D1BA" w14:textId="77777777" w:rsidR="007546E7" w:rsidRPr="001358B9" w:rsidRDefault="007546E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bookmarkStart w:id="7" w:name="page14"/>
      <w:bookmarkEnd w:id="7"/>
    </w:p>
    <w:p w14:paraId="12A7A810" w14:textId="541F3FE5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Menej často boli v priebehu klinických štúdií s pemetrexedom hlásené závažné kardiovaskulárne a cerebrovaskulárne príhody, vrátane infarktu myokardu, angíny pe</w:t>
      </w:r>
      <w:r w:rsidR="00CB76CC" w:rsidRPr="001358B9">
        <w:rPr>
          <w:rFonts w:ascii="Times New Roman" w:hAnsi="Times New Roman"/>
          <w:color w:val="000000"/>
        </w:rPr>
        <w:t>k</w:t>
      </w:r>
      <w:r w:rsidRPr="001358B9">
        <w:rPr>
          <w:rFonts w:ascii="Times New Roman" w:hAnsi="Times New Roman"/>
          <w:color w:val="000000"/>
        </w:rPr>
        <w:t xml:space="preserve">toris, mozgovej príhody a prechodného ischemického ataku, obyčajne pri podaní v kombinácii s iným cytostatikom. Väčšina pacientov, u ktorých sa pozorovali tieto príhody, mala </w:t>
      </w:r>
      <w:r w:rsidR="001D19F5" w:rsidRPr="001358B9">
        <w:rPr>
          <w:rFonts w:ascii="Times New Roman" w:hAnsi="Times New Roman"/>
          <w:color w:val="000000"/>
        </w:rPr>
        <w:t xml:space="preserve">už </w:t>
      </w:r>
      <w:r w:rsidRPr="001358B9">
        <w:rPr>
          <w:rFonts w:ascii="Times New Roman" w:hAnsi="Times New Roman"/>
          <w:color w:val="000000"/>
        </w:rPr>
        <w:t>existujúce kardiovaskulárne rizikové faktory.</w:t>
      </w:r>
    </w:p>
    <w:p w14:paraId="44E718F9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0B5D3E8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V priebehu klinických štúdií s pemetrexedom boli hlásené potenciálne závažné, zriedkavé prípady hepatitídy.</w:t>
      </w:r>
    </w:p>
    <w:p w14:paraId="0A8F681E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A99EBB0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V priebehu klinických štúdií s pemetrexedom bola menej často hlásená pancytopénia.</w:t>
      </w:r>
    </w:p>
    <w:p w14:paraId="3DF39FE5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649EFAE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V klinických štúdiách u pacientov liečených pemetrexedom boli menej často hlásené prípady kolitídy (vrátane intestinálneho a rektálneho krvácania, niekedy fatálneho, intestinálnej perforácie, intestinálnej nekrózy a zápalu slepého čreva).</w:t>
      </w:r>
    </w:p>
    <w:p w14:paraId="1D7CB7BC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A172C0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V klinických štúdiách u pacientov liečených pemetrexedom boli menej často hlásené prípady intersticiálnej pneumonitídy s respiračnou insuficienciou, niekedy fatálne.</w:t>
      </w:r>
    </w:p>
    <w:p w14:paraId="50BC0637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8475D59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U pacientov liečených pemetrexedom boli menej často hlásené prípady edému.</w:t>
      </w:r>
    </w:p>
    <w:p w14:paraId="44D4F25A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624A6D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Počas klinických štúdií s pemetrexedom bola menej často hlásená ezofagitída/radiačná ezofagitída.</w:t>
      </w:r>
    </w:p>
    <w:p w14:paraId="2DCE085F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23F702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Počas klinického skúšania s pemetrexedom bola často hlásená sepsa, niekedy so smrteľnými následkami.</w:t>
      </w:r>
    </w:p>
    <w:p w14:paraId="02C7E10C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9112A41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V priebehu pozorovania po uvedení lieku na trh boli u pacientov liečených pemetrexedom hlásené nasled</w:t>
      </w:r>
      <w:r w:rsidR="002F1A68" w:rsidRPr="001358B9">
        <w:rPr>
          <w:rFonts w:ascii="Times New Roman" w:hAnsi="Times New Roman"/>
          <w:color w:val="000000"/>
        </w:rPr>
        <w:t>ovné</w:t>
      </w:r>
      <w:r w:rsidRPr="001358B9">
        <w:rPr>
          <w:rFonts w:ascii="Times New Roman" w:hAnsi="Times New Roman"/>
          <w:color w:val="000000"/>
        </w:rPr>
        <w:t xml:space="preserve"> nežiaduce reakcie:</w:t>
      </w:r>
    </w:p>
    <w:p w14:paraId="328ECF7E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BBAD104" w14:textId="1E51AA45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V súvislosti s pemetrexedom samotným alebo v kombinácii s inými chemoterapeutikami boli hlásené menej časté prípady akútneho renálneho zlyhania (pozri časť 4.4).</w:t>
      </w:r>
      <w:r w:rsidR="00717C22">
        <w:rPr>
          <w:rFonts w:ascii="Times New Roman" w:hAnsi="Times New Roman"/>
          <w:color w:val="000000"/>
        </w:rPr>
        <w:t xml:space="preserve"> Po uvedení na trh boli s neznámou frekvenciou hlásené nefrogenický diabetes insipidus a tubulárna nekróza obličiek.</w:t>
      </w:r>
    </w:p>
    <w:p w14:paraId="38F161CB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F416C55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U pacientov liečených ožarovaním buď pred, počas alebo po ich liečbe pemetrexedom boli hlásené menej časté prípady radiačnej pneumonitídy (pozri časť 4.4).</w:t>
      </w:r>
    </w:p>
    <w:p w14:paraId="2BE5CC93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9E5F91F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U pacientov, ktorí podstúpili rádioterapiu v minulosti, boli zaznamenané zriedkavé prípady radiačného poškodenia typu „recall fenomén“ (pozri časť 4.4).</w:t>
      </w:r>
    </w:p>
    <w:p w14:paraId="7692EC4E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D806890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Menej často boli hlásené prípady periférnej ischémie vedúce niekedy až k nekrózam končatín.</w:t>
      </w:r>
    </w:p>
    <w:p w14:paraId="423862CF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8337AD7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Zaznamenané boli aj zriedkavé prípady tvorby pľuzgierov vrátane Stevensovho-Johnsonovho syndrómu a toxickej epidermálnej nekrolýzy, v niektorých prípadoch aj smrteľné.</w:t>
      </w:r>
    </w:p>
    <w:p w14:paraId="39FC4334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DAAE51B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Zriedkavo bola u pacientov liečených pemetrexedom hlásená hemolytická anémia.</w:t>
      </w:r>
    </w:p>
    <w:p w14:paraId="4023EDAA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D6156B8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Boli hlásené zriedkavé prípady anafylaktického šoku.</w:t>
      </w:r>
    </w:p>
    <w:p w14:paraId="5A48A104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F55FDEE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  <w:u w:val="single"/>
        </w:rPr>
        <w:t>Hlásenie podozrení na nežiaduce reakcie</w:t>
      </w:r>
    </w:p>
    <w:p w14:paraId="17B9DEDD" w14:textId="63854D01" w:rsidR="00C51A9C" w:rsidRPr="00927728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Hlásenie podozrení na nežiaduce reakcie po registrácii lieku je dôležité. Umožňuje priebežné </w:t>
      </w:r>
      <w:r w:rsidRPr="001358B9">
        <w:rPr>
          <w:rFonts w:ascii="Times New Roman" w:hAnsi="Times New Roman"/>
          <w:color w:val="000000"/>
        </w:rPr>
        <w:lastRenderedPageBreak/>
        <w:t xml:space="preserve">monitorovanie pomeru prínosu a rizika lieku. Od zdravotníckych pracovníkov sa vyžaduje, aby hlásili </w:t>
      </w:r>
      <w:r w:rsidRPr="001358B9">
        <w:rPr>
          <w:rFonts w:ascii="Times New Roman" w:hAnsi="Times New Roman"/>
        </w:rPr>
        <w:t xml:space="preserve">akékoľvek podozrenia na nežiaduce reakcie </w:t>
      </w:r>
      <w:r w:rsidR="009733CC">
        <w:rPr>
          <w:rFonts w:ascii="Times New Roman" w:hAnsi="Times New Roman"/>
        </w:rPr>
        <w:t>na</w:t>
      </w:r>
      <w:r w:rsidRPr="001358B9">
        <w:rPr>
          <w:rFonts w:ascii="Times New Roman" w:hAnsi="Times New Roman"/>
        </w:rPr>
        <w:t xml:space="preserve"> </w:t>
      </w:r>
      <w:r w:rsidRPr="001358B9">
        <w:rPr>
          <w:rFonts w:ascii="Times New Roman" w:hAnsi="Times New Roman"/>
          <w:highlight w:val="lightGray"/>
        </w:rPr>
        <w:t xml:space="preserve">národné </w:t>
      </w:r>
      <w:r w:rsidR="009733CC">
        <w:rPr>
          <w:rFonts w:ascii="Times New Roman" w:hAnsi="Times New Roman"/>
          <w:highlight w:val="lightGray"/>
        </w:rPr>
        <w:t>centrum</w:t>
      </w:r>
      <w:r w:rsidRPr="001358B9">
        <w:rPr>
          <w:rFonts w:ascii="Times New Roman" w:hAnsi="Times New Roman"/>
          <w:highlight w:val="lightGray"/>
        </w:rPr>
        <w:t xml:space="preserve"> hlásenia uvedené v </w:t>
      </w:r>
      <w:hyperlink r:id="rId8" w:history="1">
        <w:r w:rsidRPr="001358B9">
          <w:rPr>
            <w:rFonts w:ascii="Times New Roman" w:hAnsi="Times New Roman"/>
            <w:highlight w:val="lightGray"/>
          </w:rPr>
          <w:t xml:space="preserve"> </w:t>
        </w:r>
        <w:r w:rsidRPr="001358B9">
          <w:rPr>
            <w:rFonts w:ascii="Times New Roman" w:hAnsi="Times New Roman"/>
            <w:color w:val="0000FF"/>
            <w:highlight w:val="lightGray"/>
            <w:u w:val="single"/>
          </w:rPr>
          <w:t xml:space="preserve">Prílohe </w:t>
        </w:r>
      </w:hyperlink>
      <w:r w:rsidRPr="00927728">
        <w:rPr>
          <w:rFonts w:ascii="Times New Roman" w:hAnsi="Times New Roman"/>
          <w:color w:val="0000FF"/>
          <w:highlight w:val="lightGray"/>
          <w:u w:val="single"/>
        </w:rPr>
        <w:t>V</w:t>
      </w:r>
      <w:r w:rsidRPr="001358B9">
        <w:rPr>
          <w:rFonts w:ascii="Times New Roman" w:hAnsi="Times New Roman"/>
          <w:highlight w:val="lightGray"/>
        </w:rPr>
        <w:t>.</w:t>
      </w:r>
    </w:p>
    <w:p w14:paraId="1F07C225" w14:textId="77777777" w:rsidR="00DC1EFD" w:rsidRPr="00927728" w:rsidRDefault="00DC1EF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0A789F8" w14:textId="77777777" w:rsidR="00C51A9C" w:rsidRPr="001358B9" w:rsidRDefault="00C51A9C" w:rsidP="001358B9">
      <w:pPr>
        <w:widowControl w:val="0"/>
        <w:numPr>
          <w:ilvl w:val="0"/>
          <w:numId w:val="19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</w:rPr>
      </w:pPr>
      <w:r w:rsidRPr="001358B9">
        <w:rPr>
          <w:rFonts w:ascii="Times New Roman" w:hAnsi="Times New Roman"/>
          <w:b/>
          <w:bCs/>
        </w:rPr>
        <w:t xml:space="preserve">Predávkovanie </w:t>
      </w:r>
    </w:p>
    <w:p w14:paraId="4664C616" w14:textId="77777777" w:rsidR="007546E7" w:rsidRPr="001358B9" w:rsidRDefault="007546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rPr>
          <w:rFonts w:ascii="Times New Roman" w:hAnsi="Times New Roman"/>
          <w:color w:val="000000"/>
        </w:rPr>
      </w:pPr>
      <w:bookmarkStart w:id="8" w:name="page15"/>
      <w:bookmarkEnd w:id="8"/>
    </w:p>
    <w:p w14:paraId="23100F6A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K popísaným </w:t>
      </w:r>
      <w:r w:rsidR="00171AAA" w:rsidRPr="001358B9">
        <w:rPr>
          <w:rFonts w:ascii="Times New Roman" w:hAnsi="Times New Roman"/>
          <w:color w:val="000000"/>
        </w:rPr>
        <w:t>príznak</w:t>
      </w:r>
      <w:r w:rsidRPr="001358B9">
        <w:rPr>
          <w:rFonts w:ascii="Times New Roman" w:hAnsi="Times New Roman"/>
          <w:color w:val="000000"/>
        </w:rPr>
        <w:t xml:space="preserve">om z predávkovania patrí neutropénia, anémia, trombocytopénia, mukozitída, senzorická polyneuropatia a vyrážka. K predpokladaným komplikáciám z predávkovania patrí útlm kostnej drene manifestujúci sa neutropéniou, trombocytopéniou a anémiou. Taktiež sa môže vyskytnúť infekcia s horúčkou alebo bez nej, hnačka a/alebo mukozitída. V prípade podozrenia na predávkovanie, </w:t>
      </w:r>
      <w:r w:rsidR="004C1559" w:rsidRPr="001358B9">
        <w:rPr>
          <w:rFonts w:ascii="Times New Roman" w:hAnsi="Times New Roman"/>
          <w:color w:val="000000"/>
        </w:rPr>
        <w:t>sa má u</w:t>
      </w:r>
      <w:r w:rsidRPr="001358B9">
        <w:rPr>
          <w:rFonts w:ascii="Times New Roman" w:hAnsi="Times New Roman"/>
          <w:color w:val="000000"/>
        </w:rPr>
        <w:t xml:space="preserve"> pacient</w:t>
      </w:r>
      <w:r w:rsidR="004C1559" w:rsidRPr="001358B9">
        <w:rPr>
          <w:rFonts w:ascii="Times New Roman" w:hAnsi="Times New Roman"/>
          <w:color w:val="000000"/>
        </w:rPr>
        <w:t>ov</w:t>
      </w:r>
      <w:r w:rsidRPr="001358B9">
        <w:rPr>
          <w:rFonts w:ascii="Times New Roman" w:hAnsi="Times New Roman"/>
          <w:color w:val="000000"/>
        </w:rPr>
        <w:t xml:space="preserve"> sledova</w:t>
      </w:r>
      <w:r w:rsidR="004C1559" w:rsidRPr="001358B9">
        <w:rPr>
          <w:rFonts w:ascii="Times New Roman" w:hAnsi="Times New Roman"/>
          <w:color w:val="000000"/>
        </w:rPr>
        <w:t>ť</w:t>
      </w:r>
      <w:r w:rsidRPr="001358B9">
        <w:rPr>
          <w:rFonts w:ascii="Times New Roman" w:hAnsi="Times New Roman"/>
          <w:color w:val="000000"/>
        </w:rPr>
        <w:t xml:space="preserve"> krvný obraz a m</w:t>
      </w:r>
      <w:r w:rsidR="004C1559" w:rsidRPr="001358B9">
        <w:rPr>
          <w:rFonts w:ascii="Times New Roman" w:hAnsi="Times New Roman"/>
          <w:color w:val="000000"/>
        </w:rPr>
        <w:t>ajú</w:t>
      </w:r>
      <w:r w:rsidRPr="001358B9">
        <w:rPr>
          <w:rFonts w:ascii="Times New Roman" w:hAnsi="Times New Roman"/>
          <w:color w:val="000000"/>
        </w:rPr>
        <w:t xml:space="preserve"> dostávať podpornú liečbu podľa potreby. V liečbe predávkovania pemetrexedom sa musí vziať do úvahy podávanie </w:t>
      </w:r>
      <w:r w:rsidR="000845B1" w:rsidRPr="001358B9">
        <w:rPr>
          <w:rFonts w:ascii="Times New Roman" w:hAnsi="Times New Roman"/>
        </w:rPr>
        <w:t>kyseliny folínovej, vápenatej soli</w:t>
      </w:r>
      <w:r w:rsidRPr="001358B9">
        <w:rPr>
          <w:rFonts w:ascii="Times New Roman" w:hAnsi="Times New Roman"/>
          <w:color w:val="000000"/>
        </w:rPr>
        <w:t>/</w:t>
      </w:r>
      <w:r w:rsidR="000845B1" w:rsidRPr="001358B9">
        <w:rPr>
          <w:rFonts w:ascii="Times New Roman" w:hAnsi="Times New Roman"/>
        </w:rPr>
        <w:t>kyseliny folínovej</w:t>
      </w:r>
      <w:r w:rsidRPr="001358B9">
        <w:rPr>
          <w:rFonts w:ascii="Times New Roman" w:hAnsi="Times New Roman"/>
          <w:color w:val="000000"/>
        </w:rPr>
        <w:t>.</w:t>
      </w:r>
    </w:p>
    <w:p w14:paraId="3A2C0BAF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6C8F890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6F48ACD" w14:textId="77777777" w:rsidR="00C51A9C" w:rsidRPr="001358B9" w:rsidRDefault="00C51A9C" w:rsidP="001358B9">
      <w:pPr>
        <w:widowControl w:val="0"/>
        <w:numPr>
          <w:ilvl w:val="0"/>
          <w:numId w:val="20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FARMAKOLOGICKÉ VLASTNOSTI </w:t>
      </w:r>
    </w:p>
    <w:p w14:paraId="0E7D8FD3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20351B8" w14:textId="77777777" w:rsidR="00C51A9C" w:rsidRPr="001358B9" w:rsidRDefault="00C51A9C" w:rsidP="001358B9">
      <w:pPr>
        <w:widowControl w:val="0"/>
        <w:numPr>
          <w:ilvl w:val="0"/>
          <w:numId w:val="21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Farmakodynamické vlastnosti </w:t>
      </w:r>
    </w:p>
    <w:p w14:paraId="5462BEEF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B43AE6A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 xml:space="preserve">Farmakoterapeutická skupina: </w:t>
      </w:r>
      <w:r w:rsidR="00745D59" w:rsidRPr="001358B9">
        <w:rPr>
          <w:rFonts w:ascii="Times New Roman" w:hAnsi="Times New Roman"/>
          <w:color w:val="000000"/>
        </w:rPr>
        <w:t>A</w:t>
      </w:r>
      <w:r w:rsidRPr="001358B9">
        <w:rPr>
          <w:rFonts w:ascii="Times New Roman" w:hAnsi="Times New Roman"/>
          <w:color w:val="000000"/>
        </w:rPr>
        <w:t>nalógy kyseliny listovej, ATC kód: L01BA04</w:t>
      </w:r>
    </w:p>
    <w:p w14:paraId="1E871651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F6FD401" w14:textId="1B6D1145" w:rsidR="00C51A9C" w:rsidRPr="001358B9" w:rsidRDefault="004046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Pemetrexed Pharmevid</w:t>
      </w:r>
      <w:r w:rsidR="0067161F" w:rsidRPr="001358B9">
        <w:rPr>
          <w:rFonts w:ascii="Times New Roman" w:hAnsi="Times New Roman"/>
          <w:color w:val="000000"/>
        </w:rPr>
        <w:t xml:space="preserve"> (p</w:t>
      </w:r>
      <w:r w:rsidR="00C51A9C" w:rsidRPr="001358B9">
        <w:rPr>
          <w:rFonts w:ascii="Times New Roman" w:hAnsi="Times New Roman"/>
          <w:color w:val="000000"/>
        </w:rPr>
        <w:t>emetrexed</w:t>
      </w:r>
      <w:r w:rsidR="0067161F" w:rsidRPr="001358B9">
        <w:rPr>
          <w:rFonts w:ascii="Times New Roman" w:hAnsi="Times New Roman"/>
          <w:color w:val="000000"/>
        </w:rPr>
        <w:t>)</w:t>
      </w:r>
      <w:r w:rsidR="00C51A9C" w:rsidRPr="001358B9">
        <w:rPr>
          <w:rFonts w:ascii="Times New Roman" w:hAnsi="Times New Roman"/>
          <w:color w:val="000000"/>
        </w:rPr>
        <w:t xml:space="preserve"> je antifolátové cytostatikum, cielené na viaceré enzymatické systémy. Pôsobí narušením rozhodujúcich metabolických procesov závislých </w:t>
      </w:r>
      <w:r w:rsidR="00F73FA4" w:rsidRPr="001358B9">
        <w:rPr>
          <w:rFonts w:ascii="Times New Roman" w:hAnsi="Times New Roman"/>
          <w:color w:val="000000"/>
        </w:rPr>
        <w:t>od</w:t>
      </w:r>
      <w:r w:rsidR="00C51A9C" w:rsidRPr="001358B9">
        <w:rPr>
          <w:rFonts w:ascii="Times New Roman" w:hAnsi="Times New Roman"/>
          <w:color w:val="000000"/>
        </w:rPr>
        <w:t xml:space="preserve"> foláto</w:t>
      </w:r>
      <w:r w:rsidR="00F73FA4" w:rsidRPr="001358B9">
        <w:rPr>
          <w:rFonts w:ascii="Times New Roman" w:hAnsi="Times New Roman"/>
          <w:color w:val="000000"/>
        </w:rPr>
        <w:t>v</w:t>
      </w:r>
      <w:r w:rsidR="00C51A9C" w:rsidRPr="001358B9">
        <w:rPr>
          <w:rFonts w:ascii="Times New Roman" w:hAnsi="Times New Roman"/>
          <w:color w:val="000000"/>
        </w:rPr>
        <w:t>, ktoré sú nevyhnutné pre replikáciu buniek.</w:t>
      </w:r>
    </w:p>
    <w:p w14:paraId="4024F524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4DD4A8E" w14:textId="61963A0F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4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Štúdie </w:t>
      </w:r>
      <w:r w:rsidRPr="001358B9">
        <w:rPr>
          <w:rFonts w:ascii="Times New Roman" w:hAnsi="Times New Roman"/>
          <w:i/>
          <w:iCs/>
          <w:color w:val="000000"/>
        </w:rPr>
        <w:t>in vitro</w:t>
      </w:r>
      <w:r w:rsidRPr="001358B9">
        <w:rPr>
          <w:rFonts w:ascii="Times New Roman" w:hAnsi="Times New Roman"/>
          <w:color w:val="000000"/>
        </w:rPr>
        <w:t xml:space="preserve"> ukázali, že pemetrexed sa správa ako antifolát pôsobiaci na viaceré enzymatické systémy tým, že inhibuje tymidylát syntetázu (TS), dihydrofolát reduktázu (DHFR) a glycínamid ribonukleotid formyltransferázu (GARFT), ktoré sú kľúčovými enzýmami závislými </w:t>
      </w:r>
      <w:r w:rsidR="009137E2" w:rsidRPr="001358B9">
        <w:rPr>
          <w:rFonts w:ascii="Times New Roman" w:hAnsi="Times New Roman"/>
          <w:color w:val="000000"/>
        </w:rPr>
        <w:t>od</w:t>
      </w:r>
      <w:r w:rsidRPr="001358B9">
        <w:rPr>
          <w:rFonts w:ascii="Times New Roman" w:hAnsi="Times New Roman"/>
          <w:color w:val="000000"/>
        </w:rPr>
        <w:t xml:space="preserve"> folát</w:t>
      </w:r>
      <w:r w:rsidR="009137E2" w:rsidRPr="001358B9">
        <w:rPr>
          <w:rFonts w:ascii="Times New Roman" w:hAnsi="Times New Roman"/>
          <w:color w:val="000000"/>
        </w:rPr>
        <w:t>u</w:t>
      </w:r>
      <w:r w:rsidRPr="001358B9">
        <w:rPr>
          <w:rFonts w:ascii="Times New Roman" w:hAnsi="Times New Roman"/>
          <w:color w:val="000000"/>
        </w:rPr>
        <w:t xml:space="preserve"> pre </w:t>
      </w:r>
      <w:r w:rsidRPr="001358B9">
        <w:rPr>
          <w:rFonts w:ascii="Times New Roman" w:hAnsi="Times New Roman"/>
          <w:i/>
          <w:iCs/>
          <w:color w:val="000000"/>
        </w:rPr>
        <w:t>de</w:t>
      </w:r>
      <w:r w:rsidRPr="001358B9">
        <w:rPr>
          <w:rFonts w:ascii="Times New Roman" w:hAnsi="Times New Roman"/>
          <w:color w:val="000000"/>
        </w:rPr>
        <w:t xml:space="preserve"> </w:t>
      </w:r>
      <w:r w:rsidRPr="001358B9">
        <w:rPr>
          <w:rFonts w:ascii="Times New Roman" w:hAnsi="Times New Roman"/>
          <w:i/>
          <w:iCs/>
          <w:color w:val="000000"/>
        </w:rPr>
        <w:t xml:space="preserve">novo </w:t>
      </w:r>
      <w:r w:rsidRPr="001358B9">
        <w:rPr>
          <w:rFonts w:ascii="Times New Roman" w:hAnsi="Times New Roman"/>
          <w:color w:val="000000"/>
        </w:rPr>
        <w:t>biosyntézu tymidínu a purínových nukle</w:t>
      </w:r>
      <w:r w:rsidR="003214BE">
        <w:rPr>
          <w:rFonts w:ascii="Times New Roman" w:hAnsi="Times New Roman"/>
          <w:color w:val="000000"/>
        </w:rPr>
        <w:t>o</w:t>
      </w:r>
      <w:r w:rsidRPr="001358B9">
        <w:rPr>
          <w:rFonts w:ascii="Times New Roman" w:hAnsi="Times New Roman"/>
          <w:color w:val="000000"/>
        </w:rPr>
        <w:t>tidov. Pemetrexed je transportovaný do buniek</w:t>
      </w:r>
      <w:r w:rsidRPr="001358B9">
        <w:rPr>
          <w:rFonts w:ascii="Times New Roman" w:hAnsi="Times New Roman"/>
          <w:i/>
          <w:iCs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>redukovaným folátovým nosičom a membránovým</w:t>
      </w:r>
      <w:r w:rsidR="00F114E9" w:rsidRPr="001358B9">
        <w:rPr>
          <w:rFonts w:ascii="Times New Roman" w:hAnsi="Times New Roman"/>
          <w:color w:val="000000"/>
        </w:rPr>
        <w:t>i</w:t>
      </w:r>
      <w:r w:rsidRPr="001358B9">
        <w:rPr>
          <w:rFonts w:ascii="Times New Roman" w:hAnsi="Times New Roman"/>
          <w:color w:val="000000"/>
        </w:rPr>
        <w:t xml:space="preserve"> folátovým</w:t>
      </w:r>
      <w:r w:rsidR="00F114E9" w:rsidRPr="001358B9">
        <w:rPr>
          <w:rFonts w:ascii="Times New Roman" w:hAnsi="Times New Roman"/>
          <w:color w:val="000000"/>
        </w:rPr>
        <w:t>i</w:t>
      </w:r>
      <w:r w:rsidRPr="001358B9">
        <w:rPr>
          <w:rFonts w:ascii="Times New Roman" w:hAnsi="Times New Roman"/>
          <w:color w:val="000000"/>
        </w:rPr>
        <w:t xml:space="preserve"> väzbovým</w:t>
      </w:r>
      <w:r w:rsidR="00F114E9" w:rsidRPr="001358B9">
        <w:rPr>
          <w:rFonts w:ascii="Times New Roman" w:hAnsi="Times New Roman"/>
          <w:color w:val="000000"/>
        </w:rPr>
        <w:t>i</w:t>
      </w:r>
      <w:r w:rsidRPr="001358B9">
        <w:rPr>
          <w:rFonts w:ascii="Times New Roman" w:hAnsi="Times New Roman"/>
          <w:color w:val="000000"/>
        </w:rPr>
        <w:t xml:space="preserve"> proteínovým</w:t>
      </w:r>
      <w:r w:rsidR="00F114E9" w:rsidRPr="001358B9">
        <w:rPr>
          <w:rFonts w:ascii="Times New Roman" w:hAnsi="Times New Roman"/>
          <w:color w:val="000000"/>
        </w:rPr>
        <w:t>i</w:t>
      </w:r>
      <w:r w:rsidRPr="001358B9">
        <w:rPr>
          <w:rFonts w:ascii="Times New Roman" w:hAnsi="Times New Roman"/>
          <w:color w:val="000000"/>
        </w:rPr>
        <w:t xml:space="preserve"> transportným</w:t>
      </w:r>
      <w:r w:rsidR="00F114E9" w:rsidRPr="001358B9">
        <w:rPr>
          <w:rFonts w:ascii="Times New Roman" w:hAnsi="Times New Roman"/>
          <w:color w:val="000000"/>
        </w:rPr>
        <w:t>i</w:t>
      </w:r>
      <w:r w:rsidRPr="001358B9">
        <w:rPr>
          <w:rFonts w:ascii="Times New Roman" w:hAnsi="Times New Roman"/>
          <w:color w:val="000000"/>
        </w:rPr>
        <w:t xml:space="preserve"> systém</w:t>
      </w:r>
      <w:r w:rsidR="00F114E9" w:rsidRPr="001358B9">
        <w:rPr>
          <w:rFonts w:ascii="Times New Roman" w:hAnsi="Times New Roman"/>
          <w:color w:val="000000"/>
        </w:rPr>
        <w:t>ami</w:t>
      </w:r>
      <w:r w:rsidRPr="001358B9">
        <w:rPr>
          <w:rFonts w:ascii="Times New Roman" w:hAnsi="Times New Roman"/>
          <w:color w:val="000000"/>
        </w:rPr>
        <w:t>. V bunke je pemetrexed rýchlo a efektívne zmenený na polyglutamátové formy enzýmom folylpolyglutamát syntetázou. Polyglutamátové formy sa zdržujú v bunkách a sú ešte účinnejšie inhibítory TS a GARFT. Polyglutamácia je proces závislý na čase a koncentrácii, ku ktorému dochádza v nádorových bunkách a v menšej miere v normálnych tkanivách. Polyglutamátové metabolity majú zvýšený intracelulárny polčas, čoho výsledkom je prolongovaný účinok lieku v malígnych bunkách.</w:t>
      </w:r>
    </w:p>
    <w:p w14:paraId="188219AE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21FF7DC" w14:textId="77777777" w:rsidR="007B3A6F" w:rsidRPr="001358B9" w:rsidRDefault="007B3A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 xml:space="preserve">Európska agentúra pre lieky udelila výnimku z povinnosti predložiť výsledky štúdií s </w:t>
      </w:r>
      <w:r w:rsidR="007E2B36" w:rsidRPr="001358B9">
        <w:rPr>
          <w:rFonts w:ascii="Times New Roman" w:hAnsi="Times New Roman"/>
        </w:rPr>
        <w:t>p</w:t>
      </w:r>
      <w:r w:rsidRPr="001358B9">
        <w:rPr>
          <w:rFonts w:ascii="Times New Roman" w:hAnsi="Times New Roman"/>
        </w:rPr>
        <w:t>emetrexedom vo všetkých podskupinách pediatrickej populácie pre schválené indikácie (</w:t>
      </w:r>
      <w:r w:rsidR="007D3AC3" w:rsidRPr="001358B9">
        <w:rPr>
          <w:rFonts w:ascii="Times New Roman" w:hAnsi="Times New Roman"/>
        </w:rPr>
        <w:t xml:space="preserve">informácie o použití v pediatrickej populácii, </w:t>
      </w:r>
      <w:r w:rsidRPr="001358B9">
        <w:rPr>
          <w:rFonts w:ascii="Times New Roman" w:hAnsi="Times New Roman"/>
        </w:rPr>
        <w:t>pozri časť 4.2).</w:t>
      </w:r>
    </w:p>
    <w:p w14:paraId="2F748FFC" w14:textId="77777777" w:rsidR="007B3A6F" w:rsidRPr="001358B9" w:rsidRDefault="007B3A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5C480F4" w14:textId="5E25A71B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  <w:u w:val="single"/>
        </w:rPr>
        <w:t>Klinická účinnosť</w:t>
      </w:r>
      <w:r w:rsidR="00E35241" w:rsidRPr="001358B9">
        <w:rPr>
          <w:rFonts w:ascii="Times New Roman" w:hAnsi="Times New Roman"/>
          <w:color w:val="000000"/>
          <w:u w:val="single"/>
        </w:rPr>
        <w:t>:</w:t>
      </w:r>
    </w:p>
    <w:p w14:paraId="7E93D246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7F6CC22" w14:textId="6588A16E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1358B9">
        <w:rPr>
          <w:rFonts w:ascii="Times New Roman" w:hAnsi="Times New Roman"/>
          <w:iCs/>
          <w:color w:val="000000"/>
          <w:u w:val="single"/>
        </w:rPr>
        <w:t>Mezotelióm</w:t>
      </w:r>
      <w:r w:rsidR="00E35241" w:rsidRPr="001358B9">
        <w:rPr>
          <w:rFonts w:ascii="Times New Roman" w:hAnsi="Times New Roman"/>
          <w:iCs/>
          <w:color w:val="000000"/>
          <w:u w:val="single"/>
        </w:rPr>
        <w:t>:</w:t>
      </w:r>
    </w:p>
    <w:p w14:paraId="2201DBD7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EMPHACIS, multicentrická, randomizovaná, jednoducho zaslepená štúdia fázy 3 s pemetrexedom plus cisplatina verzus cisplatina u pacientov dovtedy neliečených chemoterapiou s malígnym mezoteliómom pleury uk</w:t>
      </w:r>
      <w:r w:rsidR="007B3A6F" w:rsidRPr="001358B9">
        <w:rPr>
          <w:rFonts w:ascii="Times New Roman" w:hAnsi="Times New Roman"/>
          <w:color w:val="000000"/>
        </w:rPr>
        <w:t>ázala, že pacienti liečený peme</w:t>
      </w:r>
      <w:r w:rsidRPr="001358B9">
        <w:rPr>
          <w:rFonts w:ascii="Times New Roman" w:hAnsi="Times New Roman"/>
          <w:color w:val="000000"/>
        </w:rPr>
        <w:t>trexedom a cisplatinou mali klinické 2,8-mesačné zlepšenie mediánu prežívania v porovnaní s pacientmi liečenými cisplatinou.</w:t>
      </w:r>
    </w:p>
    <w:p w14:paraId="3C5B9661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0A4E7D3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Počas štúdie bola pridaná dlhodobá suplementácia nízkymi dávkami kyseliny listovej a vitamínu B</w:t>
      </w:r>
      <w:r w:rsidRPr="001358B9">
        <w:rPr>
          <w:rFonts w:ascii="Times New Roman" w:hAnsi="Times New Roman"/>
          <w:color w:val="000000"/>
          <w:vertAlign w:val="subscript"/>
        </w:rPr>
        <w:t>12</w:t>
      </w:r>
      <w:r w:rsidRPr="001358B9">
        <w:rPr>
          <w:rFonts w:ascii="Times New Roman" w:hAnsi="Times New Roman"/>
          <w:color w:val="000000"/>
        </w:rPr>
        <w:t xml:space="preserve"> za účelom zníženia toxicity. Primárna analýza štúdie bola vykonaná na populácii pacientov randomizovaných do liečebnej skupiny, ktorá bola liečená hodnoteným liekom (randomizovaní a liečení). Bola vykonaná analýza podskupín pacientov, ktorí dostávali suplementáciu kyselinou listovou a vitamínom B</w:t>
      </w:r>
      <w:r w:rsidRPr="001358B9">
        <w:rPr>
          <w:rFonts w:ascii="Times New Roman" w:hAnsi="Times New Roman"/>
          <w:color w:val="000000"/>
          <w:vertAlign w:val="subscript"/>
        </w:rPr>
        <w:t>12</w:t>
      </w:r>
      <w:r w:rsidRPr="001358B9">
        <w:rPr>
          <w:rFonts w:ascii="Times New Roman" w:hAnsi="Times New Roman"/>
          <w:color w:val="000000"/>
        </w:rPr>
        <w:t xml:space="preserve"> počas celého priebehu liečby počas štúdie (úplne suplementovaní). Výsledky týchto analýz účinnosti sú uvedené v tabuľke </w:t>
      </w:r>
      <w:r w:rsidR="007E3F4B" w:rsidRPr="001358B9">
        <w:rPr>
          <w:rFonts w:ascii="Times New Roman" w:hAnsi="Times New Roman"/>
          <w:color w:val="000000"/>
        </w:rPr>
        <w:t>nižšie</w:t>
      </w:r>
      <w:r w:rsidRPr="001358B9">
        <w:rPr>
          <w:rFonts w:ascii="Times New Roman" w:hAnsi="Times New Roman"/>
          <w:color w:val="000000"/>
        </w:rPr>
        <w:t>.</w:t>
      </w:r>
    </w:p>
    <w:p w14:paraId="715E424C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82243BD" w14:textId="77777777" w:rsidR="00C51A9C" w:rsidRPr="001358B9" w:rsidRDefault="00C51A9C">
      <w:pPr>
        <w:widowControl w:val="0"/>
        <w:tabs>
          <w:tab w:val="left" w:pos="9066"/>
        </w:tabs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lastRenderedPageBreak/>
        <w:t>Účinnosť pemetrexedu v kombinácii s cisplatinou oproti cisplatine pri malígnom mezotelióme pleury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2"/>
        <w:gridCol w:w="30"/>
        <w:gridCol w:w="1437"/>
        <w:gridCol w:w="1363"/>
        <w:gridCol w:w="1305"/>
        <w:gridCol w:w="152"/>
        <w:gridCol w:w="1303"/>
      </w:tblGrid>
      <w:tr w:rsidR="004D76FD" w:rsidRPr="001358B9" w14:paraId="06EEA89C" w14:textId="77777777" w:rsidTr="00271872">
        <w:trPr>
          <w:trHeight w:val="211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58D7350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8DB31A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1CF3FE" w14:textId="77777777" w:rsidR="004D76FD" w:rsidRPr="001358B9" w:rsidRDefault="004D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hAnsi="Times New Roman"/>
                <w:b/>
                <w:bCs/>
                <w:color w:val="000000"/>
              </w:rPr>
              <w:t>Randomizovaní a liečení pacienti</w:t>
            </w:r>
          </w:p>
        </w:tc>
        <w:tc>
          <w:tcPr>
            <w:tcW w:w="152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C92160" w14:textId="77777777" w:rsidR="00271872" w:rsidRPr="001358B9" w:rsidRDefault="004D76FD">
            <w:pPr>
              <w:widowControl w:val="0"/>
              <w:tabs>
                <w:tab w:val="left" w:pos="27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358B9">
              <w:rPr>
                <w:rFonts w:ascii="Times New Roman" w:hAnsi="Times New Roman"/>
                <w:b/>
                <w:bCs/>
                <w:color w:val="000000"/>
              </w:rPr>
              <w:t>Plne suplementovaní</w:t>
            </w:r>
          </w:p>
          <w:p w14:paraId="1112525E" w14:textId="77777777" w:rsidR="004D76FD" w:rsidRPr="001358B9" w:rsidRDefault="004D76FD">
            <w:pPr>
              <w:widowControl w:val="0"/>
              <w:tabs>
                <w:tab w:val="left" w:pos="27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hAnsi="Times New Roman"/>
                <w:b/>
                <w:bCs/>
                <w:color w:val="000000"/>
              </w:rPr>
              <w:t>pacienti</w:t>
            </w:r>
          </w:p>
        </w:tc>
      </w:tr>
      <w:tr w:rsidR="00271872" w:rsidRPr="001358B9" w14:paraId="6D723E1F" w14:textId="77777777" w:rsidTr="00271872">
        <w:trPr>
          <w:trHeight w:val="221"/>
        </w:trPr>
        <w:tc>
          <w:tcPr>
            <w:tcW w:w="1912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CC70E97" w14:textId="77777777" w:rsidR="00271872" w:rsidRPr="001358B9" w:rsidRDefault="00271872" w:rsidP="009F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hAnsi="Times New Roman"/>
                <w:b/>
                <w:bCs/>
              </w:rPr>
              <w:t>Parameter účinnosti</w:t>
            </w:r>
          </w:p>
        </w:tc>
        <w:tc>
          <w:tcPr>
            <w:tcW w:w="1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B8766E2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14:paraId="2482D680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lang w:eastAsia="en-GB"/>
              </w:rPr>
              <w:t>Pemetrexed/</w:t>
            </w:r>
          </w:p>
          <w:p w14:paraId="4A6BC3A4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lang w:eastAsia="en-GB"/>
              </w:rPr>
              <w:t>cisplatina</w:t>
            </w:r>
          </w:p>
          <w:p w14:paraId="233D4DEF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lang w:eastAsia="en-GB"/>
              </w:rPr>
              <w:t>(n = 226)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01E39E1F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lang w:eastAsia="en-GB"/>
              </w:rPr>
              <w:t>Cisplatina</w:t>
            </w:r>
          </w:p>
          <w:p w14:paraId="1435CC01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  <w:p w14:paraId="6EDFF371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lang w:eastAsia="en-GB"/>
              </w:rPr>
              <w:t>(n = 222)</w:t>
            </w:r>
          </w:p>
        </w:tc>
        <w:tc>
          <w:tcPr>
            <w:tcW w:w="805" w:type="pct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208B25EC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lang w:eastAsia="en-GB"/>
              </w:rPr>
              <w:t>Pemetrexed</w:t>
            </w:r>
            <w:r w:rsidRPr="001358B9">
              <w:rPr>
                <w:rFonts w:ascii="Times New Roman" w:eastAsia="Times New Roman" w:hAnsi="Times New Roman"/>
                <w:b/>
                <w:bCs/>
                <w:w w:val="99"/>
                <w:lang w:eastAsia="en-GB"/>
              </w:rPr>
              <w:t>/</w:t>
            </w:r>
          </w:p>
          <w:p w14:paraId="153A898E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lang w:eastAsia="en-GB"/>
              </w:rPr>
              <w:t>cisplatina</w:t>
            </w:r>
          </w:p>
          <w:p w14:paraId="01BBD69F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lang w:eastAsia="en-GB"/>
              </w:rPr>
              <w:t>(n = 168)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E25308F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eastAsia="Times New Roman" w:hAnsi="Times New Roman"/>
                <w:b/>
                <w:bCs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lang w:eastAsia="en-GB"/>
              </w:rPr>
              <w:t>Cisplatina</w:t>
            </w:r>
          </w:p>
          <w:p w14:paraId="13C4AA88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  <w:p w14:paraId="7ACEDFF2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bCs/>
                <w:lang w:eastAsia="en-GB"/>
              </w:rPr>
              <w:t>(n = 163)</w:t>
            </w:r>
          </w:p>
        </w:tc>
      </w:tr>
      <w:tr w:rsidR="00271872" w:rsidRPr="001358B9" w14:paraId="09643929" w14:textId="77777777" w:rsidTr="000F3859">
        <w:trPr>
          <w:trHeight w:val="253"/>
        </w:trPr>
        <w:tc>
          <w:tcPr>
            <w:tcW w:w="1912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C62B2A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2C67F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935C09E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53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E2B3602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805" w:type="pct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AC39E94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A761EB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Times New Roman" w:eastAsia="Times New Roman" w:hAnsi="Times New Roman"/>
                <w:lang w:eastAsia="en-GB"/>
              </w:rPr>
            </w:pPr>
          </w:p>
        </w:tc>
      </w:tr>
      <w:tr w:rsidR="00271872" w:rsidRPr="001358B9" w14:paraId="70187271" w14:textId="77777777" w:rsidTr="000F3859">
        <w:trPr>
          <w:trHeight w:val="281"/>
        </w:trPr>
        <w:tc>
          <w:tcPr>
            <w:tcW w:w="191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F183A1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0539800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FAE9AD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E37C18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805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1C944A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71A01E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Times New Roman" w:eastAsia="Times New Roman" w:hAnsi="Times New Roman"/>
                <w:lang w:eastAsia="en-GB"/>
              </w:rPr>
            </w:pPr>
          </w:p>
        </w:tc>
      </w:tr>
      <w:tr w:rsidR="00271872" w:rsidRPr="001358B9" w14:paraId="49D733EE" w14:textId="77777777" w:rsidTr="000F3859">
        <w:trPr>
          <w:trHeight w:val="239"/>
        </w:trPr>
        <w:tc>
          <w:tcPr>
            <w:tcW w:w="1912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74EB4731" w14:textId="77777777" w:rsidR="00271872" w:rsidRPr="001358B9" w:rsidRDefault="00271872" w:rsidP="009F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Medián celkového</w:t>
            </w:r>
          </w:p>
          <w:p w14:paraId="0117239B" w14:textId="77777777" w:rsidR="00271872" w:rsidRPr="001358B9" w:rsidRDefault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P</w:t>
            </w:r>
            <w:r w:rsidR="00271872" w:rsidRPr="001358B9">
              <w:rPr>
                <w:rFonts w:ascii="Times New Roman" w:eastAsia="Times New Roman" w:hAnsi="Times New Roman"/>
                <w:lang w:eastAsia="en-GB"/>
              </w:rPr>
              <w:t>režívania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r w:rsidR="00271872" w:rsidRPr="001358B9">
              <w:rPr>
                <w:rFonts w:ascii="Times New Roman" w:eastAsia="Times New Roman" w:hAnsi="Times New Roman"/>
                <w:lang w:eastAsia="en-GB"/>
              </w:rPr>
              <w:t>(mesiace)</w:t>
            </w:r>
          </w:p>
          <w:p w14:paraId="6FBDAE13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(95 % CI)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BF4A8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5D75A9AC" w14:textId="77777777" w:rsidR="00271872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12,1</w:t>
            </w:r>
          </w:p>
          <w:p w14:paraId="05FB00C2" w14:textId="77777777" w:rsidR="00AC0677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  <w:p w14:paraId="0958BAB7" w14:textId="77777777" w:rsidR="00271872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(10,0 – 14,4)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FFC6B7" w14:textId="77777777" w:rsidR="00271872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9,</w:t>
            </w:r>
            <w:r w:rsidR="00271872" w:rsidRPr="001358B9">
              <w:rPr>
                <w:rFonts w:ascii="Times New Roman" w:eastAsia="Times New Roman" w:hAnsi="Times New Roman"/>
                <w:lang w:eastAsia="en-GB"/>
              </w:rPr>
              <w:t>3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711DB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13</w:t>
            </w:r>
            <w:r w:rsidR="00AC0677" w:rsidRPr="001358B9">
              <w:rPr>
                <w:rFonts w:ascii="Times New Roman" w:eastAsia="Times New Roman" w:hAnsi="Times New Roman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3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F4BAF4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B4E58E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10</w:t>
            </w:r>
            <w:r w:rsidR="00AC0677" w:rsidRPr="001358B9">
              <w:rPr>
                <w:rFonts w:ascii="Times New Roman" w:eastAsia="Times New Roman" w:hAnsi="Times New Roman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0</w:t>
            </w:r>
          </w:p>
        </w:tc>
      </w:tr>
      <w:tr w:rsidR="00271872" w:rsidRPr="001358B9" w14:paraId="2B3AFB00" w14:textId="77777777" w:rsidTr="000F3859">
        <w:trPr>
          <w:trHeight w:val="299"/>
        </w:trPr>
        <w:tc>
          <w:tcPr>
            <w:tcW w:w="191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F005E7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1F63F5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4A7D34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B20D81" w14:textId="77777777" w:rsidR="00271872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(7,</w:t>
            </w:r>
            <w:r w:rsidR="00271872" w:rsidRPr="001358B9">
              <w:rPr>
                <w:rFonts w:ascii="Times New Roman" w:eastAsia="Times New Roman" w:hAnsi="Times New Roman"/>
                <w:lang w:eastAsia="en-GB"/>
              </w:rPr>
              <w:t xml:space="preserve">8 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–</w:t>
            </w:r>
            <w:r w:rsidR="00271872" w:rsidRPr="001358B9">
              <w:rPr>
                <w:rFonts w:ascii="Times New Roman" w:eastAsia="Times New Roman" w:hAnsi="Times New Roman"/>
                <w:lang w:eastAsia="en-GB"/>
              </w:rPr>
              <w:t xml:space="preserve"> 10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,</w:t>
            </w:r>
            <w:r w:rsidR="00271872" w:rsidRPr="001358B9">
              <w:rPr>
                <w:rFonts w:ascii="Times New Roman" w:eastAsia="Times New Roman" w:hAnsi="Times New Roman"/>
                <w:lang w:eastAsia="en-GB"/>
              </w:rPr>
              <w:t>7)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BCF0FE" w14:textId="77777777" w:rsidR="00271872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(11,4 – 14,9)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762606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9DA7CC" w14:textId="77777777" w:rsidR="00271872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(8,4 – 11,9)</w:t>
            </w:r>
          </w:p>
        </w:tc>
      </w:tr>
      <w:tr w:rsidR="004D76FD" w:rsidRPr="001358B9" w14:paraId="17152BDF" w14:textId="77777777" w:rsidTr="004D76FD">
        <w:trPr>
          <w:trHeight w:val="251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BC0A31" w14:textId="77777777" w:rsidR="004D76FD" w:rsidRPr="001358B9" w:rsidRDefault="004D76FD" w:rsidP="009F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 xml:space="preserve">Log Rank </w:t>
            </w:r>
            <w:r w:rsidR="00271872" w:rsidRPr="001358B9">
              <w:rPr>
                <w:rFonts w:ascii="Times New Roman" w:eastAsiaTheme="minorHAnsi" w:hAnsi="Times New Roman"/>
                <w:lang w:eastAsia="en-US"/>
              </w:rPr>
              <w:t>hodnota p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*</w:t>
            </w: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8DFAF74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5AAAB7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0</w:t>
            </w:r>
            <w:r w:rsidR="00AC0677" w:rsidRPr="001358B9">
              <w:rPr>
                <w:rFonts w:ascii="Times New Roman" w:eastAsia="Times New Roman" w:hAnsi="Times New Roman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020</w:t>
            </w:r>
          </w:p>
        </w:tc>
        <w:tc>
          <w:tcPr>
            <w:tcW w:w="152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540373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0</w:t>
            </w:r>
            <w:r w:rsidR="00AC0677" w:rsidRPr="001358B9">
              <w:rPr>
                <w:rFonts w:ascii="Times New Roman" w:eastAsia="Times New Roman" w:hAnsi="Times New Roman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051</w:t>
            </w:r>
          </w:p>
        </w:tc>
      </w:tr>
      <w:tr w:rsidR="00271872" w:rsidRPr="001358B9" w14:paraId="557DF773" w14:textId="77777777" w:rsidTr="000F3859">
        <w:trPr>
          <w:trHeight w:val="238"/>
        </w:trPr>
        <w:tc>
          <w:tcPr>
            <w:tcW w:w="1912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2240BC5E" w14:textId="77777777" w:rsidR="00271872" w:rsidRPr="001358B9" w:rsidRDefault="00271872" w:rsidP="009F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Medián času do progresie tumoru</w:t>
            </w:r>
          </w:p>
          <w:p w14:paraId="28871806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(mesiace)</w:t>
            </w:r>
          </w:p>
          <w:p w14:paraId="61B168A8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(95 % CI)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8E3FF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1FAE36" w14:textId="77777777" w:rsidR="00271872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5,</w:t>
            </w:r>
            <w:r w:rsidR="00271872" w:rsidRPr="001358B9">
              <w:rPr>
                <w:rFonts w:ascii="Times New Roman" w:eastAsia="Times New Roman" w:hAnsi="Times New Roman"/>
                <w:lang w:eastAsia="en-GB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6B4221" w14:textId="77777777" w:rsidR="00271872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3,</w:t>
            </w:r>
            <w:r w:rsidR="00271872" w:rsidRPr="001358B9">
              <w:rPr>
                <w:rFonts w:ascii="Times New Roman" w:eastAsia="Times New Roman" w:hAnsi="Times New Roman"/>
                <w:lang w:eastAsia="en-GB"/>
              </w:rPr>
              <w:t>9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4D722" w14:textId="77777777" w:rsidR="00271872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6,</w:t>
            </w:r>
            <w:r w:rsidR="00271872" w:rsidRPr="001358B9">
              <w:rPr>
                <w:rFonts w:ascii="Times New Roman" w:eastAsia="Times New Roman" w:hAnsi="Times New Roman"/>
                <w:lang w:eastAsia="en-GB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4E29D1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A6F125" w14:textId="77777777" w:rsidR="00271872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3,</w:t>
            </w:r>
            <w:r w:rsidR="00271872" w:rsidRPr="001358B9">
              <w:rPr>
                <w:rFonts w:ascii="Times New Roman" w:eastAsia="Times New Roman" w:hAnsi="Times New Roman"/>
                <w:lang w:eastAsia="en-GB"/>
              </w:rPr>
              <w:t>9</w:t>
            </w:r>
          </w:p>
        </w:tc>
      </w:tr>
      <w:tr w:rsidR="00271872" w:rsidRPr="001358B9" w14:paraId="7C574AB2" w14:textId="77777777" w:rsidTr="000F3859">
        <w:trPr>
          <w:trHeight w:val="474"/>
        </w:trPr>
        <w:tc>
          <w:tcPr>
            <w:tcW w:w="191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8AE868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02B60C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0EC325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(4,9 – 6,5)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616C04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(2,8 – 4,4)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797573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(5,3 – 7,0)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9B85C3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67488F" w14:textId="77777777" w:rsidR="00271872" w:rsidRPr="001358B9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(2,8 – 4,5)</w:t>
            </w:r>
          </w:p>
        </w:tc>
      </w:tr>
      <w:tr w:rsidR="004D76FD" w:rsidRPr="001358B9" w14:paraId="7B43BC86" w14:textId="77777777" w:rsidTr="004D76FD">
        <w:trPr>
          <w:trHeight w:val="249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D98A12" w14:textId="26DCA418" w:rsidR="004D76FD" w:rsidRPr="001358B9" w:rsidRDefault="004D76FD" w:rsidP="009F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 xml:space="preserve">Log Rank </w:t>
            </w:r>
            <w:r w:rsidR="004A6151" w:rsidRPr="001358B9">
              <w:rPr>
                <w:rFonts w:ascii="Times New Roman" w:eastAsia="Times New Roman" w:hAnsi="Times New Roman"/>
                <w:lang w:eastAsia="en-GB"/>
              </w:rPr>
              <w:t>hodnota</w:t>
            </w:r>
            <w:r w:rsidR="00785154">
              <w:rPr>
                <w:rFonts w:ascii="Times New Roman" w:eastAsia="Times New Roman" w:hAnsi="Times New Roman"/>
                <w:lang w:eastAsia="en-GB"/>
              </w:rPr>
              <w:t xml:space="preserve"> p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*</w:t>
            </w: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92B4AD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2A060C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0</w:t>
            </w:r>
            <w:r w:rsidR="00AC0677" w:rsidRPr="001358B9">
              <w:rPr>
                <w:rFonts w:ascii="Times New Roman" w:eastAsia="Times New Roman" w:hAnsi="Times New Roman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001</w:t>
            </w:r>
          </w:p>
        </w:tc>
        <w:tc>
          <w:tcPr>
            <w:tcW w:w="152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36D2DA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0</w:t>
            </w:r>
            <w:r w:rsidR="00AC0677" w:rsidRPr="001358B9">
              <w:rPr>
                <w:rFonts w:ascii="Times New Roman" w:eastAsia="Times New Roman" w:hAnsi="Times New Roman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008</w:t>
            </w:r>
          </w:p>
        </w:tc>
      </w:tr>
      <w:tr w:rsidR="004D76FD" w:rsidRPr="001358B9" w14:paraId="03FAB374" w14:textId="77777777" w:rsidTr="00271872">
        <w:trPr>
          <w:trHeight w:val="265"/>
        </w:trPr>
        <w:tc>
          <w:tcPr>
            <w:tcW w:w="19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0A45DE2" w14:textId="77777777" w:rsidR="004D76FD" w:rsidRPr="001358B9" w:rsidRDefault="00271872" w:rsidP="009F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Čas do zlyhania liečby (mesiace)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29505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0BCCA4" w14:textId="77777777" w:rsidR="004D76FD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4,</w:t>
            </w:r>
            <w:r w:rsidR="004D76FD" w:rsidRPr="001358B9">
              <w:rPr>
                <w:rFonts w:ascii="Times New Roman" w:eastAsia="Times New Roman" w:hAnsi="Times New Roman"/>
                <w:lang w:eastAsia="en-GB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B671BD" w14:textId="77777777" w:rsidR="004D76FD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2,</w:t>
            </w:r>
            <w:r w:rsidR="004D76FD" w:rsidRPr="001358B9">
              <w:rPr>
                <w:rFonts w:ascii="Times New Roman" w:eastAsia="Times New Roman" w:hAnsi="Times New Roman"/>
                <w:lang w:eastAsia="en-GB"/>
              </w:rPr>
              <w:t>7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64869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4</w:t>
            </w:r>
            <w:r w:rsidR="00AC0677" w:rsidRPr="001358B9">
              <w:rPr>
                <w:rFonts w:ascii="Times New Roman" w:eastAsia="Times New Roman" w:hAnsi="Times New Roman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7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84BB70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17829E" w14:textId="77777777" w:rsidR="004D76FD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2,</w:t>
            </w:r>
            <w:r w:rsidR="004D76FD" w:rsidRPr="001358B9">
              <w:rPr>
                <w:rFonts w:ascii="Times New Roman" w:eastAsia="Times New Roman" w:hAnsi="Times New Roman"/>
                <w:lang w:eastAsia="en-GB"/>
              </w:rPr>
              <w:t>7</w:t>
            </w:r>
          </w:p>
        </w:tc>
      </w:tr>
      <w:tr w:rsidR="004D76FD" w:rsidRPr="001358B9" w14:paraId="6CC94CA3" w14:textId="77777777" w:rsidTr="00271872">
        <w:trPr>
          <w:trHeight w:val="281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C32AA1" w14:textId="77777777" w:rsidR="004D76FD" w:rsidRPr="001358B9" w:rsidRDefault="004D76FD" w:rsidP="009F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(95 % CI)</w:t>
            </w: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14732E3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78047C" w14:textId="77777777" w:rsidR="004D76FD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(3,9 – 4,9)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50D09A" w14:textId="77777777" w:rsidR="004D76FD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(2,1 – 2,9)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5F8FB0" w14:textId="77777777" w:rsidR="004D76FD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(4,3 – 5,6)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185AEE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65505F" w14:textId="77777777" w:rsidR="004D76FD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(2,2 – 3,1)</w:t>
            </w:r>
          </w:p>
        </w:tc>
      </w:tr>
      <w:tr w:rsidR="004D76FD" w:rsidRPr="001358B9" w14:paraId="4D4FE6AB" w14:textId="77777777" w:rsidTr="004D76FD">
        <w:trPr>
          <w:trHeight w:val="251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8DFA70" w14:textId="77777777" w:rsidR="004D76FD" w:rsidRPr="001358B9" w:rsidRDefault="004D76FD" w:rsidP="009F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 xml:space="preserve">Log Rank </w:t>
            </w:r>
            <w:r w:rsidR="00271872" w:rsidRPr="001358B9">
              <w:rPr>
                <w:rFonts w:ascii="Times New Roman" w:eastAsia="Times New Roman" w:hAnsi="Times New Roman"/>
                <w:lang w:eastAsia="en-GB"/>
              </w:rPr>
              <w:t xml:space="preserve">hodnota 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p*</w:t>
            </w: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CD397C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23169F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0</w:t>
            </w:r>
            <w:r w:rsidR="00AC0677" w:rsidRPr="001358B9">
              <w:rPr>
                <w:rFonts w:ascii="Times New Roman" w:eastAsia="Times New Roman" w:hAnsi="Times New Roman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001</w:t>
            </w:r>
          </w:p>
        </w:tc>
        <w:tc>
          <w:tcPr>
            <w:tcW w:w="152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27CF7D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0</w:t>
            </w:r>
            <w:r w:rsidR="00AC0677" w:rsidRPr="001358B9">
              <w:rPr>
                <w:rFonts w:ascii="Times New Roman" w:eastAsia="Times New Roman" w:hAnsi="Times New Roman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001</w:t>
            </w:r>
          </w:p>
        </w:tc>
      </w:tr>
      <w:tr w:rsidR="004D76FD" w:rsidRPr="001358B9" w14:paraId="3172AAE3" w14:textId="77777777" w:rsidTr="00271872">
        <w:trPr>
          <w:trHeight w:val="253"/>
        </w:trPr>
        <w:tc>
          <w:tcPr>
            <w:tcW w:w="19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D511C7E" w14:textId="77777777" w:rsidR="004D76FD" w:rsidRPr="001358B9" w:rsidRDefault="00271872" w:rsidP="009F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Pomer celkovej odpovede</w:t>
            </w:r>
            <w:r w:rsidR="004D76FD" w:rsidRPr="001358B9">
              <w:rPr>
                <w:rFonts w:ascii="Times New Roman" w:eastAsia="Times New Roman" w:hAnsi="Times New Roman"/>
                <w:lang w:eastAsia="en-GB"/>
              </w:rPr>
              <w:t>**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ED69A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3BC110" w14:textId="77777777" w:rsidR="004D76FD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41,3 %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6A6B0B" w14:textId="77777777" w:rsidR="004D76FD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16,</w:t>
            </w:r>
            <w:r w:rsidR="004D76FD" w:rsidRPr="001358B9">
              <w:rPr>
                <w:rFonts w:ascii="Times New Roman" w:eastAsia="Times New Roman" w:hAnsi="Times New Roman"/>
                <w:lang w:eastAsia="en-GB"/>
              </w:rPr>
              <w:t>7 %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92B83" w14:textId="77777777" w:rsidR="004D76FD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45,5 %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270200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84A9CB" w14:textId="77777777" w:rsidR="004D76FD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19,6 %</w:t>
            </w:r>
          </w:p>
        </w:tc>
      </w:tr>
      <w:tr w:rsidR="004D76FD" w:rsidRPr="001358B9" w14:paraId="20B033F4" w14:textId="77777777" w:rsidTr="00271872">
        <w:trPr>
          <w:trHeight w:val="293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128DA6" w14:textId="77777777" w:rsidR="004D76FD" w:rsidRPr="001358B9" w:rsidRDefault="004D76FD" w:rsidP="009F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(95 % CI)</w:t>
            </w: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DD0E236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830158" w14:textId="77777777" w:rsidR="004D76FD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(34,8 – 48,1)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D74AA2" w14:textId="77777777" w:rsidR="004D76FD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(12,0 – 22,2)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3571580" w14:textId="77777777" w:rsidR="004D76FD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(37,8 – 53,4)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E09183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3B2967" w14:textId="77777777" w:rsidR="004D76FD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(13,8 – 26,6)</w:t>
            </w:r>
          </w:p>
        </w:tc>
      </w:tr>
      <w:tr w:rsidR="004D76FD" w:rsidRPr="001358B9" w14:paraId="33A71CFF" w14:textId="77777777" w:rsidTr="004D76FD">
        <w:trPr>
          <w:trHeight w:val="249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C5E1D2" w14:textId="77777777" w:rsidR="004D76FD" w:rsidRPr="001358B9" w:rsidRDefault="00271872" w:rsidP="009F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lang w:eastAsia="en-GB"/>
              </w:rPr>
              <w:t>Fisherova presná hodnota p</w:t>
            </w:r>
            <w:r w:rsidR="004D76FD" w:rsidRPr="001358B9">
              <w:rPr>
                <w:rFonts w:ascii="Times New Roman" w:eastAsia="Times New Roman" w:hAnsi="Times New Roman"/>
                <w:lang w:eastAsia="en-GB"/>
              </w:rPr>
              <w:t>*</w:t>
            </w: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C750863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CF824C" w14:textId="77777777" w:rsidR="004D76FD" w:rsidRPr="001358B9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&lt; 0,</w:t>
            </w:r>
            <w:r w:rsidR="004D76FD" w:rsidRPr="001358B9">
              <w:rPr>
                <w:rFonts w:ascii="Times New Roman" w:eastAsia="Times New Roman" w:hAnsi="Times New Roman"/>
                <w:lang w:eastAsia="en-GB"/>
              </w:rPr>
              <w:t>001</w:t>
            </w:r>
          </w:p>
        </w:tc>
        <w:tc>
          <w:tcPr>
            <w:tcW w:w="152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C690A0" w14:textId="77777777" w:rsidR="004D76FD" w:rsidRPr="001358B9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lang w:eastAsia="en-GB"/>
              </w:rPr>
              <w:t>&lt; 0</w:t>
            </w:r>
            <w:r w:rsidR="00AC0677" w:rsidRPr="001358B9">
              <w:rPr>
                <w:rFonts w:ascii="Times New Roman" w:eastAsia="Times New Roman" w:hAnsi="Times New Roman"/>
                <w:lang w:eastAsia="en-GB"/>
              </w:rPr>
              <w:t>,</w:t>
            </w:r>
            <w:r w:rsidRPr="001358B9">
              <w:rPr>
                <w:rFonts w:ascii="Times New Roman" w:eastAsia="Times New Roman" w:hAnsi="Times New Roman"/>
                <w:lang w:eastAsia="en-GB"/>
              </w:rPr>
              <w:t>001</w:t>
            </w:r>
          </w:p>
        </w:tc>
      </w:tr>
    </w:tbl>
    <w:p w14:paraId="2D10386E" w14:textId="77777777" w:rsidR="00AC0677" w:rsidRPr="001358B9" w:rsidRDefault="00AC0677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27728">
        <w:rPr>
          <w:rFonts w:ascii="Times New Roman" w:hAnsi="Times New Roman"/>
        </w:rPr>
        <w:t xml:space="preserve">Skratky: CI = interval </w:t>
      </w:r>
      <w:r w:rsidRPr="001358B9">
        <w:rPr>
          <w:rFonts w:ascii="Times New Roman" w:hAnsi="Times New Roman"/>
        </w:rPr>
        <w:t>spoľahlivosti.</w:t>
      </w:r>
    </w:p>
    <w:p w14:paraId="6251ACF9" w14:textId="77777777" w:rsidR="00AC0677" w:rsidRPr="001358B9" w:rsidRDefault="00AC06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 xml:space="preserve">* </w:t>
      </w:r>
      <w:r w:rsidR="007106D0" w:rsidRPr="001358B9">
        <w:rPr>
          <w:rFonts w:ascii="Times New Roman" w:hAnsi="Times New Roman"/>
        </w:rPr>
        <w:t>H</w:t>
      </w:r>
      <w:r w:rsidRPr="001358B9">
        <w:rPr>
          <w:rFonts w:ascii="Times New Roman" w:hAnsi="Times New Roman"/>
        </w:rPr>
        <w:t>odnota p odkazuje na porovnanie medzi liečebnými ramenami.</w:t>
      </w:r>
    </w:p>
    <w:p w14:paraId="7265C490" w14:textId="77777777" w:rsidR="004D76FD" w:rsidRPr="001358B9" w:rsidRDefault="00AC06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>**</w:t>
      </w:r>
      <w:r w:rsidR="007106D0" w:rsidRPr="001358B9">
        <w:rPr>
          <w:rFonts w:ascii="Times New Roman" w:hAnsi="Times New Roman"/>
        </w:rPr>
        <w:t xml:space="preserve"> </w:t>
      </w:r>
      <w:r w:rsidRPr="001358B9">
        <w:rPr>
          <w:rFonts w:ascii="Times New Roman" w:hAnsi="Times New Roman"/>
        </w:rPr>
        <w:t>Rameno pemetrexed/cisplatina, randomizovaní a liečení (n = 225) a plne suplementovaní (n = 167)</w:t>
      </w:r>
      <w:r w:rsidR="007106D0" w:rsidRPr="001358B9">
        <w:rPr>
          <w:rFonts w:ascii="Times New Roman" w:hAnsi="Times New Roman"/>
        </w:rPr>
        <w:t>.</w:t>
      </w:r>
    </w:p>
    <w:p w14:paraId="4532CF09" w14:textId="77777777" w:rsidR="00AC0677" w:rsidRPr="001358B9" w:rsidRDefault="00AC0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40"/>
        <w:rPr>
          <w:rFonts w:ascii="Times New Roman" w:hAnsi="Times New Roman"/>
        </w:rPr>
      </w:pPr>
    </w:p>
    <w:p w14:paraId="493D5686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</w:rPr>
        <w:t xml:space="preserve">Štatisticky signifikantné zlepšenie klinicky závažných </w:t>
      </w:r>
      <w:r w:rsidR="00266504" w:rsidRPr="001358B9">
        <w:rPr>
          <w:rFonts w:ascii="Times New Roman" w:hAnsi="Times New Roman"/>
        </w:rPr>
        <w:t>príznak</w:t>
      </w:r>
      <w:r w:rsidRPr="001358B9">
        <w:rPr>
          <w:rFonts w:ascii="Times New Roman" w:hAnsi="Times New Roman"/>
        </w:rPr>
        <w:t>ov (bolesť a d</w:t>
      </w:r>
      <w:r w:rsidR="00F53CD7" w:rsidRPr="001358B9">
        <w:rPr>
          <w:rFonts w:ascii="Times New Roman" w:hAnsi="Times New Roman"/>
        </w:rPr>
        <w:t>ýchavič</w:t>
      </w:r>
      <w:r w:rsidRPr="001358B9">
        <w:rPr>
          <w:rFonts w:ascii="Times New Roman" w:hAnsi="Times New Roman"/>
        </w:rPr>
        <w:t>nosť) spojených s</w:t>
      </w:r>
      <w:r w:rsidR="003A6B75" w:rsidRPr="001358B9">
        <w:rPr>
          <w:rFonts w:ascii="Times New Roman" w:hAnsi="Times New Roman"/>
        </w:rPr>
        <w:t> </w:t>
      </w:r>
      <w:r w:rsidRPr="001358B9">
        <w:rPr>
          <w:rFonts w:ascii="Times New Roman" w:hAnsi="Times New Roman"/>
        </w:rPr>
        <w:t>malígnym mezoteliómom pleury v ramene pemetrexed/cisplatina (212 pacientov) oproti ramenu s</w:t>
      </w:r>
      <w:r w:rsidR="003A6B75" w:rsidRPr="001358B9">
        <w:rPr>
          <w:rFonts w:ascii="Times New Roman" w:hAnsi="Times New Roman"/>
        </w:rPr>
        <w:t>o samotnou </w:t>
      </w:r>
      <w:r w:rsidRPr="001358B9">
        <w:rPr>
          <w:rFonts w:ascii="Times New Roman" w:hAnsi="Times New Roman"/>
        </w:rPr>
        <w:t xml:space="preserve">cisplatinou (218 pacientov) bolo preukázané použitím škály </w:t>
      </w:r>
      <w:r w:rsidR="009B3E5C" w:rsidRPr="001358B9">
        <w:rPr>
          <w:rFonts w:ascii="Times New Roman" w:hAnsi="Times New Roman"/>
        </w:rPr>
        <w:t>príznak</w:t>
      </w:r>
      <w:r w:rsidRPr="001358B9">
        <w:rPr>
          <w:rFonts w:ascii="Times New Roman" w:hAnsi="Times New Roman"/>
        </w:rPr>
        <w:t>ov karcinómu pľúc (Lung Cancer Symptom Scale). Taktiež boli pozorované štatisticky významné rozdiely v</w:t>
      </w:r>
      <w:r w:rsidR="007106D0" w:rsidRPr="001358B9">
        <w:rPr>
          <w:rFonts w:ascii="Times New Roman" w:hAnsi="Times New Roman"/>
        </w:rPr>
        <w:t> </w:t>
      </w:r>
      <w:r w:rsidRPr="001358B9">
        <w:rPr>
          <w:rFonts w:ascii="Times New Roman" w:hAnsi="Times New Roman"/>
        </w:rPr>
        <w:t>pľúcnych</w:t>
      </w:r>
      <w:r w:rsidR="007106D0" w:rsidRPr="001358B9">
        <w:rPr>
          <w:rFonts w:ascii="Times New Roman" w:hAnsi="Times New Roman"/>
        </w:rPr>
        <w:t xml:space="preserve"> </w:t>
      </w:r>
      <w:r w:rsidRPr="001358B9">
        <w:rPr>
          <w:rFonts w:ascii="Times New Roman" w:hAnsi="Times New Roman"/>
        </w:rPr>
        <w:t>funkčných testoch. Rozdiel medzi liečebnými ramenami bol dosiahnutý zlepšením pľúcnej funkcie v ramene pemetrexed/cisplatina a zhoršením pľúcnej funkcie v čase v kontrolnom ramene.</w:t>
      </w:r>
    </w:p>
    <w:p w14:paraId="512D2CBE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D1A5B9A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hAnsi="Times New Roman"/>
        </w:rPr>
      </w:pPr>
      <w:r w:rsidRPr="001358B9">
        <w:rPr>
          <w:rFonts w:ascii="Times New Roman" w:hAnsi="Times New Roman"/>
        </w:rPr>
        <w:t>Existujú obmedzené údaje u pacientov s malígnym mezoteliómom pleury liečených pemetrexedom v monoterapii. Pemetrexed v dávke 500 mg/m</w:t>
      </w:r>
      <w:r w:rsidRPr="001358B9">
        <w:rPr>
          <w:rFonts w:ascii="Times New Roman" w:hAnsi="Times New Roman"/>
          <w:vertAlign w:val="superscript"/>
        </w:rPr>
        <w:t>2</w:t>
      </w:r>
      <w:r w:rsidRPr="001358B9">
        <w:rPr>
          <w:rFonts w:ascii="Times New Roman" w:hAnsi="Times New Roman"/>
        </w:rPr>
        <w:t xml:space="preserve"> bol študovan</w:t>
      </w:r>
      <w:r w:rsidR="003A6B75" w:rsidRPr="001358B9">
        <w:rPr>
          <w:rFonts w:ascii="Times New Roman" w:hAnsi="Times New Roman"/>
        </w:rPr>
        <w:t>ý</w:t>
      </w:r>
      <w:r w:rsidRPr="001358B9">
        <w:rPr>
          <w:rFonts w:ascii="Times New Roman" w:hAnsi="Times New Roman"/>
        </w:rPr>
        <w:t xml:space="preserve"> ako monoterapi</w:t>
      </w:r>
      <w:r w:rsidR="003A6B75" w:rsidRPr="001358B9">
        <w:rPr>
          <w:rFonts w:ascii="Times New Roman" w:hAnsi="Times New Roman"/>
        </w:rPr>
        <w:t>a</w:t>
      </w:r>
      <w:r w:rsidRPr="001358B9">
        <w:rPr>
          <w:rFonts w:ascii="Times New Roman" w:hAnsi="Times New Roman"/>
        </w:rPr>
        <w:t xml:space="preserve"> u 64 chemoterapiou neliečených pacientov s malígnym mezoteliómom pleury. Celková odpoveď na liečbu bola 14,1 %.</w:t>
      </w:r>
    </w:p>
    <w:p w14:paraId="0738EFFA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E5AF2CF" w14:textId="7FBE627F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1358B9">
        <w:rPr>
          <w:rFonts w:ascii="Times New Roman" w:hAnsi="Times New Roman"/>
          <w:iCs/>
          <w:u w:val="single"/>
        </w:rPr>
        <w:t>NSCLC, liečba v druhej línii</w:t>
      </w:r>
      <w:r w:rsidR="00FB4FEA" w:rsidRPr="001358B9">
        <w:rPr>
          <w:rFonts w:ascii="Times New Roman" w:hAnsi="Times New Roman"/>
          <w:iCs/>
          <w:u w:val="single"/>
        </w:rPr>
        <w:t>:</w:t>
      </w:r>
    </w:p>
    <w:p w14:paraId="7221B062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1358B9">
        <w:rPr>
          <w:rFonts w:ascii="Times New Roman" w:hAnsi="Times New Roman"/>
        </w:rPr>
        <w:t xml:space="preserve">V multicentrickej, randomizovanej, otvorenej štúdii fázy 3 s pemetrexedom </w:t>
      </w:r>
      <w:r w:rsidR="00745D59" w:rsidRPr="001358B9">
        <w:rPr>
          <w:rFonts w:ascii="Times New Roman" w:hAnsi="Times New Roman"/>
        </w:rPr>
        <w:t>verz</w:t>
      </w:r>
      <w:r w:rsidR="003A6B75" w:rsidRPr="001358B9">
        <w:rPr>
          <w:rFonts w:ascii="Times New Roman" w:hAnsi="Times New Roman"/>
        </w:rPr>
        <w:t>us</w:t>
      </w:r>
      <w:r w:rsidRPr="001358B9">
        <w:rPr>
          <w:rFonts w:ascii="Times New Roman" w:hAnsi="Times New Roman"/>
        </w:rPr>
        <w:t xml:space="preserve"> docetaxel u</w:t>
      </w:r>
      <w:r w:rsidR="003A6B75" w:rsidRPr="001358B9">
        <w:rPr>
          <w:rFonts w:ascii="Times New Roman" w:hAnsi="Times New Roman"/>
        </w:rPr>
        <w:t> </w:t>
      </w:r>
      <w:r w:rsidRPr="001358B9">
        <w:rPr>
          <w:rFonts w:ascii="Times New Roman" w:hAnsi="Times New Roman"/>
        </w:rPr>
        <w:t>pacientov s lokálne pokročilým a</w:t>
      </w:r>
      <w:r w:rsidR="003A6B75" w:rsidRPr="001358B9">
        <w:rPr>
          <w:rFonts w:ascii="Times New Roman" w:hAnsi="Times New Roman"/>
        </w:rPr>
        <w:t>lebo</w:t>
      </w:r>
      <w:r w:rsidRPr="001358B9">
        <w:rPr>
          <w:rFonts w:ascii="Times New Roman" w:hAnsi="Times New Roman"/>
        </w:rPr>
        <w:t xml:space="preserve"> metastatickým NSCLC po primárnej chemoterapii bol preukázaný medián prežívania 8,3 mesiacov u pacientov liečených pemetrexedom (populácia so zámerom byť liečená n = 283) a 7,9 mesiacov u pacientov liečených docetaxelom (populácia so zámerom byť liečená n = 288). Predchádzajúca chemoterapia nezahŕňala pemetrexed. Analýza vplyvu histológie NSCLC na liečebný efekt z hľadiska celkového prežitia vyšla v prospech pemetrexedu oproti docetaxelu vo všetkých okrem prevažne skvamóznych histológií (n = 399; 9,3 verzus 8,0 mesiacov, dosiahnuté HR = 0,78;</w:t>
      </w:r>
      <w:r w:rsidR="003A6B75" w:rsidRPr="001358B9">
        <w:rPr>
          <w:rFonts w:ascii="Times New Roman" w:hAnsi="Times New Roman"/>
        </w:rPr>
        <w:t xml:space="preserve"> </w:t>
      </w:r>
      <w:r w:rsidRPr="001358B9">
        <w:rPr>
          <w:rFonts w:ascii="Times New Roman" w:hAnsi="Times New Roman"/>
        </w:rPr>
        <w:t>95 % CI = 0,61 - 1,00</w:t>
      </w:r>
      <w:r w:rsidR="003A6B75" w:rsidRPr="001358B9">
        <w:rPr>
          <w:rFonts w:ascii="Times New Roman" w:hAnsi="Times New Roman"/>
        </w:rPr>
        <w:t>;</w:t>
      </w:r>
      <w:r w:rsidRPr="001358B9">
        <w:rPr>
          <w:rFonts w:ascii="Times New Roman" w:hAnsi="Times New Roman"/>
        </w:rPr>
        <w:t xml:space="preserve"> p = 0,047) a v prospech docetaxelu pre skvamóznu bunkovú histológiu karcinómu (n = 172; 6,2 verzus 7,4 mesiacov, dosiahnuté HR = 1,56; 95 % CI = 1,08 - 2,26</w:t>
      </w:r>
      <w:r w:rsidR="00594ACE" w:rsidRPr="001358B9">
        <w:rPr>
          <w:rFonts w:ascii="Times New Roman" w:hAnsi="Times New Roman"/>
        </w:rPr>
        <w:t>;</w:t>
      </w:r>
      <w:r w:rsidRPr="001358B9">
        <w:rPr>
          <w:rFonts w:ascii="Times New Roman" w:hAnsi="Times New Roman"/>
        </w:rPr>
        <w:t xml:space="preserve"> p = 0,018). V rámci histologických podskupín sa nepozorovali žiadne klinicky významné rozdiely týkajúce sa bezpečnostného profilu pemetrexedu.</w:t>
      </w:r>
    </w:p>
    <w:p w14:paraId="1178A0DB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BBFB1C5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>Obmedzené klinické údaje zo samostatnej, randomizovanej, kontrolovanej štúdie fázy 3 predpokladajú, že údaje o účinnosti (celkové prežitie, prežívanie bez progresie) pre pemetrexed sú</w:t>
      </w:r>
      <w:bookmarkStart w:id="9" w:name="page17"/>
      <w:bookmarkEnd w:id="9"/>
      <w:r w:rsidR="00594ACE" w:rsidRPr="001358B9">
        <w:rPr>
          <w:rFonts w:ascii="Times New Roman" w:hAnsi="Times New Roman"/>
        </w:rPr>
        <w:t xml:space="preserve"> </w:t>
      </w:r>
      <w:r w:rsidRPr="001358B9">
        <w:rPr>
          <w:rFonts w:ascii="Times New Roman" w:hAnsi="Times New Roman"/>
          <w:color w:val="000000"/>
        </w:rPr>
        <w:t>rovnaké medzi pacientmi</w:t>
      </w:r>
      <w:r w:rsidR="003C07AB" w:rsidRPr="001358B9">
        <w:rPr>
          <w:rFonts w:ascii="Times New Roman" w:hAnsi="Times New Roman"/>
          <w:color w:val="000000"/>
        </w:rPr>
        <w:t>,</w:t>
      </w:r>
      <w:r w:rsidRPr="001358B9">
        <w:rPr>
          <w:rFonts w:ascii="Times New Roman" w:hAnsi="Times New Roman"/>
          <w:color w:val="000000"/>
        </w:rPr>
        <w:t xml:space="preserve"> predtým liečenými docetaxelom (n = 41) a pacientmi, ktorí predtým nedostávali liečbu docetaxelom (n = 540).</w:t>
      </w:r>
    </w:p>
    <w:p w14:paraId="6413C5F4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59E175A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hAnsi="Times New Roman"/>
        </w:rPr>
      </w:pPr>
      <w:r w:rsidRPr="001358B9">
        <w:rPr>
          <w:rFonts w:ascii="Times New Roman" w:hAnsi="Times New Roman"/>
          <w:b/>
          <w:bCs/>
          <w:color w:val="000000"/>
        </w:rPr>
        <w:lastRenderedPageBreak/>
        <w:t xml:space="preserve">Účinnosť pemetrexedu </w:t>
      </w:r>
      <w:r w:rsidR="00856170" w:rsidRPr="001358B9">
        <w:rPr>
          <w:rFonts w:ascii="Times New Roman" w:hAnsi="Times New Roman"/>
          <w:b/>
          <w:bCs/>
          <w:color w:val="000000"/>
        </w:rPr>
        <w:t>oproti</w:t>
      </w:r>
      <w:r w:rsidRPr="001358B9">
        <w:rPr>
          <w:rFonts w:ascii="Times New Roman" w:hAnsi="Times New Roman"/>
          <w:b/>
          <w:bCs/>
          <w:color w:val="000000"/>
        </w:rPr>
        <w:t xml:space="preserve"> docetaxelu u pacientov s nemalobunkovým karcinómom pľúc – ITT populácia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2"/>
        <w:gridCol w:w="2513"/>
        <w:gridCol w:w="2405"/>
      </w:tblGrid>
      <w:tr w:rsidR="00594ACE" w:rsidRPr="001358B9" w14:paraId="7D18F040" w14:textId="77777777" w:rsidTr="00D5061A">
        <w:trPr>
          <w:trHeight w:hRule="exact" w:val="264"/>
        </w:trPr>
        <w:tc>
          <w:tcPr>
            <w:tcW w:w="2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2BF3E" w14:textId="77777777" w:rsidR="00594ACE" w:rsidRPr="001358B9" w:rsidRDefault="00594ACE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3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FAEC7" w14:textId="77777777" w:rsidR="00594ACE" w:rsidRPr="001358B9" w:rsidRDefault="00594ACE">
            <w:pPr>
              <w:spacing w:before="4" w:after="0" w:line="240" w:lineRule="auto"/>
              <w:ind w:left="622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Pemetrexed</w:t>
            </w:r>
          </w:p>
        </w:tc>
        <w:tc>
          <w:tcPr>
            <w:tcW w:w="1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0C882" w14:textId="77777777" w:rsidR="00594ACE" w:rsidRPr="001358B9" w:rsidRDefault="00594ACE">
            <w:pPr>
              <w:spacing w:before="4" w:after="0" w:line="240" w:lineRule="auto"/>
              <w:ind w:left="673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Docetaxel</w:t>
            </w:r>
          </w:p>
        </w:tc>
      </w:tr>
      <w:tr w:rsidR="00594ACE" w:rsidRPr="001358B9" w14:paraId="06A340B7" w14:textId="77777777" w:rsidTr="008018EA">
        <w:trPr>
          <w:trHeight w:hRule="exact" w:val="1687"/>
        </w:trPr>
        <w:tc>
          <w:tcPr>
            <w:tcW w:w="2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5BCF6" w14:textId="77777777" w:rsidR="00594ACE" w:rsidRPr="001358B9" w:rsidRDefault="00594ACE" w:rsidP="009F07FA">
            <w:pPr>
              <w:spacing w:after="0" w:line="240" w:lineRule="auto"/>
              <w:ind w:left="112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Čas prežívania (mesiace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)</w:t>
            </w:r>
          </w:p>
          <w:p w14:paraId="7CEF10FD" w14:textId="77777777" w:rsidR="00594ACE" w:rsidRPr="001358B9" w:rsidRDefault="00594ACE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>Medián (m)</w:t>
            </w:r>
          </w:p>
          <w:p w14:paraId="7A6BC220" w14:textId="77777777" w:rsidR="00594ACE" w:rsidRPr="001358B9" w:rsidRDefault="00594ACE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95 % CI pre medián</w:t>
            </w:r>
          </w:p>
          <w:p w14:paraId="13034E86" w14:textId="77777777" w:rsidR="00594ACE" w:rsidRPr="001358B9" w:rsidRDefault="00594ACE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HR</w:t>
            </w:r>
          </w:p>
          <w:p w14:paraId="00E818C4" w14:textId="77777777" w:rsidR="00594ACE" w:rsidRPr="001358B9" w:rsidRDefault="00594ACE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95 % CI pre HR</w:t>
            </w:r>
          </w:p>
          <w:p w14:paraId="630ABF83" w14:textId="77777777" w:rsidR="00594ACE" w:rsidRPr="001358B9" w:rsidRDefault="00D5061A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Hodnota p pre n</w:t>
            </w:r>
            <w:r w:rsidR="00745D59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on</w:t>
            </w:r>
            <w:r w:rsidR="00594ACE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inferioritu (HR)</w:t>
            </w:r>
          </w:p>
        </w:tc>
        <w:tc>
          <w:tcPr>
            <w:tcW w:w="271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1FA28" w14:textId="77777777" w:rsidR="00594ACE" w:rsidRPr="001358B9" w:rsidRDefault="00594ACE">
            <w:pPr>
              <w:tabs>
                <w:tab w:val="left" w:pos="2861"/>
              </w:tabs>
              <w:spacing w:after="0" w:line="240" w:lineRule="auto"/>
              <w:ind w:left="665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(n = 283)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(n = 288)</w:t>
            </w:r>
          </w:p>
          <w:p w14:paraId="7FC68F3E" w14:textId="77777777" w:rsidR="00594ACE" w:rsidRPr="001358B9" w:rsidRDefault="00594ACE">
            <w:pPr>
              <w:tabs>
                <w:tab w:val="left" w:pos="3135"/>
              </w:tabs>
              <w:spacing w:after="0" w:line="240" w:lineRule="auto"/>
              <w:ind w:left="936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8,3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7,9</w:t>
            </w:r>
          </w:p>
          <w:p w14:paraId="7F723EFF" w14:textId="77777777" w:rsidR="00594ACE" w:rsidRPr="001358B9" w:rsidRDefault="00594ACE">
            <w:pPr>
              <w:tabs>
                <w:tab w:val="left" w:pos="2832"/>
              </w:tabs>
              <w:spacing w:before="2" w:after="0" w:line="240" w:lineRule="auto"/>
              <w:ind w:left="651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(7,0 – 9,4)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(6,3 – 9,2)</w:t>
            </w:r>
          </w:p>
          <w:p w14:paraId="5CE7B80B" w14:textId="77777777" w:rsidR="00594ACE" w:rsidRPr="001358B9" w:rsidRDefault="00594ACE">
            <w:pPr>
              <w:spacing w:after="0" w:line="240" w:lineRule="auto"/>
              <w:ind w:left="2016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0,99</w:t>
            </w:r>
          </w:p>
          <w:p w14:paraId="408C5E21" w14:textId="77777777" w:rsidR="00594ACE" w:rsidRPr="001358B9" w:rsidRDefault="00594ACE">
            <w:pPr>
              <w:spacing w:before="2" w:after="0" w:line="240" w:lineRule="auto"/>
              <w:ind w:left="1714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(0,82 – 1,20)</w:t>
            </w:r>
          </w:p>
          <w:p w14:paraId="6403F38C" w14:textId="77777777" w:rsidR="00594ACE" w:rsidRPr="001358B9" w:rsidRDefault="00594ACE">
            <w:pPr>
              <w:spacing w:after="0" w:line="240" w:lineRule="auto"/>
              <w:ind w:left="2016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0,226</w:t>
            </w:r>
          </w:p>
        </w:tc>
      </w:tr>
      <w:tr w:rsidR="00594ACE" w:rsidRPr="001358B9" w14:paraId="0C7C6A67" w14:textId="77777777" w:rsidTr="000436B6">
        <w:trPr>
          <w:trHeight w:hRule="exact" w:val="768"/>
        </w:trPr>
        <w:tc>
          <w:tcPr>
            <w:tcW w:w="2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673D0" w14:textId="77777777" w:rsidR="00594ACE" w:rsidRPr="001358B9" w:rsidRDefault="000436B6" w:rsidP="009F07FA">
            <w:pPr>
              <w:spacing w:before="4" w:after="0" w:line="240" w:lineRule="auto"/>
              <w:ind w:left="112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Čas prežívania bez progresie (mesiace)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</w:t>
            </w:r>
          </w:p>
          <w:p w14:paraId="6CC5C967" w14:textId="77777777" w:rsidR="00594ACE" w:rsidRPr="001358B9" w:rsidRDefault="00594ACE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w w:val="101"/>
                <w:lang w:eastAsia="en-GB"/>
              </w:rPr>
              <w:t>Medi</w:t>
            </w:r>
            <w:r w:rsidR="000436B6" w:rsidRPr="001358B9">
              <w:rPr>
                <w:rFonts w:ascii="Times New Roman" w:eastAsia="Times New Roman" w:hAnsi="Times New Roman"/>
                <w:color w:val="000000"/>
                <w:w w:val="101"/>
                <w:lang w:eastAsia="en-GB"/>
              </w:rPr>
              <w:t>á</w:t>
            </w:r>
            <w:r w:rsidRPr="001358B9">
              <w:rPr>
                <w:rFonts w:ascii="Times New Roman" w:eastAsia="Times New Roman" w:hAnsi="Times New Roman"/>
                <w:color w:val="000000"/>
                <w:w w:val="101"/>
                <w:lang w:eastAsia="en-GB"/>
              </w:rPr>
              <w:t>n</w:t>
            </w:r>
          </w:p>
          <w:p w14:paraId="7ACC6242" w14:textId="77777777" w:rsidR="00594ACE" w:rsidRPr="001358B9" w:rsidRDefault="00594ACE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>HR (95 % CI)</w:t>
            </w:r>
          </w:p>
        </w:tc>
        <w:tc>
          <w:tcPr>
            <w:tcW w:w="271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28946" w14:textId="77777777" w:rsidR="00594ACE" w:rsidRPr="001358B9" w:rsidRDefault="00594ACE">
            <w:pPr>
              <w:tabs>
                <w:tab w:val="left" w:pos="2861"/>
              </w:tabs>
              <w:spacing w:after="0" w:line="240" w:lineRule="auto"/>
              <w:ind w:left="665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(n = 283)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(n = 288)</w:t>
            </w:r>
          </w:p>
          <w:p w14:paraId="46B8E951" w14:textId="77777777" w:rsidR="00594ACE" w:rsidRPr="001358B9" w:rsidRDefault="00594ACE">
            <w:pPr>
              <w:tabs>
                <w:tab w:val="left" w:pos="3135"/>
              </w:tabs>
              <w:spacing w:after="0" w:line="240" w:lineRule="auto"/>
              <w:ind w:left="936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2,9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2,9</w:t>
            </w:r>
          </w:p>
          <w:p w14:paraId="3EDBACAE" w14:textId="77777777" w:rsidR="00594ACE" w:rsidRPr="001358B9" w:rsidRDefault="00594ACE">
            <w:pPr>
              <w:spacing w:after="0" w:line="240" w:lineRule="auto"/>
              <w:ind w:left="1476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>0,97 (0,82 – 1,16)</w:t>
            </w:r>
          </w:p>
        </w:tc>
      </w:tr>
      <w:tr w:rsidR="00594ACE" w:rsidRPr="001358B9" w14:paraId="2729F717" w14:textId="77777777" w:rsidTr="00D5061A">
        <w:trPr>
          <w:trHeight w:hRule="exact" w:val="804"/>
        </w:trPr>
        <w:tc>
          <w:tcPr>
            <w:tcW w:w="2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AA712" w14:textId="77777777" w:rsidR="00594ACE" w:rsidRPr="001358B9" w:rsidRDefault="000436B6" w:rsidP="009F07FA">
            <w:pPr>
              <w:spacing w:before="4" w:after="0" w:line="240" w:lineRule="auto"/>
              <w:ind w:left="112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NewRomanPS-BoldMT" w:hAnsi="Times New Roman"/>
                <w:b/>
                <w:bCs/>
                <w:lang w:eastAsia="en-US"/>
              </w:rPr>
              <w:t xml:space="preserve">Čas do zlyhania liečby </w:t>
            </w:r>
            <w:r w:rsidRPr="001358B9">
              <w:rPr>
                <w:rFonts w:ascii="Times New Roman" w:eastAsia="TimesNewRomanPS-BoldMT" w:hAnsi="Times New Roman"/>
                <w:b/>
                <w:bCs/>
                <w:lang w:eastAsia="en-US"/>
              </w:rPr>
              <w:t>(TTTF – mesiace)</w:t>
            </w:r>
          </w:p>
          <w:p w14:paraId="5FB8131C" w14:textId="77777777" w:rsidR="00594ACE" w:rsidRPr="001358B9" w:rsidRDefault="00594ACE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w w:val="101"/>
                <w:lang w:eastAsia="en-GB"/>
              </w:rPr>
              <w:t>Medi</w:t>
            </w:r>
            <w:r w:rsidR="000436B6" w:rsidRPr="001358B9">
              <w:rPr>
                <w:rFonts w:ascii="Times New Roman" w:eastAsia="Times New Roman" w:hAnsi="Times New Roman"/>
                <w:color w:val="000000"/>
                <w:w w:val="101"/>
                <w:lang w:eastAsia="en-GB"/>
              </w:rPr>
              <w:t>á</w:t>
            </w:r>
            <w:r w:rsidRPr="001358B9">
              <w:rPr>
                <w:rFonts w:ascii="Times New Roman" w:eastAsia="Times New Roman" w:hAnsi="Times New Roman"/>
                <w:color w:val="000000"/>
                <w:w w:val="101"/>
                <w:lang w:eastAsia="en-GB"/>
              </w:rPr>
              <w:t>n</w:t>
            </w:r>
          </w:p>
          <w:p w14:paraId="33C21481" w14:textId="77777777" w:rsidR="00594ACE" w:rsidRPr="001358B9" w:rsidRDefault="00594ACE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>HR (95 % CI)</w:t>
            </w:r>
          </w:p>
        </w:tc>
        <w:tc>
          <w:tcPr>
            <w:tcW w:w="271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971F4" w14:textId="77777777" w:rsidR="00594ACE" w:rsidRPr="001358B9" w:rsidRDefault="00594ACE">
            <w:pPr>
              <w:tabs>
                <w:tab w:val="left" w:pos="2861"/>
              </w:tabs>
              <w:spacing w:after="0" w:line="240" w:lineRule="auto"/>
              <w:ind w:left="665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(n = 283)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(n = 288)</w:t>
            </w:r>
          </w:p>
          <w:p w14:paraId="14B5765C" w14:textId="77777777" w:rsidR="00594ACE" w:rsidRPr="001358B9" w:rsidRDefault="00594ACE">
            <w:pPr>
              <w:tabs>
                <w:tab w:val="left" w:pos="3135"/>
              </w:tabs>
              <w:spacing w:before="1" w:after="0" w:line="240" w:lineRule="auto"/>
              <w:ind w:left="936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2,3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2,1</w:t>
            </w:r>
          </w:p>
          <w:p w14:paraId="108A5D4C" w14:textId="77777777" w:rsidR="00594ACE" w:rsidRPr="001358B9" w:rsidRDefault="00594ACE">
            <w:pPr>
              <w:spacing w:before="1" w:after="0" w:line="240" w:lineRule="auto"/>
              <w:ind w:left="1493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0,84 (0,71 – 0,997)</w:t>
            </w:r>
          </w:p>
        </w:tc>
      </w:tr>
      <w:tr w:rsidR="00594ACE" w:rsidRPr="001358B9" w14:paraId="7B7C66AD" w14:textId="77777777" w:rsidTr="00D5061A">
        <w:trPr>
          <w:trHeight w:hRule="exact" w:val="770"/>
        </w:trPr>
        <w:tc>
          <w:tcPr>
            <w:tcW w:w="2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8F5F7" w14:textId="77777777" w:rsidR="00594ACE" w:rsidRPr="001358B9" w:rsidRDefault="000436B6" w:rsidP="009F07FA">
            <w:pPr>
              <w:spacing w:after="0" w:line="240" w:lineRule="auto"/>
              <w:ind w:left="112"/>
              <w:rPr>
                <w:rFonts w:ascii="Times New Roman" w:eastAsia="Times New Roman" w:hAnsi="Times New Roman"/>
                <w:lang w:eastAsia="en-GB"/>
              </w:rPr>
            </w:pPr>
            <w:r w:rsidRPr="00927728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Odpoveď</w:t>
            </w:r>
            <w:r w:rsidR="00594ACE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(n: </w:t>
            </w: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kvalifikovaný na odpoveď</w:t>
            </w:r>
            <w:r w:rsidR="00594ACE"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)</w:t>
            </w:r>
          </w:p>
          <w:p w14:paraId="5D00B894" w14:textId="77777777" w:rsidR="00594ACE" w:rsidRPr="001358B9" w:rsidRDefault="000436B6">
            <w:pPr>
              <w:numPr>
                <w:ilvl w:val="0"/>
                <w:numId w:val="37"/>
              </w:numPr>
              <w:spacing w:before="3"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spacing w:val="1"/>
                <w:lang w:eastAsia="en-GB"/>
              </w:rPr>
              <w:t>Odpoveď na liečbu</w:t>
            </w:r>
            <w:r w:rsidR="00594ACE" w:rsidRPr="001358B9">
              <w:rPr>
                <w:rFonts w:ascii="Times New Roman" w:eastAsia="Times New Roman" w:hAnsi="Times New Roman"/>
                <w:color w:val="000000"/>
                <w:spacing w:val="1"/>
                <w:lang w:eastAsia="en-GB"/>
              </w:rPr>
              <w:t xml:space="preserve"> (%) (95 % CI)</w:t>
            </w:r>
          </w:p>
          <w:p w14:paraId="7FB5FA47" w14:textId="77777777" w:rsidR="00594ACE" w:rsidRPr="001358B9" w:rsidRDefault="000436B6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 xml:space="preserve">Stabilizácia ochorenia </w:t>
            </w:r>
            <w:r w:rsidR="00594ACE" w:rsidRPr="001358B9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>(%)</w:t>
            </w:r>
          </w:p>
        </w:tc>
        <w:tc>
          <w:tcPr>
            <w:tcW w:w="13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F60F2" w14:textId="77777777" w:rsidR="00594ACE" w:rsidRPr="001358B9" w:rsidRDefault="00594ACE">
            <w:pPr>
              <w:spacing w:after="0" w:line="240" w:lineRule="auto"/>
              <w:ind w:left="665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(n = 264)</w:t>
            </w:r>
          </w:p>
          <w:p w14:paraId="1746CDCD" w14:textId="77777777" w:rsidR="00594ACE" w:rsidRPr="001358B9" w:rsidRDefault="00594ACE">
            <w:pPr>
              <w:spacing w:before="3" w:after="0" w:line="240" w:lineRule="auto"/>
              <w:ind w:left="415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9,1 (5,9 – 13,2)</w:t>
            </w:r>
          </w:p>
          <w:p w14:paraId="1251F98F" w14:textId="77777777" w:rsidR="00594ACE" w:rsidRPr="001358B9" w:rsidRDefault="00594ACE">
            <w:pPr>
              <w:spacing w:after="0" w:line="240" w:lineRule="auto"/>
              <w:ind w:left="884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45,8</w:t>
            </w:r>
          </w:p>
        </w:tc>
        <w:tc>
          <w:tcPr>
            <w:tcW w:w="1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FA363" w14:textId="77777777" w:rsidR="00594ACE" w:rsidRPr="001358B9" w:rsidRDefault="00594ACE">
            <w:pPr>
              <w:spacing w:after="0" w:line="240" w:lineRule="auto"/>
              <w:ind w:left="721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(n = 274)</w:t>
            </w:r>
          </w:p>
          <w:p w14:paraId="378BEEE6" w14:textId="77777777" w:rsidR="00594ACE" w:rsidRPr="001358B9" w:rsidRDefault="00594ACE">
            <w:pPr>
              <w:spacing w:before="3" w:after="0" w:line="240" w:lineRule="auto"/>
              <w:ind w:left="472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8,8 (5,7 – 12,8)</w:t>
            </w:r>
          </w:p>
          <w:p w14:paraId="0E58B09E" w14:textId="77777777" w:rsidR="00594ACE" w:rsidRPr="001358B9" w:rsidRDefault="00594ACE">
            <w:pPr>
              <w:spacing w:after="0" w:line="240" w:lineRule="auto"/>
              <w:ind w:left="940"/>
              <w:rPr>
                <w:rFonts w:ascii="Times New Roman" w:eastAsia="Times New Roman" w:hAnsi="Times New Roman"/>
                <w:lang w:eastAsia="en-GB"/>
              </w:rPr>
            </w:pPr>
            <w:r w:rsidRPr="001358B9">
              <w:rPr>
                <w:rFonts w:ascii="Times New Roman" w:eastAsia="Times New Roman" w:hAnsi="Times New Roman"/>
                <w:color w:val="000000"/>
                <w:lang w:eastAsia="en-GB"/>
              </w:rPr>
              <w:t>46,4</w:t>
            </w:r>
          </w:p>
        </w:tc>
      </w:tr>
    </w:tbl>
    <w:p w14:paraId="6E7BED69" w14:textId="77777777" w:rsidR="00C51A9C" w:rsidRPr="001358B9" w:rsidRDefault="00C51A9C" w:rsidP="009F07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00"/>
        <w:rPr>
          <w:rFonts w:ascii="Times New Roman" w:hAnsi="Times New Roman"/>
        </w:rPr>
      </w:pPr>
      <w:r w:rsidRPr="00927728">
        <w:rPr>
          <w:rFonts w:ascii="Times New Roman" w:hAnsi="Times New Roman"/>
        </w:rPr>
        <w:t xml:space="preserve">Skratky: CI = interval spoľahlivosti; </w:t>
      </w:r>
      <w:r w:rsidRPr="001358B9">
        <w:rPr>
          <w:rFonts w:ascii="Times New Roman" w:hAnsi="Times New Roman"/>
        </w:rPr>
        <w:t>HR = pomer rizika; ITT = so zámerom liečiť; n = veľkosť celej populácie.</w:t>
      </w:r>
    </w:p>
    <w:p w14:paraId="234FCB02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72BDAED" w14:textId="59C7CFDD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1358B9">
        <w:rPr>
          <w:rFonts w:ascii="Times New Roman" w:hAnsi="Times New Roman"/>
          <w:iCs/>
          <w:u w:val="single"/>
        </w:rPr>
        <w:t>NSCLC, liečba v prvej línii</w:t>
      </w:r>
      <w:r w:rsidR="0097359F" w:rsidRPr="001358B9">
        <w:rPr>
          <w:rFonts w:ascii="Times New Roman" w:hAnsi="Times New Roman"/>
          <w:iCs/>
          <w:u w:val="single"/>
        </w:rPr>
        <w:t>:</w:t>
      </w:r>
    </w:p>
    <w:p w14:paraId="787A8FB5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>Multicentrická, randomizovaná, otvorená štúdia fázy 3 s pemetrexedom a cisplatinou verzus gemcitabínom a cisplatinou u pacientov bez predchádzajúcej liečby chemoterapiou s lokálne pokročilým alebo metastatickým (stupeň III</w:t>
      </w:r>
      <w:r w:rsidR="00617926" w:rsidRPr="001358B9">
        <w:rPr>
          <w:rFonts w:ascii="Times New Roman" w:hAnsi="Times New Roman"/>
        </w:rPr>
        <w:t>B</w:t>
      </w:r>
      <w:r w:rsidRPr="001358B9">
        <w:rPr>
          <w:rFonts w:ascii="Times New Roman" w:hAnsi="Times New Roman"/>
        </w:rPr>
        <w:t xml:space="preserve"> alebo IV) nemalobunkovým karcinómom pľúc (NSCLC) ukázala, že pemetrexed spolu s cisplatinou (ITT [Intent-To-Treat</w:t>
      </w:r>
      <w:r w:rsidR="00D5061A" w:rsidRPr="001358B9">
        <w:rPr>
          <w:rFonts w:ascii="Times New Roman" w:hAnsi="Times New Roman"/>
        </w:rPr>
        <w:t xml:space="preserve"> – so zámerom liečiť] populácia </w:t>
      </w:r>
      <w:r w:rsidRPr="001358B9">
        <w:rPr>
          <w:rFonts w:ascii="Times New Roman" w:hAnsi="Times New Roman"/>
        </w:rPr>
        <w:t>n = 862) splnila primárny cieľ a preukázala rovnakú klinickú účinnosť ako gemcitabín s cisplatinou (ITT n = 863) v celkovom prežívaní (adjustovaný pomer rizík 0,94; 95 % CI = 0,84 - 1,05). Všetci pacienti zahrnutí do štúdie mali výkonnostný stav podľa ECOG 0 alebo 1.</w:t>
      </w:r>
    </w:p>
    <w:p w14:paraId="10E81C40" w14:textId="77777777" w:rsidR="00617926" w:rsidRPr="001358B9" w:rsidRDefault="006179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</w:rPr>
      </w:pPr>
    </w:p>
    <w:p w14:paraId="339082B7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>Analýza primárnej účinnosti bola založená na ITT populácii. Analýzy citlivosti hlavných cieľových parametrov účinnosti boli hodnotené na populácii kvalifikovanej protokolom (PQ). Analýzy účinnosti pre PQ populáciu boli zhodné s analýzami pre ITT populáciu a podporujú noninferioritu AC verzus GC.</w:t>
      </w:r>
    </w:p>
    <w:p w14:paraId="49F37A8D" w14:textId="77777777" w:rsidR="00617926" w:rsidRPr="001358B9" w:rsidRDefault="006179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hAnsi="Times New Roman"/>
        </w:rPr>
      </w:pPr>
    </w:p>
    <w:p w14:paraId="1CB1456C" w14:textId="77777777" w:rsidR="00C51A9C" w:rsidRPr="001358B9" w:rsidRDefault="00C51A9C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>Prežívanie bez progresie (PFS) a celková odpoveď na liečbu boli podobné medzi liečebnými ramenami: medián PFS bol 4,8 mesiacov pre pemetrexed s cisplatinou verzus 5,1 mesiacov pre gemcitabín s cisplatinou (adjustovaný pomer rizík 1,04; 95 % CI = 0,94 - 1,15) a celková odpoveď na liečbu bola 30,6 % (95 % CI = 27,3 - 33,9) pre pemetrexed s cisplatinou verzus 28,2 % (95 % CI = 25,0 - 31,4) pre gemcitabín s cisplatinou. PFS údaje sa čiastočne potvrdili nezávislým preskúmaním (na preskúmanie bolo náhodne vybraných 400/1 725 pacientov).</w:t>
      </w:r>
    </w:p>
    <w:p w14:paraId="57C0FDAD" w14:textId="77777777" w:rsidR="00617926" w:rsidRPr="001358B9" w:rsidRDefault="006179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</w:rPr>
      </w:pPr>
    </w:p>
    <w:p w14:paraId="21D0AD97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</w:rPr>
      </w:pPr>
      <w:r w:rsidRPr="001358B9">
        <w:rPr>
          <w:rFonts w:ascii="Times New Roman" w:hAnsi="Times New Roman"/>
        </w:rPr>
        <w:t>Analýza vplyvu histológie NSCLC na celkové prežitie ukázala klinicky významné rozdiely v prežívaní podľa histológie, pozri tabuľku nižšie.</w:t>
      </w:r>
    </w:p>
    <w:p w14:paraId="5DA0483B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8FFD91F" w14:textId="77777777" w:rsidR="00617926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Times New Roman" w:hAnsi="Times New Roman"/>
        </w:rPr>
      </w:pPr>
      <w:r w:rsidRPr="001358B9">
        <w:rPr>
          <w:rFonts w:ascii="Times New Roman" w:hAnsi="Times New Roman"/>
          <w:b/>
          <w:bCs/>
        </w:rPr>
        <w:t xml:space="preserve">Účinnosť pemetrexed + cisplatina </w:t>
      </w:r>
      <w:r w:rsidR="00856170" w:rsidRPr="001358B9">
        <w:rPr>
          <w:rFonts w:ascii="Times New Roman" w:hAnsi="Times New Roman"/>
          <w:b/>
          <w:bCs/>
        </w:rPr>
        <w:t>oproti</w:t>
      </w:r>
      <w:r w:rsidRPr="001358B9">
        <w:rPr>
          <w:rFonts w:ascii="Times New Roman" w:hAnsi="Times New Roman"/>
          <w:b/>
          <w:bCs/>
        </w:rPr>
        <w:t xml:space="preserve"> gemcitabín + cisplatina v prvej línii nemalobunkového karcinómu pľúc – ITT popu</w:t>
      </w:r>
      <w:r w:rsidR="000F3859" w:rsidRPr="001358B9">
        <w:rPr>
          <w:rFonts w:ascii="Times New Roman" w:hAnsi="Times New Roman"/>
          <w:b/>
          <w:bCs/>
        </w:rPr>
        <w:t>lácia a histologické podskupiny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1531"/>
        <w:gridCol w:w="893"/>
        <w:gridCol w:w="1276"/>
        <w:gridCol w:w="1022"/>
        <w:gridCol w:w="1402"/>
        <w:gridCol w:w="1149"/>
      </w:tblGrid>
      <w:tr w:rsidR="00617926" w:rsidRPr="001358B9" w14:paraId="752532B2" w14:textId="77777777" w:rsidTr="000F3859">
        <w:trPr>
          <w:trHeight w:hRule="exact" w:val="528"/>
        </w:trPr>
        <w:tc>
          <w:tcPr>
            <w:tcW w:w="98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9645C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ITT populácia</w:t>
            </w:r>
          </w:p>
          <w:p w14:paraId="46CBFF0E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a histologické</w:t>
            </w:r>
          </w:p>
          <w:p w14:paraId="1B048990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podskupiny</w:t>
            </w:r>
          </w:p>
        </w:tc>
        <w:tc>
          <w:tcPr>
            <w:tcW w:w="2606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E2C1C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  <w:bCs/>
              </w:rPr>
              <w:t>Medián celkového prežitia v mesiacoch</w:t>
            </w:r>
          </w:p>
          <w:p w14:paraId="588EFCFF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(95% CI)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C9FC7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Adjustovaný</w:t>
            </w:r>
          </w:p>
          <w:p w14:paraId="2DDA404E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pomer</w:t>
            </w:r>
          </w:p>
          <w:p w14:paraId="28E1ADDB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rizík (HR)</w:t>
            </w:r>
          </w:p>
          <w:p w14:paraId="74D76E67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(95% CI)</w:t>
            </w:r>
          </w:p>
        </w:tc>
        <w:tc>
          <w:tcPr>
            <w:tcW w:w="63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364B0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82A682B" w14:textId="77777777" w:rsidR="000F3859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p-hodnota</w:t>
            </w:r>
          </w:p>
          <w:p w14:paraId="5DEADDE3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s</w:t>
            </w:r>
            <w:r w:rsidR="00617926" w:rsidRPr="001358B9">
              <w:rPr>
                <w:rFonts w:ascii="Times New Roman" w:hAnsi="Times New Roman"/>
                <w:b/>
              </w:rPr>
              <w:t>uperiority</w:t>
            </w:r>
          </w:p>
          <w:p w14:paraId="164F2403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7926" w:rsidRPr="001358B9" w14:paraId="6F8EC133" w14:textId="77777777" w:rsidTr="000F3859">
        <w:trPr>
          <w:trHeight w:hRule="exact" w:val="528"/>
        </w:trPr>
        <w:tc>
          <w:tcPr>
            <w:tcW w:w="9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16CBEE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</w:p>
        </w:tc>
        <w:tc>
          <w:tcPr>
            <w:tcW w:w="133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A2748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Pemetrexed +</w:t>
            </w:r>
          </w:p>
          <w:p w14:paraId="6CE1A303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b/>
              </w:rPr>
              <w:t>cisplatina</w:t>
            </w:r>
          </w:p>
        </w:tc>
        <w:tc>
          <w:tcPr>
            <w:tcW w:w="126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78A3A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8B9">
              <w:rPr>
                <w:rFonts w:ascii="Times New Roman" w:hAnsi="Times New Roman"/>
                <w:b/>
              </w:rPr>
              <w:t>Gemcitabín +</w:t>
            </w:r>
          </w:p>
          <w:p w14:paraId="18BE8859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  <w:b/>
              </w:rPr>
              <w:t>cisplatina</w:t>
            </w:r>
          </w:p>
        </w:tc>
        <w:tc>
          <w:tcPr>
            <w:tcW w:w="77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81776D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F7A2B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7926" w:rsidRPr="001358B9" w14:paraId="54C36856" w14:textId="77777777" w:rsidTr="000F3859">
        <w:trPr>
          <w:trHeight w:hRule="exact" w:val="561"/>
        </w:trPr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96ABDA" w14:textId="77777777" w:rsidR="00617926" w:rsidRPr="001358B9" w:rsidRDefault="00617926" w:rsidP="009F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927728">
              <w:rPr>
                <w:rFonts w:ascii="Times New Roman" w:hAnsi="Times New Roman"/>
              </w:rPr>
              <w:t>ITT populácia</w:t>
            </w:r>
          </w:p>
          <w:p w14:paraId="794B9A71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(n = 1 725)</w:t>
            </w: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70CF7E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10</w:t>
            </w:r>
            <w:r w:rsidR="000F3859" w:rsidRPr="001358B9">
              <w:rPr>
                <w:rFonts w:ascii="Times New Roman" w:hAnsi="Times New Roman"/>
              </w:rPr>
              <w:t>,</w:t>
            </w:r>
            <w:r w:rsidRPr="001358B9">
              <w:rPr>
                <w:rFonts w:ascii="Times New Roman" w:hAnsi="Times New Roman"/>
              </w:rPr>
              <w:t>3</w:t>
            </w:r>
          </w:p>
          <w:p w14:paraId="56D50B16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(9,</w:t>
            </w:r>
            <w:r w:rsidR="00617926" w:rsidRPr="001358B9">
              <w:rPr>
                <w:rFonts w:ascii="Times New Roman" w:hAnsi="Times New Roman"/>
              </w:rPr>
              <w:t xml:space="preserve">8 </w:t>
            </w:r>
            <w:r w:rsidRPr="001358B9">
              <w:rPr>
                <w:rFonts w:ascii="Times New Roman" w:hAnsi="Times New Roman"/>
              </w:rPr>
              <w:t>–</w:t>
            </w:r>
            <w:r w:rsidR="00617926" w:rsidRPr="001358B9">
              <w:rPr>
                <w:rFonts w:ascii="Times New Roman" w:hAnsi="Times New Roman"/>
              </w:rPr>
              <w:t xml:space="preserve"> 11</w:t>
            </w:r>
            <w:r w:rsidRPr="001358B9">
              <w:rPr>
                <w:rFonts w:ascii="Times New Roman" w:hAnsi="Times New Roman"/>
              </w:rPr>
              <w:t>,</w:t>
            </w:r>
            <w:r w:rsidR="00617926" w:rsidRPr="001358B9">
              <w:rPr>
                <w:rFonts w:ascii="Times New Roman" w:hAnsi="Times New Roman"/>
              </w:rPr>
              <w:t>2)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171D90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n </w:t>
            </w:r>
            <w:r w:rsidR="00617926" w:rsidRPr="001358B9">
              <w:rPr>
                <w:rFonts w:ascii="Times New Roman" w:hAnsi="Times New Roman"/>
              </w:rPr>
              <w:t>=</w:t>
            </w:r>
            <w:r w:rsidRPr="001358B9">
              <w:rPr>
                <w:rFonts w:ascii="Times New Roman" w:hAnsi="Times New Roman"/>
              </w:rPr>
              <w:t> </w:t>
            </w:r>
            <w:r w:rsidR="00617926" w:rsidRPr="001358B9">
              <w:rPr>
                <w:rFonts w:ascii="Times New Roman" w:hAnsi="Times New Roman"/>
              </w:rPr>
              <w:t>862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D5FD97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10,</w:t>
            </w:r>
            <w:r w:rsidR="00617926" w:rsidRPr="001358B9">
              <w:rPr>
                <w:rFonts w:ascii="Times New Roman" w:hAnsi="Times New Roman"/>
              </w:rPr>
              <w:t>3</w:t>
            </w:r>
          </w:p>
          <w:p w14:paraId="4F6E99B8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(9,</w:t>
            </w:r>
            <w:r w:rsidR="00617926" w:rsidRPr="001358B9">
              <w:rPr>
                <w:rFonts w:ascii="Times New Roman" w:hAnsi="Times New Roman"/>
              </w:rPr>
              <w:t>6</w:t>
            </w:r>
            <w:r w:rsidRPr="001358B9">
              <w:rPr>
                <w:rFonts w:ascii="Times New Roman" w:hAnsi="Times New Roman"/>
              </w:rPr>
              <w:t xml:space="preserve"> – 10,</w:t>
            </w:r>
            <w:r w:rsidR="00617926" w:rsidRPr="001358B9">
              <w:rPr>
                <w:rFonts w:ascii="Times New Roman" w:hAnsi="Times New Roman"/>
              </w:rPr>
              <w:t>9)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0BF817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n </w:t>
            </w:r>
            <w:r w:rsidR="00617926" w:rsidRPr="001358B9">
              <w:rPr>
                <w:rFonts w:ascii="Times New Roman" w:hAnsi="Times New Roman"/>
              </w:rPr>
              <w:t>=</w:t>
            </w:r>
            <w:r w:rsidRPr="001358B9">
              <w:rPr>
                <w:rFonts w:ascii="Times New Roman" w:hAnsi="Times New Roman"/>
              </w:rPr>
              <w:t> </w:t>
            </w:r>
            <w:r w:rsidR="00617926" w:rsidRPr="001358B9">
              <w:rPr>
                <w:rFonts w:ascii="Times New Roman" w:hAnsi="Times New Roman"/>
              </w:rPr>
              <w:t>863</w:t>
            </w:r>
          </w:p>
        </w:tc>
        <w:tc>
          <w:tcPr>
            <w:tcW w:w="7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3978CD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0,</w:t>
            </w:r>
            <w:r w:rsidR="00617926" w:rsidRPr="001358B9">
              <w:rPr>
                <w:rFonts w:ascii="Times New Roman" w:hAnsi="Times New Roman"/>
              </w:rPr>
              <w:t>94</w:t>
            </w:r>
            <w:r w:rsidR="00617926" w:rsidRPr="001358B9">
              <w:rPr>
                <w:rFonts w:ascii="Times New Roman" w:hAnsi="Times New Roman"/>
                <w:vertAlign w:val="superscript"/>
              </w:rPr>
              <w:t>a</w:t>
            </w:r>
          </w:p>
          <w:p w14:paraId="6EDC2045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(0</w:t>
            </w:r>
            <w:r w:rsidR="000F3859" w:rsidRPr="001358B9">
              <w:rPr>
                <w:rFonts w:ascii="Times New Roman" w:hAnsi="Times New Roman"/>
              </w:rPr>
              <w:t>,</w:t>
            </w:r>
            <w:r w:rsidRPr="001358B9">
              <w:rPr>
                <w:rFonts w:ascii="Times New Roman" w:hAnsi="Times New Roman"/>
              </w:rPr>
              <w:t xml:space="preserve">84 </w:t>
            </w:r>
            <w:r w:rsidR="000F3859" w:rsidRPr="001358B9">
              <w:rPr>
                <w:rFonts w:ascii="Times New Roman" w:hAnsi="Times New Roman"/>
              </w:rPr>
              <w:t>–</w:t>
            </w:r>
            <w:r w:rsidRPr="001358B9">
              <w:rPr>
                <w:rFonts w:ascii="Times New Roman" w:hAnsi="Times New Roman"/>
              </w:rPr>
              <w:t xml:space="preserve"> 1</w:t>
            </w:r>
            <w:r w:rsidR="000F3859" w:rsidRPr="001358B9">
              <w:rPr>
                <w:rFonts w:ascii="Times New Roman" w:hAnsi="Times New Roman"/>
              </w:rPr>
              <w:t>,</w:t>
            </w:r>
            <w:r w:rsidRPr="001358B9">
              <w:rPr>
                <w:rFonts w:ascii="Times New Roman" w:hAnsi="Times New Roman"/>
              </w:rPr>
              <w:t>05)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CEE211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0,</w:t>
            </w:r>
            <w:r w:rsidR="00617926" w:rsidRPr="001358B9">
              <w:rPr>
                <w:rFonts w:ascii="Times New Roman" w:hAnsi="Times New Roman"/>
              </w:rPr>
              <w:t>259</w:t>
            </w:r>
          </w:p>
        </w:tc>
      </w:tr>
      <w:tr w:rsidR="00617926" w:rsidRPr="001358B9" w14:paraId="20514486" w14:textId="77777777" w:rsidTr="000F3859">
        <w:trPr>
          <w:trHeight w:hRule="exact" w:val="744"/>
        </w:trPr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8693FD" w14:textId="77777777" w:rsidR="00617926" w:rsidRPr="001358B9" w:rsidRDefault="00617926" w:rsidP="009F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927728">
              <w:rPr>
                <w:rFonts w:ascii="Times New Roman" w:hAnsi="Times New Roman"/>
              </w:rPr>
              <w:lastRenderedPageBreak/>
              <w:t>Adenokarcinóm</w:t>
            </w:r>
          </w:p>
          <w:p w14:paraId="30E84E91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(n = 847)</w:t>
            </w: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1ADB9A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12,</w:t>
            </w:r>
            <w:r w:rsidR="00617926" w:rsidRPr="001358B9">
              <w:rPr>
                <w:rFonts w:ascii="Times New Roman" w:hAnsi="Times New Roman"/>
              </w:rPr>
              <w:t>6</w:t>
            </w:r>
          </w:p>
          <w:p w14:paraId="3067955D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(10</w:t>
            </w:r>
            <w:r w:rsidR="000F3859" w:rsidRPr="001358B9">
              <w:rPr>
                <w:rFonts w:ascii="Times New Roman" w:hAnsi="Times New Roman"/>
              </w:rPr>
              <w:t>,</w:t>
            </w:r>
            <w:r w:rsidRPr="001358B9">
              <w:rPr>
                <w:rFonts w:ascii="Times New Roman" w:hAnsi="Times New Roman"/>
              </w:rPr>
              <w:t xml:space="preserve">7 </w:t>
            </w:r>
            <w:r w:rsidR="000F3859" w:rsidRPr="001358B9">
              <w:rPr>
                <w:rFonts w:ascii="Times New Roman" w:hAnsi="Times New Roman"/>
              </w:rPr>
              <w:t>–</w:t>
            </w:r>
            <w:r w:rsidRPr="001358B9">
              <w:rPr>
                <w:rFonts w:ascii="Times New Roman" w:hAnsi="Times New Roman"/>
              </w:rPr>
              <w:t xml:space="preserve"> 13</w:t>
            </w:r>
            <w:r w:rsidR="000F3859" w:rsidRPr="001358B9">
              <w:rPr>
                <w:rFonts w:ascii="Times New Roman" w:hAnsi="Times New Roman"/>
              </w:rPr>
              <w:t>,</w:t>
            </w:r>
            <w:r w:rsidRPr="001358B9">
              <w:rPr>
                <w:rFonts w:ascii="Times New Roman" w:hAnsi="Times New Roman"/>
              </w:rPr>
              <w:t>6)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D9D247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n </w:t>
            </w:r>
            <w:r w:rsidR="00617926" w:rsidRPr="001358B9">
              <w:rPr>
                <w:rFonts w:ascii="Times New Roman" w:hAnsi="Times New Roman"/>
              </w:rPr>
              <w:t>=</w:t>
            </w:r>
            <w:r w:rsidRPr="001358B9">
              <w:rPr>
                <w:rFonts w:ascii="Times New Roman" w:hAnsi="Times New Roman"/>
              </w:rPr>
              <w:t xml:space="preserve"> </w:t>
            </w:r>
            <w:r w:rsidR="00617926" w:rsidRPr="001358B9">
              <w:rPr>
                <w:rFonts w:ascii="Times New Roman" w:hAnsi="Times New Roman"/>
              </w:rPr>
              <w:t>436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6497D5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10</w:t>
            </w:r>
            <w:r w:rsidR="000F3859" w:rsidRPr="001358B9">
              <w:rPr>
                <w:rFonts w:ascii="Times New Roman" w:hAnsi="Times New Roman"/>
              </w:rPr>
              <w:t>,</w:t>
            </w:r>
            <w:r w:rsidRPr="001358B9">
              <w:rPr>
                <w:rFonts w:ascii="Times New Roman" w:hAnsi="Times New Roman"/>
              </w:rPr>
              <w:t>9</w:t>
            </w:r>
          </w:p>
          <w:p w14:paraId="21217609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(10</w:t>
            </w:r>
            <w:r w:rsidR="000F3859" w:rsidRPr="001358B9">
              <w:rPr>
                <w:rFonts w:ascii="Times New Roman" w:hAnsi="Times New Roman"/>
              </w:rPr>
              <w:t>,</w:t>
            </w:r>
            <w:r w:rsidRPr="001358B9">
              <w:rPr>
                <w:rFonts w:ascii="Times New Roman" w:hAnsi="Times New Roman"/>
              </w:rPr>
              <w:t xml:space="preserve">2 </w:t>
            </w:r>
            <w:r w:rsidR="000F3859" w:rsidRPr="001358B9">
              <w:rPr>
                <w:rFonts w:ascii="Times New Roman" w:hAnsi="Times New Roman"/>
              </w:rPr>
              <w:t>–</w:t>
            </w:r>
            <w:r w:rsidRPr="001358B9">
              <w:rPr>
                <w:rFonts w:ascii="Times New Roman" w:hAnsi="Times New Roman"/>
              </w:rPr>
              <w:t xml:space="preserve"> 11</w:t>
            </w:r>
            <w:r w:rsidR="000F3859" w:rsidRPr="001358B9">
              <w:rPr>
                <w:rFonts w:ascii="Times New Roman" w:hAnsi="Times New Roman"/>
              </w:rPr>
              <w:t>,</w:t>
            </w:r>
            <w:r w:rsidRPr="001358B9">
              <w:rPr>
                <w:rFonts w:ascii="Times New Roman" w:hAnsi="Times New Roman"/>
              </w:rPr>
              <w:t>9)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B9FED4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n </w:t>
            </w:r>
            <w:r w:rsidR="00617926" w:rsidRPr="001358B9">
              <w:rPr>
                <w:rFonts w:ascii="Times New Roman" w:hAnsi="Times New Roman"/>
              </w:rPr>
              <w:t>=</w:t>
            </w:r>
            <w:r w:rsidRPr="001358B9">
              <w:rPr>
                <w:rFonts w:ascii="Times New Roman" w:hAnsi="Times New Roman"/>
              </w:rPr>
              <w:t> </w:t>
            </w:r>
            <w:r w:rsidR="00617926" w:rsidRPr="001358B9">
              <w:rPr>
                <w:rFonts w:ascii="Times New Roman" w:hAnsi="Times New Roman"/>
              </w:rPr>
              <w:t>411</w:t>
            </w:r>
          </w:p>
        </w:tc>
        <w:tc>
          <w:tcPr>
            <w:tcW w:w="7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1D066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0,</w:t>
            </w:r>
            <w:r w:rsidR="00617926" w:rsidRPr="001358B9">
              <w:rPr>
                <w:rFonts w:ascii="Times New Roman" w:hAnsi="Times New Roman"/>
              </w:rPr>
              <w:t>84</w:t>
            </w:r>
          </w:p>
          <w:p w14:paraId="2E54BA8A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(0</w:t>
            </w:r>
            <w:r w:rsidR="000F3859" w:rsidRPr="001358B9">
              <w:rPr>
                <w:rFonts w:ascii="Times New Roman" w:hAnsi="Times New Roman"/>
              </w:rPr>
              <w:t>,71 – 0,</w:t>
            </w:r>
            <w:r w:rsidRPr="001358B9">
              <w:rPr>
                <w:rFonts w:ascii="Times New Roman" w:hAnsi="Times New Roman"/>
              </w:rPr>
              <w:t>99)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84FFAD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0,</w:t>
            </w:r>
            <w:r w:rsidR="00617926" w:rsidRPr="001358B9">
              <w:rPr>
                <w:rFonts w:ascii="Times New Roman" w:hAnsi="Times New Roman"/>
              </w:rPr>
              <w:t>033</w:t>
            </w:r>
          </w:p>
        </w:tc>
      </w:tr>
      <w:tr w:rsidR="00617926" w:rsidRPr="001358B9" w14:paraId="5FB14112" w14:textId="77777777" w:rsidTr="001358B9">
        <w:trPr>
          <w:trHeight w:hRule="exact" w:val="826"/>
        </w:trPr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BE96C1" w14:textId="41DD7C9E" w:rsidR="00617926" w:rsidRPr="001358B9" w:rsidRDefault="00617926" w:rsidP="009F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927728">
              <w:rPr>
                <w:rFonts w:ascii="Times New Roman" w:hAnsi="Times New Roman"/>
              </w:rPr>
              <w:t>Veľkobunkový</w:t>
            </w:r>
            <w:r w:rsidR="009E3720" w:rsidRPr="001358B9">
              <w:rPr>
                <w:rFonts w:ascii="Times New Roman" w:hAnsi="Times New Roman"/>
              </w:rPr>
              <w:t xml:space="preserve"> karcinóm pľúc</w:t>
            </w:r>
          </w:p>
          <w:p w14:paraId="72AA4E4A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(n = 153)</w:t>
            </w: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8A6778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10,</w:t>
            </w:r>
            <w:r w:rsidR="00617926" w:rsidRPr="001358B9">
              <w:rPr>
                <w:rFonts w:ascii="Times New Roman" w:hAnsi="Times New Roman"/>
              </w:rPr>
              <w:t>4</w:t>
            </w:r>
          </w:p>
          <w:p w14:paraId="7AB0205C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(8,</w:t>
            </w:r>
            <w:r w:rsidR="00617926" w:rsidRPr="001358B9">
              <w:rPr>
                <w:rFonts w:ascii="Times New Roman" w:hAnsi="Times New Roman"/>
              </w:rPr>
              <w:t xml:space="preserve">6 </w:t>
            </w:r>
            <w:r w:rsidRPr="001358B9">
              <w:rPr>
                <w:rFonts w:ascii="Times New Roman" w:hAnsi="Times New Roman"/>
              </w:rPr>
              <w:t>–</w:t>
            </w:r>
            <w:r w:rsidR="00617926" w:rsidRPr="001358B9">
              <w:rPr>
                <w:rFonts w:ascii="Times New Roman" w:hAnsi="Times New Roman"/>
              </w:rPr>
              <w:t xml:space="preserve"> 14</w:t>
            </w:r>
            <w:r w:rsidRPr="001358B9">
              <w:rPr>
                <w:rFonts w:ascii="Times New Roman" w:hAnsi="Times New Roman"/>
              </w:rPr>
              <w:t>,</w:t>
            </w:r>
            <w:r w:rsidR="00617926" w:rsidRPr="001358B9">
              <w:rPr>
                <w:rFonts w:ascii="Times New Roman" w:hAnsi="Times New Roman"/>
              </w:rPr>
              <w:t>1)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66B59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n </w:t>
            </w:r>
            <w:r w:rsidR="00617926" w:rsidRPr="001358B9">
              <w:rPr>
                <w:rFonts w:ascii="Times New Roman" w:hAnsi="Times New Roman"/>
              </w:rPr>
              <w:t>=</w:t>
            </w:r>
            <w:r w:rsidRPr="001358B9">
              <w:rPr>
                <w:rFonts w:ascii="Times New Roman" w:hAnsi="Times New Roman"/>
              </w:rPr>
              <w:t> </w:t>
            </w:r>
            <w:r w:rsidR="00617926" w:rsidRPr="001358B9">
              <w:rPr>
                <w:rFonts w:ascii="Times New Roman" w:hAnsi="Times New Roman"/>
              </w:rPr>
              <w:t>76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E10DF9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6,</w:t>
            </w:r>
            <w:r w:rsidR="00617926" w:rsidRPr="001358B9">
              <w:rPr>
                <w:rFonts w:ascii="Times New Roman" w:hAnsi="Times New Roman"/>
              </w:rPr>
              <w:t>7</w:t>
            </w:r>
          </w:p>
          <w:p w14:paraId="39E1DEBA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(5</w:t>
            </w:r>
            <w:r w:rsidR="000F3859" w:rsidRPr="001358B9">
              <w:rPr>
                <w:rFonts w:ascii="Times New Roman" w:hAnsi="Times New Roman"/>
              </w:rPr>
              <w:t>,</w:t>
            </w:r>
            <w:r w:rsidRPr="001358B9">
              <w:rPr>
                <w:rFonts w:ascii="Times New Roman" w:hAnsi="Times New Roman"/>
              </w:rPr>
              <w:t>5</w:t>
            </w:r>
            <w:r w:rsidR="000F3859" w:rsidRPr="001358B9">
              <w:rPr>
                <w:rFonts w:ascii="Times New Roman" w:hAnsi="Times New Roman"/>
              </w:rPr>
              <w:t xml:space="preserve"> – 9,</w:t>
            </w:r>
            <w:r w:rsidRPr="001358B9">
              <w:rPr>
                <w:rFonts w:ascii="Times New Roman" w:hAnsi="Times New Roman"/>
              </w:rPr>
              <w:t>0)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2A542C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n </w:t>
            </w:r>
            <w:r w:rsidR="00617926" w:rsidRPr="001358B9">
              <w:rPr>
                <w:rFonts w:ascii="Times New Roman" w:hAnsi="Times New Roman"/>
              </w:rPr>
              <w:t>=</w:t>
            </w:r>
            <w:r w:rsidRPr="001358B9">
              <w:rPr>
                <w:rFonts w:ascii="Times New Roman" w:hAnsi="Times New Roman"/>
              </w:rPr>
              <w:t> </w:t>
            </w:r>
            <w:r w:rsidR="00617926" w:rsidRPr="001358B9">
              <w:rPr>
                <w:rFonts w:ascii="Times New Roman" w:hAnsi="Times New Roman"/>
              </w:rPr>
              <w:t>77</w:t>
            </w:r>
          </w:p>
        </w:tc>
        <w:tc>
          <w:tcPr>
            <w:tcW w:w="7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EBE437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0,</w:t>
            </w:r>
            <w:r w:rsidR="00617926" w:rsidRPr="001358B9">
              <w:rPr>
                <w:rFonts w:ascii="Times New Roman" w:hAnsi="Times New Roman"/>
              </w:rPr>
              <w:t>67</w:t>
            </w:r>
          </w:p>
          <w:p w14:paraId="0F9EEFB8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(0</w:t>
            </w:r>
            <w:r w:rsidR="000F3859" w:rsidRPr="001358B9">
              <w:rPr>
                <w:rFonts w:ascii="Times New Roman" w:hAnsi="Times New Roman"/>
              </w:rPr>
              <w:t>,48 – 0,</w:t>
            </w:r>
            <w:r w:rsidRPr="001358B9">
              <w:rPr>
                <w:rFonts w:ascii="Times New Roman" w:hAnsi="Times New Roman"/>
              </w:rPr>
              <w:t>96)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5F223C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0,</w:t>
            </w:r>
            <w:r w:rsidR="00617926" w:rsidRPr="001358B9">
              <w:rPr>
                <w:rFonts w:ascii="Times New Roman" w:hAnsi="Times New Roman"/>
              </w:rPr>
              <w:t>027</w:t>
            </w:r>
          </w:p>
        </w:tc>
      </w:tr>
      <w:tr w:rsidR="00617926" w:rsidRPr="001358B9" w14:paraId="4277CE97" w14:textId="77777777" w:rsidTr="000F3859">
        <w:trPr>
          <w:trHeight w:hRule="exact" w:val="528"/>
        </w:trPr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A313F" w14:textId="77777777" w:rsidR="00617926" w:rsidRPr="001358B9" w:rsidRDefault="00617926" w:rsidP="009F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927728">
              <w:rPr>
                <w:rFonts w:ascii="Times New Roman" w:hAnsi="Times New Roman"/>
              </w:rPr>
              <w:t>Iné</w:t>
            </w:r>
          </w:p>
          <w:p w14:paraId="3DE01255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(n = 252)</w:t>
            </w: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2C158D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8,</w:t>
            </w:r>
            <w:r w:rsidR="00617926" w:rsidRPr="001358B9">
              <w:rPr>
                <w:rFonts w:ascii="Times New Roman" w:hAnsi="Times New Roman"/>
              </w:rPr>
              <w:t>6</w:t>
            </w:r>
          </w:p>
          <w:p w14:paraId="2E43B7C9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(6</w:t>
            </w:r>
            <w:r w:rsidR="000F3859" w:rsidRPr="001358B9">
              <w:rPr>
                <w:rFonts w:ascii="Times New Roman" w:hAnsi="Times New Roman"/>
              </w:rPr>
              <w:t>,</w:t>
            </w:r>
            <w:r w:rsidRPr="001358B9">
              <w:rPr>
                <w:rFonts w:ascii="Times New Roman" w:hAnsi="Times New Roman"/>
              </w:rPr>
              <w:t xml:space="preserve">8 </w:t>
            </w:r>
            <w:r w:rsidR="000F3859" w:rsidRPr="001358B9">
              <w:rPr>
                <w:rFonts w:ascii="Times New Roman" w:hAnsi="Times New Roman"/>
              </w:rPr>
              <w:t>–</w:t>
            </w:r>
            <w:r w:rsidRPr="001358B9">
              <w:rPr>
                <w:rFonts w:ascii="Times New Roman" w:hAnsi="Times New Roman"/>
              </w:rPr>
              <w:t xml:space="preserve"> 10</w:t>
            </w:r>
            <w:r w:rsidR="000F3859" w:rsidRPr="001358B9">
              <w:rPr>
                <w:rFonts w:ascii="Times New Roman" w:hAnsi="Times New Roman"/>
              </w:rPr>
              <w:t>,</w:t>
            </w:r>
            <w:r w:rsidRPr="001358B9">
              <w:rPr>
                <w:rFonts w:ascii="Times New Roman" w:hAnsi="Times New Roman"/>
              </w:rPr>
              <w:t>2)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EE73A1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n </w:t>
            </w:r>
            <w:r w:rsidR="00617926" w:rsidRPr="001358B9">
              <w:rPr>
                <w:rFonts w:ascii="Times New Roman" w:hAnsi="Times New Roman"/>
              </w:rPr>
              <w:t>=</w:t>
            </w:r>
            <w:r w:rsidRPr="001358B9">
              <w:rPr>
                <w:rFonts w:ascii="Times New Roman" w:hAnsi="Times New Roman"/>
              </w:rPr>
              <w:t> </w:t>
            </w:r>
            <w:r w:rsidR="00617926" w:rsidRPr="001358B9">
              <w:rPr>
                <w:rFonts w:ascii="Times New Roman" w:hAnsi="Times New Roman"/>
              </w:rPr>
              <w:t>106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D6F0FC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9,</w:t>
            </w:r>
            <w:r w:rsidR="00617926" w:rsidRPr="001358B9">
              <w:rPr>
                <w:rFonts w:ascii="Times New Roman" w:hAnsi="Times New Roman"/>
              </w:rPr>
              <w:t>2</w:t>
            </w:r>
          </w:p>
          <w:p w14:paraId="34E7B303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(8</w:t>
            </w:r>
            <w:r w:rsidR="000F3859" w:rsidRPr="001358B9">
              <w:rPr>
                <w:rFonts w:ascii="Times New Roman" w:hAnsi="Times New Roman"/>
              </w:rPr>
              <w:t>,</w:t>
            </w:r>
            <w:r w:rsidRPr="001358B9">
              <w:rPr>
                <w:rFonts w:ascii="Times New Roman" w:hAnsi="Times New Roman"/>
              </w:rPr>
              <w:t>1</w:t>
            </w:r>
            <w:r w:rsidR="000F3859" w:rsidRPr="001358B9">
              <w:rPr>
                <w:rFonts w:ascii="Times New Roman" w:hAnsi="Times New Roman"/>
              </w:rPr>
              <w:t xml:space="preserve"> – 10,</w:t>
            </w:r>
            <w:r w:rsidRPr="001358B9">
              <w:rPr>
                <w:rFonts w:ascii="Times New Roman" w:hAnsi="Times New Roman"/>
              </w:rPr>
              <w:t>6)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CB4E29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n </w:t>
            </w:r>
            <w:r w:rsidR="00617926" w:rsidRPr="001358B9">
              <w:rPr>
                <w:rFonts w:ascii="Times New Roman" w:hAnsi="Times New Roman"/>
              </w:rPr>
              <w:t>=</w:t>
            </w:r>
            <w:r w:rsidRPr="001358B9">
              <w:rPr>
                <w:rFonts w:ascii="Times New Roman" w:hAnsi="Times New Roman"/>
              </w:rPr>
              <w:t> </w:t>
            </w:r>
            <w:r w:rsidR="00617926" w:rsidRPr="001358B9">
              <w:rPr>
                <w:rFonts w:ascii="Times New Roman" w:hAnsi="Times New Roman"/>
              </w:rPr>
              <w:t>146</w:t>
            </w:r>
          </w:p>
        </w:tc>
        <w:tc>
          <w:tcPr>
            <w:tcW w:w="7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824D18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1,</w:t>
            </w:r>
            <w:r w:rsidR="00617926" w:rsidRPr="001358B9">
              <w:rPr>
                <w:rFonts w:ascii="Times New Roman" w:hAnsi="Times New Roman"/>
              </w:rPr>
              <w:t>08</w:t>
            </w:r>
          </w:p>
          <w:p w14:paraId="5AD44F29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(0</w:t>
            </w:r>
            <w:r w:rsidR="000F3859" w:rsidRPr="001358B9">
              <w:rPr>
                <w:rFonts w:ascii="Times New Roman" w:hAnsi="Times New Roman"/>
              </w:rPr>
              <w:t>,81 – 1,</w:t>
            </w:r>
            <w:r w:rsidRPr="001358B9">
              <w:rPr>
                <w:rFonts w:ascii="Times New Roman" w:hAnsi="Times New Roman"/>
              </w:rPr>
              <w:t>45)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EDAFA3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0,</w:t>
            </w:r>
            <w:r w:rsidR="00617926" w:rsidRPr="001358B9">
              <w:rPr>
                <w:rFonts w:ascii="Times New Roman" w:hAnsi="Times New Roman"/>
              </w:rPr>
              <w:t>586</w:t>
            </w:r>
          </w:p>
        </w:tc>
      </w:tr>
      <w:tr w:rsidR="00617926" w:rsidRPr="001358B9" w14:paraId="61F347CF" w14:textId="77777777" w:rsidTr="000F3859">
        <w:trPr>
          <w:trHeight w:hRule="exact" w:val="747"/>
        </w:trPr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3D508C" w14:textId="37532E45" w:rsidR="00617926" w:rsidRPr="001358B9" w:rsidRDefault="00D50E45" w:rsidP="009F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Skvamocelulárny karcinóm pľúc</w:t>
            </w:r>
          </w:p>
          <w:p w14:paraId="1047CE99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(n = 473)</w:t>
            </w: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CD7EDA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9,</w:t>
            </w:r>
            <w:r w:rsidR="00617926" w:rsidRPr="001358B9">
              <w:rPr>
                <w:rFonts w:ascii="Times New Roman" w:hAnsi="Times New Roman"/>
              </w:rPr>
              <w:t>4</w:t>
            </w:r>
          </w:p>
          <w:p w14:paraId="3F883EAC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(8</w:t>
            </w:r>
            <w:r w:rsidR="000F3859" w:rsidRPr="001358B9">
              <w:rPr>
                <w:rFonts w:ascii="Times New Roman" w:hAnsi="Times New Roman"/>
              </w:rPr>
              <w:t>,</w:t>
            </w:r>
            <w:r w:rsidRPr="001358B9">
              <w:rPr>
                <w:rFonts w:ascii="Times New Roman" w:hAnsi="Times New Roman"/>
              </w:rPr>
              <w:t xml:space="preserve">4 </w:t>
            </w:r>
            <w:r w:rsidR="000F3859" w:rsidRPr="001358B9">
              <w:rPr>
                <w:rFonts w:ascii="Times New Roman" w:hAnsi="Times New Roman"/>
              </w:rPr>
              <w:t>–</w:t>
            </w:r>
            <w:r w:rsidRPr="001358B9">
              <w:rPr>
                <w:rFonts w:ascii="Times New Roman" w:hAnsi="Times New Roman"/>
              </w:rPr>
              <w:t xml:space="preserve"> 10</w:t>
            </w:r>
            <w:r w:rsidR="000F3859" w:rsidRPr="001358B9">
              <w:rPr>
                <w:rFonts w:ascii="Times New Roman" w:hAnsi="Times New Roman"/>
              </w:rPr>
              <w:t>,</w:t>
            </w:r>
            <w:r w:rsidRPr="001358B9">
              <w:rPr>
                <w:rFonts w:ascii="Times New Roman" w:hAnsi="Times New Roman"/>
              </w:rPr>
              <w:t>2)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D91F47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n </w:t>
            </w:r>
            <w:r w:rsidR="00617926" w:rsidRPr="001358B9">
              <w:rPr>
                <w:rFonts w:ascii="Times New Roman" w:hAnsi="Times New Roman"/>
              </w:rPr>
              <w:t>=</w:t>
            </w:r>
            <w:r w:rsidRPr="001358B9">
              <w:rPr>
                <w:rFonts w:ascii="Times New Roman" w:hAnsi="Times New Roman"/>
              </w:rPr>
              <w:t> </w:t>
            </w:r>
            <w:r w:rsidR="00617926" w:rsidRPr="001358B9">
              <w:rPr>
                <w:rFonts w:ascii="Times New Roman" w:hAnsi="Times New Roman"/>
              </w:rPr>
              <w:t>244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91DBFA" w14:textId="77777777" w:rsidR="00617926" w:rsidRPr="001358B9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10</w:t>
            </w:r>
            <w:r w:rsidR="000F3859" w:rsidRPr="001358B9">
              <w:rPr>
                <w:rFonts w:ascii="Times New Roman" w:hAnsi="Times New Roman"/>
              </w:rPr>
              <w:t>,</w:t>
            </w:r>
            <w:r w:rsidRPr="001358B9">
              <w:rPr>
                <w:rFonts w:ascii="Times New Roman" w:hAnsi="Times New Roman"/>
              </w:rPr>
              <w:t>8</w:t>
            </w:r>
          </w:p>
          <w:p w14:paraId="32B10952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(9,</w:t>
            </w:r>
            <w:r w:rsidR="00617926" w:rsidRPr="001358B9">
              <w:rPr>
                <w:rFonts w:ascii="Times New Roman" w:hAnsi="Times New Roman"/>
              </w:rPr>
              <w:t xml:space="preserve">5 </w:t>
            </w:r>
            <w:r w:rsidRPr="001358B9">
              <w:rPr>
                <w:rFonts w:ascii="Times New Roman" w:hAnsi="Times New Roman"/>
              </w:rPr>
              <w:t>–</w:t>
            </w:r>
            <w:r w:rsidR="00617926" w:rsidRPr="001358B9">
              <w:rPr>
                <w:rFonts w:ascii="Times New Roman" w:hAnsi="Times New Roman"/>
              </w:rPr>
              <w:t xml:space="preserve"> 12</w:t>
            </w:r>
            <w:r w:rsidRPr="001358B9">
              <w:rPr>
                <w:rFonts w:ascii="Times New Roman" w:hAnsi="Times New Roman"/>
              </w:rPr>
              <w:t>,</w:t>
            </w:r>
            <w:r w:rsidR="00617926" w:rsidRPr="001358B9">
              <w:rPr>
                <w:rFonts w:ascii="Times New Roman" w:hAnsi="Times New Roman"/>
              </w:rPr>
              <w:t>1)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BF603C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n </w:t>
            </w:r>
            <w:r w:rsidR="00617926" w:rsidRPr="001358B9">
              <w:rPr>
                <w:rFonts w:ascii="Times New Roman" w:hAnsi="Times New Roman"/>
              </w:rPr>
              <w:t>=</w:t>
            </w:r>
            <w:r w:rsidRPr="001358B9">
              <w:rPr>
                <w:rFonts w:ascii="Times New Roman" w:hAnsi="Times New Roman"/>
              </w:rPr>
              <w:t> </w:t>
            </w:r>
            <w:r w:rsidR="00617926" w:rsidRPr="001358B9">
              <w:rPr>
                <w:rFonts w:ascii="Times New Roman" w:hAnsi="Times New Roman"/>
              </w:rPr>
              <w:t>229</w:t>
            </w:r>
          </w:p>
        </w:tc>
        <w:tc>
          <w:tcPr>
            <w:tcW w:w="7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BC8A5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1,</w:t>
            </w:r>
            <w:r w:rsidR="00617926" w:rsidRPr="001358B9">
              <w:rPr>
                <w:rFonts w:ascii="Times New Roman" w:hAnsi="Times New Roman"/>
              </w:rPr>
              <w:t>23</w:t>
            </w:r>
          </w:p>
          <w:p w14:paraId="5EAD3C87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(1,00 – 1,</w:t>
            </w:r>
            <w:r w:rsidR="00617926" w:rsidRPr="001358B9">
              <w:rPr>
                <w:rFonts w:ascii="Times New Roman" w:hAnsi="Times New Roman"/>
              </w:rPr>
              <w:t>51)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F7F809" w14:textId="77777777" w:rsidR="00617926" w:rsidRPr="001358B9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B9">
              <w:rPr>
                <w:rFonts w:ascii="Times New Roman" w:hAnsi="Times New Roman"/>
              </w:rPr>
              <w:t>0,</w:t>
            </w:r>
            <w:r w:rsidR="00617926" w:rsidRPr="001358B9">
              <w:rPr>
                <w:rFonts w:ascii="Times New Roman" w:hAnsi="Times New Roman"/>
              </w:rPr>
              <w:t>050</w:t>
            </w:r>
          </w:p>
        </w:tc>
      </w:tr>
    </w:tbl>
    <w:p w14:paraId="4D16C889" w14:textId="77777777" w:rsidR="00C51A9C" w:rsidRPr="001358B9" w:rsidRDefault="00C51A9C" w:rsidP="009F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27728">
        <w:rPr>
          <w:rFonts w:ascii="Times New Roman" w:hAnsi="Times New Roman"/>
        </w:rPr>
        <w:t>Skratky: CI = interval spoľahlivosti; ITT = so zámerom liečiť; n = veľkosť celej populácie.</w:t>
      </w:r>
    </w:p>
    <w:p w14:paraId="7E17FEAA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rPr>
          <w:rFonts w:ascii="Times New Roman" w:hAnsi="Times New Roman"/>
        </w:rPr>
      </w:pPr>
      <w:r w:rsidRPr="001358B9">
        <w:rPr>
          <w:rFonts w:ascii="Times New Roman" w:hAnsi="Times New Roman"/>
          <w:vertAlign w:val="superscript"/>
        </w:rPr>
        <w:t>a</w:t>
      </w:r>
      <w:r w:rsidRPr="001358B9">
        <w:rPr>
          <w:rFonts w:ascii="Times New Roman" w:hAnsi="Times New Roman"/>
        </w:rPr>
        <w:t xml:space="preserve"> Štatisticky signifikantná pre noninferioritu, s celkovým intervalom spoľahlivosti pre HR výrazne pod 1,17645 hranicou noninferiority (p &lt; 0,001).</w:t>
      </w:r>
    </w:p>
    <w:p w14:paraId="7991CA39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907E052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1358B9">
        <w:rPr>
          <w:rFonts w:ascii="Times New Roman" w:hAnsi="Times New Roman"/>
          <w:b/>
          <w:bCs/>
          <w:shd w:val="clear" w:color="auto" w:fill="FFFFFF" w:themeFill="background1"/>
        </w:rPr>
        <w:t>Kaplanove Meierove krivky</w:t>
      </w:r>
      <w:r w:rsidRPr="001358B9">
        <w:rPr>
          <w:rFonts w:ascii="Times New Roman" w:hAnsi="Times New Roman"/>
          <w:b/>
          <w:bCs/>
        </w:rPr>
        <w:t xml:space="preserve"> celkového prežitia podľa histológie</w:t>
      </w:r>
    </w:p>
    <w:p w14:paraId="6E358E1E" w14:textId="77777777" w:rsidR="00DD3B78" w:rsidRPr="001358B9" w:rsidRDefault="00DD3B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1799F70F" w14:textId="77777777" w:rsidR="00DD3B78" w:rsidRPr="00927728" w:rsidRDefault="00DD3B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2772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1B0FA8" wp14:editId="6734942B">
                <wp:simplePos x="0" y="0"/>
                <wp:positionH relativeFrom="column">
                  <wp:posOffset>5015230</wp:posOffset>
                </wp:positionH>
                <wp:positionV relativeFrom="paragraph">
                  <wp:posOffset>300990</wp:posOffset>
                </wp:positionV>
                <wp:extent cx="390525" cy="37147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35DC9" w14:textId="77777777" w:rsidR="00267431" w:rsidRPr="00DD3B78" w:rsidRDefault="00267431" w:rsidP="00DD3B7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D3B78">
                              <w:rPr>
                                <w:sz w:val="16"/>
                                <w:szCs w:val="16"/>
                              </w:rPr>
                              <w:t>PC</w:t>
                            </w:r>
                          </w:p>
                          <w:p w14:paraId="1C51B9D8" w14:textId="77777777" w:rsidR="00267431" w:rsidRPr="00DD3B78" w:rsidRDefault="00267431" w:rsidP="00DD3B7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D3B78">
                              <w:rPr>
                                <w:sz w:val="16"/>
                                <w:szCs w:val="16"/>
                              </w:rPr>
                              <w:t>GC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B0F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4.9pt;margin-top:23.7pt;width:30.75pt;height:2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" strokecolor="white [3212]">
                <v:textbox>
                  <w:txbxContent>
                    <w:p w14:paraId="3EA35DC9" w14:textId="77777777" w:rsidR="00267431" w:rsidRPr="00DD3B78" w:rsidRDefault="00267431" w:rsidP="00DD3B7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D3B78">
                        <w:rPr>
                          <w:sz w:val="16"/>
                          <w:szCs w:val="16"/>
                        </w:rPr>
                        <w:t>PC</w:t>
                      </w:r>
                    </w:p>
                    <w:p w14:paraId="1C51B9D8" w14:textId="77777777" w:rsidR="00267431" w:rsidRPr="00DD3B78" w:rsidRDefault="00267431" w:rsidP="00DD3B7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D3B78">
                        <w:rPr>
                          <w:sz w:val="16"/>
                          <w:szCs w:val="16"/>
                        </w:rPr>
                        <w:t>GC</w:t>
                      </w:r>
                    </w:p>
                  </w:txbxContent>
                </v:textbox>
              </v:shape>
            </w:pict>
          </mc:Fallback>
        </mc:AlternateContent>
      </w:r>
      <w:r w:rsidRPr="001358B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25244A" wp14:editId="16EE0F97">
                <wp:simplePos x="0" y="0"/>
                <wp:positionH relativeFrom="column">
                  <wp:posOffset>2414905</wp:posOffset>
                </wp:positionH>
                <wp:positionV relativeFrom="paragraph">
                  <wp:posOffset>281940</wp:posOffset>
                </wp:positionV>
                <wp:extent cx="390525" cy="3714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AEC4F" w14:textId="77777777" w:rsidR="00267431" w:rsidRPr="00DD3B78" w:rsidRDefault="00267431" w:rsidP="00DD3B7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D3B78">
                              <w:rPr>
                                <w:sz w:val="16"/>
                                <w:szCs w:val="16"/>
                              </w:rPr>
                              <w:t>PC</w:t>
                            </w:r>
                          </w:p>
                          <w:p w14:paraId="7AA85F33" w14:textId="77777777" w:rsidR="00267431" w:rsidRPr="00DD3B78" w:rsidRDefault="00267431" w:rsidP="00DD3B7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D3B78">
                              <w:rPr>
                                <w:sz w:val="16"/>
                                <w:szCs w:val="16"/>
                              </w:rPr>
                              <w:t>GC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5244A" id="_x0000_s1027" type="#_x0000_t202" style="position:absolute;margin-left:190.15pt;margin-top:22.2pt;width:30.75pt;height:2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" strokecolor="white [3212]">
                <v:textbox>
                  <w:txbxContent>
                    <w:p w14:paraId="45DAEC4F" w14:textId="77777777" w:rsidR="00267431" w:rsidRPr="00DD3B78" w:rsidRDefault="00267431" w:rsidP="00DD3B7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D3B78">
                        <w:rPr>
                          <w:sz w:val="16"/>
                          <w:szCs w:val="16"/>
                        </w:rPr>
                        <w:t>PC</w:t>
                      </w:r>
                    </w:p>
                    <w:p w14:paraId="7AA85F33" w14:textId="77777777" w:rsidR="00267431" w:rsidRPr="00DD3B78" w:rsidRDefault="00267431" w:rsidP="00DD3B7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D3B78">
                        <w:rPr>
                          <w:sz w:val="16"/>
                          <w:szCs w:val="16"/>
                        </w:rPr>
                        <w:t>GC</w:t>
                      </w:r>
                    </w:p>
                  </w:txbxContent>
                </v:textbox>
              </v:shape>
            </w:pict>
          </mc:Fallback>
        </mc:AlternateContent>
      </w:r>
      <w:r w:rsidRPr="001358B9">
        <w:rPr>
          <w:rFonts w:ascii="Times New Roman" w:hAnsi="Times New Roman"/>
          <w:noProof/>
        </w:rPr>
        <w:drawing>
          <wp:inline distT="0" distB="0" distL="0" distR="0" wp14:anchorId="45D8CC20" wp14:editId="291BD147">
            <wp:extent cx="2724150" cy="23076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30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58B9">
        <w:rPr>
          <w:rFonts w:ascii="Times New Roman" w:hAnsi="Times New Roman"/>
          <w:noProof/>
        </w:rPr>
        <w:drawing>
          <wp:inline distT="0" distB="0" distL="0" distR="0" wp14:anchorId="2B38489E" wp14:editId="2946953D">
            <wp:extent cx="2615995" cy="2305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99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7AC21" w14:textId="77777777" w:rsidR="00DD3B78" w:rsidRPr="001358B9" w:rsidRDefault="00DD3B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hAnsi="Times New Roman"/>
        </w:rPr>
      </w:pPr>
    </w:p>
    <w:p w14:paraId="238331E0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hAnsi="Times New Roman"/>
        </w:rPr>
      </w:pPr>
      <w:r w:rsidRPr="001358B9">
        <w:rPr>
          <w:rFonts w:ascii="Times New Roman" w:hAnsi="Times New Roman"/>
        </w:rPr>
        <w:t>Nepozorovali sa žiadne klinicky významné rozdiely týkajúce sa bezpečnostného profilu pemetrexedu s cisplatinou v rámci histologických podskupín.</w:t>
      </w:r>
    </w:p>
    <w:p w14:paraId="7B1D2794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884445D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>Pacienti liečení pemetrexedom a cisplatinou potrebovali menej transfúzií (16,4 % verzus 28,9</w:t>
      </w:r>
      <w:r w:rsidR="007E1BB0" w:rsidRPr="001358B9">
        <w:rPr>
          <w:rFonts w:ascii="Times New Roman" w:hAnsi="Times New Roman"/>
        </w:rPr>
        <w:t> %, p </w:t>
      </w:r>
      <w:r w:rsidRPr="001358B9">
        <w:rPr>
          <w:rFonts w:ascii="Times New Roman" w:hAnsi="Times New Roman"/>
        </w:rPr>
        <w:t>&lt;</w:t>
      </w:r>
      <w:r w:rsidR="007E1BB0" w:rsidRPr="001358B9">
        <w:rPr>
          <w:rFonts w:ascii="Times New Roman" w:hAnsi="Times New Roman"/>
        </w:rPr>
        <w:t> </w:t>
      </w:r>
      <w:r w:rsidRPr="001358B9">
        <w:rPr>
          <w:rFonts w:ascii="Times New Roman" w:hAnsi="Times New Roman"/>
        </w:rPr>
        <w:t>0,001), transfúzií červených krviniek (16,1 % verzus 27,3 %, p &lt; 0,001) a transfúz</w:t>
      </w:r>
      <w:r w:rsidR="00AF56F4" w:rsidRPr="001358B9">
        <w:rPr>
          <w:rFonts w:ascii="Times New Roman" w:hAnsi="Times New Roman"/>
        </w:rPr>
        <w:t>ií krvných doštičiek (1,8 % verz</w:t>
      </w:r>
      <w:r w:rsidRPr="001358B9">
        <w:rPr>
          <w:rFonts w:ascii="Times New Roman" w:hAnsi="Times New Roman"/>
        </w:rPr>
        <w:t>us 4,5 %, p = 0,002). Pacienti potrebovali tiež podávanie nižších dávok</w:t>
      </w:r>
    </w:p>
    <w:p w14:paraId="753F7754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>erytrop</w:t>
      </w:r>
      <w:r w:rsidR="00AF56F4" w:rsidRPr="001358B9">
        <w:rPr>
          <w:rFonts w:ascii="Times New Roman" w:hAnsi="Times New Roman"/>
        </w:rPr>
        <w:t>oetínu/darbopoetínu (10,4 % verz</w:t>
      </w:r>
      <w:r w:rsidRPr="001358B9">
        <w:rPr>
          <w:rFonts w:ascii="Times New Roman" w:hAnsi="Times New Roman"/>
        </w:rPr>
        <w:t>us 18,1 %, p &lt; 0,001),</w:t>
      </w:r>
      <w:r w:rsidR="00AF56F4" w:rsidRPr="001358B9">
        <w:rPr>
          <w:rFonts w:ascii="Times New Roman" w:hAnsi="Times New Roman"/>
        </w:rPr>
        <w:t xml:space="preserve"> G-CSF/GM-CSF (3,1 % verz</w:t>
      </w:r>
      <w:r w:rsidR="0087122B" w:rsidRPr="001358B9">
        <w:rPr>
          <w:rFonts w:ascii="Times New Roman" w:hAnsi="Times New Roman"/>
        </w:rPr>
        <w:t>us 6,1 </w:t>
      </w:r>
      <w:r w:rsidRPr="001358B9">
        <w:rPr>
          <w:rFonts w:ascii="Times New Roman" w:hAnsi="Times New Roman"/>
        </w:rPr>
        <w:t>%, p = 0,004) a lie</w:t>
      </w:r>
      <w:r w:rsidR="00AF56F4" w:rsidRPr="001358B9">
        <w:rPr>
          <w:rFonts w:ascii="Times New Roman" w:hAnsi="Times New Roman"/>
        </w:rPr>
        <w:t>kov s obsahom železa (4,3 % verz</w:t>
      </w:r>
      <w:r w:rsidRPr="001358B9">
        <w:rPr>
          <w:rFonts w:ascii="Times New Roman" w:hAnsi="Times New Roman"/>
        </w:rPr>
        <w:t>us 7,0 %, p = 0,021)</w:t>
      </w:r>
      <w:r w:rsidRPr="001358B9">
        <w:rPr>
          <w:rFonts w:ascii="Times New Roman" w:hAnsi="Times New Roman"/>
          <w:i/>
          <w:iCs/>
        </w:rPr>
        <w:t>.</w:t>
      </w:r>
    </w:p>
    <w:p w14:paraId="1ED1BFAA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FB290D5" w14:textId="6DD2282A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1358B9">
        <w:rPr>
          <w:rFonts w:ascii="Times New Roman" w:hAnsi="Times New Roman"/>
          <w:iCs/>
          <w:u w:val="single"/>
        </w:rPr>
        <w:t>NSCLC, udržiavacia liečba</w:t>
      </w:r>
      <w:r w:rsidR="00501C61" w:rsidRPr="001358B9">
        <w:rPr>
          <w:rFonts w:ascii="Times New Roman" w:hAnsi="Times New Roman"/>
          <w:iCs/>
          <w:u w:val="single"/>
        </w:rPr>
        <w:t>:</w:t>
      </w:r>
    </w:p>
    <w:p w14:paraId="306B1E6F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1358B9">
        <w:rPr>
          <w:rFonts w:ascii="Times New Roman" w:hAnsi="Times New Roman"/>
          <w:iCs/>
          <w:u w:val="single"/>
        </w:rPr>
        <w:t>JMEN</w:t>
      </w:r>
    </w:p>
    <w:p w14:paraId="187B6743" w14:textId="5A3BBCEA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>Multicentrická</w:t>
      </w:r>
      <w:r w:rsidR="00C12377" w:rsidRPr="001358B9">
        <w:rPr>
          <w:rFonts w:ascii="Times New Roman" w:hAnsi="Times New Roman"/>
        </w:rPr>
        <w:t>,</w:t>
      </w:r>
      <w:r w:rsidRPr="001358B9">
        <w:rPr>
          <w:rFonts w:ascii="Times New Roman" w:hAnsi="Times New Roman"/>
        </w:rPr>
        <w:t xml:space="preserve"> randomizovaná</w:t>
      </w:r>
      <w:r w:rsidR="00C12377" w:rsidRPr="001358B9">
        <w:rPr>
          <w:rFonts w:ascii="Times New Roman" w:hAnsi="Times New Roman"/>
        </w:rPr>
        <w:t>,</w:t>
      </w:r>
      <w:r w:rsidRPr="001358B9">
        <w:rPr>
          <w:rFonts w:ascii="Times New Roman" w:hAnsi="Times New Roman"/>
        </w:rPr>
        <w:t xml:space="preserve"> dvojito</w:t>
      </w:r>
      <w:r w:rsidR="00856170" w:rsidRPr="001358B9">
        <w:rPr>
          <w:rFonts w:ascii="Times New Roman" w:hAnsi="Times New Roman"/>
        </w:rPr>
        <w:t xml:space="preserve"> </w:t>
      </w:r>
      <w:r w:rsidRPr="001358B9">
        <w:rPr>
          <w:rFonts w:ascii="Times New Roman" w:hAnsi="Times New Roman"/>
        </w:rPr>
        <w:t>zaslepená</w:t>
      </w:r>
      <w:r w:rsidR="00B95AD7" w:rsidRPr="001358B9">
        <w:rPr>
          <w:rFonts w:ascii="Times New Roman" w:hAnsi="Times New Roman"/>
        </w:rPr>
        <w:t>,</w:t>
      </w:r>
      <w:r w:rsidRPr="001358B9">
        <w:rPr>
          <w:rFonts w:ascii="Times New Roman" w:hAnsi="Times New Roman"/>
        </w:rPr>
        <w:t xml:space="preserve"> placebom kontrolovaná štúdia fázy 3 (JMEN) porovnávala účinnosť a bezpečnosť udržiavacej liečby pemetrexedom spolu s najlepšou možnou podpornou liečbou (BSC) (n = 441) a podávaním placeba spolu s BSC (n = 222) u pacientov s lokálne pokročilým (štádium IIIB) alebo metast</w:t>
      </w:r>
      <w:r w:rsidR="005F1D31" w:rsidRPr="001358B9">
        <w:rPr>
          <w:rFonts w:ascii="Times New Roman" w:hAnsi="Times New Roman"/>
        </w:rPr>
        <w:t>atickým</w:t>
      </w:r>
      <w:r w:rsidRPr="001358B9">
        <w:rPr>
          <w:rFonts w:ascii="Times New Roman" w:hAnsi="Times New Roman"/>
        </w:rPr>
        <w:t xml:space="preserve"> (štádium IV) nemalobunkovým karcinómom pľúc (NSCLC), u ktorých nedošlo ku progresii po 4 cykloch terapie prvej línie dvojkombináciou obsahujúcou cisplatinu alebo karboplatinu v kombinácii s gemcitabínom, paklitaxelom alebo docetaxelom. Kombinovaná liečba obsahujúca v prvej línii v dvojkombináci</w:t>
      </w:r>
      <w:r w:rsidR="003214BE">
        <w:rPr>
          <w:rFonts w:ascii="Times New Roman" w:hAnsi="Times New Roman"/>
        </w:rPr>
        <w:t>i</w:t>
      </w:r>
      <w:r w:rsidRPr="001358B9">
        <w:rPr>
          <w:rFonts w:ascii="Times New Roman" w:hAnsi="Times New Roman"/>
        </w:rPr>
        <w:t xml:space="preserve"> s pemetrexedom nebola zahrnutá. Všetci pacienti, ktorí sa zúčastnili tejto štúdie mali ECOG výkonnostný stav 0 alebo 1.</w:t>
      </w:r>
    </w:p>
    <w:p w14:paraId="51352E23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10" w:name="page19"/>
      <w:bookmarkEnd w:id="10"/>
      <w:r w:rsidRPr="001358B9">
        <w:rPr>
          <w:rFonts w:ascii="Times New Roman" w:hAnsi="Times New Roman"/>
          <w:color w:val="000000"/>
        </w:rPr>
        <w:t>Udržiavacia liečba sa pacientom podávala do progresie choroby. Účinnosť a bezpečnosť sa meral</w:t>
      </w:r>
      <w:r w:rsidR="002E1A9E" w:rsidRPr="001358B9">
        <w:rPr>
          <w:rFonts w:ascii="Times New Roman" w:hAnsi="Times New Roman"/>
          <w:color w:val="000000"/>
        </w:rPr>
        <w:t>i od začiatku randomizácie po u</w:t>
      </w:r>
      <w:r w:rsidRPr="001358B9">
        <w:rPr>
          <w:rFonts w:ascii="Times New Roman" w:hAnsi="Times New Roman"/>
          <w:color w:val="000000"/>
        </w:rPr>
        <w:t xml:space="preserve">končení (indukčnej) terapie prvej línie. Stredná hodnota počtu cyklov podaných pacientom bola 5 cyklov udržiavacej liečby pemetrexedom a 3,5 cyklu podávania placeba. </w:t>
      </w:r>
      <w:r w:rsidRPr="001358B9">
        <w:rPr>
          <w:rFonts w:ascii="Times New Roman" w:hAnsi="Times New Roman"/>
          <w:color w:val="000000"/>
        </w:rPr>
        <w:lastRenderedPageBreak/>
        <w:t>Celkovo 213 pacientov (48,3 %) dokončilo ≥ 6 cyklov a 103 pacientov (23,4 %) dokončilo ≥ 10 cyklov liečby pemetrexedom.</w:t>
      </w:r>
    </w:p>
    <w:p w14:paraId="0037C26B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62A4435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Štúdia dosiahla svoj primárny cieľ a preukázala štatisticky významné zlepšenie PFS v skupine s pemetrexedom oproti skupine s placebom (n = 581, nezávisle hodnotená populácia, medián 4,0 mesiacov, resp. 2,0 mesiacov) (pomer rizík = 0,60, 95 % CI = 0,49 - 0,73, p &lt; 0,00001). Nezávislé hodnotenie pacientských skenov potvrdilo závery hodnotenia PFS zo strany skúšajúcich. Stredná hodnota celkovej doby prežitia (OS) pre celú populáciu (n = 663) bola v skupine s pemetrexedom 13,4 mesiacov a v skupine s placebom 10,6 mesiacov, pomer rizík = 0,79 (95 %, CI = 0,65 - 0,95, p = 0,01192).</w:t>
      </w:r>
    </w:p>
    <w:p w14:paraId="4E878E14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16281FD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V súhlase s inými štúdiami s pemetrexedom sa v štúdii JMEN pozoroval rozdiel účinnosti s ohľadom na histológiu NSCLC. U pacientov s NSCLC iného histologického typu ako prevažne skvamózneho (n</w:t>
      </w:r>
      <w:r w:rsidR="0087122B" w:rsidRPr="001358B9">
        <w:rPr>
          <w:rFonts w:ascii="Times New Roman" w:hAnsi="Times New Roman"/>
          <w:color w:val="000000"/>
        </w:rPr>
        <w:t> </w:t>
      </w:r>
      <w:r w:rsidRPr="001358B9">
        <w:rPr>
          <w:rFonts w:ascii="Times New Roman" w:hAnsi="Times New Roman"/>
          <w:color w:val="000000"/>
        </w:rPr>
        <w:t xml:space="preserve">= 430, nezávisle hodnotená populácia) bola stredná hodnota celkovej doby prežívania bez progresie (PFS) pri pemetrexede 4,4 mesiace a v </w:t>
      </w:r>
      <w:r w:rsidR="00EB05DC" w:rsidRPr="001358B9">
        <w:rPr>
          <w:rFonts w:ascii="Times New Roman" w:hAnsi="Times New Roman"/>
          <w:color w:val="000000"/>
        </w:rPr>
        <w:t xml:space="preserve">skupine s placebom 1,8 mesiaca </w:t>
      </w:r>
      <w:r w:rsidRPr="001358B9">
        <w:rPr>
          <w:rFonts w:ascii="Times New Roman" w:hAnsi="Times New Roman"/>
          <w:color w:val="000000"/>
        </w:rPr>
        <w:t>pomer rizík = 0,47</w:t>
      </w:r>
      <w:r w:rsidR="00EB05DC" w:rsidRPr="001358B9">
        <w:rPr>
          <w:rFonts w:ascii="Times New Roman" w:hAnsi="Times New Roman"/>
          <w:color w:val="000000"/>
        </w:rPr>
        <w:t xml:space="preserve"> </w:t>
      </w:r>
      <w:r w:rsidR="00AC7664" w:rsidRPr="001358B9">
        <w:rPr>
          <w:rFonts w:ascii="Times New Roman" w:hAnsi="Times New Roman"/>
          <w:color w:val="000000"/>
        </w:rPr>
        <w:t>(</w:t>
      </w:r>
      <w:r w:rsidRPr="001358B9">
        <w:rPr>
          <w:rFonts w:ascii="Times New Roman" w:hAnsi="Times New Roman"/>
          <w:color w:val="000000"/>
        </w:rPr>
        <w:t>95 % CI = 0,37 - 0,60</w:t>
      </w:r>
      <w:r w:rsidR="00EB05DC" w:rsidRPr="001358B9">
        <w:rPr>
          <w:rFonts w:ascii="Times New Roman" w:hAnsi="Times New Roman"/>
          <w:color w:val="000000"/>
        </w:rPr>
        <w:t>;</w:t>
      </w:r>
      <w:r w:rsidRPr="001358B9">
        <w:rPr>
          <w:rFonts w:ascii="Times New Roman" w:hAnsi="Times New Roman"/>
          <w:color w:val="000000"/>
        </w:rPr>
        <w:t xml:space="preserve"> p = 0,00001</w:t>
      </w:r>
      <w:r w:rsidR="0087122B" w:rsidRPr="001358B9">
        <w:rPr>
          <w:rFonts w:ascii="Times New Roman" w:hAnsi="Times New Roman"/>
          <w:color w:val="000000"/>
        </w:rPr>
        <w:t>)</w:t>
      </w:r>
      <w:r w:rsidRPr="001358B9">
        <w:rPr>
          <w:rFonts w:ascii="Times New Roman" w:hAnsi="Times New Roman"/>
          <w:color w:val="000000"/>
        </w:rPr>
        <w:t>. Stredná hodnota celkovej doby prežitia (OS) u pacientov s NSCLC iného histologického typu ako prevažne skvamózneho (n = 481) bola v skupine s pemetrexedom 15,5 mesiacov a v skupine s placebom 10,</w:t>
      </w:r>
      <w:r w:rsidR="00EB05DC" w:rsidRPr="001358B9">
        <w:rPr>
          <w:rFonts w:ascii="Times New Roman" w:hAnsi="Times New Roman"/>
          <w:color w:val="000000"/>
        </w:rPr>
        <w:t xml:space="preserve">3 mesiacov pomer rizík = 0,70 </w:t>
      </w:r>
      <w:r w:rsidR="00AC7664" w:rsidRPr="001358B9">
        <w:rPr>
          <w:rFonts w:ascii="Times New Roman" w:hAnsi="Times New Roman"/>
          <w:color w:val="000000"/>
        </w:rPr>
        <w:t>(</w:t>
      </w:r>
      <w:r w:rsidR="00EB05DC" w:rsidRPr="001358B9">
        <w:rPr>
          <w:rFonts w:ascii="Times New Roman" w:hAnsi="Times New Roman"/>
          <w:color w:val="000000"/>
        </w:rPr>
        <w:t>95 % CI 0,56 - 0,88;</w:t>
      </w:r>
      <w:r w:rsidRPr="001358B9">
        <w:rPr>
          <w:rFonts w:ascii="Times New Roman" w:hAnsi="Times New Roman"/>
          <w:color w:val="000000"/>
        </w:rPr>
        <w:t xml:space="preserve"> p = 0,002). Stredná hodnota (OS) vrátane indukčnej fázy bola u pacientov s NSCLC iného histologického typu ako prevažne skvamózneho v skupine s pemetrexedom 18,6 mesiacov a skupine s placebom 13,6 mesiacov pomer rizík = 0,71 </w:t>
      </w:r>
      <w:r w:rsidR="00757FFD" w:rsidRPr="001358B9">
        <w:rPr>
          <w:rFonts w:ascii="Times New Roman" w:hAnsi="Times New Roman"/>
          <w:color w:val="000000"/>
        </w:rPr>
        <w:t>(</w:t>
      </w:r>
      <w:r w:rsidRPr="001358B9">
        <w:rPr>
          <w:rFonts w:ascii="Times New Roman" w:hAnsi="Times New Roman"/>
          <w:color w:val="000000"/>
        </w:rPr>
        <w:t>95 % CI = 0,56 - 0,88; p = 0,002).</w:t>
      </w:r>
    </w:p>
    <w:p w14:paraId="7B218FE3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199F485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U pacientov s karcinómom skvamózneho histologického typu nenaznačujú výsledky PFS ani OS výhodu liečby pemetrexedom oproti placebu.</w:t>
      </w:r>
    </w:p>
    <w:p w14:paraId="1A46724D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B9BC19A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4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Medzi histologickými podskupinami sa v bezpečnostnom profile pemetrexedu nepozorovali žiadne klinicky signifikantné rozdiely.</w:t>
      </w:r>
    </w:p>
    <w:p w14:paraId="415EEB51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1764901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</w:rPr>
      </w:pPr>
      <w:r w:rsidRPr="001358B9">
        <w:rPr>
          <w:rFonts w:ascii="Times New Roman" w:hAnsi="Times New Roman"/>
          <w:b/>
          <w:bCs/>
          <w:color w:val="000000"/>
        </w:rPr>
        <w:t>JMEN: Kaplanova Meierova krivka doby prežívania bez progresie (PFS) a celkovej doby prežitia u pacientov s NSCLC iného histologického typu ako prevažne skvamózneho užívajúcich pemetrexed alebo placebo:</w:t>
      </w:r>
    </w:p>
    <w:p w14:paraId="61DBAF9C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3ECE470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20484AF" w14:textId="77777777" w:rsidR="007E2B36" w:rsidRPr="00927728" w:rsidRDefault="00352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u w:val="single"/>
        </w:rPr>
      </w:pPr>
      <w:r w:rsidRPr="00927728">
        <w:rPr>
          <w:rFonts w:ascii="Times New Roman" w:hAnsi="Times New Roman"/>
          <w:iCs/>
          <w:noProof/>
          <w:color w:val="000000"/>
          <w:u w:val="single"/>
        </w:rPr>
        <w:drawing>
          <wp:inline distT="0" distB="0" distL="0" distR="0" wp14:anchorId="13D815B6" wp14:editId="63C5A4B5">
            <wp:extent cx="5760720" cy="2697445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9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33246" w14:textId="77777777" w:rsidR="007E2B36" w:rsidRPr="001358B9" w:rsidRDefault="007E2B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u w:val="single"/>
        </w:rPr>
      </w:pPr>
    </w:p>
    <w:p w14:paraId="228C7548" w14:textId="77777777" w:rsidR="007E2B36" w:rsidRPr="001358B9" w:rsidRDefault="007E2B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u w:val="single"/>
        </w:rPr>
      </w:pPr>
    </w:p>
    <w:p w14:paraId="017C1A6F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1358B9">
        <w:rPr>
          <w:rFonts w:ascii="Times New Roman" w:hAnsi="Times New Roman"/>
          <w:iCs/>
          <w:color w:val="000000"/>
          <w:u w:val="single"/>
        </w:rPr>
        <w:t>PARAMOUNT</w:t>
      </w:r>
    </w:p>
    <w:p w14:paraId="110ECE8C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Mutlicentrická</w:t>
      </w:r>
      <w:r w:rsidR="00B95AD7" w:rsidRPr="001358B9">
        <w:rPr>
          <w:rFonts w:ascii="Times New Roman" w:hAnsi="Times New Roman"/>
          <w:color w:val="000000"/>
        </w:rPr>
        <w:t>,</w:t>
      </w:r>
      <w:r w:rsidRPr="001358B9">
        <w:rPr>
          <w:rFonts w:ascii="Times New Roman" w:hAnsi="Times New Roman"/>
          <w:color w:val="000000"/>
        </w:rPr>
        <w:t xml:space="preserve"> randomizovaná</w:t>
      </w:r>
      <w:r w:rsidR="00B95AD7" w:rsidRPr="001358B9">
        <w:rPr>
          <w:rFonts w:ascii="Times New Roman" w:hAnsi="Times New Roman"/>
          <w:color w:val="000000"/>
        </w:rPr>
        <w:t>,</w:t>
      </w:r>
      <w:r w:rsidRPr="001358B9">
        <w:rPr>
          <w:rFonts w:ascii="Times New Roman" w:hAnsi="Times New Roman"/>
          <w:color w:val="000000"/>
        </w:rPr>
        <w:t xml:space="preserve"> dvojito zaslepená, placebom kontrolovaná štúdia fázy 3 (PARAMOUNT) porovnávala účinnosť a bezpečnosť pokračovacej udržiavacej liečby pemetrexedom </w:t>
      </w:r>
      <w:r w:rsidRPr="001358B9">
        <w:rPr>
          <w:rFonts w:ascii="Times New Roman" w:hAnsi="Times New Roman"/>
          <w:color w:val="000000"/>
        </w:rPr>
        <w:lastRenderedPageBreak/>
        <w:t>s BSC (n = 359) oproti liečbe placebom s BSC (n = 180) u pacientov s lokálne pokročilým (v štádiu</w:t>
      </w:r>
      <w:bookmarkStart w:id="11" w:name="page20"/>
      <w:bookmarkEnd w:id="11"/>
      <w:r w:rsidR="007546E7" w:rsidRPr="001358B9">
        <w:rPr>
          <w:rFonts w:ascii="Times New Roman" w:hAnsi="Times New Roman"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>IIIB) alebo metastatickým (v štádiu IV) NSCLC iného histologického typu, ako prevažne zo skvamóznych buniek, u ktorých nedošlo k progresii ochorenia po 4 cykloch prvej línie liečby dvojkombináciou pemetrexedu s cisplatinou. Z celkového počtu 939 pacientov liečených pemetrexedom v kombinácii s cisplatinou bolo 539 pacientov randomizovaných na udržiavaciu liečbu pemetrexedom alebo placebom. Z randomizovaných pacientov odpovedalo na liečbu 44,9 % úplne/čiastočne a u 51,9 % došlo ku stabilizácii ochorenia po liečbe dvojkombináciou pemetrexedu s cisplatinou. Pacienti, ktorí boli randomizovaní na udržiavaciu liečbu museli mať výkonnostný stav ECOG 0 alebo 1. Medián doby trvania od začiatku liečby pemetrexedom spolu s cisplatinou do začiatku udržiavacej liečby bol 2,96 mesiacov rovnako v skupine s pemetrexedom aj v skupine s placebom. Randomizovaní pacienti dostávali udržiavaciu liečbu</w:t>
      </w:r>
      <w:r w:rsidR="004460E0" w:rsidRPr="001358B9">
        <w:rPr>
          <w:rFonts w:ascii="Times New Roman" w:hAnsi="Times New Roman"/>
          <w:color w:val="000000"/>
        </w:rPr>
        <w:t>, pokiaľ</w:t>
      </w:r>
      <w:r w:rsidRPr="001358B9">
        <w:rPr>
          <w:rFonts w:ascii="Times New Roman" w:hAnsi="Times New Roman"/>
          <w:color w:val="000000"/>
        </w:rPr>
        <w:t xml:space="preserve"> trvala progresia ochorenia. Účinnosť a bezpečnosť sa merali od randomizácie po ukončen</w:t>
      </w:r>
      <w:r w:rsidR="002E1A9E" w:rsidRPr="001358B9">
        <w:rPr>
          <w:rFonts w:ascii="Times New Roman" w:hAnsi="Times New Roman"/>
          <w:color w:val="000000"/>
        </w:rPr>
        <w:t>í</w:t>
      </w:r>
      <w:r w:rsidRPr="001358B9">
        <w:rPr>
          <w:rFonts w:ascii="Times New Roman" w:hAnsi="Times New Roman"/>
          <w:color w:val="000000"/>
        </w:rPr>
        <w:t xml:space="preserve"> prvej línie (indukčnej) liečby. Stredné hodnoty počtu podaných cyklov boli 4 cykly udržiavacej liečby pemetrexedom a 4 cykly placeba. Celkovo ukončilo ≥ 6 cyklov udržiavacej liečby pemetrexedom 169 pacientov (47,1 %), čo predstavovalo minimálne 10 úplných cyklov s pemetrexedom.</w:t>
      </w:r>
    </w:p>
    <w:p w14:paraId="00168983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BA60B7D" w14:textId="5E564ACE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Štúdia dosiahla svoj primárny cieľ a preukázala štatisticky významné zlepšenie PFS v skupine s pemetrexedom oproti skupine s placebom (n = 472, nezávisle hodnotená populácia, medián 3,9</w:t>
      </w:r>
      <w:r w:rsidR="00501C61" w:rsidRPr="001358B9">
        <w:rPr>
          <w:rFonts w:ascii="Times New Roman" w:hAnsi="Times New Roman"/>
          <w:color w:val="000000"/>
        </w:rPr>
        <w:t> </w:t>
      </w:r>
      <w:r w:rsidRPr="001358B9">
        <w:rPr>
          <w:rFonts w:ascii="Times New Roman" w:hAnsi="Times New Roman"/>
          <w:color w:val="000000"/>
        </w:rPr>
        <w:t>mesiacov resp. 2,6 mesiaca) (pomer rizík = 0,64</w:t>
      </w:r>
      <w:r w:rsidR="002E1A9E" w:rsidRPr="001358B9">
        <w:rPr>
          <w:rFonts w:ascii="Times New Roman" w:hAnsi="Times New Roman"/>
          <w:color w:val="000000"/>
        </w:rPr>
        <w:t>;</w:t>
      </w:r>
      <w:r w:rsidRPr="001358B9">
        <w:rPr>
          <w:rFonts w:ascii="Times New Roman" w:hAnsi="Times New Roman"/>
          <w:color w:val="000000"/>
        </w:rPr>
        <w:t xml:space="preserve"> 95 % CI = 0,51 - 0,81</w:t>
      </w:r>
      <w:r w:rsidR="002E1A9E" w:rsidRPr="001358B9">
        <w:rPr>
          <w:rFonts w:ascii="Times New Roman" w:hAnsi="Times New Roman"/>
          <w:color w:val="000000"/>
        </w:rPr>
        <w:t>;</w:t>
      </w:r>
      <w:r w:rsidRPr="001358B9">
        <w:rPr>
          <w:rFonts w:ascii="Times New Roman" w:hAnsi="Times New Roman"/>
          <w:color w:val="000000"/>
        </w:rPr>
        <w:t xml:space="preserve"> p &lt; 0,0002). Nezávislé hodnotenie pacientskych skenov potvrdilo závery hodnotenia PFS zo strany skúšajúcich.</w:t>
      </w:r>
      <w:r w:rsidR="002E1A9E" w:rsidRPr="001358B9">
        <w:rPr>
          <w:rFonts w:ascii="Times New Roman" w:hAnsi="Times New Roman"/>
        </w:rPr>
        <w:t xml:space="preserve"> </w:t>
      </w:r>
      <w:r w:rsidRPr="001358B9">
        <w:rPr>
          <w:rFonts w:ascii="Times New Roman" w:hAnsi="Times New Roman"/>
          <w:color w:val="000000"/>
        </w:rPr>
        <w:t>U</w:t>
      </w:r>
      <w:r w:rsidR="002E1A9E" w:rsidRPr="001358B9">
        <w:rPr>
          <w:rFonts w:ascii="Times New Roman" w:hAnsi="Times New Roman"/>
          <w:color w:val="000000"/>
        </w:rPr>
        <w:t> </w:t>
      </w:r>
      <w:r w:rsidRPr="001358B9">
        <w:rPr>
          <w:rFonts w:ascii="Times New Roman" w:hAnsi="Times New Roman"/>
          <w:color w:val="000000"/>
        </w:rPr>
        <w:t>randomizovaných pacientov, podľa meraní od začiatku indukčnej liečby prvej línie pemetrexedom s cisplatinou, bol podľa hodnotení skúšajúcich medián PFS 6,9 mesiaca v skupine s pemetrexedom a 5,6</w:t>
      </w:r>
      <w:r w:rsidR="00501C61" w:rsidRPr="001358B9">
        <w:rPr>
          <w:rFonts w:ascii="Times New Roman" w:hAnsi="Times New Roman"/>
          <w:color w:val="000000"/>
        </w:rPr>
        <w:t> </w:t>
      </w:r>
      <w:r w:rsidRPr="001358B9">
        <w:rPr>
          <w:rFonts w:ascii="Times New Roman" w:hAnsi="Times New Roman"/>
          <w:color w:val="000000"/>
        </w:rPr>
        <w:t>mesiaca v skupine s placebom (pomer rizík = 0,59</w:t>
      </w:r>
      <w:r w:rsidR="002E1A9E" w:rsidRPr="001358B9">
        <w:rPr>
          <w:rFonts w:ascii="Times New Roman" w:hAnsi="Times New Roman"/>
          <w:color w:val="000000"/>
        </w:rPr>
        <w:t>;</w:t>
      </w:r>
      <w:r w:rsidRPr="001358B9">
        <w:rPr>
          <w:rFonts w:ascii="Times New Roman" w:hAnsi="Times New Roman"/>
          <w:color w:val="000000"/>
        </w:rPr>
        <w:t xml:space="preserve"> 95 % CI = 0,47 - 0,74).</w:t>
      </w:r>
    </w:p>
    <w:p w14:paraId="2C13B901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BAD2B2A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 xml:space="preserve">Liečba pemetrexedom, následne po indukčnej liečbe pemetrexedom a cisplatinou (4 cykly), bola štatisticky lepšia </w:t>
      </w:r>
      <w:r w:rsidR="00AE5EC7" w:rsidRPr="001358B9">
        <w:rPr>
          <w:rFonts w:ascii="Times New Roman" w:hAnsi="Times New Roman"/>
          <w:color w:val="000000"/>
        </w:rPr>
        <w:t>ako</w:t>
      </w:r>
      <w:r w:rsidRPr="001358B9">
        <w:rPr>
          <w:rFonts w:ascii="Times New Roman" w:hAnsi="Times New Roman"/>
          <w:color w:val="000000"/>
        </w:rPr>
        <w:t xml:space="preserve"> liečba placebom pre OS (medián 13,9 mesiacov oproti 11,0 mesiacom, pomer rizík = 0,78; 95 % CI = 0,64 – 0,96; p = 0,0195). V čase tejto konečnej analýzy prežitia bolo nažive alebo sa stratilo z pozorovania 28,7 % pacientov v ramene s pemetrexedom oproti 21,7 % v ramene s placebom. Relatívna liečebná efektivita pemetrexedu bola vnútorne konzistentná medzi podskupinami (vrátane štádia ochorenia, odpovede na indukčnú liečbu, ECOG PS, fajčiarskeho stavu, pohlavia, histológie a veku) a podobná tej, ktorá bola pozorovaná v neupravených analýzach OS a PFS. 1-ročné a 2-ročné prežívanie u pacientov užívajúcich pemetrexed bolo 58 % a 32 % oproti 45 % a 21 % u pacientov s placebom. Medián OS od začiatku prvolíniovej indukčnej liečby pemetrexedom a cisplatinou bol 16,9 mesiacov u pacientov v ramene s pemetrexedom oproti 14,0 mesiacov v ramene s placebom (pomer rizík = 0,78; 95 % CI = 0,64 – 0,96). Percento pacientov, ktorí po ukončení štúdie pokračovali v liečbe bolo 64,3 % pre pemetrexed a 71,7 % pre placebo.</w:t>
      </w:r>
    </w:p>
    <w:p w14:paraId="0D5DAEE5" w14:textId="77777777" w:rsidR="002E1A9E" w:rsidRPr="001358B9" w:rsidRDefault="002E1A9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E0B495A" w14:textId="77777777" w:rsidR="002E1A9E" w:rsidRPr="001358B9" w:rsidRDefault="002E1A9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b/>
          <w:bCs/>
          <w:color w:val="000000"/>
        </w:rPr>
        <w:t>PARAMOUNT: Kaplanova Meierova krivka doby prežívania bez progresie (PFS) a celkového prežívania (OS) u pacientov s NSCLC iného histologického typu ako prevažne zo skvamóznych buniek, pokračujúcich v udržiavacej liečbe pemetrexedom alebo placebom (merané od randomizácie)</w:t>
      </w:r>
    </w:p>
    <w:p w14:paraId="7209EA71" w14:textId="77777777" w:rsidR="00352622" w:rsidRPr="001358B9" w:rsidRDefault="00352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  <w:bookmarkStart w:id="12" w:name="page21"/>
      <w:bookmarkEnd w:id="12"/>
    </w:p>
    <w:p w14:paraId="0173EEB6" w14:textId="77777777" w:rsidR="00352622" w:rsidRPr="001358B9" w:rsidRDefault="00352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</w:p>
    <w:p w14:paraId="579960C2" w14:textId="77777777" w:rsidR="00352622" w:rsidRPr="001358B9" w:rsidRDefault="00352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</w:p>
    <w:p w14:paraId="3221C580" w14:textId="77777777" w:rsidR="00352622" w:rsidRPr="001358B9" w:rsidRDefault="00352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</w:p>
    <w:p w14:paraId="54A28854" w14:textId="77777777" w:rsidR="00352622" w:rsidRPr="001358B9" w:rsidRDefault="00352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</w:p>
    <w:p w14:paraId="7A54EDA2" w14:textId="77777777" w:rsidR="00352622" w:rsidRPr="00927728" w:rsidRDefault="00352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  <w:r w:rsidRPr="00927728">
        <w:rPr>
          <w:rFonts w:ascii="Times New Roman" w:hAnsi="Times New Roman"/>
          <w:noProof/>
        </w:rPr>
        <w:lastRenderedPageBreak/>
        <w:drawing>
          <wp:inline distT="0" distB="0" distL="0" distR="0" wp14:anchorId="304C996F" wp14:editId="05A6FD76">
            <wp:extent cx="5760720" cy="2706379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0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D4801" w14:textId="77777777" w:rsidR="00352622" w:rsidRPr="001358B9" w:rsidRDefault="00352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</w:p>
    <w:p w14:paraId="0F30146D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Bezpečnostné profily udržiavacej liečby pemetrexedom z dvoch klinických štúdií JMEN a PARAMOUNT boli podobné.</w:t>
      </w:r>
    </w:p>
    <w:p w14:paraId="428C46B4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A814E92" w14:textId="77777777" w:rsidR="00C51A9C" w:rsidRPr="001358B9" w:rsidRDefault="00C51A9C" w:rsidP="001358B9">
      <w:pPr>
        <w:widowControl w:val="0"/>
        <w:numPr>
          <w:ilvl w:val="0"/>
          <w:numId w:val="2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Farmakokinetické vlastnosti </w:t>
      </w:r>
    </w:p>
    <w:p w14:paraId="6DAFEF15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173F3BD" w14:textId="681CD9C6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Farmakokinetické vlastnosti pemetrexedu po podaní lieku v monoterapii boli hodnotené u</w:t>
      </w:r>
      <w:r w:rsidR="00501C61" w:rsidRPr="001358B9">
        <w:rPr>
          <w:rFonts w:ascii="Times New Roman" w:hAnsi="Times New Roman"/>
          <w:color w:val="000000"/>
        </w:rPr>
        <w:t> </w:t>
      </w:r>
      <w:r w:rsidRPr="001358B9">
        <w:rPr>
          <w:rFonts w:ascii="Times New Roman" w:hAnsi="Times New Roman"/>
          <w:color w:val="000000"/>
        </w:rPr>
        <w:t>426</w:t>
      </w:r>
      <w:r w:rsidR="00501C61" w:rsidRPr="001358B9">
        <w:rPr>
          <w:rFonts w:ascii="Times New Roman" w:hAnsi="Times New Roman"/>
          <w:color w:val="000000"/>
        </w:rPr>
        <w:t> </w:t>
      </w:r>
      <w:r w:rsidRPr="001358B9">
        <w:rPr>
          <w:rFonts w:ascii="Times New Roman" w:hAnsi="Times New Roman"/>
          <w:color w:val="000000"/>
        </w:rPr>
        <w:t>pacientov s rozličnými malígnymi solídnymi tumormi v dávkach od 0,2 do 838 mg/m</w:t>
      </w:r>
      <w:r w:rsidRPr="001358B9">
        <w:rPr>
          <w:rFonts w:ascii="Times New Roman" w:hAnsi="Times New Roman"/>
          <w:color w:val="000000"/>
          <w:vertAlign w:val="superscript"/>
        </w:rPr>
        <w:t>2</w:t>
      </w:r>
      <w:r w:rsidRPr="001358B9">
        <w:rPr>
          <w:rFonts w:ascii="Times New Roman" w:hAnsi="Times New Roman"/>
          <w:color w:val="000000"/>
        </w:rPr>
        <w:t xml:space="preserve"> podaných v infúzii počas 10 minút. Distribučný objem pemetrexedu v ustálenom stave je 9 l/m</w:t>
      </w:r>
      <w:r w:rsidRPr="001358B9">
        <w:rPr>
          <w:rFonts w:ascii="Times New Roman" w:hAnsi="Times New Roman"/>
          <w:color w:val="000000"/>
          <w:vertAlign w:val="superscript"/>
        </w:rPr>
        <w:t>2</w:t>
      </w:r>
      <w:r w:rsidRPr="001358B9">
        <w:rPr>
          <w:rFonts w:ascii="Times New Roman" w:hAnsi="Times New Roman"/>
          <w:color w:val="000000"/>
        </w:rPr>
        <w:t xml:space="preserve">. Štúdie </w:t>
      </w:r>
      <w:r w:rsidRPr="001358B9">
        <w:rPr>
          <w:rFonts w:ascii="Times New Roman" w:hAnsi="Times New Roman"/>
          <w:i/>
          <w:iCs/>
          <w:color w:val="000000"/>
        </w:rPr>
        <w:t>in vitro</w:t>
      </w:r>
      <w:r w:rsidRPr="001358B9">
        <w:rPr>
          <w:rFonts w:ascii="Times New Roman" w:hAnsi="Times New Roman"/>
          <w:color w:val="000000"/>
        </w:rPr>
        <w:t xml:space="preserve"> ukazujú, že približne 81 % pemetrexedu sa viaže na plazmatické proteíny. Táto väzba nebola výrazne ovplyvnená rôznymi stupňami renálneho poškodenia. Pemetrexed sa podrobuje v obmedzenej miere pečeňovému metabolizmu. Pemetrexed je primárne eliminovaný močom, pričom 70 % až 90 % dávky sa vylúči močom v nezmenenej forme v priebehu prvých 24 hodín od podania. Štúdie </w:t>
      </w:r>
      <w:r w:rsidRPr="001358B9">
        <w:rPr>
          <w:rFonts w:ascii="Times New Roman" w:hAnsi="Times New Roman"/>
          <w:i/>
          <w:iCs/>
          <w:color w:val="000000"/>
        </w:rPr>
        <w:t>in vitro</w:t>
      </w:r>
      <w:r w:rsidRPr="001358B9">
        <w:rPr>
          <w:rFonts w:ascii="Times New Roman" w:hAnsi="Times New Roman"/>
          <w:color w:val="000000"/>
        </w:rPr>
        <w:t xml:space="preserve"> naznačujú, že pemetrexed sa aktívne vylučuje pomocou OAT3 (organického aniónového transportéra 3). Celkový systémový klírens pemetrexedu je 91,8 ml/min a eliminačný polčas z plazmy je 3,5 hodín, u pacientov s normálnou obličkovou funkciou (klírens kreatinínu 90 ml/min). Variabilita v klírense medzi pacientmi je mierna, a to 19,3 %. Celková systémová expozícia pemetrexedu (AUC) a maximálna plazmatická koncentrácia sa proporcionálne zvyšujú s dávkou. Farmakokinetika pemetrexedu je rovnaká aj po viacerých liečebných cykloch.</w:t>
      </w:r>
    </w:p>
    <w:p w14:paraId="285A5DEC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DD1EC6B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Farmakokinetické vlastnosti pemetrexedu nie sú ovplyvnené súčasným podávaním cisplatiny. Suplementácia perorálnou kyselinou listovou a intramuskulárnym vitamínom B</w:t>
      </w:r>
      <w:r w:rsidRPr="001358B9">
        <w:rPr>
          <w:rFonts w:ascii="Times New Roman" w:hAnsi="Times New Roman"/>
          <w:color w:val="000000"/>
          <w:vertAlign w:val="subscript"/>
        </w:rPr>
        <w:t>12</w:t>
      </w:r>
      <w:r w:rsidRPr="001358B9">
        <w:rPr>
          <w:rFonts w:ascii="Times New Roman" w:hAnsi="Times New Roman"/>
          <w:color w:val="000000"/>
        </w:rPr>
        <w:t xml:space="preserve"> neovplyvňujú farmakokinetiku pemetrexedu.</w:t>
      </w:r>
    </w:p>
    <w:p w14:paraId="69679BDC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6D342B4" w14:textId="77777777" w:rsidR="00C51A9C" w:rsidRPr="001358B9" w:rsidRDefault="00C51A9C" w:rsidP="001358B9">
      <w:pPr>
        <w:widowControl w:val="0"/>
        <w:numPr>
          <w:ilvl w:val="0"/>
          <w:numId w:val="23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Predklinické údaje o bezpečnosti </w:t>
      </w:r>
    </w:p>
    <w:p w14:paraId="31B2CFEE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DF9D73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6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Podanie pemetrexedu gravidným myšiam viedlo k zníženiu schopnosti vývoja plodu, zníženiu hmotnosti plodu, nekompletnej osifikácii niektorých kostných štruktúr</w:t>
      </w:r>
      <w:r w:rsidR="007E2B36" w:rsidRPr="001358B9">
        <w:rPr>
          <w:rFonts w:ascii="Times New Roman" w:hAnsi="Times New Roman"/>
          <w:color w:val="000000"/>
        </w:rPr>
        <w:t xml:space="preserve"> a</w:t>
      </w:r>
      <w:r w:rsidRPr="001358B9">
        <w:rPr>
          <w:rFonts w:ascii="Times New Roman" w:hAnsi="Times New Roman"/>
          <w:color w:val="000000"/>
        </w:rPr>
        <w:t xml:space="preserve"> k rázštepu podnebia.</w:t>
      </w:r>
    </w:p>
    <w:p w14:paraId="24A82344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15D9D0D" w14:textId="77777777" w:rsidR="00484665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>Podanie pemetrexedu samcom myší viedlo k reprodukčnej toxicite charakterizovanej redukciou  fertility a testikulárnou atrofiou. V 9-mesačnej štúdii s použitím intravenóznej bolusovej injekcie vykonanej na bígloch bol pozorovaný testikulárny nález (degenerácia/nekróza semenotvorného epitelu). To naznačuje, že pemetrexed môže poškodiť mužskú fertilitu. Ženská fertilita nebola skúmaná.</w:t>
      </w:r>
      <w:bookmarkStart w:id="13" w:name="page22"/>
      <w:bookmarkEnd w:id="13"/>
      <w:r w:rsidR="00850727" w:rsidRPr="001358B9">
        <w:rPr>
          <w:rFonts w:ascii="Times New Roman" w:hAnsi="Times New Roman"/>
          <w:color w:val="000000"/>
        </w:rPr>
        <w:t xml:space="preserve"> </w:t>
      </w:r>
    </w:p>
    <w:p w14:paraId="5F5EE226" w14:textId="77777777" w:rsidR="00484665" w:rsidRPr="001358B9" w:rsidRDefault="0048466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Times New Roman" w:hAnsi="Times New Roman"/>
          <w:color w:val="000000"/>
        </w:rPr>
      </w:pPr>
    </w:p>
    <w:p w14:paraId="5616B142" w14:textId="77777777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Pemetrexed nebol mutagénny v </w:t>
      </w:r>
      <w:r w:rsidRPr="001358B9">
        <w:rPr>
          <w:rFonts w:ascii="Times New Roman" w:hAnsi="Times New Roman"/>
          <w:i/>
          <w:iCs/>
          <w:color w:val="000000"/>
        </w:rPr>
        <w:t>in vitro</w:t>
      </w:r>
      <w:r w:rsidRPr="001358B9">
        <w:rPr>
          <w:rFonts w:ascii="Times New Roman" w:hAnsi="Times New Roman"/>
          <w:color w:val="000000"/>
        </w:rPr>
        <w:t xml:space="preserve"> chromozomálnom aberačnom teste ovariálnych buniek čínskych škrečkov, ani v Amesovom teste. V mikronukleárnom teste </w:t>
      </w:r>
      <w:r w:rsidRPr="001358B9">
        <w:rPr>
          <w:rFonts w:ascii="Times New Roman" w:hAnsi="Times New Roman"/>
          <w:i/>
          <w:iCs/>
          <w:color w:val="000000"/>
        </w:rPr>
        <w:t>in vivo</w:t>
      </w:r>
      <w:r w:rsidRPr="001358B9">
        <w:rPr>
          <w:rFonts w:ascii="Times New Roman" w:hAnsi="Times New Roman"/>
          <w:color w:val="000000"/>
        </w:rPr>
        <w:t xml:space="preserve"> u myší bolo zistené, že pemetrexed je klastogénny.</w:t>
      </w:r>
    </w:p>
    <w:p w14:paraId="3F9B0891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9A4897A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Štúdie hodnotiace karcinogénny potenciál pemetrexedu neboli vykonané.</w:t>
      </w:r>
    </w:p>
    <w:p w14:paraId="783AEF40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7F9539A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308FD69" w14:textId="77777777" w:rsidR="00C51A9C" w:rsidRPr="001358B9" w:rsidRDefault="00C51A9C" w:rsidP="001358B9">
      <w:pPr>
        <w:widowControl w:val="0"/>
        <w:numPr>
          <w:ilvl w:val="0"/>
          <w:numId w:val="2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FARMACEUTICKÉ INFORMÁCIE </w:t>
      </w:r>
    </w:p>
    <w:p w14:paraId="0AEE5D0B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57435CE" w14:textId="77777777" w:rsidR="00C51A9C" w:rsidRPr="001358B9" w:rsidRDefault="00C51A9C" w:rsidP="001358B9">
      <w:pPr>
        <w:widowControl w:val="0"/>
        <w:numPr>
          <w:ilvl w:val="0"/>
          <w:numId w:val="25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Zoznam pomocných látok </w:t>
      </w:r>
    </w:p>
    <w:p w14:paraId="06410343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726C708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Manitol </w:t>
      </w:r>
    </w:p>
    <w:p w14:paraId="75AE3F64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Kyselina chlorovodíková (na úpravu pH)</w:t>
      </w:r>
    </w:p>
    <w:p w14:paraId="38C2D617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Hydroxid sodný (na úpravu pH)</w:t>
      </w:r>
    </w:p>
    <w:p w14:paraId="259C0673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DB0384D" w14:textId="77777777" w:rsidR="00C51A9C" w:rsidRPr="001358B9" w:rsidRDefault="00C51A9C" w:rsidP="001358B9">
      <w:pPr>
        <w:widowControl w:val="0"/>
        <w:numPr>
          <w:ilvl w:val="0"/>
          <w:numId w:val="26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Inkompatibility </w:t>
      </w:r>
    </w:p>
    <w:p w14:paraId="1C6CC99A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0AB8EF0" w14:textId="64CB7F11" w:rsidR="00C51A9C" w:rsidRPr="001358B9" w:rsidRDefault="00C51A9C" w:rsidP="001358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Pemetrexed je fyzikálne inkompatibilný s rozpúšťadlami obsahujúcimi vápnik, vrátane </w:t>
      </w:r>
      <w:r w:rsidR="00F25743" w:rsidRPr="001358B9">
        <w:rPr>
          <w:rFonts w:ascii="Times New Roman" w:eastAsia="TimesNewRoman" w:hAnsi="Times New Roman"/>
          <w:color w:val="000000"/>
        </w:rPr>
        <w:t>laktátového Ringerovho roztoku a Ringerovho roztoku</w:t>
      </w:r>
      <w:r w:rsidRPr="001358B9">
        <w:rPr>
          <w:rFonts w:ascii="Times New Roman" w:hAnsi="Times New Roman"/>
          <w:color w:val="000000"/>
        </w:rPr>
        <w:t>.</w:t>
      </w:r>
      <w:r w:rsidR="00F25743" w:rsidRPr="001358B9">
        <w:rPr>
          <w:rFonts w:ascii="Times New Roman" w:hAnsi="Times New Roman"/>
          <w:color w:val="000000"/>
        </w:rPr>
        <w:t xml:space="preserve"> </w:t>
      </w:r>
      <w:r w:rsidR="00484665" w:rsidRPr="00927728">
        <w:rPr>
          <w:rFonts w:ascii="Times New Roman" w:hAnsi="Times New Roman"/>
          <w:color w:val="000000"/>
        </w:rPr>
        <w:t>Nevykonali sa iné štúdie kompatibility, preto sa tento liek nesmie miešať s inými liekmi</w:t>
      </w:r>
      <w:r w:rsidRPr="001358B9">
        <w:rPr>
          <w:rFonts w:ascii="Times New Roman" w:hAnsi="Times New Roman"/>
          <w:color w:val="000000"/>
        </w:rPr>
        <w:t>.</w:t>
      </w:r>
    </w:p>
    <w:p w14:paraId="309775DD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D916F9C" w14:textId="77777777" w:rsidR="00C51A9C" w:rsidRPr="001358B9" w:rsidRDefault="00C51A9C" w:rsidP="001358B9">
      <w:pPr>
        <w:widowControl w:val="0"/>
        <w:numPr>
          <w:ilvl w:val="0"/>
          <w:numId w:val="27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Čas použiteľnosti </w:t>
      </w:r>
    </w:p>
    <w:p w14:paraId="0F7382B9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D6ABEE2" w14:textId="5DA64DAE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20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  <w:u w:val="single"/>
        </w:rPr>
        <w:t xml:space="preserve">Neotvorená injekčná liekovka </w:t>
      </w:r>
      <w:r w:rsidR="00BC7A80">
        <w:rPr>
          <w:rFonts w:ascii="Times New Roman" w:hAnsi="Times New Roman"/>
          <w:color w:val="000000"/>
          <w:u w:val="single"/>
        </w:rPr>
        <w:t>3</w:t>
      </w:r>
      <w:r w:rsidRPr="001358B9">
        <w:rPr>
          <w:rFonts w:ascii="Times New Roman" w:hAnsi="Times New Roman"/>
          <w:color w:val="000000"/>
        </w:rPr>
        <w:t xml:space="preserve"> roky.</w:t>
      </w:r>
    </w:p>
    <w:p w14:paraId="3B016683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FC688C1" w14:textId="5EAC7BF3" w:rsidR="00C51A9C" w:rsidRPr="001358B9" w:rsidRDefault="00F83A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1358B9">
        <w:rPr>
          <w:rFonts w:ascii="Times New Roman" w:hAnsi="Times New Roman"/>
          <w:color w:val="000000"/>
          <w:u w:val="single"/>
        </w:rPr>
        <w:t>Rekonštituované a infúzne roztoky</w:t>
      </w:r>
    </w:p>
    <w:p w14:paraId="3E7933CC" w14:textId="6B578BDE" w:rsidR="00C51A9C" w:rsidRPr="001358B9" w:rsidRDefault="001E47BA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927728">
        <w:rPr>
          <w:rFonts w:ascii="Times New Roman" w:hAnsi="Times New Roman"/>
          <w:color w:val="000000"/>
        </w:rPr>
        <w:t>R</w:t>
      </w:r>
      <w:r w:rsidR="00DB3F4C" w:rsidRPr="001358B9">
        <w:rPr>
          <w:rFonts w:ascii="Times New Roman" w:hAnsi="Times New Roman"/>
          <w:color w:val="000000"/>
        </w:rPr>
        <w:t xml:space="preserve">ekonštituované a infúzne roztoky </w:t>
      </w:r>
      <w:r w:rsidR="00501C61" w:rsidRPr="001358B9">
        <w:rPr>
          <w:rFonts w:ascii="Times New Roman" w:hAnsi="Times New Roman"/>
          <w:color w:val="000000"/>
        </w:rPr>
        <w:t>P</w:t>
      </w:r>
      <w:r w:rsidR="00DB3F4C" w:rsidRPr="001358B9">
        <w:rPr>
          <w:rFonts w:ascii="Times New Roman" w:hAnsi="Times New Roman"/>
          <w:color w:val="000000"/>
        </w:rPr>
        <w:t xml:space="preserve">emetrexedu </w:t>
      </w:r>
      <w:r w:rsidR="00501C61" w:rsidRPr="001358B9">
        <w:rPr>
          <w:rFonts w:ascii="Times New Roman" w:hAnsi="Times New Roman"/>
          <w:color w:val="000000"/>
        </w:rPr>
        <w:t xml:space="preserve">Pharmevid </w:t>
      </w:r>
      <w:r w:rsidRPr="001358B9">
        <w:rPr>
          <w:rFonts w:ascii="Times New Roman" w:hAnsi="Times New Roman"/>
          <w:color w:val="000000"/>
        </w:rPr>
        <w:t xml:space="preserve">neobsahujú </w:t>
      </w:r>
      <w:r w:rsidR="009F2C14" w:rsidRPr="001358B9">
        <w:rPr>
          <w:rFonts w:ascii="Times New Roman" w:hAnsi="Times New Roman"/>
          <w:color w:val="000000"/>
        </w:rPr>
        <w:t>žiadne antimikrobiálne konzervačné látky</w:t>
      </w:r>
      <w:r w:rsidRPr="001358B9">
        <w:rPr>
          <w:rFonts w:ascii="Times New Roman" w:hAnsi="Times New Roman"/>
          <w:color w:val="000000"/>
        </w:rPr>
        <w:t>, ak sú pripravené podľa pokynov</w:t>
      </w:r>
      <w:r w:rsidR="009F2C14" w:rsidRPr="001358B9">
        <w:rPr>
          <w:rFonts w:ascii="Times New Roman" w:hAnsi="Times New Roman"/>
          <w:color w:val="000000"/>
        </w:rPr>
        <w:t xml:space="preserve">. </w:t>
      </w:r>
      <w:r w:rsidR="00C51A9C" w:rsidRPr="001358B9">
        <w:rPr>
          <w:rFonts w:ascii="Times New Roman" w:hAnsi="Times New Roman"/>
          <w:color w:val="000000"/>
        </w:rPr>
        <w:t>Chemická a fyzikálna stabilita rekonštituovaných</w:t>
      </w:r>
      <w:r w:rsidR="00AF56F4" w:rsidRPr="001358B9">
        <w:rPr>
          <w:rFonts w:ascii="Times New Roman" w:hAnsi="Times New Roman"/>
          <w:color w:val="000000"/>
        </w:rPr>
        <w:t xml:space="preserve"> </w:t>
      </w:r>
      <w:r w:rsidR="00484665" w:rsidRPr="001358B9">
        <w:rPr>
          <w:rFonts w:ascii="Times New Roman" w:hAnsi="Times New Roman"/>
          <w:color w:val="000000"/>
        </w:rPr>
        <w:t>a infúznych</w:t>
      </w:r>
      <w:r w:rsidR="00C51A9C" w:rsidRPr="001358B9">
        <w:rPr>
          <w:rFonts w:ascii="Times New Roman" w:hAnsi="Times New Roman"/>
          <w:color w:val="000000"/>
        </w:rPr>
        <w:t xml:space="preserve"> roztokov </w:t>
      </w:r>
      <w:r w:rsidR="0088580C" w:rsidRPr="001358B9">
        <w:rPr>
          <w:rFonts w:ascii="Times New Roman" w:hAnsi="Times New Roman"/>
          <w:color w:val="000000"/>
        </w:rPr>
        <w:t>p</w:t>
      </w:r>
      <w:r w:rsidR="00C51A9C" w:rsidRPr="001358B9">
        <w:rPr>
          <w:rFonts w:ascii="Times New Roman" w:hAnsi="Times New Roman"/>
          <w:color w:val="000000"/>
        </w:rPr>
        <w:t xml:space="preserve">emetrexedu bola preukázaná počas </w:t>
      </w:r>
      <w:r w:rsidR="00484665" w:rsidRPr="001358B9">
        <w:rPr>
          <w:rFonts w:ascii="Times New Roman" w:hAnsi="Times New Roman"/>
          <w:color w:val="000000"/>
        </w:rPr>
        <w:t>24 hodín</w:t>
      </w:r>
      <w:r w:rsidR="00C51A9C" w:rsidRPr="001358B9">
        <w:rPr>
          <w:rFonts w:ascii="Times New Roman" w:hAnsi="Times New Roman"/>
          <w:color w:val="000000"/>
        </w:rPr>
        <w:t xml:space="preserve"> pri teplote od 2 °C do 8</w:t>
      </w:r>
      <w:r w:rsidR="00B6357C" w:rsidRPr="001358B9">
        <w:rPr>
          <w:rFonts w:ascii="Times New Roman" w:hAnsi="Times New Roman"/>
          <w:color w:val="000000"/>
        </w:rPr>
        <w:t> </w:t>
      </w:r>
      <w:r w:rsidR="00C51A9C" w:rsidRPr="001358B9">
        <w:rPr>
          <w:rFonts w:ascii="Times New Roman" w:hAnsi="Times New Roman"/>
          <w:color w:val="000000"/>
        </w:rPr>
        <w:t>°C.</w:t>
      </w:r>
      <w:r w:rsidR="009F2C14" w:rsidRPr="001358B9">
        <w:rPr>
          <w:rFonts w:ascii="Times New Roman" w:hAnsi="Times New Roman"/>
          <w:color w:val="000000"/>
        </w:rPr>
        <w:t xml:space="preserve"> </w:t>
      </w:r>
      <w:r w:rsidR="007B0D14" w:rsidRPr="001358B9">
        <w:rPr>
          <w:rFonts w:ascii="Times New Roman" w:hAnsi="Times New Roman"/>
          <w:color w:val="000000"/>
        </w:rPr>
        <w:t>Z </w:t>
      </w:r>
      <w:r w:rsidR="00C51A9C" w:rsidRPr="001358B9">
        <w:rPr>
          <w:rFonts w:ascii="Times New Roman" w:hAnsi="Times New Roman"/>
          <w:color w:val="000000"/>
        </w:rPr>
        <w:t xml:space="preserve">mikrobiologického hľadiska sa liek musí použiť ihneď. Ak sa nepoužije ihneď, za </w:t>
      </w:r>
      <w:r w:rsidR="0037489B" w:rsidRPr="001358B9">
        <w:rPr>
          <w:rFonts w:ascii="Times New Roman" w:hAnsi="Times New Roman"/>
          <w:color w:val="000000"/>
        </w:rPr>
        <w:t>čas</w:t>
      </w:r>
      <w:r w:rsidR="00C51A9C" w:rsidRPr="001358B9">
        <w:rPr>
          <w:rFonts w:ascii="Times New Roman" w:hAnsi="Times New Roman"/>
          <w:color w:val="000000"/>
        </w:rPr>
        <w:t xml:space="preserve"> uchovávania a podmienky pred použitím je zodpovedný </w:t>
      </w:r>
      <w:r w:rsidR="00484665" w:rsidRPr="001358B9">
        <w:rPr>
          <w:rFonts w:ascii="Times New Roman" w:hAnsi="Times New Roman"/>
          <w:color w:val="000000"/>
        </w:rPr>
        <w:t>po</w:t>
      </w:r>
      <w:r w:rsidR="00C51A9C" w:rsidRPr="001358B9">
        <w:rPr>
          <w:rFonts w:ascii="Times New Roman" w:hAnsi="Times New Roman"/>
          <w:color w:val="000000"/>
        </w:rPr>
        <w:t>užívateľ</w:t>
      </w:r>
      <w:r w:rsidR="00DB3F4C" w:rsidRPr="001358B9">
        <w:rPr>
          <w:rFonts w:ascii="Times New Roman" w:hAnsi="Times New Roman"/>
          <w:color w:val="000000"/>
        </w:rPr>
        <w:t xml:space="preserve"> a</w:t>
      </w:r>
      <w:r w:rsidR="008A5307" w:rsidRPr="001358B9">
        <w:rPr>
          <w:rFonts w:ascii="Times New Roman" w:hAnsi="Times New Roman"/>
          <w:color w:val="000000"/>
        </w:rPr>
        <w:t> </w:t>
      </w:r>
      <w:r w:rsidR="00DB3F4C" w:rsidRPr="001358B9">
        <w:rPr>
          <w:rFonts w:ascii="Times New Roman" w:hAnsi="Times New Roman"/>
          <w:color w:val="000000"/>
        </w:rPr>
        <w:t>nem</w:t>
      </w:r>
      <w:r w:rsidR="00F000AE" w:rsidRPr="001358B9">
        <w:rPr>
          <w:rFonts w:ascii="Times New Roman" w:hAnsi="Times New Roman"/>
          <w:color w:val="000000"/>
        </w:rPr>
        <w:t>ajú</w:t>
      </w:r>
      <w:r w:rsidR="00DB3F4C" w:rsidRPr="001358B9">
        <w:rPr>
          <w:rFonts w:ascii="Times New Roman" w:hAnsi="Times New Roman"/>
          <w:color w:val="000000"/>
        </w:rPr>
        <w:t xml:space="preserve"> byť</w:t>
      </w:r>
      <w:r w:rsidR="00C51A9C" w:rsidRPr="001358B9">
        <w:rPr>
          <w:rFonts w:ascii="Times New Roman" w:hAnsi="Times New Roman"/>
          <w:color w:val="000000"/>
        </w:rPr>
        <w:t xml:space="preserve"> dlhši</w:t>
      </w:r>
      <w:r w:rsidR="008A5307" w:rsidRPr="001358B9">
        <w:rPr>
          <w:rFonts w:ascii="Times New Roman" w:hAnsi="Times New Roman"/>
          <w:color w:val="000000"/>
        </w:rPr>
        <w:t>e</w:t>
      </w:r>
      <w:r w:rsidR="00C51A9C" w:rsidRPr="001358B9">
        <w:rPr>
          <w:rFonts w:ascii="Times New Roman" w:hAnsi="Times New Roman"/>
          <w:color w:val="000000"/>
        </w:rPr>
        <w:t xml:space="preserve"> ako 24 hodín pri teplote od 2</w:t>
      </w:r>
      <w:r w:rsidR="00DB3F4C" w:rsidRPr="001358B9">
        <w:rPr>
          <w:rFonts w:ascii="Times New Roman" w:hAnsi="Times New Roman"/>
          <w:color w:val="000000"/>
        </w:rPr>
        <w:t> </w:t>
      </w:r>
      <w:r w:rsidR="00C51A9C" w:rsidRPr="001358B9">
        <w:rPr>
          <w:rFonts w:ascii="Times New Roman" w:hAnsi="Times New Roman"/>
          <w:color w:val="000000"/>
        </w:rPr>
        <w:t>°C do 8 °C.</w:t>
      </w:r>
    </w:p>
    <w:p w14:paraId="4AC4F13A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06708EE" w14:textId="77777777" w:rsidR="00C51A9C" w:rsidRPr="001358B9" w:rsidRDefault="00C51A9C" w:rsidP="001358B9">
      <w:pPr>
        <w:widowControl w:val="0"/>
        <w:numPr>
          <w:ilvl w:val="0"/>
          <w:numId w:val="28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Špeciálne upozornenia na uchovávanie </w:t>
      </w:r>
    </w:p>
    <w:p w14:paraId="0BCE312F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0419DB0" w14:textId="77777777" w:rsidR="009F2C14" w:rsidRPr="001358B9" w:rsidRDefault="009F2C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  <w:u w:val="single"/>
        </w:rPr>
        <w:t>Neotvorená injekčná liekovka</w:t>
      </w:r>
    </w:p>
    <w:p w14:paraId="704B20F9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Tento liek nevyžaduje žiadne zvláštne podmienky na uchovávanie.</w:t>
      </w:r>
    </w:p>
    <w:p w14:paraId="0D3CDC50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2DC9A96" w14:textId="4A34B14F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>Podmienky na uchovávanie po rekonštitúcii</w:t>
      </w:r>
      <w:r w:rsidR="009F2C14" w:rsidRPr="001358B9">
        <w:rPr>
          <w:rFonts w:ascii="Times New Roman" w:hAnsi="Times New Roman"/>
          <w:color w:val="000000"/>
        </w:rPr>
        <w:t xml:space="preserve"> lieku</w:t>
      </w:r>
      <w:r w:rsidRPr="001358B9">
        <w:rPr>
          <w:rFonts w:ascii="Times New Roman" w:hAnsi="Times New Roman"/>
          <w:color w:val="000000"/>
        </w:rPr>
        <w:t>, pozri časť 6.3.</w:t>
      </w:r>
    </w:p>
    <w:p w14:paraId="14236F2C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E6C9612" w14:textId="77777777" w:rsidR="00C51A9C" w:rsidRPr="001358B9" w:rsidRDefault="00C51A9C" w:rsidP="001358B9">
      <w:pPr>
        <w:widowControl w:val="0"/>
        <w:numPr>
          <w:ilvl w:val="0"/>
          <w:numId w:val="29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Druh obalu a obsah balenia </w:t>
      </w:r>
    </w:p>
    <w:p w14:paraId="16C5F507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355C1C5" w14:textId="4C7E6E35" w:rsidR="00C51A9C" w:rsidRPr="001358B9" w:rsidRDefault="00501C6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>S</w:t>
      </w:r>
      <w:r w:rsidR="00C51A9C" w:rsidRPr="001358B9">
        <w:rPr>
          <w:rFonts w:ascii="Times New Roman" w:hAnsi="Times New Roman"/>
          <w:color w:val="000000"/>
        </w:rPr>
        <w:t>klen</w:t>
      </w:r>
      <w:r w:rsidR="00AF56F4" w:rsidRPr="001358B9">
        <w:rPr>
          <w:rFonts w:ascii="Times New Roman" w:hAnsi="Times New Roman"/>
          <w:color w:val="000000"/>
        </w:rPr>
        <w:t>e</w:t>
      </w:r>
      <w:r w:rsidR="00C51A9C" w:rsidRPr="001358B9">
        <w:rPr>
          <w:rFonts w:ascii="Times New Roman" w:hAnsi="Times New Roman"/>
          <w:color w:val="000000"/>
        </w:rPr>
        <w:t>ná injekčná liekovka typu I s</w:t>
      </w:r>
      <w:r w:rsidRPr="001358B9">
        <w:rPr>
          <w:rFonts w:ascii="Times New Roman" w:hAnsi="Times New Roman"/>
          <w:color w:val="000000"/>
        </w:rPr>
        <w:t xml:space="preserve"> brómbutylovou </w:t>
      </w:r>
      <w:r w:rsidR="00C51A9C" w:rsidRPr="001358B9">
        <w:rPr>
          <w:rFonts w:ascii="Times New Roman" w:hAnsi="Times New Roman"/>
          <w:color w:val="000000"/>
        </w:rPr>
        <w:t xml:space="preserve">gumenou zátkou </w:t>
      </w:r>
      <w:r w:rsidR="00D67969" w:rsidRPr="001358B9">
        <w:rPr>
          <w:rFonts w:ascii="Times New Roman" w:hAnsi="Times New Roman"/>
          <w:color w:val="000000"/>
        </w:rPr>
        <w:t xml:space="preserve">a bielym hliníkovým </w:t>
      </w:r>
      <w:r w:rsidR="00C51A9C" w:rsidRPr="001358B9">
        <w:rPr>
          <w:rFonts w:ascii="Times New Roman" w:hAnsi="Times New Roman"/>
          <w:color w:val="000000"/>
        </w:rPr>
        <w:t>vyklápacím viečkom</w:t>
      </w:r>
      <w:r w:rsidR="00D67969" w:rsidRPr="001358B9">
        <w:rPr>
          <w:rFonts w:ascii="Times New Roman" w:hAnsi="Times New Roman"/>
          <w:color w:val="000000"/>
        </w:rPr>
        <w:t xml:space="preserve"> obsahujúca 500 mg pemetrexedu</w:t>
      </w:r>
      <w:r w:rsidR="00C51A9C" w:rsidRPr="001358B9">
        <w:rPr>
          <w:rFonts w:ascii="Times New Roman" w:hAnsi="Times New Roman"/>
          <w:color w:val="000000"/>
        </w:rPr>
        <w:t>.</w:t>
      </w:r>
    </w:p>
    <w:p w14:paraId="19C00ABA" w14:textId="77777777" w:rsidR="009F2C14" w:rsidRPr="001358B9" w:rsidRDefault="009F2C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768509E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Balenie </w:t>
      </w:r>
      <w:r w:rsidR="00054FE7" w:rsidRPr="001358B9">
        <w:rPr>
          <w:rFonts w:ascii="Times New Roman" w:hAnsi="Times New Roman"/>
          <w:color w:val="000000"/>
        </w:rPr>
        <w:t xml:space="preserve">obsahuje </w:t>
      </w:r>
      <w:r w:rsidRPr="001358B9">
        <w:rPr>
          <w:rFonts w:ascii="Times New Roman" w:hAnsi="Times New Roman"/>
          <w:color w:val="000000"/>
        </w:rPr>
        <w:t>1 injekčn</w:t>
      </w:r>
      <w:r w:rsidR="00054FE7" w:rsidRPr="001358B9">
        <w:rPr>
          <w:rFonts w:ascii="Times New Roman" w:hAnsi="Times New Roman"/>
          <w:color w:val="000000"/>
        </w:rPr>
        <w:t>ú</w:t>
      </w:r>
      <w:r w:rsidR="00664BDE" w:rsidRPr="001358B9">
        <w:rPr>
          <w:rFonts w:ascii="Times New Roman" w:hAnsi="Times New Roman"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>liekovk</w:t>
      </w:r>
      <w:r w:rsidR="00054FE7" w:rsidRPr="001358B9">
        <w:rPr>
          <w:rFonts w:ascii="Times New Roman" w:hAnsi="Times New Roman"/>
          <w:color w:val="000000"/>
        </w:rPr>
        <w:t>u</w:t>
      </w:r>
      <w:r w:rsidRPr="001358B9">
        <w:rPr>
          <w:rFonts w:ascii="Times New Roman" w:hAnsi="Times New Roman"/>
          <w:color w:val="000000"/>
        </w:rPr>
        <w:t>.</w:t>
      </w:r>
    </w:p>
    <w:p w14:paraId="77E9AF70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AFC4735" w14:textId="77777777" w:rsidR="00C51A9C" w:rsidRPr="001358B9" w:rsidRDefault="00C51A9C" w:rsidP="001358B9">
      <w:pPr>
        <w:widowControl w:val="0"/>
        <w:numPr>
          <w:ilvl w:val="0"/>
          <w:numId w:val="30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Špeciálne opatrenia na likvidáciu </w:t>
      </w:r>
      <w:r w:rsidR="00206752" w:rsidRPr="001358B9">
        <w:rPr>
          <w:rFonts w:ascii="Times New Roman" w:hAnsi="Times New Roman"/>
          <w:b/>
          <w:bCs/>
          <w:color w:val="000000"/>
        </w:rPr>
        <w:t>a iné zaobchádzanie s liekom</w:t>
      </w:r>
    </w:p>
    <w:p w14:paraId="1B44AF45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504BCF0" w14:textId="77777777" w:rsidR="00664BDE" w:rsidRPr="001358B9" w:rsidRDefault="00C51A9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420" w:hanging="567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 xml:space="preserve">1. </w:t>
      </w:r>
      <w:r w:rsidR="00664BDE" w:rsidRPr="001358B9">
        <w:rPr>
          <w:rFonts w:ascii="Times New Roman" w:hAnsi="Times New Roman"/>
          <w:color w:val="000000"/>
        </w:rPr>
        <w:tab/>
      </w:r>
      <w:r w:rsidRPr="001358B9">
        <w:rPr>
          <w:rFonts w:ascii="Times New Roman" w:hAnsi="Times New Roman"/>
          <w:color w:val="000000"/>
        </w:rPr>
        <w:t xml:space="preserve">Použite aseptickú techniku počas rekonštitúcie a pri následnom riedení pemetrexedu na podanie </w:t>
      </w:r>
      <w:r w:rsidR="009625A2" w:rsidRPr="001358B9">
        <w:rPr>
          <w:rFonts w:ascii="Times New Roman" w:hAnsi="Times New Roman"/>
          <w:color w:val="000000"/>
        </w:rPr>
        <w:t xml:space="preserve">vo forme </w:t>
      </w:r>
      <w:r w:rsidRPr="001358B9">
        <w:rPr>
          <w:rFonts w:ascii="Times New Roman" w:hAnsi="Times New Roman"/>
          <w:color w:val="000000"/>
        </w:rPr>
        <w:t>intravenóznej infúzie.</w:t>
      </w:r>
      <w:bookmarkStart w:id="14" w:name="page23"/>
      <w:bookmarkEnd w:id="14"/>
      <w:r w:rsidR="00850727" w:rsidRPr="001358B9">
        <w:rPr>
          <w:rFonts w:ascii="Times New Roman" w:hAnsi="Times New Roman"/>
          <w:color w:val="000000"/>
        </w:rPr>
        <w:t xml:space="preserve"> </w:t>
      </w:r>
    </w:p>
    <w:p w14:paraId="11D118FC" w14:textId="77777777" w:rsidR="00664BDE" w:rsidRPr="001358B9" w:rsidRDefault="00664BDE">
      <w:pPr>
        <w:widowControl w:val="0"/>
        <w:tabs>
          <w:tab w:val="left" w:pos="142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420" w:hanging="567"/>
        <w:rPr>
          <w:rFonts w:ascii="Times New Roman" w:hAnsi="Times New Roman"/>
          <w:color w:val="000000"/>
        </w:rPr>
      </w:pPr>
    </w:p>
    <w:p w14:paraId="1DB82E33" w14:textId="76F16F24" w:rsidR="00C51A9C" w:rsidRPr="001358B9" w:rsidRDefault="00C51A9C" w:rsidP="001358B9">
      <w:pPr>
        <w:pStyle w:val="Odsekzoznamu"/>
        <w:widowControl w:val="0"/>
        <w:numPr>
          <w:ilvl w:val="0"/>
          <w:numId w:val="31"/>
        </w:numPr>
        <w:tabs>
          <w:tab w:val="clear" w:pos="72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420" w:hanging="567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 xml:space="preserve">Vypočítajte dávku a počet potrebných injekčných liekoviek </w:t>
      </w:r>
      <w:r w:rsidR="00A4702B" w:rsidRPr="001358B9">
        <w:rPr>
          <w:rFonts w:ascii="Times New Roman" w:hAnsi="Times New Roman"/>
          <w:color w:val="000000"/>
        </w:rPr>
        <w:t>Pemetrexedu Pharmevid</w:t>
      </w:r>
      <w:r w:rsidRPr="001358B9">
        <w:rPr>
          <w:rFonts w:ascii="Times New Roman" w:hAnsi="Times New Roman"/>
          <w:color w:val="000000"/>
        </w:rPr>
        <w:t xml:space="preserve">. Každá injekčná liekovka obsahuje väčšie množstvo pemetrexedu na uľahčenie prenosu označenej dávky. </w:t>
      </w:r>
    </w:p>
    <w:p w14:paraId="3DD12C46" w14:textId="77777777" w:rsidR="00C51A9C" w:rsidRPr="001358B9" w:rsidRDefault="00C51A9C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</w:p>
    <w:p w14:paraId="1C9C59CA" w14:textId="35C05589" w:rsidR="00C51A9C" w:rsidRPr="001358B9" w:rsidRDefault="00A4702B" w:rsidP="001358B9">
      <w:pPr>
        <w:widowControl w:val="0"/>
        <w:numPr>
          <w:ilvl w:val="0"/>
          <w:numId w:val="3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140" w:hanging="567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>Rekonštituujte 5</w:t>
      </w:r>
      <w:r w:rsidR="00C51A9C" w:rsidRPr="001358B9">
        <w:rPr>
          <w:rFonts w:ascii="Times New Roman" w:hAnsi="Times New Roman"/>
          <w:color w:val="000000"/>
        </w:rPr>
        <w:t xml:space="preserve">00 mg injekčnú liekovku pridaním </w:t>
      </w:r>
      <w:r w:rsidRPr="001358B9">
        <w:rPr>
          <w:rFonts w:ascii="Times New Roman" w:hAnsi="Times New Roman"/>
          <w:color w:val="000000"/>
        </w:rPr>
        <w:t>20</w:t>
      </w:r>
      <w:r w:rsidR="00C51A9C" w:rsidRPr="001358B9">
        <w:rPr>
          <w:rFonts w:ascii="Times New Roman" w:hAnsi="Times New Roman"/>
          <w:color w:val="000000"/>
        </w:rPr>
        <w:t xml:space="preserve"> ml 0,9 % injekčného roztoku chloridu </w:t>
      </w:r>
      <w:r w:rsidR="00C51A9C" w:rsidRPr="001358B9">
        <w:rPr>
          <w:rFonts w:ascii="Times New Roman" w:hAnsi="Times New Roman"/>
          <w:color w:val="000000"/>
        </w:rPr>
        <w:lastRenderedPageBreak/>
        <w:t>sodného (9 mg/ml) bez použitia konzervačných prísad, čím vznikne roztok obsahujúci 25</w:t>
      </w:r>
      <w:r w:rsidR="00664BDE" w:rsidRPr="001358B9">
        <w:rPr>
          <w:rFonts w:ascii="Times New Roman" w:hAnsi="Times New Roman"/>
          <w:color w:val="000000"/>
        </w:rPr>
        <w:t> </w:t>
      </w:r>
      <w:r w:rsidR="00C51A9C" w:rsidRPr="001358B9">
        <w:rPr>
          <w:rFonts w:ascii="Times New Roman" w:hAnsi="Times New Roman"/>
          <w:color w:val="000000"/>
        </w:rPr>
        <w:t xml:space="preserve">mg/ml pemetrexedu. Pohybujte jemným krúživým pohybom každou injekčnou liekovkou až </w:t>
      </w:r>
      <w:r w:rsidR="007D0269" w:rsidRPr="001358B9">
        <w:rPr>
          <w:rFonts w:ascii="Times New Roman" w:hAnsi="Times New Roman"/>
          <w:color w:val="000000"/>
        </w:rPr>
        <w:t>pokiaľ</w:t>
      </w:r>
      <w:r w:rsidR="00C51A9C" w:rsidRPr="001358B9">
        <w:rPr>
          <w:rFonts w:ascii="Times New Roman" w:hAnsi="Times New Roman"/>
          <w:color w:val="000000"/>
        </w:rPr>
        <w:t xml:space="preserve"> sa prášok úplne rozpustí. Výsledný roztok je číry</w:t>
      </w:r>
      <w:r w:rsidR="00423160" w:rsidRPr="001358B9">
        <w:rPr>
          <w:rFonts w:ascii="Times New Roman" w:hAnsi="Times New Roman"/>
          <w:color w:val="000000"/>
        </w:rPr>
        <w:t xml:space="preserve">, </w:t>
      </w:r>
      <w:r w:rsidR="00C51A9C" w:rsidRPr="001358B9">
        <w:rPr>
          <w:rFonts w:ascii="Times New Roman" w:hAnsi="Times New Roman"/>
          <w:color w:val="000000"/>
        </w:rPr>
        <w:t>bezfarebn</w:t>
      </w:r>
      <w:r w:rsidR="00423160" w:rsidRPr="001358B9">
        <w:rPr>
          <w:rFonts w:ascii="Times New Roman" w:hAnsi="Times New Roman"/>
          <w:color w:val="000000"/>
        </w:rPr>
        <w:t>ý alebo</w:t>
      </w:r>
      <w:r w:rsidR="00C51A9C" w:rsidRPr="001358B9">
        <w:rPr>
          <w:rFonts w:ascii="Times New Roman" w:hAnsi="Times New Roman"/>
          <w:color w:val="000000"/>
        </w:rPr>
        <w:t xml:space="preserve"> žl</w:t>
      </w:r>
      <w:r w:rsidR="002A2490" w:rsidRPr="001358B9">
        <w:rPr>
          <w:rFonts w:ascii="Times New Roman" w:hAnsi="Times New Roman"/>
          <w:color w:val="000000"/>
        </w:rPr>
        <w:t>to</w:t>
      </w:r>
      <w:r w:rsidR="00C51A9C" w:rsidRPr="001358B9">
        <w:rPr>
          <w:rFonts w:ascii="Times New Roman" w:hAnsi="Times New Roman"/>
          <w:color w:val="000000"/>
        </w:rPr>
        <w:t xml:space="preserve"> </w:t>
      </w:r>
      <w:r w:rsidR="00664BDE" w:rsidRPr="001358B9">
        <w:rPr>
          <w:rFonts w:ascii="Times New Roman" w:hAnsi="Times New Roman"/>
          <w:color w:val="000000"/>
        </w:rPr>
        <w:t>alebo zelenožlt</w:t>
      </w:r>
      <w:r w:rsidR="002A2490" w:rsidRPr="001358B9">
        <w:rPr>
          <w:rFonts w:ascii="Times New Roman" w:hAnsi="Times New Roman"/>
          <w:color w:val="000000"/>
        </w:rPr>
        <w:t>o alebo hnedožlto</w:t>
      </w:r>
      <w:r w:rsidR="00647D53" w:rsidRPr="001358B9">
        <w:rPr>
          <w:rFonts w:ascii="Times New Roman" w:hAnsi="Times New Roman"/>
          <w:color w:val="000000"/>
        </w:rPr>
        <w:t xml:space="preserve"> zafar</w:t>
      </w:r>
      <w:r w:rsidR="00423160" w:rsidRPr="001358B9">
        <w:rPr>
          <w:rFonts w:ascii="Times New Roman" w:hAnsi="Times New Roman"/>
          <w:color w:val="000000"/>
        </w:rPr>
        <w:t>b</w:t>
      </w:r>
      <w:r w:rsidR="00647D53" w:rsidRPr="001358B9">
        <w:rPr>
          <w:rFonts w:ascii="Times New Roman" w:hAnsi="Times New Roman"/>
          <w:color w:val="000000"/>
        </w:rPr>
        <w:t>e</w:t>
      </w:r>
      <w:r w:rsidR="00423160" w:rsidRPr="001358B9">
        <w:rPr>
          <w:rFonts w:ascii="Times New Roman" w:hAnsi="Times New Roman"/>
          <w:color w:val="000000"/>
        </w:rPr>
        <w:t>ný roztok</w:t>
      </w:r>
      <w:r w:rsidR="00C51A9C" w:rsidRPr="001358B9">
        <w:rPr>
          <w:rFonts w:ascii="Times New Roman" w:hAnsi="Times New Roman"/>
          <w:color w:val="000000"/>
        </w:rPr>
        <w:t xml:space="preserve">. pH </w:t>
      </w:r>
      <w:r w:rsidR="00355158" w:rsidRPr="001358B9">
        <w:rPr>
          <w:rFonts w:ascii="Times New Roman" w:hAnsi="Times New Roman"/>
          <w:color w:val="000000"/>
        </w:rPr>
        <w:t>rekonštituova</w:t>
      </w:r>
      <w:r w:rsidR="00C51A9C" w:rsidRPr="001358B9">
        <w:rPr>
          <w:rFonts w:ascii="Times New Roman" w:hAnsi="Times New Roman"/>
          <w:color w:val="000000"/>
        </w:rPr>
        <w:t xml:space="preserve">ného roztoku je medzi 6,6 a 7,8. </w:t>
      </w:r>
      <w:r w:rsidR="00C51A9C" w:rsidRPr="001358B9">
        <w:rPr>
          <w:rFonts w:ascii="Times New Roman" w:hAnsi="Times New Roman"/>
          <w:b/>
          <w:bCs/>
          <w:color w:val="000000"/>
        </w:rPr>
        <w:t>Potrebné je ďalšie riedenie.</w:t>
      </w:r>
      <w:r w:rsidR="00C51A9C" w:rsidRPr="001358B9">
        <w:rPr>
          <w:rFonts w:ascii="Times New Roman" w:hAnsi="Times New Roman"/>
          <w:color w:val="000000"/>
        </w:rPr>
        <w:t xml:space="preserve"> </w:t>
      </w:r>
    </w:p>
    <w:p w14:paraId="269D6FAA" w14:textId="77777777" w:rsidR="00C51A9C" w:rsidRPr="001358B9" w:rsidRDefault="00C51A9C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0D1A0FB" w14:textId="2E9E29E2" w:rsidR="00C51A9C" w:rsidRPr="001358B9" w:rsidRDefault="00C51A9C" w:rsidP="001358B9">
      <w:pPr>
        <w:widowControl w:val="0"/>
        <w:numPr>
          <w:ilvl w:val="0"/>
          <w:numId w:val="3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>Príslušný objem rekonštituovaného roztoku pemetrexedu sa musí ďalej riediť na 100 ml s 0,9</w:t>
      </w:r>
      <w:r w:rsidR="00B6357C" w:rsidRPr="001358B9">
        <w:rPr>
          <w:rFonts w:ascii="Times New Roman" w:hAnsi="Times New Roman"/>
          <w:color w:val="000000"/>
        </w:rPr>
        <w:t> </w:t>
      </w:r>
      <w:r w:rsidRPr="001358B9">
        <w:rPr>
          <w:rFonts w:ascii="Times New Roman" w:hAnsi="Times New Roman"/>
          <w:color w:val="000000"/>
        </w:rPr>
        <w:t xml:space="preserve">% injekčným roztokom chloridu sodného (9 mg/ml) bez použitia konzervačných prísad a podať ako intravenózna infúzia počas 10 minút. </w:t>
      </w:r>
    </w:p>
    <w:p w14:paraId="051976F5" w14:textId="77777777" w:rsidR="00C51A9C" w:rsidRPr="001358B9" w:rsidRDefault="00C51A9C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</w:p>
    <w:p w14:paraId="3CF54A34" w14:textId="77777777" w:rsidR="00C51A9C" w:rsidRPr="001358B9" w:rsidRDefault="00C51A9C" w:rsidP="001358B9">
      <w:pPr>
        <w:widowControl w:val="0"/>
        <w:numPr>
          <w:ilvl w:val="0"/>
          <w:numId w:val="31"/>
        </w:numPr>
        <w:tabs>
          <w:tab w:val="clear" w:pos="72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 xml:space="preserve">Infúzne roztoky s pemetrexedom pripravené podľa vyššie uvedeného návodu sú kompatibilné s polyvinylchloridovými a polyolefínovými infúznymi setmi a infúznymi vakmi. </w:t>
      </w:r>
    </w:p>
    <w:p w14:paraId="292C90E1" w14:textId="77777777" w:rsidR="00C51A9C" w:rsidRPr="001358B9" w:rsidRDefault="00C51A9C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</w:p>
    <w:p w14:paraId="2DBED61D" w14:textId="77777777" w:rsidR="00C51A9C" w:rsidRPr="001358B9" w:rsidRDefault="00C51A9C" w:rsidP="001358B9">
      <w:pPr>
        <w:widowControl w:val="0"/>
        <w:numPr>
          <w:ilvl w:val="0"/>
          <w:numId w:val="3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 xml:space="preserve">Lieky na parenterálnu aplikáciu sa musia pred aplikáciou vizuálne kontrolovať na prítomnosť drobných častíc a zmenu farby. V prípade prítomnosti drobných častíc neaplikujte. </w:t>
      </w:r>
    </w:p>
    <w:p w14:paraId="0D28F03A" w14:textId="77777777" w:rsidR="00C51A9C" w:rsidRPr="001358B9" w:rsidRDefault="00C51A9C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</w:p>
    <w:p w14:paraId="7694A4CD" w14:textId="5EE38570" w:rsidR="00C51A9C" w:rsidRPr="001358B9" w:rsidRDefault="00C51A9C" w:rsidP="001358B9">
      <w:pPr>
        <w:widowControl w:val="0"/>
        <w:numPr>
          <w:ilvl w:val="0"/>
          <w:numId w:val="31"/>
        </w:numPr>
        <w:tabs>
          <w:tab w:val="clear" w:pos="72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>Roztok</w:t>
      </w:r>
      <w:r w:rsidR="00B6357C" w:rsidRPr="001358B9">
        <w:rPr>
          <w:rFonts w:ascii="Times New Roman" w:hAnsi="Times New Roman"/>
          <w:color w:val="000000"/>
        </w:rPr>
        <w:t>y</w:t>
      </w:r>
      <w:r w:rsidRPr="001358B9">
        <w:rPr>
          <w:rFonts w:ascii="Times New Roman" w:hAnsi="Times New Roman"/>
          <w:color w:val="000000"/>
        </w:rPr>
        <w:t xml:space="preserve"> pemetrexedu </w:t>
      </w:r>
      <w:r w:rsidR="00B6357C" w:rsidRPr="001358B9">
        <w:rPr>
          <w:rFonts w:ascii="Times New Roman" w:hAnsi="Times New Roman"/>
          <w:color w:val="000000"/>
        </w:rPr>
        <w:t>sú</w:t>
      </w:r>
      <w:r w:rsidRPr="001358B9">
        <w:rPr>
          <w:rFonts w:ascii="Times New Roman" w:hAnsi="Times New Roman"/>
          <w:color w:val="000000"/>
        </w:rPr>
        <w:t xml:space="preserve"> určen</w:t>
      </w:r>
      <w:r w:rsidR="00B6357C" w:rsidRPr="001358B9">
        <w:rPr>
          <w:rFonts w:ascii="Times New Roman" w:hAnsi="Times New Roman"/>
          <w:color w:val="000000"/>
        </w:rPr>
        <w:t>é</w:t>
      </w:r>
      <w:r w:rsidRPr="001358B9">
        <w:rPr>
          <w:rFonts w:ascii="Times New Roman" w:hAnsi="Times New Roman"/>
          <w:color w:val="000000"/>
        </w:rPr>
        <w:t xml:space="preserve"> len na jedno</w:t>
      </w:r>
      <w:r w:rsidR="00B6357C" w:rsidRPr="001358B9">
        <w:rPr>
          <w:rFonts w:ascii="Times New Roman" w:hAnsi="Times New Roman"/>
          <w:color w:val="000000"/>
        </w:rPr>
        <w:t>razové</w:t>
      </w:r>
      <w:r w:rsidRPr="001358B9">
        <w:rPr>
          <w:rFonts w:ascii="Times New Roman" w:hAnsi="Times New Roman"/>
          <w:color w:val="000000"/>
        </w:rPr>
        <w:t xml:space="preserve"> použitie. Všetok nepoužitý liek alebo odpad vzniknutý z lieku sa má zlikvidovať v súlade s národnými požiadavkami. </w:t>
      </w:r>
    </w:p>
    <w:p w14:paraId="3F835478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4C4D25" w14:textId="598305BC" w:rsidR="00C51A9C" w:rsidRPr="001358B9" w:rsidRDefault="00C5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Bezpečnostné opatrenia pri príprave a podávaní lieku: </w:t>
      </w:r>
      <w:r w:rsidRPr="001358B9">
        <w:rPr>
          <w:rFonts w:ascii="Times New Roman" w:hAnsi="Times New Roman"/>
          <w:color w:val="000000"/>
        </w:rPr>
        <w:t>Tak ako u iných potenciálne toxických</w:t>
      </w:r>
      <w:r w:rsidRPr="001358B9">
        <w:rPr>
          <w:rFonts w:ascii="Times New Roman" w:hAnsi="Times New Roman"/>
          <w:b/>
          <w:bCs/>
          <w:color w:val="000000"/>
        </w:rPr>
        <w:t xml:space="preserve"> </w:t>
      </w:r>
      <w:r w:rsidRPr="001358B9">
        <w:rPr>
          <w:rFonts w:ascii="Times New Roman" w:hAnsi="Times New Roman"/>
          <w:color w:val="000000"/>
        </w:rPr>
        <w:t>protinádorových liekov, sa musí s infúznymi roztokmi pemetrexedu zaobchádzať starostlivo. Pri ich príprave sa odporúča použitie rukavíc. Ak sa roztok dostane do kontaktu s kožou, umyte kožu ihneď a dôkladne mydlom a vodou. Ak sa roztok</w:t>
      </w:r>
      <w:r w:rsidR="00BD4ECD" w:rsidRPr="001358B9">
        <w:rPr>
          <w:rFonts w:ascii="Times New Roman" w:hAnsi="Times New Roman"/>
          <w:color w:val="000000"/>
        </w:rPr>
        <w:t>y</w:t>
      </w:r>
      <w:r w:rsidRPr="001358B9">
        <w:rPr>
          <w:rFonts w:ascii="Times New Roman" w:hAnsi="Times New Roman"/>
          <w:color w:val="000000"/>
        </w:rPr>
        <w:t xml:space="preserve"> pemetrexedu dostan</w:t>
      </w:r>
      <w:r w:rsidR="005D0C7F" w:rsidRPr="001358B9">
        <w:rPr>
          <w:rFonts w:ascii="Times New Roman" w:hAnsi="Times New Roman"/>
          <w:color w:val="000000"/>
        </w:rPr>
        <w:t>ú</w:t>
      </w:r>
      <w:r w:rsidRPr="001358B9">
        <w:rPr>
          <w:rFonts w:ascii="Times New Roman" w:hAnsi="Times New Roman"/>
          <w:color w:val="000000"/>
        </w:rPr>
        <w:t xml:space="preserve"> do kontaktu so sliznicami, prepláchnite sliznice dôkladne vodou. Pemetrexed nie je vezikancium. V prípade </w:t>
      </w:r>
      <w:r w:rsidR="00147CF6" w:rsidRPr="001358B9">
        <w:rPr>
          <w:rFonts w:ascii="Times New Roman" w:hAnsi="Times New Roman"/>
          <w:color w:val="000000"/>
        </w:rPr>
        <w:t xml:space="preserve">extravazácie </w:t>
      </w:r>
      <w:r w:rsidRPr="001358B9">
        <w:rPr>
          <w:rFonts w:ascii="Times New Roman" w:hAnsi="Times New Roman"/>
          <w:color w:val="000000"/>
        </w:rPr>
        <w:t xml:space="preserve">pemetrexedu neexistuje špecifické antidotum. Bolo </w:t>
      </w:r>
      <w:r w:rsidR="00147CF6" w:rsidRPr="001358B9">
        <w:rPr>
          <w:rFonts w:ascii="Times New Roman" w:hAnsi="Times New Roman"/>
          <w:color w:val="000000"/>
        </w:rPr>
        <w:t>hláse</w:t>
      </w:r>
      <w:r w:rsidRPr="001358B9">
        <w:rPr>
          <w:rFonts w:ascii="Times New Roman" w:hAnsi="Times New Roman"/>
          <w:color w:val="000000"/>
        </w:rPr>
        <w:t xml:space="preserve">ných pár prípadov </w:t>
      </w:r>
      <w:r w:rsidR="00147CF6" w:rsidRPr="001358B9">
        <w:rPr>
          <w:rFonts w:ascii="Times New Roman" w:hAnsi="Times New Roman"/>
          <w:color w:val="000000"/>
        </w:rPr>
        <w:t xml:space="preserve">extravazácie </w:t>
      </w:r>
      <w:r w:rsidRPr="001358B9">
        <w:rPr>
          <w:rFonts w:ascii="Times New Roman" w:hAnsi="Times New Roman"/>
          <w:color w:val="000000"/>
        </w:rPr>
        <w:t xml:space="preserve">pemetrexedu, ktoré hodnotiaci lekár nepovažoval za závažné. </w:t>
      </w:r>
      <w:r w:rsidR="00147CF6" w:rsidRPr="001358B9">
        <w:rPr>
          <w:rFonts w:ascii="Times New Roman" w:hAnsi="Times New Roman"/>
          <w:color w:val="000000"/>
        </w:rPr>
        <w:t>Extravazácia</w:t>
      </w:r>
      <w:r w:rsidRPr="001358B9">
        <w:rPr>
          <w:rFonts w:ascii="Times New Roman" w:hAnsi="Times New Roman"/>
          <w:color w:val="000000"/>
        </w:rPr>
        <w:t xml:space="preserve"> m</w:t>
      </w:r>
      <w:r w:rsidR="00D3671A" w:rsidRPr="001358B9">
        <w:rPr>
          <w:rFonts w:ascii="Times New Roman" w:hAnsi="Times New Roman"/>
          <w:color w:val="000000"/>
        </w:rPr>
        <w:t>á</w:t>
      </w:r>
      <w:r w:rsidRPr="001358B9">
        <w:rPr>
          <w:rFonts w:ascii="Times New Roman" w:hAnsi="Times New Roman"/>
          <w:color w:val="000000"/>
        </w:rPr>
        <w:t xml:space="preserve"> byť liečen</w:t>
      </w:r>
      <w:r w:rsidR="00147CF6" w:rsidRPr="001358B9">
        <w:rPr>
          <w:rFonts w:ascii="Times New Roman" w:hAnsi="Times New Roman"/>
          <w:color w:val="000000"/>
        </w:rPr>
        <w:t>á</w:t>
      </w:r>
      <w:r w:rsidRPr="001358B9">
        <w:rPr>
          <w:rFonts w:ascii="Times New Roman" w:hAnsi="Times New Roman"/>
          <w:color w:val="000000"/>
        </w:rPr>
        <w:t xml:space="preserve"> miestnymi štandardnými postupmi ako u iných nevezikancií.</w:t>
      </w:r>
    </w:p>
    <w:p w14:paraId="06385E36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B82E1F5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7235184" w14:textId="77777777" w:rsidR="00C51A9C" w:rsidRPr="001358B9" w:rsidRDefault="00C51A9C" w:rsidP="001358B9">
      <w:pPr>
        <w:widowControl w:val="0"/>
        <w:numPr>
          <w:ilvl w:val="0"/>
          <w:numId w:val="3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DRŽITEĽ ROZHODNUTIA O REGISTRÁCII </w:t>
      </w:r>
    </w:p>
    <w:p w14:paraId="10FB02CF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C694D4B" w14:textId="77777777" w:rsidR="00267431" w:rsidRPr="001358B9" w:rsidRDefault="002674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>Pharmevid s.r.o.</w:t>
      </w:r>
    </w:p>
    <w:p w14:paraId="65E99F3A" w14:textId="77777777" w:rsidR="00912919" w:rsidRPr="001358B9" w:rsidRDefault="002674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>Kremnická 26</w:t>
      </w:r>
    </w:p>
    <w:p w14:paraId="45720841" w14:textId="127FD44B" w:rsidR="00912919" w:rsidRPr="001358B9" w:rsidRDefault="002674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>851 01 Bratislava</w:t>
      </w:r>
    </w:p>
    <w:p w14:paraId="4D473AF2" w14:textId="4CFFF04D" w:rsidR="00267431" w:rsidRPr="001358B9" w:rsidRDefault="002674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</w:rPr>
        <w:t>Slovenská republika</w:t>
      </w:r>
    </w:p>
    <w:p w14:paraId="4DB5E9FB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58B9">
        <w:rPr>
          <w:rFonts w:ascii="Times New Roman" w:hAnsi="Times New Roman"/>
          <w:color w:val="000000"/>
        </w:rPr>
        <w:t xml:space="preserve"> </w:t>
      </w:r>
    </w:p>
    <w:p w14:paraId="56DE313A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5135F41" w14:textId="77777777" w:rsidR="00C51A9C" w:rsidRPr="001358B9" w:rsidRDefault="00C51A9C" w:rsidP="001358B9">
      <w:pPr>
        <w:widowControl w:val="0"/>
        <w:numPr>
          <w:ilvl w:val="0"/>
          <w:numId w:val="33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REGISTRAČNÉ ČÍSLO </w:t>
      </w:r>
    </w:p>
    <w:p w14:paraId="733A0AA4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8814668" w14:textId="77777777" w:rsidR="00670238" w:rsidRPr="001358B9" w:rsidRDefault="006702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358B9">
        <w:rPr>
          <w:rFonts w:ascii="Times New Roman" w:hAnsi="Times New Roman"/>
          <w:color w:val="000000"/>
        </w:rPr>
        <w:t>44/0147/16-S</w:t>
      </w:r>
      <w:r w:rsidRPr="001358B9" w:rsidDel="00670238">
        <w:rPr>
          <w:rFonts w:ascii="Times New Roman" w:hAnsi="Times New Roman"/>
          <w:color w:val="000000"/>
        </w:rPr>
        <w:t xml:space="preserve"> </w:t>
      </w:r>
    </w:p>
    <w:p w14:paraId="739D7A6E" w14:textId="77777777" w:rsidR="00AA67B4" w:rsidRPr="001358B9" w:rsidRDefault="00AA67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B6ECD56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4C85FE4" w14:textId="77777777" w:rsidR="00C51A9C" w:rsidRPr="001358B9" w:rsidRDefault="00C51A9C" w:rsidP="001358B9">
      <w:pPr>
        <w:widowControl w:val="0"/>
        <w:numPr>
          <w:ilvl w:val="0"/>
          <w:numId w:val="3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DÁTUM PRVEJ REGISTRÁCIE/PREDĹŽENIA REGISTRÁCIE </w:t>
      </w:r>
    </w:p>
    <w:p w14:paraId="76138D35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671D3339" w14:textId="10F3A325" w:rsidR="00C51A9C" w:rsidRPr="001358B9" w:rsidRDefault="00FF5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1358B9">
        <w:rPr>
          <w:rFonts w:ascii="Times New Roman" w:hAnsi="Times New Roman"/>
          <w:bCs/>
          <w:color w:val="000000"/>
        </w:rPr>
        <w:t>Dátum prvej registrácie:</w:t>
      </w:r>
      <w:r w:rsidR="00BC7A80">
        <w:rPr>
          <w:rFonts w:ascii="Times New Roman" w:hAnsi="Times New Roman"/>
          <w:bCs/>
          <w:color w:val="000000"/>
        </w:rPr>
        <w:t xml:space="preserve"> 17.</w:t>
      </w:r>
      <w:r w:rsidR="00717C22">
        <w:rPr>
          <w:rFonts w:ascii="Times New Roman" w:hAnsi="Times New Roman"/>
          <w:bCs/>
          <w:color w:val="000000"/>
        </w:rPr>
        <w:t xml:space="preserve"> marca </w:t>
      </w:r>
      <w:r w:rsidR="00BC7A80">
        <w:rPr>
          <w:rFonts w:ascii="Times New Roman" w:hAnsi="Times New Roman"/>
          <w:bCs/>
          <w:color w:val="000000"/>
        </w:rPr>
        <w:t>2016</w:t>
      </w:r>
    </w:p>
    <w:p w14:paraId="6642ED0B" w14:textId="77777777" w:rsidR="00FF594D" w:rsidRPr="001358B9" w:rsidRDefault="00FF5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308CA8F2" w14:textId="77777777" w:rsidR="00FF594D" w:rsidRPr="001358B9" w:rsidRDefault="00FF5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1F3A1F9C" w14:textId="77777777" w:rsidR="00C51A9C" w:rsidRPr="001358B9" w:rsidRDefault="00C51A9C" w:rsidP="001358B9">
      <w:pPr>
        <w:widowControl w:val="0"/>
        <w:numPr>
          <w:ilvl w:val="0"/>
          <w:numId w:val="3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1358B9">
        <w:rPr>
          <w:rFonts w:ascii="Times New Roman" w:hAnsi="Times New Roman"/>
          <w:b/>
          <w:bCs/>
          <w:color w:val="000000"/>
        </w:rPr>
        <w:t xml:space="preserve">DÁTUM REVÍZIE TEXTU </w:t>
      </w:r>
    </w:p>
    <w:p w14:paraId="13DB7965" w14:textId="77777777" w:rsidR="00C51A9C" w:rsidRPr="001358B9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5CCC35F" w14:textId="75470045" w:rsidR="009D42D0" w:rsidRPr="001358B9" w:rsidRDefault="00973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0</w:t>
      </w:r>
      <w:r w:rsidR="0013179D">
        <w:rPr>
          <w:rFonts w:ascii="Times New Roman" w:hAnsi="Times New Roman"/>
        </w:rPr>
        <w:t>6</w:t>
      </w:r>
      <w:bookmarkStart w:id="15" w:name="_GoBack"/>
      <w:bookmarkEnd w:id="15"/>
      <w:r w:rsidR="009D42D0" w:rsidRPr="001358B9">
        <w:rPr>
          <w:rFonts w:ascii="Times New Roman" w:hAnsi="Times New Roman"/>
        </w:rPr>
        <w:t>/201</w:t>
      </w:r>
      <w:r w:rsidR="00717C22">
        <w:rPr>
          <w:rFonts w:ascii="Times New Roman" w:hAnsi="Times New Roman"/>
        </w:rPr>
        <w:t>8</w:t>
      </w:r>
    </w:p>
    <w:p w14:paraId="7B700FBD" w14:textId="77777777" w:rsidR="002D0AAD" w:rsidRPr="001358B9" w:rsidRDefault="002D0AAD">
      <w:pPr>
        <w:spacing w:line="240" w:lineRule="auto"/>
        <w:rPr>
          <w:rFonts w:ascii="Times New Roman" w:hAnsi="Times New Roman"/>
        </w:rPr>
      </w:pPr>
    </w:p>
    <w:sectPr w:rsidR="002D0AAD" w:rsidRPr="001358B9" w:rsidSect="007A433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9EEED" w14:textId="77777777" w:rsidR="00461A52" w:rsidRDefault="00461A52" w:rsidP="003F3514">
      <w:pPr>
        <w:spacing w:after="0" w:line="240" w:lineRule="auto"/>
      </w:pPr>
      <w:r>
        <w:separator/>
      </w:r>
    </w:p>
  </w:endnote>
  <w:endnote w:type="continuationSeparator" w:id="0">
    <w:p w14:paraId="1C1A5D2F" w14:textId="77777777" w:rsidR="00461A52" w:rsidRDefault="00461A52" w:rsidP="003F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609890"/>
      <w:docPartObj>
        <w:docPartGallery w:val="Page Numbers (Bottom of Page)"/>
        <w:docPartUnique/>
      </w:docPartObj>
    </w:sdtPr>
    <w:sdtEndPr/>
    <w:sdtContent>
      <w:p w14:paraId="00F1585F" w14:textId="77777777" w:rsidR="00267431" w:rsidRDefault="00267431">
        <w:pPr>
          <w:pStyle w:val="Pta"/>
          <w:jc w:val="center"/>
        </w:pPr>
        <w:r w:rsidRPr="008018EA">
          <w:rPr>
            <w:rFonts w:ascii="Times New Roman" w:hAnsi="Times New Roman"/>
            <w:sz w:val="18"/>
            <w:szCs w:val="18"/>
          </w:rPr>
          <w:fldChar w:fldCharType="begin"/>
        </w:r>
        <w:r w:rsidRPr="008018EA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8018EA">
          <w:rPr>
            <w:rFonts w:ascii="Times New Roman" w:hAnsi="Times New Roman"/>
            <w:sz w:val="18"/>
            <w:szCs w:val="18"/>
          </w:rPr>
          <w:fldChar w:fldCharType="separate"/>
        </w:r>
        <w:r w:rsidR="00E5358A">
          <w:rPr>
            <w:rFonts w:ascii="Times New Roman" w:hAnsi="Times New Roman"/>
            <w:noProof/>
            <w:sz w:val="18"/>
            <w:szCs w:val="18"/>
          </w:rPr>
          <w:t>22</w:t>
        </w:r>
        <w:r w:rsidRPr="008018EA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45D7DC73" w14:textId="77777777" w:rsidR="00267431" w:rsidRDefault="0026743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935CE" w14:textId="77777777" w:rsidR="00267431" w:rsidRPr="0052173C" w:rsidRDefault="00267431" w:rsidP="0052173C">
    <w:pPr>
      <w:pStyle w:val="Pta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9AB3C" w14:textId="77777777" w:rsidR="00461A52" w:rsidRDefault="00461A52" w:rsidP="003F3514">
      <w:pPr>
        <w:spacing w:after="0" w:line="240" w:lineRule="auto"/>
      </w:pPr>
      <w:r>
        <w:separator/>
      </w:r>
    </w:p>
  </w:footnote>
  <w:footnote w:type="continuationSeparator" w:id="0">
    <w:p w14:paraId="5C5A1029" w14:textId="77777777" w:rsidR="00461A52" w:rsidRDefault="00461A52" w:rsidP="003F3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95BD0" w14:textId="5802D870" w:rsidR="007A4335" w:rsidRPr="0052173C" w:rsidRDefault="007A4335" w:rsidP="007A4335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č.1 k notifikácii o zmene</w:t>
    </w:r>
    <w:r w:rsidRPr="0052173C">
      <w:rPr>
        <w:rFonts w:ascii="Times New Roman" w:hAnsi="Times New Roman"/>
        <w:sz w:val="18"/>
        <w:szCs w:val="18"/>
      </w:rPr>
      <w:t>, ev. č.: 201</w:t>
    </w:r>
    <w:r>
      <w:rPr>
        <w:rFonts w:ascii="Times New Roman" w:hAnsi="Times New Roman"/>
        <w:sz w:val="18"/>
        <w:szCs w:val="18"/>
      </w:rPr>
      <w:t>8</w:t>
    </w:r>
    <w:r w:rsidRPr="0052173C">
      <w:rPr>
        <w:rFonts w:ascii="Times New Roman" w:hAnsi="Times New Roman"/>
        <w:sz w:val="18"/>
        <w:szCs w:val="18"/>
      </w:rPr>
      <w:t>/0</w:t>
    </w:r>
    <w:r w:rsidR="00373440">
      <w:rPr>
        <w:rFonts w:ascii="Times New Roman" w:hAnsi="Times New Roman"/>
        <w:sz w:val="18"/>
        <w:szCs w:val="18"/>
      </w:rPr>
      <w:t>1483-Z1A</w:t>
    </w:r>
  </w:p>
  <w:p w14:paraId="379886C9" w14:textId="77777777" w:rsidR="007A4335" w:rsidRDefault="007A433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6D3D2" w14:textId="6F294C0F" w:rsidR="00267431" w:rsidRPr="0052173C" w:rsidRDefault="00BC7A80" w:rsidP="0052173C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č.1 k notifikácii o zmene</w:t>
    </w:r>
    <w:r w:rsidR="00267431" w:rsidRPr="0052173C">
      <w:rPr>
        <w:rFonts w:ascii="Times New Roman" w:hAnsi="Times New Roman"/>
        <w:sz w:val="18"/>
        <w:szCs w:val="18"/>
      </w:rPr>
      <w:t>, ev. č.: 201</w:t>
    </w:r>
    <w:r>
      <w:rPr>
        <w:rFonts w:ascii="Times New Roman" w:hAnsi="Times New Roman"/>
        <w:sz w:val="18"/>
        <w:szCs w:val="18"/>
      </w:rPr>
      <w:t>6</w:t>
    </w:r>
    <w:r w:rsidR="00267431" w:rsidRPr="0052173C">
      <w:rPr>
        <w:rFonts w:ascii="Times New Roman" w:hAnsi="Times New Roman"/>
        <w:sz w:val="18"/>
        <w:szCs w:val="18"/>
      </w:rPr>
      <w:t>/0</w:t>
    </w:r>
    <w:r w:rsidR="00C363CC">
      <w:rPr>
        <w:rFonts w:ascii="Times New Roman" w:hAnsi="Times New Roman"/>
        <w:sz w:val="18"/>
        <w:szCs w:val="18"/>
      </w:rPr>
      <w:t>6257</w:t>
    </w:r>
    <w:r w:rsidR="00267431" w:rsidRPr="0052173C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Z1B</w:t>
    </w:r>
  </w:p>
  <w:p w14:paraId="77F8F887" w14:textId="77777777" w:rsidR="00267431" w:rsidRPr="0052173C" w:rsidRDefault="00267431" w:rsidP="0052173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4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1EB"/>
    <w:multiLevelType w:val="hybridMultilevel"/>
    <w:tmpl w:val="00000BB3"/>
    <w:lvl w:ilvl="0" w:tplc="00002EA6">
      <w:start w:val="2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732"/>
    <w:multiLevelType w:val="hybridMultilevel"/>
    <w:tmpl w:val="00000120"/>
    <w:lvl w:ilvl="0" w:tplc="0000759A">
      <w:start w:val="2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238"/>
    <w:multiLevelType w:val="hybridMultilevel"/>
    <w:tmpl w:val="00003B25"/>
    <w:lvl w:ilvl="0" w:tplc="00001E1F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12DB"/>
    <w:multiLevelType w:val="hybridMultilevel"/>
    <w:tmpl w:val="0000153C"/>
    <w:lvl w:ilvl="0" w:tplc="00007E87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1547"/>
    <w:multiLevelType w:val="hybridMultilevel"/>
    <w:tmpl w:val="000054DE"/>
    <w:lvl w:ilvl="0" w:tplc="000039B3">
      <w:start w:val="6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1CD0"/>
    <w:multiLevelType w:val="hybridMultilevel"/>
    <w:tmpl w:val="0000366B"/>
    <w:lvl w:ilvl="0" w:tplc="000066C4">
      <w:start w:val="6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2350"/>
    <w:multiLevelType w:val="hybridMultilevel"/>
    <w:tmpl w:val="000022EE"/>
    <w:lvl w:ilvl="0" w:tplc="00004B40">
      <w:start w:val="3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260D"/>
    <w:multiLevelType w:val="hybridMultilevel"/>
    <w:tmpl w:val="00006B89"/>
    <w:lvl w:ilvl="0" w:tplc="0000030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26A6"/>
    <w:multiLevelType w:val="hybridMultilevel"/>
    <w:tmpl w:val="0000701F"/>
    <w:lvl w:ilvl="0" w:tplc="00005D03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2C3B"/>
    <w:multiLevelType w:val="hybridMultilevel"/>
    <w:tmpl w:val="000015A1"/>
    <w:lvl w:ilvl="0" w:tplc="000054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2CD6"/>
    <w:multiLevelType w:val="hybridMultilevel"/>
    <w:tmpl w:val="000072AE"/>
    <w:lvl w:ilvl="0" w:tplc="000069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2D12"/>
    <w:multiLevelType w:val="hybridMultilevel"/>
    <w:tmpl w:val="0000074D"/>
    <w:lvl w:ilvl="0" w:tplc="00004DC8">
      <w:start w:val="7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301C"/>
    <w:multiLevelType w:val="hybridMultilevel"/>
    <w:tmpl w:val="00000BDB"/>
    <w:lvl w:ilvl="0" w:tplc="000056AE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314F"/>
    <w:multiLevelType w:val="hybridMultilevel"/>
    <w:tmpl w:val="00005E14"/>
    <w:lvl w:ilvl="0" w:tplc="00004DF2">
      <w:start w:val="4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390C"/>
    <w:multiLevelType w:val="hybridMultilevel"/>
    <w:tmpl w:val="00000F3E"/>
    <w:lvl w:ilvl="0" w:tplc="00000099">
      <w:start w:val="3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3BF6"/>
    <w:multiLevelType w:val="hybridMultilevel"/>
    <w:tmpl w:val="00003A9E"/>
    <w:lvl w:ilvl="0" w:tplc="0000797D">
      <w:start w:val="2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3E12"/>
    <w:multiLevelType w:val="hybridMultilevel"/>
    <w:tmpl w:val="00001A49"/>
    <w:lvl w:ilvl="0" w:tplc="00005F32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3EF6"/>
    <w:multiLevelType w:val="hybridMultilevel"/>
    <w:tmpl w:val="00000822"/>
    <w:lvl w:ilvl="0" w:tplc="00005991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409D"/>
    <w:multiLevelType w:val="hybridMultilevel"/>
    <w:tmpl w:val="000012E1"/>
    <w:lvl w:ilvl="0" w:tplc="0000798B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4230"/>
    <w:multiLevelType w:val="hybridMultilevel"/>
    <w:tmpl w:val="00007EB7"/>
    <w:lvl w:ilvl="0" w:tplc="000060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491C"/>
    <w:multiLevelType w:val="hybridMultilevel"/>
    <w:tmpl w:val="00004D06"/>
    <w:lvl w:ilvl="0" w:tplc="00004DB7">
      <w:start w:val="5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4944"/>
    <w:multiLevelType w:val="hybridMultilevel"/>
    <w:tmpl w:val="00002E40"/>
    <w:lvl w:ilvl="0" w:tplc="00001366">
      <w:start w:val="5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4E45"/>
    <w:multiLevelType w:val="hybridMultilevel"/>
    <w:tmpl w:val="0000323B"/>
    <w:lvl w:ilvl="0" w:tplc="00002213">
      <w:start w:val="9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5878"/>
    <w:multiLevelType w:val="hybridMultilevel"/>
    <w:tmpl w:val="00006B36"/>
    <w:lvl w:ilvl="0" w:tplc="00005CFD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5AF1"/>
    <w:multiLevelType w:val="hybridMultilevel"/>
    <w:tmpl w:val="000041BB"/>
    <w:lvl w:ilvl="0" w:tplc="000026E9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5F49"/>
    <w:multiLevelType w:val="hybridMultilevel"/>
    <w:tmpl w:val="00000DDC"/>
    <w:lvl w:ilvl="0" w:tplc="00004CAD">
      <w:start w:val="3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5F90"/>
    <w:multiLevelType w:val="hybridMultilevel"/>
    <w:tmpl w:val="00001649"/>
    <w:lvl w:ilvl="0" w:tplc="00006DF1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6443"/>
    <w:multiLevelType w:val="hybridMultilevel"/>
    <w:tmpl w:val="000066BB"/>
    <w:lvl w:ilvl="0" w:tplc="0000428B">
      <w:start w:val="8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6784"/>
    <w:multiLevelType w:val="hybridMultilevel"/>
    <w:tmpl w:val="00004AE1"/>
    <w:lvl w:ilvl="0" w:tplc="00003D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6BFC"/>
    <w:multiLevelType w:val="hybridMultilevel"/>
    <w:tmpl w:val="00007F96"/>
    <w:lvl w:ilvl="0" w:tplc="00007FF5">
      <w:start w:val="1"/>
      <w:numFmt w:val="bullet"/>
      <w:lvlText w:val="**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6E5D"/>
    <w:multiLevelType w:val="hybridMultilevel"/>
    <w:tmpl w:val="00001AD4"/>
    <w:lvl w:ilvl="0" w:tplc="000063CB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7A5A"/>
    <w:multiLevelType w:val="hybridMultilevel"/>
    <w:tmpl w:val="0000767D"/>
    <w:lvl w:ilvl="0" w:tplc="00004509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DB05239"/>
    <w:multiLevelType w:val="hybridMultilevel"/>
    <w:tmpl w:val="1A824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696EF8"/>
    <w:multiLevelType w:val="hybridMultilevel"/>
    <w:tmpl w:val="DF4021DE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6" w15:restartNumberingAfterBreak="0">
    <w:nsid w:val="639F0B80"/>
    <w:multiLevelType w:val="hybridMultilevel"/>
    <w:tmpl w:val="AD4A6EEE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12"/>
  </w:num>
  <w:num w:numId="4">
    <w:abstractNumId w:val="28"/>
  </w:num>
  <w:num w:numId="5">
    <w:abstractNumId w:val="26"/>
  </w:num>
  <w:num w:numId="6">
    <w:abstractNumId w:val="2"/>
  </w:num>
  <w:num w:numId="7">
    <w:abstractNumId w:val="5"/>
  </w:num>
  <w:num w:numId="8">
    <w:abstractNumId w:val="16"/>
  </w:num>
  <w:num w:numId="9">
    <w:abstractNumId w:val="1"/>
  </w:num>
  <w:num w:numId="10">
    <w:abstractNumId w:val="22"/>
  </w:num>
  <w:num w:numId="11">
    <w:abstractNumId w:val="6"/>
  </w:num>
  <w:num w:numId="12">
    <w:abstractNumId w:val="13"/>
  </w:num>
  <w:num w:numId="13">
    <w:abstractNumId w:val="29"/>
  </w:num>
  <w:num w:numId="14">
    <w:abstractNumId w:val="10"/>
  </w:num>
  <w:num w:numId="15">
    <w:abstractNumId w:val="33"/>
  </w:num>
  <w:num w:numId="16">
    <w:abstractNumId w:val="4"/>
  </w:num>
  <w:num w:numId="17">
    <w:abstractNumId w:val="32"/>
  </w:num>
  <w:num w:numId="18">
    <w:abstractNumId w:val="31"/>
  </w:num>
  <w:num w:numId="19">
    <w:abstractNumId w:val="24"/>
  </w:num>
  <w:num w:numId="20">
    <w:abstractNumId w:val="9"/>
  </w:num>
  <w:num w:numId="21">
    <w:abstractNumId w:val="14"/>
  </w:num>
  <w:num w:numId="22">
    <w:abstractNumId w:val="3"/>
  </w:num>
  <w:num w:numId="23">
    <w:abstractNumId w:val="8"/>
  </w:num>
  <w:num w:numId="24">
    <w:abstractNumId w:val="25"/>
  </w:num>
  <w:num w:numId="25">
    <w:abstractNumId w:val="18"/>
  </w:num>
  <w:num w:numId="26">
    <w:abstractNumId w:val="17"/>
  </w:num>
  <w:num w:numId="27">
    <w:abstractNumId w:val="27"/>
  </w:num>
  <w:num w:numId="28">
    <w:abstractNumId w:val="15"/>
  </w:num>
  <w:num w:numId="29">
    <w:abstractNumId w:val="23"/>
  </w:num>
  <w:num w:numId="30">
    <w:abstractNumId w:val="7"/>
  </w:num>
  <w:num w:numId="31">
    <w:abstractNumId w:val="21"/>
  </w:num>
  <w:num w:numId="32">
    <w:abstractNumId w:val="11"/>
  </w:num>
  <w:num w:numId="33">
    <w:abstractNumId w:val="19"/>
  </w:num>
  <w:num w:numId="34">
    <w:abstractNumId w:val="20"/>
  </w:num>
  <w:num w:numId="35">
    <w:abstractNumId w:val="35"/>
  </w:num>
  <w:num w:numId="36">
    <w:abstractNumId w:val="36"/>
  </w:num>
  <w:num w:numId="37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trackRevisions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9C"/>
    <w:rsid w:val="00005735"/>
    <w:rsid w:val="00015BE0"/>
    <w:rsid w:val="000241CE"/>
    <w:rsid w:val="000327BA"/>
    <w:rsid w:val="00037E6A"/>
    <w:rsid w:val="000423AF"/>
    <w:rsid w:val="00042FE3"/>
    <w:rsid w:val="000436B6"/>
    <w:rsid w:val="00047F10"/>
    <w:rsid w:val="00052C8C"/>
    <w:rsid w:val="00054FE7"/>
    <w:rsid w:val="00056BE6"/>
    <w:rsid w:val="000635B6"/>
    <w:rsid w:val="00064FDF"/>
    <w:rsid w:val="000676C8"/>
    <w:rsid w:val="00071856"/>
    <w:rsid w:val="00071867"/>
    <w:rsid w:val="00082CA8"/>
    <w:rsid w:val="000845B1"/>
    <w:rsid w:val="00086B9F"/>
    <w:rsid w:val="00091D10"/>
    <w:rsid w:val="00096167"/>
    <w:rsid w:val="000B3BC4"/>
    <w:rsid w:val="000D4669"/>
    <w:rsid w:val="000D47D9"/>
    <w:rsid w:val="000E165D"/>
    <w:rsid w:val="000E5DE0"/>
    <w:rsid w:val="000F3859"/>
    <w:rsid w:val="001015A5"/>
    <w:rsid w:val="00102462"/>
    <w:rsid w:val="001128AE"/>
    <w:rsid w:val="0013179D"/>
    <w:rsid w:val="00132333"/>
    <w:rsid w:val="001358B9"/>
    <w:rsid w:val="0014203E"/>
    <w:rsid w:val="00147CF6"/>
    <w:rsid w:val="00153495"/>
    <w:rsid w:val="00153F90"/>
    <w:rsid w:val="001541D0"/>
    <w:rsid w:val="001602EB"/>
    <w:rsid w:val="00167767"/>
    <w:rsid w:val="00171AAA"/>
    <w:rsid w:val="00185DC9"/>
    <w:rsid w:val="00186C3A"/>
    <w:rsid w:val="00190544"/>
    <w:rsid w:val="00192178"/>
    <w:rsid w:val="00195968"/>
    <w:rsid w:val="001A4B92"/>
    <w:rsid w:val="001B277B"/>
    <w:rsid w:val="001B4FD9"/>
    <w:rsid w:val="001B6F09"/>
    <w:rsid w:val="001C27A8"/>
    <w:rsid w:val="001D19F5"/>
    <w:rsid w:val="001E47BA"/>
    <w:rsid w:val="001F44DE"/>
    <w:rsid w:val="001F6029"/>
    <w:rsid w:val="001F6987"/>
    <w:rsid w:val="00206752"/>
    <w:rsid w:val="00207840"/>
    <w:rsid w:val="0023113B"/>
    <w:rsid w:val="002377D0"/>
    <w:rsid w:val="00240D68"/>
    <w:rsid w:val="00241722"/>
    <w:rsid w:val="00245CC4"/>
    <w:rsid w:val="00266504"/>
    <w:rsid w:val="002667E9"/>
    <w:rsid w:val="00267431"/>
    <w:rsid w:val="00271872"/>
    <w:rsid w:val="00272322"/>
    <w:rsid w:val="00280164"/>
    <w:rsid w:val="0028405C"/>
    <w:rsid w:val="002917F5"/>
    <w:rsid w:val="0029304F"/>
    <w:rsid w:val="00293830"/>
    <w:rsid w:val="00295834"/>
    <w:rsid w:val="002A2490"/>
    <w:rsid w:val="002B0CD0"/>
    <w:rsid w:val="002B33C7"/>
    <w:rsid w:val="002B47C4"/>
    <w:rsid w:val="002C45C8"/>
    <w:rsid w:val="002D0AAD"/>
    <w:rsid w:val="002D611C"/>
    <w:rsid w:val="002E1A9E"/>
    <w:rsid w:val="002F0BEB"/>
    <w:rsid w:val="002F1A68"/>
    <w:rsid w:val="00305961"/>
    <w:rsid w:val="003110A5"/>
    <w:rsid w:val="003214BE"/>
    <w:rsid w:val="00322D6D"/>
    <w:rsid w:val="003250C1"/>
    <w:rsid w:val="00325DA5"/>
    <w:rsid w:val="0032681C"/>
    <w:rsid w:val="00343BE0"/>
    <w:rsid w:val="00351E41"/>
    <w:rsid w:val="00352622"/>
    <w:rsid w:val="00355158"/>
    <w:rsid w:val="00356D11"/>
    <w:rsid w:val="00360987"/>
    <w:rsid w:val="0036275A"/>
    <w:rsid w:val="00365A01"/>
    <w:rsid w:val="00373440"/>
    <w:rsid w:val="0037489B"/>
    <w:rsid w:val="003853C3"/>
    <w:rsid w:val="00395987"/>
    <w:rsid w:val="003A0297"/>
    <w:rsid w:val="003A6B75"/>
    <w:rsid w:val="003B0DB8"/>
    <w:rsid w:val="003B4BDE"/>
    <w:rsid w:val="003C07AB"/>
    <w:rsid w:val="003C53AF"/>
    <w:rsid w:val="003D1D0C"/>
    <w:rsid w:val="003D673E"/>
    <w:rsid w:val="003E017E"/>
    <w:rsid w:val="003E7E32"/>
    <w:rsid w:val="003F3514"/>
    <w:rsid w:val="00404678"/>
    <w:rsid w:val="00417C94"/>
    <w:rsid w:val="00420167"/>
    <w:rsid w:val="00423160"/>
    <w:rsid w:val="0043686E"/>
    <w:rsid w:val="004414F7"/>
    <w:rsid w:val="00445E5C"/>
    <w:rsid w:val="004460E0"/>
    <w:rsid w:val="00453BB3"/>
    <w:rsid w:val="00460F80"/>
    <w:rsid w:val="00461A52"/>
    <w:rsid w:val="00470A9D"/>
    <w:rsid w:val="00481F72"/>
    <w:rsid w:val="00484665"/>
    <w:rsid w:val="00487EB0"/>
    <w:rsid w:val="00490B9F"/>
    <w:rsid w:val="004A6151"/>
    <w:rsid w:val="004A7016"/>
    <w:rsid w:val="004B01F8"/>
    <w:rsid w:val="004B0D91"/>
    <w:rsid w:val="004B0DFA"/>
    <w:rsid w:val="004C1559"/>
    <w:rsid w:val="004C3E4A"/>
    <w:rsid w:val="004D76FD"/>
    <w:rsid w:val="004E4E3D"/>
    <w:rsid w:val="004E59AB"/>
    <w:rsid w:val="004E6FAC"/>
    <w:rsid w:val="004F03B9"/>
    <w:rsid w:val="004F0AFF"/>
    <w:rsid w:val="004F1DB2"/>
    <w:rsid w:val="005000C6"/>
    <w:rsid w:val="00501C61"/>
    <w:rsid w:val="00503B80"/>
    <w:rsid w:val="005102F0"/>
    <w:rsid w:val="0051490C"/>
    <w:rsid w:val="0052173C"/>
    <w:rsid w:val="005344D0"/>
    <w:rsid w:val="00540A60"/>
    <w:rsid w:val="00541CF8"/>
    <w:rsid w:val="005428FC"/>
    <w:rsid w:val="00544736"/>
    <w:rsid w:val="00551BBF"/>
    <w:rsid w:val="00582C6B"/>
    <w:rsid w:val="00594ACE"/>
    <w:rsid w:val="005B7A87"/>
    <w:rsid w:val="005D0C7F"/>
    <w:rsid w:val="005E1AE3"/>
    <w:rsid w:val="005F0112"/>
    <w:rsid w:val="005F10E0"/>
    <w:rsid w:val="005F1D31"/>
    <w:rsid w:val="006017F4"/>
    <w:rsid w:val="00610347"/>
    <w:rsid w:val="00612BC1"/>
    <w:rsid w:val="00617926"/>
    <w:rsid w:val="006340CE"/>
    <w:rsid w:val="0063698E"/>
    <w:rsid w:val="00647D53"/>
    <w:rsid w:val="00664BDE"/>
    <w:rsid w:val="00666ACD"/>
    <w:rsid w:val="00670238"/>
    <w:rsid w:val="0067161F"/>
    <w:rsid w:val="006723BC"/>
    <w:rsid w:val="00686DF9"/>
    <w:rsid w:val="006902F5"/>
    <w:rsid w:val="00692225"/>
    <w:rsid w:val="0069280F"/>
    <w:rsid w:val="006A46EB"/>
    <w:rsid w:val="006A7ACB"/>
    <w:rsid w:val="006B07AE"/>
    <w:rsid w:val="006B0B78"/>
    <w:rsid w:val="006B3C82"/>
    <w:rsid w:val="006B763E"/>
    <w:rsid w:val="006D1A3E"/>
    <w:rsid w:val="006D7BE7"/>
    <w:rsid w:val="006E3AA5"/>
    <w:rsid w:val="006F2F89"/>
    <w:rsid w:val="007106D0"/>
    <w:rsid w:val="00713219"/>
    <w:rsid w:val="00716AEB"/>
    <w:rsid w:val="00717C22"/>
    <w:rsid w:val="00722412"/>
    <w:rsid w:val="00722509"/>
    <w:rsid w:val="0072645E"/>
    <w:rsid w:val="00734872"/>
    <w:rsid w:val="00735E39"/>
    <w:rsid w:val="00745D59"/>
    <w:rsid w:val="007546E7"/>
    <w:rsid w:val="007556BF"/>
    <w:rsid w:val="00757FFD"/>
    <w:rsid w:val="00760F2B"/>
    <w:rsid w:val="00771358"/>
    <w:rsid w:val="00774450"/>
    <w:rsid w:val="007751D1"/>
    <w:rsid w:val="00785154"/>
    <w:rsid w:val="00791ACE"/>
    <w:rsid w:val="007A4335"/>
    <w:rsid w:val="007B0D14"/>
    <w:rsid w:val="007B32DE"/>
    <w:rsid w:val="007B3A6F"/>
    <w:rsid w:val="007C68C1"/>
    <w:rsid w:val="007D0269"/>
    <w:rsid w:val="007D14BC"/>
    <w:rsid w:val="007D3AC3"/>
    <w:rsid w:val="007E1BB0"/>
    <w:rsid w:val="007E2B36"/>
    <w:rsid w:val="007E3F4B"/>
    <w:rsid w:val="007E486F"/>
    <w:rsid w:val="007F27F4"/>
    <w:rsid w:val="007F57B2"/>
    <w:rsid w:val="008018EA"/>
    <w:rsid w:val="00814CB8"/>
    <w:rsid w:val="00815E2F"/>
    <w:rsid w:val="00822B34"/>
    <w:rsid w:val="00835704"/>
    <w:rsid w:val="00840A63"/>
    <w:rsid w:val="00850727"/>
    <w:rsid w:val="0085179A"/>
    <w:rsid w:val="00851D0B"/>
    <w:rsid w:val="00856170"/>
    <w:rsid w:val="00870BED"/>
    <w:rsid w:val="0087122B"/>
    <w:rsid w:val="00884364"/>
    <w:rsid w:val="0088580C"/>
    <w:rsid w:val="00895C01"/>
    <w:rsid w:val="008A5307"/>
    <w:rsid w:val="008A6327"/>
    <w:rsid w:val="008B6019"/>
    <w:rsid w:val="008D7F5B"/>
    <w:rsid w:val="008F2455"/>
    <w:rsid w:val="008F4A5B"/>
    <w:rsid w:val="00912919"/>
    <w:rsid w:val="009137E2"/>
    <w:rsid w:val="00914227"/>
    <w:rsid w:val="009237C7"/>
    <w:rsid w:val="00927728"/>
    <w:rsid w:val="00935375"/>
    <w:rsid w:val="009405DA"/>
    <w:rsid w:val="0095428D"/>
    <w:rsid w:val="009625A2"/>
    <w:rsid w:val="00965FAD"/>
    <w:rsid w:val="00970E9A"/>
    <w:rsid w:val="009733CC"/>
    <w:rsid w:val="0097359F"/>
    <w:rsid w:val="009A6C68"/>
    <w:rsid w:val="009B3E5C"/>
    <w:rsid w:val="009C2914"/>
    <w:rsid w:val="009C3C69"/>
    <w:rsid w:val="009D0C1F"/>
    <w:rsid w:val="009D379D"/>
    <w:rsid w:val="009D405F"/>
    <w:rsid w:val="009D42D0"/>
    <w:rsid w:val="009E3720"/>
    <w:rsid w:val="009F07FA"/>
    <w:rsid w:val="009F0AB0"/>
    <w:rsid w:val="009F2BB9"/>
    <w:rsid w:val="009F2C14"/>
    <w:rsid w:val="00A013A0"/>
    <w:rsid w:val="00A02AD5"/>
    <w:rsid w:val="00A03084"/>
    <w:rsid w:val="00A11716"/>
    <w:rsid w:val="00A12EAB"/>
    <w:rsid w:val="00A140ED"/>
    <w:rsid w:val="00A21184"/>
    <w:rsid w:val="00A256AD"/>
    <w:rsid w:val="00A2592B"/>
    <w:rsid w:val="00A33C28"/>
    <w:rsid w:val="00A44905"/>
    <w:rsid w:val="00A4702B"/>
    <w:rsid w:val="00A54BCD"/>
    <w:rsid w:val="00A554F3"/>
    <w:rsid w:val="00A60953"/>
    <w:rsid w:val="00A61B8A"/>
    <w:rsid w:val="00A6731E"/>
    <w:rsid w:val="00A82C78"/>
    <w:rsid w:val="00A90050"/>
    <w:rsid w:val="00AA5590"/>
    <w:rsid w:val="00AA67B4"/>
    <w:rsid w:val="00AC0677"/>
    <w:rsid w:val="00AC7664"/>
    <w:rsid w:val="00AD254E"/>
    <w:rsid w:val="00AE5EC7"/>
    <w:rsid w:val="00AF56F4"/>
    <w:rsid w:val="00AF635A"/>
    <w:rsid w:val="00B127F2"/>
    <w:rsid w:val="00B14164"/>
    <w:rsid w:val="00B16C5C"/>
    <w:rsid w:val="00B40982"/>
    <w:rsid w:val="00B43D7E"/>
    <w:rsid w:val="00B5319E"/>
    <w:rsid w:val="00B62C12"/>
    <w:rsid w:val="00B6357C"/>
    <w:rsid w:val="00B92F3D"/>
    <w:rsid w:val="00B95AD7"/>
    <w:rsid w:val="00BA5C8E"/>
    <w:rsid w:val="00BB7021"/>
    <w:rsid w:val="00BC2793"/>
    <w:rsid w:val="00BC7A80"/>
    <w:rsid w:val="00BC7BC1"/>
    <w:rsid w:val="00BD4ECD"/>
    <w:rsid w:val="00BD5338"/>
    <w:rsid w:val="00BF0141"/>
    <w:rsid w:val="00BF1A9A"/>
    <w:rsid w:val="00BF2143"/>
    <w:rsid w:val="00C0551C"/>
    <w:rsid w:val="00C12377"/>
    <w:rsid w:val="00C12B7B"/>
    <w:rsid w:val="00C12E75"/>
    <w:rsid w:val="00C1656D"/>
    <w:rsid w:val="00C24399"/>
    <w:rsid w:val="00C3554D"/>
    <w:rsid w:val="00C363CC"/>
    <w:rsid w:val="00C408F5"/>
    <w:rsid w:val="00C409F8"/>
    <w:rsid w:val="00C41BD2"/>
    <w:rsid w:val="00C42D3B"/>
    <w:rsid w:val="00C51234"/>
    <w:rsid w:val="00C51A9C"/>
    <w:rsid w:val="00C525AB"/>
    <w:rsid w:val="00C54181"/>
    <w:rsid w:val="00C5445F"/>
    <w:rsid w:val="00C704D8"/>
    <w:rsid w:val="00CB28EC"/>
    <w:rsid w:val="00CB4075"/>
    <w:rsid w:val="00CB76CC"/>
    <w:rsid w:val="00CC58FE"/>
    <w:rsid w:val="00CD34D3"/>
    <w:rsid w:val="00CE2E11"/>
    <w:rsid w:val="00CE7112"/>
    <w:rsid w:val="00D00C55"/>
    <w:rsid w:val="00D0101C"/>
    <w:rsid w:val="00D03304"/>
    <w:rsid w:val="00D10835"/>
    <w:rsid w:val="00D211BE"/>
    <w:rsid w:val="00D21768"/>
    <w:rsid w:val="00D2584D"/>
    <w:rsid w:val="00D31ADB"/>
    <w:rsid w:val="00D347EA"/>
    <w:rsid w:val="00D3671A"/>
    <w:rsid w:val="00D47BC6"/>
    <w:rsid w:val="00D5061A"/>
    <w:rsid w:val="00D50E45"/>
    <w:rsid w:val="00D51681"/>
    <w:rsid w:val="00D61233"/>
    <w:rsid w:val="00D637F6"/>
    <w:rsid w:val="00D67969"/>
    <w:rsid w:val="00D70DA0"/>
    <w:rsid w:val="00D84478"/>
    <w:rsid w:val="00D91371"/>
    <w:rsid w:val="00D91391"/>
    <w:rsid w:val="00DA2CB6"/>
    <w:rsid w:val="00DA7EB4"/>
    <w:rsid w:val="00DB1756"/>
    <w:rsid w:val="00DB3F4C"/>
    <w:rsid w:val="00DC1C55"/>
    <w:rsid w:val="00DC1EFD"/>
    <w:rsid w:val="00DC49A7"/>
    <w:rsid w:val="00DD3B78"/>
    <w:rsid w:val="00DD7C2C"/>
    <w:rsid w:val="00DF08E7"/>
    <w:rsid w:val="00DF134F"/>
    <w:rsid w:val="00DF2B7B"/>
    <w:rsid w:val="00E11012"/>
    <w:rsid w:val="00E12650"/>
    <w:rsid w:val="00E23436"/>
    <w:rsid w:val="00E2479D"/>
    <w:rsid w:val="00E3025C"/>
    <w:rsid w:val="00E35241"/>
    <w:rsid w:val="00E5358A"/>
    <w:rsid w:val="00E55E65"/>
    <w:rsid w:val="00E612A7"/>
    <w:rsid w:val="00E620D7"/>
    <w:rsid w:val="00E81E68"/>
    <w:rsid w:val="00E869AC"/>
    <w:rsid w:val="00E95CAC"/>
    <w:rsid w:val="00EA6F75"/>
    <w:rsid w:val="00EA7DD1"/>
    <w:rsid w:val="00EB05DC"/>
    <w:rsid w:val="00EC05C1"/>
    <w:rsid w:val="00EC6DC7"/>
    <w:rsid w:val="00ED0859"/>
    <w:rsid w:val="00EE274B"/>
    <w:rsid w:val="00EE33DE"/>
    <w:rsid w:val="00EE350B"/>
    <w:rsid w:val="00EE758C"/>
    <w:rsid w:val="00EF35F5"/>
    <w:rsid w:val="00F000AE"/>
    <w:rsid w:val="00F114E9"/>
    <w:rsid w:val="00F12BB5"/>
    <w:rsid w:val="00F16E5B"/>
    <w:rsid w:val="00F25743"/>
    <w:rsid w:val="00F31A46"/>
    <w:rsid w:val="00F34981"/>
    <w:rsid w:val="00F358AD"/>
    <w:rsid w:val="00F375F5"/>
    <w:rsid w:val="00F53CD7"/>
    <w:rsid w:val="00F60049"/>
    <w:rsid w:val="00F72FBD"/>
    <w:rsid w:val="00F73FA4"/>
    <w:rsid w:val="00F75269"/>
    <w:rsid w:val="00F83A05"/>
    <w:rsid w:val="00F84369"/>
    <w:rsid w:val="00FA40AD"/>
    <w:rsid w:val="00FB4FEA"/>
    <w:rsid w:val="00FB6698"/>
    <w:rsid w:val="00FC2536"/>
    <w:rsid w:val="00FC45A9"/>
    <w:rsid w:val="00FC4F67"/>
    <w:rsid w:val="00FC5A49"/>
    <w:rsid w:val="00F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AB1D5"/>
  <w15:docId w15:val="{C7FA4B22-1AC6-4309-AA0B-6C32C74B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A9C"/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E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1323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FC5A4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4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36B6"/>
    <w:rPr>
      <w:rFonts w:ascii="Tahoma" w:eastAsiaTheme="minorEastAsi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F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3514"/>
    <w:rPr>
      <w:rFonts w:eastAsiaTheme="minorEastAsia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F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3514"/>
    <w:rPr>
      <w:rFonts w:eastAsiaTheme="minorEastAsia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B4E00-9BAA-4301-90C2-4EBC77A4A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8938</Words>
  <Characters>50948</Characters>
  <Application>Microsoft Office Word</Application>
  <DocSecurity>0</DocSecurity>
  <Lines>424</Lines>
  <Paragraphs>119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</Company>
  <LinksUpToDate>false</LinksUpToDate>
  <CharactersWithSpaces>59767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Edelstein, Rastislav SK</dc:creator>
  <cp:keywords/>
  <dc:description/>
  <cp:lastModifiedBy>Bolebruchová Monika</cp:lastModifiedBy>
  <cp:revision>2</cp:revision>
  <cp:lastPrinted>2018-06-26T07:34:00Z</cp:lastPrinted>
  <dcterms:created xsi:type="dcterms:W3CDTF">2018-06-26T07:35:00Z</dcterms:created>
  <dcterms:modified xsi:type="dcterms:W3CDTF">2018-06-26T07:35:00Z</dcterms:modified>
  <cp:category/>
</cp:coreProperties>
</file>