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0401B" w14:textId="77777777" w:rsidR="00E8470C" w:rsidRPr="00E65297" w:rsidRDefault="00E8470C" w:rsidP="00EE54BB">
      <w:pPr>
        <w:pStyle w:val="Nzov"/>
        <w:ind w:left="480" w:hanging="480"/>
        <w:rPr>
          <w:rFonts w:ascii="Times New Roman" w:hAnsi="Times New Roman" w:cs="Times New Roman"/>
          <w:b/>
          <w:bCs w:val="0"/>
          <w:sz w:val="22"/>
        </w:rPr>
      </w:pPr>
      <w:r w:rsidRPr="00E65297">
        <w:rPr>
          <w:rFonts w:ascii="Times New Roman" w:hAnsi="Times New Roman" w:cs="Times New Roman"/>
          <w:b/>
          <w:bCs w:val="0"/>
          <w:sz w:val="22"/>
        </w:rPr>
        <w:t>Súhrn charakteristických vlastností lieku</w:t>
      </w:r>
    </w:p>
    <w:p w14:paraId="29D83CA8" w14:textId="77777777" w:rsidR="00E8470C" w:rsidRPr="00E65297" w:rsidRDefault="00E8470C" w:rsidP="00EE54BB">
      <w:pPr>
        <w:ind w:left="480" w:hanging="480"/>
        <w:rPr>
          <w:rFonts w:ascii="Times New Roman" w:hAnsi="Times New Roman" w:cs="Times New Roman"/>
          <w:sz w:val="22"/>
        </w:rPr>
      </w:pPr>
    </w:p>
    <w:p w14:paraId="679BB246" w14:textId="77777777" w:rsidR="00E8470C" w:rsidRPr="00E65297" w:rsidRDefault="00E8470C" w:rsidP="00EE54BB">
      <w:pPr>
        <w:ind w:left="480" w:hanging="480"/>
        <w:rPr>
          <w:rFonts w:ascii="Times New Roman" w:hAnsi="Times New Roman" w:cs="Times New Roman"/>
          <w:sz w:val="22"/>
        </w:rPr>
      </w:pPr>
    </w:p>
    <w:p w14:paraId="5B131EF0" w14:textId="77777777" w:rsidR="00E8470C" w:rsidRPr="00E65297" w:rsidRDefault="00E8470C" w:rsidP="0040305B">
      <w:pPr>
        <w:pStyle w:val="Nadpis1"/>
        <w:numPr>
          <w:ilvl w:val="0"/>
          <w:numId w:val="0"/>
        </w:numPr>
        <w:tabs>
          <w:tab w:val="left" w:pos="480"/>
        </w:tabs>
        <w:spacing w:before="0" w:after="0"/>
        <w:ind w:left="480" w:hanging="480"/>
        <w:jc w:val="left"/>
        <w:rPr>
          <w:rFonts w:ascii="Times New Roman" w:hAnsi="Times New Roman"/>
          <w:sz w:val="22"/>
          <w:szCs w:val="22"/>
        </w:rPr>
      </w:pPr>
      <w:r w:rsidRPr="00E65297">
        <w:rPr>
          <w:rFonts w:ascii="Times New Roman" w:hAnsi="Times New Roman"/>
          <w:sz w:val="22"/>
          <w:szCs w:val="22"/>
        </w:rPr>
        <w:t>1.</w:t>
      </w:r>
      <w:r w:rsidRPr="00E65297">
        <w:rPr>
          <w:rFonts w:ascii="Times New Roman" w:hAnsi="Times New Roman"/>
          <w:sz w:val="22"/>
          <w:szCs w:val="22"/>
        </w:rPr>
        <w:tab/>
        <w:t>NÁZOV LIEKU</w:t>
      </w:r>
    </w:p>
    <w:p w14:paraId="0796D287" w14:textId="77777777" w:rsidR="00E8470C" w:rsidRPr="00E65297" w:rsidRDefault="00E8470C" w:rsidP="005A14EA">
      <w:pPr>
        <w:pStyle w:val="Pta"/>
        <w:keepNext/>
        <w:tabs>
          <w:tab w:val="clear" w:pos="4536"/>
          <w:tab w:val="clear" w:pos="9072"/>
        </w:tabs>
        <w:ind w:left="482" w:hanging="482"/>
        <w:rPr>
          <w:rFonts w:ascii="Times New Roman" w:hAnsi="Times New Roman" w:cs="Times New Roman"/>
          <w:sz w:val="22"/>
          <w:szCs w:val="22"/>
        </w:rPr>
      </w:pPr>
    </w:p>
    <w:p w14:paraId="401749C1" w14:textId="77777777" w:rsidR="00E8470C" w:rsidRPr="00E65297" w:rsidRDefault="00E8470C" w:rsidP="0040305B">
      <w:pPr>
        <w:ind w:left="480" w:hanging="480"/>
        <w:rPr>
          <w:rFonts w:ascii="Times New Roman" w:hAnsi="Times New Roman" w:cs="Times New Roman"/>
          <w:sz w:val="22"/>
          <w:szCs w:val="22"/>
        </w:rPr>
      </w:pPr>
      <w:proofErr w:type="spellStart"/>
      <w:r w:rsidRPr="00E65297">
        <w:rPr>
          <w:rFonts w:ascii="Times New Roman" w:hAnsi="Times New Roman" w:cs="Times New Roman"/>
          <w:bCs w:val="0"/>
          <w:sz w:val="22"/>
          <w:szCs w:val="22"/>
        </w:rPr>
        <w:t>Tamsulosin</w:t>
      </w:r>
      <w:proofErr w:type="spellEnd"/>
      <w:r w:rsidRPr="00E65297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proofErr w:type="spellStart"/>
      <w:r w:rsidRPr="00E65297">
        <w:rPr>
          <w:rFonts w:ascii="Times New Roman" w:hAnsi="Times New Roman" w:cs="Times New Roman"/>
          <w:bCs w:val="0"/>
          <w:sz w:val="22"/>
          <w:szCs w:val="22"/>
        </w:rPr>
        <w:t>HCl</w:t>
      </w:r>
      <w:proofErr w:type="spellEnd"/>
      <w:r w:rsidRPr="00E65297">
        <w:rPr>
          <w:rFonts w:ascii="Times New Roman" w:hAnsi="Times New Roman" w:cs="Times New Roman"/>
          <w:bCs w:val="0"/>
          <w:sz w:val="22"/>
          <w:szCs w:val="22"/>
        </w:rPr>
        <w:t xml:space="preserve"> Mylan 0,4 mg</w:t>
      </w:r>
    </w:p>
    <w:p w14:paraId="58753A3E" w14:textId="77777777" w:rsidR="00E8470C" w:rsidRPr="00E65297" w:rsidRDefault="00FF5095" w:rsidP="0040305B">
      <w:pPr>
        <w:ind w:left="480" w:hanging="480"/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tvrdé </w:t>
      </w:r>
      <w:r w:rsidR="00231A7A" w:rsidRPr="00E65297">
        <w:rPr>
          <w:rFonts w:ascii="Times New Roman" w:hAnsi="Times New Roman" w:cs="Times New Roman"/>
          <w:sz w:val="22"/>
          <w:szCs w:val="22"/>
        </w:rPr>
        <w:t>k</w:t>
      </w:r>
      <w:r w:rsidR="00E8470C" w:rsidRPr="00E65297">
        <w:rPr>
          <w:rFonts w:ascii="Times New Roman" w:hAnsi="Times New Roman" w:cs="Times New Roman"/>
          <w:sz w:val="22"/>
          <w:szCs w:val="22"/>
        </w:rPr>
        <w:t>apsuly s riadeným uvoľňovaním</w:t>
      </w:r>
    </w:p>
    <w:p w14:paraId="24484127" w14:textId="77777777" w:rsidR="00E8470C" w:rsidRPr="00E65297" w:rsidRDefault="00E8470C" w:rsidP="0040305B">
      <w:pPr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02F84CD7" w14:textId="77777777" w:rsidR="00E8470C" w:rsidRPr="00E65297" w:rsidRDefault="00E8470C" w:rsidP="0040305B">
      <w:pPr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0AA87527" w14:textId="77777777" w:rsidR="00E8470C" w:rsidRPr="00E65297" w:rsidRDefault="00E8470C" w:rsidP="0040305B">
      <w:pPr>
        <w:pStyle w:val="Nadpis1"/>
        <w:numPr>
          <w:ilvl w:val="0"/>
          <w:numId w:val="0"/>
        </w:numPr>
        <w:tabs>
          <w:tab w:val="left" w:pos="480"/>
        </w:tabs>
        <w:spacing w:before="0" w:after="0"/>
        <w:ind w:left="480" w:hanging="480"/>
        <w:jc w:val="left"/>
        <w:rPr>
          <w:rFonts w:ascii="Times New Roman" w:hAnsi="Times New Roman"/>
          <w:sz w:val="22"/>
          <w:szCs w:val="22"/>
        </w:rPr>
      </w:pPr>
      <w:r w:rsidRPr="00E65297">
        <w:rPr>
          <w:rFonts w:ascii="Times New Roman" w:hAnsi="Times New Roman"/>
          <w:sz w:val="22"/>
          <w:szCs w:val="22"/>
        </w:rPr>
        <w:t>2.</w:t>
      </w:r>
      <w:r w:rsidRPr="00E65297">
        <w:rPr>
          <w:rFonts w:ascii="Times New Roman" w:hAnsi="Times New Roman"/>
          <w:sz w:val="22"/>
          <w:szCs w:val="22"/>
        </w:rPr>
        <w:tab/>
        <w:t>KVALITATÍVNE A KVANTITATÍVNE ZLOŽENIE</w:t>
      </w:r>
    </w:p>
    <w:p w14:paraId="7BA3109D" w14:textId="77777777" w:rsidR="00E8470C" w:rsidRPr="00E65297" w:rsidRDefault="00E8470C" w:rsidP="005A14EA">
      <w:pPr>
        <w:keepNext/>
        <w:tabs>
          <w:tab w:val="left" w:pos="540"/>
        </w:tabs>
        <w:ind w:left="482" w:hanging="482"/>
        <w:rPr>
          <w:rFonts w:ascii="Times New Roman" w:hAnsi="Times New Roman" w:cs="Times New Roman"/>
          <w:sz w:val="22"/>
          <w:szCs w:val="22"/>
        </w:rPr>
      </w:pPr>
    </w:p>
    <w:p w14:paraId="39C157C1" w14:textId="77777777" w:rsidR="00E8470C" w:rsidRPr="00E65297" w:rsidRDefault="00E8470C" w:rsidP="0040305B">
      <w:pPr>
        <w:tabs>
          <w:tab w:val="left" w:pos="540"/>
        </w:tabs>
        <w:ind w:left="480" w:hanging="480"/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Jedna kapsula obsahuje 0,4 mg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Pr="00E65297">
        <w:rPr>
          <w:rFonts w:ascii="Times New Roman" w:hAnsi="Times New Roman" w:cs="Times New Roman"/>
          <w:sz w:val="22"/>
          <w:szCs w:val="22"/>
        </w:rPr>
        <w:t>iumchloridu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>.</w:t>
      </w:r>
    </w:p>
    <w:p w14:paraId="49505410" w14:textId="77777777" w:rsidR="00E8470C" w:rsidRPr="00E65297" w:rsidRDefault="00E8470C" w:rsidP="0040305B">
      <w:pPr>
        <w:tabs>
          <w:tab w:val="left" w:pos="540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29B5D88F" w14:textId="77777777" w:rsidR="00E8470C" w:rsidRPr="00E65297" w:rsidRDefault="00E8470C" w:rsidP="0040305B">
      <w:pPr>
        <w:tabs>
          <w:tab w:val="left" w:pos="540"/>
        </w:tabs>
        <w:ind w:left="480" w:hanging="480"/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>Úplný zoznam pomocných látok, pozri časť 6.1.</w:t>
      </w:r>
    </w:p>
    <w:p w14:paraId="4041AB42" w14:textId="77777777" w:rsidR="00E8470C" w:rsidRPr="00E65297" w:rsidRDefault="00E8470C" w:rsidP="0040305B">
      <w:pPr>
        <w:tabs>
          <w:tab w:val="left" w:pos="540"/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3253DD7E" w14:textId="77777777" w:rsidR="00E8470C" w:rsidRPr="00E65297" w:rsidRDefault="00E8470C" w:rsidP="0040305B">
      <w:pPr>
        <w:tabs>
          <w:tab w:val="left" w:pos="480"/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5664EE6F" w14:textId="77777777" w:rsidR="00E8470C" w:rsidRPr="00E65297" w:rsidRDefault="00E8470C" w:rsidP="0040305B">
      <w:pPr>
        <w:pStyle w:val="Nadpis1"/>
        <w:numPr>
          <w:ilvl w:val="0"/>
          <w:numId w:val="0"/>
        </w:numPr>
        <w:tabs>
          <w:tab w:val="left" w:pos="480"/>
          <w:tab w:val="left" w:pos="2198"/>
        </w:tabs>
        <w:spacing w:before="0" w:after="0"/>
        <w:ind w:left="480" w:hanging="480"/>
        <w:jc w:val="left"/>
        <w:rPr>
          <w:rFonts w:ascii="Times New Roman" w:hAnsi="Times New Roman"/>
          <w:sz w:val="22"/>
          <w:szCs w:val="22"/>
        </w:rPr>
      </w:pPr>
      <w:r w:rsidRPr="00E65297">
        <w:rPr>
          <w:rFonts w:ascii="Times New Roman" w:hAnsi="Times New Roman"/>
          <w:sz w:val="22"/>
          <w:szCs w:val="22"/>
        </w:rPr>
        <w:t>3.</w:t>
      </w:r>
      <w:r w:rsidRPr="00E65297">
        <w:rPr>
          <w:rFonts w:ascii="Times New Roman" w:hAnsi="Times New Roman"/>
          <w:sz w:val="22"/>
          <w:szCs w:val="22"/>
        </w:rPr>
        <w:tab/>
        <w:t>LIEKOVÁ FORMA</w:t>
      </w:r>
    </w:p>
    <w:p w14:paraId="791BF2FC" w14:textId="77777777" w:rsidR="00E8470C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  <w:szCs w:val="22"/>
        </w:rPr>
      </w:pPr>
    </w:p>
    <w:p w14:paraId="4045A582" w14:textId="77777777" w:rsidR="00E8470C" w:rsidRPr="00E65297" w:rsidRDefault="00E8470C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>Tvrdé kapsuly s riadeným uvoľňovaním.</w:t>
      </w:r>
    </w:p>
    <w:p w14:paraId="4AEB3EB9" w14:textId="77777777" w:rsidR="00E8470C" w:rsidRPr="00E65297" w:rsidRDefault="00E8470C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3DD21886" w14:textId="77777777" w:rsidR="00E8470C" w:rsidRPr="00E65297" w:rsidRDefault="00E8470C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>Oranžové</w:t>
      </w:r>
      <w:r w:rsidR="00C00ED2" w:rsidRPr="00E65297">
        <w:rPr>
          <w:rFonts w:ascii="Times New Roman" w:hAnsi="Times New Roman" w:cs="Times New Roman"/>
          <w:sz w:val="22"/>
          <w:szCs w:val="22"/>
        </w:rPr>
        <w:t xml:space="preserve"> telo</w:t>
      </w:r>
      <w:r w:rsidRPr="00E65297">
        <w:rPr>
          <w:rFonts w:ascii="Times New Roman" w:hAnsi="Times New Roman" w:cs="Times New Roman"/>
          <w:sz w:val="22"/>
          <w:szCs w:val="22"/>
        </w:rPr>
        <w:t xml:space="preserve">/olivovo-zelené </w:t>
      </w:r>
      <w:r w:rsidR="00C00ED2" w:rsidRPr="00E65297">
        <w:rPr>
          <w:rFonts w:ascii="Times New Roman" w:hAnsi="Times New Roman" w:cs="Times New Roman"/>
          <w:sz w:val="22"/>
          <w:szCs w:val="22"/>
        </w:rPr>
        <w:t>viečko</w:t>
      </w:r>
      <w:r w:rsidRPr="00E65297">
        <w:rPr>
          <w:rFonts w:ascii="Times New Roman" w:hAnsi="Times New Roman" w:cs="Times New Roman"/>
          <w:sz w:val="22"/>
          <w:szCs w:val="22"/>
        </w:rPr>
        <w:t xml:space="preserve">. Kapsuly obsahujú biele až </w:t>
      </w:r>
      <w:r w:rsidR="000C7B28" w:rsidRPr="00E65297">
        <w:rPr>
          <w:rFonts w:ascii="Times New Roman" w:hAnsi="Times New Roman" w:cs="Times New Roman"/>
          <w:sz w:val="22"/>
          <w:szCs w:val="22"/>
        </w:rPr>
        <w:t>takmer biele</w:t>
      </w:r>
      <w:r w:rsidRPr="00E65297">
        <w:rPr>
          <w:rFonts w:ascii="Times New Roman" w:hAnsi="Times New Roman" w:cs="Times New Roman"/>
          <w:sz w:val="22"/>
          <w:szCs w:val="22"/>
        </w:rPr>
        <w:t xml:space="preserve"> guľôčky.</w:t>
      </w:r>
    </w:p>
    <w:p w14:paraId="400393F0" w14:textId="77777777" w:rsidR="00E8470C" w:rsidRPr="00E65297" w:rsidRDefault="00E8470C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644F2E0F" w14:textId="77777777" w:rsidR="00E8470C" w:rsidRPr="00E65297" w:rsidRDefault="00E8470C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4CA6E76A" w14:textId="77777777" w:rsidR="00E8470C" w:rsidRPr="00E65297" w:rsidRDefault="00E8470C" w:rsidP="0040305B">
      <w:pPr>
        <w:pStyle w:val="Nadpis1"/>
        <w:numPr>
          <w:ilvl w:val="0"/>
          <w:numId w:val="0"/>
        </w:numPr>
        <w:tabs>
          <w:tab w:val="left" w:pos="480"/>
          <w:tab w:val="left" w:pos="2198"/>
        </w:tabs>
        <w:spacing w:before="0" w:after="0"/>
        <w:ind w:left="480" w:hanging="480"/>
        <w:jc w:val="left"/>
        <w:rPr>
          <w:rFonts w:ascii="Times New Roman" w:hAnsi="Times New Roman"/>
          <w:sz w:val="22"/>
          <w:szCs w:val="22"/>
        </w:rPr>
      </w:pPr>
      <w:r w:rsidRPr="00E65297">
        <w:rPr>
          <w:rFonts w:ascii="Times New Roman" w:hAnsi="Times New Roman"/>
          <w:sz w:val="22"/>
          <w:szCs w:val="22"/>
        </w:rPr>
        <w:t>4.</w:t>
      </w:r>
      <w:r w:rsidRPr="00E65297">
        <w:rPr>
          <w:rFonts w:ascii="Times New Roman" w:hAnsi="Times New Roman"/>
          <w:sz w:val="22"/>
          <w:szCs w:val="22"/>
        </w:rPr>
        <w:tab/>
        <w:t>KLINICKÉ ÚDAJE</w:t>
      </w:r>
    </w:p>
    <w:p w14:paraId="3A08B1EA" w14:textId="77777777" w:rsidR="00E8470C" w:rsidRPr="00E65297" w:rsidRDefault="00E8470C" w:rsidP="005A14EA">
      <w:pPr>
        <w:keepNext/>
        <w:ind w:left="482" w:hanging="482"/>
        <w:rPr>
          <w:rFonts w:ascii="Times New Roman" w:hAnsi="Times New Roman" w:cs="Times New Roman"/>
          <w:sz w:val="22"/>
          <w:szCs w:val="22"/>
        </w:rPr>
      </w:pPr>
    </w:p>
    <w:p w14:paraId="7A9E20C4" w14:textId="77777777" w:rsidR="00E8470C" w:rsidRPr="00E65297" w:rsidRDefault="00E8470C" w:rsidP="0040305B">
      <w:pPr>
        <w:tabs>
          <w:tab w:val="left" w:pos="567"/>
          <w:tab w:val="left" w:pos="2198"/>
        </w:tabs>
        <w:ind w:left="480" w:hanging="480"/>
        <w:rPr>
          <w:rFonts w:ascii="Times New Roman" w:hAnsi="Times New Roman" w:cs="Times New Roman"/>
          <w:b/>
          <w:bCs w:val="0"/>
          <w:sz w:val="22"/>
          <w:szCs w:val="22"/>
        </w:rPr>
      </w:pP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4.1</w:t>
      </w:r>
      <w:r w:rsidR="00FF5095" w:rsidRPr="00E65297">
        <w:rPr>
          <w:rFonts w:ascii="Times New Roman" w:hAnsi="Times New Roman" w:cs="Times New Roman"/>
          <w:sz w:val="22"/>
          <w:szCs w:val="22"/>
        </w:rPr>
        <w:tab/>
      </w: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Terapeutické indikácie</w:t>
      </w:r>
    </w:p>
    <w:p w14:paraId="1F5BF957" w14:textId="77777777" w:rsidR="00E8470C" w:rsidRPr="00E65297" w:rsidRDefault="00E8470C" w:rsidP="0040305B">
      <w:pPr>
        <w:pStyle w:val="Pta"/>
        <w:tabs>
          <w:tab w:val="clear" w:pos="4536"/>
          <w:tab w:val="clear" w:pos="9072"/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26793515" w14:textId="77777777" w:rsidR="00E8470C" w:rsidRPr="00E65297" w:rsidRDefault="00E8470C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>Symptómy dolných močových ciest (</w:t>
      </w:r>
      <w:proofErr w:type="spellStart"/>
      <w:r w:rsidR="00CE0705" w:rsidRPr="00E65297">
        <w:rPr>
          <w:rFonts w:ascii="Times New Roman" w:hAnsi="Times New Roman" w:cs="Times New Roman"/>
          <w:sz w:val="22"/>
          <w:szCs w:val="22"/>
        </w:rPr>
        <w:t>Lower</w:t>
      </w:r>
      <w:proofErr w:type="spellEnd"/>
      <w:r w:rsidR="00CE0705" w:rsidRPr="00E652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E0705" w:rsidRPr="00E65297">
        <w:rPr>
          <w:rFonts w:ascii="Times New Roman" w:hAnsi="Times New Roman" w:cs="Times New Roman"/>
          <w:sz w:val="22"/>
          <w:szCs w:val="22"/>
        </w:rPr>
        <w:t>urinary</w:t>
      </w:r>
      <w:proofErr w:type="spellEnd"/>
      <w:r w:rsidR="00CE0705" w:rsidRPr="00E652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E0705" w:rsidRPr="00E65297">
        <w:rPr>
          <w:rFonts w:ascii="Times New Roman" w:hAnsi="Times New Roman" w:cs="Times New Roman"/>
          <w:sz w:val="22"/>
          <w:szCs w:val="22"/>
        </w:rPr>
        <w:t>tract</w:t>
      </w:r>
      <w:proofErr w:type="spellEnd"/>
      <w:r w:rsidR="00CE0705" w:rsidRPr="00E652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E0705" w:rsidRPr="00E65297">
        <w:rPr>
          <w:rFonts w:ascii="Times New Roman" w:hAnsi="Times New Roman" w:cs="Times New Roman"/>
          <w:sz w:val="22"/>
          <w:szCs w:val="22"/>
        </w:rPr>
        <w:t>symptoms</w:t>
      </w:r>
      <w:proofErr w:type="spellEnd"/>
      <w:r w:rsidR="00CE0705" w:rsidRPr="00E65297">
        <w:rPr>
          <w:rFonts w:ascii="Times New Roman" w:hAnsi="Times New Roman" w:cs="Times New Roman"/>
          <w:sz w:val="22"/>
          <w:szCs w:val="22"/>
        </w:rPr>
        <w:t xml:space="preserve">, </w:t>
      </w:r>
      <w:r w:rsidRPr="00E65297">
        <w:rPr>
          <w:rFonts w:ascii="Times New Roman" w:hAnsi="Times New Roman" w:cs="Times New Roman"/>
          <w:sz w:val="22"/>
          <w:szCs w:val="22"/>
        </w:rPr>
        <w:t xml:space="preserve">LUTS) spojené s benígnou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hyperpláziou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prostaty (BPH).</w:t>
      </w:r>
    </w:p>
    <w:p w14:paraId="12F61C21" w14:textId="77777777" w:rsidR="00E8470C" w:rsidRPr="00E65297" w:rsidRDefault="00E8470C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06A1EBFE" w14:textId="77777777" w:rsidR="00E8470C" w:rsidRPr="00E65297" w:rsidRDefault="00E8470C" w:rsidP="005A14EA">
      <w:pPr>
        <w:keepNext/>
        <w:tabs>
          <w:tab w:val="left" w:pos="567"/>
          <w:tab w:val="left" w:pos="2198"/>
        </w:tabs>
        <w:ind w:left="482" w:hanging="482"/>
        <w:rPr>
          <w:rFonts w:ascii="Times New Roman" w:hAnsi="Times New Roman" w:cs="Times New Roman"/>
          <w:b/>
          <w:bCs w:val="0"/>
          <w:sz w:val="22"/>
          <w:szCs w:val="22"/>
        </w:rPr>
      </w:pP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4.2</w:t>
      </w:r>
      <w:r w:rsidR="00FF5095" w:rsidRPr="00E65297">
        <w:rPr>
          <w:rFonts w:ascii="Times New Roman" w:hAnsi="Times New Roman" w:cs="Times New Roman"/>
          <w:sz w:val="22"/>
          <w:szCs w:val="22"/>
        </w:rPr>
        <w:tab/>
      </w: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Dávkovanie a spôsob podávania</w:t>
      </w:r>
    </w:p>
    <w:p w14:paraId="0CE72620" w14:textId="77777777" w:rsidR="00E8470C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  <w:szCs w:val="22"/>
        </w:rPr>
      </w:pPr>
    </w:p>
    <w:p w14:paraId="1AAE4B9B" w14:textId="77777777" w:rsidR="0091430F" w:rsidRPr="00E65297" w:rsidRDefault="0091430F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  <w:szCs w:val="22"/>
          <w:u w:val="single"/>
        </w:rPr>
      </w:pPr>
      <w:r w:rsidRPr="00E65297">
        <w:rPr>
          <w:rFonts w:ascii="Times New Roman" w:hAnsi="Times New Roman" w:cs="Times New Roman"/>
          <w:sz w:val="22"/>
          <w:szCs w:val="22"/>
          <w:u w:val="single"/>
        </w:rPr>
        <w:t>Dávkovanie</w:t>
      </w:r>
    </w:p>
    <w:p w14:paraId="2B9732B5" w14:textId="77777777" w:rsidR="0091430F" w:rsidRPr="00E65297" w:rsidRDefault="0091430F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62810279" w14:textId="77777777" w:rsidR="00E8470C" w:rsidRPr="00E65297" w:rsidRDefault="00C00ED2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>Užíva sa j</w:t>
      </w:r>
      <w:r w:rsidR="00E8470C" w:rsidRPr="00E65297">
        <w:rPr>
          <w:rFonts w:ascii="Times New Roman" w:hAnsi="Times New Roman" w:cs="Times New Roman"/>
          <w:sz w:val="22"/>
          <w:szCs w:val="22"/>
        </w:rPr>
        <w:t>edna kapsula denne po raňajkách alebo po prvom dennom jedle.</w:t>
      </w:r>
    </w:p>
    <w:p w14:paraId="0A48C90E" w14:textId="77777777" w:rsidR="00C00ED2" w:rsidRPr="00E65297" w:rsidRDefault="00C00ED2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2555E38C" w14:textId="77777777" w:rsidR="00C00ED2" w:rsidRPr="00E65297" w:rsidRDefault="00C00ED2" w:rsidP="00C00ED2">
      <w:pPr>
        <w:tabs>
          <w:tab w:val="left" w:pos="2198"/>
        </w:tabs>
        <w:rPr>
          <w:rFonts w:ascii="Times New Roman" w:hAnsi="Times New Roman" w:cs="Times New Roman"/>
          <w:i/>
          <w:sz w:val="22"/>
        </w:rPr>
      </w:pPr>
      <w:r w:rsidRPr="00E65297">
        <w:rPr>
          <w:rFonts w:ascii="Times New Roman" w:hAnsi="Times New Roman" w:cs="Times New Roman"/>
          <w:i/>
          <w:sz w:val="22"/>
          <w:u w:val="single"/>
        </w:rPr>
        <w:t>Pacienti s poruchou funkcie obličiek</w:t>
      </w:r>
    </w:p>
    <w:p w14:paraId="6B0733F2" w14:textId="77777777" w:rsidR="005C7C37" w:rsidRPr="00E65297" w:rsidRDefault="005C7C37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>Pri poruche funkcie obličiek nie je potrebná úprava dávky.</w:t>
      </w:r>
    </w:p>
    <w:p w14:paraId="0E60ACB3" w14:textId="77777777" w:rsidR="00C00ED2" w:rsidRPr="00E65297" w:rsidRDefault="00C00ED2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2DCE0427" w14:textId="77777777" w:rsidR="00C00ED2" w:rsidRPr="00E65297" w:rsidRDefault="00C00ED2" w:rsidP="00C00ED2">
      <w:pPr>
        <w:tabs>
          <w:tab w:val="left" w:pos="2198"/>
        </w:tabs>
        <w:rPr>
          <w:rFonts w:ascii="Times New Roman" w:hAnsi="Times New Roman" w:cs="Times New Roman"/>
          <w:i/>
          <w:sz w:val="22"/>
        </w:rPr>
      </w:pPr>
      <w:r w:rsidRPr="00E65297">
        <w:rPr>
          <w:rFonts w:ascii="Times New Roman" w:hAnsi="Times New Roman" w:cs="Times New Roman"/>
          <w:i/>
          <w:sz w:val="22"/>
          <w:u w:val="single"/>
        </w:rPr>
        <w:t>Pacienti s poruchou funkcie pečene</w:t>
      </w:r>
    </w:p>
    <w:p w14:paraId="53821DB0" w14:textId="77777777" w:rsidR="00F818B5" w:rsidRPr="00E65297" w:rsidRDefault="005C7C37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U pacientov s miernou až stredne </w:t>
      </w:r>
      <w:r w:rsidR="00EE54BB" w:rsidRPr="00E65297">
        <w:rPr>
          <w:rFonts w:ascii="Times New Roman" w:hAnsi="Times New Roman" w:cs="Times New Roman"/>
          <w:sz w:val="22"/>
          <w:szCs w:val="22"/>
        </w:rPr>
        <w:t xml:space="preserve">ťažkou </w:t>
      </w:r>
      <w:proofErr w:type="spellStart"/>
      <w:r w:rsidR="005A14EA" w:rsidRPr="00E65297">
        <w:rPr>
          <w:rFonts w:ascii="Times New Roman" w:hAnsi="Times New Roman" w:cs="Times New Roman"/>
          <w:sz w:val="22"/>
          <w:szCs w:val="22"/>
        </w:rPr>
        <w:t>hepatálnou</w:t>
      </w:r>
      <w:proofErr w:type="spellEnd"/>
      <w:r w:rsidR="005A14EA" w:rsidRPr="00E65297">
        <w:rPr>
          <w:rFonts w:ascii="Times New Roman" w:hAnsi="Times New Roman" w:cs="Times New Roman"/>
          <w:sz w:val="22"/>
          <w:szCs w:val="22"/>
        </w:rPr>
        <w:t xml:space="preserve"> insuficienciou </w:t>
      </w:r>
      <w:r w:rsidRPr="00E65297">
        <w:rPr>
          <w:rFonts w:ascii="Times New Roman" w:hAnsi="Times New Roman" w:cs="Times New Roman"/>
          <w:sz w:val="22"/>
          <w:szCs w:val="22"/>
        </w:rPr>
        <w:t xml:space="preserve">nie je potrebná úprava dávky (pozri tiež </w:t>
      </w:r>
      <w:r w:rsidR="00A22585" w:rsidRPr="00E65297">
        <w:rPr>
          <w:rFonts w:ascii="Times New Roman" w:hAnsi="Times New Roman" w:cs="Times New Roman"/>
          <w:sz w:val="22"/>
          <w:szCs w:val="22"/>
        </w:rPr>
        <w:t xml:space="preserve">časť </w:t>
      </w:r>
      <w:r w:rsidRPr="00E65297">
        <w:rPr>
          <w:rFonts w:ascii="Times New Roman" w:hAnsi="Times New Roman" w:cs="Times New Roman"/>
          <w:sz w:val="22"/>
          <w:szCs w:val="22"/>
        </w:rPr>
        <w:t>4.3 Kontraindikácie).</w:t>
      </w:r>
    </w:p>
    <w:p w14:paraId="41B9DAC1" w14:textId="77777777" w:rsidR="00F05DFA" w:rsidRPr="00E65297" w:rsidRDefault="00F05DFA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1209F495" w14:textId="77777777" w:rsidR="0091430F" w:rsidRPr="0026053A" w:rsidRDefault="0091430F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26053A">
        <w:rPr>
          <w:rFonts w:ascii="Times New Roman" w:hAnsi="Times New Roman" w:cs="Times New Roman"/>
          <w:i/>
          <w:sz w:val="22"/>
          <w:szCs w:val="22"/>
          <w:u w:val="single"/>
        </w:rPr>
        <w:t>Pediatrická populácia</w:t>
      </w:r>
    </w:p>
    <w:p w14:paraId="22F8C322" w14:textId="77777777" w:rsidR="0091430F" w:rsidRPr="00E65297" w:rsidRDefault="0091430F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  <w:szCs w:val="22"/>
        </w:rPr>
      </w:pPr>
    </w:p>
    <w:p w14:paraId="3C62C25F" w14:textId="77777777" w:rsidR="006B49DA" w:rsidRPr="00E65297" w:rsidRDefault="006B49DA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Bezpečnosť a účinnosť </w:t>
      </w:r>
      <w:proofErr w:type="spellStart"/>
      <w:r w:rsidR="00542309"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="00A22585" w:rsidRPr="00E65297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u detí vo veku </w:t>
      </w:r>
      <w:r w:rsidR="00625405" w:rsidRPr="00E65297">
        <w:rPr>
          <w:rFonts w:ascii="Times New Roman" w:hAnsi="Times New Roman" w:cs="Times New Roman"/>
          <w:sz w:val="22"/>
          <w:szCs w:val="22"/>
        </w:rPr>
        <w:t xml:space="preserve">do 18 </w:t>
      </w:r>
      <w:r w:rsidRPr="00E65297">
        <w:rPr>
          <w:rFonts w:ascii="Times New Roman" w:hAnsi="Times New Roman" w:cs="Times New Roman"/>
          <w:sz w:val="22"/>
          <w:szCs w:val="22"/>
        </w:rPr>
        <w:t>rokov</w:t>
      </w:r>
      <w:r w:rsidR="00625405" w:rsidRPr="00E65297">
        <w:rPr>
          <w:rFonts w:ascii="Times New Roman" w:hAnsi="Times New Roman" w:cs="Times New Roman"/>
          <w:sz w:val="22"/>
          <w:szCs w:val="22"/>
        </w:rPr>
        <w:t xml:space="preserve"> </w:t>
      </w:r>
      <w:r w:rsidRPr="00E65297">
        <w:rPr>
          <w:rFonts w:ascii="Times New Roman" w:hAnsi="Times New Roman" w:cs="Times New Roman"/>
          <w:sz w:val="22"/>
          <w:szCs w:val="22"/>
        </w:rPr>
        <w:t>neboli doteraz stanovené.</w:t>
      </w:r>
    </w:p>
    <w:p w14:paraId="33C79A3E" w14:textId="77777777" w:rsidR="00F05DFA" w:rsidRPr="00E65297" w:rsidRDefault="006B49DA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V súčasnosti dostupné údaje </w:t>
      </w:r>
      <w:r w:rsidR="00FF5095" w:rsidRPr="00E65297">
        <w:rPr>
          <w:rFonts w:ascii="Times New Roman" w:hAnsi="Times New Roman" w:cs="Times New Roman"/>
          <w:sz w:val="22"/>
          <w:szCs w:val="22"/>
        </w:rPr>
        <w:t xml:space="preserve">sú </w:t>
      </w:r>
      <w:r w:rsidRPr="00E65297">
        <w:rPr>
          <w:rFonts w:ascii="Times New Roman" w:hAnsi="Times New Roman" w:cs="Times New Roman"/>
          <w:sz w:val="22"/>
          <w:szCs w:val="22"/>
        </w:rPr>
        <w:t>opísané v časti 5.1.</w:t>
      </w:r>
    </w:p>
    <w:p w14:paraId="0B750D4D" w14:textId="77777777" w:rsidR="0091430F" w:rsidRPr="00E65297" w:rsidRDefault="0091430F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248BEF1C" w14:textId="77777777" w:rsidR="0091430F" w:rsidRPr="00E65297" w:rsidRDefault="0091430F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  <w:szCs w:val="22"/>
          <w:u w:val="single"/>
        </w:rPr>
      </w:pPr>
      <w:r w:rsidRPr="00E65297">
        <w:rPr>
          <w:rFonts w:ascii="Times New Roman" w:hAnsi="Times New Roman" w:cs="Times New Roman"/>
          <w:sz w:val="22"/>
          <w:szCs w:val="22"/>
          <w:u w:val="single"/>
        </w:rPr>
        <w:t>Spôsob podávania</w:t>
      </w:r>
    </w:p>
    <w:p w14:paraId="2760B820" w14:textId="77777777" w:rsidR="00C00ED2" w:rsidRPr="00E65297" w:rsidRDefault="00C00ED2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</w:rPr>
      </w:pPr>
    </w:p>
    <w:p w14:paraId="44846AE2" w14:textId="77777777" w:rsidR="00A22585" w:rsidRPr="00E65297" w:rsidRDefault="00C00ED2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</w:rPr>
        <w:t>Perorálne použitie.</w:t>
      </w:r>
    </w:p>
    <w:p w14:paraId="27052FFA" w14:textId="77777777" w:rsidR="00C00ED2" w:rsidRPr="00E65297" w:rsidRDefault="00C00ED2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0D0E556D" w14:textId="77777777" w:rsidR="00E8470C" w:rsidRPr="00E65297" w:rsidRDefault="0091430F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>Kapsuly sa</w:t>
      </w:r>
      <w:r w:rsidR="00A22585" w:rsidRPr="00E65297">
        <w:rPr>
          <w:rFonts w:ascii="Times New Roman" w:hAnsi="Times New Roman" w:cs="Times New Roman"/>
          <w:sz w:val="22"/>
          <w:szCs w:val="22"/>
        </w:rPr>
        <w:t xml:space="preserve"> </w:t>
      </w:r>
      <w:r w:rsidR="00C00ED2" w:rsidRPr="00E65297">
        <w:rPr>
          <w:rFonts w:ascii="Times New Roman" w:hAnsi="Times New Roman" w:cs="Times New Roman"/>
          <w:sz w:val="22"/>
          <w:szCs w:val="22"/>
        </w:rPr>
        <w:t xml:space="preserve">musia prehltnúť </w:t>
      </w:r>
      <w:r w:rsidRPr="00E65297">
        <w:rPr>
          <w:rFonts w:ascii="Times New Roman" w:hAnsi="Times New Roman" w:cs="Times New Roman"/>
          <w:sz w:val="22"/>
          <w:szCs w:val="22"/>
        </w:rPr>
        <w:t>celé a</w:t>
      </w:r>
      <w:r w:rsidR="00C00ED2" w:rsidRPr="00E65297">
        <w:rPr>
          <w:rFonts w:ascii="Times New Roman" w:hAnsi="Times New Roman" w:cs="Times New Roman"/>
          <w:sz w:val="22"/>
          <w:szCs w:val="22"/>
        </w:rPr>
        <w:t xml:space="preserve"> nesmú sa rozdrviť alebo žuť </w:t>
      </w:r>
      <w:r w:rsidRPr="00E65297">
        <w:rPr>
          <w:rFonts w:ascii="Times New Roman" w:hAnsi="Times New Roman" w:cs="Times New Roman"/>
          <w:sz w:val="22"/>
          <w:szCs w:val="22"/>
        </w:rPr>
        <w:t xml:space="preserve">pretože to </w:t>
      </w:r>
      <w:r w:rsidR="00A22585" w:rsidRPr="00E65297">
        <w:rPr>
          <w:rFonts w:ascii="Times New Roman" w:hAnsi="Times New Roman" w:cs="Times New Roman"/>
          <w:sz w:val="22"/>
          <w:szCs w:val="22"/>
        </w:rPr>
        <w:t xml:space="preserve">ovplyvňuje </w:t>
      </w:r>
      <w:r w:rsidR="00AF77F7" w:rsidRPr="00E65297">
        <w:rPr>
          <w:rFonts w:ascii="Times New Roman" w:hAnsi="Times New Roman" w:cs="Times New Roman"/>
          <w:sz w:val="22"/>
          <w:szCs w:val="22"/>
        </w:rPr>
        <w:t>riadené</w:t>
      </w:r>
      <w:r w:rsidRPr="00E65297">
        <w:rPr>
          <w:rFonts w:ascii="Times New Roman" w:hAnsi="Times New Roman" w:cs="Times New Roman"/>
          <w:sz w:val="22"/>
          <w:szCs w:val="22"/>
        </w:rPr>
        <w:t xml:space="preserve"> uvoľňovanie liečiva.</w:t>
      </w:r>
    </w:p>
    <w:p w14:paraId="79EFF4A3" w14:textId="77777777" w:rsidR="0091430F" w:rsidRPr="00E65297" w:rsidRDefault="0091430F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0588FA58" w14:textId="77777777" w:rsidR="00E8470C" w:rsidRPr="00E65297" w:rsidRDefault="00E8470C" w:rsidP="0026053A">
      <w:pPr>
        <w:keepNext/>
        <w:tabs>
          <w:tab w:val="left" w:pos="2198"/>
        </w:tabs>
        <w:ind w:left="567" w:hanging="567"/>
        <w:rPr>
          <w:rFonts w:ascii="Times New Roman" w:hAnsi="Times New Roman" w:cs="Times New Roman"/>
          <w:b/>
          <w:bCs w:val="0"/>
          <w:sz w:val="22"/>
          <w:szCs w:val="22"/>
        </w:rPr>
      </w:pP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4.3</w:t>
      </w:r>
      <w:r w:rsidR="00093898" w:rsidRPr="00E65297">
        <w:rPr>
          <w:rFonts w:ascii="Times New Roman" w:hAnsi="Times New Roman" w:cs="Times New Roman"/>
          <w:sz w:val="22"/>
          <w:szCs w:val="22"/>
        </w:rPr>
        <w:tab/>
      </w: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Kontraindikácie</w:t>
      </w:r>
    </w:p>
    <w:p w14:paraId="72F8AF73" w14:textId="77777777" w:rsidR="00E8470C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  <w:szCs w:val="22"/>
        </w:rPr>
      </w:pPr>
    </w:p>
    <w:p w14:paraId="496FB26F" w14:textId="77777777" w:rsidR="00331D48" w:rsidRPr="00E65297" w:rsidRDefault="003F72DB" w:rsidP="00E65297">
      <w:pPr>
        <w:keepNext/>
        <w:numPr>
          <w:ilvl w:val="0"/>
          <w:numId w:val="5"/>
        </w:numPr>
        <w:tabs>
          <w:tab w:val="left" w:pos="-360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>P</w:t>
      </w:r>
      <w:r w:rsidR="00E8470C" w:rsidRPr="00E65297">
        <w:rPr>
          <w:rFonts w:ascii="Times New Roman" w:hAnsi="Times New Roman" w:cs="Times New Roman"/>
          <w:sz w:val="22"/>
          <w:szCs w:val="22"/>
        </w:rPr>
        <w:t xml:space="preserve">recitlivenosť na </w:t>
      </w:r>
      <w:r w:rsidRPr="00E65297">
        <w:rPr>
          <w:rFonts w:ascii="Times New Roman" w:hAnsi="Times New Roman" w:cs="Times New Roman"/>
          <w:sz w:val="22"/>
          <w:szCs w:val="22"/>
        </w:rPr>
        <w:t>liečivo</w:t>
      </w:r>
      <w:r w:rsidR="00E8470C" w:rsidRPr="00E65297">
        <w:rPr>
          <w:rFonts w:ascii="Times New Roman" w:hAnsi="Times New Roman" w:cs="Times New Roman"/>
          <w:sz w:val="22"/>
          <w:szCs w:val="22"/>
        </w:rPr>
        <w:t xml:space="preserve">, vrátane liečivom indukovaného </w:t>
      </w:r>
      <w:proofErr w:type="spellStart"/>
      <w:r w:rsidR="00E8470C" w:rsidRPr="00E65297">
        <w:rPr>
          <w:rFonts w:ascii="Times New Roman" w:hAnsi="Times New Roman" w:cs="Times New Roman"/>
          <w:sz w:val="22"/>
          <w:szCs w:val="22"/>
        </w:rPr>
        <w:t>angioedému</w:t>
      </w:r>
      <w:proofErr w:type="spellEnd"/>
      <w:r w:rsidR="00E8470C" w:rsidRPr="00E65297">
        <w:rPr>
          <w:rFonts w:ascii="Times New Roman" w:hAnsi="Times New Roman" w:cs="Times New Roman"/>
          <w:sz w:val="22"/>
          <w:szCs w:val="22"/>
        </w:rPr>
        <w:t>, alebo na</w:t>
      </w:r>
      <w:r w:rsidR="00943A14" w:rsidRPr="00E65297">
        <w:rPr>
          <w:rFonts w:ascii="Times New Roman" w:hAnsi="Times New Roman" w:cs="Times New Roman"/>
          <w:sz w:val="22"/>
          <w:szCs w:val="22"/>
        </w:rPr>
        <w:t> </w:t>
      </w:r>
      <w:r w:rsidR="00E8470C" w:rsidRPr="00E65297">
        <w:rPr>
          <w:rFonts w:ascii="Times New Roman" w:hAnsi="Times New Roman" w:cs="Times New Roman"/>
          <w:sz w:val="22"/>
          <w:szCs w:val="22"/>
        </w:rPr>
        <w:t>ktorú</w:t>
      </w:r>
      <w:r w:rsidR="00CE0705" w:rsidRPr="00E65297">
        <w:rPr>
          <w:rFonts w:ascii="Times New Roman" w:hAnsi="Times New Roman" w:cs="Times New Roman"/>
          <w:sz w:val="22"/>
          <w:szCs w:val="22"/>
        </w:rPr>
        <w:t>koľvek</w:t>
      </w:r>
      <w:r w:rsidR="00E8470C" w:rsidRPr="00E65297">
        <w:rPr>
          <w:rFonts w:ascii="Times New Roman" w:hAnsi="Times New Roman" w:cs="Times New Roman"/>
          <w:sz w:val="22"/>
          <w:szCs w:val="22"/>
        </w:rPr>
        <w:t xml:space="preserve"> z pomocných látok </w:t>
      </w:r>
      <w:r w:rsidR="003350D5" w:rsidRPr="00E65297">
        <w:rPr>
          <w:rFonts w:ascii="Times New Roman" w:hAnsi="Times New Roman" w:cs="Times New Roman"/>
          <w:sz w:val="22"/>
          <w:szCs w:val="22"/>
        </w:rPr>
        <w:t>uvedených v časti 6.1</w:t>
      </w:r>
      <w:r w:rsidR="00E8470C" w:rsidRPr="00E65297">
        <w:rPr>
          <w:rFonts w:ascii="Times New Roman" w:hAnsi="Times New Roman" w:cs="Times New Roman"/>
          <w:sz w:val="22"/>
          <w:szCs w:val="22"/>
        </w:rPr>
        <w:t>.</w:t>
      </w:r>
    </w:p>
    <w:p w14:paraId="5D1D1647" w14:textId="77777777" w:rsidR="00331D48" w:rsidRPr="00E65297" w:rsidRDefault="00331D48" w:rsidP="00E65297">
      <w:pPr>
        <w:numPr>
          <w:ilvl w:val="0"/>
          <w:numId w:val="5"/>
        </w:numPr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proofErr w:type="spellStart"/>
      <w:r w:rsidRPr="00E65297">
        <w:rPr>
          <w:rFonts w:ascii="Times New Roman" w:hAnsi="Times New Roman" w:cs="Times New Roman"/>
          <w:sz w:val="22"/>
          <w:szCs w:val="22"/>
        </w:rPr>
        <w:t>O</w:t>
      </w:r>
      <w:r w:rsidR="00E8470C" w:rsidRPr="00E65297">
        <w:rPr>
          <w:rFonts w:ascii="Times New Roman" w:hAnsi="Times New Roman" w:cs="Times New Roman"/>
          <w:sz w:val="22"/>
          <w:szCs w:val="22"/>
        </w:rPr>
        <w:t>rtostatick</w:t>
      </w:r>
      <w:r w:rsidRPr="00E65297">
        <w:rPr>
          <w:rFonts w:ascii="Times New Roman" w:hAnsi="Times New Roman" w:cs="Times New Roman"/>
          <w:sz w:val="22"/>
          <w:szCs w:val="22"/>
        </w:rPr>
        <w:t>á</w:t>
      </w:r>
      <w:proofErr w:type="spellEnd"/>
      <w:r w:rsidR="00E8470C" w:rsidRPr="00E65297">
        <w:rPr>
          <w:rFonts w:ascii="Times New Roman" w:hAnsi="Times New Roman" w:cs="Times New Roman"/>
          <w:sz w:val="22"/>
          <w:szCs w:val="22"/>
        </w:rPr>
        <w:t xml:space="preserve"> hypotenzi</w:t>
      </w:r>
      <w:r w:rsidRPr="00E65297">
        <w:rPr>
          <w:rFonts w:ascii="Times New Roman" w:hAnsi="Times New Roman" w:cs="Times New Roman"/>
          <w:sz w:val="22"/>
          <w:szCs w:val="22"/>
        </w:rPr>
        <w:t>a v anamnéze</w:t>
      </w:r>
      <w:r w:rsidR="00E8470C" w:rsidRPr="00E65297">
        <w:rPr>
          <w:rFonts w:ascii="Times New Roman" w:hAnsi="Times New Roman" w:cs="Times New Roman"/>
          <w:sz w:val="22"/>
          <w:szCs w:val="22"/>
        </w:rPr>
        <w:t>.</w:t>
      </w:r>
    </w:p>
    <w:p w14:paraId="3FEC8659" w14:textId="77777777" w:rsidR="00E8470C" w:rsidRPr="00E65297" w:rsidRDefault="00E253F4" w:rsidP="00E65297">
      <w:pPr>
        <w:numPr>
          <w:ilvl w:val="0"/>
          <w:numId w:val="5"/>
        </w:numPr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Ťažká </w:t>
      </w:r>
      <w:proofErr w:type="spellStart"/>
      <w:r w:rsidR="005A14EA" w:rsidRPr="00E65297">
        <w:rPr>
          <w:rFonts w:ascii="Times New Roman" w:hAnsi="Times New Roman" w:cs="Times New Roman"/>
          <w:sz w:val="22"/>
          <w:szCs w:val="22"/>
        </w:rPr>
        <w:t>hepatálna</w:t>
      </w:r>
      <w:proofErr w:type="spellEnd"/>
      <w:r w:rsidR="005A14EA" w:rsidRPr="00E652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A14EA" w:rsidRPr="00E65297">
        <w:rPr>
          <w:rFonts w:ascii="Times New Roman" w:hAnsi="Times New Roman" w:cs="Times New Roman"/>
          <w:sz w:val="22"/>
          <w:szCs w:val="22"/>
        </w:rPr>
        <w:t>insuficiencia</w:t>
      </w:r>
      <w:proofErr w:type="spellEnd"/>
      <w:r w:rsidR="00E8470C" w:rsidRPr="00E65297">
        <w:rPr>
          <w:rFonts w:ascii="Times New Roman" w:hAnsi="Times New Roman" w:cs="Times New Roman"/>
          <w:sz w:val="22"/>
          <w:szCs w:val="22"/>
        </w:rPr>
        <w:t>.</w:t>
      </w:r>
    </w:p>
    <w:p w14:paraId="6FEAD507" w14:textId="77777777" w:rsidR="00F05DFA" w:rsidRPr="00E65297" w:rsidRDefault="00F05DFA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1EFB5F70" w14:textId="77777777" w:rsidR="00E8470C" w:rsidRPr="00E65297" w:rsidRDefault="00E8470C" w:rsidP="005A14EA">
      <w:pPr>
        <w:keepNext/>
        <w:tabs>
          <w:tab w:val="left" w:pos="567"/>
          <w:tab w:val="left" w:pos="2198"/>
        </w:tabs>
        <w:ind w:left="482" w:hanging="482"/>
        <w:rPr>
          <w:rFonts w:ascii="Times New Roman" w:hAnsi="Times New Roman" w:cs="Times New Roman"/>
          <w:b/>
          <w:bCs w:val="0"/>
          <w:sz w:val="22"/>
          <w:szCs w:val="22"/>
        </w:rPr>
      </w:pP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4.4</w:t>
      </w:r>
      <w:r w:rsidR="00B77F64" w:rsidRPr="00E65297">
        <w:rPr>
          <w:rFonts w:ascii="Times New Roman" w:hAnsi="Times New Roman" w:cs="Times New Roman"/>
          <w:sz w:val="22"/>
          <w:szCs w:val="22"/>
        </w:rPr>
        <w:tab/>
      </w: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Osobitné upozornenia a opatrenia pri používaní</w:t>
      </w:r>
    </w:p>
    <w:p w14:paraId="2C8902C3" w14:textId="77777777" w:rsidR="00E8470C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  <w:szCs w:val="22"/>
        </w:rPr>
      </w:pPr>
    </w:p>
    <w:p w14:paraId="1F3BB9B9" w14:textId="77777777" w:rsidR="00702E38" w:rsidRPr="00E65297" w:rsidRDefault="00702E38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>Podobne ako v prípade iných antagonistov α</w:t>
      </w:r>
      <w:r w:rsidRPr="00E65297">
        <w:rPr>
          <w:rFonts w:ascii="Times New Roman" w:hAnsi="Times New Roman" w:cs="Times New Roman"/>
          <w:sz w:val="22"/>
          <w:szCs w:val="22"/>
          <w:vertAlign w:val="subscript"/>
        </w:rPr>
        <w:t>1</w:t>
      </w:r>
      <w:r w:rsidRPr="00E65297">
        <w:rPr>
          <w:rFonts w:ascii="Times New Roman" w:hAnsi="Times New Roman" w:cs="Times New Roman"/>
          <w:sz w:val="22"/>
          <w:szCs w:val="22"/>
        </w:rPr>
        <w:t xml:space="preserve">-adrenoreceptorov môže dôjsť pri liečbe </w:t>
      </w:r>
      <w:proofErr w:type="spellStart"/>
      <w:r w:rsidR="005D0A27"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="005D0A27" w:rsidRPr="00E65297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v ojedinelých prípadoch k poklesu krvného tlaku, dôsledkom čoho môže byť v zriedkavých prípadoch náhle prechodné bezvedomie</w:t>
      </w:r>
      <w:r w:rsidR="00740F56" w:rsidRPr="00E65297">
        <w:rPr>
          <w:rFonts w:ascii="Times New Roman" w:hAnsi="Times New Roman" w:cs="Times New Roman"/>
          <w:sz w:val="22"/>
          <w:szCs w:val="22"/>
        </w:rPr>
        <w:t xml:space="preserve"> (synkopa)</w:t>
      </w:r>
      <w:r w:rsidRPr="00E65297">
        <w:rPr>
          <w:rFonts w:ascii="Times New Roman" w:hAnsi="Times New Roman" w:cs="Times New Roman"/>
          <w:sz w:val="22"/>
          <w:szCs w:val="22"/>
        </w:rPr>
        <w:t>. Pri prvých pr</w:t>
      </w:r>
      <w:r w:rsidR="00B77F64" w:rsidRPr="00E65297">
        <w:rPr>
          <w:rFonts w:ascii="Times New Roman" w:hAnsi="Times New Roman" w:cs="Times New Roman"/>
          <w:sz w:val="22"/>
          <w:szCs w:val="22"/>
        </w:rPr>
        <w:t>ejavoch</w:t>
      </w:r>
      <w:r w:rsidRPr="00E652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ortostatickej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hypotenzie (závrat, slabosť) si má pacient sadnúť alebo ľahnúť, kým tieto príznaky nevymiznú.</w:t>
      </w:r>
    </w:p>
    <w:p w14:paraId="5150C19A" w14:textId="77777777" w:rsidR="00A533EC" w:rsidRPr="00E65297" w:rsidRDefault="00A533EC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22201128" w14:textId="77777777" w:rsidR="00702E38" w:rsidRPr="00E65297" w:rsidRDefault="00702E38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Pred začiatkom liečby </w:t>
      </w:r>
      <w:proofErr w:type="spellStart"/>
      <w:r w:rsidR="00A533EC"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="00A533EC" w:rsidRPr="00E65297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A533EC" w:rsidRPr="00E65297">
        <w:rPr>
          <w:rFonts w:ascii="Times New Roman" w:hAnsi="Times New Roman" w:cs="Times New Roman"/>
          <w:sz w:val="22"/>
          <w:szCs w:val="22"/>
        </w:rPr>
        <w:t xml:space="preserve"> </w:t>
      </w:r>
      <w:r w:rsidRPr="00E65297">
        <w:rPr>
          <w:rFonts w:ascii="Times New Roman" w:hAnsi="Times New Roman" w:cs="Times New Roman"/>
          <w:sz w:val="22"/>
          <w:szCs w:val="22"/>
        </w:rPr>
        <w:t xml:space="preserve">má byť pacient vyšetrený tak, aby sa vylúčila prítomnosť iného ochorenia, prejavujúceho sa rovnakými príznakmi ako benígna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hyperplázia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prostaty. Pred začiatkom liečby a potom v pravidelných intervaloch sa má vykonávať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palpačné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77F64" w:rsidRPr="00E65297">
        <w:rPr>
          <w:rFonts w:ascii="Times New Roman" w:hAnsi="Times New Roman" w:cs="Times New Roman"/>
          <w:sz w:val="22"/>
          <w:szCs w:val="22"/>
        </w:rPr>
        <w:t>rektálne</w:t>
      </w:r>
      <w:proofErr w:type="spellEnd"/>
      <w:r w:rsidR="00B77F64" w:rsidRPr="00E65297">
        <w:rPr>
          <w:rFonts w:ascii="Times New Roman" w:hAnsi="Times New Roman" w:cs="Times New Roman"/>
          <w:sz w:val="22"/>
          <w:szCs w:val="22"/>
        </w:rPr>
        <w:t xml:space="preserve"> </w:t>
      </w:r>
      <w:r w:rsidRPr="00E65297">
        <w:rPr>
          <w:rFonts w:ascii="Times New Roman" w:hAnsi="Times New Roman" w:cs="Times New Roman"/>
          <w:sz w:val="22"/>
          <w:szCs w:val="22"/>
        </w:rPr>
        <w:t>vyšetrenie a</w:t>
      </w:r>
      <w:r w:rsidR="00A533EC" w:rsidRPr="00E65297">
        <w:rPr>
          <w:rFonts w:ascii="Times New Roman" w:hAnsi="Times New Roman" w:cs="Times New Roman"/>
          <w:sz w:val="22"/>
          <w:szCs w:val="22"/>
        </w:rPr>
        <w:t> </w:t>
      </w:r>
      <w:r w:rsidRPr="00E65297">
        <w:rPr>
          <w:rFonts w:ascii="Times New Roman" w:hAnsi="Times New Roman" w:cs="Times New Roman"/>
          <w:sz w:val="22"/>
          <w:szCs w:val="22"/>
        </w:rPr>
        <w:t>v</w:t>
      </w:r>
      <w:r w:rsidR="00A533EC" w:rsidRPr="00E65297">
        <w:rPr>
          <w:rFonts w:ascii="Times New Roman" w:hAnsi="Times New Roman" w:cs="Times New Roman"/>
          <w:sz w:val="22"/>
          <w:szCs w:val="22"/>
        </w:rPr>
        <w:t> </w:t>
      </w:r>
      <w:r w:rsidRPr="00E65297">
        <w:rPr>
          <w:rFonts w:ascii="Times New Roman" w:hAnsi="Times New Roman" w:cs="Times New Roman"/>
          <w:sz w:val="22"/>
          <w:szCs w:val="22"/>
        </w:rPr>
        <w:t xml:space="preserve">prípade potreby i stanovenie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prostatického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špecifického antigénu (PSA).</w:t>
      </w:r>
    </w:p>
    <w:p w14:paraId="433EE7B3" w14:textId="77777777" w:rsidR="00E8470C" w:rsidRPr="00E65297" w:rsidRDefault="00E8470C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5F4B9265" w14:textId="77777777" w:rsidR="00E8470C" w:rsidRPr="00E65297" w:rsidRDefault="00E8470C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>Liečba pacientov s vážnym poškodením obličiek (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klírens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kreatinínu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&lt; 10 ml/min) má prebiehať s opatrnosťou, keďže táto skupina pacientov nebola sledovaná.</w:t>
      </w:r>
    </w:p>
    <w:p w14:paraId="713C1AC2" w14:textId="77777777" w:rsidR="00E8470C" w:rsidRPr="00E65297" w:rsidRDefault="00E8470C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29DB7E29" w14:textId="77777777" w:rsidR="00E8470C" w:rsidRPr="00E65297" w:rsidRDefault="00E8470C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Po užití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Pr="00E65297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bol zriedkavo hlásený výskyt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angioedému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. V prípade výskytu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angioedému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sa má liečba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Pr="00E65297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okamžite </w:t>
      </w:r>
      <w:r w:rsidR="00B77F64" w:rsidRPr="00E65297">
        <w:rPr>
          <w:rFonts w:ascii="Times New Roman" w:hAnsi="Times New Roman" w:cs="Times New Roman"/>
          <w:sz w:val="22"/>
          <w:szCs w:val="22"/>
        </w:rPr>
        <w:t>ukončiť</w:t>
      </w:r>
      <w:r w:rsidRPr="00E65297">
        <w:rPr>
          <w:rFonts w:ascii="Times New Roman" w:hAnsi="Times New Roman" w:cs="Times New Roman"/>
          <w:sz w:val="22"/>
          <w:szCs w:val="22"/>
        </w:rPr>
        <w:t>, pacient má byť monitorovaný až do vymiznutia edému a 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</w:t>
      </w:r>
      <w:r w:rsidR="00E03B65" w:rsidRPr="00E65297">
        <w:rPr>
          <w:rFonts w:ascii="Times New Roman" w:hAnsi="Times New Roman" w:cs="Times New Roman"/>
          <w:sz w:val="22"/>
          <w:szCs w:val="22"/>
        </w:rPr>
        <w:t xml:space="preserve">sa </w:t>
      </w:r>
      <w:r w:rsidRPr="00E65297">
        <w:rPr>
          <w:rFonts w:ascii="Times New Roman" w:hAnsi="Times New Roman" w:cs="Times New Roman"/>
          <w:sz w:val="22"/>
          <w:szCs w:val="22"/>
        </w:rPr>
        <w:t xml:space="preserve">už </w:t>
      </w:r>
      <w:r w:rsidR="00E03B65" w:rsidRPr="00E65297">
        <w:rPr>
          <w:rFonts w:ascii="Times New Roman" w:hAnsi="Times New Roman" w:cs="Times New Roman"/>
          <w:sz w:val="22"/>
          <w:szCs w:val="22"/>
        </w:rPr>
        <w:t xml:space="preserve">nesmie znovu </w:t>
      </w:r>
      <w:r w:rsidRPr="00E65297">
        <w:rPr>
          <w:rFonts w:ascii="Times New Roman" w:hAnsi="Times New Roman" w:cs="Times New Roman"/>
          <w:sz w:val="22"/>
          <w:szCs w:val="22"/>
        </w:rPr>
        <w:t>podávať.</w:t>
      </w:r>
    </w:p>
    <w:p w14:paraId="6483C422" w14:textId="77777777" w:rsidR="00E8470C" w:rsidRPr="00E65297" w:rsidRDefault="00E8470C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2E083301" w14:textId="77777777" w:rsidR="00E8470C" w:rsidRPr="00E65297" w:rsidRDefault="00E8470C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>V priebehu operácie katarakty</w:t>
      </w:r>
      <w:r w:rsidR="00A22585" w:rsidRPr="00E65297">
        <w:rPr>
          <w:rFonts w:ascii="Times New Roman" w:hAnsi="Times New Roman" w:cs="Times New Roman"/>
          <w:sz w:val="22"/>
          <w:szCs w:val="22"/>
        </w:rPr>
        <w:t xml:space="preserve"> </w:t>
      </w:r>
      <w:r w:rsidR="00385EE2" w:rsidRPr="00E65297">
        <w:rPr>
          <w:rFonts w:ascii="Times New Roman" w:hAnsi="Times New Roman" w:cs="Times New Roman"/>
          <w:sz w:val="22"/>
          <w:szCs w:val="22"/>
        </w:rPr>
        <w:t xml:space="preserve">alebo </w:t>
      </w:r>
      <w:proofErr w:type="spellStart"/>
      <w:r w:rsidR="00385EE2" w:rsidRPr="00E65297">
        <w:rPr>
          <w:rFonts w:ascii="Times New Roman" w:hAnsi="Times New Roman" w:cs="Times New Roman"/>
          <w:sz w:val="22"/>
          <w:szCs w:val="22"/>
        </w:rPr>
        <w:t>glaukómu</w:t>
      </w:r>
      <w:proofErr w:type="spellEnd"/>
      <w:r w:rsidR="00385EE2" w:rsidRPr="00E65297">
        <w:rPr>
          <w:rFonts w:ascii="Times New Roman" w:hAnsi="Times New Roman" w:cs="Times New Roman"/>
          <w:sz w:val="22"/>
          <w:szCs w:val="22"/>
        </w:rPr>
        <w:t xml:space="preserve"> </w:t>
      </w:r>
      <w:r w:rsidRPr="00E65297">
        <w:rPr>
          <w:rFonts w:ascii="Times New Roman" w:hAnsi="Times New Roman" w:cs="Times New Roman"/>
          <w:sz w:val="22"/>
          <w:szCs w:val="22"/>
        </w:rPr>
        <w:t xml:space="preserve">sa u niektorých pacientov súčasne alebo v minulosti liečených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Pr="00E65297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pozoroval syndróm vlajúcej dúhovky</w:t>
      </w:r>
      <w:r w:rsidR="007735F9" w:rsidRPr="00E65297">
        <w:rPr>
          <w:rFonts w:ascii="Times New Roman" w:hAnsi="Times New Roman" w:cs="Times New Roman"/>
          <w:sz w:val="22"/>
          <w:szCs w:val="22"/>
        </w:rPr>
        <w:t xml:space="preserve"> </w:t>
      </w:r>
      <w:r w:rsidRPr="00E65297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Intraoperative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Floppy Iris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Syndrome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>, IFIS, variant syndrómu zúženej zrenice). IFIS môže zvýš</w:t>
      </w:r>
      <w:r w:rsidR="007D79A5" w:rsidRPr="00E65297">
        <w:rPr>
          <w:rFonts w:ascii="Times New Roman" w:hAnsi="Times New Roman" w:cs="Times New Roman"/>
          <w:sz w:val="22"/>
          <w:szCs w:val="22"/>
        </w:rPr>
        <w:t>iť</w:t>
      </w:r>
      <w:r w:rsidRPr="00E65297">
        <w:rPr>
          <w:rFonts w:ascii="Times New Roman" w:hAnsi="Times New Roman" w:cs="Times New Roman"/>
          <w:sz w:val="22"/>
          <w:szCs w:val="22"/>
        </w:rPr>
        <w:t xml:space="preserve"> </w:t>
      </w:r>
      <w:r w:rsidR="007D79A5" w:rsidRPr="00E65297">
        <w:rPr>
          <w:rFonts w:ascii="Times New Roman" w:hAnsi="Times New Roman" w:cs="Times New Roman"/>
          <w:sz w:val="22"/>
          <w:szCs w:val="22"/>
        </w:rPr>
        <w:t>riziko očných</w:t>
      </w:r>
      <w:r w:rsidRPr="00E65297">
        <w:rPr>
          <w:rFonts w:ascii="Times New Roman" w:hAnsi="Times New Roman" w:cs="Times New Roman"/>
          <w:sz w:val="22"/>
          <w:szCs w:val="22"/>
        </w:rPr>
        <w:t xml:space="preserve"> komplikácií počas</w:t>
      </w:r>
      <w:r w:rsidR="007D79A5" w:rsidRPr="00E65297">
        <w:rPr>
          <w:rFonts w:ascii="Times New Roman" w:hAnsi="Times New Roman" w:cs="Times New Roman"/>
          <w:sz w:val="22"/>
          <w:szCs w:val="22"/>
        </w:rPr>
        <w:t xml:space="preserve"> a po</w:t>
      </w:r>
      <w:r w:rsidRPr="00E65297">
        <w:rPr>
          <w:rFonts w:ascii="Times New Roman" w:hAnsi="Times New Roman" w:cs="Times New Roman"/>
          <w:sz w:val="22"/>
          <w:szCs w:val="22"/>
        </w:rPr>
        <w:t xml:space="preserve"> operáci</w:t>
      </w:r>
      <w:r w:rsidR="007D79A5" w:rsidRPr="00E65297">
        <w:rPr>
          <w:rFonts w:ascii="Times New Roman" w:hAnsi="Times New Roman" w:cs="Times New Roman"/>
          <w:sz w:val="22"/>
          <w:szCs w:val="22"/>
        </w:rPr>
        <w:t>i</w:t>
      </w:r>
      <w:r w:rsidRPr="00E65297">
        <w:rPr>
          <w:rFonts w:ascii="Times New Roman" w:hAnsi="Times New Roman" w:cs="Times New Roman"/>
          <w:sz w:val="22"/>
          <w:szCs w:val="22"/>
        </w:rPr>
        <w:t>.</w:t>
      </w:r>
    </w:p>
    <w:p w14:paraId="0B99815D" w14:textId="77777777" w:rsidR="00E8470C" w:rsidRPr="00E65297" w:rsidRDefault="00E8470C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1B0471A7" w14:textId="77777777" w:rsidR="00E8470C" w:rsidRPr="00E65297" w:rsidRDefault="00E8470C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Prerušenie liečby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="00385EE2" w:rsidRPr="00E65297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1-2 týždne pred operáciou katarakty</w:t>
      </w:r>
      <w:r w:rsidR="00542309" w:rsidRPr="00E65297">
        <w:rPr>
          <w:rFonts w:ascii="Times New Roman" w:hAnsi="Times New Roman" w:cs="Times New Roman"/>
          <w:sz w:val="22"/>
          <w:szCs w:val="22"/>
        </w:rPr>
        <w:t xml:space="preserve"> </w:t>
      </w:r>
      <w:r w:rsidR="00385EE2" w:rsidRPr="00E65297">
        <w:rPr>
          <w:rFonts w:ascii="Times New Roman" w:hAnsi="Times New Roman" w:cs="Times New Roman"/>
          <w:sz w:val="22"/>
          <w:szCs w:val="22"/>
        </w:rPr>
        <w:t xml:space="preserve">alebo </w:t>
      </w:r>
      <w:proofErr w:type="spellStart"/>
      <w:r w:rsidR="00385EE2" w:rsidRPr="00E65297">
        <w:rPr>
          <w:rFonts w:ascii="Times New Roman" w:hAnsi="Times New Roman" w:cs="Times New Roman"/>
          <w:sz w:val="22"/>
          <w:szCs w:val="22"/>
        </w:rPr>
        <w:t>glaukómu</w:t>
      </w:r>
      <w:proofErr w:type="spellEnd"/>
      <w:r w:rsidR="00385EE2" w:rsidRPr="00E65297">
        <w:rPr>
          <w:rFonts w:ascii="Times New Roman" w:hAnsi="Times New Roman" w:cs="Times New Roman"/>
          <w:sz w:val="22"/>
          <w:szCs w:val="22"/>
        </w:rPr>
        <w:t xml:space="preserve"> </w:t>
      </w:r>
      <w:r w:rsidRPr="00E65297">
        <w:rPr>
          <w:rFonts w:ascii="Times New Roman" w:hAnsi="Times New Roman" w:cs="Times New Roman"/>
          <w:sz w:val="22"/>
          <w:szCs w:val="22"/>
        </w:rPr>
        <w:t xml:space="preserve">sa vo všeobecnosti považuje za prospešné, </w:t>
      </w:r>
      <w:r w:rsidR="003A0A1F" w:rsidRPr="00E65297">
        <w:rPr>
          <w:rFonts w:ascii="Times New Roman" w:hAnsi="Times New Roman" w:cs="Times New Roman"/>
          <w:sz w:val="22"/>
          <w:szCs w:val="22"/>
        </w:rPr>
        <w:t>ale prínos prerušenia liečby nebol zatiaľ potvrdený. IFIS bol hlásený aj u pacientov, u</w:t>
      </w:r>
      <w:r w:rsidR="00C8629C" w:rsidRPr="00E65297">
        <w:rPr>
          <w:rFonts w:ascii="Times New Roman" w:hAnsi="Times New Roman" w:cs="Times New Roman"/>
          <w:sz w:val="22"/>
          <w:szCs w:val="22"/>
        </w:rPr>
        <w:t> </w:t>
      </w:r>
      <w:r w:rsidR="003A0A1F" w:rsidRPr="00E65297">
        <w:rPr>
          <w:rFonts w:ascii="Times New Roman" w:hAnsi="Times New Roman" w:cs="Times New Roman"/>
          <w:sz w:val="22"/>
          <w:szCs w:val="22"/>
        </w:rPr>
        <w:t xml:space="preserve">ktorých bola prerušená liečba </w:t>
      </w:r>
      <w:proofErr w:type="spellStart"/>
      <w:r w:rsidR="00C8629C"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="00C8629C" w:rsidRPr="00E65297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C8629C" w:rsidRPr="00E65297">
        <w:rPr>
          <w:rFonts w:ascii="Times New Roman" w:hAnsi="Times New Roman" w:cs="Times New Roman"/>
          <w:sz w:val="22"/>
          <w:szCs w:val="22"/>
        </w:rPr>
        <w:t xml:space="preserve"> </w:t>
      </w:r>
      <w:r w:rsidR="003A0A1F" w:rsidRPr="00E65297">
        <w:rPr>
          <w:rFonts w:ascii="Times New Roman" w:hAnsi="Times New Roman" w:cs="Times New Roman"/>
          <w:sz w:val="22"/>
          <w:szCs w:val="22"/>
        </w:rPr>
        <w:t xml:space="preserve">dlhšie obdobie pred operáciou </w:t>
      </w:r>
      <w:r w:rsidR="00CB2677" w:rsidRPr="00E65297">
        <w:rPr>
          <w:rFonts w:ascii="Times New Roman" w:hAnsi="Times New Roman" w:cs="Times New Roman"/>
          <w:sz w:val="22"/>
          <w:szCs w:val="22"/>
        </w:rPr>
        <w:t>katarakty</w:t>
      </w:r>
      <w:r w:rsidR="00385EE2" w:rsidRPr="00E65297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="00385EE2" w:rsidRPr="00E65297">
        <w:rPr>
          <w:rFonts w:ascii="Times New Roman" w:hAnsi="Times New Roman" w:cs="Times New Roman"/>
          <w:sz w:val="22"/>
          <w:szCs w:val="22"/>
        </w:rPr>
        <w:t>glaukómu</w:t>
      </w:r>
      <w:proofErr w:type="spellEnd"/>
      <w:r w:rsidR="003A0A1F" w:rsidRPr="00E65297">
        <w:rPr>
          <w:rFonts w:ascii="Times New Roman" w:hAnsi="Times New Roman" w:cs="Times New Roman"/>
          <w:sz w:val="22"/>
          <w:szCs w:val="22"/>
        </w:rPr>
        <w:t>.</w:t>
      </w:r>
    </w:p>
    <w:p w14:paraId="1488D53C" w14:textId="77777777" w:rsidR="00E8470C" w:rsidRPr="00E65297" w:rsidRDefault="00E8470C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60690FCC" w14:textId="77777777" w:rsidR="00E8470C" w:rsidRPr="00E65297" w:rsidRDefault="00BE53AD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Začatie liečby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Pr="00E65297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u pacientov, pre ktorých je naplánovaná operácia katarakty</w:t>
      </w:r>
      <w:r w:rsidR="00385EE2" w:rsidRPr="00E65297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="00385EE2" w:rsidRPr="00E65297">
        <w:rPr>
          <w:rFonts w:ascii="Times New Roman" w:hAnsi="Times New Roman" w:cs="Times New Roman"/>
          <w:sz w:val="22"/>
          <w:szCs w:val="22"/>
        </w:rPr>
        <w:t>glaukómu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sa</w:t>
      </w:r>
      <w:r w:rsidR="00E16EB6" w:rsidRPr="00E65297">
        <w:rPr>
          <w:rFonts w:ascii="Times New Roman" w:hAnsi="Times New Roman" w:cs="Times New Roman"/>
          <w:sz w:val="22"/>
          <w:szCs w:val="22"/>
        </w:rPr>
        <w:t> </w:t>
      </w:r>
      <w:r w:rsidRPr="00E65297">
        <w:rPr>
          <w:rFonts w:ascii="Times New Roman" w:hAnsi="Times New Roman" w:cs="Times New Roman"/>
          <w:sz w:val="22"/>
          <w:szCs w:val="22"/>
        </w:rPr>
        <w:t xml:space="preserve">neodporúča. </w:t>
      </w:r>
      <w:r w:rsidR="00E8470C" w:rsidRPr="00E65297">
        <w:rPr>
          <w:rFonts w:ascii="Times New Roman" w:hAnsi="Times New Roman" w:cs="Times New Roman"/>
          <w:sz w:val="22"/>
          <w:szCs w:val="22"/>
        </w:rPr>
        <w:t xml:space="preserve">Chirurgovia a kolektív </w:t>
      </w:r>
      <w:proofErr w:type="spellStart"/>
      <w:r w:rsidR="00E8470C" w:rsidRPr="00E65297">
        <w:rPr>
          <w:rFonts w:ascii="Times New Roman" w:hAnsi="Times New Roman" w:cs="Times New Roman"/>
          <w:sz w:val="22"/>
          <w:szCs w:val="22"/>
        </w:rPr>
        <w:t>oftalmológov</w:t>
      </w:r>
      <w:proofErr w:type="spellEnd"/>
      <w:r w:rsidR="00E8470C" w:rsidRPr="00E65297">
        <w:rPr>
          <w:rFonts w:ascii="Times New Roman" w:hAnsi="Times New Roman" w:cs="Times New Roman"/>
          <w:sz w:val="22"/>
          <w:szCs w:val="22"/>
        </w:rPr>
        <w:t xml:space="preserve"> pre liečbu katarakty by mali v priebehu predoperačného zhodnotenia zvážiť, či pacienti, pre ktorých je naplánovaná operácia katarakty</w:t>
      </w:r>
      <w:r w:rsidR="00385EE2" w:rsidRPr="00E65297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="00385EE2" w:rsidRPr="00E65297">
        <w:rPr>
          <w:rFonts w:ascii="Times New Roman" w:hAnsi="Times New Roman" w:cs="Times New Roman"/>
          <w:sz w:val="22"/>
          <w:szCs w:val="22"/>
        </w:rPr>
        <w:t>glaukómu</w:t>
      </w:r>
      <w:proofErr w:type="spellEnd"/>
      <w:r w:rsidR="00E8470C" w:rsidRPr="00E65297">
        <w:rPr>
          <w:rFonts w:ascii="Times New Roman" w:hAnsi="Times New Roman" w:cs="Times New Roman"/>
          <w:sz w:val="22"/>
          <w:szCs w:val="22"/>
        </w:rPr>
        <w:t xml:space="preserve"> sa</w:t>
      </w:r>
      <w:r w:rsidR="00E16EB6" w:rsidRPr="00E65297">
        <w:rPr>
          <w:rFonts w:ascii="Times New Roman" w:hAnsi="Times New Roman" w:cs="Times New Roman"/>
          <w:sz w:val="22"/>
          <w:szCs w:val="22"/>
        </w:rPr>
        <w:t> </w:t>
      </w:r>
      <w:r w:rsidR="00E8470C" w:rsidRPr="00E65297">
        <w:rPr>
          <w:rFonts w:ascii="Times New Roman" w:hAnsi="Times New Roman" w:cs="Times New Roman"/>
          <w:sz w:val="22"/>
          <w:szCs w:val="22"/>
        </w:rPr>
        <w:t xml:space="preserve">v súčasnosti liečia alebo sa v minulosti liečili </w:t>
      </w:r>
      <w:proofErr w:type="spellStart"/>
      <w:r w:rsidR="00E8470C"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="00E8470C" w:rsidRPr="00E65297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E8470C" w:rsidRPr="00E65297">
        <w:rPr>
          <w:rFonts w:ascii="Times New Roman" w:hAnsi="Times New Roman" w:cs="Times New Roman"/>
          <w:sz w:val="22"/>
          <w:szCs w:val="22"/>
        </w:rPr>
        <w:t xml:space="preserve">, aby sa zabezpečili všetky potrebné opatrenia na zvládnutie IFIS počas operácie. </w:t>
      </w:r>
    </w:p>
    <w:p w14:paraId="398FFD5F" w14:textId="77777777" w:rsidR="00BE53AD" w:rsidRPr="00E65297" w:rsidRDefault="00BE53AD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63F7ED71" w14:textId="77777777" w:rsidR="00BE53AD" w:rsidRPr="00E65297" w:rsidRDefault="00BE53AD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sa nemá podávať v kombinácii so silnými inhibítormi CYP3A4 pacientom s fenotypom slabých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metabolizátorov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CYP2D6.</w:t>
      </w:r>
    </w:p>
    <w:p w14:paraId="395CF047" w14:textId="77777777" w:rsidR="00BE53AD" w:rsidRPr="00E65297" w:rsidRDefault="00BE53AD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3D7AA0AB" w14:textId="77777777" w:rsidR="00BE53AD" w:rsidRPr="00E65297" w:rsidRDefault="00BE53AD" w:rsidP="0040305B">
      <w:pPr>
        <w:tabs>
          <w:tab w:val="left" w:pos="2198"/>
        </w:tabs>
        <w:rPr>
          <w:rFonts w:ascii="Times New Roman" w:hAnsi="Times New Roman" w:cs="Times New Roman"/>
          <w:sz w:val="22"/>
          <w:szCs w:val="22"/>
        </w:rPr>
      </w:pP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sa má požívať s opatrnosťou v kombinácii so silnými a stredne silnými inhibítormi CYP3A4</w:t>
      </w:r>
      <w:r w:rsidR="00385EE2" w:rsidRPr="00E65297">
        <w:rPr>
          <w:rFonts w:ascii="Times New Roman" w:hAnsi="Times New Roman" w:cs="Times New Roman"/>
          <w:sz w:val="22"/>
        </w:rPr>
        <w:t xml:space="preserve"> ako je </w:t>
      </w:r>
      <w:proofErr w:type="spellStart"/>
      <w:r w:rsidR="00385EE2" w:rsidRPr="00E65297">
        <w:rPr>
          <w:rFonts w:ascii="Times New Roman" w:hAnsi="Times New Roman" w:cs="Times New Roman"/>
          <w:sz w:val="22"/>
        </w:rPr>
        <w:t>erytromycín</w:t>
      </w:r>
      <w:proofErr w:type="spellEnd"/>
      <w:r w:rsidR="00542309" w:rsidRPr="00E65297">
        <w:rPr>
          <w:rFonts w:ascii="Times New Roman" w:hAnsi="Times New Roman" w:cs="Times New Roman"/>
          <w:sz w:val="22"/>
          <w:szCs w:val="22"/>
        </w:rPr>
        <w:t xml:space="preserve"> </w:t>
      </w:r>
      <w:r w:rsidRPr="00E65297">
        <w:rPr>
          <w:rFonts w:ascii="Times New Roman" w:hAnsi="Times New Roman" w:cs="Times New Roman"/>
          <w:sz w:val="22"/>
          <w:szCs w:val="22"/>
        </w:rPr>
        <w:t>(pozri časť 4.5)</w:t>
      </w:r>
      <w:r w:rsidR="00194DBE" w:rsidRPr="00E65297">
        <w:rPr>
          <w:rFonts w:ascii="Times New Roman" w:hAnsi="Times New Roman" w:cs="Times New Roman"/>
          <w:sz w:val="22"/>
          <w:szCs w:val="22"/>
        </w:rPr>
        <w:t>.</w:t>
      </w:r>
    </w:p>
    <w:p w14:paraId="2472A7E6" w14:textId="77777777" w:rsidR="00E8470C" w:rsidRPr="00E65297" w:rsidRDefault="00E8470C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  <w:szCs w:val="22"/>
        </w:rPr>
      </w:pPr>
    </w:p>
    <w:p w14:paraId="5D9FEBFC" w14:textId="77777777" w:rsidR="00E8470C" w:rsidRPr="00E65297" w:rsidRDefault="00E8470C" w:rsidP="005A14EA">
      <w:pPr>
        <w:keepNext/>
        <w:tabs>
          <w:tab w:val="left" w:pos="480"/>
        </w:tabs>
        <w:ind w:left="482" w:hanging="482"/>
        <w:rPr>
          <w:rFonts w:ascii="Times New Roman" w:hAnsi="Times New Roman" w:cs="Times New Roman"/>
          <w:b/>
          <w:bCs w:val="0"/>
          <w:sz w:val="22"/>
          <w:szCs w:val="22"/>
        </w:rPr>
      </w:pP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4.5</w:t>
      </w:r>
      <w:r w:rsidR="00B77F64" w:rsidRPr="00E65297">
        <w:rPr>
          <w:rFonts w:ascii="Times New Roman" w:hAnsi="Times New Roman" w:cs="Times New Roman"/>
          <w:sz w:val="22"/>
          <w:szCs w:val="22"/>
        </w:rPr>
        <w:tab/>
      </w: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Liekové a iné interakcie</w:t>
      </w:r>
    </w:p>
    <w:p w14:paraId="5B2CFCAF" w14:textId="77777777" w:rsidR="00E8470C" w:rsidRPr="00E65297" w:rsidRDefault="00E8470C" w:rsidP="005A14EA">
      <w:pPr>
        <w:keepNext/>
        <w:tabs>
          <w:tab w:val="left" w:pos="-120"/>
          <w:tab w:val="left" w:pos="2198"/>
        </w:tabs>
        <w:ind w:left="482" w:hanging="482"/>
        <w:rPr>
          <w:rFonts w:ascii="Times New Roman" w:hAnsi="Times New Roman" w:cs="Times New Roman"/>
          <w:sz w:val="22"/>
          <w:szCs w:val="22"/>
        </w:rPr>
      </w:pPr>
    </w:p>
    <w:p w14:paraId="67E6B31E" w14:textId="77777777" w:rsidR="001512D5" w:rsidRPr="00E65297" w:rsidRDefault="000C7F1A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>I</w:t>
      </w:r>
      <w:r w:rsidR="008D01FA" w:rsidRPr="00E65297">
        <w:rPr>
          <w:rFonts w:ascii="Times New Roman" w:hAnsi="Times New Roman" w:cs="Times New Roman"/>
          <w:sz w:val="22"/>
          <w:szCs w:val="22"/>
        </w:rPr>
        <w:t>nterak</w:t>
      </w:r>
      <w:r w:rsidRPr="00E65297">
        <w:rPr>
          <w:rFonts w:ascii="Times New Roman" w:hAnsi="Times New Roman" w:cs="Times New Roman"/>
          <w:sz w:val="22"/>
          <w:szCs w:val="22"/>
        </w:rPr>
        <w:t>čné štúdie</w:t>
      </w:r>
      <w:r w:rsidR="008D01FA" w:rsidRPr="00E65297">
        <w:rPr>
          <w:rFonts w:ascii="Times New Roman" w:hAnsi="Times New Roman" w:cs="Times New Roman"/>
          <w:sz w:val="22"/>
          <w:szCs w:val="22"/>
        </w:rPr>
        <w:t xml:space="preserve"> boli vykonané len u</w:t>
      </w:r>
      <w:r w:rsidRPr="00E65297">
        <w:rPr>
          <w:rFonts w:ascii="Times New Roman" w:hAnsi="Times New Roman" w:cs="Times New Roman"/>
          <w:sz w:val="22"/>
          <w:szCs w:val="22"/>
        </w:rPr>
        <w:t> </w:t>
      </w:r>
      <w:r w:rsidR="008D01FA" w:rsidRPr="00E65297">
        <w:rPr>
          <w:rFonts w:ascii="Times New Roman" w:hAnsi="Times New Roman" w:cs="Times New Roman"/>
          <w:sz w:val="22"/>
          <w:szCs w:val="22"/>
        </w:rPr>
        <w:t>dospelých.</w:t>
      </w:r>
    </w:p>
    <w:p w14:paraId="1872752B" w14:textId="77777777" w:rsidR="001512D5" w:rsidRPr="00E65297" w:rsidRDefault="001512D5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7A05C257" w14:textId="77777777" w:rsidR="00542309" w:rsidRPr="00E65297" w:rsidRDefault="00E8470C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Pri súčasnom podávaní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="00E16EB6" w:rsidRPr="00E65297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s 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atenololom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enalaprilom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teofylínom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sa nepozorovali žiadne liekové interakcie. </w:t>
      </w:r>
    </w:p>
    <w:p w14:paraId="49FD8DFF" w14:textId="77777777" w:rsidR="00542309" w:rsidRPr="00E65297" w:rsidRDefault="00542309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1F3D5C5C" w14:textId="77777777" w:rsidR="009C60FF" w:rsidRPr="00E65297" w:rsidRDefault="00E8470C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Súbežné podanie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Pr="00E65297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s 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cimetidínom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viedlo k zvýšeniu plazmatických koncentrácií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Pr="00E65297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>.</w:t>
      </w:r>
    </w:p>
    <w:p w14:paraId="100CFE68" w14:textId="77777777" w:rsidR="00E16EB6" w:rsidRPr="00E65297" w:rsidRDefault="00E16EB6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5D888C1C" w14:textId="77777777" w:rsidR="009C60FF" w:rsidRPr="00E65297" w:rsidRDefault="009C60FF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Súbežné podávanie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cimetidínu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spôsobuje zvýšenie plazmatických koncentrácií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Pr="00E65297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, zatiaľ čo súbežné podávanie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furosemidu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spôsobuje ich pokles, pokiaľ koncentrácie zostávajú v normálnom rozsahu, dávkovanie nie je potrebné upravovať.</w:t>
      </w:r>
    </w:p>
    <w:p w14:paraId="5A73EE14" w14:textId="77777777" w:rsidR="00542309" w:rsidRPr="00E65297" w:rsidRDefault="00542309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2C81624A" w14:textId="77777777" w:rsidR="00CD6596" w:rsidRPr="00E65297" w:rsidRDefault="00E941F8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Ani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d</w:t>
      </w:r>
      <w:r w:rsidR="00CD6596" w:rsidRPr="00E65297">
        <w:rPr>
          <w:rFonts w:ascii="Times New Roman" w:hAnsi="Times New Roman" w:cs="Times New Roman"/>
          <w:sz w:val="22"/>
          <w:szCs w:val="22"/>
        </w:rPr>
        <w:t>iazepam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ani</w:t>
      </w:r>
      <w:r w:rsidR="00CD6596" w:rsidRPr="00E652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D6596" w:rsidRPr="00E65297">
        <w:rPr>
          <w:rFonts w:ascii="Times New Roman" w:hAnsi="Times New Roman" w:cs="Times New Roman"/>
          <w:sz w:val="22"/>
          <w:szCs w:val="22"/>
        </w:rPr>
        <w:t>propranolol</w:t>
      </w:r>
      <w:proofErr w:type="spellEnd"/>
      <w:r w:rsidR="00CD6596" w:rsidRPr="00E6529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CD6596" w:rsidRPr="00E65297">
        <w:rPr>
          <w:rFonts w:ascii="Times New Roman" w:hAnsi="Times New Roman" w:cs="Times New Roman"/>
          <w:sz w:val="22"/>
          <w:szCs w:val="22"/>
        </w:rPr>
        <w:t>trichlórmetiazid</w:t>
      </w:r>
      <w:proofErr w:type="spellEnd"/>
      <w:r w:rsidR="00CD6596" w:rsidRPr="00E6529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CD6596" w:rsidRPr="00E65297">
        <w:rPr>
          <w:rFonts w:ascii="Times New Roman" w:hAnsi="Times New Roman" w:cs="Times New Roman"/>
          <w:sz w:val="22"/>
          <w:szCs w:val="22"/>
        </w:rPr>
        <w:t>chlórmadinón</w:t>
      </w:r>
      <w:proofErr w:type="spellEnd"/>
      <w:r w:rsidR="00CD6596" w:rsidRPr="00E6529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CD6596" w:rsidRPr="00E65297">
        <w:rPr>
          <w:rFonts w:ascii="Times New Roman" w:hAnsi="Times New Roman" w:cs="Times New Roman"/>
          <w:sz w:val="22"/>
          <w:szCs w:val="22"/>
        </w:rPr>
        <w:t>amitriptylín</w:t>
      </w:r>
      <w:proofErr w:type="spellEnd"/>
      <w:r w:rsidR="00CD6596" w:rsidRPr="00E6529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CD6596" w:rsidRPr="00E65297">
        <w:rPr>
          <w:rFonts w:ascii="Times New Roman" w:hAnsi="Times New Roman" w:cs="Times New Roman"/>
          <w:sz w:val="22"/>
          <w:szCs w:val="22"/>
        </w:rPr>
        <w:t>diklofenak</w:t>
      </w:r>
      <w:proofErr w:type="spellEnd"/>
      <w:r w:rsidR="00CD6596" w:rsidRPr="00E6529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CD6596" w:rsidRPr="00E65297">
        <w:rPr>
          <w:rFonts w:ascii="Times New Roman" w:hAnsi="Times New Roman" w:cs="Times New Roman"/>
          <w:sz w:val="22"/>
          <w:szCs w:val="22"/>
        </w:rPr>
        <w:t>glibenklamid</w:t>
      </w:r>
      <w:proofErr w:type="spellEnd"/>
      <w:r w:rsidR="00CD6596" w:rsidRPr="00E6529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CD6596" w:rsidRPr="00E65297">
        <w:rPr>
          <w:rFonts w:ascii="Times New Roman" w:hAnsi="Times New Roman" w:cs="Times New Roman"/>
          <w:sz w:val="22"/>
          <w:szCs w:val="22"/>
        </w:rPr>
        <w:t>simvastatín</w:t>
      </w:r>
      <w:proofErr w:type="spellEnd"/>
      <w:r w:rsidR="00CD6596" w:rsidRPr="00E65297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CD6596" w:rsidRPr="00E65297">
        <w:rPr>
          <w:rFonts w:ascii="Times New Roman" w:hAnsi="Times New Roman" w:cs="Times New Roman"/>
          <w:sz w:val="22"/>
          <w:szCs w:val="22"/>
        </w:rPr>
        <w:t>warfarín</w:t>
      </w:r>
      <w:proofErr w:type="spellEnd"/>
      <w:r w:rsidR="00CD6596" w:rsidRPr="00E65297">
        <w:rPr>
          <w:rFonts w:ascii="Times New Roman" w:hAnsi="Times New Roman" w:cs="Times New Roman"/>
          <w:sz w:val="22"/>
          <w:szCs w:val="22"/>
        </w:rPr>
        <w:t xml:space="preserve"> nemenili </w:t>
      </w:r>
      <w:r w:rsidR="00CD6596" w:rsidRPr="00E65297">
        <w:rPr>
          <w:rFonts w:ascii="Times New Roman" w:hAnsi="Times New Roman" w:cs="Times New Roman"/>
          <w:i/>
          <w:sz w:val="22"/>
          <w:szCs w:val="22"/>
        </w:rPr>
        <w:t>in vitro</w:t>
      </w:r>
      <w:r w:rsidR="00CD6596" w:rsidRPr="00E65297">
        <w:rPr>
          <w:rFonts w:ascii="Times New Roman" w:hAnsi="Times New Roman" w:cs="Times New Roman"/>
          <w:sz w:val="22"/>
          <w:szCs w:val="22"/>
        </w:rPr>
        <w:t xml:space="preserve"> voľnú frakciu </w:t>
      </w:r>
      <w:proofErr w:type="spellStart"/>
      <w:r w:rsidR="00CD6596"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="00CD6596" w:rsidRPr="00E65297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CD6596" w:rsidRPr="00E65297">
        <w:rPr>
          <w:rFonts w:ascii="Times New Roman" w:hAnsi="Times New Roman" w:cs="Times New Roman"/>
          <w:sz w:val="22"/>
          <w:szCs w:val="22"/>
        </w:rPr>
        <w:t xml:space="preserve"> v ľudskej plazme. Ani </w:t>
      </w:r>
      <w:proofErr w:type="spellStart"/>
      <w:r w:rsidR="00CD6596"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proofErr w:type="spellEnd"/>
      <w:r w:rsidR="00CD6596" w:rsidRPr="00E65297">
        <w:rPr>
          <w:rFonts w:ascii="Times New Roman" w:hAnsi="Times New Roman" w:cs="Times New Roman"/>
          <w:sz w:val="22"/>
          <w:szCs w:val="22"/>
        </w:rPr>
        <w:t xml:space="preserve"> nemenil voľné frakcie </w:t>
      </w:r>
      <w:proofErr w:type="spellStart"/>
      <w:r w:rsidR="00CD6596" w:rsidRPr="00E65297">
        <w:rPr>
          <w:rFonts w:ascii="Times New Roman" w:hAnsi="Times New Roman" w:cs="Times New Roman"/>
          <w:sz w:val="22"/>
          <w:szCs w:val="22"/>
        </w:rPr>
        <w:t>diazepamu</w:t>
      </w:r>
      <w:proofErr w:type="spellEnd"/>
      <w:r w:rsidR="00CD6596" w:rsidRPr="00E6529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CD6596" w:rsidRPr="00E65297">
        <w:rPr>
          <w:rFonts w:ascii="Times New Roman" w:hAnsi="Times New Roman" w:cs="Times New Roman"/>
          <w:sz w:val="22"/>
          <w:szCs w:val="22"/>
        </w:rPr>
        <w:t>propranololu</w:t>
      </w:r>
      <w:proofErr w:type="spellEnd"/>
      <w:r w:rsidR="00CD6596" w:rsidRPr="00E6529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CD6596" w:rsidRPr="00E65297">
        <w:rPr>
          <w:rFonts w:ascii="Times New Roman" w:hAnsi="Times New Roman" w:cs="Times New Roman"/>
          <w:sz w:val="22"/>
          <w:szCs w:val="22"/>
        </w:rPr>
        <w:t>trichlórmetiazidu</w:t>
      </w:r>
      <w:proofErr w:type="spellEnd"/>
      <w:r w:rsidR="00CD6596" w:rsidRPr="00E65297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CD6596" w:rsidRPr="00E65297">
        <w:rPr>
          <w:rFonts w:ascii="Times New Roman" w:hAnsi="Times New Roman" w:cs="Times New Roman"/>
          <w:sz w:val="22"/>
          <w:szCs w:val="22"/>
        </w:rPr>
        <w:t>chlórmadinónu</w:t>
      </w:r>
      <w:proofErr w:type="spellEnd"/>
      <w:r w:rsidR="00CD6596" w:rsidRPr="00E65297">
        <w:rPr>
          <w:rFonts w:ascii="Times New Roman" w:hAnsi="Times New Roman" w:cs="Times New Roman"/>
          <w:sz w:val="22"/>
          <w:szCs w:val="22"/>
        </w:rPr>
        <w:t>.</w:t>
      </w:r>
    </w:p>
    <w:p w14:paraId="7AA46F5F" w14:textId="77777777" w:rsidR="007D7560" w:rsidRPr="00E65297" w:rsidRDefault="007D7560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</w:rPr>
      </w:pPr>
    </w:p>
    <w:p w14:paraId="11517C16" w14:textId="77777777" w:rsidR="00542309" w:rsidRPr="00E65297" w:rsidRDefault="007D7560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  <w:proofErr w:type="spellStart"/>
      <w:r w:rsidRPr="00E65297">
        <w:rPr>
          <w:rFonts w:ascii="Times New Roman" w:hAnsi="Times New Roman" w:cs="Times New Roman"/>
          <w:sz w:val="22"/>
        </w:rPr>
        <w:t>Diklofenak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a </w:t>
      </w:r>
      <w:proofErr w:type="spellStart"/>
      <w:r w:rsidRPr="00E65297">
        <w:rPr>
          <w:rFonts w:ascii="Times New Roman" w:hAnsi="Times New Roman" w:cs="Times New Roman"/>
          <w:sz w:val="22"/>
        </w:rPr>
        <w:t>warfarín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môžu zvýšiť rýchlosť eliminácie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u</w:t>
      </w:r>
      <w:proofErr w:type="spellEnd"/>
    </w:p>
    <w:p w14:paraId="7E12131B" w14:textId="77777777" w:rsidR="007D7560" w:rsidRPr="00E65297" w:rsidRDefault="007D7560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1673FF14" w14:textId="77777777" w:rsidR="00E941F8" w:rsidRPr="00E65297" w:rsidRDefault="00E8470C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V štúdiách </w:t>
      </w:r>
      <w:r w:rsidRPr="00E65297">
        <w:rPr>
          <w:rFonts w:ascii="Times New Roman" w:hAnsi="Times New Roman" w:cs="Times New Roman"/>
          <w:i/>
          <w:iCs/>
          <w:sz w:val="22"/>
          <w:szCs w:val="22"/>
        </w:rPr>
        <w:t xml:space="preserve">in </w:t>
      </w:r>
      <w:r w:rsidRPr="00E65297">
        <w:rPr>
          <w:rFonts w:ascii="Times New Roman" w:hAnsi="Times New Roman" w:cs="Times New Roman"/>
          <w:i/>
          <w:sz w:val="22"/>
          <w:szCs w:val="22"/>
        </w:rPr>
        <w:t>vitro</w:t>
      </w:r>
      <w:r w:rsidRPr="00E65297">
        <w:rPr>
          <w:rFonts w:ascii="Times New Roman" w:hAnsi="Times New Roman" w:cs="Times New Roman"/>
          <w:sz w:val="22"/>
          <w:szCs w:val="22"/>
        </w:rPr>
        <w:t xml:space="preserve"> s frakciami pečeňových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mikrozómov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(predstavujú enzymatický metabolizujúci systém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cytochrómu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P450) sa zistilo, že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neinteraguje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s 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amitriptylínom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salbutamolom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glibenklamidom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finasteridom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>.</w:t>
      </w:r>
    </w:p>
    <w:p w14:paraId="7B0D56F0" w14:textId="77777777" w:rsidR="00E8470C" w:rsidRPr="00E65297" w:rsidRDefault="00E8470C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49CD29A0" w14:textId="77777777" w:rsidR="008F09D1" w:rsidRPr="00E65297" w:rsidRDefault="008F09D1" w:rsidP="00E65297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>Súbežné</w:t>
      </w:r>
      <w:r w:rsidR="00CA13DB" w:rsidRPr="00E65297">
        <w:rPr>
          <w:rFonts w:ascii="Times New Roman" w:hAnsi="Times New Roman" w:cs="Times New Roman"/>
          <w:sz w:val="22"/>
          <w:szCs w:val="22"/>
        </w:rPr>
        <w:t xml:space="preserve"> podávanie </w:t>
      </w:r>
      <w:proofErr w:type="spellStart"/>
      <w:r w:rsidR="00CA13DB"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="00E941F8" w:rsidRPr="00E65297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CA13DB" w:rsidRPr="00E65297">
        <w:rPr>
          <w:rFonts w:ascii="Times New Roman" w:hAnsi="Times New Roman" w:cs="Times New Roman"/>
          <w:sz w:val="22"/>
          <w:szCs w:val="22"/>
        </w:rPr>
        <w:t xml:space="preserve"> so silnými inhibítormi CYP3A4 môže viesť k zvýšenej expozícii </w:t>
      </w:r>
      <w:proofErr w:type="spellStart"/>
      <w:r w:rsidR="00CA13DB" w:rsidRPr="00E65297">
        <w:rPr>
          <w:rFonts w:ascii="Times New Roman" w:hAnsi="Times New Roman" w:cs="Times New Roman"/>
          <w:sz w:val="22"/>
          <w:szCs w:val="22"/>
        </w:rPr>
        <w:t>tamsul</w:t>
      </w:r>
      <w:r w:rsidR="00E941F8" w:rsidRPr="00E65297">
        <w:rPr>
          <w:rFonts w:ascii="Times New Roman" w:hAnsi="Times New Roman" w:cs="Times New Roman"/>
          <w:sz w:val="22"/>
          <w:szCs w:val="22"/>
        </w:rPr>
        <w:t>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="00E941F8" w:rsidRPr="00E65297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CA13DB" w:rsidRPr="00E65297">
        <w:rPr>
          <w:rFonts w:ascii="Times New Roman" w:hAnsi="Times New Roman" w:cs="Times New Roman"/>
          <w:sz w:val="22"/>
          <w:szCs w:val="22"/>
        </w:rPr>
        <w:t>. Sú</w:t>
      </w:r>
      <w:r w:rsidR="00470F4D" w:rsidRPr="00E65297">
        <w:rPr>
          <w:rFonts w:ascii="Times New Roman" w:hAnsi="Times New Roman" w:cs="Times New Roman"/>
          <w:sz w:val="22"/>
          <w:szCs w:val="22"/>
        </w:rPr>
        <w:t>bež</w:t>
      </w:r>
      <w:r w:rsidR="00CA13DB" w:rsidRPr="00E65297">
        <w:rPr>
          <w:rFonts w:ascii="Times New Roman" w:hAnsi="Times New Roman" w:cs="Times New Roman"/>
          <w:sz w:val="22"/>
          <w:szCs w:val="22"/>
        </w:rPr>
        <w:t>né pod</w:t>
      </w:r>
      <w:r w:rsidR="00470F4D" w:rsidRPr="00E65297">
        <w:rPr>
          <w:rFonts w:ascii="Times New Roman" w:hAnsi="Times New Roman" w:cs="Times New Roman"/>
          <w:sz w:val="22"/>
          <w:szCs w:val="22"/>
        </w:rPr>
        <w:t>áva</w:t>
      </w:r>
      <w:r w:rsidR="00CA13DB" w:rsidRPr="00E65297">
        <w:rPr>
          <w:rFonts w:ascii="Times New Roman" w:hAnsi="Times New Roman" w:cs="Times New Roman"/>
          <w:sz w:val="22"/>
          <w:szCs w:val="22"/>
        </w:rPr>
        <w:t>nie s </w:t>
      </w:r>
      <w:proofErr w:type="spellStart"/>
      <w:r w:rsidR="00CA13DB" w:rsidRPr="00E65297">
        <w:rPr>
          <w:rFonts w:ascii="Times New Roman" w:hAnsi="Times New Roman" w:cs="Times New Roman"/>
          <w:sz w:val="22"/>
          <w:szCs w:val="22"/>
        </w:rPr>
        <w:t>ketokonazolom</w:t>
      </w:r>
      <w:proofErr w:type="spellEnd"/>
      <w:r w:rsidR="00CA13DB" w:rsidRPr="00E65297">
        <w:rPr>
          <w:rFonts w:ascii="Times New Roman" w:hAnsi="Times New Roman" w:cs="Times New Roman"/>
          <w:sz w:val="22"/>
          <w:szCs w:val="22"/>
        </w:rPr>
        <w:t xml:space="preserve"> (známy silný inhibítor CYP3A4) viedlo k 2,8 násobnému zvýšeniu AUC a 2,2 násobnému zvýšeniu </w:t>
      </w:r>
      <w:proofErr w:type="spellStart"/>
      <w:r w:rsidR="00CA13DB" w:rsidRPr="00E65297">
        <w:rPr>
          <w:rFonts w:ascii="Times New Roman" w:hAnsi="Times New Roman" w:cs="Times New Roman"/>
          <w:sz w:val="22"/>
          <w:szCs w:val="22"/>
        </w:rPr>
        <w:t>C</w:t>
      </w:r>
      <w:r w:rsidR="00CA13DB" w:rsidRPr="00E65297">
        <w:rPr>
          <w:rFonts w:ascii="Times New Roman" w:hAnsi="Times New Roman" w:cs="Times New Roman"/>
          <w:sz w:val="22"/>
          <w:szCs w:val="22"/>
          <w:vertAlign w:val="subscript"/>
        </w:rPr>
        <w:t>max</w:t>
      </w:r>
      <w:proofErr w:type="spellEnd"/>
      <w:r w:rsidR="00CA13DB" w:rsidRPr="00E652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A13DB"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="00E941F8" w:rsidRPr="00E65297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CA13DB" w:rsidRPr="00E65297">
        <w:rPr>
          <w:rFonts w:ascii="Times New Roman" w:hAnsi="Times New Roman" w:cs="Times New Roman"/>
          <w:sz w:val="22"/>
          <w:szCs w:val="22"/>
        </w:rPr>
        <w:t>.</w:t>
      </w:r>
    </w:p>
    <w:p w14:paraId="5EC2C374" w14:textId="77777777" w:rsidR="00A26017" w:rsidRPr="00E65297" w:rsidRDefault="00A26017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70D11B4B" w14:textId="77777777" w:rsidR="008F09D1" w:rsidRPr="00E65297" w:rsidRDefault="008F09D1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="00CD4765" w:rsidRPr="00E65297">
        <w:rPr>
          <w:rFonts w:ascii="Times New Roman" w:hAnsi="Times New Roman" w:cs="Times New Roman"/>
          <w:sz w:val="22"/>
          <w:szCs w:val="22"/>
        </w:rPr>
        <w:t>ium</w:t>
      </w:r>
      <w:r w:rsidR="00E941F8" w:rsidRPr="00E65297">
        <w:rPr>
          <w:rFonts w:ascii="Times New Roman" w:hAnsi="Times New Roman" w:cs="Times New Roman"/>
          <w:sz w:val="22"/>
          <w:szCs w:val="22"/>
        </w:rPr>
        <w:t>chlorid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sa nemá podávať v kombinácii so silnými inhibítormi CYP3A4 pacientom s fenotypom slabých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metabolizátorov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CYP2D6.</w:t>
      </w:r>
    </w:p>
    <w:p w14:paraId="21110A81" w14:textId="77777777" w:rsidR="008F09D1" w:rsidRPr="00E65297" w:rsidRDefault="008F09D1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25CCACE3" w14:textId="77777777" w:rsidR="008F09D1" w:rsidRPr="00E65297" w:rsidRDefault="008F09D1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sa má požívať s opatrnosťou v kombinácii so silnými a stredne silnými inhibítormi CYP3A4 (pozri časť 4.5).</w:t>
      </w:r>
    </w:p>
    <w:p w14:paraId="381158E2" w14:textId="77777777" w:rsidR="00CA13DB" w:rsidRPr="00E65297" w:rsidRDefault="00CA13DB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0C8B9678" w14:textId="77777777" w:rsidR="00CA13DB" w:rsidRPr="00E65297" w:rsidRDefault="008F09D1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>Súbežné</w:t>
      </w:r>
      <w:r w:rsidR="00CA13DB" w:rsidRPr="00E65297">
        <w:rPr>
          <w:rFonts w:ascii="Times New Roman" w:hAnsi="Times New Roman" w:cs="Times New Roman"/>
          <w:sz w:val="22"/>
          <w:szCs w:val="22"/>
        </w:rPr>
        <w:t xml:space="preserve"> podávanie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Pr="00E65297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CA13DB" w:rsidRPr="00E65297">
        <w:rPr>
          <w:rFonts w:ascii="Times New Roman" w:hAnsi="Times New Roman" w:cs="Times New Roman"/>
          <w:sz w:val="22"/>
          <w:szCs w:val="22"/>
        </w:rPr>
        <w:t xml:space="preserve"> s </w:t>
      </w:r>
      <w:proofErr w:type="spellStart"/>
      <w:r w:rsidR="00CA13DB" w:rsidRPr="00E65297">
        <w:rPr>
          <w:rFonts w:ascii="Times New Roman" w:hAnsi="Times New Roman" w:cs="Times New Roman"/>
          <w:sz w:val="22"/>
          <w:szCs w:val="22"/>
        </w:rPr>
        <w:t>paroxetínom</w:t>
      </w:r>
      <w:proofErr w:type="spellEnd"/>
      <w:r w:rsidR="00CA13DB" w:rsidRPr="00E65297">
        <w:rPr>
          <w:rFonts w:ascii="Times New Roman" w:hAnsi="Times New Roman" w:cs="Times New Roman"/>
          <w:sz w:val="22"/>
          <w:szCs w:val="22"/>
        </w:rPr>
        <w:t>, silným inhibítorom CYP2D6, viedlo k 1,3</w:t>
      </w:r>
      <w:r w:rsidR="00E941F8" w:rsidRPr="00E65297">
        <w:rPr>
          <w:rFonts w:ascii="Times New Roman" w:hAnsi="Times New Roman" w:cs="Times New Roman"/>
          <w:sz w:val="22"/>
          <w:szCs w:val="22"/>
        </w:rPr>
        <w:t> </w:t>
      </w:r>
      <w:r w:rsidR="00CA13DB" w:rsidRPr="00E65297">
        <w:rPr>
          <w:rFonts w:ascii="Times New Roman" w:hAnsi="Times New Roman" w:cs="Times New Roman"/>
          <w:sz w:val="22"/>
          <w:szCs w:val="22"/>
        </w:rPr>
        <w:t xml:space="preserve">násobnému zvýšeniu </w:t>
      </w:r>
      <w:proofErr w:type="spellStart"/>
      <w:r w:rsidR="00CA13DB" w:rsidRPr="00E65297">
        <w:rPr>
          <w:rFonts w:ascii="Times New Roman" w:hAnsi="Times New Roman" w:cs="Times New Roman"/>
          <w:sz w:val="22"/>
          <w:szCs w:val="22"/>
        </w:rPr>
        <w:t>C</w:t>
      </w:r>
      <w:r w:rsidR="00CA13DB" w:rsidRPr="00E65297">
        <w:rPr>
          <w:rFonts w:ascii="Times New Roman" w:hAnsi="Times New Roman" w:cs="Times New Roman"/>
          <w:sz w:val="22"/>
          <w:szCs w:val="22"/>
          <w:vertAlign w:val="subscript"/>
        </w:rPr>
        <w:t>max</w:t>
      </w:r>
      <w:proofErr w:type="spellEnd"/>
      <w:r w:rsidR="00CA13DB" w:rsidRPr="00E65297">
        <w:rPr>
          <w:rFonts w:ascii="Times New Roman" w:hAnsi="Times New Roman" w:cs="Times New Roman"/>
          <w:sz w:val="22"/>
          <w:szCs w:val="22"/>
        </w:rPr>
        <w:t xml:space="preserve"> a 1,6 násobnému zvýšeniu AUC </w:t>
      </w:r>
      <w:proofErr w:type="spellStart"/>
      <w:r w:rsidR="00CA13DB"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="00CA13DB" w:rsidRPr="00E65297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CA13DB" w:rsidRPr="00E65297">
        <w:rPr>
          <w:rFonts w:ascii="Times New Roman" w:hAnsi="Times New Roman" w:cs="Times New Roman"/>
          <w:sz w:val="22"/>
          <w:szCs w:val="22"/>
        </w:rPr>
        <w:t>, ale toto zvýšenie sa nepovažuje za klinicky významné.</w:t>
      </w:r>
    </w:p>
    <w:p w14:paraId="62182E31" w14:textId="77777777" w:rsidR="00D6520D" w:rsidRPr="00E65297" w:rsidRDefault="00D6520D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54B0FB45" w14:textId="77777777" w:rsidR="00E8470C" w:rsidRPr="00E65297" w:rsidRDefault="00E8470C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Súbežné podanie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Pr="00E65297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s iným </w:t>
      </w:r>
      <w:r w:rsidR="00E941F8" w:rsidRPr="00E65297">
        <w:rPr>
          <w:rFonts w:ascii="Times New Roman" w:hAnsi="Times New Roman" w:cs="Times New Roman"/>
          <w:sz w:val="22"/>
          <w:szCs w:val="22"/>
        </w:rPr>
        <w:t>ant</w:t>
      </w:r>
      <w:r w:rsidR="002B001B" w:rsidRPr="00E65297">
        <w:rPr>
          <w:rFonts w:ascii="Times New Roman" w:hAnsi="Times New Roman" w:cs="Times New Roman"/>
          <w:sz w:val="22"/>
          <w:szCs w:val="22"/>
        </w:rPr>
        <w:t>a</w:t>
      </w:r>
      <w:r w:rsidR="00E941F8" w:rsidRPr="00E65297">
        <w:rPr>
          <w:rFonts w:ascii="Times New Roman" w:hAnsi="Times New Roman" w:cs="Times New Roman"/>
          <w:sz w:val="22"/>
          <w:szCs w:val="22"/>
        </w:rPr>
        <w:t>gonistom</w:t>
      </w:r>
      <w:r w:rsidRPr="00E65297">
        <w:rPr>
          <w:rFonts w:ascii="Times New Roman" w:hAnsi="Times New Roman" w:cs="Times New Roman"/>
          <w:sz w:val="22"/>
          <w:szCs w:val="22"/>
        </w:rPr>
        <w:t xml:space="preserve"> </w:t>
      </w:r>
      <w:r w:rsidRPr="00E65297">
        <w:rPr>
          <w:rFonts w:ascii="Times New Roman" w:hAnsi="Times New Roman" w:cs="Times New Roman"/>
          <w:sz w:val="22"/>
          <w:szCs w:val="22"/>
        </w:rPr>
        <w:sym w:font="Symbol" w:char="F061"/>
      </w:r>
      <w:r w:rsidRPr="00E65297">
        <w:rPr>
          <w:rFonts w:ascii="Times New Roman" w:hAnsi="Times New Roman" w:cs="Times New Roman"/>
          <w:sz w:val="22"/>
          <w:szCs w:val="22"/>
          <w:vertAlign w:val="subscript"/>
        </w:rPr>
        <w:t>1</w:t>
      </w:r>
      <w:r w:rsidRPr="00E652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adrenergného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receptora môže </w:t>
      </w:r>
      <w:r w:rsidR="008E3443" w:rsidRPr="00E65297">
        <w:rPr>
          <w:rFonts w:ascii="Times New Roman" w:hAnsi="Times New Roman" w:cs="Times New Roman"/>
          <w:sz w:val="22"/>
          <w:szCs w:val="22"/>
        </w:rPr>
        <w:t>viesť k </w:t>
      </w:r>
      <w:proofErr w:type="spellStart"/>
      <w:r w:rsidR="008E3443" w:rsidRPr="00E65297">
        <w:rPr>
          <w:rFonts w:ascii="Times New Roman" w:hAnsi="Times New Roman" w:cs="Times New Roman"/>
          <w:sz w:val="22"/>
          <w:szCs w:val="22"/>
        </w:rPr>
        <w:t>hypotenzným</w:t>
      </w:r>
      <w:proofErr w:type="spellEnd"/>
      <w:r w:rsidR="008E3443" w:rsidRPr="00E65297">
        <w:rPr>
          <w:rFonts w:ascii="Times New Roman" w:hAnsi="Times New Roman" w:cs="Times New Roman"/>
          <w:sz w:val="22"/>
          <w:szCs w:val="22"/>
        </w:rPr>
        <w:t xml:space="preserve"> účinkom</w:t>
      </w:r>
      <w:r w:rsidRPr="00E65297">
        <w:rPr>
          <w:rFonts w:ascii="Times New Roman" w:hAnsi="Times New Roman" w:cs="Times New Roman"/>
          <w:sz w:val="22"/>
          <w:szCs w:val="22"/>
        </w:rPr>
        <w:t>.</w:t>
      </w:r>
    </w:p>
    <w:p w14:paraId="24A46E5E" w14:textId="77777777" w:rsidR="00E8470C" w:rsidRPr="00E65297" w:rsidRDefault="00E8470C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532ADFFE" w14:textId="77777777" w:rsidR="00E8470C" w:rsidRPr="00E65297" w:rsidRDefault="00E8470C" w:rsidP="005A14EA">
      <w:pPr>
        <w:keepNext/>
        <w:tabs>
          <w:tab w:val="left" w:pos="480"/>
        </w:tabs>
        <w:ind w:left="482" w:hanging="482"/>
        <w:rPr>
          <w:rFonts w:ascii="Times New Roman" w:hAnsi="Times New Roman" w:cs="Times New Roman"/>
          <w:b/>
          <w:bCs w:val="0"/>
          <w:sz w:val="22"/>
          <w:szCs w:val="22"/>
        </w:rPr>
      </w:pP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4.6</w:t>
      </w:r>
      <w:r w:rsidR="00A26017" w:rsidRPr="00E65297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542309" w:rsidRPr="00E65297">
        <w:rPr>
          <w:rFonts w:ascii="Times New Roman" w:hAnsi="Times New Roman" w:cs="Times New Roman"/>
          <w:b/>
          <w:bCs w:val="0"/>
          <w:sz w:val="22"/>
          <w:szCs w:val="22"/>
        </w:rPr>
        <w:t>Fertilita</w:t>
      </w:r>
      <w:proofErr w:type="spellEnd"/>
      <w:r w:rsidR="00542309" w:rsidRPr="00E65297">
        <w:rPr>
          <w:rFonts w:ascii="Times New Roman" w:hAnsi="Times New Roman" w:cs="Times New Roman"/>
          <w:b/>
          <w:bCs w:val="0"/>
          <w:sz w:val="22"/>
          <w:szCs w:val="22"/>
        </w:rPr>
        <w:t xml:space="preserve">, gravidita </w:t>
      </w: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a laktácia</w:t>
      </w:r>
    </w:p>
    <w:p w14:paraId="2EDFF6EE" w14:textId="77777777" w:rsidR="007D7560" w:rsidRPr="00E65297" w:rsidRDefault="007D7560" w:rsidP="005A14EA">
      <w:pPr>
        <w:keepNext/>
        <w:tabs>
          <w:tab w:val="left" w:pos="-120"/>
          <w:tab w:val="left" w:pos="2198"/>
        </w:tabs>
        <w:ind w:left="482" w:hanging="482"/>
        <w:rPr>
          <w:rFonts w:ascii="Times New Roman" w:hAnsi="Times New Roman" w:cs="Times New Roman"/>
          <w:sz w:val="22"/>
          <w:szCs w:val="22"/>
        </w:rPr>
      </w:pPr>
    </w:p>
    <w:p w14:paraId="6110D243" w14:textId="77777777" w:rsidR="00E8470C" w:rsidRPr="00E65297" w:rsidRDefault="007D7560" w:rsidP="005A14EA">
      <w:pPr>
        <w:keepNext/>
        <w:tabs>
          <w:tab w:val="left" w:pos="-120"/>
          <w:tab w:val="left" w:pos="2198"/>
        </w:tabs>
        <w:ind w:left="482" w:hanging="482"/>
        <w:rPr>
          <w:rFonts w:ascii="Times New Roman" w:hAnsi="Times New Roman" w:cs="Times New Roman"/>
          <w:sz w:val="22"/>
          <w:szCs w:val="22"/>
          <w:u w:val="single"/>
        </w:rPr>
      </w:pPr>
      <w:r w:rsidRPr="00E65297">
        <w:rPr>
          <w:rFonts w:ascii="Times New Roman" w:hAnsi="Times New Roman" w:cs="Times New Roman"/>
          <w:sz w:val="22"/>
          <w:szCs w:val="22"/>
          <w:u w:val="single"/>
        </w:rPr>
        <w:t>Gravidita a dojčenie</w:t>
      </w:r>
    </w:p>
    <w:p w14:paraId="5D5F5152" w14:textId="77777777" w:rsidR="00542309" w:rsidRPr="00E65297" w:rsidRDefault="00C21EA5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nie je indikovaný na použitie</w:t>
      </w:r>
      <w:r w:rsidR="00AD4823" w:rsidRPr="00E65297">
        <w:rPr>
          <w:rFonts w:ascii="Times New Roman" w:hAnsi="Times New Roman" w:cs="Times New Roman"/>
          <w:sz w:val="22"/>
          <w:szCs w:val="22"/>
        </w:rPr>
        <w:t xml:space="preserve"> </w:t>
      </w:r>
      <w:r w:rsidRPr="00E65297">
        <w:rPr>
          <w:rFonts w:ascii="Times New Roman" w:hAnsi="Times New Roman" w:cs="Times New Roman"/>
          <w:sz w:val="22"/>
          <w:szCs w:val="22"/>
        </w:rPr>
        <w:t>ž</w:t>
      </w:r>
      <w:r w:rsidR="00A26017" w:rsidRPr="00E65297">
        <w:rPr>
          <w:rFonts w:ascii="Times New Roman" w:hAnsi="Times New Roman" w:cs="Times New Roman"/>
          <w:sz w:val="22"/>
          <w:szCs w:val="22"/>
        </w:rPr>
        <w:t>enám</w:t>
      </w:r>
      <w:r w:rsidRPr="00E65297">
        <w:rPr>
          <w:rFonts w:ascii="Times New Roman" w:hAnsi="Times New Roman" w:cs="Times New Roman"/>
          <w:sz w:val="22"/>
          <w:szCs w:val="22"/>
        </w:rPr>
        <w:t>.</w:t>
      </w:r>
    </w:p>
    <w:p w14:paraId="2CBF8FBB" w14:textId="77777777" w:rsidR="007D7560" w:rsidRPr="00E65297" w:rsidRDefault="007D7560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  <w:u w:val="single"/>
        </w:rPr>
      </w:pPr>
    </w:p>
    <w:p w14:paraId="4BF9C3B6" w14:textId="77777777" w:rsidR="00542309" w:rsidRPr="00E65297" w:rsidRDefault="007D7560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E65297">
        <w:rPr>
          <w:rFonts w:ascii="Times New Roman" w:hAnsi="Times New Roman" w:cs="Times New Roman"/>
          <w:sz w:val="22"/>
          <w:szCs w:val="22"/>
          <w:u w:val="single"/>
        </w:rPr>
        <w:t>Fertilita</w:t>
      </w:r>
      <w:proofErr w:type="spellEnd"/>
    </w:p>
    <w:p w14:paraId="47D60199" w14:textId="77777777" w:rsidR="00496EF0" w:rsidRPr="00E65297" w:rsidRDefault="00496EF0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>V</w:t>
      </w:r>
      <w:r w:rsidR="00A26017" w:rsidRPr="00E65297">
        <w:rPr>
          <w:rFonts w:ascii="Times New Roman" w:hAnsi="Times New Roman" w:cs="Times New Roman"/>
          <w:sz w:val="22"/>
          <w:szCs w:val="22"/>
        </w:rPr>
        <w:t> krátkodobých a dlhodobých</w:t>
      </w:r>
      <w:r w:rsidRPr="00E65297">
        <w:rPr>
          <w:rFonts w:ascii="Times New Roman" w:hAnsi="Times New Roman" w:cs="Times New Roman"/>
          <w:sz w:val="22"/>
          <w:szCs w:val="22"/>
        </w:rPr>
        <w:t> klinických štúdiách s </w:t>
      </w:r>
      <w:proofErr w:type="spellStart"/>
      <w:r w:rsidRPr="00E65297">
        <w:rPr>
          <w:rFonts w:ascii="Times New Roman" w:hAnsi="Times New Roman" w:cs="Times New Roman"/>
          <w:sz w:val="22"/>
          <w:szCs w:val="22"/>
        </w:rPr>
        <w:t>tamsulo</w:t>
      </w:r>
      <w:r w:rsidR="00E65297">
        <w:rPr>
          <w:rFonts w:ascii="Times New Roman" w:hAnsi="Times New Roman" w:cs="Times New Roman"/>
          <w:sz w:val="22"/>
          <w:szCs w:val="22"/>
        </w:rPr>
        <w:t>sín</w:t>
      </w:r>
      <w:r w:rsidRPr="00E65297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Pr="00E65297">
        <w:rPr>
          <w:rFonts w:ascii="Times New Roman" w:hAnsi="Times New Roman" w:cs="Times New Roman"/>
          <w:sz w:val="22"/>
          <w:szCs w:val="22"/>
        </w:rPr>
        <w:t xml:space="preserve"> boli pozorované poruchy ejakulácie. Po uvedení na trh boli hlásené prípady poruchy ejakulácie, spätnej ejakulácie a zlyhania ejakulácie.</w:t>
      </w:r>
    </w:p>
    <w:p w14:paraId="7808144F" w14:textId="77777777" w:rsidR="00496EF0" w:rsidRPr="00E65297" w:rsidRDefault="00496EF0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</w:p>
    <w:p w14:paraId="690010B6" w14:textId="77777777" w:rsidR="00E8470C" w:rsidRPr="00E65297" w:rsidRDefault="00E8470C" w:rsidP="005A14EA">
      <w:pPr>
        <w:keepNext/>
        <w:tabs>
          <w:tab w:val="left" w:pos="480"/>
        </w:tabs>
        <w:ind w:left="482" w:hanging="482"/>
        <w:rPr>
          <w:rFonts w:ascii="Times New Roman" w:hAnsi="Times New Roman" w:cs="Times New Roman"/>
          <w:b/>
          <w:bCs w:val="0"/>
          <w:sz w:val="22"/>
          <w:szCs w:val="22"/>
        </w:rPr>
      </w:pP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4.7</w:t>
      </w:r>
      <w:r w:rsidR="00A26017" w:rsidRPr="00E65297">
        <w:rPr>
          <w:rFonts w:ascii="Times New Roman" w:hAnsi="Times New Roman" w:cs="Times New Roman"/>
          <w:sz w:val="22"/>
          <w:szCs w:val="22"/>
        </w:rPr>
        <w:tab/>
      </w: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Ovplyvnenie schopnosti viesť vozidlá a obsluhovať stroje</w:t>
      </w:r>
    </w:p>
    <w:p w14:paraId="428DF341" w14:textId="77777777" w:rsidR="00E8470C" w:rsidRPr="00E65297" w:rsidRDefault="00E8470C" w:rsidP="005A14EA">
      <w:pPr>
        <w:keepNext/>
        <w:tabs>
          <w:tab w:val="left" w:pos="-120"/>
          <w:tab w:val="left" w:pos="2198"/>
        </w:tabs>
        <w:ind w:left="482" w:hanging="482"/>
        <w:rPr>
          <w:rFonts w:ascii="Times New Roman" w:hAnsi="Times New Roman" w:cs="Times New Roman"/>
          <w:sz w:val="22"/>
          <w:szCs w:val="22"/>
        </w:rPr>
      </w:pPr>
    </w:p>
    <w:p w14:paraId="5AB9D5FC" w14:textId="77777777" w:rsidR="00E8470C" w:rsidRPr="00E65297" w:rsidRDefault="00E8470C" w:rsidP="0040305B">
      <w:pPr>
        <w:tabs>
          <w:tab w:val="left" w:pos="-120"/>
          <w:tab w:val="left" w:pos="2198"/>
        </w:tabs>
        <w:rPr>
          <w:rFonts w:ascii="Times New Roman" w:hAnsi="Times New Roman" w:cs="Times New Roman"/>
          <w:sz w:val="22"/>
          <w:szCs w:val="22"/>
        </w:rPr>
      </w:pPr>
      <w:r w:rsidRPr="00E65297">
        <w:rPr>
          <w:rFonts w:ascii="Times New Roman" w:hAnsi="Times New Roman" w:cs="Times New Roman"/>
          <w:sz w:val="22"/>
          <w:szCs w:val="22"/>
        </w:rPr>
        <w:t xml:space="preserve">Neuskutočnili sa žiadne štúdie o účinkoch na schopnosť viesť vozidlá a obsluhovať stroje. Pacientov je však potrebné poučiť </w:t>
      </w:r>
      <w:r w:rsidR="00AD4823" w:rsidRPr="00E65297">
        <w:rPr>
          <w:rFonts w:ascii="Times New Roman" w:hAnsi="Times New Roman" w:cs="Times New Roman"/>
          <w:sz w:val="22"/>
          <w:szCs w:val="22"/>
        </w:rPr>
        <w:t>o </w:t>
      </w:r>
      <w:r w:rsidRPr="00E65297">
        <w:rPr>
          <w:rFonts w:ascii="Times New Roman" w:hAnsi="Times New Roman" w:cs="Times New Roman"/>
          <w:sz w:val="22"/>
          <w:szCs w:val="22"/>
        </w:rPr>
        <w:t>tom, že sa u nich môžu vyskytnúť závraty.</w:t>
      </w:r>
    </w:p>
    <w:p w14:paraId="2653086E" w14:textId="4037BB05" w:rsidR="00E8470C" w:rsidRPr="00E65297" w:rsidRDefault="0026053A" w:rsidP="0040305B">
      <w:pPr>
        <w:tabs>
          <w:tab w:val="left" w:pos="2198"/>
        </w:tabs>
        <w:ind w:left="480" w:hanging="480"/>
        <w:rPr>
          <w:rFonts w:ascii="Times New Roman" w:hAnsi="Times New Roman" w:cs="Times New Roman"/>
          <w:b/>
          <w:bCs w:val="0"/>
          <w:sz w:val="22"/>
          <w:szCs w:val="22"/>
        </w:rPr>
      </w:pPr>
      <w:r>
        <w:rPr>
          <w:rFonts w:ascii="Times New Roman" w:hAnsi="Times New Roman" w:cs="Times New Roman"/>
          <w:b/>
          <w:bCs w:val="0"/>
          <w:sz w:val="22"/>
          <w:szCs w:val="22"/>
        </w:rPr>
        <w:br w:type="page"/>
      </w:r>
    </w:p>
    <w:p w14:paraId="5A771C4E" w14:textId="77777777" w:rsidR="00E8470C" w:rsidRPr="00E65297" w:rsidRDefault="00E8470C" w:rsidP="005A14EA">
      <w:pPr>
        <w:keepNext/>
        <w:tabs>
          <w:tab w:val="left" w:pos="567"/>
        </w:tabs>
        <w:ind w:left="482" w:hanging="482"/>
        <w:rPr>
          <w:rFonts w:ascii="Times New Roman" w:hAnsi="Times New Roman" w:cs="Times New Roman"/>
          <w:b/>
          <w:bCs w:val="0"/>
          <w:sz w:val="22"/>
        </w:rPr>
      </w:pP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4.8</w:t>
      </w:r>
      <w:r w:rsidR="00A26017" w:rsidRPr="00E65297">
        <w:rPr>
          <w:rFonts w:ascii="Times New Roman" w:hAnsi="Times New Roman" w:cs="Times New Roman"/>
          <w:sz w:val="22"/>
          <w:szCs w:val="22"/>
        </w:rPr>
        <w:tab/>
      </w:r>
      <w:r w:rsidRPr="00E65297">
        <w:rPr>
          <w:rFonts w:ascii="Times New Roman" w:hAnsi="Times New Roman" w:cs="Times New Roman"/>
          <w:b/>
          <w:bCs w:val="0"/>
          <w:sz w:val="22"/>
          <w:szCs w:val="22"/>
        </w:rPr>
        <w:t>Nežiaduce účinky</w:t>
      </w:r>
    </w:p>
    <w:p w14:paraId="2685CCF4" w14:textId="77777777" w:rsidR="00E8470C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b/>
          <w:bCs w:val="0"/>
          <w:sz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95"/>
        <w:gridCol w:w="1348"/>
        <w:gridCol w:w="1409"/>
        <w:gridCol w:w="1392"/>
        <w:gridCol w:w="1616"/>
      </w:tblGrid>
      <w:tr w:rsidR="00153C0C" w:rsidRPr="00E65297" w14:paraId="70B2169A" w14:textId="77777777" w:rsidTr="005A14EA">
        <w:tblPrEx>
          <w:tblCellMar>
            <w:top w:w="0" w:type="dxa"/>
            <w:bottom w:w="0" w:type="dxa"/>
          </w:tblCellMar>
        </w:tblPrEx>
        <w:tc>
          <w:tcPr>
            <w:tcW w:w="2055" w:type="dxa"/>
            <w:vAlign w:val="center"/>
          </w:tcPr>
          <w:p w14:paraId="761486B4" w14:textId="77777777" w:rsidR="0046713D" w:rsidRPr="00E65297" w:rsidRDefault="0046713D" w:rsidP="005A14EA">
            <w:pPr>
              <w:tabs>
                <w:tab w:val="left" w:pos="2198"/>
              </w:tabs>
              <w:ind w:left="480" w:hanging="48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95" w:type="dxa"/>
            <w:vAlign w:val="center"/>
          </w:tcPr>
          <w:p w14:paraId="0C808DF9" w14:textId="77777777" w:rsidR="0046713D" w:rsidRPr="00E65297" w:rsidRDefault="0046713D" w:rsidP="00C726CD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Časté</w:t>
            </w:r>
          </w:p>
          <w:p w14:paraId="3AD33032" w14:textId="77777777" w:rsidR="0046713D" w:rsidRPr="00E65297" w:rsidRDefault="0046713D" w:rsidP="00C726CD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(</w:t>
            </w:r>
            <w:r w:rsidR="009E119F" w:rsidRPr="00E65297">
              <w:rPr>
                <w:rFonts w:ascii="Times New Roman" w:hAnsi="Times New Roman" w:cs="Times New Roman"/>
                <w:b/>
                <w:sz w:val="22"/>
              </w:rPr>
              <w:t>≥</w:t>
            </w:r>
            <w:r w:rsidRPr="00E65297">
              <w:rPr>
                <w:rFonts w:ascii="Times New Roman" w:hAnsi="Times New Roman" w:cs="Times New Roman"/>
                <w:b/>
                <w:sz w:val="22"/>
              </w:rPr>
              <w:t xml:space="preserve"> 1/100 až</w:t>
            </w:r>
          </w:p>
          <w:p w14:paraId="52ECC47B" w14:textId="77777777" w:rsidR="0046713D" w:rsidRPr="00E65297" w:rsidRDefault="0046713D" w:rsidP="00C726CD">
            <w:pPr>
              <w:tabs>
                <w:tab w:val="left" w:pos="227"/>
                <w:tab w:val="left" w:pos="2198"/>
              </w:tabs>
              <w:ind w:left="72"/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&lt; 1/10)</w:t>
            </w:r>
          </w:p>
        </w:tc>
        <w:tc>
          <w:tcPr>
            <w:tcW w:w="1348" w:type="dxa"/>
            <w:vAlign w:val="center"/>
          </w:tcPr>
          <w:p w14:paraId="603A861D" w14:textId="77777777" w:rsidR="0046713D" w:rsidRPr="00E65297" w:rsidRDefault="0046713D" w:rsidP="00C726CD">
            <w:pPr>
              <w:tabs>
                <w:tab w:val="left" w:pos="240"/>
                <w:tab w:val="left" w:pos="2198"/>
              </w:tabs>
              <w:ind w:left="72"/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Menej časté</w:t>
            </w:r>
          </w:p>
          <w:p w14:paraId="4037E1CC" w14:textId="77777777" w:rsidR="0046713D" w:rsidRPr="00E65297" w:rsidRDefault="0046713D" w:rsidP="00C726CD">
            <w:pPr>
              <w:tabs>
                <w:tab w:val="left" w:pos="240"/>
                <w:tab w:val="left" w:pos="2198"/>
              </w:tabs>
              <w:ind w:left="72" w:right="-56"/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(</w:t>
            </w:r>
            <w:r w:rsidR="009E119F" w:rsidRPr="00E65297">
              <w:rPr>
                <w:rFonts w:ascii="Times New Roman" w:hAnsi="Times New Roman" w:cs="Times New Roman"/>
                <w:b/>
                <w:sz w:val="22"/>
              </w:rPr>
              <w:t>≥</w:t>
            </w:r>
            <w:r w:rsidRPr="00E65297">
              <w:rPr>
                <w:rFonts w:ascii="Times New Roman" w:hAnsi="Times New Roman" w:cs="Times New Roman"/>
                <w:b/>
                <w:sz w:val="22"/>
              </w:rPr>
              <w:t xml:space="preserve"> 1/1000 až &lt;</w:t>
            </w:r>
            <w:r w:rsidR="00EB04AE" w:rsidRPr="00E65297">
              <w:rPr>
                <w:rFonts w:ascii="Times New Roman" w:hAnsi="Times New Roman" w:cs="Times New Roman"/>
                <w:b/>
                <w:sz w:val="22"/>
              </w:rPr>
              <w:t> </w:t>
            </w:r>
            <w:r w:rsidRPr="00E65297">
              <w:rPr>
                <w:rFonts w:ascii="Times New Roman" w:hAnsi="Times New Roman" w:cs="Times New Roman"/>
                <w:b/>
                <w:sz w:val="22"/>
              </w:rPr>
              <w:t>1/100)</w:t>
            </w:r>
          </w:p>
        </w:tc>
        <w:tc>
          <w:tcPr>
            <w:tcW w:w="1409" w:type="dxa"/>
            <w:vAlign w:val="center"/>
          </w:tcPr>
          <w:p w14:paraId="3ADE3217" w14:textId="77777777" w:rsidR="0046713D" w:rsidRPr="00E65297" w:rsidRDefault="0046713D" w:rsidP="00C726CD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Zriedkavé</w:t>
            </w:r>
          </w:p>
          <w:p w14:paraId="7934742B" w14:textId="77777777" w:rsidR="0046713D" w:rsidRPr="00E65297" w:rsidRDefault="0046713D" w:rsidP="00C726CD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(</w:t>
            </w:r>
            <w:r w:rsidR="009E119F" w:rsidRPr="00E65297">
              <w:rPr>
                <w:rFonts w:ascii="Times New Roman" w:hAnsi="Times New Roman" w:cs="Times New Roman"/>
                <w:b/>
                <w:sz w:val="22"/>
              </w:rPr>
              <w:t>≥</w:t>
            </w:r>
            <w:r w:rsidRPr="00E65297">
              <w:rPr>
                <w:rFonts w:ascii="Times New Roman" w:hAnsi="Times New Roman" w:cs="Times New Roman"/>
                <w:b/>
                <w:sz w:val="22"/>
              </w:rPr>
              <w:t xml:space="preserve"> 1/10 000 až</w:t>
            </w:r>
          </w:p>
          <w:p w14:paraId="6C599153" w14:textId="77777777" w:rsidR="0046713D" w:rsidRPr="00E65297" w:rsidRDefault="0046713D" w:rsidP="00C726CD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&lt; 1/1000)</w:t>
            </w:r>
          </w:p>
        </w:tc>
        <w:tc>
          <w:tcPr>
            <w:tcW w:w="1392" w:type="dxa"/>
            <w:vAlign w:val="center"/>
          </w:tcPr>
          <w:p w14:paraId="43291929" w14:textId="77777777" w:rsidR="0046713D" w:rsidRPr="00E65297" w:rsidRDefault="0046713D" w:rsidP="00C726CD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Veľmi zriedkavé</w:t>
            </w:r>
          </w:p>
          <w:p w14:paraId="1AB7050D" w14:textId="77777777" w:rsidR="0046713D" w:rsidRPr="00E65297" w:rsidRDefault="0046713D" w:rsidP="00C726CD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(&lt; 1/10 000)</w:t>
            </w:r>
          </w:p>
        </w:tc>
        <w:tc>
          <w:tcPr>
            <w:tcW w:w="1616" w:type="dxa"/>
          </w:tcPr>
          <w:p w14:paraId="7A497E50" w14:textId="77777777" w:rsidR="0046713D" w:rsidRPr="00E65297" w:rsidRDefault="009F0295" w:rsidP="00C726CD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Neznáme</w:t>
            </w:r>
          </w:p>
          <w:p w14:paraId="707FC4E9" w14:textId="77777777" w:rsidR="009F0295" w:rsidRPr="00E65297" w:rsidRDefault="009F0295" w:rsidP="00C726CD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(</w:t>
            </w:r>
            <w:r w:rsidR="00153C0C" w:rsidRPr="00E65297">
              <w:rPr>
                <w:rFonts w:ascii="Times New Roman" w:hAnsi="Times New Roman" w:cs="Times New Roman"/>
                <w:b/>
                <w:sz w:val="22"/>
              </w:rPr>
              <w:t xml:space="preserve">nedá sa odhadnúť </w:t>
            </w:r>
            <w:r w:rsidRPr="00E65297">
              <w:rPr>
                <w:rFonts w:ascii="Times New Roman" w:hAnsi="Times New Roman" w:cs="Times New Roman"/>
                <w:b/>
                <w:sz w:val="22"/>
              </w:rPr>
              <w:t>z dostupných údajov)</w:t>
            </w:r>
          </w:p>
        </w:tc>
      </w:tr>
      <w:tr w:rsidR="00153C0C" w:rsidRPr="00E65297" w14:paraId="46F1393F" w14:textId="77777777" w:rsidTr="005A14EA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055" w:type="dxa"/>
            <w:vAlign w:val="center"/>
          </w:tcPr>
          <w:p w14:paraId="7B1A0ACD" w14:textId="77777777" w:rsidR="0046713D" w:rsidRPr="00E65297" w:rsidRDefault="0046713D" w:rsidP="005A14EA">
            <w:pPr>
              <w:tabs>
                <w:tab w:val="left" w:pos="2198"/>
              </w:tabs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Poruchy nervového systému</w:t>
            </w:r>
          </w:p>
        </w:tc>
        <w:tc>
          <w:tcPr>
            <w:tcW w:w="1495" w:type="dxa"/>
            <w:vAlign w:val="center"/>
          </w:tcPr>
          <w:p w14:paraId="311D5A3A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>Závraty</w:t>
            </w:r>
            <w:r w:rsidR="00EB04AE" w:rsidRPr="00E65297">
              <w:rPr>
                <w:rFonts w:ascii="Times New Roman" w:hAnsi="Times New Roman" w:cs="Times New Roman"/>
                <w:sz w:val="22"/>
              </w:rPr>
              <w:t xml:space="preserve"> (1,3 %)</w:t>
            </w:r>
          </w:p>
        </w:tc>
        <w:tc>
          <w:tcPr>
            <w:tcW w:w="1348" w:type="dxa"/>
            <w:vAlign w:val="center"/>
          </w:tcPr>
          <w:p w14:paraId="4E1B315F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>Bolesti hlavy</w:t>
            </w:r>
          </w:p>
        </w:tc>
        <w:tc>
          <w:tcPr>
            <w:tcW w:w="1409" w:type="dxa"/>
            <w:vAlign w:val="center"/>
          </w:tcPr>
          <w:p w14:paraId="0441DC3D" w14:textId="77777777" w:rsidR="0046713D" w:rsidRPr="00E65297" w:rsidRDefault="0046713D" w:rsidP="005A14EA">
            <w:pPr>
              <w:tabs>
                <w:tab w:val="left" w:pos="2436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>Synkopa</w:t>
            </w:r>
          </w:p>
        </w:tc>
        <w:tc>
          <w:tcPr>
            <w:tcW w:w="1392" w:type="dxa"/>
            <w:vAlign w:val="center"/>
          </w:tcPr>
          <w:p w14:paraId="6DAAB1A7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</w:tcPr>
          <w:p w14:paraId="486E34ED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</w:tr>
      <w:tr w:rsidR="00153C0C" w:rsidRPr="00E65297" w14:paraId="0DBF9BD1" w14:textId="77777777" w:rsidTr="005A14EA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055" w:type="dxa"/>
            <w:vAlign w:val="center"/>
          </w:tcPr>
          <w:p w14:paraId="2F2DF4DD" w14:textId="77777777" w:rsidR="009F0295" w:rsidRPr="00E65297" w:rsidRDefault="00E46614" w:rsidP="005A14EA">
            <w:pPr>
              <w:tabs>
                <w:tab w:val="left" w:pos="2198"/>
              </w:tabs>
              <w:ind w:left="480" w:hanging="480"/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Poruchy oka</w:t>
            </w:r>
          </w:p>
        </w:tc>
        <w:tc>
          <w:tcPr>
            <w:tcW w:w="1495" w:type="dxa"/>
            <w:vAlign w:val="center"/>
          </w:tcPr>
          <w:p w14:paraId="111786FF" w14:textId="77777777" w:rsidR="009F0295" w:rsidRPr="00E65297" w:rsidRDefault="009F0295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8" w:type="dxa"/>
            <w:vAlign w:val="center"/>
          </w:tcPr>
          <w:p w14:paraId="4EA2ADC4" w14:textId="77777777" w:rsidR="009F0295" w:rsidRPr="00E65297" w:rsidRDefault="009F0295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9" w:type="dxa"/>
            <w:vAlign w:val="center"/>
          </w:tcPr>
          <w:p w14:paraId="51F11CD5" w14:textId="77777777" w:rsidR="009F0295" w:rsidRPr="00E65297" w:rsidRDefault="009F0295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  <w:vAlign w:val="center"/>
          </w:tcPr>
          <w:p w14:paraId="29EBEF0C" w14:textId="77777777" w:rsidR="009F0295" w:rsidRPr="00E65297" w:rsidRDefault="009F0295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</w:tcPr>
          <w:p w14:paraId="5B3E66C4" w14:textId="77777777" w:rsidR="00F361C9" w:rsidRPr="00E65297" w:rsidRDefault="00CD1C75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>Rozmazané videnie</w:t>
            </w:r>
            <w:r w:rsidR="00CC22AE" w:rsidRPr="00E65297">
              <w:rPr>
                <w:color w:val="B5082D"/>
                <w:sz w:val="23"/>
                <w:szCs w:val="23"/>
              </w:rPr>
              <w:t>*</w:t>
            </w:r>
            <w:r w:rsidRPr="00E65297">
              <w:rPr>
                <w:rFonts w:ascii="Times New Roman" w:hAnsi="Times New Roman" w:cs="Times New Roman"/>
                <w:sz w:val="22"/>
              </w:rPr>
              <w:t xml:space="preserve">, </w:t>
            </w:r>
          </w:p>
          <w:p w14:paraId="03F94B04" w14:textId="77777777" w:rsidR="009F0295" w:rsidRPr="00E65297" w:rsidRDefault="00270670" w:rsidP="00043877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>po</w:t>
            </w:r>
            <w:r w:rsidR="00CD1C75" w:rsidRPr="00E65297">
              <w:rPr>
                <w:rFonts w:ascii="Times New Roman" w:hAnsi="Times New Roman" w:cs="Times New Roman"/>
                <w:sz w:val="22"/>
              </w:rPr>
              <w:t>rucha zraku</w:t>
            </w:r>
            <w:r w:rsidR="009E119F" w:rsidRPr="00E65297">
              <w:rPr>
                <w:rFonts w:ascii="Times New Roman" w:eastAsia="SimSun" w:hAnsi="Times New Roman"/>
                <w:color w:val="000000"/>
                <w:lang w:val="en-US" w:eastAsia="en-US"/>
              </w:rPr>
              <w:t>*</w:t>
            </w:r>
          </w:p>
        </w:tc>
      </w:tr>
      <w:tr w:rsidR="00153C0C" w:rsidRPr="00E65297" w14:paraId="4316B785" w14:textId="77777777" w:rsidTr="005A14E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55" w:type="dxa"/>
            <w:vAlign w:val="center"/>
          </w:tcPr>
          <w:p w14:paraId="0AC95FB8" w14:textId="77777777" w:rsidR="0046713D" w:rsidRPr="00E65297" w:rsidRDefault="0046713D" w:rsidP="005A14EA">
            <w:pPr>
              <w:tabs>
                <w:tab w:val="left" w:pos="2198"/>
              </w:tabs>
              <w:ind w:left="480" w:hanging="480"/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Poruchy srdca</w:t>
            </w:r>
          </w:p>
        </w:tc>
        <w:tc>
          <w:tcPr>
            <w:tcW w:w="1495" w:type="dxa"/>
            <w:vAlign w:val="center"/>
          </w:tcPr>
          <w:p w14:paraId="6A69D18F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8" w:type="dxa"/>
            <w:vAlign w:val="center"/>
          </w:tcPr>
          <w:p w14:paraId="7899523B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65297">
              <w:rPr>
                <w:rFonts w:ascii="Times New Roman" w:hAnsi="Times New Roman" w:cs="Times New Roman"/>
                <w:sz w:val="22"/>
              </w:rPr>
              <w:t>Palpitácie</w:t>
            </w:r>
            <w:proofErr w:type="spellEnd"/>
          </w:p>
        </w:tc>
        <w:tc>
          <w:tcPr>
            <w:tcW w:w="1409" w:type="dxa"/>
            <w:vAlign w:val="center"/>
          </w:tcPr>
          <w:p w14:paraId="2CF4A83B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  <w:vAlign w:val="center"/>
          </w:tcPr>
          <w:p w14:paraId="40E6B095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</w:tcPr>
          <w:p w14:paraId="6D11131A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</w:tr>
      <w:tr w:rsidR="00153C0C" w:rsidRPr="00E65297" w14:paraId="18C674DD" w14:textId="77777777" w:rsidTr="005A14EA">
        <w:tblPrEx>
          <w:tblCellMar>
            <w:top w:w="0" w:type="dxa"/>
            <w:bottom w:w="0" w:type="dxa"/>
          </w:tblCellMar>
        </w:tblPrEx>
        <w:tc>
          <w:tcPr>
            <w:tcW w:w="2055" w:type="dxa"/>
            <w:vAlign w:val="center"/>
          </w:tcPr>
          <w:p w14:paraId="598B3285" w14:textId="77777777" w:rsidR="0046713D" w:rsidRPr="00E65297" w:rsidRDefault="0046713D" w:rsidP="005A14EA">
            <w:pPr>
              <w:tabs>
                <w:tab w:val="left" w:pos="2198"/>
              </w:tabs>
              <w:ind w:left="480" w:hanging="480"/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Poruchy ciev</w:t>
            </w:r>
          </w:p>
        </w:tc>
        <w:tc>
          <w:tcPr>
            <w:tcW w:w="1495" w:type="dxa"/>
            <w:vAlign w:val="center"/>
          </w:tcPr>
          <w:p w14:paraId="4C1E03EA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8" w:type="dxa"/>
            <w:vAlign w:val="center"/>
          </w:tcPr>
          <w:p w14:paraId="3688FB8E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65297">
              <w:rPr>
                <w:rFonts w:ascii="Times New Roman" w:hAnsi="Times New Roman" w:cs="Times New Roman"/>
                <w:sz w:val="22"/>
              </w:rPr>
              <w:t>Ortostatická</w:t>
            </w:r>
            <w:proofErr w:type="spellEnd"/>
            <w:r w:rsidRPr="00E65297">
              <w:rPr>
                <w:rFonts w:ascii="Times New Roman" w:hAnsi="Times New Roman" w:cs="Times New Roman"/>
                <w:sz w:val="22"/>
              </w:rPr>
              <w:t xml:space="preserve"> hypotenzia</w:t>
            </w:r>
          </w:p>
        </w:tc>
        <w:tc>
          <w:tcPr>
            <w:tcW w:w="1409" w:type="dxa"/>
            <w:vAlign w:val="center"/>
          </w:tcPr>
          <w:p w14:paraId="40273E5E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  <w:vAlign w:val="center"/>
          </w:tcPr>
          <w:p w14:paraId="3C907670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</w:tcPr>
          <w:p w14:paraId="0D1C7BCF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</w:tr>
      <w:tr w:rsidR="00153C0C" w:rsidRPr="00E65297" w14:paraId="427BF410" w14:textId="77777777" w:rsidTr="005A14EA">
        <w:tblPrEx>
          <w:tblCellMar>
            <w:top w:w="0" w:type="dxa"/>
            <w:bottom w:w="0" w:type="dxa"/>
          </w:tblCellMar>
        </w:tblPrEx>
        <w:tc>
          <w:tcPr>
            <w:tcW w:w="2055" w:type="dxa"/>
            <w:vAlign w:val="center"/>
          </w:tcPr>
          <w:p w14:paraId="107E12C3" w14:textId="77777777" w:rsidR="0046713D" w:rsidRPr="00E65297" w:rsidRDefault="0046713D" w:rsidP="005A14EA">
            <w:pPr>
              <w:tabs>
                <w:tab w:val="left" w:pos="2198"/>
              </w:tabs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 xml:space="preserve">Poruchy dýchacej sústavy, hrudníka a </w:t>
            </w:r>
            <w:proofErr w:type="spellStart"/>
            <w:r w:rsidRPr="00E65297">
              <w:rPr>
                <w:rFonts w:ascii="Times New Roman" w:hAnsi="Times New Roman" w:cs="Times New Roman"/>
                <w:b/>
                <w:sz w:val="22"/>
              </w:rPr>
              <w:t>mediastína</w:t>
            </w:r>
            <w:proofErr w:type="spellEnd"/>
          </w:p>
        </w:tc>
        <w:tc>
          <w:tcPr>
            <w:tcW w:w="1495" w:type="dxa"/>
            <w:vAlign w:val="center"/>
          </w:tcPr>
          <w:p w14:paraId="4FA27976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8" w:type="dxa"/>
            <w:vAlign w:val="center"/>
          </w:tcPr>
          <w:p w14:paraId="271A8DAB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>Nádcha</w:t>
            </w:r>
          </w:p>
        </w:tc>
        <w:tc>
          <w:tcPr>
            <w:tcW w:w="1409" w:type="dxa"/>
            <w:vAlign w:val="center"/>
          </w:tcPr>
          <w:p w14:paraId="40B99EE1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  <w:vAlign w:val="center"/>
          </w:tcPr>
          <w:p w14:paraId="2C10FBB3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</w:tcPr>
          <w:p w14:paraId="2294D354" w14:textId="77777777" w:rsidR="0046713D" w:rsidRPr="00E65297" w:rsidRDefault="00F361C9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65297">
              <w:rPr>
                <w:rFonts w:ascii="Times New Roman" w:hAnsi="Times New Roman" w:cs="Times New Roman"/>
                <w:sz w:val="22"/>
              </w:rPr>
              <w:t>Epistaxa</w:t>
            </w:r>
            <w:proofErr w:type="spellEnd"/>
            <w:r w:rsidR="009E119F" w:rsidRPr="00E65297">
              <w:rPr>
                <w:rFonts w:ascii="Times New Roman" w:eastAsia="SimSun" w:hAnsi="Times New Roman"/>
                <w:color w:val="000000"/>
                <w:lang w:val="en-US" w:eastAsia="en-US"/>
              </w:rPr>
              <w:t>*</w:t>
            </w:r>
          </w:p>
        </w:tc>
      </w:tr>
      <w:tr w:rsidR="00153C0C" w:rsidRPr="00E65297" w14:paraId="32583E6C" w14:textId="77777777" w:rsidTr="005A14EA">
        <w:tblPrEx>
          <w:tblCellMar>
            <w:top w:w="0" w:type="dxa"/>
            <w:bottom w:w="0" w:type="dxa"/>
          </w:tblCellMar>
        </w:tblPrEx>
        <w:tc>
          <w:tcPr>
            <w:tcW w:w="2055" w:type="dxa"/>
            <w:vAlign w:val="center"/>
          </w:tcPr>
          <w:p w14:paraId="284EECA5" w14:textId="77777777" w:rsidR="0046713D" w:rsidRPr="00E65297" w:rsidRDefault="0046713D" w:rsidP="005A14EA">
            <w:pPr>
              <w:tabs>
                <w:tab w:val="left" w:pos="2198"/>
              </w:tabs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 xml:space="preserve">Poruchy </w:t>
            </w:r>
            <w:proofErr w:type="spellStart"/>
            <w:r w:rsidRPr="00E65297">
              <w:rPr>
                <w:rFonts w:ascii="Times New Roman" w:hAnsi="Times New Roman" w:cs="Times New Roman"/>
                <w:b/>
                <w:sz w:val="22"/>
              </w:rPr>
              <w:t>gastrointestinálneho</w:t>
            </w:r>
            <w:proofErr w:type="spellEnd"/>
            <w:r w:rsidRPr="00E65297">
              <w:rPr>
                <w:rFonts w:ascii="Times New Roman" w:hAnsi="Times New Roman" w:cs="Times New Roman"/>
                <w:b/>
                <w:sz w:val="22"/>
              </w:rPr>
              <w:t xml:space="preserve"> traktu</w:t>
            </w:r>
          </w:p>
        </w:tc>
        <w:tc>
          <w:tcPr>
            <w:tcW w:w="1495" w:type="dxa"/>
            <w:vAlign w:val="center"/>
          </w:tcPr>
          <w:p w14:paraId="76D93FD1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8" w:type="dxa"/>
            <w:vAlign w:val="center"/>
          </w:tcPr>
          <w:p w14:paraId="077238E1" w14:textId="77777777" w:rsidR="00F361C9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 xml:space="preserve">Zápcha, </w:t>
            </w:r>
          </w:p>
          <w:p w14:paraId="43FCBE45" w14:textId="77777777" w:rsidR="00F361C9" w:rsidRPr="00E65297" w:rsidRDefault="00270670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>h</w:t>
            </w:r>
            <w:r w:rsidR="00F361C9" w:rsidRPr="00E65297">
              <w:rPr>
                <w:rFonts w:ascii="Times New Roman" w:hAnsi="Times New Roman" w:cs="Times New Roman"/>
                <w:sz w:val="22"/>
              </w:rPr>
              <w:t>načka</w:t>
            </w:r>
            <w:r w:rsidR="0046713D" w:rsidRPr="00E65297">
              <w:rPr>
                <w:rFonts w:ascii="Times New Roman" w:hAnsi="Times New Roman" w:cs="Times New Roman"/>
                <w:sz w:val="22"/>
              </w:rPr>
              <w:t xml:space="preserve">, </w:t>
            </w:r>
          </w:p>
          <w:p w14:paraId="521C2F30" w14:textId="77777777" w:rsidR="00F361C9" w:rsidRPr="00E65297" w:rsidRDefault="00270670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>n</w:t>
            </w:r>
            <w:r w:rsidR="00F361C9" w:rsidRPr="00E65297">
              <w:rPr>
                <w:rFonts w:ascii="Times New Roman" w:hAnsi="Times New Roman" w:cs="Times New Roman"/>
                <w:sz w:val="22"/>
              </w:rPr>
              <w:t>evoľnosť</w:t>
            </w:r>
            <w:r w:rsidR="0046713D" w:rsidRPr="00E65297">
              <w:rPr>
                <w:rFonts w:ascii="Times New Roman" w:hAnsi="Times New Roman" w:cs="Times New Roman"/>
                <w:sz w:val="22"/>
              </w:rPr>
              <w:t xml:space="preserve">, </w:t>
            </w:r>
          </w:p>
          <w:p w14:paraId="1E4B2147" w14:textId="77777777" w:rsidR="0046713D" w:rsidRPr="00E65297" w:rsidRDefault="00270670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>v</w:t>
            </w:r>
            <w:r w:rsidR="00F361C9" w:rsidRPr="00E65297">
              <w:rPr>
                <w:rFonts w:ascii="Times New Roman" w:hAnsi="Times New Roman" w:cs="Times New Roman"/>
                <w:sz w:val="22"/>
              </w:rPr>
              <w:t>racanie</w:t>
            </w:r>
          </w:p>
        </w:tc>
        <w:tc>
          <w:tcPr>
            <w:tcW w:w="1409" w:type="dxa"/>
            <w:vAlign w:val="center"/>
          </w:tcPr>
          <w:p w14:paraId="4348564B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  <w:vAlign w:val="center"/>
          </w:tcPr>
          <w:p w14:paraId="4923493F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</w:tcPr>
          <w:p w14:paraId="69BDD318" w14:textId="77777777" w:rsidR="0046713D" w:rsidRPr="00E65297" w:rsidRDefault="00D23138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>Sucho v</w:t>
            </w:r>
            <w:r w:rsidR="00F361C9" w:rsidRPr="00E65297">
              <w:rPr>
                <w:rFonts w:ascii="Times New Roman" w:hAnsi="Times New Roman" w:cs="Times New Roman"/>
                <w:sz w:val="22"/>
              </w:rPr>
              <w:t> </w:t>
            </w:r>
            <w:r w:rsidRPr="00E65297">
              <w:rPr>
                <w:rFonts w:ascii="Times New Roman" w:hAnsi="Times New Roman" w:cs="Times New Roman"/>
                <w:sz w:val="22"/>
              </w:rPr>
              <w:t>ústach</w:t>
            </w:r>
            <w:r w:rsidR="00CC22AE" w:rsidRPr="00E65297">
              <w:rPr>
                <w:color w:val="B5082D"/>
                <w:sz w:val="23"/>
                <w:szCs w:val="23"/>
              </w:rPr>
              <w:t>*</w:t>
            </w:r>
          </w:p>
        </w:tc>
      </w:tr>
      <w:tr w:rsidR="00153C0C" w:rsidRPr="00E65297" w14:paraId="1F8E49BB" w14:textId="77777777" w:rsidTr="005A14EA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055" w:type="dxa"/>
            <w:vAlign w:val="center"/>
          </w:tcPr>
          <w:p w14:paraId="7E5F94FD" w14:textId="77777777" w:rsidR="0046713D" w:rsidRPr="00E65297" w:rsidRDefault="0046713D" w:rsidP="005A14EA">
            <w:pPr>
              <w:tabs>
                <w:tab w:val="left" w:pos="2198"/>
              </w:tabs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Poruchy kože a podkožného tkaniva</w:t>
            </w:r>
          </w:p>
        </w:tc>
        <w:tc>
          <w:tcPr>
            <w:tcW w:w="1495" w:type="dxa"/>
            <w:vAlign w:val="center"/>
          </w:tcPr>
          <w:p w14:paraId="33E3B35C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8" w:type="dxa"/>
            <w:vAlign w:val="center"/>
          </w:tcPr>
          <w:p w14:paraId="4164973B" w14:textId="77777777" w:rsidR="00F361C9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 xml:space="preserve">Vyrážka, </w:t>
            </w:r>
          </w:p>
          <w:p w14:paraId="4B0A7EDC" w14:textId="77777777" w:rsidR="00F361C9" w:rsidRPr="00E65297" w:rsidRDefault="00270670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>s</w:t>
            </w:r>
            <w:r w:rsidR="00F361C9" w:rsidRPr="00E65297">
              <w:rPr>
                <w:rFonts w:ascii="Times New Roman" w:hAnsi="Times New Roman" w:cs="Times New Roman"/>
                <w:sz w:val="22"/>
              </w:rPr>
              <w:t>vrbenie</w:t>
            </w:r>
            <w:r w:rsidR="0046713D" w:rsidRPr="00E65297">
              <w:rPr>
                <w:rFonts w:ascii="Times New Roman" w:hAnsi="Times New Roman" w:cs="Times New Roman"/>
                <w:sz w:val="22"/>
              </w:rPr>
              <w:t xml:space="preserve">, </w:t>
            </w:r>
          </w:p>
          <w:p w14:paraId="6CB1A240" w14:textId="77777777" w:rsidR="0046713D" w:rsidRPr="00E65297" w:rsidRDefault="00270670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>ž</w:t>
            </w:r>
            <w:r w:rsidR="00F361C9" w:rsidRPr="00E65297">
              <w:rPr>
                <w:rFonts w:ascii="Times New Roman" w:hAnsi="Times New Roman" w:cs="Times New Roman"/>
                <w:sz w:val="22"/>
              </w:rPr>
              <w:t>ihľavka</w:t>
            </w:r>
          </w:p>
        </w:tc>
        <w:tc>
          <w:tcPr>
            <w:tcW w:w="1409" w:type="dxa"/>
            <w:vAlign w:val="center"/>
          </w:tcPr>
          <w:p w14:paraId="75AA5367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65297">
              <w:rPr>
                <w:rFonts w:ascii="Times New Roman" w:hAnsi="Times New Roman" w:cs="Times New Roman"/>
                <w:sz w:val="22"/>
              </w:rPr>
              <w:t>Angioedém</w:t>
            </w:r>
            <w:proofErr w:type="spellEnd"/>
          </w:p>
        </w:tc>
        <w:tc>
          <w:tcPr>
            <w:tcW w:w="1392" w:type="dxa"/>
            <w:vAlign w:val="center"/>
          </w:tcPr>
          <w:p w14:paraId="224E94D3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65297">
              <w:rPr>
                <w:rFonts w:ascii="Times New Roman" w:hAnsi="Times New Roman" w:cs="Times New Roman"/>
                <w:sz w:val="22"/>
              </w:rPr>
              <w:t>Stevensov-Johnsonov</w:t>
            </w:r>
            <w:proofErr w:type="spellEnd"/>
            <w:r w:rsidRPr="00E65297">
              <w:rPr>
                <w:rFonts w:ascii="Times New Roman" w:hAnsi="Times New Roman" w:cs="Times New Roman"/>
                <w:sz w:val="22"/>
              </w:rPr>
              <w:t xml:space="preserve"> syndróm</w:t>
            </w:r>
          </w:p>
        </w:tc>
        <w:tc>
          <w:tcPr>
            <w:tcW w:w="1616" w:type="dxa"/>
          </w:tcPr>
          <w:p w14:paraId="3BB0269D" w14:textId="77777777" w:rsidR="00F361C9" w:rsidRPr="00E65297" w:rsidRDefault="00A1046F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65297">
              <w:rPr>
                <w:rFonts w:ascii="Times New Roman" w:hAnsi="Times New Roman" w:cs="Times New Roman"/>
                <w:sz w:val="22"/>
              </w:rPr>
              <w:t>Multiformný</w:t>
            </w:r>
            <w:proofErr w:type="spellEnd"/>
            <w:r w:rsidRPr="00E6529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65297">
              <w:rPr>
                <w:rFonts w:ascii="Times New Roman" w:hAnsi="Times New Roman" w:cs="Times New Roman"/>
                <w:sz w:val="22"/>
              </w:rPr>
              <w:t>erytém</w:t>
            </w:r>
            <w:proofErr w:type="spellEnd"/>
            <w:r w:rsidR="00CC22AE" w:rsidRPr="00E65297">
              <w:rPr>
                <w:color w:val="B5082D"/>
                <w:sz w:val="23"/>
                <w:szCs w:val="23"/>
              </w:rPr>
              <w:t>*</w:t>
            </w:r>
            <w:r w:rsidRPr="00E65297">
              <w:rPr>
                <w:rFonts w:ascii="Times New Roman" w:hAnsi="Times New Roman" w:cs="Times New Roman"/>
                <w:sz w:val="22"/>
              </w:rPr>
              <w:t>,</w:t>
            </w:r>
          </w:p>
          <w:p w14:paraId="6FC62535" w14:textId="77777777" w:rsidR="0046713D" w:rsidRPr="00E65297" w:rsidRDefault="00270670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65297">
              <w:rPr>
                <w:rFonts w:ascii="Times New Roman" w:hAnsi="Times New Roman" w:cs="Times New Roman"/>
                <w:sz w:val="22"/>
              </w:rPr>
              <w:t>e</w:t>
            </w:r>
            <w:r w:rsidR="00A1046F" w:rsidRPr="00E65297">
              <w:rPr>
                <w:rFonts w:ascii="Times New Roman" w:hAnsi="Times New Roman" w:cs="Times New Roman"/>
                <w:sz w:val="22"/>
              </w:rPr>
              <w:t>xfoliatívna</w:t>
            </w:r>
            <w:proofErr w:type="spellEnd"/>
            <w:r w:rsidR="00A1046F" w:rsidRPr="00E65297">
              <w:rPr>
                <w:rFonts w:ascii="Times New Roman" w:hAnsi="Times New Roman" w:cs="Times New Roman"/>
                <w:sz w:val="22"/>
              </w:rPr>
              <w:t xml:space="preserve"> dermatitída</w:t>
            </w:r>
            <w:r w:rsidR="00CC22AE" w:rsidRPr="00E65297">
              <w:rPr>
                <w:color w:val="B5082D"/>
                <w:sz w:val="23"/>
                <w:szCs w:val="23"/>
              </w:rPr>
              <w:t>*</w:t>
            </w:r>
          </w:p>
        </w:tc>
      </w:tr>
      <w:tr w:rsidR="00153C0C" w:rsidRPr="00E65297" w14:paraId="51DFC9DF" w14:textId="77777777" w:rsidTr="005A14EA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055" w:type="dxa"/>
            <w:vAlign w:val="center"/>
          </w:tcPr>
          <w:p w14:paraId="30AF5EEE" w14:textId="77777777" w:rsidR="0046713D" w:rsidRPr="00E65297" w:rsidRDefault="0046713D" w:rsidP="005A14EA">
            <w:pPr>
              <w:tabs>
                <w:tab w:val="left" w:pos="2198"/>
              </w:tabs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Poruchy reprodukčného systému a prsníkov</w:t>
            </w:r>
          </w:p>
        </w:tc>
        <w:tc>
          <w:tcPr>
            <w:tcW w:w="1495" w:type="dxa"/>
            <w:vAlign w:val="center"/>
          </w:tcPr>
          <w:p w14:paraId="52D99BB0" w14:textId="77777777" w:rsidR="00F361C9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>Poruchy ejakulácie</w:t>
            </w:r>
            <w:r w:rsidR="00040B88" w:rsidRPr="00E65297">
              <w:rPr>
                <w:rFonts w:ascii="Times New Roman" w:hAnsi="Times New Roman" w:cs="Times New Roman"/>
                <w:sz w:val="22"/>
              </w:rPr>
              <w:t xml:space="preserve"> vrátane spätnej ejakulácie, </w:t>
            </w:r>
          </w:p>
          <w:p w14:paraId="013696DE" w14:textId="77777777" w:rsidR="0046713D" w:rsidRPr="00E65297" w:rsidRDefault="00270670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>z</w:t>
            </w:r>
            <w:r w:rsidR="00040B88" w:rsidRPr="00E65297">
              <w:rPr>
                <w:rFonts w:ascii="Times New Roman" w:hAnsi="Times New Roman" w:cs="Times New Roman"/>
                <w:sz w:val="22"/>
              </w:rPr>
              <w:t>lyhanie ejakulácie</w:t>
            </w:r>
          </w:p>
        </w:tc>
        <w:tc>
          <w:tcPr>
            <w:tcW w:w="1348" w:type="dxa"/>
            <w:vAlign w:val="center"/>
          </w:tcPr>
          <w:p w14:paraId="264673A7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9" w:type="dxa"/>
            <w:vAlign w:val="center"/>
          </w:tcPr>
          <w:p w14:paraId="77CF9F90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  <w:vAlign w:val="center"/>
          </w:tcPr>
          <w:p w14:paraId="7329511B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65297">
              <w:rPr>
                <w:rFonts w:ascii="Times New Roman" w:hAnsi="Times New Roman" w:cs="Times New Roman"/>
                <w:sz w:val="22"/>
              </w:rPr>
              <w:t>Priapizmus</w:t>
            </w:r>
            <w:proofErr w:type="spellEnd"/>
          </w:p>
        </w:tc>
        <w:tc>
          <w:tcPr>
            <w:tcW w:w="1616" w:type="dxa"/>
          </w:tcPr>
          <w:p w14:paraId="13196FB9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</w:tr>
      <w:tr w:rsidR="00153C0C" w:rsidRPr="00E65297" w14:paraId="5C45C54D" w14:textId="77777777" w:rsidTr="005A14E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055" w:type="dxa"/>
            <w:vAlign w:val="center"/>
          </w:tcPr>
          <w:p w14:paraId="11505CA9" w14:textId="77777777" w:rsidR="0046713D" w:rsidRPr="00E65297" w:rsidRDefault="0046713D" w:rsidP="005A14EA">
            <w:pPr>
              <w:tabs>
                <w:tab w:val="left" w:pos="2198"/>
              </w:tabs>
              <w:rPr>
                <w:rFonts w:ascii="Times New Roman" w:hAnsi="Times New Roman" w:cs="Times New Roman"/>
                <w:b/>
                <w:sz w:val="22"/>
              </w:rPr>
            </w:pPr>
            <w:r w:rsidRPr="00E65297">
              <w:rPr>
                <w:rFonts w:ascii="Times New Roman" w:hAnsi="Times New Roman" w:cs="Times New Roman"/>
                <w:b/>
                <w:sz w:val="22"/>
              </w:rPr>
              <w:t>Celkové poruchy a reakcie v mieste podania</w:t>
            </w:r>
          </w:p>
        </w:tc>
        <w:tc>
          <w:tcPr>
            <w:tcW w:w="1495" w:type="dxa"/>
            <w:vAlign w:val="center"/>
          </w:tcPr>
          <w:p w14:paraId="52FF8168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48" w:type="dxa"/>
            <w:vAlign w:val="center"/>
          </w:tcPr>
          <w:p w14:paraId="2F144D98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  <w:r w:rsidRPr="00E65297">
              <w:rPr>
                <w:rFonts w:ascii="Times New Roman" w:hAnsi="Times New Roman" w:cs="Times New Roman"/>
                <w:sz w:val="22"/>
              </w:rPr>
              <w:t>Asténia</w:t>
            </w:r>
          </w:p>
        </w:tc>
        <w:tc>
          <w:tcPr>
            <w:tcW w:w="1409" w:type="dxa"/>
            <w:vAlign w:val="center"/>
          </w:tcPr>
          <w:p w14:paraId="38F19FC1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  <w:vAlign w:val="center"/>
          </w:tcPr>
          <w:p w14:paraId="288A794B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16" w:type="dxa"/>
          </w:tcPr>
          <w:p w14:paraId="635C0557" w14:textId="77777777" w:rsidR="0046713D" w:rsidRPr="00E65297" w:rsidRDefault="0046713D" w:rsidP="005A14EA">
            <w:pPr>
              <w:tabs>
                <w:tab w:val="left" w:pos="2198"/>
              </w:tabs>
              <w:ind w:left="72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BAF0DFC" w14:textId="77777777" w:rsidR="007D7560" w:rsidRPr="00E65297" w:rsidRDefault="007D7560" w:rsidP="007D7560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>*Pozorované počas uvedenia lieku na trh.</w:t>
      </w:r>
    </w:p>
    <w:p w14:paraId="05B875C9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108B4F9A" w14:textId="77777777" w:rsidR="00E8470C" w:rsidRPr="00E65297" w:rsidRDefault="00E8470C" w:rsidP="00153C0C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V priebehu post-marketingového sledovania bol stav zúženej zrenice, známy ako </w:t>
      </w:r>
      <w:proofErr w:type="spellStart"/>
      <w:r w:rsidRPr="00E65297">
        <w:rPr>
          <w:rFonts w:ascii="Times New Roman" w:hAnsi="Times New Roman" w:cs="Times New Roman"/>
          <w:sz w:val="22"/>
        </w:rPr>
        <w:t>peroperačný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syndróm vlajúcej dúhovky (IFIS), počas operácie katarakty</w:t>
      </w:r>
      <w:r w:rsidR="00F361C9" w:rsidRPr="00E65297">
        <w:rPr>
          <w:rFonts w:ascii="Times New Roman" w:hAnsi="Times New Roman" w:cs="Times New Roman"/>
          <w:sz w:val="22"/>
        </w:rPr>
        <w:t xml:space="preserve"> </w:t>
      </w:r>
      <w:r w:rsidR="007D7560" w:rsidRPr="00E65297">
        <w:rPr>
          <w:rFonts w:ascii="Times New Roman" w:hAnsi="Times New Roman" w:cs="Times New Roman"/>
          <w:sz w:val="22"/>
        </w:rPr>
        <w:t xml:space="preserve">alebo </w:t>
      </w:r>
      <w:proofErr w:type="spellStart"/>
      <w:r w:rsidR="007D7560" w:rsidRPr="00E65297">
        <w:rPr>
          <w:rFonts w:ascii="Times New Roman" w:hAnsi="Times New Roman" w:cs="Times New Roman"/>
          <w:sz w:val="22"/>
        </w:rPr>
        <w:t>glaukómu</w:t>
      </w:r>
      <w:proofErr w:type="spellEnd"/>
      <w:r w:rsidR="007D7560" w:rsidRPr="00E65297">
        <w:rPr>
          <w:rFonts w:ascii="Times New Roman" w:hAnsi="Times New Roman" w:cs="Times New Roman"/>
          <w:sz w:val="22"/>
        </w:rPr>
        <w:t xml:space="preserve"> </w:t>
      </w:r>
      <w:r w:rsidRPr="00E65297">
        <w:rPr>
          <w:rFonts w:ascii="Times New Roman" w:hAnsi="Times New Roman" w:cs="Times New Roman"/>
          <w:sz w:val="22"/>
        </w:rPr>
        <w:t xml:space="preserve">spojený s liečbou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om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(pozri tiež časť 4.4).</w:t>
      </w:r>
    </w:p>
    <w:p w14:paraId="4B798788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10515C47" w14:textId="77777777" w:rsidR="00941F38" w:rsidRPr="00E65297" w:rsidRDefault="004C282B" w:rsidP="00153C0C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proofErr w:type="spellStart"/>
      <w:r w:rsidRPr="00E65297">
        <w:rPr>
          <w:rFonts w:ascii="Times New Roman" w:hAnsi="Times New Roman" w:cs="Times New Roman"/>
          <w:sz w:val="22"/>
        </w:rPr>
        <w:t>Postmarketingové</w:t>
      </w:r>
      <w:proofErr w:type="spellEnd"/>
      <w:r w:rsidR="00941F38" w:rsidRPr="00E65297">
        <w:rPr>
          <w:rFonts w:ascii="Times New Roman" w:hAnsi="Times New Roman" w:cs="Times New Roman"/>
          <w:sz w:val="22"/>
        </w:rPr>
        <w:t xml:space="preserve"> skúsenosti: Okrem nežiaducich </w:t>
      </w:r>
      <w:r w:rsidR="00FB3A1A" w:rsidRPr="00E65297">
        <w:rPr>
          <w:rFonts w:ascii="Times New Roman" w:hAnsi="Times New Roman" w:cs="Times New Roman"/>
          <w:sz w:val="22"/>
        </w:rPr>
        <w:t>udalostí</w:t>
      </w:r>
      <w:r w:rsidR="00941F38" w:rsidRPr="00E65297">
        <w:rPr>
          <w:rFonts w:ascii="Times New Roman" w:hAnsi="Times New Roman" w:cs="Times New Roman"/>
          <w:sz w:val="22"/>
        </w:rPr>
        <w:t xml:space="preserve"> uvedených vyššie boli v súvislosti s</w:t>
      </w:r>
      <w:r w:rsidR="00FB3A1A" w:rsidRPr="00E65297">
        <w:rPr>
          <w:rFonts w:ascii="Times New Roman" w:hAnsi="Times New Roman" w:cs="Times New Roman"/>
          <w:sz w:val="22"/>
        </w:rPr>
        <w:t xml:space="preserve"> užívaním </w:t>
      </w:r>
      <w:proofErr w:type="spellStart"/>
      <w:r w:rsidR="00FB3A1A"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="00FB3A1A" w:rsidRPr="00E65297">
        <w:rPr>
          <w:rFonts w:ascii="Times New Roman" w:hAnsi="Times New Roman" w:cs="Times New Roman"/>
          <w:sz w:val="22"/>
        </w:rPr>
        <w:t>u</w:t>
      </w:r>
      <w:proofErr w:type="spellEnd"/>
      <w:r w:rsidR="00FB3A1A" w:rsidRPr="00E65297">
        <w:rPr>
          <w:rFonts w:ascii="Times New Roman" w:hAnsi="Times New Roman" w:cs="Times New Roman"/>
          <w:sz w:val="22"/>
        </w:rPr>
        <w:t xml:space="preserve"> hlásené </w:t>
      </w:r>
      <w:proofErr w:type="spellStart"/>
      <w:r w:rsidR="00FB3A1A" w:rsidRPr="00E65297">
        <w:rPr>
          <w:rFonts w:ascii="Times New Roman" w:hAnsi="Times New Roman" w:cs="Times New Roman"/>
          <w:sz w:val="22"/>
        </w:rPr>
        <w:t>atri</w:t>
      </w:r>
      <w:r w:rsidR="00D92470" w:rsidRPr="00E65297">
        <w:rPr>
          <w:rFonts w:ascii="Times New Roman" w:hAnsi="Times New Roman" w:cs="Times New Roman"/>
          <w:sz w:val="22"/>
        </w:rPr>
        <w:t>á</w:t>
      </w:r>
      <w:r w:rsidR="00FB3A1A" w:rsidRPr="00E65297">
        <w:rPr>
          <w:rFonts w:ascii="Times New Roman" w:hAnsi="Times New Roman" w:cs="Times New Roman"/>
          <w:sz w:val="22"/>
        </w:rPr>
        <w:t>lna</w:t>
      </w:r>
      <w:proofErr w:type="spellEnd"/>
      <w:r w:rsidR="00FB3A1A" w:rsidRPr="00E65297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B3A1A" w:rsidRPr="00E65297">
        <w:rPr>
          <w:rFonts w:ascii="Times New Roman" w:hAnsi="Times New Roman" w:cs="Times New Roman"/>
          <w:sz w:val="22"/>
        </w:rPr>
        <w:t>fibrilácia</w:t>
      </w:r>
      <w:proofErr w:type="spellEnd"/>
      <w:r w:rsidR="00FB3A1A" w:rsidRPr="00E65297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FB3A1A" w:rsidRPr="00E65297">
        <w:rPr>
          <w:rFonts w:ascii="Times New Roman" w:hAnsi="Times New Roman" w:cs="Times New Roman"/>
          <w:sz w:val="22"/>
        </w:rPr>
        <w:t>arytmia</w:t>
      </w:r>
      <w:proofErr w:type="spellEnd"/>
      <w:r w:rsidR="00FB3A1A" w:rsidRPr="00E65297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FB3A1A" w:rsidRPr="00E65297">
        <w:rPr>
          <w:rFonts w:ascii="Times New Roman" w:hAnsi="Times New Roman" w:cs="Times New Roman"/>
          <w:sz w:val="22"/>
        </w:rPr>
        <w:t>tachykardia</w:t>
      </w:r>
      <w:proofErr w:type="spellEnd"/>
      <w:r w:rsidR="00FB3A1A" w:rsidRPr="00E65297">
        <w:rPr>
          <w:rFonts w:ascii="Times New Roman" w:hAnsi="Times New Roman" w:cs="Times New Roman"/>
          <w:sz w:val="22"/>
        </w:rPr>
        <w:t xml:space="preserve"> a </w:t>
      </w:r>
      <w:proofErr w:type="spellStart"/>
      <w:r w:rsidR="00FB3A1A" w:rsidRPr="00E65297">
        <w:rPr>
          <w:rFonts w:ascii="Times New Roman" w:hAnsi="Times New Roman" w:cs="Times New Roman"/>
          <w:sz w:val="22"/>
        </w:rPr>
        <w:t>dyspnoe</w:t>
      </w:r>
      <w:proofErr w:type="spellEnd"/>
      <w:r w:rsidR="00FB3A1A" w:rsidRPr="00E65297">
        <w:rPr>
          <w:rFonts w:ascii="Times New Roman" w:hAnsi="Times New Roman" w:cs="Times New Roman"/>
          <w:sz w:val="22"/>
        </w:rPr>
        <w:t xml:space="preserve">. Keďže tieto spontánne hlásené nežiaduce udalosti pochádzajú z celosvetových </w:t>
      </w:r>
      <w:proofErr w:type="spellStart"/>
      <w:r w:rsidRPr="00E65297">
        <w:rPr>
          <w:rFonts w:ascii="Times New Roman" w:hAnsi="Times New Roman" w:cs="Times New Roman"/>
          <w:sz w:val="22"/>
        </w:rPr>
        <w:t>postmarketingových</w:t>
      </w:r>
      <w:proofErr w:type="spellEnd"/>
      <w:r w:rsidR="00FB3A1A" w:rsidRPr="00E65297">
        <w:rPr>
          <w:rFonts w:ascii="Times New Roman" w:hAnsi="Times New Roman" w:cs="Times New Roman"/>
          <w:sz w:val="22"/>
        </w:rPr>
        <w:t xml:space="preserve"> hlásení, nie je možne spoľahlivo určiť ich frekvenciu ani úlohu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u</w:t>
      </w:r>
      <w:proofErr w:type="spellEnd"/>
      <w:r w:rsidR="00FB3A1A" w:rsidRPr="00E65297">
        <w:rPr>
          <w:rFonts w:ascii="Times New Roman" w:hAnsi="Times New Roman" w:cs="Times New Roman"/>
          <w:sz w:val="22"/>
        </w:rPr>
        <w:t xml:space="preserve"> </w:t>
      </w:r>
      <w:r w:rsidR="00A76B59" w:rsidRPr="00E65297">
        <w:rPr>
          <w:rFonts w:ascii="Times New Roman" w:hAnsi="Times New Roman" w:cs="Times New Roman"/>
          <w:sz w:val="22"/>
        </w:rPr>
        <w:t>pri ich vzniku.</w:t>
      </w:r>
    </w:p>
    <w:p w14:paraId="1C4DCA8A" w14:textId="77777777" w:rsidR="00D92470" w:rsidRPr="00E65297" w:rsidRDefault="00D92470" w:rsidP="00153C0C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6F5FD331" w14:textId="77777777" w:rsidR="006C639A" w:rsidRPr="00E65297" w:rsidRDefault="006C639A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  <w:u w:val="single"/>
        </w:rPr>
      </w:pPr>
      <w:r w:rsidRPr="00E65297">
        <w:rPr>
          <w:rFonts w:ascii="Times New Roman" w:hAnsi="Times New Roman" w:cs="Times New Roman"/>
          <w:sz w:val="22"/>
          <w:u w:val="single"/>
        </w:rPr>
        <w:t>Hlásenie podozrení na nežiaduce reakcie</w:t>
      </w:r>
    </w:p>
    <w:p w14:paraId="4A35EE72" w14:textId="77777777" w:rsidR="00B44452" w:rsidRPr="00E65297" w:rsidRDefault="006C639A" w:rsidP="00153C0C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FE2EC9" w:rsidRPr="0026053A">
        <w:rPr>
          <w:rFonts w:ascii="Times New Roman" w:hAnsi="Times New Roman" w:cs="Times New Roman"/>
          <w:sz w:val="22"/>
          <w:highlight w:val="lightGray"/>
        </w:rPr>
        <w:t xml:space="preserve">na </w:t>
      </w:r>
      <w:r w:rsidR="00CE2604" w:rsidRPr="0026053A">
        <w:rPr>
          <w:rFonts w:ascii="Times New Roman" w:hAnsi="Times New Roman" w:cs="Times New Roman"/>
          <w:sz w:val="22"/>
          <w:highlight w:val="lightGray"/>
        </w:rPr>
        <w:t xml:space="preserve">národné </w:t>
      </w:r>
      <w:r w:rsidR="00FE2EC9" w:rsidRPr="0026053A">
        <w:rPr>
          <w:rFonts w:ascii="Times New Roman" w:hAnsi="Times New Roman" w:cs="Times New Roman"/>
          <w:sz w:val="22"/>
          <w:highlight w:val="lightGray"/>
        </w:rPr>
        <w:t xml:space="preserve">centrum </w:t>
      </w:r>
      <w:r w:rsidR="00CE2604" w:rsidRPr="0026053A">
        <w:rPr>
          <w:rFonts w:ascii="Times New Roman" w:hAnsi="Times New Roman" w:cs="Times New Roman"/>
          <w:sz w:val="22"/>
          <w:highlight w:val="lightGray"/>
        </w:rPr>
        <w:t>hlásenia uvedené v </w:t>
      </w:r>
      <w:hyperlink r:id="rId8" w:history="1">
        <w:r w:rsidR="00CE2604" w:rsidRPr="0026053A">
          <w:rPr>
            <w:rStyle w:val="Hypertextovprepojenie"/>
            <w:rFonts w:ascii="Times New Roman" w:hAnsi="Times New Roman" w:cs="Times New Roman"/>
            <w:sz w:val="22"/>
            <w:highlight w:val="lightGray"/>
          </w:rPr>
          <w:t>Prílohe V</w:t>
        </w:r>
      </w:hyperlink>
      <w:r w:rsidR="00CE2604" w:rsidRPr="0026053A">
        <w:rPr>
          <w:rFonts w:ascii="Times New Roman" w:hAnsi="Times New Roman" w:cs="Times New Roman"/>
          <w:sz w:val="22"/>
          <w:highlight w:val="lightGray"/>
        </w:rPr>
        <w:t>.</w:t>
      </w:r>
    </w:p>
    <w:p w14:paraId="120957C5" w14:textId="77777777" w:rsidR="00B44452" w:rsidRPr="00E65297" w:rsidRDefault="00B44452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0B78D791" w14:textId="77777777" w:rsidR="00E8470C" w:rsidRPr="00E65297" w:rsidRDefault="00E8470C" w:rsidP="005A14EA">
      <w:pPr>
        <w:keepNext/>
        <w:tabs>
          <w:tab w:val="left" w:pos="567"/>
        </w:tabs>
        <w:ind w:left="482" w:hanging="482"/>
        <w:rPr>
          <w:rFonts w:ascii="Times New Roman" w:hAnsi="Times New Roman" w:cs="Times New Roman"/>
          <w:b/>
          <w:bCs w:val="0"/>
          <w:sz w:val="22"/>
        </w:rPr>
      </w:pPr>
      <w:r w:rsidRPr="00E65297">
        <w:rPr>
          <w:rFonts w:ascii="Times New Roman" w:hAnsi="Times New Roman" w:cs="Times New Roman"/>
          <w:b/>
          <w:bCs w:val="0"/>
          <w:sz w:val="22"/>
        </w:rPr>
        <w:lastRenderedPageBreak/>
        <w:t>4.9</w:t>
      </w:r>
      <w:r w:rsidR="00B44452" w:rsidRPr="00E65297">
        <w:rPr>
          <w:rFonts w:ascii="Times New Roman" w:hAnsi="Times New Roman"/>
          <w:sz w:val="22"/>
        </w:rPr>
        <w:tab/>
      </w:r>
      <w:r w:rsidRPr="00E65297">
        <w:rPr>
          <w:rFonts w:ascii="Times New Roman" w:hAnsi="Times New Roman" w:cs="Times New Roman"/>
          <w:b/>
          <w:bCs w:val="0"/>
          <w:sz w:val="22"/>
        </w:rPr>
        <w:t>Predávkovanie</w:t>
      </w:r>
    </w:p>
    <w:p w14:paraId="35F29597" w14:textId="77777777" w:rsidR="00E8470C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</w:rPr>
      </w:pPr>
    </w:p>
    <w:p w14:paraId="3661995F" w14:textId="77777777" w:rsidR="008E05A0" w:rsidRPr="00E65297" w:rsidRDefault="008E05A0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  <w:u w:val="single"/>
        </w:rPr>
      </w:pPr>
      <w:r w:rsidRPr="00E65297">
        <w:rPr>
          <w:rFonts w:ascii="Times New Roman" w:hAnsi="Times New Roman" w:cs="Times New Roman"/>
          <w:sz w:val="22"/>
          <w:u w:val="single"/>
        </w:rPr>
        <w:t>Príznaky</w:t>
      </w:r>
    </w:p>
    <w:p w14:paraId="5945B158" w14:textId="77777777" w:rsidR="008E05A0" w:rsidRPr="00E65297" w:rsidRDefault="008E05A0" w:rsidP="0066509E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Predávkovanie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om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môže viesť k</w:t>
      </w:r>
      <w:r w:rsidR="00AD4823" w:rsidRPr="00E65297">
        <w:rPr>
          <w:rFonts w:ascii="Times New Roman" w:hAnsi="Times New Roman" w:cs="Times New Roman"/>
          <w:sz w:val="22"/>
        </w:rPr>
        <w:t> </w:t>
      </w:r>
      <w:r w:rsidRPr="00E65297">
        <w:rPr>
          <w:rFonts w:ascii="Times New Roman" w:hAnsi="Times New Roman" w:cs="Times New Roman"/>
          <w:sz w:val="22"/>
        </w:rPr>
        <w:t xml:space="preserve">závažným </w:t>
      </w:r>
      <w:proofErr w:type="spellStart"/>
      <w:r w:rsidRPr="00E65297">
        <w:rPr>
          <w:rFonts w:ascii="Times New Roman" w:hAnsi="Times New Roman" w:cs="Times New Roman"/>
          <w:sz w:val="22"/>
        </w:rPr>
        <w:t>hypotenzným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účinkom. Závažné </w:t>
      </w:r>
      <w:proofErr w:type="spellStart"/>
      <w:r w:rsidRPr="00E65297">
        <w:rPr>
          <w:rFonts w:ascii="Times New Roman" w:hAnsi="Times New Roman" w:cs="Times New Roman"/>
          <w:sz w:val="22"/>
        </w:rPr>
        <w:t>hypotenzné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účinky boli pozorované pri rôznych úrovniach predávkovania.</w:t>
      </w:r>
    </w:p>
    <w:p w14:paraId="61B16305" w14:textId="77777777" w:rsidR="007D7560" w:rsidRPr="00E65297" w:rsidRDefault="007D7560" w:rsidP="007D7560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Najvyššia dávka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</w:rPr>
        <w:t>, ktorá bola náhodne podaná jednému pacientovi, bola 12 mg. Pacient mal bolesť hlavy, ale nepotreboval nemocničnú liečbu.</w:t>
      </w:r>
    </w:p>
    <w:p w14:paraId="6D309FCA" w14:textId="77777777" w:rsidR="008E05A0" w:rsidRPr="00E65297" w:rsidRDefault="008E05A0" w:rsidP="0066509E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7D6EF493" w14:textId="77777777" w:rsidR="008E05A0" w:rsidRPr="00E65297" w:rsidRDefault="008E05A0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  <w:u w:val="single"/>
        </w:rPr>
      </w:pPr>
      <w:r w:rsidRPr="00E65297">
        <w:rPr>
          <w:rFonts w:ascii="Times New Roman" w:hAnsi="Times New Roman" w:cs="Times New Roman"/>
          <w:sz w:val="22"/>
          <w:u w:val="single"/>
        </w:rPr>
        <w:t>Liečba</w:t>
      </w:r>
    </w:p>
    <w:p w14:paraId="24A9B6B2" w14:textId="77777777" w:rsidR="009B7D60" w:rsidRPr="00E65297" w:rsidRDefault="009B7D60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</w:rPr>
      </w:pPr>
    </w:p>
    <w:p w14:paraId="1DD297EB" w14:textId="77777777" w:rsidR="00E8470C" w:rsidRPr="00E65297" w:rsidRDefault="00A514B0" w:rsidP="0066509E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V prípade akútnej hypotenzie po predávkovaní </w:t>
      </w:r>
      <w:r w:rsidR="00E8470C" w:rsidRPr="00E65297">
        <w:rPr>
          <w:rFonts w:ascii="Times New Roman" w:hAnsi="Times New Roman" w:cs="Times New Roman"/>
          <w:sz w:val="22"/>
        </w:rPr>
        <w:t xml:space="preserve">sa majú poskytnúť opatrenia na podporu kardiovaskulárnych funkcií. Krvný tlak a srdcovú frekvenciu možno vrátiť na normálne hodnoty, ak je pacient uvedený do ležiacej polohy. V prípade, že to pacientovi nepomôže, môžu sa použiť látky zväčšujúce objem (objemové </w:t>
      </w:r>
      <w:proofErr w:type="spellStart"/>
      <w:r w:rsidR="00E8470C" w:rsidRPr="00E65297">
        <w:rPr>
          <w:rFonts w:ascii="Times New Roman" w:hAnsi="Times New Roman" w:cs="Times New Roman"/>
          <w:sz w:val="22"/>
        </w:rPr>
        <w:t>expandéry</w:t>
      </w:r>
      <w:proofErr w:type="spellEnd"/>
      <w:r w:rsidR="00E8470C" w:rsidRPr="00E65297">
        <w:rPr>
          <w:rFonts w:ascii="Times New Roman" w:hAnsi="Times New Roman" w:cs="Times New Roman"/>
          <w:sz w:val="22"/>
        </w:rPr>
        <w:t xml:space="preserve">) a ak je to nevyhnutné, </w:t>
      </w:r>
      <w:proofErr w:type="spellStart"/>
      <w:r w:rsidR="00E8470C" w:rsidRPr="00E65297">
        <w:rPr>
          <w:rFonts w:ascii="Times New Roman" w:hAnsi="Times New Roman" w:cs="Times New Roman"/>
          <w:sz w:val="22"/>
        </w:rPr>
        <w:t>vazopresívne</w:t>
      </w:r>
      <w:proofErr w:type="spellEnd"/>
      <w:r w:rsidR="00E8470C" w:rsidRPr="00E65297">
        <w:rPr>
          <w:rFonts w:ascii="Times New Roman" w:hAnsi="Times New Roman" w:cs="Times New Roman"/>
          <w:sz w:val="22"/>
        </w:rPr>
        <w:t xml:space="preserve"> látky. Je potrebné monitorovať </w:t>
      </w:r>
      <w:proofErr w:type="spellStart"/>
      <w:r w:rsidR="00AD4823" w:rsidRPr="00E65297">
        <w:rPr>
          <w:rFonts w:ascii="Times New Roman" w:hAnsi="Times New Roman" w:cs="Times New Roman"/>
          <w:sz w:val="22"/>
        </w:rPr>
        <w:t>renálnu</w:t>
      </w:r>
      <w:proofErr w:type="spellEnd"/>
      <w:r w:rsidR="00AD4823" w:rsidRPr="00E65297">
        <w:rPr>
          <w:rFonts w:ascii="Times New Roman" w:hAnsi="Times New Roman" w:cs="Times New Roman"/>
          <w:sz w:val="22"/>
        </w:rPr>
        <w:t xml:space="preserve"> funkciu </w:t>
      </w:r>
      <w:r w:rsidR="00E8470C" w:rsidRPr="00E65297">
        <w:rPr>
          <w:rFonts w:ascii="Times New Roman" w:hAnsi="Times New Roman" w:cs="Times New Roman"/>
          <w:sz w:val="22"/>
        </w:rPr>
        <w:t xml:space="preserve">a vykonať všeobecné podporné opatrenia. Keďže veľké percento </w:t>
      </w:r>
      <w:proofErr w:type="spellStart"/>
      <w:r w:rsidR="00E8470C"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="00E8470C" w:rsidRPr="00E65297">
        <w:rPr>
          <w:rFonts w:ascii="Times New Roman" w:hAnsi="Times New Roman" w:cs="Times New Roman"/>
          <w:sz w:val="22"/>
        </w:rPr>
        <w:t>u</w:t>
      </w:r>
      <w:proofErr w:type="spellEnd"/>
      <w:r w:rsidR="00E8470C" w:rsidRPr="00E65297">
        <w:rPr>
          <w:rFonts w:ascii="Times New Roman" w:hAnsi="Times New Roman" w:cs="Times New Roman"/>
          <w:sz w:val="22"/>
        </w:rPr>
        <w:t xml:space="preserve"> sa viaže na plazmatické bielkoviny, dialýza pravdepodobne nebude účinná.</w:t>
      </w:r>
    </w:p>
    <w:p w14:paraId="331AD043" w14:textId="77777777" w:rsidR="0007257D" w:rsidRPr="00E65297" w:rsidRDefault="0007257D" w:rsidP="0066509E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26B47588" w14:textId="77777777" w:rsidR="00E8470C" w:rsidRPr="00E65297" w:rsidRDefault="002E2209" w:rsidP="0066509E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>Na zabránenie absorpcie sa môžu prijať opatrenia, ako je vracanie.</w:t>
      </w:r>
    </w:p>
    <w:p w14:paraId="740D980D" w14:textId="77777777" w:rsidR="0007257D" w:rsidRPr="00E65297" w:rsidRDefault="0007257D" w:rsidP="0066509E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488F2D06" w14:textId="77777777" w:rsidR="00E8470C" w:rsidRPr="00E65297" w:rsidRDefault="00E8470C" w:rsidP="0066509E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Po požití väčšieho množstva lieku je možné urobiť výplach žalúdka a podať aktívne uhlie a </w:t>
      </w:r>
      <w:proofErr w:type="spellStart"/>
      <w:r w:rsidRPr="00E65297">
        <w:rPr>
          <w:rFonts w:ascii="Times New Roman" w:hAnsi="Times New Roman" w:cs="Times New Roman"/>
          <w:sz w:val="22"/>
        </w:rPr>
        <w:t>osmotické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65297">
        <w:rPr>
          <w:rFonts w:ascii="Times New Roman" w:hAnsi="Times New Roman" w:cs="Times New Roman"/>
          <w:sz w:val="22"/>
        </w:rPr>
        <w:t>laxatívum</w:t>
      </w:r>
      <w:proofErr w:type="spellEnd"/>
      <w:r w:rsidRPr="00E65297">
        <w:rPr>
          <w:rFonts w:ascii="Times New Roman" w:hAnsi="Times New Roman" w:cs="Times New Roman"/>
          <w:sz w:val="22"/>
        </w:rPr>
        <w:t>, napr. síran sodný.</w:t>
      </w:r>
    </w:p>
    <w:p w14:paraId="37BF1439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3877AEC4" w14:textId="77777777" w:rsidR="00E8470C" w:rsidRPr="00E65297" w:rsidRDefault="00E8470C" w:rsidP="00713D41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627869CC" w14:textId="77777777" w:rsidR="00E8470C" w:rsidRPr="00E65297" w:rsidRDefault="00E8470C" w:rsidP="00713D41">
      <w:pPr>
        <w:pStyle w:val="Nadpis1"/>
        <w:numPr>
          <w:ilvl w:val="0"/>
          <w:numId w:val="0"/>
        </w:numPr>
        <w:tabs>
          <w:tab w:val="left" w:pos="480"/>
          <w:tab w:val="left" w:pos="2198"/>
        </w:tabs>
        <w:spacing w:before="0" w:after="0"/>
        <w:jc w:val="left"/>
        <w:rPr>
          <w:rFonts w:ascii="Times New Roman" w:hAnsi="Times New Roman"/>
          <w:sz w:val="22"/>
        </w:rPr>
      </w:pPr>
      <w:r w:rsidRPr="00E65297">
        <w:rPr>
          <w:rFonts w:ascii="Times New Roman" w:hAnsi="Times New Roman"/>
          <w:sz w:val="22"/>
        </w:rPr>
        <w:t>5.</w:t>
      </w:r>
      <w:r w:rsidRPr="00E65297">
        <w:rPr>
          <w:rFonts w:ascii="Times New Roman" w:hAnsi="Times New Roman"/>
          <w:sz w:val="22"/>
        </w:rPr>
        <w:tab/>
        <w:t>FARMAKOLOGICKÉ VLASTNOSTI</w:t>
      </w:r>
    </w:p>
    <w:p w14:paraId="407F93B9" w14:textId="77777777" w:rsidR="00E8470C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</w:rPr>
      </w:pPr>
    </w:p>
    <w:p w14:paraId="7952E729" w14:textId="77777777" w:rsidR="00E8470C" w:rsidRPr="00E65297" w:rsidRDefault="00E8470C" w:rsidP="005A14EA">
      <w:pPr>
        <w:keepNext/>
        <w:tabs>
          <w:tab w:val="left" w:pos="480"/>
          <w:tab w:val="left" w:pos="2198"/>
        </w:tabs>
        <w:ind w:left="482" w:hanging="482"/>
        <w:rPr>
          <w:rFonts w:ascii="Times New Roman" w:hAnsi="Times New Roman" w:cs="Times New Roman"/>
          <w:b/>
          <w:bCs w:val="0"/>
          <w:sz w:val="22"/>
        </w:rPr>
      </w:pPr>
      <w:r w:rsidRPr="00E65297">
        <w:rPr>
          <w:rFonts w:ascii="Times New Roman" w:hAnsi="Times New Roman" w:cs="Times New Roman"/>
          <w:b/>
          <w:bCs w:val="0"/>
          <w:sz w:val="22"/>
        </w:rPr>
        <w:t>5.1</w:t>
      </w:r>
      <w:r w:rsidR="00B44452" w:rsidRPr="00E65297">
        <w:rPr>
          <w:rFonts w:ascii="Times New Roman" w:hAnsi="Times New Roman"/>
          <w:sz w:val="22"/>
        </w:rPr>
        <w:tab/>
      </w:r>
      <w:proofErr w:type="spellStart"/>
      <w:r w:rsidRPr="00E65297">
        <w:rPr>
          <w:rFonts w:ascii="Times New Roman" w:hAnsi="Times New Roman" w:cs="Times New Roman"/>
          <w:b/>
          <w:bCs w:val="0"/>
          <w:sz w:val="22"/>
        </w:rPr>
        <w:t>Farmakodynamické</w:t>
      </w:r>
      <w:proofErr w:type="spellEnd"/>
      <w:r w:rsidRPr="00E65297">
        <w:rPr>
          <w:rFonts w:ascii="Times New Roman" w:hAnsi="Times New Roman" w:cs="Times New Roman"/>
          <w:b/>
          <w:bCs w:val="0"/>
          <w:sz w:val="22"/>
        </w:rPr>
        <w:t xml:space="preserve"> vlastnosti </w:t>
      </w:r>
    </w:p>
    <w:p w14:paraId="7C7B109E" w14:textId="77777777" w:rsidR="00E8470C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</w:rPr>
      </w:pPr>
    </w:p>
    <w:p w14:paraId="18398000" w14:textId="77777777" w:rsidR="00E8470C" w:rsidRPr="00E65297" w:rsidRDefault="00E8470C" w:rsidP="00713D41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proofErr w:type="spellStart"/>
      <w:r w:rsidRPr="00E65297">
        <w:rPr>
          <w:rFonts w:ascii="Times New Roman" w:hAnsi="Times New Roman" w:cs="Times New Roman"/>
          <w:bCs w:val="0"/>
          <w:sz w:val="22"/>
        </w:rPr>
        <w:t>Farmakoterapeutická</w:t>
      </w:r>
      <w:proofErr w:type="spellEnd"/>
      <w:r w:rsidRPr="00E65297">
        <w:rPr>
          <w:rFonts w:ascii="Times New Roman" w:hAnsi="Times New Roman" w:cs="Times New Roman"/>
          <w:bCs w:val="0"/>
          <w:sz w:val="22"/>
        </w:rPr>
        <w:t xml:space="preserve"> skupina:</w:t>
      </w:r>
      <w:r w:rsidR="0007257D" w:rsidRPr="00E65297">
        <w:rPr>
          <w:rFonts w:ascii="Times New Roman" w:hAnsi="Times New Roman" w:cs="Times New Roman"/>
          <w:bCs w:val="0"/>
          <w:sz w:val="22"/>
        </w:rPr>
        <w:t xml:space="preserve"> </w:t>
      </w:r>
      <w:r w:rsidR="007D7560" w:rsidRPr="00E65297">
        <w:rPr>
          <w:rFonts w:ascii="Times New Roman" w:hAnsi="Times New Roman" w:cs="Times New Roman"/>
          <w:bCs w:val="0"/>
          <w:sz w:val="22"/>
        </w:rPr>
        <w:t>lieky používané na benígnu hypertrofiu prostaty</w:t>
      </w:r>
      <w:r w:rsidR="007D7560" w:rsidRPr="00E65297">
        <w:rPr>
          <w:rFonts w:ascii="Times New Roman" w:hAnsi="Times New Roman" w:cs="Times New Roman"/>
          <w:sz w:val="22"/>
        </w:rPr>
        <w:t xml:space="preserve"> </w:t>
      </w:r>
      <w:r w:rsidR="008A1D83" w:rsidRPr="00E65297">
        <w:rPr>
          <w:rFonts w:ascii="Times New Roman" w:hAnsi="Times New Roman" w:cs="Times New Roman"/>
          <w:sz w:val="22"/>
        </w:rPr>
        <w:t>,</w:t>
      </w:r>
      <w:proofErr w:type="spellStart"/>
      <w:r w:rsidR="0007257D" w:rsidRPr="00E65297">
        <w:rPr>
          <w:rFonts w:ascii="Times New Roman" w:hAnsi="Times New Roman" w:cs="Times New Roman"/>
          <w:sz w:val="22"/>
        </w:rPr>
        <w:t>a</w:t>
      </w:r>
      <w:r w:rsidR="008B4425" w:rsidRPr="00E65297">
        <w:rPr>
          <w:rFonts w:ascii="Times New Roman" w:hAnsi="Times New Roman" w:cs="Times New Roman"/>
          <w:sz w:val="22"/>
        </w:rPr>
        <w:t>ntagonisty</w:t>
      </w:r>
      <w:proofErr w:type="spellEnd"/>
      <w:r w:rsidR="008B4425" w:rsidRPr="00E65297">
        <w:rPr>
          <w:rFonts w:ascii="Times New Roman" w:hAnsi="Times New Roman" w:cs="Times New Roman"/>
          <w:sz w:val="22"/>
        </w:rPr>
        <w:t xml:space="preserve"> </w:t>
      </w:r>
      <w:r w:rsidR="004848F1" w:rsidRPr="00E65297">
        <w:rPr>
          <w:rFonts w:ascii="Times New Roman" w:hAnsi="Times New Roman" w:cs="Times New Roman"/>
          <w:sz w:val="22"/>
        </w:rPr>
        <w:t>alfa-</w:t>
      </w:r>
      <w:r w:rsidR="002B001B" w:rsidRPr="00E65297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B4425" w:rsidRPr="00E65297">
        <w:rPr>
          <w:rFonts w:ascii="Times New Roman" w:hAnsi="Times New Roman" w:cs="Times New Roman"/>
          <w:sz w:val="22"/>
        </w:rPr>
        <w:t>adrenerg</w:t>
      </w:r>
      <w:r w:rsidR="004848F1" w:rsidRPr="00E65297">
        <w:rPr>
          <w:rFonts w:ascii="Times New Roman" w:hAnsi="Times New Roman" w:cs="Times New Roman"/>
          <w:sz w:val="22"/>
        </w:rPr>
        <w:t>ick</w:t>
      </w:r>
      <w:r w:rsidR="008B4425" w:rsidRPr="00E65297">
        <w:rPr>
          <w:rFonts w:ascii="Times New Roman" w:hAnsi="Times New Roman" w:cs="Times New Roman"/>
          <w:sz w:val="22"/>
        </w:rPr>
        <w:t>ých</w:t>
      </w:r>
      <w:proofErr w:type="spellEnd"/>
      <w:r w:rsidR="008B4425" w:rsidRPr="00E65297">
        <w:rPr>
          <w:rFonts w:ascii="Times New Roman" w:hAnsi="Times New Roman" w:cs="Times New Roman"/>
          <w:sz w:val="22"/>
        </w:rPr>
        <w:t xml:space="preserve"> receptorov</w:t>
      </w:r>
      <w:r w:rsidR="0007257D" w:rsidRPr="00E65297">
        <w:rPr>
          <w:rFonts w:ascii="Times New Roman" w:hAnsi="Times New Roman" w:cs="Times New Roman"/>
          <w:sz w:val="22"/>
        </w:rPr>
        <w:t>,</w:t>
      </w:r>
      <w:r w:rsidRPr="00E65297">
        <w:rPr>
          <w:rFonts w:ascii="Times New Roman" w:hAnsi="Times New Roman" w:cs="Times New Roman"/>
          <w:sz w:val="22"/>
        </w:rPr>
        <w:t xml:space="preserve"> </w:t>
      </w:r>
      <w:r w:rsidRPr="00E65297">
        <w:rPr>
          <w:rFonts w:ascii="Times New Roman" w:hAnsi="Times New Roman" w:cs="Times New Roman"/>
          <w:bCs w:val="0"/>
          <w:sz w:val="22"/>
        </w:rPr>
        <w:t>ATC kód:</w:t>
      </w:r>
      <w:r w:rsidRPr="00E65297">
        <w:rPr>
          <w:rFonts w:ascii="Times New Roman" w:hAnsi="Times New Roman" w:cs="Times New Roman"/>
          <w:sz w:val="22"/>
        </w:rPr>
        <w:t xml:space="preserve"> G04CA02</w:t>
      </w:r>
    </w:p>
    <w:p w14:paraId="70F04A8D" w14:textId="77777777" w:rsidR="00E8470C" w:rsidRPr="00E65297" w:rsidRDefault="00E8470C" w:rsidP="00713D41">
      <w:pPr>
        <w:pStyle w:val="Nadpis5"/>
        <w:tabs>
          <w:tab w:val="left" w:pos="2198"/>
        </w:tabs>
        <w:rPr>
          <w:rFonts w:ascii="Times New Roman" w:hAnsi="Times New Roman"/>
          <w:bCs/>
          <w:sz w:val="22"/>
          <w:lang w:eastAsia="sk-SK"/>
        </w:rPr>
      </w:pPr>
    </w:p>
    <w:p w14:paraId="4D68F929" w14:textId="77777777" w:rsidR="00E8470C" w:rsidRPr="00E65297" w:rsidRDefault="00E8470C" w:rsidP="00713D41">
      <w:pPr>
        <w:pStyle w:val="Nadpis5"/>
        <w:tabs>
          <w:tab w:val="left" w:pos="2198"/>
        </w:tabs>
        <w:rPr>
          <w:rFonts w:ascii="Times New Roman" w:hAnsi="Times New Roman"/>
          <w:bCs/>
          <w:i w:val="0"/>
          <w:sz w:val="22"/>
          <w:u w:val="single"/>
          <w:lang w:eastAsia="sk-SK"/>
        </w:rPr>
      </w:pPr>
      <w:r w:rsidRPr="00E65297">
        <w:rPr>
          <w:rFonts w:ascii="Times New Roman" w:hAnsi="Times New Roman"/>
          <w:bCs/>
          <w:i w:val="0"/>
          <w:sz w:val="22"/>
          <w:u w:val="single"/>
          <w:lang w:eastAsia="sk-SK"/>
        </w:rPr>
        <w:t>Mechanizmus účinku</w:t>
      </w:r>
    </w:p>
    <w:p w14:paraId="4F2B7023" w14:textId="77777777" w:rsidR="00E8470C" w:rsidRPr="00E65297" w:rsidRDefault="00E8470C" w:rsidP="00713D41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sa selektívne a </w:t>
      </w:r>
      <w:proofErr w:type="spellStart"/>
      <w:r w:rsidRPr="00E65297">
        <w:rPr>
          <w:rFonts w:ascii="Times New Roman" w:hAnsi="Times New Roman" w:cs="Times New Roman"/>
          <w:sz w:val="22"/>
        </w:rPr>
        <w:t>kompetitívne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viaže na </w:t>
      </w:r>
      <w:proofErr w:type="spellStart"/>
      <w:r w:rsidRPr="00E65297">
        <w:rPr>
          <w:rFonts w:ascii="Times New Roman" w:hAnsi="Times New Roman" w:cs="Times New Roman"/>
          <w:sz w:val="22"/>
        </w:rPr>
        <w:t>post-synaptické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65297">
        <w:rPr>
          <w:rFonts w:ascii="Times New Roman" w:hAnsi="Times New Roman" w:cs="Times New Roman"/>
          <w:sz w:val="22"/>
        </w:rPr>
        <w:t>adrenergné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receptory </w:t>
      </w:r>
      <w:r w:rsidRPr="00E65297">
        <w:rPr>
          <w:rFonts w:ascii="Times New Roman" w:hAnsi="Times New Roman" w:cs="Times New Roman"/>
          <w:sz w:val="22"/>
        </w:rPr>
        <w:sym w:font="Symbol" w:char="F061"/>
      </w:r>
      <w:r w:rsidRPr="00E65297">
        <w:rPr>
          <w:rFonts w:ascii="Times New Roman" w:hAnsi="Times New Roman" w:cs="Times New Roman"/>
          <w:sz w:val="22"/>
          <w:vertAlign w:val="subscript"/>
        </w:rPr>
        <w:t>1</w:t>
      </w:r>
      <w:r w:rsidR="00AF77F7" w:rsidRPr="00E65297">
        <w:rPr>
          <w:rFonts w:ascii="Times New Roman" w:hAnsi="Times New Roman" w:cs="Times New Roman"/>
          <w:sz w:val="22"/>
        </w:rPr>
        <w:t>,</w:t>
      </w:r>
      <w:r w:rsidR="007D7560" w:rsidRPr="00E65297">
        <w:rPr>
          <w:rFonts w:ascii="Times New Roman" w:hAnsi="Times New Roman" w:cs="Times New Roman"/>
          <w:sz w:val="22"/>
        </w:rPr>
        <w:t xml:space="preserve"> obzvlášť na podskupiny α </w:t>
      </w:r>
      <w:r w:rsidR="007D7560" w:rsidRPr="00E65297">
        <w:rPr>
          <w:rFonts w:ascii="Times New Roman" w:hAnsi="Times New Roman" w:cs="Times New Roman"/>
          <w:sz w:val="22"/>
          <w:vertAlign w:val="subscript"/>
        </w:rPr>
        <w:t>1A</w:t>
      </w:r>
      <w:r w:rsidR="007D7560" w:rsidRPr="00E65297">
        <w:rPr>
          <w:rFonts w:ascii="Times New Roman" w:hAnsi="Times New Roman" w:cs="Times New Roman"/>
          <w:sz w:val="22"/>
        </w:rPr>
        <w:t xml:space="preserve"> a α </w:t>
      </w:r>
      <w:r w:rsidR="007D7560" w:rsidRPr="00E65297">
        <w:rPr>
          <w:rFonts w:ascii="Times New Roman" w:hAnsi="Times New Roman" w:cs="Times New Roman"/>
          <w:sz w:val="22"/>
          <w:vertAlign w:val="subscript"/>
        </w:rPr>
        <w:t>1D</w:t>
      </w:r>
      <w:r w:rsidR="007D7560" w:rsidRPr="00E65297">
        <w:rPr>
          <w:rFonts w:ascii="Times New Roman" w:hAnsi="Times New Roman" w:cs="Times New Roman"/>
          <w:sz w:val="22"/>
        </w:rPr>
        <w:t>,</w:t>
      </w:r>
      <w:r w:rsidR="00AF77F7" w:rsidRPr="00E65297">
        <w:rPr>
          <w:rFonts w:ascii="Times New Roman" w:hAnsi="Times New Roman" w:cs="Times New Roman"/>
          <w:sz w:val="22"/>
        </w:rPr>
        <w:t xml:space="preserve"> </w:t>
      </w:r>
      <w:r w:rsidRPr="00E65297">
        <w:rPr>
          <w:rFonts w:ascii="Times New Roman" w:hAnsi="Times New Roman" w:cs="Times New Roman"/>
          <w:sz w:val="22"/>
        </w:rPr>
        <w:t>čím zabraňuje kontrakcii hladkej svaloviny, čo vedie k relaxácii hladkej svaloviny v prostate a močovej rúre.</w:t>
      </w:r>
    </w:p>
    <w:p w14:paraId="5079CB2D" w14:textId="77777777" w:rsidR="00E8470C" w:rsidRPr="00E65297" w:rsidRDefault="00E8470C" w:rsidP="00713D41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6B745CBB" w14:textId="77777777" w:rsidR="00E8470C" w:rsidRPr="00E65297" w:rsidRDefault="00E8470C" w:rsidP="00713D41">
      <w:pPr>
        <w:pStyle w:val="Nadpis5"/>
        <w:tabs>
          <w:tab w:val="left" w:pos="2198"/>
        </w:tabs>
        <w:rPr>
          <w:rFonts w:ascii="Times New Roman" w:hAnsi="Times New Roman"/>
          <w:bCs/>
          <w:i w:val="0"/>
          <w:sz w:val="22"/>
          <w:u w:val="single"/>
          <w:lang w:eastAsia="sk-SK"/>
        </w:rPr>
      </w:pPr>
      <w:proofErr w:type="spellStart"/>
      <w:r w:rsidRPr="00E65297">
        <w:rPr>
          <w:rFonts w:ascii="Times New Roman" w:hAnsi="Times New Roman"/>
          <w:bCs/>
          <w:i w:val="0"/>
          <w:sz w:val="22"/>
          <w:u w:val="single"/>
          <w:lang w:eastAsia="sk-SK"/>
        </w:rPr>
        <w:t>Farmakodynamické</w:t>
      </w:r>
      <w:proofErr w:type="spellEnd"/>
      <w:r w:rsidRPr="00E65297">
        <w:rPr>
          <w:rFonts w:ascii="Times New Roman" w:hAnsi="Times New Roman"/>
          <w:bCs/>
          <w:i w:val="0"/>
          <w:sz w:val="22"/>
          <w:u w:val="single"/>
          <w:lang w:eastAsia="sk-SK"/>
        </w:rPr>
        <w:t xml:space="preserve"> účinky</w:t>
      </w:r>
    </w:p>
    <w:p w14:paraId="6A165489" w14:textId="77777777" w:rsidR="00E8470C" w:rsidRPr="00E65297" w:rsidRDefault="00E8470C" w:rsidP="00713D41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uvoľnením hladkej svaloviny v prostate a močovej rúre zvyšuje maximálny prietok moču, a tým zmierňuje obštrukciu.</w:t>
      </w:r>
    </w:p>
    <w:p w14:paraId="75B60D78" w14:textId="77777777" w:rsidR="00E8470C" w:rsidRPr="00E65297" w:rsidRDefault="00E8470C" w:rsidP="00713D41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642F9E8A" w14:textId="77777777" w:rsidR="00E8470C" w:rsidRPr="00E65297" w:rsidRDefault="00E8470C" w:rsidP="00713D41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Tento liek taktiež zlepšuje príznaky z podráždenia a obštrukcie, pri ktorých má dôležitú úlohu kontrakcia hladkej svaloviny v dolných močových cestách. </w:t>
      </w:r>
    </w:p>
    <w:p w14:paraId="11E20E58" w14:textId="77777777" w:rsidR="00E8470C" w:rsidRPr="00E65297" w:rsidRDefault="00E8470C" w:rsidP="00713D41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proofErr w:type="spellStart"/>
      <w:r w:rsidRPr="00E65297">
        <w:rPr>
          <w:rFonts w:ascii="Times New Roman" w:hAnsi="Times New Roman" w:cs="Times New Roman"/>
          <w:sz w:val="22"/>
        </w:rPr>
        <w:t>Alfa-blokátory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môžu znížiť tlak krvi v dôsledku zníženia periférnej cievnej rezistencie. V štúdiách zahŕňajúcich pacientov s normálnymi hodnotami tlaku krvi sa počas podávania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nepozorovalo žiadne klinicky významné zníženie hodnôt krvného tlaku.</w:t>
      </w:r>
    </w:p>
    <w:p w14:paraId="284D0343" w14:textId="77777777" w:rsidR="00E8470C" w:rsidRPr="00E65297" w:rsidRDefault="00E8470C" w:rsidP="00713D41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2D82EB25" w14:textId="77777777" w:rsidR="00E8470C" w:rsidRPr="00E65297" w:rsidRDefault="00E8470C" w:rsidP="00713D41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Účinok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na príznaky poruchy uskladňovania moču a vyprázdňovania močového mechúra pretrváva aj počas dlhodobej liečby, vďaka čomu je možné významne oddialiť nutnosť chirurgickej liečby.</w:t>
      </w:r>
    </w:p>
    <w:p w14:paraId="1283C110" w14:textId="77777777" w:rsidR="00E8470C" w:rsidRPr="00E65297" w:rsidRDefault="00E8470C" w:rsidP="00713D41">
      <w:pPr>
        <w:tabs>
          <w:tab w:val="left" w:pos="2198"/>
        </w:tabs>
        <w:rPr>
          <w:rFonts w:ascii="Times New Roman" w:hAnsi="Times New Roman" w:cs="Times New Roman"/>
          <w:bCs w:val="0"/>
          <w:sz w:val="22"/>
        </w:rPr>
      </w:pPr>
    </w:p>
    <w:p w14:paraId="63923563" w14:textId="77777777" w:rsidR="006F060B" w:rsidRPr="00E65297" w:rsidRDefault="00AF77F7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bCs w:val="0"/>
          <w:sz w:val="22"/>
          <w:u w:val="single"/>
        </w:rPr>
      </w:pPr>
      <w:r w:rsidRPr="00E65297">
        <w:rPr>
          <w:rFonts w:ascii="Times New Roman" w:hAnsi="Times New Roman" w:cs="Times New Roman"/>
          <w:bCs w:val="0"/>
          <w:sz w:val="22"/>
          <w:u w:val="single"/>
        </w:rPr>
        <w:t>Pediatrická populácia</w:t>
      </w:r>
    </w:p>
    <w:p w14:paraId="7B17081A" w14:textId="77777777" w:rsidR="00C433DA" w:rsidRPr="00E65297" w:rsidRDefault="00C433DA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bCs w:val="0"/>
          <w:sz w:val="22"/>
        </w:rPr>
      </w:pPr>
    </w:p>
    <w:p w14:paraId="3D9ED84A" w14:textId="77777777" w:rsidR="00B661C6" w:rsidRPr="00E65297" w:rsidRDefault="00B661C6" w:rsidP="00713D41">
      <w:pPr>
        <w:tabs>
          <w:tab w:val="left" w:pos="2198"/>
        </w:tabs>
        <w:rPr>
          <w:rFonts w:ascii="Times New Roman" w:hAnsi="Times New Roman" w:cs="Times New Roman"/>
          <w:bCs w:val="0"/>
          <w:sz w:val="22"/>
        </w:rPr>
      </w:pPr>
      <w:r w:rsidRPr="00E65297">
        <w:rPr>
          <w:rFonts w:ascii="Times New Roman" w:hAnsi="Times New Roman" w:cs="Times New Roman"/>
          <w:bCs w:val="0"/>
          <w:sz w:val="22"/>
        </w:rPr>
        <w:t xml:space="preserve">U detí s </w:t>
      </w:r>
      <w:proofErr w:type="spellStart"/>
      <w:r w:rsidRPr="00E65297">
        <w:rPr>
          <w:rFonts w:ascii="Times New Roman" w:hAnsi="Times New Roman" w:cs="Times New Roman"/>
          <w:bCs w:val="0"/>
          <w:sz w:val="22"/>
        </w:rPr>
        <w:t>neuro</w:t>
      </w:r>
      <w:r w:rsidR="00C433DA" w:rsidRPr="00E65297">
        <w:rPr>
          <w:rFonts w:ascii="Times New Roman" w:hAnsi="Times New Roman" w:cs="Times New Roman"/>
          <w:bCs w:val="0"/>
          <w:sz w:val="22"/>
        </w:rPr>
        <w:t>patickým</w:t>
      </w:r>
      <w:proofErr w:type="spellEnd"/>
      <w:r w:rsidR="00C433DA" w:rsidRPr="00E65297">
        <w:rPr>
          <w:rFonts w:ascii="Times New Roman" w:hAnsi="Times New Roman" w:cs="Times New Roman"/>
          <w:bCs w:val="0"/>
          <w:sz w:val="22"/>
        </w:rPr>
        <w:t xml:space="preserve"> </w:t>
      </w:r>
      <w:r w:rsidR="002947AB" w:rsidRPr="00E65297">
        <w:rPr>
          <w:rFonts w:ascii="Times New Roman" w:hAnsi="Times New Roman" w:cs="Times New Roman"/>
          <w:bCs w:val="0"/>
          <w:sz w:val="22"/>
        </w:rPr>
        <w:t>močovým</w:t>
      </w:r>
      <w:r w:rsidRPr="00E65297">
        <w:rPr>
          <w:rFonts w:ascii="Times New Roman" w:hAnsi="Times New Roman" w:cs="Times New Roman"/>
          <w:bCs w:val="0"/>
          <w:sz w:val="22"/>
        </w:rPr>
        <w:t xml:space="preserve"> mechúrom sa vykona</w:t>
      </w:r>
      <w:r w:rsidR="002947AB" w:rsidRPr="00E65297">
        <w:rPr>
          <w:rFonts w:ascii="Times New Roman" w:hAnsi="Times New Roman" w:cs="Times New Roman"/>
          <w:bCs w:val="0"/>
          <w:sz w:val="22"/>
        </w:rPr>
        <w:t>l</w:t>
      </w:r>
      <w:r w:rsidR="00C433DA" w:rsidRPr="00E65297">
        <w:rPr>
          <w:rFonts w:ascii="Times New Roman" w:hAnsi="Times New Roman" w:cs="Times New Roman"/>
          <w:bCs w:val="0"/>
          <w:sz w:val="22"/>
        </w:rPr>
        <w:t>a</w:t>
      </w:r>
      <w:r w:rsidRPr="00E65297">
        <w:rPr>
          <w:rFonts w:ascii="Times New Roman" w:hAnsi="Times New Roman" w:cs="Times New Roman"/>
          <w:bCs w:val="0"/>
          <w:sz w:val="22"/>
        </w:rPr>
        <w:t xml:space="preserve"> dvojito zaslepen</w:t>
      </w:r>
      <w:r w:rsidR="00C433DA" w:rsidRPr="00E65297">
        <w:rPr>
          <w:rFonts w:ascii="Times New Roman" w:hAnsi="Times New Roman" w:cs="Times New Roman"/>
          <w:bCs w:val="0"/>
          <w:sz w:val="22"/>
        </w:rPr>
        <w:t>á</w:t>
      </w:r>
      <w:r w:rsidRPr="00E65297">
        <w:rPr>
          <w:rFonts w:ascii="Times New Roman" w:hAnsi="Times New Roman" w:cs="Times New Roman"/>
          <w:bCs w:val="0"/>
          <w:sz w:val="22"/>
        </w:rPr>
        <w:t xml:space="preserve">, </w:t>
      </w:r>
      <w:proofErr w:type="spellStart"/>
      <w:r w:rsidR="00943A14" w:rsidRPr="00E65297">
        <w:rPr>
          <w:rFonts w:ascii="Times New Roman" w:hAnsi="Times New Roman" w:cs="Times New Roman"/>
          <w:bCs w:val="0"/>
          <w:sz w:val="22"/>
        </w:rPr>
        <w:t>randomizovan</w:t>
      </w:r>
      <w:r w:rsidR="00C433DA" w:rsidRPr="00E65297">
        <w:rPr>
          <w:rFonts w:ascii="Times New Roman" w:hAnsi="Times New Roman" w:cs="Times New Roman"/>
          <w:bCs w:val="0"/>
          <w:sz w:val="22"/>
        </w:rPr>
        <w:t>á</w:t>
      </w:r>
      <w:proofErr w:type="spellEnd"/>
      <w:r w:rsidR="00943A14" w:rsidRPr="00E65297">
        <w:rPr>
          <w:rFonts w:ascii="Times New Roman" w:hAnsi="Times New Roman" w:cs="Times New Roman"/>
          <w:bCs w:val="0"/>
          <w:sz w:val="22"/>
        </w:rPr>
        <w:t xml:space="preserve">, </w:t>
      </w:r>
      <w:r w:rsidRPr="00E65297">
        <w:rPr>
          <w:rFonts w:ascii="Times New Roman" w:hAnsi="Times New Roman" w:cs="Times New Roman"/>
          <w:bCs w:val="0"/>
          <w:sz w:val="22"/>
        </w:rPr>
        <w:t>placebom kontrolovan</w:t>
      </w:r>
      <w:r w:rsidR="00594E47" w:rsidRPr="00E65297">
        <w:rPr>
          <w:rFonts w:ascii="Times New Roman" w:hAnsi="Times New Roman" w:cs="Times New Roman"/>
          <w:bCs w:val="0"/>
          <w:sz w:val="22"/>
        </w:rPr>
        <w:t>á</w:t>
      </w:r>
      <w:r w:rsidRPr="00E65297">
        <w:rPr>
          <w:rFonts w:ascii="Times New Roman" w:hAnsi="Times New Roman" w:cs="Times New Roman"/>
          <w:bCs w:val="0"/>
          <w:sz w:val="22"/>
        </w:rPr>
        <w:t xml:space="preserve"> </w:t>
      </w:r>
      <w:r w:rsidR="00594E47" w:rsidRPr="00E65297">
        <w:rPr>
          <w:rFonts w:ascii="Times New Roman" w:hAnsi="Times New Roman" w:cs="Times New Roman"/>
          <w:bCs w:val="0"/>
          <w:sz w:val="22"/>
        </w:rPr>
        <w:t>štúdia</w:t>
      </w:r>
      <w:r w:rsidR="002947AB" w:rsidRPr="00E65297">
        <w:rPr>
          <w:rFonts w:ascii="Times New Roman" w:hAnsi="Times New Roman" w:cs="Times New Roman"/>
          <w:bCs w:val="0"/>
          <w:sz w:val="22"/>
        </w:rPr>
        <w:t xml:space="preserve"> s rôznym dávkovaním</w:t>
      </w:r>
      <w:r w:rsidRPr="00E65297">
        <w:rPr>
          <w:rFonts w:ascii="Times New Roman" w:hAnsi="Times New Roman" w:cs="Times New Roman"/>
          <w:bCs w:val="0"/>
          <w:sz w:val="22"/>
        </w:rPr>
        <w:t xml:space="preserve">. </w:t>
      </w:r>
      <w:r w:rsidR="002947AB" w:rsidRPr="00E65297">
        <w:rPr>
          <w:rFonts w:ascii="Times New Roman" w:hAnsi="Times New Roman" w:cs="Times New Roman"/>
          <w:bCs w:val="0"/>
          <w:sz w:val="22"/>
        </w:rPr>
        <w:t>Spolu bolo</w:t>
      </w:r>
      <w:r w:rsidRPr="00E65297">
        <w:rPr>
          <w:rFonts w:ascii="Times New Roman" w:hAnsi="Times New Roman" w:cs="Times New Roman"/>
          <w:bCs w:val="0"/>
          <w:sz w:val="22"/>
        </w:rPr>
        <w:t xml:space="preserve"> 161 detí </w:t>
      </w:r>
      <w:r w:rsidR="00943A14" w:rsidRPr="00E65297">
        <w:rPr>
          <w:rFonts w:ascii="Times New Roman" w:hAnsi="Times New Roman" w:cs="Times New Roman"/>
          <w:bCs w:val="0"/>
          <w:sz w:val="22"/>
        </w:rPr>
        <w:t xml:space="preserve">(vo veku od 2 do 16 rokov) </w:t>
      </w:r>
      <w:proofErr w:type="spellStart"/>
      <w:r w:rsidRPr="00E65297">
        <w:rPr>
          <w:rFonts w:ascii="Times New Roman" w:hAnsi="Times New Roman" w:cs="Times New Roman"/>
          <w:bCs w:val="0"/>
          <w:sz w:val="22"/>
        </w:rPr>
        <w:t>randomizovaných</w:t>
      </w:r>
      <w:proofErr w:type="spellEnd"/>
      <w:r w:rsidRPr="00E65297">
        <w:rPr>
          <w:rFonts w:ascii="Times New Roman" w:hAnsi="Times New Roman" w:cs="Times New Roman"/>
          <w:bCs w:val="0"/>
          <w:sz w:val="22"/>
        </w:rPr>
        <w:t xml:space="preserve"> a liečených v 1 z 3 skupín s</w:t>
      </w:r>
      <w:r w:rsidR="00F05DFA" w:rsidRPr="00E65297">
        <w:rPr>
          <w:rFonts w:ascii="Times New Roman" w:hAnsi="Times New Roman" w:cs="Times New Roman"/>
          <w:bCs w:val="0"/>
          <w:sz w:val="22"/>
        </w:rPr>
        <w:t> </w:t>
      </w:r>
      <w:r w:rsidRPr="00E65297">
        <w:rPr>
          <w:rFonts w:ascii="Times New Roman" w:hAnsi="Times New Roman" w:cs="Times New Roman"/>
          <w:bCs w:val="0"/>
          <w:sz w:val="22"/>
        </w:rPr>
        <w:t xml:space="preserve">rôznou dávkou </w:t>
      </w:r>
      <w:proofErr w:type="spellStart"/>
      <w:r w:rsidRPr="00E65297">
        <w:rPr>
          <w:rFonts w:ascii="Times New Roman" w:hAnsi="Times New Roman" w:cs="Times New Roman"/>
          <w:bCs w:val="0"/>
          <w:sz w:val="22"/>
        </w:rPr>
        <w:t>tamsulo</w:t>
      </w:r>
      <w:r w:rsidR="00E65297">
        <w:rPr>
          <w:rFonts w:ascii="Times New Roman" w:hAnsi="Times New Roman" w:cs="Times New Roman"/>
          <w:bCs w:val="0"/>
          <w:sz w:val="22"/>
        </w:rPr>
        <w:t>sín</w:t>
      </w:r>
      <w:r w:rsidRPr="00E65297">
        <w:rPr>
          <w:rFonts w:ascii="Times New Roman" w:hAnsi="Times New Roman" w:cs="Times New Roman"/>
          <w:bCs w:val="0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bCs w:val="0"/>
          <w:sz w:val="22"/>
        </w:rPr>
        <w:t xml:space="preserve"> (skupina s nízkou dávkou </w:t>
      </w:r>
      <w:r w:rsidRPr="00E65297">
        <w:rPr>
          <w:rFonts w:ascii="Times New Roman" w:hAnsi="Times New Roman" w:cs="Times New Roman"/>
          <w:bCs w:val="0"/>
          <w:sz w:val="22"/>
        </w:rPr>
        <w:lastRenderedPageBreak/>
        <w:t>[0,001 až 0,002 mg/kg], skupina so strednou dávkou [0,002 až 0,004</w:t>
      </w:r>
      <w:r w:rsidR="00F05DFA" w:rsidRPr="00E65297">
        <w:rPr>
          <w:rFonts w:ascii="Times New Roman" w:hAnsi="Times New Roman" w:cs="Times New Roman"/>
          <w:bCs w:val="0"/>
          <w:sz w:val="22"/>
        </w:rPr>
        <w:t> </w:t>
      </w:r>
      <w:r w:rsidRPr="00E65297">
        <w:rPr>
          <w:rFonts w:ascii="Times New Roman" w:hAnsi="Times New Roman" w:cs="Times New Roman"/>
          <w:bCs w:val="0"/>
          <w:sz w:val="22"/>
        </w:rPr>
        <w:t>mg/kg], a skupina s vysokou dávkou [0,004 až 0,008</w:t>
      </w:r>
      <w:r w:rsidR="00F05DFA" w:rsidRPr="00E65297">
        <w:rPr>
          <w:rFonts w:ascii="Times New Roman" w:hAnsi="Times New Roman" w:cs="Times New Roman"/>
          <w:bCs w:val="0"/>
          <w:sz w:val="22"/>
        </w:rPr>
        <w:t> </w:t>
      </w:r>
      <w:r w:rsidRPr="00E65297">
        <w:rPr>
          <w:rFonts w:ascii="Times New Roman" w:hAnsi="Times New Roman" w:cs="Times New Roman"/>
          <w:bCs w:val="0"/>
          <w:sz w:val="22"/>
        </w:rPr>
        <w:t xml:space="preserve">mg/kg]) alebo </w:t>
      </w:r>
      <w:r w:rsidR="00943A14" w:rsidRPr="00E65297">
        <w:rPr>
          <w:rFonts w:ascii="Times New Roman" w:hAnsi="Times New Roman" w:cs="Times New Roman"/>
          <w:bCs w:val="0"/>
          <w:sz w:val="22"/>
        </w:rPr>
        <w:t xml:space="preserve">boli v skupine, v ktorej dostávali </w:t>
      </w:r>
      <w:r w:rsidRPr="00E65297">
        <w:rPr>
          <w:rFonts w:ascii="Times New Roman" w:hAnsi="Times New Roman" w:cs="Times New Roman"/>
          <w:bCs w:val="0"/>
          <w:sz w:val="22"/>
        </w:rPr>
        <w:t>placebo.</w:t>
      </w:r>
    </w:p>
    <w:p w14:paraId="11DC58B1" w14:textId="77777777" w:rsidR="00C32A76" w:rsidRPr="00E65297" w:rsidRDefault="00943A14" w:rsidP="00713D41">
      <w:pPr>
        <w:tabs>
          <w:tab w:val="left" w:pos="2198"/>
        </w:tabs>
        <w:rPr>
          <w:rFonts w:ascii="Times New Roman" w:hAnsi="Times New Roman" w:cs="Times New Roman"/>
          <w:bCs w:val="0"/>
          <w:sz w:val="22"/>
        </w:rPr>
      </w:pPr>
      <w:r w:rsidRPr="00E65297">
        <w:rPr>
          <w:rFonts w:ascii="Times New Roman" w:hAnsi="Times New Roman" w:cs="Times New Roman"/>
          <w:bCs w:val="0"/>
          <w:sz w:val="22"/>
        </w:rPr>
        <w:t>Primárnym</w:t>
      </w:r>
      <w:r w:rsidR="00B661C6" w:rsidRPr="00E65297">
        <w:rPr>
          <w:rFonts w:ascii="Times New Roman" w:hAnsi="Times New Roman" w:cs="Times New Roman"/>
          <w:bCs w:val="0"/>
          <w:sz w:val="22"/>
        </w:rPr>
        <w:t xml:space="preserve"> koncový</w:t>
      </w:r>
      <w:r w:rsidRPr="00E65297">
        <w:rPr>
          <w:rFonts w:ascii="Times New Roman" w:hAnsi="Times New Roman" w:cs="Times New Roman"/>
          <w:bCs w:val="0"/>
          <w:sz w:val="22"/>
        </w:rPr>
        <w:t>m</w:t>
      </w:r>
      <w:r w:rsidR="00B661C6" w:rsidRPr="00E65297">
        <w:rPr>
          <w:rFonts w:ascii="Times New Roman" w:hAnsi="Times New Roman" w:cs="Times New Roman"/>
          <w:bCs w:val="0"/>
          <w:sz w:val="22"/>
        </w:rPr>
        <w:t xml:space="preserve"> ukazovateľ</w:t>
      </w:r>
      <w:r w:rsidRPr="00E65297">
        <w:rPr>
          <w:rFonts w:ascii="Times New Roman" w:hAnsi="Times New Roman" w:cs="Times New Roman"/>
          <w:bCs w:val="0"/>
          <w:sz w:val="22"/>
        </w:rPr>
        <w:t>om bol počet</w:t>
      </w:r>
      <w:r w:rsidR="00B661C6" w:rsidRPr="00E65297">
        <w:rPr>
          <w:rFonts w:ascii="Times New Roman" w:hAnsi="Times New Roman" w:cs="Times New Roman"/>
          <w:bCs w:val="0"/>
          <w:sz w:val="22"/>
        </w:rPr>
        <w:t xml:space="preserve"> pacientov, </w:t>
      </w:r>
      <w:r w:rsidR="00A47E53" w:rsidRPr="00E65297">
        <w:rPr>
          <w:rFonts w:ascii="Times New Roman" w:hAnsi="Times New Roman" w:cs="Times New Roman"/>
          <w:bCs w:val="0"/>
          <w:sz w:val="22"/>
        </w:rPr>
        <w:t xml:space="preserve">u ktorých klesla hodnota tlakového bodu úniku </w:t>
      </w:r>
      <w:r w:rsidR="00B661C6" w:rsidRPr="00E65297">
        <w:rPr>
          <w:rFonts w:ascii="Times New Roman" w:hAnsi="Times New Roman" w:cs="Times New Roman"/>
          <w:bCs w:val="0"/>
          <w:sz w:val="22"/>
        </w:rPr>
        <w:t>(</w:t>
      </w:r>
      <w:proofErr w:type="spellStart"/>
      <w:r w:rsidR="00B661C6" w:rsidRPr="00E65297">
        <w:rPr>
          <w:rFonts w:ascii="Times New Roman" w:hAnsi="Times New Roman" w:cs="Times New Roman"/>
          <w:bCs w:val="0"/>
          <w:sz w:val="22"/>
        </w:rPr>
        <w:t>detrusor</w:t>
      </w:r>
      <w:proofErr w:type="spellEnd"/>
      <w:r w:rsidR="00B661C6" w:rsidRPr="00E65297">
        <w:rPr>
          <w:rFonts w:ascii="Times New Roman" w:hAnsi="Times New Roman" w:cs="Times New Roman"/>
          <w:bCs w:val="0"/>
          <w:sz w:val="22"/>
        </w:rPr>
        <w:t xml:space="preserve"> LPP – </w:t>
      </w:r>
      <w:proofErr w:type="spellStart"/>
      <w:r w:rsidR="00B661C6" w:rsidRPr="00E65297">
        <w:rPr>
          <w:rFonts w:ascii="Times New Roman" w:hAnsi="Times New Roman" w:cs="Times New Roman"/>
          <w:bCs w:val="0"/>
          <w:sz w:val="22"/>
        </w:rPr>
        <w:t>detrusor</w:t>
      </w:r>
      <w:proofErr w:type="spellEnd"/>
      <w:r w:rsidR="00B661C6" w:rsidRPr="00E65297">
        <w:rPr>
          <w:rFonts w:ascii="Times New Roman" w:hAnsi="Times New Roman" w:cs="Times New Roman"/>
          <w:bCs w:val="0"/>
          <w:sz w:val="22"/>
        </w:rPr>
        <w:t xml:space="preserve"> </w:t>
      </w:r>
      <w:proofErr w:type="spellStart"/>
      <w:r w:rsidR="00B661C6" w:rsidRPr="00E65297">
        <w:rPr>
          <w:rFonts w:ascii="Times New Roman" w:hAnsi="Times New Roman" w:cs="Times New Roman"/>
          <w:bCs w:val="0"/>
          <w:sz w:val="22"/>
        </w:rPr>
        <w:t>leak</w:t>
      </w:r>
      <w:proofErr w:type="spellEnd"/>
      <w:r w:rsidR="00B661C6" w:rsidRPr="00E65297">
        <w:rPr>
          <w:rFonts w:ascii="Times New Roman" w:hAnsi="Times New Roman" w:cs="Times New Roman"/>
          <w:bCs w:val="0"/>
          <w:sz w:val="22"/>
        </w:rPr>
        <w:t xml:space="preserve"> point </w:t>
      </w:r>
      <w:proofErr w:type="spellStart"/>
      <w:r w:rsidR="00B661C6" w:rsidRPr="00E65297">
        <w:rPr>
          <w:rFonts w:ascii="Times New Roman" w:hAnsi="Times New Roman" w:cs="Times New Roman"/>
          <w:bCs w:val="0"/>
          <w:sz w:val="22"/>
        </w:rPr>
        <w:t>pressure</w:t>
      </w:r>
      <w:proofErr w:type="spellEnd"/>
      <w:r w:rsidR="00B661C6" w:rsidRPr="00E65297">
        <w:rPr>
          <w:rFonts w:ascii="Times New Roman" w:hAnsi="Times New Roman" w:cs="Times New Roman"/>
          <w:bCs w:val="0"/>
          <w:sz w:val="22"/>
        </w:rPr>
        <w:t xml:space="preserve">, tlak pri úniku) na &lt; </w:t>
      </w:r>
      <w:smartTag w:uri="urn:schemas-microsoft-com:office:smarttags" w:element="metricconverter">
        <w:smartTagPr>
          <w:attr w:name="ProductID" w:val="40 cm"/>
        </w:smartTagPr>
        <w:r w:rsidR="00B661C6" w:rsidRPr="00E65297">
          <w:rPr>
            <w:rFonts w:ascii="Times New Roman" w:hAnsi="Times New Roman" w:cs="Times New Roman"/>
            <w:bCs w:val="0"/>
            <w:sz w:val="22"/>
          </w:rPr>
          <w:t>40 cm</w:t>
        </w:r>
      </w:smartTag>
      <w:r w:rsidR="00B661C6" w:rsidRPr="00E65297">
        <w:rPr>
          <w:rFonts w:ascii="Times New Roman" w:hAnsi="Times New Roman" w:cs="Times New Roman"/>
          <w:bCs w:val="0"/>
          <w:sz w:val="22"/>
        </w:rPr>
        <w:t xml:space="preserve"> H</w:t>
      </w:r>
      <w:r w:rsidR="00B661C6" w:rsidRPr="00E65297">
        <w:rPr>
          <w:rFonts w:ascii="Times New Roman" w:hAnsi="Times New Roman" w:cs="Times New Roman"/>
          <w:bCs w:val="0"/>
          <w:sz w:val="22"/>
          <w:vertAlign w:val="subscript"/>
        </w:rPr>
        <w:t>2</w:t>
      </w:r>
      <w:r w:rsidR="00B661C6" w:rsidRPr="00E65297">
        <w:rPr>
          <w:rFonts w:ascii="Times New Roman" w:hAnsi="Times New Roman" w:cs="Times New Roman"/>
          <w:bCs w:val="0"/>
          <w:sz w:val="22"/>
        </w:rPr>
        <w:t xml:space="preserve">O na základe dvoch meraní v ten istý deň. </w:t>
      </w:r>
      <w:r w:rsidR="00A47E53" w:rsidRPr="00E65297">
        <w:rPr>
          <w:rFonts w:ascii="Times New Roman" w:hAnsi="Times New Roman" w:cs="Times New Roman"/>
          <w:bCs w:val="0"/>
          <w:sz w:val="22"/>
        </w:rPr>
        <w:t>Sekundárne</w:t>
      </w:r>
      <w:r w:rsidR="00B661C6" w:rsidRPr="00E65297">
        <w:rPr>
          <w:rFonts w:ascii="Times New Roman" w:hAnsi="Times New Roman" w:cs="Times New Roman"/>
          <w:bCs w:val="0"/>
          <w:sz w:val="22"/>
        </w:rPr>
        <w:t xml:space="preserve"> koncové </w:t>
      </w:r>
      <w:r w:rsidRPr="00E65297">
        <w:rPr>
          <w:rFonts w:ascii="Times New Roman" w:hAnsi="Times New Roman" w:cs="Times New Roman"/>
          <w:bCs w:val="0"/>
          <w:sz w:val="22"/>
        </w:rPr>
        <w:t xml:space="preserve">ukazovatele </w:t>
      </w:r>
      <w:r w:rsidR="00B661C6" w:rsidRPr="00E65297">
        <w:rPr>
          <w:rFonts w:ascii="Times New Roman" w:hAnsi="Times New Roman" w:cs="Times New Roman"/>
          <w:bCs w:val="0"/>
          <w:sz w:val="22"/>
        </w:rPr>
        <w:t>boli: skutočná a percentuálna zmena od</w:t>
      </w:r>
      <w:r w:rsidR="00A47E53" w:rsidRPr="00E65297">
        <w:rPr>
          <w:rFonts w:ascii="Times New Roman" w:hAnsi="Times New Roman" w:cs="Times New Roman"/>
          <w:bCs w:val="0"/>
          <w:sz w:val="22"/>
        </w:rPr>
        <w:t> </w:t>
      </w:r>
      <w:r w:rsidR="00B661C6" w:rsidRPr="00E65297">
        <w:rPr>
          <w:rFonts w:ascii="Times New Roman" w:hAnsi="Times New Roman" w:cs="Times New Roman"/>
          <w:bCs w:val="0"/>
          <w:sz w:val="22"/>
        </w:rPr>
        <w:t>východiskovej hodnoty</w:t>
      </w:r>
      <w:r w:rsidR="00A47E53" w:rsidRPr="00E65297">
        <w:rPr>
          <w:rFonts w:ascii="Times New Roman" w:hAnsi="Times New Roman" w:cs="Times New Roman"/>
          <w:bCs w:val="0"/>
          <w:sz w:val="22"/>
        </w:rPr>
        <w:t xml:space="preserve"> na začiatku skúšania v tlakovom bode úniku</w:t>
      </w:r>
      <w:r w:rsidR="00B661C6" w:rsidRPr="00E65297">
        <w:rPr>
          <w:rFonts w:ascii="Times New Roman" w:hAnsi="Times New Roman" w:cs="Times New Roman"/>
          <w:bCs w:val="0"/>
          <w:sz w:val="22"/>
        </w:rPr>
        <w:t xml:space="preserve">, zlepšenie alebo stabilizácia </w:t>
      </w:r>
      <w:proofErr w:type="spellStart"/>
      <w:r w:rsidR="00B661C6" w:rsidRPr="00E65297">
        <w:rPr>
          <w:rFonts w:ascii="Times New Roman" w:hAnsi="Times New Roman" w:cs="Times New Roman"/>
          <w:bCs w:val="0"/>
          <w:sz w:val="22"/>
        </w:rPr>
        <w:t>hydronefrózy</w:t>
      </w:r>
      <w:proofErr w:type="spellEnd"/>
      <w:r w:rsidR="00B661C6" w:rsidRPr="00E65297">
        <w:rPr>
          <w:rFonts w:ascii="Times New Roman" w:hAnsi="Times New Roman" w:cs="Times New Roman"/>
          <w:bCs w:val="0"/>
          <w:sz w:val="22"/>
        </w:rPr>
        <w:t xml:space="preserve"> a </w:t>
      </w:r>
      <w:proofErr w:type="spellStart"/>
      <w:r w:rsidR="00B661C6" w:rsidRPr="00E65297">
        <w:rPr>
          <w:rFonts w:ascii="Times New Roman" w:hAnsi="Times New Roman" w:cs="Times New Roman"/>
          <w:bCs w:val="0"/>
          <w:sz w:val="22"/>
        </w:rPr>
        <w:t>hydrouret</w:t>
      </w:r>
      <w:r w:rsidR="00A47E53" w:rsidRPr="00E65297">
        <w:rPr>
          <w:rFonts w:ascii="Times New Roman" w:hAnsi="Times New Roman" w:cs="Times New Roman"/>
          <w:bCs w:val="0"/>
          <w:sz w:val="22"/>
        </w:rPr>
        <w:t>eru</w:t>
      </w:r>
      <w:proofErr w:type="spellEnd"/>
      <w:r w:rsidR="00B661C6" w:rsidRPr="00E65297">
        <w:rPr>
          <w:rFonts w:ascii="Times New Roman" w:hAnsi="Times New Roman" w:cs="Times New Roman"/>
          <w:bCs w:val="0"/>
          <w:sz w:val="22"/>
        </w:rPr>
        <w:t xml:space="preserve"> a zmena objemu moču získaného </w:t>
      </w:r>
      <w:proofErr w:type="spellStart"/>
      <w:r w:rsidR="00B661C6" w:rsidRPr="00E65297">
        <w:rPr>
          <w:rFonts w:ascii="Times New Roman" w:hAnsi="Times New Roman" w:cs="Times New Roman"/>
          <w:bCs w:val="0"/>
          <w:sz w:val="22"/>
        </w:rPr>
        <w:t>katetrizáciou</w:t>
      </w:r>
      <w:proofErr w:type="spellEnd"/>
      <w:r w:rsidR="00A47E53" w:rsidRPr="00E65297">
        <w:rPr>
          <w:rFonts w:ascii="Times New Roman" w:hAnsi="Times New Roman" w:cs="Times New Roman"/>
          <w:bCs w:val="0"/>
          <w:sz w:val="22"/>
        </w:rPr>
        <w:t xml:space="preserve"> (</w:t>
      </w:r>
      <w:proofErr w:type="spellStart"/>
      <w:r w:rsidR="00A47E53" w:rsidRPr="00E65297">
        <w:rPr>
          <w:rFonts w:ascii="Times New Roman" w:hAnsi="Times New Roman" w:cs="Times New Roman"/>
          <w:bCs w:val="0"/>
          <w:sz w:val="22"/>
        </w:rPr>
        <w:t>vycievkovaný</w:t>
      </w:r>
      <w:proofErr w:type="spellEnd"/>
      <w:r w:rsidR="00A47E53" w:rsidRPr="00E65297">
        <w:rPr>
          <w:rFonts w:ascii="Times New Roman" w:hAnsi="Times New Roman" w:cs="Times New Roman"/>
          <w:bCs w:val="0"/>
          <w:sz w:val="22"/>
        </w:rPr>
        <w:t xml:space="preserve"> moč)</w:t>
      </w:r>
      <w:r w:rsidR="00B661C6" w:rsidRPr="00E65297">
        <w:rPr>
          <w:rFonts w:ascii="Times New Roman" w:hAnsi="Times New Roman" w:cs="Times New Roman"/>
          <w:bCs w:val="0"/>
          <w:sz w:val="22"/>
        </w:rPr>
        <w:t xml:space="preserve">, </w:t>
      </w:r>
      <w:r w:rsidRPr="00E65297">
        <w:rPr>
          <w:rFonts w:ascii="Times New Roman" w:hAnsi="Times New Roman" w:cs="Times New Roman"/>
          <w:bCs w:val="0"/>
          <w:sz w:val="22"/>
        </w:rPr>
        <w:t>a</w:t>
      </w:r>
      <w:r w:rsidR="00E21CB6" w:rsidRPr="00E65297">
        <w:rPr>
          <w:rFonts w:ascii="Times New Roman" w:hAnsi="Times New Roman" w:cs="Times New Roman"/>
          <w:bCs w:val="0"/>
          <w:sz w:val="22"/>
        </w:rPr>
        <w:t> </w:t>
      </w:r>
      <w:r w:rsidR="00B661C6" w:rsidRPr="00E65297">
        <w:rPr>
          <w:rFonts w:ascii="Times New Roman" w:hAnsi="Times New Roman" w:cs="Times New Roman"/>
          <w:bCs w:val="0"/>
          <w:sz w:val="22"/>
        </w:rPr>
        <w:t>počet pomočení</w:t>
      </w:r>
      <w:r w:rsidR="00A47E53" w:rsidRPr="00E65297">
        <w:rPr>
          <w:rFonts w:ascii="Times New Roman" w:hAnsi="Times New Roman" w:cs="Times New Roman"/>
          <w:bCs w:val="0"/>
          <w:sz w:val="22"/>
        </w:rPr>
        <w:t xml:space="preserve"> (mokrých intervalov)</w:t>
      </w:r>
      <w:r w:rsidR="00B661C6" w:rsidRPr="00E65297">
        <w:rPr>
          <w:rFonts w:ascii="Times New Roman" w:hAnsi="Times New Roman" w:cs="Times New Roman"/>
          <w:bCs w:val="0"/>
          <w:sz w:val="22"/>
        </w:rPr>
        <w:t xml:space="preserve"> v</w:t>
      </w:r>
      <w:r w:rsidR="00E21CB6" w:rsidRPr="00E65297">
        <w:rPr>
          <w:rFonts w:ascii="Times New Roman" w:hAnsi="Times New Roman" w:cs="Times New Roman"/>
          <w:bCs w:val="0"/>
          <w:sz w:val="22"/>
        </w:rPr>
        <w:t> </w:t>
      </w:r>
      <w:r w:rsidR="00B661C6" w:rsidRPr="00E65297">
        <w:rPr>
          <w:rFonts w:ascii="Times New Roman" w:hAnsi="Times New Roman" w:cs="Times New Roman"/>
          <w:bCs w:val="0"/>
          <w:sz w:val="22"/>
        </w:rPr>
        <w:t xml:space="preserve">čase </w:t>
      </w:r>
      <w:proofErr w:type="spellStart"/>
      <w:r w:rsidR="00B661C6" w:rsidRPr="00E65297">
        <w:rPr>
          <w:rFonts w:ascii="Times New Roman" w:hAnsi="Times New Roman" w:cs="Times New Roman"/>
          <w:bCs w:val="0"/>
          <w:sz w:val="22"/>
        </w:rPr>
        <w:t>katetrizácie</w:t>
      </w:r>
      <w:proofErr w:type="spellEnd"/>
      <w:r w:rsidR="00B661C6" w:rsidRPr="00E65297">
        <w:rPr>
          <w:rFonts w:ascii="Times New Roman" w:hAnsi="Times New Roman" w:cs="Times New Roman"/>
          <w:bCs w:val="0"/>
          <w:sz w:val="22"/>
        </w:rPr>
        <w:t xml:space="preserve"> </w:t>
      </w:r>
      <w:r w:rsidR="00A47E53" w:rsidRPr="00E65297">
        <w:rPr>
          <w:rFonts w:ascii="Times New Roman" w:hAnsi="Times New Roman" w:cs="Times New Roman"/>
          <w:bCs w:val="0"/>
          <w:sz w:val="22"/>
        </w:rPr>
        <w:t>podľa záznamu v</w:t>
      </w:r>
      <w:r w:rsidR="00E21CB6" w:rsidRPr="00E65297">
        <w:rPr>
          <w:rFonts w:ascii="Times New Roman" w:hAnsi="Times New Roman" w:cs="Times New Roman"/>
          <w:bCs w:val="0"/>
          <w:sz w:val="22"/>
        </w:rPr>
        <w:t> </w:t>
      </w:r>
      <w:proofErr w:type="spellStart"/>
      <w:r w:rsidR="00A47E53" w:rsidRPr="00E65297">
        <w:rPr>
          <w:rFonts w:ascii="Times New Roman" w:hAnsi="Times New Roman" w:cs="Times New Roman"/>
          <w:bCs w:val="0"/>
          <w:sz w:val="22"/>
        </w:rPr>
        <w:t>katetrizačnom</w:t>
      </w:r>
      <w:proofErr w:type="spellEnd"/>
      <w:r w:rsidR="00A47E53" w:rsidRPr="00E65297">
        <w:rPr>
          <w:rFonts w:ascii="Times New Roman" w:hAnsi="Times New Roman" w:cs="Times New Roman"/>
          <w:bCs w:val="0"/>
          <w:sz w:val="22"/>
        </w:rPr>
        <w:t xml:space="preserve"> denníku</w:t>
      </w:r>
      <w:r w:rsidR="00B661C6" w:rsidRPr="00E65297">
        <w:rPr>
          <w:rFonts w:ascii="Times New Roman" w:hAnsi="Times New Roman" w:cs="Times New Roman"/>
          <w:bCs w:val="0"/>
          <w:sz w:val="22"/>
        </w:rPr>
        <w:t xml:space="preserve">. </w:t>
      </w:r>
      <w:r w:rsidR="00A47E53" w:rsidRPr="00E65297">
        <w:rPr>
          <w:rFonts w:ascii="Times New Roman" w:hAnsi="Times New Roman" w:cs="Times New Roman"/>
          <w:bCs w:val="0"/>
          <w:sz w:val="22"/>
        </w:rPr>
        <w:t>Neboli zistené žiadne štatisticky významné rozdiely medzi skupinou, ktorá užívala placebo a</w:t>
      </w:r>
      <w:r w:rsidR="00E21CB6" w:rsidRPr="00E65297">
        <w:rPr>
          <w:rFonts w:ascii="Times New Roman" w:hAnsi="Times New Roman" w:cs="Times New Roman"/>
          <w:bCs w:val="0"/>
          <w:sz w:val="22"/>
        </w:rPr>
        <w:t> </w:t>
      </w:r>
      <w:r w:rsidR="00A47E53" w:rsidRPr="00E65297">
        <w:rPr>
          <w:rFonts w:ascii="Times New Roman" w:hAnsi="Times New Roman" w:cs="Times New Roman"/>
          <w:bCs w:val="0"/>
          <w:sz w:val="22"/>
        </w:rPr>
        <w:t>ktoroukoľvek z</w:t>
      </w:r>
      <w:r w:rsidR="00E21CB6" w:rsidRPr="00E65297">
        <w:rPr>
          <w:rFonts w:ascii="Times New Roman" w:hAnsi="Times New Roman" w:cs="Times New Roman"/>
          <w:bCs w:val="0"/>
          <w:sz w:val="22"/>
        </w:rPr>
        <w:t> </w:t>
      </w:r>
      <w:r w:rsidR="00A47E53" w:rsidRPr="00E65297">
        <w:rPr>
          <w:rFonts w:ascii="Times New Roman" w:hAnsi="Times New Roman" w:cs="Times New Roman"/>
          <w:bCs w:val="0"/>
          <w:sz w:val="22"/>
        </w:rPr>
        <w:t xml:space="preserve">troch skupín s rôznou dávkou </w:t>
      </w:r>
      <w:proofErr w:type="spellStart"/>
      <w:r w:rsidR="00A47E53" w:rsidRPr="00E65297">
        <w:rPr>
          <w:rFonts w:ascii="Times New Roman" w:hAnsi="Times New Roman" w:cs="Times New Roman"/>
          <w:bCs w:val="0"/>
          <w:sz w:val="22"/>
        </w:rPr>
        <w:t>tamsulo</w:t>
      </w:r>
      <w:r w:rsidR="00E65297">
        <w:rPr>
          <w:rFonts w:ascii="Times New Roman" w:hAnsi="Times New Roman" w:cs="Times New Roman"/>
          <w:bCs w:val="0"/>
          <w:sz w:val="22"/>
        </w:rPr>
        <w:t>sín</w:t>
      </w:r>
      <w:r w:rsidR="00A47E53" w:rsidRPr="00E65297">
        <w:rPr>
          <w:rFonts w:ascii="Times New Roman" w:hAnsi="Times New Roman" w:cs="Times New Roman"/>
          <w:bCs w:val="0"/>
          <w:sz w:val="22"/>
        </w:rPr>
        <w:t>u</w:t>
      </w:r>
      <w:proofErr w:type="spellEnd"/>
      <w:r w:rsidR="00A47E53" w:rsidRPr="00E65297">
        <w:rPr>
          <w:rFonts w:ascii="Times New Roman" w:hAnsi="Times New Roman" w:cs="Times New Roman"/>
          <w:bCs w:val="0"/>
          <w:sz w:val="22"/>
        </w:rPr>
        <w:t xml:space="preserve"> ani pre primárne, ani pre žiadne sekundárne koncové ukazovatele. Nebola pozorovaná žiadna odozva na dávku pre nijakú úroveň dávkovania.</w:t>
      </w:r>
    </w:p>
    <w:p w14:paraId="4D432E8E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b/>
          <w:bCs w:val="0"/>
          <w:sz w:val="22"/>
        </w:rPr>
      </w:pPr>
    </w:p>
    <w:p w14:paraId="255DD687" w14:textId="77777777" w:rsidR="00E8470C" w:rsidRPr="00E65297" w:rsidRDefault="00E8470C" w:rsidP="005A14EA">
      <w:pPr>
        <w:keepNext/>
        <w:tabs>
          <w:tab w:val="left" w:pos="480"/>
        </w:tabs>
        <w:ind w:left="482" w:hanging="482"/>
        <w:rPr>
          <w:rFonts w:ascii="Times New Roman" w:hAnsi="Times New Roman" w:cs="Times New Roman"/>
          <w:b/>
          <w:bCs w:val="0"/>
          <w:sz w:val="22"/>
        </w:rPr>
      </w:pPr>
      <w:r w:rsidRPr="00E65297">
        <w:rPr>
          <w:rFonts w:ascii="Times New Roman" w:hAnsi="Times New Roman" w:cs="Times New Roman"/>
          <w:b/>
          <w:bCs w:val="0"/>
          <w:sz w:val="22"/>
        </w:rPr>
        <w:t>5.</w:t>
      </w:r>
      <w:r w:rsidR="00B44452" w:rsidRPr="00E65297">
        <w:rPr>
          <w:rFonts w:ascii="Times New Roman" w:hAnsi="Times New Roman" w:cs="Times New Roman"/>
          <w:b/>
          <w:bCs w:val="0"/>
          <w:sz w:val="22"/>
        </w:rPr>
        <w:t>2</w:t>
      </w:r>
      <w:r w:rsidR="00B44452" w:rsidRPr="00E65297">
        <w:rPr>
          <w:rFonts w:ascii="Times New Roman" w:hAnsi="Times New Roman"/>
          <w:sz w:val="22"/>
        </w:rPr>
        <w:tab/>
      </w:r>
      <w:proofErr w:type="spellStart"/>
      <w:r w:rsidRPr="00E65297">
        <w:rPr>
          <w:rFonts w:ascii="Times New Roman" w:hAnsi="Times New Roman" w:cs="Times New Roman"/>
          <w:b/>
          <w:bCs w:val="0"/>
          <w:sz w:val="22"/>
        </w:rPr>
        <w:t>Farmakokinetické</w:t>
      </w:r>
      <w:proofErr w:type="spellEnd"/>
      <w:r w:rsidRPr="00E65297">
        <w:rPr>
          <w:rFonts w:ascii="Times New Roman" w:hAnsi="Times New Roman" w:cs="Times New Roman"/>
          <w:b/>
          <w:bCs w:val="0"/>
          <w:sz w:val="22"/>
        </w:rPr>
        <w:t xml:space="preserve"> vlastnosti </w:t>
      </w:r>
    </w:p>
    <w:p w14:paraId="1BFBC3D3" w14:textId="77777777" w:rsidR="00E8470C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</w:rPr>
      </w:pPr>
    </w:p>
    <w:p w14:paraId="249433C5" w14:textId="77777777" w:rsidR="00E8470C" w:rsidRPr="00E65297" w:rsidRDefault="00E8470C" w:rsidP="005C28F3">
      <w:pPr>
        <w:pStyle w:val="Nadpis5"/>
        <w:tabs>
          <w:tab w:val="left" w:pos="2198"/>
        </w:tabs>
        <w:rPr>
          <w:rFonts w:ascii="Times New Roman" w:hAnsi="Times New Roman"/>
          <w:bCs/>
          <w:i w:val="0"/>
          <w:sz w:val="22"/>
          <w:u w:val="single"/>
          <w:lang w:eastAsia="sk-SK"/>
        </w:rPr>
      </w:pPr>
      <w:r w:rsidRPr="00E65297">
        <w:rPr>
          <w:rFonts w:ascii="Times New Roman" w:hAnsi="Times New Roman"/>
          <w:bCs/>
          <w:i w:val="0"/>
          <w:sz w:val="22"/>
          <w:u w:val="single"/>
          <w:lang w:eastAsia="sk-SK"/>
        </w:rPr>
        <w:t>Absorpcia</w:t>
      </w:r>
    </w:p>
    <w:p w14:paraId="6492D64B" w14:textId="77777777" w:rsidR="009B7D60" w:rsidRPr="0026053A" w:rsidRDefault="009B7D60" w:rsidP="00E65297">
      <w:pPr>
        <w:rPr>
          <w:rFonts w:ascii="Times New Roman" w:hAnsi="Times New Roman"/>
          <w:sz w:val="22"/>
        </w:rPr>
      </w:pPr>
    </w:p>
    <w:p w14:paraId="7033F141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sa z čreva rýchlo vstrebáva a jeho biologická dostupnosť je takmer úplná. Príjem potravy pred užitím lieku spomaľuje rýchlosť jeho absorpcie. Rovnaké vstrebávanie látky je možné zaručiť pravidelným užívaním </w:t>
      </w:r>
      <w:proofErr w:type="spellStart"/>
      <w:r w:rsidR="00EB349D" w:rsidRPr="00E65297">
        <w:rPr>
          <w:rFonts w:ascii="Times New Roman" w:hAnsi="Times New Roman" w:cs="Times New Roman"/>
          <w:sz w:val="22"/>
        </w:rPr>
        <w:t>t</w:t>
      </w:r>
      <w:r w:rsidRPr="00E65297">
        <w:rPr>
          <w:rFonts w:ascii="Times New Roman" w:hAnsi="Times New Roman" w:cs="Times New Roman"/>
          <w:sz w:val="22"/>
        </w:rPr>
        <w:t>amsulo</w:t>
      </w:r>
      <w:r w:rsidR="00E65297">
        <w:rPr>
          <w:rFonts w:ascii="Times New Roman" w:hAnsi="Times New Roman" w:cs="Times New Roman"/>
          <w:sz w:val="22"/>
        </w:rPr>
        <w:t>sín</w:t>
      </w:r>
      <w:r w:rsidR="00066ACE" w:rsidRPr="00E65297">
        <w:rPr>
          <w:rFonts w:ascii="Times New Roman" w:hAnsi="Times New Roman" w:cs="Times New Roman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po </w:t>
      </w:r>
      <w:r w:rsidR="009E119F" w:rsidRPr="00E65297">
        <w:rPr>
          <w:rFonts w:ascii="Times New Roman" w:hAnsi="Times New Roman" w:cs="Times New Roman"/>
          <w:sz w:val="22"/>
        </w:rPr>
        <w:t xml:space="preserve">rovnakom </w:t>
      </w:r>
      <w:r w:rsidR="007D7560" w:rsidRPr="00E65297">
        <w:rPr>
          <w:rFonts w:ascii="Times New Roman" w:hAnsi="Times New Roman" w:cs="Times New Roman"/>
          <w:sz w:val="22"/>
        </w:rPr>
        <w:t>každodennom jedle</w:t>
      </w:r>
      <w:r w:rsidRPr="00E65297">
        <w:rPr>
          <w:rFonts w:ascii="Times New Roman" w:hAnsi="Times New Roman" w:cs="Times New Roman"/>
          <w:sz w:val="22"/>
        </w:rPr>
        <w:t>.</w:t>
      </w:r>
    </w:p>
    <w:p w14:paraId="13BB4E0A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13ADA031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vykazuje lineárnu kinetiku.</w:t>
      </w:r>
    </w:p>
    <w:p w14:paraId="06E72104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6BEA462E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Maximálne koncentrácie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v plazme sa dosiahnu približne 6 hodín po jednorazovom podaní lieku po hlavnom jedle. Pri opakovanom podávaní sa rovnovážny stav dosiahne na 5. deň, pričom hodnota maximálnej plazmatickej koncentrácie </w:t>
      </w:r>
      <w:proofErr w:type="spellStart"/>
      <w:r w:rsidRPr="00E65297">
        <w:rPr>
          <w:rFonts w:ascii="Times New Roman" w:hAnsi="Times New Roman" w:cs="Times New Roman"/>
          <w:sz w:val="22"/>
        </w:rPr>
        <w:t>C</w:t>
      </w:r>
      <w:r w:rsidRPr="00E65297">
        <w:rPr>
          <w:rFonts w:ascii="Times New Roman" w:hAnsi="Times New Roman" w:cs="Times New Roman"/>
          <w:sz w:val="22"/>
          <w:vertAlign w:val="subscript"/>
        </w:rPr>
        <w:t>max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je o 2/3 vyššia ako po podaní jednorazovej dávky. Hoci tento údaj pochádza zo štúdií u starších pacientov, podobný výsledok sa očakáva tiež u mladších pacientov.</w:t>
      </w:r>
    </w:p>
    <w:p w14:paraId="1593479A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4E2EA035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Z hľadiska plazmatických hladín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sa pozoruje výrazná </w:t>
      </w:r>
      <w:proofErr w:type="spellStart"/>
      <w:r w:rsidRPr="00E65297">
        <w:rPr>
          <w:rFonts w:ascii="Times New Roman" w:hAnsi="Times New Roman" w:cs="Times New Roman"/>
          <w:sz w:val="22"/>
        </w:rPr>
        <w:t>inter-individuálna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variabilita po</w:t>
      </w:r>
      <w:r w:rsidR="00F05DFA" w:rsidRPr="00E65297">
        <w:rPr>
          <w:rFonts w:ascii="Times New Roman" w:hAnsi="Times New Roman" w:cs="Times New Roman"/>
          <w:sz w:val="22"/>
        </w:rPr>
        <w:t> </w:t>
      </w:r>
      <w:r w:rsidRPr="00E65297">
        <w:rPr>
          <w:rFonts w:ascii="Times New Roman" w:hAnsi="Times New Roman" w:cs="Times New Roman"/>
          <w:sz w:val="22"/>
        </w:rPr>
        <w:t xml:space="preserve">jednorazovom aj po opakovanom podaní. </w:t>
      </w:r>
    </w:p>
    <w:p w14:paraId="6DC4F31C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37AF5B8E" w14:textId="77777777" w:rsidR="00E21CB6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iCs/>
          <w:sz w:val="22"/>
          <w:u w:val="single"/>
        </w:rPr>
      </w:pPr>
      <w:r w:rsidRPr="00E65297">
        <w:rPr>
          <w:rFonts w:ascii="Times New Roman" w:hAnsi="Times New Roman" w:cs="Times New Roman"/>
          <w:iCs/>
          <w:sz w:val="22"/>
          <w:u w:val="single"/>
        </w:rPr>
        <w:t>Distribúcia</w:t>
      </w:r>
    </w:p>
    <w:p w14:paraId="5D581D18" w14:textId="77777777" w:rsidR="009B7D60" w:rsidRPr="00E65297" w:rsidRDefault="009B7D60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</w:rPr>
      </w:pPr>
    </w:p>
    <w:p w14:paraId="1860F8A3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>Viac ako 99</w:t>
      </w:r>
      <w:r w:rsidR="00E21CB6" w:rsidRPr="00E65297">
        <w:rPr>
          <w:rFonts w:ascii="Times New Roman" w:hAnsi="Times New Roman" w:cs="Times New Roman"/>
          <w:sz w:val="22"/>
        </w:rPr>
        <w:t> </w:t>
      </w:r>
      <w:r w:rsidRPr="00E65297">
        <w:rPr>
          <w:rFonts w:ascii="Times New Roman" w:hAnsi="Times New Roman" w:cs="Times New Roman"/>
          <w:sz w:val="22"/>
        </w:rPr>
        <w:t xml:space="preserve">%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sa u ľudí viaže na plazmatické bielkoviny a distribučný objem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je nízky (približne 0,2 l/kg). </w:t>
      </w:r>
    </w:p>
    <w:p w14:paraId="5B2F53AA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41A9816A" w14:textId="77777777" w:rsidR="00E8470C" w:rsidRPr="00E65297" w:rsidRDefault="00990F6D" w:rsidP="005C28F3">
      <w:pPr>
        <w:pStyle w:val="Nadpis5"/>
        <w:tabs>
          <w:tab w:val="left" w:pos="2198"/>
        </w:tabs>
        <w:rPr>
          <w:rFonts w:ascii="Times New Roman" w:hAnsi="Times New Roman"/>
          <w:bCs/>
          <w:i w:val="0"/>
          <w:sz w:val="22"/>
          <w:u w:val="single"/>
          <w:lang w:eastAsia="sk-SK"/>
        </w:rPr>
      </w:pPr>
      <w:proofErr w:type="spellStart"/>
      <w:r w:rsidRPr="00E65297">
        <w:rPr>
          <w:rFonts w:ascii="Times New Roman" w:hAnsi="Times New Roman"/>
          <w:bCs/>
          <w:i w:val="0"/>
          <w:sz w:val="22"/>
          <w:u w:val="single"/>
          <w:lang w:eastAsia="sk-SK"/>
        </w:rPr>
        <w:t>Biotransformácia</w:t>
      </w:r>
      <w:proofErr w:type="spellEnd"/>
    </w:p>
    <w:p w14:paraId="1ED6A57D" w14:textId="77777777" w:rsidR="009B7D60" w:rsidRPr="0026053A" w:rsidRDefault="009B7D60" w:rsidP="0026053A">
      <w:pPr>
        <w:tabs>
          <w:tab w:val="left" w:pos="2198"/>
        </w:tabs>
        <w:rPr>
          <w:rFonts w:ascii="Times New Roman" w:hAnsi="Times New Roman"/>
          <w:sz w:val="22"/>
        </w:rPr>
      </w:pPr>
    </w:p>
    <w:p w14:paraId="2B97680E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sa len v malej miere metabolizuje počas prvého prechodu pečeňou. Väčšina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v plazme predstavuje nezmenenú látku. Liečivo sa metabolizuje v pečeni.</w:t>
      </w:r>
    </w:p>
    <w:p w14:paraId="6A7FAB0A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3ED18330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V štúdiách na potkanoch sa zistilo, že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len mierne indukuje </w:t>
      </w:r>
      <w:proofErr w:type="spellStart"/>
      <w:r w:rsidRPr="00E65297">
        <w:rPr>
          <w:rFonts w:ascii="Times New Roman" w:hAnsi="Times New Roman" w:cs="Times New Roman"/>
          <w:sz w:val="22"/>
        </w:rPr>
        <w:t>mikrozomálne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pečeňové enzýmy.</w:t>
      </w:r>
    </w:p>
    <w:p w14:paraId="06A29924" w14:textId="77777777" w:rsidR="007D7560" w:rsidRPr="00E65297" w:rsidRDefault="007D7560" w:rsidP="007D7560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26D99F3F" w14:textId="77777777" w:rsidR="007D7560" w:rsidRPr="00E65297" w:rsidRDefault="007D7560" w:rsidP="00E65297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i/>
          <w:sz w:val="22"/>
        </w:rPr>
        <w:t>In vitro</w:t>
      </w:r>
      <w:r w:rsidRPr="00E65297">
        <w:rPr>
          <w:rFonts w:ascii="Times New Roman" w:hAnsi="Times New Roman" w:cs="Times New Roman"/>
          <w:sz w:val="22"/>
        </w:rPr>
        <w:t xml:space="preserve"> výsledky naznačujú, že CYP3A4 a tiež CYP2D6 </w:t>
      </w:r>
      <w:r w:rsidR="00990F6D" w:rsidRPr="00E65297">
        <w:rPr>
          <w:rFonts w:ascii="Times New Roman" w:hAnsi="Times New Roman" w:cs="Times New Roman"/>
          <w:sz w:val="22"/>
        </w:rPr>
        <w:t xml:space="preserve">sa podieľajú na metabolizme, </w:t>
      </w:r>
      <w:r w:rsidRPr="00E65297">
        <w:rPr>
          <w:rFonts w:ascii="Times New Roman" w:hAnsi="Times New Roman" w:cs="Times New Roman"/>
          <w:sz w:val="22"/>
        </w:rPr>
        <w:t xml:space="preserve">s možnými malými príspevkami </w:t>
      </w:r>
      <w:r w:rsidR="00990F6D" w:rsidRPr="00E65297">
        <w:rPr>
          <w:rFonts w:ascii="Times New Roman" w:hAnsi="Times New Roman" w:cs="Times New Roman"/>
          <w:sz w:val="22"/>
        </w:rPr>
        <w:t xml:space="preserve">k metabolizmu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iumchloridu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inými CYP </w:t>
      </w:r>
      <w:proofErr w:type="spellStart"/>
      <w:r w:rsidRPr="00E65297">
        <w:rPr>
          <w:rFonts w:ascii="Times New Roman" w:hAnsi="Times New Roman" w:cs="Times New Roman"/>
          <w:sz w:val="22"/>
        </w:rPr>
        <w:t>izoenzýmami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. Inhibícia CYP3A4 a CYP2D6 enzýmov metabolizujúcich lieky môže viesť k zvýšenej expozícii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iumchloridu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(pozri časti 4.4 a 4.5).</w:t>
      </w:r>
    </w:p>
    <w:p w14:paraId="05BEEAF7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0848A641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proofErr w:type="spellStart"/>
      <w:r w:rsidRPr="00E65297">
        <w:rPr>
          <w:rFonts w:ascii="Times New Roman" w:hAnsi="Times New Roman" w:cs="Times New Roman"/>
          <w:sz w:val="22"/>
        </w:rPr>
        <w:t>Metabolity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nie sú tak účinné ani toxické ako samotná účinná látka.</w:t>
      </w:r>
    </w:p>
    <w:p w14:paraId="661EB8A5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439E7226" w14:textId="77777777" w:rsidR="00E8470C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  <w:u w:val="single"/>
        </w:rPr>
      </w:pPr>
      <w:r w:rsidRPr="00E65297">
        <w:rPr>
          <w:rFonts w:ascii="Times New Roman" w:hAnsi="Times New Roman" w:cs="Times New Roman"/>
          <w:iCs/>
          <w:sz w:val="22"/>
          <w:u w:val="single"/>
        </w:rPr>
        <w:t>Eliminácia</w:t>
      </w:r>
    </w:p>
    <w:p w14:paraId="308DFE56" w14:textId="77777777" w:rsidR="00E8470C" w:rsidRPr="00E65297" w:rsidRDefault="00E8470C" w:rsidP="00EB349D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a jeho </w:t>
      </w:r>
      <w:proofErr w:type="spellStart"/>
      <w:r w:rsidRPr="00E65297">
        <w:rPr>
          <w:rFonts w:ascii="Times New Roman" w:hAnsi="Times New Roman" w:cs="Times New Roman"/>
          <w:sz w:val="22"/>
        </w:rPr>
        <w:t>metabolity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sa vylučujú</w:t>
      </w:r>
      <w:r w:rsidR="00EB349D" w:rsidRPr="00E65297">
        <w:rPr>
          <w:rFonts w:ascii="Times New Roman" w:hAnsi="Times New Roman" w:cs="Times New Roman"/>
          <w:sz w:val="22"/>
        </w:rPr>
        <w:t xml:space="preserve"> hlavne </w:t>
      </w:r>
      <w:r w:rsidRPr="00E65297">
        <w:rPr>
          <w:rFonts w:ascii="Times New Roman" w:hAnsi="Times New Roman" w:cs="Times New Roman"/>
          <w:sz w:val="22"/>
        </w:rPr>
        <w:t>močom, pričom asi 9</w:t>
      </w:r>
      <w:r w:rsidR="00E21CB6" w:rsidRPr="00E65297">
        <w:rPr>
          <w:rFonts w:ascii="Times New Roman" w:hAnsi="Times New Roman" w:cs="Times New Roman"/>
          <w:sz w:val="22"/>
        </w:rPr>
        <w:t> </w:t>
      </w:r>
      <w:r w:rsidRPr="00E65297">
        <w:rPr>
          <w:rFonts w:ascii="Times New Roman" w:hAnsi="Times New Roman" w:cs="Times New Roman"/>
          <w:sz w:val="22"/>
        </w:rPr>
        <w:t>% z dávky sa vylúči v nezmenenej forme.</w:t>
      </w:r>
    </w:p>
    <w:p w14:paraId="5262FD9C" w14:textId="77777777" w:rsidR="00E8470C" w:rsidRPr="00E65297" w:rsidRDefault="00E8470C" w:rsidP="00EB349D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3AA837BE" w14:textId="77777777" w:rsidR="00E8470C" w:rsidRPr="00E65297" w:rsidRDefault="00E8470C" w:rsidP="00EB349D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Polčas eliminácie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u pacientov je približne 10 hodín (keď sa užije po jedle) a 13 hodín v</w:t>
      </w:r>
      <w:r w:rsidR="00F05DFA" w:rsidRPr="00E65297">
        <w:rPr>
          <w:rFonts w:ascii="Times New Roman" w:hAnsi="Times New Roman" w:cs="Times New Roman"/>
          <w:sz w:val="22"/>
        </w:rPr>
        <w:t> </w:t>
      </w:r>
      <w:r w:rsidRPr="00E65297">
        <w:rPr>
          <w:rFonts w:ascii="Times New Roman" w:hAnsi="Times New Roman" w:cs="Times New Roman"/>
          <w:sz w:val="22"/>
        </w:rPr>
        <w:t>rovnovážnom stave.</w:t>
      </w:r>
    </w:p>
    <w:p w14:paraId="626F4758" w14:textId="77777777" w:rsidR="00E8470C" w:rsidRPr="0026053A" w:rsidRDefault="00E8470C" w:rsidP="005C28F3">
      <w:pPr>
        <w:tabs>
          <w:tab w:val="left" w:pos="2198"/>
        </w:tabs>
        <w:rPr>
          <w:rFonts w:ascii="Times New Roman" w:hAnsi="Times New Roman"/>
          <w:sz w:val="22"/>
        </w:rPr>
      </w:pPr>
    </w:p>
    <w:p w14:paraId="6210D435" w14:textId="77777777" w:rsidR="00E8470C" w:rsidRPr="00E65297" w:rsidRDefault="00E8470C" w:rsidP="005A14EA">
      <w:pPr>
        <w:keepNext/>
        <w:tabs>
          <w:tab w:val="left" w:pos="567"/>
          <w:tab w:val="left" w:pos="2198"/>
        </w:tabs>
        <w:ind w:left="482" w:hanging="482"/>
        <w:rPr>
          <w:rFonts w:ascii="Times New Roman" w:hAnsi="Times New Roman" w:cs="Times New Roman"/>
          <w:b/>
          <w:bCs w:val="0"/>
          <w:sz w:val="22"/>
        </w:rPr>
      </w:pPr>
      <w:r w:rsidRPr="00E65297">
        <w:rPr>
          <w:rFonts w:ascii="Times New Roman" w:hAnsi="Times New Roman" w:cs="Times New Roman"/>
          <w:b/>
          <w:bCs w:val="0"/>
          <w:sz w:val="22"/>
        </w:rPr>
        <w:t>5.3</w:t>
      </w:r>
      <w:r w:rsidR="00B44452" w:rsidRPr="00E65297">
        <w:rPr>
          <w:rFonts w:ascii="Times New Roman" w:hAnsi="Times New Roman"/>
          <w:sz w:val="22"/>
        </w:rPr>
        <w:tab/>
      </w:r>
      <w:r w:rsidRPr="00E65297">
        <w:rPr>
          <w:rFonts w:ascii="Times New Roman" w:hAnsi="Times New Roman" w:cs="Times New Roman"/>
          <w:b/>
          <w:bCs w:val="0"/>
          <w:sz w:val="22"/>
        </w:rPr>
        <w:t>Predklinické údaje o bezpečnosti</w:t>
      </w:r>
    </w:p>
    <w:p w14:paraId="3AA9DBE8" w14:textId="77777777" w:rsidR="00E8470C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</w:rPr>
      </w:pPr>
    </w:p>
    <w:p w14:paraId="21662747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U myší, potkanov a psov sa sledovala toxicita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po jednorazovom a opakovanom podaní. Štúdie reprodukčnej toxicity sa vykonali </w:t>
      </w:r>
      <w:r w:rsidR="00E21CB6" w:rsidRPr="00E65297">
        <w:rPr>
          <w:rFonts w:ascii="Times New Roman" w:hAnsi="Times New Roman" w:cs="Times New Roman"/>
          <w:sz w:val="22"/>
        </w:rPr>
        <w:t>na potkanoch</w:t>
      </w:r>
      <w:r w:rsidRPr="00E65297">
        <w:rPr>
          <w:rFonts w:ascii="Times New Roman" w:hAnsi="Times New Roman" w:cs="Times New Roman"/>
          <w:sz w:val="22"/>
        </w:rPr>
        <w:t xml:space="preserve">, štúdie karcinogenity sa preskúmali u myší a potkanov a štúdie </w:t>
      </w:r>
      <w:proofErr w:type="spellStart"/>
      <w:r w:rsidRPr="00E65297">
        <w:rPr>
          <w:rFonts w:ascii="Times New Roman" w:hAnsi="Times New Roman" w:cs="Times New Roman"/>
          <w:sz w:val="22"/>
        </w:rPr>
        <w:t>genotoxicity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sa uskutočnili </w:t>
      </w:r>
      <w:r w:rsidRPr="00E65297">
        <w:rPr>
          <w:rFonts w:ascii="Times New Roman" w:hAnsi="Times New Roman" w:cs="Times New Roman"/>
          <w:i/>
          <w:iCs/>
          <w:sz w:val="22"/>
        </w:rPr>
        <w:t>in </w:t>
      </w:r>
      <w:proofErr w:type="spellStart"/>
      <w:r w:rsidRPr="00E65297">
        <w:rPr>
          <w:rFonts w:ascii="Times New Roman" w:hAnsi="Times New Roman" w:cs="Times New Roman"/>
          <w:i/>
          <w:iCs/>
          <w:sz w:val="22"/>
        </w:rPr>
        <w:t>vivo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aj </w:t>
      </w:r>
      <w:r w:rsidRPr="00E65297">
        <w:rPr>
          <w:rFonts w:ascii="Times New Roman" w:hAnsi="Times New Roman" w:cs="Times New Roman"/>
          <w:i/>
          <w:iCs/>
          <w:sz w:val="22"/>
        </w:rPr>
        <w:t>in vitro</w:t>
      </w:r>
      <w:r w:rsidRPr="00E65297">
        <w:rPr>
          <w:rFonts w:ascii="Times New Roman" w:hAnsi="Times New Roman" w:cs="Times New Roman"/>
          <w:sz w:val="22"/>
        </w:rPr>
        <w:t>.</w:t>
      </w:r>
    </w:p>
    <w:p w14:paraId="66FD9A05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2A0A99BE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Zvyčajný profil toxicity pozorovaný po vysokých dávkach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zodpovedá farmakologickému účinku súvisiacemu s inhibíciou </w:t>
      </w:r>
      <w:proofErr w:type="spellStart"/>
      <w:r w:rsidRPr="00E65297">
        <w:rPr>
          <w:rFonts w:ascii="Times New Roman" w:hAnsi="Times New Roman" w:cs="Times New Roman"/>
          <w:sz w:val="22"/>
        </w:rPr>
        <w:t>alfa-adrenergných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receptorov.</w:t>
      </w:r>
    </w:p>
    <w:p w14:paraId="73B8E563" w14:textId="77777777" w:rsidR="00D32FD8" w:rsidRPr="00E65297" w:rsidRDefault="00D32FD8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1744FF3A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U psov sa po veľmi vysokých dávkach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pozorovali zmeny na EKG. Nepredpokladá sa, že majú nejaký klinický význam. Nezistilo sa, že by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mal nejaké významné </w:t>
      </w:r>
      <w:proofErr w:type="spellStart"/>
      <w:r w:rsidRPr="00E65297">
        <w:rPr>
          <w:rFonts w:ascii="Times New Roman" w:hAnsi="Times New Roman" w:cs="Times New Roman"/>
          <w:sz w:val="22"/>
        </w:rPr>
        <w:t>genotoxické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vlastnosti. </w:t>
      </w:r>
    </w:p>
    <w:p w14:paraId="4D001C13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1841F419" w14:textId="77777777" w:rsidR="00E8470C" w:rsidRPr="00E65297" w:rsidRDefault="00E8470C" w:rsidP="005C28F3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Po podaní </w:t>
      </w:r>
      <w:proofErr w:type="spellStart"/>
      <w:r w:rsidRPr="00E65297">
        <w:rPr>
          <w:rFonts w:ascii="Times New Roman" w:hAnsi="Times New Roman" w:cs="Times New Roman"/>
          <w:sz w:val="22"/>
        </w:rPr>
        <w:t>tamsulo</w:t>
      </w:r>
      <w:r w:rsidR="00E65297">
        <w:rPr>
          <w:rFonts w:ascii="Times New Roman" w:hAnsi="Times New Roman" w:cs="Times New Roman"/>
          <w:sz w:val="22"/>
        </w:rPr>
        <w:t>sín</w:t>
      </w:r>
      <w:r w:rsidRPr="00E65297">
        <w:rPr>
          <w:rFonts w:ascii="Times New Roman" w:hAnsi="Times New Roman" w:cs="Times New Roman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samičkám potkanov a myší sa pozoroval zvýšený výskyt </w:t>
      </w:r>
      <w:proofErr w:type="spellStart"/>
      <w:r w:rsidRPr="00E65297">
        <w:rPr>
          <w:rFonts w:ascii="Times New Roman" w:hAnsi="Times New Roman" w:cs="Times New Roman"/>
          <w:sz w:val="22"/>
        </w:rPr>
        <w:t>proliferatívnych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zmien na mliečnych žľazách. Tieto nálezy, ktoré pravdepodobne nepriamo súvisia s </w:t>
      </w:r>
      <w:proofErr w:type="spellStart"/>
      <w:r w:rsidRPr="00E65297">
        <w:rPr>
          <w:rFonts w:ascii="Times New Roman" w:hAnsi="Times New Roman" w:cs="Times New Roman"/>
          <w:sz w:val="22"/>
        </w:rPr>
        <w:t>hyperprolaktinémiou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a ktoré vznikajú len po užití veľkých dávok, sa považujú za klinicky nevýznamné.</w:t>
      </w:r>
    </w:p>
    <w:p w14:paraId="353E2BD7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2D2498E5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700A4F19" w14:textId="77777777" w:rsidR="00E8470C" w:rsidRPr="00E65297" w:rsidRDefault="00E8470C" w:rsidP="00EE54BB">
      <w:pPr>
        <w:pStyle w:val="Nadpis1"/>
        <w:numPr>
          <w:ilvl w:val="0"/>
          <w:numId w:val="0"/>
        </w:numPr>
        <w:tabs>
          <w:tab w:val="left" w:pos="480"/>
          <w:tab w:val="left" w:pos="2198"/>
        </w:tabs>
        <w:spacing w:before="0" w:after="0"/>
        <w:ind w:left="480" w:hanging="480"/>
        <w:rPr>
          <w:rFonts w:ascii="Times New Roman" w:hAnsi="Times New Roman"/>
          <w:sz w:val="22"/>
        </w:rPr>
      </w:pPr>
      <w:r w:rsidRPr="00E65297">
        <w:rPr>
          <w:rFonts w:ascii="Times New Roman" w:hAnsi="Times New Roman"/>
          <w:sz w:val="22"/>
        </w:rPr>
        <w:t xml:space="preserve">6. </w:t>
      </w:r>
      <w:r w:rsidRPr="00E65297">
        <w:rPr>
          <w:rFonts w:ascii="Times New Roman" w:hAnsi="Times New Roman"/>
          <w:sz w:val="22"/>
        </w:rPr>
        <w:tab/>
        <w:t>FARMACEUTICKÉ INFORMÁCIE</w:t>
      </w:r>
    </w:p>
    <w:p w14:paraId="56895DFA" w14:textId="77777777" w:rsidR="00E8470C" w:rsidRPr="00E65297" w:rsidRDefault="00E8470C" w:rsidP="005A14EA">
      <w:pPr>
        <w:pStyle w:val="Pta"/>
        <w:keepNext/>
        <w:tabs>
          <w:tab w:val="clear" w:pos="4536"/>
          <w:tab w:val="clear" w:pos="9072"/>
        </w:tabs>
        <w:ind w:left="482" w:hanging="482"/>
        <w:rPr>
          <w:rFonts w:ascii="Times New Roman" w:hAnsi="Times New Roman" w:cs="Times New Roman"/>
          <w:sz w:val="22"/>
        </w:rPr>
      </w:pPr>
    </w:p>
    <w:p w14:paraId="6EE72F3C" w14:textId="77777777" w:rsidR="00E8470C" w:rsidRPr="00E65297" w:rsidRDefault="00E8470C" w:rsidP="005A14EA">
      <w:pPr>
        <w:keepNext/>
        <w:tabs>
          <w:tab w:val="left" w:pos="567"/>
          <w:tab w:val="left" w:pos="2198"/>
        </w:tabs>
        <w:ind w:left="482" w:hanging="482"/>
        <w:rPr>
          <w:rFonts w:ascii="Times New Roman" w:hAnsi="Times New Roman" w:cs="Times New Roman"/>
          <w:b/>
          <w:bCs w:val="0"/>
          <w:sz w:val="22"/>
        </w:rPr>
      </w:pPr>
      <w:r w:rsidRPr="00E65297">
        <w:rPr>
          <w:rFonts w:ascii="Times New Roman" w:hAnsi="Times New Roman" w:cs="Times New Roman"/>
          <w:b/>
          <w:bCs w:val="0"/>
          <w:sz w:val="22"/>
        </w:rPr>
        <w:t>6.1</w:t>
      </w:r>
      <w:r w:rsidR="00B44452" w:rsidRPr="00E65297">
        <w:rPr>
          <w:rFonts w:ascii="Times New Roman" w:hAnsi="Times New Roman"/>
          <w:sz w:val="22"/>
        </w:rPr>
        <w:tab/>
      </w:r>
      <w:r w:rsidRPr="00E65297">
        <w:rPr>
          <w:rFonts w:ascii="Times New Roman" w:hAnsi="Times New Roman" w:cs="Times New Roman"/>
          <w:b/>
          <w:bCs w:val="0"/>
          <w:sz w:val="22"/>
        </w:rPr>
        <w:t>Zoznam pomocných látok</w:t>
      </w:r>
    </w:p>
    <w:p w14:paraId="360C14D2" w14:textId="77777777" w:rsidR="00E8470C" w:rsidRPr="00E65297" w:rsidRDefault="00E8470C" w:rsidP="0026053A">
      <w:pPr>
        <w:tabs>
          <w:tab w:val="left" w:pos="2198"/>
        </w:tabs>
        <w:rPr>
          <w:rFonts w:ascii="Times New Roman" w:hAnsi="Times New Roman" w:cs="Times New Roman"/>
          <w:b/>
          <w:bCs w:val="0"/>
          <w:sz w:val="22"/>
        </w:rPr>
      </w:pPr>
    </w:p>
    <w:p w14:paraId="0887983B" w14:textId="77777777" w:rsidR="00E50A04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  <w:u w:val="single"/>
        </w:rPr>
        <w:t>Obsah kapsuly</w:t>
      </w:r>
    </w:p>
    <w:p w14:paraId="54E7BE0A" w14:textId="77777777" w:rsidR="00E50A04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>mikrokryštalická celulóza</w:t>
      </w:r>
    </w:p>
    <w:p w14:paraId="59725EB9" w14:textId="77777777" w:rsidR="00E50A04" w:rsidRPr="00E65297" w:rsidRDefault="00E8470C" w:rsidP="00EE54BB">
      <w:pPr>
        <w:tabs>
          <w:tab w:val="left" w:pos="2198"/>
        </w:tabs>
        <w:ind w:left="480" w:hanging="480"/>
      </w:pPr>
      <w:proofErr w:type="spellStart"/>
      <w:r w:rsidRPr="00E65297">
        <w:rPr>
          <w:rFonts w:ascii="Times New Roman" w:hAnsi="Times New Roman" w:cs="Times New Roman"/>
          <w:sz w:val="22"/>
        </w:rPr>
        <w:t>kopolymér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kyseliny </w:t>
      </w:r>
      <w:proofErr w:type="spellStart"/>
      <w:r w:rsidRPr="00E65297">
        <w:rPr>
          <w:rFonts w:ascii="Times New Roman" w:hAnsi="Times New Roman" w:cs="Times New Roman"/>
          <w:sz w:val="22"/>
        </w:rPr>
        <w:t>metakrylovej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a etyl </w:t>
      </w:r>
      <w:proofErr w:type="spellStart"/>
      <w:r w:rsidRPr="00E65297">
        <w:rPr>
          <w:rFonts w:ascii="Times New Roman" w:hAnsi="Times New Roman" w:cs="Times New Roman"/>
          <w:sz w:val="22"/>
        </w:rPr>
        <w:t>akrylátu</w:t>
      </w:r>
      <w:proofErr w:type="spellEnd"/>
      <w:r w:rsidR="00385EE2" w:rsidRPr="00E65297">
        <w:rPr>
          <w:rFonts w:ascii="Times New Roman" w:hAnsi="Times New Roman" w:cs="Times New Roman"/>
          <w:sz w:val="22"/>
        </w:rPr>
        <w:t xml:space="preserve"> (1:1) </w:t>
      </w:r>
      <w:r w:rsidR="00D32FD8" w:rsidRPr="00E65297">
        <w:rPr>
          <w:rFonts w:ascii="Times New Roman" w:hAnsi="Times New Roman" w:cs="Times New Roman"/>
          <w:sz w:val="22"/>
          <w:szCs w:val="22"/>
        </w:rPr>
        <w:t>30 % disperzia</w:t>
      </w:r>
    </w:p>
    <w:p w14:paraId="13A8B7ED" w14:textId="77777777" w:rsidR="00E50A04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proofErr w:type="spellStart"/>
      <w:r w:rsidRPr="00E65297">
        <w:rPr>
          <w:rFonts w:ascii="Times New Roman" w:hAnsi="Times New Roman" w:cs="Times New Roman"/>
          <w:sz w:val="22"/>
        </w:rPr>
        <w:t>polysorbát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80</w:t>
      </w:r>
    </w:p>
    <w:p w14:paraId="4AA4B4F9" w14:textId="77777777" w:rsidR="00E50A04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proofErr w:type="spellStart"/>
      <w:r w:rsidRPr="00E65297">
        <w:rPr>
          <w:rFonts w:ascii="Times New Roman" w:hAnsi="Times New Roman" w:cs="Times New Roman"/>
          <w:sz w:val="22"/>
        </w:rPr>
        <w:t>nátriumlaurylsulfát</w:t>
      </w:r>
      <w:proofErr w:type="spellEnd"/>
    </w:p>
    <w:p w14:paraId="2BBF7EF0" w14:textId="77777777" w:rsidR="00E50A04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proofErr w:type="spellStart"/>
      <w:r w:rsidRPr="00E65297">
        <w:rPr>
          <w:rFonts w:ascii="Times New Roman" w:hAnsi="Times New Roman" w:cs="Times New Roman"/>
          <w:sz w:val="22"/>
        </w:rPr>
        <w:t>trietylcitrát</w:t>
      </w:r>
      <w:proofErr w:type="spellEnd"/>
    </w:p>
    <w:p w14:paraId="6C7585CA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>mastenec</w:t>
      </w:r>
    </w:p>
    <w:p w14:paraId="739A96F5" w14:textId="77777777" w:rsidR="00E8470C" w:rsidRPr="00E65297" w:rsidRDefault="00E8470C" w:rsidP="00EE54BB">
      <w:pPr>
        <w:pStyle w:val="Pta"/>
        <w:tabs>
          <w:tab w:val="clear" w:pos="4536"/>
          <w:tab w:val="clear" w:pos="9072"/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0C9E2985" w14:textId="77777777" w:rsidR="00E50A04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  <w:u w:val="single"/>
        </w:rPr>
        <w:t>Obal kapsuly</w:t>
      </w:r>
    </w:p>
    <w:p w14:paraId="2AAB982D" w14:textId="77777777" w:rsidR="00E50A04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>želatína</w:t>
      </w:r>
    </w:p>
    <w:p w14:paraId="13F9CD6B" w14:textId="77777777" w:rsidR="00E50A04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proofErr w:type="spellStart"/>
      <w:r w:rsidRPr="00E65297">
        <w:rPr>
          <w:rFonts w:ascii="Times New Roman" w:hAnsi="Times New Roman" w:cs="Times New Roman"/>
          <w:sz w:val="22"/>
        </w:rPr>
        <w:t>indigokarmín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(E</w:t>
      </w:r>
      <w:r w:rsidR="00771D00" w:rsidRPr="00E65297">
        <w:rPr>
          <w:rFonts w:ascii="Times New Roman" w:hAnsi="Times New Roman" w:cs="Times New Roman"/>
          <w:sz w:val="22"/>
        </w:rPr>
        <w:t xml:space="preserve"> </w:t>
      </w:r>
      <w:r w:rsidRPr="00E65297">
        <w:rPr>
          <w:rFonts w:ascii="Times New Roman" w:hAnsi="Times New Roman" w:cs="Times New Roman"/>
          <w:sz w:val="22"/>
        </w:rPr>
        <w:t>132)</w:t>
      </w:r>
    </w:p>
    <w:p w14:paraId="714A37E4" w14:textId="77777777" w:rsidR="00E50A04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oxid </w:t>
      </w:r>
      <w:proofErr w:type="spellStart"/>
      <w:r w:rsidRPr="00E65297">
        <w:rPr>
          <w:rFonts w:ascii="Times New Roman" w:hAnsi="Times New Roman" w:cs="Times New Roman"/>
          <w:sz w:val="22"/>
        </w:rPr>
        <w:t>titaničitý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(E</w:t>
      </w:r>
      <w:r w:rsidR="00771D00" w:rsidRPr="00E65297">
        <w:rPr>
          <w:rFonts w:ascii="Times New Roman" w:hAnsi="Times New Roman" w:cs="Times New Roman"/>
          <w:sz w:val="22"/>
        </w:rPr>
        <w:t xml:space="preserve"> </w:t>
      </w:r>
      <w:r w:rsidRPr="00E65297">
        <w:rPr>
          <w:rFonts w:ascii="Times New Roman" w:hAnsi="Times New Roman" w:cs="Times New Roman"/>
          <w:sz w:val="22"/>
        </w:rPr>
        <w:t>171)</w:t>
      </w:r>
    </w:p>
    <w:p w14:paraId="474F249B" w14:textId="77777777" w:rsidR="00E50A04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>žltý oxid železitý (E</w:t>
      </w:r>
      <w:r w:rsidR="00771D00" w:rsidRPr="00E65297">
        <w:rPr>
          <w:rFonts w:ascii="Times New Roman" w:hAnsi="Times New Roman" w:cs="Times New Roman"/>
          <w:sz w:val="22"/>
        </w:rPr>
        <w:t xml:space="preserve"> </w:t>
      </w:r>
      <w:r w:rsidRPr="00E65297">
        <w:rPr>
          <w:rFonts w:ascii="Times New Roman" w:hAnsi="Times New Roman" w:cs="Times New Roman"/>
          <w:sz w:val="22"/>
        </w:rPr>
        <w:t>172)</w:t>
      </w:r>
    </w:p>
    <w:p w14:paraId="423C3509" w14:textId="77777777" w:rsidR="00E50A04" w:rsidRPr="00E65297" w:rsidRDefault="00E8470C" w:rsidP="00E65297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>červený oxid železitý (E</w:t>
      </w:r>
      <w:r w:rsidR="00771D00" w:rsidRPr="00E65297">
        <w:rPr>
          <w:rFonts w:ascii="Times New Roman" w:hAnsi="Times New Roman" w:cs="Times New Roman"/>
          <w:sz w:val="22"/>
        </w:rPr>
        <w:t xml:space="preserve"> </w:t>
      </w:r>
      <w:r w:rsidRPr="00E65297">
        <w:rPr>
          <w:rFonts w:ascii="Times New Roman" w:hAnsi="Times New Roman" w:cs="Times New Roman"/>
          <w:sz w:val="22"/>
        </w:rPr>
        <w:t>172)</w:t>
      </w:r>
      <w:r w:rsidR="00B81D38" w:rsidRPr="00E65297">
        <w:rPr>
          <w:rFonts w:ascii="Times New Roman" w:hAnsi="Times New Roman" w:cs="Times New Roman"/>
          <w:sz w:val="22"/>
        </w:rPr>
        <w:t xml:space="preserve"> </w:t>
      </w:r>
    </w:p>
    <w:p w14:paraId="1ACB753C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>čierny oxid železitý (E</w:t>
      </w:r>
      <w:r w:rsidR="00771D00" w:rsidRPr="00E65297">
        <w:rPr>
          <w:rFonts w:ascii="Times New Roman" w:hAnsi="Times New Roman" w:cs="Times New Roman"/>
          <w:sz w:val="22"/>
        </w:rPr>
        <w:t xml:space="preserve"> </w:t>
      </w:r>
      <w:r w:rsidRPr="00E65297">
        <w:rPr>
          <w:rFonts w:ascii="Times New Roman" w:hAnsi="Times New Roman" w:cs="Times New Roman"/>
          <w:sz w:val="22"/>
        </w:rPr>
        <w:t>172)</w:t>
      </w:r>
    </w:p>
    <w:p w14:paraId="0A5D45E8" w14:textId="77777777" w:rsidR="00E8470C" w:rsidRPr="0026053A" w:rsidRDefault="00E8470C" w:rsidP="0026053A">
      <w:pPr>
        <w:tabs>
          <w:tab w:val="left" w:pos="2198"/>
        </w:tabs>
        <w:rPr>
          <w:rFonts w:ascii="Times New Roman" w:hAnsi="Times New Roman"/>
          <w:sz w:val="22"/>
        </w:rPr>
      </w:pPr>
    </w:p>
    <w:p w14:paraId="374F9738" w14:textId="77777777" w:rsidR="00E8470C" w:rsidRPr="00E65297" w:rsidRDefault="00E8470C" w:rsidP="005A14EA">
      <w:pPr>
        <w:keepNext/>
        <w:tabs>
          <w:tab w:val="left" w:pos="567"/>
          <w:tab w:val="left" w:pos="2198"/>
        </w:tabs>
        <w:ind w:left="482" w:hanging="482"/>
        <w:rPr>
          <w:rFonts w:ascii="Times New Roman" w:hAnsi="Times New Roman" w:cs="Times New Roman"/>
          <w:b/>
          <w:bCs w:val="0"/>
          <w:sz w:val="22"/>
        </w:rPr>
      </w:pPr>
      <w:r w:rsidRPr="00E65297">
        <w:rPr>
          <w:rFonts w:ascii="Times New Roman" w:hAnsi="Times New Roman" w:cs="Times New Roman"/>
          <w:b/>
          <w:bCs w:val="0"/>
          <w:sz w:val="22"/>
        </w:rPr>
        <w:t>6.2</w:t>
      </w:r>
      <w:r w:rsidR="00B44452" w:rsidRPr="00E65297">
        <w:rPr>
          <w:rFonts w:ascii="Times New Roman" w:hAnsi="Times New Roman"/>
          <w:sz w:val="22"/>
        </w:rPr>
        <w:tab/>
      </w:r>
      <w:r w:rsidRPr="00E65297">
        <w:rPr>
          <w:rFonts w:ascii="Times New Roman" w:hAnsi="Times New Roman" w:cs="Times New Roman"/>
          <w:b/>
          <w:bCs w:val="0"/>
          <w:sz w:val="22"/>
        </w:rPr>
        <w:t>Inkompatibility</w:t>
      </w:r>
    </w:p>
    <w:p w14:paraId="03691331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7111FC17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>Neaplikovateľné.</w:t>
      </w:r>
    </w:p>
    <w:p w14:paraId="5A00EE86" w14:textId="77777777" w:rsidR="00E8470C" w:rsidRPr="0026053A" w:rsidRDefault="00E8470C" w:rsidP="00EE54BB">
      <w:pPr>
        <w:tabs>
          <w:tab w:val="left" w:pos="2198"/>
        </w:tabs>
        <w:ind w:left="480" w:hanging="480"/>
        <w:rPr>
          <w:rFonts w:ascii="Times New Roman" w:hAnsi="Times New Roman"/>
          <w:sz w:val="22"/>
        </w:rPr>
      </w:pPr>
    </w:p>
    <w:p w14:paraId="70CB615E" w14:textId="77777777" w:rsidR="00E8470C" w:rsidRPr="00E65297" w:rsidRDefault="00E8470C" w:rsidP="005A14EA">
      <w:pPr>
        <w:keepNext/>
        <w:tabs>
          <w:tab w:val="left" w:pos="567"/>
        </w:tabs>
        <w:ind w:left="482" w:hanging="482"/>
        <w:rPr>
          <w:rFonts w:ascii="Times New Roman" w:hAnsi="Times New Roman" w:cs="Times New Roman"/>
          <w:b/>
          <w:bCs w:val="0"/>
          <w:sz w:val="22"/>
        </w:rPr>
      </w:pPr>
      <w:r w:rsidRPr="00E65297">
        <w:rPr>
          <w:rFonts w:ascii="Times New Roman" w:hAnsi="Times New Roman" w:cs="Times New Roman"/>
          <w:b/>
          <w:bCs w:val="0"/>
          <w:sz w:val="22"/>
        </w:rPr>
        <w:t>6.3</w:t>
      </w:r>
      <w:r w:rsidR="00B44452" w:rsidRPr="00E65297">
        <w:rPr>
          <w:rFonts w:ascii="Times New Roman" w:hAnsi="Times New Roman"/>
          <w:sz w:val="22"/>
        </w:rPr>
        <w:tab/>
      </w:r>
      <w:r w:rsidRPr="00E65297">
        <w:rPr>
          <w:rFonts w:ascii="Times New Roman" w:hAnsi="Times New Roman" w:cs="Times New Roman"/>
          <w:b/>
          <w:bCs w:val="0"/>
          <w:sz w:val="22"/>
        </w:rPr>
        <w:t>Čas použiteľnosti</w:t>
      </w:r>
    </w:p>
    <w:p w14:paraId="4563596C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0F6A4AE5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>3</w:t>
      </w:r>
      <w:r w:rsidR="00385EE2" w:rsidRPr="00E65297">
        <w:rPr>
          <w:rFonts w:ascii="Times New Roman" w:hAnsi="Times New Roman" w:cs="Times New Roman"/>
          <w:sz w:val="22"/>
        </w:rPr>
        <w:t xml:space="preserve"> roky</w:t>
      </w:r>
    </w:p>
    <w:p w14:paraId="7BC7F1AE" w14:textId="77777777" w:rsidR="00E8470C" w:rsidRPr="0026053A" w:rsidRDefault="00E8470C" w:rsidP="0026053A">
      <w:pPr>
        <w:tabs>
          <w:tab w:val="left" w:pos="2198"/>
        </w:tabs>
        <w:rPr>
          <w:rFonts w:ascii="Times New Roman" w:hAnsi="Times New Roman"/>
          <w:sz w:val="22"/>
        </w:rPr>
      </w:pPr>
    </w:p>
    <w:p w14:paraId="408F8CC8" w14:textId="77777777" w:rsidR="00E8470C" w:rsidRPr="00E65297" w:rsidRDefault="00E8470C" w:rsidP="005A14EA">
      <w:pPr>
        <w:keepNext/>
        <w:tabs>
          <w:tab w:val="left" w:pos="567"/>
          <w:tab w:val="left" w:pos="2198"/>
        </w:tabs>
        <w:ind w:left="482" w:hanging="482"/>
        <w:rPr>
          <w:rFonts w:ascii="Times New Roman" w:hAnsi="Times New Roman" w:cs="Times New Roman"/>
          <w:b/>
          <w:bCs w:val="0"/>
          <w:sz w:val="22"/>
        </w:rPr>
      </w:pPr>
      <w:r w:rsidRPr="00E65297">
        <w:rPr>
          <w:rFonts w:ascii="Times New Roman" w:hAnsi="Times New Roman" w:cs="Times New Roman"/>
          <w:b/>
          <w:bCs w:val="0"/>
          <w:sz w:val="22"/>
        </w:rPr>
        <w:t>6.4</w:t>
      </w:r>
      <w:r w:rsidR="00F8531D" w:rsidRPr="00E65297">
        <w:rPr>
          <w:rFonts w:ascii="Times New Roman" w:hAnsi="Times New Roman"/>
          <w:sz w:val="22"/>
        </w:rPr>
        <w:tab/>
      </w:r>
      <w:r w:rsidRPr="00E65297">
        <w:rPr>
          <w:rFonts w:ascii="Times New Roman" w:hAnsi="Times New Roman" w:cs="Times New Roman"/>
          <w:b/>
          <w:bCs w:val="0"/>
          <w:sz w:val="22"/>
        </w:rPr>
        <w:t>Špeciálne upozornenia na uchovávanie</w:t>
      </w:r>
    </w:p>
    <w:p w14:paraId="5E18B623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7510429D" w14:textId="77777777" w:rsidR="00E8470C" w:rsidRPr="00E65297" w:rsidRDefault="00066ACE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proofErr w:type="spellStart"/>
      <w:r w:rsidRPr="00E65297">
        <w:rPr>
          <w:rFonts w:ascii="Times New Roman" w:hAnsi="Times New Roman" w:cs="Times New Roman"/>
          <w:sz w:val="22"/>
        </w:rPr>
        <w:t>Blistrové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balenie: </w:t>
      </w:r>
      <w:r w:rsidR="00E8470C" w:rsidRPr="00E65297">
        <w:rPr>
          <w:rFonts w:ascii="Times New Roman" w:hAnsi="Times New Roman" w:cs="Times New Roman"/>
          <w:sz w:val="22"/>
        </w:rPr>
        <w:t>Uchovávajte v pôvodnom obale.</w:t>
      </w:r>
    </w:p>
    <w:p w14:paraId="0BD88271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0C10D0D7" w14:textId="77777777" w:rsidR="00E8470C" w:rsidRPr="00E65297" w:rsidRDefault="00066ACE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lastRenderedPageBreak/>
        <w:t xml:space="preserve">Obal </w:t>
      </w:r>
      <w:r w:rsidR="006C43F3" w:rsidRPr="00E65297">
        <w:rPr>
          <w:rFonts w:ascii="Times New Roman" w:hAnsi="Times New Roman" w:cs="Times New Roman"/>
          <w:sz w:val="22"/>
        </w:rPr>
        <w:t xml:space="preserve">na </w:t>
      </w:r>
      <w:r w:rsidR="00AF77F7" w:rsidRPr="00E65297">
        <w:rPr>
          <w:rFonts w:ascii="Times New Roman" w:hAnsi="Times New Roman" w:cs="Times New Roman"/>
          <w:sz w:val="22"/>
        </w:rPr>
        <w:t>kapsuly</w:t>
      </w:r>
      <w:r w:rsidRPr="00E65297">
        <w:rPr>
          <w:rFonts w:ascii="Times New Roman" w:hAnsi="Times New Roman" w:cs="Times New Roman"/>
          <w:sz w:val="22"/>
        </w:rPr>
        <w:t xml:space="preserve">: </w:t>
      </w:r>
      <w:r w:rsidR="00E8470C" w:rsidRPr="00E65297">
        <w:rPr>
          <w:rFonts w:ascii="Times New Roman" w:hAnsi="Times New Roman" w:cs="Times New Roman"/>
          <w:sz w:val="22"/>
        </w:rPr>
        <w:t>Obal udržiavajte dôkladne uzatvorený.</w:t>
      </w:r>
    </w:p>
    <w:p w14:paraId="7C288CE3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3AB1D6ED" w14:textId="77777777" w:rsidR="00E8470C" w:rsidRPr="00E65297" w:rsidRDefault="00E8470C" w:rsidP="005A14EA">
      <w:pPr>
        <w:keepNext/>
        <w:tabs>
          <w:tab w:val="left" w:pos="567"/>
          <w:tab w:val="left" w:pos="2198"/>
        </w:tabs>
        <w:ind w:left="482" w:hanging="482"/>
        <w:rPr>
          <w:rFonts w:ascii="Times New Roman" w:hAnsi="Times New Roman" w:cs="Times New Roman"/>
          <w:b/>
          <w:bCs w:val="0"/>
          <w:sz w:val="22"/>
        </w:rPr>
      </w:pPr>
      <w:r w:rsidRPr="00E65297">
        <w:rPr>
          <w:rFonts w:ascii="Times New Roman" w:hAnsi="Times New Roman" w:cs="Times New Roman"/>
          <w:b/>
          <w:bCs w:val="0"/>
          <w:sz w:val="22"/>
        </w:rPr>
        <w:t>6.5</w:t>
      </w:r>
      <w:r w:rsidR="00B44452" w:rsidRPr="00E65297">
        <w:rPr>
          <w:rFonts w:ascii="Times New Roman" w:hAnsi="Times New Roman"/>
          <w:sz w:val="22"/>
        </w:rPr>
        <w:tab/>
      </w:r>
      <w:r w:rsidRPr="00E65297">
        <w:rPr>
          <w:rFonts w:ascii="Times New Roman" w:hAnsi="Times New Roman" w:cs="Times New Roman"/>
          <w:b/>
          <w:bCs w:val="0"/>
          <w:sz w:val="22"/>
        </w:rPr>
        <w:t>Druh obalu a obsah balenia</w:t>
      </w:r>
    </w:p>
    <w:p w14:paraId="538F22AE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35324C39" w14:textId="77777777" w:rsidR="00E8470C" w:rsidRPr="00E65297" w:rsidRDefault="00E8470C" w:rsidP="00F8531D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>PVC/</w:t>
      </w:r>
      <w:proofErr w:type="spellStart"/>
      <w:r w:rsidRPr="00E65297">
        <w:rPr>
          <w:rFonts w:ascii="Times New Roman" w:hAnsi="Times New Roman" w:cs="Times New Roman"/>
          <w:sz w:val="22"/>
        </w:rPr>
        <w:t>PE</w:t>
      </w:r>
      <w:proofErr w:type="spellEnd"/>
      <w:r w:rsidRPr="00E65297">
        <w:rPr>
          <w:rFonts w:ascii="Times New Roman" w:hAnsi="Times New Roman" w:cs="Times New Roman"/>
          <w:sz w:val="22"/>
        </w:rPr>
        <w:t>/</w:t>
      </w:r>
      <w:proofErr w:type="spellStart"/>
      <w:r w:rsidRPr="00E65297">
        <w:rPr>
          <w:rFonts w:ascii="Times New Roman" w:hAnsi="Times New Roman" w:cs="Times New Roman"/>
          <w:sz w:val="22"/>
        </w:rPr>
        <w:t>PVDC</w:t>
      </w:r>
      <w:proofErr w:type="spellEnd"/>
      <w:r w:rsidRPr="00E65297">
        <w:rPr>
          <w:rFonts w:ascii="Times New Roman" w:hAnsi="Times New Roman" w:cs="Times New Roman"/>
          <w:sz w:val="22"/>
        </w:rPr>
        <w:t>/</w:t>
      </w:r>
      <w:proofErr w:type="spellStart"/>
      <w:r w:rsidRPr="00E65297">
        <w:rPr>
          <w:rFonts w:ascii="Times New Roman" w:hAnsi="Times New Roman" w:cs="Times New Roman"/>
          <w:sz w:val="22"/>
        </w:rPr>
        <w:t>Al</w:t>
      </w:r>
      <w:r w:rsidR="0040305B" w:rsidRPr="00E65297">
        <w:rPr>
          <w:rFonts w:ascii="Times New Roman" w:hAnsi="Times New Roman" w:cs="Times New Roman"/>
          <w:sz w:val="22"/>
        </w:rPr>
        <w:t>u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E65297">
        <w:rPr>
          <w:rFonts w:ascii="Times New Roman" w:hAnsi="Times New Roman" w:cs="Times New Roman"/>
          <w:sz w:val="22"/>
        </w:rPr>
        <w:t>blistre</w:t>
      </w:r>
      <w:proofErr w:type="spellEnd"/>
      <w:r w:rsidRPr="00E65297">
        <w:rPr>
          <w:rFonts w:ascii="Times New Roman" w:hAnsi="Times New Roman" w:cs="Times New Roman"/>
          <w:sz w:val="22"/>
        </w:rPr>
        <w:t xml:space="preserve"> v papierových skladačkách obsahujúce 10, 14, 20, 28, 30, 50, 56, 60, 90, 100</w:t>
      </w:r>
      <w:r w:rsidR="00CC5E9E" w:rsidRPr="00E65297">
        <w:rPr>
          <w:rFonts w:ascii="Times New Roman" w:hAnsi="Times New Roman" w:cs="Times New Roman"/>
          <w:sz w:val="22"/>
        </w:rPr>
        <w:t>,</w:t>
      </w:r>
      <w:r w:rsidRPr="00E65297">
        <w:rPr>
          <w:rFonts w:ascii="Times New Roman" w:hAnsi="Times New Roman" w:cs="Times New Roman"/>
          <w:sz w:val="22"/>
        </w:rPr>
        <w:t xml:space="preserve"> 200</w:t>
      </w:r>
      <w:r w:rsidR="00AF77F7" w:rsidRPr="00E65297">
        <w:rPr>
          <w:rFonts w:ascii="Times New Roman" w:hAnsi="Times New Roman" w:cs="Times New Roman"/>
          <w:sz w:val="22"/>
        </w:rPr>
        <w:t xml:space="preserve"> </w:t>
      </w:r>
      <w:r w:rsidR="00CC5E9E" w:rsidRPr="00E65297">
        <w:rPr>
          <w:rFonts w:ascii="Times New Roman" w:hAnsi="Times New Roman" w:cs="Times New Roman"/>
          <w:sz w:val="22"/>
        </w:rPr>
        <w:t xml:space="preserve">a viacpočetné balenie po 200 (2 balenia po 100) </w:t>
      </w:r>
      <w:r w:rsidR="00AF77F7" w:rsidRPr="00E65297">
        <w:rPr>
          <w:rFonts w:ascii="Times New Roman" w:hAnsi="Times New Roman" w:cs="Times New Roman"/>
          <w:sz w:val="22"/>
        </w:rPr>
        <w:t>tvrdých</w:t>
      </w:r>
      <w:r w:rsidRPr="00E65297">
        <w:rPr>
          <w:rFonts w:ascii="Times New Roman" w:hAnsi="Times New Roman" w:cs="Times New Roman"/>
          <w:sz w:val="22"/>
        </w:rPr>
        <w:t xml:space="preserve"> kapsúl s riadeným uvoľňovaním.</w:t>
      </w:r>
    </w:p>
    <w:p w14:paraId="65A2E678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3570798A" w14:textId="77777777" w:rsidR="00CC5E9E" w:rsidRPr="00E65297" w:rsidRDefault="00CC5E9E" w:rsidP="00CC5E9E">
      <w:pPr>
        <w:tabs>
          <w:tab w:val="left" w:pos="2198"/>
        </w:tabs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>HDPE obaly na kapsuly s PP detským bezpečnostným uzáverom obsahujúce 10, 14, 20, 28, 30, 50, 56, 60, 90, 100 alebo 200 tvrdých kapsúl s riadeným uvoľňovaním.</w:t>
      </w:r>
    </w:p>
    <w:p w14:paraId="36F364D9" w14:textId="77777777" w:rsidR="00CC5E9E" w:rsidRPr="00E65297" w:rsidRDefault="00CC5E9E" w:rsidP="00CC5E9E">
      <w:pPr>
        <w:tabs>
          <w:tab w:val="left" w:pos="2198"/>
        </w:tabs>
        <w:rPr>
          <w:rFonts w:ascii="Times New Roman" w:hAnsi="Times New Roman" w:cs="Times New Roman"/>
          <w:sz w:val="22"/>
        </w:rPr>
      </w:pPr>
    </w:p>
    <w:p w14:paraId="327097C6" w14:textId="77777777" w:rsidR="00E8470C" w:rsidRPr="00E65297" w:rsidRDefault="005D7B55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Na trh nemusia byť uvedené </w:t>
      </w:r>
      <w:r w:rsidR="00E8470C" w:rsidRPr="00E65297">
        <w:rPr>
          <w:rFonts w:ascii="Times New Roman" w:hAnsi="Times New Roman" w:cs="Times New Roman"/>
          <w:sz w:val="22"/>
        </w:rPr>
        <w:t>všetky veľkosti balenia.</w:t>
      </w:r>
    </w:p>
    <w:p w14:paraId="247B5096" w14:textId="77777777" w:rsidR="00E8470C" w:rsidRPr="0026053A" w:rsidRDefault="00E8470C" w:rsidP="00EE54BB">
      <w:pPr>
        <w:tabs>
          <w:tab w:val="left" w:pos="2198"/>
        </w:tabs>
        <w:ind w:left="480" w:hanging="480"/>
        <w:rPr>
          <w:rFonts w:ascii="Times New Roman" w:hAnsi="Times New Roman"/>
          <w:sz w:val="22"/>
        </w:rPr>
      </w:pPr>
    </w:p>
    <w:p w14:paraId="29CF532D" w14:textId="77777777" w:rsidR="00E8470C" w:rsidRPr="00E65297" w:rsidRDefault="00E8470C" w:rsidP="005A14EA">
      <w:pPr>
        <w:keepNext/>
        <w:tabs>
          <w:tab w:val="left" w:pos="567"/>
          <w:tab w:val="left" w:pos="2198"/>
        </w:tabs>
        <w:ind w:left="482" w:hanging="482"/>
        <w:rPr>
          <w:rFonts w:ascii="Times New Roman" w:hAnsi="Times New Roman" w:cs="Times New Roman"/>
          <w:b/>
          <w:bCs w:val="0"/>
          <w:sz w:val="22"/>
        </w:rPr>
      </w:pPr>
      <w:r w:rsidRPr="00E65297">
        <w:rPr>
          <w:rFonts w:ascii="Times New Roman" w:hAnsi="Times New Roman" w:cs="Times New Roman"/>
          <w:b/>
          <w:bCs w:val="0"/>
          <w:sz w:val="22"/>
        </w:rPr>
        <w:t>6.6</w:t>
      </w:r>
      <w:r w:rsidR="00B44452" w:rsidRPr="00E65297">
        <w:rPr>
          <w:rFonts w:ascii="Times New Roman" w:hAnsi="Times New Roman"/>
          <w:sz w:val="22"/>
        </w:rPr>
        <w:tab/>
      </w:r>
      <w:r w:rsidRPr="00E65297">
        <w:rPr>
          <w:rFonts w:ascii="Times New Roman" w:hAnsi="Times New Roman" w:cs="Times New Roman"/>
          <w:b/>
          <w:bCs w:val="0"/>
          <w:sz w:val="22"/>
        </w:rPr>
        <w:t>Špeciálne opatrenia na likvidáciu</w:t>
      </w:r>
    </w:p>
    <w:p w14:paraId="11B6A02B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262B5BA7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>Žiadne zvláštne požiadavky.</w:t>
      </w:r>
    </w:p>
    <w:p w14:paraId="6867DAD3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7342C397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63566A1F" w14:textId="77777777" w:rsidR="00E8470C" w:rsidRPr="00E65297" w:rsidRDefault="00E8470C" w:rsidP="00EE54BB">
      <w:pPr>
        <w:pStyle w:val="Nadpis1"/>
        <w:numPr>
          <w:ilvl w:val="0"/>
          <w:numId w:val="0"/>
        </w:numPr>
        <w:tabs>
          <w:tab w:val="left" w:pos="480"/>
          <w:tab w:val="left" w:pos="2198"/>
        </w:tabs>
        <w:spacing w:before="0" w:after="0"/>
        <w:ind w:left="480" w:hanging="480"/>
        <w:rPr>
          <w:rFonts w:ascii="Times New Roman" w:hAnsi="Times New Roman"/>
          <w:sz w:val="22"/>
        </w:rPr>
      </w:pPr>
      <w:r w:rsidRPr="00E65297">
        <w:rPr>
          <w:rFonts w:ascii="Times New Roman" w:hAnsi="Times New Roman"/>
          <w:sz w:val="22"/>
        </w:rPr>
        <w:t>7.</w:t>
      </w:r>
      <w:r w:rsidRPr="00E65297">
        <w:rPr>
          <w:rFonts w:ascii="Times New Roman" w:hAnsi="Times New Roman"/>
          <w:sz w:val="22"/>
        </w:rPr>
        <w:tab/>
        <w:t>DRŽITEĽ ROZHODNUTIA O REGISTRÁCII</w:t>
      </w:r>
    </w:p>
    <w:p w14:paraId="05320141" w14:textId="77777777" w:rsidR="00E8470C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</w:rPr>
      </w:pPr>
    </w:p>
    <w:p w14:paraId="4C359FE1" w14:textId="77777777" w:rsidR="00DF20B8" w:rsidRPr="0026053A" w:rsidRDefault="00DF20B8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noProof/>
          <w:sz w:val="22"/>
          <w:szCs w:val="22"/>
        </w:rPr>
      </w:pPr>
      <w:r w:rsidRPr="0026053A">
        <w:rPr>
          <w:rFonts w:ascii="Times New Roman" w:hAnsi="Times New Roman" w:cs="Times New Roman"/>
          <w:noProof/>
          <w:sz w:val="22"/>
          <w:szCs w:val="22"/>
        </w:rPr>
        <w:t>Mylan Ireland Limited</w:t>
      </w:r>
    </w:p>
    <w:p w14:paraId="404356AD" w14:textId="77777777" w:rsidR="00DF20B8" w:rsidRPr="0026053A" w:rsidRDefault="00F4619D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Unit </w:t>
      </w:r>
      <w:r w:rsidR="00DF20B8" w:rsidRPr="0026053A">
        <w:rPr>
          <w:rFonts w:ascii="Times New Roman" w:hAnsi="Times New Roman" w:cs="Times New Roman"/>
          <w:noProof/>
          <w:sz w:val="22"/>
          <w:szCs w:val="22"/>
        </w:rPr>
        <w:t>35/36 Grange Parade</w:t>
      </w:r>
    </w:p>
    <w:p w14:paraId="7260FFD0" w14:textId="77777777" w:rsidR="00DF20B8" w:rsidRPr="0026053A" w:rsidRDefault="00DF20B8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noProof/>
          <w:sz w:val="22"/>
          <w:szCs w:val="22"/>
        </w:rPr>
      </w:pPr>
      <w:r w:rsidRPr="0026053A">
        <w:rPr>
          <w:rFonts w:ascii="Times New Roman" w:hAnsi="Times New Roman" w:cs="Times New Roman"/>
          <w:noProof/>
          <w:sz w:val="22"/>
          <w:szCs w:val="22"/>
        </w:rPr>
        <w:t>Baldoyle Industrial Estate</w:t>
      </w:r>
    </w:p>
    <w:p w14:paraId="08E16CB4" w14:textId="77777777" w:rsidR="0026053A" w:rsidRDefault="00DF20B8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noProof/>
          <w:sz w:val="22"/>
          <w:szCs w:val="22"/>
        </w:rPr>
      </w:pPr>
      <w:r w:rsidRPr="0026053A">
        <w:rPr>
          <w:rFonts w:ascii="Times New Roman" w:hAnsi="Times New Roman" w:cs="Times New Roman"/>
          <w:noProof/>
          <w:sz w:val="22"/>
          <w:szCs w:val="22"/>
        </w:rPr>
        <w:t>Dublin 13, Írsko</w:t>
      </w:r>
    </w:p>
    <w:p w14:paraId="0F45C419" w14:textId="77777777" w:rsidR="00E8470C" w:rsidRPr="00E65297" w:rsidRDefault="00E8470C" w:rsidP="00EE54BB">
      <w:pPr>
        <w:pStyle w:val="Pta"/>
        <w:tabs>
          <w:tab w:val="clear" w:pos="4536"/>
          <w:tab w:val="clear" w:pos="9072"/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14:paraId="33E6483F" w14:textId="77777777" w:rsidR="00DF20B8" w:rsidRPr="00E65297" w:rsidRDefault="00DF20B8" w:rsidP="00EE54BB">
      <w:pPr>
        <w:pStyle w:val="Pta"/>
        <w:tabs>
          <w:tab w:val="clear" w:pos="4536"/>
          <w:tab w:val="clear" w:pos="9072"/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0280A464" w14:textId="77777777" w:rsidR="00E8470C" w:rsidRPr="00E65297" w:rsidRDefault="00E8470C" w:rsidP="00EE54BB">
      <w:pPr>
        <w:pStyle w:val="Nadpis1"/>
        <w:numPr>
          <w:ilvl w:val="0"/>
          <w:numId w:val="0"/>
        </w:numPr>
        <w:tabs>
          <w:tab w:val="left" w:pos="480"/>
          <w:tab w:val="left" w:pos="2198"/>
        </w:tabs>
        <w:spacing w:before="0" w:after="0"/>
        <w:ind w:left="480" w:hanging="480"/>
        <w:rPr>
          <w:rFonts w:ascii="Times New Roman" w:hAnsi="Times New Roman"/>
          <w:sz w:val="22"/>
        </w:rPr>
      </w:pPr>
      <w:r w:rsidRPr="00E65297">
        <w:rPr>
          <w:rFonts w:ascii="Times New Roman" w:hAnsi="Times New Roman"/>
          <w:sz w:val="22"/>
        </w:rPr>
        <w:t>8.</w:t>
      </w:r>
      <w:r w:rsidRPr="00E65297">
        <w:rPr>
          <w:rFonts w:ascii="Times New Roman" w:hAnsi="Times New Roman"/>
          <w:sz w:val="22"/>
        </w:rPr>
        <w:tab/>
        <w:t>REGISTRAČNÉ ČÍSLO</w:t>
      </w:r>
    </w:p>
    <w:p w14:paraId="1C2F3160" w14:textId="77777777" w:rsidR="00E8470C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</w:rPr>
      </w:pPr>
    </w:p>
    <w:p w14:paraId="5985E753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>77/0434/05-S</w:t>
      </w:r>
    </w:p>
    <w:p w14:paraId="01083585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32F9E50B" w14:textId="77777777" w:rsidR="0040305B" w:rsidRPr="00E65297" w:rsidRDefault="0040305B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37D4938A" w14:textId="77777777" w:rsidR="00E8470C" w:rsidRPr="00E65297" w:rsidRDefault="00E8470C" w:rsidP="0040305B">
      <w:pPr>
        <w:pStyle w:val="Nadpis1"/>
        <w:numPr>
          <w:ilvl w:val="0"/>
          <w:numId w:val="0"/>
        </w:numPr>
        <w:tabs>
          <w:tab w:val="left" w:pos="480"/>
        </w:tabs>
        <w:spacing w:before="0" w:after="0"/>
        <w:ind w:left="482" w:hanging="482"/>
        <w:rPr>
          <w:rFonts w:ascii="Times New Roman" w:hAnsi="Times New Roman"/>
          <w:sz w:val="22"/>
        </w:rPr>
      </w:pPr>
      <w:r w:rsidRPr="00E65297">
        <w:rPr>
          <w:rFonts w:ascii="Times New Roman" w:hAnsi="Times New Roman"/>
          <w:sz w:val="22"/>
        </w:rPr>
        <w:t>9.</w:t>
      </w:r>
      <w:r w:rsidRPr="00E65297">
        <w:rPr>
          <w:rFonts w:ascii="Times New Roman" w:hAnsi="Times New Roman"/>
          <w:sz w:val="22"/>
        </w:rPr>
        <w:tab/>
        <w:t>DÁTUM prvej REGISTRÁCIE</w:t>
      </w:r>
      <w:r w:rsidR="00943A14" w:rsidRPr="00E65297">
        <w:rPr>
          <w:rFonts w:ascii="Times New Roman" w:hAnsi="Times New Roman"/>
          <w:sz w:val="22"/>
        </w:rPr>
        <w:t>/PREDĹŽENIA REGISTRÁCIE</w:t>
      </w:r>
    </w:p>
    <w:p w14:paraId="712CF17B" w14:textId="77777777" w:rsidR="00E8470C" w:rsidRPr="00E65297" w:rsidRDefault="00E8470C" w:rsidP="005A14EA">
      <w:pPr>
        <w:keepNext/>
        <w:tabs>
          <w:tab w:val="left" w:pos="2198"/>
        </w:tabs>
        <w:ind w:left="482" w:hanging="482"/>
        <w:rPr>
          <w:rFonts w:ascii="Times New Roman" w:hAnsi="Times New Roman" w:cs="Times New Roman"/>
          <w:sz w:val="22"/>
        </w:rPr>
      </w:pPr>
    </w:p>
    <w:p w14:paraId="6438E3D5" w14:textId="77777777" w:rsidR="00B44452" w:rsidRPr="00E65297" w:rsidRDefault="00B44452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Dátum prvej registrácie: </w:t>
      </w:r>
      <w:r w:rsidR="00E8470C" w:rsidRPr="00E65297">
        <w:rPr>
          <w:rFonts w:ascii="Times New Roman" w:hAnsi="Times New Roman" w:cs="Times New Roman"/>
          <w:sz w:val="22"/>
        </w:rPr>
        <w:t>29.</w:t>
      </w:r>
      <w:r w:rsidR="00385EE2" w:rsidRPr="00E65297">
        <w:rPr>
          <w:rFonts w:ascii="Times New Roman" w:hAnsi="Times New Roman" w:cs="Times New Roman"/>
          <w:sz w:val="22"/>
        </w:rPr>
        <w:t xml:space="preserve"> </w:t>
      </w:r>
      <w:r w:rsidRPr="00E65297">
        <w:rPr>
          <w:rFonts w:ascii="Times New Roman" w:hAnsi="Times New Roman" w:cs="Times New Roman"/>
          <w:sz w:val="22"/>
        </w:rPr>
        <w:t xml:space="preserve">novembra </w:t>
      </w:r>
      <w:r w:rsidR="00E8470C" w:rsidRPr="00E65297">
        <w:rPr>
          <w:rFonts w:ascii="Times New Roman" w:hAnsi="Times New Roman" w:cs="Times New Roman"/>
          <w:sz w:val="22"/>
        </w:rPr>
        <w:t>2005</w:t>
      </w:r>
    </w:p>
    <w:p w14:paraId="75894ECC" w14:textId="77777777" w:rsidR="00E8470C" w:rsidRPr="00E65297" w:rsidRDefault="00B44452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 w:rsidRPr="00E65297">
        <w:rPr>
          <w:rFonts w:ascii="Times New Roman" w:hAnsi="Times New Roman" w:cs="Times New Roman"/>
          <w:sz w:val="22"/>
        </w:rPr>
        <w:t xml:space="preserve">Dátum posledného predĺženia registrácie: </w:t>
      </w:r>
      <w:r w:rsidR="00943A14" w:rsidRPr="00E65297">
        <w:rPr>
          <w:rFonts w:ascii="Times New Roman" w:hAnsi="Times New Roman" w:cs="Times New Roman"/>
          <w:sz w:val="22"/>
        </w:rPr>
        <w:t>29.</w:t>
      </w:r>
      <w:r w:rsidR="0040305B" w:rsidRPr="00E65297">
        <w:rPr>
          <w:rFonts w:ascii="Times New Roman" w:hAnsi="Times New Roman" w:cs="Times New Roman"/>
          <w:sz w:val="22"/>
        </w:rPr>
        <w:t xml:space="preserve"> </w:t>
      </w:r>
      <w:r w:rsidRPr="00E65297">
        <w:rPr>
          <w:rFonts w:ascii="Times New Roman" w:hAnsi="Times New Roman" w:cs="Times New Roman"/>
          <w:sz w:val="22"/>
        </w:rPr>
        <w:t xml:space="preserve">júla </w:t>
      </w:r>
      <w:r w:rsidR="00943A14" w:rsidRPr="00E65297">
        <w:rPr>
          <w:rFonts w:ascii="Times New Roman" w:hAnsi="Times New Roman" w:cs="Times New Roman"/>
          <w:sz w:val="22"/>
        </w:rPr>
        <w:t>2011</w:t>
      </w:r>
    </w:p>
    <w:p w14:paraId="2FA0E1F2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4A08C1E0" w14:textId="77777777" w:rsidR="00E8470C" w:rsidRPr="00E65297" w:rsidRDefault="00E8470C" w:rsidP="00EE54BB">
      <w:pPr>
        <w:tabs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</w:p>
    <w:p w14:paraId="4D029AB9" w14:textId="77777777" w:rsidR="00E8470C" w:rsidRPr="00E65297" w:rsidRDefault="00E8470C" w:rsidP="005A14EA">
      <w:pPr>
        <w:keepNext/>
        <w:tabs>
          <w:tab w:val="left" w:pos="480"/>
        </w:tabs>
        <w:ind w:left="482" w:hanging="482"/>
        <w:rPr>
          <w:rFonts w:ascii="Times New Roman" w:hAnsi="Times New Roman" w:cs="Times New Roman"/>
          <w:b/>
          <w:bCs w:val="0"/>
          <w:sz w:val="22"/>
        </w:rPr>
      </w:pPr>
      <w:r w:rsidRPr="00E65297">
        <w:rPr>
          <w:rFonts w:ascii="Times New Roman" w:hAnsi="Times New Roman" w:cs="Times New Roman"/>
          <w:b/>
          <w:bCs w:val="0"/>
          <w:sz w:val="22"/>
        </w:rPr>
        <w:t>10.</w:t>
      </w:r>
      <w:r w:rsidRPr="00E65297">
        <w:rPr>
          <w:rFonts w:ascii="Times New Roman" w:hAnsi="Times New Roman" w:cs="Times New Roman"/>
          <w:b/>
          <w:bCs w:val="0"/>
          <w:sz w:val="22"/>
        </w:rPr>
        <w:tab/>
        <w:t>DÁTUM REVÍZIE TEXTU</w:t>
      </w:r>
    </w:p>
    <w:p w14:paraId="77F677B5" w14:textId="77777777" w:rsidR="00E8470C" w:rsidRPr="00E65297" w:rsidRDefault="00E8470C" w:rsidP="00EE54BB">
      <w:pPr>
        <w:pStyle w:val="Nadpis1"/>
        <w:numPr>
          <w:ilvl w:val="0"/>
          <w:numId w:val="0"/>
        </w:numPr>
        <w:tabs>
          <w:tab w:val="left" w:pos="2198"/>
        </w:tabs>
        <w:spacing w:before="0" w:after="0"/>
        <w:ind w:left="480" w:hanging="480"/>
        <w:rPr>
          <w:rFonts w:ascii="Times New Roman" w:hAnsi="Times New Roman"/>
          <w:sz w:val="22"/>
        </w:rPr>
      </w:pPr>
    </w:p>
    <w:p w14:paraId="599B3EC2" w14:textId="4D684FFF" w:rsidR="00E8470C" w:rsidRPr="000C7B28" w:rsidRDefault="0026053A" w:rsidP="00EE54BB">
      <w:pPr>
        <w:tabs>
          <w:tab w:val="left" w:pos="540"/>
          <w:tab w:val="left" w:pos="2198"/>
        </w:tabs>
        <w:ind w:left="480" w:hanging="48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07/2018</w:t>
      </w:r>
    </w:p>
    <w:sectPr w:rsidR="00E8470C" w:rsidRPr="000C7B28" w:rsidSect="0026053A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25BFD" w14:textId="77777777" w:rsidR="0026053A" w:rsidRDefault="0026053A">
      <w:r>
        <w:separator/>
      </w:r>
    </w:p>
  </w:endnote>
  <w:endnote w:type="continuationSeparator" w:id="0">
    <w:p w14:paraId="33F96644" w14:textId="77777777" w:rsidR="0026053A" w:rsidRDefault="0026053A">
      <w:r>
        <w:continuationSeparator/>
      </w:r>
    </w:p>
  </w:endnote>
  <w:endnote w:type="continuationNotice" w:id="1">
    <w:p w14:paraId="3BD01CE5" w14:textId="77777777" w:rsidR="0026053A" w:rsidRDefault="00260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370BE" w14:textId="77777777" w:rsidR="009B7D60" w:rsidRDefault="009B7D6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BC901D0" w14:textId="77777777" w:rsidR="009B7D60" w:rsidRDefault="009B7D6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E2AEC" w14:textId="77777777" w:rsidR="009B7D60" w:rsidRPr="00E941F8" w:rsidRDefault="009B7D60">
    <w:pPr>
      <w:pStyle w:val="Pta"/>
      <w:framePr w:wrap="around" w:vAnchor="text" w:hAnchor="margin" w:xAlign="right" w:y="1"/>
      <w:rPr>
        <w:rStyle w:val="slostrany"/>
        <w:rFonts w:ascii="Times New Roman" w:hAnsi="Times New Roman" w:cs="Times New Roman"/>
        <w:sz w:val="18"/>
        <w:szCs w:val="18"/>
      </w:rPr>
    </w:pPr>
    <w:r w:rsidRPr="00E941F8">
      <w:rPr>
        <w:rStyle w:val="slostrany"/>
        <w:rFonts w:ascii="Times New Roman" w:hAnsi="Times New Roman" w:cs="Times New Roman"/>
        <w:sz w:val="18"/>
        <w:szCs w:val="18"/>
      </w:rPr>
      <w:fldChar w:fldCharType="begin"/>
    </w:r>
    <w:r w:rsidRPr="00E941F8">
      <w:rPr>
        <w:rStyle w:val="slostrany"/>
        <w:rFonts w:ascii="Times New Roman" w:hAnsi="Times New Roman" w:cs="Times New Roman"/>
        <w:sz w:val="18"/>
        <w:szCs w:val="18"/>
      </w:rPr>
      <w:instrText xml:space="preserve">PAGE  </w:instrText>
    </w:r>
    <w:r w:rsidRPr="00E941F8">
      <w:rPr>
        <w:rStyle w:val="slostrany"/>
        <w:rFonts w:ascii="Times New Roman" w:hAnsi="Times New Roman" w:cs="Times New Roman"/>
        <w:sz w:val="18"/>
        <w:szCs w:val="18"/>
      </w:rPr>
      <w:fldChar w:fldCharType="separate"/>
    </w:r>
    <w:r w:rsidR="0026053A">
      <w:rPr>
        <w:rStyle w:val="slostrany"/>
        <w:rFonts w:ascii="Times New Roman" w:hAnsi="Times New Roman" w:cs="Times New Roman"/>
        <w:noProof/>
        <w:sz w:val="18"/>
        <w:szCs w:val="18"/>
      </w:rPr>
      <w:t>8</w:t>
    </w:r>
    <w:r w:rsidRPr="00E941F8">
      <w:rPr>
        <w:rStyle w:val="slostrany"/>
        <w:rFonts w:ascii="Times New Roman" w:hAnsi="Times New Roman" w:cs="Times New Roman"/>
        <w:sz w:val="18"/>
        <w:szCs w:val="18"/>
      </w:rPr>
      <w:fldChar w:fldCharType="end"/>
    </w:r>
  </w:p>
  <w:p w14:paraId="05518F15" w14:textId="77777777" w:rsidR="009B7D60" w:rsidRPr="00E941F8" w:rsidRDefault="009B7D60">
    <w:pPr>
      <w:pStyle w:val="Pt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89FA1" w14:textId="77777777" w:rsidR="0026053A" w:rsidRDefault="0026053A">
      <w:r>
        <w:separator/>
      </w:r>
    </w:p>
  </w:footnote>
  <w:footnote w:type="continuationSeparator" w:id="0">
    <w:p w14:paraId="66295CD3" w14:textId="77777777" w:rsidR="0026053A" w:rsidRDefault="0026053A">
      <w:r>
        <w:continuationSeparator/>
      </w:r>
    </w:p>
  </w:footnote>
  <w:footnote w:type="continuationNotice" w:id="1">
    <w:p w14:paraId="0193DF3B" w14:textId="77777777" w:rsidR="0026053A" w:rsidRDefault="002605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60B37" w14:textId="4D593BC2" w:rsidR="0026053A" w:rsidRPr="0026053A" w:rsidRDefault="00527F29" w:rsidP="0026053A">
    <w:pPr>
      <w:pStyle w:val="Hlavika"/>
    </w:pPr>
    <w:r w:rsidRPr="00D8218B">
      <w:rPr>
        <w:rFonts w:ascii="Times New Roman" w:hAnsi="Times New Roman"/>
        <w:noProof/>
        <w:sz w:val="18"/>
        <w:szCs w:val="18"/>
      </w:rPr>
      <w:t>Schválený tex</w:t>
    </w:r>
    <w:r>
      <w:rPr>
        <w:rFonts w:ascii="Times New Roman" w:hAnsi="Times New Roman"/>
        <w:noProof/>
        <w:sz w:val="18"/>
        <w:szCs w:val="18"/>
      </w:rPr>
      <w:t>t k rozhodnutiu o prevode</w:t>
    </w:r>
    <w:r w:rsidRPr="00D8218B">
      <w:rPr>
        <w:rFonts w:ascii="Times New Roman" w:hAnsi="Times New Roman"/>
        <w:noProof/>
        <w:sz w:val="18"/>
        <w:szCs w:val="18"/>
      </w:rPr>
      <w:t>, ev. č.:</w:t>
    </w:r>
    <w:r w:rsidR="00F4619D">
      <w:rPr>
        <w:rFonts w:ascii="Times New Roman" w:hAnsi="Times New Roman"/>
        <w:noProof/>
        <w:sz w:val="18"/>
        <w:szCs w:val="18"/>
      </w:rPr>
      <w:t xml:space="preserve"> 2018/02906-TR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4279C" w14:textId="77777777" w:rsidR="009B7D60" w:rsidRPr="00BA64A0" w:rsidRDefault="009B7D60" w:rsidP="00BA64A0">
    <w:pPr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1DBD"/>
    <w:multiLevelType w:val="hybridMultilevel"/>
    <w:tmpl w:val="D628608A"/>
    <w:lvl w:ilvl="0" w:tplc="BF3AA2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F1ED0"/>
    <w:multiLevelType w:val="hybridMultilevel"/>
    <w:tmpl w:val="43105136"/>
    <w:lvl w:ilvl="0" w:tplc="3BE2BD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C122B6"/>
    <w:multiLevelType w:val="multilevel"/>
    <w:tmpl w:val="40BE3E08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B1B6F98"/>
    <w:multiLevelType w:val="hybridMultilevel"/>
    <w:tmpl w:val="19FC56A0"/>
    <w:lvl w:ilvl="0" w:tplc="70723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A2A10"/>
    <w:multiLevelType w:val="hybridMultilevel"/>
    <w:tmpl w:val="C824C1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640BE"/>
    <w:multiLevelType w:val="hybridMultilevel"/>
    <w:tmpl w:val="F7AC3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9FC"/>
    <w:rsid w:val="000326B5"/>
    <w:rsid w:val="0003538A"/>
    <w:rsid w:val="00040B88"/>
    <w:rsid w:val="00043877"/>
    <w:rsid w:val="0006262C"/>
    <w:rsid w:val="00066ACE"/>
    <w:rsid w:val="00071BFB"/>
    <w:rsid w:val="0007257D"/>
    <w:rsid w:val="00084614"/>
    <w:rsid w:val="00086C97"/>
    <w:rsid w:val="00093898"/>
    <w:rsid w:val="000A390A"/>
    <w:rsid w:val="000A3F0E"/>
    <w:rsid w:val="000A629A"/>
    <w:rsid w:val="000B1893"/>
    <w:rsid w:val="000B7471"/>
    <w:rsid w:val="000C7B28"/>
    <w:rsid w:val="000C7F1A"/>
    <w:rsid w:val="00100E3A"/>
    <w:rsid w:val="001023B1"/>
    <w:rsid w:val="00110FAD"/>
    <w:rsid w:val="00132B6E"/>
    <w:rsid w:val="00147F14"/>
    <w:rsid w:val="001512D5"/>
    <w:rsid w:val="001521BA"/>
    <w:rsid w:val="00153C0C"/>
    <w:rsid w:val="0016137E"/>
    <w:rsid w:val="0016423D"/>
    <w:rsid w:val="00182F86"/>
    <w:rsid w:val="00194DBE"/>
    <w:rsid w:val="001B146F"/>
    <w:rsid w:val="001B3F36"/>
    <w:rsid w:val="001C0CF4"/>
    <w:rsid w:val="001D0D43"/>
    <w:rsid w:val="001D0FBF"/>
    <w:rsid w:val="001F643C"/>
    <w:rsid w:val="00206299"/>
    <w:rsid w:val="00231A7A"/>
    <w:rsid w:val="0026053A"/>
    <w:rsid w:val="00270670"/>
    <w:rsid w:val="0028093E"/>
    <w:rsid w:val="0028141C"/>
    <w:rsid w:val="00281E88"/>
    <w:rsid w:val="002947AB"/>
    <w:rsid w:val="002A4F77"/>
    <w:rsid w:val="002A67E1"/>
    <w:rsid w:val="002B001B"/>
    <w:rsid w:val="002B433D"/>
    <w:rsid w:val="002D651C"/>
    <w:rsid w:val="002D6AA7"/>
    <w:rsid w:val="002E1470"/>
    <w:rsid w:val="002E2209"/>
    <w:rsid w:val="002E4DB1"/>
    <w:rsid w:val="00331D48"/>
    <w:rsid w:val="003350D5"/>
    <w:rsid w:val="00342648"/>
    <w:rsid w:val="00346EA3"/>
    <w:rsid w:val="00362407"/>
    <w:rsid w:val="003705C1"/>
    <w:rsid w:val="00376CF2"/>
    <w:rsid w:val="00377E63"/>
    <w:rsid w:val="003804F3"/>
    <w:rsid w:val="00385EE2"/>
    <w:rsid w:val="003A0A1F"/>
    <w:rsid w:val="003B2DDB"/>
    <w:rsid w:val="003F1D5C"/>
    <w:rsid w:val="003F72DB"/>
    <w:rsid w:val="0040305B"/>
    <w:rsid w:val="00440A23"/>
    <w:rsid w:val="004438CD"/>
    <w:rsid w:val="00452B2F"/>
    <w:rsid w:val="0045344C"/>
    <w:rsid w:val="00455F9B"/>
    <w:rsid w:val="004625A3"/>
    <w:rsid w:val="0046713D"/>
    <w:rsid w:val="00470F4D"/>
    <w:rsid w:val="0048383F"/>
    <w:rsid w:val="004848F1"/>
    <w:rsid w:val="00496EF0"/>
    <w:rsid w:val="004A60F4"/>
    <w:rsid w:val="004B14CB"/>
    <w:rsid w:val="004B50CB"/>
    <w:rsid w:val="004C282B"/>
    <w:rsid w:val="004C3BC7"/>
    <w:rsid w:val="004D057C"/>
    <w:rsid w:val="004D6FC6"/>
    <w:rsid w:val="004E26EC"/>
    <w:rsid w:val="004E74D7"/>
    <w:rsid w:val="00513242"/>
    <w:rsid w:val="00517E77"/>
    <w:rsid w:val="00527F29"/>
    <w:rsid w:val="00542309"/>
    <w:rsid w:val="00543C20"/>
    <w:rsid w:val="0054535E"/>
    <w:rsid w:val="005728B6"/>
    <w:rsid w:val="00576C19"/>
    <w:rsid w:val="00593589"/>
    <w:rsid w:val="00594E47"/>
    <w:rsid w:val="005A14EA"/>
    <w:rsid w:val="005B10A2"/>
    <w:rsid w:val="005B6FBA"/>
    <w:rsid w:val="005C28F3"/>
    <w:rsid w:val="005C7C37"/>
    <w:rsid w:val="005D0A27"/>
    <w:rsid w:val="005D7B55"/>
    <w:rsid w:val="00625405"/>
    <w:rsid w:val="00644980"/>
    <w:rsid w:val="00653759"/>
    <w:rsid w:val="0066509E"/>
    <w:rsid w:val="006A6E02"/>
    <w:rsid w:val="006B49DA"/>
    <w:rsid w:val="006C43F3"/>
    <w:rsid w:val="006C639A"/>
    <w:rsid w:val="006C707C"/>
    <w:rsid w:val="006D6711"/>
    <w:rsid w:val="006F060B"/>
    <w:rsid w:val="006F17A4"/>
    <w:rsid w:val="00702E38"/>
    <w:rsid w:val="00713D41"/>
    <w:rsid w:val="00714853"/>
    <w:rsid w:val="007236CB"/>
    <w:rsid w:val="0072706C"/>
    <w:rsid w:val="0073058D"/>
    <w:rsid w:val="00734816"/>
    <w:rsid w:val="00740F56"/>
    <w:rsid w:val="00754A6B"/>
    <w:rsid w:val="00755FDE"/>
    <w:rsid w:val="00771D00"/>
    <w:rsid w:val="007735F9"/>
    <w:rsid w:val="007975D3"/>
    <w:rsid w:val="007C61CC"/>
    <w:rsid w:val="007D49BF"/>
    <w:rsid w:val="007D7560"/>
    <w:rsid w:val="007D79A5"/>
    <w:rsid w:val="007F7587"/>
    <w:rsid w:val="0080397E"/>
    <w:rsid w:val="008064A6"/>
    <w:rsid w:val="0081367D"/>
    <w:rsid w:val="008217BE"/>
    <w:rsid w:val="008804E2"/>
    <w:rsid w:val="0088719C"/>
    <w:rsid w:val="0089172A"/>
    <w:rsid w:val="00895663"/>
    <w:rsid w:val="008A1D83"/>
    <w:rsid w:val="008A3256"/>
    <w:rsid w:val="008B4425"/>
    <w:rsid w:val="008C211B"/>
    <w:rsid w:val="008C5827"/>
    <w:rsid w:val="008C6A5A"/>
    <w:rsid w:val="008D01FA"/>
    <w:rsid w:val="008D3ED9"/>
    <w:rsid w:val="008E05A0"/>
    <w:rsid w:val="008E0846"/>
    <w:rsid w:val="008E3443"/>
    <w:rsid w:val="008F036F"/>
    <w:rsid w:val="008F09D1"/>
    <w:rsid w:val="00911A68"/>
    <w:rsid w:val="0091430F"/>
    <w:rsid w:val="00916FC2"/>
    <w:rsid w:val="009276D9"/>
    <w:rsid w:val="0093552E"/>
    <w:rsid w:val="00937E1C"/>
    <w:rsid w:val="009407C8"/>
    <w:rsid w:val="00941F38"/>
    <w:rsid w:val="00943A14"/>
    <w:rsid w:val="00955A6D"/>
    <w:rsid w:val="0097300E"/>
    <w:rsid w:val="00975261"/>
    <w:rsid w:val="00986B55"/>
    <w:rsid w:val="00990F6D"/>
    <w:rsid w:val="009B7D60"/>
    <w:rsid w:val="009B7F0C"/>
    <w:rsid w:val="009C60FF"/>
    <w:rsid w:val="009E119F"/>
    <w:rsid w:val="009F0295"/>
    <w:rsid w:val="00A1046F"/>
    <w:rsid w:val="00A15CBF"/>
    <w:rsid w:val="00A201C9"/>
    <w:rsid w:val="00A22585"/>
    <w:rsid w:val="00A26017"/>
    <w:rsid w:val="00A35FC5"/>
    <w:rsid w:val="00A37A55"/>
    <w:rsid w:val="00A46DF4"/>
    <w:rsid w:val="00A47E53"/>
    <w:rsid w:val="00A514B0"/>
    <w:rsid w:val="00A533EC"/>
    <w:rsid w:val="00A67378"/>
    <w:rsid w:val="00A73496"/>
    <w:rsid w:val="00A76B59"/>
    <w:rsid w:val="00A8015A"/>
    <w:rsid w:val="00A8624C"/>
    <w:rsid w:val="00A95466"/>
    <w:rsid w:val="00AB19B1"/>
    <w:rsid w:val="00AD4823"/>
    <w:rsid w:val="00AE2703"/>
    <w:rsid w:val="00AF5A78"/>
    <w:rsid w:val="00AF77F7"/>
    <w:rsid w:val="00B44452"/>
    <w:rsid w:val="00B51566"/>
    <w:rsid w:val="00B62F7A"/>
    <w:rsid w:val="00B64E14"/>
    <w:rsid w:val="00B661C6"/>
    <w:rsid w:val="00B77F64"/>
    <w:rsid w:val="00B81D38"/>
    <w:rsid w:val="00B85647"/>
    <w:rsid w:val="00B85D9E"/>
    <w:rsid w:val="00BA64A0"/>
    <w:rsid w:val="00BB0EA6"/>
    <w:rsid w:val="00BB1993"/>
    <w:rsid w:val="00BB715D"/>
    <w:rsid w:val="00BD74F9"/>
    <w:rsid w:val="00BE53AD"/>
    <w:rsid w:val="00BF2E4D"/>
    <w:rsid w:val="00BF45BF"/>
    <w:rsid w:val="00C00ED2"/>
    <w:rsid w:val="00C21EA5"/>
    <w:rsid w:val="00C31669"/>
    <w:rsid w:val="00C323B5"/>
    <w:rsid w:val="00C32A76"/>
    <w:rsid w:val="00C34C64"/>
    <w:rsid w:val="00C36EAB"/>
    <w:rsid w:val="00C433DA"/>
    <w:rsid w:val="00C726CD"/>
    <w:rsid w:val="00C8629C"/>
    <w:rsid w:val="00C93732"/>
    <w:rsid w:val="00C95219"/>
    <w:rsid w:val="00CA13DB"/>
    <w:rsid w:val="00CA5F7F"/>
    <w:rsid w:val="00CB2677"/>
    <w:rsid w:val="00CC0DA4"/>
    <w:rsid w:val="00CC22AE"/>
    <w:rsid w:val="00CC236E"/>
    <w:rsid w:val="00CC5E9E"/>
    <w:rsid w:val="00CC67DF"/>
    <w:rsid w:val="00CD1C75"/>
    <w:rsid w:val="00CD4765"/>
    <w:rsid w:val="00CD5CA8"/>
    <w:rsid w:val="00CD6596"/>
    <w:rsid w:val="00CD6F0A"/>
    <w:rsid w:val="00CE0705"/>
    <w:rsid w:val="00CE2604"/>
    <w:rsid w:val="00D07817"/>
    <w:rsid w:val="00D23138"/>
    <w:rsid w:val="00D32FD8"/>
    <w:rsid w:val="00D4561D"/>
    <w:rsid w:val="00D6520D"/>
    <w:rsid w:val="00D91007"/>
    <w:rsid w:val="00D92470"/>
    <w:rsid w:val="00D928E5"/>
    <w:rsid w:val="00D92D9D"/>
    <w:rsid w:val="00D96BF6"/>
    <w:rsid w:val="00DA1E90"/>
    <w:rsid w:val="00DB12ED"/>
    <w:rsid w:val="00DB3C01"/>
    <w:rsid w:val="00DB6C46"/>
    <w:rsid w:val="00DD111A"/>
    <w:rsid w:val="00DD77F2"/>
    <w:rsid w:val="00DD7AA7"/>
    <w:rsid w:val="00DE2D0C"/>
    <w:rsid w:val="00DF00D4"/>
    <w:rsid w:val="00DF20B8"/>
    <w:rsid w:val="00E03B65"/>
    <w:rsid w:val="00E05542"/>
    <w:rsid w:val="00E16EB6"/>
    <w:rsid w:val="00E207E5"/>
    <w:rsid w:val="00E21CB6"/>
    <w:rsid w:val="00E253F4"/>
    <w:rsid w:val="00E40C63"/>
    <w:rsid w:val="00E46614"/>
    <w:rsid w:val="00E50A04"/>
    <w:rsid w:val="00E56D91"/>
    <w:rsid w:val="00E65297"/>
    <w:rsid w:val="00E6559E"/>
    <w:rsid w:val="00E713F8"/>
    <w:rsid w:val="00E75A9B"/>
    <w:rsid w:val="00E8470C"/>
    <w:rsid w:val="00E849FC"/>
    <w:rsid w:val="00E941F8"/>
    <w:rsid w:val="00E95404"/>
    <w:rsid w:val="00EB04AE"/>
    <w:rsid w:val="00EB349D"/>
    <w:rsid w:val="00EB753F"/>
    <w:rsid w:val="00EC3DF3"/>
    <w:rsid w:val="00EE37AF"/>
    <w:rsid w:val="00EE54BB"/>
    <w:rsid w:val="00F05DFA"/>
    <w:rsid w:val="00F361C9"/>
    <w:rsid w:val="00F4619D"/>
    <w:rsid w:val="00F57A81"/>
    <w:rsid w:val="00F607F3"/>
    <w:rsid w:val="00F818B5"/>
    <w:rsid w:val="00F8531D"/>
    <w:rsid w:val="00F907F1"/>
    <w:rsid w:val="00F91F72"/>
    <w:rsid w:val="00FB3A1A"/>
    <w:rsid w:val="00FC5730"/>
    <w:rsid w:val="00FC7265"/>
    <w:rsid w:val="00FD1622"/>
    <w:rsid w:val="00FD28C1"/>
    <w:rsid w:val="00FD7E1E"/>
    <w:rsid w:val="00FE1569"/>
    <w:rsid w:val="00FE2EC9"/>
    <w:rsid w:val="00FF5095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174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 w:cs="Arial"/>
      <w:bCs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320" w:after="100"/>
      <w:jc w:val="both"/>
      <w:outlineLvl w:val="0"/>
    </w:pPr>
    <w:rPr>
      <w:rFonts w:cs="Times New Roman"/>
      <w:b/>
      <w:caps/>
      <w:lang w:eastAsia="cs-CZ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00" w:after="60"/>
      <w:jc w:val="both"/>
      <w:outlineLvl w:val="1"/>
    </w:pPr>
    <w:rPr>
      <w:rFonts w:cs="Times New Roman"/>
      <w:b/>
      <w:bCs w:val="0"/>
      <w:smallCaps/>
      <w:lang w:eastAsia="cs-CZ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160" w:after="40"/>
      <w:outlineLvl w:val="2"/>
    </w:pPr>
    <w:rPr>
      <w:b/>
      <w:i/>
      <w:szCs w:val="26"/>
      <w:lang w:eastAsia="en-US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00" w:after="200"/>
      <w:jc w:val="both"/>
      <w:outlineLvl w:val="3"/>
    </w:pPr>
    <w:rPr>
      <w:b/>
      <w:lang w:eastAsia="cs-CZ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cs="Times New Roman"/>
      <w:bCs w:val="0"/>
      <w:i/>
      <w:iCs/>
      <w:lang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zov">
    <w:name w:val="Title"/>
    <w:basedOn w:val="Normlny"/>
    <w:qFormat/>
    <w:pPr>
      <w:spacing w:after="120"/>
      <w:jc w:val="center"/>
    </w:pPr>
    <w:rPr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customStyle="1" w:styleId="HelenaVojtekov">
    <w:name w:val="Helena Vojteková"/>
    <w:semiHidden/>
    <w:rPr>
      <w:rFonts w:ascii="Arial" w:hAnsi="Arial" w:cs="Arial"/>
      <w:color w:val="auto"/>
      <w:sz w:val="20"/>
      <w:szCs w:val="20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</w:rPr>
  </w:style>
  <w:style w:type="character" w:styleId="Hypertextovprepojenie">
    <w:name w:val="Hyperlink"/>
    <w:rsid w:val="00CE2604"/>
    <w:rPr>
      <w:color w:val="0000FF"/>
      <w:u w:val="single"/>
    </w:rPr>
  </w:style>
  <w:style w:type="paragraph" w:styleId="Hlavika">
    <w:name w:val="header"/>
    <w:basedOn w:val="Normlny"/>
    <w:link w:val="HlavikaChar"/>
    <w:rsid w:val="00A225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22585"/>
    <w:rPr>
      <w:rFonts w:ascii="Arial" w:hAnsi="Arial" w:cs="Arial"/>
      <w:bCs/>
      <w:sz w:val="24"/>
      <w:szCs w:val="24"/>
    </w:rPr>
  </w:style>
  <w:style w:type="paragraph" w:customStyle="1" w:styleId="Default">
    <w:name w:val="Default"/>
    <w:rsid w:val="00CC22A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DocsubtitleAgency">
    <w:name w:val="Doc subtitle (Agency)"/>
    <w:basedOn w:val="Normlny"/>
    <w:next w:val="Normlny"/>
    <w:qFormat/>
    <w:rsid w:val="0026053A"/>
    <w:pPr>
      <w:spacing w:after="640" w:line="360" w:lineRule="atLeast"/>
    </w:pPr>
    <w:rPr>
      <w:rFonts w:ascii="Verdana" w:eastAsia="Verdana" w:hAnsi="Verdana" w:cs="Times New Roman"/>
      <w:bCs w:val="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" w:hAnsi="Arial" w:cs="Arial"/>
      <w:bCs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320" w:after="100"/>
      <w:jc w:val="both"/>
      <w:outlineLvl w:val="0"/>
    </w:pPr>
    <w:rPr>
      <w:rFonts w:cs="Times New Roman"/>
      <w:b/>
      <w:caps/>
      <w:lang w:eastAsia="cs-CZ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00" w:after="60"/>
      <w:jc w:val="both"/>
      <w:outlineLvl w:val="1"/>
    </w:pPr>
    <w:rPr>
      <w:rFonts w:cs="Times New Roman"/>
      <w:b/>
      <w:bCs w:val="0"/>
      <w:smallCaps/>
      <w:lang w:eastAsia="cs-CZ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160" w:after="40"/>
      <w:outlineLvl w:val="2"/>
    </w:pPr>
    <w:rPr>
      <w:b/>
      <w:i/>
      <w:szCs w:val="26"/>
      <w:lang w:eastAsia="en-US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00" w:after="200"/>
      <w:jc w:val="both"/>
      <w:outlineLvl w:val="3"/>
    </w:pPr>
    <w:rPr>
      <w:b/>
      <w:lang w:eastAsia="cs-CZ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cs="Times New Roman"/>
      <w:bCs w:val="0"/>
      <w:i/>
      <w:iCs/>
      <w:lang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zov">
    <w:name w:val="Title"/>
    <w:basedOn w:val="Normlny"/>
    <w:qFormat/>
    <w:pPr>
      <w:spacing w:after="120"/>
      <w:jc w:val="center"/>
    </w:pPr>
    <w:rPr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customStyle="1" w:styleId="HelenaVojtekov">
    <w:name w:val="Helena Vojteková"/>
    <w:semiHidden/>
    <w:rPr>
      <w:rFonts w:ascii="Arial" w:hAnsi="Arial" w:cs="Arial"/>
      <w:color w:val="auto"/>
      <w:sz w:val="20"/>
      <w:szCs w:val="20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</w:rPr>
  </w:style>
  <w:style w:type="character" w:styleId="Hypertextovprepojenie">
    <w:name w:val="Hyperlink"/>
    <w:rsid w:val="00CE2604"/>
    <w:rPr>
      <w:color w:val="0000FF"/>
      <w:u w:val="single"/>
    </w:rPr>
  </w:style>
  <w:style w:type="paragraph" w:styleId="Hlavika">
    <w:name w:val="header"/>
    <w:basedOn w:val="Normlny"/>
    <w:link w:val="HlavikaChar"/>
    <w:rsid w:val="00A225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22585"/>
    <w:rPr>
      <w:rFonts w:ascii="Arial" w:hAnsi="Arial" w:cs="Arial"/>
      <w:bCs/>
      <w:sz w:val="24"/>
      <w:szCs w:val="24"/>
    </w:rPr>
  </w:style>
  <w:style w:type="paragraph" w:customStyle="1" w:styleId="Default">
    <w:name w:val="Default"/>
    <w:rsid w:val="00CC22A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DocsubtitleAgency">
    <w:name w:val="Doc subtitle (Agency)"/>
    <w:basedOn w:val="Normlny"/>
    <w:next w:val="Normlny"/>
    <w:qFormat/>
    <w:rsid w:val="0026053A"/>
    <w:pPr>
      <w:spacing w:after="640" w:line="360" w:lineRule="atLeast"/>
    </w:pPr>
    <w:rPr>
      <w:rFonts w:ascii="Verdana" w:eastAsia="Verdana" w:hAnsi="Verdana" w:cs="Times New Roman"/>
      <w:bCs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&#243;ny\SPC%20-%20SJ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SPC - SJ.dot</Template>
  <TotalTime>3</TotalTime>
  <Pages>8</Pages>
  <Words>2174</Words>
  <Characters>14196</Characters>
  <Application>Microsoft Office Word</Application>
  <DocSecurity>0</DocSecurity>
  <Lines>118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MERCK</Company>
  <LinksUpToDate>false</LinksUpToDate>
  <CharactersWithSpaces>16338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Jana Bosanska</dc:creator>
  <cp:lastModifiedBy>Natalia </cp:lastModifiedBy>
  <cp:revision>1</cp:revision>
  <cp:lastPrinted>2018-06-27T13:12:00Z</cp:lastPrinted>
  <dcterms:created xsi:type="dcterms:W3CDTF">2018-06-27T13:09:00Z</dcterms:created>
  <dcterms:modified xsi:type="dcterms:W3CDTF">2018-06-27T13:12:00Z</dcterms:modified>
</cp:coreProperties>
</file>