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DA1AE" w14:textId="77777777" w:rsidR="003970A9" w:rsidRDefault="003970A9">
      <w:pPr>
        <w:jc w:val="center"/>
        <w:rPr>
          <w:b/>
          <w:caps/>
          <w:sz w:val="22"/>
          <w:szCs w:val="22"/>
        </w:rPr>
      </w:pPr>
      <w:r>
        <w:rPr>
          <w:b/>
          <w:caps/>
          <w:sz w:val="22"/>
          <w:szCs w:val="22"/>
        </w:rPr>
        <w:t>Súhrn charakteristických vlastností lieku</w:t>
      </w:r>
    </w:p>
    <w:p w14:paraId="4F9049C1" w14:textId="77777777" w:rsidR="003970A9" w:rsidRDefault="003970A9">
      <w:pPr>
        <w:rPr>
          <w:b/>
          <w:caps/>
          <w:sz w:val="22"/>
          <w:szCs w:val="22"/>
        </w:rPr>
      </w:pPr>
    </w:p>
    <w:p w14:paraId="6D6A5E22" w14:textId="77777777" w:rsidR="003970A9" w:rsidRDefault="003970A9">
      <w:pPr>
        <w:rPr>
          <w:b/>
          <w:caps/>
          <w:sz w:val="22"/>
          <w:szCs w:val="22"/>
        </w:rPr>
      </w:pPr>
    </w:p>
    <w:p w14:paraId="24AA2335" w14:textId="77777777" w:rsidR="003970A9" w:rsidRDefault="003970A9">
      <w:pPr>
        <w:rPr>
          <w:b/>
          <w:sz w:val="22"/>
          <w:szCs w:val="22"/>
        </w:rPr>
      </w:pPr>
      <w:r>
        <w:rPr>
          <w:b/>
          <w:sz w:val="22"/>
          <w:szCs w:val="22"/>
        </w:rPr>
        <w:t xml:space="preserve">1. </w:t>
      </w:r>
      <w:r>
        <w:rPr>
          <w:b/>
          <w:sz w:val="22"/>
          <w:szCs w:val="22"/>
        </w:rPr>
        <w:tab/>
        <w:t>NÁZOV LIEKU</w:t>
      </w:r>
    </w:p>
    <w:p w14:paraId="2E156E9D" w14:textId="77777777" w:rsidR="003970A9" w:rsidRDefault="003970A9">
      <w:pPr>
        <w:rPr>
          <w:sz w:val="22"/>
          <w:szCs w:val="22"/>
        </w:rPr>
      </w:pPr>
    </w:p>
    <w:p w14:paraId="07414605" w14:textId="77777777" w:rsidR="003970A9" w:rsidRDefault="003970A9">
      <w:pPr>
        <w:rPr>
          <w:sz w:val="22"/>
          <w:szCs w:val="22"/>
        </w:rPr>
      </w:pPr>
      <w:r>
        <w:rPr>
          <w:sz w:val="22"/>
          <w:szCs w:val="22"/>
        </w:rPr>
        <w:t>Viregyt-K</w:t>
      </w:r>
    </w:p>
    <w:p w14:paraId="6E27DE25" w14:textId="77777777" w:rsidR="003970A9" w:rsidRDefault="003970A9">
      <w:pPr>
        <w:rPr>
          <w:sz w:val="22"/>
          <w:szCs w:val="22"/>
        </w:rPr>
      </w:pPr>
    </w:p>
    <w:p w14:paraId="0A82115A" w14:textId="77777777" w:rsidR="003970A9" w:rsidRDefault="003970A9">
      <w:pPr>
        <w:rPr>
          <w:sz w:val="22"/>
          <w:szCs w:val="22"/>
        </w:rPr>
      </w:pPr>
    </w:p>
    <w:p w14:paraId="3AE0705A" w14:textId="77777777" w:rsidR="003970A9" w:rsidRDefault="003970A9">
      <w:pPr>
        <w:tabs>
          <w:tab w:val="left" w:pos="720"/>
        </w:tabs>
        <w:rPr>
          <w:sz w:val="22"/>
          <w:szCs w:val="22"/>
        </w:rPr>
      </w:pPr>
      <w:r>
        <w:rPr>
          <w:b/>
          <w:sz w:val="22"/>
          <w:szCs w:val="22"/>
        </w:rPr>
        <w:t xml:space="preserve">2. </w:t>
      </w:r>
      <w:r>
        <w:rPr>
          <w:b/>
          <w:sz w:val="22"/>
          <w:szCs w:val="22"/>
        </w:rPr>
        <w:tab/>
        <w:t>KVALITATÍVNE A KVANTITATÍVNE ZLOŽENIE</w:t>
      </w:r>
    </w:p>
    <w:p w14:paraId="4F43118C" w14:textId="77777777" w:rsidR="003970A9" w:rsidRDefault="003970A9">
      <w:pPr>
        <w:rPr>
          <w:sz w:val="22"/>
          <w:szCs w:val="22"/>
        </w:rPr>
      </w:pPr>
    </w:p>
    <w:p w14:paraId="5B05146E" w14:textId="77777777" w:rsidR="003970A9" w:rsidRDefault="003970A9">
      <w:pPr>
        <w:rPr>
          <w:sz w:val="22"/>
          <w:szCs w:val="22"/>
        </w:rPr>
      </w:pPr>
      <w:r>
        <w:rPr>
          <w:sz w:val="22"/>
          <w:szCs w:val="22"/>
        </w:rPr>
        <w:t>Každá kapsula obsahuje 100 mg liečiva amantadini hydrochloridum.</w:t>
      </w:r>
    </w:p>
    <w:p w14:paraId="6CEDA15E" w14:textId="77777777" w:rsidR="003970A9" w:rsidRDefault="003970A9">
      <w:pPr>
        <w:rPr>
          <w:sz w:val="22"/>
          <w:szCs w:val="22"/>
        </w:rPr>
      </w:pPr>
    </w:p>
    <w:p w14:paraId="73547214" w14:textId="77777777" w:rsidR="003970A9" w:rsidRDefault="003970A9">
      <w:pPr>
        <w:rPr>
          <w:sz w:val="22"/>
          <w:szCs w:val="22"/>
        </w:rPr>
      </w:pPr>
      <w:r>
        <w:rPr>
          <w:sz w:val="22"/>
          <w:szCs w:val="22"/>
          <w:u w:val="single"/>
        </w:rPr>
        <w:t>Pomocná látka so známym účinkom:</w:t>
      </w:r>
      <w:r>
        <w:rPr>
          <w:sz w:val="22"/>
          <w:szCs w:val="22"/>
        </w:rPr>
        <w:t xml:space="preserve"> každá kapsula obsahuje 98 mg laktózy.</w:t>
      </w:r>
    </w:p>
    <w:p w14:paraId="09A96EDE" w14:textId="77777777" w:rsidR="003970A9" w:rsidRDefault="003970A9">
      <w:pPr>
        <w:rPr>
          <w:sz w:val="22"/>
          <w:szCs w:val="22"/>
        </w:rPr>
      </w:pPr>
    </w:p>
    <w:p w14:paraId="440EE907" w14:textId="77777777" w:rsidR="003970A9" w:rsidRDefault="003970A9">
      <w:pPr>
        <w:outlineLvl w:val="0"/>
        <w:rPr>
          <w:sz w:val="22"/>
          <w:szCs w:val="22"/>
        </w:rPr>
      </w:pPr>
      <w:r>
        <w:rPr>
          <w:sz w:val="22"/>
          <w:szCs w:val="22"/>
        </w:rPr>
        <w:t>Úplný zoznam pomocných látok, pozri časť 6.1.</w:t>
      </w:r>
    </w:p>
    <w:p w14:paraId="0B0E9C18" w14:textId="77777777" w:rsidR="003970A9" w:rsidRDefault="003970A9">
      <w:pPr>
        <w:rPr>
          <w:sz w:val="22"/>
          <w:szCs w:val="22"/>
        </w:rPr>
      </w:pPr>
    </w:p>
    <w:p w14:paraId="4A87036F" w14:textId="77777777" w:rsidR="003970A9" w:rsidRDefault="003970A9">
      <w:pPr>
        <w:rPr>
          <w:sz w:val="22"/>
          <w:szCs w:val="22"/>
        </w:rPr>
      </w:pPr>
    </w:p>
    <w:p w14:paraId="389B9470" w14:textId="77777777" w:rsidR="003970A9" w:rsidRDefault="003970A9">
      <w:pPr>
        <w:rPr>
          <w:b/>
          <w:sz w:val="22"/>
          <w:szCs w:val="22"/>
        </w:rPr>
      </w:pPr>
      <w:r>
        <w:rPr>
          <w:b/>
          <w:sz w:val="22"/>
          <w:szCs w:val="22"/>
        </w:rPr>
        <w:t xml:space="preserve">3. </w:t>
      </w:r>
      <w:r>
        <w:rPr>
          <w:b/>
          <w:sz w:val="22"/>
          <w:szCs w:val="22"/>
        </w:rPr>
        <w:tab/>
        <w:t>LIEKOVÁ FORMA</w:t>
      </w:r>
    </w:p>
    <w:p w14:paraId="439A61BB" w14:textId="77777777" w:rsidR="003970A9" w:rsidRDefault="003970A9">
      <w:pPr>
        <w:rPr>
          <w:b/>
          <w:sz w:val="22"/>
          <w:szCs w:val="22"/>
        </w:rPr>
      </w:pPr>
    </w:p>
    <w:p w14:paraId="14A422FF" w14:textId="77777777" w:rsidR="003970A9" w:rsidRDefault="003970A9">
      <w:pPr>
        <w:rPr>
          <w:sz w:val="22"/>
          <w:szCs w:val="22"/>
        </w:rPr>
      </w:pPr>
      <w:r>
        <w:rPr>
          <w:sz w:val="22"/>
          <w:szCs w:val="22"/>
        </w:rPr>
        <w:t>Kapsula</w:t>
      </w:r>
    </w:p>
    <w:p w14:paraId="77DF3EDD" w14:textId="77777777" w:rsidR="003970A9" w:rsidRDefault="003970A9">
      <w:pPr>
        <w:rPr>
          <w:sz w:val="22"/>
          <w:szCs w:val="22"/>
        </w:rPr>
      </w:pPr>
    </w:p>
    <w:p w14:paraId="4A7BA742" w14:textId="77777777" w:rsidR="003970A9" w:rsidRDefault="003970A9">
      <w:pPr>
        <w:rPr>
          <w:sz w:val="22"/>
          <w:szCs w:val="22"/>
        </w:rPr>
      </w:pPr>
      <w:r>
        <w:rPr>
          <w:sz w:val="22"/>
          <w:szCs w:val="22"/>
        </w:rPr>
        <w:t>Popis: samozatváracia želatínová kapsula zelenej farby naplnená bielymi alebo žlto bielymi granulami bez zápachu alebo takmer bez zápachu.</w:t>
      </w:r>
    </w:p>
    <w:p w14:paraId="04CC7C4D" w14:textId="77777777" w:rsidR="003970A9" w:rsidRDefault="003970A9">
      <w:pPr>
        <w:rPr>
          <w:sz w:val="22"/>
          <w:szCs w:val="22"/>
        </w:rPr>
      </w:pPr>
    </w:p>
    <w:p w14:paraId="33C949F9" w14:textId="77777777" w:rsidR="003970A9" w:rsidRDefault="003970A9">
      <w:pPr>
        <w:rPr>
          <w:sz w:val="22"/>
          <w:szCs w:val="22"/>
        </w:rPr>
      </w:pPr>
    </w:p>
    <w:p w14:paraId="4C27B18B" w14:textId="77777777" w:rsidR="003970A9" w:rsidRDefault="003970A9">
      <w:pPr>
        <w:rPr>
          <w:b/>
          <w:sz w:val="22"/>
          <w:szCs w:val="22"/>
        </w:rPr>
      </w:pPr>
      <w:r>
        <w:rPr>
          <w:b/>
          <w:sz w:val="22"/>
          <w:szCs w:val="22"/>
        </w:rPr>
        <w:t xml:space="preserve">4. </w:t>
      </w:r>
      <w:r>
        <w:rPr>
          <w:b/>
          <w:sz w:val="22"/>
          <w:szCs w:val="22"/>
        </w:rPr>
        <w:tab/>
        <w:t>KLINICKÉ ÚDAJE</w:t>
      </w:r>
    </w:p>
    <w:p w14:paraId="29D30467" w14:textId="77777777" w:rsidR="003970A9" w:rsidRDefault="003970A9">
      <w:pPr>
        <w:rPr>
          <w:sz w:val="22"/>
          <w:szCs w:val="22"/>
        </w:rPr>
      </w:pPr>
    </w:p>
    <w:p w14:paraId="1F5CB445" w14:textId="77777777" w:rsidR="003970A9" w:rsidRDefault="003970A9">
      <w:pPr>
        <w:numPr>
          <w:ilvl w:val="1"/>
          <w:numId w:val="1"/>
        </w:numPr>
        <w:rPr>
          <w:b/>
          <w:sz w:val="22"/>
          <w:szCs w:val="22"/>
        </w:rPr>
      </w:pPr>
      <w:r>
        <w:rPr>
          <w:b/>
          <w:sz w:val="22"/>
          <w:szCs w:val="22"/>
        </w:rPr>
        <w:t>Terapeutické indikácie</w:t>
      </w:r>
    </w:p>
    <w:p w14:paraId="427C6E2B" w14:textId="77777777" w:rsidR="003970A9" w:rsidRDefault="003970A9">
      <w:pPr>
        <w:rPr>
          <w:sz w:val="22"/>
          <w:szCs w:val="22"/>
        </w:rPr>
      </w:pPr>
    </w:p>
    <w:p w14:paraId="3A9B3CD1" w14:textId="77777777" w:rsidR="003970A9" w:rsidRDefault="003970A9">
      <w:pPr>
        <w:numPr>
          <w:ilvl w:val="0"/>
          <w:numId w:val="16"/>
        </w:numPr>
        <w:tabs>
          <w:tab w:val="num" w:pos="284"/>
        </w:tabs>
        <w:ind w:left="284" w:hanging="284"/>
        <w:rPr>
          <w:sz w:val="22"/>
          <w:szCs w:val="22"/>
          <w:lang w:eastAsia="pl-PL"/>
        </w:rPr>
      </w:pPr>
      <w:r>
        <w:rPr>
          <w:sz w:val="22"/>
          <w:szCs w:val="22"/>
          <w:lang w:eastAsia="pl-PL"/>
        </w:rPr>
        <w:t>Liečba Parkinsonovej choroby a extrapyramídového syndrómu rôznej etiológie</w:t>
      </w:r>
    </w:p>
    <w:p w14:paraId="7078E58E" w14:textId="77777777" w:rsidR="003970A9" w:rsidRDefault="003970A9">
      <w:pPr>
        <w:numPr>
          <w:ilvl w:val="0"/>
          <w:numId w:val="16"/>
        </w:numPr>
        <w:tabs>
          <w:tab w:val="num" w:pos="284"/>
        </w:tabs>
        <w:ind w:left="284" w:hanging="284"/>
        <w:rPr>
          <w:sz w:val="22"/>
          <w:szCs w:val="22"/>
          <w:lang w:eastAsia="pl-PL"/>
        </w:rPr>
      </w:pPr>
      <w:r>
        <w:rPr>
          <w:sz w:val="22"/>
          <w:szCs w:val="22"/>
          <w:lang w:eastAsia="pl-PL"/>
        </w:rPr>
        <w:t>Postencefalitický parkinsonizmus</w:t>
      </w:r>
    </w:p>
    <w:p w14:paraId="690B6B4D" w14:textId="77777777" w:rsidR="003970A9" w:rsidRDefault="003970A9">
      <w:pPr>
        <w:numPr>
          <w:ilvl w:val="0"/>
          <w:numId w:val="16"/>
        </w:numPr>
        <w:tabs>
          <w:tab w:val="num" w:pos="284"/>
        </w:tabs>
        <w:ind w:left="284" w:hanging="284"/>
        <w:rPr>
          <w:sz w:val="22"/>
          <w:szCs w:val="22"/>
          <w:lang w:eastAsia="pl-PL"/>
        </w:rPr>
      </w:pPr>
      <w:r>
        <w:rPr>
          <w:sz w:val="22"/>
          <w:szCs w:val="22"/>
          <w:lang w:eastAsia="pl-PL"/>
        </w:rPr>
        <w:t>Symptomatický parkinsonizmus po intoxikácii oxidom uhoľnatým</w:t>
      </w:r>
    </w:p>
    <w:p w14:paraId="76204668" w14:textId="77777777" w:rsidR="003970A9" w:rsidRDefault="003970A9">
      <w:pPr>
        <w:numPr>
          <w:ilvl w:val="0"/>
          <w:numId w:val="16"/>
        </w:numPr>
        <w:tabs>
          <w:tab w:val="num" w:pos="284"/>
        </w:tabs>
        <w:ind w:left="284" w:hanging="284"/>
        <w:rPr>
          <w:sz w:val="22"/>
          <w:szCs w:val="22"/>
          <w:lang w:eastAsia="pl-PL"/>
        </w:rPr>
      </w:pPr>
      <w:r>
        <w:rPr>
          <w:sz w:val="22"/>
          <w:szCs w:val="22"/>
          <w:lang w:eastAsia="pl-PL"/>
        </w:rPr>
        <w:t>Parkinsonizmus spojený so senilnou cerebrálnou arteriosklerózou a</w:t>
      </w:r>
    </w:p>
    <w:p w14:paraId="4F39F107" w14:textId="77777777" w:rsidR="003970A9" w:rsidRDefault="003970A9" w:rsidP="00BA681D">
      <w:pPr>
        <w:numPr>
          <w:ilvl w:val="0"/>
          <w:numId w:val="16"/>
        </w:numPr>
        <w:tabs>
          <w:tab w:val="num" w:pos="284"/>
          <w:tab w:val="left" w:pos="720"/>
        </w:tabs>
        <w:ind w:left="284" w:hanging="284"/>
        <w:rPr>
          <w:sz w:val="22"/>
          <w:szCs w:val="22"/>
          <w:lang w:eastAsia="pl-PL"/>
        </w:rPr>
      </w:pPr>
      <w:r>
        <w:rPr>
          <w:sz w:val="22"/>
          <w:szCs w:val="22"/>
          <w:lang w:eastAsia="pl-PL"/>
        </w:rPr>
        <w:t>Extrapyramídové symptómy indukované liekmi.</w:t>
      </w:r>
    </w:p>
    <w:p w14:paraId="7CE06D16" w14:textId="77777777" w:rsidR="003970A9" w:rsidRDefault="003970A9">
      <w:pPr>
        <w:rPr>
          <w:sz w:val="22"/>
          <w:szCs w:val="22"/>
          <w:lang w:eastAsia="pl-PL"/>
        </w:rPr>
      </w:pPr>
    </w:p>
    <w:p w14:paraId="52BD22B5" w14:textId="77777777" w:rsidR="00F83199" w:rsidRDefault="003970A9">
      <w:pPr>
        <w:numPr>
          <w:ilvl w:val="0"/>
          <w:numId w:val="16"/>
        </w:numPr>
        <w:tabs>
          <w:tab w:val="num" w:pos="284"/>
        </w:tabs>
        <w:ind w:left="284" w:hanging="284"/>
        <w:rPr>
          <w:sz w:val="22"/>
          <w:szCs w:val="22"/>
          <w:lang w:eastAsia="pl-PL"/>
        </w:rPr>
      </w:pPr>
      <w:r>
        <w:rPr>
          <w:sz w:val="22"/>
          <w:szCs w:val="22"/>
          <w:lang w:eastAsia="pl-PL"/>
        </w:rPr>
        <w:t xml:space="preserve">Profylaxia a včasná liečba (od 1. alebo 2. dňa) respiračných ochorení spôsobených vírusom </w:t>
      </w:r>
    </w:p>
    <w:p w14:paraId="48C5D323" w14:textId="6C1FEE78" w:rsidR="003970A9" w:rsidRDefault="00F83199" w:rsidP="00F83199">
      <w:pPr>
        <w:ind w:left="284"/>
        <w:rPr>
          <w:sz w:val="22"/>
          <w:szCs w:val="22"/>
          <w:lang w:eastAsia="pl-PL"/>
        </w:rPr>
      </w:pPr>
      <w:r>
        <w:rPr>
          <w:sz w:val="22"/>
          <w:szCs w:val="22"/>
          <w:lang w:eastAsia="pl-PL"/>
        </w:rPr>
        <w:t>chrípky </w:t>
      </w:r>
      <w:r w:rsidR="003970A9">
        <w:rPr>
          <w:sz w:val="22"/>
          <w:szCs w:val="22"/>
          <w:lang w:eastAsia="pl-PL"/>
        </w:rPr>
        <w:t>A.</w:t>
      </w:r>
    </w:p>
    <w:p w14:paraId="6841C027" w14:textId="77777777" w:rsidR="003970A9" w:rsidRDefault="003970A9">
      <w:pPr>
        <w:numPr>
          <w:ilvl w:val="0"/>
          <w:numId w:val="16"/>
        </w:numPr>
        <w:tabs>
          <w:tab w:val="num" w:pos="284"/>
        </w:tabs>
        <w:ind w:left="284" w:hanging="284"/>
        <w:rPr>
          <w:sz w:val="22"/>
          <w:szCs w:val="22"/>
          <w:lang w:eastAsia="pl-PL"/>
        </w:rPr>
      </w:pPr>
      <w:r>
        <w:rPr>
          <w:sz w:val="22"/>
          <w:szCs w:val="22"/>
          <w:lang w:eastAsia="pl-PL"/>
        </w:rPr>
        <w:t xml:space="preserve">Profylaxia u vysoko rizikových populácií – starší ľudia, pacienti s pľúcnym alebo srdcovocievnym ochorením, osoby s oslabeným imunitným systémom, obyvatelia a pracovníci v komunitách zasiahnutých infekciou, keď vakcinácia nie je dostupná alebo je kontraindikovaná. </w:t>
      </w:r>
      <w:r>
        <w:rPr>
          <w:sz w:val="22"/>
          <w:szCs w:val="22"/>
        </w:rPr>
        <w:t>Ak sa kapsuly podávajú spolu s vakcínou na aktívnu imunizáciu, liek nemá vplyv na vývin imunitnej reakcie.</w:t>
      </w:r>
    </w:p>
    <w:p w14:paraId="3D757B39" w14:textId="77777777" w:rsidR="003970A9" w:rsidRDefault="003970A9">
      <w:pPr>
        <w:rPr>
          <w:sz w:val="22"/>
          <w:szCs w:val="22"/>
        </w:rPr>
      </w:pPr>
    </w:p>
    <w:p w14:paraId="5F05187D" w14:textId="77777777" w:rsidR="003970A9" w:rsidRDefault="003970A9">
      <w:pPr>
        <w:numPr>
          <w:ilvl w:val="1"/>
          <w:numId w:val="1"/>
        </w:numPr>
        <w:rPr>
          <w:b/>
          <w:sz w:val="22"/>
          <w:szCs w:val="22"/>
        </w:rPr>
      </w:pPr>
      <w:r>
        <w:rPr>
          <w:b/>
          <w:sz w:val="22"/>
          <w:szCs w:val="22"/>
        </w:rPr>
        <w:t>Dávkovanie a spôsob podávania</w:t>
      </w:r>
    </w:p>
    <w:p w14:paraId="61896AFE" w14:textId="77777777" w:rsidR="003970A9" w:rsidRDefault="003970A9">
      <w:pPr>
        <w:rPr>
          <w:sz w:val="22"/>
          <w:szCs w:val="22"/>
        </w:rPr>
      </w:pPr>
    </w:p>
    <w:p w14:paraId="6FDA8E94" w14:textId="77777777" w:rsidR="003970A9" w:rsidRDefault="003970A9">
      <w:pPr>
        <w:suppressAutoHyphens/>
        <w:autoSpaceDN w:val="0"/>
        <w:textAlignment w:val="baseline"/>
        <w:rPr>
          <w:sz w:val="22"/>
          <w:szCs w:val="22"/>
          <w:u w:val="single"/>
          <w:lang w:val="it-IT" w:eastAsia="pl-PL"/>
        </w:rPr>
      </w:pPr>
      <w:r>
        <w:rPr>
          <w:sz w:val="22"/>
          <w:szCs w:val="22"/>
          <w:u w:val="single"/>
          <w:lang w:val="it-IT" w:eastAsia="pl-PL"/>
        </w:rPr>
        <w:t>Dávkovanie</w:t>
      </w:r>
    </w:p>
    <w:p w14:paraId="2E9CAAB8" w14:textId="77777777" w:rsidR="003970A9" w:rsidRDefault="003970A9">
      <w:pPr>
        <w:rPr>
          <w:sz w:val="22"/>
          <w:szCs w:val="22"/>
          <w:u w:val="single"/>
        </w:rPr>
      </w:pPr>
    </w:p>
    <w:p w14:paraId="4B4E1E7F" w14:textId="77777777" w:rsidR="003970A9" w:rsidRDefault="003970A9">
      <w:pPr>
        <w:rPr>
          <w:b/>
          <w:bCs/>
          <w:i/>
          <w:sz w:val="22"/>
          <w:szCs w:val="22"/>
          <w:lang w:val="it-IT" w:eastAsia="hu-HU"/>
        </w:rPr>
      </w:pPr>
      <w:r>
        <w:rPr>
          <w:b/>
          <w:bCs/>
          <w:i/>
          <w:sz w:val="22"/>
          <w:szCs w:val="22"/>
          <w:lang w:val="it-IT" w:eastAsia="hu-HU"/>
        </w:rPr>
        <w:t>Parkinsonova choroba a extrapyramídový syndróm:</w:t>
      </w:r>
    </w:p>
    <w:p w14:paraId="0EF4DD2F" w14:textId="77777777" w:rsidR="003970A9" w:rsidRDefault="003970A9">
      <w:pPr>
        <w:rPr>
          <w:sz w:val="22"/>
          <w:szCs w:val="22"/>
        </w:rPr>
      </w:pPr>
    </w:p>
    <w:p w14:paraId="62D60EE4" w14:textId="77777777" w:rsidR="003970A9" w:rsidRDefault="003970A9">
      <w:pPr>
        <w:rPr>
          <w:sz w:val="22"/>
          <w:szCs w:val="22"/>
          <w:lang w:eastAsia="hu-HU"/>
        </w:rPr>
      </w:pPr>
      <w:r>
        <w:rPr>
          <w:sz w:val="22"/>
          <w:szCs w:val="22"/>
          <w:lang w:eastAsia="hu-HU"/>
        </w:rPr>
        <w:t>U dospelých:</w:t>
      </w:r>
    </w:p>
    <w:p w14:paraId="49063138" w14:textId="77777777" w:rsidR="003970A9" w:rsidRDefault="003970A9">
      <w:pPr>
        <w:rPr>
          <w:sz w:val="22"/>
          <w:szCs w:val="22"/>
        </w:rPr>
      </w:pPr>
      <w:r>
        <w:rPr>
          <w:sz w:val="22"/>
          <w:szCs w:val="22"/>
        </w:rPr>
        <w:t>Úvodná denná dávka je 100 mg denne počas prvého týždňa, následne sa zvyšuje na 100 mg dvakrát denne.</w:t>
      </w:r>
    </w:p>
    <w:p w14:paraId="0D9B1CDF" w14:textId="77777777" w:rsidR="003970A9" w:rsidRDefault="003970A9">
      <w:pPr>
        <w:rPr>
          <w:sz w:val="22"/>
          <w:szCs w:val="22"/>
        </w:rPr>
      </w:pPr>
      <w:r>
        <w:rPr>
          <w:sz w:val="22"/>
          <w:szCs w:val="22"/>
        </w:rPr>
        <w:t>Dávka môže byť titrovaná podľa príznakov a symptómov. Dávky prevyšujúce 200 mg denne môžu priniesť dodatočnú úľavu, ale môžu byť spojené aj so zvyšujúcou sa toxicitou.</w:t>
      </w:r>
    </w:p>
    <w:p w14:paraId="12AF3D3A" w14:textId="77777777" w:rsidR="003970A9" w:rsidRDefault="003970A9">
      <w:pPr>
        <w:rPr>
          <w:sz w:val="22"/>
          <w:szCs w:val="22"/>
        </w:rPr>
      </w:pPr>
      <w:r>
        <w:rPr>
          <w:sz w:val="22"/>
          <w:szCs w:val="22"/>
        </w:rPr>
        <w:lastRenderedPageBreak/>
        <w:t>Dávka 400 mg/deň sa nemá prekročiť. Dávka sa má zvyšovať postupne v minimálne týždňových intervaloch.</w:t>
      </w:r>
    </w:p>
    <w:p w14:paraId="67CCA5F8" w14:textId="77777777" w:rsidR="003970A9" w:rsidRDefault="003970A9">
      <w:pPr>
        <w:rPr>
          <w:sz w:val="22"/>
          <w:szCs w:val="22"/>
        </w:rPr>
      </w:pPr>
    </w:p>
    <w:p w14:paraId="31081B5F" w14:textId="77777777" w:rsidR="003970A9" w:rsidRDefault="003970A9">
      <w:pPr>
        <w:rPr>
          <w:sz w:val="22"/>
          <w:szCs w:val="22"/>
        </w:rPr>
      </w:pPr>
      <w:r>
        <w:rPr>
          <w:sz w:val="22"/>
          <w:szCs w:val="22"/>
        </w:rPr>
        <w:t>Starší pacienti:</w:t>
      </w:r>
    </w:p>
    <w:p w14:paraId="1F0EE427" w14:textId="77777777" w:rsidR="003970A9" w:rsidRDefault="003970A9">
      <w:pPr>
        <w:rPr>
          <w:sz w:val="22"/>
          <w:szCs w:val="22"/>
        </w:rPr>
      </w:pPr>
      <w:r>
        <w:rPr>
          <w:sz w:val="22"/>
          <w:szCs w:val="22"/>
        </w:rPr>
        <w:t>Keďže pacienti starší ako 65 rokov mávajú sklon k zníženému renálnemu klírensu a následne zvýšeným plazmatickým koncentráciám, má sa užívať najnižšia účinná dávka.</w:t>
      </w:r>
    </w:p>
    <w:p w14:paraId="19538170" w14:textId="77777777" w:rsidR="003970A9" w:rsidRDefault="003970A9">
      <w:pPr>
        <w:rPr>
          <w:sz w:val="22"/>
          <w:szCs w:val="22"/>
        </w:rPr>
      </w:pPr>
      <w:r>
        <w:rPr>
          <w:sz w:val="22"/>
          <w:szCs w:val="22"/>
        </w:rPr>
        <w:t>Amantadín účinkuje v priebehu niekoľkých dní, ale po niekoľkých mesiacoch nepretržitej liečby sa môže javiť pokles účinku. Účinnosť sa môže predĺžiť prerušením liečby na tri až štyri týždne, čím sa obnoví aktivita. Počas tohto obdobia sa má pokračovať v prebiehajúcej súčasnej antiparkinsonickej liečbe, alebo sa má začať liečba nízkou dávkou L-dopy, ak je to klinicky potrebné.</w:t>
      </w:r>
    </w:p>
    <w:p w14:paraId="3399744A" w14:textId="77777777" w:rsidR="003970A9" w:rsidRDefault="003970A9">
      <w:pPr>
        <w:rPr>
          <w:sz w:val="22"/>
          <w:szCs w:val="22"/>
        </w:rPr>
      </w:pPr>
      <w:r>
        <w:rPr>
          <w:sz w:val="22"/>
          <w:szCs w:val="22"/>
        </w:rPr>
        <w:t>Vysadenie amantadínu má byť postupné, t.j. po pol dávky v týždňových intervaloch.</w:t>
      </w:r>
    </w:p>
    <w:p w14:paraId="210F031E" w14:textId="77777777" w:rsidR="003970A9" w:rsidRDefault="003970A9">
      <w:pPr>
        <w:rPr>
          <w:sz w:val="22"/>
          <w:szCs w:val="22"/>
        </w:rPr>
      </w:pPr>
      <w:r>
        <w:rPr>
          <w:sz w:val="22"/>
          <w:szCs w:val="22"/>
        </w:rPr>
        <w:t>Náhle ukončenie liečby môže znovu obnoviť parkinsonizmus, bez ohľadu na pacientovu reakciu na liečbu (pozri časť 4.4 „Osobitné upozornenia a opatrenia pri používaní“).</w:t>
      </w:r>
    </w:p>
    <w:p w14:paraId="57F74D45" w14:textId="77777777" w:rsidR="003970A9" w:rsidRDefault="003970A9">
      <w:pPr>
        <w:rPr>
          <w:sz w:val="22"/>
          <w:szCs w:val="22"/>
        </w:rPr>
      </w:pPr>
      <w:r>
        <w:rPr>
          <w:i/>
          <w:sz w:val="22"/>
          <w:szCs w:val="22"/>
        </w:rPr>
        <w:t>Kombinovaná liečba:</w:t>
      </w:r>
      <w:r>
        <w:rPr>
          <w:sz w:val="22"/>
          <w:szCs w:val="22"/>
        </w:rPr>
        <w:t xml:space="preserve"> akékoľvek už užívané antiparkinsonikum sa má naďalej užívať počas počiatočnej fázy liečby amantadínom. Neskôr je možné postupne znižovať dávku iného lieku. Ak sa vyskytne nárast nežiaducich účinkov, dávka sa má znížiť rýchlejšie. U pacientov, ktorí dostávajú vysoké dávky anticholinergík alebo L-dopy, sa má úvodná fáza liečby amantadínom predĺžiť na 15 dní.</w:t>
      </w:r>
    </w:p>
    <w:p w14:paraId="455C32D2" w14:textId="77777777" w:rsidR="003970A9" w:rsidRDefault="003970A9">
      <w:pPr>
        <w:rPr>
          <w:sz w:val="22"/>
          <w:szCs w:val="22"/>
        </w:rPr>
      </w:pPr>
    </w:p>
    <w:p w14:paraId="7D168B8F" w14:textId="26EE70A6" w:rsidR="003970A9" w:rsidRDefault="00F83199">
      <w:pPr>
        <w:rPr>
          <w:sz w:val="22"/>
          <w:szCs w:val="22"/>
          <w:u w:val="single"/>
        </w:rPr>
      </w:pPr>
      <w:r>
        <w:rPr>
          <w:sz w:val="22"/>
          <w:szCs w:val="22"/>
          <w:u w:val="single"/>
        </w:rPr>
        <w:t>Pri infekciách vírusom chrípky </w:t>
      </w:r>
      <w:r w:rsidR="003970A9">
        <w:rPr>
          <w:sz w:val="22"/>
          <w:szCs w:val="22"/>
          <w:u w:val="single"/>
        </w:rPr>
        <w:t>A</w:t>
      </w:r>
    </w:p>
    <w:p w14:paraId="64F4F504" w14:textId="77777777" w:rsidR="003970A9" w:rsidRDefault="003970A9">
      <w:pPr>
        <w:rPr>
          <w:sz w:val="22"/>
          <w:szCs w:val="22"/>
        </w:rPr>
      </w:pPr>
      <w:r>
        <w:rPr>
          <w:i/>
          <w:sz w:val="22"/>
          <w:szCs w:val="22"/>
        </w:rPr>
        <w:t>Liečba:</w:t>
      </w:r>
      <w:r>
        <w:rPr>
          <w:sz w:val="22"/>
          <w:szCs w:val="22"/>
        </w:rPr>
        <w:t xml:space="preserve"> S liečbou chrípky sa odporúča začať čo najskôr a pokračovať počas 4 až 5 dní. Ak sa liečba amantadínom začne do 48 hodín od nástupu príznakov, trvanie horúčky a iných následkov sa skráti o jeden až dva dni a zápalová reakcia bronchiálneho stromu, ktorá obyčajne sprevádza chrípku odznie rýchlejšie.</w:t>
      </w:r>
    </w:p>
    <w:p w14:paraId="24689543" w14:textId="77777777" w:rsidR="003970A9" w:rsidRDefault="003970A9">
      <w:pPr>
        <w:rPr>
          <w:sz w:val="22"/>
          <w:szCs w:val="22"/>
        </w:rPr>
      </w:pPr>
      <w:r>
        <w:rPr>
          <w:i/>
          <w:sz w:val="22"/>
          <w:szCs w:val="22"/>
        </w:rPr>
        <w:t>Profylaxia:</w:t>
      </w:r>
      <w:r>
        <w:rPr>
          <w:sz w:val="22"/>
          <w:szCs w:val="22"/>
        </w:rPr>
        <w:t xml:space="preserve"> Podávajte denne počas celého obdobia, keď je potrebná ochrana pred infekciou. Najčastejšie je to počas 6 týždňov. Ak sa užíva popri podaní vakcíny s inaktivovanou chrípkou A, amantadín sa podáva počas 2 až 3 týždňov po očkovaní.</w:t>
      </w:r>
    </w:p>
    <w:p w14:paraId="5B32FA03" w14:textId="77777777" w:rsidR="003970A9" w:rsidRDefault="003970A9">
      <w:pPr>
        <w:rPr>
          <w:sz w:val="22"/>
          <w:szCs w:val="22"/>
        </w:rPr>
      </w:pPr>
    </w:p>
    <w:p w14:paraId="4DAE3AA7" w14:textId="77777777" w:rsidR="003970A9" w:rsidRDefault="003970A9">
      <w:pPr>
        <w:rPr>
          <w:sz w:val="22"/>
          <w:szCs w:val="22"/>
        </w:rPr>
      </w:pPr>
      <w:r>
        <w:rPr>
          <w:sz w:val="22"/>
          <w:szCs w:val="22"/>
        </w:rPr>
        <w:t>U dospelých: 100 mg denne počas odporučeného obdobia.</w:t>
      </w:r>
    </w:p>
    <w:p w14:paraId="300CF249" w14:textId="77777777" w:rsidR="003970A9" w:rsidRDefault="003970A9">
      <w:pPr>
        <w:rPr>
          <w:sz w:val="22"/>
          <w:szCs w:val="22"/>
        </w:rPr>
      </w:pPr>
      <w:r>
        <w:rPr>
          <w:sz w:val="22"/>
          <w:szCs w:val="22"/>
        </w:rPr>
        <w:t>Pacienti starší ako 65 rokov: Koncentrácie amantadínu v plazme sú ovplyvnené funkciou obličiek. U starších ľudí je polčas eliminácie dlhší a renálny klírens liečiva znížený oproti mladším ľuďom. Môže byť vhodné podávať dennú dávku nižšiu ako 100 mg alebo podávať 100 mg dávku v intervaloch väčších ako jeden deň.</w:t>
      </w:r>
    </w:p>
    <w:p w14:paraId="7BB79748" w14:textId="77777777" w:rsidR="003970A9" w:rsidRDefault="003970A9">
      <w:pPr>
        <w:rPr>
          <w:sz w:val="22"/>
          <w:szCs w:val="22"/>
        </w:rPr>
      </w:pPr>
    </w:p>
    <w:p w14:paraId="4D33B146" w14:textId="77777777" w:rsidR="003970A9" w:rsidRDefault="003970A9">
      <w:pPr>
        <w:rPr>
          <w:i/>
          <w:sz w:val="22"/>
          <w:szCs w:val="22"/>
        </w:rPr>
      </w:pPr>
      <w:r>
        <w:rPr>
          <w:i/>
          <w:sz w:val="22"/>
          <w:szCs w:val="22"/>
        </w:rPr>
        <w:t>Pediatrická populácia</w:t>
      </w:r>
    </w:p>
    <w:p w14:paraId="532497AE" w14:textId="2F3A50EB" w:rsidR="003970A9" w:rsidRDefault="00F83199">
      <w:pPr>
        <w:rPr>
          <w:sz w:val="22"/>
          <w:szCs w:val="22"/>
        </w:rPr>
      </w:pPr>
      <w:r>
        <w:rPr>
          <w:sz w:val="22"/>
          <w:szCs w:val="22"/>
        </w:rPr>
        <w:t>Pri infekciách vírusom chrípky </w:t>
      </w:r>
      <w:r w:rsidR="003970A9">
        <w:rPr>
          <w:sz w:val="22"/>
          <w:szCs w:val="22"/>
        </w:rPr>
        <w:t>A:</w:t>
      </w:r>
    </w:p>
    <w:p w14:paraId="3DDBD277" w14:textId="77777777" w:rsidR="003970A9" w:rsidRDefault="003970A9">
      <w:pPr>
        <w:rPr>
          <w:sz w:val="22"/>
          <w:szCs w:val="22"/>
        </w:rPr>
      </w:pPr>
      <w:r>
        <w:rPr>
          <w:sz w:val="22"/>
          <w:szCs w:val="22"/>
        </w:rPr>
        <w:t>Deti vo veku od 10 do 15 rokov: 100 mg denne počas odporúčaného obdobia.</w:t>
      </w:r>
    </w:p>
    <w:p w14:paraId="3525FA6B" w14:textId="77777777" w:rsidR="003970A9" w:rsidRDefault="003970A9">
      <w:pPr>
        <w:rPr>
          <w:sz w:val="22"/>
          <w:szCs w:val="22"/>
        </w:rPr>
      </w:pPr>
      <w:r>
        <w:rPr>
          <w:sz w:val="22"/>
          <w:szCs w:val="22"/>
        </w:rPr>
        <w:t>Deti mladšie ako 10 rokov: Dávka nie je stanovená.</w:t>
      </w:r>
    </w:p>
    <w:p w14:paraId="0D04B6E3" w14:textId="77777777" w:rsidR="003970A9" w:rsidRDefault="003970A9">
      <w:pPr>
        <w:rPr>
          <w:sz w:val="22"/>
          <w:szCs w:val="22"/>
        </w:rPr>
      </w:pPr>
      <w:r>
        <w:rPr>
          <w:sz w:val="22"/>
          <w:szCs w:val="22"/>
        </w:rPr>
        <w:t>U pacientov s </w:t>
      </w:r>
      <w:r>
        <w:rPr>
          <w:b/>
          <w:sz w:val="22"/>
          <w:szCs w:val="22"/>
        </w:rPr>
        <w:t>poškodením funkcie obličiek</w:t>
      </w:r>
      <w:r>
        <w:rPr>
          <w:sz w:val="22"/>
          <w:szCs w:val="22"/>
        </w:rPr>
        <w:t>: dávka amantadínu sa má znížiť. Zníženie dávky sa môže realizovať buď znížením celkovej dennej dávky, alebo predĺžením intervalu podávania v závislosti od klírensu kreatinínu. Napríklad,</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942"/>
        <w:gridCol w:w="4819"/>
      </w:tblGrid>
      <w:tr w:rsidR="003970A9" w14:paraId="1E1A090A"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08E8D80B" w14:textId="77777777" w:rsidR="003970A9" w:rsidRDefault="003970A9">
            <w:pPr>
              <w:rPr>
                <w:sz w:val="22"/>
                <w:szCs w:val="22"/>
                <w:lang w:eastAsia="hu-HU"/>
              </w:rPr>
            </w:pPr>
            <w:r>
              <w:rPr>
                <w:sz w:val="22"/>
                <w:szCs w:val="22"/>
                <w:lang w:eastAsia="hu-HU"/>
              </w:rPr>
              <w:t>Klírens kreatinínu ml/(min)</w:t>
            </w:r>
          </w:p>
        </w:tc>
        <w:tc>
          <w:tcPr>
            <w:tcW w:w="2750" w:type="pct"/>
            <w:tcBorders>
              <w:top w:val="outset" w:sz="6" w:space="0" w:color="auto"/>
              <w:left w:val="outset" w:sz="6" w:space="0" w:color="auto"/>
              <w:bottom w:val="outset" w:sz="6" w:space="0" w:color="auto"/>
              <w:right w:val="outset" w:sz="6" w:space="0" w:color="auto"/>
            </w:tcBorders>
          </w:tcPr>
          <w:p w14:paraId="67B4CC99" w14:textId="77777777" w:rsidR="003970A9" w:rsidRDefault="003970A9">
            <w:pPr>
              <w:rPr>
                <w:sz w:val="22"/>
                <w:szCs w:val="22"/>
                <w:lang w:eastAsia="hu-HU"/>
              </w:rPr>
            </w:pPr>
            <w:r>
              <w:rPr>
                <w:sz w:val="22"/>
                <w:szCs w:val="22"/>
                <w:lang w:eastAsia="hu-HU"/>
              </w:rPr>
              <w:t>Dávka</w:t>
            </w:r>
          </w:p>
        </w:tc>
      </w:tr>
      <w:tr w:rsidR="003970A9" w14:paraId="20045280"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67D976FC" w14:textId="77777777" w:rsidR="003970A9" w:rsidRDefault="003970A9">
            <w:pPr>
              <w:rPr>
                <w:sz w:val="22"/>
                <w:szCs w:val="22"/>
                <w:lang w:eastAsia="hu-HU"/>
              </w:rPr>
            </w:pPr>
            <w:r>
              <w:rPr>
                <w:sz w:val="22"/>
                <w:szCs w:val="22"/>
                <w:lang w:eastAsia="hu-HU"/>
              </w:rPr>
              <w:t>&lt; 15</w:t>
            </w:r>
          </w:p>
        </w:tc>
        <w:tc>
          <w:tcPr>
            <w:tcW w:w="2750" w:type="pct"/>
            <w:tcBorders>
              <w:top w:val="outset" w:sz="6" w:space="0" w:color="auto"/>
              <w:left w:val="outset" w:sz="6" w:space="0" w:color="auto"/>
              <w:bottom w:val="outset" w:sz="6" w:space="0" w:color="auto"/>
              <w:right w:val="outset" w:sz="6" w:space="0" w:color="auto"/>
            </w:tcBorders>
          </w:tcPr>
          <w:p w14:paraId="1CB67DC9" w14:textId="77777777" w:rsidR="003970A9" w:rsidRDefault="003970A9">
            <w:pPr>
              <w:rPr>
                <w:sz w:val="22"/>
                <w:szCs w:val="22"/>
                <w:lang w:eastAsia="hu-HU"/>
              </w:rPr>
            </w:pPr>
            <w:r>
              <w:rPr>
                <w:sz w:val="22"/>
                <w:szCs w:val="22"/>
                <w:lang w:eastAsia="hu-HU"/>
              </w:rPr>
              <w:t>kontraindikovaná.</w:t>
            </w:r>
          </w:p>
        </w:tc>
      </w:tr>
      <w:tr w:rsidR="003970A9" w14:paraId="36EECB55"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60DDC11B" w14:textId="77777777" w:rsidR="003970A9" w:rsidRDefault="003970A9">
            <w:pPr>
              <w:rPr>
                <w:sz w:val="22"/>
                <w:szCs w:val="22"/>
                <w:lang w:eastAsia="hu-HU"/>
              </w:rPr>
            </w:pPr>
            <w:r>
              <w:rPr>
                <w:sz w:val="22"/>
                <w:szCs w:val="22"/>
                <w:lang w:eastAsia="hu-HU"/>
              </w:rPr>
              <w:t>15 – 35</w:t>
            </w:r>
          </w:p>
        </w:tc>
        <w:tc>
          <w:tcPr>
            <w:tcW w:w="2750" w:type="pct"/>
            <w:tcBorders>
              <w:top w:val="outset" w:sz="6" w:space="0" w:color="auto"/>
              <w:left w:val="outset" w:sz="6" w:space="0" w:color="auto"/>
              <w:bottom w:val="outset" w:sz="6" w:space="0" w:color="auto"/>
              <w:right w:val="outset" w:sz="6" w:space="0" w:color="auto"/>
            </w:tcBorders>
          </w:tcPr>
          <w:p w14:paraId="36460306" w14:textId="77777777" w:rsidR="003970A9" w:rsidRDefault="003970A9">
            <w:pPr>
              <w:rPr>
                <w:sz w:val="22"/>
                <w:szCs w:val="22"/>
                <w:lang w:eastAsia="hu-HU"/>
              </w:rPr>
            </w:pPr>
            <w:r>
              <w:rPr>
                <w:sz w:val="22"/>
                <w:szCs w:val="22"/>
                <w:lang w:eastAsia="hu-HU"/>
              </w:rPr>
              <w:t>100 mg každé 2 až 3 dni.</w:t>
            </w:r>
          </w:p>
        </w:tc>
      </w:tr>
      <w:tr w:rsidR="003970A9" w14:paraId="73717711" w14:textId="77777777">
        <w:trPr>
          <w:tblCellSpacing w:w="0" w:type="dxa"/>
        </w:trPr>
        <w:tc>
          <w:tcPr>
            <w:tcW w:w="2250" w:type="pct"/>
            <w:tcBorders>
              <w:top w:val="outset" w:sz="6" w:space="0" w:color="auto"/>
              <w:left w:val="outset" w:sz="6" w:space="0" w:color="auto"/>
              <w:bottom w:val="outset" w:sz="6" w:space="0" w:color="auto"/>
              <w:right w:val="outset" w:sz="6" w:space="0" w:color="auto"/>
            </w:tcBorders>
          </w:tcPr>
          <w:p w14:paraId="01FB40AB" w14:textId="77777777" w:rsidR="003970A9" w:rsidRDefault="003970A9">
            <w:pPr>
              <w:rPr>
                <w:sz w:val="22"/>
                <w:szCs w:val="22"/>
                <w:lang w:eastAsia="hu-HU"/>
              </w:rPr>
            </w:pPr>
            <w:r>
              <w:rPr>
                <w:sz w:val="22"/>
                <w:szCs w:val="22"/>
                <w:lang w:eastAsia="hu-HU"/>
              </w:rPr>
              <w:t>&gt; 35</w:t>
            </w:r>
          </w:p>
        </w:tc>
        <w:tc>
          <w:tcPr>
            <w:tcW w:w="2750" w:type="pct"/>
            <w:tcBorders>
              <w:top w:val="outset" w:sz="6" w:space="0" w:color="auto"/>
              <w:left w:val="outset" w:sz="6" w:space="0" w:color="auto"/>
              <w:bottom w:val="outset" w:sz="6" w:space="0" w:color="auto"/>
              <w:right w:val="outset" w:sz="6" w:space="0" w:color="auto"/>
            </w:tcBorders>
          </w:tcPr>
          <w:p w14:paraId="1EEC89DC" w14:textId="77777777" w:rsidR="003970A9" w:rsidRDefault="003970A9">
            <w:pPr>
              <w:rPr>
                <w:sz w:val="22"/>
                <w:szCs w:val="22"/>
                <w:lang w:eastAsia="hu-HU"/>
              </w:rPr>
            </w:pPr>
            <w:r>
              <w:rPr>
                <w:sz w:val="22"/>
                <w:szCs w:val="22"/>
                <w:lang w:eastAsia="hu-HU"/>
              </w:rPr>
              <w:t>100 mg každý deň</w:t>
            </w:r>
          </w:p>
        </w:tc>
      </w:tr>
    </w:tbl>
    <w:p w14:paraId="62F1B638" w14:textId="77777777" w:rsidR="003970A9" w:rsidRDefault="003970A9">
      <w:pPr>
        <w:rPr>
          <w:sz w:val="22"/>
          <w:szCs w:val="22"/>
        </w:rPr>
      </w:pPr>
    </w:p>
    <w:p w14:paraId="6DE863AC" w14:textId="6B3F026A" w:rsidR="003970A9" w:rsidRDefault="003970A9">
      <w:pPr>
        <w:rPr>
          <w:sz w:val="22"/>
          <w:szCs w:val="22"/>
          <w:u w:val="single"/>
        </w:rPr>
      </w:pPr>
      <w:r>
        <w:rPr>
          <w:sz w:val="22"/>
          <w:szCs w:val="22"/>
          <w:u w:val="single"/>
        </w:rPr>
        <w:t>Spôsob pod</w:t>
      </w:r>
      <w:r w:rsidR="00F83199">
        <w:rPr>
          <w:sz w:val="22"/>
          <w:szCs w:val="22"/>
          <w:u w:val="single"/>
        </w:rPr>
        <w:t>áv</w:t>
      </w:r>
      <w:r>
        <w:rPr>
          <w:sz w:val="22"/>
          <w:szCs w:val="22"/>
          <w:u w:val="single"/>
        </w:rPr>
        <w:t>ania</w:t>
      </w:r>
    </w:p>
    <w:p w14:paraId="0744BBD1" w14:textId="77777777" w:rsidR="003970A9" w:rsidRDefault="003970A9">
      <w:pPr>
        <w:rPr>
          <w:sz w:val="22"/>
          <w:szCs w:val="22"/>
        </w:rPr>
      </w:pPr>
      <w:r>
        <w:rPr>
          <w:sz w:val="22"/>
          <w:szCs w:val="22"/>
        </w:rPr>
        <w:t>Kapsuly na perorálne použitie.</w:t>
      </w:r>
    </w:p>
    <w:p w14:paraId="7C4DD488" w14:textId="77777777" w:rsidR="003970A9" w:rsidRDefault="003970A9">
      <w:pPr>
        <w:rPr>
          <w:sz w:val="22"/>
          <w:szCs w:val="22"/>
        </w:rPr>
      </w:pPr>
    </w:p>
    <w:p w14:paraId="32865BEC" w14:textId="77777777" w:rsidR="00F83199" w:rsidRDefault="00F83199" w:rsidP="00F83199">
      <w:pPr>
        <w:rPr>
          <w:b/>
          <w:sz w:val="22"/>
          <w:szCs w:val="22"/>
        </w:rPr>
      </w:pPr>
      <w:r>
        <w:rPr>
          <w:b/>
          <w:sz w:val="22"/>
          <w:szCs w:val="22"/>
        </w:rPr>
        <w:t xml:space="preserve">4.3 </w:t>
      </w:r>
      <w:r>
        <w:rPr>
          <w:b/>
          <w:sz w:val="22"/>
          <w:szCs w:val="22"/>
        </w:rPr>
        <w:tab/>
        <w:t>Kontraindikácie</w:t>
      </w:r>
    </w:p>
    <w:p w14:paraId="67812E68" w14:textId="77777777" w:rsidR="00F83199" w:rsidRDefault="00F83199" w:rsidP="00F83199">
      <w:pPr>
        <w:rPr>
          <w:b/>
          <w:sz w:val="22"/>
          <w:szCs w:val="22"/>
        </w:rPr>
      </w:pPr>
    </w:p>
    <w:p w14:paraId="08C1AAAD" w14:textId="779B1DDE" w:rsidR="003970A9" w:rsidRDefault="00F83199" w:rsidP="00F83199">
      <w:pPr>
        <w:rPr>
          <w:sz w:val="22"/>
          <w:szCs w:val="22"/>
        </w:rPr>
      </w:pPr>
      <w:r>
        <w:rPr>
          <w:sz w:val="22"/>
          <w:szCs w:val="22"/>
        </w:rPr>
        <w:t>Precitlivenosť</w:t>
      </w:r>
      <w:r>
        <w:rPr>
          <w:sz w:val="22"/>
          <w:szCs w:val="22"/>
        </w:rPr>
        <w:t xml:space="preserve"> </w:t>
      </w:r>
      <w:r w:rsidR="003970A9">
        <w:rPr>
          <w:sz w:val="22"/>
          <w:szCs w:val="22"/>
        </w:rPr>
        <w:t>na liečivo alebo na ktorúkoľvek z pomocných látok uvedených v časti 6.1.</w:t>
      </w:r>
    </w:p>
    <w:p w14:paraId="08BD5AAF" w14:textId="77777777" w:rsidR="003970A9" w:rsidRDefault="003970A9">
      <w:pPr>
        <w:rPr>
          <w:sz w:val="22"/>
          <w:szCs w:val="22"/>
        </w:rPr>
      </w:pPr>
      <w:r>
        <w:rPr>
          <w:sz w:val="22"/>
          <w:szCs w:val="22"/>
        </w:rPr>
        <w:lastRenderedPageBreak/>
        <w:t>Osoby so sklonom ku konvulziám.</w:t>
      </w:r>
    </w:p>
    <w:p w14:paraId="634CA903" w14:textId="77777777" w:rsidR="003970A9" w:rsidRDefault="003970A9">
      <w:pPr>
        <w:rPr>
          <w:sz w:val="22"/>
          <w:szCs w:val="22"/>
        </w:rPr>
      </w:pPr>
      <w:r>
        <w:rPr>
          <w:sz w:val="22"/>
          <w:szCs w:val="22"/>
        </w:rPr>
        <w:t>Vred žalúdka v anamnéze.</w:t>
      </w:r>
    </w:p>
    <w:p w14:paraId="0EFCD633" w14:textId="77777777" w:rsidR="003970A9" w:rsidRDefault="003970A9">
      <w:pPr>
        <w:rPr>
          <w:sz w:val="22"/>
          <w:szCs w:val="22"/>
        </w:rPr>
      </w:pPr>
      <w:r>
        <w:rPr>
          <w:sz w:val="22"/>
          <w:szCs w:val="22"/>
        </w:rPr>
        <w:t>Ťažké ochorenie obličiek.</w:t>
      </w:r>
    </w:p>
    <w:p w14:paraId="14B20A8B" w14:textId="77777777" w:rsidR="003970A9" w:rsidRDefault="003970A9">
      <w:pPr>
        <w:rPr>
          <w:sz w:val="22"/>
          <w:szCs w:val="22"/>
        </w:rPr>
      </w:pPr>
      <w:r>
        <w:rPr>
          <w:sz w:val="22"/>
          <w:szCs w:val="22"/>
        </w:rPr>
        <w:t>Gravidita.</w:t>
      </w:r>
    </w:p>
    <w:p w14:paraId="0D4B29D3" w14:textId="77777777" w:rsidR="003970A9" w:rsidRDefault="003970A9">
      <w:pPr>
        <w:rPr>
          <w:sz w:val="22"/>
          <w:szCs w:val="22"/>
        </w:rPr>
      </w:pPr>
    </w:p>
    <w:p w14:paraId="17904764" w14:textId="77777777" w:rsidR="003970A9" w:rsidRDefault="003970A9">
      <w:pPr>
        <w:numPr>
          <w:ilvl w:val="1"/>
          <w:numId w:val="9"/>
        </w:numPr>
        <w:rPr>
          <w:b/>
          <w:sz w:val="22"/>
          <w:szCs w:val="22"/>
        </w:rPr>
      </w:pPr>
      <w:r>
        <w:rPr>
          <w:b/>
          <w:sz w:val="22"/>
          <w:szCs w:val="22"/>
        </w:rPr>
        <w:t xml:space="preserve">     Osobitné upozornenia a opatrenia pri používaní </w:t>
      </w:r>
    </w:p>
    <w:p w14:paraId="150F8299" w14:textId="77777777" w:rsidR="003970A9" w:rsidRDefault="003970A9">
      <w:pPr>
        <w:rPr>
          <w:i/>
          <w:sz w:val="22"/>
          <w:szCs w:val="22"/>
        </w:rPr>
      </w:pPr>
    </w:p>
    <w:p w14:paraId="0F11F510" w14:textId="77777777" w:rsidR="003970A9" w:rsidRDefault="003970A9">
      <w:pPr>
        <w:numPr>
          <w:ilvl w:val="12"/>
          <w:numId w:val="0"/>
        </w:numPr>
        <w:rPr>
          <w:sz w:val="22"/>
          <w:szCs w:val="22"/>
        </w:rPr>
      </w:pPr>
      <w:r>
        <w:rPr>
          <w:sz w:val="22"/>
          <w:szCs w:val="22"/>
        </w:rPr>
        <w:t>U pacientov so stavmi zmätenosti alebo halucináciami alebo so základnými psychiatrickými ochoreniami, u pacientov s poruchami funkcie pečene alebo obličiek a u tých, ktorí majú v anamnéze kardiovaskulárne poruchy sa má Viregyt-K používať opatrne. Opatrnosť sa odporúča aj pri predpisovaní amantadínu s inými liekmi ovplyvňujúcimi CNS (pozri časť 4.5 „Liekové a iné interakcie“).</w:t>
      </w:r>
    </w:p>
    <w:p w14:paraId="3EF3133F" w14:textId="77777777" w:rsidR="003970A9" w:rsidRDefault="003970A9">
      <w:pPr>
        <w:numPr>
          <w:ilvl w:val="12"/>
          <w:numId w:val="0"/>
        </w:numPr>
        <w:rPr>
          <w:sz w:val="22"/>
          <w:szCs w:val="22"/>
        </w:rPr>
      </w:pPr>
      <w:r>
        <w:rPr>
          <w:sz w:val="22"/>
          <w:szCs w:val="22"/>
        </w:rPr>
        <w:t>Náhle ukončenie liečby amantadínom môže spôsobiť zhoršenie parkinsonizmu alebo symptómov pripomínajúcich neuroleptický malígny syndróm (NMS), ako aj kognitívne prejavy (napr. katatónia, zmätenosť, dezorientácia, zhoršenie mentálneho stavu, delírium).</w:t>
      </w:r>
    </w:p>
    <w:p w14:paraId="0E3626B7" w14:textId="77777777" w:rsidR="003970A9" w:rsidRDefault="003970A9">
      <w:pPr>
        <w:numPr>
          <w:ilvl w:val="12"/>
          <w:numId w:val="0"/>
        </w:numPr>
        <w:rPr>
          <w:sz w:val="22"/>
          <w:szCs w:val="22"/>
        </w:rPr>
      </w:pPr>
      <w:r>
        <w:rPr>
          <w:sz w:val="22"/>
          <w:szCs w:val="22"/>
        </w:rPr>
        <w:t>Viregyt-K sa nemá náhle vysadiť u pacientov, ktorí súčasne užívajú neuroleptiká. Boli hlásené ojedinelé prípady výskytu alebo zhoršenia malígneho neuroleptického syndrómu alebo neurolepticky indukovanej katatónie po vysadení amantadínu u pacientov, ktorí užívali neuroleptiká. Podobný syndróm bol zriedkavo hlásený po vysadení amantadínu a iných antiparkinsoník aj u pacientov, ktorí súčasne neužívali psychoaktívne lieky.</w:t>
      </w:r>
    </w:p>
    <w:p w14:paraId="4E77F141" w14:textId="77777777" w:rsidR="003970A9" w:rsidRDefault="003970A9">
      <w:pPr>
        <w:numPr>
          <w:ilvl w:val="12"/>
          <w:numId w:val="0"/>
        </w:numPr>
        <w:rPr>
          <w:sz w:val="22"/>
          <w:szCs w:val="22"/>
        </w:rPr>
      </w:pPr>
      <w:r>
        <w:rPr>
          <w:sz w:val="22"/>
          <w:szCs w:val="22"/>
        </w:rPr>
        <w:t xml:space="preserve">Rezistencia voči amantadínu vzniká pri postupnom prenose kmeňov vírusu chrípky </w:t>
      </w:r>
      <w:r>
        <w:rPr>
          <w:i/>
          <w:iCs/>
          <w:sz w:val="22"/>
          <w:szCs w:val="22"/>
        </w:rPr>
        <w:t>in vitro</w:t>
      </w:r>
      <w:r>
        <w:rPr>
          <w:sz w:val="22"/>
          <w:szCs w:val="22"/>
        </w:rPr>
        <w:t xml:space="preserve"> alebo </w:t>
      </w:r>
      <w:r>
        <w:rPr>
          <w:i/>
          <w:iCs/>
          <w:sz w:val="22"/>
          <w:szCs w:val="22"/>
        </w:rPr>
        <w:t>in vivo</w:t>
      </w:r>
      <w:r>
        <w:rPr>
          <w:sz w:val="22"/>
          <w:szCs w:val="22"/>
        </w:rPr>
        <w:t xml:space="preserve"> v prítomnosti lieku. Zjavný prenos lieku-rezistentných vírusov mohol byť príčinou zlyhania profylaxie a liečby v domácnostiach a v domovoch ošetrovateľskej starostlivosti. V súčasnosti však neexistuje dôkaz, že rezistentný vírus spôsobuje ochorenie, ktoré je v niečom iné ako ochorenie spôsobené citlivými vírusmi.</w:t>
      </w:r>
    </w:p>
    <w:p w14:paraId="6A6F1BFC" w14:textId="77777777" w:rsidR="003970A9" w:rsidRDefault="003970A9">
      <w:pPr>
        <w:numPr>
          <w:ilvl w:val="12"/>
          <w:numId w:val="0"/>
        </w:numPr>
        <w:rPr>
          <w:sz w:val="22"/>
          <w:szCs w:val="22"/>
        </w:rPr>
      </w:pPr>
      <w:r>
        <w:rPr>
          <w:sz w:val="22"/>
          <w:szCs w:val="22"/>
        </w:rPr>
        <w:t>Keďže niektoré osoby sa pri užívaní amantadínu pokúsili o suicídium, odporúča sa predpisy vydávať na minimálne množstvá, ktoré umožňujú dobrý manažment pacienta.</w:t>
      </w:r>
    </w:p>
    <w:p w14:paraId="4391766D" w14:textId="77777777" w:rsidR="003970A9" w:rsidRDefault="003970A9">
      <w:pPr>
        <w:numPr>
          <w:ilvl w:val="12"/>
          <w:numId w:val="0"/>
        </w:numPr>
        <w:rPr>
          <w:sz w:val="22"/>
          <w:szCs w:val="22"/>
        </w:rPr>
      </w:pPr>
      <w:r>
        <w:rPr>
          <w:sz w:val="22"/>
          <w:szCs w:val="22"/>
        </w:rPr>
        <w:t>Počas chronickej liečby (obyčajne nie skôr ako po 4 týždňoch) Viregytom-K sa u niektorých pacientov môže vyskytnúť periférny edém (pripisovaný zmenám v reaktívnosti periférnych ciev). Tento fakt je potrebné zohľadniť u pacientov s kongestívnym zlyhávaním srdca.</w:t>
      </w:r>
    </w:p>
    <w:p w14:paraId="3E79124F" w14:textId="77777777" w:rsidR="003970A9" w:rsidRDefault="003970A9">
      <w:pPr>
        <w:numPr>
          <w:ilvl w:val="12"/>
          <w:numId w:val="0"/>
        </w:numPr>
        <w:rPr>
          <w:sz w:val="22"/>
          <w:szCs w:val="22"/>
        </w:rPr>
      </w:pPr>
      <w:r>
        <w:rPr>
          <w:sz w:val="22"/>
          <w:szCs w:val="22"/>
        </w:rPr>
        <w:t>Amantadín má anticholinergné účinky, nemá sa podávať pacientom s neliečeným glaukómom s uzavretým uhlom.</w:t>
      </w:r>
    </w:p>
    <w:p w14:paraId="45C02AF4" w14:textId="77777777" w:rsidR="003970A9" w:rsidRDefault="003970A9">
      <w:pPr>
        <w:numPr>
          <w:ilvl w:val="12"/>
          <w:numId w:val="0"/>
        </w:numPr>
        <w:rPr>
          <w:sz w:val="22"/>
          <w:szCs w:val="22"/>
        </w:rPr>
      </w:pPr>
      <w:r>
        <w:rPr>
          <w:sz w:val="22"/>
          <w:szCs w:val="22"/>
        </w:rPr>
        <w:t>U detí, najmä mladších ako 5 rokov, sa pozorovala hypotermia. Pri predpisovaní Viregytu-K deťom na liečbu vírusu chrípky typu A je potrebné postupovať opatrne (pozri časť 4.2 Dávkovanie a spôsob podania).</w:t>
      </w:r>
    </w:p>
    <w:p w14:paraId="783CACB4" w14:textId="77777777" w:rsidR="003970A9" w:rsidRDefault="003970A9">
      <w:pPr>
        <w:rPr>
          <w:sz w:val="22"/>
          <w:szCs w:val="22"/>
        </w:rPr>
      </w:pPr>
      <w:r>
        <w:rPr>
          <w:sz w:val="22"/>
          <w:szCs w:val="22"/>
        </w:rPr>
        <w:t>Pacienti so zriedkavými dedičnými problémami galaktózovej intolerancie, laponského deficitu laktázy alebo glukózo-galaktózovej malabsorpcie nesmú užívať tento liek.</w:t>
      </w:r>
    </w:p>
    <w:p w14:paraId="4ABA5BF8" w14:textId="77777777" w:rsidR="003970A9" w:rsidRDefault="003970A9">
      <w:pPr>
        <w:rPr>
          <w:sz w:val="22"/>
          <w:szCs w:val="22"/>
        </w:rPr>
      </w:pPr>
    </w:p>
    <w:p w14:paraId="6A670631" w14:textId="77777777" w:rsidR="003970A9" w:rsidRDefault="003970A9">
      <w:pPr>
        <w:numPr>
          <w:ilvl w:val="1"/>
          <w:numId w:val="2"/>
        </w:numPr>
        <w:rPr>
          <w:b/>
          <w:sz w:val="22"/>
          <w:szCs w:val="22"/>
        </w:rPr>
      </w:pPr>
      <w:r>
        <w:rPr>
          <w:b/>
          <w:sz w:val="22"/>
          <w:szCs w:val="22"/>
        </w:rPr>
        <w:t>Liekové a iné interakcie</w:t>
      </w:r>
    </w:p>
    <w:p w14:paraId="0D65827C" w14:textId="77777777" w:rsidR="003970A9" w:rsidRDefault="003970A9">
      <w:pPr>
        <w:rPr>
          <w:i/>
          <w:sz w:val="22"/>
          <w:szCs w:val="22"/>
          <w:u w:val="single"/>
        </w:rPr>
      </w:pPr>
    </w:p>
    <w:p w14:paraId="0A4B8C1E" w14:textId="77777777" w:rsidR="003970A9" w:rsidRDefault="003970A9">
      <w:pPr>
        <w:tabs>
          <w:tab w:val="left" w:pos="360"/>
        </w:tabs>
        <w:rPr>
          <w:sz w:val="22"/>
          <w:szCs w:val="22"/>
        </w:rPr>
      </w:pPr>
      <w:r>
        <w:rPr>
          <w:sz w:val="22"/>
          <w:szCs w:val="22"/>
        </w:rPr>
        <w:t xml:space="preserve">Súčasné podávanie amantadínu a anticholinergík alebo levodopy môže zhoršiť zmätenosť, halucinácie, nočné mory, gastrointestinálne ťažkosti, alebo iné atropínu podobné nežiaduce účinky (pozri časť 4.9 „Predávkovanie“). </w:t>
      </w:r>
    </w:p>
    <w:p w14:paraId="0F4B0FCD" w14:textId="77777777" w:rsidR="003970A9" w:rsidRDefault="003970A9">
      <w:pPr>
        <w:tabs>
          <w:tab w:val="left" w:pos="360"/>
        </w:tabs>
        <w:rPr>
          <w:sz w:val="22"/>
          <w:szCs w:val="22"/>
        </w:rPr>
      </w:pPr>
      <w:r>
        <w:rPr>
          <w:sz w:val="22"/>
          <w:szCs w:val="22"/>
        </w:rPr>
        <w:t>U pacientov užívajúcich amantadín a levodopu sa pozorovali psychotické reakcie. V ojedinelých prípadoch bolo zhoršenie psychotických symptómov hlásené aj u pacientov užívajúcich amantadín a súčasnú neuroleptickú liečbu.</w:t>
      </w:r>
    </w:p>
    <w:p w14:paraId="4DA9E817" w14:textId="77777777" w:rsidR="003970A9" w:rsidRDefault="003970A9">
      <w:pPr>
        <w:tabs>
          <w:tab w:val="left" w:pos="360"/>
        </w:tabs>
        <w:rPr>
          <w:sz w:val="22"/>
          <w:szCs w:val="22"/>
        </w:rPr>
      </w:pPr>
      <w:r>
        <w:rPr>
          <w:sz w:val="22"/>
          <w:szCs w:val="22"/>
        </w:rPr>
        <w:t>Súčasné podávanie amantadínu a liekov alebo látok (napr. alkohol), ktoré pôsobia na CNS môže spôsobiť aditívnu toxicitu CNS. Odporúča sa pozorné sledovanie (pozri časť 4.9 „Predávkovanie“).</w:t>
      </w:r>
    </w:p>
    <w:p w14:paraId="0A39922D" w14:textId="77777777" w:rsidR="003970A9" w:rsidRDefault="003970A9">
      <w:pPr>
        <w:tabs>
          <w:tab w:val="left" w:pos="360"/>
        </w:tabs>
        <w:rPr>
          <w:sz w:val="22"/>
          <w:szCs w:val="22"/>
        </w:rPr>
      </w:pPr>
      <w:r>
        <w:rPr>
          <w:sz w:val="22"/>
          <w:szCs w:val="22"/>
        </w:rPr>
        <w:t>Vyskytli sa izolované hlásenia podozrení na interakciu medzi amantadínom a kombinovanými diuretikami (hydrochlórotiazid + draslík-šetriace diuretiká). Jedna alebo obe zložky zjavne znižujú klírens amantadínu, čo vedie ku vyšším plazmatickým koncentráciám a toxickým účinkom (zmätenosť, halucinácie, ataxia, myoklonus).</w:t>
      </w:r>
    </w:p>
    <w:p w14:paraId="5DA97754" w14:textId="77777777" w:rsidR="003970A9" w:rsidRDefault="003970A9">
      <w:pPr>
        <w:rPr>
          <w:sz w:val="22"/>
          <w:szCs w:val="22"/>
          <w:u w:val="single"/>
        </w:rPr>
      </w:pPr>
    </w:p>
    <w:p w14:paraId="4953A715" w14:textId="77777777" w:rsidR="003970A9" w:rsidRDefault="003970A9" w:rsidP="00F83199">
      <w:pPr>
        <w:keepNext/>
        <w:numPr>
          <w:ilvl w:val="1"/>
          <w:numId w:val="2"/>
        </w:numPr>
        <w:rPr>
          <w:b/>
          <w:sz w:val="22"/>
          <w:szCs w:val="22"/>
        </w:rPr>
      </w:pPr>
      <w:r>
        <w:rPr>
          <w:b/>
          <w:sz w:val="22"/>
          <w:szCs w:val="22"/>
        </w:rPr>
        <w:lastRenderedPageBreak/>
        <w:t>Fertilita, gravidita a laktácia</w:t>
      </w:r>
    </w:p>
    <w:p w14:paraId="293DBB1B" w14:textId="77777777" w:rsidR="003970A9" w:rsidRDefault="003970A9" w:rsidP="00F83199">
      <w:pPr>
        <w:keepNext/>
        <w:rPr>
          <w:sz w:val="22"/>
          <w:szCs w:val="22"/>
        </w:rPr>
      </w:pPr>
    </w:p>
    <w:p w14:paraId="403FB28E" w14:textId="77777777" w:rsidR="003970A9" w:rsidRDefault="003970A9" w:rsidP="00F83199">
      <w:pPr>
        <w:keepNext/>
        <w:rPr>
          <w:sz w:val="22"/>
          <w:szCs w:val="22"/>
          <w:u w:val="single"/>
        </w:rPr>
      </w:pPr>
      <w:r>
        <w:rPr>
          <w:sz w:val="22"/>
          <w:szCs w:val="22"/>
          <w:u w:val="single"/>
        </w:rPr>
        <w:t>Gravidita</w:t>
      </w:r>
    </w:p>
    <w:p w14:paraId="66B1D0D1" w14:textId="77777777" w:rsidR="003970A9" w:rsidRDefault="003970A9" w:rsidP="00F83199">
      <w:pPr>
        <w:keepNext/>
        <w:rPr>
          <w:sz w:val="22"/>
          <w:szCs w:val="22"/>
        </w:rPr>
      </w:pPr>
      <w:r>
        <w:rPr>
          <w:sz w:val="22"/>
          <w:szCs w:val="22"/>
        </w:rPr>
        <w:t>Počas gravidity boli hlásené komplikácie súvisiace s amantadínom.</w:t>
      </w:r>
    </w:p>
    <w:p w14:paraId="4EA4DCF5" w14:textId="77777777" w:rsidR="003970A9" w:rsidRDefault="003970A9">
      <w:pPr>
        <w:rPr>
          <w:sz w:val="22"/>
          <w:szCs w:val="22"/>
        </w:rPr>
      </w:pPr>
      <w:r>
        <w:rPr>
          <w:sz w:val="22"/>
          <w:szCs w:val="22"/>
        </w:rPr>
        <w:t>Viregyt-K je počas gravidity a u žien, ktoré sa snažia otehotnieť kontraindikovaný.</w:t>
      </w:r>
    </w:p>
    <w:p w14:paraId="25BD8696" w14:textId="77777777" w:rsidR="003970A9" w:rsidRDefault="003970A9">
      <w:pPr>
        <w:rPr>
          <w:sz w:val="22"/>
          <w:szCs w:val="22"/>
        </w:rPr>
      </w:pPr>
    </w:p>
    <w:p w14:paraId="72E0EB53" w14:textId="77777777" w:rsidR="003970A9" w:rsidRDefault="003970A9">
      <w:pPr>
        <w:rPr>
          <w:sz w:val="22"/>
          <w:szCs w:val="22"/>
          <w:u w:val="single"/>
        </w:rPr>
      </w:pPr>
      <w:r>
        <w:rPr>
          <w:sz w:val="22"/>
          <w:szCs w:val="22"/>
          <w:u w:val="single"/>
        </w:rPr>
        <w:t>Laktácia</w:t>
      </w:r>
    </w:p>
    <w:p w14:paraId="39B0D041" w14:textId="77777777" w:rsidR="003970A9" w:rsidRDefault="003970A9">
      <w:pPr>
        <w:rPr>
          <w:sz w:val="22"/>
          <w:szCs w:val="22"/>
        </w:rPr>
      </w:pPr>
      <w:r>
        <w:rPr>
          <w:sz w:val="22"/>
          <w:szCs w:val="22"/>
        </w:rPr>
        <w:t>Amantadín prechádza do materského mlieka. U dojčených detí boli hlásené nežiaduce účinky. Dojčiace matky nesmú užívať Viregyt-K.</w:t>
      </w:r>
    </w:p>
    <w:p w14:paraId="4F322641" w14:textId="77777777" w:rsidR="003970A9" w:rsidRDefault="003970A9">
      <w:pPr>
        <w:rPr>
          <w:sz w:val="22"/>
          <w:szCs w:val="22"/>
        </w:rPr>
      </w:pPr>
    </w:p>
    <w:p w14:paraId="51F260E2" w14:textId="77777777" w:rsidR="003970A9" w:rsidRDefault="003970A9">
      <w:pPr>
        <w:numPr>
          <w:ilvl w:val="1"/>
          <w:numId w:val="2"/>
        </w:numPr>
        <w:rPr>
          <w:b/>
          <w:sz w:val="22"/>
          <w:szCs w:val="22"/>
        </w:rPr>
      </w:pPr>
      <w:r>
        <w:rPr>
          <w:b/>
          <w:sz w:val="22"/>
          <w:szCs w:val="22"/>
        </w:rPr>
        <w:t>Ovplyvnenie schopnosti viesť vozidlá a obsluhovať stroje</w:t>
      </w:r>
    </w:p>
    <w:p w14:paraId="5A7B8CB3" w14:textId="77777777" w:rsidR="003970A9" w:rsidRDefault="003970A9">
      <w:pPr>
        <w:rPr>
          <w:sz w:val="22"/>
          <w:szCs w:val="22"/>
        </w:rPr>
      </w:pPr>
    </w:p>
    <w:p w14:paraId="50D19D9F" w14:textId="77777777" w:rsidR="003970A9" w:rsidRDefault="003970A9">
      <w:pPr>
        <w:rPr>
          <w:sz w:val="22"/>
          <w:szCs w:val="22"/>
        </w:rPr>
      </w:pPr>
      <w:r>
        <w:rPr>
          <w:sz w:val="22"/>
          <w:szCs w:val="22"/>
        </w:rPr>
        <w:t>Pacientov je potrebné upozorniť na potenciálne riziká vedenia vozidiel a obsluhy strojov, ak pociťujú nežiaduce účinky ako závrat alebo rozmazané videnie.</w:t>
      </w:r>
    </w:p>
    <w:p w14:paraId="1498BA80" w14:textId="77777777" w:rsidR="003970A9" w:rsidRDefault="003970A9">
      <w:pPr>
        <w:rPr>
          <w:b/>
          <w:sz w:val="22"/>
          <w:szCs w:val="22"/>
        </w:rPr>
      </w:pPr>
    </w:p>
    <w:p w14:paraId="42377CE4" w14:textId="77777777" w:rsidR="003970A9" w:rsidRDefault="003970A9">
      <w:pPr>
        <w:numPr>
          <w:ilvl w:val="1"/>
          <w:numId w:val="2"/>
        </w:numPr>
        <w:rPr>
          <w:b/>
          <w:sz w:val="22"/>
          <w:szCs w:val="22"/>
        </w:rPr>
      </w:pPr>
      <w:r>
        <w:rPr>
          <w:b/>
          <w:sz w:val="22"/>
          <w:szCs w:val="22"/>
        </w:rPr>
        <w:t>Nežiaduce účinky</w:t>
      </w:r>
    </w:p>
    <w:p w14:paraId="65BF201A" w14:textId="77777777" w:rsidR="003970A9" w:rsidRDefault="003970A9">
      <w:pPr>
        <w:rPr>
          <w:sz w:val="22"/>
          <w:szCs w:val="22"/>
        </w:rPr>
      </w:pPr>
    </w:p>
    <w:p w14:paraId="703F6726" w14:textId="77777777" w:rsidR="003970A9" w:rsidRDefault="003970A9">
      <w:pPr>
        <w:rPr>
          <w:sz w:val="22"/>
          <w:szCs w:val="22"/>
        </w:rPr>
      </w:pPr>
      <w:r>
        <w:rPr>
          <w:sz w:val="22"/>
          <w:szCs w:val="22"/>
        </w:rPr>
        <w:t>Nežiaduce účinky amantadínu sú často mierne a prechodné, obyčajne sa objavia do 2 až 4 dní od začatia liečby a rýchlo vymiznú 24 až 48 hodín po vysadení. Priamy vzťah medzi dávkou a výskytom nežiaducich účinkov nebol preukázaný, aj keď sa zdá byť tendencia častejších nežiaducich účinkov (najmä ovplyvňujúcich CNS) so stúpajúcou dávkou.</w:t>
      </w:r>
    </w:p>
    <w:p w14:paraId="4B65179D" w14:textId="77777777" w:rsidR="003970A9" w:rsidRDefault="003970A9">
      <w:pPr>
        <w:rPr>
          <w:sz w:val="22"/>
          <w:szCs w:val="22"/>
        </w:rPr>
      </w:pPr>
    </w:p>
    <w:p w14:paraId="0047B0CA" w14:textId="77777777" w:rsidR="003970A9" w:rsidRDefault="003970A9">
      <w:pPr>
        <w:rPr>
          <w:sz w:val="22"/>
          <w:szCs w:val="22"/>
        </w:rPr>
      </w:pPr>
      <w:r>
        <w:rPr>
          <w:sz w:val="22"/>
          <w:szCs w:val="22"/>
        </w:rPr>
        <w:t>Nežiaduce reakcie (Tabuľka 1) sú zoradené podľa frekvencie, od najčastejších, pričom je použitá nasledujúca konvencia: veľmi časté (≥ 1/10); časté (≥ 1/100 až &lt; 1/10); menej časté (≥ 1/1000 až &lt; 1/100); zriedkavé (≥ 1/10 000 až &lt; 1/1000); veľmi zriedkavé (&lt; 1/10 000); neznáme (z dostupných údajov).</w:t>
      </w:r>
    </w:p>
    <w:p w14:paraId="5955E530" w14:textId="77777777" w:rsidR="003970A9" w:rsidRDefault="003970A9">
      <w:pPr>
        <w:rPr>
          <w:sz w:val="22"/>
          <w:szCs w:val="22"/>
        </w:rPr>
      </w:pPr>
      <w:r>
        <w:rPr>
          <w:sz w:val="22"/>
          <w:szCs w:val="22"/>
        </w:rPr>
        <w:t>NB: Výskyt a závažnosť niektorých nežiaducich reakcií uvedených nižšie sa líši podľa dávky a povahy liečeného ochorenia.</w:t>
      </w:r>
    </w:p>
    <w:p w14:paraId="4F4637EE" w14:textId="77777777" w:rsidR="003970A9" w:rsidRDefault="003970A9">
      <w:pPr>
        <w:rPr>
          <w:b/>
          <w:bCs/>
          <w:sz w:val="22"/>
          <w:szCs w:val="22"/>
          <w:lang w:val="en-GB" w:eastAsia="hu-HU"/>
        </w:rPr>
      </w:pPr>
    </w:p>
    <w:p w14:paraId="53DC975A" w14:textId="77777777" w:rsidR="003970A9" w:rsidRDefault="003970A9">
      <w:pPr>
        <w:rPr>
          <w:b/>
          <w:bCs/>
          <w:sz w:val="22"/>
          <w:szCs w:val="22"/>
          <w:lang w:val="en-GB" w:eastAsia="hu-HU"/>
        </w:rPr>
      </w:pPr>
      <w:r>
        <w:rPr>
          <w:b/>
          <w:bCs/>
          <w:sz w:val="22"/>
          <w:szCs w:val="22"/>
          <w:lang w:val="en-GB" w:eastAsia="hu-HU"/>
        </w:rPr>
        <w:t>Tabuľka 1</w:t>
      </w:r>
    </w:p>
    <w:p w14:paraId="50A73521" w14:textId="77777777" w:rsidR="003970A9" w:rsidRDefault="003970A9">
      <w:pPr>
        <w:rPr>
          <w:b/>
          <w:bCs/>
          <w:sz w:val="22"/>
          <w:szCs w:val="22"/>
          <w:lang w:val="en-GB" w:eastAsia="hu-HU"/>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14"/>
        <w:gridCol w:w="7447"/>
      </w:tblGrid>
      <w:tr w:rsidR="003970A9" w14:paraId="68177131"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39AE203C" w14:textId="77777777" w:rsidR="003970A9" w:rsidRDefault="003970A9">
            <w:pPr>
              <w:rPr>
                <w:sz w:val="22"/>
                <w:szCs w:val="22"/>
                <w:lang w:eastAsia="hu-HU"/>
              </w:rPr>
            </w:pPr>
            <w:r>
              <w:rPr>
                <w:bCs/>
                <w:i/>
                <w:iCs/>
                <w:sz w:val="22"/>
                <w:szCs w:val="22"/>
                <w:lang w:eastAsia="hu-HU"/>
              </w:rPr>
              <w:t>Poruchy krvi a lymfatického systému:</w:t>
            </w:r>
          </w:p>
        </w:tc>
      </w:tr>
      <w:tr w:rsidR="003970A9" w14:paraId="57CFF858"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65E4502"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498A4042" w14:textId="77777777" w:rsidR="003970A9" w:rsidRDefault="003970A9">
            <w:pPr>
              <w:rPr>
                <w:sz w:val="22"/>
                <w:szCs w:val="22"/>
                <w:lang w:eastAsia="hu-HU"/>
              </w:rPr>
            </w:pPr>
            <w:r>
              <w:rPr>
                <w:sz w:val="22"/>
                <w:szCs w:val="22"/>
                <w:lang w:eastAsia="hu-HU"/>
              </w:rPr>
              <w:t>leukopénia</w:t>
            </w:r>
          </w:p>
        </w:tc>
      </w:tr>
      <w:tr w:rsidR="003970A9" w14:paraId="5860F0F4"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60773609" w14:textId="77777777" w:rsidR="003970A9" w:rsidRDefault="003970A9">
            <w:pPr>
              <w:rPr>
                <w:i/>
                <w:sz w:val="22"/>
                <w:szCs w:val="22"/>
                <w:lang w:eastAsia="hu-HU"/>
              </w:rPr>
            </w:pPr>
            <w:r>
              <w:rPr>
                <w:i/>
                <w:sz w:val="22"/>
                <w:szCs w:val="22"/>
                <w:lang w:eastAsia="hu-HU"/>
              </w:rPr>
              <w:t>Psychické poruchy:</w:t>
            </w:r>
          </w:p>
        </w:tc>
      </w:tr>
      <w:tr w:rsidR="003970A9" w14:paraId="57345752"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A0899E2"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57043364" w14:textId="77777777" w:rsidR="003970A9" w:rsidRDefault="003970A9">
            <w:pPr>
              <w:rPr>
                <w:sz w:val="22"/>
                <w:szCs w:val="22"/>
                <w:lang w:eastAsia="hu-HU"/>
              </w:rPr>
            </w:pPr>
            <w:r>
              <w:rPr>
                <w:sz w:val="22"/>
                <w:szCs w:val="22"/>
                <w:lang w:eastAsia="hu-HU"/>
              </w:rPr>
              <w:t>úzkosť, elevácia nálady, letargia, halucinácie, nočné mory, nervozita, depresia, nespavosť. Halucinácie, zmätenosť a nočné mory</w:t>
            </w:r>
            <w:r>
              <w:rPr>
                <w:sz w:val="22"/>
                <w:szCs w:val="22"/>
                <w:vertAlign w:val="superscript"/>
                <w:lang w:eastAsia="hu-HU"/>
              </w:rPr>
              <w:t>1</w:t>
            </w:r>
          </w:p>
        </w:tc>
      </w:tr>
      <w:tr w:rsidR="003970A9" w14:paraId="402D35A0"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0E06D662" w14:textId="77777777" w:rsidR="003970A9" w:rsidRDefault="003970A9">
            <w:pPr>
              <w:rPr>
                <w:sz w:val="22"/>
                <w:szCs w:val="22"/>
                <w:lang w:eastAsia="hu-HU"/>
              </w:rPr>
            </w:pPr>
            <w:r>
              <w:rPr>
                <w:sz w:val="22"/>
                <w:szCs w:val="22"/>
                <w:lang w:eastAsia="hu-HU"/>
              </w:rPr>
              <w:t>Menej časté:</w:t>
            </w:r>
          </w:p>
        </w:tc>
        <w:tc>
          <w:tcPr>
            <w:tcW w:w="4250" w:type="pct"/>
            <w:tcBorders>
              <w:top w:val="outset" w:sz="6" w:space="0" w:color="auto"/>
              <w:left w:val="outset" w:sz="6" w:space="0" w:color="auto"/>
              <w:bottom w:val="outset" w:sz="6" w:space="0" w:color="auto"/>
              <w:right w:val="outset" w:sz="6" w:space="0" w:color="auto"/>
            </w:tcBorders>
          </w:tcPr>
          <w:p w14:paraId="375B2F2A" w14:textId="77777777" w:rsidR="003970A9" w:rsidRDefault="003970A9">
            <w:pPr>
              <w:rPr>
                <w:sz w:val="22"/>
                <w:szCs w:val="22"/>
                <w:lang w:eastAsia="hu-HU"/>
              </w:rPr>
            </w:pPr>
            <w:r>
              <w:rPr>
                <w:sz w:val="22"/>
                <w:szCs w:val="22"/>
                <w:lang w:eastAsia="hu-HU"/>
              </w:rPr>
              <w:t>zmätenosť, dezorientácia, psychóza</w:t>
            </w:r>
          </w:p>
        </w:tc>
      </w:tr>
      <w:tr w:rsidR="003970A9" w14:paraId="66A78565"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216F0D06" w14:textId="77777777" w:rsidR="003970A9" w:rsidRDefault="003970A9">
            <w:pPr>
              <w:rPr>
                <w:sz w:val="22"/>
                <w:szCs w:val="22"/>
                <w:lang w:eastAsia="hu-HU"/>
              </w:rPr>
            </w:pPr>
            <w:r>
              <w:rPr>
                <w:sz w:val="22"/>
                <w:szCs w:val="22"/>
                <w:lang w:eastAsia="hu-HU"/>
              </w:rPr>
              <w:t>Neznáme:</w:t>
            </w:r>
          </w:p>
        </w:tc>
        <w:tc>
          <w:tcPr>
            <w:tcW w:w="4250" w:type="pct"/>
            <w:tcBorders>
              <w:top w:val="outset" w:sz="6" w:space="0" w:color="auto"/>
              <w:left w:val="outset" w:sz="6" w:space="0" w:color="auto"/>
              <w:bottom w:val="outset" w:sz="6" w:space="0" w:color="auto"/>
              <w:right w:val="outset" w:sz="6" w:space="0" w:color="auto"/>
            </w:tcBorders>
          </w:tcPr>
          <w:p w14:paraId="3C53671D" w14:textId="77777777" w:rsidR="003970A9" w:rsidRDefault="003970A9">
            <w:pPr>
              <w:rPr>
                <w:sz w:val="22"/>
                <w:szCs w:val="22"/>
                <w:lang w:eastAsia="hu-HU"/>
              </w:rPr>
            </w:pPr>
            <w:r>
              <w:rPr>
                <w:sz w:val="22"/>
                <w:szCs w:val="22"/>
                <w:lang w:eastAsia="hu-HU"/>
              </w:rPr>
              <w:t>delírium, hypomanický stav a mánia</w:t>
            </w:r>
            <w:r>
              <w:rPr>
                <w:sz w:val="22"/>
                <w:szCs w:val="22"/>
                <w:vertAlign w:val="superscript"/>
                <w:lang w:eastAsia="hu-HU"/>
              </w:rPr>
              <w:t>2</w:t>
            </w:r>
          </w:p>
        </w:tc>
      </w:tr>
      <w:tr w:rsidR="003970A9" w14:paraId="213AA03D"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43B566EE" w14:textId="77777777" w:rsidR="003970A9" w:rsidRDefault="003970A9">
            <w:pPr>
              <w:rPr>
                <w:sz w:val="22"/>
                <w:szCs w:val="22"/>
                <w:lang w:eastAsia="hu-HU"/>
              </w:rPr>
            </w:pPr>
            <w:r>
              <w:rPr>
                <w:bCs/>
                <w:i/>
                <w:iCs/>
                <w:sz w:val="22"/>
                <w:szCs w:val="22"/>
                <w:lang w:eastAsia="hu-HU"/>
              </w:rPr>
              <w:t>Poruchy nervového systému:</w:t>
            </w:r>
          </w:p>
        </w:tc>
      </w:tr>
      <w:tr w:rsidR="003970A9" w14:paraId="558784D1"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1220D97"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727033FE" w14:textId="77777777" w:rsidR="003970A9" w:rsidRDefault="003970A9">
            <w:pPr>
              <w:rPr>
                <w:sz w:val="22"/>
                <w:szCs w:val="22"/>
                <w:lang w:eastAsia="hu-HU"/>
              </w:rPr>
            </w:pPr>
            <w:r>
              <w:rPr>
                <w:sz w:val="22"/>
                <w:szCs w:val="22"/>
                <w:lang w:eastAsia="hu-HU"/>
              </w:rPr>
              <w:t>závrat, bolesť hlavy, ataxia, splývavá reč, strata koncentrácie</w:t>
            </w:r>
          </w:p>
        </w:tc>
      </w:tr>
      <w:tr w:rsidR="003970A9" w14:paraId="290B5247"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AFF3558" w14:textId="77777777" w:rsidR="003970A9" w:rsidRDefault="003970A9">
            <w:pPr>
              <w:rPr>
                <w:sz w:val="22"/>
                <w:szCs w:val="22"/>
                <w:lang w:eastAsia="hu-HU"/>
              </w:rPr>
            </w:pPr>
            <w:r>
              <w:rPr>
                <w:sz w:val="22"/>
                <w:szCs w:val="22"/>
                <w:lang w:eastAsia="hu-HU"/>
              </w:rPr>
              <w:t>Menej časté:</w:t>
            </w:r>
          </w:p>
        </w:tc>
        <w:tc>
          <w:tcPr>
            <w:tcW w:w="4250" w:type="pct"/>
            <w:tcBorders>
              <w:top w:val="outset" w:sz="6" w:space="0" w:color="auto"/>
              <w:left w:val="outset" w:sz="6" w:space="0" w:color="auto"/>
              <w:bottom w:val="outset" w:sz="6" w:space="0" w:color="auto"/>
              <w:right w:val="outset" w:sz="6" w:space="0" w:color="auto"/>
            </w:tcBorders>
          </w:tcPr>
          <w:p w14:paraId="3BAE4EA1" w14:textId="77777777" w:rsidR="003970A9" w:rsidRDefault="003970A9">
            <w:pPr>
              <w:rPr>
                <w:sz w:val="22"/>
                <w:szCs w:val="22"/>
                <w:lang w:eastAsia="hu-HU"/>
              </w:rPr>
            </w:pPr>
            <w:r>
              <w:rPr>
                <w:sz w:val="22"/>
                <w:szCs w:val="22"/>
                <w:lang w:eastAsia="hu-HU"/>
              </w:rPr>
              <w:t>tras, dyskinézia, kŕče, syndróm podobný malígnemu neuroleptickému syndrómu</w:t>
            </w:r>
          </w:p>
        </w:tc>
      </w:tr>
      <w:tr w:rsidR="003970A9" w14:paraId="2FD763FC"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326034D3" w14:textId="77777777" w:rsidR="003970A9" w:rsidRDefault="003970A9">
            <w:pPr>
              <w:rPr>
                <w:sz w:val="22"/>
                <w:szCs w:val="22"/>
                <w:lang w:eastAsia="hu-HU"/>
              </w:rPr>
            </w:pPr>
            <w:r>
              <w:rPr>
                <w:bCs/>
                <w:i/>
                <w:iCs/>
                <w:sz w:val="22"/>
                <w:szCs w:val="22"/>
                <w:lang w:eastAsia="hu-HU"/>
              </w:rPr>
              <w:t>Poruchy oka:</w:t>
            </w:r>
          </w:p>
        </w:tc>
      </w:tr>
      <w:tr w:rsidR="003970A9" w14:paraId="734DCE69"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75239283"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70B88EDE" w14:textId="77777777" w:rsidR="003970A9" w:rsidRDefault="003970A9">
            <w:pPr>
              <w:rPr>
                <w:sz w:val="22"/>
                <w:szCs w:val="22"/>
                <w:lang w:eastAsia="hu-HU"/>
              </w:rPr>
            </w:pPr>
            <w:r>
              <w:rPr>
                <w:sz w:val="22"/>
                <w:szCs w:val="22"/>
                <w:lang w:eastAsia="hu-HU"/>
              </w:rPr>
              <w:t>zahmlené videnie</w:t>
            </w:r>
          </w:p>
        </w:tc>
      </w:tr>
      <w:tr w:rsidR="003970A9" w14:paraId="4E2819F6"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0AF4846A"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61888A22" w14:textId="77777777" w:rsidR="003970A9" w:rsidRDefault="003970A9">
            <w:pPr>
              <w:rPr>
                <w:sz w:val="22"/>
                <w:szCs w:val="22"/>
                <w:lang w:eastAsia="hu-HU"/>
              </w:rPr>
            </w:pPr>
            <w:r>
              <w:rPr>
                <w:sz w:val="22"/>
                <w:szCs w:val="22"/>
                <w:lang w:eastAsia="hu-HU"/>
              </w:rPr>
              <w:t>korneálne lézie, napr. bodkovité subepiteliálne opacity, ktoré sa môžu spájať s povrchovou bodkovitou keratitídou, edémom epitelu rohovky a výrazne zníženou zrakovou ostrosťou</w:t>
            </w:r>
          </w:p>
        </w:tc>
      </w:tr>
      <w:tr w:rsidR="003970A9" w14:paraId="7AF16DED"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378C383" w14:textId="77777777" w:rsidR="003970A9" w:rsidRDefault="003970A9">
            <w:pPr>
              <w:rPr>
                <w:sz w:val="22"/>
                <w:szCs w:val="22"/>
                <w:lang w:eastAsia="hu-HU"/>
              </w:rPr>
            </w:pPr>
            <w:r>
              <w:rPr>
                <w:bCs/>
                <w:i/>
                <w:iCs/>
                <w:sz w:val="22"/>
                <w:szCs w:val="22"/>
                <w:lang w:eastAsia="hu-HU"/>
              </w:rPr>
              <w:lastRenderedPageBreak/>
              <w:t>Poruchy srdca a srdcovej činnosti:</w:t>
            </w:r>
          </w:p>
        </w:tc>
      </w:tr>
      <w:tr w:rsidR="003970A9" w14:paraId="74EA75D0"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B130853"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443308EE" w14:textId="77777777" w:rsidR="003970A9" w:rsidRDefault="003970A9">
            <w:pPr>
              <w:rPr>
                <w:sz w:val="22"/>
                <w:szCs w:val="22"/>
                <w:lang w:eastAsia="hu-HU"/>
              </w:rPr>
            </w:pPr>
            <w:r>
              <w:rPr>
                <w:sz w:val="22"/>
                <w:szCs w:val="22"/>
                <w:lang w:eastAsia="hu-HU"/>
              </w:rPr>
              <w:t>palpitácie</w:t>
            </w:r>
          </w:p>
        </w:tc>
      </w:tr>
      <w:tr w:rsidR="003970A9" w14:paraId="45B32ABA"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1B6A738"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3739F685" w14:textId="77777777" w:rsidR="003970A9" w:rsidRDefault="003970A9">
            <w:pPr>
              <w:rPr>
                <w:sz w:val="22"/>
                <w:szCs w:val="22"/>
                <w:lang w:eastAsia="hu-HU"/>
              </w:rPr>
            </w:pPr>
            <w:r>
              <w:rPr>
                <w:sz w:val="22"/>
                <w:szCs w:val="22"/>
                <w:lang w:eastAsia="hu-HU"/>
              </w:rPr>
              <w:t>srdcová nedostatočnosť/zlyhanie</w:t>
            </w:r>
          </w:p>
        </w:tc>
      </w:tr>
      <w:tr w:rsidR="003970A9" w14:paraId="5948459C"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057AF651" w14:textId="77777777" w:rsidR="003970A9" w:rsidRDefault="003970A9">
            <w:pPr>
              <w:rPr>
                <w:i/>
                <w:sz w:val="22"/>
                <w:szCs w:val="22"/>
                <w:lang w:eastAsia="hu-HU"/>
              </w:rPr>
            </w:pPr>
            <w:r>
              <w:rPr>
                <w:i/>
                <w:sz w:val="22"/>
                <w:szCs w:val="22"/>
                <w:lang w:eastAsia="hu-HU"/>
              </w:rPr>
              <w:t>Poruchy ciev</w:t>
            </w:r>
          </w:p>
        </w:tc>
      </w:tr>
      <w:tr w:rsidR="003970A9" w14:paraId="4BC99954"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4A356C0"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4943DEDD" w14:textId="77777777" w:rsidR="003970A9" w:rsidRDefault="003970A9">
            <w:pPr>
              <w:rPr>
                <w:sz w:val="22"/>
                <w:szCs w:val="22"/>
                <w:lang w:eastAsia="hu-HU"/>
              </w:rPr>
            </w:pPr>
            <w:r>
              <w:rPr>
                <w:sz w:val="22"/>
                <w:szCs w:val="22"/>
                <w:lang w:eastAsia="hu-HU"/>
              </w:rPr>
              <w:t>ortostatická hypotenzia</w:t>
            </w:r>
          </w:p>
        </w:tc>
      </w:tr>
      <w:tr w:rsidR="003970A9" w14:paraId="3924DAFF"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100C0B94" w14:textId="77777777" w:rsidR="003970A9" w:rsidRDefault="003970A9">
            <w:pPr>
              <w:rPr>
                <w:sz w:val="22"/>
                <w:szCs w:val="22"/>
                <w:lang w:eastAsia="hu-HU"/>
              </w:rPr>
            </w:pPr>
            <w:r>
              <w:rPr>
                <w:bCs/>
                <w:i/>
                <w:iCs/>
                <w:sz w:val="22"/>
                <w:szCs w:val="22"/>
                <w:lang w:eastAsia="hu-HU"/>
              </w:rPr>
              <w:t>Poruchy gastrointestinálneho traktu:</w:t>
            </w:r>
          </w:p>
        </w:tc>
      </w:tr>
      <w:tr w:rsidR="003970A9" w14:paraId="17521E9F"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55F2453F"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4A576F35" w14:textId="77777777" w:rsidR="003970A9" w:rsidRDefault="003970A9">
            <w:pPr>
              <w:rPr>
                <w:sz w:val="22"/>
                <w:szCs w:val="22"/>
                <w:lang w:eastAsia="hu-HU"/>
              </w:rPr>
            </w:pPr>
            <w:r>
              <w:rPr>
                <w:sz w:val="22"/>
                <w:szCs w:val="22"/>
                <w:lang w:eastAsia="hu-HU"/>
              </w:rPr>
              <w:t>suchosť v ústach, anorexia, nevoľnosť, vracanie, zápcha</w:t>
            </w:r>
          </w:p>
        </w:tc>
      </w:tr>
      <w:tr w:rsidR="003970A9" w14:paraId="7728C37C"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46D6F7C"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355ACAF4" w14:textId="77777777" w:rsidR="003970A9" w:rsidRDefault="003970A9">
            <w:pPr>
              <w:rPr>
                <w:sz w:val="22"/>
                <w:szCs w:val="22"/>
                <w:lang w:eastAsia="hu-HU"/>
              </w:rPr>
            </w:pPr>
            <w:r>
              <w:rPr>
                <w:sz w:val="22"/>
                <w:szCs w:val="22"/>
                <w:lang w:eastAsia="hu-HU"/>
              </w:rPr>
              <w:t>hnačka</w:t>
            </w:r>
          </w:p>
        </w:tc>
      </w:tr>
      <w:tr w:rsidR="003970A9" w14:paraId="499745B8"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1E06BDF" w14:textId="77777777" w:rsidR="003970A9" w:rsidRDefault="003970A9">
            <w:pPr>
              <w:rPr>
                <w:sz w:val="22"/>
                <w:szCs w:val="22"/>
                <w:lang w:eastAsia="hu-HU"/>
              </w:rPr>
            </w:pPr>
            <w:r>
              <w:rPr>
                <w:bCs/>
                <w:i/>
                <w:iCs/>
                <w:sz w:val="22"/>
                <w:szCs w:val="22"/>
                <w:lang w:eastAsia="hu-HU"/>
              </w:rPr>
              <w:t>Poruchy kože a podkožného tkaniva:</w:t>
            </w:r>
          </w:p>
        </w:tc>
      </w:tr>
      <w:tr w:rsidR="003970A9" w14:paraId="5FD54466"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B5A797D" w14:textId="77777777" w:rsidR="003970A9" w:rsidRDefault="003970A9">
            <w:pPr>
              <w:rPr>
                <w:sz w:val="22"/>
                <w:szCs w:val="22"/>
                <w:lang w:eastAsia="hu-HU"/>
              </w:rPr>
            </w:pPr>
            <w:r>
              <w:rPr>
                <w:sz w:val="22"/>
                <w:szCs w:val="22"/>
                <w:lang w:eastAsia="hu-HU"/>
              </w:rPr>
              <w:t>Veľmi časté:</w:t>
            </w:r>
          </w:p>
        </w:tc>
        <w:tc>
          <w:tcPr>
            <w:tcW w:w="4250" w:type="pct"/>
            <w:tcBorders>
              <w:top w:val="outset" w:sz="6" w:space="0" w:color="auto"/>
              <w:left w:val="outset" w:sz="6" w:space="0" w:color="auto"/>
              <w:bottom w:val="outset" w:sz="6" w:space="0" w:color="auto"/>
              <w:right w:val="outset" w:sz="6" w:space="0" w:color="auto"/>
            </w:tcBorders>
          </w:tcPr>
          <w:p w14:paraId="68F37B7C" w14:textId="77777777" w:rsidR="003970A9" w:rsidRDefault="003970A9">
            <w:pPr>
              <w:rPr>
                <w:sz w:val="22"/>
                <w:szCs w:val="22"/>
                <w:lang w:eastAsia="hu-HU"/>
              </w:rPr>
            </w:pPr>
            <w:r>
              <w:rPr>
                <w:sz w:val="22"/>
                <w:szCs w:val="22"/>
                <w:lang w:eastAsia="hu-HU"/>
              </w:rPr>
              <w:t>livedo reticularis</w:t>
            </w:r>
            <w:r>
              <w:rPr>
                <w:sz w:val="22"/>
                <w:szCs w:val="22"/>
                <w:vertAlign w:val="superscript"/>
                <w:lang w:eastAsia="hu-HU"/>
              </w:rPr>
              <w:t>3</w:t>
            </w:r>
          </w:p>
        </w:tc>
      </w:tr>
      <w:tr w:rsidR="003970A9" w14:paraId="1A023142"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3ADDCAB"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0FF736E9" w14:textId="77777777" w:rsidR="003970A9" w:rsidRDefault="003970A9">
            <w:pPr>
              <w:rPr>
                <w:sz w:val="22"/>
                <w:szCs w:val="22"/>
                <w:lang w:eastAsia="hu-HU"/>
              </w:rPr>
            </w:pPr>
            <w:r>
              <w:rPr>
                <w:sz w:val="22"/>
                <w:szCs w:val="22"/>
                <w:lang w:eastAsia="hu-HU"/>
              </w:rPr>
              <w:t>diaforéza</w:t>
            </w:r>
          </w:p>
        </w:tc>
      </w:tr>
      <w:tr w:rsidR="003970A9" w14:paraId="3A8432CE"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12875AF"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6837AA11" w14:textId="77777777" w:rsidR="003970A9" w:rsidRDefault="003970A9">
            <w:pPr>
              <w:rPr>
                <w:sz w:val="22"/>
                <w:szCs w:val="22"/>
                <w:lang w:eastAsia="hu-HU"/>
              </w:rPr>
            </w:pPr>
            <w:r>
              <w:rPr>
                <w:sz w:val="22"/>
                <w:szCs w:val="22"/>
                <w:lang w:eastAsia="hu-HU"/>
              </w:rPr>
              <w:t>exantém</w:t>
            </w:r>
          </w:p>
        </w:tc>
      </w:tr>
      <w:tr w:rsidR="003970A9" w14:paraId="403E40F4"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7C9DE080"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4FBA7C45" w14:textId="77777777" w:rsidR="003970A9" w:rsidRDefault="003970A9">
            <w:pPr>
              <w:rPr>
                <w:sz w:val="22"/>
                <w:szCs w:val="22"/>
                <w:lang w:eastAsia="hu-HU"/>
              </w:rPr>
            </w:pPr>
            <w:r>
              <w:rPr>
                <w:sz w:val="22"/>
                <w:szCs w:val="22"/>
                <w:lang w:eastAsia="hu-HU"/>
              </w:rPr>
              <w:t>fotosenzitivita</w:t>
            </w:r>
          </w:p>
        </w:tc>
      </w:tr>
      <w:tr w:rsidR="003970A9" w14:paraId="759BFD1F"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2F4E9AF9" w14:textId="77777777" w:rsidR="003970A9" w:rsidRDefault="003970A9">
            <w:pPr>
              <w:rPr>
                <w:i/>
                <w:sz w:val="22"/>
                <w:szCs w:val="22"/>
                <w:lang w:eastAsia="hu-HU"/>
              </w:rPr>
            </w:pPr>
            <w:r>
              <w:rPr>
                <w:i/>
                <w:sz w:val="22"/>
                <w:szCs w:val="22"/>
                <w:lang w:eastAsia="hu-HU"/>
              </w:rPr>
              <w:t>Poruchy kostrovej a svalovej sústavy a spojivového tkaniva</w:t>
            </w:r>
          </w:p>
        </w:tc>
      </w:tr>
      <w:tr w:rsidR="003970A9" w14:paraId="1EFC948D"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7C4A9714" w14:textId="77777777" w:rsidR="003970A9" w:rsidRDefault="003970A9">
            <w:pPr>
              <w:rPr>
                <w:sz w:val="22"/>
                <w:szCs w:val="22"/>
                <w:lang w:eastAsia="hu-HU"/>
              </w:rPr>
            </w:pPr>
            <w:r>
              <w:rPr>
                <w:sz w:val="22"/>
                <w:szCs w:val="22"/>
                <w:lang w:eastAsia="hu-HU"/>
              </w:rPr>
              <w:t>Časté:</w:t>
            </w:r>
          </w:p>
        </w:tc>
        <w:tc>
          <w:tcPr>
            <w:tcW w:w="4250" w:type="pct"/>
            <w:tcBorders>
              <w:top w:val="outset" w:sz="6" w:space="0" w:color="auto"/>
              <w:left w:val="outset" w:sz="6" w:space="0" w:color="auto"/>
              <w:bottom w:val="outset" w:sz="6" w:space="0" w:color="auto"/>
              <w:right w:val="outset" w:sz="6" w:space="0" w:color="auto"/>
            </w:tcBorders>
          </w:tcPr>
          <w:p w14:paraId="5492CE2E" w14:textId="77777777" w:rsidR="003970A9" w:rsidRDefault="003970A9">
            <w:pPr>
              <w:rPr>
                <w:sz w:val="22"/>
                <w:szCs w:val="22"/>
                <w:lang w:eastAsia="hu-HU"/>
              </w:rPr>
            </w:pPr>
            <w:r>
              <w:rPr>
                <w:sz w:val="22"/>
                <w:szCs w:val="22"/>
                <w:lang w:eastAsia="hu-HU"/>
              </w:rPr>
              <w:t>bolesť svalov</w:t>
            </w:r>
          </w:p>
        </w:tc>
      </w:tr>
      <w:tr w:rsidR="003970A9" w14:paraId="3A044895"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5ADBB6E5" w14:textId="77777777" w:rsidR="003970A9" w:rsidRDefault="003970A9">
            <w:pPr>
              <w:rPr>
                <w:sz w:val="22"/>
                <w:szCs w:val="22"/>
                <w:lang w:eastAsia="hu-HU"/>
              </w:rPr>
            </w:pPr>
            <w:r>
              <w:rPr>
                <w:bCs/>
                <w:i/>
                <w:iCs/>
                <w:sz w:val="22"/>
                <w:szCs w:val="22"/>
                <w:lang w:eastAsia="hu-HU"/>
              </w:rPr>
              <w:t>Poruchy obličiek a močových ciest:</w:t>
            </w:r>
          </w:p>
        </w:tc>
      </w:tr>
      <w:tr w:rsidR="003970A9" w14:paraId="4F1F078A"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51614A5A" w14:textId="77777777" w:rsidR="003970A9" w:rsidRDefault="003970A9">
            <w:pPr>
              <w:rPr>
                <w:sz w:val="22"/>
                <w:szCs w:val="22"/>
                <w:lang w:eastAsia="hu-HU"/>
              </w:rPr>
            </w:pPr>
            <w:r>
              <w:rPr>
                <w:sz w:val="22"/>
                <w:szCs w:val="22"/>
                <w:lang w:eastAsia="hu-HU"/>
              </w:rPr>
              <w:t>Zriedkavé:</w:t>
            </w:r>
          </w:p>
        </w:tc>
        <w:tc>
          <w:tcPr>
            <w:tcW w:w="4250" w:type="pct"/>
            <w:tcBorders>
              <w:top w:val="outset" w:sz="6" w:space="0" w:color="auto"/>
              <w:left w:val="outset" w:sz="6" w:space="0" w:color="auto"/>
              <w:bottom w:val="outset" w:sz="6" w:space="0" w:color="auto"/>
              <w:right w:val="outset" w:sz="6" w:space="0" w:color="auto"/>
            </w:tcBorders>
          </w:tcPr>
          <w:p w14:paraId="1C6E50D0" w14:textId="77777777" w:rsidR="003970A9" w:rsidRDefault="003970A9">
            <w:pPr>
              <w:rPr>
                <w:sz w:val="22"/>
                <w:szCs w:val="22"/>
                <w:lang w:eastAsia="hu-HU"/>
              </w:rPr>
            </w:pPr>
            <w:r>
              <w:rPr>
                <w:sz w:val="22"/>
                <w:szCs w:val="22"/>
                <w:lang w:eastAsia="hu-HU"/>
              </w:rPr>
              <w:t>urinárna retencia, urinárna inkontinencia</w:t>
            </w:r>
          </w:p>
        </w:tc>
      </w:tr>
      <w:tr w:rsidR="003970A9" w14:paraId="31FFDFF9"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4711A03" w14:textId="77777777" w:rsidR="003970A9" w:rsidRDefault="003970A9">
            <w:pPr>
              <w:rPr>
                <w:i/>
                <w:sz w:val="22"/>
                <w:szCs w:val="22"/>
                <w:lang w:eastAsia="hu-HU"/>
              </w:rPr>
            </w:pPr>
            <w:r>
              <w:rPr>
                <w:i/>
                <w:sz w:val="22"/>
                <w:szCs w:val="22"/>
                <w:lang w:eastAsia="hu-HU"/>
              </w:rPr>
              <w:t>Celkové poruchy a reakcie v mieste podania</w:t>
            </w:r>
          </w:p>
        </w:tc>
      </w:tr>
      <w:tr w:rsidR="003970A9" w14:paraId="51F60FAB"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4040291A" w14:textId="77777777" w:rsidR="003970A9" w:rsidRDefault="003970A9">
            <w:pPr>
              <w:rPr>
                <w:sz w:val="22"/>
                <w:szCs w:val="22"/>
                <w:lang w:eastAsia="hu-HU"/>
              </w:rPr>
            </w:pPr>
            <w:r>
              <w:rPr>
                <w:sz w:val="22"/>
                <w:szCs w:val="22"/>
                <w:lang w:eastAsia="hu-HU"/>
              </w:rPr>
              <w:t>Veľmi časté:</w:t>
            </w:r>
          </w:p>
        </w:tc>
        <w:tc>
          <w:tcPr>
            <w:tcW w:w="4250" w:type="pct"/>
            <w:tcBorders>
              <w:top w:val="outset" w:sz="6" w:space="0" w:color="auto"/>
              <w:left w:val="outset" w:sz="6" w:space="0" w:color="auto"/>
              <w:bottom w:val="outset" w:sz="6" w:space="0" w:color="auto"/>
              <w:right w:val="outset" w:sz="6" w:space="0" w:color="auto"/>
            </w:tcBorders>
          </w:tcPr>
          <w:p w14:paraId="78759585" w14:textId="77777777" w:rsidR="003970A9" w:rsidRDefault="003970A9">
            <w:pPr>
              <w:rPr>
                <w:sz w:val="22"/>
                <w:szCs w:val="22"/>
                <w:lang w:eastAsia="hu-HU"/>
              </w:rPr>
            </w:pPr>
            <w:r>
              <w:rPr>
                <w:sz w:val="22"/>
                <w:szCs w:val="22"/>
                <w:lang w:eastAsia="hu-HU"/>
              </w:rPr>
              <w:t>opuch členkov</w:t>
            </w:r>
          </w:p>
        </w:tc>
      </w:tr>
      <w:tr w:rsidR="003970A9" w14:paraId="27997B7F"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7C3F2CD" w14:textId="77777777" w:rsidR="003970A9" w:rsidRDefault="003970A9">
            <w:pPr>
              <w:rPr>
                <w:sz w:val="22"/>
                <w:szCs w:val="22"/>
                <w:lang w:eastAsia="hu-HU"/>
              </w:rPr>
            </w:pPr>
            <w:r>
              <w:rPr>
                <w:sz w:val="22"/>
                <w:szCs w:val="22"/>
                <w:lang w:eastAsia="hu-HU"/>
              </w:rPr>
              <w:t>Neznáme:</w:t>
            </w:r>
          </w:p>
        </w:tc>
        <w:tc>
          <w:tcPr>
            <w:tcW w:w="4250" w:type="pct"/>
            <w:tcBorders>
              <w:top w:val="outset" w:sz="6" w:space="0" w:color="auto"/>
              <w:left w:val="outset" w:sz="6" w:space="0" w:color="auto"/>
              <w:bottom w:val="outset" w:sz="6" w:space="0" w:color="auto"/>
              <w:right w:val="outset" w:sz="6" w:space="0" w:color="auto"/>
            </w:tcBorders>
          </w:tcPr>
          <w:p w14:paraId="6346A0F3" w14:textId="77777777" w:rsidR="003970A9" w:rsidRDefault="003970A9">
            <w:pPr>
              <w:rPr>
                <w:sz w:val="22"/>
                <w:szCs w:val="22"/>
                <w:lang w:eastAsia="hu-HU"/>
              </w:rPr>
            </w:pPr>
            <w:r>
              <w:rPr>
                <w:sz w:val="22"/>
                <w:szCs w:val="22"/>
                <w:lang w:eastAsia="hu-HU"/>
              </w:rPr>
              <w:t>hypotermia</w:t>
            </w:r>
            <w:r>
              <w:rPr>
                <w:sz w:val="22"/>
                <w:szCs w:val="22"/>
                <w:vertAlign w:val="superscript"/>
                <w:lang w:eastAsia="hu-HU"/>
              </w:rPr>
              <w:t>4</w:t>
            </w:r>
          </w:p>
        </w:tc>
      </w:tr>
      <w:tr w:rsidR="003970A9" w14:paraId="5A615C50"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46237C38" w14:textId="77777777" w:rsidR="003970A9" w:rsidRDefault="003970A9">
            <w:pPr>
              <w:rPr>
                <w:i/>
                <w:sz w:val="22"/>
                <w:szCs w:val="22"/>
                <w:lang w:eastAsia="hu-HU"/>
              </w:rPr>
            </w:pPr>
            <w:r>
              <w:rPr>
                <w:i/>
                <w:sz w:val="22"/>
                <w:szCs w:val="22"/>
                <w:lang w:eastAsia="hu-HU"/>
              </w:rPr>
              <w:t>Laboratórne a funkčné vyšetrenia</w:t>
            </w:r>
          </w:p>
        </w:tc>
      </w:tr>
      <w:tr w:rsidR="003970A9" w14:paraId="12E93797"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41F5F73" w14:textId="77777777" w:rsidR="003970A9" w:rsidRDefault="003970A9">
            <w:pPr>
              <w:rPr>
                <w:sz w:val="22"/>
                <w:szCs w:val="22"/>
                <w:lang w:eastAsia="hu-HU"/>
              </w:rPr>
            </w:pPr>
            <w:r>
              <w:rPr>
                <w:sz w:val="22"/>
                <w:szCs w:val="22"/>
                <w:lang w:eastAsia="hu-HU"/>
              </w:rPr>
              <w:t>Veľmi zriedkavé:</w:t>
            </w:r>
          </w:p>
        </w:tc>
        <w:tc>
          <w:tcPr>
            <w:tcW w:w="4250" w:type="pct"/>
            <w:tcBorders>
              <w:top w:val="outset" w:sz="6" w:space="0" w:color="auto"/>
              <w:left w:val="outset" w:sz="6" w:space="0" w:color="auto"/>
              <w:bottom w:val="outset" w:sz="6" w:space="0" w:color="auto"/>
              <w:right w:val="outset" w:sz="6" w:space="0" w:color="auto"/>
            </w:tcBorders>
          </w:tcPr>
          <w:p w14:paraId="229D9852" w14:textId="77777777" w:rsidR="003970A9" w:rsidRDefault="003970A9">
            <w:pPr>
              <w:rPr>
                <w:sz w:val="22"/>
                <w:szCs w:val="22"/>
                <w:lang w:eastAsia="hu-HU"/>
              </w:rPr>
            </w:pPr>
            <w:r>
              <w:rPr>
                <w:sz w:val="22"/>
                <w:szCs w:val="22"/>
                <w:lang w:eastAsia="hu-HU"/>
              </w:rPr>
              <w:t>reverzibilné zvýšenie pečeňových enzýmov</w:t>
            </w:r>
          </w:p>
        </w:tc>
      </w:tr>
    </w:tbl>
    <w:p w14:paraId="18065F5E" w14:textId="77777777" w:rsidR="003970A9" w:rsidRDefault="003970A9">
      <w:pPr>
        <w:rPr>
          <w:sz w:val="22"/>
          <w:szCs w:val="22"/>
          <w:lang w:eastAsia="hu-HU"/>
        </w:rPr>
      </w:pPr>
      <w:r>
        <w:rPr>
          <w:sz w:val="22"/>
          <w:szCs w:val="22"/>
          <w:vertAlign w:val="superscript"/>
          <w:lang w:eastAsia="hu-HU"/>
        </w:rPr>
        <w:t>1</w:t>
      </w:r>
      <w:r>
        <w:rPr>
          <w:sz w:val="22"/>
          <w:szCs w:val="22"/>
          <w:lang w:eastAsia="hu-HU"/>
        </w:rPr>
        <w:t>častejšie, ak sa amantadín podáva súčasne s anticholinergikami, alebo ak pacient má základné psychiatrické ochorenie.</w:t>
      </w:r>
    </w:p>
    <w:p w14:paraId="478565E0" w14:textId="77777777" w:rsidR="003970A9" w:rsidRDefault="003970A9">
      <w:pPr>
        <w:rPr>
          <w:sz w:val="22"/>
          <w:szCs w:val="22"/>
          <w:lang w:eastAsia="hu-HU"/>
        </w:rPr>
      </w:pPr>
      <w:r>
        <w:rPr>
          <w:sz w:val="22"/>
          <w:szCs w:val="22"/>
          <w:vertAlign w:val="superscript"/>
          <w:lang w:eastAsia="hu-HU"/>
        </w:rPr>
        <w:t>2</w:t>
      </w:r>
      <w:r>
        <w:rPr>
          <w:sz w:val="22"/>
          <w:szCs w:val="22"/>
          <w:lang w:eastAsia="hu-HU"/>
        </w:rPr>
        <w:t>hlásené, ale ich výskyt nemožno odvodiť z literatúry.</w:t>
      </w:r>
    </w:p>
    <w:p w14:paraId="63A21C36" w14:textId="77777777" w:rsidR="003970A9" w:rsidRDefault="003970A9">
      <w:pPr>
        <w:rPr>
          <w:sz w:val="22"/>
          <w:szCs w:val="22"/>
          <w:lang w:eastAsia="hu-HU"/>
        </w:rPr>
      </w:pPr>
      <w:r>
        <w:rPr>
          <w:sz w:val="22"/>
          <w:szCs w:val="22"/>
          <w:vertAlign w:val="superscript"/>
          <w:lang w:eastAsia="hu-HU"/>
        </w:rPr>
        <w:t>3</w:t>
      </w:r>
      <w:r>
        <w:rPr>
          <w:sz w:val="22"/>
          <w:szCs w:val="22"/>
          <w:lang w:eastAsia="hu-HU"/>
        </w:rPr>
        <w:t>obyčajne po veľmi vysokej dávke alebo užívaní počas mnohých mesiacov.</w:t>
      </w:r>
    </w:p>
    <w:p w14:paraId="5D213BA7" w14:textId="77777777" w:rsidR="003970A9" w:rsidRDefault="003970A9">
      <w:pPr>
        <w:rPr>
          <w:sz w:val="22"/>
          <w:szCs w:val="22"/>
          <w:lang w:eastAsia="hu-HU"/>
        </w:rPr>
      </w:pPr>
      <w:r>
        <w:rPr>
          <w:sz w:val="22"/>
          <w:szCs w:val="22"/>
          <w:vertAlign w:val="superscript"/>
          <w:lang w:eastAsia="hu-HU"/>
        </w:rPr>
        <w:t>4</w:t>
      </w:r>
      <w:r>
        <w:rPr>
          <w:sz w:val="22"/>
          <w:szCs w:val="22"/>
          <w:lang w:eastAsia="hu-HU"/>
        </w:rPr>
        <w:t>po registrácii bola u detí, najmä mladších ako 5 rokov, hlásená hypotermia (pozri aj časť 4.4 Osobitné upozornenia a opatrenia pri používaní). Frekvencia sa nedá stanoviť.</w:t>
      </w:r>
    </w:p>
    <w:p w14:paraId="5EFA4F0E" w14:textId="77777777" w:rsidR="003970A9" w:rsidRDefault="003970A9">
      <w:pPr>
        <w:rPr>
          <w:sz w:val="22"/>
          <w:szCs w:val="22"/>
          <w:lang w:eastAsia="hu-HU"/>
        </w:rPr>
      </w:pPr>
    </w:p>
    <w:p w14:paraId="43B7C0AD" w14:textId="77777777" w:rsidR="003970A9" w:rsidRDefault="003970A9">
      <w:pPr>
        <w:rPr>
          <w:sz w:val="22"/>
          <w:szCs w:val="22"/>
          <w:u w:val="single"/>
          <w:lang w:eastAsia="en-US"/>
        </w:rPr>
      </w:pPr>
      <w:r>
        <w:rPr>
          <w:sz w:val="22"/>
          <w:szCs w:val="22"/>
          <w:u w:val="single"/>
          <w:lang w:eastAsia="en-US"/>
        </w:rPr>
        <w:t>Hlásenie podozrení na nežiaduce reakcie</w:t>
      </w:r>
    </w:p>
    <w:p w14:paraId="7B677899" w14:textId="1FCFDED5" w:rsidR="003970A9" w:rsidRDefault="003970A9">
      <w:pPr>
        <w:suppressLineNumbers/>
        <w:autoSpaceDE w:val="0"/>
        <w:autoSpaceDN w:val="0"/>
        <w:adjustRightInd w:val="0"/>
        <w:rPr>
          <w:noProof/>
          <w:sz w:val="22"/>
          <w:szCs w:val="22"/>
          <w:lang w:eastAsia="en-US"/>
        </w:rPr>
      </w:pPr>
      <w:r>
        <w:rPr>
          <w:sz w:val="22"/>
          <w:szCs w:val="22"/>
          <w:lang w:eastAsia="en-US"/>
        </w:rPr>
        <w:t xml:space="preserve">Hlásenie podozrení na nežiaduce reakcie po registrácii je dôležité. Umožňuje priebežné monitorovanie pomeru prínosu a rizika lieku. Od zdravotníckych pracovníkov sa vyžaduje, aby hlásili akékoľvek podozrenia na nežiaduce reakcie </w:t>
      </w:r>
      <w:r w:rsidR="006F6461">
        <w:rPr>
          <w:sz w:val="22"/>
          <w:szCs w:val="22"/>
          <w:lang w:eastAsia="en-US"/>
        </w:rPr>
        <w:t xml:space="preserve">na </w:t>
      </w:r>
      <w:r>
        <w:rPr>
          <w:noProof/>
          <w:sz w:val="22"/>
          <w:szCs w:val="22"/>
          <w:highlight w:val="lightGray"/>
          <w:lang w:eastAsia="en-US"/>
        </w:rPr>
        <w:t>národné</w:t>
      </w:r>
      <w:r w:rsidR="006F6461">
        <w:rPr>
          <w:noProof/>
          <w:sz w:val="22"/>
          <w:szCs w:val="22"/>
          <w:highlight w:val="lightGray"/>
          <w:lang w:eastAsia="en-US"/>
        </w:rPr>
        <w:t xml:space="preserve"> centrum </w:t>
      </w:r>
      <w:bookmarkStart w:id="0" w:name="_GoBack"/>
      <w:bookmarkEnd w:id="0"/>
      <w:r>
        <w:rPr>
          <w:noProof/>
          <w:sz w:val="22"/>
          <w:szCs w:val="22"/>
          <w:highlight w:val="lightGray"/>
          <w:lang w:eastAsia="en-US"/>
        </w:rPr>
        <w:t>hlásenia uvedené v </w:t>
      </w:r>
      <w:hyperlink r:id="rId8" w:history="1">
        <w:r>
          <w:rPr>
            <w:noProof/>
            <w:color w:val="0000FF"/>
            <w:sz w:val="22"/>
            <w:szCs w:val="22"/>
            <w:highlight w:val="lightGray"/>
            <w:u w:val="single"/>
            <w:lang w:eastAsia="en-US"/>
          </w:rPr>
          <w:t>Prí</w:t>
        </w:r>
        <w:r>
          <w:rPr>
            <w:noProof/>
            <w:color w:val="0000FF"/>
            <w:sz w:val="22"/>
            <w:szCs w:val="22"/>
            <w:highlight w:val="lightGray"/>
            <w:u w:val="single"/>
            <w:lang w:eastAsia="en-US"/>
          </w:rPr>
          <w:t>l</w:t>
        </w:r>
        <w:r>
          <w:rPr>
            <w:noProof/>
            <w:color w:val="0000FF"/>
            <w:sz w:val="22"/>
            <w:szCs w:val="22"/>
            <w:highlight w:val="lightGray"/>
            <w:u w:val="single"/>
            <w:lang w:eastAsia="en-US"/>
          </w:rPr>
          <w:t>ohe V</w:t>
        </w:r>
      </w:hyperlink>
      <w:r>
        <w:rPr>
          <w:color w:val="008000"/>
          <w:sz w:val="22"/>
          <w:szCs w:val="22"/>
          <w:highlight w:val="lightGray"/>
          <w:lang w:eastAsia="en-US"/>
        </w:rPr>
        <w:t>*</w:t>
      </w:r>
      <w:r>
        <w:rPr>
          <w:noProof/>
          <w:sz w:val="22"/>
          <w:szCs w:val="22"/>
          <w:highlight w:val="lightGray"/>
          <w:lang w:eastAsia="en-US"/>
        </w:rPr>
        <w:t>.</w:t>
      </w:r>
    </w:p>
    <w:p w14:paraId="4B8A77EC" w14:textId="77777777" w:rsidR="003970A9" w:rsidRDefault="003970A9">
      <w:pPr>
        <w:rPr>
          <w:sz w:val="22"/>
          <w:szCs w:val="22"/>
        </w:rPr>
      </w:pPr>
    </w:p>
    <w:p w14:paraId="1A2779C5" w14:textId="77777777" w:rsidR="003970A9" w:rsidRDefault="003970A9">
      <w:pPr>
        <w:numPr>
          <w:ilvl w:val="1"/>
          <w:numId w:val="2"/>
        </w:numPr>
        <w:rPr>
          <w:b/>
          <w:sz w:val="22"/>
          <w:szCs w:val="22"/>
        </w:rPr>
      </w:pPr>
      <w:r>
        <w:rPr>
          <w:b/>
          <w:sz w:val="22"/>
          <w:szCs w:val="22"/>
        </w:rPr>
        <w:t>Predávkovanie</w:t>
      </w:r>
    </w:p>
    <w:p w14:paraId="777736A8" w14:textId="77777777" w:rsidR="003970A9" w:rsidRDefault="003970A9">
      <w:pPr>
        <w:rPr>
          <w:sz w:val="22"/>
          <w:szCs w:val="22"/>
        </w:rPr>
      </w:pPr>
    </w:p>
    <w:p w14:paraId="3378BECC" w14:textId="77777777" w:rsidR="003970A9" w:rsidRDefault="003970A9">
      <w:pPr>
        <w:rPr>
          <w:sz w:val="22"/>
          <w:szCs w:val="22"/>
        </w:rPr>
      </w:pPr>
      <w:r>
        <w:rPr>
          <w:sz w:val="22"/>
          <w:szCs w:val="22"/>
        </w:rPr>
        <w:t>Predávkovanie Viregytom-K môže mať fatálne následky.</w:t>
      </w:r>
    </w:p>
    <w:p w14:paraId="3A3C6403" w14:textId="77777777" w:rsidR="003970A9" w:rsidRDefault="003970A9">
      <w:pPr>
        <w:rPr>
          <w:sz w:val="22"/>
          <w:szCs w:val="22"/>
        </w:rPr>
      </w:pPr>
    </w:p>
    <w:p w14:paraId="39D5A101" w14:textId="77777777" w:rsidR="003970A9" w:rsidRDefault="003970A9">
      <w:pPr>
        <w:rPr>
          <w:sz w:val="22"/>
          <w:szCs w:val="22"/>
        </w:rPr>
      </w:pPr>
      <w:r>
        <w:rPr>
          <w:b/>
          <w:i/>
          <w:sz w:val="22"/>
          <w:szCs w:val="22"/>
        </w:rPr>
        <w:lastRenderedPageBreak/>
        <w:t>Príznaky a symptómy:</w:t>
      </w:r>
      <w:r>
        <w:rPr>
          <w:sz w:val="22"/>
          <w:szCs w:val="22"/>
        </w:rPr>
        <w:t xml:space="preserve"> Významné sú </w:t>
      </w:r>
      <w:r>
        <w:rPr>
          <w:i/>
          <w:sz w:val="22"/>
          <w:szCs w:val="22"/>
        </w:rPr>
        <w:t>neuromuskulárne</w:t>
      </w:r>
      <w:r>
        <w:rPr>
          <w:sz w:val="22"/>
          <w:szCs w:val="22"/>
        </w:rPr>
        <w:t xml:space="preserve"> poruchy a symptómy akútnej psychózy. </w:t>
      </w:r>
      <w:r>
        <w:rPr>
          <w:i/>
          <w:sz w:val="22"/>
          <w:szCs w:val="22"/>
        </w:rPr>
        <w:t>Centrálny nervový systém</w:t>
      </w:r>
      <w:r>
        <w:rPr>
          <w:sz w:val="22"/>
          <w:szCs w:val="22"/>
        </w:rPr>
        <w:t xml:space="preserve">: hyperreflexia, motorický nepokoj, konvulzie, extrapyramídové príznaky, torzné spazmy, dystonická postúra, rozšírené zrenice, dysfágia, zmätenosť, dezorientácia, delírium, zrakové halucinácie, myoklonus. </w:t>
      </w:r>
      <w:r>
        <w:rPr>
          <w:i/>
          <w:sz w:val="22"/>
          <w:szCs w:val="22"/>
        </w:rPr>
        <w:t>Respiračný systém</w:t>
      </w:r>
      <w:r>
        <w:rPr>
          <w:sz w:val="22"/>
          <w:szCs w:val="22"/>
        </w:rPr>
        <w:t xml:space="preserve">: hyperventilácia, pľúcny edém, respiračná tieseň, vrátane syndrómu respiračnej tiesne u dospelých. </w:t>
      </w:r>
      <w:r>
        <w:rPr>
          <w:i/>
          <w:sz w:val="22"/>
          <w:szCs w:val="22"/>
        </w:rPr>
        <w:t>Kardiovaskulárny systém</w:t>
      </w:r>
      <w:r>
        <w:rPr>
          <w:sz w:val="22"/>
          <w:szCs w:val="22"/>
        </w:rPr>
        <w:t xml:space="preserve">: boli hlásené zástava srdca a náhla srdcová smrť. Sínusová tachykardia, arytmia, hypertenzia. </w:t>
      </w:r>
      <w:r>
        <w:rPr>
          <w:i/>
          <w:sz w:val="22"/>
          <w:szCs w:val="22"/>
        </w:rPr>
        <w:t>Gastrointestinálny systém</w:t>
      </w:r>
      <w:r>
        <w:rPr>
          <w:sz w:val="22"/>
          <w:szCs w:val="22"/>
        </w:rPr>
        <w:t xml:space="preserve">: nevoľnosť, vracanie, suchosť v ústach. </w:t>
      </w:r>
      <w:r>
        <w:rPr>
          <w:i/>
          <w:sz w:val="22"/>
          <w:szCs w:val="22"/>
        </w:rPr>
        <w:t>Funkcie vylučovania</w:t>
      </w:r>
      <w:r>
        <w:rPr>
          <w:sz w:val="22"/>
          <w:szCs w:val="22"/>
        </w:rPr>
        <w:t>: retencia moču, renálna dysfunkcia, vrátane zvýšenia BUN (močovinový dusík v krvi) a zníženia klírensu kreatinínu.</w:t>
      </w:r>
    </w:p>
    <w:p w14:paraId="538E7C01" w14:textId="77777777" w:rsidR="003970A9" w:rsidRDefault="003970A9">
      <w:pPr>
        <w:rPr>
          <w:sz w:val="22"/>
          <w:szCs w:val="22"/>
        </w:rPr>
      </w:pPr>
      <w:r>
        <w:rPr>
          <w:i/>
          <w:sz w:val="22"/>
          <w:szCs w:val="22"/>
        </w:rPr>
        <w:t>Predávkovanie z kombinovanej liečby</w:t>
      </w:r>
      <w:r>
        <w:rPr>
          <w:sz w:val="22"/>
          <w:szCs w:val="22"/>
        </w:rPr>
        <w:t>: amantadín zvyšuje účinky anticholinergík. Pri vysokých dávkach anticholinergík sa môžu vyskytnúť akútne psychotické reakcie (môžu byť rovnaké ako pri otrave atropínom). Ak bol súčasne požitý aj alkohol alebo stimulanciá centrálneho nervového systému, príznaky a symptómy akútnej otravy amantadínom môžu byť zvýraznené a/alebo zmenené.</w:t>
      </w:r>
    </w:p>
    <w:p w14:paraId="1C3807A2" w14:textId="77777777" w:rsidR="003970A9" w:rsidRDefault="003970A9">
      <w:pPr>
        <w:rPr>
          <w:sz w:val="22"/>
          <w:szCs w:val="22"/>
        </w:rPr>
      </w:pPr>
    </w:p>
    <w:p w14:paraId="2C89A074" w14:textId="77777777" w:rsidR="003970A9" w:rsidRDefault="003970A9">
      <w:pPr>
        <w:rPr>
          <w:sz w:val="22"/>
          <w:szCs w:val="22"/>
        </w:rPr>
      </w:pPr>
      <w:r>
        <w:rPr>
          <w:i/>
          <w:sz w:val="22"/>
          <w:szCs w:val="22"/>
        </w:rPr>
        <w:t>Manažment</w:t>
      </w:r>
      <w:r>
        <w:rPr>
          <w:sz w:val="22"/>
          <w:szCs w:val="22"/>
        </w:rPr>
        <w:t>: Neexistuje špecifické antidotum. Po zvážení vhodnosti sa môže použiť vyvolanie vracania a/alebo odsatie obsahu žalúdka (a výplach, ak je pacient pri vedomí), aktívne uhlie alebo salinické preháňadlo. Keďže amantadín sa vylučuje najmä nezmenený v moči, udržiavanie funkcie vylučovania a časté močenie (ak je nutné tak nútené močenie) sú efektívne spôsoby na jeho odstránenie z krvného obehu. Acidifikácia moču podporuje jeho vylučovanie. Hemodialýza neodstráni významné množstvá amantadínu.</w:t>
      </w:r>
    </w:p>
    <w:p w14:paraId="36DD4A5F" w14:textId="77777777" w:rsidR="003970A9" w:rsidRDefault="003970A9">
      <w:pPr>
        <w:rPr>
          <w:sz w:val="22"/>
          <w:szCs w:val="22"/>
        </w:rPr>
      </w:pPr>
      <w:r>
        <w:rPr>
          <w:sz w:val="22"/>
          <w:szCs w:val="22"/>
        </w:rPr>
        <w:t xml:space="preserve">Monitorujte krvný tlak, frekvenciu srdca, EKG, dýchanie a telesnú teplotu a v prípade potreby liečte hypotenziu a srdcové arytmie. </w:t>
      </w:r>
      <w:r>
        <w:rPr>
          <w:i/>
          <w:sz w:val="22"/>
          <w:szCs w:val="22"/>
        </w:rPr>
        <w:t>Konvulzie a prílišný motorický nepokoj</w:t>
      </w:r>
      <w:r>
        <w:rPr>
          <w:sz w:val="22"/>
          <w:szCs w:val="22"/>
        </w:rPr>
        <w:t>: podávajte antikonvulzíva ako diazepam i.v., paraldehyd i.m. alebo per rectum, alebo fenobarbital im.</w:t>
      </w:r>
    </w:p>
    <w:p w14:paraId="627AFC3F" w14:textId="77777777" w:rsidR="003970A9" w:rsidRDefault="003970A9">
      <w:pPr>
        <w:rPr>
          <w:sz w:val="22"/>
          <w:szCs w:val="22"/>
        </w:rPr>
      </w:pPr>
      <w:r>
        <w:rPr>
          <w:i/>
          <w:sz w:val="22"/>
          <w:szCs w:val="22"/>
        </w:rPr>
        <w:t>Akútne psychotické symptómy, delírium, dystonická postúra, myoklonické prejavy</w:t>
      </w:r>
      <w:r>
        <w:rPr>
          <w:sz w:val="22"/>
          <w:szCs w:val="22"/>
        </w:rPr>
        <w:t xml:space="preserve">: fyzostigmín pomalou i.v. infúziou (1 mg dávka u dospelých, 0,5 mg u detí), hlásené boli opakované podania podľa úvodnej reakcie a následnej potreby. </w:t>
      </w:r>
      <w:r>
        <w:rPr>
          <w:i/>
          <w:sz w:val="22"/>
          <w:szCs w:val="22"/>
        </w:rPr>
        <w:t>Retencia moču</w:t>
      </w:r>
      <w:r>
        <w:rPr>
          <w:sz w:val="22"/>
          <w:szCs w:val="22"/>
        </w:rPr>
        <w:t>: potreba zaviesť katéter do mechúra; permanentný katéter môže byť zavedený počas potrebného obdobia.</w:t>
      </w:r>
    </w:p>
    <w:p w14:paraId="232BDFA5" w14:textId="77777777" w:rsidR="003970A9" w:rsidRDefault="003970A9">
      <w:pPr>
        <w:rPr>
          <w:sz w:val="22"/>
          <w:szCs w:val="22"/>
        </w:rPr>
      </w:pPr>
    </w:p>
    <w:p w14:paraId="652F7FDA" w14:textId="77777777" w:rsidR="003970A9" w:rsidRDefault="003970A9">
      <w:pPr>
        <w:rPr>
          <w:sz w:val="22"/>
          <w:szCs w:val="22"/>
        </w:rPr>
      </w:pPr>
    </w:p>
    <w:p w14:paraId="6A48AFE6" w14:textId="77777777" w:rsidR="003970A9" w:rsidRDefault="003970A9">
      <w:pPr>
        <w:numPr>
          <w:ilvl w:val="0"/>
          <w:numId w:val="3"/>
        </w:numPr>
        <w:rPr>
          <w:b/>
          <w:sz w:val="22"/>
          <w:szCs w:val="22"/>
        </w:rPr>
      </w:pPr>
      <w:r>
        <w:rPr>
          <w:b/>
          <w:sz w:val="22"/>
          <w:szCs w:val="22"/>
        </w:rPr>
        <w:t xml:space="preserve"> </w:t>
      </w:r>
      <w:r>
        <w:rPr>
          <w:b/>
          <w:sz w:val="22"/>
          <w:szCs w:val="22"/>
        </w:rPr>
        <w:tab/>
        <w:t>FARMAKOLOGICKÉ VLASTNOSTI</w:t>
      </w:r>
    </w:p>
    <w:p w14:paraId="0191055E" w14:textId="77777777" w:rsidR="003970A9" w:rsidRDefault="003970A9">
      <w:pPr>
        <w:rPr>
          <w:sz w:val="22"/>
          <w:szCs w:val="22"/>
        </w:rPr>
      </w:pPr>
    </w:p>
    <w:p w14:paraId="33878F76" w14:textId="77777777" w:rsidR="003970A9" w:rsidRDefault="003970A9">
      <w:pPr>
        <w:numPr>
          <w:ilvl w:val="1"/>
          <w:numId w:val="13"/>
        </w:numPr>
        <w:tabs>
          <w:tab w:val="clear" w:pos="360"/>
          <w:tab w:val="num" w:pos="720"/>
        </w:tabs>
        <w:rPr>
          <w:b/>
          <w:sz w:val="22"/>
          <w:szCs w:val="22"/>
        </w:rPr>
      </w:pPr>
      <w:r>
        <w:rPr>
          <w:b/>
          <w:sz w:val="22"/>
          <w:szCs w:val="22"/>
        </w:rPr>
        <w:t>Farmakodynamické vlastnosti</w:t>
      </w:r>
    </w:p>
    <w:p w14:paraId="72977111" w14:textId="77777777" w:rsidR="003970A9" w:rsidRDefault="003970A9">
      <w:pPr>
        <w:rPr>
          <w:sz w:val="22"/>
          <w:szCs w:val="22"/>
        </w:rPr>
      </w:pPr>
    </w:p>
    <w:p w14:paraId="36D97E4B" w14:textId="06E29C94" w:rsidR="003970A9" w:rsidRDefault="003970A9">
      <w:pPr>
        <w:rPr>
          <w:sz w:val="22"/>
          <w:szCs w:val="22"/>
        </w:rPr>
      </w:pPr>
      <w:r>
        <w:rPr>
          <w:sz w:val="22"/>
          <w:szCs w:val="22"/>
        </w:rPr>
        <w:t>Farmakoterapeutická skupina:</w:t>
      </w:r>
      <w:r w:rsidR="006F6461">
        <w:rPr>
          <w:sz w:val="22"/>
          <w:szCs w:val="22"/>
        </w:rPr>
        <w:t xml:space="preserve"> </w:t>
      </w:r>
      <w:r>
        <w:rPr>
          <w:sz w:val="22"/>
          <w:szCs w:val="22"/>
        </w:rPr>
        <w:t xml:space="preserve"> Dopamínergiká.</w:t>
      </w:r>
    </w:p>
    <w:p w14:paraId="50CECEB3" w14:textId="77777777" w:rsidR="003970A9" w:rsidRDefault="003970A9">
      <w:pPr>
        <w:rPr>
          <w:sz w:val="22"/>
          <w:szCs w:val="22"/>
        </w:rPr>
      </w:pPr>
      <w:r>
        <w:rPr>
          <w:sz w:val="22"/>
          <w:szCs w:val="22"/>
        </w:rPr>
        <w:t>ATC kód: N04BB01.</w:t>
      </w:r>
    </w:p>
    <w:p w14:paraId="28DC7F7F" w14:textId="77777777" w:rsidR="003970A9" w:rsidRDefault="003970A9">
      <w:pPr>
        <w:rPr>
          <w:sz w:val="22"/>
          <w:szCs w:val="22"/>
        </w:rPr>
      </w:pPr>
    </w:p>
    <w:p w14:paraId="2E13F624" w14:textId="77777777" w:rsidR="003970A9" w:rsidRDefault="003970A9">
      <w:pPr>
        <w:rPr>
          <w:sz w:val="22"/>
          <w:szCs w:val="22"/>
        </w:rPr>
      </w:pPr>
      <w:r>
        <w:rPr>
          <w:sz w:val="22"/>
          <w:szCs w:val="22"/>
        </w:rPr>
        <w:t>Parkinsonova choroba: Preukázalo sa, že amantadín je antagonista s nízkou afinitou na N-metyl-D-aspartát (NMDA) podtype glutamátových receptorov. Prílišná reaktivita glutamátergnej neurotransmisie sa preukázala pri vzniku parkinsonických symptómov. Predpokladá sa, že klinická účinnosť amantadínu je sprostredkovaná prostredníctvom antagonizmu na NMDA podtype glutamátových receptorov. Navyše, amantadín môže vykazovať aj istú anticholinergnú aktivitu.</w:t>
      </w:r>
    </w:p>
    <w:p w14:paraId="4ED69619" w14:textId="77777777" w:rsidR="003970A9" w:rsidRDefault="003970A9">
      <w:pPr>
        <w:rPr>
          <w:sz w:val="22"/>
          <w:szCs w:val="22"/>
        </w:rPr>
      </w:pPr>
    </w:p>
    <w:p w14:paraId="194920D0" w14:textId="77777777" w:rsidR="003970A9" w:rsidRDefault="003970A9">
      <w:pPr>
        <w:rPr>
          <w:sz w:val="22"/>
          <w:szCs w:val="22"/>
        </w:rPr>
      </w:pPr>
      <w:r>
        <w:rPr>
          <w:sz w:val="22"/>
          <w:szCs w:val="22"/>
        </w:rPr>
        <w:t>Infekcia vírusom chrípky A: Amantadín pri nízkych koncentráciách špecificky inhibuje replikáciu vírusov chrípky A. Pri použití citlivého testu redukcie plaku, sú ľudské vírusy chrípky, vrátane podtypov H1N1, H2N2 a H3N2 inhibované pri ≤ 0,4µg/ml amantadínu. Amantadín inhibuje včasné štádium replikácie vírusov prostredníctvom blokovania protónovej pumpy M2 proteínu vo víruse. Toto má dva účinky; zabraňuje odstráneniu bielkovinového obalu vírusu a deaktivuje novosyntetizovaný vírusový hemaglutinín.</w:t>
      </w:r>
    </w:p>
    <w:p w14:paraId="257C9C56" w14:textId="77777777" w:rsidR="003970A9" w:rsidRDefault="003970A9">
      <w:pPr>
        <w:rPr>
          <w:sz w:val="22"/>
          <w:szCs w:val="22"/>
        </w:rPr>
      </w:pPr>
      <w:r>
        <w:rPr>
          <w:sz w:val="22"/>
          <w:szCs w:val="22"/>
        </w:rPr>
        <w:t>Účinky na neskoršie fázy replikácie boli zistené pre reprezentatívne vtáčie vírusy chrípky.</w:t>
      </w:r>
    </w:p>
    <w:p w14:paraId="388661BD" w14:textId="77777777" w:rsidR="003970A9" w:rsidRDefault="003970A9">
      <w:pPr>
        <w:rPr>
          <w:sz w:val="22"/>
          <w:szCs w:val="22"/>
        </w:rPr>
      </w:pPr>
      <w:r>
        <w:rPr>
          <w:sz w:val="22"/>
          <w:szCs w:val="22"/>
        </w:rPr>
        <w:t>Dáta z testov s reprezentatívnymi kmeňmi vírusov chrípky A naznačujú, že amantadín je pravdepodobne aktívny proti doteraz neznámym kmeňom a mohol by sa dať využiť v počiatočných štádiách epidémie pred tým, ako je všeobecne dostupná vakcína proti spôsobujúcemu kmeňu.</w:t>
      </w:r>
    </w:p>
    <w:p w14:paraId="166068FA" w14:textId="77777777" w:rsidR="003970A9" w:rsidRDefault="003970A9">
      <w:pPr>
        <w:rPr>
          <w:sz w:val="22"/>
          <w:szCs w:val="22"/>
        </w:rPr>
      </w:pPr>
    </w:p>
    <w:p w14:paraId="0BA80615" w14:textId="77777777" w:rsidR="003970A9" w:rsidRDefault="003970A9" w:rsidP="006F6461">
      <w:pPr>
        <w:keepNext/>
        <w:numPr>
          <w:ilvl w:val="1"/>
          <w:numId w:val="13"/>
        </w:numPr>
        <w:tabs>
          <w:tab w:val="clear" w:pos="360"/>
          <w:tab w:val="num" w:pos="720"/>
        </w:tabs>
        <w:rPr>
          <w:b/>
          <w:bCs/>
          <w:sz w:val="22"/>
          <w:szCs w:val="22"/>
        </w:rPr>
      </w:pPr>
      <w:r>
        <w:rPr>
          <w:b/>
          <w:bCs/>
          <w:sz w:val="22"/>
          <w:szCs w:val="22"/>
        </w:rPr>
        <w:lastRenderedPageBreak/>
        <w:t>Farmakokinetické vlastnosti</w:t>
      </w:r>
    </w:p>
    <w:p w14:paraId="47FDFD24" w14:textId="77777777" w:rsidR="003970A9" w:rsidRDefault="003970A9" w:rsidP="006F6461">
      <w:pPr>
        <w:keepNext/>
        <w:rPr>
          <w:sz w:val="22"/>
          <w:szCs w:val="22"/>
        </w:rPr>
      </w:pPr>
    </w:p>
    <w:p w14:paraId="75E519AE" w14:textId="77777777" w:rsidR="003970A9" w:rsidRDefault="003970A9" w:rsidP="006F6461">
      <w:pPr>
        <w:keepNext/>
        <w:rPr>
          <w:sz w:val="22"/>
          <w:szCs w:val="22"/>
        </w:rPr>
      </w:pPr>
      <w:r>
        <w:rPr>
          <w:i/>
          <w:sz w:val="22"/>
          <w:szCs w:val="22"/>
        </w:rPr>
        <w:t>Absorpcia:</w:t>
      </w:r>
      <w:r>
        <w:rPr>
          <w:sz w:val="22"/>
          <w:szCs w:val="22"/>
        </w:rPr>
        <w:t xml:space="preserve"> Amantadín sa absorbuje pomaly, ale takmer úplne. Maximálne plazmatické koncentrácie 250 ng/ml a 500 ng/ml sa pozorujú 3 až 4 hodiny po podaní jednotlivej perorálnej dávky 100 mg respektíve 200 mg amantadínu. Po opakovanom podávaní dávky 200 mg denne sa ustálená plazmatická koncentrácia zastaví na 300 ng/ml do 3 dní.</w:t>
      </w:r>
    </w:p>
    <w:p w14:paraId="71170C9D" w14:textId="77777777" w:rsidR="003970A9" w:rsidRDefault="003970A9">
      <w:pPr>
        <w:rPr>
          <w:i/>
          <w:sz w:val="22"/>
          <w:szCs w:val="22"/>
        </w:rPr>
      </w:pPr>
    </w:p>
    <w:p w14:paraId="1C4BCC29" w14:textId="77777777" w:rsidR="003970A9" w:rsidRDefault="003970A9">
      <w:pPr>
        <w:rPr>
          <w:sz w:val="22"/>
          <w:szCs w:val="22"/>
        </w:rPr>
      </w:pPr>
      <w:r>
        <w:rPr>
          <w:i/>
          <w:sz w:val="22"/>
          <w:szCs w:val="22"/>
        </w:rPr>
        <w:t>Distribúcia:</w:t>
      </w:r>
      <w:r>
        <w:rPr>
          <w:sz w:val="22"/>
          <w:szCs w:val="22"/>
        </w:rPr>
        <w:t xml:space="preserve"> Amantadín sa po niekoľkých hodinách akumuluje v nosovom sekréte a prestupuje hematoencefalickú bariéru (toto nebolo kvantifikované). </w:t>
      </w:r>
      <w:r>
        <w:rPr>
          <w:i/>
          <w:sz w:val="22"/>
          <w:szCs w:val="22"/>
        </w:rPr>
        <w:t>In vitro</w:t>
      </w:r>
      <w:r>
        <w:rPr>
          <w:sz w:val="22"/>
          <w:szCs w:val="22"/>
        </w:rPr>
        <w:t>, sa 67% lieku viaže na plazmatické proteíny, pričom podstatné množstvo sa viaže na červené krvinky. Koncentrácia v erytrocytoch u normálnych zdravých dobrovoľníkov je 2,66-násobok plazmatickej koncentrácie. Zjavný objem distribúcie je 5 až 10 l/kg, čo naznačuje rozsiahle väzby na tkanivá. Klesá s rastúcimi dávkami. Koncentrácie v pľúcach, srdci, obličkách, pečeni a slezine sú vyššie ako v krvi.</w:t>
      </w:r>
    </w:p>
    <w:p w14:paraId="22E414BE" w14:textId="77777777" w:rsidR="003970A9" w:rsidRDefault="003970A9">
      <w:pPr>
        <w:rPr>
          <w:sz w:val="22"/>
          <w:szCs w:val="22"/>
        </w:rPr>
      </w:pPr>
    </w:p>
    <w:p w14:paraId="22FC7A51" w14:textId="77777777" w:rsidR="003970A9" w:rsidRDefault="003970A9">
      <w:pPr>
        <w:rPr>
          <w:sz w:val="22"/>
          <w:szCs w:val="22"/>
        </w:rPr>
      </w:pPr>
      <w:r>
        <w:rPr>
          <w:i/>
          <w:sz w:val="22"/>
          <w:szCs w:val="22"/>
        </w:rPr>
        <w:t>Biotransformácia</w:t>
      </w:r>
      <w:r>
        <w:rPr>
          <w:sz w:val="22"/>
          <w:szCs w:val="22"/>
        </w:rPr>
        <w:t>: Amantadín sa metabolizuje v malom rozsahu, hlavne N-acetyláciou.</w:t>
      </w:r>
    </w:p>
    <w:p w14:paraId="4AED3F3B" w14:textId="77777777" w:rsidR="003970A9" w:rsidRDefault="003970A9">
      <w:pPr>
        <w:rPr>
          <w:i/>
          <w:sz w:val="22"/>
          <w:szCs w:val="22"/>
        </w:rPr>
      </w:pPr>
    </w:p>
    <w:p w14:paraId="0A9F910E" w14:textId="77777777" w:rsidR="003970A9" w:rsidRDefault="003970A9">
      <w:pPr>
        <w:rPr>
          <w:sz w:val="22"/>
          <w:szCs w:val="22"/>
        </w:rPr>
      </w:pPr>
      <w:r>
        <w:rPr>
          <w:i/>
          <w:sz w:val="22"/>
          <w:szCs w:val="22"/>
        </w:rPr>
        <w:t>Eliminácia</w:t>
      </w:r>
      <w:r>
        <w:rPr>
          <w:sz w:val="22"/>
          <w:szCs w:val="22"/>
        </w:rPr>
        <w:t>: Liek sa vylučuje u zdravých mladých dospelých s priemerným polčasom plazmatickej eliminácie 15 hodín (10 až 31 hodín). Celkový plazmatický klírens je približne rovnaký ako renálny klírens (250 ml/min). Renálny klírens amantadínu je oveľa vyšší ako klírens kreatinínu, čo naznačuje renálnu tubulárnu sekréciu. Po 4 až 5 dňoch, sa 90% dávky objavuje v moči v nezmenenej forme. Táto miera významne závisí od pH moču: nárast v pH prináša pokles vylučovania,</w:t>
      </w:r>
    </w:p>
    <w:p w14:paraId="268C78AA" w14:textId="77777777" w:rsidR="003970A9" w:rsidRDefault="003970A9">
      <w:pPr>
        <w:rPr>
          <w:sz w:val="22"/>
          <w:szCs w:val="22"/>
        </w:rPr>
      </w:pPr>
    </w:p>
    <w:p w14:paraId="75FDDC89" w14:textId="77777777" w:rsidR="003970A9" w:rsidRDefault="003970A9">
      <w:pPr>
        <w:rPr>
          <w:i/>
          <w:sz w:val="22"/>
          <w:szCs w:val="22"/>
        </w:rPr>
      </w:pPr>
      <w:r>
        <w:rPr>
          <w:i/>
          <w:sz w:val="22"/>
          <w:szCs w:val="22"/>
        </w:rPr>
        <w:t>Charakteristiky u špeciálnych populácií pacientov:</w:t>
      </w:r>
    </w:p>
    <w:p w14:paraId="27025840" w14:textId="77777777" w:rsidR="003970A9" w:rsidRDefault="003970A9">
      <w:pPr>
        <w:rPr>
          <w:sz w:val="22"/>
          <w:szCs w:val="22"/>
        </w:rPr>
      </w:pPr>
      <w:r>
        <w:rPr>
          <w:i/>
          <w:sz w:val="22"/>
          <w:szCs w:val="22"/>
        </w:rPr>
        <w:t>Starší pacienti</w:t>
      </w:r>
      <w:r>
        <w:rPr>
          <w:sz w:val="22"/>
          <w:szCs w:val="22"/>
        </w:rPr>
        <w:t>: v porovnaní so zdravými mladými dospelými, môže byť polčas zdvojnásobený a renálny klírens znížený. U starších ľudí sa tubulárna sekrécia znižuje viac ako glomerulárna filtrácia. U starších pacientov s poškodením funkcie obličiek zvýšilo opakované podávanie 100 mg denne počas 14 dní plazmatickú koncentráciu na toxickú úroveň.</w:t>
      </w:r>
    </w:p>
    <w:p w14:paraId="2000590F" w14:textId="77777777" w:rsidR="003970A9" w:rsidRDefault="003970A9">
      <w:pPr>
        <w:rPr>
          <w:sz w:val="22"/>
          <w:szCs w:val="22"/>
        </w:rPr>
      </w:pPr>
      <w:r>
        <w:rPr>
          <w:i/>
          <w:sz w:val="22"/>
          <w:szCs w:val="22"/>
        </w:rPr>
        <w:t>Poškodenie funkcie obličiek:</w:t>
      </w:r>
      <w:r>
        <w:rPr>
          <w:sz w:val="22"/>
          <w:szCs w:val="22"/>
        </w:rPr>
        <w:t xml:space="preserve"> pri renálnom zlyhaní sa môže amantadín akumulovať a spôsobiť vážne nežiaduce účinky. Miera eliminácie z plazmy koreluje s klírensom kreatinínu vydeleným plochou povrchu tela, aj keď celková renálna eliminácia prevyšuje túto hodnotu (pravdepodobne v dôsledku tubulárnej sekrécie). Účinky zníženej funkcie obličiek sú dramatické: pokles klírensu kreatinínu na 40 ml/min môže mať za následok 5-násobný nárast polčasu eliminácie. Moč je takmer výlučnou cestou vylučovania, aj pri renálnom zlyhaní a amantadín môže zotrvávať v plazme počas niekoľkých dní. Hemodialýza neodstráni významné množstvá amantadínu, pravdepodobne v dôsledku rozsiahleho viazania na tkanivá.</w:t>
      </w:r>
    </w:p>
    <w:p w14:paraId="486544B4" w14:textId="77777777" w:rsidR="003970A9" w:rsidRDefault="003970A9">
      <w:pPr>
        <w:pStyle w:val="Nadpis2"/>
        <w:rPr>
          <w:b/>
          <w:i w:val="0"/>
          <w:sz w:val="22"/>
          <w:szCs w:val="22"/>
        </w:rPr>
      </w:pPr>
    </w:p>
    <w:p w14:paraId="70098654" w14:textId="77777777" w:rsidR="003970A9" w:rsidRDefault="003970A9">
      <w:pPr>
        <w:pStyle w:val="Nadpis2"/>
        <w:rPr>
          <w:b/>
          <w:i w:val="0"/>
          <w:sz w:val="22"/>
          <w:szCs w:val="22"/>
        </w:rPr>
      </w:pPr>
      <w:r>
        <w:rPr>
          <w:b/>
          <w:i w:val="0"/>
          <w:sz w:val="22"/>
          <w:szCs w:val="22"/>
        </w:rPr>
        <w:t>5.3</w:t>
      </w:r>
      <w:r>
        <w:rPr>
          <w:b/>
          <w:i w:val="0"/>
          <w:sz w:val="22"/>
          <w:szCs w:val="22"/>
        </w:rPr>
        <w:tab/>
        <w:t>Predklinické údaje o bezpečnosti</w:t>
      </w:r>
    </w:p>
    <w:p w14:paraId="387335A8" w14:textId="77777777" w:rsidR="003970A9" w:rsidRDefault="003970A9">
      <w:pPr>
        <w:rPr>
          <w:sz w:val="22"/>
          <w:szCs w:val="22"/>
        </w:rPr>
      </w:pPr>
    </w:p>
    <w:p w14:paraId="36DE52A9" w14:textId="77777777" w:rsidR="003970A9" w:rsidRDefault="003970A9">
      <w:pPr>
        <w:rPr>
          <w:sz w:val="22"/>
          <w:szCs w:val="22"/>
        </w:rPr>
      </w:pPr>
      <w:r>
        <w:rPr>
          <w:sz w:val="22"/>
          <w:szCs w:val="22"/>
        </w:rPr>
        <w:t>Štúdie reprodukčnej toxicity sa robili na potkanoch a zajacoch. U potkanov sa perorálne dávky 50 a 100 mg/kg ukázali byť teratogénne. Maximálna odporúčaná dávka 400 mg je menej ako 6 mg/kg.</w:t>
      </w:r>
    </w:p>
    <w:p w14:paraId="0A15F510" w14:textId="77777777" w:rsidR="003970A9" w:rsidRDefault="003970A9">
      <w:pPr>
        <w:rPr>
          <w:sz w:val="22"/>
          <w:szCs w:val="22"/>
        </w:rPr>
      </w:pPr>
      <w:r>
        <w:rPr>
          <w:sz w:val="22"/>
          <w:szCs w:val="22"/>
        </w:rPr>
        <w:t>Nie sú dostupné žiadne ďalšie predklinické údaje relevantné pre predpisujúceho lekára, okrem tých, ktoré sú už uvedené v iných častiach súhrnu charakteristických vlastností lieku.</w:t>
      </w:r>
    </w:p>
    <w:p w14:paraId="07672E39" w14:textId="77777777" w:rsidR="003970A9" w:rsidRDefault="003970A9">
      <w:pPr>
        <w:rPr>
          <w:sz w:val="22"/>
          <w:szCs w:val="22"/>
        </w:rPr>
      </w:pPr>
    </w:p>
    <w:p w14:paraId="1C64F828" w14:textId="77777777" w:rsidR="003970A9" w:rsidRDefault="003970A9">
      <w:pPr>
        <w:rPr>
          <w:sz w:val="22"/>
          <w:szCs w:val="22"/>
        </w:rPr>
      </w:pPr>
    </w:p>
    <w:p w14:paraId="6890D9E4" w14:textId="77777777" w:rsidR="003970A9" w:rsidRDefault="003970A9">
      <w:pPr>
        <w:numPr>
          <w:ilvl w:val="0"/>
          <w:numId w:val="3"/>
        </w:numPr>
        <w:tabs>
          <w:tab w:val="clear" w:pos="360"/>
          <w:tab w:val="num" w:pos="720"/>
        </w:tabs>
        <w:rPr>
          <w:b/>
          <w:sz w:val="22"/>
          <w:szCs w:val="22"/>
        </w:rPr>
      </w:pPr>
      <w:r>
        <w:rPr>
          <w:b/>
          <w:sz w:val="22"/>
          <w:szCs w:val="22"/>
        </w:rPr>
        <w:t>FARMACEUTICKÉ INFORMÁCIE</w:t>
      </w:r>
    </w:p>
    <w:p w14:paraId="1803E4FC" w14:textId="77777777" w:rsidR="003970A9" w:rsidRDefault="003970A9">
      <w:pPr>
        <w:rPr>
          <w:sz w:val="22"/>
          <w:szCs w:val="22"/>
        </w:rPr>
      </w:pPr>
    </w:p>
    <w:p w14:paraId="68745343" w14:textId="77777777" w:rsidR="003970A9" w:rsidRDefault="003970A9">
      <w:pPr>
        <w:numPr>
          <w:ilvl w:val="1"/>
          <w:numId w:val="14"/>
        </w:numPr>
        <w:tabs>
          <w:tab w:val="clear" w:pos="360"/>
          <w:tab w:val="num" w:pos="720"/>
        </w:tabs>
        <w:rPr>
          <w:b/>
          <w:sz w:val="22"/>
          <w:szCs w:val="22"/>
        </w:rPr>
      </w:pPr>
      <w:r>
        <w:rPr>
          <w:b/>
          <w:sz w:val="22"/>
          <w:szCs w:val="22"/>
        </w:rPr>
        <w:t>Zoznam pomocných látok</w:t>
      </w:r>
    </w:p>
    <w:p w14:paraId="51AB28A0" w14:textId="77777777" w:rsidR="003970A9" w:rsidRDefault="003970A9">
      <w:pPr>
        <w:rPr>
          <w:sz w:val="22"/>
          <w:szCs w:val="22"/>
        </w:rPr>
      </w:pPr>
    </w:p>
    <w:p w14:paraId="2E42628F" w14:textId="77777777" w:rsidR="003970A9" w:rsidRDefault="003970A9">
      <w:pPr>
        <w:rPr>
          <w:sz w:val="22"/>
          <w:szCs w:val="22"/>
        </w:rPr>
      </w:pPr>
      <w:r>
        <w:rPr>
          <w:sz w:val="22"/>
          <w:szCs w:val="22"/>
        </w:rPr>
        <w:t>Monohydrát laktózy</w:t>
      </w:r>
    </w:p>
    <w:p w14:paraId="43CBD906" w14:textId="77777777" w:rsidR="003970A9" w:rsidRDefault="003970A9">
      <w:pPr>
        <w:rPr>
          <w:sz w:val="22"/>
          <w:szCs w:val="22"/>
        </w:rPr>
      </w:pPr>
      <w:r>
        <w:rPr>
          <w:sz w:val="22"/>
          <w:szCs w:val="22"/>
        </w:rPr>
        <w:t>Magnéziumstearát.</w:t>
      </w:r>
    </w:p>
    <w:p w14:paraId="7E51832F" w14:textId="77777777" w:rsidR="003970A9" w:rsidRDefault="003970A9">
      <w:pPr>
        <w:rPr>
          <w:sz w:val="22"/>
          <w:szCs w:val="22"/>
        </w:rPr>
      </w:pPr>
      <w:r>
        <w:rPr>
          <w:sz w:val="22"/>
          <w:szCs w:val="22"/>
        </w:rPr>
        <w:t xml:space="preserve">Obal každej kapsuly obsahuje: </w:t>
      </w:r>
      <w:r>
        <w:rPr>
          <w:noProof/>
          <w:sz w:val="22"/>
          <w:szCs w:val="22"/>
        </w:rPr>
        <w:t>chinolínovú žlť (E104), indigokarmín (E132), oxid titaničitý (E171)</w:t>
      </w:r>
      <w:r>
        <w:rPr>
          <w:sz w:val="22"/>
          <w:szCs w:val="22"/>
        </w:rPr>
        <w:t>.</w:t>
      </w:r>
    </w:p>
    <w:p w14:paraId="18229145" w14:textId="77777777" w:rsidR="003970A9" w:rsidRDefault="003970A9">
      <w:pPr>
        <w:ind w:right="43"/>
        <w:rPr>
          <w:sz w:val="22"/>
          <w:szCs w:val="22"/>
        </w:rPr>
      </w:pPr>
    </w:p>
    <w:p w14:paraId="012BCCD3" w14:textId="77777777" w:rsidR="003970A9" w:rsidRDefault="003970A9">
      <w:pPr>
        <w:numPr>
          <w:ilvl w:val="1"/>
          <w:numId w:val="14"/>
        </w:numPr>
        <w:tabs>
          <w:tab w:val="clear" w:pos="360"/>
          <w:tab w:val="num" w:pos="720"/>
        </w:tabs>
        <w:rPr>
          <w:b/>
          <w:sz w:val="22"/>
          <w:szCs w:val="22"/>
        </w:rPr>
      </w:pPr>
      <w:r>
        <w:rPr>
          <w:b/>
          <w:sz w:val="22"/>
          <w:szCs w:val="22"/>
        </w:rPr>
        <w:t>Inkompatibility</w:t>
      </w:r>
    </w:p>
    <w:p w14:paraId="085D7C71" w14:textId="77777777" w:rsidR="003970A9" w:rsidRDefault="003970A9">
      <w:pPr>
        <w:rPr>
          <w:sz w:val="22"/>
          <w:szCs w:val="22"/>
        </w:rPr>
      </w:pPr>
    </w:p>
    <w:p w14:paraId="057BC0F7" w14:textId="77777777" w:rsidR="003970A9" w:rsidRDefault="003970A9">
      <w:pPr>
        <w:rPr>
          <w:sz w:val="22"/>
          <w:szCs w:val="22"/>
        </w:rPr>
      </w:pPr>
      <w:r>
        <w:rPr>
          <w:sz w:val="22"/>
          <w:szCs w:val="22"/>
        </w:rPr>
        <w:t>Neaplikovateľné.</w:t>
      </w:r>
    </w:p>
    <w:p w14:paraId="77A66E66" w14:textId="77777777" w:rsidR="003970A9" w:rsidRDefault="003970A9">
      <w:pPr>
        <w:rPr>
          <w:sz w:val="22"/>
          <w:szCs w:val="22"/>
        </w:rPr>
      </w:pPr>
    </w:p>
    <w:p w14:paraId="46E63D1F" w14:textId="77777777" w:rsidR="003970A9" w:rsidRDefault="003970A9">
      <w:pPr>
        <w:numPr>
          <w:ilvl w:val="1"/>
          <w:numId w:val="14"/>
        </w:numPr>
        <w:tabs>
          <w:tab w:val="clear" w:pos="360"/>
          <w:tab w:val="num" w:pos="720"/>
        </w:tabs>
        <w:rPr>
          <w:b/>
          <w:sz w:val="22"/>
          <w:szCs w:val="22"/>
        </w:rPr>
      </w:pPr>
      <w:r>
        <w:rPr>
          <w:b/>
          <w:sz w:val="22"/>
          <w:szCs w:val="22"/>
        </w:rPr>
        <w:t>Čas použiteľnosti</w:t>
      </w:r>
    </w:p>
    <w:p w14:paraId="09C3AC73" w14:textId="77777777" w:rsidR="003970A9" w:rsidRDefault="003970A9">
      <w:pPr>
        <w:rPr>
          <w:sz w:val="22"/>
          <w:szCs w:val="22"/>
        </w:rPr>
      </w:pPr>
    </w:p>
    <w:p w14:paraId="32BB779E" w14:textId="77777777" w:rsidR="003970A9" w:rsidRDefault="003970A9">
      <w:pPr>
        <w:rPr>
          <w:sz w:val="22"/>
          <w:szCs w:val="22"/>
        </w:rPr>
      </w:pPr>
      <w:r>
        <w:rPr>
          <w:sz w:val="22"/>
          <w:szCs w:val="22"/>
        </w:rPr>
        <w:t>5 rokov.</w:t>
      </w:r>
    </w:p>
    <w:p w14:paraId="5CE8B8F2" w14:textId="77777777" w:rsidR="003970A9" w:rsidRDefault="003970A9">
      <w:pPr>
        <w:rPr>
          <w:sz w:val="22"/>
          <w:szCs w:val="22"/>
        </w:rPr>
      </w:pPr>
    </w:p>
    <w:p w14:paraId="670BFFDE" w14:textId="77777777" w:rsidR="003970A9" w:rsidRDefault="003970A9">
      <w:pPr>
        <w:numPr>
          <w:ilvl w:val="1"/>
          <w:numId w:val="14"/>
        </w:numPr>
        <w:tabs>
          <w:tab w:val="clear" w:pos="360"/>
          <w:tab w:val="num" w:pos="720"/>
        </w:tabs>
        <w:rPr>
          <w:b/>
          <w:sz w:val="22"/>
          <w:szCs w:val="22"/>
        </w:rPr>
      </w:pPr>
      <w:r>
        <w:rPr>
          <w:b/>
          <w:sz w:val="22"/>
          <w:szCs w:val="22"/>
        </w:rPr>
        <w:t>Špeciálne upozornenia na uchovávanie</w:t>
      </w:r>
    </w:p>
    <w:p w14:paraId="5263CD53" w14:textId="77777777" w:rsidR="003970A9" w:rsidRDefault="003970A9">
      <w:pPr>
        <w:ind w:right="43"/>
        <w:rPr>
          <w:sz w:val="22"/>
          <w:szCs w:val="22"/>
        </w:rPr>
      </w:pPr>
    </w:p>
    <w:p w14:paraId="59C8D5A6" w14:textId="77777777" w:rsidR="003970A9" w:rsidRDefault="003970A9">
      <w:pPr>
        <w:rPr>
          <w:sz w:val="22"/>
          <w:szCs w:val="22"/>
        </w:rPr>
      </w:pPr>
      <w:r>
        <w:rPr>
          <w:sz w:val="22"/>
          <w:szCs w:val="22"/>
        </w:rPr>
        <w:t xml:space="preserve">Uchovávajte pri teplote do 25 </w:t>
      </w:r>
      <w:r>
        <w:rPr>
          <w:sz w:val="22"/>
          <w:szCs w:val="22"/>
          <w:vertAlign w:val="superscript"/>
        </w:rPr>
        <w:t>o</w:t>
      </w:r>
      <w:r>
        <w:rPr>
          <w:sz w:val="22"/>
          <w:szCs w:val="22"/>
        </w:rPr>
        <w:t xml:space="preserve">C. </w:t>
      </w:r>
    </w:p>
    <w:p w14:paraId="08B91BBF" w14:textId="77777777" w:rsidR="003970A9" w:rsidRDefault="003970A9">
      <w:pPr>
        <w:rPr>
          <w:b/>
          <w:sz w:val="22"/>
          <w:szCs w:val="22"/>
        </w:rPr>
      </w:pPr>
    </w:p>
    <w:p w14:paraId="406A2B14" w14:textId="77777777" w:rsidR="003970A9" w:rsidRDefault="003970A9">
      <w:pPr>
        <w:numPr>
          <w:ilvl w:val="1"/>
          <w:numId w:val="14"/>
        </w:numPr>
        <w:tabs>
          <w:tab w:val="clear" w:pos="360"/>
          <w:tab w:val="num" w:pos="720"/>
        </w:tabs>
        <w:rPr>
          <w:b/>
          <w:sz w:val="22"/>
          <w:szCs w:val="22"/>
        </w:rPr>
      </w:pPr>
      <w:r>
        <w:rPr>
          <w:b/>
          <w:sz w:val="22"/>
          <w:szCs w:val="22"/>
        </w:rPr>
        <w:t>Druh obalu a obsah balenia</w:t>
      </w:r>
    </w:p>
    <w:p w14:paraId="44037D0D" w14:textId="77777777" w:rsidR="003970A9" w:rsidRDefault="003970A9">
      <w:pPr>
        <w:rPr>
          <w:sz w:val="22"/>
          <w:szCs w:val="22"/>
        </w:rPr>
      </w:pPr>
    </w:p>
    <w:p w14:paraId="54E12CF2" w14:textId="63D0581F" w:rsidR="003970A9" w:rsidRDefault="003970A9">
      <w:pPr>
        <w:rPr>
          <w:sz w:val="22"/>
          <w:szCs w:val="22"/>
        </w:rPr>
      </w:pPr>
      <w:r>
        <w:rPr>
          <w:sz w:val="22"/>
          <w:szCs w:val="22"/>
        </w:rPr>
        <w:t>Hnedá sklenená liekovka s </w:t>
      </w:r>
      <w:r w:rsidR="0081413C" w:rsidRPr="0081413C">
        <w:rPr>
          <w:sz w:val="22"/>
          <w:szCs w:val="22"/>
        </w:rPr>
        <w:t>poistným plast</w:t>
      </w:r>
      <w:r w:rsidR="00542804">
        <w:rPr>
          <w:sz w:val="22"/>
          <w:szCs w:val="22"/>
        </w:rPr>
        <w:t>ov</w:t>
      </w:r>
      <w:r w:rsidR="0081413C">
        <w:rPr>
          <w:sz w:val="22"/>
          <w:szCs w:val="22"/>
        </w:rPr>
        <w:t>ým</w:t>
      </w:r>
      <w:r w:rsidR="0081413C" w:rsidRPr="0081413C">
        <w:rPr>
          <w:sz w:val="22"/>
          <w:szCs w:val="22"/>
        </w:rPr>
        <w:t xml:space="preserve"> </w:t>
      </w:r>
      <w:r>
        <w:rPr>
          <w:sz w:val="22"/>
          <w:szCs w:val="22"/>
        </w:rPr>
        <w:t xml:space="preserve">uzáverom </w:t>
      </w:r>
      <w:r w:rsidR="0081413C" w:rsidRPr="0081413C">
        <w:rPr>
          <w:sz w:val="22"/>
          <w:szCs w:val="22"/>
        </w:rPr>
        <w:t>s tlmičom nárazov</w:t>
      </w:r>
      <w:r>
        <w:rPr>
          <w:sz w:val="22"/>
          <w:szCs w:val="22"/>
        </w:rPr>
        <w:t>, papierová škatuľka, písomná informácia pre používateľa.</w:t>
      </w:r>
    </w:p>
    <w:p w14:paraId="5D8615DB" w14:textId="77777777" w:rsidR="003970A9" w:rsidRDefault="003970A9">
      <w:pPr>
        <w:rPr>
          <w:sz w:val="22"/>
          <w:szCs w:val="22"/>
        </w:rPr>
      </w:pPr>
      <w:r>
        <w:rPr>
          <w:sz w:val="22"/>
          <w:szCs w:val="22"/>
        </w:rPr>
        <w:t>Veľkosť balenia: 50 kapsúl</w:t>
      </w:r>
    </w:p>
    <w:p w14:paraId="7C015982" w14:textId="77777777" w:rsidR="003970A9" w:rsidRDefault="003970A9">
      <w:pPr>
        <w:rPr>
          <w:b/>
          <w:sz w:val="22"/>
          <w:szCs w:val="22"/>
        </w:rPr>
      </w:pPr>
    </w:p>
    <w:p w14:paraId="5AD3C018" w14:textId="77777777" w:rsidR="003970A9" w:rsidRDefault="003970A9">
      <w:pPr>
        <w:numPr>
          <w:ilvl w:val="1"/>
          <w:numId w:val="14"/>
        </w:numPr>
        <w:tabs>
          <w:tab w:val="clear" w:pos="360"/>
          <w:tab w:val="num" w:pos="720"/>
        </w:tabs>
        <w:rPr>
          <w:b/>
          <w:sz w:val="22"/>
          <w:szCs w:val="22"/>
        </w:rPr>
      </w:pPr>
      <w:r>
        <w:rPr>
          <w:b/>
          <w:sz w:val="22"/>
          <w:szCs w:val="22"/>
        </w:rPr>
        <w:t>Špeciálne opatrenia na likvidáciu a iné zaobchádzanie s liekom</w:t>
      </w:r>
    </w:p>
    <w:p w14:paraId="087D39E8" w14:textId="77777777" w:rsidR="003970A9" w:rsidRDefault="003970A9">
      <w:pPr>
        <w:ind w:firstLine="708"/>
        <w:rPr>
          <w:b/>
          <w:sz w:val="22"/>
          <w:szCs w:val="22"/>
        </w:rPr>
      </w:pPr>
    </w:p>
    <w:p w14:paraId="47231CF2" w14:textId="77777777" w:rsidR="003970A9" w:rsidRDefault="003970A9">
      <w:pPr>
        <w:rPr>
          <w:sz w:val="22"/>
          <w:szCs w:val="22"/>
        </w:rPr>
      </w:pPr>
      <w:r>
        <w:rPr>
          <w:sz w:val="22"/>
          <w:szCs w:val="22"/>
        </w:rPr>
        <w:t>Žiadne zvláštne požiadavky.</w:t>
      </w:r>
    </w:p>
    <w:p w14:paraId="291A5B70" w14:textId="77777777" w:rsidR="003970A9" w:rsidRDefault="003970A9">
      <w:pPr>
        <w:rPr>
          <w:sz w:val="22"/>
          <w:szCs w:val="22"/>
        </w:rPr>
      </w:pPr>
      <w:r>
        <w:rPr>
          <w:sz w:val="22"/>
          <w:szCs w:val="22"/>
        </w:rPr>
        <w:t>Nepoužitý liek alebo odpad vzniknutý z lieku treba vrátiť do lekárne.</w:t>
      </w:r>
    </w:p>
    <w:p w14:paraId="7332A443" w14:textId="77777777" w:rsidR="003970A9" w:rsidRDefault="003970A9">
      <w:pPr>
        <w:rPr>
          <w:sz w:val="22"/>
          <w:szCs w:val="22"/>
        </w:rPr>
      </w:pPr>
    </w:p>
    <w:p w14:paraId="78D4909A" w14:textId="77777777" w:rsidR="003970A9" w:rsidRDefault="003970A9">
      <w:pPr>
        <w:rPr>
          <w:sz w:val="22"/>
          <w:szCs w:val="22"/>
        </w:rPr>
      </w:pPr>
    </w:p>
    <w:p w14:paraId="0DBC644D" w14:textId="77777777" w:rsidR="003970A9" w:rsidRDefault="003970A9">
      <w:pPr>
        <w:rPr>
          <w:b/>
          <w:sz w:val="22"/>
          <w:szCs w:val="22"/>
        </w:rPr>
      </w:pPr>
      <w:r>
        <w:rPr>
          <w:b/>
          <w:sz w:val="22"/>
          <w:szCs w:val="22"/>
        </w:rPr>
        <w:t xml:space="preserve">7.    </w:t>
      </w:r>
      <w:r>
        <w:rPr>
          <w:b/>
          <w:sz w:val="22"/>
          <w:szCs w:val="22"/>
        </w:rPr>
        <w:tab/>
        <w:t>DRŽITEĽ ROZHODNUTIA O REGISTRÁCII</w:t>
      </w:r>
    </w:p>
    <w:p w14:paraId="0F60974C" w14:textId="77777777" w:rsidR="003970A9" w:rsidRDefault="003970A9">
      <w:pPr>
        <w:rPr>
          <w:sz w:val="22"/>
          <w:szCs w:val="22"/>
        </w:rPr>
      </w:pPr>
    </w:p>
    <w:p w14:paraId="0798F05E" w14:textId="77777777" w:rsidR="003970A9" w:rsidRDefault="003970A9">
      <w:pPr>
        <w:rPr>
          <w:sz w:val="22"/>
          <w:szCs w:val="22"/>
        </w:rPr>
      </w:pPr>
      <w:r>
        <w:rPr>
          <w:sz w:val="22"/>
          <w:szCs w:val="22"/>
        </w:rPr>
        <w:t>EGIS PHARMACEUTICALS PLC</w:t>
      </w:r>
    </w:p>
    <w:p w14:paraId="1149EAA4" w14:textId="77777777" w:rsidR="003970A9" w:rsidRDefault="003970A9">
      <w:pPr>
        <w:rPr>
          <w:sz w:val="22"/>
          <w:szCs w:val="22"/>
        </w:rPr>
      </w:pPr>
      <w:r>
        <w:rPr>
          <w:sz w:val="22"/>
          <w:szCs w:val="22"/>
        </w:rPr>
        <w:t>H-1106 Budapešť, Keresztúri út 30-38</w:t>
      </w:r>
    </w:p>
    <w:p w14:paraId="5BBB5AA9" w14:textId="77777777" w:rsidR="003970A9" w:rsidRDefault="003970A9">
      <w:pPr>
        <w:rPr>
          <w:sz w:val="22"/>
          <w:szCs w:val="22"/>
        </w:rPr>
      </w:pPr>
      <w:r>
        <w:rPr>
          <w:sz w:val="22"/>
          <w:szCs w:val="22"/>
        </w:rPr>
        <w:t>Maďarsko</w:t>
      </w:r>
    </w:p>
    <w:p w14:paraId="3D91F15E" w14:textId="77777777" w:rsidR="003970A9" w:rsidRDefault="003970A9">
      <w:pPr>
        <w:rPr>
          <w:sz w:val="22"/>
          <w:szCs w:val="22"/>
        </w:rPr>
      </w:pPr>
    </w:p>
    <w:p w14:paraId="22E5732D" w14:textId="77777777" w:rsidR="003970A9" w:rsidRDefault="003970A9">
      <w:pPr>
        <w:rPr>
          <w:sz w:val="22"/>
          <w:szCs w:val="22"/>
        </w:rPr>
      </w:pPr>
    </w:p>
    <w:p w14:paraId="57803886" w14:textId="77777777" w:rsidR="003970A9" w:rsidRDefault="003970A9">
      <w:pPr>
        <w:rPr>
          <w:b/>
          <w:sz w:val="22"/>
          <w:szCs w:val="22"/>
        </w:rPr>
      </w:pPr>
      <w:r>
        <w:rPr>
          <w:b/>
          <w:sz w:val="22"/>
          <w:szCs w:val="22"/>
        </w:rPr>
        <w:t xml:space="preserve">8. </w:t>
      </w:r>
      <w:r>
        <w:rPr>
          <w:b/>
          <w:sz w:val="22"/>
          <w:szCs w:val="22"/>
        </w:rPr>
        <w:tab/>
        <w:t xml:space="preserve">REGISTRAČNÉ ČÍSLO </w:t>
      </w:r>
    </w:p>
    <w:p w14:paraId="6D0548D7" w14:textId="77777777" w:rsidR="003970A9" w:rsidRDefault="003970A9">
      <w:pPr>
        <w:numPr>
          <w:ilvl w:val="12"/>
          <w:numId w:val="0"/>
        </w:numPr>
        <w:ind w:right="-2"/>
        <w:rPr>
          <w:bCs/>
          <w:sz w:val="22"/>
          <w:szCs w:val="22"/>
        </w:rPr>
      </w:pPr>
    </w:p>
    <w:p w14:paraId="7EC849FA" w14:textId="77777777" w:rsidR="003970A9" w:rsidRDefault="003970A9">
      <w:pPr>
        <w:rPr>
          <w:sz w:val="22"/>
          <w:szCs w:val="22"/>
        </w:rPr>
      </w:pPr>
      <w:r>
        <w:rPr>
          <w:sz w:val="22"/>
          <w:szCs w:val="22"/>
        </w:rPr>
        <w:t>27/0014/74-S</w:t>
      </w:r>
    </w:p>
    <w:p w14:paraId="64CAEEFC" w14:textId="77777777" w:rsidR="003970A9" w:rsidRDefault="003970A9">
      <w:pPr>
        <w:rPr>
          <w:sz w:val="22"/>
          <w:szCs w:val="22"/>
        </w:rPr>
      </w:pPr>
    </w:p>
    <w:p w14:paraId="583F1A6E" w14:textId="77777777" w:rsidR="003970A9" w:rsidRDefault="003970A9">
      <w:pPr>
        <w:rPr>
          <w:sz w:val="22"/>
          <w:szCs w:val="22"/>
        </w:rPr>
      </w:pPr>
    </w:p>
    <w:p w14:paraId="07E5C27C" w14:textId="77777777" w:rsidR="003970A9" w:rsidRDefault="003970A9">
      <w:pPr>
        <w:rPr>
          <w:b/>
          <w:sz w:val="22"/>
          <w:szCs w:val="22"/>
        </w:rPr>
      </w:pPr>
      <w:r>
        <w:rPr>
          <w:b/>
          <w:sz w:val="22"/>
          <w:szCs w:val="22"/>
        </w:rPr>
        <w:t>9.          DÁTUM PRVEJ REGISTRÁCIE/PREDĹŽENIA REGISTRÁCIE</w:t>
      </w:r>
    </w:p>
    <w:p w14:paraId="1462BE54" w14:textId="77777777" w:rsidR="003970A9" w:rsidRDefault="003970A9">
      <w:pPr>
        <w:rPr>
          <w:sz w:val="22"/>
          <w:szCs w:val="22"/>
        </w:rPr>
      </w:pPr>
    </w:p>
    <w:p w14:paraId="2B2C6798" w14:textId="653C9F4A" w:rsidR="003970A9" w:rsidRDefault="003970A9">
      <w:pPr>
        <w:rPr>
          <w:sz w:val="22"/>
          <w:szCs w:val="22"/>
        </w:rPr>
      </w:pPr>
      <w:r>
        <w:rPr>
          <w:sz w:val="22"/>
          <w:szCs w:val="22"/>
        </w:rPr>
        <w:t>Dátum prvej registrácie: 12.</w:t>
      </w:r>
      <w:r w:rsidR="006F6461">
        <w:rPr>
          <w:sz w:val="22"/>
          <w:szCs w:val="22"/>
        </w:rPr>
        <w:t xml:space="preserve"> Apríla </w:t>
      </w:r>
      <w:r>
        <w:rPr>
          <w:sz w:val="22"/>
          <w:szCs w:val="22"/>
        </w:rPr>
        <w:t>1974</w:t>
      </w:r>
    </w:p>
    <w:p w14:paraId="618F0C35" w14:textId="096CA0F1" w:rsidR="003970A9" w:rsidRDefault="003970A9">
      <w:pPr>
        <w:rPr>
          <w:sz w:val="22"/>
          <w:szCs w:val="22"/>
        </w:rPr>
      </w:pPr>
      <w:r>
        <w:rPr>
          <w:sz w:val="22"/>
          <w:szCs w:val="22"/>
        </w:rPr>
        <w:t>Dátum posledného predĺženia: 09.</w:t>
      </w:r>
      <w:r w:rsidR="006F6461">
        <w:rPr>
          <w:sz w:val="22"/>
          <w:szCs w:val="22"/>
        </w:rPr>
        <w:t xml:space="preserve"> Októbra </w:t>
      </w:r>
      <w:r>
        <w:rPr>
          <w:sz w:val="22"/>
          <w:szCs w:val="22"/>
        </w:rPr>
        <w:t>2006</w:t>
      </w:r>
    </w:p>
    <w:p w14:paraId="47D42CDD" w14:textId="77777777" w:rsidR="003970A9" w:rsidRDefault="003970A9">
      <w:pPr>
        <w:rPr>
          <w:sz w:val="22"/>
          <w:szCs w:val="22"/>
        </w:rPr>
      </w:pPr>
    </w:p>
    <w:p w14:paraId="31C9EB6F" w14:textId="77777777" w:rsidR="003970A9" w:rsidRDefault="003970A9">
      <w:pPr>
        <w:rPr>
          <w:sz w:val="22"/>
          <w:szCs w:val="22"/>
        </w:rPr>
      </w:pPr>
    </w:p>
    <w:p w14:paraId="2A59D04D" w14:textId="77777777" w:rsidR="003970A9" w:rsidRDefault="003970A9">
      <w:pPr>
        <w:rPr>
          <w:b/>
          <w:sz w:val="22"/>
          <w:szCs w:val="22"/>
        </w:rPr>
      </w:pPr>
      <w:r>
        <w:rPr>
          <w:b/>
          <w:sz w:val="22"/>
          <w:szCs w:val="22"/>
        </w:rPr>
        <w:t>10.</w:t>
      </w:r>
      <w:r>
        <w:rPr>
          <w:b/>
          <w:sz w:val="22"/>
          <w:szCs w:val="22"/>
        </w:rPr>
        <w:tab/>
        <w:t>DÁTUM REVÍZIE TEXTU</w:t>
      </w:r>
    </w:p>
    <w:p w14:paraId="5298DEAE" w14:textId="77777777" w:rsidR="003970A9" w:rsidRDefault="003970A9">
      <w:pPr>
        <w:rPr>
          <w:sz w:val="22"/>
          <w:szCs w:val="22"/>
        </w:rPr>
      </w:pPr>
    </w:p>
    <w:p w14:paraId="4DA3A8B4" w14:textId="3669C67D" w:rsidR="003970A9" w:rsidRDefault="006F6461">
      <w:pPr>
        <w:rPr>
          <w:sz w:val="22"/>
          <w:szCs w:val="22"/>
        </w:rPr>
      </w:pPr>
      <w:r>
        <w:rPr>
          <w:sz w:val="22"/>
          <w:szCs w:val="22"/>
        </w:rPr>
        <w:t>Júl 2018</w:t>
      </w:r>
    </w:p>
    <w:sectPr w:rsidR="003970A9">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A69BA" w14:textId="77777777" w:rsidR="006F6461" w:rsidRDefault="006F6461">
      <w:r>
        <w:separator/>
      </w:r>
    </w:p>
  </w:endnote>
  <w:endnote w:type="continuationSeparator" w:id="0">
    <w:p w14:paraId="56109426" w14:textId="77777777" w:rsidR="006F6461" w:rsidRDefault="006F6461">
      <w:r>
        <w:continuationSeparator/>
      </w:r>
    </w:p>
  </w:endnote>
  <w:endnote w:type="continuationNotice" w:id="1">
    <w:p w14:paraId="51EEF359" w14:textId="77777777" w:rsidR="006F6461" w:rsidRDefault="006F6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CD74" w14:textId="77777777" w:rsidR="001D4055" w:rsidRDefault="001D405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EBCB8F3" w14:textId="77777777" w:rsidR="001D4055" w:rsidRDefault="001D405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E13A" w14:textId="77777777" w:rsidR="001D4055" w:rsidRPr="006F6461" w:rsidRDefault="001D4055">
    <w:pPr>
      <w:pStyle w:val="Pta"/>
      <w:framePr w:wrap="around" w:vAnchor="text" w:hAnchor="margin" w:xAlign="center" w:y="1"/>
      <w:rPr>
        <w:rStyle w:val="slostrany"/>
        <w:sz w:val="18"/>
      </w:rPr>
    </w:pPr>
    <w:r w:rsidRPr="006F6461">
      <w:rPr>
        <w:rStyle w:val="slostrany"/>
        <w:sz w:val="18"/>
      </w:rPr>
      <w:fldChar w:fldCharType="begin"/>
    </w:r>
    <w:r w:rsidRPr="00795D7E">
      <w:rPr>
        <w:rStyle w:val="slostrany"/>
        <w:sz w:val="18"/>
        <w:szCs w:val="18"/>
      </w:rPr>
      <w:instrText xml:space="preserve">PAGE  </w:instrText>
    </w:r>
    <w:r w:rsidRPr="006F6461">
      <w:rPr>
        <w:rStyle w:val="slostrany"/>
        <w:sz w:val="18"/>
      </w:rPr>
      <w:fldChar w:fldCharType="separate"/>
    </w:r>
    <w:r w:rsidR="00F83199">
      <w:rPr>
        <w:rStyle w:val="slostrany"/>
        <w:noProof/>
        <w:sz w:val="18"/>
        <w:szCs w:val="18"/>
      </w:rPr>
      <w:t>6</w:t>
    </w:r>
    <w:r w:rsidRPr="006F6461">
      <w:rPr>
        <w:rStyle w:val="slostrany"/>
        <w:sz w:val="18"/>
      </w:rPr>
      <w:fldChar w:fldCharType="end"/>
    </w:r>
  </w:p>
  <w:p w14:paraId="0AF15720" w14:textId="77777777" w:rsidR="001D4055" w:rsidRDefault="001D40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C7788" w14:textId="77777777" w:rsidR="006F6461" w:rsidRDefault="006F6461">
      <w:r>
        <w:separator/>
      </w:r>
    </w:p>
  </w:footnote>
  <w:footnote w:type="continuationSeparator" w:id="0">
    <w:p w14:paraId="1F10DC2A" w14:textId="77777777" w:rsidR="006F6461" w:rsidRDefault="006F6461">
      <w:r>
        <w:continuationSeparator/>
      </w:r>
    </w:p>
  </w:footnote>
  <w:footnote w:type="continuationNotice" w:id="1">
    <w:p w14:paraId="32728ADA" w14:textId="77777777" w:rsidR="006F6461" w:rsidRDefault="006F6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E606" w14:textId="36D6FF86" w:rsidR="00795D7E" w:rsidRPr="006F6461" w:rsidRDefault="00795D7E" w:rsidP="006F6461">
    <w:pPr>
      <w:tabs>
        <w:tab w:val="center" w:pos="4536"/>
        <w:tab w:val="right" w:pos="9072"/>
      </w:tabs>
      <w:ind w:left="567" w:hanging="567"/>
      <w:rPr>
        <w:sz w:val="18"/>
      </w:rPr>
    </w:pPr>
    <w:r w:rsidRPr="00795D7E">
      <w:rPr>
        <w:sz w:val="18"/>
        <w:szCs w:val="18"/>
      </w:rPr>
      <w:t>Príloha č. 1 k notifikácii o zmene, ev.</w:t>
    </w:r>
    <w:r>
      <w:rPr>
        <w:sz w:val="18"/>
        <w:szCs w:val="18"/>
      </w:rPr>
      <w:t xml:space="preserve"> </w:t>
    </w:r>
    <w:r w:rsidRPr="00795D7E">
      <w:rPr>
        <w:sz w:val="18"/>
        <w:szCs w:val="18"/>
      </w:rPr>
      <w:t xml:space="preserve">č.: </w:t>
    </w:r>
    <w:r w:rsidR="006F6461">
      <w:rPr>
        <w:sz w:val="18"/>
        <w:szCs w:val="18"/>
      </w:rPr>
      <w:t>2018/00907-ZIA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95C"/>
    <w:multiLevelType w:val="singleLevel"/>
    <w:tmpl w:val="FFFFFFFF"/>
    <w:lvl w:ilvl="0">
      <w:start w:val="4"/>
      <w:numFmt w:val="bullet"/>
      <w:lvlText w:val="-"/>
      <w:lvlJc w:val="left"/>
      <w:pPr>
        <w:tabs>
          <w:tab w:val="num" w:pos="360"/>
        </w:tabs>
        <w:ind w:left="360" w:hanging="360"/>
      </w:pPr>
      <w:rPr>
        <w:rFonts w:hint="default"/>
      </w:rPr>
    </w:lvl>
  </w:abstractNum>
  <w:abstractNum w:abstractNumId="1">
    <w:nsid w:val="0701596D"/>
    <w:multiLevelType w:val="hybridMultilevel"/>
    <w:tmpl w:val="F86C0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CD1DD8"/>
    <w:multiLevelType w:val="multilevel"/>
    <w:tmpl w:val="52889FF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79644C"/>
    <w:multiLevelType w:val="hybridMultilevel"/>
    <w:tmpl w:val="FAC01F3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7622DB5"/>
    <w:multiLevelType w:val="hybridMultilevel"/>
    <w:tmpl w:val="C396DBDA"/>
    <w:lvl w:ilvl="0" w:tplc="2D8CBF12">
      <w:start w:val="10"/>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1A027D8A"/>
    <w:multiLevelType w:val="multilevel"/>
    <w:tmpl w:val="D4682E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9513B97"/>
    <w:multiLevelType w:val="hybridMultilevel"/>
    <w:tmpl w:val="7EFC0BC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52764C2"/>
    <w:multiLevelType w:val="hybridMultilevel"/>
    <w:tmpl w:val="5142DE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5437782F"/>
    <w:multiLevelType w:val="multilevel"/>
    <w:tmpl w:val="FFB8C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271E32"/>
    <w:multiLevelType w:val="hybridMultilevel"/>
    <w:tmpl w:val="8E76D3F2"/>
    <w:lvl w:ilvl="0" w:tplc="041B000F">
      <w:start w:val="10"/>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5D35072D"/>
    <w:multiLevelType w:val="multilevel"/>
    <w:tmpl w:val="0EBEE7C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0D218D1"/>
    <w:multiLevelType w:val="hybridMultilevel"/>
    <w:tmpl w:val="B0D2F202"/>
    <w:lvl w:ilvl="0" w:tplc="B9884DBA">
      <w:start w:val="5"/>
      <w:numFmt w:val="decimal"/>
      <w:lvlText w:val="%1."/>
      <w:lvlJc w:val="left"/>
      <w:pPr>
        <w:tabs>
          <w:tab w:val="num" w:pos="360"/>
        </w:tabs>
        <w:ind w:left="360" w:hanging="360"/>
      </w:pPr>
      <w:rPr>
        <w:rFonts w:hint="default"/>
      </w:rPr>
    </w:lvl>
    <w:lvl w:ilvl="1" w:tplc="65B06902">
      <w:numFmt w:val="none"/>
      <w:lvlText w:val=""/>
      <w:lvlJc w:val="left"/>
      <w:pPr>
        <w:tabs>
          <w:tab w:val="num" w:pos="360"/>
        </w:tabs>
      </w:pPr>
    </w:lvl>
    <w:lvl w:ilvl="2" w:tplc="FB465DE4">
      <w:numFmt w:val="none"/>
      <w:lvlText w:val=""/>
      <w:lvlJc w:val="left"/>
      <w:pPr>
        <w:tabs>
          <w:tab w:val="num" w:pos="360"/>
        </w:tabs>
      </w:pPr>
    </w:lvl>
    <w:lvl w:ilvl="3" w:tplc="587CDDFA">
      <w:numFmt w:val="none"/>
      <w:lvlText w:val=""/>
      <w:lvlJc w:val="left"/>
      <w:pPr>
        <w:tabs>
          <w:tab w:val="num" w:pos="360"/>
        </w:tabs>
      </w:pPr>
    </w:lvl>
    <w:lvl w:ilvl="4" w:tplc="6D12E0BA">
      <w:numFmt w:val="none"/>
      <w:lvlText w:val=""/>
      <w:lvlJc w:val="left"/>
      <w:pPr>
        <w:tabs>
          <w:tab w:val="num" w:pos="360"/>
        </w:tabs>
      </w:pPr>
    </w:lvl>
    <w:lvl w:ilvl="5" w:tplc="01429484">
      <w:numFmt w:val="none"/>
      <w:lvlText w:val=""/>
      <w:lvlJc w:val="left"/>
      <w:pPr>
        <w:tabs>
          <w:tab w:val="num" w:pos="360"/>
        </w:tabs>
      </w:pPr>
    </w:lvl>
    <w:lvl w:ilvl="6" w:tplc="1F7C317E">
      <w:numFmt w:val="none"/>
      <w:lvlText w:val=""/>
      <w:lvlJc w:val="left"/>
      <w:pPr>
        <w:tabs>
          <w:tab w:val="num" w:pos="360"/>
        </w:tabs>
      </w:pPr>
    </w:lvl>
    <w:lvl w:ilvl="7" w:tplc="22FA4EE0">
      <w:numFmt w:val="none"/>
      <w:lvlText w:val=""/>
      <w:lvlJc w:val="left"/>
      <w:pPr>
        <w:tabs>
          <w:tab w:val="num" w:pos="360"/>
        </w:tabs>
      </w:pPr>
    </w:lvl>
    <w:lvl w:ilvl="8" w:tplc="81C6FD86">
      <w:numFmt w:val="none"/>
      <w:lvlText w:val=""/>
      <w:lvlJc w:val="left"/>
      <w:pPr>
        <w:tabs>
          <w:tab w:val="num" w:pos="360"/>
        </w:tabs>
      </w:pPr>
    </w:lvl>
  </w:abstractNum>
  <w:abstractNum w:abstractNumId="12">
    <w:nsid w:val="6AFF0CC5"/>
    <w:multiLevelType w:val="multilevel"/>
    <w:tmpl w:val="2C286A0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2B55507"/>
    <w:multiLevelType w:val="hybridMultilevel"/>
    <w:tmpl w:val="E3A0FBEC"/>
    <w:lvl w:ilvl="0" w:tplc="685C237E">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85D6C13"/>
    <w:multiLevelType w:val="multilevel"/>
    <w:tmpl w:val="B43270F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CBA4A86"/>
    <w:multiLevelType w:val="multilevel"/>
    <w:tmpl w:val="7742AB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4"/>
  </w:num>
  <w:num w:numId="3">
    <w:abstractNumId w:val="11"/>
  </w:num>
  <w:num w:numId="4">
    <w:abstractNumId w:val="6"/>
  </w:num>
  <w:num w:numId="5">
    <w:abstractNumId w:val="3"/>
  </w:num>
  <w:num w:numId="6">
    <w:abstractNumId w:val="7"/>
  </w:num>
  <w:num w:numId="7">
    <w:abstractNumId w:val="13"/>
  </w:num>
  <w:num w:numId="8">
    <w:abstractNumId w:val="10"/>
  </w:num>
  <w:num w:numId="9">
    <w:abstractNumId w:val="12"/>
  </w:num>
  <w:num w:numId="10">
    <w:abstractNumId w:val="4"/>
  </w:num>
  <w:num w:numId="11">
    <w:abstractNumId w:val="9"/>
  </w:num>
  <w:num w:numId="12">
    <w:abstractNumId w:val="15"/>
  </w:num>
  <w:num w:numId="13">
    <w:abstractNumId w:val="8"/>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hyphenationZone w:val="425"/>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314"/>
    <w:rsid w:val="001C1B29"/>
    <w:rsid w:val="001D4055"/>
    <w:rsid w:val="0023001D"/>
    <w:rsid w:val="003970A9"/>
    <w:rsid w:val="003A1C26"/>
    <w:rsid w:val="00410516"/>
    <w:rsid w:val="004C4968"/>
    <w:rsid w:val="00507FD9"/>
    <w:rsid w:val="00542804"/>
    <w:rsid w:val="00600498"/>
    <w:rsid w:val="006F0614"/>
    <w:rsid w:val="006F6461"/>
    <w:rsid w:val="00795D7E"/>
    <w:rsid w:val="0081413C"/>
    <w:rsid w:val="008B25D6"/>
    <w:rsid w:val="009D0C91"/>
    <w:rsid w:val="00A37314"/>
    <w:rsid w:val="00AA2608"/>
    <w:rsid w:val="00AC6162"/>
    <w:rsid w:val="00BA681D"/>
    <w:rsid w:val="00BE4A44"/>
    <w:rsid w:val="00CB7CB8"/>
    <w:rsid w:val="00D62EF3"/>
    <w:rsid w:val="00F831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u w:val="single"/>
      <w:lang w:val="en-GB"/>
    </w:rPr>
  </w:style>
  <w:style w:type="paragraph" w:styleId="Nadpis2">
    <w:name w:val="heading 2"/>
    <w:basedOn w:val="Normlny"/>
    <w:next w:val="Normlny"/>
    <w:qFormat/>
    <w:pPr>
      <w:keepNext/>
      <w:outlineLvl w:val="1"/>
    </w:pPr>
    <w:rPr>
      <w:i/>
      <w:iCs/>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outlineLvl w:val="3"/>
    </w:pPr>
    <w:rPr>
      <w:b/>
      <w:bCs/>
      <w:iCs/>
      <w:u w:val="single"/>
    </w:rPr>
  </w:style>
  <w:style w:type="character" w:default="1" w:styleId="Predvolenpsmoodseku">
    <w:name w:val="Default Paragraph Font"/>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spacing w:after="120" w:line="480" w:lineRule="auto"/>
      <w:ind w:left="283"/>
    </w:pPr>
  </w:style>
  <w:style w:type="paragraph" w:styleId="Textbubliny">
    <w:name w:val="Balloon Text"/>
    <w:basedOn w:val="Normlny"/>
    <w:semiHidden/>
    <w:rPr>
      <w:rFonts w:ascii="Tahoma" w:hAnsi="Tahoma" w:cs="Tahoma"/>
      <w:sz w:val="16"/>
      <w:szCs w:val="16"/>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DocumentHeading">
    <w:name w:val="Document Heading"/>
    <w:basedOn w:val="Normlny"/>
    <w:next w:val="Normlny"/>
    <w:pPr>
      <w:spacing w:after="120"/>
    </w:pPr>
    <w:rPr>
      <w:b/>
      <w:sz w:val="28"/>
      <w:szCs w:val="20"/>
      <w:lang w:val="en-GB" w:eastAsia="en-GB"/>
    </w:rPr>
  </w:style>
  <w:style w:type="paragraph" w:customStyle="1" w:styleId="Normln">
    <w:name w:val="Normální"/>
    <w:pPr>
      <w:widowControl w:val="0"/>
    </w:pPr>
    <w:rPr>
      <w:sz w:val="24"/>
      <w:lang w:val="cs-CZ" w:eastAsia="ja-JP"/>
    </w:rPr>
  </w:style>
  <w:style w:type="paragraph" w:styleId="Zkladntext3">
    <w:name w:val="Body Text 3"/>
    <w:basedOn w:val="Normlny"/>
    <w:semiHidden/>
    <w:pPr>
      <w:spacing w:after="120"/>
    </w:pPr>
    <w:rPr>
      <w:sz w:val="16"/>
      <w:szCs w:val="16"/>
    </w:rPr>
  </w:style>
  <w:style w:type="paragraph" w:styleId="Odsekzoznamu">
    <w:name w:val="List Paragraph"/>
    <w:basedOn w:val="Normlny"/>
    <w:qFormat/>
    <w:pPr>
      <w:ind w:left="708"/>
    </w:pPr>
  </w:style>
  <w:style w:type="paragraph" w:styleId="Hlavika">
    <w:name w:val="header"/>
    <w:basedOn w:val="Normlny"/>
    <w:link w:val="HlavikaChar"/>
    <w:uiPriority w:val="99"/>
    <w:unhideWhenUsed/>
    <w:rsid w:val="00795D7E"/>
    <w:pPr>
      <w:tabs>
        <w:tab w:val="center" w:pos="4536"/>
        <w:tab w:val="right" w:pos="9072"/>
      </w:tabs>
    </w:pPr>
  </w:style>
  <w:style w:type="character" w:customStyle="1" w:styleId="HlavikaChar">
    <w:name w:val="Hlavička Char"/>
    <w:link w:val="Hlavika"/>
    <w:uiPriority w:val="99"/>
    <w:rsid w:val="00795D7E"/>
    <w:rPr>
      <w:sz w:val="24"/>
      <w:szCs w:val="24"/>
    </w:rPr>
  </w:style>
  <w:style w:type="paragraph" w:customStyle="1" w:styleId="ListParagraph">
    <w:name w:val="List Paragraph"/>
    <w:basedOn w:val="Normlny"/>
    <w:qFormat/>
    <w:rsid w:val="006F646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u w:val="single"/>
      <w:lang w:val="en-GB"/>
    </w:rPr>
  </w:style>
  <w:style w:type="paragraph" w:styleId="Nadpis2">
    <w:name w:val="heading 2"/>
    <w:basedOn w:val="Normlny"/>
    <w:next w:val="Normlny"/>
    <w:qFormat/>
    <w:pPr>
      <w:keepNext/>
      <w:outlineLvl w:val="1"/>
    </w:pPr>
    <w:rPr>
      <w:i/>
      <w:iCs/>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outlineLvl w:val="3"/>
    </w:pPr>
    <w:rPr>
      <w:b/>
      <w:bCs/>
      <w:iCs/>
      <w:u w:val="single"/>
    </w:rPr>
  </w:style>
  <w:style w:type="character" w:default="1" w:styleId="Predvolenpsmoodseku">
    <w:name w:val="Default Paragraph Font"/>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spacing w:after="120" w:line="480" w:lineRule="auto"/>
      <w:ind w:left="283"/>
    </w:pPr>
  </w:style>
  <w:style w:type="paragraph" w:styleId="Textbubliny">
    <w:name w:val="Balloon Text"/>
    <w:basedOn w:val="Normlny"/>
    <w:semiHidden/>
    <w:rPr>
      <w:rFonts w:ascii="Tahoma" w:hAnsi="Tahoma" w:cs="Tahoma"/>
      <w:sz w:val="16"/>
      <w:szCs w:val="16"/>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DocumentHeading">
    <w:name w:val="Document Heading"/>
    <w:basedOn w:val="Normlny"/>
    <w:next w:val="Normlny"/>
    <w:pPr>
      <w:spacing w:after="120"/>
    </w:pPr>
    <w:rPr>
      <w:b/>
      <w:sz w:val="28"/>
      <w:szCs w:val="20"/>
      <w:lang w:val="en-GB" w:eastAsia="en-GB"/>
    </w:rPr>
  </w:style>
  <w:style w:type="paragraph" w:customStyle="1" w:styleId="Normln">
    <w:name w:val="Normální"/>
    <w:pPr>
      <w:widowControl w:val="0"/>
    </w:pPr>
    <w:rPr>
      <w:sz w:val="24"/>
      <w:lang w:val="cs-CZ" w:eastAsia="ja-JP"/>
    </w:rPr>
  </w:style>
  <w:style w:type="paragraph" w:styleId="Zkladntext3">
    <w:name w:val="Body Text 3"/>
    <w:basedOn w:val="Normlny"/>
    <w:semiHidden/>
    <w:pPr>
      <w:spacing w:after="120"/>
    </w:pPr>
    <w:rPr>
      <w:sz w:val="16"/>
      <w:szCs w:val="16"/>
    </w:rPr>
  </w:style>
  <w:style w:type="paragraph" w:styleId="Odsekzoznamu">
    <w:name w:val="List Paragraph"/>
    <w:basedOn w:val="Normlny"/>
    <w:qFormat/>
    <w:pPr>
      <w:ind w:left="708"/>
    </w:pPr>
  </w:style>
  <w:style w:type="paragraph" w:styleId="Hlavika">
    <w:name w:val="header"/>
    <w:basedOn w:val="Normlny"/>
    <w:link w:val="HlavikaChar"/>
    <w:uiPriority w:val="99"/>
    <w:unhideWhenUsed/>
    <w:rsid w:val="00795D7E"/>
    <w:pPr>
      <w:tabs>
        <w:tab w:val="center" w:pos="4536"/>
        <w:tab w:val="right" w:pos="9072"/>
      </w:tabs>
    </w:pPr>
  </w:style>
  <w:style w:type="character" w:customStyle="1" w:styleId="HlavikaChar">
    <w:name w:val="Hlavička Char"/>
    <w:link w:val="Hlavika"/>
    <w:uiPriority w:val="99"/>
    <w:rsid w:val="00795D7E"/>
    <w:rPr>
      <w:sz w:val="24"/>
      <w:szCs w:val="24"/>
    </w:rPr>
  </w:style>
  <w:style w:type="paragraph" w:customStyle="1" w:styleId="ListParagraph">
    <w:name w:val="List Paragraph"/>
    <w:basedOn w:val="Normlny"/>
    <w:qFormat/>
    <w:rsid w:val="006F64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2586</Words>
  <Characters>16896</Characters>
  <Application>Microsoft Office Word</Application>
  <DocSecurity>0</DocSecurity>
  <Lines>140</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Company>
  <LinksUpToDate>false</LinksUpToDate>
  <CharactersWithSpaces>19444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Marek</dc:creator>
  <cp:lastModifiedBy>Natalia </cp:lastModifiedBy>
  <cp:revision>1</cp:revision>
  <cp:lastPrinted>2018-07-04T13:29:00Z</cp:lastPrinted>
  <dcterms:created xsi:type="dcterms:W3CDTF">2018-07-04T13:01:00Z</dcterms:created>
  <dcterms:modified xsi:type="dcterms:W3CDTF">2018-07-04T13:30:00Z</dcterms:modified>
</cp:coreProperties>
</file>