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3E0A2" w14:textId="77777777" w:rsidR="00355328" w:rsidRPr="00EB16B4" w:rsidRDefault="009511FB" w:rsidP="004B5DE0">
      <w:pPr>
        <w:tabs>
          <w:tab w:val="clear" w:pos="567"/>
          <w:tab w:val="left" w:pos="3285"/>
        </w:tabs>
        <w:jc w:val="center"/>
        <w:rPr>
          <w:lang w:val="sk-SK"/>
        </w:rPr>
      </w:pPr>
      <w:bookmarkStart w:id="0" w:name="_GoBack"/>
      <w:bookmarkEnd w:id="0"/>
      <w:r w:rsidRPr="00EB16B4">
        <w:rPr>
          <w:rFonts w:eastAsiaTheme="minorHAnsi"/>
          <w:b/>
          <w:bCs/>
          <w:color w:val="000000"/>
          <w:szCs w:val="22"/>
          <w:lang w:val="sk-SK"/>
        </w:rPr>
        <w:t>SÚHRN CHARAKTERISTICKÝCH VLASTNOSTÍ LIEKU</w:t>
      </w:r>
    </w:p>
    <w:p w14:paraId="473D657E" w14:textId="77777777" w:rsidR="00D730CE" w:rsidRPr="00EB16B4" w:rsidRDefault="00D730CE">
      <w:pPr>
        <w:rPr>
          <w:lang w:val="sk-SK"/>
        </w:rPr>
      </w:pPr>
    </w:p>
    <w:p w14:paraId="196B66EC" w14:textId="77777777" w:rsidR="00D730CE" w:rsidRPr="00EB16B4" w:rsidRDefault="00D730CE">
      <w:pPr>
        <w:rPr>
          <w:lang w:val="sk-SK"/>
        </w:rPr>
      </w:pPr>
    </w:p>
    <w:p w14:paraId="48581E89" w14:textId="77777777" w:rsidR="00C016FF" w:rsidRPr="00EB16B4" w:rsidRDefault="00C016FF" w:rsidP="00C016FF">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1. </w:t>
      </w:r>
      <w:r w:rsidR="001F681B" w:rsidRPr="00EB16B4">
        <w:rPr>
          <w:rFonts w:eastAsiaTheme="minorHAnsi"/>
          <w:b/>
          <w:bCs/>
          <w:color w:val="000000"/>
          <w:szCs w:val="22"/>
          <w:lang w:val="sk-SK"/>
        </w:rPr>
        <w:t xml:space="preserve">          </w:t>
      </w:r>
      <w:r w:rsidRPr="00EB16B4">
        <w:rPr>
          <w:rFonts w:eastAsiaTheme="minorHAnsi"/>
          <w:b/>
          <w:bCs/>
          <w:color w:val="000000"/>
          <w:szCs w:val="22"/>
          <w:lang w:val="sk-SK"/>
        </w:rPr>
        <w:t xml:space="preserve">NÁZOV LIEKU </w:t>
      </w:r>
    </w:p>
    <w:p w14:paraId="77984D73" w14:textId="77777777" w:rsidR="007D0AC9" w:rsidRPr="00EB16B4" w:rsidRDefault="007D0AC9" w:rsidP="00C016FF">
      <w:pPr>
        <w:tabs>
          <w:tab w:val="clear" w:pos="567"/>
        </w:tabs>
        <w:autoSpaceDE w:val="0"/>
        <w:autoSpaceDN w:val="0"/>
        <w:adjustRightInd w:val="0"/>
        <w:spacing w:line="240" w:lineRule="auto"/>
        <w:rPr>
          <w:rFonts w:eastAsiaTheme="minorHAnsi"/>
          <w:b/>
          <w:bCs/>
          <w:color w:val="000000"/>
          <w:szCs w:val="22"/>
          <w:lang w:val="sk-SK"/>
        </w:rPr>
      </w:pPr>
    </w:p>
    <w:p w14:paraId="28E03342" w14:textId="77777777" w:rsidR="004B5DE0" w:rsidRDefault="007D0AC9" w:rsidP="00007321">
      <w:pPr>
        <w:tabs>
          <w:tab w:val="clear" w:pos="567"/>
        </w:tabs>
        <w:spacing w:line="240" w:lineRule="auto"/>
        <w:rPr>
          <w:rFonts w:eastAsiaTheme="minorHAnsi"/>
          <w:color w:val="000000"/>
          <w:szCs w:val="22"/>
          <w:lang w:val="sk-SK"/>
        </w:rPr>
      </w:pPr>
      <w:r w:rsidRPr="00EB16B4">
        <w:rPr>
          <w:rFonts w:eastAsiaTheme="minorHAnsi"/>
          <w:color w:val="000000"/>
          <w:szCs w:val="22"/>
          <w:lang w:val="sk-SK"/>
        </w:rPr>
        <w:t>Bimatoprost/Timolol</w:t>
      </w:r>
      <w:r w:rsidR="004B5DE0">
        <w:rPr>
          <w:rFonts w:eastAsiaTheme="minorHAnsi"/>
          <w:color w:val="000000"/>
          <w:szCs w:val="22"/>
          <w:lang w:val="sk-SK"/>
        </w:rPr>
        <w:t xml:space="preserve"> </w:t>
      </w:r>
      <w:r w:rsidRPr="00EB16B4">
        <w:rPr>
          <w:rFonts w:eastAsiaTheme="minorHAnsi"/>
          <w:color w:val="000000"/>
          <w:szCs w:val="22"/>
          <w:lang w:val="sk-SK"/>
        </w:rPr>
        <w:t>PharmaSwiss</w:t>
      </w:r>
      <w:r w:rsidR="00C016FF" w:rsidRPr="00EB16B4">
        <w:rPr>
          <w:rFonts w:eastAsiaTheme="minorHAnsi"/>
          <w:color w:val="000000"/>
          <w:szCs w:val="22"/>
          <w:lang w:val="sk-SK"/>
        </w:rPr>
        <w:t xml:space="preserve"> 0,3 mg/ml + 5 mg/ml</w:t>
      </w:r>
      <w:r w:rsidR="0037009D" w:rsidRPr="0037009D">
        <w:rPr>
          <w:rFonts w:eastAsiaTheme="minorHAnsi"/>
          <w:color w:val="000000"/>
          <w:szCs w:val="22"/>
          <w:lang w:val="sk-SK"/>
        </w:rPr>
        <w:t xml:space="preserve"> </w:t>
      </w:r>
    </w:p>
    <w:p w14:paraId="3C1B35D5" w14:textId="77777777" w:rsidR="004E04D5" w:rsidRDefault="004E04D5" w:rsidP="00007321">
      <w:pPr>
        <w:tabs>
          <w:tab w:val="clear" w:pos="567"/>
        </w:tabs>
        <w:spacing w:line="240" w:lineRule="auto"/>
        <w:rPr>
          <w:rFonts w:eastAsiaTheme="minorHAnsi"/>
          <w:color w:val="000000"/>
          <w:szCs w:val="22"/>
          <w:lang w:val="sk-SK"/>
        </w:rPr>
      </w:pPr>
    </w:p>
    <w:p w14:paraId="7AECF176" w14:textId="77777777" w:rsidR="00C016FF" w:rsidRPr="00EB16B4" w:rsidRDefault="00C016FF" w:rsidP="00007321">
      <w:pPr>
        <w:tabs>
          <w:tab w:val="clear" w:pos="567"/>
        </w:tabs>
        <w:spacing w:line="240" w:lineRule="auto"/>
        <w:rPr>
          <w:rFonts w:eastAsiaTheme="minorHAnsi"/>
          <w:color w:val="000000"/>
          <w:szCs w:val="22"/>
          <w:lang w:val="sk-SK"/>
        </w:rPr>
      </w:pPr>
      <w:r w:rsidRPr="00EB16B4">
        <w:rPr>
          <w:rFonts w:eastAsiaTheme="minorHAnsi"/>
          <w:color w:val="000000"/>
          <w:szCs w:val="22"/>
          <w:lang w:val="sk-SK"/>
        </w:rPr>
        <w:t xml:space="preserve">očná roztoková instilácia </w:t>
      </w:r>
    </w:p>
    <w:p w14:paraId="6EF827D6" w14:textId="77777777" w:rsidR="00D730CE" w:rsidRPr="00EB16B4" w:rsidRDefault="00D730CE" w:rsidP="00C016FF">
      <w:pPr>
        <w:rPr>
          <w:rFonts w:eastAsiaTheme="minorHAnsi"/>
          <w:b/>
          <w:bCs/>
          <w:color w:val="000000"/>
          <w:szCs w:val="22"/>
          <w:lang w:val="sk-SK"/>
        </w:rPr>
      </w:pPr>
    </w:p>
    <w:p w14:paraId="411D3334" w14:textId="77777777" w:rsidR="00C016FF" w:rsidRPr="00EB16B4" w:rsidRDefault="00C016FF" w:rsidP="00C016FF">
      <w:pPr>
        <w:rPr>
          <w:lang w:val="sk-SK"/>
        </w:rPr>
      </w:pPr>
    </w:p>
    <w:p w14:paraId="1842327A" w14:textId="77777777" w:rsidR="00850981" w:rsidRPr="00EB16B4" w:rsidRDefault="00850981" w:rsidP="00850981">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2. </w:t>
      </w:r>
      <w:r w:rsidR="00007321" w:rsidRPr="00EB16B4">
        <w:rPr>
          <w:rFonts w:eastAsiaTheme="minorHAnsi"/>
          <w:b/>
          <w:bCs/>
          <w:color w:val="000000"/>
          <w:szCs w:val="22"/>
          <w:lang w:val="sk-SK"/>
        </w:rPr>
        <w:tab/>
      </w:r>
      <w:r w:rsidRPr="00EB16B4">
        <w:rPr>
          <w:rFonts w:eastAsiaTheme="minorHAnsi"/>
          <w:b/>
          <w:bCs/>
          <w:color w:val="000000"/>
          <w:szCs w:val="22"/>
          <w:lang w:val="sk-SK"/>
        </w:rPr>
        <w:t xml:space="preserve">KVALITATÍVNE A KVANTITATÍVNE ZLOŽENIE </w:t>
      </w:r>
    </w:p>
    <w:p w14:paraId="3E972AF7" w14:textId="77777777" w:rsidR="00850981" w:rsidRPr="00EB16B4" w:rsidRDefault="00850981" w:rsidP="00850981">
      <w:pPr>
        <w:tabs>
          <w:tab w:val="clear" w:pos="567"/>
        </w:tabs>
        <w:autoSpaceDE w:val="0"/>
        <w:autoSpaceDN w:val="0"/>
        <w:adjustRightInd w:val="0"/>
        <w:spacing w:line="240" w:lineRule="auto"/>
        <w:rPr>
          <w:rFonts w:eastAsiaTheme="minorHAnsi"/>
          <w:color w:val="000000"/>
          <w:szCs w:val="22"/>
          <w:lang w:val="sk-SK"/>
        </w:rPr>
      </w:pPr>
    </w:p>
    <w:p w14:paraId="48582BDC" w14:textId="23B8DEDF" w:rsidR="00D730CE" w:rsidRPr="00EB16B4" w:rsidRDefault="00850981" w:rsidP="00850981">
      <w:pPr>
        <w:tabs>
          <w:tab w:val="clear" w:pos="567"/>
        </w:tabs>
        <w:spacing w:line="240" w:lineRule="auto"/>
        <w:rPr>
          <w:rFonts w:eastAsiaTheme="minorHAnsi"/>
          <w:szCs w:val="22"/>
          <w:lang w:val="sk-SK"/>
        </w:rPr>
      </w:pPr>
      <w:r w:rsidRPr="00EB16B4">
        <w:rPr>
          <w:rFonts w:eastAsiaTheme="minorHAnsi"/>
          <w:color w:val="000000"/>
          <w:szCs w:val="22"/>
          <w:lang w:val="sk-SK"/>
        </w:rPr>
        <w:t>Jeden ml roztoku obsahuje 0,3 mg bimatoprostu a 5 mg timololu</w:t>
      </w:r>
      <w:r w:rsidR="004E04D5">
        <w:rPr>
          <w:rFonts w:eastAsiaTheme="minorHAnsi"/>
          <w:color w:val="000000"/>
          <w:szCs w:val="22"/>
          <w:lang w:val="sk-SK"/>
        </w:rPr>
        <w:t xml:space="preserve"> </w:t>
      </w:r>
      <w:r w:rsidRPr="00EB16B4">
        <w:rPr>
          <w:rFonts w:eastAsiaTheme="minorHAnsi"/>
          <w:color w:val="000000"/>
          <w:szCs w:val="22"/>
          <w:lang w:val="sk-SK"/>
        </w:rPr>
        <w:t>(</w:t>
      </w:r>
      <w:r w:rsidR="00B75AAB">
        <w:rPr>
          <w:rFonts w:eastAsiaTheme="minorHAnsi"/>
          <w:color w:val="000000"/>
          <w:szCs w:val="22"/>
          <w:lang w:val="sk-SK"/>
        </w:rPr>
        <w:t xml:space="preserve">čo </w:t>
      </w:r>
      <w:r w:rsidR="00540B23">
        <w:rPr>
          <w:rFonts w:eastAsiaTheme="minorHAnsi"/>
          <w:color w:val="000000"/>
          <w:szCs w:val="22"/>
          <w:lang w:val="sk-SK"/>
        </w:rPr>
        <w:t xml:space="preserve">zodpovedá </w:t>
      </w:r>
      <w:r w:rsidR="004E04D5">
        <w:rPr>
          <w:rFonts w:eastAsiaTheme="minorHAnsi"/>
          <w:color w:val="000000"/>
          <w:szCs w:val="22"/>
          <w:lang w:val="sk-SK"/>
        </w:rPr>
        <w:t xml:space="preserve">6,8 mg </w:t>
      </w:r>
      <w:r w:rsidRPr="00EB16B4">
        <w:rPr>
          <w:rFonts w:eastAsiaTheme="minorHAnsi"/>
          <w:color w:val="000000"/>
          <w:szCs w:val="22"/>
          <w:lang w:val="sk-SK"/>
        </w:rPr>
        <w:t xml:space="preserve"> </w:t>
      </w:r>
      <w:r w:rsidR="00540B23">
        <w:rPr>
          <w:rFonts w:eastAsiaTheme="minorHAnsi"/>
          <w:color w:val="000000"/>
          <w:szCs w:val="22"/>
          <w:lang w:val="sk-SK"/>
        </w:rPr>
        <w:t>t</w:t>
      </w:r>
      <w:r w:rsidR="00540B23">
        <w:rPr>
          <w:snapToGrid w:val="0"/>
          <w:lang w:val="sk-SK"/>
        </w:rPr>
        <w:t>imololiumhydrogenmaleinátu</w:t>
      </w:r>
      <w:r w:rsidRPr="00EB16B4">
        <w:rPr>
          <w:rFonts w:eastAsiaTheme="minorHAnsi"/>
          <w:color w:val="000000"/>
          <w:szCs w:val="22"/>
          <w:lang w:val="sk-SK"/>
        </w:rPr>
        <w:t>).</w:t>
      </w:r>
    </w:p>
    <w:p w14:paraId="79976080" w14:textId="77777777" w:rsidR="00007321" w:rsidRPr="00EB16B4" w:rsidRDefault="00007321">
      <w:pPr>
        <w:rPr>
          <w:szCs w:val="22"/>
          <w:lang w:val="sk-SK"/>
        </w:rPr>
      </w:pPr>
    </w:p>
    <w:p w14:paraId="3F5DF693" w14:textId="77777777" w:rsidR="00D730CE" w:rsidRPr="00EB16B4" w:rsidRDefault="00076D71">
      <w:pPr>
        <w:rPr>
          <w:szCs w:val="22"/>
          <w:lang w:val="sk-SK"/>
        </w:rPr>
      </w:pPr>
      <w:r w:rsidRPr="00EB16B4">
        <w:rPr>
          <w:szCs w:val="22"/>
          <w:lang w:val="sk-SK"/>
        </w:rPr>
        <w:t>Úplný zoznam pomocných látok, pozri časť 6.1</w:t>
      </w:r>
    </w:p>
    <w:p w14:paraId="12C94AC9" w14:textId="77777777" w:rsidR="00076D71" w:rsidRDefault="00076D71">
      <w:pPr>
        <w:rPr>
          <w:lang w:val="sk-SK"/>
        </w:rPr>
      </w:pPr>
    </w:p>
    <w:p w14:paraId="140971F1" w14:textId="77777777" w:rsidR="00BB479D" w:rsidRPr="00EB16B4" w:rsidRDefault="00BB479D">
      <w:pPr>
        <w:rPr>
          <w:lang w:val="sk-SK"/>
        </w:rPr>
      </w:pPr>
    </w:p>
    <w:p w14:paraId="4F46AB47" w14:textId="0231E99B" w:rsidR="00D730CE" w:rsidRPr="00EB16B4" w:rsidRDefault="00D730CE" w:rsidP="00D730CE">
      <w:pPr>
        <w:tabs>
          <w:tab w:val="clear" w:pos="567"/>
        </w:tabs>
        <w:spacing w:line="240" w:lineRule="auto"/>
        <w:ind w:left="567" w:hanging="567"/>
        <w:rPr>
          <w:rFonts w:eastAsiaTheme="minorHAnsi"/>
          <w:b/>
          <w:caps/>
          <w:szCs w:val="22"/>
          <w:lang w:val="sk-SK"/>
        </w:rPr>
      </w:pPr>
      <w:r w:rsidRPr="00EB16B4">
        <w:rPr>
          <w:rFonts w:eastAsiaTheme="minorHAnsi"/>
          <w:b/>
          <w:szCs w:val="22"/>
          <w:lang w:val="sk-SK"/>
        </w:rPr>
        <w:t>3.</w:t>
      </w:r>
      <w:r w:rsidRPr="00EB16B4">
        <w:rPr>
          <w:rFonts w:eastAsiaTheme="minorHAnsi"/>
          <w:b/>
          <w:szCs w:val="22"/>
          <w:lang w:val="sk-SK"/>
        </w:rPr>
        <w:tab/>
      </w:r>
      <w:r w:rsidR="00EB16B4">
        <w:rPr>
          <w:rFonts w:eastAsiaTheme="minorHAnsi"/>
          <w:b/>
          <w:szCs w:val="22"/>
          <w:lang w:val="sk-SK"/>
        </w:rPr>
        <w:tab/>
      </w:r>
      <w:r w:rsidR="00BB479D">
        <w:rPr>
          <w:rFonts w:eastAsiaTheme="minorHAnsi"/>
          <w:b/>
          <w:szCs w:val="22"/>
          <w:lang w:val="sk-SK"/>
        </w:rPr>
        <w:t>LIEKOVÁ FORMA</w:t>
      </w:r>
    </w:p>
    <w:p w14:paraId="6525ADB7" w14:textId="77777777" w:rsidR="00D730CE" w:rsidRPr="00EB16B4" w:rsidRDefault="00D730CE" w:rsidP="00D730CE">
      <w:pPr>
        <w:tabs>
          <w:tab w:val="clear" w:pos="567"/>
        </w:tabs>
        <w:spacing w:line="240" w:lineRule="auto"/>
        <w:rPr>
          <w:rFonts w:eastAsiaTheme="minorHAnsi"/>
          <w:szCs w:val="22"/>
          <w:lang w:val="sk-SK"/>
        </w:rPr>
      </w:pPr>
    </w:p>
    <w:p w14:paraId="71862709" w14:textId="77777777" w:rsidR="00D730CE" w:rsidRPr="00EB16B4" w:rsidRDefault="00873ADA" w:rsidP="00D730CE">
      <w:pPr>
        <w:tabs>
          <w:tab w:val="clear" w:pos="567"/>
        </w:tabs>
        <w:spacing w:line="240" w:lineRule="auto"/>
        <w:rPr>
          <w:szCs w:val="22"/>
          <w:lang w:val="sk-SK"/>
        </w:rPr>
      </w:pPr>
      <w:r w:rsidRPr="00EB16B4">
        <w:rPr>
          <w:szCs w:val="22"/>
          <w:lang w:val="sk-SK"/>
        </w:rPr>
        <w:t>Očná roztoková instilácia.</w:t>
      </w:r>
    </w:p>
    <w:p w14:paraId="42947124" w14:textId="77777777" w:rsidR="00873ADA" w:rsidRPr="00EB16B4" w:rsidRDefault="00873ADA" w:rsidP="00D730CE">
      <w:pPr>
        <w:tabs>
          <w:tab w:val="clear" w:pos="567"/>
        </w:tabs>
        <w:spacing w:line="240" w:lineRule="auto"/>
        <w:rPr>
          <w:rFonts w:eastAsiaTheme="minorHAnsi"/>
          <w:szCs w:val="22"/>
          <w:lang w:val="sk-SK"/>
        </w:rPr>
      </w:pPr>
    </w:p>
    <w:p w14:paraId="53C54912" w14:textId="77777777" w:rsidR="00C26EE3" w:rsidRPr="00EB16B4" w:rsidRDefault="00E062AA" w:rsidP="00C26EE3">
      <w:pPr>
        <w:tabs>
          <w:tab w:val="clear" w:pos="567"/>
        </w:tabs>
        <w:spacing w:line="240" w:lineRule="auto"/>
        <w:rPr>
          <w:rFonts w:eastAsiaTheme="minorHAnsi"/>
          <w:szCs w:val="22"/>
          <w:lang w:val="sk-SK"/>
        </w:rPr>
      </w:pPr>
      <w:r w:rsidRPr="00EB16B4">
        <w:rPr>
          <w:rFonts w:eastAsiaTheme="minorHAnsi"/>
          <w:szCs w:val="22"/>
          <w:lang w:val="sk-SK"/>
        </w:rPr>
        <w:t>Číry, bezfarebný vodný roztok, prakticky bez častíc.</w:t>
      </w:r>
    </w:p>
    <w:p w14:paraId="52910CF5" w14:textId="77777777" w:rsidR="00E062AA" w:rsidRPr="00EB16B4" w:rsidRDefault="00E062AA" w:rsidP="00C26EE3">
      <w:pPr>
        <w:tabs>
          <w:tab w:val="clear" w:pos="567"/>
        </w:tabs>
        <w:spacing w:line="240" w:lineRule="auto"/>
        <w:rPr>
          <w:rFonts w:eastAsiaTheme="minorHAnsi"/>
          <w:szCs w:val="22"/>
          <w:lang w:val="sk-SK"/>
        </w:rPr>
      </w:pPr>
    </w:p>
    <w:p w14:paraId="21AAEF8B" w14:textId="77777777" w:rsidR="00C26EE3" w:rsidRPr="00EB16B4" w:rsidRDefault="00C26EE3" w:rsidP="00C26EE3">
      <w:pPr>
        <w:tabs>
          <w:tab w:val="clear" w:pos="567"/>
        </w:tabs>
        <w:spacing w:line="240" w:lineRule="auto"/>
        <w:rPr>
          <w:rFonts w:eastAsiaTheme="minorHAnsi"/>
          <w:szCs w:val="22"/>
          <w:lang w:val="sk-SK"/>
        </w:rPr>
      </w:pPr>
      <w:r w:rsidRPr="00EB16B4">
        <w:rPr>
          <w:rFonts w:eastAsiaTheme="minorHAnsi"/>
          <w:szCs w:val="22"/>
          <w:lang w:val="sk-SK"/>
        </w:rPr>
        <w:t>pH: 6.8-7.8</w:t>
      </w:r>
    </w:p>
    <w:p w14:paraId="35B4677C" w14:textId="77777777" w:rsidR="00C26EE3" w:rsidRPr="00EB16B4" w:rsidRDefault="00634457" w:rsidP="00C26EE3">
      <w:pPr>
        <w:rPr>
          <w:lang w:val="sk-SK"/>
        </w:rPr>
      </w:pPr>
      <w:r w:rsidRPr="00EB16B4">
        <w:rPr>
          <w:lang w:val="sk-SK"/>
        </w:rPr>
        <w:t>Osmolalita: 290 mOsm / kg ± 10% (261-319 mOsm / kg)</w:t>
      </w:r>
    </w:p>
    <w:p w14:paraId="64F2DE88" w14:textId="77777777" w:rsidR="00634457" w:rsidRDefault="00634457" w:rsidP="00C26EE3">
      <w:pPr>
        <w:rPr>
          <w:lang w:val="sk-SK"/>
        </w:rPr>
      </w:pPr>
    </w:p>
    <w:p w14:paraId="16F3F2C7" w14:textId="77777777" w:rsidR="00B00583" w:rsidRPr="00EB16B4" w:rsidRDefault="00B00583" w:rsidP="00C26EE3">
      <w:pPr>
        <w:rPr>
          <w:lang w:val="sk-SK"/>
        </w:rPr>
      </w:pPr>
    </w:p>
    <w:p w14:paraId="544FE31E" w14:textId="77777777" w:rsidR="001944D8" w:rsidRPr="00EB16B4" w:rsidRDefault="001944D8" w:rsidP="001944D8">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 </w:t>
      </w:r>
      <w:r w:rsidR="000B7388" w:rsidRPr="00EB16B4">
        <w:rPr>
          <w:rFonts w:eastAsiaTheme="minorHAnsi"/>
          <w:b/>
          <w:bCs/>
          <w:color w:val="000000"/>
          <w:szCs w:val="22"/>
          <w:lang w:val="sk-SK"/>
        </w:rPr>
        <w:t xml:space="preserve">     </w:t>
      </w:r>
      <w:r w:rsidR="00EB16B4">
        <w:rPr>
          <w:rFonts w:eastAsiaTheme="minorHAnsi"/>
          <w:b/>
          <w:bCs/>
          <w:color w:val="000000"/>
          <w:szCs w:val="22"/>
          <w:lang w:val="sk-SK"/>
        </w:rPr>
        <w:tab/>
      </w:r>
      <w:r w:rsidRPr="00EB16B4">
        <w:rPr>
          <w:rFonts w:eastAsiaTheme="minorHAnsi"/>
          <w:b/>
          <w:bCs/>
          <w:color w:val="000000"/>
          <w:szCs w:val="22"/>
          <w:lang w:val="sk-SK"/>
        </w:rPr>
        <w:t xml:space="preserve">KLINICKÉ ÚDAJE </w:t>
      </w:r>
    </w:p>
    <w:p w14:paraId="17C8DC54"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p>
    <w:p w14:paraId="0FB9419C" w14:textId="77777777" w:rsidR="001944D8" w:rsidRPr="00EB16B4" w:rsidRDefault="001944D8" w:rsidP="001944D8">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4.1 </w:t>
      </w:r>
      <w:r w:rsidR="000B7388" w:rsidRPr="00EB16B4">
        <w:rPr>
          <w:rFonts w:eastAsiaTheme="minorHAnsi"/>
          <w:b/>
          <w:bCs/>
          <w:color w:val="000000"/>
          <w:szCs w:val="22"/>
          <w:lang w:val="sk-SK"/>
        </w:rPr>
        <w:t xml:space="preserve">   </w:t>
      </w:r>
      <w:r w:rsidR="00EB16B4">
        <w:rPr>
          <w:rFonts w:eastAsiaTheme="minorHAnsi"/>
          <w:b/>
          <w:bCs/>
          <w:color w:val="000000"/>
          <w:szCs w:val="22"/>
          <w:lang w:val="sk-SK"/>
        </w:rPr>
        <w:tab/>
      </w:r>
      <w:r w:rsidRPr="00EB16B4">
        <w:rPr>
          <w:rFonts w:eastAsiaTheme="minorHAnsi"/>
          <w:b/>
          <w:bCs/>
          <w:color w:val="000000"/>
          <w:szCs w:val="22"/>
          <w:lang w:val="sk-SK"/>
        </w:rPr>
        <w:t xml:space="preserve">Terapeutické indikácie </w:t>
      </w:r>
    </w:p>
    <w:p w14:paraId="5116AEE6"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p>
    <w:p w14:paraId="6E40945B"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Zníženie zvýšeného vnútroočného tlaku (VOT) u dospelých pacientov s glaukómom s otvoreným uhlom alebo vnútroočnou hypertenziou, ktorí nedostatočne reagujú na liečbu lokálnymi betablokátormi alebo analógmi prostaglandínu. </w:t>
      </w:r>
    </w:p>
    <w:p w14:paraId="3E8848FE"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p>
    <w:p w14:paraId="0D64FB56" w14:textId="77777777" w:rsidR="001944D8" w:rsidRPr="00EB16B4" w:rsidRDefault="001944D8" w:rsidP="001944D8">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4.2 </w:t>
      </w:r>
      <w:r w:rsidR="000B7388" w:rsidRPr="00EB16B4">
        <w:rPr>
          <w:rFonts w:eastAsiaTheme="minorHAnsi"/>
          <w:b/>
          <w:bCs/>
          <w:color w:val="000000"/>
          <w:szCs w:val="22"/>
          <w:lang w:val="sk-SK"/>
        </w:rPr>
        <w:t xml:space="preserve">    </w:t>
      </w:r>
      <w:r w:rsidR="00EB16B4">
        <w:rPr>
          <w:rFonts w:eastAsiaTheme="minorHAnsi"/>
          <w:b/>
          <w:bCs/>
          <w:color w:val="000000"/>
          <w:szCs w:val="22"/>
          <w:lang w:val="sk-SK"/>
        </w:rPr>
        <w:tab/>
      </w:r>
      <w:r w:rsidRPr="00EB16B4">
        <w:rPr>
          <w:rFonts w:eastAsiaTheme="minorHAnsi"/>
          <w:b/>
          <w:bCs/>
          <w:color w:val="000000"/>
          <w:szCs w:val="22"/>
          <w:lang w:val="sk-SK"/>
        </w:rPr>
        <w:t xml:space="preserve">Dávkovanie a spôsob podávania </w:t>
      </w:r>
    </w:p>
    <w:p w14:paraId="760ADB85"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p>
    <w:p w14:paraId="19946FE2" w14:textId="77777777" w:rsidR="001944D8" w:rsidRPr="004B5DE0" w:rsidRDefault="001944D8" w:rsidP="001944D8">
      <w:pPr>
        <w:tabs>
          <w:tab w:val="clear" w:pos="567"/>
        </w:tabs>
        <w:autoSpaceDE w:val="0"/>
        <w:autoSpaceDN w:val="0"/>
        <w:adjustRightInd w:val="0"/>
        <w:spacing w:line="240" w:lineRule="auto"/>
        <w:rPr>
          <w:rFonts w:eastAsiaTheme="minorHAnsi"/>
          <w:color w:val="000000"/>
          <w:szCs w:val="22"/>
          <w:u w:val="single"/>
          <w:lang w:val="sk-SK"/>
        </w:rPr>
      </w:pPr>
      <w:r w:rsidRPr="004B5DE0">
        <w:rPr>
          <w:rFonts w:eastAsiaTheme="minorHAnsi"/>
          <w:color w:val="000000"/>
          <w:szCs w:val="22"/>
          <w:u w:val="single"/>
          <w:lang w:val="sk-SK"/>
        </w:rPr>
        <w:t xml:space="preserve">Dávkovanie </w:t>
      </w:r>
    </w:p>
    <w:p w14:paraId="6E950099" w14:textId="77777777" w:rsidR="001944D8" w:rsidRPr="00EB16B4" w:rsidRDefault="001944D8" w:rsidP="001944D8">
      <w:pPr>
        <w:tabs>
          <w:tab w:val="clear" w:pos="567"/>
        </w:tabs>
        <w:autoSpaceDE w:val="0"/>
        <w:autoSpaceDN w:val="0"/>
        <w:adjustRightInd w:val="0"/>
        <w:spacing w:line="240" w:lineRule="auto"/>
        <w:rPr>
          <w:rFonts w:eastAsiaTheme="minorHAnsi"/>
          <w:color w:val="000000"/>
          <w:szCs w:val="22"/>
          <w:lang w:val="sk-SK"/>
        </w:rPr>
      </w:pPr>
    </w:p>
    <w:p w14:paraId="6544E311" w14:textId="77777777" w:rsidR="001944D8" w:rsidRPr="00EB16B4" w:rsidRDefault="001944D8" w:rsidP="001944D8">
      <w:pPr>
        <w:tabs>
          <w:tab w:val="clear" w:pos="567"/>
        </w:tabs>
        <w:autoSpaceDE w:val="0"/>
        <w:autoSpaceDN w:val="0"/>
        <w:adjustRightInd w:val="0"/>
        <w:spacing w:line="240" w:lineRule="auto"/>
        <w:rPr>
          <w:rFonts w:eastAsiaTheme="minorHAnsi"/>
          <w:i/>
          <w:iCs/>
          <w:color w:val="000000"/>
          <w:szCs w:val="22"/>
          <w:lang w:val="sk-SK"/>
        </w:rPr>
      </w:pPr>
      <w:r w:rsidRPr="00EB16B4">
        <w:rPr>
          <w:rFonts w:eastAsiaTheme="minorHAnsi"/>
          <w:i/>
          <w:iCs/>
          <w:color w:val="000000"/>
          <w:szCs w:val="22"/>
          <w:lang w:val="sk-SK"/>
        </w:rPr>
        <w:t>Odporúčaná dávka pre dospelých (vrátane starších osôb)</w:t>
      </w:r>
    </w:p>
    <w:p w14:paraId="1EC7FC30" w14:textId="77777777" w:rsidR="00D730CE" w:rsidRPr="00EB16B4" w:rsidRDefault="0089729E" w:rsidP="001944D8">
      <w:pPr>
        <w:tabs>
          <w:tab w:val="clear" w:pos="567"/>
        </w:tabs>
        <w:autoSpaceDE w:val="0"/>
        <w:autoSpaceDN w:val="0"/>
        <w:adjustRightInd w:val="0"/>
        <w:spacing w:line="240" w:lineRule="auto"/>
        <w:rPr>
          <w:rFonts w:eastAsiaTheme="minorHAnsi"/>
          <w:szCs w:val="22"/>
          <w:lang w:val="sk-SK" w:eastAsia="el-GR"/>
        </w:rPr>
      </w:pPr>
      <w:r w:rsidRPr="00EB16B4">
        <w:rPr>
          <w:szCs w:val="22"/>
          <w:lang w:val="sk-SK"/>
        </w:rPr>
        <w:t xml:space="preserve">Odporúčaná dávka je jedna kvapka </w:t>
      </w:r>
      <w:r w:rsidR="004B5DE0">
        <w:rPr>
          <w:szCs w:val="22"/>
          <w:lang w:val="sk-SK"/>
        </w:rPr>
        <w:t xml:space="preserve">lieku </w:t>
      </w:r>
      <w:r w:rsidR="004B5DE0" w:rsidRPr="00EB16B4">
        <w:rPr>
          <w:rFonts w:eastAsiaTheme="minorHAnsi"/>
          <w:color w:val="000000"/>
          <w:szCs w:val="22"/>
          <w:lang w:val="sk-SK"/>
        </w:rPr>
        <w:t>Bimatoprost/Timolol</w:t>
      </w:r>
      <w:r w:rsidR="004B5DE0">
        <w:rPr>
          <w:rFonts w:eastAsiaTheme="minorHAnsi"/>
          <w:color w:val="000000"/>
          <w:szCs w:val="22"/>
          <w:lang w:val="sk-SK"/>
        </w:rPr>
        <w:t xml:space="preserve"> </w:t>
      </w:r>
      <w:r w:rsidR="004B5DE0" w:rsidRPr="00EB16B4">
        <w:rPr>
          <w:rFonts w:eastAsiaTheme="minorHAnsi"/>
          <w:color w:val="000000"/>
          <w:szCs w:val="22"/>
          <w:lang w:val="sk-SK"/>
        </w:rPr>
        <w:t xml:space="preserve">PharmaSwiss </w:t>
      </w:r>
      <w:r w:rsidRPr="00EB16B4">
        <w:rPr>
          <w:szCs w:val="22"/>
          <w:lang w:val="sk-SK"/>
        </w:rPr>
        <w:t>do postihnutého oka (očí) jedenkrát denne buď ráno alebo večer. Dávka sa má podávať každý deň v rovnakom čase.</w:t>
      </w:r>
    </w:p>
    <w:p w14:paraId="79227E52" w14:textId="77777777" w:rsidR="00D730CE" w:rsidRPr="00EB16B4" w:rsidRDefault="00D730CE" w:rsidP="00D730CE">
      <w:pPr>
        <w:tabs>
          <w:tab w:val="clear" w:pos="567"/>
        </w:tabs>
        <w:autoSpaceDE w:val="0"/>
        <w:autoSpaceDN w:val="0"/>
        <w:adjustRightInd w:val="0"/>
        <w:spacing w:line="240" w:lineRule="auto"/>
        <w:rPr>
          <w:rFonts w:eastAsiaTheme="minorHAnsi"/>
          <w:szCs w:val="22"/>
          <w:lang w:val="sk-SK" w:eastAsia="el-GR"/>
        </w:rPr>
      </w:pPr>
    </w:p>
    <w:p w14:paraId="3B551B88" w14:textId="7A16040C" w:rsidR="00D730CE" w:rsidRPr="00EB16B4" w:rsidRDefault="00D91006" w:rsidP="00D730CE">
      <w:pPr>
        <w:tabs>
          <w:tab w:val="clear" w:pos="567"/>
        </w:tabs>
        <w:autoSpaceDE w:val="0"/>
        <w:autoSpaceDN w:val="0"/>
        <w:adjustRightInd w:val="0"/>
        <w:spacing w:line="240" w:lineRule="auto"/>
        <w:rPr>
          <w:szCs w:val="22"/>
          <w:lang w:val="sk-SK"/>
        </w:rPr>
      </w:pPr>
      <w:r w:rsidRPr="00EB16B4">
        <w:rPr>
          <w:szCs w:val="22"/>
          <w:lang w:val="sk-SK"/>
        </w:rPr>
        <w:t xml:space="preserve">Z údajov o lieku </w:t>
      </w:r>
      <w:r w:rsidR="00B75AAB">
        <w:rPr>
          <w:rFonts w:eastAsiaTheme="minorHAnsi"/>
          <w:color w:val="000000"/>
          <w:szCs w:val="22"/>
          <w:lang w:val="sk-SK"/>
        </w:rPr>
        <w:t>bimatoprost/timolol 0,3 mg/ml + 5 mg/ml očná roztoková instilácia s obsahom konzervačných látok</w:t>
      </w:r>
      <w:r w:rsidR="004B5DE0" w:rsidRPr="00EB16B4">
        <w:rPr>
          <w:rFonts w:eastAsiaTheme="minorHAnsi"/>
          <w:color w:val="000000"/>
          <w:szCs w:val="22"/>
          <w:lang w:val="sk-SK"/>
        </w:rPr>
        <w:t xml:space="preserve"> </w:t>
      </w:r>
      <w:r w:rsidRPr="00EB16B4">
        <w:rPr>
          <w:szCs w:val="22"/>
          <w:lang w:val="sk-SK"/>
        </w:rPr>
        <w:t>v existujúcej literatúre vyplýva, že večerná dávka dokáže účinnejšie znižovať VOT ako raňajšia dávka. Pri voľbe raňajšieho alebo večerného dávkovania však treba zohľadniť pravdepodobnosť dodržiavania liečby (pozri časť 5.1).</w:t>
      </w:r>
    </w:p>
    <w:p w14:paraId="4B0E011B" w14:textId="77777777" w:rsidR="00D91006" w:rsidRPr="00EB16B4" w:rsidRDefault="00D91006" w:rsidP="00D730CE">
      <w:pPr>
        <w:tabs>
          <w:tab w:val="clear" w:pos="567"/>
        </w:tabs>
        <w:autoSpaceDE w:val="0"/>
        <w:autoSpaceDN w:val="0"/>
        <w:adjustRightInd w:val="0"/>
        <w:spacing w:line="240" w:lineRule="auto"/>
        <w:rPr>
          <w:rFonts w:eastAsiaTheme="minorHAnsi"/>
          <w:szCs w:val="22"/>
          <w:lang w:val="sk-SK" w:eastAsia="el-GR"/>
        </w:rPr>
      </w:pPr>
    </w:p>
    <w:p w14:paraId="734D3455" w14:textId="77777777" w:rsidR="00E14BBA" w:rsidRPr="00EB16B4" w:rsidRDefault="00127312" w:rsidP="00D730CE">
      <w:pPr>
        <w:tabs>
          <w:tab w:val="clear" w:pos="567"/>
        </w:tabs>
        <w:autoSpaceDE w:val="0"/>
        <w:autoSpaceDN w:val="0"/>
        <w:adjustRightInd w:val="0"/>
        <w:spacing w:line="240" w:lineRule="auto"/>
        <w:rPr>
          <w:szCs w:val="22"/>
          <w:lang w:val="sk-SK"/>
        </w:rPr>
      </w:pPr>
      <w:r w:rsidRPr="00EB16B4">
        <w:rPr>
          <w:szCs w:val="22"/>
          <w:lang w:val="sk-SK"/>
        </w:rPr>
        <w:t xml:space="preserve">Ak sa vynechá jedna dávka, liečba musí pokračovať ďalšou plánovanou dávkou. Dávkovanie jedenkrát denne do postihnutého oka (očí) sa nemá prekročiť. </w:t>
      </w:r>
    </w:p>
    <w:p w14:paraId="73DDA4AD" w14:textId="77777777" w:rsidR="00E14BBA" w:rsidRPr="00EB16B4" w:rsidRDefault="00E14BBA" w:rsidP="00D730CE">
      <w:pPr>
        <w:tabs>
          <w:tab w:val="clear" w:pos="567"/>
        </w:tabs>
        <w:autoSpaceDE w:val="0"/>
        <w:autoSpaceDN w:val="0"/>
        <w:adjustRightInd w:val="0"/>
        <w:spacing w:line="240" w:lineRule="auto"/>
        <w:rPr>
          <w:szCs w:val="22"/>
          <w:lang w:val="sk-SK"/>
        </w:rPr>
      </w:pPr>
    </w:p>
    <w:p w14:paraId="19036E2C" w14:textId="39A63FE3" w:rsidR="00E14BBA" w:rsidRPr="00EB16B4" w:rsidRDefault="00CD1E6E" w:rsidP="00D730CE">
      <w:pPr>
        <w:tabs>
          <w:tab w:val="clear" w:pos="567"/>
        </w:tabs>
        <w:autoSpaceDE w:val="0"/>
        <w:autoSpaceDN w:val="0"/>
        <w:adjustRightInd w:val="0"/>
        <w:spacing w:line="240" w:lineRule="auto"/>
        <w:rPr>
          <w:i/>
          <w:iCs/>
          <w:szCs w:val="22"/>
          <w:lang w:val="sk-SK"/>
        </w:rPr>
      </w:pPr>
      <w:r>
        <w:rPr>
          <w:i/>
          <w:iCs/>
          <w:szCs w:val="22"/>
          <w:lang w:val="sk-SK"/>
        </w:rPr>
        <w:t>Porucha</w:t>
      </w:r>
      <w:r w:rsidRPr="00EB16B4">
        <w:rPr>
          <w:i/>
          <w:iCs/>
          <w:szCs w:val="22"/>
          <w:lang w:val="sk-SK"/>
        </w:rPr>
        <w:t xml:space="preserve"> </w:t>
      </w:r>
      <w:r w:rsidR="00E14BBA" w:rsidRPr="00EB16B4">
        <w:rPr>
          <w:i/>
          <w:iCs/>
          <w:szCs w:val="22"/>
          <w:lang w:val="sk-SK"/>
        </w:rPr>
        <w:t xml:space="preserve">funkcie obličiek alebo pečene </w:t>
      </w:r>
    </w:p>
    <w:p w14:paraId="33A64210" w14:textId="473BAEC5" w:rsidR="00D730CE" w:rsidRPr="00EB16B4" w:rsidRDefault="00B75AAB" w:rsidP="00D730CE">
      <w:pPr>
        <w:tabs>
          <w:tab w:val="clear" w:pos="567"/>
        </w:tabs>
        <w:autoSpaceDE w:val="0"/>
        <w:autoSpaceDN w:val="0"/>
        <w:adjustRightInd w:val="0"/>
        <w:spacing w:line="240" w:lineRule="auto"/>
        <w:rPr>
          <w:szCs w:val="22"/>
          <w:lang w:val="sk-SK"/>
        </w:rPr>
      </w:pPr>
      <w:r>
        <w:rPr>
          <w:rFonts w:eastAsiaTheme="minorHAnsi"/>
          <w:color w:val="000000"/>
          <w:szCs w:val="22"/>
          <w:lang w:val="sk-SK"/>
        </w:rPr>
        <w:lastRenderedPageBreak/>
        <w:t>b</w:t>
      </w:r>
      <w:r w:rsidR="004B5DE0" w:rsidRPr="00EB16B4">
        <w:rPr>
          <w:rFonts w:eastAsiaTheme="minorHAnsi"/>
          <w:color w:val="000000"/>
          <w:szCs w:val="22"/>
          <w:lang w:val="sk-SK"/>
        </w:rPr>
        <w:t>imatoprost/</w:t>
      </w:r>
      <w:r>
        <w:rPr>
          <w:rFonts w:eastAsiaTheme="minorHAnsi"/>
          <w:color w:val="000000"/>
          <w:szCs w:val="22"/>
          <w:lang w:val="sk-SK"/>
        </w:rPr>
        <w:t>t</w:t>
      </w:r>
      <w:r w:rsidR="004B5DE0" w:rsidRPr="00EB16B4">
        <w:rPr>
          <w:rFonts w:eastAsiaTheme="minorHAnsi"/>
          <w:color w:val="000000"/>
          <w:szCs w:val="22"/>
          <w:lang w:val="sk-SK"/>
        </w:rPr>
        <w:t>imolol</w:t>
      </w:r>
      <w:r w:rsidR="004B5DE0">
        <w:rPr>
          <w:rFonts w:eastAsiaTheme="minorHAnsi"/>
          <w:color w:val="000000"/>
          <w:szCs w:val="22"/>
          <w:lang w:val="sk-SK"/>
        </w:rPr>
        <w:t xml:space="preserve"> </w:t>
      </w:r>
      <w:r w:rsidR="004B5DE0" w:rsidRPr="00EB16B4">
        <w:rPr>
          <w:rFonts w:eastAsiaTheme="minorHAnsi"/>
          <w:color w:val="000000"/>
          <w:szCs w:val="22"/>
          <w:lang w:val="sk-SK"/>
        </w:rPr>
        <w:t xml:space="preserve"> </w:t>
      </w:r>
      <w:r>
        <w:rPr>
          <w:rFonts w:eastAsiaTheme="minorHAnsi"/>
          <w:color w:val="000000"/>
          <w:szCs w:val="22"/>
          <w:lang w:val="sk-SK"/>
        </w:rPr>
        <w:t xml:space="preserve">0,3 mg/ml + 5 mg/ml očná roztoková instilácia </w:t>
      </w:r>
      <w:r w:rsidR="00DE2A4E" w:rsidRPr="00EB16B4">
        <w:rPr>
          <w:rStyle w:val="shorttext"/>
          <w:lang w:val="sk-SK"/>
        </w:rPr>
        <w:t>b</w:t>
      </w:r>
      <w:r w:rsidR="00587034" w:rsidRPr="00EB16B4">
        <w:rPr>
          <w:rStyle w:val="shorttext"/>
          <w:lang w:val="sk-SK"/>
        </w:rPr>
        <w:t xml:space="preserve">ez konzervačných </w:t>
      </w:r>
      <w:r w:rsidR="004B5DE0">
        <w:rPr>
          <w:rStyle w:val="shorttext"/>
          <w:lang w:val="sk-SK"/>
        </w:rPr>
        <w:t>látok</w:t>
      </w:r>
      <w:r w:rsidR="00D730CE" w:rsidRPr="00EB16B4">
        <w:rPr>
          <w:rFonts w:eastAsiaTheme="minorHAnsi"/>
          <w:szCs w:val="22"/>
          <w:lang w:val="sk-SK"/>
        </w:rPr>
        <w:t xml:space="preserve"> </w:t>
      </w:r>
      <w:r w:rsidR="00DE2A4E" w:rsidRPr="00EB16B4">
        <w:rPr>
          <w:szCs w:val="22"/>
          <w:lang w:val="sk-SK"/>
        </w:rPr>
        <w:t>sa neskúšal u pacientov s</w:t>
      </w:r>
      <w:r w:rsidR="00CD1E6E">
        <w:rPr>
          <w:szCs w:val="22"/>
          <w:lang w:val="sk-SK"/>
        </w:rPr>
        <w:t xml:space="preserve"> poruchou </w:t>
      </w:r>
      <w:r w:rsidR="00DE2A4E" w:rsidRPr="00EB16B4">
        <w:rPr>
          <w:szCs w:val="22"/>
          <w:lang w:val="sk-SK"/>
        </w:rPr>
        <w:t>funkcie pečene alebo obličiek. Preto sa má u týchto pacientov používať so zvýšenou opatrnosťou.</w:t>
      </w:r>
    </w:p>
    <w:p w14:paraId="0C411C82" w14:textId="77777777" w:rsidR="009C2F73" w:rsidRPr="00EB16B4" w:rsidRDefault="009C2F73" w:rsidP="00D730CE">
      <w:pPr>
        <w:tabs>
          <w:tab w:val="clear" w:pos="567"/>
        </w:tabs>
        <w:autoSpaceDE w:val="0"/>
        <w:autoSpaceDN w:val="0"/>
        <w:adjustRightInd w:val="0"/>
        <w:spacing w:line="240" w:lineRule="auto"/>
        <w:rPr>
          <w:rFonts w:eastAsiaTheme="minorHAnsi"/>
          <w:i/>
          <w:iCs/>
          <w:szCs w:val="22"/>
          <w:lang w:val="sk-SK" w:eastAsia="el-GR"/>
        </w:rPr>
      </w:pPr>
    </w:p>
    <w:p w14:paraId="38EF5FA6" w14:textId="77777777" w:rsidR="009C2F73" w:rsidRPr="00EB16B4" w:rsidRDefault="009C2F73" w:rsidP="009C2F73">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Pediatrická populácia </w:t>
      </w:r>
    </w:p>
    <w:p w14:paraId="52353487" w14:textId="03373937" w:rsidR="009C2F73" w:rsidRPr="00EB16B4" w:rsidRDefault="009C2F73" w:rsidP="009C2F73">
      <w:pPr>
        <w:tabs>
          <w:tab w:val="clear" w:pos="567"/>
        </w:tabs>
        <w:spacing w:line="240" w:lineRule="auto"/>
        <w:rPr>
          <w:rFonts w:eastAsiaTheme="minorHAnsi"/>
          <w:color w:val="000000"/>
          <w:szCs w:val="22"/>
          <w:lang w:val="sk-SK"/>
        </w:rPr>
      </w:pPr>
      <w:r w:rsidRPr="00EB16B4">
        <w:rPr>
          <w:rFonts w:eastAsiaTheme="minorHAnsi"/>
          <w:color w:val="000000"/>
          <w:szCs w:val="22"/>
          <w:lang w:val="sk-SK"/>
        </w:rPr>
        <w:t xml:space="preserve">Bezpečnosť a účinnosť </w:t>
      </w:r>
      <w:r w:rsidR="00A47AAB">
        <w:rPr>
          <w:rFonts w:eastAsiaTheme="minorHAnsi"/>
          <w:color w:val="000000"/>
          <w:szCs w:val="22"/>
          <w:lang w:val="sk-SK"/>
        </w:rPr>
        <w:t>očnej roztokovej instilácie b</w:t>
      </w:r>
      <w:r w:rsidR="00A47AAB" w:rsidRPr="00EB16B4">
        <w:rPr>
          <w:rFonts w:eastAsiaTheme="minorHAnsi"/>
          <w:color w:val="000000"/>
          <w:szCs w:val="22"/>
          <w:lang w:val="sk-SK"/>
        </w:rPr>
        <w:t>imatoprost/</w:t>
      </w:r>
      <w:r w:rsidR="00A47AAB">
        <w:rPr>
          <w:rFonts w:eastAsiaTheme="minorHAnsi"/>
          <w:color w:val="000000"/>
          <w:szCs w:val="22"/>
          <w:lang w:val="sk-SK"/>
        </w:rPr>
        <w:t>t</w:t>
      </w:r>
      <w:r w:rsidR="00A47AAB" w:rsidRPr="00EB16B4">
        <w:rPr>
          <w:rFonts w:eastAsiaTheme="minorHAnsi"/>
          <w:color w:val="000000"/>
          <w:szCs w:val="22"/>
          <w:lang w:val="sk-SK"/>
        </w:rPr>
        <w:t>imolol</w:t>
      </w:r>
      <w:r w:rsidR="00A47AAB">
        <w:rPr>
          <w:rFonts w:eastAsiaTheme="minorHAnsi"/>
          <w:color w:val="000000"/>
          <w:szCs w:val="22"/>
          <w:lang w:val="sk-SK"/>
        </w:rPr>
        <w:t xml:space="preserve"> </w:t>
      </w:r>
      <w:r w:rsidR="00A47AAB" w:rsidRPr="00EB16B4">
        <w:rPr>
          <w:rFonts w:eastAsiaTheme="minorHAnsi"/>
          <w:color w:val="000000"/>
          <w:szCs w:val="22"/>
          <w:lang w:val="sk-SK"/>
        </w:rPr>
        <w:t xml:space="preserve"> </w:t>
      </w:r>
      <w:r w:rsidR="00A47AAB">
        <w:rPr>
          <w:rFonts w:eastAsiaTheme="minorHAnsi"/>
          <w:color w:val="000000"/>
          <w:szCs w:val="22"/>
          <w:lang w:val="sk-SK"/>
        </w:rPr>
        <w:t xml:space="preserve">0,3 mg/ml + 5 mg/ml </w:t>
      </w:r>
      <w:r w:rsidR="00A47AAB" w:rsidRPr="00EB16B4">
        <w:rPr>
          <w:rStyle w:val="shorttext"/>
          <w:lang w:val="sk-SK"/>
        </w:rPr>
        <w:t>bez konzervačných</w:t>
      </w:r>
      <w:r w:rsidR="00A47AAB">
        <w:rPr>
          <w:rStyle w:val="shorttext"/>
          <w:lang w:val="sk-SK"/>
        </w:rPr>
        <w:t xml:space="preserve"> látok</w:t>
      </w:r>
      <w:r w:rsidR="00A47AAB" w:rsidDel="00A47AAB">
        <w:rPr>
          <w:rFonts w:eastAsiaTheme="minorHAnsi"/>
          <w:color w:val="000000"/>
          <w:szCs w:val="22"/>
          <w:lang w:val="sk-SK"/>
        </w:rPr>
        <w:t xml:space="preserve"> </w:t>
      </w:r>
      <w:r w:rsidRPr="00EB16B4">
        <w:rPr>
          <w:rFonts w:eastAsiaTheme="minorHAnsi"/>
          <w:color w:val="000000"/>
          <w:szCs w:val="22"/>
          <w:lang w:val="sk-SK"/>
        </w:rPr>
        <w:t xml:space="preserve">u detí </w:t>
      </w:r>
      <w:r w:rsidR="00667ED8">
        <w:rPr>
          <w:rFonts w:eastAsiaTheme="minorHAnsi"/>
          <w:color w:val="000000"/>
          <w:szCs w:val="22"/>
          <w:lang w:val="sk-SK"/>
        </w:rPr>
        <w:t>mladších ako 1</w:t>
      </w:r>
      <w:r w:rsidRPr="00EB16B4">
        <w:rPr>
          <w:rFonts w:eastAsiaTheme="minorHAnsi"/>
          <w:color w:val="000000"/>
          <w:szCs w:val="22"/>
          <w:lang w:val="sk-SK"/>
        </w:rPr>
        <w:t>8 rokov nebol</w:t>
      </w:r>
      <w:r w:rsidR="00667ED8">
        <w:rPr>
          <w:rFonts w:eastAsiaTheme="minorHAnsi"/>
          <w:color w:val="000000"/>
          <w:szCs w:val="22"/>
          <w:lang w:val="sk-SK"/>
        </w:rPr>
        <w:t>a</w:t>
      </w:r>
      <w:r w:rsidRPr="00EB16B4">
        <w:rPr>
          <w:rFonts w:eastAsiaTheme="minorHAnsi"/>
          <w:color w:val="000000"/>
          <w:szCs w:val="22"/>
          <w:lang w:val="sk-SK"/>
        </w:rPr>
        <w:t xml:space="preserve"> stanoven</w:t>
      </w:r>
      <w:r w:rsidR="00667ED8">
        <w:rPr>
          <w:rFonts w:eastAsiaTheme="minorHAnsi"/>
          <w:color w:val="000000"/>
          <w:szCs w:val="22"/>
          <w:lang w:val="sk-SK"/>
        </w:rPr>
        <w:t>á</w:t>
      </w:r>
      <w:r w:rsidRPr="00EB16B4">
        <w:rPr>
          <w:rFonts w:eastAsiaTheme="minorHAnsi"/>
          <w:color w:val="000000"/>
          <w:szCs w:val="22"/>
          <w:lang w:val="sk-SK"/>
        </w:rPr>
        <w:t xml:space="preserve">. K dispozícii nie sú žiadne údaje. </w:t>
      </w:r>
    </w:p>
    <w:p w14:paraId="5E2CF4FC" w14:textId="77777777" w:rsidR="0023200F" w:rsidRDefault="0023200F" w:rsidP="0094405D">
      <w:pPr>
        <w:tabs>
          <w:tab w:val="clear" w:pos="567"/>
        </w:tabs>
        <w:autoSpaceDE w:val="0"/>
        <w:autoSpaceDN w:val="0"/>
        <w:adjustRightInd w:val="0"/>
        <w:spacing w:line="240" w:lineRule="auto"/>
        <w:rPr>
          <w:rFonts w:eastAsiaTheme="minorHAnsi"/>
          <w:color w:val="000000"/>
          <w:szCs w:val="22"/>
          <w:u w:val="single"/>
          <w:lang w:val="sk-SK"/>
        </w:rPr>
      </w:pPr>
    </w:p>
    <w:p w14:paraId="7DBF4E7F" w14:textId="77777777" w:rsidR="0094405D" w:rsidRDefault="0094405D" w:rsidP="0094405D">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Spôsob podávania </w:t>
      </w:r>
    </w:p>
    <w:p w14:paraId="2F334E02" w14:textId="77777777" w:rsidR="0023200F" w:rsidRPr="00EB16B4" w:rsidRDefault="0023200F" w:rsidP="0094405D">
      <w:pPr>
        <w:tabs>
          <w:tab w:val="clear" w:pos="567"/>
        </w:tabs>
        <w:autoSpaceDE w:val="0"/>
        <w:autoSpaceDN w:val="0"/>
        <w:adjustRightInd w:val="0"/>
        <w:spacing w:line="240" w:lineRule="auto"/>
        <w:rPr>
          <w:rFonts w:eastAsiaTheme="minorHAnsi"/>
          <w:color w:val="000000"/>
          <w:szCs w:val="22"/>
          <w:u w:val="single"/>
          <w:lang w:val="sk-SK"/>
        </w:rPr>
      </w:pPr>
    </w:p>
    <w:p w14:paraId="5E445D8B" w14:textId="77777777" w:rsidR="0094405D" w:rsidRDefault="0094405D" w:rsidP="0094405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Ak sa používa viac ako jeden lokálny očný liek, každý z nich sa musí podať s časovým odstupom najmenej 5 minút. </w:t>
      </w:r>
    </w:p>
    <w:p w14:paraId="7FC58DE3" w14:textId="77777777" w:rsidR="0023200F" w:rsidRPr="00EB16B4" w:rsidRDefault="0023200F" w:rsidP="0094405D">
      <w:pPr>
        <w:tabs>
          <w:tab w:val="clear" w:pos="567"/>
        </w:tabs>
        <w:autoSpaceDE w:val="0"/>
        <w:autoSpaceDN w:val="0"/>
        <w:adjustRightInd w:val="0"/>
        <w:spacing w:line="240" w:lineRule="auto"/>
        <w:rPr>
          <w:rFonts w:eastAsiaTheme="minorHAnsi"/>
          <w:color w:val="000000"/>
          <w:szCs w:val="22"/>
          <w:lang w:val="sk-SK"/>
        </w:rPr>
      </w:pPr>
    </w:p>
    <w:p w14:paraId="58E128FC" w14:textId="77777777" w:rsidR="00D730CE" w:rsidRPr="00EB16B4" w:rsidRDefault="0094405D" w:rsidP="0094405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Systémová absorpcia klesá, ak sa používa nazolakrimálna oklúzia alebo pri zatvorení očných viečok na 2 minúty. Môže to spôsobiť pokles systémových vedľajších účinkov a nárast lokálnej aktivity.</w:t>
      </w:r>
    </w:p>
    <w:p w14:paraId="50EE3E90" w14:textId="77777777" w:rsidR="003507D9" w:rsidRPr="00EB16B4" w:rsidRDefault="003507D9" w:rsidP="0094405D">
      <w:pPr>
        <w:tabs>
          <w:tab w:val="clear" w:pos="567"/>
        </w:tabs>
        <w:autoSpaceDE w:val="0"/>
        <w:autoSpaceDN w:val="0"/>
        <w:adjustRightInd w:val="0"/>
        <w:spacing w:line="240" w:lineRule="auto"/>
        <w:rPr>
          <w:rFonts w:eastAsiaTheme="minorHAnsi"/>
          <w:bCs/>
          <w:noProof/>
          <w:szCs w:val="22"/>
          <w:lang w:val="sk-SK"/>
        </w:rPr>
      </w:pPr>
    </w:p>
    <w:p w14:paraId="5EE2ED2E" w14:textId="77777777" w:rsidR="004E441C" w:rsidRPr="00EB16B4" w:rsidRDefault="00667ED8" w:rsidP="00A6214D">
      <w:pPr>
        <w:tabs>
          <w:tab w:val="clear" w:pos="567"/>
        </w:tabs>
        <w:autoSpaceDE w:val="0"/>
        <w:autoSpaceDN w:val="0"/>
        <w:adjustRightInd w:val="0"/>
        <w:spacing w:line="240" w:lineRule="auto"/>
        <w:rPr>
          <w:rFonts w:eastAsiaTheme="minorHAnsi"/>
          <w:bCs/>
          <w:noProof/>
          <w:szCs w:val="22"/>
          <w:lang w:val="sk-SK"/>
        </w:rPr>
      </w:pPr>
      <w:r w:rsidRPr="00EB16B4">
        <w:rPr>
          <w:rFonts w:eastAsiaTheme="minorHAnsi"/>
          <w:color w:val="000000"/>
          <w:szCs w:val="22"/>
          <w:lang w:val="sk-SK"/>
        </w:rPr>
        <w:t>Bimatoprost/Timolol</w:t>
      </w:r>
      <w:r>
        <w:rPr>
          <w:rFonts w:eastAsiaTheme="minorHAnsi"/>
          <w:color w:val="000000"/>
          <w:szCs w:val="22"/>
          <w:lang w:val="sk-SK"/>
        </w:rPr>
        <w:t xml:space="preserve"> </w:t>
      </w:r>
      <w:r w:rsidRPr="00EB16B4">
        <w:rPr>
          <w:rFonts w:eastAsiaTheme="minorHAnsi"/>
          <w:color w:val="000000"/>
          <w:szCs w:val="22"/>
          <w:lang w:val="sk-SK"/>
        </w:rPr>
        <w:t xml:space="preserve">PharmaSwiss </w:t>
      </w:r>
      <w:r w:rsidR="004E441C" w:rsidRPr="00EB16B4">
        <w:rPr>
          <w:rFonts w:eastAsiaTheme="minorHAnsi"/>
          <w:color w:val="000000"/>
          <w:szCs w:val="22"/>
          <w:lang w:val="sk-SK"/>
        </w:rPr>
        <w:t xml:space="preserve">očná roztoková instilácia </w:t>
      </w:r>
      <w:r w:rsidR="004E441C" w:rsidRPr="00EB16B4">
        <w:rPr>
          <w:rFonts w:eastAsiaTheme="minorHAnsi"/>
          <w:bCs/>
          <w:noProof/>
          <w:szCs w:val="22"/>
          <w:lang w:val="sk-SK"/>
        </w:rPr>
        <w:t xml:space="preserve"> je sterilný roztok, ktorý neobsahuje konzervačné </w:t>
      </w:r>
      <w:r w:rsidR="00CA7056">
        <w:rPr>
          <w:rFonts w:eastAsiaTheme="minorHAnsi"/>
          <w:bCs/>
          <w:noProof/>
          <w:szCs w:val="22"/>
          <w:lang w:val="sk-SK"/>
        </w:rPr>
        <w:t>látky.</w:t>
      </w:r>
    </w:p>
    <w:p w14:paraId="42B1F9DE" w14:textId="789AADF2" w:rsidR="004E441C" w:rsidRDefault="004E441C" w:rsidP="004E441C">
      <w:pPr>
        <w:rPr>
          <w:rFonts w:eastAsiaTheme="minorHAnsi"/>
          <w:bCs/>
          <w:noProof/>
          <w:szCs w:val="22"/>
          <w:lang w:val="sk-SK"/>
        </w:rPr>
      </w:pPr>
      <w:r w:rsidRPr="00EB16B4">
        <w:rPr>
          <w:rFonts w:eastAsiaTheme="minorHAnsi"/>
          <w:bCs/>
          <w:noProof/>
          <w:szCs w:val="22"/>
          <w:lang w:val="sk-SK"/>
        </w:rPr>
        <w:t xml:space="preserve">Pacienti </w:t>
      </w:r>
      <w:r w:rsidR="00CD1E6E">
        <w:rPr>
          <w:rFonts w:eastAsiaTheme="minorHAnsi"/>
          <w:bCs/>
          <w:noProof/>
          <w:szCs w:val="22"/>
          <w:lang w:val="sk-SK"/>
        </w:rPr>
        <w:t>majú</w:t>
      </w:r>
      <w:r w:rsidRPr="00EB16B4">
        <w:rPr>
          <w:rFonts w:eastAsiaTheme="minorHAnsi"/>
          <w:bCs/>
          <w:noProof/>
          <w:szCs w:val="22"/>
          <w:lang w:val="sk-SK"/>
        </w:rPr>
        <w:t xml:space="preserve"> byť poučení, aby si pred použitím umyli ruky a zabránili tomu, aby </w:t>
      </w:r>
      <w:r w:rsidR="00CA7056">
        <w:rPr>
          <w:lang w:val="sk-SK"/>
        </w:rPr>
        <w:t>sa hrot viacdávkového obalu dotkol oka alebo oblasti okolo oka</w:t>
      </w:r>
      <w:r w:rsidRPr="00EB16B4">
        <w:rPr>
          <w:rFonts w:eastAsiaTheme="minorHAnsi"/>
          <w:bCs/>
          <w:noProof/>
          <w:szCs w:val="22"/>
          <w:lang w:val="sk-SK"/>
        </w:rPr>
        <w:t xml:space="preserve">, </w:t>
      </w:r>
      <w:r w:rsidR="006716A0" w:rsidRPr="00EB16B4">
        <w:rPr>
          <w:rFonts w:eastAsiaTheme="minorHAnsi"/>
          <w:bCs/>
          <w:noProof/>
          <w:szCs w:val="22"/>
          <w:lang w:val="sk-SK"/>
        </w:rPr>
        <w:t>čo</w:t>
      </w:r>
      <w:r w:rsidRPr="00EB16B4">
        <w:rPr>
          <w:rFonts w:eastAsiaTheme="minorHAnsi"/>
          <w:bCs/>
          <w:noProof/>
          <w:szCs w:val="22"/>
          <w:lang w:val="sk-SK"/>
        </w:rPr>
        <w:t xml:space="preserve"> by mohlo spôsobiť zranenie oka.</w:t>
      </w:r>
    </w:p>
    <w:p w14:paraId="40CB92AA" w14:textId="77777777" w:rsidR="00CA7056" w:rsidRPr="00EB16B4" w:rsidRDefault="00CA7056" w:rsidP="004E441C">
      <w:pPr>
        <w:rPr>
          <w:rFonts w:eastAsiaTheme="minorHAnsi"/>
          <w:bCs/>
          <w:noProof/>
          <w:szCs w:val="22"/>
          <w:lang w:val="sk-SK"/>
        </w:rPr>
      </w:pPr>
    </w:p>
    <w:p w14:paraId="5CC65581" w14:textId="7EF19053" w:rsidR="00D730CE" w:rsidRPr="00EB16B4" w:rsidRDefault="004E441C" w:rsidP="004E441C">
      <w:pPr>
        <w:rPr>
          <w:rFonts w:eastAsiaTheme="minorHAnsi"/>
          <w:bCs/>
          <w:noProof/>
          <w:szCs w:val="22"/>
          <w:lang w:val="sk-SK"/>
        </w:rPr>
      </w:pPr>
      <w:r w:rsidRPr="00EB16B4">
        <w:rPr>
          <w:rFonts w:eastAsiaTheme="minorHAnsi"/>
          <w:bCs/>
          <w:noProof/>
          <w:szCs w:val="22"/>
          <w:lang w:val="sk-SK"/>
        </w:rPr>
        <w:t>Pacient</w:t>
      </w:r>
      <w:r w:rsidR="00CD1E6E">
        <w:rPr>
          <w:rFonts w:eastAsiaTheme="minorHAnsi"/>
          <w:bCs/>
          <w:noProof/>
          <w:szCs w:val="22"/>
          <w:lang w:val="sk-SK"/>
        </w:rPr>
        <w:t>i</w:t>
      </w:r>
      <w:r w:rsidRPr="00EB16B4">
        <w:rPr>
          <w:rFonts w:eastAsiaTheme="minorHAnsi"/>
          <w:bCs/>
          <w:noProof/>
          <w:szCs w:val="22"/>
          <w:lang w:val="sk-SK"/>
        </w:rPr>
        <w:t xml:space="preserve"> </w:t>
      </w:r>
      <w:r w:rsidR="00CD1E6E">
        <w:rPr>
          <w:rFonts w:eastAsiaTheme="minorHAnsi"/>
          <w:bCs/>
          <w:noProof/>
          <w:szCs w:val="22"/>
          <w:lang w:val="sk-SK"/>
        </w:rPr>
        <w:t>majú byť tiež poučení</w:t>
      </w:r>
      <w:r w:rsidRPr="00EB16B4">
        <w:rPr>
          <w:rFonts w:eastAsiaTheme="minorHAnsi"/>
          <w:bCs/>
          <w:noProof/>
          <w:szCs w:val="22"/>
          <w:lang w:val="sk-SK"/>
        </w:rPr>
        <w:t xml:space="preserve">, že očné roztoky, ak </w:t>
      </w:r>
      <w:r w:rsidR="001B3B24" w:rsidRPr="00EB16B4">
        <w:rPr>
          <w:rFonts w:eastAsiaTheme="minorHAnsi"/>
          <w:bCs/>
          <w:noProof/>
          <w:szCs w:val="22"/>
          <w:lang w:val="sk-SK"/>
        </w:rPr>
        <w:t>sa s nimi</w:t>
      </w:r>
      <w:r w:rsidRPr="00EB16B4">
        <w:rPr>
          <w:rFonts w:eastAsiaTheme="minorHAnsi"/>
          <w:bCs/>
          <w:noProof/>
          <w:szCs w:val="22"/>
          <w:lang w:val="sk-SK"/>
        </w:rPr>
        <w:t xml:space="preserve"> nesprávne manipul</w:t>
      </w:r>
      <w:r w:rsidR="001B3B24" w:rsidRPr="00EB16B4">
        <w:rPr>
          <w:rFonts w:eastAsiaTheme="minorHAnsi"/>
          <w:bCs/>
          <w:noProof/>
          <w:szCs w:val="22"/>
          <w:lang w:val="sk-SK"/>
        </w:rPr>
        <w:t>uje</w:t>
      </w:r>
      <w:r w:rsidRPr="00EB16B4">
        <w:rPr>
          <w:rFonts w:eastAsiaTheme="minorHAnsi"/>
          <w:bCs/>
          <w:noProof/>
          <w:szCs w:val="22"/>
          <w:lang w:val="sk-SK"/>
        </w:rPr>
        <w:t xml:space="preserve">, sa môžu kontaminovať bežnými baktériami, o ktorých je známe, že spôsobujú očné infekcie. </w:t>
      </w:r>
      <w:r w:rsidR="00221E89" w:rsidRPr="00EB16B4">
        <w:rPr>
          <w:rFonts w:eastAsiaTheme="minorHAnsi"/>
          <w:bCs/>
          <w:noProof/>
          <w:szCs w:val="22"/>
          <w:lang w:val="sk-SK"/>
        </w:rPr>
        <w:t>Použitie kontaminovaných roztokov može sposobiť v</w:t>
      </w:r>
      <w:r w:rsidRPr="00EB16B4">
        <w:rPr>
          <w:rFonts w:eastAsiaTheme="minorHAnsi"/>
          <w:bCs/>
          <w:noProof/>
          <w:szCs w:val="22"/>
          <w:lang w:val="sk-SK"/>
        </w:rPr>
        <w:t>ážne poškodenie očí a následn</w:t>
      </w:r>
      <w:r w:rsidR="00221E89" w:rsidRPr="00EB16B4">
        <w:rPr>
          <w:rFonts w:eastAsiaTheme="minorHAnsi"/>
          <w:bCs/>
          <w:noProof/>
          <w:szCs w:val="22"/>
          <w:lang w:val="sk-SK"/>
        </w:rPr>
        <w:t>ú</w:t>
      </w:r>
      <w:r w:rsidRPr="00EB16B4">
        <w:rPr>
          <w:rFonts w:eastAsiaTheme="minorHAnsi"/>
          <w:bCs/>
          <w:noProof/>
          <w:szCs w:val="22"/>
          <w:lang w:val="sk-SK"/>
        </w:rPr>
        <w:t xml:space="preserve"> strat</w:t>
      </w:r>
      <w:r w:rsidR="00221E89" w:rsidRPr="00EB16B4">
        <w:rPr>
          <w:rFonts w:eastAsiaTheme="minorHAnsi"/>
          <w:bCs/>
          <w:noProof/>
          <w:szCs w:val="22"/>
          <w:lang w:val="sk-SK"/>
        </w:rPr>
        <w:t>u</w:t>
      </w:r>
      <w:r w:rsidRPr="00EB16B4">
        <w:rPr>
          <w:rFonts w:eastAsiaTheme="minorHAnsi"/>
          <w:bCs/>
          <w:noProof/>
          <w:szCs w:val="22"/>
          <w:lang w:val="sk-SK"/>
        </w:rPr>
        <w:t xml:space="preserve"> v</w:t>
      </w:r>
      <w:r w:rsidR="0023200F">
        <w:rPr>
          <w:rFonts w:eastAsiaTheme="minorHAnsi"/>
          <w:bCs/>
          <w:noProof/>
          <w:szCs w:val="22"/>
          <w:lang w:val="sk-SK"/>
        </w:rPr>
        <w:t>idenia</w:t>
      </w:r>
      <w:r w:rsidR="00221E89" w:rsidRPr="00EB16B4">
        <w:rPr>
          <w:rFonts w:eastAsiaTheme="minorHAnsi"/>
          <w:bCs/>
          <w:noProof/>
          <w:szCs w:val="22"/>
          <w:lang w:val="sk-SK"/>
        </w:rPr>
        <w:t>.</w:t>
      </w:r>
    </w:p>
    <w:p w14:paraId="3FCB1639" w14:textId="77777777" w:rsidR="00AB4EB0" w:rsidRPr="00EB16B4" w:rsidRDefault="00AB4EB0" w:rsidP="004E441C">
      <w:pPr>
        <w:rPr>
          <w:lang w:val="sk-SK"/>
        </w:rPr>
      </w:pPr>
    </w:p>
    <w:p w14:paraId="6D2052CF" w14:textId="77777777" w:rsidR="00E22C32" w:rsidRPr="00EB16B4" w:rsidRDefault="00E22C32" w:rsidP="00E22C32">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4.3 </w:t>
      </w:r>
      <w:r w:rsidR="00B54E3A" w:rsidRPr="00EB16B4">
        <w:rPr>
          <w:rFonts w:eastAsiaTheme="minorHAnsi"/>
          <w:b/>
          <w:bCs/>
          <w:color w:val="000000"/>
          <w:szCs w:val="22"/>
          <w:lang w:val="sk-SK"/>
        </w:rPr>
        <w:t xml:space="preserve">   </w:t>
      </w:r>
      <w:r w:rsidR="00D11BBC">
        <w:rPr>
          <w:rFonts w:eastAsiaTheme="minorHAnsi"/>
          <w:b/>
          <w:bCs/>
          <w:color w:val="000000"/>
          <w:szCs w:val="22"/>
          <w:lang w:val="sk-SK"/>
        </w:rPr>
        <w:tab/>
      </w:r>
      <w:r w:rsidRPr="00EB16B4">
        <w:rPr>
          <w:rFonts w:eastAsiaTheme="minorHAnsi"/>
          <w:b/>
          <w:bCs/>
          <w:color w:val="000000"/>
          <w:szCs w:val="22"/>
          <w:lang w:val="sk-SK"/>
        </w:rPr>
        <w:t xml:space="preserve">Kontraindikácie </w:t>
      </w:r>
    </w:p>
    <w:p w14:paraId="0C15C1B1" w14:textId="77777777" w:rsidR="00251534" w:rsidRPr="00EB16B4" w:rsidRDefault="00251534" w:rsidP="00E22C32">
      <w:pPr>
        <w:tabs>
          <w:tab w:val="clear" w:pos="567"/>
        </w:tabs>
        <w:autoSpaceDE w:val="0"/>
        <w:autoSpaceDN w:val="0"/>
        <w:adjustRightInd w:val="0"/>
        <w:spacing w:line="240" w:lineRule="auto"/>
        <w:rPr>
          <w:rFonts w:eastAsiaTheme="minorHAnsi"/>
          <w:color w:val="000000"/>
          <w:szCs w:val="22"/>
          <w:lang w:val="sk-SK"/>
        </w:rPr>
      </w:pPr>
    </w:p>
    <w:p w14:paraId="39B46BC2" w14:textId="77777777" w:rsidR="00E22C32" w:rsidRPr="003F4E19" w:rsidRDefault="00E22C32" w:rsidP="003F4E19">
      <w:pPr>
        <w:pStyle w:val="Odsekzoznamu"/>
        <w:numPr>
          <w:ilvl w:val="0"/>
          <w:numId w:val="1"/>
        </w:numPr>
        <w:tabs>
          <w:tab w:val="clear" w:pos="567"/>
        </w:tabs>
        <w:autoSpaceDE w:val="0"/>
        <w:autoSpaceDN w:val="0"/>
        <w:adjustRightInd w:val="0"/>
        <w:spacing w:line="240" w:lineRule="auto"/>
        <w:ind w:left="567" w:hanging="425"/>
        <w:rPr>
          <w:rFonts w:eastAsiaTheme="minorHAnsi"/>
          <w:color w:val="000000"/>
          <w:szCs w:val="22"/>
          <w:lang w:val="sk-SK"/>
        </w:rPr>
      </w:pPr>
      <w:r w:rsidRPr="003F4E19">
        <w:rPr>
          <w:rFonts w:eastAsiaTheme="minorHAnsi"/>
          <w:color w:val="000000"/>
          <w:szCs w:val="22"/>
          <w:lang w:val="sk-SK"/>
        </w:rPr>
        <w:t xml:space="preserve">Precitlivenosť na liečivá alebo na ktorúkoľvek z pomocných látok uvedených v </w:t>
      </w:r>
      <w:r w:rsidR="00D11BBC" w:rsidRPr="003F4E19">
        <w:rPr>
          <w:rFonts w:eastAsiaTheme="minorHAnsi"/>
          <w:color w:val="000000"/>
          <w:szCs w:val="22"/>
          <w:lang w:val="sk-SK"/>
        </w:rPr>
        <w:t xml:space="preserve"> </w:t>
      </w:r>
      <w:r w:rsidRPr="003F4E19">
        <w:rPr>
          <w:rFonts w:eastAsiaTheme="minorHAnsi"/>
          <w:color w:val="000000"/>
          <w:szCs w:val="22"/>
          <w:lang w:val="sk-SK"/>
        </w:rPr>
        <w:t xml:space="preserve">časti 6.1. </w:t>
      </w:r>
    </w:p>
    <w:p w14:paraId="5996BDC1" w14:textId="77777777" w:rsidR="00E22C32" w:rsidRPr="003F4E19" w:rsidRDefault="00E22C32" w:rsidP="003F4E19">
      <w:pPr>
        <w:pStyle w:val="Odsekzoznamu"/>
        <w:numPr>
          <w:ilvl w:val="0"/>
          <w:numId w:val="1"/>
        </w:numPr>
        <w:tabs>
          <w:tab w:val="clear" w:pos="567"/>
        </w:tabs>
        <w:autoSpaceDE w:val="0"/>
        <w:autoSpaceDN w:val="0"/>
        <w:adjustRightInd w:val="0"/>
        <w:spacing w:line="240" w:lineRule="auto"/>
        <w:ind w:left="567" w:hanging="425"/>
        <w:rPr>
          <w:rFonts w:eastAsiaTheme="minorHAnsi"/>
          <w:color w:val="000000"/>
          <w:szCs w:val="22"/>
          <w:lang w:val="sk-SK"/>
        </w:rPr>
      </w:pPr>
      <w:r w:rsidRPr="003F4E19">
        <w:rPr>
          <w:rFonts w:eastAsiaTheme="minorHAnsi"/>
          <w:color w:val="000000"/>
          <w:szCs w:val="22"/>
          <w:lang w:val="sk-SK"/>
        </w:rPr>
        <w:t xml:space="preserve">Reakčná choroba dýchacích ciest vrátane prieduškovej astmy alebo predchádzajúcej prieduškovej astmy, ťažká chronická obštrukčná pľúcna choroba. </w:t>
      </w:r>
    </w:p>
    <w:p w14:paraId="06FA6B82" w14:textId="143ACE72" w:rsidR="00E22C32" w:rsidRPr="003F4E19" w:rsidRDefault="00E22C32" w:rsidP="003F4E19">
      <w:pPr>
        <w:pStyle w:val="Odsekzoznamu"/>
        <w:numPr>
          <w:ilvl w:val="0"/>
          <w:numId w:val="1"/>
        </w:numPr>
        <w:tabs>
          <w:tab w:val="clear" w:pos="567"/>
        </w:tabs>
        <w:autoSpaceDE w:val="0"/>
        <w:autoSpaceDN w:val="0"/>
        <w:adjustRightInd w:val="0"/>
        <w:spacing w:line="240" w:lineRule="auto"/>
        <w:ind w:left="567" w:hanging="425"/>
        <w:rPr>
          <w:rFonts w:eastAsiaTheme="minorHAnsi"/>
          <w:color w:val="000000"/>
          <w:szCs w:val="22"/>
          <w:lang w:val="sk-SK"/>
        </w:rPr>
      </w:pPr>
      <w:r w:rsidRPr="003F4E19">
        <w:rPr>
          <w:rFonts w:eastAsiaTheme="minorHAnsi"/>
          <w:color w:val="000000"/>
          <w:szCs w:val="22"/>
          <w:lang w:val="sk-SK"/>
        </w:rPr>
        <w:t xml:space="preserve">Sínusová bradykardia, syndróm chorého </w:t>
      </w:r>
      <w:r w:rsidR="00D1716A">
        <w:rPr>
          <w:rFonts w:eastAsiaTheme="minorHAnsi"/>
          <w:color w:val="000000"/>
          <w:szCs w:val="22"/>
          <w:lang w:val="sk-SK"/>
        </w:rPr>
        <w:t>sínusu</w:t>
      </w:r>
      <w:r w:rsidRPr="003F4E19">
        <w:rPr>
          <w:rFonts w:eastAsiaTheme="minorHAnsi"/>
          <w:color w:val="000000"/>
          <w:szCs w:val="22"/>
          <w:lang w:val="sk-SK"/>
        </w:rPr>
        <w:t xml:space="preserve">, sinoatriálna blokáda, atrioventrikulárny blok druhého alebo tretieho stupňa, nekontrolovaných kardiostimulátorom. Zjavné zlyhanie srdca, kardiogénny šok. </w:t>
      </w:r>
    </w:p>
    <w:p w14:paraId="4FFB1E43" w14:textId="77777777" w:rsidR="00D730CE" w:rsidRPr="00EB16B4" w:rsidRDefault="00D730CE">
      <w:pPr>
        <w:rPr>
          <w:lang w:val="sk-SK"/>
        </w:rPr>
      </w:pPr>
    </w:p>
    <w:p w14:paraId="6FC4C77B" w14:textId="77777777" w:rsidR="00F23948" w:rsidRPr="00EB16B4" w:rsidRDefault="004561DA" w:rsidP="00F23948">
      <w:pPr>
        <w:ind w:left="567" w:hanging="567"/>
        <w:rPr>
          <w:b/>
          <w:bCs/>
          <w:szCs w:val="22"/>
          <w:lang w:val="sk-SK"/>
        </w:rPr>
      </w:pPr>
      <w:r w:rsidRPr="00EB16B4">
        <w:rPr>
          <w:b/>
          <w:bCs/>
          <w:szCs w:val="22"/>
          <w:lang w:val="sk-SK"/>
        </w:rPr>
        <w:t xml:space="preserve">4.4 </w:t>
      </w:r>
      <w:r w:rsidR="00F70E2B" w:rsidRPr="00EB16B4">
        <w:rPr>
          <w:b/>
          <w:bCs/>
          <w:szCs w:val="22"/>
          <w:lang w:val="sk-SK"/>
        </w:rPr>
        <w:t xml:space="preserve">   </w:t>
      </w:r>
      <w:r w:rsidR="00D11BBC">
        <w:rPr>
          <w:b/>
          <w:bCs/>
          <w:szCs w:val="22"/>
          <w:lang w:val="sk-SK"/>
        </w:rPr>
        <w:tab/>
      </w:r>
      <w:r w:rsidR="00A446ED">
        <w:rPr>
          <w:b/>
          <w:bCs/>
          <w:szCs w:val="22"/>
          <w:lang w:val="sk-SK"/>
        </w:rPr>
        <w:tab/>
      </w:r>
      <w:r w:rsidRPr="00EB16B4">
        <w:rPr>
          <w:b/>
          <w:bCs/>
          <w:szCs w:val="22"/>
          <w:lang w:val="sk-SK"/>
        </w:rPr>
        <w:t>Osobitné upozornenia a opatrenia pri používaní</w:t>
      </w:r>
    </w:p>
    <w:p w14:paraId="6B259D09" w14:textId="77777777" w:rsidR="009F7B91" w:rsidRPr="00EB16B4" w:rsidRDefault="009F7B91" w:rsidP="009F7B91">
      <w:pPr>
        <w:tabs>
          <w:tab w:val="clear" w:pos="567"/>
          <w:tab w:val="left" w:pos="0"/>
        </w:tabs>
        <w:ind w:left="567" w:hanging="567"/>
        <w:rPr>
          <w:b/>
          <w:bCs/>
          <w:szCs w:val="22"/>
          <w:lang w:val="sk-SK"/>
        </w:rPr>
      </w:pPr>
    </w:p>
    <w:p w14:paraId="1D065D14" w14:textId="69FA6F90" w:rsidR="004561DA" w:rsidRPr="00EB16B4" w:rsidRDefault="009F7B91" w:rsidP="00172977">
      <w:pPr>
        <w:tabs>
          <w:tab w:val="clear" w:pos="567"/>
        </w:tabs>
        <w:autoSpaceDE w:val="0"/>
        <w:autoSpaceDN w:val="0"/>
        <w:adjustRightInd w:val="0"/>
        <w:spacing w:line="240" w:lineRule="auto"/>
        <w:rPr>
          <w:szCs w:val="22"/>
          <w:lang w:val="sk-SK"/>
        </w:rPr>
      </w:pPr>
      <w:r w:rsidRPr="00EB16B4">
        <w:rPr>
          <w:szCs w:val="22"/>
          <w:lang w:val="sk-SK"/>
        </w:rPr>
        <w:t xml:space="preserve">Tak ako ostatné lokálne aplikované očné lieky, aj liečivá </w:t>
      </w:r>
      <w:r w:rsidR="00984DB9">
        <w:rPr>
          <w:szCs w:val="22"/>
          <w:lang w:val="sk-SK"/>
        </w:rPr>
        <w:t>b</w:t>
      </w:r>
      <w:r w:rsidR="009D0600" w:rsidRPr="00EB16B4">
        <w:rPr>
          <w:color w:val="000000"/>
          <w:szCs w:val="22"/>
          <w:lang w:val="sk-SK"/>
        </w:rPr>
        <w:t>imatoprost/</w:t>
      </w:r>
      <w:r w:rsidR="00984DB9">
        <w:rPr>
          <w:color w:val="000000"/>
          <w:szCs w:val="22"/>
          <w:lang w:val="sk-SK"/>
        </w:rPr>
        <w:t>t</w:t>
      </w:r>
      <w:r w:rsidR="009D0600" w:rsidRPr="00EB16B4">
        <w:rPr>
          <w:color w:val="000000"/>
          <w:szCs w:val="22"/>
          <w:lang w:val="sk-SK"/>
        </w:rPr>
        <w:t xml:space="preserve">imolol </w:t>
      </w:r>
      <w:r w:rsidR="00984DB9">
        <w:rPr>
          <w:szCs w:val="22"/>
          <w:lang w:val="sk-SK"/>
        </w:rPr>
        <w:t>s</w:t>
      </w:r>
      <w:r w:rsidRPr="00EB16B4">
        <w:rPr>
          <w:szCs w:val="22"/>
          <w:lang w:val="sk-SK"/>
        </w:rPr>
        <w:t xml:space="preserve">a môžu vstrebávať systémovo. Žiadne zvýšenie systémového vstrebávania individuálnych </w:t>
      </w:r>
      <w:r w:rsidR="00D1716A">
        <w:rPr>
          <w:szCs w:val="22"/>
          <w:lang w:val="sk-SK"/>
        </w:rPr>
        <w:t>účinných</w:t>
      </w:r>
      <w:r w:rsidR="00D1716A" w:rsidRPr="00EB16B4">
        <w:rPr>
          <w:szCs w:val="22"/>
          <w:lang w:val="sk-SK"/>
        </w:rPr>
        <w:t xml:space="preserve"> </w:t>
      </w:r>
      <w:r w:rsidRPr="00EB16B4">
        <w:rPr>
          <w:szCs w:val="22"/>
          <w:lang w:val="sk-SK"/>
        </w:rPr>
        <w:t>látok sa nepozorovalo</w:t>
      </w:r>
      <w:r w:rsidR="009A0084" w:rsidRPr="00EB16B4">
        <w:rPr>
          <w:szCs w:val="22"/>
          <w:lang w:val="sk-SK"/>
        </w:rPr>
        <w:t xml:space="preserve"> u</w:t>
      </w:r>
      <w:r w:rsidR="009A0084" w:rsidRPr="00EB16B4">
        <w:rPr>
          <w:lang w:val="sk-SK"/>
        </w:rPr>
        <w:t xml:space="preserve"> </w:t>
      </w:r>
      <w:r w:rsidR="00EE2A2C">
        <w:rPr>
          <w:rFonts w:eastAsiaTheme="minorHAnsi"/>
          <w:color w:val="000000"/>
          <w:szCs w:val="22"/>
          <w:lang w:val="sk-SK"/>
        </w:rPr>
        <w:t xml:space="preserve">očnej roztokovej instilácie </w:t>
      </w:r>
      <w:r w:rsidR="00EE2A2C">
        <w:rPr>
          <w:szCs w:val="22"/>
          <w:lang w:val="sk-SK"/>
        </w:rPr>
        <w:t>b</w:t>
      </w:r>
      <w:r w:rsidR="00EE2A2C" w:rsidRPr="00EB16B4">
        <w:rPr>
          <w:lang w:val="sk-SK" w:eastAsia="el-GR"/>
        </w:rPr>
        <w:t>imatoprost/</w:t>
      </w:r>
      <w:r w:rsidR="00EE2A2C">
        <w:rPr>
          <w:lang w:val="sk-SK" w:eastAsia="el-GR"/>
        </w:rPr>
        <w:t>timolol 0,</w:t>
      </w:r>
      <w:r w:rsidR="00EE2A2C" w:rsidRPr="00EB16B4">
        <w:rPr>
          <w:lang w:val="sk-SK" w:eastAsia="el-GR"/>
        </w:rPr>
        <w:t>3 mg/m</w:t>
      </w:r>
      <w:r w:rsidR="00EE2A2C">
        <w:rPr>
          <w:lang w:val="sk-SK" w:eastAsia="el-GR"/>
        </w:rPr>
        <w:t>l</w:t>
      </w:r>
      <w:r w:rsidR="00EE2A2C" w:rsidRPr="00EB16B4">
        <w:rPr>
          <w:lang w:val="sk-SK" w:eastAsia="el-GR"/>
        </w:rPr>
        <w:t xml:space="preserve"> + 5 mg/m</w:t>
      </w:r>
      <w:r w:rsidR="00EE2A2C">
        <w:rPr>
          <w:lang w:val="sk-SK" w:eastAsia="el-GR"/>
        </w:rPr>
        <w:t>l</w:t>
      </w:r>
      <w:r w:rsidR="00172977" w:rsidRPr="00EB16B4">
        <w:rPr>
          <w:rFonts w:eastAsiaTheme="minorHAnsi"/>
          <w:color w:val="000000"/>
          <w:szCs w:val="22"/>
          <w:lang w:val="sk-SK"/>
        </w:rPr>
        <w:t xml:space="preserve"> </w:t>
      </w:r>
      <w:r w:rsidR="009A0084" w:rsidRPr="00EB16B4">
        <w:rPr>
          <w:lang w:val="sk-SK"/>
        </w:rPr>
        <w:t>s obsahom konzervačných</w:t>
      </w:r>
      <w:r w:rsidR="00172977" w:rsidRPr="00EB16B4">
        <w:rPr>
          <w:lang w:val="sk-SK"/>
        </w:rPr>
        <w:t xml:space="preserve"> látok</w:t>
      </w:r>
      <w:r w:rsidR="009A0084" w:rsidRPr="00EB16B4">
        <w:rPr>
          <w:lang w:val="sk-SK"/>
        </w:rPr>
        <w:t>.</w:t>
      </w:r>
      <w:r w:rsidRPr="00EB16B4">
        <w:rPr>
          <w:szCs w:val="22"/>
          <w:lang w:val="sk-SK"/>
        </w:rPr>
        <w:t xml:space="preserve"> Vzhľadom na beta</w:t>
      </w:r>
      <w:r w:rsidR="003E1604">
        <w:rPr>
          <w:szCs w:val="22"/>
          <w:lang w:val="sk-SK"/>
        </w:rPr>
        <w:t>-</w:t>
      </w:r>
      <w:r w:rsidRPr="00EB16B4">
        <w:rPr>
          <w:szCs w:val="22"/>
          <w:lang w:val="sk-SK"/>
        </w:rPr>
        <w:t>adrenergnú zložku timolol, môžu sa vyskytnúť rovnaké typy kardiovaskulárnych, pľúcnych a iných nežiaducich reakcií, ktoré sa pozorovali pri systémových betablokátoroch. Výskyt systémových nežiaducich reakcií</w:t>
      </w:r>
      <w:r w:rsidR="00EA64F3" w:rsidRPr="00EB16B4">
        <w:rPr>
          <w:szCs w:val="22"/>
          <w:lang w:val="sk-SK"/>
        </w:rPr>
        <w:t xml:space="preserve"> </w:t>
      </w:r>
      <w:r w:rsidRPr="00EB16B4">
        <w:rPr>
          <w:szCs w:val="22"/>
          <w:lang w:val="sk-SK"/>
        </w:rPr>
        <w:t xml:space="preserve">po </w:t>
      </w:r>
      <w:r w:rsidRPr="00534824">
        <w:rPr>
          <w:szCs w:val="22"/>
          <w:lang w:val="sk-SK"/>
        </w:rPr>
        <w:t>topickej aplikácii oftalmických</w:t>
      </w:r>
      <w:r w:rsidRPr="00EB16B4">
        <w:rPr>
          <w:szCs w:val="22"/>
          <w:lang w:val="sk-SK"/>
        </w:rPr>
        <w:t xml:space="preserve"> liekov je nižší ako v prípade systémového podávania. Zníženie systémovej absorpcie, pozri časť 4.2.</w:t>
      </w:r>
    </w:p>
    <w:p w14:paraId="182D9705" w14:textId="77777777" w:rsidR="009F7B91" w:rsidRPr="00EB16B4" w:rsidRDefault="009F7B91" w:rsidP="00B56E11">
      <w:pPr>
        <w:ind w:left="567" w:hanging="567"/>
        <w:rPr>
          <w:lang w:val="sk-SK"/>
        </w:rPr>
      </w:pPr>
    </w:p>
    <w:p w14:paraId="28074A9F" w14:textId="77777777" w:rsidR="0086156B" w:rsidRPr="00EB16B4" w:rsidRDefault="0086156B" w:rsidP="0086156B">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Kardiovaskulárne ochorenia </w:t>
      </w:r>
    </w:p>
    <w:p w14:paraId="3AC68B41" w14:textId="4D35F492" w:rsidR="0086156B" w:rsidRPr="00EB16B4" w:rsidRDefault="0086156B" w:rsidP="0086156B">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U pacientov </w:t>
      </w:r>
      <w:r w:rsidR="00D1716A">
        <w:rPr>
          <w:rFonts w:eastAsiaTheme="minorHAnsi"/>
          <w:color w:val="000000"/>
          <w:szCs w:val="22"/>
          <w:lang w:val="sk-SK"/>
        </w:rPr>
        <w:t xml:space="preserve">s </w:t>
      </w:r>
      <w:r w:rsidRPr="00EB16B4">
        <w:rPr>
          <w:rFonts w:eastAsiaTheme="minorHAnsi"/>
          <w:color w:val="000000"/>
          <w:szCs w:val="22"/>
          <w:lang w:val="sk-SK"/>
        </w:rPr>
        <w:t>kardiovaskulárnymi ochoreniami (napr. koronárna choroba srdca, Prinzmetalova angina pectoris a srdcové zlyhanie) a</w:t>
      </w:r>
      <w:r w:rsidR="00FF6C0E">
        <w:rPr>
          <w:rFonts w:eastAsiaTheme="minorHAnsi"/>
          <w:color w:val="000000"/>
          <w:szCs w:val="22"/>
          <w:lang w:val="sk-SK"/>
        </w:rPr>
        <w:t> užívajúcich hypotenznú liečbu</w:t>
      </w:r>
      <w:r w:rsidRPr="00EB16B4">
        <w:rPr>
          <w:rFonts w:eastAsiaTheme="minorHAnsi"/>
          <w:color w:val="000000"/>
          <w:szCs w:val="22"/>
          <w:lang w:val="sk-SK"/>
        </w:rPr>
        <w:t xml:space="preserve"> betablokátormi </w:t>
      </w:r>
      <w:r w:rsidR="00FF6C0E">
        <w:rPr>
          <w:rFonts w:eastAsiaTheme="minorHAnsi"/>
          <w:color w:val="000000"/>
          <w:szCs w:val="22"/>
          <w:lang w:val="sk-SK"/>
        </w:rPr>
        <w:t>sa má</w:t>
      </w:r>
      <w:r w:rsidRPr="00EB16B4">
        <w:rPr>
          <w:rFonts w:eastAsiaTheme="minorHAnsi"/>
          <w:color w:val="000000"/>
          <w:szCs w:val="22"/>
          <w:lang w:val="sk-SK"/>
        </w:rPr>
        <w:t xml:space="preserve"> vykonať kritické hodnotenie a posúdiť možnú liečbu inými liečivami. </w:t>
      </w:r>
    </w:p>
    <w:p w14:paraId="6DD9201E" w14:textId="1FA666E0" w:rsidR="0086156B" w:rsidRPr="00EB16B4" w:rsidRDefault="0086156B" w:rsidP="0086156B">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U pacientov s kardiovaskulárnymi ochoreniami sa musia sledovať </w:t>
      </w:r>
      <w:r w:rsidR="00FF6C0E">
        <w:rPr>
          <w:rFonts w:eastAsiaTheme="minorHAnsi"/>
          <w:color w:val="000000"/>
          <w:szCs w:val="22"/>
          <w:lang w:val="sk-SK"/>
        </w:rPr>
        <w:t>prejavy</w:t>
      </w:r>
      <w:r w:rsidR="00FF6C0E" w:rsidRPr="00EB16B4">
        <w:rPr>
          <w:rFonts w:eastAsiaTheme="minorHAnsi"/>
          <w:color w:val="000000"/>
          <w:szCs w:val="22"/>
          <w:lang w:val="sk-SK"/>
        </w:rPr>
        <w:t xml:space="preserve"> </w:t>
      </w:r>
      <w:r w:rsidRPr="00EB16B4">
        <w:rPr>
          <w:rFonts w:eastAsiaTheme="minorHAnsi"/>
          <w:color w:val="000000"/>
          <w:szCs w:val="22"/>
          <w:lang w:val="sk-SK"/>
        </w:rPr>
        <w:t xml:space="preserve">zhoršenia stavu týchto ochorení a </w:t>
      </w:r>
      <w:r w:rsidR="00FF6C0E">
        <w:rPr>
          <w:rFonts w:eastAsiaTheme="minorHAnsi"/>
          <w:color w:val="000000"/>
          <w:szCs w:val="22"/>
          <w:lang w:val="sk-SK"/>
        </w:rPr>
        <w:t>prejavy</w:t>
      </w:r>
      <w:r w:rsidR="00FF6C0E" w:rsidRPr="00EB16B4">
        <w:rPr>
          <w:rFonts w:eastAsiaTheme="minorHAnsi"/>
          <w:color w:val="000000"/>
          <w:szCs w:val="22"/>
          <w:lang w:val="sk-SK"/>
        </w:rPr>
        <w:t xml:space="preserve"> </w:t>
      </w:r>
      <w:r w:rsidRPr="00EB16B4">
        <w:rPr>
          <w:rFonts w:eastAsiaTheme="minorHAnsi"/>
          <w:color w:val="000000"/>
          <w:szCs w:val="22"/>
          <w:lang w:val="sk-SK"/>
        </w:rPr>
        <w:t xml:space="preserve">nežiaducich reakcií. </w:t>
      </w:r>
    </w:p>
    <w:p w14:paraId="3DB20121" w14:textId="77777777" w:rsidR="0086156B" w:rsidRPr="00EB16B4" w:rsidRDefault="0086156B" w:rsidP="0086156B">
      <w:pPr>
        <w:tabs>
          <w:tab w:val="clear" w:pos="567"/>
        </w:tabs>
        <w:autoSpaceDE w:val="0"/>
        <w:autoSpaceDN w:val="0"/>
        <w:adjustRightInd w:val="0"/>
        <w:spacing w:line="240" w:lineRule="auto"/>
        <w:rPr>
          <w:rFonts w:eastAsiaTheme="minorHAnsi"/>
          <w:color w:val="000000"/>
          <w:szCs w:val="22"/>
          <w:lang w:val="sk-SK"/>
        </w:rPr>
      </w:pPr>
    </w:p>
    <w:p w14:paraId="70E22DEB" w14:textId="4DC57551" w:rsidR="00F23948" w:rsidRPr="00EB16B4" w:rsidRDefault="0086156B" w:rsidP="0086156B">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Pre negatívne účinky na čas srdcovej kondukcie sa betablokátory majú podávať len s opatrnosťou pacientom </w:t>
      </w:r>
      <w:r w:rsidR="00FF6C0E">
        <w:rPr>
          <w:rFonts w:eastAsiaTheme="minorHAnsi"/>
          <w:color w:val="000000"/>
          <w:szCs w:val="22"/>
          <w:lang w:val="sk-SK"/>
        </w:rPr>
        <w:t>s</w:t>
      </w:r>
      <w:r w:rsidR="00FF6C0E" w:rsidRPr="00EB16B4">
        <w:rPr>
          <w:rFonts w:eastAsiaTheme="minorHAnsi"/>
          <w:color w:val="000000"/>
          <w:szCs w:val="22"/>
          <w:lang w:val="sk-SK"/>
        </w:rPr>
        <w:t xml:space="preserve"> </w:t>
      </w:r>
      <w:r w:rsidRPr="00EB16B4">
        <w:rPr>
          <w:rFonts w:eastAsiaTheme="minorHAnsi"/>
          <w:color w:val="000000"/>
          <w:szCs w:val="22"/>
          <w:lang w:val="sk-SK"/>
        </w:rPr>
        <w:t>prvým stupňom srdcovej blokády.</w:t>
      </w:r>
    </w:p>
    <w:p w14:paraId="300895E5" w14:textId="77777777" w:rsidR="0086156B" w:rsidRPr="00EB16B4" w:rsidRDefault="0086156B" w:rsidP="0086156B">
      <w:pPr>
        <w:autoSpaceDE w:val="0"/>
        <w:autoSpaceDN w:val="0"/>
        <w:adjustRightInd w:val="0"/>
        <w:rPr>
          <w:lang w:val="sk-SK" w:eastAsia="el-GR"/>
        </w:rPr>
      </w:pPr>
    </w:p>
    <w:p w14:paraId="546B400A" w14:textId="77777777" w:rsidR="0076075E" w:rsidRPr="00EB16B4" w:rsidRDefault="0076075E" w:rsidP="0076075E">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lastRenderedPageBreak/>
        <w:t xml:space="preserve">Cievne ochorenia </w:t>
      </w:r>
    </w:p>
    <w:p w14:paraId="3184B545" w14:textId="77777777" w:rsidR="0076075E" w:rsidRPr="00EB16B4" w:rsidRDefault="0076075E" w:rsidP="0076075E">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Pacienti so závažnou poruchou/ochoreniami periférneho obehu (napr. závažné formy Raynaudovej choroby alebo Raynaudovho syndrómu) majú byť liečení s opatrnosťou. </w:t>
      </w:r>
    </w:p>
    <w:p w14:paraId="4B2AF8A6" w14:textId="77777777" w:rsidR="00FC7F9F" w:rsidRPr="00EB16B4" w:rsidRDefault="00FC7F9F" w:rsidP="0076075E">
      <w:pPr>
        <w:tabs>
          <w:tab w:val="clear" w:pos="567"/>
        </w:tabs>
        <w:autoSpaceDE w:val="0"/>
        <w:autoSpaceDN w:val="0"/>
        <w:adjustRightInd w:val="0"/>
        <w:spacing w:line="240" w:lineRule="auto"/>
        <w:rPr>
          <w:rFonts w:eastAsiaTheme="minorHAnsi"/>
          <w:color w:val="000000"/>
          <w:szCs w:val="22"/>
          <w:lang w:val="sk-SK"/>
        </w:rPr>
      </w:pPr>
    </w:p>
    <w:p w14:paraId="4A91D750" w14:textId="77777777" w:rsidR="0076075E" w:rsidRPr="00EB16B4" w:rsidRDefault="0076075E" w:rsidP="0076075E">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Respiračné ochorenia </w:t>
      </w:r>
    </w:p>
    <w:p w14:paraId="57FDFE30" w14:textId="77777777" w:rsidR="0076075E" w:rsidRPr="00EB16B4" w:rsidRDefault="0076075E" w:rsidP="0076075E">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Po podaní niektorých oftalmických betablokátorov boli hlásené dýchacie reakcie vrátane úmrtia spôsobeného bronchospazmom u pacientov s astmou. </w:t>
      </w:r>
    </w:p>
    <w:p w14:paraId="460D6761" w14:textId="77777777" w:rsidR="00D11BBC" w:rsidRDefault="00D11BBC" w:rsidP="0076075E">
      <w:pPr>
        <w:autoSpaceDE w:val="0"/>
        <w:autoSpaceDN w:val="0"/>
        <w:adjustRightInd w:val="0"/>
        <w:rPr>
          <w:color w:val="000000"/>
          <w:szCs w:val="22"/>
          <w:lang w:val="sk-SK"/>
        </w:rPr>
      </w:pPr>
    </w:p>
    <w:p w14:paraId="0B43DC51" w14:textId="07CDF9DE" w:rsidR="00F23948" w:rsidRPr="00EB16B4" w:rsidRDefault="00D87F45" w:rsidP="0076075E">
      <w:pPr>
        <w:autoSpaceDE w:val="0"/>
        <w:autoSpaceDN w:val="0"/>
        <w:adjustRightInd w:val="0"/>
        <w:rPr>
          <w:rFonts w:eastAsiaTheme="minorHAnsi"/>
          <w:color w:val="000000"/>
          <w:szCs w:val="22"/>
          <w:lang w:val="sk-SK"/>
        </w:rPr>
      </w:pPr>
      <w:r w:rsidRPr="00EB16B4">
        <w:rPr>
          <w:color w:val="000000"/>
          <w:szCs w:val="22"/>
          <w:lang w:val="sk-SK"/>
        </w:rPr>
        <w:t>Bimatoprost/Timolol</w:t>
      </w:r>
      <w:r w:rsidR="0076075E" w:rsidRPr="00EB16B4">
        <w:rPr>
          <w:rFonts w:eastAsiaTheme="minorHAnsi"/>
          <w:color w:val="000000"/>
          <w:szCs w:val="22"/>
          <w:lang w:val="sk-SK"/>
        </w:rPr>
        <w:t xml:space="preserve"> </w:t>
      </w:r>
      <w:r w:rsidR="00FF6C0E">
        <w:rPr>
          <w:rFonts w:eastAsiaTheme="minorHAnsi"/>
          <w:color w:val="000000"/>
          <w:szCs w:val="22"/>
          <w:lang w:val="sk-SK"/>
        </w:rPr>
        <w:t xml:space="preserve">PharmaSwiss </w:t>
      </w:r>
      <w:r w:rsidR="0076075E" w:rsidRPr="00EB16B4">
        <w:rPr>
          <w:rFonts w:eastAsiaTheme="minorHAnsi"/>
          <w:color w:val="000000"/>
          <w:szCs w:val="22"/>
          <w:lang w:val="sk-SK"/>
        </w:rPr>
        <w:t xml:space="preserve">má byť používaný s opatrnosťou u pacientov </w:t>
      </w:r>
      <w:r w:rsidR="00FF6C0E">
        <w:rPr>
          <w:rFonts w:eastAsiaTheme="minorHAnsi"/>
          <w:color w:val="000000"/>
          <w:szCs w:val="22"/>
          <w:lang w:val="sk-SK"/>
        </w:rPr>
        <w:t>s</w:t>
      </w:r>
      <w:r w:rsidR="0076075E" w:rsidRPr="00EB16B4">
        <w:rPr>
          <w:rFonts w:eastAsiaTheme="minorHAnsi"/>
          <w:color w:val="000000"/>
          <w:szCs w:val="22"/>
          <w:lang w:val="sk-SK"/>
        </w:rPr>
        <w:t xml:space="preserve"> miernou/strednou chronickou obštrukčnou chorobou</w:t>
      </w:r>
      <w:r w:rsidR="00FF6C0E">
        <w:rPr>
          <w:rFonts w:eastAsiaTheme="minorHAnsi"/>
          <w:color w:val="000000"/>
          <w:szCs w:val="22"/>
          <w:lang w:val="sk-SK"/>
        </w:rPr>
        <w:t xml:space="preserve"> pľúc</w:t>
      </w:r>
      <w:r w:rsidR="0076075E" w:rsidRPr="00EB16B4">
        <w:rPr>
          <w:rFonts w:eastAsiaTheme="minorHAnsi"/>
          <w:color w:val="000000"/>
          <w:szCs w:val="22"/>
          <w:lang w:val="sk-SK"/>
        </w:rPr>
        <w:t xml:space="preserve"> (</w:t>
      </w:r>
      <w:r w:rsidR="00B8437E">
        <w:rPr>
          <w:rFonts w:eastAsiaTheme="minorHAnsi"/>
          <w:color w:val="000000"/>
          <w:szCs w:val="22"/>
          <w:lang w:val="sk-SK"/>
        </w:rPr>
        <w:t>CHOCHP</w:t>
      </w:r>
      <w:r w:rsidR="0076075E" w:rsidRPr="00EB16B4">
        <w:rPr>
          <w:rFonts w:eastAsiaTheme="minorHAnsi"/>
          <w:color w:val="000000"/>
          <w:szCs w:val="22"/>
          <w:lang w:val="sk-SK"/>
        </w:rPr>
        <w:t>) a iba v prípade, ak potenciálny prínos liečby prevažuje potenciálne riziko.</w:t>
      </w:r>
    </w:p>
    <w:p w14:paraId="4567CE5E" w14:textId="77777777" w:rsidR="00C8718A" w:rsidRPr="00EB16B4" w:rsidRDefault="00C8718A" w:rsidP="0076075E">
      <w:pPr>
        <w:autoSpaceDE w:val="0"/>
        <w:autoSpaceDN w:val="0"/>
        <w:adjustRightInd w:val="0"/>
        <w:rPr>
          <w:lang w:val="sk-SK" w:eastAsia="el-GR"/>
        </w:rPr>
      </w:pPr>
    </w:p>
    <w:p w14:paraId="3A64B5CE" w14:textId="77777777" w:rsidR="00C8718A" w:rsidRPr="00EB16B4" w:rsidRDefault="00C8718A" w:rsidP="00C8718A">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Poruchy endokrinného systému </w:t>
      </w:r>
    </w:p>
    <w:p w14:paraId="449F6884" w14:textId="03F76676" w:rsidR="00C8718A" w:rsidRPr="00EB16B4" w:rsidRDefault="00C8718A" w:rsidP="00C8718A">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Lieky typu betaadrenergných blokátorov treba podávať s opatrnosťou pacientom so spontánnou hypoglykémiou alebo pacientom s nestabilnou formou diabetes, pretože betablokátory môžu zastierať </w:t>
      </w:r>
      <w:r w:rsidR="00B8437E">
        <w:rPr>
          <w:rFonts w:eastAsiaTheme="minorHAnsi"/>
          <w:color w:val="000000"/>
          <w:szCs w:val="22"/>
          <w:lang w:val="sk-SK"/>
        </w:rPr>
        <w:t>prejavy</w:t>
      </w:r>
      <w:r w:rsidR="00B8437E" w:rsidRPr="00EB16B4">
        <w:rPr>
          <w:rFonts w:eastAsiaTheme="minorHAnsi"/>
          <w:color w:val="000000"/>
          <w:szCs w:val="22"/>
          <w:lang w:val="sk-SK"/>
        </w:rPr>
        <w:t xml:space="preserve"> </w:t>
      </w:r>
      <w:r w:rsidRPr="00EB16B4">
        <w:rPr>
          <w:rFonts w:eastAsiaTheme="minorHAnsi"/>
          <w:color w:val="000000"/>
          <w:szCs w:val="22"/>
          <w:lang w:val="sk-SK"/>
        </w:rPr>
        <w:t xml:space="preserve">a symptómy akútnej hypoglykémie. </w:t>
      </w:r>
    </w:p>
    <w:p w14:paraId="32797123" w14:textId="77777777" w:rsidR="00C8718A" w:rsidRPr="00EB16B4" w:rsidRDefault="00C8718A" w:rsidP="00C8718A">
      <w:pPr>
        <w:tabs>
          <w:tab w:val="clear" w:pos="567"/>
        </w:tabs>
        <w:autoSpaceDE w:val="0"/>
        <w:autoSpaceDN w:val="0"/>
        <w:adjustRightInd w:val="0"/>
        <w:spacing w:line="240" w:lineRule="auto"/>
        <w:rPr>
          <w:rFonts w:eastAsiaTheme="minorHAnsi"/>
          <w:color w:val="000000"/>
          <w:szCs w:val="22"/>
          <w:lang w:val="sk-SK"/>
        </w:rPr>
      </w:pPr>
    </w:p>
    <w:p w14:paraId="77F615BE" w14:textId="452261CF" w:rsidR="00F23948" w:rsidRPr="00EB16B4" w:rsidRDefault="00C8718A" w:rsidP="00C8718A">
      <w:pPr>
        <w:autoSpaceDE w:val="0"/>
        <w:autoSpaceDN w:val="0"/>
        <w:adjustRightInd w:val="0"/>
        <w:rPr>
          <w:lang w:val="sk-SK" w:eastAsia="el-GR"/>
        </w:rPr>
      </w:pPr>
      <w:r w:rsidRPr="00EB16B4">
        <w:rPr>
          <w:rFonts w:eastAsiaTheme="minorHAnsi"/>
          <w:color w:val="000000"/>
          <w:szCs w:val="22"/>
          <w:lang w:val="sk-SK"/>
        </w:rPr>
        <w:t xml:space="preserve">Betablokátory môžu zastierať </w:t>
      </w:r>
      <w:r w:rsidR="00B8437E">
        <w:rPr>
          <w:rFonts w:eastAsiaTheme="minorHAnsi"/>
          <w:color w:val="000000"/>
          <w:szCs w:val="22"/>
          <w:lang w:val="sk-SK"/>
        </w:rPr>
        <w:t xml:space="preserve">prejavy </w:t>
      </w:r>
      <w:r w:rsidRPr="00EB16B4">
        <w:rPr>
          <w:rFonts w:eastAsiaTheme="minorHAnsi"/>
          <w:color w:val="000000"/>
          <w:szCs w:val="22"/>
          <w:lang w:val="sk-SK"/>
        </w:rPr>
        <w:t>hypertyreoidizmu.</w:t>
      </w:r>
    </w:p>
    <w:p w14:paraId="36AD058C" w14:textId="77777777" w:rsidR="00F23948" w:rsidRPr="00EB16B4" w:rsidRDefault="00F23948" w:rsidP="00F23948">
      <w:pPr>
        <w:autoSpaceDE w:val="0"/>
        <w:autoSpaceDN w:val="0"/>
        <w:adjustRightInd w:val="0"/>
        <w:rPr>
          <w:u w:val="single"/>
          <w:lang w:val="sk-SK" w:eastAsia="el-GR"/>
        </w:rPr>
      </w:pPr>
    </w:p>
    <w:p w14:paraId="26BA9883"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Ochorenie rohovky </w:t>
      </w:r>
    </w:p>
    <w:p w14:paraId="5F79AC75"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Oftalmické betablokátory môžu vyvolať suchosť očí. Pacienti trpiaci ochorením rohovky majú byť liečení s opatrnosťou. </w:t>
      </w:r>
    </w:p>
    <w:p w14:paraId="59DA00A9"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lang w:val="sk-SK"/>
        </w:rPr>
      </w:pPr>
    </w:p>
    <w:p w14:paraId="1B582C69"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Iné betablokátory </w:t>
      </w:r>
    </w:p>
    <w:p w14:paraId="20AC89E5"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Účinok na vnútroočný tlak alebo známe účinky systémovej betablokády môžu byť zosilnené, ak je timolol podaný pacientom, ktorí už užívajú systémový betablokátor. Reakciu týchto pacientov je potrebné veľmi dôkladne sledovať. Použitie dvoch topických betaadrenergných blokátorov sa neodporúča (pozri časť 4.5). </w:t>
      </w:r>
    </w:p>
    <w:p w14:paraId="1632D030"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lang w:val="sk-SK"/>
        </w:rPr>
      </w:pPr>
    </w:p>
    <w:p w14:paraId="36698B8B" w14:textId="77777777" w:rsidR="008026DB" w:rsidRPr="00EB16B4" w:rsidRDefault="008026DB" w:rsidP="008026DB">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Anafylaktické reakcie </w:t>
      </w:r>
    </w:p>
    <w:p w14:paraId="0A1B1FA0" w14:textId="77777777" w:rsidR="00F23948" w:rsidRPr="00EB16B4" w:rsidRDefault="008026DB" w:rsidP="008026DB">
      <w:pPr>
        <w:autoSpaceDE w:val="0"/>
        <w:autoSpaceDN w:val="0"/>
        <w:adjustRightInd w:val="0"/>
        <w:rPr>
          <w:rFonts w:eastAsiaTheme="minorHAnsi"/>
          <w:color w:val="000000"/>
          <w:szCs w:val="22"/>
          <w:lang w:val="sk-SK"/>
        </w:rPr>
      </w:pPr>
      <w:r w:rsidRPr="00EB16B4">
        <w:rPr>
          <w:rFonts w:eastAsiaTheme="minorHAnsi"/>
          <w:color w:val="000000"/>
          <w:szCs w:val="22"/>
          <w:lang w:val="sk-SK"/>
        </w:rPr>
        <w:t>Ak užívajú betablokátory pacienti s anamnézou atopie alebo ťažkej anafylaktickej reakcie na rôzne alergény, môžu viac reagovať pri opakovanom vystavení týmto alergénom a nemusia reagovať na zvyčajnú dávku adrenalínu používanú na liečenie anafylaktických reakcií.</w:t>
      </w:r>
    </w:p>
    <w:p w14:paraId="4D990595" w14:textId="77777777" w:rsidR="008026DB" w:rsidRPr="00EB16B4" w:rsidRDefault="008026DB" w:rsidP="008026DB">
      <w:pPr>
        <w:autoSpaceDE w:val="0"/>
        <w:autoSpaceDN w:val="0"/>
        <w:adjustRightInd w:val="0"/>
        <w:rPr>
          <w:u w:val="single"/>
          <w:lang w:val="sk-SK" w:eastAsia="el-GR"/>
        </w:rPr>
      </w:pPr>
    </w:p>
    <w:p w14:paraId="0277F169" w14:textId="530F0ABB" w:rsidR="00E46C00" w:rsidRPr="00EB16B4" w:rsidRDefault="00B8437E" w:rsidP="00E46C00">
      <w:pPr>
        <w:tabs>
          <w:tab w:val="clear" w:pos="567"/>
        </w:tabs>
        <w:autoSpaceDE w:val="0"/>
        <w:autoSpaceDN w:val="0"/>
        <w:adjustRightInd w:val="0"/>
        <w:spacing w:line="240" w:lineRule="auto"/>
        <w:rPr>
          <w:rFonts w:eastAsiaTheme="minorHAnsi"/>
          <w:color w:val="000000"/>
          <w:szCs w:val="22"/>
          <w:u w:val="single"/>
          <w:lang w:val="sk-SK"/>
        </w:rPr>
      </w:pPr>
      <w:r>
        <w:rPr>
          <w:rFonts w:eastAsiaTheme="minorHAnsi"/>
          <w:color w:val="000000"/>
          <w:szCs w:val="22"/>
          <w:u w:val="single"/>
          <w:lang w:val="sk-SK"/>
        </w:rPr>
        <w:t>Odlúpenie</w:t>
      </w:r>
      <w:r w:rsidRPr="00EB16B4">
        <w:rPr>
          <w:rFonts w:eastAsiaTheme="minorHAnsi"/>
          <w:color w:val="000000"/>
          <w:szCs w:val="22"/>
          <w:u w:val="single"/>
          <w:lang w:val="sk-SK"/>
        </w:rPr>
        <w:t xml:space="preserve"> </w:t>
      </w:r>
      <w:r w:rsidR="00E46C00" w:rsidRPr="00EB16B4">
        <w:rPr>
          <w:rFonts w:eastAsiaTheme="minorHAnsi"/>
          <w:color w:val="000000"/>
          <w:szCs w:val="22"/>
          <w:u w:val="single"/>
          <w:lang w:val="sk-SK"/>
        </w:rPr>
        <w:t xml:space="preserve">cievovky </w:t>
      </w:r>
    </w:p>
    <w:p w14:paraId="4E74F92C" w14:textId="031B7B2F" w:rsidR="00E46C00" w:rsidRPr="00EB16B4" w:rsidRDefault="00B8437E" w:rsidP="00E46C00">
      <w:pPr>
        <w:tabs>
          <w:tab w:val="clear" w:pos="567"/>
        </w:tabs>
        <w:autoSpaceDE w:val="0"/>
        <w:autoSpaceDN w:val="0"/>
        <w:adjustRightInd w:val="0"/>
        <w:spacing w:line="240" w:lineRule="auto"/>
        <w:rPr>
          <w:rFonts w:eastAsiaTheme="minorHAnsi"/>
          <w:color w:val="000000"/>
          <w:szCs w:val="22"/>
          <w:lang w:val="sk-SK"/>
        </w:rPr>
      </w:pPr>
      <w:r>
        <w:rPr>
          <w:rFonts w:eastAsiaTheme="minorHAnsi"/>
          <w:color w:val="000000"/>
          <w:szCs w:val="22"/>
          <w:lang w:val="sk-SK"/>
        </w:rPr>
        <w:t>Odlúpenie</w:t>
      </w:r>
      <w:r w:rsidRPr="00EB16B4">
        <w:rPr>
          <w:rFonts w:eastAsiaTheme="minorHAnsi"/>
          <w:color w:val="000000"/>
          <w:szCs w:val="22"/>
          <w:lang w:val="sk-SK"/>
        </w:rPr>
        <w:t xml:space="preserve"> </w:t>
      </w:r>
      <w:r w:rsidR="00E46C00" w:rsidRPr="00EB16B4">
        <w:rPr>
          <w:rFonts w:eastAsiaTheme="minorHAnsi"/>
          <w:color w:val="000000"/>
          <w:szCs w:val="22"/>
          <w:lang w:val="sk-SK"/>
        </w:rPr>
        <w:t xml:space="preserve">cievovky bolo pozorované pri podávaní vodnej supresívnej liečby (napr. timolol, acetazolamid) po vykonaní filtrácie. </w:t>
      </w:r>
    </w:p>
    <w:p w14:paraId="7887F762" w14:textId="77777777" w:rsidR="00E46C00" w:rsidRPr="00EB16B4" w:rsidRDefault="00E46C00" w:rsidP="00E46C00">
      <w:pPr>
        <w:tabs>
          <w:tab w:val="clear" w:pos="567"/>
        </w:tabs>
        <w:autoSpaceDE w:val="0"/>
        <w:autoSpaceDN w:val="0"/>
        <w:adjustRightInd w:val="0"/>
        <w:spacing w:line="240" w:lineRule="auto"/>
        <w:rPr>
          <w:rFonts w:eastAsiaTheme="minorHAnsi"/>
          <w:color w:val="000000"/>
          <w:szCs w:val="22"/>
          <w:lang w:val="sk-SK"/>
        </w:rPr>
      </w:pPr>
    </w:p>
    <w:p w14:paraId="132A58C0" w14:textId="77777777" w:rsidR="00E46C00" w:rsidRPr="00EB16B4" w:rsidRDefault="00E46C00" w:rsidP="00E46C00">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Chirurgická anestézia </w:t>
      </w:r>
    </w:p>
    <w:p w14:paraId="5A9B71D3" w14:textId="77777777" w:rsidR="00E46C00" w:rsidRPr="00EB16B4" w:rsidRDefault="00E46C00" w:rsidP="00E46C00">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Betablokujúce oftalmologické prípravky môžu blokovať účinky systémových betaagonistov, napr. adrenalínu. Anestéziológ musí byť informovaný, ak pacient </w:t>
      </w:r>
      <w:r w:rsidR="00B8437E">
        <w:rPr>
          <w:rFonts w:eastAsiaTheme="minorHAnsi"/>
          <w:color w:val="000000"/>
          <w:szCs w:val="22"/>
          <w:lang w:val="sk-SK"/>
        </w:rPr>
        <w:t>po</w:t>
      </w:r>
      <w:r w:rsidRPr="00EB16B4">
        <w:rPr>
          <w:rFonts w:eastAsiaTheme="minorHAnsi"/>
          <w:color w:val="000000"/>
          <w:szCs w:val="22"/>
          <w:lang w:val="sk-SK"/>
        </w:rPr>
        <w:t xml:space="preserve">užíva timolol. </w:t>
      </w:r>
    </w:p>
    <w:p w14:paraId="186A8EB6" w14:textId="77777777" w:rsidR="00E46C00" w:rsidRPr="00EB16B4" w:rsidRDefault="00E46C00" w:rsidP="00E46C00">
      <w:pPr>
        <w:tabs>
          <w:tab w:val="clear" w:pos="567"/>
        </w:tabs>
        <w:autoSpaceDE w:val="0"/>
        <w:autoSpaceDN w:val="0"/>
        <w:adjustRightInd w:val="0"/>
        <w:spacing w:line="240" w:lineRule="auto"/>
        <w:rPr>
          <w:rFonts w:eastAsiaTheme="minorHAnsi"/>
          <w:color w:val="000000"/>
          <w:szCs w:val="22"/>
          <w:lang w:val="sk-SK"/>
        </w:rPr>
      </w:pPr>
    </w:p>
    <w:p w14:paraId="4AF1948A" w14:textId="77777777" w:rsidR="00E46C00" w:rsidRPr="00EB16B4" w:rsidRDefault="00E46C00" w:rsidP="00E46C00">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Účinky na pečeň </w:t>
      </w:r>
    </w:p>
    <w:p w14:paraId="30DC435B" w14:textId="22E85B2C" w:rsidR="00F23948" w:rsidRPr="00EB16B4" w:rsidRDefault="00E46C00" w:rsidP="00E46C00">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U pacientov, ktorí v minulosti prekonali ľahké ochorenie pečene alebo </w:t>
      </w:r>
      <w:r w:rsidR="00B8437E">
        <w:rPr>
          <w:rFonts w:eastAsiaTheme="minorHAnsi"/>
          <w:color w:val="000000"/>
          <w:szCs w:val="22"/>
          <w:lang w:val="sk-SK"/>
        </w:rPr>
        <w:t xml:space="preserve">mali </w:t>
      </w:r>
      <w:r w:rsidR="00B8437E" w:rsidRPr="00EB16B4">
        <w:rPr>
          <w:rFonts w:eastAsiaTheme="minorHAnsi"/>
          <w:color w:val="000000"/>
          <w:szCs w:val="22"/>
          <w:lang w:val="sk-SK"/>
        </w:rPr>
        <w:t>abnormáln</w:t>
      </w:r>
      <w:r w:rsidR="00B8437E">
        <w:rPr>
          <w:rFonts w:eastAsiaTheme="minorHAnsi"/>
          <w:color w:val="000000"/>
          <w:szCs w:val="22"/>
          <w:lang w:val="sk-SK"/>
        </w:rPr>
        <w:t>e</w:t>
      </w:r>
      <w:r w:rsidR="00B8437E" w:rsidRPr="00EB16B4">
        <w:rPr>
          <w:rFonts w:eastAsiaTheme="minorHAnsi"/>
          <w:color w:val="000000"/>
          <w:szCs w:val="22"/>
          <w:lang w:val="sk-SK"/>
        </w:rPr>
        <w:t xml:space="preserve"> hodnot</w:t>
      </w:r>
      <w:r w:rsidR="00B8437E">
        <w:rPr>
          <w:rFonts w:eastAsiaTheme="minorHAnsi"/>
          <w:color w:val="000000"/>
          <w:szCs w:val="22"/>
          <w:lang w:val="sk-SK"/>
        </w:rPr>
        <w:t xml:space="preserve">y </w:t>
      </w:r>
      <w:r w:rsidRPr="00EB16B4">
        <w:rPr>
          <w:rFonts w:eastAsiaTheme="minorHAnsi"/>
          <w:color w:val="000000"/>
          <w:szCs w:val="22"/>
          <w:lang w:val="sk-SK"/>
        </w:rPr>
        <w:t>alanínaminotransferázy (ALT), aspartátaminotransferázy (AST) a/alebo východiskovej hodnoty bilirubínu, nemal bimatoprost žiadne škodlivé účinky na funkciu pečene minimálne po dobu 24 mesiacov. Nie sú známe žiadne škodlivé účinky očného timololu na funkciu pečene.</w:t>
      </w:r>
    </w:p>
    <w:p w14:paraId="0D10D001" w14:textId="77777777" w:rsidR="00495F37" w:rsidRPr="00EB16B4" w:rsidRDefault="00495F37" w:rsidP="00E46C00">
      <w:pPr>
        <w:autoSpaceDE w:val="0"/>
        <w:autoSpaceDN w:val="0"/>
        <w:adjustRightInd w:val="0"/>
        <w:rPr>
          <w:rFonts w:eastAsiaTheme="minorHAnsi"/>
          <w:color w:val="000000"/>
          <w:szCs w:val="22"/>
          <w:lang w:val="sk-SK"/>
        </w:rPr>
      </w:pPr>
    </w:p>
    <w:p w14:paraId="590876F3" w14:textId="77777777" w:rsidR="00495F37" w:rsidRPr="00EB16B4" w:rsidRDefault="00495F37" w:rsidP="00495F37">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Účinky na oči </w:t>
      </w:r>
    </w:p>
    <w:p w14:paraId="34C83825" w14:textId="3349957B" w:rsidR="00A675BA" w:rsidRPr="00EB16B4" w:rsidRDefault="00495F37" w:rsidP="00495F37">
      <w:pPr>
        <w:autoSpaceDE w:val="0"/>
        <w:autoSpaceDN w:val="0"/>
        <w:adjustRightInd w:val="0"/>
        <w:rPr>
          <w:rFonts w:eastAsiaTheme="minorHAnsi"/>
          <w:color w:val="000000"/>
          <w:szCs w:val="22"/>
          <w:lang w:val="sk-SK"/>
        </w:rPr>
      </w:pPr>
      <w:r w:rsidRPr="00EB16B4">
        <w:rPr>
          <w:rFonts w:eastAsiaTheme="minorHAnsi"/>
          <w:color w:val="000000"/>
          <w:szCs w:val="22"/>
          <w:lang w:val="sk-SK"/>
        </w:rPr>
        <w:t>Pred začiatkom liečby musí byť pacient informovaný o možnom raste rias, stmavnutí kože na viečkach alebo okolo očí a zvýšenej hnedej pigmentácii dúhovky</w:t>
      </w:r>
      <w:r w:rsidR="00EE2A2C">
        <w:rPr>
          <w:rFonts w:eastAsiaTheme="minorHAnsi"/>
          <w:color w:val="000000"/>
          <w:szCs w:val="22"/>
          <w:lang w:val="sk-SK"/>
        </w:rPr>
        <w:t>, keďže t</w:t>
      </w:r>
      <w:r w:rsidRPr="00EB16B4">
        <w:rPr>
          <w:rFonts w:eastAsiaTheme="minorHAnsi"/>
          <w:color w:val="000000"/>
          <w:szCs w:val="22"/>
          <w:lang w:val="sk-SK"/>
        </w:rPr>
        <w:t>ieto javy sa pozorovali v priebehu liečby</w:t>
      </w:r>
      <w:r w:rsidR="00B8437E">
        <w:rPr>
          <w:rFonts w:eastAsiaTheme="minorHAnsi"/>
          <w:color w:val="000000"/>
          <w:szCs w:val="22"/>
          <w:lang w:val="sk-SK"/>
        </w:rPr>
        <w:t xml:space="preserve"> s</w:t>
      </w:r>
      <w:r w:rsidRPr="00EB16B4">
        <w:rPr>
          <w:rFonts w:eastAsiaTheme="minorHAnsi"/>
          <w:color w:val="000000"/>
          <w:szCs w:val="22"/>
          <w:lang w:val="sk-SK"/>
        </w:rPr>
        <w:t xml:space="preserve"> </w:t>
      </w:r>
      <w:r w:rsidR="00D64ADA" w:rsidRPr="00EE2A2C">
        <w:rPr>
          <w:rFonts w:eastAsiaTheme="minorHAnsi"/>
          <w:color w:val="000000"/>
          <w:szCs w:val="22"/>
          <w:lang w:val="sk-SK"/>
        </w:rPr>
        <w:t>očn</w:t>
      </w:r>
      <w:r w:rsidR="00D64ADA">
        <w:rPr>
          <w:rFonts w:eastAsiaTheme="minorHAnsi"/>
          <w:color w:val="000000"/>
          <w:szCs w:val="22"/>
          <w:lang w:val="sk-SK"/>
        </w:rPr>
        <w:t>ou</w:t>
      </w:r>
      <w:r w:rsidR="00D64ADA" w:rsidRPr="00EE2A2C">
        <w:rPr>
          <w:rFonts w:eastAsiaTheme="minorHAnsi"/>
          <w:color w:val="000000"/>
          <w:szCs w:val="22"/>
          <w:lang w:val="sk-SK"/>
        </w:rPr>
        <w:t xml:space="preserve"> </w:t>
      </w:r>
      <w:r w:rsidR="00EE2A2C" w:rsidRPr="00EE2A2C">
        <w:rPr>
          <w:rFonts w:eastAsiaTheme="minorHAnsi"/>
          <w:color w:val="000000"/>
          <w:szCs w:val="22"/>
          <w:lang w:val="sk-SK"/>
        </w:rPr>
        <w:t>roztokov</w:t>
      </w:r>
      <w:r w:rsidR="00D64ADA">
        <w:rPr>
          <w:rFonts w:eastAsiaTheme="minorHAnsi"/>
          <w:color w:val="000000"/>
          <w:szCs w:val="22"/>
          <w:lang w:val="sk-SK"/>
        </w:rPr>
        <w:t>ou</w:t>
      </w:r>
      <w:r w:rsidR="00EE2A2C" w:rsidRPr="00EE2A2C">
        <w:rPr>
          <w:rFonts w:eastAsiaTheme="minorHAnsi"/>
          <w:color w:val="000000"/>
          <w:szCs w:val="22"/>
          <w:lang w:val="sk-SK"/>
        </w:rPr>
        <w:t xml:space="preserve"> instiláci</w:t>
      </w:r>
      <w:r w:rsidR="00D64ADA">
        <w:rPr>
          <w:rFonts w:eastAsiaTheme="minorHAnsi"/>
          <w:color w:val="000000"/>
          <w:szCs w:val="22"/>
          <w:lang w:val="sk-SK"/>
        </w:rPr>
        <w:t>ou</w:t>
      </w:r>
      <w:r w:rsidR="00EE2A2C" w:rsidRPr="00EE2A2C">
        <w:rPr>
          <w:rFonts w:eastAsiaTheme="minorHAnsi"/>
          <w:color w:val="000000"/>
          <w:szCs w:val="22"/>
          <w:lang w:val="sk-SK"/>
        </w:rPr>
        <w:t xml:space="preserve"> bimatoprost/timolol 0</w:t>
      </w:r>
      <w:r w:rsidR="00EE2A2C">
        <w:rPr>
          <w:rFonts w:eastAsiaTheme="minorHAnsi"/>
          <w:color w:val="000000"/>
          <w:szCs w:val="22"/>
          <w:lang w:val="sk-SK"/>
        </w:rPr>
        <w:t>,</w:t>
      </w:r>
      <w:r w:rsidR="00EE2A2C" w:rsidRPr="00EE2A2C">
        <w:rPr>
          <w:rFonts w:eastAsiaTheme="minorHAnsi"/>
          <w:color w:val="000000"/>
          <w:szCs w:val="22"/>
          <w:lang w:val="sk-SK"/>
        </w:rPr>
        <w:t xml:space="preserve">3 mg/ml + 5 mg/ml </w:t>
      </w:r>
      <w:r w:rsidR="00EE2A2C">
        <w:rPr>
          <w:rFonts w:eastAsiaTheme="minorHAnsi"/>
          <w:color w:val="000000"/>
          <w:szCs w:val="22"/>
          <w:lang w:val="sk-SK"/>
        </w:rPr>
        <w:t xml:space="preserve">bez </w:t>
      </w:r>
      <w:r w:rsidR="00EE2A2C" w:rsidRPr="00EE2A2C">
        <w:rPr>
          <w:rFonts w:eastAsiaTheme="minorHAnsi"/>
          <w:color w:val="000000"/>
          <w:szCs w:val="22"/>
          <w:lang w:val="sk-SK"/>
        </w:rPr>
        <w:t>konzervačných látok.</w:t>
      </w:r>
      <w:r w:rsidR="00EE2A2C">
        <w:rPr>
          <w:rFonts w:eastAsiaTheme="minorHAnsi"/>
          <w:color w:val="000000"/>
          <w:szCs w:val="22"/>
          <w:lang w:val="sk-SK"/>
        </w:rPr>
        <w:t xml:space="preserve"> </w:t>
      </w:r>
      <w:r w:rsidRPr="00EB16B4">
        <w:rPr>
          <w:rFonts w:eastAsiaTheme="minorHAnsi"/>
          <w:color w:val="000000"/>
          <w:szCs w:val="22"/>
          <w:lang w:val="sk-SK"/>
        </w:rPr>
        <w:t xml:space="preserve">Zvýšená pigmentácia dúhovky bude pravdepodobne trvalá a môže viesť k rozdielnemu vzhľadu očí, pokiaľ bolo liečené iba jedno z nich. </w:t>
      </w:r>
    </w:p>
    <w:p w14:paraId="001EC48D" w14:textId="77777777" w:rsidR="00FE4060" w:rsidRPr="00EB16B4" w:rsidRDefault="00FE4060" w:rsidP="00495F37">
      <w:pPr>
        <w:autoSpaceDE w:val="0"/>
        <w:autoSpaceDN w:val="0"/>
        <w:adjustRightInd w:val="0"/>
        <w:rPr>
          <w:rFonts w:eastAsiaTheme="minorHAnsi"/>
          <w:color w:val="000000"/>
          <w:szCs w:val="22"/>
          <w:lang w:val="sk-SK"/>
        </w:rPr>
      </w:pPr>
    </w:p>
    <w:p w14:paraId="37671849" w14:textId="77777777" w:rsidR="00495F37" w:rsidRPr="00EB16B4" w:rsidRDefault="00495F37" w:rsidP="00495F37">
      <w:pPr>
        <w:autoSpaceDE w:val="0"/>
        <w:autoSpaceDN w:val="0"/>
        <w:adjustRightInd w:val="0"/>
        <w:rPr>
          <w:u w:val="single"/>
          <w:lang w:val="sk-SK" w:eastAsia="el-GR"/>
        </w:rPr>
      </w:pPr>
      <w:r w:rsidRPr="00EB16B4">
        <w:rPr>
          <w:rFonts w:eastAsiaTheme="minorHAnsi"/>
          <w:color w:val="000000"/>
          <w:szCs w:val="22"/>
          <w:lang w:val="sk-SK"/>
        </w:rPr>
        <w:t>Po ukončení liečby</w:t>
      </w:r>
      <w:r w:rsidR="00DF696A" w:rsidRPr="00EB16B4">
        <w:rPr>
          <w:rFonts w:eastAsiaTheme="minorHAnsi"/>
          <w:color w:val="000000"/>
          <w:szCs w:val="22"/>
          <w:lang w:val="sk-SK"/>
        </w:rPr>
        <w:t xml:space="preserve"> </w:t>
      </w:r>
      <w:r w:rsidR="00286E35">
        <w:rPr>
          <w:rFonts w:eastAsiaTheme="minorHAnsi"/>
          <w:color w:val="000000"/>
          <w:szCs w:val="22"/>
          <w:lang w:val="sk-SK"/>
        </w:rPr>
        <w:t>b</w:t>
      </w:r>
      <w:r w:rsidR="00FB2719" w:rsidRPr="00EB16B4">
        <w:rPr>
          <w:rFonts w:eastAsiaTheme="minorHAnsi"/>
          <w:color w:val="000000"/>
          <w:szCs w:val="22"/>
          <w:lang w:val="sk-SK"/>
        </w:rPr>
        <w:t>imatoprost</w:t>
      </w:r>
      <w:r w:rsidR="00286E35">
        <w:rPr>
          <w:rFonts w:eastAsiaTheme="minorHAnsi"/>
          <w:color w:val="000000"/>
          <w:szCs w:val="22"/>
          <w:lang w:val="sk-SK"/>
        </w:rPr>
        <w:t>om</w:t>
      </w:r>
      <w:r w:rsidR="00FB2719" w:rsidRPr="00EB16B4">
        <w:rPr>
          <w:rFonts w:eastAsiaTheme="minorHAnsi"/>
          <w:color w:val="000000"/>
          <w:szCs w:val="22"/>
          <w:lang w:val="sk-SK"/>
        </w:rPr>
        <w:t>/</w:t>
      </w:r>
      <w:r w:rsidR="00286E35">
        <w:rPr>
          <w:rFonts w:eastAsiaTheme="minorHAnsi"/>
          <w:color w:val="000000"/>
          <w:szCs w:val="22"/>
          <w:lang w:val="sk-SK"/>
        </w:rPr>
        <w:t>t</w:t>
      </w:r>
      <w:r w:rsidR="00FB2719" w:rsidRPr="00EB16B4">
        <w:rPr>
          <w:rFonts w:eastAsiaTheme="minorHAnsi"/>
          <w:color w:val="000000"/>
          <w:szCs w:val="22"/>
          <w:lang w:val="sk-SK"/>
        </w:rPr>
        <w:t>imolol</w:t>
      </w:r>
      <w:r w:rsidR="00FB2719">
        <w:rPr>
          <w:rFonts w:eastAsiaTheme="minorHAnsi"/>
          <w:color w:val="000000"/>
          <w:szCs w:val="22"/>
          <w:lang w:val="sk-SK"/>
        </w:rPr>
        <w:t xml:space="preserve"> </w:t>
      </w:r>
      <w:r w:rsidR="00286E35" w:rsidRPr="00EE2A2C">
        <w:rPr>
          <w:rFonts w:eastAsiaTheme="minorHAnsi"/>
          <w:color w:val="000000"/>
          <w:szCs w:val="22"/>
          <w:lang w:val="sk-SK"/>
        </w:rPr>
        <w:t>0</w:t>
      </w:r>
      <w:r w:rsidR="00286E35">
        <w:rPr>
          <w:rFonts w:eastAsiaTheme="minorHAnsi"/>
          <w:color w:val="000000"/>
          <w:szCs w:val="22"/>
          <w:lang w:val="sk-SK"/>
        </w:rPr>
        <w:t>,</w:t>
      </w:r>
      <w:r w:rsidR="00286E35" w:rsidRPr="00EE2A2C">
        <w:rPr>
          <w:rFonts w:eastAsiaTheme="minorHAnsi"/>
          <w:color w:val="000000"/>
          <w:szCs w:val="22"/>
          <w:lang w:val="sk-SK"/>
        </w:rPr>
        <w:t>3 mg/ml + 5 mg/ml</w:t>
      </w:r>
      <w:r w:rsidR="00286E35" w:rsidRPr="00EB16B4" w:rsidDel="00286E35">
        <w:rPr>
          <w:rFonts w:eastAsiaTheme="minorHAnsi"/>
          <w:color w:val="000000"/>
          <w:szCs w:val="22"/>
          <w:lang w:val="sk-SK"/>
        </w:rPr>
        <w:t xml:space="preserve"> </w:t>
      </w:r>
      <w:r w:rsidRPr="00EB16B4">
        <w:rPr>
          <w:rFonts w:eastAsiaTheme="minorHAnsi"/>
          <w:color w:val="000000"/>
          <w:szCs w:val="22"/>
          <w:lang w:val="sk-SK"/>
        </w:rPr>
        <w:t xml:space="preserve">môže byť pigmentácia dúhovky trvalá. Po 12 mesiacoch liečby </w:t>
      </w:r>
      <w:r w:rsidR="00286E35">
        <w:rPr>
          <w:rFonts w:eastAsiaTheme="minorHAnsi"/>
          <w:color w:val="000000"/>
          <w:szCs w:val="22"/>
          <w:lang w:val="sk-SK"/>
        </w:rPr>
        <w:t>b</w:t>
      </w:r>
      <w:r w:rsidR="00286E35" w:rsidRPr="00EB16B4">
        <w:rPr>
          <w:rFonts w:eastAsiaTheme="minorHAnsi"/>
          <w:color w:val="000000"/>
          <w:szCs w:val="22"/>
          <w:lang w:val="sk-SK"/>
        </w:rPr>
        <w:t>imatoprost</w:t>
      </w:r>
      <w:r w:rsidR="00286E35">
        <w:rPr>
          <w:rFonts w:eastAsiaTheme="minorHAnsi"/>
          <w:color w:val="000000"/>
          <w:szCs w:val="22"/>
          <w:lang w:val="sk-SK"/>
        </w:rPr>
        <w:t>om</w:t>
      </w:r>
      <w:r w:rsidR="00286E35" w:rsidRPr="00EB16B4">
        <w:rPr>
          <w:rFonts w:eastAsiaTheme="minorHAnsi"/>
          <w:color w:val="000000"/>
          <w:szCs w:val="22"/>
          <w:lang w:val="sk-SK"/>
        </w:rPr>
        <w:t>/</w:t>
      </w:r>
      <w:r w:rsidR="00286E35">
        <w:rPr>
          <w:rFonts w:eastAsiaTheme="minorHAnsi"/>
          <w:color w:val="000000"/>
          <w:szCs w:val="22"/>
          <w:lang w:val="sk-SK"/>
        </w:rPr>
        <w:t>t</w:t>
      </w:r>
      <w:r w:rsidR="00286E35" w:rsidRPr="00EB16B4">
        <w:rPr>
          <w:rFonts w:eastAsiaTheme="minorHAnsi"/>
          <w:color w:val="000000"/>
          <w:szCs w:val="22"/>
          <w:lang w:val="sk-SK"/>
        </w:rPr>
        <w:t>imolol</w:t>
      </w:r>
      <w:r w:rsidR="00286E35">
        <w:rPr>
          <w:rFonts w:eastAsiaTheme="minorHAnsi"/>
          <w:color w:val="000000"/>
          <w:szCs w:val="22"/>
          <w:lang w:val="sk-SK"/>
        </w:rPr>
        <w:t xml:space="preserve"> </w:t>
      </w:r>
      <w:r w:rsidR="00286E35" w:rsidRPr="00EE2A2C">
        <w:rPr>
          <w:rFonts w:eastAsiaTheme="minorHAnsi"/>
          <w:color w:val="000000"/>
          <w:szCs w:val="22"/>
          <w:lang w:val="sk-SK"/>
        </w:rPr>
        <w:t>0</w:t>
      </w:r>
      <w:r w:rsidR="00286E35">
        <w:rPr>
          <w:rFonts w:eastAsiaTheme="minorHAnsi"/>
          <w:color w:val="000000"/>
          <w:szCs w:val="22"/>
          <w:lang w:val="sk-SK"/>
        </w:rPr>
        <w:t>,</w:t>
      </w:r>
      <w:r w:rsidR="00286E35" w:rsidRPr="00EE2A2C">
        <w:rPr>
          <w:rFonts w:eastAsiaTheme="minorHAnsi"/>
          <w:color w:val="000000"/>
          <w:szCs w:val="22"/>
          <w:lang w:val="sk-SK"/>
        </w:rPr>
        <w:t>3 mg/ml + 5 mg/ml</w:t>
      </w:r>
      <w:r w:rsidR="00286E35" w:rsidRPr="00EB16B4" w:rsidDel="00286E35">
        <w:rPr>
          <w:rFonts w:eastAsiaTheme="minorHAnsi"/>
          <w:color w:val="000000"/>
          <w:szCs w:val="22"/>
          <w:lang w:val="sk-SK"/>
        </w:rPr>
        <w:t xml:space="preserve"> </w:t>
      </w:r>
      <w:r w:rsidR="00D64ADA">
        <w:rPr>
          <w:rFonts w:eastAsiaTheme="minorHAnsi"/>
          <w:color w:val="000000"/>
          <w:szCs w:val="22"/>
          <w:lang w:val="sk-SK"/>
        </w:rPr>
        <w:t xml:space="preserve">s obsahom konzervantov </w:t>
      </w:r>
      <w:r w:rsidRPr="00EB16B4">
        <w:rPr>
          <w:rFonts w:eastAsiaTheme="minorHAnsi"/>
          <w:color w:val="000000"/>
          <w:szCs w:val="22"/>
          <w:lang w:val="sk-SK"/>
        </w:rPr>
        <w:t>bola incidencia pigmentácie dúhovky 0,2 %. Po 12 mesiacoch liečby iba bimatoprostovými očnými kvapkami bola incidencia 1,5 % a nasledujúce 3 roky sa nezvýšila. Zmenu pigmentácie spôsobuje zvýšený obsah melanínu v melanocytoch, a nie zvýšenie počtu melanocytov. Dlhodobé účinky zvýšenej pigmentácie dúhovky nie sú známe. Zmeny farby dúhovky pri očnom podávaní bimatoprostu nemusia byť pozorované počas niekoľkých mesiacov až rokov. Zdá sa, že névy ani škvrny dúhovky nie sú ovplyvnené liečbou. Pigmentácia tkaniva okolo očnice je podľa hlásení reverzibilná u niektorých pacientov.</w:t>
      </w:r>
    </w:p>
    <w:p w14:paraId="091B71CE" w14:textId="77777777" w:rsidR="00F23948" w:rsidRPr="00EB16B4" w:rsidRDefault="00F23948" w:rsidP="00F23948">
      <w:pPr>
        <w:autoSpaceDE w:val="0"/>
        <w:autoSpaceDN w:val="0"/>
        <w:adjustRightInd w:val="0"/>
        <w:rPr>
          <w:lang w:val="sk-SK" w:eastAsia="el-GR"/>
        </w:rPr>
      </w:pPr>
    </w:p>
    <w:p w14:paraId="7CE9A00F" w14:textId="77777777" w:rsidR="00B92BAE" w:rsidRPr="00EB16B4" w:rsidRDefault="00B92BAE" w:rsidP="00B92BAE">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Makulárny edém vrátane cystoidného makulárneho edému bol hlásený počas liečby </w:t>
      </w:r>
      <w:r w:rsidR="00FB2719">
        <w:rPr>
          <w:rFonts w:eastAsiaTheme="minorHAnsi"/>
          <w:color w:val="000000"/>
          <w:szCs w:val="22"/>
          <w:lang w:val="sk-SK"/>
        </w:rPr>
        <w:t>b</w:t>
      </w:r>
      <w:r w:rsidR="00FB2719" w:rsidRPr="00EB16B4">
        <w:rPr>
          <w:rFonts w:eastAsiaTheme="minorHAnsi"/>
          <w:color w:val="000000"/>
          <w:szCs w:val="22"/>
          <w:lang w:val="sk-SK"/>
        </w:rPr>
        <w:t>imatoprost</w:t>
      </w:r>
      <w:r w:rsidR="00286E35">
        <w:rPr>
          <w:rFonts w:eastAsiaTheme="minorHAnsi"/>
          <w:color w:val="000000"/>
          <w:szCs w:val="22"/>
          <w:lang w:val="sk-SK"/>
        </w:rPr>
        <w:t>om</w:t>
      </w:r>
      <w:r w:rsidR="00FB2719" w:rsidRPr="00EB16B4">
        <w:rPr>
          <w:rFonts w:eastAsiaTheme="minorHAnsi"/>
          <w:color w:val="000000"/>
          <w:szCs w:val="22"/>
          <w:lang w:val="sk-SK"/>
        </w:rPr>
        <w:t>/</w:t>
      </w:r>
      <w:r w:rsidR="00FB2719">
        <w:rPr>
          <w:rFonts w:eastAsiaTheme="minorHAnsi"/>
          <w:color w:val="000000"/>
          <w:szCs w:val="22"/>
          <w:lang w:val="sk-SK"/>
        </w:rPr>
        <w:t>t</w:t>
      </w:r>
      <w:r w:rsidR="00FB2719" w:rsidRPr="00EB16B4">
        <w:rPr>
          <w:rFonts w:eastAsiaTheme="minorHAnsi"/>
          <w:color w:val="000000"/>
          <w:szCs w:val="22"/>
          <w:lang w:val="sk-SK"/>
        </w:rPr>
        <w:t>imolol</w:t>
      </w:r>
      <w:r w:rsidR="00FB2719">
        <w:rPr>
          <w:rFonts w:eastAsiaTheme="minorHAnsi"/>
          <w:color w:val="000000"/>
          <w:szCs w:val="22"/>
          <w:lang w:val="sk-SK"/>
        </w:rPr>
        <w:t xml:space="preserve"> </w:t>
      </w:r>
      <w:r w:rsidR="00FB2719" w:rsidRPr="00EB16B4">
        <w:rPr>
          <w:rFonts w:eastAsiaTheme="minorHAnsi"/>
          <w:color w:val="000000"/>
          <w:szCs w:val="22"/>
          <w:lang w:val="sk-SK"/>
        </w:rPr>
        <w:t>s</w:t>
      </w:r>
      <w:r w:rsidR="003E1604">
        <w:rPr>
          <w:color w:val="000000"/>
          <w:szCs w:val="22"/>
          <w:lang w:val="sk-SK"/>
        </w:rPr>
        <w:t> obsahom konzervačných látok</w:t>
      </w:r>
      <w:r w:rsidRPr="00EB16B4">
        <w:rPr>
          <w:rFonts w:eastAsiaTheme="minorHAnsi"/>
          <w:color w:val="000000"/>
          <w:szCs w:val="22"/>
          <w:lang w:val="sk-SK"/>
        </w:rPr>
        <w:t xml:space="preserve">. </w:t>
      </w:r>
      <w:r w:rsidR="00B12BC7" w:rsidRPr="00EB16B4">
        <w:rPr>
          <w:color w:val="000000"/>
          <w:szCs w:val="22"/>
          <w:lang w:val="sk-SK"/>
        </w:rPr>
        <w:t>Bimatoprost/Timolol PharmaSwiss</w:t>
      </w:r>
      <w:r w:rsidR="00FB2719">
        <w:rPr>
          <w:rFonts w:eastAsiaTheme="minorHAnsi"/>
          <w:color w:val="000000"/>
          <w:szCs w:val="22"/>
          <w:lang w:val="sk-SK"/>
        </w:rPr>
        <w:t xml:space="preserve"> </w:t>
      </w:r>
      <w:r w:rsidRPr="00EB16B4">
        <w:rPr>
          <w:rFonts w:eastAsiaTheme="minorHAnsi"/>
          <w:color w:val="000000"/>
          <w:szCs w:val="22"/>
          <w:lang w:val="sk-SK"/>
        </w:rPr>
        <w:t xml:space="preserve"> sa preto má používať s opatrnosťou u afakických pacientov, pseudofakických pacientov s trhlinou zadného puzdra šošovky alebo u pacientov so známymi rizikovými faktormi pre makulárny edém (napr. vnútroočný chirurgický zákrok, oklúzia žily sietnice, zápalové očné ochorenie a diabetická retinopatia). </w:t>
      </w:r>
    </w:p>
    <w:p w14:paraId="29AE5071" w14:textId="77777777" w:rsidR="00F23948" w:rsidRPr="00EB16B4" w:rsidRDefault="00522790" w:rsidP="00B92BAE">
      <w:pPr>
        <w:autoSpaceDE w:val="0"/>
        <w:autoSpaceDN w:val="0"/>
        <w:adjustRightInd w:val="0"/>
        <w:rPr>
          <w:rFonts w:eastAsiaTheme="minorHAnsi"/>
          <w:color w:val="000000"/>
          <w:szCs w:val="22"/>
          <w:lang w:val="sk-SK"/>
        </w:rPr>
      </w:pPr>
      <w:r w:rsidRPr="00EB16B4">
        <w:rPr>
          <w:color w:val="000000"/>
          <w:szCs w:val="22"/>
          <w:lang w:val="sk-SK"/>
        </w:rPr>
        <w:t>Bimatoprost/Timolol PharmaSwiss</w:t>
      </w:r>
      <w:r w:rsidRPr="00EB16B4">
        <w:rPr>
          <w:rFonts w:eastAsiaTheme="minorHAnsi"/>
          <w:color w:val="000000"/>
          <w:szCs w:val="22"/>
          <w:lang w:val="sk-SK"/>
        </w:rPr>
        <w:t xml:space="preserve"> </w:t>
      </w:r>
      <w:r w:rsidR="00B92BAE" w:rsidRPr="00EB16B4">
        <w:rPr>
          <w:rFonts w:eastAsiaTheme="minorHAnsi"/>
          <w:color w:val="000000"/>
          <w:szCs w:val="22"/>
          <w:lang w:val="sk-SK"/>
        </w:rPr>
        <w:t>sa má používať s opatrnosťou u pacientov s aktívnym vnútroočným zápalom (napr. uveitídou), pretože zápal sa môže exacerbovať.</w:t>
      </w:r>
    </w:p>
    <w:p w14:paraId="1F50D598" w14:textId="77777777" w:rsidR="00522790" w:rsidRPr="00EB16B4" w:rsidRDefault="00522790" w:rsidP="00B92BAE">
      <w:pPr>
        <w:autoSpaceDE w:val="0"/>
        <w:autoSpaceDN w:val="0"/>
        <w:adjustRightInd w:val="0"/>
        <w:rPr>
          <w:lang w:val="sk-SK" w:eastAsia="el-GR"/>
        </w:rPr>
      </w:pPr>
    </w:p>
    <w:p w14:paraId="7B1EFA30" w14:textId="77777777" w:rsidR="00D956D0" w:rsidRPr="00EB16B4" w:rsidRDefault="00D956D0" w:rsidP="00D956D0">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Koža </w:t>
      </w:r>
    </w:p>
    <w:p w14:paraId="6E70F8B3" w14:textId="4D488197" w:rsidR="00F23948" w:rsidRPr="00EB16B4" w:rsidRDefault="00D956D0" w:rsidP="00D956D0">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Existuje možnosť rastu chĺpkov v oblasti, kde </w:t>
      </w:r>
      <w:r w:rsidR="00A47AAB">
        <w:rPr>
          <w:rFonts w:eastAsiaTheme="minorHAnsi"/>
          <w:color w:val="000000"/>
          <w:szCs w:val="22"/>
          <w:lang w:val="sk-SK"/>
        </w:rPr>
        <w:t xml:space="preserve">očná </w:t>
      </w:r>
      <w:r w:rsidRPr="00EB16B4">
        <w:rPr>
          <w:rFonts w:eastAsiaTheme="minorHAnsi"/>
          <w:color w:val="000000"/>
          <w:szCs w:val="22"/>
          <w:lang w:val="sk-SK"/>
        </w:rPr>
        <w:t>roztok</w:t>
      </w:r>
      <w:r w:rsidR="00A47AAB">
        <w:rPr>
          <w:rFonts w:eastAsiaTheme="minorHAnsi"/>
          <w:color w:val="000000"/>
          <w:szCs w:val="22"/>
          <w:lang w:val="sk-SK"/>
        </w:rPr>
        <w:t>ová instilácia</w:t>
      </w:r>
      <w:r w:rsidRPr="00EB16B4">
        <w:rPr>
          <w:rFonts w:eastAsiaTheme="minorHAnsi"/>
          <w:color w:val="000000"/>
          <w:szCs w:val="22"/>
          <w:lang w:val="sk-SK"/>
        </w:rPr>
        <w:t xml:space="preserve"> </w:t>
      </w:r>
      <w:r w:rsidR="00286E35">
        <w:rPr>
          <w:rFonts w:eastAsiaTheme="minorHAnsi"/>
          <w:color w:val="000000"/>
          <w:szCs w:val="22"/>
          <w:lang w:val="sk-SK"/>
        </w:rPr>
        <w:t>b</w:t>
      </w:r>
      <w:r w:rsidRPr="00EB16B4">
        <w:rPr>
          <w:color w:val="000000"/>
          <w:szCs w:val="22"/>
          <w:lang w:val="sk-SK"/>
        </w:rPr>
        <w:t>imatoprost</w:t>
      </w:r>
      <w:r w:rsidR="00286E35">
        <w:rPr>
          <w:color w:val="000000"/>
          <w:szCs w:val="22"/>
          <w:lang w:val="sk-SK"/>
        </w:rPr>
        <w:t>u/t</w:t>
      </w:r>
      <w:r w:rsidRPr="00EB16B4">
        <w:rPr>
          <w:color w:val="000000"/>
          <w:szCs w:val="22"/>
          <w:lang w:val="sk-SK"/>
        </w:rPr>
        <w:t>imolol</w:t>
      </w:r>
      <w:r w:rsidR="00A47AAB">
        <w:rPr>
          <w:color w:val="000000"/>
          <w:szCs w:val="22"/>
          <w:lang w:val="sk-SK"/>
        </w:rPr>
        <w:t xml:space="preserve"> 0,3 mg/ml + 5 mg/ml</w:t>
      </w:r>
      <w:r w:rsidRPr="00EB16B4">
        <w:rPr>
          <w:color w:val="000000"/>
          <w:szCs w:val="22"/>
          <w:lang w:val="sk-SK"/>
        </w:rPr>
        <w:t xml:space="preserve"> </w:t>
      </w:r>
      <w:r w:rsidR="00D64ADA">
        <w:rPr>
          <w:color w:val="000000"/>
          <w:szCs w:val="22"/>
          <w:lang w:val="sk-SK"/>
        </w:rPr>
        <w:t>o</w:t>
      </w:r>
      <w:r w:rsidRPr="00EB16B4">
        <w:rPr>
          <w:rFonts w:eastAsiaTheme="minorHAnsi"/>
          <w:color w:val="000000"/>
          <w:szCs w:val="22"/>
          <w:lang w:val="sk-SK"/>
        </w:rPr>
        <w:t xml:space="preserve">pakovane prichádza do kontaktu s povrchom kože. </w:t>
      </w:r>
      <w:r w:rsidR="00286E35" w:rsidRPr="00EB16B4">
        <w:rPr>
          <w:color w:val="000000"/>
          <w:szCs w:val="22"/>
          <w:lang w:val="sk-SK"/>
        </w:rPr>
        <w:t>Bimatoprost/Timolol PharmaSwiss</w:t>
      </w:r>
      <w:r w:rsidR="00286E35">
        <w:rPr>
          <w:rFonts w:eastAsiaTheme="minorHAnsi"/>
          <w:color w:val="000000"/>
          <w:szCs w:val="22"/>
          <w:lang w:val="sk-SK"/>
        </w:rPr>
        <w:t xml:space="preserve"> </w:t>
      </w:r>
      <w:r w:rsidR="0081458F" w:rsidRPr="00EB16B4">
        <w:rPr>
          <w:rFonts w:eastAsiaTheme="minorHAnsi"/>
          <w:color w:val="000000"/>
          <w:szCs w:val="22"/>
          <w:lang w:val="sk-SK"/>
        </w:rPr>
        <w:t>j</w:t>
      </w:r>
      <w:r w:rsidRPr="00EB16B4">
        <w:rPr>
          <w:rFonts w:eastAsiaTheme="minorHAnsi"/>
          <w:color w:val="000000"/>
          <w:szCs w:val="22"/>
          <w:lang w:val="sk-SK"/>
        </w:rPr>
        <w:t>e preto dôležité aplikovať podľa návodu a zabrániť jeho stekaniu na líce alebo iné oblasti kože.</w:t>
      </w:r>
    </w:p>
    <w:p w14:paraId="7F01CF34" w14:textId="77777777" w:rsidR="00D956D0" w:rsidRPr="00EB16B4" w:rsidRDefault="00D956D0" w:rsidP="00D956D0">
      <w:pPr>
        <w:autoSpaceDE w:val="0"/>
        <w:autoSpaceDN w:val="0"/>
        <w:adjustRightInd w:val="0"/>
        <w:rPr>
          <w:u w:val="single"/>
          <w:lang w:val="sk-SK"/>
        </w:rPr>
      </w:pPr>
    </w:p>
    <w:p w14:paraId="0376F88D" w14:textId="77777777" w:rsidR="00FD163D" w:rsidRPr="00EB16B4" w:rsidRDefault="00FD163D" w:rsidP="00F23948">
      <w:pPr>
        <w:autoSpaceDE w:val="0"/>
        <w:autoSpaceDN w:val="0"/>
        <w:adjustRightInd w:val="0"/>
        <w:rPr>
          <w:szCs w:val="22"/>
          <w:u w:val="single"/>
          <w:lang w:val="sk-SK"/>
        </w:rPr>
      </w:pPr>
      <w:r w:rsidRPr="00EB16B4">
        <w:rPr>
          <w:szCs w:val="22"/>
          <w:u w:val="single"/>
          <w:lang w:val="sk-SK"/>
        </w:rPr>
        <w:t xml:space="preserve">Ďalšie stavy </w:t>
      </w:r>
    </w:p>
    <w:p w14:paraId="0629FA0A" w14:textId="06FEBC08" w:rsidR="00574F94" w:rsidRDefault="00286E35" w:rsidP="00574F94">
      <w:pPr>
        <w:tabs>
          <w:tab w:val="clear" w:pos="567"/>
        </w:tabs>
        <w:autoSpaceDE w:val="0"/>
        <w:autoSpaceDN w:val="0"/>
        <w:adjustRightInd w:val="0"/>
        <w:spacing w:line="240" w:lineRule="auto"/>
        <w:rPr>
          <w:rFonts w:eastAsiaTheme="minorHAnsi"/>
          <w:color w:val="000000"/>
          <w:szCs w:val="22"/>
          <w:lang w:val="sk-SK"/>
        </w:rPr>
      </w:pPr>
      <w:r>
        <w:rPr>
          <w:rFonts w:eastAsiaTheme="minorHAnsi"/>
          <w:color w:val="000000"/>
          <w:szCs w:val="22"/>
          <w:lang w:val="sk-SK"/>
        </w:rPr>
        <w:t>O</w:t>
      </w:r>
      <w:r w:rsidRPr="00EE2A2C">
        <w:rPr>
          <w:rFonts w:eastAsiaTheme="minorHAnsi"/>
          <w:color w:val="000000"/>
          <w:szCs w:val="22"/>
          <w:lang w:val="sk-SK"/>
        </w:rPr>
        <w:t>čn</w:t>
      </w:r>
      <w:r>
        <w:rPr>
          <w:rFonts w:eastAsiaTheme="minorHAnsi"/>
          <w:color w:val="000000"/>
          <w:szCs w:val="22"/>
          <w:lang w:val="sk-SK"/>
        </w:rPr>
        <w:t>á</w:t>
      </w:r>
      <w:r w:rsidRPr="00EE2A2C">
        <w:rPr>
          <w:rFonts w:eastAsiaTheme="minorHAnsi"/>
          <w:color w:val="000000"/>
          <w:szCs w:val="22"/>
          <w:lang w:val="sk-SK"/>
        </w:rPr>
        <w:t xml:space="preserve"> roztokov</w:t>
      </w:r>
      <w:r>
        <w:rPr>
          <w:rFonts w:eastAsiaTheme="minorHAnsi"/>
          <w:color w:val="000000"/>
          <w:szCs w:val="22"/>
          <w:lang w:val="sk-SK"/>
        </w:rPr>
        <w:t>á</w:t>
      </w:r>
      <w:r w:rsidRPr="00EE2A2C">
        <w:rPr>
          <w:rFonts w:eastAsiaTheme="minorHAnsi"/>
          <w:color w:val="000000"/>
          <w:szCs w:val="22"/>
          <w:lang w:val="sk-SK"/>
        </w:rPr>
        <w:t xml:space="preserve"> instiláci</w:t>
      </w:r>
      <w:r>
        <w:rPr>
          <w:rFonts w:eastAsiaTheme="minorHAnsi"/>
          <w:color w:val="000000"/>
          <w:szCs w:val="22"/>
          <w:lang w:val="sk-SK"/>
        </w:rPr>
        <w:t>á</w:t>
      </w:r>
      <w:r w:rsidRPr="00EE2A2C">
        <w:rPr>
          <w:rFonts w:eastAsiaTheme="minorHAnsi"/>
          <w:color w:val="000000"/>
          <w:szCs w:val="22"/>
          <w:lang w:val="sk-SK"/>
        </w:rPr>
        <w:t xml:space="preserve"> </w:t>
      </w:r>
      <w:r>
        <w:rPr>
          <w:rFonts w:eastAsiaTheme="minorHAnsi"/>
          <w:color w:val="000000"/>
          <w:szCs w:val="22"/>
          <w:lang w:val="sk-SK"/>
        </w:rPr>
        <w:t>b</w:t>
      </w:r>
      <w:r w:rsidR="00574F94" w:rsidRPr="00EB16B4">
        <w:rPr>
          <w:color w:val="000000"/>
          <w:szCs w:val="22"/>
          <w:lang w:val="sk-SK"/>
        </w:rPr>
        <w:t>imatoprost/</w:t>
      </w:r>
      <w:r>
        <w:rPr>
          <w:color w:val="000000"/>
          <w:szCs w:val="22"/>
          <w:lang w:val="sk-SK"/>
        </w:rPr>
        <w:t>t</w:t>
      </w:r>
      <w:r w:rsidR="00574F94" w:rsidRPr="00EB16B4">
        <w:rPr>
          <w:color w:val="000000"/>
          <w:szCs w:val="22"/>
          <w:lang w:val="sk-SK"/>
        </w:rPr>
        <w:t>imolol</w:t>
      </w:r>
      <w:r w:rsidR="00A47AAB">
        <w:rPr>
          <w:color w:val="000000"/>
          <w:szCs w:val="22"/>
          <w:lang w:val="sk-SK"/>
        </w:rPr>
        <w:t xml:space="preserve"> 0,3 mg/ml + 5 mg/ml</w:t>
      </w:r>
      <w:r w:rsidR="00574F94" w:rsidRPr="00EB16B4">
        <w:rPr>
          <w:color w:val="000000"/>
          <w:szCs w:val="22"/>
          <w:lang w:val="sk-SK"/>
        </w:rPr>
        <w:t xml:space="preserve"> </w:t>
      </w:r>
      <w:r w:rsidR="00574F94" w:rsidRPr="00EB16B4">
        <w:rPr>
          <w:rFonts w:eastAsiaTheme="minorHAnsi"/>
          <w:color w:val="000000"/>
          <w:szCs w:val="22"/>
          <w:lang w:val="sk-SK"/>
        </w:rPr>
        <w:t xml:space="preserve">bez </w:t>
      </w:r>
      <w:r w:rsidR="00FB2719">
        <w:rPr>
          <w:rFonts w:eastAsiaTheme="minorHAnsi"/>
          <w:color w:val="000000"/>
          <w:szCs w:val="22"/>
          <w:lang w:val="sk-SK"/>
        </w:rPr>
        <w:t xml:space="preserve">konzervačných látok </w:t>
      </w:r>
      <w:r w:rsidR="00574F94" w:rsidRPr="00EB16B4">
        <w:rPr>
          <w:rFonts w:eastAsiaTheme="minorHAnsi"/>
          <w:color w:val="000000"/>
          <w:szCs w:val="22"/>
          <w:lang w:val="sk-SK"/>
        </w:rPr>
        <w:t>sa neskúšal</w:t>
      </w:r>
      <w:r>
        <w:rPr>
          <w:rFonts w:eastAsiaTheme="minorHAnsi"/>
          <w:color w:val="000000"/>
          <w:szCs w:val="22"/>
          <w:lang w:val="sk-SK"/>
        </w:rPr>
        <w:t>a</w:t>
      </w:r>
      <w:r w:rsidR="00574F94" w:rsidRPr="00EB16B4">
        <w:rPr>
          <w:rFonts w:eastAsiaTheme="minorHAnsi"/>
          <w:color w:val="000000"/>
          <w:szCs w:val="22"/>
          <w:lang w:val="sk-SK"/>
        </w:rPr>
        <w:t xml:space="preserve"> u pacientov s očnými zápalovými stavmi, neovaskularizáciou, zápalmi, glaukómom so zavretým uhlom, kongenitálnym glauk</w:t>
      </w:r>
      <w:r w:rsidR="00A446ED">
        <w:rPr>
          <w:rFonts w:eastAsiaTheme="minorHAnsi"/>
          <w:color w:val="000000"/>
          <w:szCs w:val="22"/>
          <w:lang w:val="sk-SK"/>
        </w:rPr>
        <w:t>ómom a glaukómom s úzkym uhlom.</w:t>
      </w:r>
    </w:p>
    <w:p w14:paraId="136A09AF" w14:textId="77777777" w:rsidR="00A446ED" w:rsidRPr="00EB16B4" w:rsidRDefault="00A446ED" w:rsidP="00574F94">
      <w:pPr>
        <w:tabs>
          <w:tab w:val="clear" w:pos="567"/>
        </w:tabs>
        <w:autoSpaceDE w:val="0"/>
        <w:autoSpaceDN w:val="0"/>
        <w:adjustRightInd w:val="0"/>
        <w:spacing w:line="240" w:lineRule="auto"/>
        <w:rPr>
          <w:rFonts w:eastAsiaTheme="minorHAnsi"/>
          <w:color w:val="000000"/>
          <w:szCs w:val="22"/>
          <w:lang w:val="sk-SK"/>
        </w:rPr>
      </w:pPr>
    </w:p>
    <w:p w14:paraId="66022CF4" w14:textId="77777777" w:rsidR="00600C94" w:rsidRPr="00EB16B4" w:rsidRDefault="00574F94" w:rsidP="00574F94">
      <w:pPr>
        <w:rPr>
          <w:rFonts w:eastAsiaTheme="minorHAnsi"/>
          <w:color w:val="000000"/>
          <w:szCs w:val="22"/>
          <w:lang w:val="sk-SK"/>
        </w:rPr>
      </w:pPr>
      <w:r w:rsidRPr="00EB16B4">
        <w:rPr>
          <w:rFonts w:eastAsiaTheme="minorHAnsi"/>
          <w:color w:val="000000"/>
          <w:szCs w:val="22"/>
          <w:lang w:val="sk-SK"/>
        </w:rPr>
        <w:t xml:space="preserve">V štúdiách s bimatoprostom 0,3 mg/l u pacientov s glaukómom alebo vysokým vnútroočným tlakom sa preukázalo, že častejšia expozícia oka viac ako 1 dávke bimatoprostu denne môže znížiť účinok spočívajúci v znižovaní VOT. Pacienti používajúci </w:t>
      </w:r>
      <w:r w:rsidR="00D13702" w:rsidRPr="00EB16B4">
        <w:rPr>
          <w:color w:val="000000"/>
          <w:szCs w:val="22"/>
          <w:lang w:val="sk-SK"/>
        </w:rPr>
        <w:t>Bimatoprost/Timolol PharmaSwiss</w:t>
      </w:r>
      <w:r w:rsidR="00D13702" w:rsidRPr="00EB16B4">
        <w:rPr>
          <w:rFonts w:eastAsiaTheme="minorHAnsi"/>
          <w:color w:val="000000"/>
          <w:szCs w:val="22"/>
          <w:lang w:val="sk-SK"/>
        </w:rPr>
        <w:t xml:space="preserve"> </w:t>
      </w:r>
      <w:r w:rsidR="002D7D89" w:rsidRPr="00EB16B4">
        <w:rPr>
          <w:rFonts w:eastAsiaTheme="minorHAnsi"/>
          <w:color w:val="000000"/>
          <w:szCs w:val="22"/>
          <w:lang w:val="sk-SK"/>
        </w:rPr>
        <w:t>s</w:t>
      </w:r>
      <w:r w:rsidRPr="00EB16B4">
        <w:rPr>
          <w:rFonts w:eastAsiaTheme="minorHAnsi"/>
          <w:color w:val="000000"/>
          <w:szCs w:val="22"/>
          <w:lang w:val="sk-SK"/>
        </w:rPr>
        <w:t xml:space="preserve"> inými analógmi prostaglandínu musia byť monitorovaní, či u nich nedochádza k zmene vnútroočného tlaku. </w:t>
      </w:r>
    </w:p>
    <w:p w14:paraId="7C83772F" w14:textId="77777777" w:rsidR="00600C94" w:rsidRPr="00EB16B4" w:rsidRDefault="00600C94" w:rsidP="00574F94">
      <w:pPr>
        <w:rPr>
          <w:rFonts w:eastAsiaTheme="minorHAnsi"/>
          <w:color w:val="000000"/>
          <w:szCs w:val="22"/>
          <w:lang w:val="sk-SK"/>
        </w:rPr>
      </w:pPr>
    </w:p>
    <w:p w14:paraId="5A805184" w14:textId="28F8506C" w:rsidR="00F23948" w:rsidRPr="00EB16B4" w:rsidRDefault="00251136">
      <w:pPr>
        <w:rPr>
          <w:lang w:val="sk-SK"/>
        </w:rPr>
      </w:pPr>
      <w:r w:rsidRPr="00EB16B4">
        <w:rPr>
          <w:lang w:val="sk-SK"/>
        </w:rPr>
        <w:t xml:space="preserve">Pacienti s precitlivenosťou na striebro v anamnéze </w:t>
      </w:r>
      <w:r w:rsidR="00D64ADA">
        <w:rPr>
          <w:lang w:val="sk-SK"/>
        </w:rPr>
        <w:t>nemajú</w:t>
      </w:r>
      <w:r w:rsidRPr="00EB16B4">
        <w:rPr>
          <w:lang w:val="sk-SK"/>
        </w:rPr>
        <w:t xml:space="preserve"> </w:t>
      </w:r>
      <w:r w:rsidR="001A4C9E" w:rsidRPr="00EB16B4">
        <w:rPr>
          <w:lang w:val="sk-SK"/>
        </w:rPr>
        <w:t xml:space="preserve">tento liek </w:t>
      </w:r>
      <w:r w:rsidRPr="00EB16B4">
        <w:rPr>
          <w:lang w:val="sk-SK"/>
        </w:rPr>
        <w:t xml:space="preserve">používať, pretože </w:t>
      </w:r>
      <w:r w:rsidR="001A4C9E" w:rsidRPr="00EB16B4">
        <w:rPr>
          <w:rFonts w:eastAsiaTheme="minorHAnsi"/>
          <w:color w:val="000000"/>
          <w:szCs w:val="22"/>
          <w:lang w:val="sk-SK"/>
        </w:rPr>
        <w:t>očná roztoková instilácia</w:t>
      </w:r>
      <w:r w:rsidR="00A446ED">
        <w:rPr>
          <w:lang w:val="sk-SK"/>
        </w:rPr>
        <w:t xml:space="preserve"> </w:t>
      </w:r>
      <w:r w:rsidRPr="00EB16B4">
        <w:rPr>
          <w:lang w:val="sk-SK"/>
        </w:rPr>
        <w:t>môž</w:t>
      </w:r>
      <w:r w:rsidR="001A4C9E" w:rsidRPr="00EB16B4">
        <w:rPr>
          <w:lang w:val="sk-SK"/>
        </w:rPr>
        <w:t>e</w:t>
      </w:r>
      <w:r w:rsidRPr="00EB16B4">
        <w:rPr>
          <w:lang w:val="sk-SK"/>
        </w:rPr>
        <w:t xml:space="preserve"> obsahovať stopy striebra.</w:t>
      </w:r>
    </w:p>
    <w:p w14:paraId="07C41025" w14:textId="77777777" w:rsidR="00251136" w:rsidRPr="00EB16B4" w:rsidRDefault="00251136">
      <w:pPr>
        <w:rPr>
          <w:lang w:val="sk-SK"/>
        </w:rPr>
      </w:pPr>
    </w:p>
    <w:p w14:paraId="07AC1118" w14:textId="77777777" w:rsidR="00B864FD" w:rsidRPr="00EB16B4" w:rsidRDefault="00B864FD" w:rsidP="00B864FD">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4.5 </w:t>
      </w:r>
      <w:r w:rsidR="00EC6531" w:rsidRPr="00EB16B4">
        <w:rPr>
          <w:rFonts w:eastAsiaTheme="minorHAnsi"/>
          <w:b/>
          <w:bCs/>
          <w:color w:val="000000"/>
          <w:szCs w:val="22"/>
          <w:lang w:val="sk-SK"/>
        </w:rPr>
        <w:t xml:space="preserve">   </w:t>
      </w:r>
      <w:r w:rsidR="00A446ED">
        <w:rPr>
          <w:rFonts w:eastAsiaTheme="minorHAnsi"/>
          <w:b/>
          <w:bCs/>
          <w:color w:val="000000"/>
          <w:szCs w:val="22"/>
          <w:lang w:val="sk-SK"/>
        </w:rPr>
        <w:tab/>
      </w:r>
      <w:r w:rsidRPr="00EB16B4">
        <w:rPr>
          <w:rFonts w:eastAsiaTheme="minorHAnsi"/>
          <w:b/>
          <w:bCs/>
          <w:color w:val="000000"/>
          <w:szCs w:val="22"/>
          <w:lang w:val="sk-SK"/>
        </w:rPr>
        <w:t xml:space="preserve">Liekové a iné interakcie </w:t>
      </w:r>
    </w:p>
    <w:p w14:paraId="6F187B4A" w14:textId="77777777" w:rsidR="002F6834" w:rsidRPr="00EB16B4" w:rsidRDefault="002F6834" w:rsidP="00B864FD">
      <w:pPr>
        <w:tabs>
          <w:tab w:val="clear" w:pos="567"/>
        </w:tabs>
        <w:autoSpaceDE w:val="0"/>
        <w:autoSpaceDN w:val="0"/>
        <w:adjustRightInd w:val="0"/>
        <w:spacing w:line="240" w:lineRule="auto"/>
        <w:rPr>
          <w:rFonts w:eastAsiaTheme="minorHAnsi"/>
          <w:color w:val="000000"/>
          <w:szCs w:val="22"/>
          <w:lang w:val="sk-SK"/>
        </w:rPr>
      </w:pPr>
    </w:p>
    <w:p w14:paraId="193EC138" w14:textId="77777777" w:rsidR="00B864FD" w:rsidRDefault="00B864FD" w:rsidP="00B864F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Neuskutočnili sa žiadne špecifické interakčné štúdie fixnej kombinácie</w:t>
      </w:r>
      <w:r w:rsidR="00E76776" w:rsidRPr="00EB16B4">
        <w:rPr>
          <w:rFonts w:eastAsiaTheme="minorHAnsi"/>
          <w:color w:val="000000"/>
          <w:szCs w:val="22"/>
          <w:lang w:val="sk-SK"/>
        </w:rPr>
        <w:t xml:space="preserve"> b</w:t>
      </w:r>
      <w:r w:rsidR="00A446ED">
        <w:rPr>
          <w:rFonts w:eastAsiaTheme="minorHAnsi"/>
          <w:color w:val="000000"/>
          <w:szCs w:val="22"/>
          <w:lang w:val="sk-SK"/>
        </w:rPr>
        <w:t>imatoprostu/timololu.</w:t>
      </w:r>
    </w:p>
    <w:p w14:paraId="17873439" w14:textId="77777777" w:rsidR="00A446ED" w:rsidRPr="00EB16B4" w:rsidRDefault="00A446ED" w:rsidP="00B864FD">
      <w:pPr>
        <w:tabs>
          <w:tab w:val="clear" w:pos="567"/>
        </w:tabs>
        <w:autoSpaceDE w:val="0"/>
        <w:autoSpaceDN w:val="0"/>
        <w:adjustRightInd w:val="0"/>
        <w:spacing w:line="240" w:lineRule="auto"/>
        <w:rPr>
          <w:rFonts w:eastAsiaTheme="minorHAnsi"/>
          <w:color w:val="000000"/>
          <w:szCs w:val="22"/>
          <w:lang w:val="sk-SK"/>
        </w:rPr>
      </w:pPr>
    </w:p>
    <w:p w14:paraId="38EB2EFF" w14:textId="77777777" w:rsidR="00B864FD" w:rsidRPr="00EB16B4" w:rsidRDefault="00B864FD" w:rsidP="00B864F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Existuje potenciál dodatočných účinkov, ktoré vedú k hypotenzii a/alebo výraznej bradykardii, keď sa roztok oftalmických betablokátorov podáva súbežne s perorálnymi blokátormi kalciového kanála, guanetidínom, betaadrenergnými blokátormi, parasympatomimetikami, antiarytmikami (vrátane amiodarónu) a digitalisovými glykozidmi. </w:t>
      </w:r>
    </w:p>
    <w:p w14:paraId="3176C0A2" w14:textId="77777777" w:rsidR="00B864FD" w:rsidRPr="00EB16B4" w:rsidRDefault="00B864FD" w:rsidP="00B864FD">
      <w:pPr>
        <w:tabs>
          <w:tab w:val="clear" w:pos="567"/>
        </w:tabs>
        <w:autoSpaceDE w:val="0"/>
        <w:autoSpaceDN w:val="0"/>
        <w:adjustRightInd w:val="0"/>
        <w:spacing w:line="240" w:lineRule="auto"/>
        <w:rPr>
          <w:rFonts w:eastAsiaTheme="minorHAnsi"/>
          <w:color w:val="000000"/>
          <w:szCs w:val="22"/>
          <w:lang w:val="sk-SK"/>
        </w:rPr>
      </w:pPr>
    </w:p>
    <w:p w14:paraId="33C8D215" w14:textId="77777777" w:rsidR="00B864FD" w:rsidRPr="00EB16B4" w:rsidRDefault="00B864FD" w:rsidP="00B864F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Zosilnená systémová betablokáda (napr. znížená srdcová frekvencia, depresia) bola hlásená počas kombinovanej liečby inhibítormi CYP2D6 (napr. chinidín, fluoxetín, paroxetín) a timolol. </w:t>
      </w:r>
    </w:p>
    <w:p w14:paraId="3A303131" w14:textId="77777777" w:rsidR="00472672" w:rsidRPr="00EB16B4" w:rsidRDefault="00B864FD" w:rsidP="00B864FD">
      <w:pPr>
        <w:rPr>
          <w:rFonts w:eastAsiaTheme="minorHAnsi"/>
          <w:color w:val="000000"/>
          <w:szCs w:val="22"/>
          <w:lang w:val="sk-SK"/>
        </w:rPr>
      </w:pPr>
      <w:r w:rsidRPr="00EB16B4">
        <w:rPr>
          <w:rFonts w:eastAsiaTheme="minorHAnsi"/>
          <w:color w:val="000000"/>
          <w:szCs w:val="22"/>
          <w:lang w:val="sk-SK"/>
        </w:rPr>
        <w:t>Mydriáza v dôsledku súbežného podávania oftalmických betablokátorov a adrenalínu (epinefrín) bola hlásená len príležitostne.</w:t>
      </w:r>
    </w:p>
    <w:p w14:paraId="65DBFC2A" w14:textId="77777777" w:rsidR="002F6834" w:rsidRPr="00EB16B4" w:rsidRDefault="002F6834" w:rsidP="00B864FD">
      <w:pPr>
        <w:rPr>
          <w:rFonts w:eastAsiaTheme="minorHAnsi"/>
          <w:szCs w:val="22"/>
          <w:lang w:val="sk-SK" w:eastAsia="el-GR"/>
        </w:rPr>
      </w:pPr>
    </w:p>
    <w:p w14:paraId="4365CF85" w14:textId="77777777" w:rsidR="00C510BD" w:rsidRPr="00EB16B4" w:rsidRDefault="00C510BD" w:rsidP="00C510BD">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4.6 </w:t>
      </w:r>
      <w:r w:rsidR="00A446ED">
        <w:rPr>
          <w:rFonts w:eastAsiaTheme="minorHAnsi"/>
          <w:b/>
          <w:bCs/>
          <w:color w:val="000000"/>
          <w:szCs w:val="22"/>
          <w:lang w:val="sk-SK"/>
        </w:rPr>
        <w:tab/>
      </w:r>
      <w:r w:rsidRPr="00EB16B4">
        <w:rPr>
          <w:rFonts w:eastAsiaTheme="minorHAnsi"/>
          <w:b/>
          <w:bCs/>
          <w:color w:val="000000"/>
          <w:szCs w:val="22"/>
          <w:lang w:val="sk-SK"/>
        </w:rPr>
        <w:t xml:space="preserve">Fertilita, gravidita a laktácia </w:t>
      </w:r>
    </w:p>
    <w:p w14:paraId="33D6E940" w14:textId="77777777" w:rsidR="00C510BD" w:rsidRPr="00EB16B4" w:rsidRDefault="00C510BD" w:rsidP="00C510BD">
      <w:pPr>
        <w:tabs>
          <w:tab w:val="clear" w:pos="567"/>
        </w:tabs>
        <w:autoSpaceDE w:val="0"/>
        <w:autoSpaceDN w:val="0"/>
        <w:adjustRightInd w:val="0"/>
        <w:spacing w:line="240" w:lineRule="auto"/>
        <w:rPr>
          <w:rFonts w:eastAsiaTheme="minorHAnsi"/>
          <w:b/>
          <w:bCs/>
          <w:color w:val="000000"/>
          <w:szCs w:val="22"/>
          <w:lang w:val="sk-SK"/>
        </w:rPr>
      </w:pPr>
    </w:p>
    <w:p w14:paraId="56BEFE1C" w14:textId="77777777" w:rsidR="00C510BD" w:rsidRPr="00EB16B4" w:rsidRDefault="00C510BD" w:rsidP="00C510BD">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Gravidita </w:t>
      </w:r>
    </w:p>
    <w:p w14:paraId="78276B69" w14:textId="77777777" w:rsidR="00F23948" w:rsidRPr="00EB16B4" w:rsidRDefault="00C510BD" w:rsidP="00C510B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Nie sú k dispozícii dostatočné údaje o použití fixnej kombinácie</w:t>
      </w:r>
      <w:r w:rsidR="00FB2719">
        <w:rPr>
          <w:rFonts w:eastAsiaTheme="minorHAnsi"/>
          <w:color w:val="000000"/>
          <w:szCs w:val="22"/>
          <w:lang w:val="sk-SK"/>
        </w:rPr>
        <w:t xml:space="preserve"> liečiva</w:t>
      </w:r>
      <w:r w:rsidRPr="00EB16B4">
        <w:rPr>
          <w:rFonts w:eastAsiaTheme="minorHAnsi"/>
          <w:color w:val="000000"/>
          <w:szCs w:val="22"/>
          <w:lang w:val="sk-SK"/>
        </w:rPr>
        <w:t xml:space="preserve"> bimatoprost/timolol u gravidných žien. </w:t>
      </w:r>
      <w:r w:rsidR="00FB2719" w:rsidRPr="00EB16B4">
        <w:rPr>
          <w:rFonts w:eastAsiaTheme="minorHAnsi"/>
          <w:color w:val="000000"/>
          <w:szCs w:val="22"/>
          <w:lang w:val="sk-SK"/>
        </w:rPr>
        <w:t>Bimatoprost/Timolol</w:t>
      </w:r>
      <w:r w:rsidR="00FB2719">
        <w:rPr>
          <w:rFonts w:eastAsiaTheme="minorHAnsi"/>
          <w:color w:val="000000"/>
          <w:szCs w:val="22"/>
          <w:lang w:val="sk-SK"/>
        </w:rPr>
        <w:t xml:space="preserve"> </w:t>
      </w:r>
      <w:r w:rsidR="00FB2719" w:rsidRPr="00EB16B4">
        <w:rPr>
          <w:rFonts w:eastAsiaTheme="minorHAnsi"/>
          <w:color w:val="000000"/>
          <w:szCs w:val="22"/>
          <w:lang w:val="sk-SK"/>
        </w:rPr>
        <w:t xml:space="preserve">PharmaSwiss </w:t>
      </w:r>
      <w:r w:rsidR="00FB2719">
        <w:rPr>
          <w:rFonts w:eastAsiaTheme="minorHAnsi"/>
          <w:color w:val="000000"/>
          <w:szCs w:val="22"/>
          <w:lang w:val="sk-SK"/>
        </w:rPr>
        <w:t>sa nemá</w:t>
      </w:r>
      <w:r w:rsidRPr="00EB16B4">
        <w:rPr>
          <w:rFonts w:eastAsiaTheme="minorHAnsi"/>
          <w:color w:val="000000"/>
          <w:szCs w:val="22"/>
          <w:lang w:val="sk-SK"/>
        </w:rPr>
        <w:t xml:space="preserve"> používa</w:t>
      </w:r>
      <w:r w:rsidR="00FB2719">
        <w:rPr>
          <w:rFonts w:eastAsiaTheme="minorHAnsi"/>
          <w:color w:val="000000"/>
          <w:szCs w:val="22"/>
          <w:lang w:val="sk-SK"/>
        </w:rPr>
        <w:t>ť</w:t>
      </w:r>
      <w:r w:rsidRPr="00EB16B4">
        <w:rPr>
          <w:rFonts w:eastAsiaTheme="minorHAnsi"/>
          <w:color w:val="000000"/>
          <w:szCs w:val="22"/>
          <w:lang w:val="sk-SK"/>
        </w:rPr>
        <w:t xml:space="preserve"> počas gravidity, pokiaľ to nie je bezpodmienečne </w:t>
      </w:r>
      <w:r w:rsidR="00FB2719">
        <w:rPr>
          <w:rFonts w:eastAsiaTheme="minorHAnsi"/>
          <w:color w:val="000000"/>
          <w:szCs w:val="22"/>
          <w:lang w:val="sk-SK"/>
        </w:rPr>
        <w:t>nevyhnutné</w:t>
      </w:r>
      <w:r w:rsidRPr="00EB16B4">
        <w:rPr>
          <w:rFonts w:eastAsiaTheme="minorHAnsi"/>
          <w:color w:val="000000"/>
          <w:szCs w:val="22"/>
          <w:lang w:val="sk-SK"/>
        </w:rPr>
        <w:t>. Pre zníženie systémovej absorpcie, pozri časť 4.2.</w:t>
      </w:r>
    </w:p>
    <w:p w14:paraId="1B5082EC" w14:textId="77777777" w:rsidR="00DC18DD" w:rsidRPr="00EB16B4" w:rsidRDefault="00DC18DD" w:rsidP="00C510BD">
      <w:pPr>
        <w:tabs>
          <w:tab w:val="clear" w:pos="567"/>
        </w:tabs>
        <w:autoSpaceDE w:val="0"/>
        <w:autoSpaceDN w:val="0"/>
        <w:adjustRightInd w:val="0"/>
        <w:spacing w:line="240" w:lineRule="auto"/>
        <w:rPr>
          <w:rFonts w:eastAsiaTheme="minorHAnsi"/>
          <w:i/>
          <w:iCs/>
          <w:szCs w:val="22"/>
          <w:lang w:val="sk-SK" w:eastAsia="el-GR"/>
        </w:rPr>
      </w:pPr>
    </w:p>
    <w:p w14:paraId="7ABB613C" w14:textId="77777777" w:rsidR="00DC18DD" w:rsidRPr="00EB16B4" w:rsidRDefault="00DC18DD" w:rsidP="00DC18D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Bimatoprost </w:t>
      </w:r>
    </w:p>
    <w:p w14:paraId="018E4245" w14:textId="77777777" w:rsidR="00F23948" w:rsidRPr="00EB16B4" w:rsidRDefault="00DC18DD" w:rsidP="00DC18D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Nie sú k dispozícii žiadne klinické údaje o gravidných ženách vystavených účinku </w:t>
      </w:r>
      <w:r w:rsidR="00B03129">
        <w:rPr>
          <w:rFonts w:eastAsiaTheme="minorHAnsi"/>
          <w:color w:val="000000"/>
          <w:szCs w:val="22"/>
          <w:lang w:val="sk-SK"/>
        </w:rPr>
        <w:t xml:space="preserve">tohto </w:t>
      </w:r>
      <w:r w:rsidR="00CC366A" w:rsidRPr="00EB16B4">
        <w:rPr>
          <w:rFonts w:eastAsiaTheme="minorHAnsi"/>
          <w:color w:val="000000"/>
          <w:szCs w:val="22"/>
          <w:lang w:val="sk-SK"/>
        </w:rPr>
        <w:t>lie</w:t>
      </w:r>
      <w:r w:rsidR="00FB2719">
        <w:rPr>
          <w:rFonts w:eastAsiaTheme="minorHAnsi"/>
          <w:color w:val="000000"/>
          <w:szCs w:val="22"/>
          <w:lang w:val="sk-SK"/>
        </w:rPr>
        <w:t>k</w:t>
      </w:r>
      <w:r w:rsidR="00CC366A" w:rsidRPr="00EB16B4">
        <w:rPr>
          <w:rFonts w:eastAsiaTheme="minorHAnsi"/>
          <w:color w:val="000000"/>
          <w:szCs w:val="22"/>
          <w:lang w:val="sk-SK"/>
        </w:rPr>
        <w:t>u</w:t>
      </w:r>
      <w:r w:rsidR="00B03129">
        <w:rPr>
          <w:rFonts w:eastAsiaTheme="minorHAnsi"/>
          <w:color w:val="000000"/>
          <w:szCs w:val="22"/>
          <w:lang w:val="sk-SK"/>
        </w:rPr>
        <w:t>.</w:t>
      </w:r>
      <w:r w:rsidR="00CC366A" w:rsidRPr="00EB16B4">
        <w:rPr>
          <w:rFonts w:eastAsiaTheme="minorHAnsi"/>
          <w:color w:val="000000"/>
          <w:szCs w:val="22"/>
          <w:lang w:val="sk-SK"/>
        </w:rPr>
        <w:t xml:space="preserve"> </w:t>
      </w:r>
      <w:r w:rsidRPr="00EB16B4">
        <w:rPr>
          <w:rFonts w:eastAsiaTheme="minorHAnsi"/>
          <w:color w:val="000000"/>
          <w:szCs w:val="22"/>
          <w:lang w:val="sk-SK"/>
        </w:rPr>
        <w:t>Štúdie na zvieratách preukázali reprodukčnú toxicitu pri vysokých maternotoxických dávkach (pozri časť 5.3).</w:t>
      </w:r>
    </w:p>
    <w:p w14:paraId="49911421" w14:textId="77777777" w:rsidR="00DC18DD" w:rsidRPr="00EB16B4" w:rsidRDefault="00DC18DD" w:rsidP="00DC18DD">
      <w:pPr>
        <w:tabs>
          <w:tab w:val="clear" w:pos="567"/>
        </w:tabs>
        <w:autoSpaceDE w:val="0"/>
        <w:autoSpaceDN w:val="0"/>
        <w:adjustRightInd w:val="0"/>
        <w:spacing w:line="240" w:lineRule="auto"/>
        <w:rPr>
          <w:rFonts w:eastAsiaTheme="minorHAnsi"/>
          <w:i/>
          <w:iCs/>
          <w:szCs w:val="22"/>
          <w:lang w:val="sk-SK" w:eastAsia="el-GR"/>
        </w:rPr>
      </w:pPr>
    </w:p>
    <w:p w14:paraId="5DBDFF45" w14:textId="77777777" w:rsidR="00E97D9E" w:rsidRPr="00EB16B4" w:rsidRDefault="00E97D9E" w:rsidP="00E97D9E">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Timolol </w:t>
      </w:r>
    </w:p>
    <w:p w14:paraId="5CF6D1BB" w14:textId="593216AD" w:rsidR="00F23948" w:rsidRPr="00EB16B4" w:rsidRDefault="00E97D9E" w:rsidP="00E97D9E">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Epidemiologické štúdie nepreukázali malformatívne účinky, ale preukázali riziko oneskorenia vnútromaternicového rastu v prípade, že sa betablokátory podávajú perorálne. Okrem toho boli u novorodenca pozorované </w:t>
      </w:r>
      <w:r w:rsidR="00C5207E">
        <w:rPr>
          <w:rFonts w:eastAsiaTheme="minorHAnsi"/>
          <w:color w:val="000000"/>
          <w:szCs w:val="22"/>
          <w:lang w:val="sk-SK"/>
        </w:rPr>
        <w:t>prejavy</w:t>
      </w:r>
      <w:r w:rsidR="00C5207E" w:rsidRPr="00EB16B4">
        <w:rPr>
          <w:rFonts w:eastAsiaTheme="minorHAnsi"/>
          <w:color w:val="000000"/>
          <w:szCs w:val="22"/>
          <w:lang w:val="sk-SK"/>
        </w:rPr>
        <w:t xml:space="preserve"> </w:t>
      </w:r>
      <w:r w:rsidRPr="00EB16B4">
        <w:rPr>
          <w:rFonts w:eastAsiaTheme="minorHAnsi"/>
          <w:color w:val="000000"/>
          <w:szCs w:val="22"/>
          <w:lang w:val="sk-SK"/>
        </w:rPr>
        <w:t xml:space="preserve">a symptómy betablokády (napr. bradykardie, hypotenzie, ťažkosti s dýchaním a hypoglykémie), keď sa betablokátory podávali až do pôrodu. Ak sa podáva </w:t>
      </w:r>
      <w:r w:rsidR="00B03129">
        <w:rPr>
          <w:rFonts w:eastAsiaTheme="minorHAnsi"/>
          <w:color w:val="000000"/>
          <w:szCs w:val="22"/>
          <w:lang w:val="sk-SK"/>
        </w:rPr>
        <w:t xml:space="preserve">liek </w:t>
      </w:r>
      <w:r w:rsidR="00B03129" w:rsidRPr="00EB16B4">
        <w:rPr>
          <w:rFonts w:eastAsiaTheme="minorHAnsi"/>
          <w:color w:val="000000"/>
          <w:szCs w:val="22"/>
          <w:lang w:val="sk-SK"/>
        </w:rPr>
        <w:t>Bimatoprost/Timolol</w:t>
      </w:r>
      <w:r w:rsidR="00B03129">
        <w:rPr>
          <w:rFonts w:eastAsiaTheme="minorHAnsi"/>
          <w:color w:val="000000"/>
          <w:szCs w:val="22"/>
          <w:lang w:val="sk-SK"/>
        </w:rPr>
        <w:t xml:space="preserve"> </w:t>
      </w:r>
      <w:r w:rsidR="00B03129" w:rsidRPr="00EB16B4">
        <w:rPr>
          <w:rFonts w:eastAsiaTheme="minorHAnsi"/>
          <w:color w:val="000000"/>
          <w:szCs w:val="22"/>
          <w:lang w:val="sk-SK"/>
        </w:rPr>
        <w:t xml:space="preserve">PharmaSwiss </w:t>
      </w:r>
      <w:r w:rsidRPr="00EB16B4">
        <w:rPr>
          <w:rFonts w:eastAsiaTheme="minorHAnsi"/>
          <w:color w:val="000000"/>
          <w:szCs w:val="22"/>
          <w:lang w:val="sk-SK"/>
        </w:rPr>
        <w:t>až do pôrodu, musí byť novorodenec v prvých dňoch života starostlivo monitorovaný. Štúdie s timololom na zvieratách preukázali reprodukčnú toxicitu pri dávkach značne vyšších ako dávky, ktoré by sa použili v klinickej praxi (pozri časť 5.3).</w:t>
      </w:r>
    </w:p>
    <w:p w14:paraId="03D8E0B5" w14:textId="77777777" w:rsidR="00E97D9E" w:rsidRPr="00EB16B4" w:rsidRDefault="00E97D9E" w:rsidP="00E97D9E">
      <w:pPr>
        <w:tabs>
          <w:tab w:val="clear" w:pos="567"/>
        </w:tabs>
        <w:autoSpaceDE w:val="0"/>
        <w:autoSpaceDN w:val="0"/>
        <w:adjustRightInd w:val="0"/>
        <w:spacing w:line="240" w:lineRule="auto"/>
        <w:rPr>
          <w:rFonts w:eastAsiaTheme="minorHAnsi"/>
          <w:noProof/>
          <w:szCs w:val="22"/>
          <w:u w:val="single"/>
          <w:lang w:val="sk-SK"/>
        </w:rPr>
      </w:pPr>
    </w:p>
    <w:p w14:paraId="32313734" w14:textId="77777777" w:rsidR="00AE349D" w:rsidRPr="00EB16B4" w:rsidRDefault="00AE349D" w:rsidP="00AE349D">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Dojčenie </w:t>
      </w:r>
    </w:p>
    <w:p w14:paraId="251F8941" w14:textId="77777777" w:rsidR="00AE349D" w:rsidRPr="00EB16B4" w:rsidRDefault="00AE349D" w:rsidP="00AE349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Timolol </w:t>
      </w:r>
    </w:p>
    <w:p w14:paraId="45E14167" w14:textId="77777777" w:rsidR="00F23948" w:rsidRPr="00EB16B4" w:rsidRDefault="00AE349D" w:rsidP="00AE349D">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Betablokátory sa vylučujú do ľudského </w:t>
      </w:r>
      <w:r w:rsidR="00795A62">
        <w:rPr>
          <w:rFonts w:eastAsiaTheme="minorHAnsi"/>
          <w:color w:val="000000"/>
          <w:szCs w:val="22"/>
          <w:lang w:val="sk-SK"/>
        </w:rPr>
        <w:t xml:space="preserve">materkého </w:t>
      </w:r>
      <w:r w:rsidRPr="00EB16B4">
        <w:rPr>
          <w:rFonts w:eastAsiaTheme="minorHAnsi"/>
          <w:color w:val="000000"/>
          <w:szCs w:val="22"/>
          <w:lang w:val="sk-SK"/>
        </w:rPr>
        <w:t xml:space="preserve">mlieka. V liečebných dávkach timololu vo forme očných kvapiek je však málo pravdepodobné, že sa budú v ľudskom </w:t>
      </w:r>
      <w:r w:rsidR="00795A62">
        <w:rPr>
          <w:rFonts w:eastAsiaTheme="minorHAnsi"/>
          <w:color w:val="000000"/>
          <w:szCs w:val="22"/>
          <w:lang w:val="sk-SK"/>
        </w:rPr>
        <w:t xml:space="preserve">materskom </w:t>
      </w:r>
      <w:r w:rsidRPr="00EB16B4">
        <w:rPr>
          <w:rFonts w:eastAsiaTheme="minorHAnsi"/>
          <w:color w:val="000000"/>
          <w:szCs w:val="22"/>
          <w:lang w:val="sk-SK"/>
        </w:rPr>
        <w:t>mlieku vyskytovať v dostatočnom množstve, aby vyvolali klinické príznaky betablokády u novorodenca. Pre zníženie systémovej absorpcie, pozri časť 4.2.</w:t>
      </w:r>
    </w:p>
    <w:p w14:paraId="6D96EE7F" w14:textId="77777777" w:rsidR="00AE349D" w:rsidRPr="00EB16B4" w:rsidRDefault="00AE349D" w:rsidP="00AE349D">
      <w:pPr>
        <w:tabs>
          <w:tab w:val="clear" w:pos="567"/>
        </w:tabs>
        <w:autoSpaceDE w:val="0"/>
        <w:autoSpaceDN w:val="0"/>
        <w:adjustRightInd w:val="0"/>
        <w:spacing w:line="240" w:lineRule="auto"/>
        <w:rPr>
          <w:rFonts w:eastAsiaTheme="minorHAnsi"/>
          <w:i/>
          <w:iCs/>
          <w:szCs w:val="22"/>
          <w:lang w:val="sk-SK" w:eastAsia="el-GR"/>
        </w:rPr>
      </w:pPr>
    </w:p>
    <w:p w14:paraId="5248756C" w14:textId="77777777" w:rsidR="00A63902" w:rsidRPr="00EB16B4" w:rsidRDefault="00A63902" w:rsidP="00A63902">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Bimatoprost </w:t>
      </w:r>
    </w:p>
    <w:p w14:paraId="40CD90AB" w14:textId="77777777" w:rsidR="00F23948" w:rsidRPr="00EB16B4" w:rsidRDefault="00A63902" w:rsidP="00A63902">
      <w:pPr>
        <w:tabs>
          <w:tab w:val="clear" w:pos="567"/>
        </w:tabs>
        <w:spacing w:line="240" w:lineRule="auto"/>
        <w:rPr>
          <w:rFonts w:eastAsiaTheme="minorHAnsi"/>
          <w:color w:val="000000"/>
          <w:szCs w:val="22"/>
          <w:lang w:val="sk-SK"/>
        </w:rPr>
      </w:pPr>
      <w:r w:rsidRPr="00EB16B4">
        <w:rPr>
          <w:rFonts w:eastAsiaTheme="minorHAnsi"/>
          <w:color w:val="000000"/>
          <w:szCs w:val="22"/>
          <w:lang w:val="sk-SK"/>
        </w:rPr>
        <w:t xml:space="preserve">Nie je známe, či sa bimatoprost vylučuje do ľudského </w:t>
      </w:r>
      <w:r w:rsidR="00795A62">
        <w:rPr>
          <w:rFonts w:eastAsiaTheme="minorHAnsi"/>
          <w:color w:val="000000"/>
          <w:szCs w:val="22"/>
          <w:lang w:val="sk-SK"/>
        </w:rPr>
        <w:t xml:space="preserve">materského </w:t>
      </w:r>
      <w:r w:rsidRPr="00EB16B4">
        <w:rPr>
          <w:rFonts w:eastAsiaTheme="minorHAnsi"/>
          <w:color w:val="000000"/>
          <w:szCs w:val="22"/>
          <w:lang w:val="sk-SK"/>
        </w:rPr>
        <w:t xml:space="preserve">mlieka, ale vylučuje sa do mlieka potkanov. </w:t>
      </w:r>
      <w:r w:rsidR="00795A62" w:rsidRPr="00EB16B4">
        <w:rPr>
          <w:rFonts w:eastAsiaTheme="minorHAnsi"/>
          <w:color w:val="000000"/>
          <w:szCs w:val="22"/>
          <w:lang w:val="sk-SK"/>
        </w:rPr>
        <w:t>Bimatoprost/Timolol</w:t>
      </w:r>
      <w:r w:rsidR="00795A62">
        <w:rPr>
          <w:rFonts w:eastAsiaTheme="minorHAnsi"/>
          <w:color w:val="000000"/>
          <w:szCs w:val="22"/>
          <w:lang w:val="sk-SK"/>
        </w:rPr>
        <w:t xml:space="preserve"> </w:t>
      </w:r>
      <w:r w:rsidR="00795A62" w:rsidRPr="00EB16B4">
        <w:rPr>
          <w:rFonts w:eastAsiaTheme="minorHAnsi"/>
          <w:color w:val="000000"/>
          <w:szCs w:val="22"/>
          <w:lang w:val="sk-SK"/>
        </w:rPr>
        <w:t xml:space="preserve">PharmaSwiss </w:t>
      </w:r>
      <w:r w:rsidR="00795A62">
        <w:rPr>
          <w:rFonts w:eastAsiaTheme="minorHAnsi"/>
          <w:color w:val="000000"/>
          <w:szCs w:val="22"/>
          <w:lang w:val="sk-SK"/>
        </w:rPr>
        <w:t xml:space="preserve">sa nemá </w:t>
      </w:r>
      <w:r w:rsidRPr="00EB16B4">
        <w:rPr>
          <w:rFonts w:eastAsiaTheme="minorHAnsi"/>
          <w:color w:val="000000"/>
          <w:szCs w:val="22"/>
          <w:lang w:val="sk-SK"/>
        </w:rPr>
        <w:t>podáva</w:t>
      </w:r>
      <w:r w:rsidR="00795A62">
        <w:rPr>
          <w:rFonts w:eastAsiaTheme="minorHAnsi"/>
          <w:color w:val="000000"/>
          <w:szCs w:val="22"/>
          <w:lang w:val="sk-SK"/>
        </w:rPr>
        <w:t>ť</w:t>
      </w:r>
      <w:r w:rsidRPr="00EB16B4">
        <w:rPr>
          <w:rFonts w:eastAsiaTheme="minorHAnsi"/>
          <w:color w:val="000000"/>
          <w:szCs w:val="22"/>
          <w:lang w:val="sk-SK"/>
        </w:rPr>
        <w:t xml:space="preserve"> dojčiacim ženám.</w:t>
      </w:r>
    </w:p>
    <w:p w14:paraId="2933C132" w14:textId="77777777" w:rsidR="00A63902" w:rsidRPr="00EB16B4" w:rsidRDefault="00A63902" w:rsidP="00A63902">
      <w:pPr>
        <w:tabs>
          <w:tab w:val="clear" w:pos="567"/>
        </w:tabs>
        <w:spacing w:line="240" w:lineRule="auto"/>
        <w:rPr>
          <w:rFonts w:eastAsiaTheme="minorHAnsi"/>
          <w:noProof/>
          <w:szCs w:val="22"/>
          <w:u w:val="single"/>
          <w:lang w:val="sk-SK"/>
        </w:rPr>
      </w:pPr>
    </w:p>
    <w:p w14:paraId="4187632C" w14:textId="77777777" w:rsidR="00215405" w:rsidRPr="00EB16B4" w:rsidRDefault="00215405" w:rsidP="00215405">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Fertilita </w:t>
      </w:r>
    </w:p>
    <w:p w14:paraId="01F457D2" w14:textId="77777777" w:rsidR="00F23948" w:rsidRPr="00EB16B4" w:rsidRDefault="00215405" w:rsidP="00215405">
      <w:pPr>
        <w:rPr>
          <w:rFonts w:eastAsiaTheme="minorHAnsi"/>
          <w:color w:val="000000"/>
          <w:szCs w:val="22"/>
          <w:lang w:val="sk-SK"/>
        </w:rPr>
      </w:pPr>
      <w:r w:rsidRPr="00EB16B4">
        <w:rPr>
          <w:rFonts w:eastAsiaTheme="minorHAnsi"/>
          <w:color w:val="000000"/>
          <w:szCs w:val="22"/>
          <w:lang w:val="sk-SK"/>
        </w:rPr>
        <w:t>Nie sú k dispozícii údaje o účinkoch</w:t>
      </w:r>
      <w:r w:rsidR="007C04FF" w:rsidRPr="00EB16B4">
        <w:rPr>
          <w:color w:val="000000"/>
          <w:szCs w:val="22"/>
          <w:lang w:val="sk-SK"/>
        </w:rPr>
        <w:t xml:space="preserve"> Bimatoprost/Timolol PharmaSwiss</w:t>
      </w:r>
      <w:r w:rsidR="007C04FF" w:rsidRPr="00EB16B4">
        <w:rPr>
          <w:rFonts w:eastAsiaTheme="minorHAnsi"/>
          <w:color w:val="000000"/>
          <w:szCs w:val="22"/>
          <w:lang w:val="sk-SK"/>
        </w:rPr>
        <w:t xml:space="preserve"> </w:t>
      </w:r>
      <w:r w:rsidR="00795A62">
        <w:rPr>
          <w:rFonts w:eastAsiaTheme="minorHAnsi"/>
          <w:color w:val="000000"/>
          <w:szCs w:val="22"/>
          <w:lang w:val="sk-SK"/>
        </w:rPr>
        <w:t xml:space="preserve"> bez konzervačných látok </w:t>
      </w:r>
      <w:r w:rsidRPr="00EB16B4">
        <w:rPr>
          <w:rFonts w:eastAsiaTheme="minorHAnsi"/>
          <w:color w:val="000000"/>
          <w:szCs w:val="22"/>
          <w:lang w:val="sk-SK"/>
        </w:rPr>
        <w:t>na fertilitu u človeka.</w:t>
      </w:r>
    </w:p>
    <w:p w14:paraId="15D9B5AF" w14:textId="77777777" w:rsidR="00215405" w:rsidRPr="00EB16B4" w:rsidRDefault="00215405" w:rsidP="00215405">
      <w:pPr>
        <w:rPr>
          <w:lang w:val="sk-SK"/>
        </w:rPr>
      </w:pPr>
    </w:p>
    <w:p w14:paraId="5C1BBC5D" w14:textId="77777777" w:rsidR="00D47C44" w:rsidRPr="00EB16B4" w:rsidRDefault="00D47C44" w:rsidP="00D47C44">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4.7</w:t>
      </w:r>
      <w:r w:rsidR="00E015CF" w:rsidRPr="00EB16B4">
        <w:rPr>
          <w:rFonts w:eastAsiaTheme="minorHAnsi"/>
          <w:b/>
          <w:bCs/>
          <w:color w:val="000000"/>
          <w:szCs w:val="22"/>
          <w:lang w:val="sk-SK"/>
        </w:rPr>
        <w:t xml:space="preserve"> </w:t>
      </w:r>
      <w:r w:rsidRPr="00EB16B4">
        <w:rPr>
          <w:rFonts w:eastAsiaTheme="minorHAnsi"/>
          <w:b/>
          <w:bCs/>
          <w:color w:val="000000"/>
          <w:szCs w:val="22"/>
          <w:lang w:val="sk-SK"/>
        </w:rPr>
        <w:t xml:space="preserve"> </w:t>
      </w:r>
      <w:r w:rsidR="00A446ED">
        <w:rPr>
          <w:rFonts w:eastAsiaTheme="minorHAnsi"/>
          <w:b/>
          <w:bCs/>
          <w:color w:val="000000"/>
          <w:szCs w:val="22"/>
          <w:lang w:val="sk-SK"/>
        </w:rPr>
        <w:tab/>
      </w:r>
      <w:r w:rsidRPr="00EB16B4">
        <w:rPr>
          <w:rFonts w:eastAsiaTheme="minorHAnsi"/>
          <w:b/>
          <w:bCs/>
          <w:color w:val="000000"/>
          <w:szCs w:val="22"/>
          <w:lang w:val="sk-SK"/>
        </w:rPr>
        <w:t xml:space="preserve">Ovplyvnenie schopnosti viesť vozidlá a obsluhovať stroje </w:t>
      </w:r>
    </w:p>
    <w:p w14:paraId="2F1618B3" w14:textId="77777777" w:rsidR="00D47C44" w:rsidRPr="00EB16B4" w:rsidRDefault="00D47C44" w:rsidP="00D47C44">
      <w:pPr>
        <w:tabs>
          <w:tab w:val="clear" w:pos="567"/>
        </w:tabs>
        <w:autoSpaceDE w:val="0"/>
        <w:autoSpaceDN w:val="0"/>
        <w:adjustRightInd w:val="0"/>
        <w:spacing w:line="240" w:lineRule="auto"/>
        <w:rPr>
          <w:rFonts w:eastAsiaTheme="minorHAnsi"/>
          <w:color w:val="000000"/>
          <w:szCs w:val="22"/>
          <w:lang w:val="sk-SK"/>
        </w:rPr>
      </w:pPr>
    </w:p>
    <w:p w14:paraId="7DBE477E" w14:textId="77777777" w:rsidR="00F23948" w:rsidRPr="00EB16B4" w:rsidRDefault="002714F5" w:rsidP="00D47C44">
      <w:pPr>
        <w:rPr>
          <w:rFonts w:eastAsiaTheme="minorHAnsi"/>
          <w:color w:val="000000"/>
          <w:szCs w:val="22"/>
          <w:lang w:val="sk-SK"/>
        </w:rPr>
      </w:pPr>
      <w:r w:rsidRPr="00EB16B4">
        <w:rPr>
          <w:rFonts w:eastAsiaTheme="minorHAnsi"/>
          <w:color w:val="000000"/>
          <w:szCs w:val="22"/>
          <w:lang w:val="sk-SK"/>
        </w:rPr>
        <w:t>Bimatoprost/Timolol</w:t>
      </w:r>
      <w:r>
        <w:rPr>
          <w:rFonts w:eastAsiaTheme="minorHAnsi"/>
          <w:color w:val="000000"/>
          <w:szCs w:val="22"/>
          <w:lang w:val="sk-SK"/>
        </w:rPr>
        <w:t xml:space="preserve"> </w:t>
      </w:r>
      <w:r w:rsidRPr="00EB16B4">
        <w:rPr>
          <w:rFonts w:eastAsiaTheme="minorHAnsi"/>
          <w:color w:val="000000"/>
          <w:szCs w:val="22"/>
          <w:lang w:val="sk-SK"/>
        </w:rPr>
        <w:t xml:space="preserve">PharmaSwiss </w:t>
      </w:r>
      <w:r w:rsidR="00D47C44" w:rsidRPr="00EB16B4">
        <w:rPr>
          <w:rFonts w:eastAsiaTheme="minorHAnsi"/>
          <w:color w:val="000000"/>
          <w:szCs w:val="22"/>
          <w:lang w:val="sk-SK"/>
        </w:rPr>
        <w:t>má zanedbateľný vplyv na schopnosť viesť motorové vozidlá a obsluhovať stroje. Ak, rovnako ako po inej očnej liečbe, vznikne po podaní prechodné rozmazané videnie, pacient má pred vedením motorového vozidla alebo obsluhou strojov počkať, kým sa zrak nevyjasní.</w:t>
      </w:r>
    </w:p>
    <w:p w14:paraId="07C99D05" w14:textId="77777777" w:rsidR="00D47C44" w:rsidRPr="00EB16B4" w:rsidRDefault="00D47C44" w:rsidP="00D47C44">
      <w:pPr>
        <w:rPr>
          <w:lang w:val="sk-SK"/>
        </w:rPr>
      </w:pPr>
    </w:p>
    <w:p w14:paraId="5C998030" w14:textId="77777777" w:rsidR="00F23948" w:rsidRDefault="004E6589" w:rsidP="00F23948">
      <w:pPr>
        <w:rPr>
          <w:b/>
          <w:bCs/>
          <w:szCs w:val="22"/>
          <w:lang w:val="sk-SK"/>
        </w:rPr>
      </w:pPr>
      <w:r w:rsidRPr="00EB16B4">
        <w:rPr>
          <w:b/>
          <w:bCs/>
          <w:szCs w:val="22"/>
          <w:lang w:val="sk-SK"/>
        </w:rPr>
        <w:t xml:space="preserve">4.8   </w:t>
      </w:r>
      <w:r w:rsidR="00A446ED">
        <w:rPr>
          <w:b/>
          <w:bCs/>
          <w:szCs w:val="22"/>
          <w:lang w:val="sk-SK"/>
        </w:rPr>
        <w:tab/>
      </w:r>
      <w:r w:rsidR="00A446ED">
        <w:rPr>
          <w:b/>
          <w:bCs/>
          <w:szCs w:val="22"/>
          <w:lang w:val="sk-SK"/>
        </w:rPr>
        <w:tab/>
      </w:r>
      <w:r w:rsidRPr="00EB16B4">
        <w:rPr>
          <w:b/>
          <w:bCs/>
          <w:szCs w:val="22"/>
          <w:lang w:val="sk-SK"/>
        </w:rPr>
        <w:t>Nežiaduce účinky</w:t>
      </w:r>
    </w:p>
    <w:p w14:paraId="07D79432" w14:textId="77777777" w:rsidR="00A446ED" w:rsidRPr="00EB16B4" w:rsidRDefault="00A446ED" w:rsidP="00F23948">
      <w:pPr>
        <w:rPr>
          <w:lang w:val="sk-SK"/>
        </w:rPr>
      </w:pPr>
    </w:p>
    <w:p w14:paraId="745D0512" w14:textId="719CC3B6" w:rsidR="00BE578B" w:rsidRPr="000C31C7" w:rsidRDefault="000C31C7" w:rsidP="00F23948">
      <w:pPr>
        <w:autoSpaceDE w:val="0"/>
        <w:autoSpaceDN w:val="0"/>
        <w:adjustRightInd w:val="0"/>
        <w:rPr>
          <w:rFonts w:eastAsiaTheme="minorHAnsi"/>
          <w:color w:val="000000"/>
          <w:szCs w:val="22"/>
          <w:u w:val="single"/>
          <w:lang w:val="sk-SK"/>
        </w:rPr>
      </w:pPr>
      <w:r w:rsidRPr="000C31C7">
        <w:rPr>
          <w:rFonts w:eastAsiaTheme="minorHAnsi"/>
          <w:color w:val="000000"/>
          <w:szCs w:val="22"/>
          <w:u w:val="single"/>
          <w:lang w:val="sk-SK"/>
        </w:rPr>
        <w:t xml:space="preserve">Bimatoprost/Timolol </w:t>
      </w:r>
      <w:r w:rsidR="00C5207E">
        <w:rPr>
          <w:rFonts w:eastAsiaTheme="minorHAnsi"/>
          <w:color w:val="000000"/>
          <w:szCs w:val="22"/>
          <w:u w:val="single"/>
          <w:lang w:val="sk-SK"/>
        </w:rPr>
        <w:t>03 mg/ml + 5 mg/ml</w:t>
      </w:r>
      <w:r w:rsidR="00C5207E" w:rsidRPr="000C31C7">
        <w:rPr>
          <w:rFonts w:eastAsiaTheme="minorHAnsi"/>
          <w:color w:val="000000"/>
          <w:szCs w:val="22"/>
          <w:u w:val="single"/>
          <w:lang w:val="sk-SK"/>
        </w:rPr>
        <w:t xml:space="preserve"> </w:t>
      </w:r>
      <w:r w:rsidR="00BE578B" w:rsidRPr="000C31C7">
        <w:rPr>
          <w:rFonts w:eastAsiaTheme="minorHAnsi"/>
          <w:color w:val="000000"/>
          <w:szCs w:val="22"/>
          <w:u w:val="single"/>
          <w:lang w:val="sk-SK"/>
        </w:rPr>
        <w:t>bez konzervačných látok</w:t>
      </w:r>
    </w:p>
    <w:p w14:paraId="2F988B9C" w14:textId="77777777" w:rsidR="004B4564" w:rsidRPr="00EB16B4" w:rsidRDefault="004B4564" w:rsidP="004B4564">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Zhrnutie bezpečnostného profilu </w:t>
      </w:r>
    </w:p>
    <w:p w14:paraId="0A30B41F" w14:textId="0D1EDA7F" w:rsidR="003E6739" w:rsidRPr="00EB16B4" w:rsidRDefault="004B4564" w:rsidP="004B4564">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Nežiaduce účinky hlásené v klinických štúdiách s použitím </w:t>
      </w:r>
      <w:r w:rsidR="00A62C57">
        <w:rPr>
          <w:rFonts w:eastAsiaTheme="minorHAnsi"/>
          <w:color w:val="000000"/>
          <w:szCs w:val="22"/>
          <w:lang w:val="sk-SK"/>
        </w:rPr>
        <w:t>očnej roztokovej instilácie b</w:t>
      </w:r>
      <w:r w:rsidR="000C31C7" w:rsidRPr="00EB16B4">
        <w:rPr>
          <w:rFonts w:eastAsiaTheme="minorHAnsi"/>
          <w:color w:val="000000"/>
          <w:szCs w:val="22"/>
          <w:lang w:val="sk-SK"/>
        </w:rPr>
        <w:t>imatoprost/</w:t>
      </w:r>
      <w:r w:rsidR="00A62C57">
        <w:rPr>
          <w:rFonts w:eastAsiaTheme="minorHAnsi"/>
          <w:color w:val="000000"/>
          <w:szCs w:val="22"/>
          <w:lang w:val="sk-SK"/>
        </w:rPr>
        <w:t>t</w:t>
      </w:r>
      <w:r w:rsidR="000C31C7" w:rsidRPr="00EB16B4">
        <w:rPr>
          <w:rFonts w:eastAsiaTheme="minorHAnsi"/>
          <w:color w:val="000000"/>
          <w:szCs w:val="22"/>
          <w:lang w:val="sk-SK"/>
        </w:rPr>
        <w:t>imolol</w:t>
      </w:r>
      <w:r w:rsidR="000C31C7">
        <w:rPr>
          <w:rFonts w:eastAsiaTheme="minorHAnsi"/>
          <w:color w:val="000000"/>
          <w:szCs w:val="22"/>
          <w:lang w:val="sk-SK"/>
        </w:rPr>
        <w:t xml:space="preserve"> </w:t>
      </w:r>
      <w:r w:rsidR="00A62C57" w:rsidRPr="00A62C57">
        <w:rPr>
          <w:lang w:val="sk-SK"/>
        </w:rPr>
        <w:t>0.3 mg/m</w:t>
      </w:r>
      <w:r w:rsidR="00A62C57">
        <w:rPr>
          <w:lang w:val="sk-SK"/>
        </w:rPr>
        <w:t>l</w:t>
      </w:r>
      <w:r w:rsidR="00A62C57" w:rsidRPr="00A62C57">
        <w:rPr>
          <w:lang w:val="sk-SK"/>
        </w:rPr>
        <w:t xml:space="preserve"> + 5 mg/m</w:t>
      </w:r>
      <w:r w:rsidR="00A62C57">
        <w:rPr>
          <w:lang w:val="sk-SK"/>
        </w:rPr>
        <w:t>l</w:t>
      </w:r>
      <w:r w:rsidR="000C31C7">
        <w:rPr>
          <w:rFonts w:eastAsiaTheme="minorHAnsi"/>
          <w:color w:val="000000"/>
          <w:szCs w:val="22"/>
          <w:lang w:val="sk-SK"/>
        </w:rPr>
        <w:t xml:space="preserve"> bez konzervačných látok</w:t>
      </w:r>
      <w:r w:rsidR="00A62C57">
        <w:rPr>
          <w:rFonts w:eastAsiaTheme="minorHAnsi"/>
          <w:color w:val="000000"/>
          <w:szCs w:val="22"/>
          <w:lang w:val="sk-SK"/>
        </w:rPr>
        <w:t>,</w:t>
      </w:r>
      <w:r w:rsidR="000C31C7">
        <w:rPr>
          <w:rFonts w:eastAsiaTheme="minorHAnsi"/>
          <w:color w:val="000000"/>
          <w:szCs w:val="22"/>
          <w:lang w:val="sk-SK"/>
        </w:rPr>
        <w:t xml:space="preserve"> </w:t>
      </w:r>
      <w:r w:rsidRPr="00EB16B4">
        <w:rPr>
          <w:rFonts w:eastAsiaTheme="minorHAnsi"/>
          <w:color w:val="000000"/>
          <w:szCs w:val="22"/>
          <w:lang w:val="sk-SK"/>
        </w:rPr>
        <w:t xml:space="preserve">boli obmedzené </w:t>
      </w:r>
      <w:r w:rsidR="00A62C57">
        <w:rPr>
          <w:rFonts w:eastAsiaTheme="minorHAnsi"/>
          <w:color w:val="000000"/>
          <w:szCs w:val="22"/>
          <w:lang w:val="sk-SK"/>
        </w:rPr>
        <w:t xml:space="preserve">na tie, ktoré boli skôr hlásené </w:t>
      </w:r>
      <w:r w:rsidR="00C5207E">
        <w:rPr>
          <w:rFonts w:eastAsiaTheme="minorHAnsi"/>
          <w:color w:val="000000"/>
          <w:szCs w:val="22"/>
          <w:lang w:val="sk-SK"/>
        </w:rPr>
        <w:t>pre</w:t>
      </w:r>
      <w:r w:rsidR="00C5207E" w:rsidRPr="00EB16B4">
        <w:rPr>
          <w:rFonts w:eastAsiaTheme="minorHAnsi"/>
          <w:color w:val="000000"/>
          <w:szCs w:val="22"/>
          <w:lang w:val="sk-SK"/>
        </w:rPr>
        <w:t xml:space="preserve"> </w:t>
      </w:r>
      <w:r w:rsidR="003A79C6">
        <w:rPr>
          <w:rFonts w:eastAsiaTheme="minorHAnsi"/>
          <w:color w:val="000000"/>
          <w:szCs w:val="22"/>
          <w:lang w:val="sk-SK"/>
        </w:rPr>
        <w:t>b</w:t>
      </w:r>
      <w:r w:rsidR="003A79C6" w:rsidRPr="00EB16B4">
        <w:rPr>
          <w:rFonts w:eastAsiaTheme="minorHAnsi"/>
          <w:color w:val="000000"/>
          <w:szCs w:val="22"/>
          <w:lang w:val="sk-SK"/>
        </w:rPr>
        <w:t>imatoprost/</w:t>
      </w:r>
      <w:r w:rsidR="003A79C6">
        <w:rPr>
          <w:rFonts w:eastAsiaTheme="minorHAnsi"/>
          <w:color w:val="000000"/>
          <w:szCs w:val="22"/>
          <w:lang w:val="sk-SK"/>
        </w:rPr>
        <w:t>t</w:t>
      </w:r>
      <w:r w:rsidR="003A79C6" w:rsidRPr="00EB16B4">
        <w:rPr>
          <w:rFonts w:eastAsiaTheme="minorHAnsi"/>
          <w:color w:val="000000"/>
          <w:szCs w:val="22"/>
          <w:lang w:val="sk-SK"/>
        </w:rPr>
        <w:t>imolol</w:t>
      </w:r>
      <w:r w:rsidR="003A79C6">
        <w:rPr>
          <w:rFonts w:eastAsiaTheme="minorHAnsi"/>
          <w:color w:val="000000"/>
          <w:szCs w:val="22"/>
          <w:lang w:val="sk-SK"/>
        </w:rPr>
        <w:t xml:space="preserve"> </w:t>
      </w:r>
      <w:r w:rsidR="003A79C6" w:rsidRPr="00A62C57">
        <w:rPr>
          <w:lang w:val="sk-SK"/>
        </w:rPr>
        <w:t>0.3 mg/m</w:t>
      </w:r>
      <w:r w:rsidR="003A79C6">
        <w:rPr>
          <w:lang w:val="sk-SK"/>
        </w:rPr>
        <w:t>l</w:t>
      </w:r>
      <w:r w:rsidR="003A79C6" w:rsidRPr="00A62C57">
        <w:rPr>
          <w:lang w:val="sk-SK"/>
        </w:rPr>
        <w:t xml:space="preserve"> + 5 mg/m</w:t>
      </w:r>
      <w:r w:rsidR="003A79C6">
        <w:rPr>
          <w:lang w:val="sk-SK"/>
        </w:rPr>
        <w:t>l</w:t>
      </w:r>
      <w:r w:rsidR="003A79C6">
        <w:rPr>
          <w:rFonts w:eastAsiaTheme="minorHAnsi"/>
          <w:color w:val="000000"/>
          <w:szCs w:val="22"/>
          <w:lang w:val="sk-SK"/>
        </w:rPr>
        <w:t xml:space="preserve"> s obsahom konzervačných látok, alebo </w:t>
      </w:r>
      <w:r w:rsidR="00C5207E">
        <w:rPr>
          <w:rFonts w:eastAsiaTheme="minorHAnsi"/>
          <w:color w:val="000000"/>
          <w:szCs w:val="22"/>
          <w:lang w:val="sk-SK"/>
        </w:rPr>
        <w:t>pre</w:t>
      </w:r>
      <w:r w:rsidR="00C5207E" w:rsidRPr="00EB16B4">
        <w:rPr>
          <w:rFonts w:eastAsiaTheme="minorHAnsi"/>
          <w:color w:val="000000"/>
          <w:szCs w:val="22"/>
          <w:lang w:val="sk-SK"/>
        </w:rPr>
        <w:t xml:space="preserve"> jednotliv</w:t>
      </w:r>
      <w:r w:rsidR="00C5207E">
        <w:rPr>
          <w:rFonts w:eastAsiaTheme="minorHAnsi"/>
          <w:color w:val="000000"/>
          <w:szCs w:val="22"/>
          <w:lang w:val="sk-SK"/>
        </w:rPr>
        <w:t>é</w:t>
      </w:r>
      <w:r w:rsidR="00C5207E" w:rsidRPr="00EB16B4">
        <w:rPr>
          <w:rFonts w:eastAsiaTheme="minorHAnsi"/>
          <w:color w:val="000000"/>
          <w:szCs w:val="22"/>
          <w:lang w:val="sk-SK"/>
        </w:rPr>
        <w:t xml:space="preserve"> </w:t>
      </w:r>
      <w:r w:rsidRPr="00EB16B4">
        <w:rPr>
          <w:rFonts w:eastAsiaTheme="minorHAnsi"/>
          <w:color w:val="000000"/>
          <w:szCs w:val="22"/>
          <w:lang w:val="sk-SK"/>
        </w:rPr>
        <w:t>liečiv</w:t>
      </w:r>
      <w:r w:rsidR="00C5207E">
        <w:rPr>
          <w:rFonts w:eastAsiaTheme="minorHAnsi"/>
          <w:color w:val="000000"/>
          <w:szCs w:val="22"/>
          <w:lang w:val="sk-SK"/>
        </w:rPr>
        <w:t>á</w:t>
      </w:r>
      <w:r w:rsidRPr="00EB16B4">
        <w:rPr>
          <w:rFonts w:eastAsiaTheme="minorHAnsi"/>
          <w:color w:val="000000"/>
          <w:szCs w:val="22"/>
          <w:lang w:val="sk-SK"/>
        </w:rPr>
        <w:t xml:space="preserve"> bimatoprost a timolol. V klinických štúdiách sa nepozorovali žiadne nové nežiaduce účinky špecifické pre </w:t>
      </w:r>
      <w:r w:rsidR="003A79C6">
        <w:rPr>
          <w:rFonts w:eastAsiaTheme="minorHAnsi"/>
          <w:color w:val="000000"/>
          <w:szCs w:val="22"/>
          <w:lang w:val="sk-SK"/>
        </w:rPr>
        <w:t>použitie očnej roztokovej instilácie b</w:t>
      </w:r>
      <w:r w:rsidR="003A79C6" w:rsidRPr="00EB16B4">
        <w:rPr>
          <w:rFonts w:eastAsiaTheme="minorHAnsi"/>
          <w:color w:val="000000"/>
          <w:szCs w:val="22"/>
          <w:lang w:val="sk-SK"/>
        </w:rPr>
        <w:t>imatoprost/</w:t>
      </w:r>
      <w:r w:rsidR="003A79C6">
        <w:rPr>
          <w:rFonts w:eastAsiaTheme="minorHAnsi"/>
          <w:color w:val="000000"/>
          <w:szCs w:val="22"/>
          <w:lang w:val="sk-SK"/>
        </w:rPr>
        <w:t>t</w:t>
      </w:r>
      <w:r w:rsidR="003A79C6" w:rsidRPr="00EB16B4">
        <w:rPr>
          <w:rFonts w:eastAsiaTheme="minorHAnsi"/>
          <w:color w:val="000000"/>
          <w:szCs w:val="22"/>
          <w:lang w:val="sk-SK"/>
        </w:rPr>
        <w:t>imolol</w:t>
      </w:r>
      <w:r w:rsidR="003A79C6">
        <w:rPr>
          <w:rFonts w:eastAsiaTheme="minorHAnsi"/>
          <w:color w:val="000000"/>
          <w:szCs w:val="22"/>
          <w:lang w:val="sk-SK"/>
        </w:rPr>
        <w:t xml:space="preserve"> </w:t>
      </w:r>
      <w:r w:rsidR="003A79C6" w:rsidRPr="00A62C57">
        <w:rPr>
          <w:lang w:val="sk-SK"/>
        </w:rPr>
        <w:t>0.3 mg/m</w:t>
      </w:r>
      <w:r w:rsidR="003A79C6">
        <w:rPr>
          <w:lang w:val="sk-SK"/>
        </w:rPr>
        <w:t>l</w:t>
      </w:r>
      <w:r w:rsidR="003A79C6" w:rsidRPr="00A62C57">
        <w:rPr>
          <w:lang w:val="sk-SK"/>
        </w:rPr>
        <w:t xml:space="preserve"> + 5 mg/m</w:t>
      </w:r>
      <w:r w:rsidR="003A79C6">
        <w:rPr>
          <w:lang w:val="sk-SK"/>
        </w:rPr>
        <w:t>l</w:t>
      </w:r>
      <w:r w:rsidR="003A79C6">
        <w:rPr>
          <w:rFonts w:eastAsiaTheme="minorHAnsi"/>
          <w:color w:val="000000"/>
          <w:szCs w:val="22"/>
          <w:lang w:val="sk-SK"/>
        </w:rPr>
        <w:t xml:space="preserve"> bez konzervačných látok</w:t>
      </w:r>
    </w:p>
    <w:p w14:paraId="097AB194" w14:textId="77777777" w:rsidR="000D22EF" w:rsidRPr="00EB16B4" w:rsidRDefault="000D22EF" w:rsidP="00634162">
      <w:pPr>
        <w:autoSpaceDE w:val="0"/>
        <w:autoSpaceDN w:val="0"/>
        <w:adjustRightInd w:val="0"/>
        <w:rPr>
          <w:szCs w:val="22"/>
          <w:lang w:val="sk-SK"/>
        </w:rPr>
      </w:pPr>
    </w:p>
    <w:p w14:paraId="42FB239A" w14:textId="77777777" w:rsidR="00F23948" w:rsidRPr="00EB16B4" w:rsidRDefault="003E6739" w:rsidP="004B4564">
      <w:pPr>
        <w:autoSpaceDE w:val="0"/>
        <w:autoSpaceDN w:val="0"/>
        <w:adjustRightInd w:val="0"/>
        <w:rPr>
          <w:rFonts w:eastAsiaTheme="minorHAnsi"/>
          <w:color w:val="000000"/>
          <w:szCs w:val="22"/>
          <w:lang w:val="sk-SK"/>
        </w:rPr>
      </w:pPr>
      <w:r w:rsidRPr="00EB16B4">
        <w:rPr>
          <w:szCs w:val="22"/>
          <w:lang w:val="sk-SK"/>
        </w:rPr>
        <w:t xml:space="preserve">Väčšina nežiaducich účinkov hlásených v klinických štúdiách s použitím </w:t>
      </w:r>
      <w:r w:rsidR="003C57D4">
        <w:rPr>
          <w:rFonts w:eastAsiaTheme="minorHAnsi"/>
          <w:color w:val="000000"/>
          <w:szCs w:val="22"/>
          <w:lang w:val="sk-SK"/>
        </w:rPr>
        <w:t xml:space="preserve">očnej roztokovej instilácie </w:t>
      </w:r>
      <w:r w:rsidR="003C57D4">
        <w:rPr>
          <w:szCs w:val="22"/>
          <w:lang w:val="sk-SK"/>
        </w:rPr>
        <w:t>b</w:t>
      </w:r>
      <w:r w:rsidR="00634162" w:rsidRPr="00EB16B4">
        <w:rPr>
          <w:lang w:val="sk-SK" w:eastAsia="el-GR"/>
        </w:rPr>
        <w:t>imatoprost/</w:t>
      </w:r>
      <w:r w:rsidR="003C57D4">
        <w:rPr>
          <w:lang w:val="sk-SK" w:eastAsia="el-GR"/>
        </w:rPr>
        <w:t>t</w:t>
      </w:r>
      <w:r w:rsidR="00634162" w:rsidRPr="00EB16B4">
        <w:rPr>
          <w:lang w:val="sk-SK" w:eastAsia="el-GR"/>
        </w:rPr>
        <w:t>imolol 0.3 mg/m</w:t>
      </w:r>
      <w:r w:rsidR="003C57D4">
        <w:rPr>
          <w:lang w:val="sk-SK" w:eastAsia="el-GR"/>
        </w:rPr>
        <w:t>l</w:t>
      </w:r>
      <w:r w:rsidR="00634162" w:rsidRPr="00EB16B4">
        <w:rPr>
          <w:lang w:val="sk-SK" w:eastAsia="el-GR"/>
        </w:rPr>
        <w:t xml:space="preserve"> + 5 mg/m</w:t>
      </w:r>
      <w:r w:rsidR="003C57D4">
        <w:rPr>
          <w:lang w:val="sk-SK" w:eastAsia="el-GR"/>
        </w:rPr>
        <w:t>l</w:t>
      </w:r>
      <w:r w:rsidR="00634162" w:rsidRPr="00EB16B4">
        <w:rPr>
          <w:lang w:val="sk-SK" w:eastAsia="el-GR"/>
        </w:rPr>
        <w:t xml:space="preserve"> </w:t>
      </w:r>
      <w:r w:rsidR="00C3612B" w:rsidRPr="00EB16B4">
        <w:rPr>
          <w:rFonts w:eastAsiaTheme="minorHAnsi"/>
          <w:color w:val="000000"/>
          <w:szCs w:val="22"/>
          <w:lang w:val="sk-SK"/>
        </w:rPr>
        <w:t>b</w:t>
      </w:r>
      <w:r w:rsidR="006253AD">
        <w:rPr>
          <w:rFonts w:eastAsiaTheme="minorHAnsi"/>
          <w:color w:val="000000"/>
          <w:szCs w:val="22"/>
          <w:lang w:val="sk-SK"/>
        </w:rPr>
        <w:t xml:space="preserve">ez </w:t>
      </w:r>
      <w:r w:rsidR="00C3612B" w:rsidRPr="00EB16B4">
        <w:rPr>
          <w:rFonts w:eastAsiaTheme="minorHAnsi"/>
          <w:color w:val="000000"/>
          <w:szCs w:val="22"/>
          <w:lang w:val="sk-SK"/>
        </w:rPr>
        <w:t>konzervačných látok</w:t>
      </w:r>
      <w:r w:rsidR="006253AD">
        <w:rPr>
          <w:rFonts w:eastAsiaTheme="minorHAnsi"/>
          <w:color w:val="000000"/>
          <w:szCs w:val="22"/>
          <w:lang w:val="sk-SK"/>
        </w:rPr>
        <w:t>,</w:t>
      </w:r>
      <w:r w:rsidRPr="00EB16B4">
        <w:rPr>
          <w:szCs w:val="22"/>
          <w:lang w:val="sk-SK"/>
        </w:rPr>
        <w:t xml:space="preserve"> sa týkala očí</w:t>
      </w:r>
      <w:r w:rsidR="003C57D4">
        <w:rPr>
          <w:szCs w:val="22"/>
          <w:lang w:val="sk-SK"/>
        </w:rPr>
        <w:t xml:space="preserve">, </w:t>
      </w:r>
      <w:r w:rsidRPr="00EB16B4">
        <w:rPr>
          <w:szCs w:val="22"/>
          <w:lang w:val="sk-SK"/>
        </w:rPr>
        <w:t>boli iba mierne a žiadne neboli vážne. Na základe 12-</w:t>
      </w:r>
      <w:r w:rsidR="000D22EF" w:rsidRPr="00EB16B4">
        <w:rPr>
          <w:szCs w:val="22"/>
          <w:lang w:val="sk-SK"/>
        </w:rPr>
        <w:t>týždňových</w:t>
      </w:r>
      <w:r w:rsidRPr="00EB16B4">
        <w:rPr>
          <w:szCs w:val="22"/>
          <w:lang w:val="sk-SK"/>
        </w:rPr>
        <w:t xml:space="preserve"> klinických údajov </w:t>
      </w:r>
      <w:r w:rsidR="006253AD" w:rsidRPr="00EB16B4">
        <w:rPr>
          <w:szCs w:val="22"/>
          <w:lang w:val="sk-SK"/>
        </w:rPr>
        <w:t xml:space="preserve">s použitím </w:t>
      </w:r>
      <w:r w:rsidR="006253AD">
        <w:rPr>
          <w:rFonts w:eastAsiaTheme="minorHAnsi"/>
          <w:color w:val="000000"/>
          <w:szCs w:val="22"/>
          <w:lang w:val="sk-SK"/>
        </w:rPr>
        <w:t xml:space="preserve">očnej roztokovej instilácie </w:t>
      </w:r>
      <w:r w:rsidR="006253AD">
        <w:rPr>
          <w:szCs w:val="22"/>
          <w:lang w:val="sk-SK"/>
        </w:rPr>
        <w:t>b</w:t>
      </w:r>
      <w:r w:rsidR="006253AD" w:rsidRPr="00EB16B4">
        <w:rPr>
          <w:lang w:val="sk-SK" w:eastAsia="el-GR"/>
        </w:rPr>
        <w:t>imatoprost/</w:t>
      </w:r>
      <w:r w:rsidR="006253AD">
        <w:rPr>
          <w:lang w:val="sk-SK" w:eastAsia="el-GR"/>
        </w:rPr>
        <w:t>t</w:t>
      </w:r>
      <w:r w:rsidR="006253AD" w:rsidRPr="00EB16B4">
        <w:rPr>
          <w:lang w:val="sk-SK" w:eastAsia="el-GR"/>
        </w:rPr>
        <w:t>imolol 0.3 mg/m</w:t>
      </w:r>
      <w:r w:rsidR="006253AD">
        <w:rPr>
          <w:lang w:val="sk-SK" w:eastAsia="el-GR"/>
        </w:rPr>
        <w:t>l</w:t>
      </w:r>
      <w:r w:rsidR="006253AD" w:rsidRPr="00EB16B4">
        <w:rPr>
          <w:lang w:val="sk-SK" w:eastAsia="el-GR"/>
        </w:rPr>
        <w:t xml:space="preserve"> + 5 mg/m</w:t>
      </w:r>
      <w:r w:rsidR="006253AD">
        <w:rPr>
          <w:lang w:val="sk-SK" w:eastAsia="el-GR"/>
        </w:rPr>
        <w:t>l</w:t>
      </w:r>
      <w:r w:rsidR="006253AD" w:rsidRPr="00EB16B4">
        <w:rPr>
          <w:lang w:val="sk-SK" w:eastAsia="el-GR"/>
        </w:rPr>
        <w:t xml:space="preserve"> </w:t>
      </w:r>
      <w:r w:rsidR="006253AD" w:rsidRPr="00EB16B4">
        <w:rPr>
          <w:rFonts w:eastAsiaTheme="minorHAnsi"/>
          <w:color w:val="000000"/>
          <w:szCs w:val="22"/>
          <w:lang w:val="sk-SK"/>
        </w:rPr>
        <w:t>b</w:t>
      </w:r>
      <w:r w:rsidR="006253AD">
        <w:rPr>
          <w:rFonts w:eastAsiaTheme="minorHAnsi"/>
          <w:color w:val="000000"/>
          <w:szCs w:val="22"/>
          <w:lang w:val="sk-SK"/>
        </w:rPr>
        <w:t xml:space="preserve">ez </w:t>
      </w:r>
      <w:r w:rsidR="006253AD" w:rsidRPr="00EB16B4">
        <w:rPr>
          <w:rFonts w:eastAsiaTheme="minorHAnsi"/>
          <w:color w:val="000000"/>
          <w:szCs w:val="22"/>
          <w:lang w:val="sk-SK"/>
        </w:rPr>
        <w:t>konzervačných látok</w:t>
      </w:r>
      <w:r w:rsidR="006253AD">
        <w:rPr>
          <w:rFonts w:eastAsiaTheme="minorHAnsi"/>
          <w:color w:val="000000"/>
          <w:szCs w:val="22"/>
          <w:lang w:val="sk-SK"/>
        </w:rPr>
        <w:t>,</w:t>
      </w:r>
      <w:r w:rsidR="006253AD" w:rsidRPr="00EB16B4">
        <w:rPr>
          <w:szCs w:val="22"/>
          <w:lang w:val="sk-SK"/>
        </w:rPr>
        <w:t xml:space="preserve"> </w:t>
      </w:r>
      <w:r w:rsidRPr="00EB16B4">
        <w:rPr>
          <w:szCs w:val="22"/>
          <w:lang w:val="sk-SK"/>
        </w:rPr>
        <w:t>bola najčastejším hláseným nežiaducim účinkom konjunktívna hyperémia (väčšinou v náznakoch alebo mierna a považovaná za nezápalovú) zhruba u 2</w:t>
      </w:r>
      <w:r w:rsidR="00D63E71" w:rsidRPr="00EB16B4">
        <w:rPr>
          <w:szCs w:val="22"/>
          <w:lang w:val="sk-SK"/>
        </w:rPr>
        <w:t>1</w:t>
      </w:r>
      <w:r w:rsidRPr="00EB16B4">
        <w:rPr>
          <w:szCs w:val="22"/>
          <w:lang w:val="sk-SK"/>
        </w:rPr>
        <w:t xml:space="preserve"> % pacientov, ktorá viedla k prerušeniu liečby u 1,</w:t>
      </w:r>
      <w:r w:rsidR="00D63E71" w:rsidRPr="00EB16B4">
        <w:rPr>
          <w:szCs w:val="22"/>
          <w:lang w:val="sk-SK"/>
        </w:rPr>
        <w:t>4</w:t>
      </w:r>
      <w:r w:rsidRPr="00EB16B4">
        <w:rPr>
          <w:szCs w:val="22"/>
          <w:lang w:val="sk-SK"/>
        </w:rPr>
        <w:t xml:space="preserve"> % pacientov.</w:t>
      </w:r>
    </w:p>
    <w:p w14:paraId="3791A48F" w14:textId="77777777" w:rsidR="004B4564" w:rsidRPr="00EB16B4" w:rsidRDefault="004B4564" w:rsidP="004B4564">
      <w:pPr>
        <w:autoSpaceDE w:val="0"/>
        <w:autoSpaceDN w:val="0"/>
        <w:adjustRightInd w:val="0"/>
        <w:rPr>
          <w:lang w:val="sk-SK" w:eastAsia="el-GR"/>
        </w:rPr>
      </w:pPr>
    </w:p>
    <w:p w14:paraId="6962E514" w14:textId="77777777" w:rsidR="00487832" w:rsidRPr="00EB16B4" w:rsidRDefault="00487832" w:rsidP="00487832">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i/>
          <w:iCs/>
          <w:color w:val="000000"/>
          <w:szCs w:val="22"/>
          <w:lang w:val="sk-SK"/>
        </w:rPr>
        <w:t xml:space="preserve">Zoznam nežiaducich účinkov tabuľkovou formou </w:t>
      </w:r>
    </w:p>
    <w:p w14:paraId="11FB1605" w14:textId="73B0DFAC" w:rsidR="00487832" w:rsidRDefault="00487832" w:rsidP="006253AD">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V tabuľke 1 </w:t>
      </w:r>
      <w:r w:rsidR="00540B23">
        <w:rPr>
          <w:rFonts w:eastAsiaTheme="minorHAnsi"/>
          <w:color w:val="000000"/>
          <w:szCs w:val="22"/>
          <w:lang w:val="sk-SK"/>
        </w:rPr>
        <w:t>sú uvedené</w:t>
      </w:r>
      <w:r w:rsidRPr="00EB16B4">
        <w:rPr>
          <w:rFonts w:eastAsiaTheme="minorHAnsi"/>
          <w:color w:val="000000"/>
          <w:szCs w:val="22"/>
          <w:lang w:val="sk-SK"/>
        </w:rPr>
        <w:t xml:space="preserve"> nežiaduce účinky, ktoré boli hlásené počas klinických štúdií so všetkými formami</w:t>
      </w:r>
      <w:r w:rsidR="006253AD">
        <w:rPr>
          <w:rFonts w:eastAsiaTheme="minorHAnsi"/>
          <w:color w:val="000000"/>
          <w:szCs w:val="22"/>
          <w:lang w:val="sk-SK"/>
        </w:rPr>
        <w:t xml:space="preserve"> (s obsahom/bez obsahu konzervačných látok)</w:t>
      </w:r>
      <w:r w:rsidRPr="00EB16B4">
        <w:rPr>
          <w:rFonts w:eastAsiaTheme="minorHAnsi"/>
          <w:color w:val="000000"/>
          <w:szCs w:val="22"/>
          <w:lang w:val="sk-SK"/>
        </w:rPr>
        <w:t xml:space="preserve"> </w:t>
      </w:r>
      <w:r w:rsidR="006253AD">
        <w:rPr>
          <w:rFonts w:eastAsiaTheme="minorHAnsi"/>
          <w:color w:val="000000"/>
          <w:szCs w:val="22"/>
          <w:lang w:val="sk-SK"/>
        </w:rPr>
        <w:t xml:space="preserve">očnej roztokovej instilácie </w:t>
      </w:r>
      <w:r w:rsidR="006253AD">
        <w:rPr>
          <w:szCs w:val="22"/>
          <w:lang w:val="sk-SK"/>
        </w:rPr>
        <w:t>b</w:t>
      </w:r>
      <w:r w:rsidR="006253AD" w:rsidRPr="00EB16B4">
        <w:rPr>
          <w:lang w:val="sk-SK" w:eastAsia="el-GR"/>
        </w:rPr>
        <w:t>imatoprost/</w:t>
      </w:r>
      <w:r w:rsidR="006253AD">
        <w:rPr>
          <w:lang w:val="sk-SK" w:eastAsia="el-GR"/>
        </w:rPr>
        <w:t>t</w:t>
      </w:r>
      <w:r w:rsidR="006253AD" w:rsidRPr="00EB16B4">
        <w:rPr>
          <w:lang w:val="sk-SK" w:eastAsia="el-GR"/>
        </w:rPr>
        <w:t>imolol 0.3 mg/m</w:t>
      </w:r>
      <w:r w:rsidR="006253AD">
        <w:rPr>
          <w:lang w:val="sk-SK" w:eastAsia="el-GR"/>
        </w:rPr>
        <w:t>l</w:t>
      </w:r>
      <w:r w:rsidR="006253AD" w:rsidRPr="00EB16B4">
        <w:rPr>
          <w:lang w:val="sk-SK" w:eastAsia="el-GR"/>
        </w:rPr>
        <w:t xml:space="preserve"> + 5 mg/m</w:t>
      </w:r>
      <w:r w:rsidR="006253AD">
        <w:rPr>
          <w:lang w:val="sk-SK" w:eastAsia="el-GR"/>
        </w:rPr>
        <w:t>l</w:t>
      </w:r>
      <w:r w:rsidR="006253AD" w:rsidRPr="00EB16B4">
        <w:rPr>
          <w:lang w:val="sk-SK" w:eastAsia="el-GR"/>
        </w:rPr>
        <w:t xml:space="preserve"> </w:t>
      </w:r>
      <w:r w:rsidR="006253AD">
        <w:rPr>
          <w:rFonts w:eastAsiaTheme="minorHAnsi"/>
          <w:color w:val="000000"/>
          <w:szCs w:val="22"/>
          <w:lang w:val="sk-SK"/>
        </w:rPr>
        <w:t>(v</w:t>
      </w:r>
      <w:r w:rsidRPr="00EB16B4">
        <w:rPr>
          <w:rFonts w:eastAsiaTheme="minorHAnsi"/>
          <w:color w:val="000000"/>
          <w:szCs w:val="22"/>
          <w:lang w:val="sk-SK"/>
        </w:rPr>
        <w:t xml:space="preserve"> rámci jednotlivých skupín frekvencií sú nežiaduce účinky usporiadané v poradí klesajúcej závažnosti</w:t>
      </w:r>
      <w:r w:rsidR="006253AD">
        <w:rPr>
          <w:rFonts w:eastAsiaTheme="minorHAnsi"/>
          <w:color w:val="000000"/>
          <w:szCs w:val="22"/>
          <w:lang w:val="sk-SK"/>
        </w:rPr>
        <w:t>)</w:t>
      </w:r>
      <w:r w:rsidRPr="00EB16B4">
        <w:rPr>
          <w:rFonts w:eastAsiaTheme="minorHAnsi"/>
          <w:color w:val="000000"/>
          <w:szCs w:val="22"/>
          <w:lang w:val="sk-SK"/>
        </w:rPr>
        <w:t xml:space="preserve"> al</w:t>
      </w:r>
      <w:r w:rsidR="00A446ED">
        <w:rPr>
          <w:rFonts w:eastAsiaTheme="minorHAnsi"/>
          <w:color w:val="000000"/>
          <w:szCs w:val="22"/>
          <w:lang w:val="sk-SK"/>
        </w:rPr>
        <w:t>ebo v postmarketingovom období.</w:t>
      </w:r>
    </w:p>
    <w:p w14:paraId="68888AEA" w14:textId="77777777" w:rsidR="00A446ED" w:rsidRPr="00EB16B4" w:rsidRDefault="00A446ED" w:rsidP="00487832">
      <w:pPr>
        <w:tabs>
          <w:tab w:val="clear" w:pos="567"/>
        </w:tabs>
        <w:autoSpaceDE w:val="0"/>
        <w:autoSpaceDN w:val="0"/>
        <w:adjustRightInd w:val="0"/>
        <w:spacing w:line="240" w:lineRule="auto"/>
        <w:rPr>
          <w:rFonts w:eastAsiaTheme="minorHAnsi"/>
          <w:color w:val="000000"/>
          <w:szCs w:val="22"/>
          <w:lang w:val="sk-SK"/>
        </w:rPr>
      </w:pPr>
    </w:p>
    <w:p w14:paraId="59462FB0" w14:textId="77777777" w:rsidR="00F23948" w:rsidRDefault="00487832" w:rsidP="00487832">
      <w:pPr>
        <w:rPr>
          <w:rFonts w:eastAsiaTheme="minorHAnsi"/>
          <w:color w:val="000000"/>
          <w:szCs w:val="22"/>
          <w:lang w:val="sk-SK"/>
        </w:rPr>
      </w:pPr>
      <w:r w:rsidRPr="00EB16B4">
        <w:rPr>
          <w:rFonts w:eastAsiaTheme="minorHAnsi"/>
          <w:color w:val="000000"/>
          <w:szCs w:val="22"/>
          <w:lang w:val="sk-SK"/>
        </w:rPr>
        <w:t>Uvedená frekvencia možných nežiaducich účinkov je definovaná podľa nasledujúcej konvencie.</w:t>
      </w:r>
    </w:p>
    <w:p w14:paraId="74A0565D" w14:textId="77777777" w:rsidR="00A446ED" w:rsidRPr="00EB16B4" w:rsidRDefault="00A446ED" w:rsidP="00487832">
      <w:pPr>
        <w:rPr>
          <w:lang w:val="sk-SK" w:eastAsia="el-GR"/>
        </w:rPr>
      </w:pPr>
    </w:p>
    <w:tbl>
      <w:tblPr>
        <w:tblW w:w="8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5333"/>
      </w:tblGrid>
      <w:tr w:rsidR="00C5096A" w:rsidRPr="00EB16B4" w14:paraId="1B7D0D2F" w14:textId="77777777" w:rsidTr="00486E3D">
        <w:tc>
          <w:tcPr>
            <w:tcW w:w="2771" w:type="dxa"/>
            <w:shd w:val="clear" w:color="auto" w:fill="auto"/>
          </w:tcPr>
          <w:p w14:paraId="461E2F69" w14:textId="77777777" w:rsidR="00C5096A" w:rsidRPr="00EB16B4" w:rsidRDefault="00C5096A">
            <w:pPr>
              <w:pStyle w:val="Default"/>
              <w:rPr>
                <w:sz w:val="22"/>
                <w:szCs w:val="22"/>
                <w:lang w:val="sk-SK"/>
              </w:rPr>
            </w:pPr>
            <w:r w:rsidRPr="00EB16B4">
              <w:rPr>
                <w:sz w:val="22"/>
                <w:szCs w:val="22"/>
                <w:lang w:val="sk-SK"/>
              </w:rPr>
              <w:t xml:space="preserve">Veľmi časté </w:t>
            </w:r>
          </w:p>
        </w:tc>
        <w:tc>
          <w:tcPr>
            <w:tcW w:w="5333" w:type="dxa"/>
            <w:shd w:val="clear" w:color="auto" w:fill="auto"/>
          </w:tcPr>
          <w:p w14:paraId="0F0DB247" w14:textId="77777777" w:rsidR="00C5096A" w:rsidRPr="00EB16B4" w:rsidRDefault="00C5096A">
            <w:pPr>
              <w:pStyle w:val="Default"/>
              <w:rPr>
                <w:sz w:val="22"/>
                <w:szCs w:val="22"/>
                <w:lang w:val="sk-SK"/>
              </w:rPr>
            </w:pPr>
            <w:r w:rsidRPr="00EB16B4">
              <w:rPr>
                <w:sz w:val="22"/>
                <w:szCs w:val="22"/>
                <w:lang w:val="sk-SK"/>
              </w:rPr>
              <w:t xml:space="preserve">≥1/10 </w:t>
            </w:r>
          </w:p>
        </w:tc>
      </w:tr>
      <w:tr w:rsidR="00C5096A" w:rsidRPr="00EB16B4" w14:paraId="5CE0FA30" w14:textId="77777777" w:rsidTr="00486E3D">
        <w:tc>
          <w:tcPr>
            <w:tcW w:w="2771" w:type="dxa"/>
            <w:shd w:val="clear" w:color="auto" w:fill="auto"/>
          </w:tcPr>
          <w:p w14:paraId="276F912D" w14:textId="77777777" w:rsidR="00C5096A" w:rsidRPr="00EB16B4" w:rsidRDefault="00C5096A">
            <w:pPr>
              <w:pStyle w:val="Default"/>
              <w:rPr>
                <w:sz w:val="22"/>
                <w:szCs w:val="22"/>
                <w:lang w:val="sk-SK"/>
              </w:rPr>
            </w:pPr>
            <w:r w:rsidRPr="00EB16B4">
              <w:rPr>
                <w:sz w:val="22"/>
                <w:szCs w:val="22"/>
                <w:lang w:val="sk-SK"/>
              </w:rPr>
              <w:t xml:space="preserve">Časté </w:t>
            </w:r>
          </w:p>
        </w:tc>
        <w:tc>
          <w:tcPr>
            <w:tcW w:w="5333" w:type="dxa"/>
            <w:shd w:val="clear" w:color="auto" w:fill="auto"/>
          </w:tcPr>
          <w:p w14:paraId="7E2141A9" w14:textId="77777777" w:rsidR="00C5096A" w:rsidRPr="00EB16B4" w:rsidRDefault="00C5096A">
            <w:pPr>
              <w:pStyle w:val="Default"/>
              <w:rPr>
                <w:sz w:val="22"/>
                <w:szCs w:val="22"/>
                <w:lang w:val="sk-SK"/>
              </w:rPr>
            </w:pPr>
            <w:r w:rsidRPr="00EB16B4">
              <w:rPr>
                <w:sz w:val="22"/>
                <w:szCs w:val="22"/>
                <w:lang w:val="sk-SK"/>
              </w:rPr>
              <w:t xml:space="preserve">≥1/100 až &lt;1/10 </w:t>
            </w:r>
          </w:p>
        </w:tc>
      </w:tr>
      <w:tr w:rsidR="00C5096A" w:rsidRPr="00EB16B4" w14:paraId="7112FA6E" w14:textId="77777777" w:rsidTr="00486E3D">
        <w:tc>
          <w:tcPr>
            <w:tcW w:w="2771" w:type="dxa"/>
            <w:shd w:val="clear" w:color="auto" w:fill="auto"/>
          </w:tcPr>
          <w:p w14:paraId="3DEADEC7" w14:textId="77777777" w:rsidR="00C5096A" w:rsidRPr="00EB16B4" w:rsidRDefault="00C5096A">
            <w:pPr>
              <w:pStyle w:val="Default"/>
              <w:rPr>
                <w:sz w:val="22"/>
                <w:szCs w:val="22"/>
                <w:lang w:val="sk-SK"/>
              </w:rPr>
            </w:pPr>
            <w:r w:rsidRPr="00EB16B4">
              <w:rPr>
                <w:sz w:val="22"/>
                <w:szCs w:val="22"/>
                <w:lang w:val="sk-SK"/>
              </w:rPr>
              <w:t xml:space="preserve">Menej časté </w:t>
            </w:r>
          </w:p>
        </w:tc>
        <w:tc>
          <w:tcPr>
            <w:tcW w:w="5333" w:type="dxa"/>
            <w:shd w:val="clear" w:color="auto" w:fill="auto"/>
          </w:tcPr>
          <w:p w14:paraId="76713BE0" w14:textId="77777777" w:rsidR="00C5096A" w:rsidRPr="00EB16B4" w:rsidRDefault="00C5096A">
            <w:pPr>
              <w:pStyle w:val="Default"/>
              <w:rPr>
                <w:sz w:val="22"/>
                <w:szCs w:val="22"/>
                <w:lang w:val="sk-SK"/>
              </w:rPr>
            </w:pPr>
            <w:r w:rsidRPr="00EB16B4">
              <w:rPr>
                <w:sz w:val="22"/>
                <w:szCs w:val="22"/>
                <w:lang w:val="sk-SK"/>
              </w:rPr>
              <w:t xml:space="preserve">≥1/1 000 až &lt;1/100 </w:t>
            </w:r>
          </w:p>
        </w:tc>
      </w:tr>
      <w:tr w:rsidR="00C5096A" w:rsidRPr="00EB16B4" w14:paraId="2DD377A1" w14:textId="77777777" w:rsidTr="00486E3D">
        <w:tc>
          <w:tcPr>
            <w:tcW w:w="2771" w:type="dxa"/>
            <w:shd w:val="clear" w:color="auto" w:fill="auto"/>
          </w:tcPr>
          <w:p w14:paraId="001E4A1F" w14:textId="77777777" w:rsidR="00C5096A" w:rsidRPr="00EB16B4" w:rsidRDefault="00C5096A">
            <w:pPr>
              <w:pStyle w:val="Default"/>
              <w:rPr>
                <w:sz w:val="22"/>
                <w:szCs w:val="22"/>
                <w:lang w:val="sk-SK"/>
              </w:rPr>
            </w:pPr>
            <w:r w:rsidRPr="00EB16B4">
              <w:rPr>
                <w:sz w:val="22"/>
                <w:szCs w:val="22"/>
                <w:lang w:val="sk-SK"/>
              </w:rPr>
              <w:t xml:space="preserve">Zriedkavé </w:t>
            </w:r>
          </w:p>
        </w:tc>
        <w:tc>
          <w:tcPr>
            <w:tcW w:w="5333" w:type="dxa"/>
            <w:shd w:val="clear" w:color="auto" w:fill="auto"/>
          </w:tcPr>
          <w:p w14:paraId="250E39FD" w14:textId="77777777" w:rsidR="00C5096A" w:rsidRPr="00EB16B4" w:rsidRDefault="00C5096A">
            <w:pPr>
              <w:pStyle w:val="Default"/>
              <w:rPr>
                <w:sz w:val="22"/>
                <w:szCs w:val="22"/>
                <w:lang w:val="sk-SK"/>
              </w:rPr>
            </w:pPr>
            <w:r w:rsidRPr="00EB16B4">
              <w:rPr>
                <w:sz w:val="22"/>
                <w:szCs w:val="22"/>
                <w:lang w:val="sk-SK"/>
              </w:rPr>
              <w:t xml:space="preserve">≥1/10 000 až &lt;1/1 000 </w:t>
            </w:r>
          </w:p>
        </w:tc>
      </w:tr>
      <w:tr w:rsidR="00C5096A" w:rsidRPr="00EB16B4" w14:paraId="7B3B4F50" w14:textId="77777777" w:rsidTr="00486E3D">
        <w:tc>
          <w:tcPr>
            <w:tcW w:w="2771" w:type="dxa"/>
            <w:shd w:val="clear" w:color="auto" w:fill="auto"/>
          </w:tcPr>
          <w:p w14:paraId="24A11FC0" w14:textId="77777777" w:rsidR="00C5096A" w:rsidRPr="00EB16B4" w:rsidRDefault="00C5096A">
            <w:pPr>
              <w:pStyle w:val="Default"/>
              <w:rPr>
                <w:sz w:val="22"/>
                <w:szCs w:val="22"/>
                <w:lang w:val="sk-SK"/>
              </w:rPr>
            </w:pPr>
            <w:r w:rsidRPr="00EB16B4">
              <w:rPr>
                <w:sz w:val="22"/>
                <w:szCs w:val="22"/>
                <w:lang w:val="sk-SK"/>
              </w:rPr>
              <w:t xml:space="preserve">Veľmi zriedkavé </w:t>
            </w:r>
          </w:p>
        </w:tc>
        <w:tc>
          <w:tcPr>
            <w:tcW w:w="5333" w:type="dxa"/>
            <w:shd w:val="clear" w:color="auto" w:fill="auto"/>
          </w:tcPr>
          <w:p w14:paraId="544BCE6F" w14:textId="77777777" w:rsidR="00C5096A" w:rsidRPr="00EB16B4" w:rsidRDefault="00C5096A">
            <w:pPr>
              <w:pStyle w:val="Default"/>
              <w:rPr>
                <w:sz w:val="22"/>
                <w:szCs w:val="22"/>
                <w:lang w:val="sk-SK"/>
              </w:rPr>
            </w:pPr>
            <w:r w:rsidRPr="00EB16B4">
              <w:rPr>
                <w:sz w:val="22"/>
                <w:szCs w:val="22"/>
                <w:lang w:val="sk-SK"/>
              </w:rPr>
              <w:t xml:space="preserve">&lt;1/10 000 </w:t>
            </w:r>
          </w:p>
        </w:tc>
      </w:tr>
      <w:tr w:rsidR="00C5096A" w:rsidRPr="0052539B" w14:paraId="49D0BEB7" w14:textId="77777777" w:rsidTr="00486E3D">
        <w:tc>
          <w:tcPr>
            <w:tcW w:w="2771" w:type="dxa"/>
            <w:shd w:val="clear" w:color="auto" w:fill="auto"/>
          </w:tcPr>
          <w:p w14:paraId="2D5EABD8" w14:textId="77777777" w:rsidR="00C5096A" w:rsidRPr="00EB16B4" w:rsidRDefault="00C5096A">
            <w:pPr>
              <w:pStyle w:val="Default"/>
              <w:rPr>
                <w:sz w:val="22"/>
                <w:szCs w:val="22"/>
                <w:lang w:val="sk-SK"/>
              </w:rPr>
            </w:pPr>
            <w:r w:rsidRPr="00EB16B4">
              <w:rPr>
                <w:sz w:val="22"/>
                <w:szCs w:val="22"/>
                <w:lang w:val="sk-SK"/>
              </w:rPr>
              <w:t xml:space="preserve">Neznáme </w:t>
            </w:r>
          </w:p>
        </w:tc>
        <w:tc>
          <w:tcPr>
            <w:tcW w:w="5333" w:type="dxa"/>
            <w:shd w:val="clear" w:color="auto" w:fill="auto"/>
          </w:tcPr>
          <w:p w14:paraId="23F35A02" w14:textId="77777777" w:rsidR="00C5096A" w:rsidRPr="00EB16B4" w:rsidRDefault="00C5096A">
            <w:pPr>
              <w:pStyle w:val="Default"/>
              <w:rPr>
                <w:sz w:val="22"/>
                <w:szCs w:val="22"/>
                <w:lang w:val="sk-SK"/>
              </w:rPr>
            </w:pPr>
            <w:r w:rsidRPr="00EB16B4">
              <w:rPr>
                <w:sz w:val="22"/>
                <w:szCs w:val="22"/>
                <w:lang w:val="sk-SK"/>
              </w:rPr>
              <w:t xml:space="preserve">Frekvencia sa nedá určiť z dostupných údajov </w:t>
            </w:r>
          </w:p>
        </w:tc>
      </w:tr>
    </w:tbl>
    <w:p w14:paraId="683150F7" w14:textId="77777777" w:rsidR="00F23948" w:rsidRPr="00EB16B4" w:rsidRDefault="00F23948" w:rsidP="00F23948">
      <w:pPr>
        <w:autoSpaceDE w:val="0"/>
        <w:autoSpaceDN w:val="0"/>
        <w:adjustRightInd w:val="0"/>
        <w:rPr>
          <w:lang w:val="sk-SK" w:eastAsia="el-GR"/>
        </w:rPr>
      </w:pPr>
    </w:p>
    <w:p w14:paraId="46FBEF71" w14:textId="77777777" w:rsidR="00F23948" w:rsidRPr="00EB16B4" w:rsidRDefault="00F23948" w:rsidP="00F23948">
      <w:pPr>
        <w:autoSpaceDE w:val="0"/>
        <w:autoSpaceDN w:val="0"/>
        <w:adjustRightInd w:val="0"/>
        <w:rPr>
          <w:lang w:val="sk-SK" w:eastAsia="el-GR"/>
        </w:rPr>
      </w:pPr>
    </w:p>
    <w:p w14:paraId="4A1DA87A" w14:textId="77777777" w:rsidR="00F23948" w:rsidRPr="00EB16B4" w:rsidRDefault="00796A09" w:rsidP="00F23948">
      <w:pPr>
        <w:autoSpaceDE w:val="0"/>
        <w:autoSpaceDN w:val="0"/>
        <w:adjustRightInd w:val="0"/>
        <w:rPr>
          <w:b/>
          <w:lang w:val="sk-SK" w:eastAsia="el-GR"/>
        </w:rPr>
      </w:pPr>
      <w:r w:rsidRPr="00EB16B4">
        <w:rPr>
          <w:b/>
          <w:lang w:val="sk-SK" w:eastAsia="el-GR"/>
        </w:rPr>
        <w:t xml:space="preserve">Tabuľka </w:t>
      </w:r>
      <w:r w:rsidR="00F23948" w:rsidRPr="00EB16B4">
        <w:rPr>
          <w:b/>
          <w:lang w:val="sk-SK" w:eastAsia="el-GR"/>
        </w:rPr>
        <w:t>1</w:t>
      </w:r>
    </w:p>
    <w:p w14:paraId="6ED535C5" w14:textId="77777777" w:rsidR="00F23948" w:rsidRPr="00EB16B4" w:rsidRDefault="00F23948" w:rsidP="00F23948">
      <w:pPr>
        <w:autoSpaceDE w:val="0"/>
        <w:autoSpaceDN w:val="0"/>
        <w:adjustRightInd w:val="0"/>
        <w:rPr>
          <w:b/>
          <w:lang w:val="sk-SK" w:eastAsia="el-GR"/>
        </w:rPr>
      </w:pPr>
    </w:p>
    <w:tbl>
      <w:tblPr>
        <w:tblW w:w="84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3096"/>
        <w:gridCol w:w="3096"/>
      </w:tblGrid>
      <w:tr w:rsidR="007E51B8" w:rsidRPr="00EB16B4" w14:paraId="039B0942" w14:textId="77777777" w:rsidTr="00B6309A">
        <w:tc>
          <w:tcPr>
            <w:tcW w:w="2244" w:type="dxa"/>
            <w:shd w:val="clear" w:color="auto" w:fill="auto"/>
          </w:tcPr>
          <w:p w14:paraId="047CC486" w14:textId="77777777" w:rsidR="007E51B8" w:rsidRPr="00EB16B4" w:rsidRDefault="007E51B8">
            <w:pPr>
              <w:pStyle w:val="Default"/>
              <w:rPr>
                <w:sz w:val="22"/>
                <w:szCs w:val="22"/>
                <w:lang w:val="sk-SK"/>
              </w:rPr>
            </w:pPr>
            <w:r w:rsidRPr="00EB16B4">
              <w:rPr>
                <w:b/>
                <w:bCs/>
                <w:sz w:val="22"/>
                <w:szCs w:val="22"/>
                <w:lang w:val="sk-SK"/>
              </w:rPr>
              <w:t xml:space="preserve">Trieda orgánových systémov </w:t>
            </w:r>
          </w:p>
        </w:tc>
        <w:tc>
          <w:tcPr>
            <w:tcW w:w="3096" w:type="dxa"/>
            <w:shd w:val="clear" w:color="auto" w:fill="auto"/>
          </w:tcPr>
          <w:p w14:paraId="418C0931" w14:textId="77777777" w:rsidR="007E51B8" w:rsidRPr="00EB16B4" w:rsidRDefault="007E51B8">
            <w:pPr>
              <w:pStyle w:val="Default"/>
              <w:rPr>
                <w:sz w:val="22"/>
                <w:szCs w:val="22"/>
                <w:lang w:val="sk-SK"/>
              </w:rPr>
            </w:pPr>
            <w:r w:rsidRPr="00EB16B4">
              <w:rPr>
                <w:b/>
                <w:bCs/>
                <w:sz w:val="22"/>
                <w:szCs w:val="22"/>
                <w:lang w:val="sk-SK"/>
              </w:rPr>
              <w:t xml:space="preserve">Frekvencia </w:t>
            </w:r>
          </w:p>
        </w:tc>
        <w:tc>
          <w:tcPr>
            <w:tcW w:w="3096" w:type="dxa"/>
            <w:shd w:val="clear" w:color="auto" w:fill="auto"/>
          </w:tcPr>
          <w:p w14:paraId="344985B4" w14:textId="77777777" w:rsidR="007E51B8" w:rsidRPr="00EB16B4" w:rsidRDefault="007E51B8">
            <w:pPr>
              <w:pStyle w:val="Default"/>
              <w:rPr>
                <w:sz w:val="22"/>
                <w:szCs w:val="22"/>
                <w:lang w:val="sk-SK"/>
              </w:rPr>
            </w:pPr>
            <w:r w:rsidRPr="00EB16B4">
              <w:rPr>
                <w:b/>
                <w:bCs/>
                <w:sz w:val="22"/>
                <w:szCs w:val="22"/>
                <w:lang w:val="sk-SK"/>
              </w:rPr>
              <w:t xml:space="preserve">Nežiaduci účinok </w:t>
            </w:r>
          </w:p>
        </w:tc>
      </w:tr>
      <w:tr w:rsidR="00C32DF4" w:rsidRPr="0052539B" w14:paraId="5C2A2732" w14:textId="77777777" w:rsidTr="0065055E">
        <w:tc>
          <w:tcPr>
            <w:tcW w:w="2244" w:type="dxa"/>
            <w:shd w:val="clear" w:color="auto" w:fill="auto"/>
          </w:tcPr>
          <w:p w14:paraId="6DBEEBA9" w14:textId="77777777" w:rsidR="00C32DF4" w:rsidRPr="00EB16B4" w:rsidRDefault="00C32DF4">
            <w:pPr>
              <w:pStyle w:val="Default"/>
              <w:rPr>
                <w:sz w:val="22"/>
                <w:szCs w:val="22"/>
                <w:lang w:val="sk-SK"/>
              </w:rPr>
            </w:pPr>
            <w:r w:rsidRPr="00EB16B4">
              <w:rPr>
                <w:i/>
                <w:iCs/>
                <w:sz w:val="22"/>
                <w:szCs w:val="22"/>
                <w:lang w:val="sk-SK"/>
              </w:rPr>
              <w:t xml:space="preserve">Poruchy imunitného systému </w:t>
            </w:r>
          </w:p>
        </w:tc>
        <w:tc>
          <w:tcPr>
            <w:tcW w:w="3096" w:type="dxa"/>
            <w:shd w:val="clear" w:color="auto" w:fill="auto"/>
          </w:tcPr>
          <w:p w14:paraId="5063A58F" w14:textId="77777777" w:rsidR="00C32DF4" w:rsidRPr="00EB16B4" w:rsidRDefault="00C32DF4">
            <w:pPr>
              <w:pStyle w:val="Default"/>
              <w:rPr>
                <w:sz w:val="22"/>
                <w:szCs w:val="22"/>
                <w:lang w:val="sk-SK"/>
              </w:rPr>
            </w:pPr>
            <w:r w:rsidRPr="00EB16B4">
              <w:rPr>
                <w:sz w:val="22"/>
                <w:szCs w:val="22"/>
                <w:lang w:val="sk-SK"/>
              </w:rPr>
              <w:t xml:space="preserve">Neznáme </w:t>
            </w:r>
          </w:p>
        </w:tc>
        <w:tc>
          <w:tcPr>
            <w:tcW w:w="3096" w:type="dxa"/>
            <w:shd w:val="clear" w:color="auto" w:fill="auto"/>
          </w:tcPr>
          <w:p w14:paraId="19D33FD6" w14:textId="77777777" w:rsidR="00C32DF4" w:rsidRPr="00EB16B4" w:rsidRDefault="00C32DF4" w:rsidP="00C32DF4">
            <w:pPr>
              <w:pStyle w:val="Default"/>
              <w:rPr>
                <w:sz w:val="22"/>
                <w:szCs w:val="22"/>
                <w:lang w:val="sk-SK"/>
              </w:rPr>
            </w:pPr>
            <w:r w:rsidRPr="00EB16B4">
              <w:rPr>
                <w:sz w:val="22"/>
                <w:szCs w:val="22"/>
                <w:lang w:val="sk-SK"/>
              </w:rPr>
              <w:t>Hypersenzitívne reakcie vrátane prejavov alebo symptómov alergickej dermatitídy, angioedému, očnej alergie</w:t>
            </w:r>
          </w:p>
          <w:p w14:paraId="5844A2E6" w14:textId="77777777" w:rsidR="00C32DF4" w:rsidRPr="00EB16B4" w:rsidRDefault="00C32DF4">
            <w:pPr>
              <w:pStyle w:val="Default"/>
              <w:rPr>
                <w:sz w:val="22"/>
                <w:szCs w:val="22"/>
                <w:lang w:val="sk-SK"/>
              </w:rPr>
            </w:pPr>
          </w:p>
        </w:tc>
      </w:tr>
      <w:tr w:rsidR="008E402D" w:rsidRPr="00EB16B4" w14:paraId="7A28427D" w14:textId="77777777" w:rsidTr="0065055E">
        <w:tc>
          <w:tcPr>
            <w:tcW w:w="2244" w:type="dxa"/>
            <w:shd w:val="clear" w:color="auto" w:fill="auto"/>
          </w:tcPr>
          <w:p w14:paraId="582E9A9B" w14:textId="77777777" w:rsidR="008E402D" w:rsidRPr="00EB16B4" w:rsidRDefault="008E402D">
            <w:pPr>
              <w:pStyle w:val="Default"/>
              <w:rPr>
                <w:sz w:val="22"/>
                <w:szCs w:val="22"/>
                <w:lang w:val="sk-SK"/>
              </w:rPr>
            </w:pPr>
            <w:r w:rsidRPr="00EB16B4">
              <w:rPr>
                <w:i/>
                <w:iCs/>
                <w:sz w:val="22"/>
                <w:szCs w:val="22"/>
                <w:lang w:val="sk-SK"/>
              </w:rPr>
              <w:t xml:space="preserve">Psychické poruchy </w:t>
            </w:r>
          </w:p>
        </w:tc>
        <w:tc>
          <w:tcPr>
            <w:tcW w:w="3096" w:type="dxa"/>
            <w:shd w:val="clear" w:color="auto" w:fill="auto"/>
          </w:tcPr>
          <w:p w14:paraId="0EEE064D" w14:textId="77777777" w:rsidR="008E402D" w:rsidRPr="00EB16B4" w:rsidRDefault="008E402D">
            <w:pPr>
              <w:pStyle w:val="Default"/>
              <w:rPr>
                <w:sz w:val="22"/>
                <w:szCs w:val="22"/>
                <w:lang w:val="sk-SK"/>
              </w:rPr>
            </w:pPr>
            <w:r w:rsidRPr="00EB16B4">
              <w:rPr>
                <w:sz w:val="22"/>
                <w:szCs w:val="22"/>
                <w:lang w:val="sk-SK"/>
              </w:rPr>
              <w:t xml:space="preserve">Neznáme </w:t>
            </w:r>
          </w:p>
        </w:tc>
        <w:tc>
          <w:tcPr>
            <w:tcW w:w="3096" w:type="dxa"/>
            <w:shd w:val="clear" w:color="auto" w:fill="auto"/>
          </w:tcPr>
          <w:p w14:paraId="5C747137" w14:textId="77777777" w:rsidR="008E402D" w:rsidRPr="00EB16B4" w:rsidRDefault="008E402D">
            <w:pPr>
              <w:pStyle w:val="Default"/>
              <w:rPr>
                <w:sz w:val="14"/>
                <w:szCs w:val="14"/>
                <w:lang w:val="sk-SK"/>
              </w:rPr>
            </w:pPr>
            <w:r w:rsidRPr="00EB16B4">
              <w:rPr>
                <w:sz w:val="22"/>
                <w:szCs w:val="22"/>
                <w:lang w:val="sk-SK"/>
              </w:rPr>
              <w:t>Nespavosť</w:t>
            </w:r>
            <w:r w:rsidRPr="00A446ED">
              <w:rPr>
                <w:sz w:val="14"/>
                <w:szCs w:val="14"/>
                <w:vertAlign w:val="superscript"/>
                <w:lang w:val="sk-SK"/>
              </w:rPr>
              <w:t>2</w:t>
            </w:r>
            <w:r w:rsidRPr="00EB16B4">
              <w:rPr>
                <w:sz w:val="22"/>
                <w:szCs w:val="22"/>
                <w:lang w:val="sk-SK"/>
              </w:rPr>
              <w:t>, nočné mory</w:t>
            </w:r>
            <w:r w:rsidRPr="00A446ED">
              <w:rPr>
                <w:sz w:val="14"/>
                <w:szCs w:val="14"/>
                <w:vertAlign w:val="superscript"/>
                <w:lang w:val="sk-SK"/>
              </w:rPr>
              <w:t>2</w:t>
            </w:r>
            <w:r w:rsidRPr="00EB16B4">
              <w:rPr>
                <w:sz w:val="14"/>
                <w:szCs w:val="14"/>
                <w:lang w:val="sk-SK"/>
              </w:rPr>
              <w:t xml:space="preserve"> </w:t>
            </w:r>
          </w:p>
        </w:tc>
      </w:tr>
      <w:tr w:rsidR="00683A6C" w:rsidRPr="00EB16B4" w14:paraId="256A7CDC" w14:textId="77777777" w:rsidTr="00B6309A">
        <w:tc>
          <w:tcPr>
            <w:tcW w:w="2244" w:type="dxa"/>
            <w:vMerge w:val="restart"/>
            <w:shd w:val="clear" w:color="auto" w:fill="auto"/>
          </w:tcPr>
          <w:p w14:paraId="758BAABF" w14:textId="77777777" w:rsidR="00CB4088" w:rsidRPr="00EB16B4" w:rsidRDefault="00CB4088" w:rsidP="00CB4088">
            <w:pPr>
              <w:pStyle w:val="Default"/>
              <w:rPr>
                <w:sz w:val="22"/>
                <w:szCs w:val="22"/>
                <w:lang w:val="sk-SK"/>
              </w:rPr>
            </w:pPr>
            <w:r w:rsidRPr="00EB16B4">
              <w:rPr>
                <w:i/>
                <w:iCs/>
                <w:sz w:val="22"/>
                <w:szCs w:val="22"/>
                <w:lang w:val="sk-SK"/>
              </w:rPr>
              <w:t xml:space="preserve">Poruchy nervového systému </w:t>
            </w:r>
          </w:p>
          <w:p w14:paraId="0A224C9D" w14:textId="77777777" w:rsidR="00683A6C" w:rsidRPr="00EB16B4" w:rsidRDefault="00683A6C" w:rsidP="00486E3D">
            <w:pPr>
              <w:rPr>
                <w:rStyle w:val="BodytextNotBoldItalic"/>
                <w:rFonts w:eastAsiaTheme="minorHAnsi"/>
                <w:b w:val="0"/>
                <w:sz w:val="22"/>
                <w:szCs w:val="22"/>
                <w:lang w:val="sk-SK"/>
              </w:rPr>
            </w:pPr>
          </w:p>
        </w:tc>
        <w:tc>
          <w:tcPr>
            <w:tcW w:w="3096" w:type="dxa"/>
            <w:shd w:val="clear" w:color="auto" w:fill="auto"/>
          </w:tcPr>
          <w:p w14:paraId="60E1D3D0" w14:textId="77777777" w:rsidR="00683A6C" w:rsidRPr="00EB16B4" w:rsidRDefault="00CF094D" w:rsidP="00486E3D">
            <w:pPr>
              <w:rPr>
                <w:rStyle w:val="BodyText2"/>
                <w:rFonts w:eastAsiaTheme="minorHAnsi"/>
                <w:b w:val="0"/>
                <w:bCs w:val="0"/>
                <w:sz w:val="22"/>
                <w:szCs w:val="22"/>
                <w:lang w:val="sk-SK"/>
              </w:rPr>
            </w:pPr>
            <w:r w:rsidRPr="00EB16B4">
              <w:rPr>
                <w:lang w:val="sk-SK" w:eastAsia="el-GR"/>
              </w:rPr>
              <w:t>Časté</w:t>
            </w:r>
          </w:p>
        </w:tc>
        <w:tc>
          <w:tcPr>
            <w:tcW w:w="3096" w:type="dxa"/>
            <w:shd w:val="clear" w:color="auto" w:fill="auto"/>
            <w:vAlign w:val="bottom"/>
          </w:tcPr>
          <w:p w14:paraId="5287B5EB" w14:textId="77777777" w:rsidR="00CF094D" w:rsidRPr="00EB16B4" w:rsidRDefault="00CF094D" w:rsidP="00CF094D">
            <w:pPr>
              <w:pStyle w:val="Default"/>
              <w:rPr>
                <w:sz w:val="14"/>
                <w:szCs w:val="14"/>
                <w:lang w:val="sk-SK"/>
              </w:rPr>
            </w:pPr>
            <w:r w:rsidRPr="00EB16B4">
              <w:rPr>
                <w:sz w:val="22"/>
                <w:szCs w:val="22"/>
                <w:lang w:val="sk-SK"/>
              </w:rPr>
              <w:t>Bolesť hlavy, závraty</w:t>
            </w:r>
            <w:r w:rsidRPr="00A446ED">
              <w:rPr>
                <w:sz w:val="14"/>
                <w:szCs w:val="14"/>
                <w:vertAlign w:val="superscript"/>
                <w:lang w:val="sk-SK"/>
              </w:rPr>
              <w:t>2</w:t>
            </w:r>
            <w:r w:rsidRPr="00EB16B4">
              <w:rPr>
                <w:sz w:val="14"/>
                <w:szCs w:val="14"/>
                <w:lang w:val="sk-SK"/>
              </w:rPr>
              <w:t xml:space="preserve"> </w:t>
            </w:r>
          </w:p>
          <w:p w14:paraId="3B5ACCAB" w14:textId="77777777" w:rsidR="00683A6C" w:rsidRPr="00EB16B4" w:rsidRDefault="00683A6C" w:rsidP="00486E3D">
            <w:pPr>
              <w:rPr>
                <w:rStyle w:val="BodyText2"/>
                <w:rFonts w:eastAsiaTheme="minorHAnsi"/>
                <w:b w:val="0"/>
                <w:bCs w:val="0"/>
                <w:sz w:val="22"/>
                <w:szCs w:val="22"/>
                <w:vertAlign w:val="superscript"/>
                <w:lang w:val="sk-SK"/>
              </w:rPr>
            </w:pPr>
          </w:p>
        </w:tc>
      </w:tr>
      <w:tr w:rsidR="00683A6C" w:rsidRPr="00EB16B4" w14:paraId="6E43B04D" w14:textId="77777777" w:rsidTr="00B6309A">
        <w:tc>
          <w:tcPr>
            <w:tcW w:w="2244" w:type="dxa"/>
            <w:vMerge/>
            <w:shd w:val="clear" w:color="auto" w:fill="auto"/>
          </w:tcPr>
          <w:p w14:paraId="0144DB5E" w14:textId="77777777" w:rsidR="00683A6C" w:rsidRPr="00EB16B4" w:rsidRDefault="00683A6C" w:rsidP="00486E3D">
            <w:pPr>
              <w:rPr>
                <w:rStyle w:val="BodytextNotBoldItalic"/>
                <w:rFonts w:eastAsiaTheme="minorHAnsi"/>
                <w:b w:val="0"/>
                <w:sz w:val="22"/>
                <w:szCs w:val="22"/>
                <w:lang w:val="sk-SK"/>
              </w:rPr>
            </w:pPr>
          </w:p>
        </w:tc>
        <w:tc>
          <w:tcPr>
            <w:tcW w:w="3096" w:type="dxa"/>
            <w:shd w:val="clear" w:color="auto" w:fill="auto"/>
          </w:tcPr>
          <w:p w14:paraId="49A057A6" w14:textId="77777777" w:rsidR="00683A6C" w:rsidRPr="00EB16B4" w:rsidRDefault="00CF094D" w:rsidP="00486E3D">
            <w:pPr>
              <w:rPr>
                <w:rStyle w:val="BodyText2"/>
                <w:rFonts w:eastAsiaTheme="minorHAnsi"/>
                <w:b w:val="0"/>
                <w:bCs w:val="0"/>
                <w:sz w:val="22"/>
                <w:szCs w:val="22"/>
                <w:lang w:val="sk-SK"/>
              </w:rPr>
            </w:pPr>
            <w:r w:rsidRPr="00EB16B4">
              <w:rPr>
                <w:rStyle w:val="BodyText2"/>
                <w:rFonts w:eastAsiaTheme="minorHAnsi"/>
                <w:b w:val="0"/>
                <w:bCs w:val="0"/>
                <w:sz w:val="22"/>
                <w:szCs w:val="22"/>
                <w:lang w:val="sk-SK"/>
              </w:rPr>
              <w:t>Neznáme</w:t>
            </w:r>
          </w:p>
        </w:tc>
        <w:tc>
          <w:tcPr>
            <w:tcW w:w="3096" w:type="dxa"/>
            <w:shd w:val="clear" w:color="auto" w:fill="auto"/>
            <w:vAlign w:val="bottom"/>
          </w:tcPr>
          <w:p w14:paraId="274F657B" w14:textId="77777777" w:rsidR="00CF094D" w:rsidRPr="00EB16B4" w:rsidRDefault="00CF094D" w:rsidP="00CF094D">
            <w:pPr>
              <w:pStyle w:val="Default"/>
              <w:rPr>
                <w:sz w:val="14"/>
                <w:szCs w:val="14"/>
                <w:lang w:val="sk-SK"/>
              </w:rPr>
            </w:pPr>
            <w:r w:rsidRPr="00EB16B4">
              <w:rPr>
                <w:sz w:val="22"/>
                <w:szCs w:val="22"/>
                <w:lang w:val="sk-SK"/>
              </w:rPr>
              <w:t>Porucha chuti</w:t>
            </w:r>
            <w:r w:rsidRPr="00A446ED">
              <w:rPr>
                <w:sz w:val="14"/>
                <w:szCs w:val="14"/>
                <w:vertAlign w:val="superscript"/>
                <w:lang w:val="sk-SK"/>
              </w:rPr>
              <w:t xml:space="preserve">2 </w:t>
            </w:r>
          </w:p>
          <w:p w14:paraId="2BF4ED63" w14:textId="77777777" w:rsidR="00683A6C" w:rsidRPr="00EB16B4" w:rsidRDefault="00683A6C" w:rsidP="00486E3D">
            <w:pPr>
              <w:rPr>
                <w:rStyle w:val="BodyText2"/>
                <w:rFonts w:eastAsiaTheme="minorHAnsi"/>
                <w:b w:val="0"/>
                <w:bCs w:val="0"/>
                <w:sz w:val="22"/>
                <w:szCs w:val="22"/>
                <w:vertAlign w:val="superscript"/>
                <w:lang w:val="sk-SK"/>
              </w:rPr>
            </w:pPr>
          </w:p>
        </w:tc>
      </w:tr>
      <w:tr w:rsidR="00F92481" w:rsidRPr="00EB16B4" w14:paraId="33097142" w14:textId="77777777" w:rsidTr="00B6309A">
        <w:tc>
          <w:tcPr>
            <w:tcW w:w="2244" w:type="dxa"/>
            <w:vMerge w:val="restart"/>
            <w:shd w:val="clear" w:color="auto" w:fill="auto"/>
          </w:tcPr>
          <w:p w14:paraId="35CF62CC" w14:textId="77777777" w:rsidR="00F92481" w:rsidRPr="00EB16B4" w:rsidRDefault="00F92481">
            <w:pPr>
              <w:pStyle w:val="Default"/>
              <w:rPr>
                <w:sz w:val="22"/>
                <w:szCs w:val="22"/>
                <w:lang w:val="sk-SK"/>
              </w:rPr>
            </w:pPr>
            <w:r w:rsidRPr="00EB16B4">
              <w:rPr>
                <w:i/>
                <w:iCs/>
                <w:sz w:val="22"/>
                <w:szCs w:val="22"/>
                <w:lang w:val="sk-SK"/>
              </w:rPr>
              <w:t xml:space="preserve">Poruchy oka </w:t>
            </w:r>
          </w:p>
        </w:tc>
        <w:tc>
          <w:tcPr>
            <w:tcW w:w="3096" w:type="dxa"/>
            <w:shd w:val="clear" w:color="auto" w:fill="auto"/>
          </w:tcPr>
          <w:p w14:paraId="700E0A71" w14:textId="77777777" w:rsidR="00F92481" w:rsidRPr="00EB16B4" w:rsidRDefault="00F92481">
            <w:pPr>
              <w:pStyle w:val="Default"/>
              <w:rPr>
                <w:sz w:val="22"/>
                <w:szCs w:val="22"/>
                <w:lang w:val="sk-SK"/>
              </w:rPr>
            </w:pPr>
            <w:r w:rsidRPr="00EB16B4">
              <w:rPr>
                <w:sz w:val="22"/>
                <w:szCs w:val="22"/>
                <w:lang w:val="sk-SK"/>
              </w:rPr>
              <w:t xml:space="preserve">Veľmi časté </w:t>
            </w:r>
          </w:p>
        </w:tc>
        <w:tc>
          <w:tcPr>
            <w:tcW w:w="3096" w:type="dxa"/>
            <w:shd w:val="clear" w:color="auto" w:fill="auto"/>
          </w:tcPr>
          <w:p w14:paraId="65B38530" w14:textId="77777777" w:rsidR="00F92481" w:rsidRPr="00EB16B4" w:rsidRDefault="00F92481">
            <w:pPr>
              <w:pStyle w:val="Default"/>
              <w:rPr>
                <w:sz w:val="22"/>
                <w:szCs w:val="22"/>
                <w:lang w:val="sk-SK"/>
              </w:rPr>
            </w:pPr>
            <w:r w:rsidRPr="00EB16B4">
              <w:rPr>
                <w:sz w:val="22"/>
                <w:szCs w:val="22"/>
                <w:lang w:val="sk-SK"/>
              </w:rPr>
              <w:t xml:space="preserve">Hyperémia spojoviek </w:t>
            </w:r>
          </w:p>
        </w:tc>
      </w:tr>
      <w:tr w:rsidR="00F23948" w:rsidRPr="0052539B" w14:paraId="664BE66D" w14:textId="77777777" w:rsidTr="00B6309A">
        <w:tc>
          <w:tcPr>
            <w:tcW w:w="2244" w:type="dxa"/>
            <w:vMerge/>
            <w:shd w:val="clear" w:color="auto" w:fill="auto"/>
          </w:tcPr>
          <w:p w14:paraId="0C4ABD42" w14:textId="77777777" w:rsidR="00F23948" w:rsidRPr="00EB16B4" w:rsidRDefault="00F23948" w:rsidP="00486E3D">
            <w:pPr>
              <w:rPr>
                <w:i/>
                <w:iCs/>
                <w:lang w:val="sk-SK" w:eastAsia="el-GR"/>
              </w:rPr>
            </w:pPr>
          </w:p>
        </w:tc>
        <w:tc>
          <w:tcPr>
            <w:tcW w:w="3096" w:type="dxa"/>
            <w:shd w:val="clear" w:color="auto" w:fill="auto"/>
          </w:tcPr>
          <w:p w14:paraId="2A4B3D02" w14:textId="77777777" w:rsidR="00C20935" w:rsidRPr="00EB16B4" w:rsidRDefault="00C20935" w:rsidP="00C20935">
            <w:pPr>
              <w:pStyle w:val="Default"/>
              <w:rPr>
                <w:sz w:val="22"/>
                <w:szCs w:val="22"/>
                <w:lang w:val="sk-SK"/>
              </w:rPr>
            </w:pPr>
            <w:r w:rsidRPr="00EB16B4">
              <w:rPr>
                <w:sz w:val="22"/>
                <w:szCs w:val="22"/>
                <w:lang w:val="sk-SK"/>
              </w:rPr>
              <w:t xml:space="preserve">Časté </w:t>
            </w:r>
          </w:p>
          <w:p w14:paraId="237039C3" w14:textId="77777777" w:rsidR="00F23948" w:rsidRPr="00EB16B4" w:rsidRDefault="00F23948" w:rsidP="00486E3D">
            <w:pPr>
              <w:rPr>
                <w:lang w:val="sk-SK" w:eastAsia="el-GR"/>
              </w:rPr>
            </w:pPr>
          </w:p>
        </w:tc>
        <w:tc>
          <w:tcPr>
            <w:tcW w:w="3096" w:type="dxa"/>
            <w:shd w:val="clear" w:color="auto" w:fill="auto"/>
          </w:tcPr>
          <w:p w14:paraId="2364C4FC" w14:textId="77777777" w:rsidR="00AE09B9" w:rsidRPr="00EB16B4" w:rsidRDefault="00AE09B9" w:rsidP="00AE09B9">
            <w:pPr>
              <w:pStyle w:val="Default"/>
              <w:rPr>
                <w:sz w:val="22"/>
                <w:szCs w:val="22"/>
                <w:lang w:val="sk-SK"/>
              </w:rPr>
            </w:pPr>
            <w:r w:rsidRPr="00EB16B4">
              <w:rPr>
                <w:sz w:val="22"/>
                <w:szCs w:val="22"/>
                <w:lang w:val="sk-SK"/>
              </w:rPr>
              <w:t>Bodkovitá keratitída, erózia rohovky</w:t>
            </w:r>
            <w:r w:rsidRPr="00A446ED">
              <w:rPr>
                <w:sz w:val="14"/>
                <w:szCs w:val="14"/>
                <w:vertAlign w:val="superscript"/>
                <w:lang w:val="sk-SK"/>
              </w:rPr>
              <w:t>2</w:t>
            </w:r>
            <w:r w:rsidRPr="00EB16B4">
              <w:rPr>
                <w:sz w:val="22"/>
                <w:szCs w:val="22"/>
                <w:lang w:val="sk-SK"/>
              </w:rPr>
              <w:t xml:space="preserve">, </w:t>
            </w:r>
            <w:r w:rsidR="008A6438" w:rsidRPr="00EB16B4">
              <w:rPr>
                <w:sz w:val="22"/>
                <w:szCs w:val="22"/>
                <w:lang w:val="sk-SK"/>
              </w:rPr>
              <w:t>pálenie očí</w:t>
            </w:r>
            <w:r w:rsidR="008A6438" w:rsidRPr="008A6438">
              <w:rPr>
                <w:sz w:val="22"/>
                <w:szCs w:val="22"/>
                <w:vertAlign w:val="superscript"/>
                <w:lang w:val="sk-SK"/>
              </w:rPr>
              <w:t>2</w:t>
            </w:r>
            <w:r w:rsidR="008A6438" w:rsidRPr="00EB16B4">
              <w:rPr>
                <w:sz w:val="22"/>
                <w:szCs w:val="22"/>
                <w:lang w:val="sk-SK"/>
              </w:rPr>
              <w:t xml:space="preserve">, </w:t>
            </w:r>
            <w:r w:rsidRPr="00EB16B4">
              <w:rPr>
                <w:sz w:val="22"/>
                <w:szCs w:val="22"/>
                <w:lang w:val="sk-SK"/>
              </w:rPr>
              <w:t>podráždenie spojovky</w:t>
            </w:r>
            <w:r w:rsidRPr="00A446ED">
              <w:rPr>
                <w:sz w:val="14"/>
                <w:szCs w:val="14"/>
                <w:vertAlign w:val="superscript"/>
                <w:lang w:val="sk-SK"/>
              </w:rPr>
              <w:t>1</w:t>
            </w:r>
            <w:r w:rsidRPr="00EB16B4">
              <w:rPr>
                <w:sz w:val="22"/>
                <w:szCs w:val="22"/>
                <w:lang w:val="sk-SK"/>
              </w:rPr>
              <w:t>, svrbenie oka, pálčivá bolesť očí</w:t>
            </w:r>
            <w:r w:rsidRPr="00A446ED">
              <w:rPr>
                <w:sz w:val="14"/>
                <w:szCs w:val="14"/>
                <w:vertAlign w:val="superscript"/>
                <w:lang w:val="sk-SK"/>
              </w:rPr>
              <w:t>2</w:t>
            </w:r>
            <w:r w:rsidRPr="00EB16B4">
              <w:rPr>
                <w:sz w:val="22"/>
                <w:szCs w:val="22"/>
                <w:lang w:val="sk-SK"/>
              </w:rPr>
              <w:t>, pocit cudzieho telesa, suchosť oka, erytém viečok, bolesť oka, fotofóbia, výtok z oka</w:t>
            </w:r>
            <w:r w:rsidRPr="00A446ED">
              <w:rPr>
                <w:sz w:val="14"/>
                <w:szCs w:val="14"/>
                <w:vertAlign w:val="superscript"/>
                <w:lang w:val="sk-SK"/>
              </w:rPr>
              <w:t>2</w:t>
            </w:r>
            <w:r w:rsidRPr="00EB16B4">
              <w:rPr>
                <w:sz w:val="22"/>
                <w:szCs w:val="22"/>
                <w:lang w:val="sk-SK"/>
              </w:rPr>
              <w:t>, zrakové poruchy</w:t>
            </w:r>
            <w:r w:rsidRPr="00A446ED">
              <w:rPr>
                <w:sz w:val="14"/>
                <w:szCs w:val="14"/>
                <w:vertAlign w:val="superscript"/>
                <w:lang w:val="sk-SK"/>
              </w:rPr>
              <w:t>2</w:t>
            </w:r>
            <w:r w:rsidRPr="00EB16B4">
              <w:rPr>
                <w:sz w:val="22"/>
                <w:szCs w:val="22"/>
                <w:lang w:val="sk-SK"/>
              </w:rPr>
              <w:t>, svrbenie viečok, zhoršenie zrakovej ostrosti</w:t>
            </w:r>
            <w:r w:rsidRPr="00A446ED">
              <w:rPr>
                <w:sz w:val="14"/>
                <w:szCs w:val="14"/>
                <w:vertAlign w:val="superscript"/>
                <w:lang w:val="sk-SK"/>
              </w:rPr>
              <w:t>2</w:t>
            </w:r>
            <w:r w:rsidRPr="00EB16B4">
              <w:rPr>
                <w:sz w:val="22"/>
                <w:szCs w:val="22"/>
                <w:lang w:val="sk-SK"/>
              </w:rPr>
              <w:t>, blefaritída</w:t>
            </w:r>
            <w:r w:rsidRPr="00A446ED">
              <w:rPr>
                <w:sz w:val="14"/>
                <w:szCs w:val="14"/>
                <w:vertAlign w:val="superscript"/>
                <w:lang w:val="sk-SK"/>
              </w:rPr>
              <w:t>2</w:t>
            </w:r>
            <w:r w:rsidRPr="00EB16B4">
              <w:rPr>
                <w:sz w:val="22"/>
                <w:szCs w:val="22"/>
                <w:lang w:val="sk-SK"/>
              </w:rPr>
              <w:t xml:space="preserve">, edém viečok, podráždenie oka, zvýšené slzenie, rast mihalníc </w:t>
            </w:r>
          </w:p>
          <w:p w14:paraId="6BE5B489" w14:textId="77777777" w:rsidR="00F23948" w:rsidRPr="00EB16B4" w:rsidRDefault="00F23948" w:rsidP="00544008">
            <w:pPr>
              <w:autoSpaceDE w:val="0"/>
              <w:autoSpaceDN w:val="0"/>
              <w:adjustRightInd w:val="0"/>
              <w:rPr>
                <w:u w:val="single"/>
                <w:lang w:val="sk-SK"/>
              </w:rPr>
            </w:pPr>
          </w:p>
        </w:tc>
      </w:tr>
      <w:tr w:rsidR="00F23948" w:rsidRPr="0052539B" w14:paraId="11BB1B0B" w14:textId="77777777" w:rsidTr="00B6309A">
        <w:tc>
          <w:tcPr>
            <w:tcW w:w="2244" w:type="dxa"/>
            <w:vMerge/>
            <w:shd w:val="clear" w:color="auto" w:fill="auto"/>
          </w:tcPr>
          <w:p w14:paraId="08D3CAC7" w14:textId="77777777" w:rsidR="00F23948" w:rsidRPr="00EB16B4" w:rsidRDefault="00F23948" w:rsidP="00486E3D">
            <w:pPr>
              <w:rPr>
                <w:u w:val="single"/>
                <w:lang w:val="sk-SK"/>
              </w:rPr>
            </w:pPr>
          </w:p>
        </w:tc>
        <w:tc>
          <w:tcPr>
            <w:tcW w:w="3096" w:type="dxa"/>
            <w:shd w:val="clear" w:color="auto" w:fill="auto"/>
          </w:tcPr>
          <w:p w14:paraId="4016EC57" w14:textId="77777777" w:rsidR="00C20935" w:rsidRPr="00EB16B4" w:rsidRDefault="00C20935" w:rsidP="00C20935">
            <w:pPr>
              <w:pStyle w:val="Default"/>
              <w:rPr>
                <w:sz w:val="22"/>
                <w:szCs w:val="22"/>
                <w:lang w:val="sk-SK"/>
              </w:rPr>
            </w:pPr>
            <w:r w:rsidRPr="00EB16B4">
              <w:rPr>
                <w:sz w:val="22"/>
                <w:szCs w:val="22"/>
                <w:lang w:val="sk-SK"/>
              </w:rPr>
              <w:t xml:space="preserve">Menej časté </w:t>
            </w:r>
          </w:p>
          <w:p w14:paraId="4A759A59" w14:textId="77777777" w:rsidR="00F23948" w:rsidRPr="00EB16B4" w:rsidRDefault="00F23948" w:rsidP="00486E3D">
            <w:pPr>
              <w:rPr>
                <w:u w:val="single"/>
                <w:lang w:val="sk-SK"/>
              </w:rPr>
            </w:pPr>
          </w:p>
        </w:tc>
        <w:tc>
          <w:tcPr>
            <w:tcW w:w="3096" w:type="dxa"/>
            <w:shd w:val="clear" w:color="auto" w:fill="auto"/>
          </w:tcPr>
          <w:p w14:paraId="1CAF32E2" w14:textId="77777777" w:rsidR="002B05BA" w:rsidRPr="00EB16B4" w:rsidRDefault="002B05BA" w:rsidP="002B05BA">
            <w:pPr>
              <w:pStyle w:val="Default"/>
              <w:rPr>
                <w:sz w:val="22"/>
                <w:szCs w:val="22"/>
                <w:lang w:val="sk-SK"/>
              </w:rPr>
            </w:pPr>
            <w:r w:rsidRPr="00EB16B4">
              <w:rPr>
                <w:sz w:val="22"/>
                <w:szCs w:val="22"/>
                <w:lang w:val="sk-SK"/>
              </w:rPr>
              <w:t>Iritída</w:t>
            </w:r>
            <w:r w:rsidRPr="00EE14AB">
              <w:rPr>
                <w:sz w:val="14"/>
                <w:szCs w:val="14"/>
                <w:vertAlign w:val="superscript"/>
                <w:lang w:val="sk-SK"/>
              </w:rPr>
              <w:t>2</w:t>
            </w:r>
            <w:r w:rsidRPr="00EB16B4">
              <w:rPr>
                <w:sz w:val="22"/>
                <w:szCs w:val="22"/>
                <w:lang w:val="sk-SK"/>
              </w:rPr>
              <w:t>, spojovkový edém</w:t>
            </w:r>
            <w:r w:rsidRPr="00A446ED">
              <w:rPr>
                <w:sz w:val="14"/>
                <w:szCs w:val="14"/>
                <w:vertAlign w:val="superscript"/>
                <w:lang w:val="sk-SK"/>
              </w:rPr>
              <w:t>2</w:t>
            </w:r>
            <w:r w:rsidRPr="00EB16B4">
              <w:rPr>
                <w:sz w:val="22"/>
                <w:szCs w:val="22"/>
                <w:lang w:val="sk-SK"/>
              </w:rPr>
              <w:t>, bolesť viečok</w:t>
            </w:r>
            <w:r w:rsidRPr="00A446ED">
              <w:rPr>
                <w:sz w:val="14"/>
                <w:szCs w:val="14"/>
                <w:vertAlign w:val="superscript"/>
                <w:lang w:val="sk-SK"/>
              </w:rPr>
              <w:t>2</w:t>
            </w:r>
            <w:r w:rsidRPr="00EB16B4">
              <w:rPr>
                <w:sz w:val="22"/>
                <w:szCs w:val="22"/>
                <w:lang w:val="sk-SK"/>
              </w:rPr>
              <w:t>, abnormálny pocit v oku</w:t>
            </w:r>
            <w:r w:rsidRPr="00EE14AB">
              <w:rPr>
                <w:sz w:val="14"/>
                <w:szCs w:val="14"/>
                <w:vertAlign w:val="superscript"/>
                <w:lang w:val="sk-SK"/>
              </w:rPr>
              <w:t>1</w:t>
            </w:r>
            <w:r w:rsidRPr="00EB16B4">
              <w:rPr>
                <w:sz w:val="22"/>
                <w:szCs w:val="22"/>
                <w:lang w:val="sk-SK"/>
              </w:rPr>
              <w:t>, astenopia, trichiáza</w:t>
            </w:r>
            <w:r w:rsidRPr="00A446ED">
              <w:rPr>
                <w:sz w:val="14"/>
                <w:szCs w:val="14"/>
                <w:vertAlign w:val="superscript"/>
                <w:lang w:val="sk-SK"/>
              </w:rPr>
              <w:t>2</w:t>
            </w:r>
            <w:r w:rsidRPr="00EB16B4">
              <w:rPr>
                <w:sz w:val="22"/>
                <w:szCs w:val="22"/>
                <w:lang w:val="sk-SK"/>
              </w:rPr>
              <w:t>, hyperpigmentácia dúhovky</w:t>
            </w:r>
            <w:r w:rsidRPr="00A446ED">
              <w:rPr>
                <w:sz w:val="14"/>
                <w:szCs w:val="14"/>
                <w:vertAlign w:val="superscript"/>
                <w:lang w:val="sk-SK"/>
              </w:rPr>
              <w:t>2</w:t>
            </w:r>
            <w:r w:rsidRPr="00EB16B4">
              <w:rPr>
                <w:sz w:val="22"/>
                <w:szCs w:val="22"/>
                <w:lang w:val="sk-SK"/>
              </w:rPr>
              <w:t>, prehĺbenie sulcus ciliare</w:t>
            </w:r>
            <w:r w:rsidRPr="00EB16B4">
              <w:rPr>
                <w:sz w:val="14"/>
                <w:szCs w:val="14"/>
                <w:lang w:val="sk-SK"/>
              </w:rPr>
              <w:t>2</w:t>
            </w:r>
            <w:r w:rsidRPr="00EB16B4">
              <w:rPr>
                <w:sz w:val="22"/>
                <w:szCs w:val="22"/>
                <w:lang w:val="sk-SK"/>
              </w:rPr>
              <w:t>, retrakcia viečok</w:t>
            </w:r>
            <w:r w:rsidRPr="00A446ED">
              <w:rPr>
                <w:sz w:val="14"/>
                <w:szCs w:val="14"/>
                <w:vertAlign w:val="superscript"/>
                <w:lang w:val="sk-SK"/>
              </w:rPr>
              <w:t>2</w:t>
            </w:r>
            <w:r w:rsidRPr="00EB16B4">
              <w:rPr>
                <w:sz w:val="22"/>
                <w:szCs w:val="22"/>
                <w:lang w:val="sk-SK"/>
              </w:rPr>
              <w:t>, zmena sfarbenia mihalníc (stmavnutie)</w:t>
            </w:r>
            <w:r w:rsidRPr="00A446ED">
              <w:rPr>
                <w:sz w:val="14"/>
                <w:szCs w:val="14"/>
                <w:vertAlign w:val="superscript"/>
                <w:lang w:val="sk-SK"/>
              </w:rPr>
              <w:t>1</w:t>
            </w:r>
            <w:r w:rsidRPr="00EB16B4">
              <w:rPr>
                <w:sz w:val="22"/>
                <w:szCs w:val="22"/>
                <w:lang w:val="sk-SK"/>
              </w:rPr>
              <w:t xml:space="preserve">. </w:t>
            </w:r>
          </w:p>
          <w:p w14:paraId="083FC6D2" w14:textId="77777777" w:rsidR="00F23948" w:rsidRPr="00EB16B4" w:rsidRDefault="00F23948" w:rsidP="005655C6">
            <w:pPr>
              <w:rPr>
                <w:u w:val="single"/>
                <w:vertAlign w:val="superscript"/>
                <w:lang w:val="sk-SK"/>
              </w:rPr>
            </w:pPr>
          </w:p>
        </w:tc>
      </w:tr>
      <w:tr w:rsidR="005F6C76" w:rsidRPr="0052539B" w14:paraId="4CA080FC" w14:textId="77777777" w:rsidTr="00B6309A">
        <w:tc>
          <w:tcPr>
            <w:tcW w:w="2244" w:type="dxa"/>
            <w:vMerge/>
            <w:shd w:val="clear" w:color="auto" w:fill="auto"/>
          </w:tcPr>
          <w:p w14:paraId="520923AD" w14:textId="77777777" w:rsidR="005F6C76" w:rsidRPr="00EB16B4" w:rsidRDefault="005F6C76" w:rsidP="00486E3D">
            <w:pPr>
              <w:rPr>
                <w:u w:val="single"/>
                <w:lang w:val="sk-SK"/>
              </w:rPr>
            </w:pPr>
          </w:p>
        </w:tc>
        <w:tc>
          <w:tcPr>
            <w:tcW w:w="3096" w:type="dxa"/>
            <w:shd w:val="clear" w:color="auto" w:fill="auto"/>
          </w:tcPr>
          <w:p w14:paraId="43AA83E8" w14:textId="77777777" w:rsidR="005F6C76" w:rsidRPr="00EB16B4" w:rsidRDefault="005F6C76">
            <w:pPr>
              <w:pStyle w:val="Default"/>
              <w:rPr>
                <w:sz w:val="22"/>
                <w:szCs w:val="22"/>
                <w:lang w:val="sk-SK"/>
              </w:rPr>
            </w:pPr>
            <w:r w:rsidRPr="00EB16B4">
              <w:rPr>
                <w:sz w:val="22"/>
                <w:szCs w:val="22"/>
                <w:lang w:val="sk-SK"/>
              </w:rPr>
              <w:t xml:space="preserve">Neznáme </w:t>
            </w:r>
          </w:p>
        </w:tc>
        <w:tc>
          <w:tcPr>
            <w:tcW w:w="3096" w:type="dxa"/>
            <w:shd w:val="clear" w:color="auto" w:fill="auto"/>
          </w:tcPr>
          <w:p w14:paraId="7F932FDF" w14:textId="77777777" w:rsidR="005F6C76" w:rsidRPr="00EB16B4" w:rsidRDefault="005F6C76">
            <w:pPr>
              <w:pStyle w:val="Default"/>
              <w:rPr>
                <w:sz w:val="14"/>
                <w:szCs w:val="14"/>
                <w:lang w:val="sk-SK"/>
              </w:rPr>
            </w:pPr>
            <w:r w:rsidRPr="00EB16B4">
              <w:rPr>
                <w:sz w:val="22"/>
                <w:szCs w:val="22"/>
                <w:lang w:val="sk-SK"/>
              </w:rPr>
              <w:t>Cystoidný makulárny edém</w:t>
            </w:r>
            <w:r w:rsidRPr="00EE14AB">
              <w:rPr>
                <w:sz w:val="14"/>
                <w:szCs w:val="14"/>
                <w:vertAlign w:val="superscript"/>
                <w:lang w:val="sk-SK"/>
              </w:rPr>
              <w:t>2</w:t>
            </w:r>
            <w:r w:rsidRPr="00EB16B4">
              <w:rPr>
                <w:sz w:val="22"/>
                <w:szCs w:val="22"/>
                <w:lang w:val="sk-SK"/>
              </w:rPr>
              <w:t>, opuch oka, rozmazané videnie</w:t>
            </w:r>
            <w:r w:rsidRPr="00EE14AB">
              <w:rPr>
                <w:sz w:val="14"/>
                <w:szCs w:val="14"/>
                <w:vertAlign w:val="superscript"/>
                <w:lang w:val="sk-SK"/>
              </w:rPr>
              <w:t>2</w:t>
            </w:r>
            <w:r w:rsidRPr="00EB16B4">
              <w:rPr>
                <w:sz w:val="14"/>
                <w:szCs w:val="14"/>
                <w:lang w:val="sk-SK"/>
              </w:rPr>
              <w:t xml:space="preserve"> </w:t>
            </w:r>
          </w:p>
        </w:tc>
      </w:tr>
      <w:tr w:rsidR="001A5E0C" w:rsidRPr="00EB16B4" w14:paraId="41C29B41" w14:textId="77777777" w:rsidTr="0065055E">
        <w:tc>
          <w:tcPr>
            <w:tcW w:w="2244" w:type="dxa"/>
            <w:shd w:val="clear" w:color="auto" w:fill="auto"/>
          </w:tcPr>
          <w:p w14:paraId="448130DE" w14:textId="77777777" w:rsidR="001A5E0C" w:rsidRPr="00EB16B4" w:rsidRDefault="001A5E0C">
            <w:pPr>
              <w:pStyle w:val="Default"/>
              <w:rPr>
                <w:sz w:val="22"/>
                <w:szCs w:val="22"/>
                <w:lang w:val="sk-SK"/>
              </w:rPr>
            </w:pPr>
            <w:r w:rsidRPr="00EB16B4">
              <w:rPr>
                <w:i/>
                <w:iCs/>
                <w:sz w:val="22"/>
                <w:szCs w:val="22"/>
                <w:lang w:val="sk-SK"/>
              </w:rPr>
              <w:t xml:space="preserve">Poruchy srdca a srdcovej činnosti </w:t>
            </w:r>
          </w:p>
        </w:tc>
        <w:tc>
          <w:tcPr>
            <w:tcW w:w="3096" w:type="dxa"/>
            <w:shd w:val="clear" w:color="auto" w:fill="auto"/>
          </w:tcPr>
          <w:p w14:paraId="2B3C8F03" w14:textId="77777777" w:rsidR="001A5E0C" w:rsidRPr="00EB16B4" w:rsidRDefault="001A5E0C">
            <w:pPr>
              <w:pStyle w:val="Default"/>
              <w:rPr>
                <w:sz w:val="22"/>
                <w:szCs w:val="22"/>
                <w:lang w:val="sk-SK"/>
              </w:rPr>
            </w:pPr>
            <w:r w:rsidRPr="00EB16B4">
              <w:rPr>
                <w:sz w:val="22"/>
                <w:szCs w:val="22"/>
                <w:lang w:val="sk-SK"/>
              </w:rPr>
              <w:t xml:space="preserve">Neznáme </w:t>
            </w:r>
          </w:p>
        </w:tc>
        <w:tc>
          <w:tcPr>
            <w:tcW w:w="3096" w:type="dxa"/>
            <w:shd w:val="clear" w:color="auto" w:fill="auto"/>
          </w:tcPr>
          <w:p w14:paraId="4D47422D" w14:textId="77777777" w:rsidR="001A5E0C" w:rsidRPr="00EB16B4" w:rsidRDefault="001A5E0C">
            <w:pPr>
              <w:pStyle w:val="Default"/>
              <w:rPr>
                <w:sz w:val="22"/>
                <w:szCs w:val="22"/>
                <w:lang w:val="sk-SK"/>
              </w:rPr>
            </w:pPr>
            <w:r w:rsidRPr="00EB16B4">
              <w:rPr>
                <w:sz w:val="22"/>
                <w:szCs w:val="22"/>
                <w:lang w:val="sk-SK"/>
              </w:rPr>
              <w:t xml:space="preserve">Bradykardia </w:t>
            </w:r>
          </w:p>
        </w:tc>
      </w:tr>
      <w:tr w:rsidR="00211DA9" w:rsidRPr="00EB16B4" w14:paraId="66CE2B1F" w14:textId="77777777" w:rsidTr="00B6309A">
        <w:tc>
          <w:tcPr>
            <w:tcW w:w="2244" w:type="dxa"/>
            <w:vMerge w:val="restart"/>
            <w:shd w:val="clear" w:color="auto" w:fill="auto"/>
          </w:tcPr>
          <w:p w14:paraId="61CADD76" w14:textId="77777777" w:rsidR="00211DA9" w:rsidRPr="00EB16B4" w:rsidRDefault="00211DA9" w:rsidP="005C5CE7">
            <w:pPr>
              <w:pStyle w:val="Default"/>
              <w:rPr>
                <w:sz w:val="22"/>
                <w:szCs w:val="22"/>
                <w:lang w:val="sk-SK"/>
              </w:rPr>
            </w:pPr>
            <w:r w:rsidRPr="00EB16B4">
              <w:rPr>
                <w:i/>
                <w:iCs/>
                <w:sz w:val="22"/>
                <w:szCs w:val="22"/>
                <w:lang w:val="sk-SK"/>
              </w:rPr>
              <w:t xml:space="preserve">Poruchy dýchacej sústavy, hrudníka a mediastína </w:t>
            </w:r>
          </w:p>
          <w:p w14:paraId="3E9ED155" w14:textId="77777777" w:rsidR="00211DA9" w:rsidRPr="00EB16B4" w:rsidRDefault="00211DA9" w:rsidP="00486E3D">
            <w:pPr>
              <w:rPr>
                <w:i/>
                <w:iCs/>
                <w:lang w:val="sk-SK" w:eastAsia="el-GR"/>
              </w:rPr>
            </w:pPr>
          </w:p>
        </w:tc>
        <w:tc>
          <w:tcPr>
            <w:tcW w:w="3096" w:type="dxa"/>
            <w:shd w:val="clear" w:color="auto" w:fill="auto"/>
          </w:tcPr>
          <w:p w14:paraId="6DD17F12" w14:textId="77777777" w:rsidR="00211DA9" w:rsidRPr="00EB16B4" w:rsidRDefault="00211DA9">
            <w:pPr>
              <w:pStyle w:val="Default"/>
              <w:rPr>
                <w:sz w:val="22"/>
                <w:szCs w:val="22"/>
                <w:lang w:val="sk-SK"/>
              </w:rPr>
            </w:pPr>
            <w:r w:rsidRPr="00EB16B4">
              <w:rPr>
                <w:sz w:val="22"/>
                <w:szCs w:val="22"/>
                <w:lang w:val="sk-SK"/>
              </w:rPr>
              <w:t xml:space="preserve">Časté </w:t>
            </w:r>
          </w:p>
        </w:tc>
        <w:tc>
          <w:tcPr>
            <w:tcW w:w="3096" w:type="dxa"/>
            <w:shd w:val="clear" w:color="auto" w:fill="auto"/>
          </w:tcPr>
          <w:p w14:paraId="1904C389" w14:textId="77777777" w:rsidR="00211DA9" w:rsidRPr="00EB16B4" w:rsidRDefault="00211DA9">
            <w:pPr>
              <w:pStyle w:val="Default"/>
              <w:rPr>
                <w:sz w:val="14"/>
                <w:szCs w:val="14"/>
                <w:lang w:val="sk-SK"/>
              </w:rPr>
            </w:pPr>
            <w:r w:rsidRPr="00EB16B4">
              <w:rPr>
                <w:sz w:val="22"/>
                <w:szCs w:val="22"/>
                <w:lang w:val="sk-SK"/>
              </w:rPr>
              <w:t>Rinitída</w:t>
            </w:r>
            <w:r w:rsidRPr="00EE14AB">
              <w:rPr>
                <w:sz w:val="14"/>
                <w:szCs w:val="14"/>
                <w:vertAlign w:val="superscript"/>
                <w:lang w:val="sk-SK"/>
              </w:rPr>
              <w:t xml:space="preserve">2 </w:t>
            </w:r>
          </w:p>
        </w:tc>
      </w:tr>
      <w:tr w:rsidR="0038763C" w:rsidRPr="00EB16B4" w14:paraId="5FDFDBA3" w14:textId="77777777" w:rsidTr="00B6309A">
        <w:tc>
          <w:tcPr>
            <w:tcW w:w="2244" w:type="dxa"/>
            <w:vMerge/>
            <w:shd w:val="clear" w:color="auto" w:fill="auto"/>
          </w:tcPr>
          <w:p w14:paraId="0E5921A0" w14:textId="77777777" w:rsidR="0038763C" w:rsidRPr="00EB16B4" w:rsidRDefault="0038763C" w:rsidP="00486E3D">
            <w:pPr>
              <w:rPr>
                <w:i/>
                <w:iCs/>
                <w:lang w:val="sk-SK" w:eastAsia="el-GR"/>
              </w:rPr>
            </w:pPr>
          </w:p>
        </w:tc>
        <w:tc>
          <w:tcPr>
            <w:tcW w:w="3096" w:type="dxa"/>
            <w:shd w:val="clear" w:color="auto" w:fill="auto"/>
          </w:tcPr>
          <w:p w14:paraId="0C6BB70B" w14:textId="77777777" w:rsidR="0038763C" w:rsidRPr="00EB16B4" w:rsidRDefault="0038763C">
            <w:pPr>
              <w:pStyle w:val="Default"/>
              <w:rPr>
                <w:sz w:val="22"/>
                <w:szCs w:val="22"/>
                <w:lang w:val="sk-SK"/>
              </w:rPr>
            </w:pPr>
            <w:r w:rsidRPr="00EB16B4">
              <w:rPr>
                <w:sz w:val="22"/>
                <w:szCs w:val="22"/>
                <w:lang w:val="sk-SK"/>
              </w:rPr>
              <w:t xml:space="preserve">Menej časté </w:t>
            </w:r>
          </w:p>
        </w:tc>
        <w:tc>
          <w:tcPr>
            <w:tcW w:w="3096" w:type="dxa"/>
            <w:shd w:val="clear" w:color="auto" w:fill="auto"/>
          </w:tcPr>
          <w:p w14:paraId="1B59D227" w14:textId="77777777" w:rsidR="0038763C" w:rsidRPr="00EB16B4" w:rsidRDefault="0038763C">
            <w:pPr>
              <w:pStyle w:val="Default"/>
              <w:rPr>
                <w:sz w:val="22"/>
                <w:szCs w:val="22"/>
                <w:lang w:val="sk-SK"/>
              </w:rPr>
            </w:pPr>
            <w:r w:rsidRPr="00EB16B4">
              <w:rPr>
                <w:sz w:val="22"/>
                <w:szCs w:val="22"/>
                <w:lang w:val="sk-SK"/>
              </w:rPr>
              <w:t xml:space="preserve">Dyspnoe </w:t>
            </w:r>
          </w:p>
        </w:tc>
      </w:tr>
      <w:tr w:rsidR="0038763C" w:rsidRPr="00EB16B4" w14:paraId="066A6AEE" w14:textId="77777777" w:rsidTr="00B6309A">
        <w:tc>
          <w:tcPr>
            <w:tcW w:w="2244" w:type="dxa"/>
            <w:vMerge/>
            <w:shd w:val="clear" w:color="auto" w:fill="auto"/>
          </w:tcPr>
          <w:p w14:paraId="29F9E245" w14:textId="77777777" w:rsidR="0038763C" w:rsidRPr="00EB16B4" w:rsidRDefault="0038763C" w:rsidP="00486E3D">
            <w:pPr>
              <w:rPr>
                <w:u w:val="single"/>
                <w:lang w:val="sk-SK"/>
              </w:rPr>
            </w:pPr>
          </w:p>
        </w:tc>
        <w:tc>
          <w:tcPr>
            <w:tcW w:w="3096" w:type="dxa"/>
            <w:shd w:val="clear" w:color="auto" w:fill="auto"/>
          </w:tcPr>
          <w:p w14:paraId="726A33AD" w14:textId="77777777" w:rsidR="0038763C" w:rsidRPr="00EB16B4" w:rsidRDefault="0038763C">
            <w:pPr>
              <w:pStyle w:val="Default"/>
              <w:rPr>
                <w:sz w:val="22"/>
                <w:szCs w:val="22"/>
                <w:lang w:val="sk-SK"/>
              </w:rPr>
            </w:pPr>
            <w:r w:rsidRPr="00EB16B4">
              <w:rPr>
                <w:sz w:val="22"/>
                <w:szCs w:val="22"/>
                <w:lang w:val="sk-SK"/>
              </w:rPr>
              <w:t xml:space="preserve">Neznáme </w:t>
            </w:r>
          </w:p>
        </w:tc>
        <w:tc>
          <w:tcPr>
            <w:tcW w:w="3096" w:type="dxa"/>
            <w:shd w:val="clear" w:color="auto" w:fill="auto"/>
          </w:tcPr>
          <w:p w14:paraId="6F4D600B" w14:textId="77777777" w:rsidR="0038763C" w:rsidRPr="00EB16B4" w:rsidRDefault="0038763C">
            <w:pPr>
              <w:pStyle w:val="Default"/>
              <w:rPr>
                <w:sz w:val="22"/>
                <w:szCs w:val="22"/>
                <w:lang w:val="sk-SK"/>
              </w:rPr>
            </w:pPr>
            <w:r w:rsidRPr="00EB16B4">
              <w:rPr>
                <w:sz w:val="22"/>
                <w:szCs w:val="22"/>
                <w:lang w:val="sk-SK"/>
              </w:rPr>
              <w:t>Bronchospazmus (prevažne u pacientov s už existujúcou bronchospastickou chorobou)</w:t>
            </w:r>
            <w:r w:rsidRPr="00EE14AB">
              <w:rPr>
                <w:sz w:val="14"/>
                <w:szCs w:val="14"/>
                <w:vertAlign w:val="superscript"/>
                <w:lang w:val="sk-SK"/>
              </w:rPr>
              <w:t>2</w:t>
            </w:r>
            <w:r w:rsidRPr="00EB16B4">
              <w:rPr>
                <w:sz w:val="22"/>
                <w:szCs w:val="22"/>
                <w:lang w:val="sk-SK"/>
              </w:rPr>
              <w:t>, astma</w:t>
            </w:r>
          </w:p>
        </w:tc>
      </w:tr>
      <w:tr w:rsidR="008E2674" w:rsidRPr="0052539B" w14:paraId="476B5BA5" w14:textId="77777777" w:rsidTr="00B6309A">
        <w:tc>
          <w:tcPr>
            <w:tcW w:w="2244" w:type="dxa"/>
            <w:vMerge w:val="restart"/>
            <w:shd w:val="clear" w:color="auto" w:fill="auto"/>
          </w:tcPr>
          <w:p w14:paraId="3B94D359" w14:textId="77777777" w:rsidR="008E2674" w:rsidRPr="00EB16B4" w:rsidRDefault="008E2674" w:rsidP="00A67C39">
            <w:pPr>
              <w:pStyle w:val="Default"/>
              <w:rPr>
                <w:sz w:val="22"/>
                <w:szCs w:val="22"/>
                <w:lang w:val="sk-SK"/>
              </w:rPr>
            </w:pPr>
            <w:r w:rsidRPr="00EB16B4">
              <w:rPr>
                <w:i/>
                <w:iCs/>
                <w:sz w:val="22"/>
                <w:szCs w:val="22"/>
                <w:lang w:val="sk-SK"/>
              </w:rPr>
              <w:t xml:space="preserve">Poruchy kože a podkožného tkaniva </w:t>
            </w:r>
          </w:p>
          <w:p w14:paraId="577CE196" w14:textId="77777777" w:rsidR="008E2674" w:rsidRPr="00EB16B4" w:rsidRDefault="008E2674" w:rsidP="00486E3D">
            <w:pPr>
              <w:rPr>
                <w:i/>
                <w:iCs/>
                <w:lang w:val="sk-SK" w:eastAsia="el-GR"/>
              </w:rPr>
            </w:pPr>
          </w:p>
        </w:tc>
        <w:tc>
          <w:tcPr>
            <w:tcW w:w="3096" w:type="dxa"/>
            <w:shd w:val="clear" w:color="auto" w:fill="auto"/>
          </w:tcPr>
          <w:p w14:paraId="6CE712AD" w14:textId="77777777" w:rsidR="008E2674" w:rsidRPr="00EB16B4" w:rsidRDefault="008E2674">
            <w:pPr>
              <w:pStyle w:val="Default"/>
              <w:rPr>
                <w:sz w:val="22"/>
                <w:szCs w:val="22"/>
                <w:lang w:val="sk-SK"/>
              </w:rPr>
            </w:pPr>
            <w:r w:rsidRPr="00EB16B4">
              <w:rPr>
                <w:sz w:val="22"/>
                <w:szCs w:val="22"/>
                <w:lang w:val="sk-SK"/>
              </w:rPr>
              <w:t xml:space="preserve">Časté </w:t>
            </w:r>
          </w:p>
        </w:tc>
        <w:tc>
          <w:tcPr>
            <w:tcW w:w="3096" w:type="dxa"/>
            <w:shd w:val="clear" w:color="auto" w:fill="auto"/>
          </w:tcPr>
          <w:p w14:paraId="77C47938" w14:textId="77777777" w:rsidR="008E2674" w:rsidRPr="00EB16B4" w:rsidRDefault="008E2674">
            <w:pPr>
              <w:pStyle w:val="Default"/>
              <w:rPr>
                <w:sz w:val="22"/>
                <w:szCs w:val="22"/>
                <w:lang w:val="sk-SK"/>
              </w:rPr>
            </w:pPr>
            <w:r w:rsidRPr="00EB16B4">
              <w:rPr>
                <w:sz w:val="22"/>
                <w:szCs w:val="22"/>
                <w:lang w:val="sk-SK"/>
              </w:rPr>
              <w:t>Pigmentácia viečok</w:t>
            </w:r>
            <w:r w:rsidR="008A6438" w:rsidRPr="00EE14AB">
              <w:rPr>
                <w:sz w:val="14"/>
                <w:szCs w:val="14"/>
                <w:vertAlign w:val="superscript"/>
                <w:lang w:val="sk-SK"/>
              </w:rPr>
              <w:t>2</w:t>
            </w:r>
            <w:r w:rsidRPr="00EB16B4">
              <w:rPr>
                <w:sz w:val="22"/>
                <w:szCs w:val="22"/>
                <w:lang w:val="sk-SK"/>
              </w:rPr>
              <w:t>, hirzutizmus</w:t>
            </w:r>
            <w:r w:rsidRPr="00EE14AB">
              <w:rPr>
                <w:sz w:val="14"/>
                <w:szCs w:val="14"/>
                <w:vertAlign w:val="superscript"/>
                <w:lang w:val="sk-SK"/>
              </w:rPr>
              <w:t>2</w:t>
            </w:r>
            <w:r w:rsidRPr="00EB16B4">
              <w:rPr>
                <w:sz w:val="22"/>
                <w:szCs w:val="22"/>
                <w:lang w:val="sk-SK"/>
              </w:rPr>
              <w:t xml:space="preserve">, hyperpigmentácia kože (v okolí očí). </w:t>
            </w:r>
          </w:p>
        </w:tc>
      </w:tr>
      <w:tr w:rsidR="00F2072A" w:rsidRPr="00EB16B4" w14:paraId="74695C45" w14:textId="77777777" w:rsidTr="00B6309A">
        <w:tc>
          <w:tcPr>
            <w:tcW w:w="2244" w:type="dxa"/>
            <w:vMerge/>
            <w:shd w:val="clear" w:color="auto" w:fill="auto"/>
          </w:tcPr>
          <w:p w14:paraId="7CA79DFB" w14:textId="77777777" w:rsidR="00F2072A" w:rsidRPr="00EB16B4" w:rsidRDefault="00F2072A" w:rsidP="00486E3D">
            <w:pPr>
              <w:rPr>
                <w:i/>
                <w:iCs/>
                <w:lang w:val="sk-SK" w:eastAsia="el-GR"/>
              </w:rPr>
            </w:pPr>
          </w:p>
        </w:tc>
        <w:tc>
          <w:tcPr>
            <w:tcW w:w="3096" w:type="dxa"/>
            <w:shd w:val="clear" w:color="auto" w:fill="auto"/>
          </w:tcPr>
          <w:p w14:paraId="4564AC9B" w14:textId="77777777" w:rsidR="00F2072A" w:rsidRPr="00EB16B4" w:rsidRDefault="00F2072A">
            <w:pPr>
              <w:pStyle w:val="Default"/>
              <w:rPr>
                <w:sz w:val="22"/>
                <w:szCs w:val="22"/>
                <w:lang w:val="sk-SK"/>
              </w:rPr>
            </w:pPr>
            <w:r w:rsidRPr="00EB16B4">
              <w:rPr>
                <w:sz w:val="22"/>
                <w:szCs w:val="22"/>
                <w:lang w:val="sk-SK"/>
              </w:rPr>
              <w:t xml:space="preserve">Neznáme </w:t>
            </w:r>
          </w:p>
        </w:tc>
        <w:tc>
          <w:tcPr>
            <w:tcW w:w="3096" w:type="dxa"/>
            <w:shd w:val="clear" w:color="auto" w:fill="auto"/>
          </w:tcPr>
          <w:p w14:paraId="423E8B0D" w14:textId="77777777" w:rsidR="00F2072A" w:rsidRPr="00EB16B4" w:rsidRDefault="00F2072A">
            <w:pPr>
              <w:pStyle w:val="Default"/>
              <w:rPr>
                <w:sz w:val="14"/>
                <w:szCs w:val="14"/>
                <w:lang w:val="sk-SK"/>
              </w:rPr>
            </w:pPr>
            <w:r w:rsidRPr="00EB16B4">
              <w:rPr>
                <w:sz w:val="22"/>
                <w:szCs w:val="22"/>
                <w:lang w:val="sk-SK"/>
              </w:rPr>
              <w:t>Alopécia</w:t>
            </w:r>
            <w:r w:rsidRPr="00EE14AB">
              <w:rPr>
                <w:sz w:val="14"/>
                <w:szCs w:val="14"/>
                <w:vertAlign w:val="superscript"/>
                <w:lang w:val="sk-SK"/>
              </w:rPr>
              <w:t>2</w:t>
            </w:r>
            <w:r w:rsidRPr="00EB16B4">
              <w:rPr>
                <w:sz w:val="14"/>
                <w:szCs w:val="14"/>
                <w:lang w:val="sk-SK"/>
              </w:rPr>
              <w:t xml:space="preserve"> </w:t>
            </w:r>
          </w:p>
        </w:tc>
      </w:tr>
      <w:tr w:rsidR="003D3392" w:rsidRPr="00EB16B4" w14:paraId="7613F46F" w14:textId="77777777" w:rsidTr="00B6309A">
        <w:tc>
          <w:tcPr>
            <w:tcW w:w="2244" w:type="dxa"/>
            <w:shd w:val="clear" w:color="auto" w:fill="auto"/>
          </w:tcPr>
          <w:p w14:paraId="0905A826" w14:textId="77777777" w:rsidR="003D3392" w:rsidRPr="00EB16B4" w:rsidRDefault="003D3392">
            <w:pPr>
              <w:pStyle w:val="Default"/>
              <w:rPr>
                <w:sz w:val="22"/>
                <w:szCs w:val="22"/>
                <w:lang w:val="sk-SK"/>
              </w:rPr>
            </w:pPr>
            <w:r w:rsidRPr="00EB16B4">
              <w:rPr>
                <w:i/>
                <w:iCs/>
                <w:sz w:val="22"/>
                <w:szCs w:val="22"/>
                <w:lang w:val="sk-SK"/>
              </w:rPr>
              <w:t xml:space="preserve">Celkové poruchy a reakcie v mieste podania </w:t>
            </w:r>
          </w:p>
        </w:tc>
        <w:tc>
          <w:tcPr>
            <w:tcW w:w="3096" w:type="dxa"/>
            <w:shd w:val="clear" w:color="auto" w:fill="auto"/>
          </w:tcPr>
          <w:p w14:paraId="39106EA1" w14:textId="77777777" w:rsidR="003D3392" w:rsidRPr="00EB16B4" w:rsidRDefault="003D3392">
            <w:pPr>
              <w:pStyle w:val="Default"/>
              <w:rPr>
                <w:sz w:val="22"/>
                <w:szCs w:val="22"/>
                <w:lang w:val="sk-SK"/>
              </w:rPr>
            </w:pPr>
            <w:r w:rsidRPr="00EB16B4">
              <w:rPr>
                <w:sz w:val="22"/>
                <w:szCs w:val="22"/>
                <w:lang w:val="sk-SK"/>
              </w:rPr>
              <w:t xml:space="preserve">Neznáme </w:t>
            </w:r>
          </w:p>
        </w:tc>
        <w:tc>
          <w:tcPr>
            <w:tcW w:w="3096" w:type="dxa"/>
            <w:shd w:val="clear" w:color="auto" w:fill="auto"/>
          </w:tcPr>
          <w:p w14:paraId="4670F280" w14:textId="77777777" w:rsidR="003D3392" w:rsidRPr="00EB16B4" w:rsidRDefault="003D3392">
            <w:pPr>
              <w:pStyle w:val="Default"/>
              <w:rPr>
                <w:sz w:val="22"/>
                <w:szCs w:val="22"/>
                <w:lang w:val="sk-SK"/>
              </w:rPr>
            </w:pPr>
            <w:r w:rsidRPr="00EB16B4">
              <w:rPr>
                <w:sz w:val="22"/>
                <w:szCs w:val="22"/>
                <w:lang w:val="sk-SK"/>
              </w:rPr>
              <w:t xml:space="preserve">Únava </w:t>
            </w:r>
          </w:p>
        </w:tc>
      </w:tr>
    </w:tbl>
    <w:p w14:paraId="769541A7" w14:textId="77777777" w:rsidR="00D7495B" w:rsidRPr="008A6438" w:rsidRDefault="00851994" w:rsidP="008A6438">
      <w:pPr>
        <w:autoSpaceDE w:val="0"/>
        <w:autoSpaceDN w:val="0"/>
        <w:adjustRightInd w:val="0"/>
        <w:ind w:left="567" w:hanging="567"/>
        <w:rPr>
          <w:sz w:val="18"/>
          <w:szCs w:val="18"/>
          <w:lang w:val="sk-SK"/>
        </w:rPr>
      </w:pPr>
      <w:r w:rsidRPr="008A6438">
        <w:rPr>
          <w:sz w:val="18"/>
          <w:szCs w:val="18"/>
          <w:vertAlign w:val="superscript"/>
          <w:lang w:val="sk-SK"/>
        </w:rPr>
        <w:t>1</w:t>
      </w:r>
      <w:r w:rsidR="008A6438">
        <w:rPr>
          <w:sz w:val="18"/>
          <w:szCs w:val="18"/>
          <w:vertAlign w:val="superscript"/>
          <w:lang w:val="sk-SK"/>
        </w:rPr>
        <w:tab/>
      </w:r>
      <w:r w:rsidRPr="008A6438">
        <w:rPr>
          <w:sz w:val="18"/>
          <w:szCs w:val="18"/>
          <w:lang w:val="sk-SK"/>
        </w:rPr>
        <w:t xml:space="preserve">nežiaduce reakcie pozorované len pri forme </w:t>
      </w:r>
      <w:r w:rsidR="00507AD1" w:rsidRPr="008A6438">
        <w:rPr>
          <w:sz w:val="18"/>
          <w:szCs w:val="18"/>
          <w:lang w:val="sk-SK" w:eastAsia="el-GR"/>
        </w:rPr>
        <w:t xml:space="preserve"> </w:t>
      </w:r>
      <w:r w:rsidR="00D7495B" w:rsidRPr="008A6438">
        <w:rPr>
          <w:sz w:val="18"/>
          <w:szCs w:val="18"/>
          <w:lang w:val="sk-SK" w:eastAsia="el-GR"/>
        </w:rPr>
        <w:t xml:space="preserve">Bimatoprost/Timolol 0.3 mg/mL + 5 mg/mL </w:t>
      </w:r>
      <w:r w:rsidR="00D7495B" w:rsidRPr="008A6438">
        <w:rPr>
          <w:rFonts w:eastAsiaTheme="minorHAnsi"/>
          <w:color w:val="000000"/>
          <w:sz w:val="18"/>
          <w:szCs w:val="18"/>
          <w:lang w:val="sk-SK"/>
        </w:rPr>
        <w:t>očná roztoková instilácia bez konzervačných látok</w:t>
      </w:r>
      <w:r w:rsidR="00D7495B" w:rsidRPr="008A6438">
        <w:rPr>
          <w:sz w:val="18"/>
          <w:szCs w:val="18"/>
          <w:lang w:val="sk-SK"/>
        </w:rPr>
        <w:t xml:space="preserve"> </w:t>
      </w:r>
    </w:p>
    <w:p w14:paraId="5704A345" w14:textId="77777777" w:rsidR="00E74BF4" w:rsidRPr="008A6438" w:rsidRDefault="00447346" w:rsidP="008A6438">
      <w:pPr>
        <w:autoSpaceDE w:val="0"/>
        <w:autoSpaceDN w:val="0"/>
        <w:adjustRightInd w:val="0"/>
        <w:ind w:left="567" w:hanging="567"/>
        <w:rPr>
          <w:sz w:val="18"/>
          <w:szCs w:val="18"/>
          <w:lang w:val="sk-SK"/>
        </w:rPr>
      </w:pPr>
      <w:r w:rsidRPr="008A6438">
        <w:rPr>
          <w:sz w:val="18"/>
          <w:szCs w:val="18"/>
          <w:vertAlign w:val="superscript"/>
          <w:lang w:val="sk-SK"/>
        </w:rPr>
        <w:t>2</w:t>
      </w:r>
      <w:r w:rsidR="008A6438">
        <w:rPr>
          <w:sz w:val="18"/>
          <w:szCs w:val="18"/>
          <w:vertAlign w:val="superscript"/>
          <w:lang w:val="sk-SK"/>
        </w:rPr>
        <w:tab/>
      </w:r>
      <w:r w:rsidRPr="008A6438">
        <w:rPr>
          <w:sz w:val="18"/>
          <w:szCs w:val="18"/>
          <w:lang w:val="sk-SK"/>
        </w:rPr>
        <w:t>nežiaduce reakcie pozorované len pri forme</w:t>
      </w:r>
      <w:r w:rsidR="00507AD1" w:rsidRPr="008A6438">
        <w:rPr>
          <w:sz w:val="18"/>
          <w:szCs w:val="18"/>
          <w:lang w:val="sk-SK" w:eastAsia="el-GR"/>
        </w:rPr>
        <w:t xml:space="preserve"> </w:t>
      </w:r>
      <w:r w:rsidR="00E74BF4" w:rsidRPr="008A6438">
        <w:rPr>
          <w:sz w:val="18"/>
          <w:szCs w:val="18"/>
          <w:lang w:val="sk-SK" w:eastAsia="el-GR"/>
        </w:rPr>
        <w:t xml:space="preserve">Bimatoprost/Timolol 0.3 mg/mL + 5 mg/mL </w:t>
      </w:r>
      <w:r w:rsidR="00E74BF4" w:rsidRPr="008A6438">
        <w:rPr>
          <w:rFonts w:eastAsiaTheme="minorHAnsi"/>
          <w:color w:val="000000"/>
          <w:sz w:val="18"/>
          <w:szCs w:val="18"/>
          <w:lang w:val="sk-SK"/>
        </w:rPr>
        <w:t>očná roztoková instilácia s konzervačnými látkami.</w:t>
      </w:r>
    </w:p>
    <w:p w14:paraId="67F874CA" w14:textId="77777777" w:rsidR="00F23948" w:rsidRPr="00EB16B4" w:rsidRDefault="00F23948" w:rsidP="00F23948">
      <w:pPr>
        <w:autoSpaceDE w:val="0"/>
        <w:autoSpaceDN w:val="0"/>
        <w:adjustRightInd w:val="0"/>
        <w:rPr>
          <w:u w:val="single"/>
          <w:lang w:val="sk-SK" w:eastAsia="el-GR"/>
        </w:rPr>
      </w:pPr>
    </w:p>
    <w:p w14:paraId="41A56AB6" w14:textId="77777777" w:rsidR="00EE0293" w:rsidRDefault="00EE0293" w:rsidP="00EE0293">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Rovnako ako iné topicky aplikované oftalmické lieky i </w:t>
      </w:r>
      <w:r w:rsidR="00AC12F2" w:rsidRPr="00EB16B4">
        <w:rPr>
          <w:lang w:val="sk-SK" w:eastAsia="el-GR"/>
        </w:rPr>
        <w:t xml:space="preserve">Bimatoprost/Timolol </w:t>
      </w:r>
      <w:r w:rsidR="008A6438">
        <w:rPr>
          <w:lang w:val="sk-SK" w:eastAsia="el-GR"/>
        </w:rPr>
        <w:t>PharmaSwiss</w:t>
      </w:r>
      <w:r w:rsidRPr="00EB16B4">
        <w:rPr>
          <w:rFonts w:eastAsiaTheme="minorHAnsi"/>
          <w:color w:val="000000"/>
          <w:szCs w:val="22"/>
          <w:lang w:val="sk-SK"/>
        </w:rPr>
        <w:t xml:space="preserve"> sa absorbuje do systémového obehu. Absorpcia timololu môže spôsobiť podobné nežiaduce účinky ako v prípade systémových betablokátorov. Výskyt systémových nežiaducich reakcií po topickej aplikácii oftalmických liekov je nižší, ako v prípade systémového podávania. Pre zníženie systémovej absorpcie, pozri časť 4.2. </w:t>
      </w:r>
    </w:p>
    <w:p w14:paraId="01FB8F3A" w14:textId="77777777" w:rsidR="00EE14AB" w:rsidRPr="00EB16B4" w:rsidRDefault="00EE14AB" w:rsidP="00EE0293">
      <w:pPr>
        <w:tabs>
          <w:tab w:val="clear" w:pos="567"/>
        </w:tabs>
        <w:autoSpaceDE w:val="0"/>
        <w:autoSpaceDN w:val="0"/>
        <w:adjustRightInd w:val="0"/>
        <w:spacing w:line="240" w:lineRule="auto"/>
        <w:rPr>
          <w:rFonts w:eastAsiaTheme="minorHAnsi"/>
          <w:color w:val="000000"/>
          <w:szCs w:val="22"/>
          <w:lang w:val="sk-SK"/>
        </w:rPr>
      </w:pPr>
    </w:p>
    <w:p w14:paraId="2AB26602" w14:textId="77777777" w:rsidR="00F23948" w:rsidRPr="00EB16B4" w:rsidRDefault="00EE0293" w:rsidP="00EE0293">
      <w:pPr>
        <w:autoSpaceDE w:val="0"/>
        <w:autoSpaceDN w:val="0"/>
        <w:adjustRightInd w:val="0"/>
        <w:rPr>
          <w:u w:val="single"/>
          <w:lang w:val="sk-SK"/>
        </w:rPr>
      </w:pPr>
      <w:r w:rsidRPr="00EB16B4">
        <w:rPr>
          <w:rFonts w:eastAsiaTheme="minorHAnsi"/>
          <w:color w:val="000000"/>
          <w:szCs w:val="22"/>
          <w:lang w:val="sk-SK"/>
        </w:rPr>
        <w:t xml:space="preserve">Dodatočné nežiaduce účinky, ktoré sa pozorovali pri niektorom z liečiv (bimatoprost alebo timolol) a môžu sa potenciálne vyskytnúť i pri </w:t>
      </w:r>
      <w:r w:rsidR="00795A26" w:rsidRPr="00EB16B4">
        <w:rPr>
          <w:lang w:val="sk-SK" w:eastAsia="el-GR"/>
        </w:rPr>
        <w:t xml:space="preserve">Bimatoprost/Timolol </w:t>
      </w:r>
      <w:r w:rsidR="008A6438">
        <w:rPr>
          <w:lang w:val="sk-SK" w:eastAsia="el-GR"/>
        </w:rPr>
        <w:t>PharmaSwiss</w:t>
      </w:r>
      <w:r w:rsidRPr="00EB16B4">
        <w:rPr>
          <w:rFonts w:eastAsiaTheme="minorHAnsi"/>
          <w:color w:val="000000"/>
          <w:szCs w:val="22"/>
          <w:lang w:val="sk-SK"/>
        </w:rPr>
        <w:t>, sú uvedené v tabuľke 2:</w:t>
      </w:r>
    </w:p>
    <w:p w14:paraId="54A49649" w14:textId="77777777" w:rsidR="00534824" w:rsidRDefault="00534824" w:rsidP="00F23948">
      <w:pPr>
        <w:autoSpaceDE w:val="0"/>
        <w:autoSpaceDN w:val="0"/>
        <w:adjustRightInd w:val="0"/>
        <w:rPr>
          <w:b/>
          <w:lang w:val="sk-SK"/>
        </w:rPr>
      </w:pPr>
    </w:p>
    <w:p w14:paraId="19002E94" w14:textId="6381C9C2" w:rsidR="00F23948" w:rsidRPr="00EB16B4" w:rsidRDefault="00534824" w:rsidP="00F23948">
      <w:pPr>
        <w:autoSpaceDE w:val="0"/>
        <w:autoSpaceDN w:val="0"/>
        <w:adjustRightInd w:val="0"/>
        <w:rPr>
          <w:b/>
          <w:lang w:val="sk-SK"/>
        </w:rPr>
      </w:pPr>
      <w:r>
        <w:rPr>
          <w:b/>
          <w:lang w:val="sk-SK"/>
        </w:rPr>
        <w:t>Tabuľka</w:t>
      </w:r>
      <w:r w:rsidR="00F23948" w:rsidRPr="00EB16B4">
        <w:rPr>
          <w:b/>
          <w:lang w:val="sk-SK"/>
        </w:rPr>
        <w:t xml:space="preserve"> </w:t>
      </w:r>
      <w:r w:rsidR="00AE1B5F" w:rsidRPr="00EB16B4">
        <w:rPr>
          <w:b/>
          <w:lang w:val="sk-SK"/>
        </w:rPr>
        <w:t>2</w:t>
      </w:r>
    </w:p>
    <w:p w14:paraId="370791B3" w14:textId="77777777" w:rsidR="00F23948" w:rsidRPr="00EB16B4" w:rsidRDefault="00F23948" w:rsidP="00F23948">
      <w:pPr>
        <w:autoSpaceDE w:val="0"/>
        <w:autoSpaceDN w:val="0"/>
        <w:adjustRightInd w:val="0"/>
        <w:rPr>
          <w:b/>
          <w:u w:val="single"/>
          <w:lang w:val="sk-SK"/>
        </w:rPr>
      </w:pPr>
    </w:p>
    <w:tbl>
      <w:tblPr>
        <w:tblW w:w="84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961"/>
      </w:tblGrid>
      <w:tr w:rsidR="001A7C84" w:rsidRPr="00EB16B4" w14:paraId="738670CE" w14:textId="77777777" w:rsidTr="00D3670F">
        <w:tc>
          <w:tcPr>
            <w:tcW w:w="3510" w:type="dxa"/>
            <w:shd w:val="clear" w:color="auto" w:fill="auto"/>
          </w:tcPr>
          <w:p w14:paraId="386D40C4" w14:textId="77777777" w:rsidR="001A7C84" w:rsidRPr="00EB16B4" w:rsidRDefault="001A7C84">
            <w:pPr>
              <w:pStyle w:val="Default"/>
              <w:rPr>
                <w:sz w:val="22"/>
                <w:szCs w:val="22"/>
                <w:lang w:val="sk-SK"/>
              </w:rPr>
            </w:pPr>
            <w:r w:rsidRPr="00EB16B4">
              <w:rPr>
                <w:b/>
                <w:bCs/>
                <w:sz w:val="22"/>
                <w:szCs w:val="22"/>
                <w:lang w:val="sk-SK"/>
              </w:rPr>
              <w:t xml:space="preserve">Trieda orgánových systémov </w:t>
            </w:r>
          </w:p>
        </w:tc>
        <w:tc>
          <w:tcPr>
            <w:tcW w:w="4961" w:type="dxa"/>
            <w:shd w:val="clear" w:color="auto" w:fill="auto"/>
          </w:tcPr>
          <w:p w14:paraId="525A76A5" w14:textId="77777777" w:rsidR="001A7C84" w:rsidRPr="00EB16B4" w:rsidRDefault="001A7C84">
            <w:pPr>
              <w:pStyle w:val="Default"/>
              <w:rPr>
                <w:sz w:val="22"/>
                <w:szCs w:val="22"/>
                <w:lang w:val="sk-SK"/>
              </w:rPr>
            </w:pPr>
            <w:r w:rsidRPr="00EB16B4">
              <w:rPr>
                <w:b/>
                <w:bCs/>
                <w:sz w:val="22"/>
                <w:szCs w:val="22"/>
                <w:lang w:val="sk-SK"/>
              </w:rPr>
              <w:t xml:space="preserve">Nežiaduce účinky </w:t>
            </w:r>
          </w:p>
        </w:tc>
      </w:tr>
      <w:tr w:rsidR="001A7C84" w:rsidRPr="0052539B" w14:paraId="1DAC81BE" w14:textId="77777777" w:rsidTr="00D3670F">
        <w:tc>
          <w:tcPr>
            <w:tcW w:w="3510" w:type="dxa"/>
            <w:shd w:val="clear" w:color="auto" w:fill="auto"/>
          </w:tcPr>
          <w:p w14:paraId="07A27903" w14:textId="77777777" w:rsidR="001A7C84" w:rsidRPr="00EB16B4" w:rsidRDefault="001A7C84">
            <w:pPr>
              <w:pStyle w:val="Default"/>
              <w:rPr>
                <w:sz w:val="22"/>
                <w:szCs w:val="22"/>
                <w:lang w:val="sk-SK"/>
              </w:rPr>
            </w:pPr>
            <w:r w:rsidRPr="00EB16B4">
              <w:rPr>
                <w:i/>
                <w:iCs/>
                <w:sz w:val="22"/>
                <w:szCs w:val="22"/>
                <w:lang w:val="sk-SK"/>
              </w:rPr>
              <w:t xml:space="preserve">Poruchy imunitného systému </w:t>
            </w:r>
          </w:p>
        </w:tc>
        <w:tc>
          <w:tcPr>
            <w:tcW w:w="4961" w:type="dxa"/>
            <w:shd w:val="clear" w:color="auto" w:fill="auto"/>
          </w:tcPr>
          <w:p w14:paraId="7F092A66" w14:textId="77777777" w:rsidR="001A7C84" w:rsidRPr="00EB16B4" w:rsidRDefault="001A7C84">
            <w:pPr>
              <w:pStyle w:val="Default"/>
              <w:rPr>
                <w:sz w:val="14"/>
                <w:szCs w:val="14"/>
                <w:lang w:val="sk-SK"/>
              </w:rPr>
            </w:pPr>
            <w:r w:rsidRPr="00EB16B4">
              <w:rPr>
                <w:sz w:val="22"/>
                <w:szCs w:val="22"/>
                <w:lang w:val="sk-SK"/>
              </w:rPr>
              <w:t>Systémové alergické reakcie vrátane anafylaxie</w:t>
            </w:r>
            <w:r w:rsidRPr="00EE14AB">
              <w:rPr>
                <w:sz w:val="14"/>
                <w:szCs w:val="14"/>
                <w:vertAlign w:val="superscript"/>
                <w:lang w:val="sk-SK"/>
              </w:rPr>
              <w:t>1</w:t>
            </w:r>
            <w:r w:rsidRPr="00EB16B4">
              <w:rPr>
                <w:sz w:val="14"/>
                <w:szCs w:val="14"/>
                <w:lang w:val="sk-SK"/>
              </w:rPr>
              <w:t xml:space="preserve"> </w:t>
            </w:r>
          </w:p>
        </w:tc>
      </w:tr>
      <w:tr w:rsidR="001A7C84" w:rsidRPr="00EB16B4" w14:paraId="73E1BA49" w14:textId="77777777" w:rsidTr="00D3670F">
        <w:tc>
          <w:tcPr>
            <w:tcW w:w="3510" w:type="dxa"/>
            <w:shd w:val="clear" w:color="auto" w:fill="auto"/>
          </w:tcPr>
          <w:p w14:paraId="7DFA2512" w14:textId="77777777" w:rsidR="001A7C84" w:rsidRPr="00EB16B4" w:rsidRDefault="001A7C84">
            <w:pPr>
              <w:pStyle w:val="Default"/>
              <w:rPr>
                <w:sz w:val="22"/>
                <w:szCs w:val="22"/>
                <w:lang w:val="sk-SK"/>
              </w:rPr>
            </w:pPr>
            <w:r w:rsidRPr="00EB16B4">
              <w:rPr>
                <w:i/>
                <w:iCs/>
                <w:sz w:val="22"/>
                <w:szCs w:val="22"/>
                <w:lang w:val="sk-SK"/>
              </w:rPr>
              <w:t xml:space="preserve">Poruchy metabolizmu a výživy </w:t>
            </w:r>
          </w:p>
        </w:tc>
        <w:tc>
          <w:tcPr>
            <w:tcW w:w="4961" w:type="dxa"/>
            <w:shd w:val="clear" w:color="auto" w:fill="auto"/>
          </w:tcPr>
          <w:p w14:paraId="006D1596" w14:textId="77777777" w:rsidR="001A7C84" w:rsidRPr="00EB16B4" w:rsidRDefault="001A7C84">
            <w:pPr>
              <w:pStyle w:val="Default"/>
              <w:rPr>
                <w:sz w:val="14"/>
                <w:szCs w:val="14"/>
                <w:lang w:val="sk-SK"/>
              </w:rPr>
            </w:pPr>
            <w:r w:rsidRPr="00EB16B4">
              <w:rPr>
                <w:sz w:val="22"/>
                <w:szCs w:val="22"/>
                <w:lang w:val="sk-SK"/>
              </w:rPr>
              <w:t>Hypoglykémia</w:t>
            </w:r>
            <w:r w:rsidRPr="00EE14AB">
              <w:rPr>
                <w:sz w:val="14"/>
                <w:szCs w:val="14"/>
                <w:vertAlign w:val="superscript"/>
                <w:lang w:val="sk-SK"/>
              </w:rPr>
              <w:t>1</w:t>
            </w:r>
            <w:r w:rsidRPr="00EB16B4">
              <w:rPr>
                <w:sz w:val="14"/>
                <w:szCs w:val="14"/>
                <w:lang w:val="sk-SK"/>
              </w:rPr>
              <w:t xml:space="preserve"> </w:t>
            </w:r>
          </w:p>
        </w:tc>
      </w:tr>
      <w:tr w:rsidR="001A7C84" w:rsidRPr="00EB16B4" w14:paraId="2D243A91" w14:textId="77777777" w:rsidTr="00D3670F">
        <w:tc>
          <w:tcPr>
            <w:tcW w:w="3510" w:type="dxa"/>
            <w:shd w:val="clear" w:color="auto" w:fill="auto"/>
          </w:tcPr>
          <w:p w14:paraId="35B47576" w14:textId="77777777" w:rsidR="001A7C84" w:rsidRPr="00EB16B4" w:rsidRDefault="001A7C84">
            <w:pPr>
              <w:pStyle w:val="Default"/>
              <w:rPr>
                <w:sz w:val="22"/>
                <w:szCs w:val="22"/>
                <w:lang w:val="sk-SK"/>
              </w:rPr>
            </w:pPr>
            <w:r w:rsidRPr="00EB16B4">
              <w:rPr>
                <w:i/>
                <w:iCs/>
                <w:sz w:val="22"/>
                <w:szCs w:val="22"/>
                <w:lang w:val="sk-SK"/>
              </w:rPr>
              <w:t xml:space="preserve">Psychické poruchy </w:t>
            </w:r>
          </w:p>
        </w:tc>
        <w:tc>
          <w:tcPr>
            <w:tcW w:w="4961" w:type="dxa"/>
            <w:shd w:val="clear" w:color="auto" w:fill="auto"/>
          </w:tcPr>
          <w:p w14:paraId="670B074E" w14:textId="77777777" w:rsidR="001A7C84" w:rsidRPr="00EB16B4" w:rsidRDefault="001A7C84">
            <w:pPr>
              <w:pStyle w:val="Default"/>
              <w:rPr>
                <w:sz w:val="14"/>
                <w:szCs w:val="14"/>
                <w:lang w:val="sk-SK"/>
              </w:rPr>
            </w:pPr>
            <w:r w:rsidRPr="00EB16B4">
              <w:rPr>
                <w:sz w:val="22"/>
                <w:szCs w:val="22"/>
                <w:lang w:val="sk-SK"/>
              </w:rPr>
              <w:t>Depresia</w:t>
            </w:r>
            <w:r w:rsidRPr="00EE14AB">
              <w:rPr>
                <w:sz w:val="14"/>
                <w:szCs w:val="14"/>
                <w:vertAlign w:val="superscript"/>
                <w:lang w:val="sk-SK"/>
              </w:rPr>
              <w:t>1</w:t>
            </w:r>
            <w:r w:rsidRPr="00EB16B4">
              <w:rPr>
                <w:sz w:val="22"/>
                <w:szCs w:val="22"/>
                <w:lang w:val="sk-SK"/>
              </w:rPr>
              <w:t>, strata pamäte</w:t>
            </w:r>
            <w:r w:rsidRPr="00EE14AB">
              <w:rPr>
                <w:sz w:val="14"/>
                <w:szCs w:val="14"/>
                <w:vertAlign w:val="superscript"/>
                <w:lang w:val="sk-SK"/>
              </w:rPr>
              <w:t>1</w:t>
            </w:r>
            <w:r w:rsidRPr="00EB16B4">
              <w:rPr>
                <w:sz w:val="14"/>
                <w:szCs w:val="14"/>
                <w:lang w:val="sk-SK"/>
              </w:rPr>
              <w:t xml:space="preserve"> </w:t>
            </w:r>
          </w:p>
        </w:tc>
      </w:tr>
      <w:tr w:rsidR="001A7C84" w:rsidRPr="0052539B" w14:paraId="664422A8" w14:textId="77777777" w:rsidTr="00D3670F">
        <w:tc>
          <w:tcPr>
            <w:tcW w:w="3510" w:type="dxa"/>
            <w:shd w:val="clear" w:color="auto" w:fill="auto"/>
          </w:tcPr>
          <w:p w14:paraId="61E7907C" w14:textId="77777777" w:rsidR="001A7C84" w:rsidRPr="00EB16B4" w:rsidRDefault="001A7C84">
            <w:pPr>
              <w:pStyle w:val="Default"/>
              <w:rPr>
                <w:sz w:val="22"/>
                <w:szCs w:val="22"/>
                <w:lang w:val="sk-SK"/>
              </w:rPr>
            </w:pPr>
            <w:r w:rsidRPr="00EB16B4">
              <w:rPr>
                <w:i/>
                <w:iCs/>
                <w:sz w:val="22"/>
                <w:szCs w:val="22"/>
                <w:lang w:val="sk-SK"/>
              </w:rPr>
              <w:t xml:space="preserve">Poruchy nervového systému </w:t>
            </w:r>
          </w:p>
        </w:tc>
        <w:tc>
          <w:tcPr>
            <w:tcW w:w="4961" w:type="dxa"/>
            <w:shd w:val="clear" w:color="auto" w:fill="auto"/>
          </w:tcPr>
          <w:p w14:paraId="0B9ECDA6" w14:textId="0526167C" w:rsidR="001A7C84" w:rsidRPr="00EB16B4" w:rsidRDefault="001A7C84">
            <w:pPr>
              <w:pStyle w:val="Default"/>
              <w:rPr>
                <w:sz w:val="14"/>
                <w:szCs w:val="14"/>
                <w:lang w:val="sk-SK"/>
              </w:rPr>
            </w:pPr>
            <w:r w:rsidRPr="00EB16B4">
              <w:rPr>
                <w:sz w:val="22"/>
                <w:szCs w:val="22"/>
                <w:lang w:val="sk-SK"/>
              </w:rPr>
              <w:t>Synkopa</w:t>
            </w:r>
            <w:r w:rsidRPr="00EE14AB">
              <w:rPr>
                <w:sz w:val="14"/>
                <w:szCs w:val="14"/>
                <w:vertAlign w:val="superscript"/>
                <w:lang w:val="sk-SK"/>
              </w:rPr>
              <w:t>1</w:t>
            </w:r>
            <w:r w:rsidRPr="00EB16B4">
              <w:rPr>
                <w:sz w:val="22"/>
                <w:szCs w:val="22"/>
                <w:lang w:val="sk-SK"/>
              </w:rPr>
              <w:t>, cerebrovaskulárna príhoda</w:t>
            </w:r>
            <w:r w:rsidRPr="00EE14AB">
              <w:rPr>
                <w:sz w:val="14"/>
                <w:szCs w:val="14"/>
                <w:vertAlign w:val="superscript"/>
                <w:lang w:val="sk-SK"/>
              </w:rPr>
              <w:t>1</w:t>
            </w:r>
            <w:r w:rsidRPr="00EB16B4">
              <w:rPr>
                <w:sz w:val="22"/>
                <w:szCs w:val="22"/>
                <w:lang w:val="sk-SK"/>
              </w:rPr>
              <w:t xml:space="preserve">, zvýšené </w:t>
            </w:r>
            <w:r w:rsidR="00E2412E">
              <w:rPr>
                <w:sz w:val="22"/>
                <w:szCs w:val="22"/>
                <w:lang w:val="sk-SK"/>
              </w:rPr>
              <w:t xml:space="preserve">prejavy </w:t>
            </w:r>
            <w:r w:rsidRPr="00EB16B4">
              <w:rPr>
                <w:sz w:val="22"/>
                <w:szCs w:val="22"/>
                <w:lang w:val="sk-SK"/>
              </w:rPr>
              <w:t>a symptómy ťažkej myasténie</w:t>
            </w:r>
            <w:r w:rsidRPr="00EE14AB">
              <w:rPr>
                <w:sz w:val="14"/>
                <w:szCs w:val="14"/>
                <w:vertAlign w:val="superscript"/>
                <w:lang w:val="sk-SK"/>
              </w:rPr>
              <w:t>1</w:t>
            </w:r>
            <w:r w:rsidRPr="00EB16B4">
              <w:rPr>
                <w:sz w:val="22"/>
                <w:szCs w:val="22"/>
                <w:lang w:val="sk-SK"/>
              </w:rPr>
              <w:t>, parestézia</w:t>
            </w:r>
            <w:r w:rsidRPr="00EE14AB">
              <w:rPr>
                <w:sz w:val="14"/>
                <w:szCs w:val="14"/>
                <w:vertAlign w:val="superscript"/>
                <w:lang w:val="sk-SK"/>
              </w:rPr>
              <w:t>1</w:t>
            </w:r>
            <w:r w:rsidRPr="00EB16B4">
              <w:rPr>
                <w:sz w:val="22"/>
                <w:szCs w:val="22"/>
                <w:lang w:val="sk-SK"/>
              </w:rPr>
              <w:t>, mozgová ischémia</w:t>
            </w:r>
            <w:r w:rsidRPr="00EE14AB">
              <w:rPr>
                <w:sz w:val="14"/>
                <w:szCs w:val="14"/>
                <w:vertAlign w:val="superscript"/>
                <w:lang w:val="sk-SK"/>
              </w:rPr>
              <w:t>1</w:t>
            </w:r>
            <w:r w:rsidRPr="00EB16B4">
              <w:rPr>
                <w:sz w:val="14"/>
                <w:szCs w:val="14"/>
                <w:lang w:val="sk-SK"/>
              </w:rPr>
              <w:t xml:space="preserve"> </w:t>
            </w:r>
          </w:p>
        </w:tc>
      </w:tr>
      <w:tr w:rsidR="001A7C84" w:rsidRPr="0052539B" w14:paraId="2B6136B7" w14:textId="77777777" w:rsidTr="00D3670F">
        <w:trPr>
          <w:trHeight w:val="852"/>
        </w:trPr>
        <w:tc>
          <w:tcPr>
            <w:tcW w:w="3510" w:type="dxa"/>
            <w:shd w:val="clear" w:color="auto" w:fill="auto"/>
          </w:tcPr>
          <w:p w14:paraId="5EF28090" w14:textId="77777777" w:rsidR="001A7C84" w:rsidRPr="00EB16B4" w:rsidRDefault="001A7C84">
            <w:pPr>
              <w:pStyle w:val="Default"/>
              <w:rPr>
                <w:sz w:val="22"/>
                <w:szCs w:val="22"/>
                <w:lang w:val="sk-SK"/>
              </w:rPr>
            </w:pPr>
            <w:r w:rsidRPr="00EB16B4">
              <w:rPr>
                <w:i/>
                <w:iCs/>
                <w:sz w:val="22"/>
                <w:szCs w:val="22"/>
                <w:lang w:val="sk-SK"/>
              </w:rPr>
              <w:t xml:space="preserve">Poruchy oka </w:t>
            </w:r>
          </w:p>
        </w:tc>
        <w:tc>
          <w:tcPr>
            <w:tcW w:w="4961" w:type="dxa"/>
            <w:shd w:val="clear" w:color="auto" w:fill="auto"/>
          </w:tcPr>
          <w:p w14:paraId="183B05FB" w14:textId="213941F4" w:rsidR="001A7C84" w:rsidRPr="00EB16B4" w:rsidRDefault="001A7C84">
            <w:pPr>
              <w:pStyle w:val="Default"/>
              <w:rPr>
                <w:sz w:val="14"/>
                <w:szCs w:val="14"/>
                <w:lang w:val="sk-SK"/>
              </w:rPr>
            </w:pPr>
            <w:r w:rsidRPr="00EB16B4">
              <w:rPr>
                <w:sz w:val="22"/>
                <w:szCs w:val="22"/>
                <w:lang w:val="sk-SK"/>
              </w:rPr>
              <w:t>Znížená citlivosť rohovky</w:t>
            </w:r>
            <w:r w:rsidRPr="00EE14AB">
              <w:rPr>
                <w:sz w:val="14"/>
                <w:szCs w:val="14"/>
                <w:vertAlign w:val="superscript"/>
                <w:lang w:val="sk-SK"/>
              </w:rPr>
              <w:t>1</w:t>
            </w:r>
            <w:r w:rsidRPr="00EB16B4">
              <w:rPr>
                <w:sz w:val="22"/>
                <w:szCs w:val="22"/>
                <w:lang w:val="sk-SK"/>
              </w:rPr>
              <w:t>, diplopia</w:t>
            </w:r>
            <w:r w:rsidRPr="00EB16B4">
              <w:rPr>
                <w:sz w:val="14"/>
                <w:szCs w:val="14"/>
                <w:lang w:val="sk-SK"/>
              </w:rPr>
              <w:t>1</w:t>
            </w:r>
            <w:r w:rsidRPr="00EB16B4">
              <w:rPr>
                <w:sz w:val="22"/>
                <w:szCs w:val="22"/>
                <w:lang w:val="sk-SK"/>
              </w:rPr>
              <w:t>, ptóza</w:t>
            </w:r>
            <w:r w:rsidRPr="00EE14AB">
              <w:rPr>
                <w:sz w:val="14"/>
                <w:szCs w:val="14"/>
                <w:vertAlign w:val="superscript"/>
                <w:lang w:val="sk-SK"/>
              </w:rPr>
              <w:t>1</w:t>
            </w:r>
            <w:r w:rsidRPr="00EB16B4">
              <w:rPr>
                <w:sz w:val="22"/>
                <w:szCs w:val="22"/>
                <w:lang w:val="sk-SK"/>
              </w:rPr>
              <w:t xml:space="preserve">, </w:t>
            </w:r>
            <w:r w:rsidR="00E2412E">
              <w:rPr>
                <w:sz w:val="22"/>
                <w:szCs w:val="22"/>
                <w:lang w:val="sk-SK"/>
              </w:rPr>
              <w:t>odlúpenie</w:t>
            </w:r>
            <w:r w:rsidR="00E2412E" w:rsidRPr="00EB16B4">
              <w:rPr>
                <w:sz w:val="22"/>
                <w:szCs w:val="22"/>
                <w:lang w:val="sk-SK"/>
              </w:rPr>
              <w:t xml:space="preserve"> </w:t>
            </w:r>
            <w:r w:rsidRPr="00EB16B4">
              <w:rPr>
                <w:sz w:val="22"/>
                <w:szCs w:val="22"/>
                <w:lang w:val="sk-SK"/>
              </w:rPr>
              <w:t>cievovky po filtračnej chirurgii (pozri časť 4.4)</w:t>
            </w:r>
            <w:r w:rsidRPr="00EE14AB">
              <w:rPr>
                <w:sz w:val="14"/>
                <w:szCs w:val="14"/>
                <w:vertAlign w:val="superscript"/>
                <w:lang w:val="sk-SK"/>
              </w:rPr>
              <w:t>1</w:t>
            </w:r>
            <w:r w:rsidRPr="00EB16B4">
              <w:rPr>
                <w:sz w:val="22"/>
                <w:szCs w:val="22"/>
                <w:lang w:val="sk-SK"/>
              </w:rPr>
              <w:t>, keratitída</w:t>
            </w:r>
            <w:r w:rsidRPr="00EB16B4">
              <w:rPr>
                <w:sz w:val="14"/>
                <w:szCs w:val="14"/>
                <w:lang w:val="sk-SK"/>
              </w:rPr>
              <w:t>1</w:t>
            </w:r>
            <w:r w:rsidRPr="00EB16B4">
              <w:rPr>
                <w:sz w:val="22"/>
                <w:szCs w:val="22"/>
                <w:lang w:val="sk-SK"/>
              </w:rPr>
              <w:t>, blefarospazmus</w:t>
            </w:r>
            <w:r w:rsidRPr="00EE14AB">
              <w:rPr>
                <w:sz w:val="14"/>
                <w:szCs w:val="14"/>
                <w:vertAlign w:val="superscript"/>
                <w:lang w:val="sk-SK"/>
              </w:rPr>
              <w:t>2</w:t>
            </w:r>
            <w:r w:rsidRPr="00EB16B4">
              <w:rPr>
                <w:sz w:val="22"/>
                <w:szCs w:val="22"/>
                <w:lang w:val="sk-SK"/>
              </w:rPr>
              <w:t>, sietnicové krvácanie</w:t>
            </w:r>
            <w:r w:rsidRPr="00EE14AB">
              <w:rPr>
                <w:sz w:val="14"/>
                <w:szCs w:val="14"/>
                <w:vertAlign w:val="superscript"/>
                <w:lang w:val="sk-SK"/>
              </w:rPr>
              <w:t>2</w:t>
            </w:r>
            <w:r w:rsidRPr="00EB16B4">
              <w:rPr>
                <w:sz w:val="22"/>
                <w:szCs w:val="22"/>
                <w:lang w:val="sk-SK"/>
              </w:rPr>
              <w:t>, uveitída</w:t>
            </w:r>
            <w:r w:rsidRPr="00EE14AB">
              <w:rPr>
                <w:sz w:val="14"/>
                <w:szCs w:val="14"/>
                <w:vertAlign w:val="superscript"/>
                <w:lang w:val="sk-SK"/>
              </w:rPr>
              <w:t>2</w:t>
            </w:r>
            <w:r w:rsidRPr="00EB16B4">
              <w:rPr>
                <w:sz w:val="14"/>
                <w:szCs w:val="14"/>
                <w:lang w:val="sk-SK"/>
              </w:rPr>
              <w:t xml:space="preserve"> </w:t>
            </w:r>
          </w:p>
        </w:tc>
      </w:tr>
      <w:tr w:rsidR="001A7C84" w:rsidRPr="0052539B" w14:paraId="5A6DF4E1" w14:textId="77777777" w:rsidTr="00D3670F">
        <w:trPr>
          <w:trHeight w:val="852"/>
        </w:trPr>
        <w:tc>
          <w:tcPr>
            <w:tcW w:w="3510" w:type="dxa"/>
            <w:shd w:val="clear" w:color="auto" w:fill="auto"/>
          </w:tcPr>
          <w:p w14:paraId="4B7CDDBA" w14:textId="77777777" w:rsidR="001A7C84" w:rsidRPr="00EB16B4" w:rsidRDefault="001A7C84">
            <w:pPr>
              <w:pStyle w:val="Default"/>
              <w:rPr>
                <w:sz w:val="22"/>
                <w:szCs w:val="22"/>
                <w:lang w:val="sk-SK"/>
              </w:rPr>
            </w:pPr>
            <w:r w:rsidRPr="00EB16B4">
              <w:rPr>
                <w:i/>
                <w:iCs/>
                <w:sz w:val="22"/>
                <w:szCs w:val="22"/>
                <w:lang w:val="sk-SK"/>
              </w:rPr>
              <w:t xml:space="preserve">Poruchy srdca a srdcovej činnosti </w:t>
            </w:r>
          </w:p>
        </w:tc>
        <w:tc>
          <w:tcPr>
            <w:tcW w:w="4961" w:type="dxa"/>
            <w:shd w:val="clear" w:color="auto" w:fill="auto"/>
          </w:tcPr>
          <w:p w14:paraId="1052FAD8" w14:textId="77777777" w:rsidR="001A7C84" w:rsidRPr="00EB16B4" w:rsidRDefault="001A7C84">
            <w:pPr>
              <w:pStyle w:val="Default"/>
              <w:rPr>
                <w:sz w:val="14"/>
                <w:szCs w:val="14"/>
                <w:lang w:val="sk-SK"/>
              </w:rPr>
            </w:pPr>
            <w:r w:rsidRPr="00EB16B4">
              <w:rPr>
                <w:sz w:val="22"/>
                <w:szCs w:val="22"/>
                <w:lang w:val="sk-SK"/>
              </w:rPr>
              <w:t>Atrioventrikulárna blokáda</w:t>
            </w:r>
            <w:r w:rsidRPr="00EE14AB">
              <w:rPr>
                <w:sz w:val="14"/>
                <w:szCs w:val="14"/>
                <w:vertAlign w:val="superscript"/>
                <w:lang w:val="sk-SK"/>
              </w:rPr>
              <w:t>1</w:t>
            </w:r>
            <w:r w:rsidRPr="00EB16B4">
              <w:rPr>
                <w:sz w:val="22"/>
                <w:szCs w:val="22"/>
                <w:lang w:val="sk-SK"/>
              </w:rPr>
              <w:t>, zástava srdca</w:t>
            </w:r>
            <w:r w:rsidRPr="00EE14AB">
              <w:rPr>
                <w:sz w:val="14"/>
                <w:szCs w:val="14"/>
                <w:vertAlign w:val="superscript"/>
                <w:lang w:val="sk-SK"/>
              </w:rPr>
              <w:t>1</w:t>
            </w:r>
            <w:r w:rsidRPr="00EB16B4">
              <w:rPr>
                <w:sz w:val="22"/>
                <w:szCs w:val="22"/>
                <w:lang w:val="sk-SK"/>
              </w:rPr>
              <w:t>, arytmia</w:t>
            </w:r>
            <w:r w:rsidRPr="00EE14AB">
              <w:rPr>
                <w:sz w:val="14"/>
                <w:szCs w:val="14"/>
                <w:vertAlign w:val="superscript"/>
                <w:lang w:val="sk-SK"/>
              </w:rPr>
              <w:t>1</w:t>
            </w:r>
            <w:r w:rsidRPr="00EB16B4">
              <w:rPr>
                <w:sz w:val="22"/>
                <w:szCs w:val="22"/>
                <w:lang w:val="sk-SK"/>
              </w:rPr>
              <w:t>, zlyhanie srdca</w:t>
            </w:r>
            <w:r w:rsidRPr="00EE14AB">
              <w:rPr>
                <w:sz w:val="14"/>
                <w:szCs w:val="14"/>
                <w:vertAlign w:val="superscript"/>
                <w:lang w:val="sk-SK"/>
              </w:rPr>
              <w:t>1</w:t>
            </w:r>
            <w:r w:rsidRPr="00EB16B4">
              <w:rPr>
                <w:sz w:val="22"/>
                <w:szCs w:val="22"/>
                <w:lang w:val="sk-SK"/>
              </w:rPr>
              <w:t>, kongestívne zlyhanie srdca</w:t>
            </w:r>
            <w:r w:rsidRPr="00EE14AB">
              <w:rPr>
                <w:sz w:val="14"/>
                <w:szCs w:val="14"/>
                <w:vertAlign w:val="superscript"/>
                <w:lang w:val="sk-SK"/>
              </w:rPr>
              <w:t>1</w:t>
            </w:r>
            <w:r w:rsidRPr="00EB16B4">
              <w:rPr>
                <w:sz w:val="22"/>
                <w:szCs w:val="22"/>
                <w:lang w:val="sk-SK"/>
              </w:rPr>
              <w:t>, bolesť na hrudi</w:t>
            </w:r>
            <w:r w:rsidRPr="00EE14AB">
              <w:rPr>
                <w:sz w:val="14"/>
                <w:szCs w:val="14"/>
                <w:vertAlign w:val="superscript"/>
                <w:lang w:val="sk-SK"/>
              </w:rPr>
              <w:t>1</w:t>
            </w:r>
            <w:r w:rsidRPr="00EB16B4">
              <w:rPr>
                <w:sz w:val="22"/>
                <w:szCs w:val="22"/>
                <w:lang w:val="sk-SK"/>
              </w:rPr>
              <w:t>, palpitácie</w:t>
            </w:r>
            <w:r w:rsidRPr="00EE14AB">
              <w:rPr>
                <w:sz w:val="14"/>
                <w:szCs w:val="14"/>
                <w:vertAlign w:val="superscript"/>
                <w:lang w:val="sk-SK"/>
              </w:rPr>
              <w:t>1</w:t>
            </w:r>
            <w:r w:rsidRPr="00EB16B4">
              <w:rPr>
                <w:sz w:val="22"/>
                <w:szCs w:val="22"/>
                <w:lang w:val="sk-SK"/>
              </w:rPr>
              <w:t>, edém</w:t>
            </w:r>
            <w:r w:rsidRPr="00EE14AB">
              <w:rPr>
                <w:sz w:val="14"/>
                <w:szCs w:val="14"/>
                <w:vertAlign w:val="superscript"/>
                <w:lang w:val="sk-SK"/>
              </w:rPr>
              <w:t>1</w:t>
            </w:r>
            <w:r w:rsidRPr="00EB16B4">
              <w:rPr>
                <w:sz w:val="14"/>
                <w:szCs w:val="14"/>
                <w:lang w:val="sk-SK"/>
              </w:rPr>
              <w:t xml:space="preserve"> </w:t>
            </w:r>
          </w:p>
        </w:tc>
      </w:tr>
      <w:tr w:rsidR="009936C3" w:rsidRPr="0052539B" w14:paraId="163C8D28" w14:textId="77777777" w:rsidTr="00D3670F">
        <w:trPr>
          <w:trHeight w:val="599"/>
        </w:trPr>
        <w:tc>
          <w:tcPr>
            <w:tcW w:w="3510" w:type="dxa"/>
            <w:shd w:val="clear" w:color="auto" w:fill="auto"/>
          </w:tcPr>
          <w:p w14:paraId="47582F5C" w14:textId="77777777" w:rsidR="009936C3" w:rsidRPr="00EB16B4" w:rsidRDefault="009936C3">
            <w:pPr>
              <w:pStyle w:val="Default"/>
              <w:rPr>
                <w:sz w:val="22"/>
                <w:szCs w:val="22"/>
                <w:lang w:val="sk-SK"/>
              </w:rPr>
            </w:pPr>
            <w:r w:rsidRPr="00EB16B4">
              <w:rPr>
                <w:i/>
                <w:iCs/>
                <w:sz w:val="22"/>
                <w:szCs w:val="22"/>
                <w:lang w:val="sk-SK"/>
              </w:rPr>
              <w:t xml:space="preserve">Poruchy ciev </w:t>
            </w:r>
          </w:p>
        </w:tc>
        <w:tc>
          <w:tcPr>
            <w:tcW w:w="4961" w:type="dxa"/>
            <w:shd w:val="clear" w:color="auto" w:fill="auto"/>
          </w:tcPr>
          <w:p w14:paraId="1D1DAB2D" w14:textId="77777777" w:rsidR="009936C3" w:rsidRPr="00EB16B4" w:rsidRDefault="009936C3">
            <w:pPr>
              <w:pStyle w:val="Default"/>
              <w:rPr>
                <w:sz w:val="14"/>
                <w:szCs w:val="14"/>
                <w:lang w:val="sk-SK"/>
              </w:rPr>
            </w:pPr>
            <w:r w:rsidRPr="00EB16B4">
              <w:rPr>
                <w:sz w:val="22"/>
                <w:szCs w:val="22"/>
                <w:lang w:val="sk-SK"/>
              </w:rPr>
              <w:t>Hypotenzia</w:t>
            </w:r>
            <w:r w:rsidRPr="00EE14AB">
              <w:rPr>
                <w:sz w:val="14"/>
                <w:szCs w:val="14"/>
                <w:vertAlign w:val="superscript"/>
                <w:lang w:val="sk-SK"/>
              </w:rPr>
              <w:t>1</w:t>
            </w:r>
            <w:r w:rsidRPr="00EB16B4">
              <w:rPr>
                <w:sz w:val="22"/>
                <w:szCs w:val="22"/>
                <w:lang w:val="sk-SK"/>
              </w:rPr>
              <w:t>, hypertenzia</w:t>
            </w:r>
            <w:r w:rsidRPr="00EE14AB">
              <w:rPr>
                <w:sz w:val="14"/>
                <w:szCs w:val="14"/>
                <w:vertAlign w:val="superscript"/>
                <w:lang w:val="sk-SK"/>
              </w:rPr>
              <w:t>2</w:t>
            </w:r>
            <w:r w:rsidRPr="00EB16B4">
              <w:rPr>
                <w:sz w:val="22"/>
                <w:szCs w:val="22"/>
                <w:lang w:val="sk-SK"/>
              </w:rPr>
              <w:t>, Raynaudov fenomén</w:t>
            </w:r>
            <w:r w:rsidRPr="00EE14AB">
              <w:rPr>
                <w:sz w:val="14"/>
                <w:szCs w:val="14"/>
                <w:vertAlign w:val="superscript"/>
                <w:lang w:val="sk-SK"/>
              </w:rPr>
              <w:t>1</w:t>
            </w:r>
            <w:r w:rsidRPr="00EB16B4">
              <w:rPr>
                <w:sz w:val="22"/>
                <w:szCs w:val="22"/>
                <w:lang w:val="sk-SK"/>
              </w:rPr>
              <w:t>, studené ruky a nohy</w:t>
            </w:r>
            <w:r w:rsidRPr="00EE14AB">
              <w:rPr>
                <w:sz w:val="14"/>
                <w:szCs w:val="14"/>
                <w:vertAlign w:val="superscript"/>
                <w:lang w:val="sk-SK"/>
              </w:rPr>
              <w:t>1</w:t>
            </w:r>
            <w:r w:rsidRPr="00EB16B4">
              <w:rPr>
                <w:sz w:val="14"/>
                <w:szCs w:val="14"/>
                <w:lang w:val="sk-SK"/>
              </w:rPr>
              <w:t xml:space="preserve"> </w:t>
            </w:r>
          </w:p>
        </w:tc>
      </w:tr>
      <w:tr w:rsidR="009936C3" w:rsidRPr="00BC66D2" w14:paraId="36CE8DC9" w14:textId="77777777" w:rsidTr="00D3670F">
        <w:trPr>
          <w:trHeight w:val="410"/>
        </w:trPr>
        <w:tc>
          <w:tcPr>
            <w:tcW w:w="3510" w:type="dxa"/>
            <w:shd w:val="clear" w:color="auto" w:fill="auto"/>
          </w:tcPr>
          <w:p w14:paraId="2BFFE6AA" w14:textId="77777777" w:rsidR="009936C3" w:rsidRPr="00EB16B4" w:rsidRDefault="009936C3">
            <w:pPr>
              <w:pStyle w:val="Default"/>
              <w:rPr>
                <w:sz w:val="22"/>
                <w:szCs w:val="22"/>
                <w:lang w:val="sk-SK"/>
              </w:rPr>
            </w:pPr>
            <w:r w:rsidRPr="00EB16B4">
              <w:rPr>
                <w:i/>
                <w:iCs/>
                <w:sz w:val="22"/>
                <w:szCs w:val="22"/>
                <w:lang w:val="sk-SK"/>
              </w:rPr>
              <w:t xml:space="preserve">Poruchy dýchacej sústavy, hrudníka a mediastína </w:t>
            </w:r>
          </w:p>
        </w:tc>
        <w:tc>
          <w:tcPr>
            <w:tcW w:w="4961" w:type="dxa"/>
            <w:shd w:val="clear" w:color="auto" w:fill="auto"/>
          </w:tcPr>
          <w:p w14:paraId="1340C4E7" w14:textId="77777777" w:rsidR="009936C3" w:rsidRPr="00EB16B4" w:rsidRDefault="009936C3" w:rsidP="00C415BC">
            <w:pPr>
              <w:pStyle w:val="Default"/>
              <w:rPr>
                <w:sz w:val="14"/>
                <w:szCs w:val="14"/>
                <w:lang w:val="sk-SK"/>
              </w:rPr>
            </w:pPr>
            <w:r w:rsidRPr="00EB16B4">
              <w:rPr>
                <w:sz w:val="22"/>
                <w:szCs w:val="22"/>
                <w:lang w:val="sk-SK"/>
              </w:rPr>
              <w:t>Exacerbácia astmy</w:t>
            </w:r>
            <w:r w:rsidRPr="00830529">
              <w:rPr>
                <w:sz w:val="14"/>
                <w:szCs w:val="14"/>
                <w:vertAlign w:val="superscript"/>
                <w:lang w:val="sk-SK"/>
              </w:rPr>
              <w:t>2</w:t>
            </w:r>
            <w:r w:rsidRPr="00EB16B4">
              <w:rPr>
                <w:sz w:val="22"/>
                <w:szCs w:val="22"/>
                <w:lang w:val="sk-SK"/>
              </w:rPr>
              <w:t>, exacerbácia CHO</w:t>
            </w:r>
            <w:r w:rsidR="00C415BC">
              <w:rPr>
                <w:sz w:val="22"/>
                <w:szCs w:val="22"/>
                <w:lang w:val="sk-SK"/>
              </w:rPr>
              <w:t>CHP</w:t>
            </w:r>
            <w:r w:rsidRPr="00830529">
              <w:rPr>
                <w:sz w:val="14"/>
                <w:szCs w:val="14"/>
                <w:vertAlign w:val="superscript"/>
                <w:lang w:val="sk-SK"/>
              </w:rPr>
              <w:t>2</w:t>
            </w:r>
            <w:r w:rsidRPr="00EB16B4">
              <w:rPr>
                <w:sz w:val="22"/>
                <w:szCs w:val="22"/>
                <w:lang w:val="sk-SK"/>
              </w:rPr>
              <w:t>, kašeľ</w:t>
            </w:r>
            <w:r w:rsidRPr="00830529">
              <w:rPr>
                <w:sz w:val="14"/>
                <w:szCs w:val="14"/>
                <w:vertAlign w:val="superscript"/>
                <w:lang w:val="sk-SK"/>
              </w:rPr>
              <w:t>1</w:t>
            </w:r>
            <w:r w:rsidRPr="00EB16B4">
              <w:rPr>
                <w:sz w:val="14"/>
                <w:szCs w:val="14"/>
                <w:lang w:val="sk-SK"/>
              </w:rPr>
              <w:t xml:space="preserve"> </w:t>
            </w:r>
          </w:p>
        </w:tc>
      </w:tr>
      <w:tr w:rsidR="009936C3" w:rsidRPr="0052539B" w14:paraId="600ED548" w14:textId="77777777" w:rsidTr="00D3670F">
        <w:trPr>
          <w:trHeight w:val="415"/>
        </w:trPr>
        <w:tc>
          <w:tcPr>
            <w:tcW w:w="3510" w:type="dxa"/>
            <w:shd w:val="clear" w:color="auto" w:fill="auto"/>
          </w:tcPr>
          <w:p w14:paraId="2D2236E1" w14:textId="77777777" w:rsidR="009936C3" w:rsidRPr="00EB16B4" w:rsidRDefault="009936C3">
            <w:pPr>
              <w:pStyle w:val="Default"/>
              <w:rPr>
                <w:sz w:val="22"/>
                <w:szCs w:val="22"/>
                <w:lang w:val="sk-SK"/>
              </w:rPr>
            </w:pPr>
            <w:r w:rsidRPr="00EB16B4">
              <w:rPr>
                <w:i/>
                <w:iCs/>
                <w:sz w:val="22"/>
                <w:szCs w:val="22"/>
                <w:lang w:val="sk-SK"/>
              </w:rPr>
              <w:t xml:space="preserve">Poruchy gastrointestinálneho traktu </w:t>
            </w:r>
          </w:p>
        </w:tc>
        <w:tc>
          <w:tcPr>
            <w:tcW w:w="4961" w:type="dxa"/>
            <w:shd w:val="clear" w:color="auto" w:fill="auto"/>
          </w:tcPr>
          <w:p w14:paraId="14A02DEF" w14:textId="77777777" w:rsidR="009936C3" w:rsidRPr="00EB16B4" w:rsidRDefault="009936C3">
            <w:pPr>
              <w:pStyle w:val="Default"/>
              <w:rPr>
                <w:sz w:val="14"/>
                <w:szCs w:val="14"/>
                <w:lang w:val="sk-SK"/>
              </w:rPr>
            </w:pPr>
            <w:r w:rsidRPr="00EB16B4">
              <w:rPr>
                <w:sz w:val="22"/>
                <w:szCs w:val="22"/>
                <w:lang w:val="sk-SK"/>
              </w:rPr>
              <w:t>Nauzea</w:t>
            </w:r>
            <w:r w:rsidRPr="00830529">
              <w:rPr>
                <w:sz w:val="14"/>
                <w:szCs w:val="14"/>
                <w:vertAlign w:val="superscript"/>
                <w:lang w:val="sk-SK"/>
              </w:rPr>
              <w:t>1,2</w:t>
            </w:r>
            <w:r w:rsidRPr="00EB16B4">
              <w:rPr>
                <w:sz w:val="22"/>
                <w:szCs w:val="22"/>
                <w:lang w:val="sk-SK"/>
              </w:rPr>
              <w:t>, hnačka</w:t>
            </w:r>
            <w:r w:rsidRPr="00830529">
              <w:rPr>
                <w:sz w:val="14"/>
                <w:szCs w:val="14"/>
                <w:vertAlign w:val="superscript"/>
                <w:lang w:val="sk-SK"/>
              </w:rPr>
              <w:t>1</w:t>
            </w:r>
            <w:r w:rsidRPr="00EB16B4">
              <w:rPr>
                <w:sz w:val="22"/>
                <w:szCs w:val="22"/>
                <w:lang w:val="sk-SK"/>
              </w:rPr>
              <w:t>, dyspepsia</w:t>
            </w:r>
            <w:r w:rsidRPr="00830529">
              <w:rPr>
                <w:sz w:val="14"/>
                <w:szCs w:val="14"/>
                <w:vertAlign w:val="superscript"/>
                <w:lang w:val="sk-SK"/>
              </w:rPr>
              <w:t>1</w:t>
            </w:r>
            <w:r w:rsidRPr="00EB16B4">
              <w:rPr>
                <w:sz w:val="22"/>
                <w:szCs w:val="22"/>
                <w:lang w:val="sk-SK"/>
              </w:rPr>
              <w:t>, sucho v ústach</w:t>
            </w:r>
            <w:r w:rsidRPr="00830529">
              <w:rPr>
                <w:sz w:val="14"/>
                <w:szCs w:val="14"/>
                <w:vertAlign w:val="superscript"/>
                <w:lang w:val="sk-SK"/>
              </w:rPr>
              <w:t>1</w:t>
            </w:r>
            <w:r w:rsidRPr="00EB16B4">
              <w:rPr>
                <w:sz w:val="22"/>
                <w:szCs w:val="22"/>
                <w:lang w:val="sk-SK"/>
              </w:rPr>
              <w:t>, bolesť brucha</w:t>
            </w:r>
            <w:r w:rsidRPr="00830529">
              <w:rPr>
                <w:sz w:val="14"/>
                <w:szCs w:val="14"/>
                <w:vertAlign w:val="superscript"/>
                <w:lang w:val="sk-SK"/>
              </w:rPr>
              <w:t>1</w:t>
            </w:r>
            <w:r w:rsidRPr="00EB16B4">
              <w:rPr>
                <w:sz w:val="22"/>
                <w:szCs w:val="22"/>
                <w:lang w:val="sk-SK"/>
              </w:rPr>
              <w:t>, vracanie</w:t>
            </w:r>
            <w:r w:rsidRPr="00830529">
              <w:rPr>
                <w:sz w:val="14"/>
                <w:szCs w:val="14"/>
                <w:vertAlign w:val="superscript"/>
                <w:lang w:val="sk-SK"/>
              </w:rPr>
              <w:t xml:space="preserve">1 </w:t>
            </w:r>
          </w:p>
        </w:tc>
      </w:tr>
      <w:tr w:rsidR="009936C3" w:rsidRPr="0052539B" w14:paraId="74ED3068" w14:textId="77777777" w:rsidTr="00D3670F">
        <w:trPr>
          <w:trHeight w:val="592"/>
        </w:trPr>
        <w:tc>
          <w:tcPr>
            <w:tcW w:w="3510" w:type="dxa"/>
            <w:shd w:val="clear" w:color="auto" w:fill="auto"/>
          </w:tcPr>
          <w:p w14:paraId="3419127C" w14:textId="77777777" w:rsidR="009936C3" w:rsidRPr="00EB16B4" w:rsidRDefault="009936C3">
            <w:pPr>
              <w:pStyle w:val="Default"/>
              <w:rPr>
                <w:sz w:val="22"/>
                <w:szCs w:val="22"/>
                <w:lang w:val="sk-SK"/>
              </w:rPr>
            </w:pPr>
            <w:r w:rsidRPr="00EB16B4">
              <w:rPr>
                <w:i/>
                <w:iCs/>
                <w:sz w:val="22"/>
                <w:szCs w:val="22"/>
                <w:lang w:val="sk-SK"/>
              </w:rPr>
              <w:t xml:space="preserve">Poruchy kože a podkožného tkaniva </w:t>
            </w:r>
          </w:p>
        </w:tc>
        <w:tc>
          <w:tcPr>
            <w:tcW w:w="4961" w:type="dxa"/>
            <w:shd w:val="clear" w:color="auto" w:fill="auto"/>
          </w:tcPr>
          <w:p w14:paraId="40E6E508" w14:textId="77777777" w:rsidR="009936C3" w:rsidRPr="00EB16B4" w:rsidRDefault="009936C3">
            <w:pPr>
              <w:pStyle w:val="Default"/>
              <w:rPr>
                <w:sz w:val="14"/>
                <w:szCs w:val="14"/>
                <w:lang w:val="sk-SK"/>
              </w:rPr>
            </w:pPr>
            <w:r w:rsidRPr="00EB16B4">
              <w:rPr>
                <w:sz w:val="22"/>
                <w:szCs w:val="22"/>
                <w:lang w:val="sk-SK"/>
              </w:rPr>
              <w:t>Psoriatiformná vyrážka</w:t>
            </w:r>
            <w:r w:rsidRPr="00830529">
              <w:rPr>
                <w:sz w:val="14"/>
                <w:szCs w:val="14"/>
                <w:vertAlign w:val="superscript"/>
                <w:lang w:val="sk-SK"/>
              </w:rPr>
              <w:t>1</w:t>
            </w:r>
            <w:r w:rsidRPr="00EB16B4">
              <w:rPr>
                <w:sz w:val="14"/>
                <w:szCs w:val="14"/>
                <w:lang w:val="sk-SK"/>
              </w:rPr>
              <w:t xml:space="preserve"> </w:t>
            </w:r>
            <w:r w:rsidRPr="00EB16B4">
              <w:rPr>
                <w:sz w:val="22"/>
                <w:szCs w:val="22"/>
                <w:lang w:val="sk-SK"/>
              </w:rPr>
              <w:t>alebo exacerbácia psoriázy</w:t>
            </w:r>
            <w:r w:rsidRPr="00830529">
              <w:rPr>
                <w:sz w:val="14"/>
                <w:szCs w:val="14"/>
                <w:vertAlign w:val="superscript"/>
                <w:lang w:val="sk-SK"/>
              </w:rPr>
              <w:t>1</w:t>
            </w:r>
            <w:r w:rsidRPr="00EB16B4">
              <w:rPr>
                <w:sz w:val="22"/>
                <w:szCs w:val="22"/>
                <w:lang w:val="sk-SK"/>
              </w:rPr>
              <w:t>, kožná vyrážka</w:t>
            </w:r>
            <w:r w:rsidRPr="00830529">
              <w:rPr>
                <w:sz w:val="14"/>
                <w:szCs w:val="14"/>
                <w:vertAlign w:val="superscript"/>
                <w:lang w:val="sk-SK"/>
              </w:rPr>
              <w:t>1</w:t>
            </w:r>
            <w:r w:rsidRPr="00EB16B4">
              <w:rPr>
                <w:sz w:val="14"/>
                <w:szCs w:val="14"/>
                <w:lang w:val="sk-SK"/>
              </w:rPr>
              <w:t xml:space="preserve"> </w:t>
            </w:r>
          </w:p>
        </w:tc>
      </w:tr>
      <w:tr w:rsidR="009936C3" w:rsidRPr="00EB16B4" w14:paraId="0469E43E" w14:textId="77777777" w:rsidTr="00D3670F">
        <w:trPr>
          <w:trHeight w:val="558"/>
        </w:trPr>
        <w:tc>
          <w:tcPr>
            <w:tcW w:w="3510" w:type="dxa"/>
            <w:shd w:val="clear" w:color="auto" w:fill="auto"/>
          </w:tcPr>
          <w:p w14:paraId="4A66F114" w14:textId="77777777" w:rsidR="009936C3" w:rsidRPr="00EB16B4" w:rsidRDefault="009936C3">
            <w:pPr>
              <w:pStyle w:val="Default"/>
              <w:rPr>
                <w:sz w:val="22"/>
                <w:szCs w:val="22"/>
                <w:lang w:val="sk-SK"/>
              </w:rPr>
            </w:pPr>
            <w:r w:rsidRPr="00EB16B4">
              <w:rPr>
                <w:i/>
                <w:iCs/>
                <w:sz w:val="22"/>
                <w:szCs w:val="22"/>
                <w:lang w:val="sk-SK"/>
              </w:rPr>
              <w:t xml:space="preserve">Poruchy kostrovej a svalovej sústavy a spojivového tkaniva </w:t>
            </w:r>
          </w:p>
        </w:tc>
        <w:tc>
          <w:tcPr>
            <w:tcW w:w="4961" w:type="dxa"/>
            <w:shd w:val="clear" w:color="auto" w:fill="auto"/>
          </w:tcPr>
          <w:p w14:paraId="6A3B6A4C" w14:textId="77777777" w:rsidR="009936C3" w:rsidRPr="00EB16B4" w:rsidRDefault="009936C3">
            <w:pPr>
              <w:pStyle w:val="Default"/>
              <w:rPr>
                <w:sz w:val="14"/>
                <w:szCs w:val="14"/>
                <w:lang w:val="sk-SK"/>
              </w:rPr>
            </w:pPr>
            <w:r w:rsidRPr="00EB16B4">
              <w:rPr>
                <w:sz w:val="22"/>
                <w:szCs w:val="22"/>
                <w:lang w:val="sk-SK"/>
              </w:rPr>
              <w:t>Myalgia</w:t>
            </w:r>
            <w:r w:rsidRPr="00830529">
              <w:rPr>
                <w:sz w:val="14"/>
                <w:szCs w:val="14"/>
                <w:vertAlign w:val="superscript"/>
                <w:lang w:val="sk-SK"/>
              </w:rPr>
              <w:t>1</w:t>
            </w:r>
            <w:r w:rsidRPr="00EB16B4">
              <w:rPr>
                <w:sz w:val="14"/>
                <w:szCs w:val="14"/>
                <w:lang w:val="sk-SK"/>
              </w:rPr>
              <w:t xml:space="preserve"> </w:t>
            </w:r>
          </w:p>
        </w:tc>
      </w:tr>
      <w:tr w:rsidR="009936C3" w:rsidRPr="00EB16B4" w14:paraId="0CF6A468" w14:textId="77777777" w:rsidTr="00D3670F">
        <w:trPr>
          <w:trHeight w:val="268"/>
        </w:trPr>
        <w:tc>
          <w:tcPr>
            <w:tcW w:w="3510" w:type="dxa"/>
            <w:shd w:val="clear" w:color="auto" w:fill="auto"/>
          </w:tcPr>
          <w:p w14:paraId="6D65D0F3" w14:textId="77777777" w:rsidR="009936C3" w:rsidRPr="00EB16B4" w:rsidRDefault="009936C3">
            <w:pPr>
              <w:pStyle w:val="Default"/>
              <w:rPr>
                <w:sz w:val="22"/>
                <w:szCs w:val="22"/>
                <w:lang w:val="sk-SK"/>
              </w:rPr>
            </w:pPr>
            <w:r w:rsidRPr="00EB16B4">
              <w:rPr>
                <w:i/>
                <w:iCs/>
                <w:sz w:val="22"/>
                <w:szCs w:val="22"/>
                <w:lang w:val="sk-SK"/>
              </w:rPr>
              <w:t xml:space="preserve">Poruchy reprodukčného systému a prsníkov </w:t>
            </w:r>
          </w:p>
        </w:tc>
        <w:tc>
          <w:tcPr>
            <w:tcW w:w="4961" w:type="dxa"/>
            <w:shd w:val="clear" w:color="auto" w:fill="auto"/>
          </w:tcPr>
          <w:p w14:paraId="760DDD7B" w14:textId="77777777" w:rsidR="009936C3" w:rsidRPr="00EB16B4" w:rsidRDefault="009936C3">
            <w:pPr>
              <w:pStyle w:val="Default"/>
              <w:rPr>
                <w:sz w:val="14"/>
                <w:szCs w:val="14"/>
                <w:lang w:val="sk-SK"/>
              </w:rPr>
            </w:pPr>
            <w:r w:rsidRPr="00EB16B4">
              <w:rPr>
                <w:sz w:val="22"/>
                <w:szCs w:val="22"/>
                <w:lang w:val="sk-SK"/>
              </w:rPr>
              <w:t>Sexuálna dysfunkcia</w:t>
            </w:r>
            <w:r w:rsidRPr="00830529">
              <w:rPr>
                <w:sz w:val="14"/>
                <w:szCs w:val="14"/>
                <w:vertAlign w:val="superscript"/>
                <w:lang w:val="sk-SK"/>
              </w:rPr>
              <w:t>1</w:t>
            </w:r>
            <w:r w:rsidRPr="00EB16B4">
              <w:rPr>
                <w:sz w:val="22"/>
                <w:szCs w:val="22"/>
                <w:lang w:val="sk-SK"/>
              </w:rPr>
              <w:t>, znížené libido</w:t>
            </w:r>
            <w:r w:rsidRPr="00830529">
              <w:rPr>
                <w:sz w:val="14"/>
                <w:szCs w:val="14"/>
                <w:vertAlign w:val="superscript"/>
                <w:lang w:val="sk-SK"/>
              </w:rPr>
              <w:t>1</w:t>
            </w:r>
            <w:r w:rsidRPr="00EB16B4">
              <w:rPr>
                <w:sz w:val="14"/>
                <w:szCs w:val="14"/>
                <w:lang w:val="sk-SK"/>
              </w:rPr>
              <w:t xml:space="preserve"> </w:t>
            </w:r>
          </w:p>
        </w:tc>
      </w:tr>
      <w:tr w:rsidR="009936C3" w:rsidRPr="00EB16B4" w14:paraId="1F86205B" w14:textId="77777777" w:rsidTr="00D3670F">
        <w:trPr>
          <w:trHeight w:val="555"/>
        </w:trPr>
        <w:tc>
          <w:tcPr>
            <w:tcW w:w="3510" w:type="dxa"/>
            <w:shd w:val="clear" w:color="auto" w:fill="auto"/>
          </w:tcPr>
          <w:p w14:paraId="6D0DF2D5" w14:textId="77777777" w:rsidR="009936C3" w:rsidRPr="00EB16B4" w:rsidRDefault="009936C3">
            <w:pPr>
              <w:pStyle w:val="Default"/>
              <w:rPr>
                <w:sz w:val="22"/>
                <w:szCs w:val="22"/>
                <w:lang w:val="sk-SK"/>
              </w:rPr>
            </w:pPr>
            <w:r w:rsidRPr="00EB16B4">
              <w:rPr>
                <w:i/>
                <w:iCs/>
                <w:sz w:val="22"/>
                <w:szCs w:val="22"/>
                <w:lang w:val="sk-SK"/>
              </w:rPr>
              <w:t xml:space="preserve">Celkové poruchy a reakcie v mieste podania </w:t>
            </w:r>
          </w:p>
        </w:tc>
        <w:tc>
          <w:tcPr>
            <w:tcW w:w="4961" w:type="dxa"/>
            <w:shd w:val="clear" w:color="auto" w:fill="auto"/>
          </w:tcPr>
          <w:p w14:paraId="4B29D967" w14:textId="77777777" w:rsidR="009936C3" w:rsidRPr="00EB16B4" w:rsidRDefault="009936C3">
            <w:pPr>
              <w:pStyle w:val="Default"/>
              <w:rPr>
                <w:sz w:val="14"/>
                <w:szCs w:val="14"/>
                <w:lang w:val="sk-SK"/>
              </w:rPr>
            </w:pPr>
            <w:r w:rsidRPr="00EB16B4">
              <w:rPr>
                <w:sz w:val="22"/>
                <w:szCs w:val="22"/>
                <w:lang w:val="sk-SK"/>
              </w:rPr>
              <w:t>Asténia</w:t>
            </w:r>
            <w:r w:rsidRPr="00830529">
              <w:rPr>
                <w:sz w:val="14"/>
                <w:szCs w:val="14"/>
                <w:vertAlign w:val="superscript"/>
                <w:lang w:val="sk-SK"/>
              </w:rPr>
              <w:t xml:space="preserve">1,2 </w:t>
            </w:r>
          </w:p>
        </w:tc>
      </w:tr>
      <w:tr w:rsidR="009936C3" w:rsidRPr="00EB16B4" w14:paraId="202E28A5" w14:textId="77777777" w:rsidTr="00D3670F">
        <w:trPr>
          <w:trHeight w:val="555"/>
        </w:trPr>
        <w:tc>
          <w:tcPr>
            <w:tcW w:w="3510" w:type="dxa"/>
            <w:shd w:val="clear" w:color="auto" w:fill="auto"/>
          </w:tcPr>
          <w:p w14:paraId="77941806" w14:textId="77777777" w:rsidR="009936C3" w:rsidRPr="00EB16B4" w:rsidRDefault="009936C3">
            <w:pPr>
              <w:pStyle w:val="Default"/>
              <w:rPr>
                <w:sz w:val="22"/>
                <w:szCs w:val="22"/>
                <w:lang w:val="sk-SK"/>
              </w:rPr>
            </w:pPr>
            <w:r w:rsidRPr="00EB16B4">
              <w:rPr>
                <w:i/>
                <w:iCs/>
                <w:sz w:val="22"/>
                <w:szCs w:val="22"/>
                <w:lang w:val="sk-SK"/>
              </w:rPr>
              <w:t xml:space="preserve">Laboratórne a funkčné vyšetrenia </w:t>
            </w:r>
          </w:p>
        </w:tc>
        <w:tc>
          <w:tcPr>
            <w:tcW w:w="4961" w:type="dxa"/>
            <w:shd w:val="clear" w:color="auto" w:fill="auto"/>
          </w:tcPr>
          <w:p w14:paraId="076A9DA3" w14:textId="77777777" w:rsidR="009936C3" w:rsidRPr="00EB16B4" w:rsidRDefault="009936C3">
            <w:pPr>
              <w:pStyle w:val="Default"/>
              <w:rPr>
                <w:sz w:val="22"/>
                <w:szCs w:val="22"/>
                <w:lang w:val="sk-SK"/>
              </w:rPr>
            </w:pPr>
            <w:r w:rsidRPr="00EB16B4">
              <w:rPr>
                <w:sz w:val="22"/>
                <w:szCs w:val="22"/>
                <w:lang w:val="sk-SK"/>
              </w:rPr>
              <w:t xml:space="preserve">Abnormálne testy funkcie pečene </w:t>
            </w:r>
          </w:p>
        </w:tc>
      </w:tr>
    </w:tbl>
    <w:p w14:paraId="25D9FEC9" w14:textId="77777777" w:rsidR="00C3470F" w:rsidRPr="00C415BC" w:rsidRDefault="00C3470F" w:rsidP="00C415BC">
      <w:pPr>
        <w:tabs>
          <w:tab w:val="clear" w:pos="567"/>
        </w:tabs>
        <w:autoSpaceDE w:val="0"/>
        <w:autoSpaceDN w:val="0"/>
        <w:adjustRightInd w:val="0"/>
        <w:spacing w:line="240" w:lineRule="auto"/>
        <w:ind w:left="567" w:hanging="567"/>
        <w:rPr>
          <w:rFonts w:eastAsiaTheme="minorHAnsi"/>
          <w:color w:val="000000"/>
          <w:sz w:val="18"/>
          <w:szCs w:val="18"/>
          <w:lang w:val="sk-SK"/>
        </w:rPr>
      </w:pPr>
      <w:r w:rsidRPr="00C415BC">
        <w:rPr>
          <w:sz w:val="18"/>
          <w:szCs w:val="18"/>
          <w:vertAlign w:val="superscript"/>
          <w:lang w:val="sk-SK"/>
        </w:rPr>
        <w:t>1</w:t>
      </w:r>
      <w:r w:rsidRPr="00C415BC">
        <w:rPr>
          <w:rFonts w:eastAsiaTheme="minorHAnsi"/>
          <w:color w:val="000000"/>
          <w:sz w:val="18"/>
          <w:szCs w:val="18"/>
          <w:lang w:val="sk-SK"/>
        </w:rPr>
        <w:t xml:space="preserve"> </w:t>
      </w:r>
      <w:r w:rsidR="00C415BC" w:rsidRPr="00C415BC">
        <w:rPr>
          <w:rFonts w:eastAsiaTheme="minorHAnsi"/>
          <w:color w:val="000000"/>
          <w:sz w:val="18"/>
          <w:szCs w:val="18"/>
          <w:lang w:val="sk-SK"/>
        </w:rPr>
        <w:t xml:space="preserve"> </w:t>
      </w:r>
      <w:r w:rsidR="00C415BC" w:rsidRPr="00C415BC">
        <w:rPr>
          <w:rFonts w:eastAsiaTheme="minorHAnsi"/>
          <w:color w:val="000000"/>
          <w:sz w:val="18"/>
          <w:szCs w:val="18"/>
          <w:lang w:val="sk-SK"/>
        </w:rPr>
        <w:tab/>
      </w:r>
      <w:r w:rsidRPr="00C415BC">
        <w:rPr>
          <w:rFonts w:eastAsiaTheme="minorHAnsi"/>
          <w:color w:val="000000"/>
          <w:sz w:val="18"/>
          <w:szCs w:val="18"/>
          <w:lang w:val="sk-SK"/>
        </w:rPr>
        <w:t xml:space="preserve">nežiaduce reakcie pozorované pri monoterapii timololom </w:t>
      </w:r>
    </w:p>
    <w:p w14:paraId="37102B61" w14:textId="77777777" w:rsidR="00B117C1" w:rsidRPr="00C415BC" w:rsidRDefault="00C3470F" w:rsidP="00C415BC">
      <w:pPr>
        <w:tabs>
          <w:tab w:val="clear" w:pos="567"/>
          <w:tab w:val="left" w:pos="1983"/>
        </w:tabs>
        <w:autoSpaceDE w:val="0"/>
        <w:autoSpaceDN w:val="0"/>
        <w:adjustRightInd w:val="0"/>
        <w:ind w:left="567" w:hanging="567"/>
        <w:rPr>
          <w:rFonts w:eastAsiaTheme="minorHAnsi"/>
          <w:color w:val="000000"/>
          <w:sz w:val="18"/>
          <w:szCs w:val="18"/>
          <w:lang w:val="sk-SK"/>
        </w:rPr>
      </w:pPr>
      <w:r w:rsidRPr="00C415BC">
        <w:rPr>
          <w:sz w:val="18"/>
          <w:szCs w:val="18"/>
          <w:vertAlign w:val="superscript"/>
          <w:lang w:val="sk-SK"/>
        </w:rPr>
        <w:t>2</w:t>
      </w:r>
      <w:r w:rsidR="00C415BC" w:rsidRPr="00C415BC">
        <w:rPr>
          <w:sz w:val="18"/>
          <w:szCs w:val="18"/>
          <w:vertAlign w:val="superscript"/>
          <w:lang w:val="sk-SK"/>
        </w:rPr>
        <w:tab/>
      </w:r>
      <w:r w:rsidRPr="00C415BC">
        <w:rPr>
          <w:rFonts w:eastAsiaTheme="minorHAnsi"/>
          <w:color w:val="000000"/>
          <w:sz w:val="18"/>
          <w:szCs w:val="18"/>
          <w:lang w:val="sk-SK"/>
        </w:rPr>
        <w:t>nežiaduce reakcie pozorované pri monoterapii bimatoprostom</w:t>
      </w:r>
    </w:p>
    <w:p w14:paraId="025CF139" w14:textId="77777777" w:rsidR="0045706A" w:rsidRPr="00EB16B4" w:rsidRDefault="0045706A" w:rsidP="00C415BC">
      <w:pPr>
        <w:tabs>
          <w:tab w:val="clear" w:pos="567"/>
          <w:tab w:val="left" w:pos="1983"/>
        </w:tabs>
        <w:autoSpaceDE w:val="0"/>
        <w:autoSpaceDN w:val="0"/>
        <w:adjustRightInd w:val="0"/>
        <w:ind w:left="567" w:hanging="567"/>
        <w:rPr>
          <w:szCs w:val="22"/>
          <w:u w:val="single"/>
          <w:lang w:val="sk-SK" w:eastAsia="el-GR"/>
        </w:rPr>
      </w:pPr>
    </w:p>
    <w:p w14:paraId="429EC809" w14:textId="77777777" w:rsidR="00083664" w:rsidRPr="00EB16B4" w:rsidRDefault="00083664" w:rsidP="00083664">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Nežiaduce reakcie hlásené pri užívaní očných kvapiek obsahujúcich fosfát </w:t>
      </w:r>
    </w:p>
    <w:p w14:paraId="606CE12E" w14:textId="77777777" w:rsidR="00F23948" w:rsidRDefault="00083664" w:rsidP="00083664">
      <w:pPr>
        <w:autoSpaceDE w:val="0"/>
        <w:autoSpaceDN w:val="0"/>
        <w:adjustRightInd w:val="0"/>
        <w:rPr>
          <w:rFonts w:eastAsiaTheme="minorHAnsi"/>
          <w:color w:val="000000"/>
          <w:szCs w:val="22"/>
          <w:lang w:val="sk-SK"/>
        </w:rPr>
      </w:pPr>
      <w:r w:rsidRPr="00EB16B4">
        <w:rPr>
          <w:rFonts w:eastAsiaTheme="minorHAnsi"/>
          <w:color w:val="000000"/>
          <w:szCs w:val="22"/>
          <w:lang w:val="sk-SK"/>
        </w:rPr>
        <w:t>U niektorých pacientov s výrazne poškodenou rohovkou boli hlásené veľmi zriedkavé prípady kalcifikácie rohovky v súvislosti s použitím očných kvapiek obsahujúcich fosfát.</w:t>
      </w:r>
    </w:p>
    <w:p w14:paraId="4C077F5F" w14:textId="77777777" w:rsidR="0045706A" w:rsidRPr="00EB16B4" w:rsidRDefault="0045706A" w:rsidP="00083664">
      <w:pPr>
        <w:autoSpaceDE w:val="0"/>
        <w:autoSpaceDN w:val="0"/>
        <w:adjustRightInd w:val="0"/>
        <w:rPr>
          <w:u w:val="single"/>
          <w:lang w:val="sk-SK"/>
        </w:rPr>
      </w:pPr>
    </w:p>
    <w:p w14:paraId="56AE3B4C" w14:textId="77777777" w:rsidR="00B73912" w:rsidRPr="00EB16B4" w:rsidRDefault="00B73912" w:rsidP="00B73912">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iCs/>
          <w:color w:val="000000"/>
          <w:szCs w:val="22"/>
          <w:u w:val="single"/>
          <w:lang w:val="sk-SK"/>
        </w:rPr>
        <w:t xml:space="preserve">Hlásenie podozrení na nežiaduce reakcie </w:t>
      </w:r>
    </w:p>
    <w:p w14:paraId="7525C000" w14:textId="77777777" w:rsidR="00F23948" w:rsidRPr="0045706A" w:rsidRDefault="00B73912" w:rsidP="00B73912">
      <w:pPr>
        <w:rPr>
          <w:rFonts w:eastAsiaTheme="minorHAnsi"/>
          <w:color w:val="000000"/>
          <w:szCs w:val="22"/>
          <w:lang w:val="sk-SK"/>
        </w:rPr>
      </w:pPr>
      <w:r w:rsidRPr="00EB16B4">
        <w:rPr>
          <w:rFonts w:eastAsiaTheme="minorHAnsi"/>
          <w:color w:val="000000"/>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45706A">
        <w:rPr>
          <w:rFonts w:eastAsiaTheme="minorHAnsi"/>
          <w:color w:val="000000"/>
          <w:szCs w:val="22"/>
          <w:highlight w:val="lightGray"/>
          <w:lang w:val="sk-SK"/>
        </w:rPr>
        <w:t xml:space="preserve">na národné centrum hlásenia uvedené v </w:t>
      </w:r>
      <w:hyperlink r:id="rId7" w:history="1">
        <w:r w:rsidRPr="00BC66D2">
          <w:rPr>
            <w:rStyle w:val="Hypertextovprepojenie"/>
            <w:rFonts w:eastAsiaTheme="minorHAnsi"/>
            <w:highlight w:val="lightGray"/>
            <w:lang w:val="sk-SK"/>
          </w:rPr>
          <w:t>Prílohe V</w:t>
        </w:r>
      </w:hyperlink>
      <w:r w:rsidR="001F1073" w:rsidRPr="0045706A">
        <w:rPr>
          <w:rFonts w:eastAsiaTheme="minorHAnsi"/>
          <w:color w:val="000000"/>
          <w:szCs w:val="22"/>
          <w:highlight w:val="lightGray"/>
          <w:lang w:val="sk-SK"/>
        </w:rPr>
        <w:t>.</w:t>
      </w:r>
    </w:p>
    <w:p w14:paraId="4443C7B2" w14:textId="77777777" w:rsidR="001F1073" w:rsidRPr="00EB16B4" w:rsidRDefault="001F1073" w:rsidP="00B73912">
      <w:pPr>
        <w:rPr>
          <w:lang w:val="sk-SK"/>
        </w:rPr>
      </w:pPr>
    </w:p>
    <w:p w14:paraId="7750CFB4" w14:textId="77777777" w:rsidR="001F1073" w:rsidRPr="00EB16B4" w:rsidRDefault="001F1073" w:rsidP="001F1073">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4.9</w:t>
      </w:r>
      <w:r w:rsidR="00D40C34" w:rsidRPr="00EB16B4">
        <w:rPr>
          <w:rFonts w:eastAsiaTheme="minorHAnsi"/>
          <w:b/>
          <w:bCs/>
          <w:color w:val="000000"/>
          <w:szCs w:val="22"/>
          <w:lang w:val="sk-SK"/>
        </w:rPr>
        <w:t xml:space="preserve"> </w:t>
      </w:r>
      <w:r w:rsidRPr="00EB16B4">
        <w:rPr>
          <w:rFonts w:eastAsiaTheme="minorHAnsi"/>
          <w:b/>
          <w:bCs/>
          <w:color w:val="000000"/>
          <w:szCs w:val="22"/>
          <w:lang w:val="sk-SK"/>
        </w:rPr>
        <w:t xml:space="preserve"> </w:t>
      </w:r>
      <w:r w:rsidR="0045706A">
        <w:rPr>
          <w:rFonts w:eastAsiaTheme="minorHAnsi"/>
          <w:b/>
          <w:bCs/>
          <w:color w:val="000000"/>
          <w:szCs w:val="22"/>
          <w:lang w:val="sk-SK"/>
        </w:rPr>
        <w:tab/>
      </w:r>
      <w:r w:rsidRPr="00EB16B4">
        <w:rPr>
          <w:rFonts w:eastAsiaTheme="minorHAnsi"/>
          <w:b/>
          <w:bCs/>
          <w:color w:val="000000"/>
          <w:szCs w:val="22"/>
          <w:lang w:val="sk-SK"/>
        </w:rPr>
        <w:t xml:space="preserve">Predávkovanie </w:t>
      </w:r>
    </w:p>
    <w:p w14:paraId="723D16A3" w14:textId="77777777" w:rsidR="00D40C34" w:rsidRPr="00EB16B4" w:rsidRDefault="00D40C34" w:rsidP="001F1073">
      <w:pPr>
        <w:tabs>
          <w:tab w:val="clear" w:pos="567"/>
        </w:tabs>
        <w:autoSpaceDE w:val="0"/>
        <w:autoSpaceDN w:val="0"/>
        <w:adjustRightInd w:val="0"/>
        <w:spacing w:line="240" w:lineRule="auto"/>
        <w:rPr>
          <w:rFonts w:eastAsiaTheme="minorHAnsi"/>
          <w:color w:val="000000"/>
          <w:szCs w:val="22"/>
          <w:lang w:val="sk-SK"/>
        </w:rPr>
      </w:pPr>
    </w:p>
    <w:p w14:paraId="2C9A5AEF" w14:textId="77777777" w:rsidR="0045706A" w:rsidRDefault="001F1073" w:rsidP="001F1073">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Nie je pravdepodobné, aby došlo k lokálnemu predávkovaniu </w:t>
      </w:r>
      <w:r w:rsidR="000201A8" w:rsidRPr="00EB16B4">
        <w:rPr>
          <w:rFonts w:eastAsiaTheme="minorHAnsi"/>
          <w:color w:val="000000"/>
          <w:szCs w:val="22"/>
          <w:lang w:val="sk-SK"/>
        </w:rPr>
        <w:t xml:space="preserve">liekom </w:t>
      </w:r>
      <w:r w:rsidR="000201A8" w:rsidRPr="00EB16B4">
        <w:rPr>
          <w:lang w:val="sk-SK" w:eastAsia="el-GR"/>
        </w:rPr>
        <w:t xml:space="preserve">Bimatoprost/Timolol </w:t>
      </w:r>
      <w:r w:rsidR="00C415BC">
        <w:rPr>
          <w:lang w:val="sk-SK" w:eastAsia="el-GR"/>
        </w:rPr>
        <w:t>PharmaSwiss.</w:t>
      </w:r>
    </w:p>
    <w:p w14:paraId="389F5612" w14:textId="77777777" w:rsidR="001F1073" w:rsidRPr="00EB16B4" w:rsidRDefault="001F1073" w:rsidP="001F1073">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 </w:t>
      </w:r>
    </w:p>
    <w:p w14:paraId="53B5C2CF" w14:textId="77777777" w:rsidR="001F1073" w:rsidRPr="0045706A" w:rsidRDefault="001F1073" w:rsidP="001F1073">
      <w:pPr>
        <w:tabs>
          <w:tab w:val="clear" w:pos="567"/>
        </w:tabs>
        <w:autoSpaceDE w:val="0"/>
        <w:autoSpaceDN w:val="0"/>
        <w:adjustRightInd w:val="0"/>
        <w:spacing w:line="240" w:lineRule="auto"/>
        <w:rPr>
          <w:rFonts w:eastAsiaTheme="minorHAnsi"/>
          <w:color w:val="000000"/>
          <w:szCs w:val="22"/>
          <w:u w:val="single"/>
          <w:lang w:val="sk-SK"/>
        </w:rPr>
      </w:pPr>
      <w:r w:rsidRPr="0045706A">
        <w:rPr>
          <w:rFonts w:eastAsiaTheme="minorHAnsi"/>
          <w:color w:val="000000"/>
          <w:szCs w:val="22"/>
          <w:u w:val="single"/>
          <w:lang w:val="sk-SK"/>
        </w:rPr>
        <w:t xml:space="preserve">Bimatoprost </w:t>
      </w:r>
    </w:p>
    <w:p w14:paraId="7EFF69F8" w14:textId="77777777" w:rsidR="00E554D5" w:rsidRDefault="001F1073" w:rsidP="001F1073">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Ak sa </w:t>
      </w:r>
      <w:r w:rsidR="002736E0" w:rsidRPr="00EB16B4">
        <w:rPr>
          <w:lang w:val="sk-SK" w:eastAsia="el-GR"/>
        </w:rPr>
        <w:t xml:space="preserve">Bimatoprost/Timolol </w:t>
      </w:r>
      <w:r w:rsidR="002736E0">
        <w:rPr>
          <w:lang w:val="sk-SK" w:eastAsia="el-GR"/>
        </w:rPr>
        <w:t xml:space="preserve">PharmaSwiss </w:t>
      </w:r>
      <w:r w:rsidRPr="00EB16B4">
        <w:rPr>
          <w:rFonts w:eastAsiaTheme="minorHAnsi"/>
          <w:color w:val="000000"/>
          <w:szCs w:val="22"/>
          <w:lang w:val="sk-SK"/>
        </w:rPr>
        <w:t xml:space="preserve">náhodne požije, môžu byť užitočné nasledujúce informácie: počas dvojtýždňových štúdií u potkanov a myší dávky bimatoprostu až do 100 mg/kg/deň nespôsobili žiadnu toxicitu. Táto dávka vyjadrená v mg/m² je najmenej 70-krát vyššia ako množstvo lieku v jednej fľaši </w:t>
      </w:r>
      <w:r w:rsidR="002736E0" w:rsidRPr="00EB16B4">
        <w:rPr>
          <w:lang w:val="sk-SK" w:eastAsia="el-GR"/>
        </w:rPr>
        <w:t xml:space="preserve">Bimatoprost/Timolol </w:t>
      </w:r>
      <w:r w:rsidR="002736E0">
        <w:rPr>
          <w:lang w:val="sk-SK" w:eastAsia="el-GR"/>
        </w:rPr>
        <w:t xml:space="preserve">PharmaSwiss </w:t>
      </w:r>
      <w:r w:rsidRPr="00EB16B4">
        <w:rPr>
          <w:rFonts w:eastAsiaTheme="minorHAnsi"/>
          <w:color w:val="000000"/>
          <w:szCs w:val="22"/>
          <w:lang w:val="sk-SK"/>
        </w:rPr>
        <w:t>pre 10 kg dieťa.</w:t>
      </w:r>
    </w:p>
    <w:p w14:paraId="27914914" w14:textId="77777777" w:rsidR="0045706A" w:rsidRPr="00EB16B4" w:rsidRDefault="0045706A" w:rsidP="001F1073">
      <w:pPr>
        <w:tabs>
          <w:tab w:val="clear" w:pos="567"/>
        </w:tabs>
        <w:autoSpaceDE w:val="0"/>
        <w:autoSpaceDN w:val="0"/>
        <w:adjustRightInd w:val="0"/>
        <w:spacing w:line="240" w:lineRule="auto"/>
        <w:rPr>
          <w:rFonts w:eastAsiaTheme="minorHAnsi"/>
          <w:szCs w:val="22"/>
          <w:lang w:val="sk-SK" w:eastAsia="el-GR"/>
        </w:rPr>
      </w:pPr>
    </w:p>
    <w:p w14:paraId="0BAD5305" w14:textId="77777777" w:rsidR="00B67775" w:rsidRPr="0045706A" w:rsidRDefault="00B67775" w:rsidP="00B67775">
      <w:pPr>
        <w:tabs>
          <w:tab w:val="clear" w:pos="567"/>
        </w:tabs>
        <w:autoSpaceDE w:val="0"/>
        <w:autoSpaceDN w:val="0"/>
        <w:adjustRightInd w:val="0"/>
        <w:spacing w:line="240" w:lineRule="auto"/>
        <w:rPr>
          <w:rFonts w:eastAsiaTheme="minorHAnsi"/>
          <w:color w:val="000000"/>
          <w:szCs w:val="22"/>
          <w:u w:val="single"/>
          <w:lang w:val="sk-SK"/>
        </w:rPr>
      </w:pPr>
      <w:r w:rsidRPr="0045706A">
        <w:rPr>
          <w:rFonts w:eastAsiaTheme="minorHAnsi"/>
          <w:color w:val="000000"/>
          <w:szCs w:val="22"/>
          <w:u w:val="single"/>
          <w:lang w:val="sk-SK"/>
        </w:rPr>
        <w:t xml:space="preserve">Timolol </w:t>
      </w:r>
    </w:p>
    <w:p w14:paraId="135696A0" w14:textId="2CA3FC3E" w:rsidR="00B67775" w:rsidRPr="00EB16B4" w:rsidRDefault="00B67775" w:rsidP="00B67775">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Symptómy systémového predávkovania tim</w:t>
      </w:r>
      <w:r w:rsidR="00A45946">
        <w:rPr>
          <w:rFonts w:eastAsiaTheme="minorHAnsi"/>
          <w:color w:val="000000"/>
          <w:szCs w:val="22"/>
          <w:lang w:val="sk-SK"/>
        </w:rPr>
        <w:t>o</w:t>
      </w:r>
      <w:r w:rsidRPr="00EB16B4">
        <w:rPr>
          <w:rFonts w:eastAsiaTheme="minorHAnsi"/>
          <w:color w:val="000000"/>
          <w:szCs w:val="22"/>
          <w:lang w:val="sk-SK"/>
        </w:rPr>
        <w:t xml:space="preserve">lolom zahŕňajú: bradykardia, hypotenzia, bronchospazmus, bolesť hlavy, závraty, dýchavičnosť a zástava srdca. Štúdia pacientov s renálnym zlyhaním preukázala, že timolol sa rozkladá pomaly. </w:t>
      </w:r>
    </w:p>
    <w:p w14:paraId="7BDD2740" w14:textId="77777777" w:rsidR="005547FD" w:rsidRPr="00EB16B4" w:rsidRDefault="005547FD" w:rsidP="00B67775">
      <w:pPr>
        <w:tabs>
          <w:tab w:val="clear" w:pos="567"/>
        </w:tabs>
        <w:autoSpaceDE w:val="0"/>
        <w:autoSpaceDN w:val="0"/>
        <w:adjustRightInd w:val="0"/>
        <w:spacing w:line="240" w:lineRule="auto"/>
        <w:rPr>
          <w:rFonts w:eastAsiaTheme="minorHAnsi"/>
          <w:color w:val="000000"/>
          <w:szCs w:val="22"/>
          <w:lang w:val="sk-SK"/>
        </w:rPr>
      </w:pPr>
    </w:p>
    <w:p w14:paraId="6E37CC1E" w14:textId="77777777" w:rsidR="00E554D5" w:rsidRPr="00EB16B4" w:rsidRDefault="00B67775" w:rsidP="00B67775">
      <w:pPr>
        <w:rPr>
          <w:rFonts w:eastAsiaTheme="minorHAnsi"/>
          <w:color w:val="000000"/>
          <w:szCs w:val="22"/>
          <w:lang w:val="sk-SK"/>
        </w:rPr>
      </w:pPr>
      <w:r w:rsidRPr="00EB16B4">
        <w:rPr>
          <w:rFonts w:eastAsiaTheme="minorHAnsi"/>
          <w:color w:val="000000"/>
          <w:szCs w:val="22"/>
          <w:lang w:val="sk-SK"/>
        </w:rPr>
        <w:t>V prípade predávkovania musí byť liečba symptomatická a podporná.</w:t>
      </w:r>
    </w:p>
    <w:p w14:paraId="6D9E7D21" w14:textId="77777777" w:rsidR="00B67775" w:rsidRDefault="00B67775" w:rsidP="00B67775">
      <w:pPr>
        <w:rPr>
          <w:lang w:val="sk-SK"/>
        </w:rPr>
      </w:pPr>
    </w:p>
    <w:p w14:paraId="27B56DE6" w14:textId="77777777" w:rsidR="00B00583" w:rsidRPr="00EB16B4" w:rsidRDefault="00B00583" w:rsidP="00B67775">
      <w:pPr>
        <w:rPr>
          <w:lang w:val="sk-SK"/>
        </w:rPr>
      </w:pPr>
    </w:p>
    <w:p w14:paraId="743339EB" w14:textId="77777777" w:rsidR="00710620" w:rsidRPr="00EB16B4" w:rsidRDefault="00710620" w:rsidP="00710620">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5.         </w:t>
      </w:r>
      <w:r w:rsidR="0045706A">
        <w:rPr>
          <w:rFonts w:eastAsiaTheme="minorHAnsi"/>
          <w:b/>
          <w:bCs/>
          <w:color w:val="000000"/>
          <w:szCs w:val="22"/>
          <w:lang w:val="sk-SK"/>
        </w:rPr>
        <w:tab/>
      </w:r>
      <w:r w:rsidRPr="00EB16B4">
        <w:rPr>
          <w:rFonts w:eastAsiaTheme="minorHAnsi"/>
          <w:b/>
          <w:bCs/>
          <w:color w:val="000000"/>
          <w:szCs w:val="22"/>
          <w:lang w:val="sk-SK"/>
        </w:rPr>
        <w:t xml:space="preserve">FARMAKOLOGICKÉ VLASTNOSTI </w:t>
      </w:r>
    </w:p>
    <w:p w14:paraId="6C41F1F7" w14:textId="77777777" w:rsidR="00710620" w:rsidRPr="00EB16B4" w:rsidRDefault="00710620" w:rsidP="00710620">
      <w:pPr>
        <w:tabs>
          <w:tab w:val="clear" w:pos="567"/>
        </w:tabs>
        <w:autoSpaceDE w:val="0"/>
        <w:autoSpaceDN w:val="0"/>
        <w:adjustRightInd w:val="0"/>
        <w:spacing w:line="240" w:lineRule="auto"/>
        <w:rPr>
          <w:rFonts w:eastAsiaTheme="minorHAnsi"/>
          <w:color w:val="000000"/>
          <w:szCs w:val="22"/>
          <w:lang w:val="sk-SK"/>
        </w:rPr>
      </w:pPr>
    </w:p>
    <w:p w14:paraId="38EC8BD7" w14:textId="77777777" w:rsidR="00710620" w:rsidRPr="00EB16B4" w:rsidRDefault="00710620" w:rsidP="00710620">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5.1       </w:t>
      </w:r>
      <w:r w:rsidR="0045706A">
        <w:rPr>
          <w:rFonts w:eastAsiaTheme="minorHAnsi"/>
          <w:b/>
          <w:bCs/>
          <w:color w:val="000000"/>
          <w:szCs w:val="22"/>
          <w:lang w:val="sk-SK"/>
        </w:rPr>
        <w:tab/>
      </w:r>
      <w:r w:rsidRPr="00EB16B4">
        <w:rPr>
          <w:rFonts w:eastAsiaTheme="minorHAnsi"/>
          <w:b/>
          <w:bCs/>
          <w:color w:val="000000"/>
          <w:szCs w:val="22"/>
          <w:lang w:val="sk-SK"/>
        </w:rPr>
        <w:t xml:space="preserve">Farmakodynamické vlastnosti </w:t>
      </w:r>
    </w:p>
    <w:p w14:paraId="65BD7B5D" w14:textId="77777777" w:rsidR="001F6D65" w:rsidRPr="00EB16B4" w:rsidRDefault="001F6D65" w:rsidP="00710620">
      <w:pPr>
        <w:tabs>
          <w:tab w:val="clear" w:pos="567"/>
        </w:tabs>
        <w:autoSpaceDE w:val="0"/>
        <w:autoSpaceDN w:val="0"/>
        <w:adjustRightInd w:val="0"/>
        <w:spacing w:line="240" w:lineRule="auto"/>
        <w:rPr>
          <w:rFonts w:eastAsiaTheme="minorHAnsi"/>
          <w:color w:val="000000"/>
          <w:szCs w:val="22"/>
          <w:lang w:val="sk-SK"/>
        </w:rPr>
      </w:pPr>
    </w:p>
    <w:p w14:paraId="31328AD5" w14:textId="5AE37A96" w:rsidR="001B0AAA" w:rsidRDefault="00710620" w:rsidP="00710620">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Farmakoterapeutická skupina: </w:t>
      </w:r>
      <w:r w:rsidR="00A45946">
        <w:rPr>
          <w:rFonts w:eastAsiaTheme="minorHAnsi"/>
          <w:color w:val="000000"/>
          <w:szCs w:val="22"/>
          <w:lang w:val="sk-SK"/>
        </w:rPr>
        <w:t>Oftalmologiká</w:t>
      </w:r>
      <w:r w:rsidR="001B0AAA">
        <w:rPr>
          <w:rFonts w:eastAsiaTheme="minorHAnsi"/>
          <w:color w:val="000000"/>
          <w:szCs w:val="22"/>
          <w:lang w:val="sk-SK"/>
        </w:rPr>
        <w:t xml:space="preserve">, </w:t>
      </w:r>
      <w:r w:rsidRPr="00EB16B4">
        <w:rPr>
          <w:rFonts w:eastAsiaTheme="minorHAnsi"/>
          <w:color w:val="000000"/>
          <w:szCs w:val="22"/>
          <w:lang w:val="sk-SK"/>
        </w:rPr>
        <w:t>betablokátory</w:t>
      </w:r>
      <w:r w:rsidR="001B0AAA">
        <w:rPr>
          <w:rFonts w:eastAsiaTheme="minorHAnsi"/>
          <w:color w:val="000000"/>
          <w:szCs w:val="22"/>
          <w:lang w:val="sk-SK"/>
        </w:rPr>
        <w:t>.</w:t>
      </w:r>
    </w:p>
    <w:p w14:paraId="7B04E45E" w14:textId="77777777" w:rsidR="00E554D5" w:rsidRPr="00EB16B4" w:rsidRDefault="00710620" w:rsidP="00710620">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ATC kód: S01ED51</w:t>
      </w:r>
    </w:p>
    <w:p w14:paraId="05B9E5EF" w14:textId="77777777" w:rsidR="001F6D65" w:rsidRPr="00EB16B4" w:rsidRDefault="001F6D65" w:rsidP="00710620">
      <w:pPr>
        <w:tabs>
          <w:tab w:val="clear" w:pos="567"/>
        </w:tabs>
        <w:autoSpaceDE w:val="0"/>
        <w:autoSpaceDN w:val="0"/>
        <w:adjustRightInd w:val="0"/>
        <w:spacing w:line="240" w:lineRule="auto"/>
        <w:rPr>
          <w:rFonts w:eastAsiaTheme="minorHAnsi"/>
          <w:szCs w:val="22"/>
          <w:lang w:val="sk-SK" w:eastAsia="el-GR"/>
        </w:rPr>
      </w:pPr>
    </w:p>
    <w:p w14:paraId="47B6B7FF" w14:textId="77777777" w:rsidR="004C3B5A" w:rsidRPr="00EB16B4" w:rsidRDefault="008A0D73" w:rsidP="008A0D73">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Mechanizmus účinku </w:t>
      </w:r>
    </w:p>
    <w:p w14:paraId="47BD97FD" w14:textId="0B6401EA" w:rsidR="0045706A" w:rsidRDefault="004C3B5A" w:rsidP="008A0D73">
      <w:pPr>
        <w:tabs>
          <w:tab w:val="clear" w:pos="567"/>
        </w:tabs>
        <w:autoSpaceDE w:val="0"/>
        <w:autoSpaceDN w:val="0"/>
        <w:adjustRightInd w:val="0"/>
        <w:spacing w:line="240" w:lineRule="auto"/>
        <w:rPr>
          <w:rFonts w:eastAsiaTheme="minorHAnsi"/>
          <w:color w:val="000000"/>
          <w:szCs w:val="22"/>
          <w:lang w:val="sk-SK"/>
        </w:rPr>
      </w:pPr>
      <w:r w:rsidRPr="00EB16B4">
        <w:rPr>
          <w:lang w:val="sk-SK" w:eastAsia="el-GR"/>
        </w:rPr>
        <w:t xml:space="preserve">Bimatoprost/Timolol </w:t>
      </w:r>
      <w:r w:rsidR="005959AB">
        <w:rPr>
          <w:lang w:val="sk-SK" w:eastAsia="el-GR"/>
        </w:rPr>
        <w:t>PharmaSwiss</w:t>
      </w:r>
      <w:r w:rsidR="008A0D73" w:rsidRPr="00EB16B4">
        <w:rPr>
          <w:rFonts w:eastAsiaTheme="minorHAnsi"/>
          <w:color w:val="000000"/>
          <w:szCs w:val="22"/>
          <w:lang w:val="sk-SK"/>
        </w:rPr>
        <w:t xml:space="preserve"> obsahuje dve </w:t>
      </w:r>
      <w:r w:rsidR="00A45946">
        <w:rPr>
          <w:rFonts w:eastAsiaTheme="minorHAnsi"/>
          <w:color w:val="000000"/>
          <w:szCs w:val="22"/>
          <w:lang w:val="sk-SK"/>
        </w:rPr>
        <w:t>liečivá</w:t>
      </w:r>
      <w:r w:rsidR="008A0D73" w:rsidRPr="00EB16B4">
        <w:rPr>
          <w:rFonts w:eastAsiaTheme="minorHAnsi"/>
          <w:color w:val="000000"/>
          <w:szCs w:val="22"/>
          <w:lang w:val="sk-SK"/>
        </w:rPr>
        <w:t xml:space="preserve">: bimatoprost a timolol. Tieto dve zložky redukujú zvýšený vnútroočný tlak (VOT) doplnkovým mechanizmom účinku a tieto kombinované účinky vedú k ďalšej redukcii VOT v porovnaní s individuálnym podávaním jednej z týchto zložiek. </w:t>
      </w:r>
    </w:p>
    <w:p w14:paraId="4F7CA365" w14:textId="77777777" w:rsidR="00E554D5" w:rsidRPr="00EB16B4" w:rsidRDefault="005959AB" w:rsidP="008A0D73">
      <w:pPr>
        <w:tabs>
          <w:tab w:val="clear" w:pos="567"/>
        </w:tabs>
        <w:autoSpaceDE w:val="0"/>
        <w:autoSpaceDN w:val="0"/>
        <w:adjustRightInd w:val="0"/>
        <w:spacing w:line="240" w:lineRule="auto"/>
        <w:rPr>
          <w:rFonts w:eastAsiaTheme="minorHAnsi"/>
          <w:color w:val="000000"/>
          <w:szCs w:val="22"/>
          <w:lang w:val="sk-SK"/>
        </w:rPr>
      </w:pPr>
      <w:r w:rsidRPr="00EB16B4">
        <w:rPr>
          <w:lang w:val="sk-SK" w:eastAsia="el-GR"/>
        </w:rPr>
        <w:t xml:space="preserve">Bimatoprost/Timolol </w:t>
      </w:r>
      <w:r>
        <w:rPr>
          <w:lang w:val="sk-SK" w:eastAsia="el-GR"/>
        </w:rPr>
        <w:t>PharmaSwiss</w:t>
      </w:r>
      <w:r w:rsidRPr="00EB16B4">
        <w:rPr>
          <w:rFonts w:eastAsiaTheme="minorHAnsi"/>
          <w:color w:val="000000"/>
          <w:szCs w:val="22"/>
          <w:lang w:val="sk-SK"/>
        </w:rPr>
        <w:t xml:space="preserve"> </w:t>
      </w:r>
      <w:r w:rsidR="008A0D73" w:rsidRPr="00EB16B4">
        <w:rPr>
          <w:rFonts w:eastAsiaTheme="minorHAnsi"/>
          <w:color w:val="000000"/>
          <w:szCs w:val="22"/>
          <w:lang w:val="sk-SK"/>
        </w:rPr>
        <w:t>začína pôsobiť veľmi rýchlo.</w:t>
      </w:r>
    </w:p>
    <w:p w14:paraId="7B953566" w14:textId="77777777" w:rsidR="008A0D73" w:rsidRPr="00EB16B4" w:rsidRDefault="008A0D73" w:rsidP="008A0D73">
      <w:pPr>
        <w:tabs>
          <w:tab w:val="clear" w:pos="567"/>
        </w:tabs>
        <w:autoSpaceDE w:val="0"/>
        <w:autoSpaceDN w:val="0"/>
        <w:adjustRightInd w:val="0"/>
        <w:spacing w:line="240" w:lineRule="auto"/>
        <w:rPr>
          <w:rFonts w:eastAsiaTheme="minorHAnsi"/>
          <w:szCs w:val="22"/>
          <w:lang w:val="sk-SK" w:eastAsia="el-GR"/>
        </w:rPr>
      </w:pPr>
    </w:p>
    <w:p w14:paraId="262E96D9" w14:textId="77777777" w:rsidR="00180BD6" w:rsidRPr="00EB16B4" w:rsidRDefault="002B5EE7" w:rsidP="00E554D5">
      <w:pPr>
        <w:tabs>
          <w:tab w:val="clear" w:pos="567"/>
        </w:tabs>
        <w:spacing w:line="240" w:lineRule="auto"/>
        <w:rPr>
          <w:szCs w:val="22"/>
          <w:lang w:val="sk-SK"/>
        </w:rPr>
      </w:pPr>
      <w:r w:rsidRPr="00EB16B4">
        <w:rPr>
          <w:szCs w:val="22"/>
          <w:lang w:val="sk-SK"/>
        </w:rPr>
        <w:t xml:space="preserve">Bimatoprost je silné liečivo znižujúce očný tlak. Je to syntetický prostamid, štrukturálne blízky prostaglandínu </w:t>
      </w:r>
      <w:r w:rsidRPr="0045706A">
        <w:rPr>
          <w:szCs w:val="22"/>
          <w:lang w:val="sk-SK"/>
        </w:rPr>
        <w:t>F</w:t>
      </w:r>
      <w:r w:rsidRPr="0045706A">
        <w:rPr>
          <w:szCs w:val="22"/>
          <w:vertAlign w:val="subscript"/>
          <w:lang w:val="sk-SK"/>
        </w:rPr>
        <w:t>2α</w:t>
      </w:r>
      <w:r w:rsidRPr="0045706A">
        <w:rPr>
          <w:szCs w:val="22"/>
          <w:lang w:val="sk-SK"/>
        </w:rPr>
        <w:t xml:space="preserve"> (PGF</w:t>
      </w:r>
      <w:r w:rsidRPr="0045706A">
        <w:rPr>
          <w:szCs w:val="22"/>
          <w:vertAlign w:val="subscript"/>
          <w:lang w:val="sk-SK"/>
        </w:rPr>
        <w:t>2α</w:t>
      </w:r>
      <w:r w:rsidRPr="00EB16B4">
        <w:rPr>
          <w:szCs w:val="22"/>
          <w:lang w:val="sk-SK"/>
        </w:rPr>
        <w:t xml:space="preserve">), ktorý neúčinkuje cestou žiadnych známych prostaglandínových receptorov. </w:t>
      </w:r>
    </w:p>
    <w:p w14:paraId="645DC1FF" w14:textId="77777777" w:rsidR="00E554D5" w:rsidRDefault="002B5EE7" w:rsidP="00E554D5">
      <w:pPr>
        <w:tabs>
          <w:tab w:val="clear" w:pos="567"/>
        </w:tabs>
        <w:spacing w:line="240" w:lineRule="auto"/>
        <w:rPr>
          <w:szCs w:val="22"/>
          <w:lang w:val="sk-SK"/>
        </w:rPr>
      </w:pPr>
      <w:r w:rsidRPr="00EB16B4">
        <w:rPr>
          <w:szCs w:val="22"/>
          <w:lang w:val="sk-SK"/>
        </w:rPr>
        <w:t>Bimatoprost selektívne napodobňuje účinok novoobjavených biosyntetizovaných substancií nazývaných prostamidy. Avšak prostamidové receptory neboli ešte doteraz štrukturálne identifikované. Mechanizmom účinku, ktorým bimatoprost redukuje vnútroočný tlak u človeka, je zvýšený odtok vnútroočnej tekutiny trabekulárnou trámčinou a zvýšený odtok uveosklerálnou cestou.</w:t>
      </w:r>
    </w:p>
    <w:p w14:paraId="7BE83231" w14:textId="77777777" w:rsidR="0045706A" w:rsidRPr="00EB16B4" w:rsidRDefault="0045706A" w:rsidP="00E554D5">
      <w:pPr>
        <w:tabs>
          <w:tab w:val="clear" w:pos="567"/>
        </w:tabs>
        <w:spacing w:line="240" w:lineRule="auto"/>
        <w:rPr>
          <w:rFonts w:eastAsiaTheme="minorHAnsi"/>
          <w:szCs w:val="22"/>
          <w:lang w:val="sk-SK"/>
        </w:rPr>
      </w:pPr>
    </w:p>
    <w:p w14:paraId="15DA8AD9" w14:textId="77777777" w:rsidR="00D77E5F" w:rsidRPr="00EB16B4" w:rsidRDefault="00D77E5F" w:rsidP="00E554D5">
      <w:pPr>
        <w:tabs>
          <w:tab w:val="clear" w:pos="567"/>
        </w:tabs>
        <w:autoSpaceDE w:val="0"/>
        <w:autoSpaceDN w:val="0"/>
        <w:adjustRightInd w:val="0"/>
        <w:spacing w:line="240" w:lineRule="auto"/>
        <w:rPr>
          <w:szCs w:val="22"/>
          <w:lang w:val="sk-SK"/>
        </w:rPr>
      </w:pPr>
      <w:r w:rsidRPr="00EB16B4">
        <w:rPr>
          <w:szCs w:val="22"/>
          <w:lang w:val="sk-SK"/>
        </w:rPr>
        <w:t xml:space="preserve">Timolol je </w:t>
      </w:r>
      <w:r w:rsidRPr="0045706A">
        <w:rPr>
          <w:szCs w:val="22"/>
          <w:lang w:val="sk-SK"/>
        </w:rPr>
        <w:t>beta</w:t>
      </w:r>
      <w:r w:rsidRPr="0045706A">
        <w:rPr>
          <w:szCs w:val="22"/>
          <w:vertAlign w:val="subscript"/>
          <w:lang w:val="sk-SK"/>
        </w:rPr>
        <w:t xml:space="preserve">1 </w:t>
      </w:r>
      <w:r w:rsidRPr="0045706A">
        <w:rPr>
          <w:szCs w:val="22"/>
          <w:lang w:val="sk-SK"/>
        </w:rPr>
        <w:t>a beta</w:t>
      </w:r>
      <w:r w:rsidRPr="0045706A">
        <w:rPr>
          <w:szCs w:val="22"/>
          <w:vertAlign w:val="subscript"/>
          <w:lang w:val="sk-SK"/>
        </w:rPr>
        <w:t>2</w:t>
      </w:r>
      <w:r w:rsidRPr="0045706A">
        <w:rPr>
          <w:szCs w:val="22"/>
          <w:lang w:val="sk-SK"/>
        </w:rPr>
        <w:t xml:space="preserve"> ne</w:t>
      </w:r>
      <w:r w:rsidRPr="00EB16B4">
        <w:rPr>
          <w:szCs w:val="22"/>
          <w:lang w:val="sk-SK"/>
        </w:rPr>
        <w:t xml:space="preserve">selektívny blokátor adrenergných receptorov, ktorý neprejavuje významnú vlastnú sympatomimetickú, priamu myokardiálne-depresantnú alebo lokálne anestetickú (stabilizačnú pre membrány) činnosť. Timolol znižuje VOT redukciou tvorby vnútroočnej tekutiny. Presný mechanizmus účinku nie je jasne stanovený, ale pravdepodobné je potlačenie zvýšenej syntézy cyklickej AMP spôsobené endogénnou betaadrenergnou stimuláciou. </w:t>
      </w:r>
    </w:p>
    <w:p w14:paraId="7C0D62D9" w14:textId="77777777" w:rsidR="00E51964" w:rsidRPr="00EB16B4" w:rsidRDefault="00E51964" w:rsidP="00E554D5">
      <w:pPr>
        <w:tabs>
          <w:tab w:val="clear" w:pos="567"/>
        </w:tabs>
        <w:autoSpaceDE w:val="0"/>
        <w:autoSpaceDN w:val="0"/>
        <w:adjustRightInd w:val="0"/>
        <w:spacing w:line="240" w:lineRule="auto"/>
        <w:rPr>
          <w:szCs w:val="22"/>
          <w:lang w:val="sk-SK"/>
        </w:rPr>
      </w:pPr>
    </w:p>
    <w:p w14:paraId="28960BA1" w14:textId="77777777" w:rsidR="005A254C" w:rsidRPr="00EB16B4" w:rsidRDefault="005A254C" w:rsidP="005A254C">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Klinická účinnosť a bezpečnosť </w:t>
      </w:r>
    </w:p>
    <w:p w14:paraId="1F48EF70" w14:textId="77777777" w:rsidR="005A254C" w:rsidRDefault="005A254C" w:rsidP="005A254C">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12-týždňová (dvojito maskovaná randomizovaná) klinická štúdia (v paralelných skupinách) porovnávala účinnosť a bezpečnosť </w:t>
      </w:r>
      <w:r w:rsidR="00467983">
        <w:rPr>
          <w:rFonts w:eastAsiaTheme="minorHAnsi"/>
          <w:color w:val="000000"/>
          <w:szCs w:val="22"/>
          <w:lang w:val="sk-SK"/>
        </w:rPr>
        <w:t xml:space="preserve">očnej roztokovej instilácie </w:t>
      </w:r>
      <w:r w:rsidR="00467983">
        <w:rPr>
          <w:lang w:val="sk-SK" w:eastAsia="el-GR"/>
        </w:rPr>
        <w:t>b</w:t>
      </w:r>
      <w:r w:rsidR="00B1173F" w:rsidRPr="00EB16B4">
        <w:rPr>
          <w:lang w:val="sk-SK" w:eastAsia="el-GR"/>
        </w:rPr>
        <w:t>matoprost/</w:t>
      </w:r>
      <w:r w:rsidR="00467983">
        <w:rPr>
          <w:lang w:val="sk-SK" w:eastAsia="el-GR"/>
        </w:rPr>
        <w:t>t</w:t>
      </w:r>
      <w:r w:rsidR="00B1173F" w:rsidRPr="00EB16B4">
        <w:rPr>
          <w:lang w:val="sk-SK" w:eastAsia="el-GR"/>
        </w:rPr>
        <w:t>imolol 0</w:t>
      </w:r>
      <w:r w:rsidR="00467983">
        <w:rPr>
          <w:lang w:val="sk-SK" w:eastAsia="el-GR"/>
        </w:rPr>
        <w:t>,</w:t>
      </w:r>
      <w:r w:rsidR="00B1173F" w:rsidRPr="00EB16B4">
        <w:rPr>
          <w:lang w:val="sk-SK" w:eastAsia="el-GR"/>
        </w:rPr>
        <w:t>3 mg/m</w:t>
      </w:r>
      <w:r w:rsidR="00467983">
        <w:rPr>
          <w:lang w:val="sk-SK" w:eastAsia="el-GR"/>
        </w:rPr>
        <w:t>l</w:t>
      </w:r>
      <w:r w:rsidR="00B1173F" w:rsidRPr="00EB16B4">
        <w:rPr>
          <w:lang w:val="sk-SK" w:eastAsia="el-GR"/>
        </w:rPr>
        <w:t xml:space="preserve"> + 5 mg/m</w:t>
      </w:r>
      <w:r w:rsidR="00467983">
        <w:rPr>
          <w:lang w:val="sk-SK" w:eastAsia="el-GR"/>
        </w:rPr>
        <w:t>l</w:t>
      </w:r>
      <w:r w:rsidR="00B1173F" w:rsidRPr="00EB16B4">
        <w:rPr>
          <w:lang w:val="sk-SK" w:eastAsia="el-GR"/>
        </w:rPr>
        <w:t xml:space="preserve"> </w:t>
      </w:r>
      <w:r w:rsidR="00467983">
        <w:rPr>
          <w:rFonts w:eastAsiaTheme="minorHAnsi"/>
          <w:color w:val="000000"/>
          <w:szCs w:val="22"/>
          <w:lang w:val="sk-SK"/>
        </w:rPr>
        <w:t>bez obsahu/s obsahom konzervačných látok</w:t>
      </w:r>
      <w:r w:rsidR="00467983" w:rsidRPr="00EB16B4">
        <w:rPr>
          <w:rFonts w:eastAsiaTheme="minorHAnsi"/>
          <w:color w:val="000000"/>
          <w:szCs w:val="22"/>
          <w:lang w:val="sk-SK"/>
        </w:rPr>
        <w:t xml:space="preserve"> </w:t>
      </w:r>
      <w:r w:rsidRPr="00EB16B4">
        <w:rPr>
          <w:rFonts w:eastAsiaTheme="minorHAnsi"/>
          <w:color w:val="000000"/>
          <w:szCs w:val="22"/>
          <w:lang w:val="sk-SK"/>
        </w:rPr>
        <w:t xml:space="preserve">u pacientov s glaukómom alebo vnútroočnou hypertenziou. </w:t>
      </w:r>
      <w:r w:rsidR="00B9439E" w:rsidRPr="00EB16B4">
        <w:rPr>
          <w:lang w:val="sk-SK" w:eastAsia="el-GR"/>
        </w:rPr>
        <w:t>Bimatoprost/</w:t>
      </w:r>
      <w:r w:rsidR="00467983">
        <w:rPr>
          <w:lang w:val="sk-SK" w:eastAsia="el-GR"/>
        </w:rPr>
        <w:t>t</w:t>
      </w:r>
      <w:r w:rsidR="00B9439E" w:rsidRPr="00EB16B4">
        <w:rPr>
          <w:lang w:val="sk-SK" w:eastAsia="el-GR"/>
        </w:rPr>
        <w:t>imolol 0</w:t>
      </w:r>
      <w:r w:rsidR="00467983">
        <w:rPr>
          <w:lang w:val="sk-SK" w:eastAsia="el-GR"/>
        </w:rPr>
        <w:t>,</w:t>
      </w:r>
      <w:r w:rsidR="00B9439E" w:rsidRPr="00EB16B4">
        <w:rPr>
          <w:lang w:val="sk-SK" w:eastAsia="el-GR"/>
        </w:rPr>
        <w:t>3 mg/m</w:t>
      </w:r>
      <w:r w:rsidR="00467983">
        <w:rPr>
          <w:lang w:val="sk-SK" w:eastAsia="el-GR"/>
        </w:rPr>
        <w:t>l</w:t>
      </w:r>
      <w:r w:rsidR="00B9439E" w:rsidRPr="00EB16B4">
        <w:rPr>
          <w:lang w:val="sk-SK" w:eastAsia="el-GR"/>
        </w:rPr>
        <w:t xml:space="preserve"> + 5 mg/m</w:t>
      </w:r>
      <w:r w:rsidR="00467983">
        <w:rPr>
          <w:lang w:val="sk-SK" w:eastAsia="el-GR"/>
        </w:rPr>
        <w:t xml:space="preserve">l </w:t>
      </w:r>
      <w:r w:rsidR="00B9439E" w:rsidRPr="00EB16B4">
        <w:rPr>
          <w:rFonts w:eastAsiaTheme="minorHAnsi"/>
          <w:color w:val="000000"/>
          <w:szCs w:val="22"/>
          <w:lang w:val="sk-SK"/>
        </w:rPr>
        <w:t>očná roztoková instilácia bez konzervačných látok</w:t>
      </w:r>
      <w:r w:rsidRPr="00EB16B4">
        <w:rPr>
          <w:rFonts w:eastAsiaTheme="minorHAnsi"/>
          <w:color w:val="000000"/>
          <w:szCs w:val="22"/>
          <w:lang w:val="sk-SK"/>
        </w:rPr>
        <w:t xml:space="preserve"> </w:t>
      </w:r>
      <w:r w:rsidR="00467983">
        <w:rPr>
          <w:rFonts w:eastAsiaTheme="minorHAnsi"/>
          <w:color w:val="000000"/>
          <w:szCs w:val="22"/>
          <w:lang w:val="sk-SK"/>
        </w:rPr>
        <w:t>ne</w:t>
      </w:r>
      <w:r w:rsidRPr="00EB16B4">
        <w:rPr>
          <w:rFonts w:eastAsiaTheme="minorHAnsi"/>
          <w:color w:val="000000"/>
          <w:szCs w:val="22"/>
          <w:lang w:val="sk-SK"/>
        </w:rPr>
        <w:t>dosiahol horšiu účinnosť pri znižovaní VOT ako</w:t>
      </w:r>
      <w:r w:rsidR="00467983">
        <w:rPr>
          <w:rFonts w:eastAsiaTheme="minorHAnsi"/>
          <w:color w:val="000000"/>
          <w:szCs w:val="22"/>
          <w:lang w:val="sk-SK"/>
        </w:rPr>
        <w:t xml:space="preserve"> </w:t>
      </w:r>
      <w:r w:rsidRPr="00EB16B4">
        <w:rPr>
          <w:rFonts w:eastAsiaTheme="minorHAnsi"/>
          <w:color w:val="000000"/>
          <w:szCs w:val="22"/>
          <w:lang w:val="sk-SK"/>
        </w:rPr>
        <w:t xml:space="preserve"> </w:t>
      </w:r>
      <w:r w:rsidR="00467983">
        <w:rPr>
          <w:rFonts w:eastAsiaTheme="minorHAnsi"/>
          <w:color w:val="000000"/>
          <w:szCs w:val="22"/>
          <w:lang w:val="sk-SK"/>
        </w:rPr>
        <w:t>b</w:t>
      </w:r>
      <w:r w:rsidR="0065054C" w:rsidRPr="00EB16B4">
        <w:rPr>
          <w:lang w:val="sk-SK" w:eastAsia="el-GR"/>
        </w:rPr>
        <w:t>imatoprost/</w:t>
      </w:r>
      <w:r w:rsidR="00467983">
        <w:rPr>
          <w:lang w:val="sk-SK" w:eastAsia="el-GR"/>
        </w:rPr>
        <w:t>t</w:t>
      </w:r>
      <w:r w:rsidR="0065054C" w:rsidRPr="00EB16B4">
        <w:rPr>
          <w:lang w:val="sk-SK" w:eastAsia="el-GR"/>
        </w:rPr>
        <w:t>imolol 0</w:t>
      </w:r>
      <w:r w:rsidR="00467983">
        <w:rPr>
          <w:lang w:val="sk-SK" w:eastAsia="el-GR"/>
        </w:rPr>
        <w:t>,</w:t>
      </w:r>
      <w:r w:rsidR="0065054C" w:rsidRPr="00EB16B4">
        <w:rPr>
          <w:lang w:val="sk-SK" w:eastAsia="el-GR"/>
        </w:rPr>
        <w:t>3 mg/m</w:t>
      </w:r>
      <w:r w:rsidR="00467983">
        <w:rPr>
          <w:lang w:val="sk-SK" w:eastAsia="el-GR"/>
        </w:rPr>
        <w:t>l</w:t>
      </w:r>
      <w:r w:rsidR="0065054C" w:rsidRPr="00EB16B4">
        <w:rPr>
          <w:lang w:val="sk-SK" w:eastAsia="el-GR"/>
        </w:rPr>
        <w:t xml:space="preserve"> + 5 mg/m</w:t>
      </w:r>
      <w:r w:rsidR="00467983">
        <w:rPr>
          <w:lang w:val="sk-SK" w:eastAsia="el-GR"/>
        </w:rPr>
        <w:t>l</w:t>
      </w:r>
      <w:r w:rsidR="0065054C" w:rsidRPr="00EB16B4">
        <w:rPr>
          <w:lang w:val="sk-SK" w:eastAsia="el-GR"/>
        </w:rPr>
        <w:t xml:space="preserve"> </w:t>
      </w:r>
      <w:r w:rsidR="0065054C" w:rsidRPr="00EB16B4">
        <w:rPr>
          <w:rFonts w:eastAsiaTheme="minorHAnsi"/>
          <w:color w:val="000000"/>
          <w:szCs w:val="22"/>
          <w:lang w:val="sk-SK"/>
        </w:rPr>
        <w:t>očná roztoková instilácia s konzervačnými látkami</w:t>
      </w:r>
      <w:r w:rsidRPr="00EB16B4">
        <w:rPr>
          <w:rFonts w:eastAsiaTheme="minorHAnsi"/>
          <w:color w:val="000000"/>
          <w:szCs w:val="22"/>
          <w:lang w:val="sk-SK"/>
        </w:rPr>
        <w:t xml:space="preserve">: horný limit 95 % IS pre rozdiel medzi liečbami bol v rámci vopred definovaného prahu 1,5 mmHg v každom hodnotenom časovom okamihu (0., 2. a 8. hodina) v 12. týždni (v prípade primárnych analýz) a tiež v 2. a 6. týždni v prípade priemernej zmeny VOT u slabšieho oka od východiskovej fázy (VOT slabšieho oka označuje oko s vyššou priemernou hodnotou VOT vo východiskovej fáze). V skutočnosti horný limit 95 % IS neprekročil hodnotu 0,14 mmHg v 12. týždni. </w:t>
      </w:r>
    </w:p>
    <w:p w14:paraId="4C166E42" w14:textId="77777777" w:rsidR="0045706A" w:rsidRPr="00EB16B4" w:rsidRDefault="0045706A" w:rsidP="005A254C">
      <w:pPr>
        <w:tabs>
          <w:tab w:val="clear" w:pos="567"/>
        </w:tabs>
        <w:autoSpaceDE w:val="0"/>
        <w:autoSpaceDN w:val="0"/>
        <w:adjustRightInd w:val="0"/>
        <w:spacing w:line="240" w:lineRule="auto"/>
        <w:rPr>
          <w:rFonts w:eastAsiaTheme="minorHAnsi"/>
          <w:color w:val="000000"/>
          <w:szCs w:val="22"/>
          <w:lang w:val="sk-SK"/>
        </w:rPr>
      </w:pPr>
    </w:p>
    <w:p w14:paraId="1390BA43" w14:textId="77777777" w:rsidR="005A254C" w:rsidRPr="00EB16B4" w:rsidRDefault="005A254C" w:rsidP="005A254C">
      <w:pPr>
        <w:tabs>
          <w:tab w:val="clear" w:pos="567"/>
        </w:tabs>
        <w:autoSpaceDE w:val="0"/>
        <w:autoSpaceDN w:val="0"/>
        <w:adjustRightInd w:val="0"/>
        <w:spacing w:line="240" w:lineRule="auto"/>
        <w:rPr>
          <w:szCs w:val="22"/>
          <w:lang w:val="sk-SK"/>
        </w:rPr>
      </w:pPr>
      <w:r w:rsidRPr="00EB16B4">
        <w:rPr>
          <w:rFonts w:eastAsiaTheme="minorHAnsi"/>
          <w:color w:val="000000"/>
          <w:szCs w:val="22"/>
          <w:lang w:val="sk-SK"/>
        </w:rPr>
        <w:t>Obidve liečebné skupiny preukázali štatisticky a klinicky významný priemerný pokles oproti východiskovej fáze v prípade VOT slabšieho oka vo všetkých časových okamihoch následného sledovania počas štúdie (p &lt; 0,001). Priemerné zmeny v porovnaní s východiskovou hodnotou VOT slabšieho oka kolísali od –9,16 do –7,98 mmHg v prípade skupiny, ktorej bol podávaný</w:t>
      </w:r>
      <w:r w:rsidR="00DF140E" w:rsidRPr="00EB16B4">
        <w:rPr>
          <w:lang w:val="sk-SK" w:eastAsia="el-GR"/>
        </w:rPr>
        <w:t xml:space="preserve"> </w:t>
      </w:r>
      <w:r w:rsidR="00DB06E9">
        <w:rPr>
          <w:lang w:val="sk-SK" w:eastAsia="el-GR"/>
        </w:rPr>
        <w:t>b</w:t>
      </w:r>
      <w:r w:rsidR="00DF140E" w:rsidRPr="00EB16B4">
        <w:rPr>
          <w:lang w:val="sk-SK" w:eastAsia="el-GR"/>
        </w:rPr>
        <w:t>imatoprost/</w:t>
      </w:r>
      <w:r w:rsidR="00DB06E9">
        <w:rPr>
          <w:lang w:val="sk-SK" w:eastAsia="el-GR"/>
        </w:rPr>
        <w:t>t</w:t>
      </w:r>
      <w:r w:rsidR="00DF140E" w:rsidRPr="00EB16B4">
        <w:rPr>
          <w:lang w:val="sk-SK" w:eastAsia="el-GR"/>
        </w:rPr>
        <w:t>imolol 0</w:t>
      </w:r>
      <w:r w:rsidR="00DB06E9">
        <w:rPr>
          <w:lang w:val="sk-SK" w:eastAsia="el-GR"/>
        </w:rPr>
        <w:t>,</w:t>
      </w:r>
      <w:r w:rsidR="00DF140E" w:rsidRPr="00EB16B4">
        <w:rPr>
          <w:lang w:val="sk-SK" w:eastAsia="el-GR"/>
        </w:rPr>
        <w:t>3 mg/m</w:t>
      </w:r>
      <w:r w:rsidR="00DB06E9">
        <w:rPr>
          <w:lang w:val="sk-SK" w:eastAsia="el-GR"/>
        </w:rPr>
        <w:t>l</w:t>
      </w:r>
      <w:r w:rsidR="00DF140E" w:rsidRPr="00EB16B4">
        <w:rPr>
          <w:lang w:val="sk-SK" w:eastAsia="el-GR"/>
        </w:rPr>
        <w:t xml:space="preserve"> + 5 mg/m</w:t>
      </w:r>
      <w:r w:rsidR="00DB06E9">
        <w:rPr>
          <w:lang w:val="sk-SK" w:eastAsia="el-GR"/>
        </w:rPr>
        <w:t>l</w:t>
      </w:r>
      <w:r w:rsidR="00DF140E" w:rsidRPr="00EB16B4">
        <w:rPr>
          <w:lang w:val="sk-SK" w:eastAsia="el-GR"/>
        </w:rPr>
        <w:t xml:space="preserve"> </w:t>
      </w:r>
      <w:r w:rsidR="00DF140E" w:rsidRPr="00EB16B4">
        <w:rPr>
          <w:rFonts w:eastAsiaTheme="minorHAnsi"/>
          <w:color w:val="000000"/>
          <w:szCs w:val="22"/>
          <w:lang w:val="sk-SK"/>
        </w:rPr>
        <w:t>očná roztoková instilácia bez konzervačných látok</w:t>
      </w:r>
      <w:r w:rsidRPr="00EB16B4">
        <w:rPr>
          <w:rFonts w:eastAsiaTheme="minorHAnsi"/>
          <w:color w:val="000000"/>
          <w:szCs w:val="22"/>
          <w:lang w:val="sk-SK"/>
        </w:rPr>
        <w:t xml:space="preserve">, a od –9,03 do –7,72 mmHg v prípade skupiny, ktorej bol podávaný </w:t>
      </w:r>
      <w:r w:rsidR="00DB06E9">
        <w:rPr>
          <w:rFonts w:eastAsiaTheme="minorHAnsi"/>
          <w:color w:val="000000"/>
          <w:szCs w:val="22"/>
          <w:lang w:val="sk-SK"/>
        </w:rPr>
        <w:t>b</w:t>
      </w:r>
      <w:r w:rsidR="004C39C6" w:rsidRPr="00EB16B4">
        <w:rPr>
          <w:lang w:val="sk-SK" w:eastAsia="el-GR"/>
        </w:rPr>
        <w:t>imatoprost/</w:t>
      </w:r>
      <w:r w:rsidR="00DB06E9">
        <w:rPr>
          <w:lang w:val="sk-SK" w:eastAsia="el-GR"/>
        </w:rPr>
        <w:t>t</w:t>
      </w:r>
      <w:r w:rsidR="004C39C6" w:rsidRPr="00EB16B4">
        <w:rPr>
          <w:lang w:val="sk-SK" w:eastAsia="el-GR"/>
        </w:rPr>
        <w:t>imolol 0</w:t>
      </w:r>
      <w:r w:rsidR="00DB06E9">
        <w:rPr>
          <w:lang w:val="sk-SK" w:eastAsia="el-GR"/>
        </w:rPr>
        <w:t>,</w:t>
      </w:r>
      <w:r w:rsidR="004C39C6" w:rsidRPr="00EB16B4">
        <w:rPr>
          <w:lang w:val="sk-SK" w:eastAsia="el-GR"/>
        </w:rPr>
        <w:t>3 mg/m</w:t>
      </w:r>
      <w:r w:rsidR="00DB06E9">
        <w:rPr>
          <w:lang w:val="sk-SK" w:eastAsia="el-GR"/>
        </w:rPr>
        <w:t>l</w:t>
      </w:r>
      <w:r w:rsidR="004C39C6" w:rsidRPr="00EB16B4">
        <w:rPr>
          <w:lang w:val="sk-SK" w:eastAsia="el-GR"/>
        </w:rPr>
        <w:t xml:space="preserve"> + 5 mg/m</w:t>
      </w:r>
      <w:r w:rsidR="00DB06E9">
        <w:rPr>
          <w:lang w:val="sk-SK" w:eastAsia="el-GR"/>
        </w:rPr>
        <w:t>l</w:t>
      </w:r>
      <w:r w:rsidR="004C39C6" w:rsidRPr="00EB16B4">
        <w:rPr>
          <w:lang w:val="sk-SK" w:eastAsia="el-GR"/>
        </w:rPr>
        <w:t xml:space="preserve"> </w:t>
      </w:r>
      <w:r w:rsidR="004C39C6" w:rsidRPr="00EB16B4">
        <w:rPr>
          <w:rFonts w:eastAsiaTheme="minorHAnsi"/>
          <w:color w:val="000000"/>
          <w:szCs w:val="22"/>
          <w:lang w:val="sk-SK"/>
        </w:rPr>
        <w:t>očná roztoková instilácia s konzervačnými látkami</w:t>
      </w:r>
      <w:r w:rsidRPr="00EB16B4">
        <w:rPr>
          <w:rFonts w:eastAsiaTheme="minorHAnsi"/>
          <w:color w:val="000000"/>
          <w:szCs w:val="22"/>
          <w:lang w:val="sk-SK"/>
        </w:rPr>
        <w:t xml:space="preserve"> v rámci 12-týždňovej štúdie.</w:t>
      </w:r>
    </w:p>
    <w:p w14:paraId="32465F7A" w14:textId="77777777" w:rsidR="00E554D5" w:rsidRPr="00EB16B4" w:rsidRDefault="00E554D5" w:rsidP="00E554D5">
      <w:pPr>
        <w:tabs>
          <w:tab w:val="clear" w:pos="567"/>
        </w:tabs>
        <w:autoSpaceDE w:val="0"/>
        <w:autoSpaceDN w:val="0"/>
        <w:adjustRightInd w:val="0"/>
        <w:spacing w:line="240" w:lineRule="auto"/>
        <w:rPr>
          <w:rFonts w:eastAsiaTheme="minorHAnsi"/>
          <w:color w:val="000000"/>
          <w:szCs w:val="22"/>
          <w:lang w:val="sk-SK"/>
        </w:rPr>
      </w:pPr>
    </w:p>
    <w:p w14:paraId="50C99B91" w14:textId="77777777" w:rsidR="00ED180A" w:rsidRPr="00EB16B4" w:rsidRDefault="00ED180A" w:rsidP="00E554D5">
      <w:pPr>
        <w:tabs>
          <w:tab w:val="clear" w:pos="567"/>
        </w:tabs>
        <w:autoSpaceDE w:val="0"/>
        <w:autoSpaceDN w:val="0"/>
        <w:adjustRightInd w:val="0"/>
        <w:spacing w:line="240" w:lineRule="auto"/>
        <w:rPr>
          <w:szCs w:val="22"/>
          <w:lang w:val="sk-SK"/>
        </w:rPr>
      </w:pPr>
      <w:r w:rsidRPr="00EB16B4">
        <w:rPr>
          <w:lang w:val="sk-SK" w:eastAsia="el-GR"/>
        </w:rPr>
        <w:t>Bimatoprost/</w:t>
      </w:r>
      <w:r w:rsidR="00E06050">
        <w:rPr>
          <w:lang w:val="sk-SK" w:eastAsia="el-GR"/>
        </w:rPr>
        <w:t>t</w:t>
      </w:r>
      <w:r w:rsidRPr="00EB16B4">
        <w:rPr>
          <w:lang w:val="sk-SK" w:eastAsia="el-GR"/>
        </w:rPr>
        <w:t>imolol 0</w:t>
      </w:r>
      <w:r w:rsidR="00E06050">
        <w:rPr>
          <w:lang w:val="sk-SK" w:eastAsia="el-GR"/>
        </w:rPr>
        <w:t>,</w:t>
      </w:r>
      <w:r w:rsidRPr="00EB16B4">
        <w:rPr>
          <w:lang w:val="sk-SK" w:eastAsia="el-GR"/>
        </w:rPr>
        <w:t>3 mg/m</w:t>
      </w:r>
      <w:r w:rsidR="00E06050">
        <w:rPr>
          <w:lang w:val="sk-SK" w:eastAsia="el-GR"/>
        </w:rPr>
        <w:t>l</w:t>
      </w:r>
      <w:r w:rsidRPr="00EB16B4">
        <w:rPr>
          <w:lang w:val="sk-SK" w:eastAsia="el-GR"/>
        </w:rPr>
        <w:t xml:space="preserve"> + 5 mg/m</w:t>
      </w:r>
      <w:r w:rsidR="00E06050">
        <w:rPr>
          <w:lang w:val="sk-SK" w:eastAsia="el-GR"/>
        </w:rPr>
        <w:t>l</w:t>
      </w:r>
      <w:r w:rsidRPr="00EB16B4">
        <w:rPr>
          <w:lang w:val="sk-SK" w:eastAsia="el-GR"/>
        </w:rPr>
        <w:t xml:space="preserve"> </w:t>
      </w:r>
      <w:r w:rsidRPr="00EB16B4">
        <w:rPr>
          <w:rFonts w:eastAsiaTheme="minorHAnsi"/>
          <w:color w:val="000000"/>
          <w:szCs w:val="22"/>
          <w:lang w:val="sk-SK"/>
        </w:rPr>
        <w:t>očná roztoková instilácia bez konzervačných látok</w:t>
      </w:r>
      <w:r w:rsidR="00E554D5" w:rsidRPr="00EB16B4">
        <w:rPr>
          <w:rFonts w:eastAsiaTheme="minorHAnsi" w:cstheme="minorBidi"/>
          <w:szCs w:val="22"/>
          <w:lang w:val="sk-SK"/>
        </w:rPr>
        <w:t xml:space="preserve"> </w:t>
      </w:r>
      <w:r w:rsidRPr="00EB16B4">
        <w:rPr>
          <w:szCs w:val="22"/>
          <w:lang w:val="sk-SK"/>
        </w:rPr>
        <w:t xml:space="preserve">tiež dosiahol ekvivalentnú účinnosť pri znižovaní VOT v porovnaní s </w:t>
      </w:r>
      <w:r w:rsidR="00154E24">
        <w:rPr>
          <w:szCs w:val="22"/>
          <w:lang w:val="sk-SK"/>
        </w:rPr>
        <w:t>b</w:t>
      </w:r>
      <w:r w:rsidR="002377B0" w:rsidRPr="00EB16B4">
        <w:rPr>
          <w:lang w:val="sk-SK" w:eastAsia="el-GR"/>
        </w:rPr>
        <w:t>imatoprost</w:t>
      </w:r>
      <w:r w:rsidR="00154E24">
        <w:rPr>
          <w:lang w:val="sk-SK" w:eastAsia="el-GR"/>
        </w:rPr>
        <w:t>/timolol</w:t>
      </w:r>
      <w:r w:rsidR="002377B0" w:rsidRPr="00EB16B4">
        <w:rPr>
          <w:lang w:val="sk-SK" w:eastAsia="el-GR"/>
        </w:rPr>
        <w:t xml:space="preserve"> 0</w:t>
      </w:r>
      <w:r w:rsidR="00154E24">
        <w:rPr>
          <w:lang w:val="sk-SK" w:eastAsia="el-GR"/>
        </w:rPr>
        <w:t>,</w:t>
      </w:r>
      <w:r w:rsidR="002377B0" w:rsidRPr="00EB16B4">
        <w:rPr>
          <w:lang w:val="sk-SK" w:eastAsia="el-GR"/>
        </w:rPr>
        <w:t>3 mg/m</w:t>
      </w:r>
      <w:r w:rsidR="00154E24">
        <w:rPr>
          <w:lang w:val="sk-SK" w:eastAsia="el-GR"/>
        </w:rPr>
        <w:t>l</w:t>
      </w:r>
      <w:r w:rsidR="002377B0" w:rsidRPr="00EB16B4">
        <w:rPr>
          <w:lang w:val="sk-SK" w:eastAsia="el-GR"/>
        </w:rPr>
        <w:t xml:space="preserve"> + 5 mg/m</w:t>
      </w:r>
      <w:r w:rsidR="00154E24">
        <w:rPr>
          <w:lang w:val="sk-SK" w:eastAsia="el-GR"/>
        </w:rPr>
        <w:t>l</w:t>
      </w:r>
      <w:r w:rsidR="002377B0" w:rsidRPr="00EB16B4">
        <w:rPr>
          <w:lang w:val="sk-SK" w:eastAsia="el-GR"/>
        </w:rPr>
        <w:t xml:space="preserve"> </w:t>
      </w:r>
      <w:r w:rsidR="002377B0" w:rsidRPr="00EB16B4">
        <w:rPr>
          <w:rFonts w:eastAsiaTheme="minorHAnsi"/>
          <w:color w:val="000000"/>
          <w:szCs w:val="22"/>
          <w:lang w:val="sk-SK"/>
        </w:rPr>
        <w:t>očná roztoková instilácia</w:t>
      </w:r>
      <w:r w:rsidR="004E724F" w:rsidRPr="00EB16B4">
        <w:rPr>
          <w:rFonts w:eastAsiaTheme="minorHAnsi"/>
          <w:color w:val="000000"/>
          <w:szCs w:val="22"/>
          <w:lang w:val="sk-SK"/>
        </w:rPr>
        <w:t xml:space="preserve"> s konzervačnými látkami</w:t>
      </w:r>
      <w:r w:rsidR="002377B0" w:rsidRPr="00EB16B4">
        <w:rPr>
          <w:szCs w:val="22"/>
          <w:lang w:val="sk-SK"/>
        </w:rPr>
        <w:t xml:space="preserve"> </w:t>
      </w:r>
      <w:r w:rsidRPr="00EB16B4">
        <w:rPr>
          <w:szCs w:val="22"/>
          <w:lang w:val="sk-SK"/>
        </w:rPr>
        <w:t>v prípade VOT priemerného oka a slabšieho oka v každom časovom okamihu následného sledovania v 2., 6. a 12. týždni.</w:t>
      </w:r>
    </w:p>
    <w:p w14:paraId="6161F81E" w14:textId="77777777" w:rsidR="00315D00" w:rsidRPr="00EB16B4" w:rsidRDefault="00315D00" w:rsidP="00E554D5">
      <w:pPr>
        <w:tabs>
          <w:tab w:val="clear" w:pos="567"/>
        </w:tabs>
        <w:autoSpaceDE w:val="0"/>
        <w:autoSpaceDN w:val="0"/>
        <w:adjustRightInd w:val="0"/>
        <w:spacing w:line="240" w:lineRule="auto"/>
        <w:rPr>
          <w:szCs w:val="22"/>
          <w:lang w:val="sk-SK"/>
        </w:rPr>
      </w:pPr>
    </w:p>
    <w:p w14:paraId="06788D10" w14:textId="77777777" w:rsidR="00315D00" w:rsidRPr="00EB16B4" w:rsidRDefault="00315D00" w:rsidP="00315D00">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Podľa štúdií </w:t>
      </w:r>
      <w:r w:rsidR="0065055E" w:rsidRPr="00EB16B4">
        <w:rPr>
          <w:rFonts w:eastAsiaTheme="minorHAnsi"/>
          <w:color w:val="000000"/>
          <w:szCs w:val="22"/>
          <w:lang w:val="sk-SK"/>
        </w:rPr>
        <w:t>očná roztoková instilácia s</w:t>
      </w:r>
      <w:r w:rsidR="0065055E">
        <w:rPr>
          <w:rFonts w:eastAsiaTheme="minorHAnsi"/>
          <w:color w:val="000000"/>
          <w:szCs w:val="22"/>
          <w:lang w:val="sk-SK"/>
        </w:rPr>
        <w:t xml:space="preserve"> obsahom </w:t>
      </w:r>
      <w:r w:rsidR="0065055E" w:rsidRPr="00EB16B4">
        <w:rPr>
          <w:rFonts w:eastAsiaTheme="minorHAnsi"/>
          <w:color w:val="000000"/>
          <w:szCs w:val="22"/>
          <w:lang w:val="sk-SK"/>
        </w:rPr>
        <w:t>konzervačný</w:t>
      </w:r>
      <w:r w:rsidR="0065055E">
        <w:rPr>
          <w:rFonts w:eastAsiaTheme="minorHAnsi"/>
          <w:color w:val="000000"/>
          <w:szCs w:val="22"/>
          <w:lang w:val="sk-SK"/>
        </w:rPr>
        <w:t>ch</w:t>
      </w:r>
      <w:r w:rsidR="0065055E" w:rsidRPr="00EB16B4">
        <w:rPr>
          <w:rFonts w:eastAsiaTheme="minorHAnsi"/>
          <w:color w:val="000000"/>
          <w:szCs w:val="22"/>
          <w:lang w:val="sk-SK"/>
        </w:rPr>
        <w:t xml:space="preserve"> lát</w:t>
      </w:r>
      <w:r w:rsidR="0065055E">
        <w:rPr>
          <w:rFonts w:eastAsiaTheme="minorHAnsi"/>
          <w:color w:val="000000"/>
          <w:szCs w:val="22"/>
          <w:lang w:val="sk-SK"/>
        </w:rPr>
        <w:t>o</w:t>
      </w:r>
      <w:r w:rsidR="0065055E" w:rsidRPr="00EB16B4">
        <w:rPr>
          <w:rFonts w:eastAsiaTheme="minorHAnsi"/>
          <w:color w:val="000000"/>
          <w:szCs w:val="22"/>
          <w:lang w:val="sk-SK"/>
        </w:rPr>
        <w:t>k</w:t>
      </w:r>
      <w:r w:rsidR="0065055E" w:rsidRPr="00EB16B4" w:rsidDel="0065055E">
        <w:rPr>
          <w:rFonts w:eastAsiaTheme="minorHAnsi"/>
          <w:color w:val="000000"/>
          <w:szCs w:val="22"/>
          <w:lang w:val="sk-SK"/>
        </w:rPr>
        <w:t xml:space="preserve"> </w:t>
      </w:r>
      <w:r w:rsidR="0065055E">
        <w:rPr>
          <w:rFonts w:eastAsiaTheme="minorHAnsi"/>
          <w:color w:val="000000"/>
          <w:szCs w:val="22"/>
          <w:lang w:val="sk-SK"/>
        </w:rPr>
        <w:t>b</w:t>
      </w:r>
      <w:r w:rsidR="00F03893" w:rsidRPr="00EB16B4">
        <w:rPr>
          <w:lang w:val="sk-SK" w:eastAsia="el-GR"/>
        </w:rPr>
        <w:t>imatoprost/</w:t>
      </w:r>
      <w:r w:rsidR="0065055E">
        <w:rPr>
          <w:lang w:val="sk-SK" w:eastAsia="el-GR"/>
        </w:rPr>
        <w:t>t</w:t>
      </w:r>
      <w:r w:rsidR="00F03893" w:rsidRPr="00EB16B4">
        <w:rPr>
          <w:lang w:val="sk-SK" w:eastAsia="el-GR"/>
        </w:rPr>
        <w:t>imolol 0</w:t>
      </w:r>
      <w:r w:rsidR="0065055E">
        <w:rPr>
          <w:lang w:val="sk-SK" w:eastAsia="el-GR"/>
        </w:rPr>
        <w:t>,</w:t>
      </w:r>
      <w:r w:rsidR="00F03893" w:rsidRPr="00EB16B4">
        <w:rPr>
          <w:lang w:val="sk-SK" w:eastAsia="el-GR"/>
        </w:rPr>
        <w:t>3 mg/m</w:t>
      </w:r>
      <w:r w:rsidR="0065055E">
        <w:rPr>
          <w:lang w:val="sk-SK" w:eastAsia="el-GR"/>
        </w:rPr>
        <w:t>l</w:t>
      </w:r>
      <w:r w:rsidR="00F03893" w:rsidRPr="00EB16B4">
        <w:rPr>
          <w:lang w:val="sk-SK" w:eastAsia="el-GR"/>
        </w:rPr>
        <w:t xml:space="preserve"> + 5 mg/m</w:t>
      </w:r>
      <w:r w:rsidR="0065055E">
        <w:rPr>
          <w:lang w:val="sk-SK" w:eastAsia="el-GR"/>
        </w:rPr>
        <w:t>l,</w:t>
      </w:r>
      <w:r w:rsidR="00F03893" w:rsidRPr="00EB16B4">
        <w:rPr>
          <w:lang w:val="sk-SK" w:eastAsia="el-GR"/>
        </w:rPr>
        <w:t xml:space="preserve"> </w:t>
      </w:r>
      <w:r w:rsidRPr="00EB16B4">
        <w:rPr>
          <w:rFonts w:eastAsiaTheme="minorHAnsi"/>
          <w:color w:val="000000"/>
          <w:szCs w:val="22"/>
          <w:lang w:val="sk-SK"/>
        </w:rPr>
        <w:t xml:space="preserve">účinok </w:t>
      </w:r>
      <w:r w:rsidR="0065055E">
        <w:rPr>
          <w:rFonts w:eastAsiaTheme="minorHAnsi"/>
          <w:color w:val="000000"/>
          <w:szCs w:val="22"/>
          <w:lang w:val="sk-SK"/>
        </w:rPr>
        <w:t>liečiva b</w:t>
      </w:r>
      <w:r w:rsidR="00F03893" w:rsidRPr="00EB16B4">
        <w:rPr>
          <w:lang w:val="sk-SK" w:eastAsia="el-GR"/>
        </w:rPr>
        <w:t>imatoprost/</w:t>
      </w:r>
      <w:r w:rsidR="0065055E">
        <w:rPr>
          <w:lang w:val="sk-SK" w:eastAsia="el-GR"/>
        </w:rPr>
        <w:t>t</w:t>
      </w:r>
      <w:r w:rsidR="00F03893" w:rsidRPr="00EB16B4">
        <w:rPr>
          <w:lang w:val="sk-SK" w:eastAsia="el-GR"/>
        </w:rPr>
        <w:t>imolol 0</w:t>
      </w:r>
      <w:r w:rsidR="0065055E">
        <w:rPr>
          <w:lang w:val="sk-SK" w:eastAsia="el-GR"/>
        </w:rPr>
        <w:t>,</w:t>
      </w:r>
      <w:r w:rsidR="00F03893" w:rsidRPr="00EB16B4">
        <w:rPr>
          <w:lang w:val="sk-SK" w:eastAsia="el-GR"/>
        </w:rPr>
        <w:t>3 mg/m</w:t>
      </w:r>
      <w:r w:rsidR="0065055E">
        <w:rPr>
          <w:lang w:val="sk-SK" w:eastAsia="el-GR"/>
        </w:rPr>
        <w:t>l</w:t>
      </w:r>
      <w:r w:rsidR="00F03893" w:rsidRPr="00EB16B4">
        <w:rPr>
          <w:lang w:val="sk-SK" w:eastAsia="el-GR"/>
        </w:rPr>
        <w:t xml:space="preserve"> + 5 mg/m</w:t>
      </w:r>
      <w:r w:rsidR="0065055E">
        <w:rPr>
          <w:lang w:val="sk-SK" w:eastAsia="el-GR"/>
        </w:rPr>
        <w:t>l</w:t>
      </w:r>
      <w:r w:rsidR="00F03893" w:rsidRPr="00EB16B4">
        <w:rPr>
          <w:lang w:val="sk-SK" w:eastAsia="el-GR"/>
        </w:rPr>
        <w:t xml:space="preserve"> </w:t>
      </w:r>
      <w:r w:rsidRPr="00EB16B4">
        <w:rPr>
          <w:rFonts w:eastAsiaTheme="minorHAnsi"/>
          <w:color w:val="000000"/>
          <w:szCs w:val="22"/>
          <w:lang w:val="sk-SK"/>
        </w:rPr>
        <w:t xml:space="preserve">na zníženie VOT nie je horší ako účinok dosiahnutý kombinovanou liečbou bimatoprostom (raz denne) a timololom (dva razy denne). </w:t>
      </w:r>
    </w:p>
    <w:p w14:paraId="59C86372" w14:textId="0AD09D97" w:rsidR="00315D00" w:rsidRPr="00EB16B4" w:rsidRDefault="00315D00" w:rsidP="00315D00">
      <w:pPr>
        <w:tabs>
          <w:tab w:val="clear" w:pos="567"/>
        </w:tabs>
        <w:autoSpaceDE w:val="0"/>
        <w:autoSpaceDN w:val="0"/>
        <w:adjustRightInd w:val="0"/>
        <w:spacing w:line="240" w:lineRule="auto"/>
        <w:rPr>
          <w:szCs w:val="22"/>
          <w:lang w:val="sk-SK"/>
        </w:rPr>
      </w:pPr>
      <w:r w:rsidRPr="00EB16B4">
        <w:rPr>
          <w:rFonts w:eastAsiaTheme="minorHAnsi"/>
          <w:color w:val="000000"/>
          <w:szCs w:val="22"/>
          <w:lang w:val="sk-SK"/>
        </w:rPr>
        <w:t xml:space="preserve">Z údajov o lieku </w:t>
      </w:r>
      <w:r w:rsidR="005A4475" w:rsidRPr="00EB16B4">
        <w:rPr>
          <w:lang w:val="sk-SK" w:eastAsia="el-GR"/>
        </w:rPr>
        <w:t>Bimatoprost/Timolol 0.3 mg/m</w:t>
      </w:r>
      <w:r w:rsidR="00700415">
        <w:rPr>
          <w:lang w:val="sk-SK" w:eastAsia="el-GR"/>
        </w:rPr>
        <w:t>l</w:t>
      </w:r>
      <w:r w:rsidR="005A4475" w:rsidRPr="00EB16B4">
        <w:rPr>
          <w:lang w:val="sk-SK" w:eastAsia="el-GR"/>
        </w:rPr>
        <w:t xml:space="preserve"> + 5 mg/m</w:t>
      </w:r>
      <w:r w:rsidR="00700415">
        <w:rPr>
          <w:lang w:val="sk-SK" w:eastAsia="el-GR"/>
        </w:rPr>
        <w:t>l</w:t>
      </w:r>
      <w:r w:rsidR="005A4475" w:rsidRPr="00EB16B4">
        <w:rPr>
          <w:lang w:val="sk-SK" w:eastAsia="el-GR"/>
        </w:rPr>
        <w:t xml:space="preserve"> </w:t>
      </w:r>
      <w:r w:rsidR="005A4475" w:rsidRPr="00EB16B4">
        <w:rPr>
          <w:rFonts w:eastAsiaTheme="minorHAnsi"/>
          <w:color w:val="000000"/>
          <w:szCs w:val="22"/>
          <w:lang w:val="sk-SK"/>
        </w:rPr>
        <w:t>očná roztoková instilácia s konzervačnými látkami</w:t>
      </w:r>
      <w:r w:rsidRPr="00EB16B4">
        <w:rPr>
          <w:rFonts w:eastAsiaTheme="minorHAnsi"/>
          <w:color w:val="000000"/>
          <w:szCs w:val="22"/>
          <w:lang w:val="sk-SK"/>
        </w:rPr>
        <w:t xml:space="preserve"> v existujúcej literatúre vyplýva, že večerná dávka dokáže účinnejšie znižovať VOT ako raňajšia dávka. Pri voľbe raňajšieho alebo večerného dávkovania však treba zohľadniť pravdepodobnosť dodržiavania liečby.</w:t>
      </w:r>
    </w:p>
    <w:p w14:paraId="779BF4F0" w14:textId="77777777" w:rsidR="00E554D5" w:rsidRPr="00EB16B4" w:rsidRDefault="00E554D5" w:rsidP="00E554D5">
      <w:pPr>
        <w:tabs>
          <w:tab w:val="clear" w:pos="567"/>
        </w:tabs>
        <w:autoSpaceDE w:val="0"/>
        <w:autoSpaceDN w:val="0"/>
        <w:adjustRightInd w:val="0"/>
        <w:spacing w:line="240" w:lineRule="auto"/>
        <w:rPr>
          <w:rFonts w:ascii="Arial" w:eastAsiaTheme="minorHAnsi" w:hAnsi="Arial" w:cs="Arial"/>
          <w:color w:val="000000"/>
          <w:sz w:val="16"/>
          <w:szCs w:val="16"/>
          <w:lang w:val="sk-SK"/>
        </w:rPr>
      </w:pPr>
      <w:r w:rsidRPr="00EB16B4">
        <w:rPr>
          <w:rFonts w:ascii="Arial" w:eastAsiaTheme="minorHAnsi" w:hAnsi="Arial" w:cs="Arial"/>
          <w:color w:val="000000"/>
          <w:sz w:val="16"/>
          <w:szCs w:val="16"/>
          <w:lang w:val="sk-SK"/>
        </w:rPr>
        <w:t xml:space="preserve"> </w:t>
      </w:r>
    </w:p>
    <w:p w14:paraId="351083F0" w14:textId="77777777" w:rsidR="00E554D5" w:rsidRPr="00EB16B4" w:rsidRDefault="00E554D5" w:rsidP="00E554D5">
      <w:pPr>
        <w:tabs>
          <w:tab w:val="clear" w:pos="567"/>
        </w:tabs>
        <w:autoSpaceDE w:val="0"/>
        <w:autoSpaceDN w:val="0"/>
        <w:adjustRightInd w:val="0"/>
        <w:spacing w:line="240" w:lineRule="auto"/>
        <w:rPr>
          <w:rFonts w:eastAsiaTheme="minorHAnsi"/>
          <w:szCs w:val="22"/>
          <w:lang w:val="sk-SK" w:eastAsia="el-GR"/>
        </w:rPr>
      </w:pPr>
    </w:p>
    <w:p w14:paraId="55A265A1" w14:textId="77777777" w:rsidR="00213BDE" w:rsidRPr="00EB16B4" w:rsidRDefault="00213BDE" w:rsidP="00213BDE">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Pediatrická populácia </w:t>
      </w:r>
    </w:p>
    <w:p w14:paraId="5221AA5A" w14:textId="77777777" w:rsidR="00E554D5" w:rsidRPr="00EB16B4" w:rsidRDefault="00213BDE" w:rsidP="00213BDE">
      <w:pPr>
        <w:rPr>
          <w:rFonts w:eastAsiaTheme="minorHAnsi"/>
          <w:color w:val="000000"/>
          <w:szCs w:val="22"/>
          <w:lang w:val="sk-SK"/>
        </w:rPr>
      </w:pPr>
      <w:r w:rsidRPr="00EB16B4">
        <w:rPr>
          <w:rFonts w:eastAsiaTheme="minorHAnsi"/>
          <w:color w:val="000000"/>
          <w:szCs w:val="22"/>
          <w:lang w:val="sk-SK"/>
        </w:rPr>
        <w:t xml:space="preserve">Bezpečnosť a účinnosť </w:t>
      </w:r>
      <w:r w:rsidR="0065055E">
        <w:rPr>
          <w:rFonts w:eastAsiaTheme="minorHAnsi"/>
          <w:color w:val="000000"/>
          <w:szCs w:val="22"/>
          <w:lang w:val="sk-SK"/>
        </w:rPr>
        <w:t xml:space="preserve">očnej roztokovej instilácie </w:t>
      </w:r>
      <w:r w:rsidR="0065055E">
        <w:rPr>
          <w:lang w:val="sk-SK" w:eastAsia="el-GR"/>
        </w:rPr>
        <w:t>b</w:t>
      </w:r>
      <w:r w:rsidR="00BD4FC7" w:rsidRPr="00EB16B4">
        <w:rPr>
          <w:lang w:val="sk-SK" w:eastAsia="el-GR"/>
        </w:rPr>
        <w:t>imatoprost/</w:t>
      </w:r>
      <w:r w:rsidR="0065055E">
        <w:rPr>
          <w:lang w:val="sk-SK" w:eastAsia="el-GR"/>
        </w:rPr>
        <w:t>t</w:t>
      </w:r>
      <w:r w:rsidR="00BD4FC7" w:rsidRPr="00EB16B4">
        <w:rPr>
          <w:lang w:val="sk-SK" w:eastAsia="el-GR"/>
        </w:rPr>
        <w:t>imolol 0</w:t>
      </w:r>
      <w:r w:rsidR="0065055E">
        <w:rPr>
          <w:lang w:val="sk-SK" w:eastAsia="el-GR"/>
        </w:rPr>
        <w:t>,</w:t>
      </w:r>
      <w:r w:rsidR="00BD4FC7" w:rsidRPr="00EB16B4">
        <w:rPr>
          <w:lang w:val="sk-SK" w:eastAsia="el-GR"/>
        </w:rPr>
        <w:t>3 mg/m</w:t>
      </w:r>
      <w:r w:rsidR="0065055E">
        <w:rPr>
          <w:lang w:val="sk-SK" w:eastAsia="el-GR"/>
        </w:rPr>
        <w:t>l</w:t>
      </w:r>
      <w:r w:rsidR="00BD4FC7" w:rsidRPr="00EB16B4">
        <w:rPr>
          <w:lang w:val="sk-SK" w:eastAsia="el-GR"/>
        </w:rPr>
        <w:t xml:space="preserve"> + 5 mg/m</w:t>
      </w:r>
      <w:r w:rsidR="0065055E">
        <w:rPr>
          <w:lang w:val="sk-SK" w:eastAsia="el-GR"/>
        </w:rPr>
        <w:t>l</w:t>
      </w:r>
      <w:r w:rsidR="00BD4FC7" w:rsidRPr="00EB16B4">
        <w:rPr>
          <w:lang w:val="sk-SK" w:eastAsia="el-GR"/>
        </w:rPr>
        <w:t xml:space="preserve"> </w:t>
      </w:r>
      <w:r w:rsidR="0065055E">
        <w:rPr>
          <w:lang w:val="sk-SK" w:eastAsia="el-GR"/>
        </w:rPr>
        <w:t xml:space="preserve">bez obsahu konzervačných látok </w:t>
      </w:r>
      <w:r w:rsidRPr="00EB16B4">
        <w:rPr>
          <w:rFonts w:eastAsiaTheme="minorHAnsi"/>
          <w:color w:val="000000"/>
          <w:szCs w:val="22"/>
          <w:lang w:val="sk-SK"/>
        </w:rPr>
        <w:t>u detí do 18 rokov nebol</w:t>
      </w:r>
      <w:r w:rsidR="0065055E">
        <w:rPr>
          <w:rFonts w:eastAsiaTheme="minorHAnsi"/>
          <w:color w:val="000000"/>
          <w:szCs w:val="22"/>
          <w:lang w:val="sk-SK"/>
        </w:rPr>
        <w:t>a</w:t>
      </w:r>
      <w:r w:rsidRPr="00EB16B4">
        <w:rPr>
          <w:rFonts w:eastAsiaTheme="minorHAnsi"/>
          <w:color w:val="000000"/>
          <w:szCs w:val="22"/>
          <w:lang w:val="sk-SK"/>
        </w:rPr>
        <w:t xml:space="preserve"> stanoven</w:t>
      </w:r>
      <w:r w:rsidR="0065055E">
        <w:rPr>
          <w:rFonts w:eastAsiaTheme="minorHAnsi"/>
          <w:color w:val="000000"/>
          <w:szCs w:val="22"/>
          <w:lang w:val="sk-SK"/>
        </w:rPr>
        <w:t>á</w:t>
      </w:r>
      <w:r w:rsidRPr="00EB16B4">
        <w:rPr>
          <w:rFonts w:eastAsiaTheme="minorHAnsi"/>
          <w:color w:val="000000"/>
          <w:szCs w:val="22"/>
          <w:lang w:val="sk-SK"/>
        </w:rPr>
        <w:t>.</w:t>
      </w:r>
    </w:p>
    <w:p w14:paraId="709128DE" w14:textId="77777777" w:rsidR="00213BDE" w:rsidRPr="00EB16B4" w:rsidRDefault="00213BDE" w:rsidP="00213BDE">
      <w:pPr>
        <w:rPr>
          <w:lang w:val="sk-SK"/>
        </w:rPr>
      </w:pPr>
    </w:p>
    <w:p w14:paraId="0BD9B540" w14:textId="77777777" w:rsidR="00E554D5" w:rsidRDefault="00EA693A" w:rsidP="00E554D5">
      <w:pPr>
        <w:ind w:left="567" w:hanging="567"/>
        <w:rPr>
          <w:b/>
          <w:bCs/>
          <w:szCs w:val="22"/>
          <w:lang w:val="sk-SK"/>
        </w:rPr>
      </w:pPr>
      <w:r w:rsidRPr="00EB16B4">
        <w:rPr>
          <w:b/>
          <w:bCs/>
          <w:szCs w:val="22"/>
          <w:lang w:val="sk-SK"/>
        </w:rPr>
        <w:t xml:space="preserve">5.2   </w:t>
      </w:r>
      <w:r w:rsidR="0045706A">
        <w:rPr>
          <w:b/>
          <w:bCs/>
          <w:szCs w:val="22"/>
          <w:lang w:val="sk-SK"/>
        </w:rPr>
        <w:tab/>
      </w:r>
      <w:r w:rsidR="0045706A">
        <w:rPr>
          <w:b/>
          <w:bCs/>
          <w:szCs w:val="22"/>
          <w:lang w:val="sk-SK"/>
        </w:rPr>
        <w:tab/>
      </w:r>
      <w:r w:rsidRPr="00EB16B4">
        <w:rPr>
          <w:b/>
          <w:bCs/>
          <w:szCs w:val="22"/>
          <w:lang w:val="sk-SK"/>
        </w:rPr>
        <w:t>Farmakokinetické vlastnosti</w:t>
      </w:r>
    </w:p>
    <w:p w14:paraId="3A0B219B" w14:textId="77777777" w:rsidR="0045706A" w:rsidRPr="00EB16B4" w:rsidRDefault="0045706A" w:rsidP="00E554D5">
      <w:pPr>
        <w:ind w:left="567" w:hanging="567"/>
        <w:rPr>
          <w:lang w:val="sk-SK"/>
        </w:rPr>
      </w:pPr>
    </w:p>
    <w:p w14:paraId="58150A7A" w14:textId="77777777" w:rsidR="00E554D5" w:rsidRPr="00EB16B4" w:rsidRDefault="0065055E" w:rsidP="00E554D5">
      <w:pPr>
        <w:autoSpaceDE w:val="0"/>
        <w:autoSpaceDN w:val="0"/>
        <w:adjustRightInd w:val="0"/>
        <w:rPr>
          <w:u w:val="single"/>
          <w:lang w:val="sk-SK" w:eastAsia="el-GR"/>
        </w:rPr>
      </w:pPr>
      <w:r>
        <w:rPr>
          <w:u w:val="single"/>
          <w:lang w:val="sk-SK" w:eastAsia="el-GR"/>
        </w:rPr>
        <w:t>B</w:t>
      </w:r>
      <w:r w:rsidR="00E554D5" w:rsidRPr="00EB16B4">
        <w:rPr>
          <w:u w:val="single"/>
          <w:lang w:val="sk-SK" w:eastAsia="el-GR"/>
        </w:rPr>
        <w:t>imatoprost/timolol 0</w:t>
      </w:r>
      <w:r>
        <w:rPr>
          <w:u w:val="single"/>
          <w:lang w:val="sk-SK" w:eastAsia="el-GR"/>
        </w:rPr>
        <w:t>,</w:t>
      </w:r>
      <w:r w:rsidR="00E554D5" w:rsidRPr="00EB16B4">
        <w:rPr>
          <w:u w:val="single"/>
          <w:lang w:val="sk-SK" w:eastAsia="el-GR"/>
        </w:rPr>
        <w:t>3 mg/m</w:t>
      </w:r>
      <w:r>
        <w:rPr>
          <w:u w:val="single"/>
          <w:lang w:val="sk-SK" w:eastAsia="el-GR"/>
        </w:rPr>
        <w:t>l</w:t>
      </w:r>
      <w:r w:rsidR="00E554D5" w:rsidRPr="00EB16B4">
        <w:rPr>
          <w:u w:val="single"/>
          <w:lang w:val="sk-SK" w:eastAsia="el-GR"/>
        </w:rPr>
        <w:t xml:space="preserve"> + 5 </w:t>
      </w:r>
      <w:r w:rsidR="00E554D5" w:rsidRPr="0045706A">
        <w:rPr>
          <w:u w:val="single"/>
          <w:lang w:val="sk-SK" w:eastAsia="el-GR"/>
        </w:rPr>
        <w:t>mg/m</w:t>
      </w:r>
      <w:r>
        <w:rPr>
          <w:u w:val="single"/>
          <w:lang w:val="sk-SK" w:eastAsia="el-GR"/>
        </w:rPr>
        <w:t>l</w:t>
      </w:r>
      <w:r w:rsidR="00EA693A" w:rsidRPr="0045706A">
        <w:rPr>
          <w:rFonts w:eastAsiaTheme="minorHAnsi"/>
          <w:color w:val="000000"/>
          <w:szCs w:val="22"/>
          <w:u w:val="single"/>
          <w:lang w:val="sk-SK"/>
        </w:rPr>
        <w:t xml:space="preserve"> očná roztoková instilácia </w:t>
      </w:r>
    </w:p>
    <w:p w14:paraId="3A3FDBFD" w14:textId="77777777" w:rsidR="00016472" w:rsidRDefault="00016472" w:rsidP="00016472">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Koncentrácie plazmatického bimatoprostu a timololu boli stanovené v krížovej štúdii porovnávajúcej monoterapeutickú liečbu s liečbou </w:t>
      </w:r>
      <w:r w:rsidR="0065055E">
        <w:rPr>
          <w:rFonts w:eastAsiaTheme="minorHAnsi"/>
          <w:color w:val="000000"/>
          <w:szCs w:val="22"/>
          <w:lang w:val="sk-SK"/>
        </w:rPr>
        <w:t>b</w:t>
      </w:r>
      <w:r w:rsidR="000D0E56" w:rsidRPr="00EB16B4">
        <w:rPr>
          <w:lang w:val="sk-SK" w:eastAsia="el-GR"/>
        </w:rPr>
        <w:t>imatoprost/</w:t>
      </w:r>
      <w:r w:rsidR="0065055E">
        <w:rPr>
          <w:lang w:val="sk-SK" w:eastAsia="el-GR"/>
        </w:rPr>
        <w:t>t</w:t>
      </w:r>
      <w:r w:rsidR="000D0E56" w:rsidRPr="00EB16B4">
        <w:rPr>
          <w:lang w:val="sk-SK" w:eastAsia="el-GR"/>
        </w:rPr>
        <w:t>imolol 0</w:t>
      </w:r>
      <w:r w:rsidR="0065055E">
        <w:rPr>
          <w:lang w:val="sk-SK" w:eastAsia="el-GR"/>
        </w:rPr>
        <w:t>,</w:t>
      </w:r>
      <w:r w:rsidR="000D0E56" w:rsidRPr="00EB16B4">
        <w:rPr>
          <w:lang w:val="sk-SK" w:eastAsia="el-GR"/>
        </w:rPr>
        <w:t>3 mg/m</w:t>
      </w:r>
      <w:r w:rsidR="0065055E">
        <w:rPr>
          <w:lang w:val="sk-SK" w:eastAsia="el-GR"/>
        </w:rPr>
        <w:t>l</w:t>
      </w:r>
      <w:r w:rsidR="000D0E56" w:rsidRPr="00EB16B4">
        <w:rPr>
          <w:lang w:val="sk-SK" w:eastAsia="el-GR"/>
        </w:rPr>
        <w:t xml:space="preserve"> + 5 mg/m</w:t>
      </w:r>
      <w:r w:rsidR="0065055E">
        <w:rPr>
          <w:lang w:val="sk-SK" w:eastAsia="el-GR"/>
        </w:rPr>
        <w:t>l</w:t>
      </w:r>
      <w:r w:rsidR="000D0E56" w:rsidRPr="00EB16B4">
        <w:rPr>
          <w:lang w:val="sk-SK" w:eastAsia="el-GR"/>
        </w:rPr>
        <w:t xml:space="preserve"> </w:t>
      </w:r>
      <w:r w:rsidRPr="00EB16B4">
        <w:rPr>
          <w:rFonts w:eastAsiaTheme="minorHAnsi"/>
          <w:color w:val="000000"/>
          <w:szCs w:val="22"/>
          <w:lang w:val="sk-SK"/>
        </w:rPr>
        <w:t xml:space="preserve">u zdravých subjektov. Systémové vstrebávanie jednotlivých zložiek bolo minimálne a neovplyvnilo spoločné podávanie v jednom prípravku. </w:t>
      </w:r>
    </w:p>
    <w:p w14:paraId="3EE74171" w14:textId="77777777" w:rsidR="0045706A" w:rsidRPr="00EB16B4" w:rsidRDefault="0045706A" w:rsidP="00016472">
      <w:pPr>
        <w:tabs>
          <w:tab w:val="clear" w:pos="567"/>
        </w:tabs>
        <w:autoSpaceDE w:val="0"/>
        <w:autoSpaceDN w:val="0"/>
        <w:adjustRightInd w:val="0"/>
        <w:spacing w:line="240" w:lineRule="auto"/>
        <w:rPr>
          <w:rFonts w:eastAsiaTheme="minorHAnsi"/>
          <w:color w:val="000000"/>
          <w:szCs w:val="22"/>
          <w:lang w:val="sk-SK"/>
        </w:rPr>
      </w:pPr>
    </w:p>
    <w:p w14:paraId="48C65F4C" w14:textId="77777777" w:rsidR="00016472" w:rsidRDefault="00016472" w:rsidP="00016472">
      <w:pPr>
        <w:autoSpaceDE w:val="0"/>
        <w:autoSpaceDN w:val="0"/>
        <w:adjustRightInd w:val="0"/>
        <w:rPr>
          <w:rFonts w:eastAsiaTheme="minorHAnsi"/>
          <w:color w:val="000000"/>
          <w:szCs w:val="22"/>
          <w:lang w:val="sk-SK"/>
        </w:rPr>
      </w:pPr>
      <w:r w:rsidRPr="00EB16B4">
        <w:rPr>
          <w:rFonts w:eastAsiaTheme="minorHAnsi"/>
          <w:color w:val="000000"/>
          <w:szCs w:val="22"/>
          <w:lang w:val="sk-SK"/>
        </w:rPr>
        <w:t>V dvoch 12-mesačných štúdiách s</w:t>
      </w:r>
      <w:r w:rsidR="0065055E">
        <w:rPr>
          <w:rFonts w:eastAsiaTheme="minorHAnsi"/>
          <w:color w:val="000000"/>
          <w:szCs w:val="22"/>
          <w:lang w:val="sk-SK"/>
        </w:rPr>
        <w:t> </w:t>
      </w:r>
      <w:r w:rsidR="0065055E" w:rsidRPr="00EB16B4">
        <w:rPr>
          <w:rFonts w:eastAsiaTheme="minorHAnsi"/>
          <w:color w:val="000000"/>
          <w:szCs w:val="22"/>
          <w:lang w:val="sk-SK"/>
        </w:rPr>
        <w:t>očn</w:t>
      </w:r>
      <w:r w:rsidR="0065055E">
        <w:rPr>
          <w:rFonts w:eastAsiaTheme="minorHAnsi"/>
          <w:color w:val="000000"/>
          <w:szCs w:val="22"/>
          <w:lang w:val="sk-SK"/>
        </w:rPr>
        <w:t xml:space="preserve">ou </w:t>
      </w:r>
      <w:r w:rsidR="0065055E" w:rsidRPr="00EB16B4">
        <w:rPr>
          <w:rFonts w:eastAsiaTheme="minorHAnsi"/>
          <w:color w:val="000000"/>
          <w:szCs w:val="22"/>
          <w:lang w:val="sk-SK"/>
        </w:rPr>
        <w:t>roztokov</w:t>
      </w:r>
      <w:r w:rsidR="0065055E">
        <w:rPr>
          <w:rFonts w:eastAsiaTheme="minorHAnsi"/>
          <w:color w:val="000000"/>
          <w:szCs w:val="22"/>
          <w:lang w:val="sk-SK"/>
        </w:rPr>
        <w:t>ou</w:t>
      </w:r>
      <w:r w:rsidR="0065055E" w:rsidRPr="00EB16B4">
        <w:rPr>
          <w:rFonts w:eastAsiaTheme="minorHAnsi"/>
          <w:color w:val="000000"/>
          <w:szCs w:val="22"/>
          <w:lang w:val="sk-SK"/>
        </w:rPr>
        <w:t xml:space="preserve"> instiláci</w:t>
      </w:r>
      <w:r w:rsidR="0065055E">
        <w:rPr>
          <w:rFonts w:eastAsiaTheme="minorHAnsi"/>
          <w:color w:val="000000"/>
          <w:szCs w:val="22"/>
          <w:lang w:val="sk-SK"/>
        </w:rPr>
        <w:t>ou obsahujúcou konzervačné látky</w:t>
      </w:r>
      <w:r w:rsidR="0065055E" w:rsidRPr="00EB16B4">
        <w:rPr>
          <w:lang w:val="sk-SK" w:eastAsia="el-GR"/>
        </w:rPr>
        <w:t xml:space="preserve"> </w:t>
      </w:r>
      <w:r w:rsidR="0065055E">
        <w:rPr>
          <w:lang w:val="sk-SK" w:eastAsia="el-GR"/>
        </w:rPr>
        <w:t>b</w:t>
      </w:r>
      <w:r w:rsidR="000D0E56" w:rsidRPr="00EB16B4">
        <w:rPr>
          <w:lang w:val="sk-SK" w:eastAsia="el-GR"/>
        </w:rPr>
        <w:t>imatoprost/</w:t>
      </w:r>
      <w:r w:rsidR="0065055E">
        <w:rPr>
          <w:lang w:val="sk-SK" w:eastAsia="el-GR"/>
        </w:rPr>
        <w:t>t</w:t>
      </w:r>
      <w:r w:rsidR="000D0E56" w:rsidRPr="00EB16B4">
        <w:rPr>
          <w:lang w:val="sk-SK" w:eastAsia="el-GR"/>
        </w:rPr>
        <w:t>imolol 0</w:t>
      </w:r>
      <w:r w:rsidR="0065055E">
        <w:rPr>
          <w:lang w:val="sk-SK" w:eastAsia="el-GR"/>
        </w:rPr>
        <w:t>,</w:t>
      </w:r>
      <w:r w:rsidR="000D0E56" w:rsidRPr="00EB16B4">
        <w:rPr>
          <w:lang w:val="sk-SK" w:eastAsia="el-GR"/>
        </w:rPr>
        <w:t>3 mg/m</w:t>
      </w:r>
      <w:r w:rsidR="0065055E">
        <w:rPr>
          <w:lang w:val="sk-SK" w:eastAsia="el-GR"/>
        </w:rPr>
        <w:t>l</w:t>
      </w:r>
      <w:r w:rsidR="000D0E56" w:rsidRPr="00EB16B4">
        <w:rPr>
          <w:lang w:val="sk-SK" w:eastAsia="el-GR"/>
        </w:rPr>
        <w:t xml:space="preserve"> + 5 mg/m</w:t>
      </w:r>
      <w:r w:rsidR="0065055E">
        <w:rPr>
          <w:lang w:val="sk-SK" w:eastAsia="el-GR"/>
        </w:rPr>
        <w:t>l</w:t>
      </w:r>
      <w:r w:rsidRPr="00EB16B4">
        <w:rPr>
          <w:rFonts w:eastAsiaTheme="minorHAnsi"/>
          <w:color w:val="000000"/>
          <w:szCs w:val="22"/>
          <w:lang w:val="sk-SK"/>
        </w:rPr>
        <w:t xml:space="preserve">, v ktorých sa meralo systémové vstrebávanie, sa nepozorovalo žiadne hromadenie niektorej z jednotlivých zložiek. </w:t>
      </w:r>
    </w:p>
    <w:p w14:paraId="7D42B8E1" w14:textId="77777777" w:rsidR="00780AC1" w:rsidRPr="00EB16B4" w:rsidRDefault="00780AC1" w:rsidP="00016472">
      <w:pPr>
        <w:autoSpaceDE w:val="0"/>
        <w:autoSpaceDN w:val="0"/>
        <w:adjustRightInd w:val="0"/>
        <w:rPr>
          <w:rFonts w:eastAsiaTheme="minorHAnsi"/>
          <w:color w:val="000000"/>
          <w:szCs w:val="22"/>
          <w:lang w:val="sk-SK"/>
        </w:rPr>
      </w:pPr>
    </w:p>
    <w:p w14:paraId="03BB7A84" w14:textId="77777777" w:rsidR="00B7333C" w:rsidRPr="00780AC1" w:rsidRDefault="00B7333C" w:rsidP="00B7333C">
      <w:pPr>
        <w:tabs>
          <w:tab w:val="clear" w:pos="567"/>
        </w:tabs>
        <w:autoSpaceDE w:val="0"/>
        <w:autoSpaceDN w:val="0"/>
        <w:adjustRightInd w:val="0"/>
        <w:spacing w:line="240" w:lineRule="auto"/>
        <w:rPr>
          <w:rFonts w:eastAsiaTheme="minorHAnsi"/>
          <w:color w:val="000000"/>
          <w:szCs w:val="22"/>
          <w:u w:val="single"/>
          <w:lang w:val="sk-SK"/>
        </w:rPr>
      </w:pPr>
      <w:r w:rsidRPr="00780AC1">
        <w:rPr>
          <w:rFonts w:eastAsiaTheme="minorHAnsi"/>
          <w:color w:val="000000"/>
          <w:szCs w:val="22"/>
          <w:u w:val="single"/>
          <w:lang w:val="sk-SK"/>
        </w:rPr>
        <w:t xml:space="preserve">Bimatoprost </w:t>
      </w:r>
    </w:p>
    <w:p w14:paraId="4A57C749" w14:textId="77777777" w:rsidR="00EA07EC" w:rsidRDefault="00B7333C" w:rsidP="00EA07EC">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Bimatoprost </w:t>
      </w:r>
      <w:r w:rsidRPr="00EB16B4">
        <w:rPr>
          <w:rFonts w:eastAsiaTheme="minorHAnsi"/>
          <w:i/>
          <w:iCs/>
          <w:color w:val="000000"/>
          <w:szCs w:val="22"/>
          <w:lang w:val="sk-SK"/>
        </w:rPr>
        <w:t xml:space="preserve">in vitro </w:t>
      </w:r>
      <w:r w:rsidRPr="00EB16B4">
        <w:rPr>
          <w:rFonts w:eastAsiaTheme="minorHAnsi"/>
          <w:color w:val="000000"/>
          <w:szCs w:val="22"/>
          <w:lang w:val="sk-SK"/>
        </w:rPr>
        <w:t xml:space="preserve">veľmi dobre penetruje cez ľudskú rohovku a skléru. Po očnom podaní je systémová expozícia bimatoprostu veľmi nízka bez akumulácie v priebehu doby podávania. Pri podávaní jedenkrát denne po jednej kvapke 0,03% bimatoprostu do oboch očí po dobu dvoch týždňov sa dosahuje maximálna koncentrácia v krvi v priebehu 10 minút po podaní a následné zníženie na najnižšiu detekovateľnú hodnotu (0,025 ng/ml) v priebehu 1,5 hodiny po aplikácii. Priemerné </w:t>
      </w:r>
      <w:r w:rsidRPr="00EA07EC">
        <w:rPr>
          <w:rFonts w:eastAsiaTheme="minorHAnsi"/>
          <w:color w:val="000000"/>
          <w:szCs w:val="22"/>
          <w:lang w:val="sk-SK"/>
        </w:rPr>
        <w:t>C</w:t>
      </w:r>
      <w:r w:rsidRPr="00EA07EC">
        <w:rPr>
          <w:rFonts w:eastAsiaTheme="minorHAnsi"/>
          <w:color w:val="000000"/>
          <w:szCs w:val="22"/>
          <w:vertAlign w:val="subscript"/>
          <w:lang w:val="sk-SK"/>
        </w:rPr>
        <w:t>max</w:t>
      </w:r>
      <w:r w:rsidRPr="00EA07EC">
        <w:rPr>
          <w:rFonts w:eastAsiaTheme="minorHAnsi"/>
          <w:color w:val="000000"/>
          <w:szCs w:val="22"/>
          <w:lang w:val="sk-SK"/>
        </w:rPr>
        <w:t xml:space="preserve"> a AUC</w:t>
      </w:r>
      <w:r w:rsidRPr="00EA07EC">
        <w:rPr>
          <w:rFonts w:eastAsiaTheme="minorHAnsi"/>
          <w:color w:val="000000"/>
          <w:szCs w:val="22"/>
          <w:vertAlign w:val="subscript"/>
          <w:lang w:val="sk-SK"/>
        </w:rPr>
        <w:t>0-24hod</w:t>
      </w:r>
      <w:r w:rsidRPr="00EB16B4">
        <w:rPr>
          <w:rFonts w:eastAsiaTheme="minorHAnsi"/>
          <w:color w:val="000000"/>
          <w:sz w:val="14"/>
          <w:szCs w:val="14"/>
          <w:lang w:val="sk-SK"/>
        </w:rPr>
        <w:t xml:space="preserve"> </w:t>
      </w:r>
      <w:r w:rsidRPr="00EB16B4">
        <w:rPr>
          <w:rFonts w:eastAsiaTheme="minorHAnsi"/>
          <w:color w:val="000000"/>
          <w:szCs w:val="22"/>
          <w:lang w:val="sk-SK"/>
        </w:rPr>
        <w:t xml:space="preserve">hodnoty boli 7. a 14. deň porovnateľné, približne 0,08 ng/ml respektíve 0,09 ng•hod/ml, čo ukazuje, že rovnovážny stav koncentrácie sa dosiahol v priebehu </w:t>
      </w:r>
      <w:r w:rsidR="00EA07EC">
        <w:rPr>
          <w:rFonts w:eastAsiaTheme="minorHAnsi"/>
          <w:color w:val="000000"/>
          <w:szCs w:val="22"/>
          <w:lang w:val="sk-SK"/>
        </w:rPr>
        <w:t>prvého týždňa očného podávania.</w:t>
      </w:r>
    </w:p>
    <w:p w14:paraId="2485113D" w14:textId="77777777" w:rsidR="00EA07EC" w:rsidRDefault="00EA07EC" w:rsidP="00EA07EC">
      <w:pPr>
        <w:tabs>
          <w:tab w:val="clear" w:pos="567"/>
        </w:tabs>
        <w:autoSpaceDE w:val="0"/>
        <w:autoSpaceDN w:val="0"/>
        <w:adjustRightInd w:val="0"/>
        <w:spacing w:line="240" w:lineRule="auto"/>
        <w:rPr>
          <w:rFonts w:eastAsiaTheme="minorHAnsi"/>
          <w:color w:val="000000"/>
          <w:szCs w:val="22"/>
          <w:lang w:val="sk-SK"/>
        </w:rPr>
      </w:pPr>
    </w:p>
    <w:p w14:paraId="1FF32335" w14:textId="77777777" w:rsidR="00E554D5" w:rsidRPr="00EB16B4" w:rsidRDefault="00B7333C" w:rsidP="00EA07EC">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Bimatoprost je mierne distribuovaný do telesných tkanív a systémový distribučný objem bol v rovnovážnom stave 0,67 l/kg. V ľudskej krvi zostáva bimatoprost predovšetkým v plazme. Väzba bimatoprostu na plazmatické bielkoviny je približne 88 %.</w:t>
      </w:r>
    </w:p>
    <w:p w14:paraId="4D9A7E1F" w14:textId="77777777" w:rsidR="0051628E" w:rsidRPr="00EB16B4" w:rsidRDefault="0051628E" w:rsidP="00B7333C">
      <w:pPr>
        <w:autoSpaceDE w:val="0"/>
        <w:autoSpaceDN w:val="0"/>
        <w:adjustRightInd w:val="0"/>
        <w:rPr>
          <w:lang w:val="sk-SK" w:eastAsia="el-GR"/>
        </w:rPr>
      </w:pPr>
    </w:p>
    <w:p w14:paraId="3AE54B3F" w14:textId="77777777" w:rsidR="0065784F" w:rsidRPr="00EB16B4" w:rsidRDefault="0065784F" w:rsidP="0065784F">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Len čo sa po očnom podaní dosiahne systémová cirkulácia, je bimatoprost hlavnou cirkulujúcou časťou v krvi. Bimatoprost podlieha oxidácii, N-deetylácii a glukoronidácii a vytvára rôzne druhy metabolitov. </w:t>
      </w:r>
    </w:p>
    <w:p w14:paraId="09847D84" w14:textId="77777777" w:rsidR="0065784F" w:rsidRPr="00EB16B4" w:rsidRDefault="0065784F" w:rsidP="0065784F">
      <w:pPr>
        <w:tabs>
          <w:tab w:val="clear" w:pos="567"/>
        </w:tabs>
        <w:autoSpaceDE w:val="0"/>
        <w:autoSpaceDN w:val="0"/>
        <w:adjustRightInd w:val="0"/>
        <w:spacing w:line="240" w:lineRule="auto"/>
        <w:rPr>
          <w:rFonts w:eastAsiaTheme="minorHAnsi"/>
          <w:color w:val="000000"/>
          <w:szCs w:val="22"/>
          <w:lang w:val="sk-SK"/>
        </w:rPr>
      </w:pPr>
    </w:p>
    <w:p w14:paraId="3ACFEB53" w14:textId="77777777" w:rsidR="00B70113" w:rsidRPr="00EB16B4" w:rsidRDefault="0065784F" w:rsidP="0065784F">
      <w:pPr>
        <w:ind w:left="567" w:hanging="567"/>
        <w:rPr>
          <w:rFonts w:eastAsiaTheme="minorHAnsi"/>
          <w:color w:val="000000"/>
          <w:szCs w:val="22"/>
          <w:lang w:val="sk-SK"/>
        </w:rPr>
      </w:pPr>
      <w:r w:rsidRPr="00EB16B4">
        <w:rPr>
          <w:rFonts w:eastAsiaTheme="minorHAnsi"/>
          <w:color w:val="000000"/>
          <w:szCs w:val="22"/>
          <w:lang w:val="sk-SK"/>
        </w:rPr>
        <w:t>Bimatoprost je primárne eliminovaný obličkami, viac</w:t>
      </w:r>
      <w:r w:rsidR="00B70113" w:rsidRPr="00EB16B4">
        <w:rPr>
          <w:rFonts w:eastAsiaTheme="minorHAnsi"/>
          <w:color w:val="000000"/>
          <w:szCs w:val="22"/>
          <w:lang w:val="sk-SK"/>
        </w:rPr>
        <w:t xml:space="preserve"> ako 67 % z intravenóznej dávky</w:t>
      </w:r>
    </w:p>
    <w:p w14:paraId="558395BC" w14:textId="77777777" w:rsidR="00B70113" w:rsidRPr="00EB16B4" w:rsidRDefault="0065784F" w:rsidP="0065784F">
      <w:pPr>
        <w:ind w:left="567" w:hanging="567"/>
        <w:rPr>
          <w:rFonts w:eastAsiaTheme="minorHAnsi"/>
          <w:color w:val="000000"/>
          <w:szCs w:val="22"/>
          <w:lang w:val="sk-SK"/>
        </w:rPr>
      </w:pPr>
      <w:r w:rsidRPr="00EB16B4">
        <w:rPr>
          <w:rFonts w:eastAsiaTheme="minorHAnsi"/>
          <w:color w:val="000000"/>
          <w:szCs w:val="22"/>
          <w:lang w:val="sk-SK"/>
        </w:rPr>
        <w:t>podanej zdravým dobrovoľníkom sa vylúčilo močom, 25 % sa vylúčilo stolicou.</w:t>
      </w:r>
    </w:p>
    <w:p w14:paraId="34142B2F" w14:textId="77777777" w:rsidR="00B70113" w:rsidRPr="00EB16B4" w:rsidRDefault="0065784F" w:rsidP="00B70113">
      <w:pPr>
        <w:rPr>
          <w:rFonts w:eastAsiaTheme="minorHAnsi"/>
          <w:color w:val="000000"/>
          <w:szCs w:val="22"/>
          <w:lang w:val="sk-SK"/>
        </w:rPr>
      </w:pPr>
      <w:r w:rsidRPr="00EB16B4">
        <w:rPr>
          <w:rFonts w:eastAsiaTheme="minorHAnsi"/>
          <w:color w:val="000000"/>
          <w:szCs w:val="22"/>
          <w:lang w:val="sk-SK"/>
        </w:rPr>
        <w:t xml:space="preserve">Polčas eliminácie určený po intravenóznom podaní bol približne 45 minút. Celkový klírens v </w:t>
      </w:r>
    </w:p>
    <w:p w14:paraId="04C97468" w14:textId="77777777" w:rsidR="00E554D5" w:rsidRPr="00EB16B4" w:rsidRDefault="0065784F" w:rsidP="0065784F">
      <w:pPr>
        <w:ind w:left="567" w:hanging="567"/>
        <w:rPr>
          <w:rFonts w:eastAsiaTheme="minorHAnsi"/>
          <w:color w:val="000000"/>
          <w:szCs w:val="22"/>
          <w:lang w:val="sk-SK"/>
        </w:rPr>
      </w:pPr>
      <w:r w:rsidRPr="00EB16B4">
        <w:rPr>
          <w:rFonts w:eastAsiaTheme="minorHAnsi"/>
          <w:color w:val="000000"/>
          <w:szCs w:val="22"/>
          <w:lang w:val="sk-SK"/>
        </w:rPr>
        <w:t>krvi bol 1,5 l/hod/kg.</w:t>
      </w:r>
    </w:p>
    <w:p w14:paraId="3F837473" w14:textId="77777777" w:rsidR="00B70113" w:rsidRPr="00EB16B4" w:rsidRDefault="00B70113" w:rsidP="0065784F">
      <w:pPr>
        <w:ind w:left="567" w:hanging="567"/>
        <w:rPr>
          <w:lang w:val="sk-SK"/>
        </w:rPr>
      </w:pPr>
    </w:p>
    <w:p w14:paraId="3117423C" w14:textId="77777777" w:rsidR="00D87C09" w:rsidRPr="00EB16B4" w:rsidRDefault="00D87C09" w:rsidP="00F74567">
      <w:pPr>
        <w:tabs>
          <w:tab w:val="clear" w:pos="567"/>
          <w:tab w:val="left" w:pos="0"/>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Charakteristiky u starších osôb </w:t>
      </w:r>
    </w:p>
    <w:p w14:paraId="6454C532" w14:textId="77777777" w:rsidR="00D87C09" w:rsidRPr="00EB16B4" w:rsidRDefault="00D87C09" w:rsidP="00F74567">
      <w:pPr>
        <w:tabs>
          <w:tab w:val="left" w:pos="0"/>
        </w:tabs>
        <w:ind w:left="567" w:hanging="567"/>
        <w:rPr>
          <w:rFonts w:eastAsiaTheme="minorHAnsi"/>
          <w:color w:val="000000"/>
          <w:szCs w:val="22"/>
          <w:lang w:val="sk-SK"/>
        </w:rPr>
      </w:pPr>
      <w:r w:rsidRPr="00EB16B4">
        <w:rPr>
          <w:rFonts w:eastAsiaTheme="minorHAnsi"/>
          <w:color w:val="000000"/>
          <w:szCs w:val="22"/>
          <w:lang w:val="sk-SK"/>
        </w:rPr>
        <w:t xml:space="preserve">U starších pacientov (65 rokov alebo starší) pri dávkovaní bimatoprostu 0,3 mg/ml dvakrát </w:t>
      </w:r>
    </w:p>
    <w:p w14:paraId="231E015B" w14:textId="77777777" w:rsidR="00D87C09" w:rsidRPr="00EB16B4" w:rsidRDefault="00D87C09" w:rsidP="00F74567">
      <w:pPr>
        <w:tabs>
          <w:tab w:val="left" w:pos="0"/>
        </w:tabs>
        <w:ind w:left="567" w:hanging="567"/>
        <w:rPr>
          <w:rFonts w:eastAsiaTheme="minorHAnsi"/>
          <w:color w:val="000000"/>
          <w:szCs w:val="22"/>
          <w:lang w:val="sk-SK"/>
        </w:rPr>
      </w:pPr>
      <w:r w:rsidRPr="00EB16B4">
        <w:rPr>
          <w:rFonts w:eastAsiaTheme="minorHAnsi"/>
          <w:color w:val="000000"/>
          <w:szCs w:val="22"/>
          <w:lang w:val="sk-SK"/>
        </w:rPr>
        <w:t xml:space="preserve">denne bola priemerná hodnota AUC </w:t>
      </w:r>
      <w:r w:rsidRPr="00EB16B4">
        <w:rPr>
          <w:rFonts w:eastAsiaTheme="minorHAnsi"/>
          <w:color w:val="000000"/>
          <w:sz w:val="14"/>
          <w:szCs w:val="14"/>
          <w:lang w:val="sk-SK"/>
        </w:rPr>
        <w:t xml:space="preserve">0-24hod </w:t>
      </w:r>
      <w:r w:rsidRPr="00EB16B4">
        <w:rPr>
          <w:rFonts w:eastAsiaTheme="minorHAnsi"/>
          <w:color w:val="000000"/>
          <w:szCs w:val="22"/>
          <w:lang w:val="sk-SK"/>
        </w:rPr>
        <w:t xml:space="preserve">0,0634 ng•hod/ml bimatoprostu, čo je signifikantne </w:t>
      </w:r>
    </w:p>
    <w:p w14:paraId="5126D301" w14:textId="77777777" w:rsidR="00F74567" w:rsidRDefault="00D87C09" w:rsidP="00F74567">
      <w:pPr>
        <w:tabs>
          <w:tab w:val="left" w:pos="0"/>
        </w:tabs>
        <w:ind w:left="567" w:hanging="567"/>
        <w:rPr>
          <w:rFonts w:eastAsiaTheme="minorHAnsi"/>
          <w:color w:val="000000"/>
          <w:szCs w:val="22"/>
          <w:lang w:val="sk-SK"/>
        </w:rPr>
      </w:pPr>
      <w:r w:rsidRPr="00EB16B4">
        <w:rPr>
          <w:rFonts w:eastAsiaTheme="minorHAnsi"/>
          <w:color w:val="000000"/>
          <w:szCs w:val="22"/>
          <w:lang w:val="sk-SK"/>
        </w:rPr>
        <w:t xml:space="preserve">viac ako 0,0218 ng•hod/ml u mladých zdravých dospelých osôb. </w:t>
      </w:r>
    </w:p>
    <w:p w14:paraId="5979AA20" w14:textId="77777777" w:rsidR="00F74567" w:rsidRDefault="00D87C09" w:rsidP="00F74567">
      <w:pPr>
        <w:tabs>
          <w:tab w:val="left" w:pos="0"/>
        </w:tabs>
        <w:ind w:left="567" w:hanging="567"/>
        <w:rPr>
          <w:rFonts w:eastAsiaTheme="minorHAnsi"/>
          <w:color w:val="000000"/>
          <w:szCs w:val="22"/>
          <w:lang w:val="sk-SK"/>
        </w:rPr>
      </w:pPr>
      <w:r w:rsidRPr="00EB16B4">
        <w:rPr>
          <w:rFonts w:eastAsiaTheme="minorHAnsi"/>
          <w:color w:val="000000"/>
          <w:szCs w:val="22"/>
          <w:lang w:val="sk-SK"/>
        </w:rPr>
        <w:t>Avšak toto zistenie nie je klinicky relevantné, pretože systémov</w:t>
      </w:r>
      <w:r w:rsidR="00F74567">
        <w:rPr>
          <w:rFonts w:eastAsiaTheme="minorHAnsi"/>
          <w:color w:val="000000"/>
          <w:szCs w:val="22"/>
          <w:lang w:val="sk-SK"/>
        </w:rPr>
        <w:t xml:space="preserve">á expozícia starších i mladších </w:t>
      </w:r>
    </w:p>
    <w:p w14:paraId="2B806285" w14:textId="77777777" w:rsidR="00F74567" w:rsidRDefault="00D87C09" w:rsidP="00F74567">
      <w:pPr>
        <w:tabs>
          <w:tab w:val="left" w:pos="0"/>
        </w:tabs>
        <w:ind w:left="567" w:hanging="567"/>
        <w:rPr>
          <w:rFonts w:eastAsiaTheme="minorHAnsi"/>
          <w:color w:val="000000"/>
          <w:szCs w:val="22"/>
          <w:lang w:val="sk-SK"/>
        </w:rPr>
      </w:pPr>
      <w:r w:rsidRPr="00EB16B4">
        <w:rPr>
          <w:rFonts w:eastAsiaTheme="minorHAnsi"/>
          <w:color w:val="000000"/>
          <w:szCs w:val="22"/>
          <w:lang w:val="sk-SK"/>
        </w:rPr>
        <w:t>osôb je pri očnom podávaní veľmi nízka. Kumulácia bima</w:t>
      </w:r>
      <w:r w:rsidR="00F74567">
        <w:rPr>
          <w:rFonts w:eastAsiaTheme="minorHAnsi"/>
          <w:color w:val="000000"/>
          <w:szCs w:val="22"/>
          <w:lang w:val="sk-SK"/>
        </w:rPr>
        <w:t>toprostu v krvi v priebehu doby</w:t>
      </w:r>
    </w:p>
    <w:p w14:paraId="77505A6F" w14:textId="77777777" w:rsidR="00E554D5" w:rsidRPr="00F74567" w:rsidRDefault="00D87C09" w:rsidP="00F74567">
      <w:pPr>
        <w:tabs>
          <w:tab w:val="clear" w:pos="567"/>
          <w:tab w:val="left" w:pos="0"/>
        </w:tabs>
        <w:rPr>
          <w:rFonts w:eastAsiaTheme="minorHAnsi"/>
          <w:color w:val="000000"/>
          <w:szCs w:val="22"/>
          <w:lang w:val="sk-SK"/>
        </w:rPr>
      </w:pPr>
      <w:r w:rsidRPr="00EB16B4">
        <w:rPr>
          <w:rFonts w:eastAsiaTheme="minorHAnsi"/>
          <w:color w:val="000000"/>
          <w:szCs w:val="22"/>
          <w:lang w:val="sk-SK"/>
        </w:rPr>
        <w:t>používania nie je známa a bezpečnostný profil pre starších i mladých pacientov je podobný.</w:t>
      </w:r>
    </w:p>
    <w:p w14:paraId="60AA5786" w14:textId="77777777" w:rsidR="00F74567" w:rsidRDefault="00F74567" w:rsidP="00F74567">
      <w:pPr>
        <w:tabs>
          <w:tab w:val="clear" w:pos="567"/>
          <w:tab w:val="left" w:pos="0"/>
        </w:tabs>
        <w:autoSpaceDE w:val="0"/>
        <w:autoSpaceDN w:val="0"/>
        <w:adjustRightInd w:val="0"/>
        <w:spacing w:line="240" w:lineRule="auto"/>
        <w:rPr>
          <w:rFonts w:eastAsiaTheme="minorHAnsi"/>
          <w:color w:val="000000"/>
          <w:szCs w:val="22"/>
          <w:u w:val="single"/>
          <w:lang w:val="sk-SK"/>
        </w:rPr>
      </w:pPr>
    </w:p>
    <w:p w14:paraId="01EC8B9F" w14:textId="77777777" w:rsidR="004A5B07" w:rsidRPr="00F74567" w:rsidRDefault="004A5B07" w:rsidP="00F74567">
      <w:pPr>
        <w:tabs>
          <w:tab w:val="clear" w:pos="567"/>
          <w:tab w:val="left" w:pos="0"/>
        </w:tabs>
        <w:autoSpaceDE w:val="0"/>
        <w:autoSpaceDN w:val="0"/>
        <w:adjustRightInd w:val="0"/>
        <w:spacing w:line="240" w:lineRule="auto"/>
        <w:rPr>
          <w:rFonts w:eastAsiaTheme="minorHAnsi"/>
          <w:color w:val="000000"/>
          <w:szCs w:val="22"/>
          <w:u w:val="single"/>
          <w:lang w:val="sk-SK"/>
        </w:rPr>
      </w:pPr>
      <w:r w:rsidRPr="00F74567">
        <w:rPr>
          <w:rFonts w:eastAsiaTheme="minorHAnsi"/>
          <w:color w:val="000000"/>
          <w:szCs w:val="22"/>
          <w:u w:val="single"/>
          <w:lang w:val="sk-SK"/>
        </w:rPr>
        <w:t xml:space="preserve">Timolol </w:t>
      </w:r>
    </w:p>
    <w:p w14:paraId="6AB5015D" w14:textId="77777777" w:rsidR="00E554D5" w:rsidRDefault="004A5B07" w:rsidP="00F74567">
      <w:pPr>
        <w:tabs>
          <w:tab w:val="left" w:pos="0"/>
        </w:tabs>
        <w:rPr>
          <w:rFonts w:eastAsiaTheme="minorHAnsi"/>
          <w:color w:val="000000"/>
          <w:szCs w:val="22"/>
          <w:lang w:val="sk-SK"/>
        </w:rPr>
      </w:pPr>
      <w:r w:rsidRPr="00EB16B4">
        <w:rPr>
          <w:rFonts w:eastAsiaTheme="minorHAnsi"/>
          <w:color w:val="000000"/>
          <w:szCs w:val="22"/>
          <w:lang w:val="sk-SK"/>
        </w:rPr>
        <w:t>Po očnom podávaní 0,5% roztoku očných kvapiek ľuďom podrobujúcim sa operácii katarakty bola maximálna koncentrácia timololu 898 ng/ml v moku očnej komory jednu hodinu po podaní. Časť dávky sa vstrebáva systémovo, kde sa rozsiahlo metabolizuje v pečeni. Polčas timololu v plazme je cca 4 až 6 hodín. Timolol sa čiastočne metabolizuje v pečeni a timolol a jeho metabolity sa vylučujú obličkami. Timolol sa neviaže vo veľkom rozsahu na plazmu.</w:t>
      </w:r>
    </w:p>
    <w:p w14:paraId="3D024C3E" w14:textId="77777777" w:rsidR="00F74567" w:rsidRPr="00EB16B4" w:rsidRDefault="00F74567" w:rsidP="00F74567">
      <w:pPr>
        <w:tabs>
          <w:tab w:val="left" w:pos="0"/>
        </w:tabs>
        <w:rPr>
          <w:lang w:val="sk-SK"/>
        </w:rPr>
      </w:pPr>
    </w:p>
    <w:p w14:paraId="1C33AFE1" w14:textId="77777777" w:rsidR="00E554D5" w:rsidRDefault="00B81931" w:rsidP="00F74567">
      <w:pPr>
        <w:tabs>
          <w:tab w:val="clear" w:pos="567"/>
          <w:tab w:val="left" w:pos="709"/>
        </w:tabs>
        <w:rPr>
          <w:color w:val="000000" w:themeColor="text1"/>
          <w:lang w:val="sk-SK"/>
        </w:rPr>
      </w:pPr>
      <w:r w:rsidRPr="00EB16B4">
        <w:rPr>
          <w:b/>
          <w:bCs/>
          <w:szCs w:val="22"/>
          <w:lang w:val="sk-SK"/>
        </w:rPr>
        <w:t xml:space="preserve">5.3     </w:t>
      </w:r>
      <w:r w:rsidR="00F74567">
        <w:rPr>
          <w:b/>
          <w:bCs/>
          <w:szCs w:val="22"/>
          <w:lang w:val="sk-SK"/>
        </w:rPr>
        <w:tab/>
      </w:r>
      <w:r w:rsidRPr="00EB16B4">
        <w:rPr>
          <w:b/>
          <w:bCs/>
          <w:szCs w:val="22"/>
          <w:lang w:val="sk-SK"/>
        </w:rPr>
        <w:t>Predklinické údaje o bezpečnosti</w:t>
      </w:r>
      <w:r w:rsidR="00845D6B" w:rsidRPr="00EB16B4">
        <w:rPr>
          <w:color w:val="000000" w:themeColor="text1"/>
          <w:lang w:val="sk-SK"/>
        </w:rPr>
        <w:tab/>
      </w:r>
    </w:p>
    <w:p w14:paraId="05EF1DEA" w14:textId="77777777" w:rsidR="00F74567" w:rsidRPr="00EB16B4" w:rsidRDefault="00F74567" w:rsidP="00F74567">
      <w:pPr>
        <w:tabs>
          <w:tab w:val="clear" w:pos="567"/>
          <w:tab w:val="left" w:pos="709"/>
        </w:tabs>
        <w:rPr>
          <w:color w:val="000000" w:themeColor="text1"/>
          <w:lang w:val="sk-SK"/>
        </w:rPr>
      </w:pPr>
    </w:p>
    <w:p w14:paraId="415B3EF3" w14:textId="77777777" w:rsidR="000C7198" w:rsidRPr="00EB16B4" w:rsidRDefault="00B44D9C" w:rsidP="00E554D5">
      <w:pPr>
        <w:autoSpaceDE w:val="0"/>
        <w:autoSpaceDN w:val="0"/>
        <w:adjustRightInd w:val="0"/>
        <w:rPr>
          <w:color w:val="000000" w:themeColor="text1"/>
          <w:lang w:val="sk-SK" w:eastAsia="el-GR"/>
        </w:rPr>
      </w:pPr>
      <w:r w:rsidRPr="00EB16B4">
        <w:rPr>
          <w:u w:val="single"/>
          <w:lang w:val="sk-SK" w:eastAsia="el-GR"/>
        </w:rPr>
        <w:t>Bimatoprost/timolol 0</w:t>
      </w:r>
      <w:r w:rsidR="009266CD">
        <w:rPr>
          <w:u w:val="single"/>
          <w:lang w:val="sk-SK" w:eastAsia="el-GR"/>
        </w:rPr>
        <w:t>,</w:t>
      </w:r>
      <w:r w:rsidRPr="00EB16B4">
        <w:rPr>
          <w:u w:val="single"/>
          <w:lang w:val="sk-SK" w:eastAsia="el-GR"/>
        </w:rPr>
        <w:t>3 mg/m</w:t>
      </w:r>
      <w:r w:rsidR="009266CD">
        <w:rPr>
          <w:u w:val="single"/>
          <w:lang w:val="sk-SK" w:eastAsia="el-GR"/>
        </w:rPr>
        <w:t>l</w:t>
      </w:r>
      <w:r w:rsidRPr="00EB16B4">
        <w:rPr>
          <w:u w:val="single"/>
          <w:lang w:val="sk-SK" w:eastAsia="el-GR"/>
        </w:rPr>
        <w:t xml:space="preserve"> + 5 mg/m</w:t>
      </w:r>
      <w:r w:rsidR="009266CD">
        <w:rPr>
          <w:u w:val="single"/>
          <w:lang w:val="sk-SK" w:eastAsia="el-GR"/>
        </w:rPr>
        <w:t>l</w:t>
      </w:r>
      <w:r w:rsidRPr="00EB16B4">
        <w:rPr>
          <w:rFonts w:eastAsiaTheme="minorHAnsi"/>
          <w:color w:val="000000"/>
          <w:szCs w:val="22"/>
          <w:u w:val="single"/>
          <w:lang w:val="sk-SK"/>
        </w:rPr>
        <w:t xml:space="preserve"> očná roztoková instilácia</w:t>
      </w:r>
    </w:p>
    <w:p w14:paraId="648AB8CE" w14:textId="77777777" w:rsidR="003559B1" w:rsidRDefault="000C7198" w:rsidP="00E554D5">
      <w:pPr>
        <w:autoSpaceDE w:val="0"/>
        <w:autoSpaceDN w:val="0"/>
        <w:adjustRightInd w:val="0"/>
        <w:rPr>
          <w:szCs w:val="22"/>
          <w:lang w:val="sk-SK"/>
        </w:rPr>
      </w:pPr>
      <w:r w:rsidRPr="00EB16B4">
        <w:rPr>
          <w:szCs w:val="22"/>
          <w:lang w:val="sk-SK"/>
        </w:rPr>
        <w:t>Opakované štúdie toxicity po opakovanom podávaní</w:t>
      </w:r>
      <w:r w:rsidR="009266CD">
        <w:rPr>
          <w:szCs w:val="22"/>
          <w:lang w:val="sk-SK"/>
        </w:rPr>
        <w:t xml:space="preserve"> </w:t>
      </w:r>
      <w:r w:rsidR="009266CD" w:rsidRPr="00EB16B4">
        <w:rPr>
          <w:rFonts w:eastAsiaTheme="minorHAnsi"/>
          <w:color w:val="000000"/>
          <w:szCs w:val="22"/>
          <w:lang w:val="sk-SK"/>
        </w:rPr>
        <w:t>očn</w:t>
      </w:r>
      <w:r w:rsidR="009266CD">
        <w:rPr>
          <w:rFonts w:eastAsiaTheme="minorHAnsi"/>
          <w:color w:val="000000"/>
          <w:szCs w:val="22"/>
          <w:lang w:val="sk-SK"/>
        </w:rPr>
        <w:t xml:space="preserve">ej </w:t>
      </w:r>
      <w:r w:rsidR="009266CD" w:rsidRPr="00EB16B4">
        <w:rPr>
          <w:rFonts w:eastAsiaTheme="minorHAnsi"/>
          <w:color w:val="000000"/>
          <w:szCs w:val="22"/>
          <w:lang w:val="sk-SK"/>
        </w:rPr>
        <w:t>roztokov</w:t>
      </w:r>
      <w:r w:rsidR="009266CD">
        <w:rPr>
          <w:rFonts w:eastAsiaTheme="minorHAnsi"/>
          <w:color w:val="000000"/>
          <w:szCs w:val="22"/>
          <w:lang w:val="sk-SK"/>
        </w:rPr>
        <w:t>ej</w:t>
      </w:r>
      <w:r w:rsidR="009266CD" w:rsidRPr="00EB16B4">
        <w:rPr>
          <w:rFonts w:eastAsiaTheme="minorHAnsi"/>
          <w:color w:val="000000"/>
          <w:szCs w:val="22"/>
          <w:lang w:val="sk-SK"/>
        </w:rPr>
        <w:t xml:space="preserve"> instiláci</w:t>
      </w:r>
      <w:r w:rsidR="009266CD">
        <w:rPr>
          <w:rFonts w:eastAsiaTheme="minorHAnsi"/>
          <w:color w:val="000000"/>
          <w:szCs w:val="22"/>
          <w:lang w:val="sk-SK"/>
        </w:rPr>
        <w:t>e</w:t>
      </w:r>
      <w:r w:rsidRPr="00EB16B4">
        <w:rPr>
          <w:szCs w:val="22"/>
          <w:lang w:val="sk-SK"/>
        </w:rPr>
        <w:t xml:space="preserve"> </w:t>
      </w:r>
      <w:r w:rsidR="009266CD">
        <w:rPr>
          <w:szCs w:val="22"/>
          <w:lang w:val="sk-SK"/>
        </w:rPr>
        <w:t>s obsahom konzervačných látok b</w:t>
      </w:r>
      <w:r w:rsidR="00B26180" w:rsidRPr="00EB16B4">
        <w:rPr>
          <w:lang w:val="sk-SK" w:eastAsia="el-GR"/>
        </w:rPr>
        <w:t>imatoprost/timolol 0</w:t>
      </w:r>
      <w:r w:rsidR="009266CD">
        <w:rPr>
          <w:lang w:val="sk-SK" w:eastAsia="el-GR"/>
        </w:rPr>
        <w:t>,</w:t>
      </w:r>
      <w:r w:rsidR="00B26180" w:rsidRPr="00EB16B4">
        <w:rPr>
          <w:lang w:val="sk-SK" w:eastAsia="el-GR"/>
        </w:rPr>
        <w:t>3 mg/m</w:t>
      </w:r>
      <w:r w:rsidR="009266CD">
        <w:rPr>
          <w:lang w:val="sk-SK" w:eastAsia="el-GR"/>
        </w:rPr>
        <w:t>l</w:t>
      </w:r>
      <w:r w:rsidR="00B26180" w:rsidRPr="00EB16B4">
        <w:rPr>
          <w:lang w:val="sk-SK" w:eastAsia="el-GR"/>
        </w:rPr>
        <w:t xml:space="preserve"> + 5 mg/m</w:t>
      </w:r>
      <w:r w:rsidR="009266CD">
        <w:rPr>
          <w:lang w:val="sk-SK" w:eastAsia="el-GR"/>
        </w:rPr>
        <w:t>l</w:t>
      </w:r>
      <w:r w:rsidR="00B26180" w:rsidRPr="00EB16B4">
        <w:rPr>
          <w:rFonts w:eastAsiaTheme="minorHAnsi"/>
          <w:color w:val="000000"/>
          <w:szCs w:val="22"/>
          <w:lang w:val="sk-SK"/>
        </w:rPr>
        <w:t xml:space="preserve"> </w:t>
      </w:r>
      <w:r w:rsidRPr="00EB16B4">
        <w:rPr>
          <w:szCs w:val="22"/>
          <w:lang w:val="sk-SK"/>
        </w:rPr>
        <w:t>neodhalili žiadne osobitné riziko pre ľudí. Profil očnej a systémovej bezpečnosti jednotlivých zložiek je už pevne stanovený</w:t>
      </w:r>
      <w:r w:rsidR="003559B1" w:rsidRPr="00EB16B4">
        <w:rPr>
          <w:szCs w:val="22"/>
          <w:lang w:val="sk-SK"/>
        </w:rPr>
        <w:t>.</w:t>
      </w:r>
    </w:p>
    <w:p w14:paraId="38E0B072" w14:textId="77777777" w:rsidR="00F74567" w:rsidRPr="00EB16B4" w:rsidRDefault="00F74567" w:rsidP="00E554D5">
      <w:pPr>
        <w:autoSpaceDE w:val="0"/>
        <w:autoSpaceDN w:val="0"/>
        <w:adjustRightInd w:val="0"/>
        <w:rPr>
          <w:szCs w:val="22"/>
          <w:lang w:val="sk-SK"/>
        </w:rPr>
      </w:pPr>
    </w:p>
    <w:p w14:paraId="1EDDD7B0" w14:textId="77777777" w:rsidR="00763A0C" w:rsidRPr="00EB16B4" w:rsidRDefault="00763A0C" w:rsidP="00763A0C">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Bimatoprost </w:t>
      </w:r>
    </w:p>
    <w:p w14:paraId="3FA83F59" w14:textId="77777777" w:rsidR="00763A0C" w:rsidRPr="00EB16B4" w:rsidRDefault="00763A0C" w:rsidP="00763A0C">
      <w:pPr>
        <w:tabs>
          <w:tab w:val="clear" w:pos="567"/>
        </w:tabs>
        <w:autoSpaceDE w:val="0"/>
        <w:autoSpaceDN w:val="0"/>
        <w:adjustRightInd w:val="0"/>
        <w:spacing w:line="240" w:lineRule="auto"/>
        <w:rPr>
          <w:rFonts w:eastAsiaTheme="minorHAnsi"/>
          <w:color w:val="000000"/>
          <w:szCs w:val="22"/>
          <w:lang w:val="sk-SK"/>
        </w:rPr>
      </w:pPr>
      <w:r w:rsidRPr="00EB16B4">
        <w:rPr>
          <w:rFonts w:eastAsiaTheme="minorHAnsi"/>
          <w:color w:val="000000"/>
          <w:szCs w:val="22"/>
          <w:lang w:val="sk-SK"/>
        </w:rPr>
        <w:t xml:space="preserve">Predklinické údaje získané na základe obvyklých farmakologických štúdií bezpečnosti, toxicity po opakovanom podávaní, genotoxicity, karcinogénneho potenciálu, reprodukčnej toxicity a vývinu neodhalili žiadne osobitné riziko pre ľudí. V štúdiách na hlodavcoch pri systémovej expozícii 33- až 97-krát vyššej, než sa dosahuje u človeka po očnom podaní, sa vyvíjali druhovo špecifické aborty. </w:t>
      </w:r>
    </w:p>
    <w:p w14:paraId="34930CF4" w14:textId="77777777" w:rsidR="00A908AB" w:rsidRPr="00EB16B4" w:rsidRDefault="00A908AB" w:rsidP="00763A0C">
      <w:pPr>
        <w:tabs>
          <w:tab w:val="clear" w:pos="567"/>
        </w:tabs>
        <w:autoSpaceDE w:val="0"/>
        <w:autoSpaceDN w:val="0"/>
        <w:adjustRightInd w:val="0"/>
        <w:spacing w:line="240" w:lineRule="auto"/>
        <w:rPr>
          <w:rFonts w:eastAsiaTheme="minorHAnsi"/>
          <w:color w:val="000000"/>
          <w:szCs w:val="22"/>
          <w:lang w:val="sk-SK"/>
        </w:rPr>
      </w:pPr>
    </w:p>
    <w:p w14:paraId="0864BB65" w14:textId="77777777" w:rsidR="00E554D5" w:rsidRPr="00EB16B4" w:rsidRDefault="00763A0C" w:rsidP="00763A0C">
      <w:pPr>
        <w:autoSpaceDE w:val="0"/>
        <w:autoSpaceDN w:val="0"/>
        <w:adjustRightInd w:val="0"/>
        <w:rPr>
          <w:rFonts w:eastAsiaTheme="minorHAnsi"/>
          <w:color w:val="000000"/>
          <w:szCs w:val="22"/>
          <w:lang w:val="sk-SK"/>
        </w:rPr>
      </w:pPr>
      <w:r w:rsidRPr="00EB16B4">
        <w:rPr>
          <w:rFonts w:eastAsiaTheme="minorHAnsi"/>
          <w:color w:val="000000"/>
          <w:szCs w:val="22"/>
          <w:lang w:val="sk-SK"/>
        </w:rPr>
        <w:t>Očné podávanie bimatoprostu opiciam v koncentrácii ≥0,03% denne po dobu jedného roka spôsobilo zvýšenie pigmentácie dúhovky a reverzibilný na dávke závislý periokulárny efekt charakterizovaný prominujúcou hornou a/alebo dolnou ryhou a rozšírením palpebrálnej štrbiny. Zdá sa, že zvýšenie pigmentácie dúhovky je spôsobené zvýšenou stimuláciou produkcie melanínu v melanocytoch a nie zvýšením počtu melanocytov. Žiadne funkčné ani mikroskopické zmeny vo vzťahu k periokulárnemu efektu neboli pozorované, mechanizmus účinku vzniku periokulárnych zmien nie je známy.</w:t>
      </w:r>
    </w:p>
    <w:p w14:paraId="1B75C180" w14:textId="77777777" w:rsidR="002525A5" w:rsidRPr="00EB16B4" w:rsidRDefault="002525A5" w:rsidP="00763A0C">
      <w:pPr>
        <w:autoSpaceDE w:val="0"/>
        <w:autoSpaceDN w:val="0"/>
        <w:adjustRightInd w:val="0"/>
        <w:rPr>
          <w:u w:val="single"/>
          <w:lang w:val="sk-SK" w:eastAsia="el-GR"/>
        </w:rPr>
      </w:pPr>
    </w:p>
    <w:p w14:paraId="0F8CFAA2" w14:textId="77777777" w:rsidR="002525A5" w:rsidRPr="00EB16B4" w:rsidRDefault="002525A5" w:rsidP="002525A5">
      <w:pPr>
        <w:tabs>
          <w:tab w:val="clear" w:pos="567"/>
        </w:tabs>
        <w:autoSpaceDE w:val="0"/>
        <w:autoSpaceDN w:val="0"/>
        <w:adjustRightInd w:val="0"/>
        <w:spacing w:line="240" w:lineRule="auto"/>
        <w:rPr>
          <w:rFonts w:eastAsiaTheme="minorHAnsi"/>
          <w:color w:val="000000"/>
          <w:szCs w:val="22"/>
          <w:u w:val="single"/>
          <w:lang w:val="sk-SK"/>
        </w:rPr>
      </w:pPr>
      <w:r w:rsidRPr="00EB16B4">
        <w:rPr>
          <w:rFonts w:eastAsiaTheme="minorHAnsi"/>
          <w:color w:val="000000"/>
          <w:szCs w:val="22"/>
          <w:u w:val="single"/>
          <w:lang w:val="sk-SK"/>
        </w:rPr>
        <w:t xml:space="preserve">Timolol </w:t>
      </w:r>
    </w:p>
    <w:p w14:paraId="2E77D5FF" w14:textId="77777777" w:rsidR="00E554D5" w:rsidRPr="00EB16B4" w:rsidRDefault="002525A5" w:rsidP="002525A5">
      <w:pPr>
        <w:rPr>
          <w:rFonts w:eastAsiaTheme="minorHAnsi"/>
          <w:color w:val="000000"/>
          <w:szCs w:val="22"/>
          <w:lang w:val="sk-SK"/>
        </w:rPr>
      </w:pPr>
      <w:r w:rsidRPr="00EB16B4">
        <w:rPr>
          <w:rFonts w:eastAsiaTheme="minorHAnsi"/>
          <w:color w:val="000000"/>
          <w:szCs w:val="22"/>
          <w:lang w:val="sk-SK"/>
        </w:rPr>
        <w:t>Predklinické údaje získané na základe obvyklých farmakologických štúdií bezpečnosti, toxicity po opakovanom podávaní, genotoxicity, karcinogénneho potenciálu, reprodukčnej toxicity a vývinu neodhalili žiadne osobitné riziko pre ľudí.</w:t>
      </w:r>
    </w:p>
    <w:p w14:paraId="46595381" w14:textId="77777777" w:rsidR="002525A5" w:rsidRDefault="002525A5" w:rsidP="002525A5">
      <w:pPr>
        <w:rPr>
          <w:szCs w:val="22"/>
          <w:lang w:val="sk-SK"/>
        </w:rPr>
      </w:pPr>
    </w:p>
    <w:p w14:paraId="7645CD78" w14:textId="77777777" w:rsidR="00B00583" w:rsidRPr="00EB16B4" w:rsidRDefault="00B00583" w:rsidP="002525A5">
      <w:pPr>
        <w:rPr>
          <w:szCs w:val="22"/>
          <w:lang w:val="sk-SK"/>
        </w:rPr>
      </w:pPr>
    </w:p>
    <w:p w14:paraId="6BE55AB8" w14:textId="77777777" w:rsidR="00B96E68" w:rsidRPr="00EB16B4" w:rsidRDefault="00B96E68" w:rsidP="00B96E68">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6.            FARMACEUTICKÉ INFORMÁCIE </w:t>
      </w:r>
    </w:p>
    <w:p w14:paraId="58D64365" w14:textId="77777777" w:rsidR="00B96E68" w:rsidRPr="00EB16B4" w:rsidRDefault="00B96E68" w:rsidP="00B96E68">
      <w:pPr>
        <w:tabs>
          <w:tab w:val="clear" w:pos="567"/>
        </w:tabs>
        <w:autoSpaceDE w:val="0"/>
        <w:autoSpaceDN w:val="0"/>
        <w:adjustRightInd w:val="0"/>
        <w:spacing w:line="240" w:lineRule="auto"/>
        <w:rPr>
          <w:rFonts w:eastAsiaTheme="minorHAnsi"/>
          <w:color w:val="000000"/>
          <w:szCs w:val="22"/>
          <w:lang w:val="sk-SK"/>
        </w:rPr>
      </w:pPr>
    </w:p>
    <w:p w14:paraId="2EE471F4" w14:textId="77777777" w:rsidR="00E554D5" w:rsidRPr="00EB16B4" w:rsidRDefault="00B96E68" w:rsidP="00B96E68">
      <w:pPr>
        <w:tabs>
          <w:tab w:val="clear" w:pos="567"/>
        </w:tabs>
        <w:spacing w:line="240" w:lineRule="auto"/>
        <w:rPr>
          <w:rFonts w:eastAsiaTheme="minorHAnsi"/>
          <w:b/>
          <w:bCs/>
          <w:color w:val="000000"/>
          <w:szCs w:val="22"/>
          <w:lang w:val="sk-SK"/>
        </w:rPr>
      </w:pPr>
      <w:r w:rsidRPr="00EB16B4">
        <w:rPr>
          <w:rFonts w:eastAsiaTheme="minorHAnsi"/>
          <w:b/>
          <w:bCs/>
          <w:color w:val="000000"/>
          <w:szCs w:val="22"/>
          <w:lang w:val="sk-SK"/>
        </w:rPr>
        <w:t>6.1         Zoznam pomocných látok</w:t>
      </w:r>
    </w:p>
    <w:p w14:paraId="0CF46593" w14:textId="77777777" w:rsidR="00B96E68" w:rsidRPr="00EB16B4" w:rsidRDefault="00B96E68" w:rsidP="00B96E68">
      <w:pPr>
        <w:tabs>
          <w:tab w:val="clear" w:pos="567"/>
        </w:tabs>
        <w:spacing w:line="240" w:lineRule="auto"/>
        <w:rPr>
          <w:rFonts w:eastAsiaTheme="minorHAnsi"/>
          <w:szCs w:val="22"/>
          <w:lang w:val="sk-SK"/>
        </w:rPr>
      </w:pPr>
    </w:p>
    <w:p w14:paraId="16E97A44" w14:textId="33D18E1E" w:rsidR="00E554D5" w:rsidRPr="00EB16B4" w:rsidRDefault="00553CED" w:rsidP="00F23948">
      <w:pPr>
        <w:rPr>
          <w:lang w:val="sk-SK"/>
        </w:rPr>
      </w:pPr>
      <w:r w:rsidRPr="00EB16B4">
        <w:rPr>
          <w:lang w:val="sk-SK"/>
        </w:rPr>
        <w:t>Chlorid sodný</w:t>
      </w:r>
      <w:r w:rsidRPr="00EB16B4">
        <w:rPr>
          <w:lang w:val="sk-SK"/>
        </w:rPr>
        <w:br/>
      </w:r>
      <w:r w:rsidR="001E024D">
        <w:rPr>
          <w:lang w:val="sk-SK"/>
        </w:rPr>
        <w:t>H</w:t>
      </w:r>
      <w:r w:rsidR="00DF6FB9">
        <w:rPr>
          <w:lang w:val="sk-SK"/>
        </w:rPr>
        <w:t>ydrog</w:t>
      </w:r>
      <w:r w:rsidR="001E024D">
        <w:rPr>
          <w:lang w:val="sk-SK"/>
        </w:rPr>
        <w:t>e</w:t>
      </w:r>
      <w:r w:rsidR="00DF6FB9">
        <w:rPr>
          <w:lang w:val="sk-SK"/>
        </w:rPr>
        <w:t xml:space="preserve">nfosforečnan </w:t>
      </w:r>
      <w:r w:rsidR="001E024D">
        <w:rPr>
          <w:lang w:val="sk-SK"/>
        </w:rPr>
        <w:t>sodný, heptahydrát</w:t>
      </w:r>
      <w:r w:rsidRPr="00EB16B4">
        <w:rPr>
          <w:lang w:val="sk-SK"/>
        </w:rPr>
        <w:br/>
      </w:r>
      <w:r w:rsidR="001E024D">
        <w:rPr>
          <w:lang w:val="sk-SK"/>
        </w:rPr>
        <w:t>K</w:t>
      </w:r>
      <w:r w:rsidRPr="00EB16B4">
        <w:rPr>
          <w:lang w:val="sk-SK"/>
        </w:rPr>
        <w:t>yselin</w:t>
      </w:r>
      <w:r w:rsidR="001E024D">
        <w:rPr>
          <w:lang w:val="sk-SK"/>
        </w:rPr>
        <w:t>a</w:t>
      </w:r>
      <w:r w:rsidRPr="00EB16B4">
        <w:rPr>
          <w:lang w:val="sk-SK"/>
        </w:rPr>
        <w:t xml:space="preserve"> </w:t>
      </w:r>
      <w:r w:rsidR="001E024D" w:rsidRPr="00EB16B4">
        <w:rPr>
          <w:lang w:val="sk-SK"/>
        </w:rPr>
        <w:t>citrónov</w:t>
      </w:r>
      <w:r w:rsidR="001E024D">
        <w:rPr>
          <w:lang w:val="sk-SK"/>
        </w:rPr>
        <w:t>á, m</w:t>
      </w:r>
      <w:r w:rsidR="001E024D" w:rsidRPr="00EB16B4">
        <w:rPr>
          <w:lang w:val="sk-SK"/>
        </w:rPr>
        <w:t xml:space="preserve">onohydrát </w:t>
      </w:r>
      <w:r w:rsidR="00DF6FB9">
        <w:rPr>
          <w:lang w:val="sk-SK"/>
        </w:rPr>
        <w:t>(</w:t>
      </w:r>
      <w:r w:rsidRPr="00EB16B4">
        <w:rPr>
          <w:lang w:val="sk-SK"/>
        </w:rPr>
        <w:t>E330</w:t>
      </w:r>
      <w:r w:rsidR="00DF6FB9">
        <w:rPr>
          <w:lang w:val="sk-SK"/>
        </w:rPr>
        <w:t>)</w:t>
      </w:r>
      <w:r w:rsidRPr="00EB16B4">
        <w:rPr>
          <w:lang w:val="sk-SK"/>
        </w:rPr>
        <w:br/>
        <w:t xml:space="preserve">Hydroxid sodný </w:t>
      </w:r>
      <w:r w:rsidR="00DF6FB9">
        <w:rPr>
          <w:lang w:val="sk-SK"/>
        </w:rPr>
        <w:t>(</w:t>
      </w:r>
      <w:r w:rsidRPr="00EB16B4">
        <w:rPr>
          <w:lang w:val="sk-SK"/>
        </w:rPr>
        <w:t>E524</w:t>
      </w:r>
      <w:r w:rsidR="00DF6FB9">
        <w:rPr>
          <w:lang w:val="sk-SK"/>
        </w:rPr>
        <w:t>)</w:t>
      </w:r>
      <w:r w:rsidRPr="00EB16B4">
        <w:rPr>
          <w:lang w:val="sk-SK"/>
        </w:rPr>
        <w:t xml:space="preserve"> a/alebo kyselina chlorovodíková </w:t>
      </w:r>
      <w:r w:rsidR="00DF6FB9">
        <w:rPr>
          <w:lang w:val="sk-SK"/>
        </w:rPr>
        <w:t>(E</w:t>
      </w:r>
      <w:r w:rsidRPr="00EB16B4">
        <w:rPr>
          <w:lang w:val="sk-SK"/>
        </w:rPr>
        <w:t>507</w:t>
      </w:r>
      <w:r w:rsidR="00DF6FB9">
        <w:rPr>
          <w:lang w:val="sk-SK"/>
        </w:rPr>
        <w:t>)</w:t>
      </w:r>
      <w:r w:rsidRPr="00EB16B4">
        <w:rPr>
          <w:lang w:val="sk-SK"/>
        </w:rPr>
        <w:t xml:space="preserve"> (na úpravu pH)</w:t>
      </w:r>
      <w:r w:rsidRPr="00EB16B4">
        <w:rPr>
          <w:lang w:val="sk-SK"/>
        </w:rPr>
        <w:br/>
      </w:r>
      <w:r w:rsidR="001E024D">
        <w:rPr>
          <w:lang w:val="sk-SK"/>
        </w:rPr>
        <w:t>Voda na injekcie</w:t>
      </w:r>
    </w:p>
    <w:p w14:paraId="16044F95" w14:textId="77777777" w:rsidR="00553CED" w:rsidRPr="00EB16B4" w:rsidRDefault="00553CED" w:rsidP="00F23948">
      <w:pPr>
        <w:rPr>
          <w:lang w:val="sk-SK"/>
        </w:rPr>
      </w:pPr>
    </w:p>
    <w:p w14:paraId="3E6DC88B" w14:textId="77777777" w:rsidR="00D05514" w:rsidRPr="00EB16B4" w:rsidRDefault="00D05514" w:rsidP="00D05514">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6.2        Inkompatibility </w:t>
      </w:r>
    </w:p>
    <w:p w14:paraId="14B345EE" w14:textId="77777777" w:rsidR="00D05514" w:rsidRPr="00EB16B4" w:rsidRDefault="00D05514" w:rsidP="00D05514">
      <w:pPr>
        <w:tabs>
          <w:tab w:val="clear" w:pos="567"/>
        </w:tabs>
        <w:autoSpaceDE w:val="0"/>
        <w:autoSpaceDN w:val="0"/>
        <w:adjustRightInd w:val="0"/>
        <w:spacing w:line="240" w:lineRule="auto"/>
        <w:rPr>
          <w:rFonts w:eastAsiaTheme="minorHAnsi"/>
          <w:color w:val="000000"/>
          <w:szCs w:val="22"/>
          <w:lang w:val="sk-SK"/>
        </w:rPr>
      </w:pPr>
    </w:p>
    <w:p w14:paraId="3C8E6F3D" w14:textId="77777777" w:rsidR="00E538DA" w:rsidRPr="00EB16B4" w:rsidRDefault="00D05514" w:rsidP="00D05514">
      <w:pPr>
        <w:tabs>
          <w:tab w:val="clear" w:pos="567"/>
        </w:tabs>
        <w:spacing w:line="240" w:lineRule="auto"/>
        <w:ind w:left="567" w:hanging="567"/>
        <w:rPr>
          <w:rFonts w:eastAsiaTheme="minorHAnsi"/>
          <w:color w:val="000000"/>
          <w:szCs w:val="22"/>
          <w:lang w:val="sk-SK"/>
        </w:rPr>
      </w:pPr>
      <w:r w:rsidRPr="00EB16B4">
        <w:rPr>
          <w:rFonts w:eastAsiaTheme="minorHAnsi"/>
          <w:color w:val="000000"/>
          <w:szCs w:val="22"/>
          <w:lang w:val="sk-SK"/>
        </w:rPr>
        <w:t>Neaplikovateľné.</w:t>
      </w:r>
    </w:p>
    <w:p w14:paraId="3F4E3E58" w14:textId="77777777" w:rsidR="00D963B8" w:rsidRPr="00EB16B4" w:rsidRDefault="00D963B8" w:rsidP="00D05514">
      <w:pPr>
        <w:tabs>
          <w:tab w:val="clear" w:pos="567"/>
        </w:tabs>
        <w:spacing w:line="240" w:lineRule="auto"/>
        <w:ind w:left="567" w:hanging="567"/>
        <w:rPr>
          <w:rFonts w:eastAsiaTheme="minorHAnsi"/>
          <w:b/>
          <w:szCs w:val="22"/>
          <w:lang w:val="sk-SK"/>
        </w:rPr>
      </w:pPr>
    </w:p>
    <w:p w14:paraId="37BA7EE0" w14:textId="77777777" w:rsidR="007A78D2" w:rsidRPr="00EB16B4" w:rsidRDefault="007A78D2" w:rsidP="007A78D2">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6.3      </w:t>
      </w:r>
      <w:r w:rsidR="00F74567">
        <w:rPr>
          <w:rFonts w:eastAsiaTheme="minorHAnsi"/>
          <w:b/>
          <w:bCs/>
          <w:color w:val="000000"/>
          <w:szCs w:val="22"/>
          <w:lang w:val="sk-SK"/>
        </w:rPr>
        <w:tab/>
      </w:r>
      <w:r w:rsidRPr="00EB16B4">
        <w:rPr>
          <w:rFonts w:eastAsiaTheme="minorHAnsi"/>
          <w:b/>
          <w:bCs/>
          <w:color w:val="000000"/>
          <w:szCs w:val="22"/>
          <w:lang w:val="sk-SK"/>
        </w:rPr>
        <w:t xml:space="preserve">Čas použiteľnosti </w:t>
      </w:r>
    </w:p>
    <w:p w14:paraId="08A2271A" w14:textId="77777777" w:rsidR="007A78D2" w:rsidRPr="00EB16B4" w:rsidRDefault="007A78D2" w:rsidP="007A78D2">
      <w:pPr>
        <w:tabs>
          <w:tab w:val="clear" w:pos="567"/>
        </w:tabs>
        <w:autoSpaceDE w:val="0"/>
        <w:autoSpaceDN w:val="0"/>
        <w:adjustRightInd w:val="0"/>
        <w:spacing w:line="240" w:lineRule="auto"/>
        <w:rPr>
          <w:rFonts w:eastAsiaTheme="minorHAnsi"/>
          <w:color w:val="000000"/>
          <w:szCs w:val="22"/>
          <w:lang w:val="sk-SK"/>
        </w:rPr>
      </w:pPr>
    </w:p>
    <w:p w14:paraId="4FC2CE1C" w14:textId="77777777" w:rsidR="007A78D2" w:rsidRDefault="007A78D2" w:rsidP="007A78D2">
      <w:pPr>
        <w:autoSpaceDE w:val="0"/>
        <w:autoSpaceDN w:val="0"/>
        <w:adjustRightInd w:val="0"/>
        <w:rPr>
          <w:rFonts w:eastAsiaTheme="minorHAnsi"/>
          <w:color w:val="000000"/>
          <w:szCs w:val="22"/>
          <w:lang w:val="sk-SK"/>
        </w:rPr>
      </w:pPr>
      <w:r w:rsidRPr="00EB16B4">
        <w:rPr>
          <w:rFonts w:eastAsiaTheme="minorHAnsi"/>
          <w:color w:val="000000"/>
          <w:szCs w:val="22"/>
          <w:lang w:val="sk-SK"/>
        </w:rPr>
        <w:t xml:space="preserve">3 roky </w:t>
      </w:r>
    </w:p>
    <w:p w14:paraId="7F69F4D0" w14:textId="77777777" w:rsidR="00F74567" w:rsidRPr="00EB16B4" w:rsidRDefault="00F74567" w:rsidP="007A78D2">
      <w:pPr>
        <w:autoSpaceDE w:val="0"/>
        <w:autoSpaceDN w:val="0"/>
        <w:adjustRightInd w:val="0"/>
        <w:rPr>
          <w:rFonts w:eastAsiaTheme="minorHAnsi"/>
          <w:color w:val="000000"/>
          <w:szCs w:val="22"/>
          <w:lang w:val="sk-SK"/>
        </w:rPr>
      </w:pPr>
    </w:p>
    <w:p w14:paraId="1EE1DE4E" w14:textId="0945D1F8" w:rsidR="00E554D5" w:rsidRPr="00EB16B4" w:rsidRDefault="0062345C" w:rsidP="00F23948">
      <w:pPr>
        <w:rPr>
          <w:szCs w:val="22"/>
          <w:lang w:val="sk-SK"/>
        </w:rPr>
      </w:pPr>
      <w:r w:rsidRPr="00EB16B4">
        <w:rPr>
          <w:szCs w:val="22"/>
          <w:lang w:val="sk-SK"/>
        </w:rPr>
        <w:t>Z mikrobiologického hľadiska má byť liek po</w:t>
      </w:r>
      <w:r w:rsidR="001E024D">
        <w:rPr>
          <w:szCs w:val="22"/>
          <w:lang w:val="sk-SK"/>
        </w:rPr>
        <w:t xml:space="preserve"> prvom</w:t>
      </w:r>
      <w:r w:rsidRPr="00EB16B4">
        <w:rPr>
          <w:szCs w:val="22"/>
          <w:lang w:val="sk-SK"/>
        </w:rPr>
        <w:t xml:space="preserve"> otvorení uchovávaný maximálne po dobu 28 dní. </w:t>
      </w:r>
      <w:r w:rsidR="00DF6FB9">
        <w:rPr>
          <w:szCs w:val="22"/>
          <w:lang w:val="sk-SK"/>
        </w:rPr>
        <w:t xml:space="preserve">Nie sú potrebné žiadne </w:t>
      </w:r>
      <w:r w:rsidR="0051619D">
        <w:rPr>
          <w:szCs w:val="22"/>
          <w:lang w:val="sk-SK"/>
        </w:rPr>
        <w:t xml:space="preserve">zvláštne požiadavky na uchovávanie. </w:t>
      </w:r>
      <w:r w:rsidRPr="00EB16B4">
        <w:rPr>
          <w:szCs w:val="22"/>
          <w:lang w:val="sk-SK"/>
        </w:rPr>
        <w:t>Iná doba a podmienky uchovávania lieku po otvorení sú na zodpovednosti používateľa.</w:t>
      </w:r>
    </w:p>
    <w:p w14:paraId="5A1A0ADC" w14:textId="77777777" w:rsidR="00193F71" w:rsidRPr="00EB16B4" w:rsidRDefault="00193F71" w:rsidP="00F23948">
      <w:pPr>
        <w:rPr>
          <w:lang w:val="sk-SK"/>
        </w:rPr>
      </w:pPr>
    </w:p>
    <w:p w14:paraId="341F806D" w14:textId="77777777" w:rsidR="00193F71" w:rsidRDefault="00193F71" w:rsidP="00193F71">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6.4 </w:t>
      </w:r>
      <w:r w:rsidR="009D203F" w:rsidRPr="00EB16B4">
        <w:rPr>
          <w:rFonts w:eastAsiaTheme="minorHAnsi"/>
          <w:b/>
          <w:bCs/>
          <w:color w:val="000000"/>
          <w:szCs w:val="22"/>
          <w:lang w:val="sk-SK"/>
        </w:rPr>
        <w:t xml:space="preserve">     </w:t>
      </w:r>
      <w:r w:rsidR="00F74567">
        <w:rPr>
          <w:rFonts w:eastAsiaTheme="minorHAnsi"/>
          <w:b/>
          <w:bCs/>
          <w:color w:val="000000"/>
          <w:szCs w:val="22"/>
          <w:lang w:val="sk-SK"/>
        </w:rPr>
        <w:tab/>
      </w:r>
      <w:r w:rsidRPr="00EB16B4">
        <w:rPr>
          <w:rFonts w:eastAsiaTheme="minorHAnsi"/>
          <w:b/>
          <w:bCs/>
          <w:color w:val="000000"/>
          <w:szCs w:val="22"/>
          <w:lang w:val="sk-SK"/>
        </w:rPr>
        <w:t xml:space="preserve">Špeciálne upozornenia na uchovávanie </w:t>
      </w:r>
    </w:p>
    <w:p w14:paraId="378E9BA8" w14:textId="77777777" w:rsidR="00F74567" w:rsidRPr="00EB16B4" w:rsidRDefault="00F74567" w:rsidP="00193F71">
      <w:pPr>
        <w:tabs>
          <w:tab w:val="clear" w:pos="567"/>
        </w:tabs>
        <w:autoSpaceDE w:val="0"/>
        <w:autoSpaceDN w:val="0"/>
        <w:adjustRightInd w:val="0"/>
        <w:spacing w:line="240" w:lineRule="auto"/>
        <w:rPr>
          <w:rFonts w:eastAsiaTheme="minorHAnsi"/>
          <w:color w:val="000000"/>
          <w:szCs w:val="22"/>
          <w:lang w:val="sk-SK"/>
        </w:rPr>
      </w:pPr>
    </w:p>
    <w:p w14:paraId="74F64F80" w14:textId="5694CBFE" w:rsidR="00F74567" w:rsidRDefault="00193F71" w:rsidP="00193F71">
      <w:pPr>
        <w:rPr>
          <w:rFonts w:eastAsiaTheme="minorHAnsi"/>
          <w:color w:val="000000"/>
          <w:szCs w:val="22"/>
          <w:lang w:val="sk-SK"/>
        </w:rPr>
      </w:pPr>
      <w:r w:rsidRPr="00EB16B4">
        <w:rPr>
          <w:rFonts w:eastAsiaTheme="minorHAnsi"/>
          <w:color w:val="000000"/>
          <w:szCs w:val="22"/>
          <w:lang w:val="sk-SK"/>
        </w:rPr>
        <w:t xml:space="preserve">Tento liek nevyžaduje žiadne zvláštne </w:t>
      </w:r>
      <w:r w:rsidR="001E024D">
        <w:rPr>
          <w:rFonts w:eastAsiaTheme="minorHAnsi"/>
          <w:color w:val="000000"/>
          <w:szCs w:val="22"/>
          <w:lang w:val="sk-SK"/>
        </w:rPr>
        <w:t>podmienky</w:t>
      </w:r>
      <w:r w:rsidR="001E024D" w:rsidRPr="00EB16B4">
        <w:rPr>
          <w:rFonts w:eastAsiaTheme="minorHAnsi"/>
          <w:color w:val="000000"/>
          <w:szCs w:val="22"/>
          <w:lang w:val="sk-SK"/>
        </w:rPr>
        <w:t xml:space="preserve"> </w:t>
      </w:r>
      <w:r w:rsidRPr="00EB16B4">
        <w:rPr>
          <w:rFonts w:eastAsiaTheme="minorHAnsi"/>
          <w:color w:val="000000"/>
          <w:szCs w:val="22"/>
          <w:lang w:val="sk-SK"/>
        </w:rPr>
        <w:t xml:space="preserve">na uchovávanie. </w:t>
      </w:r>
    </w:p>
    <w:p w14:paraId="2854C8AE" w14:textId="77777777" w:rsidR="00F74567" w:rsidRDefault="00F74567" w:rsidP="00193F71">
      <w:pPr>
        <w:rPr>
          <w:rFonts w:eastAsiaTheme="minorHAnsi"/>
          <w:color w:val="000000"/>
          <w:szCs w:val="22"/>
          <w:lang w:val="sk-SK"/>
        </w:rPr>
      </w:pPr>
    </w:p>
    <w:p w14:paraId="57A37355" w14:textId="1BD48ECB" w:rsidR="00E554D5" w:rsidRPr="00EB16B4" w:rsidRDefault="00193F71" w:rsidP="00193F71">
      <w:pPr>
        <w:rPr>
          <w:rFonts w:eastAsiaTheme="minorHAnsi"/>
          <w:szCs w:val="22"/>
          <w:lang w:val="sk-SK"/>
        </w:rPr>
      </w:pPr>
      <w:r w:rsidRPr="00EB16B4">
        <w:rPr>
          <w:szCs w:val="22"/>
          <w:lang w:val="sk-SK"/>
        </w:rPr>
        <w:t xml:space="preserve">Podmienky </w:t>
      </w:r>
      <w:r w:rsidR="001E024D">
        <w:rPr>
          <w:szCs w:val="22"/>
          <w:lang w:val="sk-SK"/>
        </w:rPr>
        <w:t xml:space="preserve">na </w:t>
      </w:r>
      <w:r w:rsidRPr="00EB16B4">
        <w:rPr>
          <w:szCs w:val="22"/>
          <w:lang w:val="sk-SK"/>
        </w:rPr>
        <w:t>uchovávani</w:t>
      </w:r>
      <w:r w:rsidR="001E024D">
        <w:rPr>
          <w:szCs w:val="22"/>
          <w:lang w:val="sk-SK"/>
        </w:rPr>
        <w:t>e</w:t>
      </w:r>
      <w:r w:rsidRPr="00EB16B4">
        <w:rPr>
          <w:szCs w:val="22"/>
          <w:lang w:val="sk-SK"/>
        </w:rPr>
        <w:t xml:space="preserve"> po</w:t>
      </w:r>
      <w:r w:rsidR="001E024D">
        <w:rPr>
          <w:szCs w:val="22"/>
          <w:lang w:val="sk-SK"/>
        </w:rPr>
        <w:t xml:space="preserve"> prvom </w:t>
      </w:r>
      <w:r w:rsidRPr="00EB16B4">
        <w:rPr>
          <w:szCs w:val="22"/>
          <w:lang w:val="sk-SK"/>
        </w:rPr>
        <w:t>otvorení</w:t>
      </w:r>
      <w:r w:rsidR="001E024D">
        <w:rPr>
          <w:szCs w:val="22"/>
          <w:lang w:val="sk-SK"/>
        </w:rPr>
        <w:t xml:space="preserve"> lieku,</w:t>
      </w:r>
      <w:r w:rsidRPr="00EB16B4">
        <w:rPr>
          <w:szCs w:val="22"/>
          <w:lang w:val="sk-SK"/>
        </w:rPr>
        <w:t xml:space="preserve"> pozri </w:t>
      </w:r>
      <w:r w:rsidR="001E024D">
        <w:rPr>
          <w:szCs w:val="22"/>
          <w:lang w:val="sk-SK"/>
        </w:rPr>
        <w:t>časť</w:t>
      </w:r>
      <w:r w:rsidR="001E024D" w:rsidRPr="00EB16B4">
        <w:rPr>
          <w:rFonts w:eastAsiaTheme="minorHAnsi"/>
          <w:szCs w:val="22"/>
          <w:lang w:val="sk-SK"/>
        </w:rPr>
        <w:t xml:space="preserve"> </w:t>
      </w:r>
      <w:r w:rsidR="00E554D5" w:rsidRPr="00EB16B4">
        <w:rPr>
          <w:rFonts w:eastAsiaTheme="minorHAnsi"/>
          <w:szCs w:val="22"/>
          <w:lang w:val="sk-SK"/>
        </w:rPr>
        <w:t>6.3.</w:t>
      </w:r>
    </w:p>
    <w:p w14:paraId="348C5F98" w14:textId="77777777" w:rsidR="00E554D5" w:rsidRPr="00EB16B4" w:rsidRDefault="00E554D5" w:rsidP="00E554D5">
      <w:pPr>
        <w:rPr>
          <w:rFonts w:eastAsiaTheme="minorHAnsi"/>
          <w:szCs w:val="22"/>
          <w:lang w:val="sk-SK"/>
        </w:rPr>
      </w:pPr>
    </w:p>
    <w:p w14:paraId="083C0A49" w14:textId="77777777" w:rsidR="00E554D5" w:rsidRDefault="009D203F" w:rsidP="00E554D5">
      <w:pPr>
        <w:rPr>
          <w:b/>
          <w:bCs/>
          <w:szCs w:val="22"/>
          <w:lang w:val="sk-SK"/>
        </w:rPr>
      </w:pPr>
      <w:r w:rsidRPr="00EB16B4">
        <w:rPr>
          <w:b/>
          <w:bCs/>
          <w:szCs w:val="22"/>
          <w:lang w:val="sk-SK"/>
        </w:rPr>
        <w:t xml:space="preserve">6.5      </w:t>
      </w:r>
      <w:r w:rsidR="00F74567">
        <w:rPr>
          <w:b/>
          <w:bCs/>
          <w:szCs w:val="22"/>
          <w:lang w:val="sk-SK"/>
        </w:rPr>
        <w:tab/>
      </w:r>
      <w:r w:rsidRPr="00EB16B4">
        <w:rPr>
          <w:b/>
          <w:bCs/>
          <w:szCs w:val="22"/>
          <w:lang w:val="sk-SK"/>
        </w:rPr>
        <w:t>Druh obalu a obsah balenia</w:t>
      </w:r>
    </w:p>
    <w:p w14:paraId="0263519D" w14:textId="77777777" w:rsidR="00F74567" w:rsidRPr="00EB16B4" w:rsidRDefault="00F74567" w:rsidP="00E554D5">
      <w:pPr>
        <w:rPr>
          <w:lang w:val="sk-SK"/>
        </w:rPr>
      </w:pPr>
    </w:p>
    <w:p w14:paraId="373EA544" w14:textId="4476D24B" w:rsidR="00E554D5" w:rsidRPr="00EB16B4" w:rsidRDefault="00EF0372" w:rsidP="00E554D5">
      <w:pPr>
        <w:rPr>
          <w:rStyle w:val="alt-edited"/>
          <w:lang w:val="sk-SK"/>
        </w:rPr>
      </w:pPr>
      <w:r w:rsidRPr="00EB16B4">
        <w:rPr>
          <w:rStyle w:val="alt-edited"/>
          <w:lang w:val="sk-SK"/>
        </w:rPr>
        <w:t xml:space="preserve">3 ml roztoku v bielej nepriehľadnej 5 ml LDPE </w:t>
      </w:r>
      <w:r w:rsidR="00F408DA">
        <w:rPr>
          <w:rStyle w:val="alt-edited"/>
          <w:lang w:val="sk-SK"/>
        </w:rPr>
        <w:t>fľaške</w:t>
      </w:r>
      <w:r w:rsidR="00F408DA" w:rsidRPr="00EB16B4">
        <w:rPr>
          <w:rStyle w:val="alt-edited"/>
          <w:lang w:val="sk-SK"/>
        </w:rPr>
        <w:t xml:space="preserve"> </w:t>
      </w:r>
      <w:r w:rsidRPr="00EB16B4">
        <w:rPr>
          <w:rStyle w:val="alt-edited"/>
          <w:lang w:val="sk-SK"/>
        </w:rPr>
        <w:t>s biel</w:t>
      </w:r>
      <w:r w:rsidR="00061B4D" w:rsidRPr="00EB16B4">
        <w:rPr>
          <w:rStyle w:val="alt-edited"/>
          <w:lang w:val="sk-SK"/>
        </w:rPr>
        <w:t>ym</w:t>
      </w:r>
      <w:r w:rsidRPr="00EB16B4">
        <w:rPr>
          <w:rStyle w:val="alt-edited"/>
          <w:lang w:val="sk-SK"/>
        </w:rPr>
        <w:t xml:space="preserve"> Novelia</w:t>
      </w:r>
      <w:r w:rsidR="00061B4D" w:rsidRPr="00EB16B4">
        <w:rPr>
          <w:rStyle w:val="alt-edited"/>
          <w:lang w:val="sk-SK"/>
        </w:rPr>
        <w:t xml:space="preserve"> kvapkadlom</w:t>
      </w:r>
      <w:r w:rsidRPr="00EB16B4">
        <w:rPr>
          <w:rStyle w:val="alt-edited"/>
          <w:lang w:val="sk-SK"/>
        </w:rPr>
        <w:t xml:space="preserve"> (HDPE a silikón) s bielym HDPE uzáverom.</w:t>
      </w:r>
    </w:p>
    <w:p w14:paraId="7956E224" w14:textId="77777777" w:rsidR="00EF0372" w:rsidRPr="00EB16B4" w:rsidRDefault="00EF0372" w:rsidP="00E554D5">
      <w:pPr>
        <w:rPr>
          <w:lang w:val="sk-SK"/>
        </w:rPr>
      </w:pPr>
    </w:p>
    <w:p w14:paraId="152E7804" w14:textId="77777777" w:rsidR="0092620D" w:rsidRPr="00EB16B4" w:rsidRDefault="0092620D" w:rsidP="00E554D5">
      <w:pPr>
        <w:tabs>
          <w:tab w:val="clear" w:pos="567"/>
        </w:tabs>
        <w:spacing w:line="240" w:lineRule="auto"/>
        <w:ind w:left="567" w:hanging="567"/>
        <w:outlineLvl w:val="0"/>
        <w:rPr>
          <w:szCs w:val="22"/>
          <w:lang w:val="sk-SK"/>
        </w:rPr>
      </w:pPr>
      <w:r w:rsidRPr="00EB16B4">
        <w:rPr>
          <w:szCs w:val="22"/>
          <w:lang w:val="sk-SK"/>
        </w:rPr>
        <w:t xml:space="preserve">Dostupné veľkosti balenia: škatuľka obsahujúca 1 alebo 3 fľaše po 3 ml. </w:t>
      </w:r>
    </w:p>
    <w:p w14:paraId="32BEEB86" w14:textId="77777777" w:rsidR="0092620D" w:rsidRPr="00EB16B4" w:rsidRDefault="0092620D" w:rsidP="00E554D5">
      <w:pPr>
        <w:tabs>
          <w:tab w:val="clear" w:pos="567"/>
        </w:tabs>
        <w:spacing w:line="240" w:lineRule="auto"/>
        <w:ind w:left="567" w:hanging="567"/>
        <w:outlineLvl w:val="0"/>
        <w:rPr>
          <w:szCs w:val="22"/>
          <w:lang w:val="sk-SK"/>
        </w:rPr>
      </w:pPr>
    </w:p>
    <w:p w14:paraId="615E44C0" w14:textId="73B7DC62" w:rsidR="0092620D" w:rsidRPr="00EB16B4" w:rsidRDefault="001E024D" w:rsidP="00E554D5">
      <w:pPr>
        <w:tabs>
          <w:tab w:val="clear" w:pos="567"/>
        </w:tabs>
        <w:spacing w:line="240" w:lineRule="auto"/>
        <w:ind w:left="567" w:hanging="567"/>
        <w:outlineLvl w:val="0"/>
        <w:rPr>
          <w:szCs w:val="22"/>
          <w:lang w:val="sk-SK"/>
        </w:rPr>
      </w:pPr>
      <w:r>
        <w:rPr>
          <w:szCs w:val="22"/>
          <w:lang w:val="sk-SK"/>
        </w:rPr>
        <w:t>Na trh nemusia byť uvedené všetky veľkosti balenia</w:t>
      </w:r>
      <w:r w:rsidR="0092620D" w:rsidRPr="00EB16B4">
        <w:rPr>
          <w:szCs w:val="22"/>
          <w:lang w:val="sk-SK"/>
        </w:rPr>
        <w:t xml:space="preserve">. </w:t>
      </w:r>
    </w:p>
    <w:p w14:paraId="7880681E" w14:textId="77777777" w:rsidR="0041507D" w:rsidRPr="00EB16B4" w:rsidRDefault="00E66EB8" w:rsidP="00E66EB8">
      <w:pPr>
        <w:tabs>
          <w:tab w:val="clear" w:pos="567"/>
          <w:tab w:val="left" w:pos="3152"/>
        </w:tabs>
        <w:spacing w:line="240" w:lineRule="auto"/>
        <w:ind w:left="567" w:hanging="567"/>
        <w:outlineLvl w:val="0"/>
        <w:rPr>
          <w:szCs w:val="22"/>
          <w:lang w:val="sk-SK"/>
        </w:rPr>
      </w:pPr>
      <w:r w:rsidRPr="00EB16B4">
        <w:rPr>
          <w:szCs w:val="22"/>
          <w:lang w:val="sk-SK"/>
        </w:rPr>
        <w:tab/>
      </w:r>
      <w:r w:rsidRPr="00EB16B4">
        <w:rPr>
          <w:szCs w:val="22"/>
          <w:lang w:val="sk-SK"/>
        </w:rPr>
        <w:tab/>
      </w:r>
    </w:p>
    <w:p w14:paraId="71273617" w14:textId="77777777" w:rsidR="003264D8" w:rsidRPr="00EB16B4" w:rsidRDefault="003264D8" w:rsidP="003264D8">
      <w:pPr>
        <w:tabs>
          <w:tab w:val="clear" w:pos="567"/>
        </w:tabs>
        <w:autoSpaceDE w:val="0"/>
        <w:autoSpaceDN w:val="0"/>
        <w:adjustRightInd w:val="0"/>
        <w:spacing w:line="240" w:lineRule="auto"/>
        <w:rPr>
          <w:rFonts w:eastAsiaTheme="minorHAnsi"/>
          <w:b/>
          <w:bCs/>
          <w:color w:val="000000"/>
          <w:szCs w:val="22"/>
          <w:lang w:val="sk-SK"/>
        </w:rPr>
      </w:pPr>
      <w:r w:rsidRPr="00EB16B4">
        <w:rPr>
          <w:rFonts w:eastAsiaTheme="minorHAnsi"/>
          <w:b/>
          <w:bCs/>
          <w:color w:val="000000"/>
          <w:szCs w:val="22"/>
          <w:lang w:val="sk-SK"/>
        </w:rPr>
        <w:t xml:space="preserve">6.6    </w:t>
      </w:r>
      <w:r w:rsidR="00F74567">
        <w:rPr>
          <w:rFonts w:eastAsiaTheme="minorHAnsi"/>
          <w:b/>
          <w:bCs/>
          <w:color w:val="000000"/>
          <w:szCs w:val="22"/>
          <w:lang w:val="sk-SK"/>
        </w:rPr>
        <w:tab/>
      </w:r>
      <w:r w:rsidRPr="00EB16B4">
        <w:rPr>
          <w:rFonts w:eastAsiaTheme="minorHAnsi"/>
          <w:b/>
          <w:bCs/>
          <w:color w:val="000000"/>
          <w:szCs w:val="22"/>
          <w:lang w:val="sk-SK"/>
        </w:rPr>
        <w:t xml:space="preserve">Špeciálne opatrenia na likvidáciu </w:t>
      </w:r>
    </w:p>
    <w:p w14:paraId="0852FF7A" w14:textId="77777777" w:rsidR="003264D8" w:rsidRPr="00EB16B4" w:rsidRDefault="003264D8" w:rsidP="003264D8">
      <w:pPr>
        <w:tabs>
          <w:tab w:val="clear" w:pos="567"/>
        </w:tabs>
        <w:autoSpaceDE w:val="0"/>
        <w:autoSpaceDN w:val="0"/>
        <w:adjustRightInd w:val="0"/>
        <w:spacing w:line="240" w:lineRule="auto"/>
        <w:rPr>
          <w:rFonts w:eastAsiaTheme="minorHAnsi"/>
          <w:color w:val="000000"/>
          <w:szCs w:val="22"/>
          <w:lang w:val="sk-SK"/>
        </w:rPr>
      </w:pPr>
    </w:p>
    <w:p w14:paraId="731FAD2E" w14:textId="77777777" w:rsidR="00E554D5" w:rsidRPr="00EB16B4" w:rsidRDefault="003264D8" w:rsidP="003264D8">
      <w:pPr>
        <w:rPr>
          <w:rFonts w:eastAsiaTheme="minorHAnsi"/>
          <w:color w:val="000000"/>
          <w:szCs w:val="22"/>
          <w:lang w:val="sk-SK"/>
        </w:rPr>
      </w:pPr>
      <w:r w:rsidRPr="00EB16B4">
        <w:rPr>
          <w:rFonts w:eastAsiaTheme="minorHAnsi"/>
          <w:color w:val="000000"/>
          <w:szCs w:val="22"/>
          <w:lang w:val="sk-SK"/>
        </w:rPr>
        <w:t>Žiadne zvláštne požiadavky.</w:t>
      </w:r>
    </w:p>
    <w:p w14:paraId="2143B0F4" w14:textId="77777777" w:rsidR="003264D8" w:rsidRDefault="003264D8" w:rsidP="003264D8">
      <w:pPr>
        <w:rPr>
          <w:lang w:val="sk-SK"/>
        </w:rPr>
      </w:pPr>
    </w:p>
    <w:p w14:paraId="705F261C" w14:textId="77777777" w:rsidR="001E024D" w:rsidRPr="00EB16B4" w:rsidRDefault="001E024D" w:rsidP="003264D8">
      <w:pPr>
        <w:rPr>
          <w:lang w:val="sk-SK"/>
        </w:rPr>
      </w:pPr>
    </w:p>
    <w:p w14:paraId="3CE84234" w14:textId="77777777" w:rsidR="00BD6E77" w:rsidRPr="00EB16B4" w:rsidRDefault="00BD6E77" w:rsidP="00E554D5">
      <w:pPr>
        <w:tabs>
          <w:tab w:val="clear" w:pos="567"/>
        </w:tabs>
        <w:spacing w:line="240" w:lineRule="auto"/>
        <w:rPr>
          <w:b/>
          <w:bCs/>
          <w:szCs w:val="22"/>
          <w:lang w:val="sk-SK"/>
        </w:rPr>
      </w:pPr>
      <w:r w:rsidRPr="00EB16B4">
        <w:rPr>
          <w:b/>
          <w:bCs/>
          <w:szCs w:val="22"/>
          <w:lang w:val="sk-SK"/>
        </w:rPr>
        <w:t xml:space="preserve">7. </w:t>
      </w:r>
      <w:r w:rsidR="00836F1F" w:rsidRPr="00EB16B4">
        <w:rPr>
          <w:b/>
          <w:bCs/>
          <w:szCs w:val="22"/>
          <w:lang w:val="sk-SK"/>
        </w:rPr>
        <w:t xml:space="preserve">      </w:t>
      </w:r>
      <w:r w:rsidR="00F74567">
        <w:rPr>
          <w:b/>
          <w:bCs/>
          <w:szCs w:val="22"/>
          <w:lang w:val="sk-SK"/>
        </w:rPr>
        <w:tab/>
      </w:r>
      <w:r w:rsidRPr="00EB16B4">
        <w:rPr>
          <w:b/>
          <w:bCs/>
          <w:szCs w:val="22"/>
          <w:lang w:val="sk-SK"/>
        </w:rPr>
        <w:t xml:space="preserve">DRŽITEĽ ROZHODNUTIA O REGISTRÁCII </w:t>
      </w:r>
    </w:p>
    <w:p w14:paraId="35409C42" w14:textId="77777777" w:rsidR="00BD6E77" w:rsidRPr="00EB16B4" w:rsidRDefault="00BD6E77" w:rsidP="00E554D5">
      <w:pPr>
        <w:tabs>
          <w:tab w:val="clear" w:pos="567"/>
        </w:tabs>
        <w:spacing w:line="240" w:lineRule="auto"/>
        <w:rPr>
          <w:b/>
          <w:bCs/>
          <w:szCs w:val="22"/>
          <w:lang w:val="sk-SK"/>
        </w:rPr>
      </w:pPr>
    </w:p>
    <w:p w14:paraId="0AB761E0" w14:textId="77777777" w:rsidR="00F74567" w:rsidRPr="00F74567" w:rsidRDefault="00F74567" w:rsidP="00F74567">
      <w:pPr>
        <w:rPr>
          <w:rFonts w:eastAsiaTheme="minorHAnsi"/>
          <w:color w:val="000000"/>
          <w:szCs w:val="22"/>
          <w:lang w:val="sk-SK"/>
        </w:rPr>
      </w:pPr>
      <w:r w:rsidRPr="00F74567">
        <w:rPr>
          <w:rFonts w:eastAsiaTheme="minorHAnsi"/>
          <w:color w:val="000000"/>
          <w:szCs w:val="22"/>
          <w:lang w:val="sk-SK"/>
        </w:rPr>
        <w:t>PharmaSwiss Česka republika s.r.o.</w:t>
      </w:r>
    </w:p>
    <w:p w14:paraId="3832964F" w14:textId="77777777" w:rsidR="00F74567" w:rsidRPr="00F74567" w:rsidRDefault="00F74567" w:rsidP="00F74567">
      <w:pPr>
        <w:rPr>
          <w:rFonts w:eastAsiaTheme="minorHAnsi"/>
          <w:color w:val="000000"/>
          <w:szCs w:val="22"/>
          <w:lang w:val="sk-SK"/>
        </w:rPr>
      </w:pPr>
      <w:r w:rsidRPr="00F74567">
        <w:rPr>
          <w:rFonts w:eastAsiaTheme="minorHAnsi"/>
          <w:color w:val="000000"/>
          <w:szCs w:val="22"/>
          <w:lang w:val="sk-SK"/>
        </w:rPr>
        <w:t xml:space="preserve">Jankovcova 1569/2c </w:t>
      </w:r>
    </w:p>
    <w:p w14:paraId="07BD1691" w14:textId="77777777" w:rsidR="00F74567" w:rsidRPr="00F74567" w:rsidRDefault="00F74567" w:rsidP="00F74567">
      <w:pPr>
        <w:rPr>
          <w:rFonts w:eastAsiaTheme="minorHAnsi"/>
          <w:color w:val="000000"/>
          <w:szCs w:val="22"/>
          <w:lang w:val="sk-SK"/>
        </w:rPr>
      </w:pPr>
      <w:r w:rsidRPr="00F74567">
        <w:rPr>
          <w:rFonts w:eastAsiaTheme="minorHAnsi"/>
          <w:color w:val="000000"/>
          <w:szCs w:val="22"/>
          <w:lang w:val="sk-SK"/>
        </w:rPr>
        <w:t xml:space="preserve">170 00 Praha 7 </w:t>
      </w:r>
    </w:p>
    <w:p w14:paraId="7C175F30" w14:textId="77777777" w:rsidR="00F74567" w:rsidRPr="00F74567" w:rsidRDefault="00F74567" w:rsidP="00F74567">
      <w:pPr>
        <w:rPr>
          <w:rFonts w:eastAsiaTheme="minorHAnsi"/>
          <w:color w:val="000000"/>
          <w:szCs w:val="22"/>
          <w:lang w:val="sk-SK"/>
        </w:rPr>
      </w:pPr>
      <w:r w:rsidRPr="00F74567">
        <w:rPr>
          <w:rFonts w:eastAsiaTheme="minorHAnsi"/>
          <w:color w:val="000000"/>
          <w:szCs w:val="22"/>
          <w:lang w:val="sk-SK"/>
        </w:rPr>
        <w:t>Česká republika</w:t>
      </w:r>
    </w:p>
    <w:p w14:paraId="27AB9C37" w14:textId="77777777" w:rsidR="00F74567" w:rsidRDefault="00F74567" w:rsidP="00F74567">
      <w:pPr>
        <w:tabs>
          <w:tab w:val="left" w:pos="0"/>
        </w:tabs>
        <w:autoSpaceDE w:val="0"/>
        <w:autoSpaceDN w:val="0"/>
        <w:adjustRightInd w:val="0"/>
        <w:spacing w:line="240" w:lineRule="auto"/>
        <w:rPr>
          <w:szCs w:val="22"/>
          <w:lang w:val="pl-PL"/>
        </w:rPr>
      </w:pPr>
    </w:p>
    <w:p w14:paraId="6EE86848" w14:textId="77777777" w:rsidR="00B00583" w:rsidRPr="004B5DE0" w:rsidRDefault="00B00583" w:rsidP="00F74567">
      <w:pPr>
        <w:tabs>
          <w:tab w:val="left" w:pos="0"/>
        </w:tabs>
        <w:autoSpaceDE w:val="0"/>
        <w:autoSpaceDN w:val="0"/>
        <w:adjustRightInd w:val="0"/>
        <w:spacing w:line="240" w:lineRule="auto"/>
        <w:rPr>
          <w:szCs w:val="22"/>
          <w:lang w:val="pl-PL"/>
        </w:rPr>
      </w:pPr>
    </w:p>
    <w:p w14:paraId="7D94B37B" w14:textId="003A5684" w:rsidR="006E023A" w:rsidRPr="00EB16B4" w:rsidRDefault="00E554D5" w:rsidP="006E023A">
      <w:pPr>
        <w:tabs>
          <w:tab w:val="clear" w:pos="567"/>
        </w:tabs>
        <w:spacing w:line="240" w:lineRule="auto"/>
        <w:ind w:left="567" w:hanging="567"/>
        <w:rPr>
          <w:b/>
          <w:lang w:val="sk-SK"/>
        </w:rPr>
      </w:pPr>
      <w:r w:rsidRPr="00EB16B4">
        <w:rPr>
          <w:rFonts w:eastAsiaTheme="minorHAnsi"/>
          <w:b/>
          <w:szCs w:val="22"/>
          <w:lang w:val="sk-SK"/>
        </w:rPr>
        <w:t>8.</w:t>
      </w:r>
      <w:r w:rsidRPr="00EB16B4">
        <w:rPr>
          <w:rFonts w:eastAsiaTheme="minorHAnsi"/>
          <w:b/>
          <w:szCs w:val="22"/>
          <w:lang w:val="sk-SK"/>
        </w:rPr>
        <w:tab/>
      </w:r>
      <w:r w:rsidR="00F74567">
        <w:rPr>
          <w:rFonts w:eastAsiaTheme="minorHAnsi"/>
          <w:b/>
          <w:szCs w:val="22"/>
          <w:lang w:val="sk-SK"/>
        </w:rPr>
        <w:tab/>
      </w:r>
      <w:r w:rsidR="006E023A" w:rsidRPr="00EB16B4">
        <w:rPr>
          <w:b/>
          <w:lang w:val="sk-SK"/>
        </w:rPr>
        <w:t xml:space="preserve">REGISTRAČNÉ </w:t>
      </w:r>
      <w:r w:rsidR="00700415" w:rsidRPr="00EB16B4">
        <w:rPr>
          <w:b/>
          <w:lang w:val="sk-SK"/>
        </w:rPr>
        <w:t>ČÍSL</w:t>
      </w:r>
      <w:r w:rsidR="00700415">
        <w:rPr>
          <w:b/>
          <w:lang w:val="sk-SK"/>
        </w:rPr>
        <w:t>O</w:t>
      </w:r>
      <w:r w:rsidR="00700415" w:rsidRPr="00EB16B4">
        <w:rPr>
          <w:b/>
          <w:lang w:val="sk-SK"/>
        </w:rPr>
        <w:t xml:space="preserve"> </w:t>
      </w:r>
    </w:p>
    <w:p w14:paraId="4CB67D27" w14:textId="77777777" w:rsidR="006E023A" w:rsidRPr="00EB16B4" w:rsidRDefault="006E023A" w:rsidP="006E023A">
      <w:pPr>
        <w:tabs>
          <w:tab w:val="clear" w:pos="567"/>
        </w:tabs>
        <w:spacing w:line="240" w:lineRule="auto"/>
        <w:ind w:left="567" w:hanging="567"/>
        <w:rPr>
          <w:rFonts w:eastAsiaTheme="minorHAnsi"/>
          <w:szCs w:val="22"/>
          <w:lang w:val="sk-SK"/>
        </w:rPr>
      </w:pPr>
    </w:p>
    <w:p w14:paraId="0FEC2A98" w14:textId="67481F96" w:rsidR="00C54F85" w:rsidRDefault="00700415" w:rsidP="00E554D5">
      <w:pPr>
        <w:tabs>
          <w:tab w:val="clear" w:pos="567"/>
        </w:tabs>
        <w:spacing w:line="240" w:lineRule="auto"/>
        <w:rPr>
          <w:rStyle w:val="shorttext"/>
          <w:lang w:val="sk-SK"/>
        </w:rPr>
      </w:pPr>
      <w:r>
        <w:rPr>
          <w:rStyle w:val="shorttext"/>
          <w:lang w:val="sk-SK"/>
        </w:rPr>
        <w:t>64/0230/18-S</w:t>
      </w:r>
    </w:p>
    <w:p w14:paraId="3EAF5477" w14:textId="77777777" w:rsidR="00700415" w:rsidRDefault="00700415" w:rsidP="00E554D5">
      <w:pPr>
        <w:tabs>
          <w:tab w:val="clear" w:pos="567"/>
        </w:tabs>
        <w:spacing w:line="240" w:lineRule="auto"/>
        <w:rPr>
          <w:rStyle w:val="shorttext"/>
          <w:lang w:val="sk-SK"/>
        </w:rPr>
      </w:pPr>
    </w:p>
    <w:p w14:paraId="722AD27F" w14:textId="77777777" w:rsidR="00202188" w:rsidRPr="00EB16B4" w:rsidRDefault="00202188" w:rsidP="00E554D5">
      <w:pPr>
        <w:tabs>
          <w:tab w:val="clear" w:pos="567"/>
        </w:tabs>
        <w:spacing w:line="240" w:lineRule="auto"/>
        <w:rPr>
          <w:rFonts w:eastAsiaTheme="minorHAnsi"/>
          <w:szCs w:val="22"/>
          <w:lang w:val="sk-SK"/>
        </w:rPr>
      </w:pPr>
    </w:p>
    <w:p w14:paraId="6FDA44B3" w14:textId="77777777" w:rsidR="00E554D5" w:rsidRPr="00EB16B4" w:rsidRDefault="00C34F34" w:rsidP="00E554D5">
      <w:pPr>
        <w:tabs>
          <w:tab w:val="clear" w:pos="567"/>
        </w:tabs>
        <w:spacing w:line="240" w:lineRule="auto"/>
        <w:rPr>
          <w:b/>
          <w:bCs/>
          <w:szCs w:val="22"/>
          <w:lang w:val="sk-SK"/>
        </w:rPr>
      </w:pPr>
      <w:r w:rsidRPr="00EB16B4">
        <w:rPr>
          <w:b/>
          <w:bCs/>
          <w:szCs w:val="22"/>
          <w:lang w:val="sk-SK"/>
        </w:rPr>
        <w:t xml:space="preserve">9. </w:t>
      </w:r>
      <w:r w:rsidR="00836F1F" w:rsidRPr="00EB16B4">
        <w:rPr>
          <w:b/>
          <w:bCs/>
          <w:szCs w:val="22"/>
          <w:lang w:val="sk-SK"/>
        </w:rPr>
        <w:t xml:space="preserve">      </w:t>
      </w:r>
      <w:r w:rsidR="00F74567">
        <w:rPr>
          <w:b/>
          <w:bCs/>
          <w:szCs w:val="22"/>
          <w:lang w:val="sk-SK"/>
        </w:rPr>
        <w:tab/>
      </w:r>
      <w:r w:rsidRPr="00EB16B4">
        <w:rPr>
          <w:b/>
          <w:bCs/>
          <w:szCs w:val="22"/>
          <w:lang w:val="sk-SK"/>
        </w:rPr>
        <w:t>DÁTUM PRVEJ REGISTRÁCIE/PREDĹŽENIA REGISTRÁCIE</w:t>
      </w:r>
    </w:p>
    <w:p w14:paraId="238A7CE4" w14:textId="77777777" w:rsidR="00C34F34" w:rsidRDefault="00C34F34" w:rsidP="00E554D5">
      <w:pPr>
        <w:tabs>
          <w:tab w:val="clear" w:pos="567"/>
        </w:tabs>
        <w:spacing w:line="240" w:lineRule="auto"/>
        <w:rPr>
          <w:rFonts w:eastAsiaTheme="minorHAnsi"/>
          <w:i/>
          <w:szCs w:val="22"/>
          <w:lang w:val="sk-SK"/>
        </w:rPr>
      </w:pPr>
    </w:p>
    <w:p w14:paraId="12E60608" w14:textId="77777777" w:rsidR="007D0840" w:rsidRDefault="007D0840" w:rsidP="007D0840">
      <w:pPr>
        <w:spacing w:line="240" w:lineRule="auto"/>
        <w:ind w:right="-20"/>
        <w:rPr>
          <w:lang w:val="sk-SK"/>
        </w:rPr>
      </w:pPr>
      <w:r>
        <w:rPr>
          <w:lang w:val="sk-SK"/>
        </w:rPr>
        <w:t xml:space="preserve">Dátum prvej registrácie: </w:t>
      </w:r>
    </w:p>
    <w:p w14:paraId="1D821429" w14:textId="77777777" w:rsidR="00C54F85" w:rsidRPr="00BC66D2" w:rsidRDefault="00C54F85" w:rsidP="00E554D5">
      <w:pPr>
        <w:tabs>
          <w:tab w:val="clear" w:pos="567"/>
        </w:tabs>
        <w:spacing w:line="240" w:lineRule="auto"/>
        <w:rPr>
          <w:rFonts w:eastAsiaTheme="minorHAnsi"/>
          <w:szCs w:val="22"/>
          <w:lang w:val="sk-SK"/>
        </w:rPr>
      </w:pPr>
    </w:p>
    <w:p w14:paraId="224C25AA" w14:textId="77777777" w:rsidR="00E554D5" w:rsidRPr="00EB16B4" w:rsidRDefault="00E554D5" w:rsidP="00E554D5">
      <w:pPr>
        <w:tabs>
          <w:tab w:val="clear" w:pos="567"/>
        </w:tabs>
        <w:spacing w:line="240" w:lineRule="auto"/>
        <w:rPr>
          <w:rFonts w:eastAsiaTheme="minorHAnsi"/>
          <w:szCs w:val="22"/>
          <w:lang w:val="sk-SK"/>
        </w:rPr>
      </w:pPr>
    </w:p>
    <w:p w14:paraId="5E4DAA25" w14:textId="77777777" w:rsidR="00E554D5" w:rsidRPr="00EB16B4" w:rsidRDefault="003B5F22" w:rsidP="00E554D5">
      <w:pPr>
        <w:tabs>
          <w:tab w:val="clear" w:pos="567"/>
        </w:tabs>
        <w:spacing w:line="240" w:lineRule="auto"/>
        <w:rPr>
          <w:b/>
          <w:lang w:val="sk-SK"/>
        </w:rPr>
      </w:pPr>
      <w:r w:rsidRPr="00EB16B4">
        <w:rPr>
          <w:b/>
          <w:lang w:val="sk-SK"/>
        </w:rPr>
        <w:t>10.</w:t>
      </w:r>
      <w:r w:rsidRPr="00EB16B4">
        <w:rPr>
          <w:lang w:val="sk-SK"/>
        </w:rPr>
        <w:t xml:space="preserve">    </w:t>
      </w:r>
      <w:r w:rsidR="00F74567">
        <w:rPr>
          <w:lang w:val="sk-SK"/>
        </w:rPr>
        <w:tab/>
      </w:r>
      <w:r w:rsidRPr="00EB16B4">
        <w:rPr>
          <w:b/>
          <w:lang w:val="sk-SK"/>
        </w:rPr>
        <w:t>DÁTUM REVÍZIE TEXTU</w:t>
      </w:r>
    </w:p>
    <w:p w14:paraId="648540E7" w14:textId="77777777" w:rsidR="00821E63" w:rsidRPr="00EB16B4" w:rsidRDefault="00821E63" w:rsidP="00E554D5">
      <w:pPr>
        <w:tabs>
          <w:tab w:val="clear" w:pos="567"/>
        </w:tabs>
        <w:spacing w:line="240" w:lineRule="auto"/>
        <w:rPr>
          <w:rFonts w:eastAsiaTheme="minorHAnsi"/>
          <w:szCs w:val="22"/>
          <w:lang w:val="sk-SK"/>
        </w:rPr>
      </w:pPr>
    </w:p>
    <w:p w14:paraId="6717DA99" w14:textId="2243EDC6" w:rsidR="00E554D5" w:rsidRPr="00EB16B4" w:rsidRDefault="00700415" w:rsidP="00143F1D">
      <w:pPr>
        <w:rPr>
          <w:lang w:val="sk-SK"/>
        </w:rPr>
      </w:pPr>
      <w:r>
        <w:rPr>
          <w:lang w:val="sk-SK"/>
        </w:rPr>
        <w:t>07/2018</w:t>
      </w:r>
    </w:p>
    <w:sectPr w:rsidR="00E554D5" w:rsidRPr="00EB16B4" w:rsidSect="00BC66D2">
      <w:headerReference w:type="default" r:id="rId8"/>
      <w:footerReference w:type="default" r:id="rId9"/>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51423" w14:textId="77777777" w:rsidR="00970A4E" w:rsidRDefault="00970A4E" w:rsidP="004B5DE0">
      <w:pPr>
        <w:spacing w:line="240" w:lineRule="auto"/>
      </w:pPr>
      <w:r>
        <w:separator/>
      </w:r>
    </w:p>
  </w:endnote>
  <w:endnote w:type="continuationSeparator" w:id="0">
    <w:p w14:paraId="03C6104B" w14:textId="77777777" w:rsidR="00970A4E" w:rsidRDefault="00970A4E" w:rsidP="004B5D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539477"/>
      <w:docPartObj>
        <w:docPartGallery w:val="Page Numbers (Bottom of Page)"/>
        <w:docPartUnique/>
      </w:docPartObj>
    </w:sdtPr>
    <w:sdtEndPr>
      <w:rPr>
        <w:sz w:val="18"/>
        <w:szCs w:val="18"/>
      </w:rPr>
    </w:sdtEndPr>
    <w:sdtContent>
      <w:p w14:paraId="254B2A0C" w14:textId="329E9CEC" w:rsidR="00BA564A" w:rsidRPr="0052539B" w:rsidRDefault="00BA564A">
        <w:pPr>
          <w:pStyle w:val="Pta"/>
          <w:jc w:val="center"/>
          <w:rPr>
            <w:sz w:val="18"/>
            <w:szCs w:val="18"/>
          </w:rPr>
        </w:pPr>
        <w:r w:rsidRPr="0052539B">
          <w:rPr>
            <w:sz w:val="18"/>
            <w:szCs w:val="18"/>
          </w:rPr>
          <w:fldChar w:fldCharType="begin"/>
        </w:r>
        <w:r w:rsidRPr="0052539B">
          <w:rPr>
            <w:sz w:val="18"/>
            <w:szCs w:val="18"/>
          </w:rPr>
          <w:instrText>PAGE   \* MERGEFORMAT</w:instrText>
        </w:r>
        <w:r w:rsidRPr="0052539B">
          <w:rPr>
            <w:sz w:val="18"/>
            <w:szCs w:val="18"/>
          </w:rPr>
          <w:fldChar w:fldCharType="separate"/>
        </w:r>
        <w:r w:rsidR="0052539B" w:rsidRPr="0052539B">
          <w:rPr>
            <w:noProof/>
            <w:sz w:val="18"/>
            <w:szCs w:val="18"/>
            <w:lang w:val="sk-SK"/>
          </w:rPr>
          <w:t>1</w:t>
        </w:r>
        <w:r w:rsidRPr="0052539B">
          <w:rPr>
            <w:sz w:val="18"/>
            <w:szCs w:val="18"/>
          </w:rPr>
          <w:fldChar w:fldCharType="end"/>
        </w:r>
      </w:p>
    </w:sdtContent>
  </w:sdt>
  <w:p w14:paraId="7E6E3DEE" w14:textId="77777777" w:rsidR="00BA564A" w:rsidRDefault="00BA56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8AEF5" w14:textId="77777777" w:rsidR="00970A4E" w:rsidRDefault="00970A4E" w:rsidP="004B5DE0">
      <w:pPr>
        <w:spacing w:line="240" w:lineRule="auto"/>
      </w:pPr>
      <w:r>
        <w:separator/>
      </w:r>
    </w:p>
  </w:footnote>
  <w:footnote w:type="continuationSeparator" w:id="0">
    <w:p w14:paraId="399465B3" w14:textId="77777777" w:rsidR="00970A4E" w:rsidRDefault="00970A4E" w:rsidP="004B5D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7C76C" w14:textId="4D12FE8C" w:rsidR="004E04D5" w:rsidRDefault="004E04D5" w:rsidP="00BC66D2">
    <w:r>
      <w:rPr>
        <w:sz w:val="18"/>
        <w:szCs w:val="18"/>
        <w:lang w:val="sk-SK"/>
      </w:rPr>
      <w:t>Schválený text k rozhodnutiu o</w:t>
    </w:r>
    <w:r w:rsidR="00ED620E">
      <w:rPr>
        <w:sz w:val="18"/>
        <w:szCs w:val="18"/>
        <w:lang w:val="sk-SK"/>
      </w:rPr>
      <w:t> </w:t>
    </w:r>
    <w:r>
      <w:rPr>
        <w:sz w:val="18"/>
        <w:szCs w:val="18"/>
        <w:lang w:val="sk-SK"/>
      </w:rPr>
      <w:t>registrácii</w:t>
    </w:r>
    <w:r w:rsidR="00ED620E">
      <w:rPr>
        <w:sz w:val="18"/>
        <w:szCs w:val="18"/>
        <w:lang w:val="sk-SK"/>
      </w:rPr>
      <w:t>,</w:t>
    </w:r>
    <w:r>
      <w:rPr>
        <w:sz w:val="18"/>
        <w:szCs w:val="18"/>
        <w:lang w:val="sk-SK"/>
      </w:rPr>
      <w:t xml:space="preserve"> ev. č.</w:t>
    </w:r>
    <w:r w:rsidR="00707956">
      <w:rPr>
        <w:sz w:val="18"/>
        <w:szCs w:val="18"/>
        <w:lang w:val="sk-SK"/>
      </w:rPr>
      <w:t>:2016/05215-REG</w:t>
    </w:r>
    <w:r>
      <w:rPr>
        <w:sz w:val="18"/>
        <w:szCs w:val="18"/>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E06DB"/>
    <w:multiLevelType w:val="hybridMultilevel"/>
    <w:tmpl w:val="6EB0D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DE"/>
    <w:rsid w:val="00007321"/>
    <w:rsid w:val="00016472"/>
    <w:rsid w:val="00016B7F"/>
    <w:rsid w:val="000201A8"/>
    <w:rsid w:val="000274D7"/>
    <w:rsid w:val="00061B4D"/>
    <w:rsid w:val="000726BA"/>
    <w:rsid w:val="000730D5"/>
    <w:rsid w:val="00073A61"/>
    <w:rsid w:val="00076D71"/>
    <w:rsid w:val="00080A92"/>
    <w:rsid w:val="00083664"/>
    <w:rsid w:val="000B7388"/>
    <w:rsid w:val="000C31C7"/>
    <w:rsid w:val="000C7198"/>
    <w:rsid w:val="000D0E56"/>
    <w:rsid w:val="000D22EF"/>
    <w:rsid w:val="000F4D81"/>
    <w:rsid w:val="00100774"/>
    <w:rsid w:val="00107EB1"/>
    <w:rsid w:val="00120432"/>
    <w:rsid w:val="00120FA9"/>
    <w:rsid w:val="00127312"/>
    <w:rsid w:val="00136BF9"/>
    <w:rsid w:val="00143F1D"/>
    <w:rsid w:val="00153069"/>
    <w:rsid w:val="00154E24"/>
    <w:rsid w:val="001567D8"/>
    <w:rsid w:val="00172977"/>
    <w:rsid w:val="00180BD6"/>
    <w:rsid w:val="00193F71"/>
    <w:rsid w:val="001944D8"/>
    <w:rsid w:val="001A4C9E"/>
    <w:rsid w:val="001A5E0C"/>
    <w:rsid w:val="001A7C84"/>
    <w:rsid w:val="001B0AAA"/>
    <w:rsid w:val="001B3B24"/>
    <w:rsid w:val="001C3736"/>
    <w:rsid w:val="001D7914"/>
    <w:rsid w:val="001E024D"/>
    <w:rsid w:val="001E2C32"/>
    <w:rsid w:val="001F1073"/>
    <w:rsid w:val="001F1CBD"/>
    <w:rsid w:val="001F681B"/>
    <w:rsid w:val="001F6D65"/>
    <w:rsid w:val="00202188"/>
    <w:rsid w:val="00202EE4"/>
    <w:rsid w:val="00211DA9"/>
    <w:rsid w:val="00213BDE"/>
    <w:rsid w:val="00215405"/>
    <w:rsid w:val="00221E89"/>
    <w:rsid w:val="0023200F"/>
    <w:rsid w:val="00233003"/>
    <w:rsid w:val="002377B0"/>
    <w:rsid w:val="00242A19"/>
    <w:rsid w:val="00250A46"/>
    <w:rsid w:val="00251136"/>
    <w:rsid w:val="00251534"/>
    <w:rsid w:val="002525A5"/>
    <w:rsid w:val="002678E6"/>
    <w:rsid w:val="0027004A"/>
    <w:rsid w:val="002714F5"/>
    <w:rsid w:val="002736E0"/>
    <w:rsid w:val="00274613"/>
    <w:rsid w:val="002749B8"/>
    <w:rsid w:val="00286E35"/>
    <w:rsid w:val="002931E9"/>
    <w:rsid w:val="002B05BA"/>
    <w:rsid w:val="002B12C3"/>
    <w:rsid w:val="002B2889"/>
    <w:rsid w:val="002B5EE7"/>
    <w:rsid w:val="002C6C07"/>
    <w:rsid w:val="002D2B2D"/>
    <w:rsid w:val="002D7D89"/>
    <w:rsid w:val="002E241D"/>
    <w:rsid w:val="002E2AF5"/>
    <w:rsid w:val="002F6834"/>
    <w:rsid w:val="00315D00"/>
    <w:rsid w:val="00325169"/>
    <w:rsid w:val="003264D8"/>
    <w:rsid w:val="00330008"/>
    <w:rsid w:val="00343269"/>
    <w:rsid w:val="00350696"/>
    <w:rsid w:val="003507D9"/>
    <w:rsid w:val="00352523"/>
    <w:rsid w:val="00355328"/>
    <w:rsid w:val="003559B1"/>
    <w:rsid w:val="0037009D"/>
    <w:rsid w:val="00386423"/>
    <w:rsid w:val="0038763C"/>
    <w:rsid w:val="003A3038"/>
    <w:rsid w:val="003A79C6"/>
    <w:rsid w:val="003B01A2"/>
    <w:rsid w:val="003B5F22"/>
    <w:rsid w:val="003C57D4"/>
    <w:rsid w:val="003D3392"/>
    <w:rsid w:val="003E1604"/>
    <w:rsid w:val="003E6739"/>
    <w:rsid w:val="003F4E19"/>
    <w:rsid w:val="00401AEF"/>
    <w:rsid w:val="004071B5"/>
    <w:rsid w:val="0041507D"/>
    <w:rsid w:val="00426BBF"/>
    <w:rsid w:val="00447346"/>
    <w:rsid w:val="004561DA"/>
    <w:rsid w:val="0045706A"/>
    <w:rsid w:val="00467983"/>
    <w:rsid w:val="00472672"/>
    <w:rsid w:val="0048471F"/>
    <w:rsid w:val="00486E3D"/>
    <w:rsid w:val="00487832"/>
    <w:rsid w:val="0049223F"/>
    <w:rsid w:val="00495F37"/>
    <w:rsid w:val="00496133"/>
    <w:rsid w:val="004A5B07"/>
    <w:rsid w:val="004B2F95"/>
    <w:rsid w:val="004B4564"/>
    <w:rsid w:val="004B5DE0"/>
    <w:rsid w:val="004C2EA1"/>
    <w:rsid w:val="004C32BC"/>
    <w:rsid w:val="004C39C6"/>
    <w:rsid w:val="004C3B5A"/>
    <w:rsid w:val="004C63DA"/>
    <w:rsid w:val="004E04D5"/>
    <w:rsid w:val="004E441C"/>
    <w:rsid w:val="004E5188"/>
    <w:rsid w:val="004E6589"/>
    <w:rsid w:val="004E724F"/>
    <w:rsid w:val="00500907"/>
    <w:rsid w:val="00507AD1"/>
    <w:rsid w:val="0051619D"/>
    <w:rsid w:val="0051628E"/>
    <w:rsid w:val="00520731"/>
    <w:rsid w:val="00522790"/>
    <w:rsid w:val="0052539B"/>
    <w:rsid w:val="00525A5B"/>
    <w:rsid w:val="005267BD"/>
    <w:rsid w:val="00531A22"/>
    <w:rsid w:val="00534824"/>
    <w:rsid w:val="00540B23"/>
    <w:rsid w:val="00541831"/>
    <w:rsid w:val="00544008"/>
    <w:rsid w:val="00547354"/>
    <w:rsid w:val="00547D33"/>
    <w:rsid w:val="00553CED"/>
    <w:rsid w:val="005547FD"/>
    <w:rsid w:val="00556026"/>
    <w:rsid w:val="005655C6"/>
    <w:rsid w:val="00574F94"/>
    <w:rsid w:val="00587034"/>
    <w:rsid w:val="005959AB"/>
    <w:rsid w:val="005A254C"/>
    <w:rsid w:val="005A4475"/>
    <w:rsid w:val="005B2459"/>
    <w:rsid w:val="005C5CE7"/>
    <w:rsid w:val="005F6C76"/>
    <w:rsid w:val="00600C94"/>
    <w:rsid w:val="006071F7"/>
    <w:rsid w:val="0062107C"/>
    <w:rsid w:val="0062345C"/>
    <w:rsid w:val="006253AD"/>
    <w:rsid w:val="00634162"/>
    <w:rsid w:val="00634457"/>
    <w:rsid w:val="0065054C"/>
    <w:rsid w:val="0065055E"/>
    <w:rsid w:val="006527A1"/>
    <w:rsid w:val="0065784F"/>
    <w:rsid w:val="00667ED8"/>
    <w:rsid w:val="006716A0"/>
    <w:rsid w:val="00683A6C"/>
    <w:rsid w:val="006B234D"/>
    <w:rsid w:val="006B3A54"/>
    <w:rsid w:val="006E023A"/>
    <w:rsid w:val="00700415"/>
    <w:rsid w:val="00707956"/>
    <w:rsid w:val="00710620"/>
    <w:rsid w:val="007147F6"/>
    <w:rsid w:val="00722A77"/>
    <w:rsid w:val="00741DC5"/>
    <w:rsid w:val="00744701"/>
    <w:rsid w:val="007462B9"/>
    <w:rsid w:val="00753DA1"/>
    <w:rsid w:val="00755D6D"/>
    <w:rsid w:val="0076075E"/>
    <w:rsid w:val="00763A0C"/>
    <w:rsid w:val="007675E4"/>
    <w:rsid w:val="0077229A"/>
    <w:rsid w:val="00780AC1"/>
    <w:rsid w:val="00795A26"/>
    <w:rsid w:val="00795A62"/>
    <w:rsid w:val="00796A09"/>
    <w:rsid w:val="00797129"/>
    <w:rsid w:val="007A01C9"/>
    <w:rsid w:val="007A78D2"/>
    <w:rsid w:val="007C04FF"/>
    <w:rsid w:val="007D0840"/>
    <w:rsid w:val="007D0AC9"/>
    <w:rsid w:val="007D299D"/>
    <w:rsid w:val="007E1ED0"/>
    <w:rsid w:val="007E51B8"/>
    <w:rsid w:val="007F521E"/>
    <w:rsid w:val="00800A0D"/>
    <w:rsid w:val="008026DB"/>
    <w:rsid w:val="0081458F"/>
    <w:rsid w:val="008203E2"/>
    <w:rsid w:val="00821E63"/>
    <w:rsid w:val="00830529"/>
    <w:rsid w:val="00836F1F"/>
    <w:rsid w:val="008423BB"/>
    <w:rsid w:val="00845CD8"/>
    <w:rsid w:val="00845D6B"/>
    <w:rsid w:val="00850981"/>
    <w:rsid w:val="00851126"/>
    <w:rsid w:val="00851994"/>
    <w:rsid w:val="0086156B"/>
    <w:rsid w:val="00873ADA"/>
    <w:rsid w:val="008929DE"/>
    <w:rsid w:val="00893ED2"/>
    <w:rsid w:val="008956CB"/>
    <w:rsid w:val="0089729E"/>
    <w:rsid w:val="008A0D73"/>
    <w:rsid w:val="008A6438"/>
    <w:rsid w:val="008B1F3E"/>
    <w:rsid w:val="008C068E"/>
    <w:rsid w:val="008D4D84"/>
    <w:rsid w:val="008E2674"/>
    <w:rsid w:val="008E402D"/>
    <w:rsid w:val="009072ED"/>
    <w:rsid w:val="0092267D"/>
    <w:rsid w:val="0092620D"/>
    <w:rsid w:val="009266CD"/>
    <w:rsid w:val="0094405D"/>
    <w:rsid w:val="009511FB"/>
    <w:rsid w:val="00970A4E"/>
    <w:rsid w:val="00983461"/>
    <w:rsid w:val="00984DB9"/>
    <w:rsid w:val="0098737A"/>
    <w:rsid w:val="009936C3"/>
    <w:rsid w:val="009A0084"/>
    <w:rsid w:val="009A0A5A"/>
    <w:rsid w:val="009A20E4"/>
    <w:rsid w:val="009C2F73"/>
    <w:rsid w:val="009D0600"/>
    <w:rsid w:val="009D203F"/>
    <w:rsid w:val="009D5C7C"/>
    <w:rsid w:val="009F39BE"/>
    <w:rsid w:val="009F7B91"/>
    <w:rsid w:val="00A00359"/>
    <w:rsid w:val="00A26CA0"/>
    <w:rsid w:val="00A446ED"/>
    <w:rsid w:val="00A45946"/>
    <w:rsid w:val="00A47AAB"/>
    <w:rsid w:val="00A6214D"/>
    <w:rsid w:val="00A62C57"/>
    <w:rsid w:val="00A63902"/>
    <w:rsid w:val="00A675BA"/>
    <w:rsid w:val="00A67C39"/>
    <w:rsid w:val="00A8164A"/>
    <w:rsid w:val="00A904B7"/>
    <w:rsid w:val="00A908AB"/>
    <w:rsid w:val="00AA5884"/>
    <w:rsid w:val="00AB00CE"/>
    <w:rsid w:val="00AB2E0D"/>
    <w:rsid w:val="00AB4EB0"/>
    <w:rsid w:val="00AC12F2"/>
    <w:rsid w:val="00AE09B9"/>
    <w:rsid w:val="00AE160E"/>
    <w:rsid w:val="00AE1B5F"/>
    <w:rsid w:val="00AE349D"/>
    <w:rsid w:val="00AE5664"/>
    <w:rsid w:val="00B00583"/>
    <w:rsid w:val="00B03129"/>
    <w:rsid w:val="00B10EA3"/>
    <w:rsid w:val="00B1173F"/>
    <w:rsid w:val="00B117C1"/>
    <w:rsid w:val="00B12BC7"/>
    <w:rsid w:val="00B1663A"/>
    <w:rsid w:val="00B26180"/>
    <w:rsid w:val="00B423FA"/>
    <w:rsid w:val="00B44D9C"/>
    <w:rsid w:val="00B54E3A"/>
    <w:rsid w:val="00B56E11"/>
    <w:rsid w:val="00B6309A"/>
    <w:rsid w:val="00B67775"/>
    <w:rsid w:val="00B70113"/>
    <w:rsid w:val="00B722F7"/>
    <w:rsid w:val="00B7333C"/>
    <w:rsid w:val="00B73912"/>
    <w:rsid w:val="00B75AAB"/>
    <w:rsid w:val="00B81931"/>
    <w:rsid w:val="00B8437E"/>
    <w:rsid w:val="00B864FD"/>
    <w:rsid w:val="00B92BAE"/>
    <w:rsid w:val="00B9439E"/>
    <w:rsid w:val="00B96E68"/>
    <w:rsid w:val="00BA564A"/>
    <w:rsid w:val="00BB21CC"/>
    <w:rsid w:val="00BB479D"/>
    <w:rsid w:val="00BB7FD3"/>
    <w:rsid w:val="00BC66D2"/>
    <w:rsid w:val="00BD2BCD"/>
    <w:rsid w:val="00BD4FC7"/>
    <w:rsid w:val="00BD6E77"/>
    <w:rsid w:val="00BE167B"/>
    <w:rsid w:val="00BE578B"/>
    <w:rsid w:val="00C016FF"/>
    <w:rsid w:val="00C20935"/>
    <w:rsid w:val="00C26EE3"/>
    <w:rsid w:val="00C3274B"/>
    <w:rsid w:val="00C32DF4"/>
    <w:rsid w:val="00C3470F"/>
    <w:rsid w:val="00C34F34"/>
    <w:rsid w:val="00C3612B"/>
    <w:rsid w:val="00C415BC"/>
    <w:rsid w:val="00C45C7B"/>
    <w:rsid w:val="00C50507"/>
    <w:rsid w:val="00C5096A"/>
    <w:rsid w:val="00C510BD"/>
    <w:rsid w:val="00C5207E"/>
    <w:rsid w:val="00C54F85"/>
    <w:rsid w:val="00C61D48"/>
    <w:rsid w:val="00C669BB"/>
    <w:rsid w:val="00C8718A"/>
    <w:rsid w:val="00C951BF"/>
    <w:rsid w:val="00CA7056"/>
    <w:rsid w:val="00CB2422"/>
    <w:rsid w:val="00CB4088"/>
    <w:rsid w:val="00CC366A"/>
    <w:rsid w:val="00CD1E6E"/>
    <w:rsid w:val="00CD6AD6"/>
    <w:rsid w:val="00CE3B9A"/>
    <w:rsid w:val="00CF094D"/>
    <w:rsid w:val="00D043CC"/>
    <w:rsid w:val="00D05514"/>
    <w:rsid w:val="00D11BBC"/>
    <w:rsid w:val="00D13702"/>
    <w:rsid w:val="00D169E2"/>
    <w:rsid w:val="00D1716A"/>
    <w:rsid w:val="00D3670F"/>
    <w:rsid w:val="00D40C34"/>
    <w:rsid w:val="00D47C44"/>
    <w:rsid w:val="00D638A7"/>
    <w:rsid w:val="00D63E71"/>
    <w:rsid w:val="00D64ADA"/>
    <w:rsid w:val="00D730CE"/>
    <w:rsid w:val="00D73AAD"/>
    <w:rsid w:val="00D73F91"/>
    <w:rsid w:val="00D7495B"/>
    <w:rsid w:val="00D77E5F"/>
    <w:rsid w:val="00D85AC5"/>
    <w:rsid w:val="00D87C09"/>
    <w:rsid w:val="00D87F45"/>
    <w:rsid w:val="00D91006"/>
    <w:rsid w:val="00D956D0"/>
    <w:rsid w:val="00D963B8"/>
    <w:rsid w:val="00DB06E9"/>
    <w:rsid w:val="00DC18DD"/>
    <w:rsid w:val="00DC3BAD"/>
    <w:rsid w:val="00DC4C20"/>
    <w:rsid w:val="00DE22EB"/>
    <w:rsid w:val="00DE2A4E"/>
    <w:rsid w:val="00DF140E"/>
    <w:rsid w:val="00DF696A"/>
    <w:rsid w:val="00DF6FB9"/>
    <w:rsid w:val="00DF7A8E"/>
    <w:rsid w:val="00E015CF"/>
    <w:rsid w:val="00E06050"/>
    <w:rsid w:val="00E062AA"/>
    <w:rsid w:val="00E062E5"/>
    <w:rsid w:val="00E1135D"/>
    <w:rsid w:val="00E14A2C"/>
    <w:rsid w:val="00E14BBA"/>
    <w:rsid w:val="00E15E7F"/>
    <w:rsid w:val="00E22C32"/>
    <w:rsid w:val="00E2412E"/>
    <w:rsid w:val="00E260B5"/>
    <w:rsid w:val="00E3046A"/>
    <w:rsid w:val="00E37665"/>
    <w:rsid w:val="00E37871"/>
    <w:rsid w:val="00E45E6E"/>
    <w:rsid w:val="00E46C00"/>
    <w:rsid w:val="00E51964"/>
    <w:rsid w:val="00E538DA"/>
    <w:rsid w:val="00E554D5"/>
    <w:rsid w:val="00E66EB8"/>
    <w:rsid w:val="00E74BF4"/>
    <w:rsid w:val="00E76776"/>
    <w:rsid w:val="00E8384A"/>
    <w:rsid w:val="00E94787"/>
    <w:rsid w:val="00E97D9E"/>
    <w:rsid w:val="00EA07EC"/>
    <w:rsid w:val="00EA4BC3"/>
    <w:rsid w:val="00EA64F3"/>
    <w:rsid w:val="00EA693A"/>
    <w:rsid w:val="00EB16B4"/>
    <w:rsid w:val="00EB3FAF"/>
    <w:rsid w:val="00EB5D9B"/>
    <w:rsid w:val="00EC1E44"/>
    <w:rsid w:val="00EC6531"/>
    <w:rsid w:val="00ED180A"/>
    <w:rsid w:val="00ED5CC2"/>
    <w:rsid w:val="00ED620E"/>
    <w:rsid w:val="00EE0293"/>
    <w:rsid w:val="00EE14AB"/>
    <w:rsid w:val="00EE2A2C"/>
    <w:rsid w:val="00EF0372"/>
    <w:rsid w:val="00F03893"/>
    <w:rsid w:val="00F109D0"/>
    <w:rsid w:val="00F1294C"/>
    <w:rsid w:val="00F20715"/>
    <w:rsid w:val="00F2072A"/>
    <w:rsid w:val="00F23760"/>
    <w:rsid w:val="00F23948"/>
    <w:rsid w:val="00F408DA"/>
    <w:rsid w:val="00F4148D"/>
    <w:rsid w:val="00F50170"/>
    <w:rsid w:val="00F60F40"/>
    <w:rsid w:val="00F62572"/>
    <w:rsid w:val="00F70E2B"/>
    <w:rsid w:val="00F74567"/>
    <w:rsid w:val="00F874B6"/>
    <w:rsid w:val="00F92481"/>
    <w:rsid w:val="00FB2719"/>
    <w:rsid w:val="00FC7F9F"/>
    <w:rsid w:val="00FD163D"/>
    <w:rsid w:val="00FE4060"/>
    <w:rsid w:val="00FE4AF7"/>
    <w:rsid w:val="00FE7A37"/>
    <w:rsid w:val="00FF6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982"/>
  <w15:docId w15:val="{D32E0C3E-6C4B-4514-8699-43FB6311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30CE"/>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23948"/>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3948"/>
    <w:rPr>
      <w:rFonts w:ascii="Tahoma" w:eastAsia="Times New Roman" w:hAnsi="Tahoma" w:cs="Tahoma"/>
      <w:sz w:val="16"/>
      <w:szCs w:val="16"/>
      <w:lang w:val="en-GB"/>
    </w:rPr>
  </w:style>
  <w:style w:type="table" w:styleId="Mriekatabuky">
    <w:name w:val="Table Grid"/>
    <w:basedOn w:val="Normlnatabuka"/>
    <w:uiPriority w:val="59"/>
    <w:rsid w:val="00F239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F23948"/>
    <w:rPr>
      <w:color w:val="0000FF"/>
      <w:u w:val="single"/>
    </w:rPr>
  </w:style>
  <w:style w:type="character" w:customStyle="1" w:styleId="BodytextNotBoldItalic">
    <w:name w:val="Body text + Not Bold;Italic"/>
    <w:basedOn w:val="Predvolenpsmoodseku"/>
    <w:rsid w:val="00F23948"/>
    <w:rPr>
      <w:rFonts w:ascii="Times New Roman" w:eastAsia="Times New Roman" w:hAnsi="Times New Roman" w:cs="Times New Roman"/>
      <w:b/>
      <w:bCs/>
      <w:i/>
      <w:iCs/>
      <w:smallCaps w:val="0"/>
      <w:strike w:val="0"/>
      <w:color w:val="000000"/>
      <w:spacing w:val="0"/>
      <w:w w:val="100"/>
      <w:position w:val="0"/>
      <w:sz w:val="20"/>
      <w:szCs w:val="20"/>
      <w:u w:val="none"/>
      <w:lang w:val="en-US" w:eastAsia="en-US" w:bidi="en-US"/>
    </w:rPr>
  </w:style>
  <w:style w:type="character" w:customStyle="1" w:styleId="BodyText2">
    <w:name w:val="Body Text2"/>
    <w:basedOn w:val="Predvolenpsmoodseku"/>
    <w:rsid w:val="00F23948"/>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Default">
    <w:name w:val="Default"/>
    <w:rsid w:val="00E554D5"/>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styleId="Odkaznakomentr">
    <w:name w:val="annotation reference"/>
    <w:basedOn w:val="Predvolenpsmoodseku"/>
    <w:uiPriority w:val="99"/>
    <w:semiHidden/>
    <w:unhideWhenUsed/>
    <w:rsid w:val="00350696"/>
    <w:rPr>
      <w:sz w:val="16"/>
      <w:szCs w:val="16"/>
    </w:rPr>
  </w:style>
  <w:style w:type="paragraph" w:styleId="Textkomentra">
    <w:name w:val="annotation text"/>
    <w:basedOn w:val="Normlny"/>
    <w:link w:val="TextkomentraChar"/>
    <w:uiPriority w:val="99"/>
    <w:semiHidden/>
    <w:unhideWhenUsed/>
    <w:rsid w:val="00350696"/>
    <w:pPr>
      <w:spacing w:line="240" w:lineRule="auto"/>
    </w:pPr>
    <w:rPr>
      <w:sz w:val="20"/>
    </w:rPr>
  </w:style>
  <w:style w:type="character" w:customStyle="1" w:styleId="TextkomentraChar">
    <w:name w:val="Text komentára Char"/>
    <w:basedOn w:val="Predvolenpsmoodseku"/>
    <w:link w:val="Textkomentra"/>
    <w:uiPriority w:val="99"/>
    <w:semiHidden/>
    <w:rsid w:val="00350696"/>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350696"/>
    <w:rPr>
      <w:b/>
      <w:bCs/>
    </w:rPr>
  </w:style>
  <w:style w:type="character" w:customStyle="1" w:styleId="PredmetkomentraChar">
    <w:name w:val="Predmet komentára Char"/>
    <w:basedOn w:val="TextkomentraChar"/>
    <w:link w:val="Predmetkomentra"/>
    <w:uiPriority w:val="99"/>
    <w:semiHidden/>
    <w:rsid w:val="00350696"/>
    <w:rPr>
      <w:rFonts w:ascii="Times New Roman" w:eastAsia="Times New Roman" w:hAnsi="Times New Roman" w:cs="Times New Roman"/>
      <w:b/>
      <w:bCs/>
      <w:sz w:val="20"/>
      <w:szCs w:val="20"/>
      <w:lang w:val="en-GB"/>
    </w:rPr>
  </w:style>
  <w:style w:type="paragraph" w:styleId="Odsekzoznamu">
    <w:name w:val="List Paragraph"/>
    <w:basedOn w:val="Normlny"/>
    <w:uiPriority w:val="34"/>
    <w:qFormat/>
    <w:rsid w:val="00C016FF"/>
    <w:pPr>
      <w:ind w:left="720"/>
      <w:contextualSpacing/>
    </w:pPr>
  </w:style>
  <w:style w:type="character" w:customStyle="1" w:styleId="shorttext">
    <w:name w:val="short_text"/>
    <w:basedOn w:val="Predvolenpsmoodseku"/>
    <w:rsid w:val="00587034"/>
  </w:style>
  <w:style w:type="character" w:customStyle="1" w:styleId="alt-edited">
    <w:name w:val="alt-edited"/>
    <w:basedOn w:val="Predvolenpsmoodseku"/>
    <w:rsid w:val="00EF0372"/>
  </w:style>
  <w:style w:type="paragraph" w:styleId="Hlavika">
    <w:name w:val="header"/>
    <w:basedOn w:val="Normlny"/>
    <w:link w:val="HlavikaChar"/>
    <w:uiPriority w:val="99"/>
    <w:unhideWhenUsed/>
    <w:rsid w:val="004B5DE0"/>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4B5DE0"/>
    <w:rPr>
      <w:rFonts w:ascii="Times New Roman" w:eastAsia="Times New Roman" w:hAnsi="Times New Roman" w:cs="Times New Roman"/>
      <w:szCs w:val="20"/>
      <w:lang w:val="en-GB"/>
    </w:rPr>
  </w:style>
  <w:style w:type="paragraph" w:styleId="Pta">
    <w:name w:val="footer"/>
    <w:basedOn w:val="Normlny"/>
    <w:link w:val="PtaChar"/>
    <w:uiPriority w:val="99"/>
    <w:unhideWhenUsed/>
    <w:rsid w:val="004B5DE0"/>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B5DE0"/>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666839">
      <w:bodyDiv w:val="1"/>
      <w:marLeft w:val="0"/>
      <w:marRight w:val="0"/>
      <w:marTop w:val="0"/>
      <w:marBottom w:val="0"/>
      <w:divBdr>
        <w:top w:val="none" w:sz="0" w:space="0" w:color="auto"/>
        <w:left w:val="none" w:sz="0" w:space="0" w:color="auto"/>
        <w:bottom w:val="none" w:sz="0" w:space="0" w:color="auto"/>
        <w:right w:val="none" w:sz="0" w:space="0" w:color="auto"/>
      </w:divBdr>
    </w:div>
    <w:div w:id="461971564">
      <w:bodyDiv w:val="1"/>
      <w:marLeft w:val="0"/>
      <w:marRight w:val="0"/>
      <w:marTop w:val="0"/>
      <w:marBottom w:val="0"/>
      <w:divBdr>
        <w:top w:val="none" w:sz="0" w:space="0" w:color="auto"/>
        <w:left w:val="none" w:sz="0" w:space="0" w:color="auto"/>
        <w:bottom w:val="none" w:sz="0" w:space="0" w:color="auto"/>
        <w:right w:val="none" w:sz="0" w:space="0" w:color="auto"/>
      </w:divBdr>
    </w:div>
    <w:div w:id="1913468546">
      <w:bodyDiv w:val="1"/>
      <w:marLeft w:val="0"/>
      <w:marRight w:val="0"/>
      <w:marTop w:val="0"/>
      <w:marBottom w:val="0"/>
      <w:divBdr>
        <w:top w:val="none" w:sz="0" w:space="0" w:color="auto"/>
        <w:left w:val="none" w:sz="0" w:space="0" w:color="auto"/>
        <w:bottom w:val="none" w:sz="0" w:space="0" w:color="auto"/>
        <w:right w:val="none" w:sz="0" w:space="0" w:color="auto"/>
      </w:divBdr>
    </w:div>
    <w:div w:id="19455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4578</Words>
  <Characters>26100</Characters>
  <Application>Microsoft Office Word</Application>
  <DocSecurity>0</DocSecurity>
  <Lines>217</Lines>
  <Paragraphs>61</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30617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Kristína Ráczová</cp:lastModifiedBy>
  <cp:revision>6</cp:revision>
  <dcterms:created xsi:type="dcterms:W3CDTF">2018-07-18T08:20:00Z</dcterms:created>
  <dcterms:modified xsi:type="dcterms:W3CDTF">2018-07-18T11:53:00Z</dcterms:modified>
</cp:coreProperties>
</file>