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624" w:rsidRPr="00151427" w:rsidRDefault="00B56624" w:rsidP="00B56624">
      <w:pPr>
        <w:pStyle w:val="Hlavika"/>
        <w:rPr>
          <w:sz w:val="18"/>
          <w:szCs w:val="18"/>
        </w:rPr>
      </w:pPr>
      <w:bookmarkStart w:id="0" w:name="_GoBack"/>
      <w:bookmarkEnd w:id="0"/>
    </w:p>
    <w:p w:rsidR="008A6EA9" w:rsidRPr="00B56624" w:rsidRDefault="008A6EA9" w:rsidP="008A6EA9">
      <w:pPr>
        <w:rPr>
          <w:sz w:val="18"/>
          <w:szCs w:val="18"/>
          <w:lang w:val="sk-SK"/>
        </w:rPr>
      </w:pPr>
    </w:p>
    <w:p w:rsidR="0052673F" w:rsidRPr="008A6EA9" w:rsidRDefault="0052673F" w:rsidP="004E3DD0">
      <w:pPr>
        <w:jc w:val="center"/>
        <w:rPr>
          <w:b/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SÚHRN CHARAKTERISTICKÝCH VLASTNOSTÍ LIEKU</w:t>
      </w:r>
    </w:p>
    <w:p w:rsidR="0052673F" w:rsidRDefault="0052673F" w:rsidP="004E3DD0">
      <w:pPr>
        <w:rPr>
          <w:b/>
          <w:sz w:val="22"/>
          <w:szCs w:val="22"/>
          <w:lang w:val="sk-SK"/>
        </w:rPr>
      </w:pPr>
    </w:p>
    <w:p w:rsidR="008A6EA9" w:rsidRPr="008A6EA9" w:rsidRDefault="008A6EA9" w:rsidP="004E3DD0">
      <w:pPr>
        <w:rPr>
          <w:b/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1.</w:t>
      </w:r>
      <w:r w:rsidRPr="008A6EA9">
        <w:rPr>
          <w:b/>
          <w:sz w:val="22"/>
          <w:szCs w:val="22"/>
          <w:lang w:val="sk-SK"/>
        </w:rPr>
        <w:tab/>
        <w:t>NÁZOV LIEKU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AE3182">
        <w:rPr>
          <w:sz w:val="22"/>
          <w:szCs w:val="22"/>
          <w:lang w:val="sk-SK"/>
        </w:rPr>
        <w:t>REFERO 550 mg filmom obalené tablety</w:t>
      </w:r>
    </w:p>
    <w:p w:rsidR="0052673F" w:rsidRPr="008A6EA9" w:rsidRDefault="0052673F" w:rsidP="004E3DD0">
      <w:pPr>
        <w:rPr>
          <w:iCs/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2.</w:t>
      </w:r>
      <w:r w:rsidRPr="008A6EA9">
        <w:rPr>
          <w:b/>
          <w:sz w:val="22"/>
          <w:szCs w:val="22"/>
          <w:lang w:val="sk-SK"/>
        </w:rPr>
        <w:tab/>
        <w:t>KVALITATÍVNE A KVANTITATÍVNE ZLOŽENIE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Každá filmom obalená tableta obsahuje 550 mg </w:t>
      </w:r>
      <w:proofErr w:type="spellStart"/>
      <w:r w:rsidRPr="008A6EA9">
        <w:rPr>
          <w:sz w:val="22"/>
          <w:szCs w:val="22"/>
          <w:lang w:val="sk-SK"/>
        </w:rPr>
        <w:t>rifaximínu</w:t>
      </w:r>
      <w:proofErr w:type="spellEnd"/>
      <w:r w:rsidRPr="008A6EA9">
        <w:rPr>
          <w:sz w:val="22"/>
          <w:szCs w:val="22"/>
          <w:lang w:val="sk-SK"/>
        </w:rPr>
        <w:t>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Pomocné látky: </w:t>
      </w:r>
    </w:p>
    <w:p w:rsidR="0052673F" w:rsidRPr="008A6EA9" w:rsidRDefault="0052673F" w:rsidP="004E3DD0">
      <w:pPr>
        <w:tabs>
          <w:tab w:val="left" w:pos="567"/>
        </w:tabs>
        <w:spacing w:line="260" w:lineRule="exact"/>
        <w:rPr>
          <w:sz w:val="22"/>
          <w:szCs w:val="22"/>
          <w:lang w:val="sk-SK" w:eastAsia="en-US"/>
        </w:rPr>
      </w:pPr>
      <w:r w:rsidRPr="008A6EA9">
        <w:rPr>
          <w:sz w:val="22"/>
          <w:szCs w:val="22"/>
          <w:lang w:val="sk-SK" w:eastAsia="en-US"/>
        </w:rPr>
        <w:t>Úplný zoznam pomocných látok, pozri časť 6.1.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caps/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3.</w:t>
      </w:r>
      <w:r w:rsidRPr="008A6EA9">
        <w:rPr>
          <w:b/>
          <w:sz w:val="22"/>
          <w:szCs w:val="22"/>
          <w:lang w:val="sk-SK"/>
        </w:rPr>
        <w:tab/>
        <w:t>LIEKOVÁ FORMA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Filmom obalená tableta.</w:t>
      </w:r>
    </w:p>
    <w:p w:rsidR="0052673F" w:rsidRPr="008A6EA9" w:rsidRDefault="0052673F" w:rsidP="004E3DD0">
      <w:pPr>
        <w:rPr>
          <w:sz w:val="22"/>
          <w:szCs w:val="22"/>
          <w:lang w:val="sk-SK" w:eastAsia="de-DE"/>
        </w:rPr>
      </w:pPr>
      <w:r w:rsidRPr="008A6EA9">
        <w:rPr>
          <w:sz w:val="22"/>
          <w:szCs w:val="22"/>
          <w:lang w:val="sk-SK" w:eastAsia="de-DE"/>
        </w:rPr>
        <w:t xml:space="preserve">Ružové okrúhle bikonvexné </w:t>
      </w:r>
      <w:r w:rsidRPr="008A6EA9">
        <w:rPr>
          <w:sz w:val="22"/>
          <w:szCs w:val="22"/>
          <w:lang w:val="sk-SK"/>
        </w:rPr>
        <w:t xml:space="preserve">10 mm x </w:t>
      </w:r>
      <w:smartTag w:uri="urn:schemas-microsoft-com:office:smarttags" w:element="metricconverter">
        <w:smartTagPr>
          <w:attr w:name="ProductID" w:val="1’"/>
        </w:smartTagPr>
        <w:r w:rsidRPr="008A6EA9">
          <w:rPr>
            <w:sz w:val="22"/>
            <w:szCs w:val="22"/>
            <w:lang w:val="sk-SK"/>
          </w:rPr>
          <w:t>19 mm</w:t>
        </w:r>
      </w:smartTag>
      <w:r w:rsidRPr="008A6EA9">
        <w:rPr>
          <w:sz w:val="22"/>
          <w:szCs w:val="22"/>
          <w:lang w:val="sk-SK"/>
        </w:rPr>
        <w:t xml:space="preserve"> </w:t>
      </w:r>
      <w:r w:rsidRPr="008A6EA9">
        <w:rPr>
          <w:sz w:val="22"/>
          <w:szCs w:val="22"/>
          <w:lang w:val="sk-SK" w:eastAsia="de-DE"/>
        </w:rPr>
        <w:t xml:space="preserve">filmom </w:t>
      </w:r>
      <w:r w:rsidR="00425EC8" w:rsidRPr="008A6EA9">
        <w:rPr>
          <w:sz w:val="22"/>
          <w:szCs w:val="22"/>
          <w:lang w:val="sk-SK" w:eastAsia="de-DE"/>
        </w:rPr>
        <w:t>obalen</w:t>
      </w:r>
      <w:r w:rsidR="00425EC8">
        <w:rPr>
          <w:sz w:val="22"/>
          <w:szCs w:val="22"/>
          <w:lang w:val="sk-SK" w:eastAsia="de-DE"/>
        </w:rPr>
        <w:t>é</w:t>
      </w:r>
      <w:r w:rsidR="00425EC8" w:rsidRPr="008A6EA9">
        <w:rPr>
          <w:sz w:val="22"/>
          <w:szCs w:val="22"/>
          <w:lang w:val="sk-SK" w:eastAsia="de-DE"/>
        </w:rPr>
        <w:t xml:space="preserve"> </w:t>
      </w:r>
      <w:r w:rsidRPr="008A6EA9">
        <w:rPr>
          <w:sz w:val="22"/>
          <w:szCs w:val="22"/>
          <w:lang w:val="sk-SK" w:eastAsia="de-DE"/>
        </w:rPr>
        <w:t>tablety z jednej strany s vyrazeným nápisom „RX“.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caps/>
          <w:sz w:val="22"/>
          <w:szCs w:val="22"/>
          <w:lang w:val="sk-SK"/>
        </w:rPr>
      </w:pPr>
      <w:r w:rsidRPr="008A6EA9">
        <w:rPr>
          <w:b/>
          <w:caps/>
          <w:sz w:val="22"/>
          <w:szCs w:val="22"/>
          <w:lang w:val="sk-SK"/>
        </w:rPr>
        <w:t>4.</w:t>
      </w:r>
      <w:r w:rsidRPr="008A6EA9">
        <w:rPr>
          <w:b/>
          <w:caps/>
          <w:sz w:val="22"/>
          <w:szCs w:val="22"/>
          <w:lang w:val="sk-SK"/>
        </w:rPr>
        <w:tab/>
        <w:t>KLINICKÉ ÚDAJE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4.1</w:t>
      </w:r>
      <w:r w:rsidRPr="008A6EA9">
        <w:rPr>
          <w:b/>
          <w:sz w:val="22"/>
          <w:szCs w:val="22"/>
          <w:lang w:val="sk-SK"/>
        </w:rPr>
        <w:tab/>
        <w:t>Terapeutické indikácie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bCs/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REFERO je indikovaný na zníženie výskytu opakovaných epizód zreteľnej hepatálnej</w:t>
      </w:r>
      <w:r w:rsidRPr="008A6EA9">
        <w:rPr>
          <w:bCs/>
          <w:sz w:val="22"/>
          <w:szCs w:val="22"/>
          <w:lang w:val="sk-SK"/>
        </w:rPr>
        <w:t xml:space="preserve"> </w:t>
      </w:r>
      <w:proofErr w:type="spellStart"/>
      <w:r w:rsidRPr="008A6EA9">
        <w:rPr>
          <w:bCs/>
          <w:sz w:val="22"/>
          <w:szCs w:val="22"/>
          <w:lang w:val="sk-SK"/>
        </w:rPr>
        <w:t>encefalopatie</w:t>
      </w:r>
      <w:proofErr w:type="spellEnd"/>
      <w:r w:rsidRPr="008A6EA9">
        <w:rPr>
          <w:bCs/>
          <w:sz w:val="22"/>
          <w:szCs w:val="22"/>
          <w:lang w:val="sk-SK"/>
        </w:rPr>
        <w:t xml:space="preserve"> u pacientov vo veku 18 rokov a starších (pozri časť 5.1).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V pilotnej štúdii 91 % pacientov súbežne užívalo </w:t>
      </w:r>
      <w:proofErr w:type="spellStart"/>
      <w:r w:rsidRPr="008A6EA9">
        <w:rPr>
          <w:sz w:val="22"/>
          <w:szCs w:val="22"/>
          <w:lang w:val="sk-SK"/>
        </w:rPr>
        <w:t>laktulózu</w:t>
      </w:r>
      <w:proofErr w:type="spellEnd"/>
      <w:r w:rsidRPr="008A6EA9">
        <w:rPr>
          <w:sz w:val="22"/>
          <w:szCs w:val="22"/>
          <w:lang w:val="sk-SK"/>
        </w:rPr>
        <w:t>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Je potrebné zvážiť oficiálne pokyny na správne použitie antibakteriálnych látok.</w:t>
      </w:r>
    </w:p>
    <w:p w:rsidR="0052673F" w:rsidRPr="008A6EA9" w:rsidRDefault="0052673F" w:rsidP="004E3DD0">
      <w:pPr>
        <w:rPr>
          <w:b/>
          <w:sz w:val="22"/>
          <w:szCs w:val="22"/>
          <w:lang w:val="sk-SK"/>
        </w:rPr>
      </w:pPr>
    </w:p>
    <w:p w:rsidR="0052673F" w:rsidRPr="008A6EA9" w:rsidRDefault="0052673F" w:rsidP="004E3DD0">
      <w:pPr>
        <w:rPr>
          <w:b/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4.2</w:t>
      </w:r>
      <w:r w:rsidRPr="008A6EA9">
        <w:rPr>
          <w:b/>
          <w:sz w:val="22"/>
          <w:szCs w:val="22"/>
          <w:lang w:val="sk-SK"/>
        </w:rPr>
        <w:tab/>
        <w:t>Dávkovanie a spôsob podania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u w:val="single"/>
          <w:lang w:val="sk-SK"/>
        </w:rPr>
      </w:pPr>
      <w:r w:rsidRPr="008A6EA9">
        <w:rPr>
          <w:sz w:val="22"/>
          <w:szCs w:val="22"/>
          <w:u w:val="single"/>
          <w:lang w:val="sk-SK"/>
        </w:rPr>
        <w:t>Dávkovanie</w:t>
      </w:r>
    </w:p>
    <w:p w:rsidR="0052673F" w:rsidRPr="008A6EA9" w:rsidRDefault="0052673F" w:rsidP="004E3DD0">
      <w:pPr>
        <w:jc w:val="both"/>
        <w:rPr>
          <w:bCs/>
          <w:iCs/>
          <w:sz w:val="22"/>
          <w:szCs w:val="22"/>
          <w:lang w:val="sk-SK"/>
        </w:rPr>
      </w:pPr>
      <w:r w:rsidRPr="008A6EA9">
        <w:rPr>
          <w:bCs/>
          <w:iCs/>
          <w:sz w:val="22"/>
          <w:szCs w:val="22"/>
          <w:lang w:val="sk-SK"/>
        </w:rPr>
        <w:t xml:space="preserve">Odporúčaná dávka: 550 mg dvakrát denne. Klinický prínos bol stanovený na základe kontrolovanej štúdie, počas ktorej boli pacienti liečení po dobu 6 mesiacov. Liečba dlhšia ako 6 mesiacov má zohľadniť individuálne vyváženie prínosov a rizík vrátane tých, ktoré sú spojené s postupom hepatálnej dysfunkcie (pozri časť 4.4, </w:t>
      </w:r>
      <w:smartTag w:uri="urn:schemas-microsoft-com:office:smarttags" w:element="metricconverter">
        <w:smartTagPr>
          <w:attr w:name="ProductID" w:val="1’"/>
        </w:smartTagPr>
        <w:r w:rsidRPr="008A6EA9">
          <w:rPr>
            <w:bCs/>
            <w:iCs/>
            <w:sz w:val="22"/>
            <w:szCs w:val="22"/>
            <w:lang w:val="sk-SK"/>
          </w:rPr>
          <w:t>5.1 a</w:t>
        </w:r>
      </w:smartTag>
      <w:r w:rsidRPr="008A6EA9">
        <w:rPr>
          <w:bCs/>
          <w:iCs/>
          <w:sz w:val="22"/>
          <w:szCs w:val="22"/>
          <w:lang w:val="sk-SK"/>
        </w:rPr>
        <w:t xml:space="preserve"> 5.2).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REFERO je možné podávať s jedlom alebo bez jedla.</w:t>
      </w:r>
    </w:p>
    <w:p w:rsidR="0052673F" w:rsidRPr="008A6EA9" w:rsidRDefault="0052673F" w:rsidP="004E3DD0">
      <w:pPr>
        <w:rPr>
          <w:sz w:val="22"/>
          <w:szCs w:val="22"/>
          <w:u w:val="single"/>
          <w:lang w:val="sk-SK"/>
        </w:rPr>
      </w:pPr>
    </w:p>
    <w:p w:rsidR="0052673F" w:rsidRPr="008A6EA9" w:rsidRDefault="0052673F" w:rsidP="004E3DD0">
      <w:pPr>
        <w:rPr>
          <w:bCs/>
          <w:i/>
          <w:iCs/>
          <w:sz w:val="22"/>
          <w:szCs w:val="22"/>
          <w:lang w:val="sk-SK"/>
        </w:rPr>
      </w:pPr>
      <w:r w:rsidRPr="008A6EA9">
        <w:rPr>
          <w:bCs/>
          <w:i/>
          <w:iCs/>
          <w:sz w:val="22"/>
          <w:szCs w:val="22"/>
          <w:lang w:val="sk-SK"/>
        </w:rPr>
        <w:t>Deti a dospievajúci</w:t>
      </w:r>
    </w:p>
    <w:p w:rsidR="0052673F" w:rsidRPr="008A6EA9" w:rsidRDefault="0052673F" w:rsidP="004E3DD0">
      <w:pPr>
        <w:autoSpaceDE w:val="0"/>
        <w:autoSpaceDN w:val="0"/>
        <w:adjustRightInd w:val="0"/>
        <w:jc w:val="both"/>
        <w:rPr>
          <w:i/>
          <w:color w:val="008000"/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Bezpečnosť a účinnosť REFERO u detí a dospievajúcich (mladších ako 18 rokov) neboli doteraz stanovené.</w:t>
      </w:r>
    </w:p>
    <w:p w:rsidR="0052673F" w:rsidRPr="008A6EA9" w:rsidRDefault="0052673F" w:rsidP="004E3DD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i/>
          <w:sz w:val="22"/>
          <w:szCs w:val="22"/>
          <w:lang w:val="sk-SK"/>
        </w:rPr>
      </w:pPr>
      <w:r w:rsidRPr="008A6EA9">
        <w:rPr>
          <w:i/>
          <w:sz w:val="22"/>
          <w:szCs w:val="22"/>
          <w:lang w:val="sk-SK"/>
        </w:rPr>
        <w:t>Staršie osoby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Nie je potrebná žiadna úprava dávky, pretože údaje o bezpečnosti a účinnosti REFERO nepreukázali žiadne rozdiely medzi staršími a mladšími pacientmi.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i/>
          <w:sz w:val="22"/>
          <w:szCs w:val="22"/>
          <w:lang w:val="sk-SK"/>
        </w:rPr>
      </w:pPr>
      <w:r w:rsidRPr="008A6EA9">
        <w:rPr>
          <w:i/>
          <w:sz w:val="22"/>
          <w:szCs w:val="22"/>
          <w:lang w:val="sk-SK"/>
        </w:rPr>
        <w:t>Porucha funkcie pečene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lastRenderedPageBreak/>
        <w:t xml:space="preserve">U pacientov s hepatálnou </w:t>
      </w:r>
      <w:proofErr w:type="spellStart"/>
      <w:r w:rsidRPr="008A6EA9">
        <w:rPr>
          <w:sz w:val="22"/>
          <w:szCs w:val="22"/>
          <w:lang w:val="sk-SK"/>
        </w:rPr>
        <w:t>insuficienciou</w:t>
      </w:r>
      <w:proofErr w:type="spellEnd"/>
      <w:r w:rsidRPr="008A6EA9">
        <w:rPr>
          <w:sz w:val="22"/>
          <w:szCs w:val="22"/>
          <w:lang w:val="sk-SK"/>
        </w:rPr>
        <w:t xml:space="preserve"> nie je potrebná žiadna úprava dávky (pozri časť 4.4).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i/>
          <w:sz w:val="22"/>
          <w:szCs w:val="22"/>
          <w:lang w:val="sk-SK"/>
        </w:rPr>
      </w:pPr>
      <w:r w:rsidRPr="008A6EA9">
        <w:rPr>
          <w:i/>
          <w:sz w:val="22"/>
          <w:szCs w:val="22"/>
          <w:lang w:val="sk-SK"/>
        </w:rPr>
        <w:t>Porucha funkcie obličiek</w:t>
      </w:r>
    </w:p>
    <w:p w:rsidR="0052673F" w:rsidRPr="008A6EA9" w:rsidRDefault="0052673F" w:rsidP="004E3DD0">
      <w:pPr>
        <w:jc w:val="both"/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Úprava dávky sa nepredpokladá, u pacientov s poruchou funkcie obličiek je však potrebná opatrnosť (pozri časť 5.2).</w:t>
      </w:r>
    </w:p>
    <w:p w:rsidR="0052673F" w:rsidRPr="008A6EA9" w:rsidRDefault="0052673F" w:rsidP="004E3DD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u w:val="single"/>
          <w:lang w:val="sk-SK"/>
        </w:rPr>
      </w:pPr>
      <w:r w:rsidRPr="008A6EA9">
        <w:rPr>
          <w:sz w:val="22"/>
          <w:szCs w:val="22"/>
          <w:u w:val="single"/>
          <w:lang w:val="sk-SK"/>
        </w:rPr>
        <w:t xml:space="preserve">Spôsob podania </w:t>
      </w:r>
    </w:p>
    <w:p w:rsidR="0052673F" w:rsidRPr="008A6EA9" w:rsidRDefault="0052673F" w:rsidP="004E3DD0">
      <w:pPr>
        <w:rPr>
          <w:b/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Perorálne, zapiť pohárom vody.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4.3</w:t>
      </w:r>
      <w:r w:rsidRPr="008A6EA9">
        <w:rPr>
          <w:b/>
          <w:sz w:val="22"/>
          <w:szCs w:val="22"/>
          <w:lang w:val="sk-SK"/>
        </w:rPr>
        <w:tab/>
        <w:t xml:space="preserve">Kontraindikácie 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52673F">
      <w:pPr>
        <w:pStyle w:val="Zkladntext"/>
        <w:numPr>
          <w:ilvl w:val="0"/>
          <w:numId w:val="1"/>
        </w:numPr>
        <w:tabs>
          <w:tab w:val="clear" w:pos="720"/>
          <w:tab w:val="num" w:pos="540"/>
        </w:tabs>
        <w:ind w:hanging="720"/>
        <w:rPr>
          <w:szCs w:val="22"/>
        </w:rPr>
      </w:pPr>
      <w:proofErr w:type="spellStart"/>
      <w:r w:rsidRPr="008A6EA9">
        <w:rPr>
          <w:szCs w:val="22"/>
        </w:rPr>
        <w:t>Precitlivenosť</w:t>
      </w:r>
      <w:proofErr w:type="spellEnd"/>
      <w:r w:rsidRPr="008A6EA9">
        <w:rPr>
          <w:szCs w:val="22"/>
        </w:rPr>
        <w:t xml:space="preserve"> na </w:t>
      </w:r>
      <w:proofErr w:type="spellStart"/>
      <w:r w:rsidRPr="008A6EA9">
        <w:rPr>
          <w:szCs w:val="22"/>
        </w:rPr>
        <w:t>rifaximín</w:t>
      </w:r>
      <w:proofErr w:type="spellEnd"/>
      <w:r w:rsidRPr="008A6EA9">
        <w:rPr>
          <w:szCs w:val="22"/>
        </w:rPr>
        <w:t xml:space="preserve">, </w:t>
      </w:r>
      <w:proofErr w:type="spellStart"/>
      <w:r w:rsidRPr="008A6EA9">
        <w:rPr>
          <w:szCs w:val="22"/>
        </w:rPr>
        <w:t>deriváty</w:t>
      </w:r>
      <w:proofErr w:type="spellEnd"/>
      <w:r w:rsidRPr="008A6EA9">
        <w:rPr>
          <w:szCs w:val="22"/>
        </w:rPr>
        <w:t xml:space="preserve"> </w:t>
      </w:r>
      <w:proofErr w:type="spellStart"/>
      <w:r w:rsidRPr="008A6EA9">
        <w:rPr>
          <w:szCs w:val="22"/>
        </w:rPr>
        <w:t>rifamycínu</w:t>
      </w:r>
      <w:proofErr w:type="spellEnd"/>
      <w:r w:rsidRPr="008A6EA9">
        <w:rPr>
          <w:szCs w:val="22"/>
        </w:rPr>
        <w:t xml:space="preserve"> </w:t>
      </w:r>
      <w:proofErr w:type="spellStart"/>
      <w:r w:rsidRPr="008A6EA9">
        <w:rPr>
          <w:szCs w:val="22"/>
        </w:rPr>
        <w:t>a</w:t>
      </w:r>
      <w:r w:rsidR="004F0665">
        <w:rPr>
          <w:szCs w:val="22"/>
        </w:rPr>
        <w:t>lebo</w:t>
      </w:r>
      <w:proofErr w:type="spellEnd"/>
      <w:r w:rsidR="004F0665">
        <w:rPr>
          <w:szCs w:val="22"/>
        </w:rPr>
        <w:t xml:space="preserve"> na </w:t>
      </w:r>
      <w:proofErr w:type="spellStart"/>
      <w:r w:rsidR="004F0665">
        <w:rPr>
          <w:szCs w:val="22"/>
        </w:rPr>
        <w:t>ktorúkoľvek</w:t>
      </w:r>
      <w:proofErr w:type="spellEnd"/>
      <w:r w:rsidR="004F0665">
        <w:rPr>
          <w:szCs w:val="22"/>
        </w:rPr>
        <w:t xml:space="preserve"> z </w:t>
      </w:r>
      <w:proofErr w:type="spellStart"/>
      <w:r w:rsidR="004F0665">
        <w:rPr>
          <w:szCs w:val="22"/>
        </w:rPr>
        <w:t>pomocných</w:t>
      </w:r>
      <w:proofErr w:type="spellEnd"/>
      <w:r w:rsidR="004F0665">
        <w:rPr>
          <w:szCs w:val="22"/>
        </w:rPr>
        <w:t xml:space="preserve"> </w:t>
      </w:r>
      <w:proofErr w:type="spellStart"/>
      <w:r w:rsidRPr="008A6EA9">
        <w:rPr>
          <w:szCs w:val="22"/>
        </w:rPr>
        <w:t>látok</w:t>
      </w:r>
      <w:proofErr w:type="spellEnd"/>
      <w:r w:rsidRPr="008A6EA9">
        <w:rPr>
          <w:szCs w:val="22"/>
        </w:rPr>
        <w:t xml:space="preserve"> </w:t>
      </w:r>
      <w:proofErr w:type="spellStart"/>
      <w:r w:rsidRPr="008A6EA9">
        <w:rPr>
          <w:szCs w:val="22"/>
        </w:rPr>
        <w:t>uvedených</w:t>
      </w:r>
      <w:proofErr w:type="spellEnd"/>
      <w:r w:rsidRPr="008A6EA9">
        <w:rPr>
          <w:szCs w:val="22"/>
        </w:rPr>
        <w:t xml:space="preserve"> v </w:t>
      </w:r>
      <w:proofErr w:type="spellStart"/>
      <w:r w:rsidRPr="008A6EA9">
        <w:rPr>
          <w:szCs w:val="22"/>
        </w:rPr>
        <w:t>časti</w:t>
      </w:r>
      <w:proofErr w:type="spellEnd"/>
      <w:r w:rsidRPr="008A6EA9">
        <w:rPr>
          <w:szCs w:val="22"/>
        </w:rPr>
        <w:t xml:space="preserve"> 6.1.</w:t>
      </w:r>
    </w:p>
    <w:p w:rsidR="0052673F" w:rsidRPr="008A6EA9" w:rsidRDefault="0052673F" w:rsidP="0052673F">
      <w:pPr>
        <w:pStyle w:val="Zkladntext"/>
        <w:numPr>
          <w:ilvl w:val="0"/>
          <w:numId w:val="1"/>
        </w:numPr>
        <w:tabs>
          <w:tab w:val="clear" w:pos="720"/>
          <w:tab w:val="num" w:pos="540"/>
        </w:tabs>
        <w:ind w:hanging="720"/>
        <w:rPr>
          <w:szCs w:val="22"/>
        </w:rPr>
      </w:pPr>
      <w:proofErr w:type="spellStart"/>
      <w:r w:rsidRPr="008A6EA9">
        <w:rPr>
          <w:szCs w:val="22"/>
        </w:rPr>
        <w:t>Prípady</w:t>
      </w:r>
      <w:proofErr w:type="spellEnd"/>
      <w:r w:rsidRPr="008A6EA9">
        <w:rPr>
          <w:szCs w:val="22"/>
        </w:rPr>
        <w:t xml:space="preserve"> </w:t>
      </w:r>
      <w:proofErr w:type="spellStart"/>
      <w:r w:rsidRPr="008A6EA9">
        <w:rPr>
          <w:szCs w:val="22"/>
        </w:rPr>
        <w:t>intestinálnej</w:t>
      </w:r>
      <w:proofErr w:type="spellEnd"/>
      <w:r w:rsidRPr="008A6EA9">
        <w:rPr>
          <w:szCs w:val="22"/>
        </w:rPr>
        <w:t xml:space="preserve"> </w:t>
      </w:r>
      <w:proofErr w:type="spellStart"/>
      <w:r w:rsidRPr="008A6EA9">
        <w:rPr>
          <w:szCs w:val="22"/>
        </w:rPr>
        <w:t>obštrukcie</w:t>
      </w:r>
      <w:proofErr w:type="spellEnd"/>
      <w:r w:rsidRPr="008A6EA9">
        <w:rPr>
          <w:szCs w:val="22"/>
        </w:rPr>
        <w:t>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b/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4.4</w:t>
      </w:r>
      <w:r w:rsidRPr="008A6EA9">
        <w:rPr>
          <w:b/>
          <w:sz w:val="22"/>
          <w:szCs w:val="22"/>
          <w:lang w:val="sk-SK"/>
        </w:rPr>
        <w:tab/>
        <w:t>Osobitné upozornenia a opatrenia pri používaní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keepNext/>
        <w:keepLines/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Hnačka vyvolaná </w:t>
      </w:r>
      <w:proofErr w:type="spellStart"/>
      <w:r w:rsidRPr="008A6EA9">
        <w:rPr>
          <w:i/>
          <w:sz w:val="22"/>
          <w:szCs w:val="22"/>
          <w:lang w:val="sk-SK"/>
        </w:rPr>
        <w:t>Clostridium</w:t>
      </w:r>
      <w:proofErr w:type="spellEnd"/>
      <w:r w:rsidRPr="008A6EA9">
        <w:rPr>
          <w:i/>
          <w:sz w:val="22"/>
          <w:szCs w:val="22"/>
          <w:lang w:val="sk-SK"/>
        </w:rPr>
        <w:t xml:space="preserve"> </w:t>
      </w:r>
      <w:proofErr w:type="spellStart"/>
      <w:r w:rsidRPr="008A6EA9">
        <w:rPr>
          <w:i/>
          <w:sz w:val="22"/>
          <w:szCs w:val="22"/>
          <w:lang w:val="sk-SK"/>
        </w:rPr>
        <w:t>difficile</w:t>
      </w:r>
      <w:proofErr w:type="spellEnd"/>
      <w:r w:rsidRPr="008A6EA9">
        <w:rPr>
          <w:sz w:val="22"/>
          <w:szCs w:val="22"/>
          <w:lang w:val="sk-SK"/>
        </w:rPr>
        <w:t xml:space="preserve"> (CDAD) bola hlásená pri užívaní takmer všetkých antibakteriálnych činidiel vrátane </w:t>
      </w:r>
      <w:proofErr w:type="spellStart"/>
      <w:r w:rsidRPr="008A6EA9">
        <w:rPr>
          <w:sz w:val="22"/>
          <w:szCs w:val="22"/>
          <w:lang w:val="sk-SK"/>
        </w:rPr>
        <w:t>rifaximínu</w:t>
      </w:r>
      <w:proofErr w:type="spellEnd"/>
      <w:r w:rsidRPr="008A6EA9">
        <w:rPr>
          <w:sz w:val="22"/>
          <w:szCs w:val="22"/>
          <w:lang w:val="sk-SK"/>
        </w:rPr>
        <w:t xml:space="preserve">. Potenciálny súvis liečby </w:t>
      </w:r>
      <w:proofErr w:type="spellStart"/>
      <w:r w:rsidRPr="008A6EA9">
        <w:rPr>
          <w:sz w:val="22"/>
          <w:szCs w:val="22"/>
          <w:lang w:val="sk-SK"/>
        </w:rPr>
        <w:t>rifaximínom</w:t>
      </w:r>
      <w:proofErr w:type="spellEnd"/>
      <w:r w:rsidRPr="008A6EA9">
        <w:rPr>
          <w:sz w:val="22"/>
          <w:szCs w:val="22"/>
          <w:lang w:val="sk-SK"/>
        </w:rPr>
        <w:t xml:space="preserve"> s CDAD a </w:t>
      </w:r>
      <w:proofErr w:type="spellStart"/>
      <w:r w:rsidRPr="008A6EA9">
        <w:rPr>
          <w:sz w:val="22"/>
          <w:szCs w:val="22"/>
          <w:lang w:val="sk-SK"/>
        </w:rPr>
        <w:t>psedomembranóznou</w:t>
      </w:r>
      <w:proofErr w:type="spellEnd"/>
      <w:r w:rsidRPr="008A6EA9">
        <w:rPr>
          <w:sz w:val="22"/>
          <w:szCs w:val="22"/>
          <w:lang w:val="sk-SK"/>
        </w:rPr>
        <w:t xml:space="preserve"> kolitídou (PMC) nie je možné vylúčiť.</w:t>
      </w:r>
    </w:p>
    <w:p w:rsidR="0052673F" w:rsidRPr="008A6EA9" w:rsidRDefault="0052673F" w:rsidP="004E3DD0">
      <w:pPr>
        <w:keepNext/>
        <w:keepLines/>
        <w:rPr>
          <w:sz w:val="22"/>
          <w:szCs w:val="22"/>
          <w:lang w:val="sk-SK"/>
        </w:rPr>
      </w:pPr>
    </w:p>
    <w:p w:rsidR="0052673F" w:rsidRPr="008A6EA9" w:rsidRDefault="0052673F" w:rsidP="004E3DD0">
      <w:pPr>
        <w:keepNext/>
        <w:keepLines/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Z dôvodu nedostatočných údajov a potenciálnemu závažnému narušeniu črevnej flóry s neznámymi dôsledkami sa neodporúča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podávať súbežne s inými </w:t>
      </w:r>
      <w:proofErr w:type="spellStart"/>
      <w:r w:rsidRPr="008A6EA9">
        <w:rPr>
          <w:sz w:val="22"/>
          <w:szCs w:val="22"/>
          <w:lang w:val="sk-SK"/>
        </w:rPr>
        <w:t>rifamycínmi</w:t>
      </w:r>
      <w:proofErr w:type="spellEnd"/>
      <w:r w:rsidRPr="008A6EA9">
        <w:rPr>
          <w:sz w:val="22"/>
          <w:szCs w:val="22"/>
          <w:lang w:val="sk-SK"/>
        </w:rPr>
        <w:t>.</w:t>
      </w:r>
    </w:p>
    <w:p w:rsidR="0052673F" w:rsidRPr="008A6EA9" w:rsidRDefault="0052673F" w:rsidP="004E3DD0">
      <w:pPr>
        <w:keepNext/>
        <w:keepLines/>
        <w:rPr>
          <w:sz w:val="22"/>
          <w:szCs w:val="22"/>
          <w:lang w:val="sk-SK"/>
        </w:rPr>
      </w:pPr>
    </w:p>
    <w:p w:rsidR="0052673F" w:rsidRPr="008A6EA9" w:rsidRDefault="0052673F" w:rsidP="004E3DD0">
      <w:pPr>
        <w:keepNext/>
        <w:keepLines/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Pacienti musia byť informovaní, že napriek zanedbateľnej absorpcii lieku (menej ako 1 %),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môže rovnako ako všetky deriváty </w:t>
      </w:r>
      <w:proofErr w:type="spellStart"/>
      <w:r w:rsidRPr="008A6EA9">
        <w:rPr>
          <w:sz w:val="22"/>
          <w:szCs w:val="22"/>
          <w:lang w:val="sk-SK"/>
        </w:rPr>
        <w:t>rifamycínu</w:t>
      </w:r>
      <w:proofErr w:type="spellEnd"/>
      <w:r w:rsidRPr="008A6EA9">
        <w:rPr>
          <w:sz w:val="22"/>
          <w:szCs w:val="22"/>
          <w:lang w:val="sk-SK"/>
        </w:rPr>
        <w:t xml:space="preserve"> spôsobiť sfarbenie moču do</w:t>
      </w:r>
      <w:r w:rsidR="00B72379">
        <w:rPr>
          <w:sz w:val="22"/>
          <w:szCs w:val="22"/>
          <w:lang w:val="sk-SK"/>
        </w:rPr>
        <w:t xml:space="preserve"> </w:t>
      </w:r>
      <w:r w:rsidRPr="008A6EA9">
        <w:rPr>
          <w:sz w:val="22"/>
          <w:szCs w:val="22"/>
          <w:lang w:val="sk-SK"/>
        </w:rPr>
        <w:t xml:space="preserve">červena. </w:t>
      </w:r>
    </w:p>
    <w:p w:rsidR="0052673F" w:rsidRPr="008A6EA9" w:rsidRDefault="0052673F" w:rsidP="004E3DD0">
      <w:pPr>
        <w:keepNext/>
        <w:keepLines/>
        <w:rPr>
          <w:sz w:val="22"/>
          <w:szCs w:val="22"/>
          <w:lang w:val="sk-SK"/>
        </w:rPr>
      </w:pPr>
    </w:p>
    <w:p w:rsidR="0052673F" w:rsidRPr="008A6EA9" w:rsidRDefault="0052673F" w:rsidP="004E3DD0">
      <w:pPr>
        <w:keepNext/>
        <w:keepLines/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Poškodenie funkcie pečene: používať s opatrnosťou u pacientov so závažným (stupeň C podľa </w:t>
      </w:r>
      <w:proofErr w:type="spellStart"/>
      <w:r w:rsidRPr="008A6EA9">
        <w:rPr>
          <w:sz w:val="22"/>
          <w:szCs w:val="22"/>
          <w:lang w:val="sk-SK"/>
        </w:rPr>
        <w:t>Child-Pughovej</w:t>
      </w:r>
      <w:proofErr w:type="spellEnd"/>
      <w:r w:rsidRPr="008A6EA9">
        <w:rPr>
          <w:sz w:val="22"/>
          <w:szCs w:val="22"/>
          <w:lang w:val="sk-SK"/>
        </w:rPr>
        <w:t xml:space="preserve"> klasifikácie) poškodením funkcie pečene a u pacientov s MELD (Model </w:t>
      </w:r>
      <w:proofErr w:type="spellStart"/>
      <w:r w:rsidRPr="008A6EA9">
        <w:rPr>
          <w:sz w:val="22"/>
          <w:szCs w:val="22"/>
          <w:lang w:val="sk-SK"/>
        </w:rPr>
        <w:t>for</w:t>
      </w:r>
      <w:proofErr w:type="spellEnd"/>
      <w:r w:rsidRPr="008A6EA9">
        <w:rPr>
          <w:sz w:val="22"/>
          <w:szCs w:val="22"/>
          <w:lang w:val="sk-SK"/>
        </w:rPr>
        <w:t xml:space="preserve"> End-</w:t>
      </w:r>
      <w:proofErr w:type="spellStart"/>
      <w:r w:rsidRPr="008A6EA9">
        <w:rPr>
          <w:sz w:val="22"/>
          <w:szCs w:val="22"/>
          <w:lang w:val="sk-SK"/>
        </w:rPr>
        <w:t>Stage</w:t>
      </w:r>
      <w:proofErr w:type="spellEnd"/>
      <w:r w:rsidRPr="008A6EA9">
        <w:rPr>
          <w:sz w:val="22"/>
          <w:szCs w:val="22"/>
          <w:lang w:val="sk-SK"/>
        </w:rPr>
        <w:t xml:space="preserve"> </w:t>
      </w:r>
      <w:proofErr w:type="spellStart"/>
      <w:r w:rsidRPr="008A6EA9">
        <w:rPr>
          <w:sz w:val="22"/>
          <w:szCs w:val="22"/>
          <w:lang w:val="sk-SK"/>
        </w:rPr>
        <w:t>Liver</w:t>
      </w:r>
      <w:proofErr w:type="spellEnd"/>
      <w:r w:rsidRPr="008A6EA9">
        <w:rPr>
          <w:sz w:val="22"/>
          <w:szCs w:val="22"/>
          <w:lang w:val="sk-SK"/>
        </w:rPr>
        <w:t xml:space="preserve"> </w:t>
      </w:r>
      <w:proofErr w:type="spellStart"/>
      <w:r w:rsidRPr="008A6EA9">
        <w:rPr>
          <w:sz w:val="22"/>
          <w:szCs w:val="22"/>
          <w:lang w:val="sk-SK"/>
        </w:rPr>
        <w:t>Disease</w:t>
      </w:r>
      <w:proofErr w:type="spellEnd"/>
      <w:r w:rsidRPr="008A6EA9">
        <w:rPr>
          <w:sz w:val="22"/>
          <w:szCs w:val="22"/>
          <w:lang w:val="sk-SK"/>
        </w:rPr>
        <w:t>) skóre &gt; 25 (pozri časť 5.2).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Default="004D747D" w:rsidP="004E3DD0">
      <w:pPr>
        <w:rPr>
          <w:sz w:val="22"/>
          <w:szCs w:val="22"/>
          <w:lang w:val="sk-SK"/>
        </w:rPr>
      </w:pP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prípade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súbežného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použitia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rifaximínu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inhibítora</w:t>
      </w:r>
      <w:proofErr w:type="spellEnd"/>
      <w:r>
        <w:rPr>
          <w:sz w:val="22"/>
          <w:szCs w:val="22"/>
        </w:rPr>
        <w:t xml:space="preserve"> P-</w:t>
      </w:r>
      <w:proofErr w:type="spellStart"/>
      <w:r>
        <w:rPr>
          <w:sz w:val="22"/>
          <w:szCs w:val="22"/>
        </w:rPr>
        <w:t>glykoproteínu</w:t>
      </w:r>
      <w:proofErr w:type="spellEnd"/>
      <w:r w:rsidR="0085427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napríklad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 w:rsidR="00854271">
        <w:rPr>
          <w:sz w:val="22"/>
          <w:szCs w:val="22"/>
        </w:rPr>
        <w:t>y</w:t>
      </w:r>
      <w:r>
        <w:rPr>
          <w:sz w:val="22"/>
          <w:szCs w:val="22"/>
        </w:rPr>
        <w:t>klosporínu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postupova</w:t>
      </w:r>
      <w:proofErr w:type="spellEnd"/>
      <w:r>
        <w:rPr>
          <w:sz w:val="22"/>
          <w:szCs w:val="22"/>
          <w:lang w:val="sk-SK"/>
        </w:rPr>
        <w:t>ť opatrne</w:t>
      </w:r>
      <w:r w:rsidR="00EE265F">
        <w:rPr>
          <w:sz w:val="22"/>
          <w:szCs w:val="22"/>
          <w:lang w:val="sk-SK"/>
        </w:rPr>
        <w:t xml:space="preserve"> (pozri časť 4.5)</w:t>
      </w:r>
      <w:r w:rsidR="00284CB8">
        <w:rPr>
          <w:sz w:val="22"/>
          <w:szCs w:val="22"/>
          <w:lang w:val="sk-SK"/>
        </w:rPr>
        <w:t>.</w:t>
      </w:r>
    </w:p>
    <w:p w:rsidR="0024759F" w:rsidRDefault="0024759F" w:rsidP="004E3DD0">
      <w:pPr>
        <w:rPr>
          <w:sz w:val="22"/>
          <w:szCs w:val="22"/>
          <w:lang w:val="sk-SK"/>
        </w:rPr>
      </w:pPr>
    </w:p>
    <w:p w:rsidR="0024759F" w:rsidRPr="0024759F" w:rsidRDefault="0024759F" w:rsidP="004E3DD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Ako zníženie tak aj zvýšenie medzináro</w:t>
      </w:r>
      <w:r w:rsidR="00060E43">
        <w:rPr>
          <w:sz w:val="22"/>
          <w:szCs w:val="22"/>
          <w:lang w:val="sk-SK"/>
        </w:rPr>
        <w:t>dného normalizovaného pomeru (v </w:t>
      </w:r>
      <w:r>
        <w:rPr>
          <w:sz w:val="22"/>
          <w:szCs w:val="22"/>
          <w:lang w:val="sk-SK"/>
        </w:rPr>
        <w:t>niektorých prípadoch s udalosťami krvácania) boli hlásené u</w:t>
      </w:r>
      <w:r w:rsidR="00060E43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pacientov</w:t>
      </w:r>
      <w:r w:rsidR="00060E43">
        <w:rPr>
          <w:sz w:val="22"/>
          <w:szCs w:val="22"/>
          <w:lang w:val="sk-SK"/>
        </w:rPr>
        <w:t xml:space="preserve"> </w:t>
      </w:r>
      <w:r w:rsidR="007C497C">
        <w:rPr>
          <w:sz w:val="22"/>
          <w:szCs w:val="22"/>
          <w:lang w:val="sk-SK"/>
        </w:rPr>
        <w:t>lieč</w:t>
      </w:r>
      <w:r w:rsidR="00454693">
        <w:rPr>
          <w:sz w:val="22"/>
          <w:szCs w:val="22"/>
          <w:lang w:val="sk-SK"/>
        </w:rPr>
        <w:t>ených</w:t>
      </w:r>
      <w:r w:rsidR="00060E43">
        <w:rPr>
          <w:sz w:val="22"/>
          <w:szCs w:val="22"/>
          <w:lang w:val="sk-SK"/>
        </w:rPr>
        <w:t xml:space="preserve"> </w:t>
      </w:r>
      <w:proofErr w:type="spellStart"/>
      <w:r w:rsidR="00060E43">
        <w:rPr>
          <w:sz w:val="22"/>
          <w:szCs w:val="22"/>
          <w:lang w:val="sk-SK"/>
        </w:rPr>
        <w:t>warfarín</w:t>
      </w:r>
      <w:r w:rsidR="007C497C">
        <w:rPr>
          <w:sz w:val="22"/>
          <w:szCs w:val="22"/>
          <w:lang w:val="sk-SK"/>
        </w:rPr>
        <w:t>om</w:t>
      </w:r>
      <w:proofErr w:type="spellEnd"/>
      <w:r w:rsidR="001C5744">
        <w:rPr>
          <w:sz w:val="22"/>
          <w:szCs w:val="22"/>
          <w:lang w:val="sk-SK"/>
        </w:rPr>
        <w:t>,</w:t>
      </w:r>
      <w:r w:rsidR="00060E43">
        <w:rPr>
          <w:sz w:val="22"/>
          <w:szCs w:val="22"/>
          <w:lang w:val="sk-SK"/>
        </w:rPr>
        <w:t xml:space="preserve"> ktorým bol predpísaný </w:t>
      </w:r>
      <w:proofErr w:type="spellStart"/>
      <w:r w:rsidR="00060E43">
        <w:rPr>
          <w:sz w:val="22"/>
          <w:szCs w:val="22"/>
          <w:lang w:val="sk-SK"/>
        </w:rPr>
        <w:t>rifaximín</w:t>
      </w:r>
      <w:proofErr w:type="spellEnd"/>
      <w:r w:rsidR="00060E43">
        <w:rPr>
          <w:sz w:val="22"/>
          <w:szCs w:val="22"/>
          <w:lang w:val="sk-SK"/>
        </w:rPr>
        <w:t xml:space="preserve">. </w:t>
      </w:r>
      <w:r w:rsidR="00816CCA">
        <w:rPr>
          <w:sz w:val="22"/>
          <w:szCs w:val="22"/>
          <w:lang w:val="sk-SK"/>
        </w:rPr>
        <w:t>Ak je súbežné pod</w:t>
      </w:r>
      <w:r w:rsidR="00060E43">
        <w:rPr>
          <w:sz w:val="22"/>
          <w:szCs w:val="22"/>
          <w:lang w:val="sk-SK"/>
        </w:rPr>
        <w:t xml:space="preserve">anie nevyhnutné, medzinárodný normalizovaný pomer sa má pozorne sledovať </w:t>
      </w:r>
      <w:r w:rsidR="007C497C">
        <w:rPr>
          <w:sz w:val="22"/>
          <w:szCs w:val="22"/>
          <w:lang w:val="sk-SK"/>
        </w:rPr>
        <w:t>pri</w:t>
      </w:r>
      <w:r w:rsidR="00060E43">
        <w:rPr>
          <w:sz w:val="22"/>
          <w:szCs w:val="22"/>
          <w:lang w:val="sk-SK"/>
        </w:rPr>
        <w:t xml:space="preserve"> pridaní alebo vysadení liečby </w:t>
      </w:r>
      <w:proofErr w:type="spellStart"/>
      <w:r w:rsidR="00060E43">
        <w:rPr>
          <w:sz w:val="22"/>
          <w:szCs w:val="22"/>
          <w:lang w:val="sk-SK"/>
        </w:rPr>
        <w:t>rifaximínom</w:t>
      </w:r>
      <w:proofErr w:type="spellEnd"/>
      <w:r w:rsidR="00060E43">
        <w:rPr>
          <w:sz w:val="22"/>
          <w:szCs w:val="22"/>
          <w:lang w:val="sk-SK"/>
        </w:rPr>
        <w:t xml:space="preserve">. Pre udržanie požadovanej úrovne </w:t>
      </w:r>
      <w:proofErr w:type="spellStart"/>
      <w:r w:rsidR="00060E43">
        <w:rPr>
          <w:sz w:val="22"/>
          <w:szCs w:val="22"/>
          <w:lang w:val="sk-SK"/>
        </w:rPr>
        <w:t>antikoagulácie</w:t>
      </w:r>
      <w:proofErr w:type="spellEnd"/>
      <w:r w:rsidR="00060E43">
        <w:rPr>
          <w:sz w:val="22"/>
          <w:szCs w:val="22"/>
          <w:lang w:val="sk-SK"/>
        </w:rPr>
        <w:t xml:space="preserve"> môžu byť potrebné úpravy dávky perorálnych </w:t>
      </w:r>
      <w:proofErr w:type="spellStart"/>
      <w:r w:rsidR="00060E43">
        <w:rPr>
          <w:sz w:val="22"/>
          <w:szCs w:val="22"/>
          <w:lang w:val="sk-SK"/>
        </w:rPr>
        <w:t>antikoagulancií</w:t>
      </w:r>
      <w:proofErr w:type="spellEnd"/>
      <w:r w:rsidR="00060E43">
        <w:rPr>
          <w:sz w:val="22"/>
          <w:szCs w:val="22"/>
          <w:lang w:val="sk-SK"/>
        </w:rPr>
        <w:t xml:space="preserve"> (pozri časť 4.5).</w:t>
      </w:r>
    </w:p>
    <w:p w:rsidR="008A6EA9" w:rsidRPr="008A6EA9" w:rsidRDefault="008A6EA9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b/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4.5</w:t>
      </w:r>
      <w:r w:rsidRPr="008A6EA9">
        <w:rPr>
          <w:b/>
          <w:sz w:val="22"/>
          <w:szCs w:val="22"/>
          <w:lang w:val="sk-SK"/>
        </w:rPr>
        <w:tab/>
        <w:t>Liekové a iné interakcie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Neexistujú skúsenosti s podávaním </w:t>
      </w:r>
      <w:proofErr w:type="spellStart"/>
      <w:r w:rsidRPr="008A6EA9">
        <w:rPr>
          <w:sz w:val="22"/>
          <w:szCs w:val="22"/>
          <w:lang w:val="sk-SK"/>
        </w:rPr>
        <w:t>rifaximínu</w:t>
      </w:r>
      <w:proofErr w:type="spellEnd"/>
      <w:r w:rsidRPr="008A6EA9">
        <w:rPr>
          <w:sz w:val="22"/>
          <w:szCs w:val="22"/>
          <w:lang w:val="sk-SK"/>
        </w:rPr>
        <w:t xml:space="preserve"> pacientom, ktorí užívajú ďalšie </w:t>
      </w:r>
      <w:proofErr w:type="spellStart"/>
      <w:r w:rsidRPr="008A6EA9">
        <w:rPr>
          <w:sz w:val="22"/>
          <w:szCs w:val="22"/>
          <w:lang w:val="sk-SK"/>
        </w:rPr>
        <w:t>rifamycínové</w:t>
      </w:r>
      <w:proofErr w:type="spellEnd"/>
      <w:r w:rsidRPr="008A6EA9">
        <w:rPr>
          <w:sz w:val="22"/>
          <w:szCs w:val="22"/>
          <w:lang w:val="sk-SK"/>
        </w:rPr>
        <w:t xml:space="preserve"> antibakteriálne liečivo na liečbu systémovej bakteriálnej infekcie.</w:t>
      </w:r>
    </w:p>
    <w:p w:rsidR="008A6EA9" w:rsidRDefault="008A6EA9" w:rsidP="004E3DD0">
      <w:pPr>
        <w:rPr>
          <w:sz w:val="22"/>
          <w:szCs w:val="22"/>
          <w:lang w:val="sk-SK"/>
        </w:rPr>
      </w:pPr>
    </w:p>
    <w:p w:rsidR="0052673F" w:rsidRPr="008A6EA9" w:rsidRDefault="0052673F" w:rsidP="001A10A3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Údaje </w:t>
      </w:r>
      <w:r w:rsidRPr="008A6EA9">
        <w:rPr>
          <w:i/>
          <w:sz w:val="22"/>
          <w:szCs w:val="22"/>
          <w:lang w:val="sk-SK"/>
        </w:rPr>
        <w:t>in vitro</w:t>
      </w:r>
      <w:r w:rsidRPr="008A6EA9">
        <w:rPr>
          <w:sz w:val="22"/>
          <w:szCs w:val="22"/>
          <w:lang w:val="sk-SK"/>
        </w:rPr>
        <w:t xml:space="preserve"> ukazujú, že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</w:t>
      </w:r>
      <w:proofErr w:type="spellStart"/>
      <w:r w:rsidRPr="008A6EA9">
        <w:rPr>
          <w:sz w:val="22"/>
          <w:szCs w:val="22"/>
          <w:lang w:val="sk-SK"/>
        </w:rPr>
        <w:t>neinhiboval</w:t>
      </w:r>
      <w:proofErr w:type="spellEnd"/>
      <w:r w:rsidRPr="008A6EA9">
        <w:rPr>
          <w:sz w:val="22"/>
          <w:szCs w:val="22"/>
          <w:lang w:val="sk-SK"/>
        </w:rPr>
        <w:t xml:space="preserve"> hlavné enzýmy cytochrómu P-450 (CYP), ktoré metabolizujú lieky (CYPs1A2, 2A6, 2B6, 2C8, 2C9, 2C19, 2D6, 2E1 a 3A4). V indukčných štúdiách </w:t>
      </w:r>
      <w:r w:rsidRPr="008A6EA9">
        <w:rPr>
          <w:i/>
          <w:sz w:val="22"/>
          <w:szCs w:val="22"/>
          <w:lang w:val="sk-SK"/>
        </w:rPr>
        <w:t>in vitro</w:t>
      </w:r>
      <w:r w:rsidRPr="008A6EA9">
        <w:rPr>
          <w:sz w:val="22"/>
          <w:szCs w:val="22"/>
          <w:lang w:val="sk-SK"/>
        </w:rPr>
        <w:t xml:space="preserve">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neaktivoval CYP1A2 a CYP2B6, ale bol slabší </w:t>
      </w:r>
      <w:proofErr w:type="spellStart"/>
      <w:r w:rsidRPr="008A6EA9">
        <w:rPr>
          <w:sz w:val="22"/>
          <w:szCs w:val="22"/>
          <w:lang w:val="sk-SK"/>
        </w:rPr>
        <w:t>aktivátor</w:t>
      </w:r>
      <w:proofErr w:type="spellEnd"/>
      <w:r w:rsidRPr="008A6EA9">
        <w:rPr>
          <w:sz w:val="22"/>
          <w:szCs w:val="22"/>
          <w:lang w:val="sk-SK"/>
        </w:rPr>
        <w:t xml:space="preserve"> CYP3A4.</w:t>
      </w:r>
    </w:p>
    <w:p w:rsidR="0052673F" w:rsidRPr="008A6EA9" w:rsidRDefault="0052673F" w:rsidP="001A10A3">
      <w:pPr>
        <w:rPr>
          <w:sz w:val="22"/>
          <w:szCs w:val="22"/>
          <w:lang w:val="sk-SK"/>
        </w:rPr>
      </w:pPr>
    </w:p>
    <w:p w:rsidR="0052673F" w:rsidRPr="00752DD6" w:rsidRDefault="0052673F" w:rsidP="001A10A3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U zdravých jedincov klinické liekové interakčné štúdie preukázali, že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nemal výrazný vplyv na </w:t>
      </w:r>
      <w:proofErr w:type="spellStart"/>
      <w:r w:rsidRPr="008A6EA9">
        <w:rPr>
          <w:sz w:val="22"/>
          <w:szCs w:val="22"/>
          <w:lang w:val="sk-SK"/>
        </w:rPr>
        <w:t>farmakokinetické</w:t>
      </w:r>
      <w:proofErr w:type="spellEnd"/>
      <w:r w:rsidRPr="008A6EA9">
        <w:rPr>
          <w:sz w:val="22"/>
          <w:szCs w:val="22"/>
          <w:lang w:val="sk-SK"/>
        </w:rPr>
        <w:t xml:space="preserve"> vlastnosti substrátov CYP3A4, u pacientov </w:t>
      </w:r>
      <w:r w:rsidR="00B23A61">
        <w:rPr>
          <w:sz w:val="22"/>
          <w:szCs w:val="22"/>
          <w:lang w:val="sk-SK"/>
        </w:rPr>
        <w:t xml:space="preserve"> s </w:t>
      </w:r>
      <w:r w:rsidRPr="008A6EA9">
        <w:rPr>
          <w:sz w:val="22"/>
          <w:szCs w:val="22"/>
          <w:lang w:val="sk-SK"/>
        </w:rPr>
        <w:t xml:space="preserve">poškodenou funkciou pečene však nie je možné vylúčiť, že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môže znižovať expozíciu súbežne podávaným substrátom CYP3A4 </w:t>
      </w:r>
      <w:r w:rsidRPr="008A6EA9">
        <w:rPr>
          <w:sz w:val="22"/>
          <w:szCs w:val="22"/>
          <w:lang w:val="sk-SK"/>
        </w:rPr>
        <w:lastRenderedPageBreak/>
        <w:t xml:space="preserve">(napr. </w:t>
      </w:r>
      <w:proofErr w:type="spellStart"/>
      <w:r w:rsidRPr="008A6EA9">
        <w:rPr>
          <w:sz w:val="22"/>
          <w:szCs w:val="22"/>
          <w:lang w:val="sk-SK"/>
        </w:rPr>
        <w:t>warfarín</w:t>
      </w:r>
      <w:proofErr w:type="spellEnd"/>
      <w:r w:rsidRPr="008A6EA9">
        <w:rPr>
          <w:sz w:val="22"/>
          <w:szCs w:val="22"/>
          <w:lang w:val="sk-SK"/>
        </w:rPr>
        <w:t xml:space="preserve">, antiepileptiká, </w:t>
      </w:r>
      <w:proofErr w:type="spellStart"/>
      <w:r w:rsidRPr="008A6EA9">
        <w:rPr>
          <w:sz w:val="22"/>
          <w:szCs w:val="22"/>
          <w:lang w:val="sk-SK"/>
        </w:rPr>
        <w:t>antiarytmiká</w:t>
      </w:r>
      <w:proofErr w:type="spellEnd"/>
      <w:r w:rsidR="005F4786">
        <w:rPr>
          <w:sz w:val="22"/>
          <w:szCs w:val="22"/>
          <w:lang w:val="sk-SK"/>
        </w:rPr>
        <w:t xml:space="preserve">, </w:t>
      </w:r>
      <w:r w:rsidR="004D747D">
        <w:rPr>
          <w:sz w:val="22"/>
          <w:szCs w:val="22"/>
          <w:lang w:val="sk-SK"/>
        </w:rPr>
        <w:t xml:space="preserve">perorálne </w:t>
      </w:r>
      <w:proofErr w:type="spellStart"/>
      <w:r w:rsidR="004D747D">
        <w:rPr>
          <w:sz w:val="22"/>
          <w:szCs w:val="22"/>
          <w:lang w:val="sk-SK"/>
        </w:rPr>
        <w:t>kontraceptíva</w:t>
      </w:r>
      <w:proofErr w:type="spellEnd"/>
      <w:r w:rsidRPr="008A6EA9">
        <w:rPr>
          <w:sz w:val="22"/>
          <w:szCs w:val="22"/>
          <w:lang w:val="sk-SK"/>
        </w:rPr>
        <w:t xml:space="preserve">) z dôvodu vyššej systémovej expozície v porovnaní so zdravými jedincami. </w:t>
      </w:r>
    </w:p>
    <w:p w:rsidR="00816CCA" w:rsidRDefault="00816CCA" w:rsidP="004E3DD0">
      <w:pPr>
        <w:rPr>
          <w:sz w:val="22"/>
          <w:szCs w:val="22"/>
          <w:lang w:val="sk-SK"/>
        </w:rPr>
      </w:pPr>
    </w:p>
    <w:p w:rsidR="00816CCA" w:rsidRPr="008A6EA9" w:rsidRDefault="00816CCA" w:rsidP="004E3DD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Ako zníženie tak aj zvýšenie medzinárodného normalizovaného pomeru boli hlásené u pacientov </w:t>
      </w:r>
      <w:r w:rsidR="007C497C">
        <w:rPr>
          <w:sz w:val="22"/>
          <w:szCs w:val="22"/>
          <w:lang w:val="sk-SK"/>
        </w:rPr>
        <w:t xml:space="preserve"> lieč</w:t>
      </w:r>
      <w:r w:rsidR="001557A5">
        <w:rPr>
          <w:sz w:val="22"/>
          <w:szCs w:val="22"/>
          <w:lang w:val="sk-SK"/>
        </w:rPr>
        <w:t>ených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warfarín</w:t>
      </w:r>
      <w:r w:rsidR="007C497C">
        <w:rPr>
          <w:sz w:val="22"/>
          <w:szCs w:val="22"/>
          <w:lang w:val="sk-SK"/>
        </w:rPr>
        <w:t>om</w:t>
      </w:r>
      <w:proofErr w:type="spellEnd"/>
      <w:r>
        <w:rPr>
          <w:sz w:val="22"/>
          <w:szCs w:val="22"/>
          <w:lang w:val="sk-SK"/>
        </w:rPr>
        <w:t xml:space="preserve"> a ktorým bol predpísaný </w:t>
      </w:r>
      <w:proofErr w:type="spellStart"/>
      <w:r>
        <w:rPr>
          <w:sz w:val="22"/>
          <w:szCs w:val="22"/>
          <w:lang w:val="sk-SK"/>
        </w:rPr>
        <w:t>rifaximín</w:t>
      </w:r>
      <w:proofErr w:type="spellEnd"/>
      <w:r>
        <w:rPr>
          <w:sz w:val="22"/>
          <w:szCs w:val="22"/>
          <w:lang w:val="sk-SK"/>
        </w:rPr>
        <w:t xml:space="preserve">. Ak je súbežné podanie nevyhnutné, medzinárodný normalizovaný pomer sa má pozorne sledovať </w:t>
      </w:r>
      <w:r w:rsidR="007C497C">
        <w:rPr>
          <w:sz w:val="22"/>
          <w:szCs w:val="22"/>
          <w:lang w:val="sk-SK"/>
        </w:rPr>
        <w:t>pri</w:t>
      </w:r>
      <w:r>
        <w:rPr>
          <w:sz w:val="22"/>
          <w:szCs w:val="22"/>
          <w:lang w:val="sk-SK"/>
        </w:rPr>
        <w:t xml:space="preserve"> pridaní alebo vysadení liečby </w:t>
      </w:r>
      <w:proofErr w:type="spellStart"/>
      <w:r>
        <w:rPr>
          <w:sz w:val="22"/>
          <w:szCs w:val="22"/>
          <w:lang w:val="sk-SK"/>
        </w:rPr>
        <w:t>rifaximínom</w:t>
      </w:r>
      <w:proofErr w:type="spellEnd"/>
      <w:r>
        <w:rPr>
          <w:sz w:val="22"/>
          <w:szCs w:val="22"/>
          <w:lang w:val="sk-SK"/>
        </w:rPr>
        <w:t xml:space="preserve">. Môžu byť potrebné úpravy dávky perorálnych </w:t>
      </w:r>
      <w:proofErr w:type="spellStart"/>
      <w:r>
        <w:rPr>
          <w:sz w:val="22"/>
          <w:szCs w:val="22"/>
          <w:lang w:val="sk-SK"/>
        </w:rPr>
        <w:t>antikoagulancií</w:t>
      </w:r>
      <w:proofErr w:type="spellEnd"/>
      <w:r>
        <w:rPr>
          <w:sz w:val="22"/>
          <w:szCs w:val="22"/>
          <w:lang w:val="sk-SK"/>
        </w:rPr>
        <w:t>.</w:t>
      </w:r>
    </w:p>
    <w:p w:rsidR="0052673F" w:rsidRDefault="0052673F" w:rsidP="004E3DD0">
      <w:pPr>
        <w:rPr>
          <w:sz w:val="22"/>
          <w:szCs w:val="22"/>
          <w:lang w:val="sk-SK"/>
        </w:rPr>
      </w:pPr>
    </w:p>
    <w:p w:rsidR="00AE5772" w:rsidRDefault="00AE5772" w:rsidP="00AE5772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Štúdia </w:t>
      </w:r>
      <w:r w:rsidRPr="008A6EA9">
        <w:rPr>
          <w:i/>
          <w:sz w:val="22"/>
          <w:szCs w:val="22"/>
          <w:lang w:val="sk-SK"/>
        </w:rPr>
        <w:t>in vitro</w:t>
      </w:r>
      <w:r w:rsidRPr="008A6EA9">
        <w:rPr>
          <w:sz w:val="22"/>
          <w:szCs w:val="22"/>
          <w:lang w:val="sk-SK"/>
        </w:rPr>
        <w:t xml:space="preserve"> naznačila, že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je mierny substrát P-</w:t>
      </w:r>
      <w:proofErr w:type="spellStart"/>
      <w:r w:rsidRPr="008A6EA9">
        <w:rPr>
          <w:sz w:val="22"/>
          <w:szCs w:val="22"/>
          <w:lang w:val="sk-SK"/>
        </w:rPr>
        <w:t>glykoproteínu</w:t>
      </w:r>
      <w:proofErr w:type="spellEnd"/>
      <w:r w:rsidRPr="008A6EA9">
        <w:rPr>
          <w:sz w:val="22"/>
          <w:szCs w:val="22"/>
          <w:lang w:val="sk-SK"/>
        </w:rPr>
        <w:t xml:space="preserve"> (P-</w:t>
      </w:r>
      <w:proofErr w:type="spellStart"/>
      <w:r w:rsidRPr="008A6EA9">
        <w:rPr>
          <w:sz w:val="22"/>
          <w:szCs w:val="22"/>
          <w:lang w:val="sk-SK"/>
        </w:rPr>
        <w:t>gp</w:t>
      </w:r>
      <w:proofErr w:type="spellEnd"/>
      <w:r w:rsidRPr="008A6EA9">
        <w:rPr>
          <w:sz w:val="22"/>
          <w:szCs w:val="22"/>
          <w:lang w:val="sk-SK"/>
        </w:rPr>
        <w:t xml:space="preserve">) a je metabolizovaný CYP3A4. Nie je známe, či súbežne podávané lieky, ktoré inhibujú CYP3A4 môžu zvýšiť systémovú expozíciu </w:t>
      </w:r>
      <w:proofErr w:type="spellStart"/>
      <w:r w:rsidRPr="008A6EA9">
        <w:rPr>
          <w:sz w:val="22"/>
          <w:szCs w:val="22"/>
          <w:lang w:val="sk-SK"/>
        </w:rPr>
        <w:t>rifaximín</w:t>
      </w:r>
      <w:r>
        <w:rPr>
          <w:sz w:val="22"/>
          <w:szCs w:val="22"/>
          <w:lang w:val="sk-SK"/>
        </w:rPr>
        <w:t>om</w:t>
      </w:r>
      <w:proofErr w:type="spellEnd"/>
      <w:r w:rsidRPr="008A6EA9">
        <w:rPr>
          <w:sz w:val="22"/>
          <w:szCs w:val="22"/>
          <w:lang w:val="sk-SK"/>
        </w:rPr>
        <w:t>.</w:t>
      </w:r>
    </w:p>
    <w:p w:rsidR="00AE5772" w:rsidRDefault="00AE5772" w:rsidP="004E3DD0">
      <w:pPr>
        <w:rPr>
          <w:sz w:val="22"/>
          <w:szCs w:val="22"/>
          <w:lang w:val="sk-SK"/>
        </w:rPr>
      </w:pPr>
    </w:p>
    <w:p w:rsidR="005F4786" w:rsidRPr="00752DD6" w:rsidRDefault="00A70608" w:rsidP="004E3DD0">
      <w:pPr>
        <w:rPr>
          <w:sz w:val="22"/>
          <w:szCs w:val="22"/>
          <w:lang w:val="sk-SK"/>
        </w:rPr>
      </w:pPr>
      <w:r w:rsidRPr="00752DD6">
        <w:rPr>
          <w:sz w:val="22"/>
          <w:szCs w:val="22"/>
          <w:lang w:val="sk-SK"/>
        </w:rPr>
        <w:t xml:space="preserve">U zdravých subjektov viedlo súbežné podanie jednorazovej dávky </w:t>
      </w:r>
      <w:proofErr w:type="spellStart"/>
      <w:r w:rsidRPr="00752DD6">
        <w:rPr>
          <w:sz w:val="22"/>
          <w:szCs w:val="22"/>
          <w:lang w:val="sk-SK"/>
        </w:rPr>
        <w:t>cyklosporínu</w:t>
      </w:r>
      <w:proofErr w:type="spellEnd"/>
      <w:r w:rsidRPr="00752DD6">
        <w:rPr>
          <w:sz w:val="22"/>
          <w:szCs w:val="22"/>
          <w:lang w:val="sk-SK"/>
        </w:rPr>
        <w:t xml:space="preserve"> (600 mg), silného inhibítora P-</w:t>
      </w:r>
      <w:proofErr w:type="spellStart"/>
      <w:r w:rsidRPr="00752DD6">
        <w:rPr>
          <w:sz w:val="22"/>
          <w:szCs w:val="22"/>
          <w:lang w:val="sk-SK"/>
        </w:rPr>
        <w:t>glykoproteínu</w:t>
      </w:r>
      <w:proofErr w:type="spellEnd"/>
      <w:r w:rsidRPr="00752DD6">
        <w:rPr>
          <w:sz w:val="22"/>
          <w:szCs w:val="22"/>
          <w:lang w:val="sk-SK"/>
        </w:rPr>
        <w:t xml:space="preserve">, s jednorazovou dávkou </w:t>
      </w:r>
      <w:proofErr w:type="spellStart"/>
      <w:r w:rsidRPr="00752DD6">
        <w:rPr>
          <w:sz w:val="22"/>
          <w:szCs w:val="22"/>
          <w:lang w:val="sk-SK"/>
        </w:rPr>
        <w:t>rifaximínu</w:t>
      </w:r>
      <w:proofErr w:type="spellEnd"/>
      <w:r w:rsidRPr="00752DD6">
        <w:rPr>
          <w:sz w:val="22"/>
          <w:szCs w:val="22"/>
          <w:lang w:val="sk-SK"/>
        </w:rPr>
        <w:t xml:space="preserve"> (550 mg) k 83-násobnému zvýšeniu </w:t>
      </w:r>
      <w:proofErr w:type="spellStart"/>
      <w:r w:rsidRPr="00752DD6">
        <w:rPr>
          <w:sz w:val="22"/>
          <w:szCs w:val="22"/>
          <w:lang w:val="sk-SK"/>
        </w:rPr>
        <w:t>C</w:t>
      </w:r>
      <w:r w:rsidRPr="00752DD6">
        <w:rPr>
          <w:sz w:val="22"/>
          <w:szCs w:val="22"/>
          <w:vertAlign w:val="subscript"/>
          <w:lang w:val="sk-SK"/>
        </w:rPr>
        <w:t>max</w:t>
      </w:r>
      <w:proofErr w:type="spellEnd"/>
      <w:r w:rsidRPr="00752DD6">
        <w:rPr>
          <w:sz w:val="22"/>
          <w:szCs w:val="22"/>
          <w:lang w:val="sk-SK"/>
        </w:rPr>
        <w:t xml:space="preserve"> a </w:t>
      </w:r>
      <w:proofErr w:type="spellStart"/>
      <w:r w:rsidRPr="00752DD6">
        <w:rPr>
          <w:sz w:val="22"/>
          <w:szCs w:val="22"/>
          <w:lang w:val="sk-SK"/>
        </w:rPr>
        <w:t>a</w:t>
      </w:r>
      <w:proofErr w:type="spellEnd"/>
      <w:r w:rsidRPr="00752DD6">
        <w:rPr>
          <w:sz w:val="22"/>
          <w:szCs w:val="22"/>
          <w:lang w:val="sk-SK"/>
        </w:rPr>
        <w:t xml:space="preserve"> 124-násobnému zvýšeniu AUC∞ </w:t>
      </w:r>
      <w:proofErr w:type="spellStart"/>
      <w:r w:rsidRPr="00752DD6">
        <w:rPr>
          <w:sz w:val="22"/>
          <w:szCs w:val="22"/>
          <w:lang w:val="sk-SK"/>
        </w:rPr>
        <w:t>rifaximínu</w:t>
      </w:r>
      <w:proofErr w:type="spellEnd"/>
      <w:r w:rsidRPr="00752DD6">
        <w:rPr>
          <w:sz w:val="22"/>
          <w:szCs w:val="22"/>
          <w:lang w:val="sk-SK"/>
        </w:rPr>
        <w:t xml:space="preserve">. Klinický význam tohto zvýšenia systémovej expozície nie je známy. </w:t>
      </w:r>
    </w:p>
    <w:p w:rsidR="005F4786" w:rsidRPr="00752DD6" w:rsidRDefault="005F4786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Možnosť vzájomnej liekovej interakcie na úrovni transportných systémov bola hodnotená </w:t>
      </w:r>
      <w:r w:rsidRPr="008A6EA9">
        <w:rPr>
          <w:i/>
          <w:sz w:val="22"/>
          <w:szCs w:val="22"/>
          <w:lang w:val="sk-SK"/>
        </w:rPr>
        <w:t>in vitro</w:t>
      </w:r>
      <w:r w:rsidRPr="008A6EA9">
        <w:rPr>
          <w:sz w:val="22"/>
          <w:szCs w:val="22"/>
          <w:lang w:val="sk-SK"/>
        </w:rPr>
        <w:t xml:space="preserve"> a tieto štúdie naznačujú, že klinická interakcia medzi </w:t>
      </w:r>
      <w:proofErr w:type="spellStart"/>
      <w:r w:rsidRPr="008A6EA9">
        <w:rPr>
          <w:sz w:val="22"/>
          <w:szCs w:val="22"/>
          <w:lang w:val="sk-SK"/>
        </w:rPr>
        <w:t>rifaximínom</w:t>
      </w:r>
      <w:proofErr w:type="spellEnd"/>
      <w:r w:rsidRPr="008A6EA9">
        <w:rPr>
          <w:sz w:val="22"/>
          <w:szCs w:val="22"/>
          <w:lang w:val="sk-SK"/>
        </w:rPr>
        <w:t xml:space="preserve"> a inými zlúčeninami, ktoré podliehajú </w:t>
      </w:r>
      <w:proofErr w:type="spellStart"/>
      <w:r w:rsidRPr="008A6EA9">
        <w:rPr>
          <w:sz w:val="22"/>
          <w:szCs w:val="22"/>
          <w:lang w:val="sk-SK"/>
        </w:rPr>
        <w:t>efluxu</w:t>
      </w:r>
      <w:proofErr w:type="spellEnd"/>
      <w:r w:rsidRPr="008A6EA9">
        <w:rPr>
          <w:sz w:val="22"/>
          <w:szCs w:val="22"/>
          <w:lang w:val="sk-SK"/>
        </w:rPr>
        <w:t xml:space="preserve"> prostredníctvom P-</w:t>
      </w:r>
      <w:proofErr w:type="spellStart"/>
      <w:r w:rsidRPr="008A6EA9">
        <w:rPr>
          <w:sz w:val="22"/>
          <w:szCs w:val="22"/>
          <w:lang w:val="sk-SK"/>
        </w:rPr>
        <w:t>gp</w:t>
      </w:r>
      <w:proofErr w:type="spellEnd"/>
      <w:r w:rsidRPr="008A6EA9">
        <w:rPr>
          <w:sz w:val="22"/>
          <w:szCs w:val="22"/>
          <w:lang w:val="sk-SK"/>
        </w:rPr>
        <w:t xml:space="preserve"> a iných transportných proteínov, je nepravdepodobná (MRP2, MRP4, BCRP a BSEP).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4.6</w:t>
      </w:r>
      <w:r w:rsidRPr="008A6EA9">
        <w:rPr>
          <w:b/>
          <w:sz w:val="22"/>
          <w:szCs w:val="22"/>
          <w:lang w:val="sk-SK"/>
        </w:rPr>
        <w:tab/>
      </w:r>
      <w:proofErr w:type="spellStart"/>
      <w:r w:rsidRPr="008A6EA9">
        <w:rPr>
          <w:b/>
          <w:sz w:val="22"/>
          <w:szCs w:val="22"/>
          <w:lang w:val="sk-SK"/>
        </w:rPr>
        <w:t>Fertilita</w:t>
      </w:r>
      <w:proofErr w:type="spellEnd"/>
      <w:r w:rsidRPr="008A6EA9">
        <w:rPr>
          <w:b/>
          <w:sz w:val="22"/>
          <w:szCs w:val="22"/>
          <w:lang w:val="sk-SK"/>
        </w:rPr>
        <w:t>, gravidita a laktácia</w:t>
      </w:r>
    </w:p>
    <w:p w:rsidR="0052673F" w:rsidRPr="008A6EA9" w:rsidRDefault="0052673F" w:rsidP="004E3DD0">
      <w:pPr>
        <w:rPr>
          <w:i/>
          <w:color w:val="008000"/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u w:val="single"/>
          <w:lang w:val="sk-SK"/>
        </w:rPr>
      </w:pPr>
      <w:r w:rsidRPr="008A6EA9">
        <w:rPr>
          <w:sz w:val="22"/>
          <w:szCs w:val="22"/>
          <w:u w:val="single"/>
          <w:lang w:val="sk-SK"/>
        </w:rPr>
        <w:t>Gravidita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Nie sú k dispozícii alebo je iba obmedzené množstvo údajov o použití </w:t>
      </w:r>
      <w:proofErr w:type="spellStart"/>
      <w:r w:rsidRPr="008A6EA9">
        <w:rPr>
          <w:sz w:val="22"/>
          <w:szCs w:val="22"/>
          <w:lang w:val="sk-SK"/>
        </w:rPr>
        <w:t>rifaximínu</w:t>
      </w:r>
      <w:proofErr w:type="spellEnd"/>
      <w:r w:rsidRPr="008A6EA9">
        <w:rPr>
          <w:sz w:val="22"/>
          <w:szCs w:val="22"/>
          <w:lang w:val="sk-SK"/>
        </w:rPr>
        <w:t xml:space="preserve"> u gravidných žien.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Štúdie na zvieratách preukázali prechodné účinky na osifikáciu a kostrové zmeny plodu (pozri časť 5.3).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V rámci bezpečnostných opatrení sa neodporúča používať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počas gravidity.</w:t>
      </w:r>
    </w:p>
    <w:p w:rsidR="0052673F" w:rsidRPr="008A6EA9" w:rsidRDefault="0052673F" w:rsidP="004E3DD0">
      <w:pPr>
        <w:rPr>
          <w:sz w:val="22"/>
          <w:szCs w:val="22"/>
          <w:highlight w:val="yellow"/>
          <w:lang w:val="sk-SK"/>
        </w:rPr>
      </w:pPr>
    </w:p>
    <w:p w:rsidR="0052673F" w:rsidRPr="008A6EA9" w:rsidRDefault="0052673F" w:rsidP="004E3DD0">
      <w:pPr>
        <w:rPr>
          <w:sz w:val="22"/>
          <w:szCs w:val="22"/>
          <w:u w:val="single"/>
          <w:lang w:val="sk-SK"/>
        </w:rPr>
      </w:pPr>
      <w:r w:rsidRPr="008A6EA9">
        <w:rPr>
          <w:sz w:val="22"/>
          <w:szCs w:val="22"/>
          <w:u w:val="single"/>
          <w:lang w:val="sk-SK"/>
        </w:rPr>
        <w:t>Laktácia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Nie je známe, či sa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>/metabolity vylučujú do ľudského mlieka.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Riziko u dojčiat nemôže byť vylúčené.</w:t>
      </w:r>
    </w:p>
    <w:p w:rsidR="0052673F" w:rsidRPr="008A6EA9" w:rsidRDefault="0052673F" w:rsidP="004E3DD0">
      <w:pPr>
        <w:rPr>
          <w:sz w:val="22"/>
          <w:szCs w:val="22"/>
          <w:highlight w:val="yellow"/>
          <w:lang w:val="sk-SK"/>
        </w:rPr>
      </w:pPr>
    </w:p>
    <w:p w:rsidR="0052673F" w:rsidRPr="008A6EA9" w:rsidRDefault="0052673F" w:rsidP="004E3DD0">
      <w:pPr>
        <w:rPr>
          <w:rFonts w:eastAsia="SimSun"/>
          <w:color w:val="000000"/>
          <w:sz w:val="22"/>
          <w:szCs w:val="22"/>
          <w:lang w:val="sk-SK" w:eastAsia="zh-CN"/>
        </w:rPr>
      </w:pPr>
      <w:r w:rsidRPr="008A6EA9">
        <w:rPr>
          <w:rFonts w:eastAsia="SimSun"/>
          <w:color w:val="000000"/>
          <w:sz w:val="22"/>
          <w:szCs w:val="22"/>
          <w:lang w:val="sk-SK" w:eastAsia="zh-CN"/>
        </w:rPr>
        <w:t xml:space="preserve">Rozhodnutie, či ukončiť dojčenie alebo či ukončiť/prerušiť liečbu </w:t>
      </w:r>
      <w:proofErr w:type="spellStart"/>
      <w:r w:rsidRPr="008A6EA9">
        <w:rPr>
          <w:rFonts w:eastAsia="SimSun"/>
          <w:color w:val="000000"/>
          <w:sz w:val="22"/>
          <w:szCs w:val="22"/>
          <w:lang w:val="sk-SK" w:eastAsia="zh-CN"/>
        </w:rPr>
        <w:t>rifaximínom</w:t>
      </w:r>
      <w:proofErr w:type="spellEnd"/>
      <w:r w:rsidRPr="008A6EA9">
        <w:rPr>
          <w:rFonts w:eastAsia="SimSun"/>
          <w:color w:val="000000"/>
          <w:sz w:val="22"/>
          <w:szCs w:val="22"/>
          <w:lang w:val="sk-SK" w:eastAsia="zh-CN"/>
        </w:rPr>
        <w:t xml:space="preserve"> sa má urobiť po zvážení prínosu dojčenia pre dieťa a prínosu liečby pre ženu.</w:t>
      </w:r>
    </w:p>
    <w:p w:rsidR="0052673F" w:rsidRPr="008A6EA9" w:rsidRDefault="0052673F" w:rsidP="004E3DD0">
      <w:pPr>
        <w:rPr>
          <w:sz w:val="22"/>
          <w:szCs w:val="22"/>
          <w:highlight w:val="yellow"/>
          <w:lang w:val="sk-SK"/>
        </w:rPr>
      </w:pPr>
    </w:p>
    <w:p w:rsidR="0052673F" w:rsidRPr="008A6EA9" w:rsidRDefault="0052673F" w:rsidP="004E3DD0">
      <w:pPr>
        <w:rPr>
          <w:sz w:val="22"/>
          <w:szCs w:val="22"/>
          <w:u w:val="single"/>
          <w:lang w:val="sk-SK"/>
        </w:rPr>
      </w:pPr>
      <w:proofErr w:type="spellStart"/>
      <w:r w:rsidRPr="008A6EA9">
        <w:rPr>
          <w:sz w:val="22"/>
          <w:szCs w:val="22"/>
          <w:u w:val="single"/>
          <w:lang w:val="sk-SK"/>
        </w:rPr>
        <w:t>Fertilita</w:t>
      </w:r>
      <w:proofErr w:type="spellEnd"/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Štúdie na zvieratách nepreukázali priame alebo nepriame účinky z hľadiska reprodukčnej toxicity u samcov alebo u samíc.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4.7</w:t>
      </w:r>
      <w:r w:rsidRPr="008A6EA9"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V kontrolovaných štúdiách bol hlásený závrat.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však má zanedbateľný vplyv na schopnosť viesť vozidlá a obsluhovať stroje.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b/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4.8</w:t>
      </w:r>
      <w:r w:rsidRPr="008A6EA9">
        <w:rPr>
          <w:b/>
          <w:sz w:val="22"/>
          <w:szCs w:val="22"/>
          <w:lang w:val="sk-SK"/>
        </w:rPr>
        <w:tab/>
        <w:t>Nežiaduce účinky</w:t>
      </w:r>
    </w:p>
    <w:p w:rsidR="0052673F" w:rsidRPr="008A6EA9" w:rsidRDefault="0052673F" w:rsidP="004E3DD0">
      <w:pPr>
        <w:rPr>
          <w:i/>
          <w:color w:val="008000"/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u w:val="single"/>
          <w:lang w:val="sk-SK"/>
        </w:rPr>
        <w:t>Klinické štúdie</w:t>
      </w:r>
      <w:r w:rsidRPr="008A6EA9">
        <w:rPr>
          <w:sz w:val="22"/>
          <w:szCs w:val="22"/>
          <w:lang w:val="sk-SK"/>
        </w:rPr>
        <w:t xml:space="preserve">: 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Bezpečnosť </w:t>
      </w:r>
      <w:proofErr w:type="spellStart"/>
      <w:r w:rsidRPr="008A6EA9">
        <w:rPr>
          <w:sz w:val="22"/>
          <w:szCs w:val="22"/>
          <w:lang w:val="sk-SK"/>
        </w:rPr>
        <w:t>rifaximínu</w:t>
      </w:r>
      <w:proofErr w:type="spellEnd"/>
      <w:r w:rsidRPr="008A6EA9">
        <w:rPr>
          <w:sz w:val="22"/>
          <w:szCs w:val="22"/>
          <w:lang w:val="sk-SK"/>
        </w:rPr>
        <w:t xml:space="preserve"> u pacientov s </w:t>
      </w:r>
      <w:proofErr w:type="spellStart"/>
      <w:r w:rsidRPr="008A6EA9">
        <w:rPr>
          <w:sz w:val="22"/>
          <w:szCs w:val="22"/>
          <w:lang w:val="sk-SK"/>
        </w:rPr>
        <w:t>remisiou</w:t>
      </w:r>
      <w:proofErr w:type="spellEnd"/>
      <w:r w:rsidRPr="008A6EA9">
        <w:rPr>
          <w:sz w:val="22"/>
          <w:szCs w:val="22"/>
          <w:lang w:val="sk-SK"/>
        </w:rPr>
        <w:t xml:space="preserve"> hepatálnej </w:t>
      </w:r>
      <w:proofErr w:type="spellStart"/>
      <w:r w:rsidRPr="008A6EA9">
        <w:rPr>
          <w:sz w:val="22"/>
          <w:szCs w:val="22"/>
          <w:lang w:val="sk-SK"/>
        </w:rPr>
        <w:t>encefalopatie</w:t>
      </w:r>
      <w:proofErr w:type="spellEnd"/>
      <w:r w:rsidRPr="008A6EA9">
        <w:rPr>
          <w:sz w:val="22"/>
          <w:szCs w:val="22"/>
          <w:lang w:val="sk-SK"/>
        </w:rPr>
        <w:t xml:space="preserve"> (HE) bola hodnotená v dvoch štúdiách, v III. fáze </w:t>
      </w:r>
      <w:proofErr w:type="spellStart"/>
      <w:r w:rsidRPr="008A6EA9">
        <w:rPr>
          <w:sz w:val="22"/>
          <w:szCs w:val="22"/>
          <w:lang w:val="sk-SK"/>
        </w:rPr>
        <w:t>randomizovanej</w:t>
      </w:r>
      <w:proofErr w:type="spellEnd"/>
      <w:r w:rsidRPr="008A6EA9">
        <w:rPr>
          <w:sz w:val="22"/>
          <w:szCs w:val="22"/>
          <w:lang w:val="sk-SK"/>
        </w:rPr>
        <w:t>, dvojito zaslepenej, placebom kontrolovanej štúdie RFHE3001 a v dlhodobej otvorene</w:t>
      </w:r>
      <w:r w:rsidR="00B72379">
        <w:rPr>
          <w:sz w:val="22"/>
          <w:szCs w:val="22"/>
          <w:lang w:val="sk-SK"/>
        </w:rPr>
        <w:t>j</w:t>
      </w:r>
      <w:r w:rsidRPr="008A6EA9">
        <w:rPr>
          <w:sz w:val="22"/>
          <w:szCs w:val="22"/>
          <w:lang w:val="sk-SK"/>
        </w:rPr>
        <w:t xml:space="preserve"> štúdii RFHE3002.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Štúdia RFHE3001 porovnávala 140 pacientov liečených </w:t>
      </w:r>
      <w:proofErr w:type="spellStart"/>
      <w:r w:rsidRPr="008A6EA9">
        <w:rPr>
          <w:sz w:val="22"/>
          <w:szCs w:val="22"/>
          <w:lang w:val="sk-SK"/>
        </w:rPr>
        <w:t>rifaximínom</w:t>
      </w:r>
      <w:proofErr w:type="spellEnd"/>
      <w:r w:rsidRPr="008A6EA9">
        <w:rPr>
          <w:sz w:val="22"/>
          <w:szCs w:val="22"/>
          <w:lang w:val="sk-SK"/>
        </w:rPr>
        <w:t xml:space="preserve"> (dávka 550 mg dvakrát denne po dobu 6 mesiacov) so 159 pacientmi liečených placebom, zatiaľ čo štúdia RFHE3002 skúmala 322 </w:t>
      </w:r>
      <w:r w:rsidRPr="008A6EA9">
        <w:rPr>
          <w:sz w:val="22"/>
          <w:szCs w:val="22"/>
          <w:lang w:val="sk-SK"/>
        </w:rPr>
        <w:lastRenderedPageBreak/>
        <w:t xml:space="preserve">pacientov, z čoho 152 bolo zo štúdie RFHE3001 liečených </w:t>
      </w:r>
      <w:proofErr w:type="spellStart"/>
      <w:r w:rsidRPr="008A6EA9">
        <w:rPr>
          <w:sz w:val="22"/>
          <w:szCs w:val="22"/>
          <w:lang w:val="sk-SK"/>
        </w:rPr>
        <w:t>rifaximínom</w:t>
      </w:r>
      <w:proofErr w:type="spellEnd"/>
      <w:r w:rsidRPr="008A6EA9">
        <w:rPr>
          <w:sz w:val="22"/>
          <w:szCs w:val="22"/>
          <w:lang w:val="sk-SK"/>
        </w:rPr>
        <w:t xml:space="preserve"> v dávke 550 mg dvakrát denne po dobu 12 mesiacov (66 % pacientov) a po dobu 24 mesiacov (39 % pacientov), s mediánom expozície 512,5 dní. 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V troch podporných štúdiách bolo navyše 152 pacientov s HE liečených rôznymi dávkami </w:t>
      </w:r>
      <w:proofErr w:type="spellStart"/>
      <w:r w:rsidRPr="008A6EA9">
        <w:rPr>
          <w:sz w:val="22"/>
          <w:szCs w:val="22"/>
          <w:lang w:val="sk-SK"/>
        </w:rPr>
        <w:t>rifaximínu</w:t>
      </w:r>
      <w:proofErr w:type="spellEnd"/>
      <w:r w:rsidRPr="008A6EA9">
        <w:rPr>
          <w:sz w:val="22"/>
          <w:szCs w:val="22"/>
          <w:lang w:val="sk-SK"/>
        </w:rPr>
        <w:t xml:space="preserve"> od 600 mg do 2400 mg denne po dobu až 14 dní.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Všetky nežiaduce reakcie, ktoré sa vyskytli u pacientov liečených </w:t>
      </w:r>
      <w:proofErr w:type="spellStart"/>
      <w:r w:rsidRPr="008A6EA9">
        <w:rPr>
          <w:sz w:val="22"/>
          <w:szCs w:val="22"/>
          <w:lang w:val="sk-SK"/>
        </w:rPr>
        <w:t>rifaximínom</w:t>
      </w:r>
      <w:proofErr w:type="spellEnd"/>
      <w:r w:rsidRPr="008A6EA9">
        <w:rPr>
          <w:sz w:val="22"/>
          <w:szCs w:val="22"/>
          <w:lang w:val="sk-SK"/>
        </w:rPr>
        <w:t xml:space="preserve"> s frekvenciou výskytu </w:t>
      </w:r>
      <w:r w:rsidRPr="008A6EA9">
        <w:rPr>
          <w:b/>
          <w:sz w:val="22"/>
          <w:szCs w:val="22"/>
          <w:lang w:val="sk-SK"/>
        </w:rPr>
        <w:t>≥</w:t>
      </w:r>
      <w:r w:rsidRPr="008A6EA9">
        <w:rPr>
          <w:bCs/>
          <w:sz w:val="22"/>
          <w:szCs w:val="22"/>
          <w:lang w:val="sk-SK"/>
        </w:rPr>
        <w:t xml:space="preserve"> </w:t>
      </w:r>
      <w:r w:rsidRPr="008A6EA9">
        <w:rPr>
          <w:sz w:val="22"/>
          <w:szCs w:val="22"/>
          <w:lang w:val="sk-SK"/>
        </w:rPr>
        <w:t xml:space="preserve">5 %  a s vyššou frekvenciou výskytu (≥ 1%) ako u pacientov užívajúcich placebo v štúdii RFHE3001 sú uvedené v nasledujúcej tabuľke.  </w:t>
      </w:r>
    </w:p>
    <w:p w:rsidR="0052673F" w:rsidRPr="008A6EA9" w:rsidRDefault="0052673F" w:rsidP="004E3DD0">
      <w:pPr>
        <w:rPr>
          <w:i/>
          <w:color w:val="008000"/>
          <w:sz w:val="22"/>
          <w:szCs w:val="22"/>
          <w:lang w:val="sk-SK"/>
        </w:rPr>
      </w:pPr>
    </w:p>
    <w:p w:rsidR="0052673F" w:rsidRPr="008A6EA9" w:rsidRDefault="0052673F" w:rsidP="004E3DD0">
      <w:pPr>
        <w:keepNext/>
        <w:keepLines/>
        <w:jc w:val="both"/>
        <w:rPr>
          <w:b/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Tabuľka 1</w:t>
      </w:r>
      <w:r w:rsidRPr="008A6EA9">
        <w:rPr>
          <w:sz w:val="22"/>
          <w:szCs w:val="22"/>
          <w:lang w:val="sk-SK"/>
        </w:rPr>
        <w:t>:</w:t>
      </w:r>
      <w:r w:rsidRPr="008A6EA9">
        <w:rPr>
          <w:b/>
          <w:sz w:val="22"/>
          <w:szCs w:val="22"/>
          <w:lang w:val="sk-SK"/>
        </w:rPr>
        <w:t xml:space="preserve"> </w:t>
      </w:r>
      <w:r w:rsidRPr="008A6EA9">
        <w:rPr>
          <w:sz w:val="22"/>
          <w:szCs w:val="22"/>
          <w:lang w:val="sk-SK"/>
        </w:rPr>
        <w:t xml:space="preserve">Nežiaduce reakcie vyskytujúce sa u ≥ 5 % pacientov užívajúcich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a s vyššou frekvenciou výskytu ako u pacientov užívajúcich placebo v štúdii RFHE3001</w:t>
      </w:r>
    </w:p>
    <w:p w:rsidR="0052673F" w:rsidRPr="008A6EA9" w:rsidRDefault="0052673F" w:rsidP="004E3DD0">
      <w:pPr>
        <w:keepNext/>
        <w:jc w:val="both"/>
        <w:rPr>
          <w:sz w:val="22"/>
          <w:szCs w:val="22"/>
          <w:u w:val="single"/>
          <w:lang w:val="sk-SK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25"/>
        <w:gridCol w:w="2295"/>
        <w:gridCol w:w="1070"/>
        <w:gridCol w:w="953"/>
        <w:gridCol w:w="1037"/>
        <w:gridCol w:w="908"/>
      </w:tblGrid>
      <w:tr w:rsidR="0052673F" w:rsidRPr="008A6EA9" w:rsidTr="004E3DD0">
        <w:trPr>
          <w:tblHeader/>
        </w:trPr>
        <w:tc>
          <w:tcPr>
            <w:tcW w:w="1628" w:type="pct"/>
          </w:tcPr>
          <w:p w:rsidR="0052673F" w:rsidRPr="008A6EA9" w:rsidRDefault="0052673F" w:rsidP="004E3DD0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8A6EA9">
              <w:rPr>
                <w:b/>
                <w:bCs/>
                <w:iCs/>
                <w:sz w:val="22"/>
                <w:szCs w:val="22"/>
                <w:lang w:val="sk-SK"/>
              </w:rPr>
              <w:t xml:space="preserve">Trieda orgánových systémov podľa databázy </w:t>
            </w:r>
            <w:proofErr w:type="spellStart"/>
            <w:r w:rsidRPr="008A6EA9">
              <w:rPr>
                <w:b/>
                <w:bCs/>
                <w:iCs/>
                <w:sz w:val="22"/>
                <w:szCs w:val="22"/>
                <w:lang w:val="sk-SK"/>
              </w:rPr>
              <w:t>MedDRA</w:t>
            </w:r>
            <w:proofErr w:type="spellEnd"/>
          </w:p>
        </w:tc>
        <w:tc>
          <w:tcPr>
            <w:tcW w:w="1235" w:type="pct"/>
          </w:tcPr>
          <w:p w:rsidR="0052673F" w:rsidRPr="008A6EA9" w:rsidRDefault="0052673F" w:rsidP="004E3DD0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8A6EA9">
              <w:rPr>
                <w:b/>
                <w:sz w:val="22"/>
                <w:szCs w:val="22"/>
                <w:lang w:val="sk-SK"/>
              </w:rPr>
              <w:t>Udalosť</w:t>
            </w:r>
          </w:p>
        </w:tc>
        <w:tc>
          <w:tcPr>
            <w:tcW w:w="1089" w:type="pct"/>
            <w:gridSpan w:val="2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8A6EA9">
              <w:rPr>
                <w:b/>
                <w:sz w:val="22"/>
                <w:szCs w:val="22"/>
                <w:lang w:val="sk-SK"/>
              </w:rPr>
              <w:t>Placebo</w:t>
            </w:r>
          </w:p>
          <w:p w:rsidR="0052673F" w:rsidRPr="008A6EA9" w:rsidRDefault="0052673F" w:rsidP="004E3DD0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8A6EA9">
              <w:rPr>
                <w:b/>
                <w:sz w:val="22"/>
                <w:szCs w:val="22"/>
                <w:lang w:val="sk-SK"/>
              </w:rPr>
              <w:t>N=159</w:t>
            </w:r>
          </w:p>
          <w:p w:rsidR="0052673F" w:rsidRPr="008A6EA9" w:rsidRDefault="0052673F" w:rsidP="004E3DD0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8A6EA9">
              <w:rPr>
                <w:b/>
                <w:sz w:val="22"/>
                <w:szCs w:val="22"/>
                <w:lang w:val="sk-SK"/>
              </w:rPr>
              <w:t>n             %</w:t>
            </w:r>
          </w:p>
        </w:tc>
        <w:tc>
          <w:tcPr>
            <w:tcW w:w="1047" w:type="pct"/>
            <w:gridSpan w:val="2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8A6EA9">
              <w:rPr>
                <w:b/>
                <w:sz w:val="22"/>
                <w:szCs w:val="22"/>
                <w:lang w:val="sk-SK"/>
              </w:rPr>
              <w:t>Rifaximín</w:t>
            </w:r>
            <w:proofErr w:type="spellEnd"/>
          </w:p>
          <w:p w:rsidR="0052673F" w:rsidRPr="008A6EA9" w:rsidRDefault="0052673F" w:rsidP="004E3DD0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8A6EA9">
              <w:rPr>
                <w:b/>
                <w:sz w:val="22"/>
                <w:szCs w:val="22"/>
                <w:lang w:val="sk-SK"/>
              </w:rPr>
              <w:t>N= 140</w:t>
            </w:r>
          </w:p>
          <w:p w:rsidR="0052673F" w:rsidRPr="008A6EA9" w:rsidRDefault="0052673F" w:rsidP="004E3DD0">
            <w:pPr>
              <w:keepNext/>
              <w:keepLines/>
              <w:jc w:val="center"/>
              <w:rPr>
                <w:b/>
                <w:sz w:val="22"/>
                <w:szCs w:val="22"/>
                <w:lang w:val="sk-SK"/>
              </w:rPr>
            </w:pPr>
            <w:r w:rsidRPr="008A6EA9">
              <w:rPr>
                <w:b/>
                <w:sz w:val="22"/>
                <w:szCs w:val="22"/>
                <w:lang w:val="sk-SK"/>
              </w:rPr>
              <w:t>n              %</w:t>
            </w:r>
          </w:p>
        </w:tc>
      </w:tr>
      <w:tr w:rsidR="0052673F" w:rsidRPr="008A6EA9" w:rsidTr="004E3DD0">
        <w:tc>
          <w:tcPr>
            <w:tcW w:w="1628" w:type="pct"/>
          </w:tcPr>
          <w:p w:rsidR="0052673F" w:rsidRPr="008A6EA9" w:rsidRDefault="0052673F" w:rsidP="004E3DD0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8A6EA9">
              <w:rPr>
                <w:b/>
                <w:sz w:val="22"/>
                <w:szCs w:val="22"/>
                <w:lang w:val="sk-SK"/>
              </w:rPr>
              <w:t>Poruchy krvi a lymfatického systému</w:t>
            </w:r>
          </w:p>
        </w:tc>
        <w:tc>
          <w:tcPr>
            <w:tcW w:w="1235" w:type="pct"/>
          </w:tcPr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Anémia</w:t>
            </w:r>
          </w:p>
          <w:p w:rsidR="0052673F" w:rsidRPr="008A6EA9" w:rsidRDefault="0052673F" w:rsidP="004E3DD0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576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6</w:t>
            </w:r>
          </w:p>
        </w:tc>
        <w:tc>
          <w:tcPr>
            <w:tcW w:w="513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3,8</w:t>
            </w:r>
          </w:p>
        </w:tc>
        <w:tc>
          <w:tcPr>
            <w:tcW w:w="558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 xml:space="preserve">11 </w:t>
            </w:r>
          </w:p>
        </w:tc>
        <w:tc>
          <w:tcPr>
            <w:tcW w:w="489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7,9</w:t>
            </w:r>
          </w:p>
        </w:tc>
      </w:tr>
      <w:tr w:rsidR="0052673F" w:rsidRPr="008A6EA9" w:rsidTr="004E3DD0">
        <w:tc>
          <w:tcPr>
            <w:tcW w:w="1628" w:type="pct"/>
            <w:vMerge w:val="restart"/>
          </w:tcPr>
          <w:p w:rsidR="0052673F" w:rsidRPr="008A6EA9" w:rsidRDefault="0052673F" w:rsidP="004E3DD0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8A6EA9">
              <w:rPr>
                <w:b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1235" w:type="pct"/>
          </w:tcPr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  <w:proofErr w:type="spellStart"/>
            <w:r w:rsidRPr="008A6EA9">
              <w:rPr>
                <w:sz w:val="22"/>
                <w:szCs w:val="22"/>
                <w:lang w:val="sk-SK"/>
              </w:rPr>
              <w:t>Ascites</w:t>
            </w:r>
            <w:proofErr w:type="spellEnd"/>
          </w:p>
        </w:tc>
        <w:tc>
          <w:tcPr>
            <w:tcW w:w="576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15</w:t>
            </w:r>
          </w:p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13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9,4</w:t>
            </w:r>
          </w:p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58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16</w:t>
            </w:r>
          </w:p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489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11,4</w:t>
            </w:r>
          </w:p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52673F" w:rsidRPr="008A6EA9" w:rsidTr="004E3DD0">
        <w:tc>
          <w:tcPr>
            <w:tcW w:w="1628" w:type="pct"/>
            <w:vMerge/>
          </w:tcPr>
          <w:p w:rsidR="0052673F" w:rsidRPr="008A6EA9" w:rsidRDefault="0052673F" w:rsidP="004E3DD0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235" w:type="pct"/>
          </w:tcPr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Nauzea</w:t>
            </w:r>
          </w:p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  <w:tc>
          <w:tcPr>
            <w:tcW w:w="576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21</w:t>
            </w:r>
          </w:p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13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13,2</w:t>
            </w:r>
          </w:p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58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20</w:t>
            </w:r>
          </w:p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489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14,3</w:t>
            </w:r>
          </w:p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52673F" w:rsidRPr="008A6EA9" w:rsidTr="004E3DD0">
        <w:tc>
          <w:tcPr>
            <w:tcW w:w="1628" w:type="pct"/>
            <w:vMerge/>
          </w:tcPr>
          <w:p w:rsidR="0052673F" w:rsidRPr="008A6EA9" w:rsidRDefault="0052673F" w:rsidP="004E3DD0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235" w:type="pct"/>
          </w:tcPr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Bolesť v hornej abdominálnej oblasti</w:t>
            </w:r>
          </w:p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  <w:tc>
          <w:tcPr>
            <w:tcW w:w="576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 xml:space="preserve">8 </w:t>
            </w:r>
          </w:p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13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5,0</w:t>
            </w:r>
          </w:p>
        </w:tc>
        <w:tc>
          <w:tcPr>
            <w:tcW w:w="558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9</w:t>
            </w:r>
          </w:p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489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6,4</w:t>
            </w:r>
          </w:p>
        </w:tc>
      </w:tr>
      <w:tr w:rsidR="0052673F" w:rsidRPr="008A6EA9" w:rsidTr="004E3DD0">
        <w:tc>
          <w:tcPr>
            <w:tcW w:w="1628" w:type="pct"/>
            <w:vMerge w:val="restart"/>
          </w:tcPr>
          <w:p w:rsidR="0052673F" w:rsidRPr="008A6EA9" w:rsidRDefault="0052673F" w:rsidP="004E3DD0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8A6EA9">
              <w:rPr>
                <w:b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235" w:type="pct"/>
          </w:tcPr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Periférny edém</w:t>
            </w:r>
          </w:p>
        </w:tc>
        <w:tc>
          <w:tcPr>
            <w:tcW w:w="576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13</w:t>
            </w:r>
          </w:p>
        </w:tc>
        <w:tc>
          <w:tcPr>
            <w:tcW w:w="513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8,2</w:t>
            </w:r>
          </w:p>
        </w:tc>
        <w:tc>
          <w:tcPr>
            <w:tcW w:w="558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21</w:t>
            </w:r>
          </w:p>
        </w:tc>
        <w:tc>
          <w:tcPr>
            <w:tcW w:w="489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15,0</w:t>
            </w:r>
          </w:p>
        </w:tc>
      </w:tr>
      <w:tr w:rsidR="0052673F" w:rsidRPr="008A6EA9" w:rsidTr="004E3DD0">
        <w:tc>
          <w:tcPr>
            <w:tcW w:w="1628" w:type="pct"/>
            <w:vMerge/>
          </w:tcPr>
          <w:p w:rsidR="0052673F" w:rsidRPr="008A6EA9" w:rsidRDefault="0052673F" w:rsidP="004E3DD0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235" w:type="pct"/>
          </w:tcPr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  <w:proofErr w:type="spellStart"/>
            <w:r w:rsidRPr="008A6EA9">
              <w:rPr>
                <w:sz w:val="22"/>
                <w:szCs w:val="22"/>
                <w:lang w:val="sk-SK"/>
              </w:rPr>
              <w:t>Pyrexia</w:t>
            </w:r>
            <w:proofErr w:type="spellEnd"/>
          </w:p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  <w:tc>
          <w:tcPr>
            <w:tcW w:w="576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 xml:space="preserve">5 </w:t>
            </w:r>
          </w:p>
        </w:tc>
        <w:tc>
          <w:tcPr>
            <w:tcW w:w="513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3,1</w:t>
            </w:r>
          </w:p>
        </w:tc>
        <w:tc>
          <w:tcPr>
            <w:tcW w:w="558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 xml:space="preserve">9 </w:t>
            </w:r>
          </w:p>
        </w:tc>
        <w:tc>
          <w:tcPr>
            <w:tcW w:w="489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6,4</w:t>
            </w:r>
          </w:p>
        </w:tc>
      </w:tr>
      <w:tr w:rsidR="0052673F" w:rsidRPr="008A6EA9" w:rsidTr="004E3DD0">
        <w:tc>
          <w:tcPr>
            <w:tcW w:w="1628" w:type="pct"/>
          </w:tcPr>
          <w:p w:rsidR="0052673F" w:rsidRPr="008A6EA9" w:rsidRDefault="0052673F" w:rsidP="004E3DD0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8A6EA9">
              <w:rPr>
                <w:b/>
                <w:sz w:val="22"/>
                <w:szCs w:val="22"/>
                <w:lang w:val="sk-SK"/>
              </w:rPr>
              <w:t>Poruchy kostrovej a svalovej sústavy a spojivového tkaniva</w:t>
            </w:r>
          </w:p>
        </w:tc>
        <w:tc>
          <w:tcPr>
            <w:tcW w:w="1235" w:type="pct"/>
          </w:tcPr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Svalové kŕče</w:t>
            </w:r>
          </w:p>
        </w:tc>
        <w:tc>
          <w:tcPr>
            <w:tcW w:w="576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 xml:space="preserve">11 </w:t>
            </w:r>
          </w:p>
        </w:tc>
        <w:tc>
          <w:tcPr>
            <w:tcW w:w="513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6,9</w:t>
            </w:r>
          </w:p>
        </w:tc>
        <w:tc>
          <w:tcPr>
            <w:tcW w:w="558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 xml:space="preserve">13 </w:t>
            </w:r>
          </w:p>
        </w:tc>
        <w:tc>
          <w:tcPr>
            <w:tcW w:w="489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9,3</w:t>
            </w:r>
          </w:p>
        </w:tc>
      </w:tr>
      <w:tr w:rsidR="0052673F" w:rsidRPr="008A6EA9" w:rsidTr="004E3DD0">
        <w:tc>
          <w:tcPr>
            <w:tcW w:w="1628" w:type="pct"/>
          </w:tcPr>
          <w:p w:rsidR="0052673F" w:rsidRPr="008A6EA9" w:rsidRDefault="0052673F" w:rsidP="004E3DD0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235" w:type="pct"/>
          </w:tcPr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  <w:proofErr w:type="spellStart"/>
            <w:r w:rsidRPr="008A6EA9">
              <w:rPr>
                <w:sz w:val="22"/>
                <w:szCs w:val="22"/>
                <w:lang w:val="sk-SK"/>
              </w:rPr>
              <w:t>Artralgia</w:t>
            </w:r>
            <w:proofErr w:type="spellEnd"/>
          </w:p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  <w:tc>
          <w:tcPr>
            <w:tcW w:w="576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 xml:space="preserve">4 </w:t>
            </w:r>
          </w:p>
        </w:tc>
        <w:tc>
          <w:tcPr>
            <w:tcW w:w="513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2,5</w:t>
            </w:r>
          </w:p>
        </w:tc>
        <w:tc>
          <w:tcPr>
            <w:tcW w:w="558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 xml:space="preserve">9 </w:t>
            </w:r>
          </w:p>
        </w:tc>
        <w:tc>
          <w:tcPr>
            <w:tcW w:w="489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6,4</w:t>
            </w:r>
          </w:p>
        </w:tc>
      </w:tr>
      <w:tr w:rsidR="0052673F" w:rsidRPr="008A6EA9" w:rsidTr="004E3DD0">
        <w:tc>
          <w:tcPr>
            <w:tcW w:w="1628" w:type="pct"/>
          </w:tcPr>
          <w:p w:rsidR="0052673F" w:rsidRPr="008A6EA9" w:rsidRDefault="0052673F" w:rsidP="004E3DD0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8A6EA9">
              <w:rPr>
                <w:b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235" w:type="pct"/>
          </w:tcPr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Závrat</w:t>
            </w:r>
          </w:p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  <w:tc>
          <w:tcPr>
            <w:tcW w:w="576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13</w:t>
            </w:r>
          </w:p>
        </w:tc>
        <w:tc>
          <w:tcPr>
            <w:tcW w:w="513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8,2</w:t>
            </w:r>
          </w:p>
        </w:tc>
        <w:tc>
          <w:tcPr>
            <w:tcW w:w="558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18</w:t>
            </w:r>
          </w:p>
        </w:tc>
        <w:tc>
          <w:tcPr>
            <w:tcW w:w="489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12,9</w:t>
            </w:r>
          </w:p>
        </w:tc>
      </w:tr>
      <w:tr w:rsidR="0052673F" w:rsidRPr="008A6EA9" w:rsidTr="004E3DD0">
        <w:tc>
          <w:tcPr>
            <w:tcW w:w="1628" w:type="pct"/>
          </w:tcPr>
          <w:p w:rsidR="0052673F" w:rsidRPr="008A6EA9" w:rsidRDefault="0052673F" w:rsidP="004E3DD0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8A6EA9">
              <w:rPr>
                <w:b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235" w:type="pct"/>
          </w:tcPr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Depresia</w:t>
            </w:r>
          </w:p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  <w:tc>
          <w:tcPr>
            <w:tcW w:w="576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8</w:t>
            </w:r>
          </w:p>
        </w:tc>
        <w:tc>
          <w:tcPr>
            <w:tcW w:w="513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5,0</w:t>
            </w:r>
          </w:p>
        </w:tc>
        <w:tc>
          <w:tcPr>
            <w:tcW w:w="558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10</w:t>
            </w:r>
          </w:p>
        </w:tc>
        <w:tc>
          <w:tcPr>
            <w:tcW w:w="489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7,1</w:t>
            </w:r>
          </w:p>
        </w:tc>
      </w:tr>
      <w:tr w:rsidR="0052673F" w:rsidRPr="008A6EA9" w:rsidTr="004E3DD0">
        <w:tc>
          <w:tcPr>
            <w:tcW w:w="1628" w:type="pct"/>
          </w:tcPr>
          <w:p w:rsidR="0052673F" w:rsidRPr="008A6EA9" w:rsidRDefault="0052673F" w:rsidP="004E3DD0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8A6EA9">
              <w:rPr>
                <w:b/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8A6EA9">
              <w:rPr>
                <w:b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1235" w:type="pct"/>
          </w:tcPr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  <w:proofErr w:type="spellStart"/>
            <w:r w:rsidRPr="008A6EA9">
              <w:rPr>
                <w:sz w:val="22"/>
                <w:szCs w:val="22"/>
                <w:lang w:val="sk-SK"/>
              </w:rPr>
              <w:t>Dyspnoe</w:t>
            </w:r>
            <w:proofErr w:type="spellEnd"/>
          </w:p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  <w:tc>
          <w:tcPr>
            <w:tcW w:w="576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7</w:t>
            </w:r>
          </w:p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13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4,4</w:t>
            </w:r>
          </w:p>
        </w:tc>
        <w:tc>
          <w:tcPr>
            <w:tcW w:w="558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9</w:t>
            </w:r>
          </w:p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489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6,4</w:t>
            </w:r>
          </w:p>
        </w:tc>
      </w:tr>
      <w:tr w:rsidR="0052673F" w:rsidRPr="008A6EA9" w:rsidTr="004E3DD0">
        <w:tc>
          <w:tcPr>
            <w:tcW w:w="1628" w:type="pct"/>
            <w:vMerge w:val="restart"/>
          </w:tcPr>
          <w:p w:rsidR="0052673F" w:rsidRPr="008A6EA9" w:rsidRDefault="0052673F" w:rsidP="004E3DD0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  <w:r w:rsidRPr="008A6EA9">
              <w:rPr>
                <w:b/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1235" w:type="pct"/>
          </w:tcPr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  <w:proofErr w:type="spellStart"/>
            <w:r w:rsidRPr="008A6EA9">
              <w:rPr>
                <w:sz w:val="22"/>
                <w:szCs w:val="22"/>
                <w:lang w:val="sk-SK"/>
              </w:rPr>
              <w:t>Pruritus</w:t>
            </w:r>
            <w:proofErr w:type="spellEnd"/>
          </w:p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  <w:tc>
          <w:tcPr>
            <w:tcW w:w="576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10</w:t>
            </w:r>
          </w:p>
        </w:tc>
        <w:tc>
          <w:tcPr>
            <w:tcW w:w="513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6,3</w:t>
            </w:r>
          </w:p>
        </w:tc>
        <w:tc>
          <w:tcPr>
            <w:tcW w:w="558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13</w:t>
            </w:r>
          </w:p>
        </w:tc>
        <w:tc>
          <w:tcPr>
            <w:tcW w:w="489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9,3</w:t>
            </w:r>
          </w:p>
        </w:tc>
      </w:tr>
      <w:tr w:rsidR="0052673F" w:rsidRPr="008A6EA9" w:rsidTr="004E3DD0">
        <w:tc>
          <w:tcPr>
            <w:tcW w:w="1628" w:type="pct"/>
            <w:vMerge/>
          </w:tcPr>
          <w:p w:rsidR="0052673F" w:rsidRPr="008A6EA9" w:rsidRDefault="0052673F" w:rsidP="004E3DD0">
            <w:pPr>
              <w:keepNext/>
              <w:keepLines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235" w:type="pct"/>
          </w:tcPr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Vyrážka</w:t>
            </w:r>
          </w:p>
          <w:p w:rsidR="0052673F" w:rsidRPr="008A6EA9" w:rsidRDefault="0052673F" w:rsidP="004E3DD0">
            <w:pPr>
              <w:keepNext/>
              <w:keepLines/>
              <w:rPr>
                <w:sz w:val="22"/>
                <w:szCs w:val="22"/>
                <w:lang w:val="sk-SK"/>
              </w:rPr>
            </w:pPr>
          </w:p>
        </w:tc>
        <w:tc>
          <w:tcPr>
            <w:tcW w:w="576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6</w:t>
            </w:r>
          </w:p>
        </w:tc>
        <w:tc>
          <w:tcPr>
            <w:tcW w:w="513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3,8</w:t>
            </w:r>
          </w:p>
        </w:tc>
        <w:tc>
          <w:tcPr>
            <w:tcW w:w="558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7</w:t>
            </w:r>
          </w:p>
        </w:tc>
        <w:tc>
          <w:tcPr>
            <w:tcW w:w="489" w:type="pct"/>
          </w:tcPr>
          <w:p w:rsidR="0052673F" w:rsidRPr="008A6EA9" w:rsidRDefault="0052673F" w:rsidP="004E3DD0">
            <w:pPr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8A6EA9">
              <w:rPr>
                <w:sz w:val="22"/>
                <w:szCs w:val="22"/>
                <w:lang w:val="sk-SK"/>
              </w:rPr>
              <w:t>5,0</w:t>
            </w:r>
          </w:p>
        </w:tc>
      </w:tr>
    </w:tbl>
    <w:p w:rsidR="0052673F" w:rsidRPr="008A6EA9" w:rsidRDefault="0052673F" w:rsidP="004E3DD0">
      <w:pPr>
        <w:jc w:val="both"/>
        <w:rPr>
          <w:sz w:val="22"/>
          <w:szCs w:val="22"/>
          <w:u w:val="single"/>
          <w:lang w:val="sk-SK"/>
        </w:rPr>
      </w:pPr>
    </w:p>
    <w:p w:rsidR="0052673F" w:rsidRPr="008A6EA9" w:rsidRDefault="0052673F" w:rsidP="004E3DD0">
      <w:pPr>
        <w:rPr>
          <w:bCs/>
          <w:iCs/>
          <w:sz w:val="22"/>
          <w:szCs w:val="22"/>
          <w:lang w:val="sk-SK"/>
        </w:rPr>
      </w:pPr>
      <w:r w:rsidRPr="008A6EA9">
        <w:rPr>
          <w:bCs/>
          <w:iCs/>
          <w:sz w:val="22"/>
          <w:szCs w:val="22"/>
          <w:lang w:val="sk-SK"/>
        </w:rPr>
        <w:t>Tabuľka 2 uvádza nežiaduce reakcie pozorované v placebom kontrolovanej štúdii RFHE3001</w:t>
      </w:r>
      <w:r w:rsidR="005F4786">
        <w:rPr>
          <w:bCs/>
          <w:iCs/>
          <w:sz w:val="22"/>
          <w:szCs w:val="22"/>
          <w:lang w:val="sk-SK"/>
        </w:rPr>
        <w:t>,</w:t>
      </w:r>
      <w:r w:rsidRPr="008A6EA9">
        <w:rPr>
          <w:bCs/>
          <w:iCs/>
          <w:sz w:val="22"/>
          <w:szCs w:val="22"/>
          <w:lang w:val="sk-SK"/>
        </w:rPr>
        <w:t xml:space="preserve"> v dlhodobej štúdii RFHE3002</w:t>
      </w:r>
      <w:r w:rsidR="005F4786">
        <w:rPr>
          <w:bCs/>
          <w:iCs/>
          <w:sz w:val="22"/>
          <w:szCs w:val="22"/>
          <w:lang w:val="sk-SK"/>
        </w:rPr>
        <w:t xml:space="preserve"> </w:t>
      </w:r>
      <w:r w:rsidR="002B6509">
        <w:rPr>
          <w:bCs/>
          <w:iCs/>
          <w:sz w:val="22"/>
          <w:szCs w:val="22"/>
          <w:lang w:val="sk-SK"/>
        </w:rPr>
        <w:t>a po uvedení lieku na trh</w:t>
      </w:r>
      <w:r w:rsidRPr="008A6EA9">
        <w:rPr>
          <w:bCs/>
          <w:iCs/>
          <w:sz w:val="22"/>
          <w:szCs w:val="22"/>
          <w:lang w:val="sk-SK"/>
        </w:rPr>
        <w:t xml:space="preserve">, </w:t>
      </w:r>
      <w:r w:rsidR="002B6509">
        <w:rPr>
          <w:bCs/>
          <w:iCs/>
          <w:sz w:val="22"/>
          <w:szCs w:val="22"/>
          <w:lang w:val="sk-SK"/>
        </w:rPr>
        <w:t xml:space="preserve">sú </w:t>
      </w:r>
      <w:r w:rsidRPr="008A6EA9">
        <w:rPr>
          <w:bCs/>
          <w:iCs/>
          <w:sz w:val="22"/>
          <w:szCs w:val="22"/>
          <w:lang w:val="sk-SK"/>
        </w:rPr>
        <w:t xml:space="preserve">uvedené podľa triedy orgánových systémov podľa databázy </w:t>
      </w:r>
      <w:proofErr w:type="spellStart"/>
      <w:r w:rsidRPr="008A6EA9">
        <w:rPr>
          <w:bCs/>
          <w:iCs/>
          <w:sz w:val="22"/>
          <w:szCs w:val="22"/>
          <w:lang w:val="sk-SK"/>
        </w:rPr>
        <w:t>MedDRA</w:t>
      </w:r>
      <w:proofErr w:type="spellEnd"/>
      <w:r w:rsidRPr="008A6EA9">
        <w:rPr>
          <w:bCs/>
          <w:iCs/>
          <w:sz w:val="22"/>
          <w:szCs w:val="22"/>
          <w:lang w:val="sk-SK"/>
        </w:rPr>
        <w:t xml:space="preserve"> a podľa frekvencie výskytu.  </w:t>
      </w:r>
    </w:p>
    <w:p w:rsidR="0052673F" w:rsidRPr="008A6EA9" w:rsidRDefault="0052673F" w:rsidP="004E3DD0">
      <w:pPr>
        <w:rPr>
          <w:bCs/>
          <w:iCs/>
          <w:sz w:val="22"/>
          <w:szCs w:val="22"/>
          <w:lang w:val="sk-SK"/>
        </w:rPr>
      </w:pPr>
    </w:p>
    <w:p w:rsidR="0052673F" w:rsidRPr="008A6EA9" w:rsidRDefault="0052673F" w:rsidP="004E3DD0">
      <w:pPr>
        <w:rPr>
          <w:bCs/>
          <w:iCs/>
          <w:sz w:val="22"/>
          <w:szCs w:val="22"/>
          <w:lang w:val="sk-SK"/>
        </w:rPr>
      </w:pPr>
      <w:r w:rsidRPr="008A6EA9">
        <w:rPr>
          <w:bCs/>
          <w:iCs/>
          <w:sz w:val="22"/>
          <w:szCs w:val="22"/>
          <w:lang w:val="sk-SK"/>
        </w:rPr>
        <w:t>Kategórie frekvencie výskytu sú definované podľa nasledujúcich konvencií:</w:t>
      </w:r>
    </w:p>
    <w:p w:rsidR="0052673F" w:rsidRPr="008A6EA9" w:rsidRDefault="0052673F" w:rsidP="004E3DD0">
      <w:pPr>
        <w:rPr>
          <w:bCs/>
          <w:iCs/>
          <w:sz w:val="22"/>
          <w:szCs w:val="22"/>
          <w:lang w:val="sk-SK"/>
        </w:rPr>
      </w:pPr>
    </w:p>
    <w:p w:rsidR="0052673F" w:rsidRPr="008A6EA9" w:rsidRDefault="0052673F" w:rsidP="004E3DD0">
      <w:pPr>
        <w:rPr>
          <w:bCs/>
          <w:iCs/>
          <w:sz w:val="22"/>
          <w:szCs w:val="22"/>
          <w:lang w:val="sk-SK"/>
        </w:rPr>
      </w:pPr>
      <w:r w:rsidRPr="008A6EA9">
        <w:rPr>
          <w:bCs/>
          <w:iCs/>
          <w:sz w:val="22"/>
          <w:szCs w:val="22"/>
          <w:lang w:val="sk-SK"/>
        </w:rPr>
        <w:t>Veľmi časté (≥1/10); časté (≥1/100 až &lt;1/10); menej časté (≥1/1 000 až &lt;1/100); zriedkavé (≥1/10 000 až &lt;1/1 000); veľmi zriedkavé (&lt;1/10 000), neznáme (z dostupných údajov).</w:t>
      </w:r>
    </w:p>
    <w:p w:rsidR="0052673F" w:rsidRPr="008A6EA9" w:rsidRDefault="0052673F" w:rsidP="004E3DD0">
      <w:pPr>
        <w:rPr>
          <w:bCs/>
          <w:iCs/>
          <w:sz w:val="22"/>
          <w:szCs w:val="22"/>
          <w:lang w:val="sk-SK"/>
        </w:rPr>
      </w:pPr>
    </w:p>
    <w:p w:rsidR="00151427" w:rsidRDefault="0052673F" w:rsidP="00151427">
      <w:pPr>
        <w:rPr>
          <w:bCs/>
          <w:iCs/>
          <w:sz w:val="22"/>
          <w:szCs w:val="22"/>
          <w:lang w:val="sk-SK"/>
        </w:rPr>
      </w:pPr>
      <w:r w:rsidRPr="008A6EA9">
        <w:rPr>
          <w:bCs/>
          <w:iCs/>
          <w:sz w:val="22"/>
          <w:szCs w:val="22"/>
          <w:lang w:val="sk-SK"/>
        </w:rPr>
        <w:t>V rámci každej frekvencie sú nežiaduce reakcie uvádzané v poradí klesajúcej závažnosti.</w:t>
      </w:r>
    </w:p>
    <w:p w:rsidR="00151427" w:rsidRDefault="00151427" w:rsidP="00151427">
      <w:pPr>
        <w:rPr>
          <w:b/>
          <w:bCs/>
          <w:iCs/>
          <w:sz w:val="22"/>
          <w:szCs w:val="22"/>
          <w:lang w:val="sk-SK"/>
        </w:rPr>
      </w:pPr>
    </w:p>
    <w:p w:rsidR="0052673F" w:rsidRPr="008A6EA9" w:rsidRDefault="0052673F" w:rsidP="00151427">
      <w:pPr>
        <w:rPr>
          <w:bCs/>
          <w:iCs/>
          <w:sz w:val="22"/>
          <w:szCs w:val="22"/>
          <w:lang w:val="sk-SK"/>
        </w:rPr>
      </w:pPr>
      <w:r w:rsidRPr="008A6EA9">
        <w:rPr>
          <w:b/>
          <w:bCs/>
          <w:iCs/>
          <w:sz w:val="22"/>
          <w:szCs w:val="22"/>
          <w:lang w:val="sk-SK"/>
        </w:rPr>
        <w:lastRenderedPageBreak/>
        <w:t>Tabuľka 2</w:t>
      </w:r>
      <w:r w:rsidRPr="008A6EA9">
        <w:rPr>
          <w:bCs/>
          <w:iCs/>
          <w:sz w:val="22"/>
          <w:szCs w:val="22"/>
          <w:lang w:val="sk-SK"/>
        </w:rPr>
        <w:t xml:space="preserve">: Nežiaduce reakcie uvedené podľa triedy orgánových systémov podľa databázy </w:t>
      </w:r>
      <w:proofErr w:type="spellStart"/>
      <w:r w:rsidRPr="008A6EA9">
        <w:rPr>
          <w:bCs/>
          <w:iCs/>
          <w:sz w:val="22"/>
          <w:szCs w:val="22"/>
          <w:lang w:val="sk-SK"/>
        </w:rPr>
        <w:t>MedDRA</w:t>
      </w:r>
      <w:proofErr w:type="spellEnd"/>
      <w:r w:rsidRPr="008A6EA9">
        <w:rPr>
          <w:bCs/>
          <w:iCs/>
          <w:sz w:val="22"/>
          <w:szCs w:val="22"/>
          <w:lang w:val="sk-SK"/>
        </w:rPr>
        <w:t xml:space="preserve"> a podľa frekvencie výskytu.</w:t>
      </w:r>
    </w:p>
    <w:p w:rsidR="0052673F" w:rsidRPr="001A10A3" w:rsidRDefault="0052673F" w:rsidP="001A10A3">
      <w:pPr>
        <w:jc w:val="both"/>
        <w:rPr>
          <w:bCs/>
          <w:iCs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3"/>
        <w:gridCol w:w="1534"/>
        <w:gridCol w:w="1952"/>
        <w:gridCol w:w="1899"/>
        <w:gridCol w:w="1780"/>
      </w:tblGrid>
      <w:tr w:rsidR="0052673F" w:rsidRPr="001A10A3" w:rsidTr="005F4786">
        <w:trPr>
          <w:tblHeader/>
        </w:trPr>
        <w:tc>
          <w:tcPr>
            <w:tcW w:w="2123" w:type="dxa"/>
          </w:tcPr>
          <w:p w:rsidR="0052673F" w:rsidRPr="001A10A3" w:rsidRDefault="0052673F" w:rsidP="001A10A3">
            <w:pPr>
              <w:rPr>
                <w:b/>
                <w:bCs/>
                <w:iCs/>
                <w:sz w:val="20"/>
                <w:szCs w:val="20"/>
                <w:lang w:val="sk-SK"/>
              </w:rPr>
            </w:pPr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 xml:space="preserve">Trieda orgánových systémov podľa databázy </w:t>
            </w:r>
            <w:proofErr w:type="spellStart"/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>MedDRA</w:t>
            </w:r>
            <w:proofErr w:type="spellEnd"/>
          </w:p>
        </w:tc>
        <w:tc>
          <w:tcPr>
            <w:tcW w:w="1534" w:type="dxa"/>
          </w:tcPr>
          <w:p w:rsidR="0052673F" w:rsidRPr="001A10A3" w:rsidRDefault="0052673F" w:rsidP="004E3DD0">
            <w:pPr>
              <w:keepNext/>
              <w:keepLines/>
              <w:ind w:left="30" w:hanging="30"/>
              <w:rPr>
                <w:b/>
                <w:sz w:val="20"/>
                <w:szCs w:val="20"/>
                <w:lang w:val="sk-SK"/>
              </w:rPr>
            </w:pPr>
            <w:r w:rsidRPr="001A10A3">
              <w:rPr>
                <w:b/>
                <w:sz w:val="20"/>
                <w:szCs w:val="20"/>
                <w:lang w:val="sk-SK"/>
              </w:rPr>
              <w:t>Časté</w:t>
            </w:r>
          </w:p>
        </w:tc>
        <w:tc>
          <w:tcPr>
            <w:tcW w:w="1952" w:type="dxa"/>
          </w:tcPr>
          <w:p w:rsidR="0052673F" w:rsidRPr="001A10A3" w:rsidRDefault="0052673F" w:rsidP="004E3DD0">
            <w:pPr>
              <w:keepNext/>
              <w:keepLines/>
              <w:rPr>
                <w:b/>
                <w:sz w:val="20"/>
                <w:szCs w:val="20"/>
                <w:lang w:val="sk-SK"/>
              </w:rPr>
            </w:pPr>
            <w:r w:rsidRPr="001A10A3">
              <w:rPr>
                <w:b/>
                <w:sz w:val="20"/>
                <w:szCs w:val="20"/>
                <w:lang w:val="sk-SK"/>
              </w:rPr>
              <w:t>Menej časté</w:t>
            </w:r>
          </w:p>
        </w:tc>
        <w:tc>
          <w:tcPr>
            <w:tcW w:w="1899" w:type="dxa"/>
          </w:tcPr>
          <w:p w:rsidR="0052673F" w:rsidRPr="001A10A3" w:rsidRDefault="0052673F" w:rsidP="004E3DD0">
            <w:pPr>
              <w:keepNext/>
              <w:keepLines/>
              <w:rPr>
                <w:b/>
                <w:sz w:val="20"/>
                <w:szCs w:val="20"/>
                <w:lang w:val="sk-SK"/>
              </w:rPr>
            </w:pPr>
            <w:r w:rsidRPr="001A10A3">
              <w:rPr>
                <w:b/>
                <w:sz w:val="20"/>
                <w:szCs w:val="20"/>
                <w:lang w:val="sk-SK"/>
              </w:rPr>
              <w:t>Zriedkavé</w:t>
            </w:r>
          </w:p>
        </w:tc>
        <w:tc>
          <w:tcPr>
            <w:tcW w:w="1780" w:type="dxa"/>
          </w:tcPr>
          <w:p w:rsidR="0052673F" w:rsidRPr="001A10A3" w:rsidRDefault="0052673F" w:rsidP="004E3DD0">
            <w:pPr>
              <w:keepNext/>
              <w:keepLines/>
              <w:rPr>
                <w:b/>
                <w:sz w:val="20"/>
                <w:szCs w:val="20"/>
                <w:lang w:val="sk-SK"/>
              </w:rPr>
            </w:pPr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>Neznáme</w:t>
            </w:r>
          </w:p>
        </w:tc>
      </w:tr>
      <w:tr w:rsidR="0052673F" w:rsidRPr="001A10A3" w:rsidTr="005F4786">
        <w:tc>
          <w:tcPr>
            <w:tcW w:w="2123" w:type="dxa"/>
          </w:tcPr>
          <w:p w:rsidR="0052673F" w:rsidRPr="001A10A3" w:rsidRDefault="0052673F" w:rsidP="001A10A3">
            <w:pPr>
              <w:rPr>
                <w:b/>
                <w:bCs/>
                <w:iCs/>
                <w:sz w:val="20"/>
                <w:szCs w:val="20"/>
                <w:lang w:val="sk-SK"/>
              </w:rPr>
            </w:pPr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>Infekcie a nákazy</w:t>
            </w:r>
          </w:p>
        </w:tc>
        <w:tc>
          <w:tcPr>
            <w:tcW w:w="1534" w:type="dxa"/>
          </w:tcPr>
          <w:p w:rsidR="0052673F" w:rsidRPr="001A10A3" w:rsidRDefault="0052673F" w:rsidP="004E3DD0">
            <w:pPr>
              <w:keepNext/>
              <w:keepLines/>
              <w:ind w:left="30" w:hanging="30"/>
              <w:rPr>
                <w:sz w:val="20"/>
                <w:szCs w:val="20"/>
                <w:lang w:val="sk-SK"/>
              </w:rPr>
            </w:pPr>
          </w:p>
        </w:tc>
        <w:tc>
          <w:tcPr>
            <w:tcW w:w="1952" w:type="dxa"/>
          </w:tcPr>
          <w:p w:rsidR="0052673F" w:rsidRPr="001A10A3" w:rsidRDefault="0052673F" w:rsidP="004E3DD0">
            <w:pPr>
              <w:keepNext/>
              <w:keepLines/>
              <w:rPr>
                <w:sz w:val="20"/>
                <w:szCs w:val="20"/>
                <w:lang w:val="sk-SK"/>
              </w:rPr>
            </w:pPr>
            <w:proofErr w:type="spellStart"/>
            <w:r w:rsidRPr="001A10A3">
              <w:rPr>
                <w:sz w:val="20"/>
                <w:szCs w:val="20"/>
                <w:lang w:val="sk-SK"/>
              </w:rPr>
              <w:t>Klostrídiová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 xml:space="preserve"> infekcia, infekcia močových ciest, 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kandidióza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899" w:type="dxa"/>
          </w:tcPr>
          <w:p w:rsidR="0052673F" w:rsidRPr="001A10A3" w:rsidRDefault="0052673F" w:rsidP="004E3DD0">
            <w:pPr>
              <w:keepNext/>
              <w:keepLines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>Pneumónia,</w:t>
            </w:r>
          </w:p>
          <w:p w:rsidR="0052673F" w:rsidRPr="001A10A3" w:rsidRDefault="0052673F" w:rsidP="004E3DD0">
            <w:pPr>
              <w:keepNext/>
              <w:keepLines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 xml:space="preserve">celulitída, infekcie horných dýchacích ciest, 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rinitída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780" w:type="dxa"/>
          </w:tcPr>
          <w:p w:rsidR="0052673F" w:rsidRPr="001A10A3" w:rsidRDefault="0052673F" w:rsidP="004E3DD0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</w:tr>
      <w:tr w:rsidR="0052673F" w:rsidRPr="001A10A3" w:rsidTr="005F4786">
        <w:tc>
          <w:tcPr>
            <w:tcW w:w="2123" w:type="dxa"/>
          </w:tcPr>
          <w:p w:rsidR="0052673F" w:rsidRPr="001A10A3" w:rsidRDefault="0052673F" w:rsidP="001A10A3">
            <w:pPr>
              <w:rPr>
                <w:b/>
                <w:bCs/>
                <w:iCs/>
                <w:sz w:val="20"/>
                <w:szCs w:val="20"/>
                <w:lang w:val="sk-SK"/>
              </w:rPr>
            </w:pPr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>Poruchy krvi a lymfatického systému</w:t>
            </w:r>
          </w:p>
        </w:tc>
        <w:tc>
          <w:tcPr>
            <w:tcW w:w="1534" w:type="dxa"/>
          </w:tcPr>
          <w:p w:rsidR="0052673F" w:rsidRPr="001A10A3" w:rsidRDefault="0052673F" w:rsidP="004E3DD0">
            <w:pPr>
              <w:keepNext/>
              <w:keepLines/>
              <w:ind w:left="30" w:hanging="30"/>
              <w:rPr>
                <w:sz w:val="20"/>
                <w:szCs w:val="20"/>
                <w:lang w:val="sk-SK"/>
              </w:rPr>
            </w:pPr>
          </w:p>
        </w:tc>
        <w:tc>
          <w:tcPr>
            <w:tcW w:w="1952" w:type="dxa"/>
          </w:tcPr>
          <w:p w:rsidR="0052673F" w:rsidRPr="001A10A3" w:rsidRDefault="0052673F" w:rsidP="004E3DD0">
            <w:pPr>
              <w:keepNext/>
              <w:keepLines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>Anémia</w:t>
            </w:r>
          </w:p>
        </w:tc>
        <w:tc>
          <w:tcPr>
            <w:tcW w:w="1899" w:type="dxa"/>
          </w:tcPr>
          <w:p w:rsidR="0052673F" w:rsidRPr="001A10A3" w:rsidRDefault="0052673F" w:rsidP="004E3DD0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  <w:tc>
          <w:tcPr>
            <w:tcW w:w="1780" w:type="dxa"/>
          </w:tcPr>
          <w:p w:rsidR="0052673F" w:rsidRPr="001A10A3" w:rsidRDefault="0052673F" w:rsidP="004E3DD0">
            <w:pPr>
              <w:keepNext/>
              <w:keepLines/>
              <w:rPr>
                <w:sz w:val="20"/>
                <w:szCs w:val="20"/>
                <w:lang w:val="sk-SK"/>
              </w:rPr>
            </w:pPr>
            <w:proofErr w:type="spellStart"/>
            <w:r w:rsidRPr="001A10A3">
              <w:rPr>
                <w:sz w:val="20"/>
                <w:szCs w:val="20"/>
                <w:lang w:val="sk-SK"/>
              </w:rPr>
              <w:t>Trombocytopénia</w:t>
            </w:r>
            <w:proofErr w:type="spellEnd"/>
          </w:p>
        </w:tc>
      </w:tr>
      <w:tr w:rsidR="005F4786" w:rsidRPr="001A10A3" w:rsidTr="005F4786">
        <w:tc>
          <w:tcPr>
            <w:tcW w:w="2123" w:type="dxa"/>
          </w:tcPr>
          <w:p w:rsidR="005F4786" w:rsidRPr="001A10A3" w:rsidRDefault="002B6509" w:rsidP="00284CB8">
            <w:pPr>
              <w:rPr>
                <w:b/>
                <w:bCs/>
                <w:iCs/>
                <w:sz w:val="20"/>
                <w:szCs w:val="20"/>
                <w:lang w:val="sk-SK"/>
              </w:rPr>
            </w:pPr>
            <w:r>
              <w:rPr>
                <w:b/>
                <w:bCs/>
                <w:iCs/>
                <w:sz w:val="20"/>
                <w:szCs w:val="20"/>
                <w:lang w:val="sk-SK"/>
              </w:rPr>
              <w:t>Poruchy imunitného systému</w:t>
            </w:r>
            <w:r w:rsidR="00284CB8" w:rsidRPr="001A10A3" w:rsidDel="00284CB8">
              <w:rPr>
                <w:b/>
                <w:bCs/>
                <w:iCs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534" w:type="dxa"/>
          </w:tcPr>
          <w:p w:rsidR="005F4786" w:rsidRPr="001A10A3" w:rsidRDefault="005F4786" w:rsidP="005F4786">
            <w:pPr>
              <w:keepNext/>
              <w:keepLines/>
              <w:ind w:left="30" w:hanging="30"/>
              <w:rPr>
                <w:sz w:val="20"/>
                <w:szCs w:val="20"/>
                <w:lang w:val="sk-SK"/>
              </w:rPr>
            </w:pPr>
          </w:p>
        </w:tc>
        <w:tc>
          <w:tcPr>
            <w:tcW w:w="1952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  <w:tc>
          <w:tcPr>
            <w:tcW w:w="1899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  <w:tc>
          <w:tcPr>
            <w:tcW w:w="1780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proofErr w:type="spellStart"/>
            <w:r w:rsidRPr="001A10A3">
              <w:rPr>
                <w:sz w:val="20"/>
                <w:szCs w:val="20"/>
                <w:lang w:val="sk-SK"/>
              </w:rPr>
              <w:t>Anafylaktické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 xml:space="preserve"> reakcie, 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angioedémy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hypersenzitivita</w:t>
            </w:r>
            <w:proofErr w:type="spellEnd"/>
          </w:p>
        </w:tc>
      </w:tr>
      <w:tr w:rsidR="005F4786" w:rsidRPr="001A10A3" w:rsidTr="005F4786">
        <w:tc>
          <w:tcPr>
            <w:tcW w:w="2123" w:type="dxa"/>
          </w:tcPr>
          <w:p w:rsidR="005F4786" w:rsidRPr="001A10A3" w:rsidRDefault="005F4786" w:rsidP="001A10A3">
            <w:pPr>
              <w:rPr>
                <w:b/>
                <w:bCs/>
                <w:iCs/>
                <w:sz w:val="20"/>
                <w:szCs w:val="20"/>
                <w:lang w:val="sk-SK"/>
              </w:rPr>
            </w:pPr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>Poruchy metabolizmu a výživy</w:t>
            </w:r>
          </w:p>
        </w:tc>
        <w:tc>
          <w:tcPr>
            <w:tcW w:w="1534" w:type="dxa"/>
          </w:tcPr>
          <w:p w:rsidR="005F4786" w:rsidRPr="001A10A3" w:rsidRDefault="005F4786" w:rsidP="005F4786">
            <w:pPr>
              <w:keepNext/>
              <w:keepLines/>
              <w:ind w:left="30" w:hanging="30"/>
              <w:rPr>
                <w:sz w:val="20"/>
                <w:szCs w:val="20"/>
                <w:lang w:val="sk-SK"/>
              </w:rPr>
            </w:pPr>
          </w:p>
        </w:tc>
        <w:tc>
          <w:tcPr>
            <w:tcW w:w="1952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proofErr w:type="spellStart"/>
            <w:r w:rsidRPr="001A10A3">
              <w:rPr>
                <w:sz w:val="20"/>
                <w:szCs w:val="20"/>
                <w:lang w:val="sk-SK"/>
              </w:rPr>
              <w:t>Anorexia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hyperkaliémia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899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>Dehydratácia</w:t>
            </w:r>
          </w:p>
        </w:tc>
        <w:tc>
          <w:tcPr>
            <w:tcW w:w="1780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</w:tr>
      <w:tr w:rsidR="005F4786" w:rsidRPr="001A10A3" w:rsidTr="005F4786">
        <w:tc>
          <w:tcPr>
            <w:tcW w:w="2123" w:type="dxa"/>
          </w:tcPr>
          <w:p w:rsidR="005F4786" w:rsidRPr="001A10A3" w:rsidRDefault="005F4786" w:rsidP="001A10A3">
            <w:pPr>
              <w:rPr>
                <w:b/>
                <w:bCs/>
                <w:iCs/>
                <w:sz w:val="20"/>
                <w:szCs w:val="20"/>
                <w:lang w:val="sk-SK"/>
              </w:rPr>
            </w:pPr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>Psychické poruchy</w:t>
            </w:r>
          </w:p>
        </w:tc>
        <w:tc>
          <w:tcPr>
            <w:tcW w:w="1534" w:type="dxa"/>
          </w:tcPr>
          <w:p w:rsidR="005F4786" w:rsidRPr="001A10A3" w:rsidRDefault="005F4786" w:rsidP="005F4786">
            <w:pPr>
              <w:keepNext/>
              <w:keepLines/>
              <w:ind w:left="30" w:hanging="30"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>Depresia</w:t>
            </w:r>
          </w:p>
        </w:tc>
        <w:tc>
          <w:tcPr>
            <w:tcW w:w="1952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 xml:space="preserve">Zmätenosť, úzkosť, 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hypersomnia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insomnia</w:t>
            </w:r>
            <w:proofErr w:type="spellEnd"/>
          </w:p>
        </w:tc>
        <w:tc>
          <w:tcPr>
            <w:tcW w:w="1899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  <w:tc>
          <w:tcPr>
            <w:tcW w:w="1780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</w:tr>
      <w:tr w:rsidR="005F4786" w:rsidRPr="001A10A3" w:rsidTr="005F4786">
        <w:tc>
          <w:tcPr>
            <w:tcW w:w="2123" w:type="dxa"/>
          </w:tcPr>
          <w:p w:rsidR="005F4786" w:rsidRPr="001A10A3" w:rsidRDefault="005F4786" w:rsidP="001A10A3">
            <w:pPr>
              <w:rPr>
                <w:b/>
                <w:bCs/>
                <w:iCs/>
                <w:sz w:val="20"/>
                <w:szCs w:val="20"/>
                <w:lang w:val="sk-SK"/>
              </w:rPr>
            </w:pPr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>Poruchy nervového systému</w:t>
            </w:r>
          </w:p>
        </w:tc>
        <w:tc>
          <w:tcPr>
            <w:tcW w:w="1534" w:type="dxa"/>
          </w:tcPr>
          <w:p w:rsidR="005F4786" w:rsidRPr="001A10A3" w:rsidRDefault="005F4786" w:rsidP="005F4786">
            <w:pPr>
              <w:keepNext/>
              <w:keepLines/>
              <w:ind w:left="30" w:hanging="30"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>Závrat, bolesť hlavy</w:t>
            </w:r>
          </w:p>
          <w:p w:rsidR="005F4786" w:rsidRPr="001A10A3" w:rsidRDefault="005F4786" w:rsidP="005F4786">
            <w:pPr>
              <w:keepNext/>
              <w:keepLines/>
              <w:ind w:left="30" w:hanging="30"/>
              <w:rPr>
                <w:sz w:val="20"/>
                <w:szCs w:val="20"/>
                <w:lang w:val="sk-SK"/>
              </w:rPr>
            </w:pPr>
          </w:p>
        </w:tc>
        <w:tc>
          <w:tcPr>
            <w:tcW w:w="1952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 xml:space="preserve">Poruchy rovnováhy, amnézia, kŕče, poruchy pozornosti, 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hypoestézia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 xml:space="preserve">, poruchy pamäte </w:t>
            </w:r>
          </w:p>
        </w:tc>
        <w:tc>
          <w:tcPr>
            <w:tcW w:w="1899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  <w:tc>
          <w:tcPr>
            <w:tcW w:w="1780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</w:tr>
      <w:tr w:rsidR="005F4786" w:rsidRPr="001A10A3" w:rsidTr="005F4786">
        <w:tc>
          <w:tcPr>
            <w:tcW w:w="2123" w:type="dxa"/>
          </w:tcPr>
          <w:p w:rsidR="005F4786" w:rsidRPr="001A10A3" w:rsidRDefault="005F4786" w:rsidP="001A10A3">
            <w:pPr>
              <w:rPr>
                <w:b/>
                <w:bCs/>
                <w:iCs/>
                <w:sz w:val="20"/>
                <w:szCs w:val="20"/>
                <w:lang w:val="sk-SK"/>
              </w:rPr>
            </w:pPr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>Poruchy ciev</w:t>
            </w:r>
          </w:p>
        </w:tc>
        <w:tc>
          <w:tcPr>
            <w:tcW w:w="1534" w:type="dxa"/>
          </w:tcPr>
          <w:p w:rsidR="005F4786" w:rsidRPr="001A10A3" w:rsidRDefault="005F4786" w:rsidP="005F4786">
            <w:pPr>
              <w:keepNext/>
              <w:keepLines/>
              <w:ind w:left="30" w:hanging="30"/>
              <w:rPr>
                <w:sz w:val="20"/>
                <w:szCs w:val="20"/>
                <w:lang w:val="sk-SK"/>
              </w:rPr>
            </w:pPr>
          </w:p>
        </w:tc>
        <w:tc>
          <w:tcPr>
            <w:tcW w:w="1952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>Návaly horúčavy</w:t>
            </w:r>
          </w:p>
        </w:tc>
        <w:tc>
          <w:tcPr>
            <w:tcW w:w="1899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>Hypertenzia, Hypotenzia</w:t>
            </w:r>
          </w:p>
        </w:tc>
        <w:tc>
          <w:tcPr>
            <w:tcW w:w="1780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proofErr w:type="spellStart"/>
            <w:r w:rsidRPr="001A10A3">
              <w:rPr>
                <w:sz w:val="20"/>
                <w:szCs w:val="20"/>
                <w:lang w:val="sk-SK"/>
              </w:rPr>
              <w:t>Presynkopa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>, synkopa</w:t>
            </w:r>
          </w:p>
        </w:tc>
      </w:tr>
      <w:tr w:rsidR="005F4786" w:rsidRPr="001A10A3" w:rsidTr="005F4786">
        <w:tc>
          <w:tcPr>
            <w:tcW w:w="2123" w:type="dxa"/>
          </w:tcPr>
          <w:p w:rsidR="005F4786" w:rsidRPr="001A10A3" w:rsidRDefault="005F4786" w:rsidP="001A10A3">
            <w:pPr>
              <w:rPr>
                <w:b/>
                <w:bCs/>
                <w:iCs/>
                <w:sz w:val="20"/>
                <w:szCs w:val="20"/>
                <w:lang w:val="sk-SK"/>
              </w:rPr>
            </w:pPr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 xml:space="preserve">Poruchy dýchacej sústavy, hrudníka a </w:t>
            </w:r>
            <w:proofErr w:type="spellStart"/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>mediastína</w:t>
            </w:r>
            <w:proofErr w:type="spellEnd"/>
          </w:p>
        </w:tc>
        <w:tc>
          <w:tcPr>
            <w:tcW w:w="1534" w:type="dxa"/>
          </w:tcPr>
          <w:p w:rsidR="005F4786" w:rsidRPr="001A10A3" w:rsidRDefault="005F4786" w:rsidP="005F4786">
            <w:pPr>
              <w:keepNext/>
              <w:keepLines/>
              <w:ind w:left="30" w:hanging="30"/>
              <w:rPr>
                <w:sz w:val="20"/>
                <w:szCs w:val="20"/>
                <w:lang w:val="sk-SK"/>
              </w:rPr>
            </w:pPr>
            <w:proofErr w:type="spellStart"/>
            <w:r w:rsidRPr="001A10A3">
              <w:rPr>
                <w:sz w:val="20"/>
                <w:szCs w:val="20"/>
                <w:lang w:val="sk-SK"/>
              </w:rPr>
              <w:t>Dyspnoe</w:t>
            </w:r>
            <w:proofErr w:type="spellEnd"/>
          </w:p>
          <w:p w:rsidR="005F4786" w:rsidRPr="001A10A3" w:rsidRDefault="005F4786" w:rsidP="005F4786">
            <w:pPr>
              <w:keepNext/>
              <w:keepLines/>
              <w:ind w:left="30" w:hanging="30"/>
              <w:rPr>
                <w:sz w:val="20"/>
                <w:szCs w:val="20"/>
                <w:lang w:val="sk-SK"/>
              </w:rPr>
            </w:pPr>
          </w:p>
        </w:tc>
        <w:tc>
          <w:tcPr>
            <w:tcW w:w="1952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proofErr w:type="spellStart"/>
            <w:r w:rsidRPr="001A10A3">
              <w:rPr>
                <w:sz w:val="20"/>
                <w:szCs w:val="20"/>
                <w:lang w:val="sk-SK"/>
              </w:rPr>
              <w:t>Pleurálna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efúzia</w:t>
            </w:r>
            <w:proofErr w:type="spellEnd"/>
          </w:p>
        </w:tc>
        <w:tc>
          <w:tcPr>
            <w:tcW w:w="1899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 xml:space="preserve">Chronická obštrukčná choroba pľúc </w:t>
            </w:r>
          </w:p>
        </w:tc>
        <w:tc>
          <w:tcPr>
            <w:tcW w:w="1780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</w:tr>
      <w:tr w:rsidR="005F4786" w:rsidRPr="001A10A3" w:rsidTr="005F4786">
        <w:tc>
          <w:tcPr>
            <w:tcW w:w="2123" w:type="dxa"/>
          </w:tcPr>
          <w:p w:rsidR="005F4786" w:rsidRPr="001A10A3" w:rsidRDefault="005F4786" w:rsidP="001A10A3">
            <w:pPr>
              <w:rPr>
                <w:b/>
                <w:bCs/>
                <w:iCs/>
                <w:sz w:val="20"/>
                <w:szCs w:val="20"/>
                <w:lang w:val="sk-SK"/>
              </w:rPr>
            </w:pPr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>Poruchy gastrointestinálneho traktu</w:t>
            </w:r>
          </w:p>
        </w:tc>
        <w:tc>
          <w:tcPr>
            <w:tcW w:w="1534" w:type="dxa"/>
          </w:tcPr>
          <w:p w:rsidR="005F4786" w:rsidRPr="001A10A3" w:rsidRDefault="005F4786" w:rsidP="001A10A3">
            <w:pPr>
              <w:keepNext/>
              <w:keepLines/>
              <w:ind w:left="30" w:hanging="30"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 xml:space="preserve">Bolesť v hornej abdominálnej oblasti, abdominálna 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distenzia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 xml:space="preserve">, hnačka, nevoľnosť, vracanie, 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ascites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952" w:type="dxa"/>
          </w:tcPr>
          <w:p w:rsidR="005F4786" w:rsidRPr="001A10A3" w:rsidRDefault="005F4786" w:rsidP="00271480">
            <w:pPr>
              <w:keepNext/>
              <w:keepLines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 xml:space="preserve">Abdominálna bolesť, 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ezofageálne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varixy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hemorágia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 xml:space="preserve">, sucho v ústach, žalúdočná nevoľnosť </w:t>
            </w:r>
          </w:p>
        </w:tc>
        <w:tc>
          <w:tcPr>
            <w:tcW w:w="1899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>Zápcha</w:t>
            </w:r>
          </w:p>
        </w:tc>
        <w:tc>
          <w:tcPr>
            <w:tcW w:w="1780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</w:tr>
      <w:tr w:rsidR="005F4786" w:rsidRPr="001A10A3" w:rsidTr="005F4786">
        <w:tc>
          <w:tcPr>
            <w:tcW w:w="2123" w:type="dxa"/>
          </w:tcPr>
          <w:p w:rsidR="005F4786" w:rsidRPr="001A10A3" w:rsidRDefault="005F4786" w:rsidP="001A10A3">
            <w:pPr>
              <w:rPr>
                <w:b/>
                <w:bCs/>
                <w:iCs/>
                <w:sz w:val="20"/>
                <w:szCs w:val="20"/>
                <w:lang w:val="sk-SK"/>
              </w:rPr>
            </w:pPr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>Poruchy pečene a žlčových ciest</w:t>
            </w:r>
          </w:p>
        </w:tc>
        <w:tc>
          <w:tcPr>
            <w:tcW w:w="1534" w:type="dxa"/>
          </w:tcPr>
          <w:p w:rsidR="005F4786" w:rsidRPr="001A10A3" w:rsidRDefault="005F4786" w:rsidP="005F4786">
            <w:pPr>
              <w:keepNext/>
              <w:keepLines/>
              <w:ind w:left="30" w:hanging="30"/>
              <w:rPr>
                <w:sz w:val="20"/>
                <w:szCs w:val="20"/>
                <w:lang w:val="sk-SK"/>
              </w:rPr>
            </w:pPr>
          </w:p>
        </w:tc>
        <w:tc>
          <w:tcPr>
            <w:tcW w:w="1952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  <w:tc>
          <w:tcPr>
            <w:tcW w:w="1899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  <w:tc>
          <w:tcPr>
            <w:tcW w:w="1780" w:type="dxa"/>
          </w:tcPr>
          <w:p w:rsidR="005F4786" w:rsidRPr="001A10A3" w:rsidRDefault="005F4786" w:rsidP="005F4786">
            <w:pPr>
              <w:keepNext/>
              <w:keepLines/>
              <w:rPr>
                <w:iCs/>
                <w:sz w:val="20"/>
                <w:szCs w:val="20"/>
                <w:lang w:val="sk-SK"/>
              </w:rPr>
            </w:pPr>
            <w:r w:rsidRPr="001A10A3">
              <w:rPr>
                <w:iCs/>
                <w:sz w:val="20"/>
                <w:szCs w:val="20"/>
                <w:lang w:val="sk-SK"/>
              </w:rPr>
              <w:t xml:space="preserve">abnormality v testoch funkcie pečene </w:t>
            </w:r>
          </w:p>
        </w:tc>
      </w:tr>
      <w:tr w:rsidR="005F4786" w:rsidRPr="001A10A3" w:rsidTr="005F4786">
        <w:tc>
          <w:tcPr>
            <w:tcW w:w="2123" w:type="dxa"/>
          </w:tcPr>
          <w:p w:rsidR="005F4786" w:rsidRPr="001A10A3" w:rsidRDefault="005F4786" w:rsidP="001A10A3">
            <w:pPr>
              <w:rPr>
                <w:b/>
                <w:bCs/>
                <w:iCs/>
                <w:sz w:val="20"/>
                <w:szCs w:val="20"/>
                <w:lang w:val="sk-SK"/>
              </w:rPr>
            </w:pPr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>Poruchy kože a podkožného tkaniva</w:t>
            </w:r>
          </w:p>
        </w:tc>
        <w:tc>
          <w:tcPr>
            <w:tcW w:w="1534" w:type="dxa"/>
          </w:tcPr>
          <w:p w:rsidR="005F4786" w:rsidRPr="001A10A3" w:rsidRDefault="005F4786" w:rsidP="001A10A3">
            <w:pPr>
              <w:keepNext/>
              <w:keepLines/>
              <w:ind w:left="30" w:hanging="30"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 xml:space="preserve">Vyrážky, 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pruritus</w:t>
            </w:r>
            <w:proofErr w:type="spellEnd"/>
          </w:p>
        </w:tc>
        <w:tc>
          <w:tcPr>
            <w:tcW w:w="1952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  <w:tc>
          <w:tcPr>
            <w:tcW w:w="1899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  <w:tc>
          <w:tcPr>
            <w:tcW w:w="1780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r w:rsidRPr="001A10A3">
              <w:rPr>
                <w:iCs/>
                <w:sz w:val="20"/>
                <w:szCs w:val="20"/>
                <w:lang w:val="sk-SK"/>
              </w:rPr>
              <w:t>Dermatitída, ekzém</w:t>
            </w:r>
          </w:p>
        </w:tc>
      </w:tr>
      <w:tr w:rsidR="005F4786" w:rsidRPr="001A10A3" w:rsidTr="005F4786">
        <w:tc>
          <w:tcPr>
            <w:tcW w:w="2123" w:type="dxa"/>
          </w:tcPr>
          <w:p w:rsidR="005F4786" w:rsidRPr="001A10A3" w:rsidRDefault="005F4786" w:rsidP="001A10A3">
            <w:pPr>
              <w:rPr>
                <w:b/>
                <w:bCs/>
                <w:iCs/>
                <w:sz w:val="20"/>
                <w:szCs w:val="20"/>
                <w:lang w:val="sk-SK"/>
              </w:rPr>
            </w:pPr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>Poruchy kostrovej a svalovej sústavy a spojivového tkaniva</w:t>
            </w:r>
          </w:p>
        </w:tc>
        <w:tc>
          <w:tcPr>
            <w:tcW w:w="1534" w:type="dxa"/>
          </w:tcPr>
          <w:p w:rsidR="005F4786" w:rsidRPr="001A10A3" w:rsidRDefault="005F4786" w:rsidP="005F4786">
            <w:pPr>
              <w:keepNext/>
              <w:keepLines/>
              <w:ind w:left="30" w:hanging="30"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 xml:space="preserve">Svalové kŕče, 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artralgia</w:t>
            </w:r>
            <w:proofErr w:type="spellEnd"/>
          </w:p>
        </w:tc>
        <w:tc>
          <w:tcPr>
            <w:tcW w:w="1952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proofErr w:type="spellStart"/>
            <w:r w:rsidRPr="001A10A3">
              <w:rPr>
                <w:sz w:val="20"/>
                <w:szCs w:val="20"/>
                <w:lang w:val="sk-SK"/>
              </w:rPr>
              <w:t>Myalgia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 xml:space="preserve">  </w:t>
            </w:r>
          </w:p>
        </w:tc>
        <w:tc>
          <w:tcPr>
            <w:tcW w:w="1899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>Bolesť chrbta</w:t>
            </w:r>
          </w:p>
        </w:tc>
        <w:tc>
          <w:tcPr>
            <w:tcW w:w="1780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</w:tr>
      <w:tr w:rsidR="005F4786" w:rsidRPr="001A10A3" w:rsidTr="005F4786">
        <w:tc>
          <w:tcPr>
            <w:tcW w:w="2123" w:type="dxa"/>
          </w:tcPr>
          <w:p w:rsidR="005F4786" w:rsidRPr="001A10A3" w:rsidRDefault="005F4786" w:rsidP="001A10A3">
            <w:pPr>
              <w:rPr>
                <w:b/>
                <w:bCs/>
                <w:iCs/>
                <w:sz w:val="20"/>
                <w:szCs w:val="20"/>
                <w:lang w:val="sk-SK"/>
              </w:rPr>
            </w:pPr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>Poruchy obličiek a močových ciest</w:t>
            </w:r>
          </w:p>
        </w:tc>
        <w:tc>
          <w:tcPr>
            <w:tcW w:w="1534" w:type="dxa"/>
          </w:tcPr>
          <w:p w:rsidR="005F4786" w:rsidRPr="001A10A3" w:rsidRDefault="005F4786" w:rsidP="005F4786">
            <w:pPr>
              <w:keepNext/>
              <w:keepLines/>
              <w:ind w:left="30" w:hanging="30"/>
              <w:rPr>
                <w:sz w:val="20"/>
                <w:szCs w:val="20"/>
                <w:lang w:val="sk-SK"/>
              </w:rPr>
            </w:pPr>
          </w:p>
        </w:tc>
        <w:tc>
          <w:tcPr>
            <w:tcW w:w="1952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proofErr w:type="spellStart"/>
            <w:r w:rsidRPr="001A10A3">
              <w:rPr>
                <w:sz w:val="20"/>
                <w:szCs w:val="20"/>
                <w:lang w:val="sk-SK"/>
              </w:rPr>
              <w:t>Dysúria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>,</w:t>
            </w:r>
          </w:p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proofErr w:type="spellStart"/>
            <w:r w:rsidRPr="001A10A3">
              <w:rPr>
                <w:sz w:val="20"/>
                <w:szCs w:val="20"/>
                <w:lang w:val="sk-SK"/>
              </w:rPr>
              <w:t>polakisúria</w:t>
            </w:r>
            <w:proofErr w:type="spellEnd"/>
          </w:p>
        </w:tc>
        <w:tc>
          <w:tcPr>
            <w:tcW w:w="1899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proofErr w:type="spellStart"/>
            <w:r w:rsidRPr="001A10A3">
              <w:rPr>
                <w:sz w:val="20"/>
                <w:szCs w:val="20"/>
                <w:lang w:val="sk-SK"/>
              </w:rPr>
              <w:t>Proteinúria</w:t>
            </w:r>
            <w:proofErr w:type="spellEnd"/>
          </w:p>
        </w:tc>
        <w:tc>
          <w:tcPr>
            <w:tcW w:w="1780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</w:tr>
      <w:tr w:rsidR="005F4786" w:rsidRPr="001A10A3" w:rsidTr="005F4786">
        <w:tc>
          <w:tcPr>
            <w:tcW w:w="2123" w:type="dxa"/>
          </w:tcPr>
          <w:p w:rsidR="005F4786" w:rsidRPr="001A10A3" w:rsidRDefault="005F4786" w:rsidP="001A10A3">
            <w:pPr>
              <w:rPr>
                <w:b/>
                <w:bCs/>
                <w:iCs/>
                <w:sz w:val="20"/>
                <w:szCs w:val="20"/>
                <w:lang w:val="sk-SK"/>
              </w:rPr>
            </w:pPr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>Celkové poruchy a reakcie v mieste podania</w:t>
            </w:r>
          </w:p>
        </w:tc>
        <w:tc>
          <w:tcPr>
            <w:tcW w:w="1534" w:type="dxa"/>
          </w:tcPr>
          <w:p w:rsidR="005F4786" w:rsidRPr="001A10A3" w:rsidRDefault="005F4786" w:rsidP="005F4786">
            <w:pPr>
              <w:keepNext/>
              <w:keepLines/>
              <w:ind w:left="30" w:hanging="30"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 xml:space="preserve">Periférny edém </w:t>
            </w:r>
          </w:p>
        </w:tc>
        <w:tc>
          <w:tcPr>
            <w:tcW w:w="1952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 xml:space="preserve">Edém, 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pyrexia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899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>Asténia</w:t>
            </w:r>
          </w:p>
        </w:tc>
        <w:tc>
          <w:tcPr>
            <w:tcW w:w="1780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</w:tr>
      <w:tr w:rsidR="005F4786" w:rsidRPr="001A10A3" w:rsidTr="005F4786">
        <w:tc>
          <w:tcPr>
            <w:tcW w:w="2123" w:type="dxa"/>
          </w:tcPr>
          <w:p w:rsidR="005F4786" w:rsidRPr="001A10A3" w:rsidRDefault="005F4786" w:rsidP="001A10A3">
            <w:pPr>
              <w:rPr>
                <w:b/>
                <w:bCs/>
                <w:iCs/>
                <w:sz w:val="20"/>
                <w:szCs w:val="20"/>
                <w:lang w:val="sk-SK"/>
              </w:rPr>
            </w:pPr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>Laboratórne a funkčné vyšetrenia</w:t>
            </w:r>
          </w:p>
        </w:tc>
        <w:tc>
          <w:tcPr>
            <w:tcW w:w="1534" w:type="dxa"/>
          </w:tcPr>
          <w:p w:rsidR="005F4786" w:rsidRPr="001A10A3" w:rsidRDefault="005F4786" w:rsidP="005F4786">
            <w:pPr>
              <w:keepNext/>
              <w:keepLines/>
              <w:ind w:left="30" w:hanging="30"/>
              <w:rPr>
                <w:sz w:val="20"/>
                <w:szCs w:val="20"/>
                <w:lang w:val="sk-SK"/>
              </w:rPr>
            </w:pPr>
          </w:p>
        </w:tc>
        <w:tc>
          <w:tcPr>
            <w:tcW w:w="1952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  <w:tc>
          <w:tcPr>
            <w:tcW w:w="1899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  <w:tc>
          <w:tcPr>
            <w:tcW w:w="1780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>Abnormality INR</w:t>
            </w:r>
          </w:p>
        </w:tc>
      </w:tr>
      <w:tr w:rsidR="005F4786" w:rsidRPr="001A10A3" w:rsidTr="005F4786">
        <w:tc>
          <w:tcPr>
            <w:tcW w:w="2123" w:type="dxa"/>
          </w:tcPr>
          <w:p w:rsidR="005F4786" w:rsidRPr="001A10A3" w:rsidRDefault="005F4786" w:rsidP="001A10A3">
            <w:pPr>
              <w:rPr>
                <w:b/>
                <w:bCs/>
                <w:iCs/>
                <w:sz w:val="20"/>
                <w:szCs w:val="20"/>
                <w:lang w:val="sk-SK"/>
              </w:rPr>
            </w:pPr>
            <w:r w:rsidRPr="001A10A3">
              <w:rPr>
                <w:b/>
                <w:bCs/>
                <w:iCs/>
                <w:sz w:val="20"/>
                <w:szCs w:val="20"/>
                <w:lang w:val="sk-SK"/>
              </w:rPr>
              <w:t>Úrazy, otravy a komplikácie liečebného postupu</w:t>
            </w:r>
          </w:p>
        </w:tc>
        <w:tc>
          <w:tcPr>
            <w:tcW w:w="1534" w:type="dxa"/>
          </w:tcPr>
          <w:p w:rsidR="005F4786" w:rsidRPr="001A10A3" w:rsidRDefault="005F4786" w:rsidP="005F4786">
            <w:pPr>
              <w:keepNext/>
              <w:keepLines/>
              <w:ind w:left="30" w:hanging="30"/>
              <w:rPr>
                <w:sz w:val="20"/>
                <w:szCs w:val="20"/>
                <w:lang w:val="sk-SK"/>
              </w:rPr>
            </w:pPr>
          </w:p>
        </w:tc>
        <w:tc>
          <w:tcPr>
            <w:tcW w:w="1952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>Pád</w:t>
            </w:r>
          </w:p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  <w:tc>
          <w:tcPr>
            <w:tcW w:w="1899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proofErr w:type="spellStart"/>
            <w:r w:rsidRPr="001A10A3">
              <w:rPr>
                <w:sz w:val="20"/>
                <w:szCs w:val="20"/>
                <w:lang w:val="sk-SK"/>
              </w:rPr>
              <w:t>Kontúzie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>, procedurálna bolesť</w:t>
            </w:r>
          </w:p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  <w:r w:rsidRPr="001A10A3">
              <w:rPr>
                <w:sz w:val="20"/>
                <w:szCs w:val="20"/>
                <w:lang w:val="sk-SK"/>
              </w:rPr>
              <w:t>(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procedural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A10A3">
              <w:rPr>
                <w:sz w:val="20"/>
                <w:szCs w:val="20"/>
                <w:lang w:val="sk-SK"/>
              </w:rPr>
              <w:t>pain</w:t>
            </w:r>
            <w:proofErr w:type="spellEnd"/>
            <w:r w:rsidRPr="001A10A3">
              <w:rPr>
                <w:sz w:val="20"/>
                <w:szCs w:val="20"/>
                <w:lang w:val="sk-SK"/>
              </w:rPr>
              <w:t>)</w:t>
            </w:r>
          </w:p>
        </w:tc>
        <w:tc>
          <w:tcPr>
            <w:tcW w:w="1780" w:type="dxa"/>
          </w:tcPr>
          <w:p w:rsidR="005F4786" w:rsidRPr="001A10A3" w:rsidRDefault="005F4786" w:rsidP="005F4786">
            <w:pPr>
              <w:keepNext/>
              <w:keepLines/>
              <w:rPr>
                <w:sz w:val="20"/>
                <w:szCs w:val="20"/>
                <w:lang w:val="sk-SK"/>
              </w:rPr>
            </w:pPr>
          </w:p>
        </w:tc>
      </w:tr>
    </w:tbl>
    <w:p w:rsidR="008F7E02" w:rsidRPr="003021DE" w:rsidRDefault="008F7E02" w:rsidP="008F7E02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lastRenderedPageBreak/>
        <w:t>Hlásenie podozrení na nežiaduce reakcie</w:t>
      </w:r>
    </w:p>
    <w:p w:rsidR="005F4786" w:rsidRDefault="008F7E02" w:rsidP="008F7E02">
      <w:pPr>
        <w:jc w:val="both"/>
        <w:rPr>
          <w:noProof/>
          <w:szCs w:val="22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 w:rsidR="00005227">
        <w:rPr>
          <w:noProof/>
          <w:szCs w:val="22"/>
        </w:rPr>
        <w:t>na</w:t>
      </w:r>
      <w:r w:rsidR="00005227"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 w:rsidR="00005227">
        <w:rPr>
          <w:noProof/>
          <w:szCs w:val="22"/>
          <w:highlight w:val="lightGray"/>
        </w:rPr>
        <w:t>centrum</w:t>
      </w:r>
      <w:r w:rsidRPr="00B13F68">
        <w:rPr>
          <w:noProof/>
          <w:szCs w:val="22"/>
          <w:highlight w:val="lightGray"/>
        </w:rPr>
        <w:t xml:space="preserve"> hlásenia uvedené v </w:t>
      </w:r>
      <w:hyperlink r:id="rId7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>
        <w:rPr>
          <w:noProof/>
          <w:szCs w:val="22"/>
        </w:rPr>
        <w:t>.</w:t>
      </w:r>
    </w:p>
    <w:p w:rsidR="008F7E02" w:rsidRPr="008A6EA9" w:rsidRDefault="008F7E02" w:rsidP="008F7E02">
      <w:pPr>
        <w:jc w:val="both"/>
        <w:rPr>
          <w:sz w:val="22"/>
          <w:szCs w:val="22"/>
          <w:u w:val="single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4.9</w:t>
      </w:r>
      <w:r w:rsidRPr="008A6EA9">
        <w:rPr>
          <w:b/>
          <w:sz w:val="22"/>
          <w:szCs w:val="22"/>
          <w:lang w:val="sk-SK"/>
        </w:rPr>
        <w:tab/>
        <w:t>Predávkovanie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Neboli hlásené žiadne prípady predávkovania.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V klinických štúdiách u pacientov trpiacich cestovateľskou hnačkou boli dávky až do 1800 mg denne tolerované bez žiadnych závažných klinických prejavov. Dokonca aj u pacientov s normálnou bakteriálnou flórou nespôsobil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v dávkach až do 2400 mg denne po dobu 7 dní žiadne relevantné klinické symptómy súvisiace s vysokou dávkou.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V prípade náhodného predávkovania sa odporúča symptomatická liečba a podporná starostlivosť.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5.</w:t>
      </w:r>
      <w:r w:rsidRPr="008A6EA9">
        <w:rPr>
          <w:b/>
          <w:sz w:val="22"/>
          <w:szCs w:val="22"/>
          <w:lang w:val="sk-SK"/>
        </w:rPr>
        <w:tab/>
        <w:t>FARMAKOLOGICKÉ VLASTNOSTI</w:t>
      </w:r>
    </w:p>
    <w:p w:rsidR="0052673F" w:rsidRPr="008A6EA9" w:rsidRDefault="0052673F" w:rsidP="004E3DD0">
      <w:pPr>
        <w:rPr>
          <w:bCs/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REFERO obsahuje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(4-dezoxy-4’metylpyrido (1’,2’-1,2) </w:t>
      </w:r>
      <w:proofErr w:type="spellStart"/>
      <w:r w:rsidRPr="008A6EA9">
        <w:rPr>
          <w:sz w:val="22"/>
          <w:szCs w:val="22"/>
          <w:lang w:val="sk-SK"/>
        </w:rPr>
        <w:t>imidazo</w:t>
      </w:r>
      <w:proofErr w:type="spellEnd"/>
      <w:r w:rsidRPr="008A6EA9">
        <w:rPr>
          <w:sz w:val="22"/>
          <w:szCs w:val="22"/>
          <w:lang w:val="sk-SK"/>
        </w:rPr>
        <w:t xml:space="preserve"> (5,4-c) </w:t>
      </w:r>
      <w:proofErr w:type="spellStart"/>
      <w:r w:rsidRPr="008A6EA9">
        <w:rPr>
          <w:sz w:val="22"/>
          <w:szCs w:val="22"/>
          <w:lang w:val="sk-SK"/>
        </w:rPr>
        <w:t>rifamycín</w:t>
      </w:r>
      <w:proofErr w:type="spellEnd"/>
      <w:r w:rsidRPr="008A6EA9">
        <w:rPr>
          <w:sz w:val="22"/>
          <w:szCs w:val="22"/>
          <w:lang w:val="sk-SK"/>
        </w:rPr>
        <w:t xml:space="preserve"> SV, v polymorfnej forme </w:t>
      </w:r>
      <w:r w:rsidRPr="008A6EA9">
        <w:rPr>
          <w:sz w:val="22"/>
          <w:szCs w:val="22"/>
          <w:lang w:val="sk-SK"/>
        </w:rPr>
        <w:sym w:font="Symbol" w:char="F061"/>
      </w:r>
      <w:r w:rsidRPr="008A6EA9">
        <w:rPr>
          <w:sz w:val="22"/>
          <w:szCs w:val="22"/>
          <w:lang w:val="sk-SK"/>
        </w:rPr>
        <w:t>.</w:t>
      </w:r>
    </w:p>
    <w:p w:rsidR="0052673F" w:rsidRPr="008A6EA9" w:rsidRDefault="0052673F" w:rsidP="004E3DD0">
      <w:pPr>
        <w:rPr>
          <w:bCs/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5.1</w:t>
      </w:r>
      <w:r w:rsidRPr="008A6EA9">
        <w:rPr>
          <w:b/>
          <w:sz w:val="22"/>
          <w:szCs w:val="22"/>
          <w:lang w:val="sk-SK"/>
        </w:rPr>
        <w:tab/>
      </w:r>
      <w:proofErr w:type="spellStart"/>
      <w:r w:rsidRPr="008A6EA9">
        <w:rPr>
          <w:b/>
          <w:sz w:val="22"/>
          <w:szCs w:val="22"/>
          <w:lang w:val="sk-SK"/>
        </w:rPr>
        <w:t>Farmakodynamické</w:t>
      </w:r>
      <w:proofErr w:type="spellEnd"/>
      <w:r w:rsidRPr="008A6EA9">
        <w:rPr>
          <w:b/>
          <w:sz w:val="22"/>
          <w:szCs w:val="22"/>
          <w:lang w:val="sk-SK"/>
        </w:rPr>
        <w:t xml:space="preserve"> vlastnosti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outlineLvl w:val="0"/>
        <w:rPr>
          <w:sz w:val="22"/>
          <w:szCs w:val="22"/>
          <w:lang w:val="sk-SK"/>
        </w:rPr>
      </w:pPr>
      <w:proofErr w:type="spellStart"/>
      <w:r w:rsidRPr="008A6EA9">
        <w:rPr>
          <w:sz w:val="22"/>
          <w:szCs w:val="22"/>
          <w:lang w:val="sk-SK"/>
        </w:rPr>
        <w:t>Farmakoterapeutická</w:t>
      </w:r>
      <w:proofErr w:type="spellEnd"/>
      <w:r w:rsidRPr="008A6EA9">
        <w:rPr>
          <w:sz w:val="22"/>
          <w:szCs w:val="22"/>
          <w:lang w:val="sk-SK"/>
        </w:rPr>
        <w:t xml:space="preserve"> skupina: </w:t>
      </w:r>
      <w:proofErr w:type="spellStart"/>
      <w:r w:rsidRPr="008A6EA9">
        <w:rPr>
          <w:sz w:val="22"/>
          <w:szCs w:val="22"/>
          <w:lang w:val="sk-SK"/>
        </w:rPr>
        <w:t>intestinálne</w:t>
      </w:r>
      <w:proofErr w:type="spellEnd"/>
      <w:r w:rsidRPr="008A6EA9">
        <w:rPr>
          <w:sz w:val="22"/>
          <w:szCs w:val="22"/>
          <w:lang w:val="sk-SK"/>
        </w:rPr>
        <w:t xml:space="preserve"> </w:t>
      </w:r>
      <w:proofErr w:type="spellStart"/>
      <w:r w:rsidRPr="008A6EA9">
        <w:rPr>
          <w:sz w:val="22"/>
          <w:szCs w:val="22"/>
          <w:lang w:val="sk-SK"/>
        </w:rPr>
        <w:t>antiinfektíva</w:t>
      </w:r>
      <w:proofErr w:type="spellEnd"/>
      <w:r w:rsidRPr="008A6EA9">
        <w:rPr>
          <w:sz w:val="22"/>
          <w:szCs w:val="22"/>
          <w:lang w:val="sk-SK"/>
        </w:rPr>
        <w:t>, antibiotiká, ATC kód: A07AA11.</w:t>
      </w:r>
    </w:p>
    <w:p w:rsidR="0052673F" w:rsidRPr="008A6EA9" w:rsidRDefault="0052673F" w:rsidP="004E3DD0">
      <w:pPr>
        <w:outlineLvl w:val="0"/>
        <w:rPr>
          <w:sz w:val="22"/>
          <w:szCs w:val="22"/>
          <w:lang w:val="sk-SK"/>
        </w:rPr>
      </w:pPr>
    </w:p>
    <w:p w:rsidR="0052673F" w:rsidRPr="008A6EA9" w:rsidRDefault="0052673F" w:rsidP="004E3DD0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k-SK"/>
        </w:rPr>
      </w:pPr>
      <w:r w:rsidRPr="008A6EA9">
        <w:rPr>
          <w:sz w:val="22"/>
          <w:szCs w:val="22"/>
          <w:u w:val="single"/>
          <w:lang w:val="sk-SK"/>
        </w:rPr>
        <w:t>Spôsob účinku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je antibakteriálny liek z triedy </w:t>
      </w:r>
      <w:proofErr w:type="spellStart"/>
      <w:r w:rsidRPr="008A6EA9">
        <w:rPr>
          <w:sz w:val="22"/>
          <w:szCs w:val="22"/>
          <w:lang w:val="sk-SK"/>
        </w:rPr>
        <w:t>rifamycínov</w:t>
      </w:r>
      <w:proofErr w:type="spellEnd"/>
      <w:r w:rsidRPr="008A6EA9">
        <w:rPr>
          <w:sz w:val="22"/>
          <w:szCs w:val="22"/>
          <w:lang w:val="sk-SK"/>
        </w:rPr>
        <w:t xml:space="preserve">, ktorá ireverzibilne viaže beta </w:t>
      </w:r>
      <w:proofErr w:type="spellStart"/>
      <w:r w:rsidRPr="008A6EA9">
        <w:rPr>
          <w:sz w:val="22"/>
          <w:szCs w:val="22"/>
          <w:lang w:val="sk-SK"/>
        </w:rPr>
        <w:t>subjednotku</w:t>
      </w:r>
      <w:proofErr w:type="spellEnd"/>
      <w:r w:rsidRPr="008A6EA9">
        <w:rPr>
          <w:sz w:val="22"/>
          <w:szCs w:val="22"/>
          <w:lang w:val="sk-SK"/>
        </w:rPr>
        <w:t xml:space="preserve"> bakteriálneho enzýmu DNA-</w:t>
      </w:r>
      <w:proofErr w:type="spellStart"/>
      <w:r w:rsidRPr="008A6EA9">
        <w:rPr>
          <w:sz w:val="22"/>
          <w:szCs w:val="22"/>
          <w:lang w:val="sk-SK"/>
        </w:rPr>
        <w:t>dependentnej</w:t>
      </w:r>
      <w:proofErr w:type="spellEnd"/>
      <w:r w:rsidRPr="008A6EA9">
        <w:rPr>
          <w:sz w:val="22"/>
          <w:szCs w:val="22"/>
          <w:lang w:val="sk-SK"/>
        </w:rPr>
        <w:t xml:space="preserve"> RNA polymerázy a následne inhibuje syntézu bakteriálnej RNA.</w:t>
      </w:r>
    </w:p>
    <w:p w:rsidR="0052673F" w:rsidRPr="008A6EA9" w:rsidRDefault="0052673F" w:rsidP="004E3DD0">
      <w:pPr>
        <w:rPr>
          <w:sz w:val="22"/>
          <w:szCs w:val="22"/>
          <w:highlight w:val="yellow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má široké </w:t>
      </w:r>
      <w:proofErr w:type="spellStart"/>
      <w:r w:rsidRPr="008A6EA9">
        <w:rPr>
          <w:sz w:val="22"/>
          <w:szCs w:val="22"/>
          <w:lang w:val="sk-SK"/>
        </w:rPr>
        <w:t>antimikrobiálne</w:t>
      </w:r>
      <w:proofErr w:type="spellEnd"/>
      <w:r w:rsidRPr="008A6EA9">
        <w:rPr>
          <w:sz w:val="22"/>
          <w:szCs w:val="22"/>
          <w:lang w:val="sk-SK"/>
        </w:rPr>
        <w:t xml:space="preserve"> spektrum proti väčšine </w:t>
      </w:r>
      <w:proofErr w:type="spellStart"/>
      <w:r w:rsidRPr="008A6EA9">
        <w:rPr>
          <w:sz w:val="22"/>
          <w:szCs w:val="22"/>
          <w:lang w:val="sk-SK"/>
        </w:rPr>
        <w:t>grampozitívnych</w:t>
      </w:r>
      <w:proofErr w:type="spellEnd"/>
      <w:r w:rsidRPr="008A6EA9">
        <w:rPr>
          <w:sz w:val="22"/>
          <w:szCs w:val="22"/>
          <w:lang w:val="sk-SK"/>
        </w:rPr>
        <w:t xml:space="preserve"> a negatívnych aeróbnych a anaeróbnych baktérií vrátane druhov produkujúcich amónium.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môže inhibovať delenie baktérií </w:t>
      </w:r>
      <w:proofErr w:type="spellStart"/>
      <w:r w:rsidRPr="008A6EA9">
        <w:rPr>
          <w:sz w:val="22"/>
          <w:szCs w:val="22"/>
          <w:lang w:val="sk-SK"/>
        </w:rPr>
        <w:t>deaminujúcich</w:t>
      </w:r>
      <w:proofErr w:type="spellEnd"/>
      <w:r w:rsidRPr="008A6EA9">
        <w:rPr>
          <w:sz w:val="22"/>
          <w:szCs w:val="22"/>
          <w:lang w:val="sk-SK"/>
        </w:rPr>
        <w:t xml:space="preserve"> </w:t>
      </w:r>
      <w:proofErr w:type="spellStart"/>
      <w:r w:rsidRPr="008A6EA9">
        <w:rPr>
          <w:sz w:val="22"/>
          <w:szCs w:val="22"/>
          <w:lang w:val="sk-SK"/>
        </w:rPr>
        <w:t>ureu</w:t>
      </w:r>
      <w:proofErr w:type="spellEnd"/>
      <w:r w:rsidRPr="008A6EA9">
        <w:rPr>
          <w:sz w:val="22"/>
          <w:szCs w:val="22"/>
          <w:lang w:val="sk-SK"/>
        </w:rPr>
        <w:t xml:space="preserve">, čím zníži produkciu amónia a iných látok, ktoré sú považované za dôležité pri patogenéze hepatálnej </w:t>
      </w:r>
      <w:proofErr w:type="spellStart"/>
      <w:r w:rsidRPr="008A6EA9">
        <w:rPr>
          <w:sz w:val="22"/>
          <w:szCs w:val="22"/>
          <w:lang w:val="sk-SK"/>
        </w:rPr>
        <w:t>encefalopatie</w:t>
      </w:r>
      <w:proofErr w:type="spellEnd"/>
      <w:r w:rsidRPr="008A6EA9">
        <w:rPr>
          <w:sz w:val="22"/>
          <w:szCs w:val="22"/>
          <w:lang w:val="sk-SK"/>
        </w:rPr>
        <w:t>.</w:t>
      </w:r>
    </w:p>
    <w:p w:rsidR="0052673F" w:rsidRPr="008A6EA9" w:rsidRDefault="0052673F" w:rsidP="004E3DD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u w:val="single"/>
          <w:lang w:val="sk-SK"/>
        </w:rPr>
      </w:pPr>
      <w:r w:rsidRPr="008A6EA9">
        <w:rPr>
          <w:sz w:val="22"/>
          <w:szCs w:val="22"/>
          <w:u w:val="single"/>
          <w:lang w:val="sk-SK"/>
        </w:rPr>
        <w:t>Spôsob rezistencie</w:t>
      </w:r>
    </w:p>
    <w:p w:rsidR="0052673F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Vznik rezistencie na </w:t>
      </w:r>
      <w:proofErr w:type="spellStart"/>
      <w:r w:rsidRPr="008A6EA9">
        <w:rPr>
          <w:sz w:val="22"/>
          <w:szCs w:val="22"/>
          <w:lang w:val="sk-SK"/>
        </w:rPr>
        <w:t>rifaxamín</w:t>
      </w:r>
      <w:proofErr w:type="spellEnd"/>
      <w:r w:rsidRPr="008A6EA9">
        <w:rPr>
          <w:sz w:val="22"/>
          <w:szCs w:val="22"/>
          <w:lang w:val="sk-SK"/>
        </w:rPr>
        <w:t xml:space="preserve"> je primárne reverzibilná chromozomálne jednokroková </w:t>
      </w:r>
      <w:proofErr w:type="spellStart"/>
      <w:r w:rsidRPr="008A6EA9">
        <w:rPr>
          <w:sz w:val="22"/>
          <w:szCs w:val="22"/>
          <w:lang w:val="sk-SK"/>
        </w:rPr>
        <w:t>alterácia</w:t>
      </w:r>
      <w:proofErr w:type="spellEnd"/>
      <w:r w:rsidRPr="008A6EA9">
        <w:rPr>
          <w:sz w:val="22"/>
          <w:szCs w:val="22"/>
          <w:lang w:val="sk-SK"/>
        </w:rPr>
        <w:t xml:space="preserve"> génu </w:t>
      </w:r>
      <w:proofErr w:type="spellStart"/>
      <w:r w:rsidRPr="008A6EA9">
        <w:rPr>
          <w:i/>
          <w:sz w:val="22"/>
          <w:szCs w:val="22"/>
          <w:lang w:val="sk-SK"/>
        </w:rPr>
        <w:t>rpoB</w:t>
      </w:r>
      <w:proofErr w:type="spellEnd"/>
      <w:r w:rsidRPr="008A6EA9">
        <w:rPr>
          <w:sz w:val="22"/>
          <w:szCs w:val="22"/>
          <w:lang w:val="sk-SK"/>
        </w:rPr>
        <w:t xml:space="preserve"> kódujúceho bakteriálnu RNA polymerázu.</w:t>
      </w:r>
      <w:r w:rsidR="0009036C">
        <w:rPr>
          <w:sz w:val="22"/>
          <w:szCs w:val="22"/>
          <w:lang w:val="sk-SK"/>
        </w:rPr>
        <w:t xml:space="preserve"> </w:t>
      </w:r>
    </w:p>
    <w:p w:rsidR="0009036C" w:rsidRPr="008A6EA9" w:rsidRDefault="0009036C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Klinické štúdie, ktoré skúmali zmeny citlivosti črevnej flóry pacientov postihnutých cestovateľskou hnačkou, nepreukázali výskyt lieku odolných </w:t>
      </w:r>
      <w:proofErr w:type="spellStart"/>
      <w:r w:rsidRPr="008A6EA9">
        <w:rPr>
          <w:sz w:val="22"/>
          <w:szCs w:val="22"/>
          <w:lang w:val="sk-SK"/>
        </w:rPr>
        <w:t>grampozitívnych</w:t>
      </w:r>
      <w:proofErr w:type="spellEnd"/>
      <w:r w:rsidRPr="008A6EA9">
        <w:rPr>
          <w:sz w:val="22"/>
          <w:szCs w:val="22"/>
          <w:lang w:val="sk-SK"/>
        </w:rPr>
        <w:t xml:space="preserve"> (napr. </w:t>
      </w:r>
      <w:proofErr w:type="spellStart"/>
      <w:r w:rsidRPr="008A6EA9">
        <w:rPr>
          <w:i/>
          <w:iCs/>
          <w:sz w:val="22"/>
          <w:szCs w:val="22"/>
          <w:lang w:val="sk-SK"/>
        </w:rPr>
        <w:t>enterococci</w:t>
      </w:r>
      <w:proofErr w:type="spellEnd"/>
      <w:r w:rsidRPr="008A6EA9">
        <w:rPr>
          <w:sz w:val="22"/>
          <w:szCs w:val="22"/>
          <w:lang w:val="sk-SK"/>
        </w:rPr>
        <w:t xml:space="preserve">) a </w:t>
      </w:r>
      <w:proofErr w:type="spellStart"/>
      <w:r w:rsidRPr="008A6EA9">
        <w:rPr>
          <w:sz w:val="22"/>
          <w:szCs w:val="22"/>
          <w:lang w:val="sk-SK"/>
        </w:rPr>
        <w:t>gramnegatívnych</w:t>
      </w:r>
      <w:proofErr w:type="spellEnd"/>
      <w:r w:rsidRPr="008A6EA9">
        <w:rPr>
          <w:sz w:val="22"/>
          <w:szCs w:val="22"/>
          <w:lang w:val="sk-SK"/>
        </w:rPr>
        <w:t xml:space="preserve"> (</w:t>
      </w:r>
      <w:r w:rsidRPr="008A6EA9">
        <w:rPr>
          <w:i/>
          <w:iCs/>
          <w:sz w:val="22"/>
          <w:szCs w:val="22"/>
          <w:lang w:val="sk-SK"/>
        </w:rPr>
        <w:t xml:space="preserve">E. </w:t>
      </w:r>
      <w:proofErr w:type="spellStart"/>
      <w:r w:rsidRPr="008A6EA9">
        <w:rPr>
          <w:i/>
          <w:iCs/>
          <w:sz w:val="22"/>
          <w:szCs w:val="22"/>
          <w:lang w:val="sk-SK"/>
        </w:rPr>
        <w:t>coli</w:t>
      </w:r>
      <w:proofErr w:type="spellEnd"/>
      <w:r w:rsidRPr="008A6EA9">
        <w:rPr>
          <w:sz w:val="22"/>
          <w:szCs w:val="22"/>
          <w:lang w:val="sk-SK"/>
        </w:rPr>
        <w:t xml:space="preserve">) organizmov počas trojdňovej liečby </w:t>
      </w:r>
      <w:proofErr w:type="spellStart"/>
      <w:r w:rsidRPr="008A6EA9">
        <w:rPr>
          <w:sz w:val="22"/>
          <w:szCs w:val="22"/>
          <w:lang w:val="sk-SK"/>
        </w:rPr>
        <w:t>rifaximínom</w:t>
      </w:r>
      <w:proofErr w:type="spellEnd"/>
      <w:r w:rsidRPr="008A6EA9">
        <w:rPr>
          <w:sz w:val="22"/>
          <w:szCs w:val="22"/>
          <w:lang w:val="sk-SK"/>
        </w:rPr>
        <w:t>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Vznik rezistencie v normálnej črevnej bakteriálnej flóre bol skúmaný pri opakovaných vysokých dávkach </w:t>
      </w:r>
      <w:proofErr w:type="spellStart"/>
      <w:r w:rsidRPr="008A6EA9">
        <w:rPr>
          <w:sz w:val="22"/>
          <w:szCs w:val="22"/>
          <w:lang w:val="sk-SK"/>
        </w:rPr>
        <w:t>rifaximínu</w:t>
      </w:r>
      <w:proofErr w:type="spellEnd"/>
      <w:r w:rsidRPr="008A6EA9">
        <w:rPr>
          <w:sz w:val="22"/>
          <w:szCs w:val="22"/>
          <w:lang w:val="sk-SK"/>
        </w:rPr>
        <w:t xml:space="preserve"> u zdravých dobrovoľníkov a </w:t>
      </w:r>
      <w:r w:rsidR="008A6EA9" w:rsidRPr="008A6EA9">
        <w:rPr>
          <w:sz w:val="22"/>
          <w:szCs w:val="22"/>
          <w:lang w:val="sk-SK"/>
        </w:rPr>
        <w:t xml:space="preserve">u pacientov </w:t>
      </w:r>
      <w:r w:rsidRPr="008A6EA9">
        <w:rPr>
          <w:sz w:val="22"/>
          <w:szCs w:val="22"/>
          <w:lang w:val="sk-SK"/>
        </w:rPr>
        <w:t xml:space="preserve">trpiacich zápalovým ochorením čriev. Vzniknuté kmene rezistentné na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boli však nestabilné a nekolonizovali gastrointestinálny trakt, ani nenahradili kmene citlivé na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>. Po prerušení liečby rezistentné kmene rýchlo zmizli.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Experimentálne a klinické údaje naznačujú, že liečba </w:t>
      </w:r>
      <w:proofErr w:type="spellStart"/>
      <w:r w:rsidRPr="008A6EA9">
        <w:rPr>
          <w:sz w:val="22"/>
          <w:szCs w:val="22"/>
          <w:lang w:val="sk-SK"/>
        </w:rPr>
        <w:t>rifaximínom</w:t>
      </w:r>
      <w:proofErr w:type="spellEnd"/>
      <w:r w:rsidRPr="008A6EA9">
        <w:rPr>
          <w:sz w:val="22"/>
          <w:szCs w:val="22"/>
          <w:lang w:val="sk-SK"/>
        </w:rPr>
        <w:t xml:space="preserve"> u pacientov s prítomnosťou kmeňov </w:t>
      </w:r>
      <w:proofErr w:type="spellStart"/>
      <w:r w:rsidRPr="008A6EA9">
        <w:rPr>
          <w:i/>
          <w:iCs/>
          <w:sz w:val="22"/>
          <w:szCs w:val="22"/>
          <w:lang w:val="sk-SK"/>
        </w:rPr>
        <w:t>Mycobacterium</w:t>
      </w:r>
      <w:proofErr w:type="spellEnd"/>
      <w:r w:rsidRPr="008A6EA9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A6EA9">
        <w:rPr>
          <w:i/>
          <w:iCs/>
          <w:sz w:val="22"/>
          <w:szCs w:val="22"/>
          <w:lang w:val="sk-SK"/>
        </w:rPr>
        <w:t>tuberculosis</w:t>
      </w:r>
      <w:proofErr w:type="spellEnd"/>
      <w:r w:rsidRPr="008A6EA9">
        <w:rPr>
          <w:i/>
          <w:iCs/>
          <w:sz w:val="22"/>
          <w:szCs w:val="22"/>
          <w:lang w:val="sk-SK"/>
        </w:rPr>
        <w:t xml:space="preserve"> </w:t>
      </w:r>
      <w:r w:rsidRPr="008A6EA9">
        <w:rPr>
          <w:sz w:val="22"/>
          <w:szCs w:val="22"/>
          <w:lang w:val="sk-SK"/>
        </w:rPr>
        <w:t xml:space="preserve">alebo </w:t>
      </w:r>
      <w:proofErr w:type="spellStart"/>
      <w:r w:rsidRPr="008A6EA9">
        <w:rPr>
          <w:i/>
          <w:sz w:val="22"/>
          <w:szCs w:val="22"/>
          <w:lang w:val="sk-SK"/>
        </w:rPr>
        <w:t>Neisseria</w:t>
      </w:r>
      <w:proofErr w:type="spellEnd"/>
      <w:r w:rsidRPr="008A6EA9">
        <w:rPr>
          <w:i/>
          <w:sz w:val="22"/>
          <w:szCs w:val="22"/>
          <w:lang w:val="sk-SK"/>
        </w:rPr>
        <w:t xml:space="preserve"> </w:t>
      </w:r>
      <w:proofErr w:type="spellStart"/>
      <w:r w:rsidRPr="008A6EA9">
        <w:rPr>
          <w:i/>
          <w:sz w:val="22"/>
          <w:szCs w:val="22"/>
          <w:lang w:val="sk-SK"/>
        </w:rPr>
        <w:t>meningitidis</w:t>
      </w:r>
      <w:proofErr w:type="spellEnd"/>
      <w:r w:rsidRPr="008A6EA9">
        <w:rPr>
          <w:i/>
          <w:sz w:val="22"/>
          <w:szCs w:val="22"/>
          <w:lang w:val="sk-SK"/>
        </w:rPr>
        <w:t xml:space="preserve"> </w:t>
      </w:r>
      <w:r w:rsidRPr="008A6EA9">
        <w:rPr>
          <w:sz w:val="22"/>
          <w:szCs w:val="22"/>
          <w:lang w:val="sk-SK"/>
        </w:rPr>
        <w:t xml:space="preserve">nebude selektovať rezistenciu voči </w:t>
      </w:r>
      <w:proofErr w:type="spellStart"/>
      <w:r w:rsidRPr="008A6EA9">
        <w:rPr>
          <w:sz w:val="22"/>
          <w:szCs w:val="22"/>
          <w:lang w:val="sk-SK"/>
        </w:rPr>
        <w:t>rifampicínu</w:t>
      </w:r>
      <w:proofErr w:type="spellEnd"/>
      <w:r w:rsidRPr="008A6EA9">
        <w:rPr>
          <w:sz w:val="22"/>
          <w:szCs w:val="22"/>
          <w:lang w:val="sk-SK"/>
        </w:rPr>
        <w:t>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u w:val="single"/>
          <w:lang w:val="sk-SK"/>
        </w:rPr>
      </w:pPr>
      <w:r w:rsidRPr="008A6EA9">
        <w:rPr>
          <w:sz w:val="22"/>
          <w:szCs w:val="22"/>
          <w:u w:val="single"/>
          <w:lang w:val="sk-SK"/>
        </w:rPr>
        <w:lastRenderedPageBreak/>
        <w:t>Citlivosť</w:t>
      </w:r>
    </w:p>
    <w:p w:rsidR="0052673F" w:rsidRPr="008A6EA9" w:rsidRDefault="0052673F" w:rsidP="00E8537F">
      <w:pPr>
        <w:jc w:val="both"/>
        <w:rPr>
          <w:sz w:val="22"/>
          <w:szCs w:val="22"/>
          <w:lang w:val="sk-SK"/>
        </w:rPr>
      </w:pP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je neabsorbovaná antibakteriálna látka. Testovanie citlivosti </w:t>
      </w:r>
      <w:r w:rsidRPr="008A6EA9">
        <w:rPr>
          <w:i/>
          <w:sz w:val="22"/>
          <w:szCs w:val="22"/>
          <w:lang w:val="sk-SK"/>
        </w:rPr>
        <w:t>in vitro</w:t>
      </w:r>
      <w:r w:rsidRPr="008A6EA9">
        <w:rPr>
          <w:sz w:val="22"/>
          <w:szCs w:val="22"/>
          <w:lang w:val="sk-SK"/>
        </w:rPr>
        <w:t xml:space="preserve"> nie je možné použiť na spoľahlivé stanovenie citlivosti alebo rezistencie baktérií na </w:t>
      </w:r>
      <w:proofErr w:type="spellStart"/>
      <w:r w:rsidRPr="008A6EA9">
        <w:rPr>
          <w:sz w:val="22"/>
          <w:szCs w:val="22"/>
          <w:lang w:val="sk-SK"/>
        </w:rPr>
        <w:t>rifaxamín</w:t>
      </w:r>
      <w:proofErr w:type="spellEnd"/>
      <w:r w:rsidRPr="008A6EA9">
        <w:rPr>
          <w:sz w:val="22"/>
          <w:szCs w:val="22"/>
          <w:lang w:val="sk-SK"/>
        </w:rPr>
        <w:t xml:space="preserve">. V súčasnosti sú dostupné nedostatočné údaje, ktoré by podporovali nastavenie </w:t>
      </w:r>
      <w:proofErr w:type="spellStart"/>
      <w:r w:rsidRPr="008A6EA9">
        <w:rPr>
          <w:bCs/>
          <w:color w:val="000000"/>
          <w:sz w:val="22"/>
          <w:szCs w:val="22"/>
        </w:rPr>
        <w:t>hraničných</w:t>
      </w:r>
      <w:proofErr w:type="spellEnd"/>
      <w:r w:rsidRPr="008A6EA9">
        <w:rPr>
          <w:bCs/>
          <w:color w:val="000000"/>
          <w:sz w:val="22"/>
          <w:szCs w:val="22"/>
        </w:rPr>
        <w:t xml:space="preserve"> </w:t>
      </w:r>
      <w:proofErr w:type="spellStart"/>
      <w:r w:rsidRPr="008A6EA9">
        <w:rPr>
          <w:bCs/>
          <w:color w:val="000000"/>
          <w:sz w:val="22"/>
          <w:szCs w:val="22"/>
        </w:rPr>
        <w:t>hodnôt</w:t>
      </w:r>
      <w:proofErr w:type="spellEnd"/>
      <w:r w:rsidRPr="008A6EA9">
        <w:rPr>
          <w:bCs/>
          <w:color w:val="000000"/>
          <w:sz w:val="22"/>
          <w:szCs w:val="22"/>
        </w:rPr>
        <w:t xml:space="preserve"> </w:t>
      </w:r>
      <w:proofErr w:type="spellStart"/>
      <w:r w:rsidRPr="008A6EA9">
        <w:rPr>
          <w:bCs/>
          <w:color w:val="000000"/>
          <w:sz w:val="22"/>
          <w:szCs w:val="22"/>
        </w:rPr>
        <w:t>citlivosti</w:t>
      </w:r>
      <w:proofErr w:type="spellEnd"/>
      <w:r w:rsidRPr="008A6EA9">
        <w:rPr>
          <w:bCs/>
          <w:color w:val="000000"/>
          <w:sz w:val="22"/>
          <w:szCs w:val="22"/>
        </w:rPr>
        <w:t xml:space="preserve"> na </w:t>
      </w:r>
      <w:r w:rsidRPr="008A6EA9">
        <w:rPr>
          <w:sz w:val="22"/>
          <w:szCs w:val="22"/>
          <w:lang w:val="sk-SK"/>
        </w:rPr>
        <w:t>testovanie citlivosti.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sa hodnotil </w:t>
      </w:r>
      <w:r w:rsidRPr="008A6EA9">
        <w:rPr>
          <w:i/>
          <w:sz w:val="22"/>
          <w:szCs w:val="22"/>
          <w:lang w:val="sk-SK"/>
        </w:rPr>
        <w:t>in vitro</w:t>
      </w:r>
      <w:r w:rsidRPr="008A6EA9">
        <w:rPr>
          <w:sz w:val="22"/>
          <w:szCs w:val="22"/>
          <w:lang w:val="sk-SK"/>
        </w:rPr>
        <w:t xml:space="preserve"> na viacero patogénov vrátane baktérií produkujúcich amónium, ako </w:t>
      </w:r>
      <w:proofErr w:type="spellStart"/>
      <w:r w:rsidRPr="008A6EA9">
        <w:rPr>
          <w:i/>
          <w:sz w:val="22"/>
          <w:szCs w:val="22"/>
          <w:lang w:val="sk-SK"/>
        </w:rPr>
        <w:t>Escherichia</w:t>
      </w:r>
      <w:proofErr w:type="spellEnd"/>
      <w:r w:rsidRPr="008A6EA9">
        <w:rPr>
          <w:i/>
          <w:sz w:val="22"/>
          <w:szCs w:val="22"/>
          <w:lang w:val="sk-SK"/>
        </w:rPr>
        <w:t xml:space="preserve"> </w:t>
      </w:r>
      <w:proofErr w:type="spellStart"/>
      <w:r w:rsidRPr="008A6EA9">
        <w:rPr>
          <w:i/>
          <w:sz w:val="22"/>
          <w:szCs w:val="22"/>
          <w:lang w:val="sk-SK"/>
        </w:rPr>
        <w:t>coli</w:t>
      </w:r>
      <w:proofErr w:type="spellEnd"/>
      <w:r w:rsidRPr="008A6EA9">
        <w:rPr>
          <w:sz w:val="22"/>
          <w:szCs w:val="22"/>
          <w:lang w:val="sk-SK"/>
        </w:rPr>
        <w:t xml:space="preserve"> </w:t>
      </w:r>
      <w:proofErr w:type="spellStart"/>
      <w:r w:rsidRPr="008A6EA9">
        <w:rPr>
          <w:sz w:val="22"/>
          <w:szCs w:val="22"/>
          <w:lang w:val="sk-SK"/>
        </w:rPr>
        <w:t>spp</w:t>
      </w:r>
      <w:proofErr w:type="spellEnd"/>
      <w:r w:rsidRPr="008A6EA9">
        <w:rPr>
          <w:sz w:val="22"/>
          <w:szCs w:val="22"/>
          <w:lang w:val="sk-SK"/>
        </w:rPr>
        <w:t xml:space="preserve">, </w:t>
      </w:r>
      <w:proofErr w:type="spellStart"/>
      <w:r w:rsidRPr="008A6EA9">
        <w:rPr>
          <w:i/>
          <w:sz w:val="22"/>
          <w:szCs w:val="22"/>
          <w:lang w:val="sk-SK"/>
        </w:rPr>
        <w:t>Clostridium</w:t>
      </w:r>
      <w:proofErr w:type="spellEnd"/>
      <w:r w:rsidRPr="008A6EA9">
        <w:rPr>
          <w:sz w:val="22"/>
          <w:szCs w:val="22"/>
          <w:lang w:val="sk-SK"/>
        </w:rPr>
        <w:t xml:space="preserve"> </w:t>
      </w:r>
      <w:proofErr w:type="spellStart"/>
      <w:r w:rsidRPr="008A6EA9">
        <w:rPr>
          <w:sz w:val="22"/>
          <w:szCs w:val="22"/>
          <w:lang w:val="sk-SK"/>
        </w:rPr>
        <w:t>spp</w:t>
      </w:r>
      <w:proofErr w:type="spellEnd"/>
      <w:r w:rsidRPr="008A6EA9">
        <w:rPr>
          <w:sz w:val="22"/>
          <w:szCs w:val="22"/>
          <w:lang w:val="sk-SK"/>
        </w:rPr>
        <w:t xml:space="preserve">, </w:t>
      </w:r>
      <w:proofErr w:type="spellStart"/>
      <w:r w:rsidRPr="008A6EA9">
        <w:rPr>
          <w:i/>
          <w:sz w:val="22"/>
          <w:szCs w:val="22"/>
          <w:lang w:val="sk-SK"/>
        </w:rPr>
        <w:t>Enterobacteriaceae</w:t>
      </w:r>
      <w:proofErr w:type="spellEnd"/>
      <w:r w:rsidRPr="008A6EA9">
        <w:rPr>
          <w:sz w:val="22"/>
          <w:szCs w:val="22"/>
          <w:lang w:val="sk-SK"/>
        </w:rPr>
        <w:t xml:space="preserve">, </w:t>
      </w:r>
      <w:proofErr w:type="spellStart"/>
      <w:r w:rsidRPr="008A6EA9">
        <w:rPr>
          <w:i/>
          <w:sz w:val="22"/>
          <w:szCs w:val="22"/>
          <w:lang w:val="sk-SK"/>
        </w:rPr>
        <w:t>Bacteroides</w:t>
      </w:r>
      <w:proofErr w:type="spellEnd"/>
      <w:r w:rsidRPr="008A6EA9">
        <w:rPr>
          <w:sz w:val="22"/>
          <w:szCs w:val="22"/>
          <w:lang w:val="sk-SK"/>
        </w:rPr>
        <w:t xml:space="preserve"> </w:t>
      </w:r>
      <w:proofErr w:type="spellStart"/>
      <w:r w:rsidRPr="008A6EA9">
        <w:rPr>
          <w:sz w:val="22"/>
          <w:szCs w:val="22"/>
          <w:lang w:val="sk-SK"/>
        </w:rPr>
        <w:t>spp</w:t>
      </w:r>
      <w:proofErr w:type="spellEnd"/>
      <w:r w:rsidRPr="008A6EA9">
        <w:rPr>
          <w:sz w:val="22"/>
          <w:szCs w:val="22"/>
          <w:lang w:val="sk-SK"/>
        </w:rPr>
        <w:t xml:space="preserve">. Z dôvodu veľmi nízkej absorpcie z gastrointestinálneho traktu nie je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klinicky účinný proti invazívnym patogénom, aj keď sú tieto baktérie citlivé </w:t>
      </w:r>
      <w:r w:rsidRPr="008A6EA9">
        <w:rPr>
          <w:i/>
          <w:iCs/>
          <w:sz w:val="22"/>
          <w:szCs w:val="22"/>
          <w:lang w:val="sk-SK"/>
        </w:rPr>
        <w:t>in vitro</w:t>
      </w:r>
      <w:r w:rsidRPr="008A6EA9">
        <w:rPr>
          <w:sz w:val="22"/>
          <w:szCs w:val="22"/>
          <w:lang w:val="sk-SK"/>
        </w:rPr>
        <w:t xml:space="preserve">. </w:t>
      </w:r>
    </w:p>
    <w:p w:rsidR="0052673F" w:rsidRPr="008A6EA9" w:rsidRDefault="0052673F" w:rsidP="004E3DD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52673F" w:rsidRPr="008A6EA9" w:rsidRDefault="0052673F" w:rsidP="004E3DD0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k-SK"/>
        </w:rPr>
      </w:pPr>
      <w:r w:rsidRPr="008A6EA9">
        <w:rPr>
          <w:sz w:val="22"/>
          <w:szCs w:val="22"/>
          <w:u w:val="single"/>
          <w:lang w:val="sk-SK"/>
        </w:rPr>
        <w:t>Klinická účinnosť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Účinnosť a bezpečnosť </w:t>
      </w:r>
      <w:proofErr w:type="spellStart"/>
      <w:r w:rsidRPr="008A6EA9">
        <w:rPr>
          <w:sz w:val="22"/>
          <w:szCs w:val="22"/>
          <w:lang w:val="sk-SK"/>
        </w:rPr>
        <w:t>rifaximínu</w:t>
      </w:r>
      <w:proofErr w:type="spellEnd"/>
      <w:r w:rsidRPr="008A6EA9">
        <w:rPr>
          <w:sz w:val="22"/>
          <w:szCs w:val="22"/>
          <w:lang w:val="sk-SK"/>
        </w:rPr>
        <w:t xml:space="preserve"> v dávke 550 mg dvakrát denne u dospelých pacientov s </w:t>
      </w:r>
      <w:proofErr w:type="spellStart"/>
      <w:r w:rsidRPr="008A6EA9">
        <w:rPr>
          <w:sz w:val="22"/>
          <w:szCs w:val="22"/>
          <w:lang w:val="sk-SK"/>
        </w:rPr>
        <w:t>remisiou</w:t>
      </w:r>
      <w:proofErr w:type="spellEnd"/>
      <w:r w:rsidRPr="008A6EA9">
        <w:rPr>
          <w:sz w:val="22"/>
          <w:szCs w:val="22"/>
          <w:lang w:val="sk-SK"/>
        </w:rPr>
        <w:t xml:space="preserve"> HE bola hodnotená v III. fáze pilotnej 6-mesačnej </w:t>
      </w:r>
      <w:proofErr w:type="spellStart"/>
      <w:r w:rsidRPr="008A6EA9">
        <w:rPr>
          <w:sz w:val="22"/>
          <w:szCs w:val="22"/>
          <w:lang w:val="sk-SK"/>
        </w:rPr>
        <w:t>randomizovanej</w:t>
      </w:r>
      <w:proofErr w:type="spellEnd"/>
      <w:r w:rsidRPr="008A6EA9">
        <w:rPr>
          <w:sz w:val="22"/>
          <w:szCs w:val="22"/>
          <w:lang w:val="sk-SK"/>
        </w:rPr>
        <w:t xml:space="preserve"> dvojito zaslepenej placebom kontrolovanej štúdie RFHE3001. 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Dvestodeväťdesiatdeväť účastníkov bolo </w:t>
      </w:r>
      <w:proofErr w:type="spellStart"/>
      <w:r w:rsidRPr="008A6EA9">
        <w:rPr>
          <w:sz w:val="22"/>
          <w:szCs w:val="22"/>
          <w:lang w:val="sk-SK"/>
        </w:rPr>
        <w:t>randomizovaných</w:t>
      </w:r>
      <w:proofErr w:type="spellEnd"/>
      <w:r w:rsidRPr="008A6EA9">
        <w:rPr>
          <w:sz w:val="22"/>
          <w:szCs w:val="22"/>
          <w:lang w:val="sk-SK"/>
        </w:rPr>
        <w:t xml:space="preserve"> na liečbu </w:t>
      </w:r>
      <w:proofErr w:type="spellStart"/>
      <w:r w:rsidRPr="008A6EA9">
        <w:rPr>
          <w:sz w:val="22"/>
          <w:szCs w:val="22"/>
          <w:lang w:val="sk-SK"/>
        </w:rPr>
        <w:t>rifaximínom</w:t>
      </w:r>
      <w:proofErr w:type="spellEnd"/>
      <w:r w:rsidRPr="008A6EA9">
        <w:rPr>
          <w:sz w:val="22"/>
          <w:szCs w:val="22"/>
          <w:lang w:val="sk-SK"/>
        </w:rPr>
        <w:t xml:space="preserve"> v dávke 550 mg dvakrát denne (n=140) alebo placebom (n=159) po dobu 6 mesiacov. Viac ako 90 % pacientov v obidvoch skupinách súbežne dostávalo </w:t>
      </w:r>
      <w:proofErr w:type="spellStart"/>
      <w:r w:rsidRPr="008A6EA9">
        <w:rPr>
          <w:sz w:val="22"/>
          <w:szCs w:val="22"/>
          <w:lang w:val="sk-SK"/>
        </w:rPr>
        <w:t>laktulózu</w:t>
      </w:r>
      <w:proofErr w:type="spellEnd"/>
      <w:r w:rsidRPr="008A6EA9">
        <w:rPr>
          <w:sz w:val="22"/>
          <w:szCs w:val="22"/>
          <w:lang w:val="sk-SK"/>
        </w:rPr>
        <w:t xml:space="preserve">. Štúdie sa nezúčastnili žiadni pacienti so skóre MELD &gt; 25. 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Primárnym cieľovým ukazovateľom bol čas do prvého nástupu epizódy zreteľnej HE a u pacientov bola liečba prerušená po nástupe epizódy zreteľnej HE. Tridsaťjeden zo 140 pacientov (22 %) v </w:t>
      </w:r>
      <w:proofErr w:type="spellStart"/>
      <w:r w:rsidRPr="008A6EA9">
        <w:rPr>
          <w:sz w:val="22"/>
          <w:szCs w:val="22"/>
          <w:lang w:val="sk-SK"/>
        </w:rPr>
        <w:t>rifaximínovej</w:t>
      </w:r>
      <w:proofErr w:type="spellEnd"/>
      <w:r w:rsidRPr="008A6EA9">
        <w:rPr>
          <w:sz w:val="22"/>
          <w:szCs w:val="22"/>
          <w:lang w:val="sk-SK"/>
        </w:rPr>
        <w:t xml:space="preserve"> skupine a 73 zo 159 (46 %) pacientov v </w:t>
      </w:r>
      <w:proofErr w:type="spellStart"/>
      <w:r w:rsidRPr="008A6EA9">
        <w:rPr>
          <w:sz w:val="22"/>
          <w:szCs w:val="22"/>
          <w:lang w:val="sk-SK"/>
        </w:rPr>
        <w:t>placebovej</w:t>
      </w:r>
      <w:proofErr w:type="spellEnd"/>
      <w:r w:rsidRPr="008A6EA9">
        <w:rPr>
          <w:sz w:val="22"/>
          <w:szCs w:val="22"/>
          <w:lang w:val="sk-SK"/>
        </w:rPr>
        <w:t xml:space="preserve"> skupine zaznamenalo nástup epizódy zreteľnej HE počas 6 mesiacov.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znížil riziko nástupu HE o 58 % (p&lt; 0,0001) a riziko hospitalizácie z dôvodu HE o 50 % (p&lt; 0,013) v porovnaní s placebom.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widowControl w:val="0"/>
        <w:rPr>
          <w:rFonts w:eastAsia="MS Mincho"/>
          <w:sz w:val="22"/>
          <w:szCs w:val="22"/>
          <w:lang w:val="sk-SK" w:eastAsia="ja-JP"/>
        </w:rPr>
      </w:pPr>
      <w:r w:rsidRPr="008A6EA9">
        <w:rPr>
          <w:rFonts w:eastAsia="MS Mincho"/>
          <w:sz w:val="22"/>
          <w:szCs w:val="22"/>
          <w:lang w:val="sk-SK" w:eastAsia="ja-JP"/>
        </w:rPr>
        <w:t xml:space="preserve">Dlhodobá bezpečnosť a tolerancia </w:t>
      </w:r>
      <w:proofErr w:type="spellStart"/>
      <w:r w:rsidRPr="008A6EA9">
        <w:rPr>
          <w:rFonts w:eastAsia="MS Mincho"/>
          <w:sz w:val="22"/>
          <w:szCs w:val="22"/>
          <w:lang w:val="sk-SK" w:eastAsia="ja-JP"/>
        </w:rPr>
        <w:t>rifaximínu</w:t>
      </w:r>
      <w:proofErr w:type="spellEnd"/>
      <w:r w:rsidRPr="008A6EA9">
        <w:rPr>
          <w:rFonts w:eastAsia="MS Mincho"/>
          <w:sz w:val="22"/>
          <w:szCs w:val="22"/>
          <w:lang w:val="sk-SK" w:eastAsia="ja-JP"/>
        </w:rPr>
        <w:t xml:space="preserve"> v dávke 550 mg dvakrát denne podávanej po dobu minimálne 24 mesiacov bola hodnotená u 322 účastníkov s </w:t>
      </w:r>
      <w:proofErr w:type="spellStart"/>
      <w:r w:rsidRPr="008A6EA9">
        <w:rPr>
          <w:rFonts w:eastAsia="MS Mincho"/>
          <w:sz w:val="22"/>
          <w:szCs w:val="22"/>
          <w:lang w:val="sk-SK" w:eastAsia="ja-JP"/>
        </w:rPr>
        <w:t>remisiou</w:t>
      </w:r>
      <w:proofErr w:type="spellEnd"/>
      <w:r w:rsidRPr="008A6EA9">
        <w:rPr>
          <w:rFonts w:eastAsia="MS Mincho"/>
          <w:sz w:val="22"/>
          <w:szCs w:val="22"/>
          <w:lang w:val="sk-SK" w:eastAsia="ja-JP"/>
        </w:rPr>
        <w:t xml:space="preserve"> HE v štúdii RFHE3002. Stopäťdesiatdva pacientov prešlo zo štúdie RFHE3001 (70 z </w:t>
      </w:r>
      <w:proofErr w:type="spellStart"/>
      <w:r w:rsidRPr="008A6EA9">
        <w:rPr>
          <w:rFonts w:eastAsia="MS Mincho"/>
          <w:sz w:val="22"/>
          <w:szCs w:val="22"/>
          <w:lang w:val="sk-SK" w:eastAsia="ja-JP"/>
        </w:rPr>
        <w:t>rifaximínovej</w:t>
      </w:r>
      <w:proofErr w:type="spellEnd"/>
      <w:r w:rsidRPr="008A6EA9">
        <w:rPr>
          <w:rFonts w:eastAsia="MS Mincho"/>
          <w:sz w:val="22"/>
          <w:szCs w:val="22"/>
          <w:lang w:val="sk-SK" w:eastAsia="ja-JP"/>
        </w:rPr>
        <w:t xml:space="preserve"> skupiny a 82 z placebo skupiny) a 170 pacientov bolo nových. Osemdesiatosem percent pacientov súbežne dostávalo </w:t>
      </w:r>
      <w:proofErr w:type="spellStart"/>
      <w:r w:rsidRPr="008A6EA9">
        <w:rPr>
          <w:rFonts w:eastAsia="MS Mincho"/>
          <w:sz w:val="22"/>
          <w:szCs w:val="22"/>
          <w:lang w:val="sk-SK" w:eastAsia="ja-JP"/>
        </w:rPr>
        <w:t>laktulózu</w:t>
      </w:r>
      <w:proofErr w:type="spellEnd"/>
      <w:r w:rsidRPr="008A6EA9">
        <w:rPr>
          <w:rFonts w:eastAsia="MS Mincho"/>
          <w:sz w:val="22"/>
          <w:szCs w:val="22"/>
          <w:lang w:val="sk-SK" w:eastAsia="ja-JP"/>
        </w:rPr>
        <w:t>.</w:t>
      </w:r>
    </w:p>
    <w:p w:rsidR="0052673F" w:rsidRPr="008A6EA9" w:rsidRDefault="0052673F" w:rsidP="004E3DD0">
      <w:pPr>
        <w:widowControl w:val="0"/>
        <w:rPr>
          <w:rFonts w:eastAsia="MS Mincho"/>
          <w:sz w:val="22"/>
          <w:szCs w:val="22"/>
          <w:lang w:val="sk-SK" w:eastAsia="ja-JP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Liečba </w:t>
      </w:r>
      <w:proofErr w:type="spellStart"/>
      <w:r w:rsidRPr="008A6EA9">
        <w:rPr>
          <w:sz w:val="22"/>
          <w:szCs w:val="22"/>
          <w:lang w:val="sk-SK"/>
        </w:rPr>
        <w:t>rifaximínom</w:t>
      </w:r>
      <w:proofErr w:type="spellEnd"/>
      <w:r w:rsidRPr="008A6EA9">
        <w:rPr>
          <w:sz w:val="22"/>
          <w:szCs w:val="22"/>
          <w:lang w:val="sk-SK"/>
        </w:rPr>
        <w:t xml:space="preserve"> po dobu až 24 mesiacov (OLE štúdia RFHE3002) nevyústila do žiadnej straty účinku, čo sa týka ochrany pred nástupom epizódy zreteľnej HE a zníženia záťaže v dôsledku hospitalizácie. Analýza času do prvého nástupu epizódy zreteľnej HE preukázala dlhodobé udržanie </w:t>
      </w:r>
      <w:proofErr w:type="spellStart"/>
      <w:r w:rsidRPr="008A6EA9">
        <w:rPr>
          <w:sz w:val="22"/>
          <w:szCs w:val="22"/>
          <w:lang w:val="sk-SK"/>
        </w:rPr>
        <w:t>remisie</w:t>
      </w:r>
      <w:proofErr w:type="spellEnd"/>
      <w:r w:rsidRPr="008A6EA9">
        <w:rPr>
          <w:sz w:val="22"/>
          <w:szCs w:val="22"/>
          <w:lang w:val="sk-SK"/>
        </w:rPr>
        <w:t xml:space="preserve"> v obidvoch skupinách pacientov, u nových aj u pacientov pokračujúcich v liečbe </w:t>
      </w:r>
      <w:proofErr w:type="spellStart"/>
      <w:r w:rsidRPr="008A6EA9">
        <w:rPr>
          <w:sz w:val="22"/>
          <w:szCs w:val="22"/>
          <w:lang w:val="sk-SK"/>
        </w:rPr>
        <w:t>rifaximínom</w:t>
      </w:r>
      <w:proofErr w:type="spellEnd"/>
      <w:r w:rsidRPr="008A6EA9">
        <w:rPr>
          <w:sz w:val="22"/>
          <w:szCs w:val="22"/>
          <w:lang w:val="sk-SK"/>
        </w:rPr>
        <w:t>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b/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5.2</w:t>
      </w:r>
      <w:r w:rsidRPr="008A6EA9">
        <w:rPr>
          <w:b/>
          <w:sz w:val="22"/>
          <w:szCs w:val="22"/>
          <w:lang w:val="sk-SK"/>
        </w:rPr>
        <w:tab/>
      </w:r>
      <w:proofErr w:type="spellStart"/>
      <w:r w:rsidRPr="008A6EA9">
        <w:rPr>
          <w:b/>
          <w:sz w:val="22"/>
          <w:szCs w:val="22"/>
          <w:lang w:val="sk-SK"/>
        </w:rPr>
        <w:t>Farmakokinetické</w:t>
      </w:r>
      <w:proofErr w:type="spellEnd"/>
      <w:r w:rsidRPr="008A6EA9">
        <w:rPr>
          <w:b/>
          <w:sz w:val="22"/>
          <w:szCs w:val="22"/>
          <w:lang w:val="sk-SK"/>
        </w:rPr>
        <w:t xml:space="preserve"> vlastnosti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numPr>
          <w:ilvl w:val="12"/>
          <w:numId w:val="0"/>
        </w:numPr>
        <w:suppressLineNumbers/>
        <w:ind w:right="-2"/>
        <w:rPr>
          <w:b/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Absorpcia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  <w:proofErr w:type="spellStart"/>
      <w:r w:rsidRPr="008A6EA9">
        <w:rPr>
          <w:sz w:val="22"/>
          <w:szCs w:val="22"/>
          <w:lang w:val="sk-SK"/>
        </w:rPr>
        <w:t>Farmakokinetické</w:t>
      </w:r>
      <w:proofErr w:type="spellEnd"/>
      <w:r w:rsidRPr="008A6EA9">
        <w:rPr>
          <w:sz w:val="22"/>
          <w:szCs w:val="22"/>
          <w:lang w:val="sk-SK"/>
        </w:rPr>
        <w:t xml:space="preserve"> štúdie u potkanov, psov a ľudí preukázali, že po perorálnom podaní sa </w:t>
      </w: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v polymorfnej forme α slabo absorbuje (menej ako 1 %). Po opakovanom podaní liečebných dávok </w:t>
      </w:r>
      <w:proofErr w:type="spellStart"/>
      <w:r w:rsidRPr="008A6EA9">
        <w:rPr>
          <w:sz w:val="22"/>
          <w:szCs w:val="22"/>
          <w:lang w:val="sk-SK"/>
        </w:rPr>
        <w:t>rifaximínu</w:t>
      </w:r>
      <w:proofErr w:type="spellEnd"/>
      <w:r w:rsidRPr="008A6EA9">
        <w:rPr>
          <w:sz w:val="22"/>
          <w:szCs w:val="22"/>
          <w:lang w:val="sk-SK"/>
        </w:rPr>
        <w:t xml:space="preserve"> u zdravých dobrovoľníkov a pacientov s poškodenou črevnou sliznicou (zápalové ochorenie čriev) sú plazmatické hladiny zanedbateľné (menej ako 10 </w:t>
      </w:r>
      <w:proofErr w:type="spellStart"/>
      <w:r w:rsidRPr="008A6EA9">
        <w:rPr>
          <w:sz w:val="22"/>
          <w:szCs w:val="22"/>
          <w:lang w:val="sk-SK"/>
        </w:rPr>
        <w:t>ng</w:t>
      </w:r>
      <w:proofErr w:type="spellEnd"/>
      <w:r w:rsidRPr="008A6EA9">
        <w:rPr>
          <w:sz w:val="22"/>
          <w:szCs w:val="22"/>
          <w:lang w:val="sk-SK"/>
        </w:rPr>
        <w:t xml:space="preserve">/ml). U pacientov s HE podávanie </w:t>
      </w:r>
      <w:proofErr w:type="spellStart"/>
      <w:r w:rsidRPr="008A6EA9">
        <w:rPr>
          <w:sz w:val="22"/>
          <w:szCs w:val="22"/>
          <w:lang w:val="sk-SK"/>
        </w:rPr>
        <w:t>rifaximínu</w:t>
      </w:r>
      <w:proofErr w:type="spellEnd"/>
      <w:r w:rsidRPr="008A6EA9">
        <w:rPr>
          <w:sz w:val="22"/>
          <w:szCs w:val="22"/>
          <w:lang w:val="sk-SK"/>
        </w:rPr>
        <w:t xml:space="preserve"> v dávke 550 mg dvakrát denne preukázalo stredovú expozíciu </w:t>
      </w:r>
      <w:proofErr w:type="spellStart"/>
      <w:r w:rsidRPr="008A6EA9">
        <w:rPr>
          <w:sz w:val="22"/>
          <w:szCs w:val="22"/>
          <w:lang w:val="sk-SK"/>
        </w:rPr>
        <w:t>rifaximínu</w:t>
      </w:r>
      <w:proofErr w:type="spellEnd"/>
      <w:r w:rsidRPr="008A6EA9">
        <w:rPr>
          <w:sz w:val="22"/>
          <w:szCs w:val="22"/>
          <w:lang w:val="sk-SK"/>
        </w:rPr>
        <w:t xml:space="preserve"> približne 12-násobne vyššiu, ako bola pozorovaná u zdravých dobrovoľníkov po rovnakom režime dávkovania. Klinicky bezvýznamný nárast systémovej absorpcie </w:t>
      </w:r>
      <w:proofErr w:type="spellStart"/>
      <w:r w:rsidRPr="008A6EA9">
        <w:rPr>
          <w:sz w:val="22"/>
          <w:szCs w:val="22"/>
          <w:lang w:val="sk-SK"/>
        </w:rPr>
        <w:t>rifaximínu</w:t>
      </w:r>
      <w:proofErr w:type="spellEnd"/>
      <w:r w:rsidRPr="008A6EA9">
        <w:rPr>
          <w:sz w:val="22"/>
          <w:szCs w:val="22"/>
          <w:lang w:val="sk-SK"/>
        </w:rPr>
        <w:t xml:space="preserve"> bol pozorovaný, ak bol podaný do 30 minút po raňajkách s vysokým obsahom tukov.</w:t>
      </w:r>
    </w:p>
    <w:p w:rsidR="0052673F" w:rsidRPr="008A6EA9" w:rsidRDefault="0052673F" w:rsidP="004E3DD0">
      <w:pPr>
        <w:numPr>
          <w:ilvl w:val="12"/>
          <w:numId w:val="0"/>
        </w:numPr>
        <w:suppressLineNumbers/>
        <w:ind w:right="-2"/>
        <w:rPr>
          <w:sz w:val="22"/>
          <w:szCs w:val="22"/>
          <w:u w:val="single"/>
          <w:lang w:val="sk-SK"/>
        </w:rPr>
      </w:pPr>
    </w:p>
    <w:p w:rsidR="0052673F" w:rsidRPr="008A6EA9" w:rsidRDefault="0052673F" w:rsidP="004E3DD0">
      <w:pPr>
        <w:numPr>
          <w:ilvl w:val="12"/>
          <w:numId w:val="0"/>
        </w:numPr>
        <w:suppressLineNumbers/>
        <w:ind w:right="-2"/>
        <w:rPr>
          <w:b/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Distribúcia</w:t>
      </w:r>
    </w:p>
    <w:p w:rsidR="0052673F" w:rsidRPr="008A6EA9" w:rsidRDefault="0052673F" w:rsidP="004E3DD0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8A6EA9">
        <w:rPr>
          <w:sz w:val="22"/>
          <w:szCs w:val="22"/>
          <w:lang w:val="sk-SK"/>
        </w:rPr>
        <w:t>Rifaximín</w:t>
      </w:r>
      <w:proofErr w:type="spellEnd"/>
      <w:r w:rsidRPr="008A6EA9">
        <w:rPr>
          <w:sz w:val="22"/>
          <w:szCs w:val="22"/>
          <w:lang w:val="sk-SK"/>
        </w:rPr>
        <w:t xml:space="preserve"> sa mierne viaže na proteíny v ľudskej plazme. Stredový pomer viazania na proteíny </w:t>
      </w:r>
      <w:r w:rsidRPr="008A6EA9">
        <w:rPr>
          <w:i/>
          <w:sz w:val="22"/>
          <w:szCs w:val="22"/>
          <w:lang w:val="sk-SK"/>
        </w:rPr>
        <w:t xml:space="preserve">in </w:t>
      </w:r>
      <w:proofErr w:type="spellStart"/>
      <w:r w:rsidRPr="008A6EA9">
        <w:rPr>
          <w:i/>
          <w:sz w:val="22"/>
          <w:szCs w:val="22"/>
          <w:lang w:val="sk-SK"/>
        </w:rPr>
        <w:t>vivo</w:t>
      </w:r>
      <w:proofErr w:type="spellEnd"/>
      <w:r w:rsidRPr="008A6EA9">
        <w:rPr>
          <w:sz w:val="22"/>
          <w:szCs w:val="22"/>
          <w:lang w:val="sk-SK"/>
        </w:rPr>
        <w:t xml:space="preserve"> bol 67,5 % u zdravých účastníkov a 62 % u pacientov s poruchou funkcie pečene pri podaní </w:t>
      </w:r>
      <w:proofErr w:type="spellStart"/>
      <w:r w:rsidRPr="008A6EA9">
        <w:rPr>
          <w:sz w:val="22"/>
          <w:szCs w:val="22"/>
          <w:lang w:val="sk-SK"/>
        </w:rPr>
        <w:t>rifaximínu</w:t>
      </w:r>
      <w:proofErr w:type="spellEnd"/>
      <w:r w:rsidRPr="008A6EA9">
        <w:rPr>
          <w:sz w:val="22"/>
          <w:szCs w:val="22"/>
          <w:lang w:val="sk-SK"/>
        </w:rPr>
        <w:t xml:space="preserve"> v dávke 550 mg.</w:t>
      </w:r>
    </w:p>
    <w:p w:rsidR="0052673F" w:rsidRPr="008A6EA9" w:rsidRDefault="0052673F" w:rsidP="004E3DD0">
      <w:pPr>
        <w:numPr>
          <w:ilvl w:val="12"/>
          <w:numId w:val="0"/>
        </w:numPr>
        <w:suppressLineNumbers/>
        <w:ind w:right="-2"/>
        <w:rPr>
          <w:sz w:val="22"/>
          <w:szCs w:val="22"/>
          <w:u w:val="single"/>
          <w:lang w:val="sk-SK"/>
        </w:rPr>
      </w:pPr>
    </w:p>
    <w:p w:rsidR="0052673F" w:rsidRPr="008A6EA9" w:rsidRDefault="0052673F" w:rsidP="004E3DD0">
      <w:pPr>
        <w:numPr>
          <w:ilvl w:val="12"/>
          <w:numId w:val="0"/>
        </w:numPr>
        <w:suppressLineNumbers/>
        <w:ind w:right="-2"/>
        <w:rPr>
          <w:b/>
          <w:sz w:val="22"/>
          <w:szCs w:val="22"/>
          <w:lang w:val="sk-SK"/>
        </w:rPr>
      </w:pPr>
      <w:proofErr w:type="spellStart"/>
      <w:r w:rsidRPr="008A6EA9">
        <w:rPr>
          <w:b/>
          <w:sz w:val="22"/>
          <w:szCs w:val="22"/>
          <w:lang w:val="sk-SK"/>
        </w:rPr>
        <w:lastRenderedPageBreak/>
        <w:t>Biotransformácia</w:t>
      </w:r>
      <w:proofErr w:type="spellEnd"/>
    </w:p>
    <w:p w:rsidR="0052673F" w:rsidRPr="008A6EA9" w:rsidRDefault="0052673F" w:rsidP="004E3DD0">
      <w:pPr>
        <w:keepNext/>
        <w:keepLines/>
        <w:rPr>
          <w:color w:val="000000"/>
          <w:sz w:val="22"/>
          <w:szCs w:val="22"/>
          <w:lang w:val="sk-SK"/>
        </w:rPr>
      </w:pPr>
      <w:r w:rsidRPr="008A6EA9">
        <w:rPr>
          <w:color w:val="000000"/>
          <w:sz w:val="22"/>
          <w:szCs w:val="22"/>
          <w:lang w:val="sk-SK"/>
        </w:rPr>
        <w:t xml:space="preserve">Analýza fekálnych výlučkov preukázala, že </w:t>
      </w:r>
      <w:proofErr w:type="spellStart"/>
      <w:r w:rsidRPr="008A6EA9">
        <w:rPr>
          <w:color w:val="000000"/>
          <w:sz w:val="22"/>
          <w:szCs w:val="22"/>
          <w:lang w:val="sk-SK"/>
        </w:rPr>
        <w:t>rifaximín</w:t>
      </w:r>
      <w:proofErr w:type="spellEnd"/>
      <w:r w:rsidRPr="008A6EA9">
        <w:rPr>
          <w:color w:val="000000"/>
          <w:sz w:val="22"/>
          <w:szCs w:val="22"/>
          <w:lang w:val="sk-SK"/>
        </w:rPr>
        <w:t xml:space="preserve"> je prítomný ako neporušená molekula, čo naznačuje, že nie je ani degradovaný ani metabolizovaný počas prechodu cez gastrointestinálny trakt.</w:t>
      </w:r>
    </w:p>
    <w:p w:rsidR="0052673F" w:rsidRPr="008A6EA9" w:rsidRDefault="0052673F" w:rsidP="004E3DD0">
      <w:pPr>
        <w:keepNext/>
        <w:keepLines/>
        <w:rPr>
          <w:color w:val="000000"/>
          <w:sz w:val="22"/>
          <w:szCs w:val="22"/>
          <w:lang w:val="sk-SK"/>
        </w:rPr>
      </w:pPr>
    </w:p>
    <w:p w:rsidR="0052673F" w:rsidRPr="008A6EA9" w:rsidRDefault="0052673F" w:rsidP="004E3DD0">
      <w:pPr>
        <w:rPr>
          <w:color w:val="000000"/>
          <w:sz w:val="22"/>
          <w:szCs w:val="22"/>
          <w:lang w:val="sk-SK"/>
        </w:rPr>
      </w:pPr>
      <w:r w:rsidRPr="008A6EA9">
        <w:rPr>
          <w:color w:val="000000"/>
          <w:sz w:val="22"/>
          <w:szCs w:val="22"/>
          <w:lang w:val="sk-SK"/>
        </w:rPr>
        <w:t xml:space="preserve">V štúdii, v ktorej sa používal </w:t>
      </w:r>
      <w:r w:rsidR="00316DE6" w:rsidRPr="008A6EA9">
        <w:rPr>
          <w:color w:val="000000"/>
          <w:sz w:val="22"/>
          <w:szCs w:val="22"/>
          <w:lang w:val="sk-SK"/>
        </w:rPr>
        <w:t>rádioaktívne značený</w:t>
      </w:r>
      <w:r w:rsidRPr="008A6EA9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8A6EA9">
        <w:rPr>
          <w:color w:val="000000"/>
          <w:sz w:val="22"/>
          <w:szCs w:val="22"/>
          <w:lang w:val="sk-SK"/>
        </w:rPr>
        <w:t>rifaximín</w:t>
      </w:r>
      <w:proofErr w:type="spellEnd"/>
      <w:r w:rsidR="00316DE6" w:rsidRPr="008A6EA9">
        <w:rPr>
          <w:color w:val="000000"/>
          <w:sz w:val="22"/>
          <w:szCs w:val="22"/>
          <w:lang w:val="sk-SK"/>
        </w:rPr>
        <w:t>,</w:t>
      </w:r>
      <w:r w:rsidRPr="008A6EA9">
        <w:rPr>
          <w:color w:val="000000"/>
          <w:sz w:val="22"/>
          <w:szCs w:val="22"/>
          <w:lang w:val="sk-SK"/>
        </w:rPr>
        <w:t xml:space="preserve"> bol </w:t>
      </w:r>
      <w:r w:rsidR="00316DE6" w:rsidRPr="008A6EA9">
        <w:rPr>
          <w:color w:val="000000"/>
          <w:sz w:val="22"/>
          <w:szCs w:val="22"/>
          <w:lang w:val="sk-SK"/>
        </w:rPr>
        <w:t xml:space="preserve">obrat </w:t>
      </w:r>
      <w:proofErr w:type="spellStart"/>
      <w:r w:rsidRPr="008A6EA9">
        <w:rPr>
          <w:color w:val="000000"/>
          <w:sz w:val="22"/>
          <w:szCs w:val="22"/>
          <w:lang w:val="sk-SK"/>
        </w:rPr>
        <w:t>rifaximínu</w:t>
      </w:r>
      <w:proofErr w:type="spellEnd"/>
      <w:r w:rsidR="00316DE6" w:rsidRPr="008A6EA9">
        <w:rPr>
          <w:color w:val="000000"/>
          <w:sz w:val="22"/>
          <w:szCs w:val="22"/>
          <w:lang w:val="sk-SK"/>
        </w:rPr>
        <w:t xml:space="preserve"> v moči</w:t>
      </w:r>
      <w:r w:rsidRPr="008A6EA9">
        <w:rPr>
          <w:color w:val="000000"/>
          <w:sz w:val="22"/>
          <w:szCs w:val="22"/>
          <w:lang w:val="sk-SK"/>
        </w:rPr>
        <w:t xml:space="preserve"> 0,025 % z podanej dávky, zatiaľ čo </w:t>
      </w:r>
      <w:r w:rsidR="00A01133" w:rsidRPr="008A6EA9">
        <w:rPr>
          <w:color w:val="000000"/>
          <w:sz w:val="22"/>
          <w:szCs w:val="22"/>
          <w:lang w:val="sk-SK"/>
        </w:rPr>
        <w:t xml:space="preserve">obrat </w:t>
      </w:r>
      <w:r w:rsidRPr="008A6EA9">
        <w:rPr>
          <w:color w:val="000000"/>
          <w:sz w:val="22"/>
          <w:szCs w:val="22"/>
          <w:lang w:val="sk-SK"/>
        </w:rPr>
        <w:t xml:space="preserve">&lt;0,01 % dávky </w:t>
      </w:r>
      <w:r w:rsidR="00A01133" w:rsidRPr="008A6EA9">
        <w:rPr>
          <w:color w:val="000000"/>
          <w:sz w:val="22"/>
          <w:szCs w:val="22"/>
          <w:lang w:val="sk-SK"/>
        </w:rPr>
        <w:t xml:space="preserve">v moči bol vo forme </w:t>
      </w:r>
      <w:r w:rsidRPr="008A6EA9">
        <w:rPr>
          <w:color w:val="000000"/>
          <w:sz w:val="22"/>
          <w:szCs w:val="22"/>
          <w:lang w:val="sk-SK"/>
        </w:rPr>
        <w:t xml:space="preserve">25-dezacetylrifaximín, jediný metabolit </w:t>
      </w:r>
      <w:proofErr w:type="spellStart"/>
      <w:r w:rsidRPr="008A6EA9">
        <w:rPr>
          <w:color w:val="000000"/>
          <w:sz w:val="22"/>
          <w:szCs w:val="22"/>
          <w:lang w:val="sk-SK"/>
        </w:rPr>
        <w:t>rifaximínu</w:t>
      </w:r>
      <w:proofErr w:type="spellEnd"/>
      <w:r w:rsidRPr="008A6EA9">
        <w:rPr>
          <w:color w:val="000000"/>
          <w:sz w:val="22"/>
          <w:szCs w:val="22"/>
          <w:lang w:val="sk-SK"/>
        </w:rPr>
        <w:t>, ktorý bol u ľudí identifikovaný.</w:t>
      </w:r>
    </w:p>
    <w:p w:rsidR="0052673F" w:rsidRPr="008A6EA9" w:rsidRDefault="0052673F" w:rsidP="004E3DD0">
      <w:pPr>
        <w:numPr>
          <w:ilvl w:val="12"/>
          <w:numId w:val="0"/>
        </w:numPr>
        <w:suppressLineNumbers/>
        <w:ind w:right="-2"/>
        <w:rPr>
          <w:sz w:val="22"/>
          <w:szCs w:val="22"/>
          <w:u w:val="single"/>
          <w:lang w:val="sk-SK"/>
        </w:rPr>
      </w:pPr>
    </w:p>
    <w:p w:rsidR="0052673F" w:rsidRPr="008A6EA9" w:rsidRDefault="0052673F" w:rsidP="004E3DD0">
      <w:pPr>
        <w:numPr>
          <w:ilvl w:val="12"/>
          <w:numId w:val="0"/>
        </w:numPr>
        <w:suppressLineNumbers/>
        <w:ind w:right="-2"/>
        <w:rPr>
          <w:b/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Eliminácia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Štúdia </w:t>
      </w:r>
      <w:r w:rsidR="00A01133" w:rsidRPr="008A6EA9">
        <w:rPr>
          <w:sz w:val="22"/>
          <w:szCs w:val="22"/>
          <w:lang w:val="sk-SK"/>
        </w:rPr>
        <w:t>rádioaktívne značeného</w:t>
      </w:r>
      <w:r w:rsidRPr="008A6EA9">
        <w:rPr>
          <w:sz w:val="22"/>
          <w:szCs w:val="22"/>
          <w:lang w:val="sk-SK"/>
        </w:rPr>
        <w:t xml:space="preserve"> </w:t>
      </w:r>
      <w:proofErr w:type="spellStart"/>
      <w:r w:rsidRPr="008A6EA9">
        <w:rPr>
          <w:sz w:val="22"/>
          <w:szCs w:val="22"/>
          <w:lang w:val="sk-SK"/>
        </w:rPr>
        <w:t>rifaximínu</w:t>
      </w:r>
      <w:proofErr w:type="spellEnd"/>
      <w:r w:rsidRPr="008A6EA9">
        <w:rPr>
          <w:sz w:val="22"/>
          <w:szCs w:val="22"/>
          <w:lang w:val="sk-SK"/>
        </w:rPr>
        <w:t xml:space="preserve"> naznačovala, že </w:t>
      </w:r>
      <w:r w:rsidRPr="008A6EA9">
        <w:rPr>
          <w:sz w:val="22"/>
          <w:szCs w:val="22"/>
          <w:vertAlign w:val="superscript"/>
          <w:lang w:val="sk-SK"/>
        </w:rPr>
        <w:t>14</w:t>
      </w:r>
      <w:r w:rsidRPr="008A6EA9">
        <w:rPr>
          <w:sz w:val="22"/>
          <w:szCs w:val="22"/>
          <w:lang w:val="sk-SK"/>
        </w:rPr>
        <w:t xml:space="preserve">C-rifaximín je takmer výhradne a kompletne vylučovaný v stolici (96,9 % z podanej dávky). </w:t>
      </w:r>
      <w:r w:rsidR="00A01133" w:rsidRPr="008A6EA9">
        <w:rPr>
          <w:sz w:val="22"/>
          <w:szCs w:val="22"/>
          <w:lang w:val="sk-SK"/>
        </w:rPr>
        <w:t>Obrat</w:t>
      </w:r>
      <w:r w:rsidRPr="008A6EA9">
        <w:rPr>
          <w:sz w:val="22"/>
          <w:szCs w:val="22"/>
          <w:lang w:val="sk-SK"/>
        </w:rPr>
        <w:t xml:space="preserve"> </w:t>
      </w:r>
      <w:r w:rsidRPr="008A6EA9">
        <w:rPr>
          <w:sz w:val="22"/>
          <w:szCs w:val="22"/>
          <w:vertAlign w:val="superscript"/>
          <w:lang w:val="sk-SK"/>
        </w:rPr>
        <w:t>14</w:t>
      </w:r>
      <w:r w:rsidRPr="008A6EA9">
        <w:rPr>
          <w:sz w:val="22"/>
          <w:szCs w:val="22"/>
          <w:lang w:val="sk-SK"/>
        </w:rPr>
        <w:t xml:space="preserve">C-rifaximínu </w:t>
      </w:r>
      <w:r w:rsidR="00A01133" w:rsidRPr="008A6EA9">
        <w:rPr>
          <w:sz w:val="22"/>
          <w:szCs w:val="22"/>
          <w:lang w:val="sk-SK"/>
        </w:rPr>
        <w:t xml:space="preserve">v moči </w:t>
      </w:r>
      <w:r w:rsidRPr="008A6EA9">
        <w:rPr>
          <w:sz w:val="22"/>
          <w:szCs w:val="22"/>
          <w:lang w:val="sk-SK"/>
        </w:rPr>
        <w:t>nepresahuje 0,4 % podanej dávky.</w:t>
      </w:r>
    </w:p>
    <w:p w:rsidR="0052673F" w:rsidRPr="008A6EA9" w:rsidRDefault="0052673F" w:rsidP="004E3DD0">
      <w:pPr>
        <w:numPr>
          <w:ilvl w:val="12"/>
          <w:numId w:val="0"/>
        </w:numPr>
        <w:suppressLineNumbers/>
        <w:ind w:right="-2"/>
        <w:rPr>
          <w:sz w:val="22"/>
          <w:szCs w:val="22"/>
          <w:u w:val="single"/>
          <w:lang w:val="sk-SK"/>
        </w:rPr>
      </w:pPr>
    </w:p>
    <w:p w:rsidR="0052673F" w:rsidRPr="008A6EA9" w:rsidRDefault="0052673F" w:rsidP="004E3DD0">
      <w:pPr>
        <w:numPr>
          <w:ilvl w:val="12"/>
          <w:numId w:val="0"/>
        </w:numPr>
        <w:suppressLineNumbers/>
        <w:ind w:right="-2"/>
        <w:rPr>
          <w:b/>
          <w:sz w:val="22"/>
          <w:szCs w:val="22"/>
          <w:lang w:val="sk-SK"/>
        </w:rPr>
      </w:pPr>
      <w:proofErr w:type="spellStart"/>
      <w:r w:rsidRPr="008A6EA9">
        <w:rPr>
          <w:b/>
          <w:sz w:val="22"/>
          <w:szCs w:val="22"/>
          <w:lang w:val="sk-SK"/>
        </w:rPr>
        <w:t>Linearita</w:t>
      </w:r>
      <w:proofErr w:type="spellEnd"/>
      <w:r w:rsidRPr="008A6EA9">
        <w:rPr>
          <w:b/>
          <w:sz w:val="22"/>
          <w:szCs w:val="22"/>
          <w:lang w:val="sk-SK"/>
        </w:rPr>
        <w:t>/</w:t>
      </w:r>
      <w:proofErr w:type="spellStart"/>
      <w:r w:rsidRPr="008A6EA9">
        <w:rPr>
          <w:b/>
          <w:sz w:val="22"/>
          <w:szCs w:val="22"/>
          <w:lang w:val="sk-SK"/>
        </w:rPr>
        <w:t>nelinearita</w:t>
      </w:r>
      <w:proofErr w:type="spellEnd"/>
    </w:p>
    <w:p w:rsidR="0052673F" w:rsidRPr="008A6EA9" w:rsidRDefault="0052673F" w:rsidP="004E3DD0">
      <w:pPr>
        <w:tabs>
          <w:tab w:val="left" w:pos="0"/>
        </w:tabs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Rýchlosť a rozsah systémovej expozície </w:t>
      </w:r>
      <w:proofErr w:type="spellStart"/>
      <w:r w:rsidR="00A01133" w:rsidRPr="008A6EA9">
        <w:rPr>
          <w:sz w:val="22"/>
          <w:szCs w:val="22"/>
          <w:lang w:val="sk-SK"/>
        </w:rPr>
        <w:t>rifaximínu</w:t>
      </w:r>
      <w:proofErr w:type="spellEnd"/>
      <w:r w:rsidR="00A01133" w:rsidRPr="008A6EA9">
        <w:rPr>
          <w:sz w:val="22"/>
          <w:szCs w:val="22"/>
          <w:lang w:val="sk-SK"/>
        </w:rPr>
        <w:t xml:space="preserve"> u </w:t>
      </w:r>
      <w:r w:rsidRPr="008A6EA9">
        <w:rPr>
          <w:sz w:val="22"/>
          <w:szCs w:val="22"/>
          <w:lang w:val="sk-SK"/>
        </w:rPr>
        <w:t xml:space="preserve">ľudí bola evidentne charakterizovaná nelineárnou (závislou na dávke) kinetikou, ktorá je v súlade s možnosťou absorpcie </w:t>
      </w:r>
      <w:proofErr w:type="spellStart"/>
      <w:r w:rsidRPr="008A6EA9">
        <w:rPr>
          <w:sz w:val="22"/>
          <w:szCs w:val="22"/>
          <w:lang w:val="sk-SK"/>
        </w:rPr>
        <w:t>rifaximínu</w:t>
      </w:r>
      <w:proofErr w:type="spellEnd"/>
      <w:r w:rsidRPr="008A6EA9">
        <w:rPr>
          <w:sz w:val="22"/>
          <w:szCs w:val="22"/>
          <w:lang w:val="sk-SK"/>
        </w:rPr>
        <w:t xml:space="preserve"> obmedzenej rýchlosťou rozpustenia.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keepNext/>
        <w:rPr>
          <w:b/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Špeciálne populácie</w:t>
      </w:r>
    </w:p>
    <w:p w:rsidR="0052673F" w:rsidRPr="008A6EA9" w:rsidRDefault="0052673F" w:rsidP="004E3DD0">
      <w:pPr>
        <w:keepNext/>
        <w:rPr>
          <w:b/>
          <w:sz w:val="22"/>
          <w:szCs w:val="22"/>
          <w:lang w:val="sk-SK"/>
        </w:rPr>
      </w:pPr>
    </w:p>
    <w:p w:rsidR="0052673F" w:rsidRPr="008A6EA9" w:rsidRDefault="0052673F" w:rsidP="004E3DD0">
      <w:pPr>
        <w:keepNext/>
        <w:rPr>
          <w:i/>
          <w:sz w:val="22"/>
          <w:szCs w:val="22"/>
          <w:lang w:val="sk-SK"/>
        </w:rPr>
      </w:pPr>
      <w:r w:rsidRPr="008A6EA9">
        <w:rPr>
          <w:i/>
          <w:sz w:val="22"/>
          <w:szCs w:val="22"/>
          <w:lang w:val="sk-SK"/>
        </w:rPr>
        <w:t>Porucha funkcie obličiek</w:t>
      </w:r>
    </w:p>
    <w:p w:rsidR="0052673F" w:rsidRPr="008A6EA9" w:rsidRDefault="0052673F" w:rsidP="004E3DD0">
      <w:pPr>
        <w:tabs>
          <w:tab w:val="left" w:pos="567"/>
        </w:tabs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Nie sú dostupné klinické údaje o použití </w:t>
      </w:r>
      <w:proofErr w:type="spellStart"/>
      <w:r w:rsidRPr="008A6EA9">
        <w:rPr>
          <w:sz w:val="22"/>
          <w:szCs w:val="22"/>
          <w:lang w:val="sk-SK"/>
        </w:rPr>
        <w:t>rifaximínu</w:t>
      </w:r>
      <w:proofErr w:type="spellEnd"/>
      <w:r w:rsidRPr="008A6EA9">
        <w:rPr>
          <w:sz w:val="22"/>
          <w:szCs w:val="22"/>
          <w:lang w:val="sk-SK"/>
        </w:rPr>
        <w:t xml:space="preserve"> u pacientov s poruchou funkcie obličiek.</w:t>
      </w:r>
    </w:p>
    <w:p w:rsidR="0052673F" w:rsidRPr="008A6EA9" w:rsidRDefault="0052673F" w:rsidP="004E3DD0">
      <w:pPr>
        <w:tabs>
          <w:tab w:val="left" w:pos="567"/>
        </w:tabs>
        <w:rPr>
          <w:sz w:val="22"/>
          <w:szCs w:val="22"/>
          <w:lang w:val="sk-SK"/>
        </w:rPr>
      </w:pPr>
    </w:p>
    <w:p w:rsidR="0052673F" w:rsidRPr="008A6EA9" w:rsidRDefault="0052673F" w:rsidP="004E3DD0">
      <w:pPr>
        <w:tabs>
          <w:tab w:val="left" w:pos="567"/>
        </w:tabs>
        <w:rPr>
          <w:i/>
          <w:sz w:val="22"/>
          <w:szCs w:val="22"/>
          <w:lang w:val="sk-SK"/>
        </w:rPr>
      </w:pPr>
      <w:r w:rsidRPr="008A6EA9">
        <w:rPr>
          <w:i/>
          <w:sz w:val="22"/>
          <w:szCs w:val="22"/>
          <w:lang w:val="sk-SK"/>
        </w:rPr>
        <w:t>Porucha funkcie pečene</w:t>
      </w:r>
    </w:p>
    <w:p w:rsidR="00A01133" w:rsidRPr="008A6EA9" w:rsidRDefault="0052673F" w:rsidP="004E3DD0">
      <w:pPr>
        <w:tabs>
          <w:tab w:val="left" w:pos="567"/>
        </w:tabs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Klinické údaje u pacientov s poruchou funkcie pečene preukázali systémovú expozíciu vyššiu ako bola pozorovaná u zdravých </w:t>
      </w:r>
      <w:r w:rsidR="00EC0C23" w:rsidRPr="008A6EA9">
        <w:rPr>
          <w:sz w:val="22"/>
          <w:szCs w:val="22"/>
          <w:lang w:val="sk-SK"/>
        </w:rPr>
        <w:t>jedincov</w:t>
      </w:r>
      <w:r w:rsidRPr="008A6EA9">
        <w:rPr>
          <w:sz w:val="22"/>
          <w:szCs w:val="22"/>
          <w:lang w:val="sk-SK"/>
        </w:rPr>
        <w:t xml:space="preserve">. Systémová expozícia </w:t>
      </w:r>
      <w:proofErr w:type="spellStart"/>
      <w:r w:rsidRPr="008A6EA9">
        <w:rPr>
          <w:sz w:val="22"/>
          <w:szCs w:val="22"/>
          <w:lang w:val="sk-SK"/>
        </w:rPr>
        <w:t>rifaximínu</w:t>
      </w:r>
      <w:proofErr w:type="spellEnd"/>
      <w:r w:rsidRPr="008A6EA9">
        <w:rPr>
          <w:sz w:val="22"/>
          <w:szCs w:val="22"/>
          <w:lang w:val="sk-SK"/>
        </w:rPr>
        <w:t xml:space="preserve"> bola približne </w:t>
      </w:r>
    </w:p>
    <w:p w:rsidR="0052673F" w:rsidRPr="008A6EA9" w:rsidRDefault="0052673F" w:rsidP="004E3DD0">
      <w:pPr>
        <w:tabs>
          <w:tab w:val="left" w:pos="567"/>
        </w:tabs>
        <w:rPr>
          <w:sz w:val="22"/>
          <w:szCs w:val="22"/>
          <w:lang w:val="sk-SK" w:eastAsia="it-IT"/>
        </w:rPr>
      </w:pPr>
      <w:r w:rsidRPr="008A6EA9">
        <w:rPr>
          <w:sz w:val="22"/>
          <w:szCs w:val="22"/>
          <w:lang w:val="sk-SK" w:eastAsia="it-IT"/>
        </w:rPr>
        <w:t xml:space="preserve">10-, 13- a 20-násobne vyššia u pacientov s miernou </w:t>
      </w:r>
      <w:bookmarkStart w:id="1" w:name="OLE_LINK1"/>
      <w:r w:rsidRPr="008A6EA9">
        <w:rPr>
          <w:sz w:val="22"/>
          <w:szCs w:val="22"/>
          <w:lang w:val="sk-SK" w:eastAsia="it-IT"/>
        </w:rPr>
        <w:t>(</w:t>
      </w:r>
      <w:proofErr w:type="spellStart"/>
      <w:r w:rsidRPr="008A6EA9">
        <w:rPr>
          <w:sz w:val="22"/>
          <w:szCs w:val="22"/>
          <w:lang w:val="sk-SK" w:eastAsia="it-IT"/>
        </w:rPr>
        <w:t>Child-Pughov</w:t>
      </w:r>
      <w:proofErr w:type="spellEnd"/>
      <w:r w:rsidRPr="008A6EA9">
        <w:rPr>
          <w:sz w:val="22"/>
          <w:szCs w:val="22"/>
          <w:lang w:val="sk-SK" w:eastAsia="it-IT"/>
        </w:rPr>
        <w:t xml:space="preserve"> A), </w:t>
      </w:r>
      <w:bookmarkEnd w:id="1"/>
      <w:r w:rsidRPr="008A6EA9">
        <w:rPr>
          <w:sz w:val="22"/>
          <w:szCs w:val="22"/>
          <w:lang w:val="sk-SK" w:eastAsia="it-IT"/>
        </w:rPr>
        <w:t>stredne závažnou (</w:t>
      </w:r>
      <w:proofErr w:type="spellStart"/>
      <w:r w:rsidRPr="008A6EA9">
        <w:rPr>
          <w:sz w:val="22"/>
          <w:szCs w:val="22"/>
          <w:lang w:val="sk-SK" w:eastAsia="it-IT"/>
        </w:rPr>
        <w:t>Child-Pughov</w:t>
      </w:r>
      <w:proofErr w:type="spellEnd"/>
      <w:r w:rsidRPr="008A6EA9">
        <w:rPr>
          <w:sz w:val="22"/>
          <w:szCs w:val="22"/>
          <w:lang w:val="sk-SK" w:eastAsia="it-IT"/>
        </w:rPr>
        <w:t xml:space="preserve"> B) a závažnou (</w:t>
      </w:r>
      <w:proofErr w:type="spellStart"/>
      <w:r w:rsidRPr="008A6EA9">
        <w:rPr>
          <w:sz w:val="22"/>
          <w:szCs w:val="22"/>
          <w:lang w:val="sk-SK" w:eastAsia="it-IT"/>
        </w:rPr>
        <w:t>Child-Pughov</w:t>
      </w:r>
      <w:proofErr w:type="spellEnd"/>
      <w:r w:rsidRPr="008A6EA9">
        <w:rPr>
          <w:sz w:val="22"/>
          <w:szCs w:val="22"/>
          <w:lang w:val="sk-SK" w:eastAsia="it-IT"/>
        </w:rPr>
        <w:t xml:space="preserve"> C) poruchou funkcie pečene v porovnaní so zdravými dobrovoľníkmi. Nárast systémovej expozície </w:t>
      </w:r>
      <w:proofErr w:type="spellStart"/>
      <w:r w:rsidRPr="008A6EA9">
        <w:rPr>
          <w:sz w:val="22"/>
          <w:szCs w:val="22"/>
          <w:lang w:val="sk-SK" w:eastAsia="it-IT"/>
        </w:rPr>
        <w:t>rifaximínu</w:t>
      </w:r>
      <w:proofErr w:type="spellEnd"/>
      <w:r w:rsidRPr="008A6EA9">
        <w:rPr>
          <w:sz w:val="22"/>
          <w:szCs w:val="22"/>
          <w:lang w:val="sk-SK" w:eastAsia="it-IT"/>
        </w:rPr>
        <w:t xml:space="preserve"> u</w:t>
      </w:r>
      <w:r w:rsidR="00EC0C23" w:rsidRPr="008A6EA9">
        <w:rPr>
          <w:sz w:val="22"/>
          <w:szCs w:val="22"/>
          <w:lang w:val="sk-SK" w:eastAsia="it-IT"/>
        </w:rPr>
        <w:t xml:space="preserve"> pacientov </w:t>
      </w:r>
      <w:r w:rsidRPr="008A6EA9">
        <w:rPr>
          <w:sz w:val="22"/>
          <w:szCs w:val="22"/>
          <w:lang w:val="sk-SK" w:eastAsia="it-IT"/>
        </w:rPr>
        <w:t>s</w:t>
      </w:r>
      <w:r w:rsidR="00EC0C23" w:rsidRPr="008A6EA9">
        <w:rPr>
          <w:sz w:val="22"/>
          <w:szCs w:val="22"/>
          <w:lang w:val="sk-SK" w:eastAsia="it-IT"/>
        </w:rPr>
        <w:t xml:space="preserve"> </w:t>
      </w:r>
      <w:r w:rsidRPr="008A6EA9">
        <w:rPr>
          <w:sz w:val="22"/>
          <w:szCs w:val="22"/>
          <w:lang w:val="sk-SK" w:eastAsia="it-IT"/>
        </w:rPr>
        <w:t xml:space="preserve">poruchou funkcie pečene je potrebné interpretovať vzhľadom na </w:t>
      </w:r>
      <w:r w:rsidR="00EC0C23" w:rsidRPr="008A6EA9">
        <w:rPr>
          <w:sz w:val="22"/>
          <w:szCs w:val="22"/>
          <w:lang w:val="sk-SK" w:eastAsia="it-IT"/>
        </w:rPr>
        <w:t xml:space="preserve">lokálny </w:t>
      </w:r>
      <w:r w:rsidRPr="008A6EA9">
        <w:rPr>
          <w:sz w:val="22"/>
          <w:szCs w:val="22"/>
          <w:lang w:val="sk-SK" w:eastAsia="it-IT"/>
        </w:rPr>
        <w:t xml:space="preserve">účinok </w:t>
      </w:r>
      <w:proofErr w:type="spellStart"/>
      <w:r w:rsidRPr="008A6EA9">
        <w:rPr>
          <w:sz w:val="22"/>
          <w:szCs w:val="22"/>
          <w:lang w:val="sk-SK" w:eastAsia="it-IT"/>
        </w:rPr>
        <w:t>rifaximínu</w:t>
      </w:r>
      <w:proofErr w:type="spellEnd"/>
      <w:r w:rsidRPr="008A6EA9">
        <w:rPr>
          <w:sz w:val="22"/>
          <w:szCs w:val="22"/>
          <w:lang w:val="sk-SK" w:eastAsia="it-IT"/>
        </w:rPr>
        <w:t xml:space="preserve"> </w:t>
      </w:r>
      <w:r w:rsidR="00EC0C23" w:rsidRPr="008A6EA9">
        <w:rPr>
          <w:sz w:val="22"/>
          <w:szCs w:val="22"/>
          <w:lang w:val="sk-SK" w:eastAsia="it-IT"/>
        </w:rPr>
        <w:t xml:space="preserve">v gastrointestinálnom trakte </w:t>
      </w:r>
      <w:r w:rsidRPr="008A6EA9">
        <w:rPr>
          <w:sz w:val="22"/>
          <w:szCs w:val="22"/>
          <w:lang w:val="sk-SK" w:eastAsia="it-IT"/>
        </w:rPr>
        <w:t>a</w:t>
      </w:r>
      <w:r w:rsidR="00EC0C23" w:rsidRPr="008A6EA9">
        <w:rPr>
          <w:sz w:val="22"/>
          <w:szCs w:val="22"/>
          <w:lang w:val="sk-SK" w:eastAsia="it-IT"/>
        </w:rPr>
        <w:t xml:space="preserve"> </w:t>
      </w:r>
      <w:r w:rsidRPr="008A6EA9">
        <w:rPr>
          <w:sz w:val="22"/>
          <w:szCs w:val="22"/>
          <w:lang w:val="sk-SK" w:eastAsia="it-IT"/>
        </w:rPr>
        <w:t xml:space="preserve">jeho nízku systémovú biologickú dostupnosť, ako aj </w:t>
      </w:r>
      <w:r w:rsidR="00EC0C23" w:rsidRPr="008A6EA9">
        <w:rPr>
          <w:sz w:val="22"/>
          <w:szCs w:val="22"/>
          <w:lang w:val="sk-SK" w:eastAsia="it-IT"/>
        </w:rPr>
        <w:t xml:space="preserve">vzhľadom na </w:t>
      </w:r>
      <w:r w:rsidRPr="008A6EA9">
        <w:rPr>
          <w:sz w:val="22"/>
          <w:szCs w:val="22"/>
          <w:lang w:val="sk-SK" w:eastAsia="it-IT"/>
        </w:rPr>
        <w:t>dostupné údaje bezpečnosti u</w:t>
      </w:r>
      <w:r w:rsidR="00EC0C23" w:rsidRPr="008A6EA9">
        <w:rPr>
          <w:sz w:val="22"/>
          <w:szCs w:val="22"/>
          <w:lang w:val="sk-SK" w:eastAsia="it-IT"/>
        </w:rPr>
        <w:t xml:space="preserve"> pacientov s</w:t>
      </w:r>
      <w:r w:rsidRPr="008A6EA9">
        <w:rPr>
          <w:sz w:val="22"/>
          <w:szCs w:val="22"/>
          <w:lang w:val="sk-SK" w:eastAsia="it-IT"/>
        </w:rPr>
        <w:t xml:space="preserve"> cirhózou.</w:t>
      </w:r>
    </w:p>
    <w:p w:rsidR="0052673F" w:rsidRPr="008A6EA9" w:rsidRDefault="0052673F" w:rsidP="004E3DD0">
      <w:pPr>
        <w:tabs>
          <w:tab w:val="left" w:pos="567"/>
        </w:tabs>
        <w:rPr>
          <w:sz w:val="22"/>
          <w:szCs w:val="22"/>
          <w:lang w:val="sk-SK" w:eastAsia="it-IT"/>
        </w:rPr>
      </w:pPr>
    </w:p>
    <w:p w:rsidR="0052673F" w:rsidRPr="008A6EA9" w:rsidRDefault="0052673F" w:rsidP="004E3DD0">
      <w:pPr>
        <w:tabs>
          <w:tab w:val="left" w:pos="567"/>
        </w:tabs>
        <w:rPr>
          <w:sz w:val="22"/>
          <w:szCs w:val="22"/>
          <w:lang w:val="sk-SK" w:eastAsia="it-IT"/>
        </w:rPr>
      </w:pPr>
      <w:r w:rsidRPr="008A6EA9">
        <w:rPr>
          <w:sz w:val="22"/>
          <w:szCs w:val="22"/>
          <w:lang w:val="sk-SK" w:eastAsia="it-IT"/>
        </w:rPr>
        <w:t xml:space="preserve">Neodporúča sa preto úprava dávkovania, pretože </w:t>
      </w:r>
      <w:proofErr w:type="spellStart"/>
      <w:r w:rsidRPr="008A6EA9">
        <w:rPr>
          <w:sz w:val="22"/>
          <w:szCs w:val="22"/>
          <w:lang w:val="sk-SK" w:eastAsia="it-IT"/>
        </w:rPr>
        <w:t>rifaximín</w:t>
      </w:r>
      <w:proofErr w:type="spellEnd"/>
      <w:r w:rsidRPr="008A6EA9">
        <w:rPr>
          <w:sz w:val="22"/>
          <w:szCs w:val="22"/>
          <w:lang w:val="sk-SK" w:eastAsia="it-IT"/>
        </w:rPr>
        <w:t xml:space="preserve"> pôsobí lokálne.</w:t>
      </w:r>
    </w:p>
    <w:p w:rsidR="0052673F" w:rsidRPr="008A6EA9" w:rsidRDefault="0052673F" w:rsidP="004E3DD0">
      <w:pPr>
        <w:tabs>
          <w:tab w:val="left" w:pos="567"/>
        </w:tabs>
        <w:rPr>
          <w:sz w:val="22"/>
          <w:szCs w:val="22"/>
          <w:lang w:val="sk-SK" w:eastAsia="it-IT"/>
        </w:rPr>
      </w:pPr>
    </w:p>
    <w:p w:rsidR="0052673F" w:rsidRPr="008A6EA9" w:rsidRDefault="0052673F" w:rsidP="004E3DD0">
      <w:pPr>
        <w:tabs>
          <w:tab w:val="left" w:pos="567"/>
        </w:tabs>
        <w:rPr>
          <w:i/>
          <w:sz w:val="22"/>
          <w:szCs w:val="22"/>
          <w:lang w:val="sk-SK" w:eastAsia="it-IT"/>
        </w:rPr>
      </w:pPr>
      <w:r w:rsidRPr="008A6EA9">
        <w:rPr>
          <w:i/>
          <w:sz w:val="22"/>
          <w:szCs w:val="22"/>
          <w:lang w:val="sk-SK" w:eastAsia="it-IT"/>
        </w:rPr>
        <w:t>Deti a dospievajúci</w:t>
      </w:r>
    </w:p>
    <w:p w:rsidR="0052673F" w:rsidRPr="008A6EA9" w:rsidRDefault="0052673F" w:rsidP="004E3DD0">
      <w:pPr>
        <w:tabs>
          <w:tab w:val="left" w:pos="567"/>
        </w:tabs>
        <w:rPr>
          <w:sz w:val="22"/>
          <w:szCs w:val="22"/>
          <w:lang w:val="sk-SK" w:eastAsia="it-IT"/>
        </w:rPr>
      </w:pPr>
      <w:proofErr w:type="spellStart"/>
      <w:r w:rsidRPr="008A6EA9">
        <w:rPr>
          <w:sz w:val="22"/>
          <w:szCs w:val="22"/>
          <w:lang w:val="sk-SK" w:eastAsia="it-IT"/>
        </w:rPr>
        <w:t>Farmakokineti</w:t>
      </w:r>
      <w:r w:rsidR="00EC0C23" w:rsidRPr="008A6EA9">
        <w:rPr>
          <w:sz w:val="22"/>
          <w:szCs w:val="22"/>
          <w:lang w:val="sk-SK" w:eastAsia="it-IT"/>
        </w:rPr>
        <w:t>ka</w:t>
      </w:r>
      <w:proofErr w:type="spellEnd"/>
      <w:r w:rsidRPr="008A6EA9">
        <w:rPr>
          <w:sz w:val="22"/>
          <w:szCs w:val="22"/>
          <w:lang w:val="sk-SK" w:eastAsia="it-IT"/>
        </w:rPr>
        <w:t xml:space="preserve"> </w:t>
      </w:r>
      <w:proofErr w:type="spellStart"/>
      <w:r w:rsidRPr="008A6EA9">
        <w:rPr>
          <w:sz w:val="22"/>
          <w:szCs w:val="22"/>
          <w:lang w:val="sk-SK" w:eastAsia="it-IT"/>
        </w:rPr>
        <w:t>rifaximínu</w:t>
      </w:r>
      <w:proofErr w:type="spellEnd"/>
      <w:r w:rsidRPr="008A6EA9">
        <w:rPr>
          <w:sz w:val="22"/>
          <w:szCs w:val="22"/>
          <w:lang w:val="sk-SK" w:eastAsia="it-IT"/>
        </w:rPr>
        <w:t xml:space="preserve"> </w:t>
      </w:r>
      <w:r w:rsidR="00EC0C23" w:rsidRPr="008A6EA9">
        <w:rPr>
          <w:sz w:val="22"/>
          <w:szCs w:val="22"/>
          <w:lang w:val="sk-SK" w:eastAsia="it-IT"/>
        </w:rPr>
        <w:t>sa neštudovala u pediatrických pacientov v akomkoľvek veku</w:t>
      </w:r>
      <w:r w:rsidRPr="008A6EA9">
        <w:rPr>
          <w:sz w:val="22"/>
          <w:szCs w:val="22"/>
          <w:lang w:val="sk-SK" w:eastAsia="it-IT"/>
        </w:rPr>
        <w:t xml:space="preserve">. Populácia skúmaná na pokles </w:t>
      </w:r>
      <w:proofErr w:type="spellStart"/>
      <w:r w:rsidRPr="008A6EA9">
        <w:rPr>
          <w:sz w:val="22"/>
          <w:szCs w:val="22"/>
          <w:lang w:val="sk-SK" w:eastAsia="it-IT"/>
        </w:rPr>
        <w:t>rekurencie</w:t>
      </w:r>
      <w:proofErr w:type="spellEnd"/>
      <w:r w:rsidRPr="008A6EA9">
        <w:rPr>
          <w:sz w:val="22"/>
          <w:szCs w:val="22"/>
          <w:lang w:val="sk-SK" w:eastAsia="it-IT"/>
        </w:rPr>
        <w:t xml:space="preserve"> hepatálnej </w:t>
      </w:r>
      <w:proofErr w:type="spellStart"/>
      <w:r w:rsidRPr="008A6EA9">
        <w:rPr>
          <w:sz w:val="22"/>
          <w:szCs w:val="22"/>
          <w:lang w:val="sk-SK" w:eastAsia="it-IT"/>
        </w:rPr>
        <w:t>encefalopatie</w:t>
      </w:r>
      <w:proofErr w:type="spellEnd"/>
      <w:r w:rsidRPr="008A6EA9">
        <w:rPr>
          <w:sz w:val="22"/>
          <w:szCs w:val="22"/>
          <w:lang w:val="sk-SK" w:eastAsia="it-IT"/>
        </w:rPr>
        <w:t xml:space="preserve"> (HE) a akútnu liečbu HE zahŕňala pacientov vo veku ≥ 18 rokov.</w:t>
      </w:r>
    </w:p>
    <w:p w:rsidR="0052673F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5.3</w:t>
      </w:r>
      <w:r w:rsidRPr="008A6EA9">
        <w:rPr>
          <w:b/>
          <w:sz w:val="22"/>
          <w:szCs w:val="22"/>
          <w:lang w:val="sk-SK"/>
        </w:rPr>
        <w:tab/>
        <w:t>Predklinické údaje o bezpečnosti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Predklinické údaje získané na základe obvyklých farmakologických štúdií bezpečnosti, toxicity po opakovanom podaní, </w:t>
      </w:r>
      <w:proofErr w:type="spellStart"/>
      <w:r w:rsidRPr="008A6EA9">
        <w:rPr>
          <w:sz w:val="22"/>
          <w:szCs w:val="22"/>
          <w:lang w:val="sk-SK"/>
        </w:rPr>
        <w:t>genotoxicity</w:t>
      </w:r>
      <w:proofErr w:type="spellEnd"/>
      <w:r w:rsidRPr="008A6EA9">
        <w:rPr>
          <w:sz w:val="22"/>
          <w:szCs w:val="22"/>
          <w:lang w:val="sk-SK"/>
        </w:rPr>
        <w:t xml:space="preserve"> a karcinogénneho potenciálu neodhalili žiadne osobitné riziko pre ľudí.</w:t>
      </w:r>
    </w:p>
    <w:p w:rsidR="00C646BC" w:rsidRPr="008A6EA9" w:rsidRDefault="00C646BC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V štúdii </w:t>
      </w:r>
      <w:proofErr w:type="spellStart"/>
      <w:r w:rsidRPr="008A6EA9">
        <w:rPr>
          <w:sz w:val="22"/>
          <w:szCs w:val="22"/>
          <w:lang w:val="sk-SK"/>
        </w:rPr>
        <w:t>embryofetálneho</w:t>
      </w:r>
      <w:proofErr w:type="spellEnd"/>
      <w:r w:rsidRPr="008A6EA9">
        <w:rPr>
          <w:sz w:val="22"/>
          <w:szCs w:val="22"/>
          <w:lang w:val="sk-SK"/>
        </w:rPr>
        <w:t xml:space="preserve"> vývoja potkanov bola pozorovaná mierna a prechodná oneskorená osifikácia, ktorá neovplyvnila normálny vývin potomkov pri dávke 300 mg/kg/deň (2,7-násobok navrhovanej klinickej dávky pre hepatálnu </w:t>
      </w:r>
      <w:proofErr w:type="spellStart"/>
      <w:r w:rsidRPr="008A6EA9">
        <w:rPr>
          <w:sz w:val="22"/>
          <w:szCs w:val="22"/>
          <w:lang w:val="sk-SK"/>
        </w:rPr>
        <w:t>encefalopatiu</w:t>
      </w:r>
      <w:proofErr w:type="spellEnd"/>
      <w:r w:rsidRPr="008A6EA9">
        <w:rPr>
          <w:sz w:val="22"/>
          <w:szCs w:val="22"/>
          <w:lang w:val="sk-SK"/>
        </w:rPr>
        <w:t>, prispôsobená na veľkosť povrchu tela). U</w:t>
      </w:r>
      <w:r w:rsidR="00C646BC" w:rsidRPr="008A6EA9">
        <w:rPr>
          <w:sz w:val="22"/>
          <w:szCs w:val="22"/>
          <w:lang w:val="sk-SK"/>
        </w:rPr>
        <w:t xml:space="preserve"> </w:t>
      </w:r>
      <w:r w:rsidRPr="008A6EA9">
        <w:rPr>
          <w:sz w:val="22"/>
          <w:szCs w:val="22"/>
          <w:lang w:val="sk-SK"/>
        </w:rPr>
        <w:t xml:space="preserve">králikov bol pozorovaný nárast výskytu </w:t>
      </w:r>
      <w:proofErr w:type="spellStart"/>
      <w:r w:rsidRPr="008A6EA9">
        <w:rPr>
          <w:sz w:val="22"/>
          <w:szCs w:val="22"/>
          <w:lang w:val="sk-SK"/>
        </w:rPr>
        <w:t>skeletálnych</w:t>
      </w:r>
      <w:proofErr w:type="spellEnd"/>
      <w:r w:rsidRPr="008A6EA9">
        <w:rPr>
          <w:sz w:val="22"/>
          <w:szCs w:val="22"/>
          <w:lang w:val="sk-SK"/>
        </w:rPr>
        <w:t xml:space="preserve"> zmien po perorálnom podaní </w:t>
      </w:r>
      <w:proofErr w:type="spellStart"/>
      <w:r w:rsidRPr="008A6EA9">
        <w:rPr>
          <w:sz w:val="22"/>
          <w:szCs w:val="22"/>
          <w:lang w:val="sk-SK"/>
        </w:rPr>
        <w:t>rifaximínu</w:t>
      </w:r>
      <w:proofErr w:type="spellEnd"/>
      <w:r w:rsidRPr="008A6EA9">
        <w:rPr>
          <w:sz w:val="22"/>
          <w:szCs w:val="22"/>
          <w:lang w:val="sk-SK"/>
        </w:rPr>
        <w:t xml:space="preserve"> počas </w:t>
      </w:r>
      <w:proofErr w:type="spellStart"/>
      <w:r w:rsidR="00C646BC" w:rsidRPr="008A6EA9">
        <w:rPr>
          <w:sz w:val="22"/>
          <w:szCs w:val="22"/>
          <w:lang w:val="sk-SK"/>
        </w:rPr>
        <w:t>gestácie</w:t>
      </w:r>
      <w:proofErr w:type="spellEnd"/>
      <w:r w:rsidR="00C646BC" w:rsidRPr="008A6EA9">
        <w:rPr>
          <w:sz w:val="22"/>
          <w:szCs w:val="22"/>
          <w:lang w:val="sk-SK"/>
        </w:rPr>
        <w:t xml:space="preserve"> </w:t>
      </w:r>
      <w:r w:rsidRPr="008A6EA9">
        <w:rPr>
          <w:sz w:val="22"/>
          <w:szCs w:val="22"/>
          <w:lang w:val="sk-SK"/>
        </w:rPr>
        <w:t xml:space="preserve">(v dávkach podobných navrhovaným klinickým dávkam pre hepatálnu </w:t>
      </w:r>
      <w:proofErr w:type="spellStart"/>
      <w:r w:rsidRPr="008A6EA9">
        <w:rPr>
          <w:sz w:val="22"/>
          <w:szCs w:val="22"/>
          <w:lang w:val="sk-SK"/>
        </w:rPr>
        <w:t>encefalopatiu</w:t>
      </w:r>
      <w:proofErr w:type="spellEnd"/>
      <w:r w:rsidRPr="008A6EA9">
        <w:rPr>
          <w:sz w:val="22"/>
          <w:szCs w:val="22"/>
          <w:lang w:val="sk-SK"/>
        </w:rPr>
        <w:t>). Klinický význam týchto nálezov nie je známy.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C646BC" w:rsidRPr="008A6EA9" w:rsidRDefault="00C646BC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b/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6.</w:t>
      </w:r>
      <w:r w:rsidRPr="008A6EA9">
        <w:rPr>
          <w:b/>
          <w:sz w:val="22"/>
          <w:szCs w:val="22"/>
          <w:lang w:val="sk-SK"/>
        </w:rPr>
        <w:tab/>
        <w:t>FARMACEUTICKÉ INFORMÁCIE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6.1</w:t>
      </w:r>
      <w:r w:rsidRPr="008A6EA9">
        <w:rPr>
          <w:b/>
          <w:sz w:val="22"/>
          <w:szCs w:val="22"/>
          <w:lang w:val="sk-SK"/>
        </w:rPr>
        <w:tab/>
        <w:t>Zoznam pomocných látok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u w:val="single"/>
          <w:lang w:val="sk-SK"/>
        </w:rPr>
      </w:pPr>
      <w:r w:rsidRPr="008A6EA9">
        <w:rPr>
          <w:sz w:val="22"/>
          <w:szCs w:val="22"/>
          <w:u w:val="single"/>
          <w:lang w:val="sk-SK"/>
        </w:rPr>
        <w:t>Jadro tablety</w:t>
      </w:r>
    </w:p>
    <w:p w:rsidR="0052673F" w:rsidRPr="008A6EA9" w:rsidRDefault="00CF7D6D" w:rsidP="004E3DD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="0052673F" w:rsidRPr="008A6EA9">
        <w:rPr>
          <w:sz w:val="22"/>
          <w:szCs w:val="22"/>
          <w:lang w:val="sk-SK"/>
        </w:rPr>
        <w:t xml:space="preserve">odná soľ </w:t>
      </w:r>
      <w:proofErr w:type="spellStart"/>
      <w:r w:rsidR="0052673F" w:rsidRPr="008A6EA9">
        <w:rPr>
          <w:sz w:val="22"/>
          <w:szCs w:val="22"/>
          <w:lang w:val="sk-SK"/>
        </w:rPr>
        <w:t>karboxymetylškrobu</w:t>
      </w:r>
      <w:proofErr w:type="spellEnd"/>
      <w:r w:rsidR="0052673F" w:rsidRPr="008A6EA9">
        <w:rPr>
          <w:sz w:val="22"/>
          <w:szCs w:val="22"/>
          <w:lang w:val="sk-SK"/>
        </w:rPr>
        <w:t>, typ A</w:t>
      </w:r>
    </w:p>
    <w:p w:rsidR="0052673F" w:rsidRPr="008A6EA9" w:rsidRDefault="00CF7D6D" w:rsidP="004E3DD0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g</w:t>
      </w:r>
      <w:r w:rsidR="0052673F" w:rsidRPr="008A6EA9">
        <w:rPr>
          <w:sz w:val="22"/>
          <w:szCs w:val="22"/>
          <w:lang w:val="sk-SK"/>
        </w:rPr>
        <w:t>lycerol-distearát</w:t>
      </w:r>
      <w:proofErr w:type="spellEnd"/>
    </w:p>
    <w:p w:rsidR="0052673F" w:rsidRPr="008A6EA9" w:rsidRDefault="00CF7D6D" w:rsidP="004E3DD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C646BC" w:rsidRPr="008A6EA9">
        <w:rPr>
          <w:sz w:val="22"/>
          <w:szCs w:val="22"/>
          <w:lang w:val="sk-SK"/>
        </w:rPr>
        <w:t>oloidný oxid kremičitý</w:t>
      </w:r>
    </w:p>
    <w:p w:rsidR="0052673F" w:rsidRPr="008A6EA9" w:rsidRDefault="00CF7D6D" w:rsidP="004E3DD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52673F" w:rsidRPr="008A6EA9">
        <w:rPr>
          <w:sz w:val="22"/>
          <w:szCs w:val="22"/>
          <w:lang w:val="sk-SK"/>
        </w:rPr>
        <w:t>astenec</w:t>
      </w:r>
    </w:p>
    <w:p w:rsidR="0052673F" w:rsidRPr="008A6EA9" w:rsidRDefault="00CF7D6D" w:rsidP="004E3DD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52673F" w:rsidRPr="008A6EA9">
        <w:rPr>
          <w:sz w:val="22"/>
          <w:szCs w:val="22"/>
          <w:lang w:val="sk-SK"/>
        </w:rPr>
        <w:t>ikrokryštalická celulóza</w:t>
      </w:r>
    </w:p>
    <w:p w:rsidR="00C646BC" w:rsidRPr="008A6EA9" w:rsidRDefault="00C646BC" w:rsidP="004E3DD0">
      <w:pPr>
        <w:rPr>
          <w:sz w:val="22"/>
          <w:szCs w:val="22"/>
          <w:lang w:val="sk-SK"/>
        </w:rPr>
      </w:pPr>
    </w:p>
    <w:p w:rsidR="0052673F" w:rsidRPr="008A6EA9" w:rsidRDefault="00C646BC" w:rsidP="004E3DD0">
      <w:pPr>
        <w:keepNext/>
        <w:keepLines/>
        <w:rPr>
          <w:sz w:val="22"/>
          <w:szCs w:val="22"/>
          <w:lang w:val="sk-SK"/>
        </w:rPr>
      </w:pPr>
      <w:r w:rsidRPr="008A6EA9">
        <w:rPr>
          <w:sz w:val="22"/>
          <w:szCs w:val="22"/>
          <w:u w:val="single"/>
          <w:lang w:val="sk-SK"/>
        </w:rPr>
        <w:t>Filmový obal</w:t>
      </w:r>
      <w:r w:rsidR="0052673F" w:rsidRPr="008A6EA9">
        <w:rPr>
          <w:sz w:val="22"/>
          <w:szCs w:val="22"/>
          <w:u w:val="single"/>
          <w:lang w:val="sk-SK"/>
        </w:rPr>
        <w:t xml:space="preserve"> (</w:t>
      </w:r>
      <w:proofErr w:type="spellStart"/>
      <w:r w:rsidR="0052673F" w:rsidRPr="008A6EA9">
        <w:rPr>
          <w:sz w:val="22"/>
          <w:szCs w:val="22"/>
          <w:u w:val="single"/>
          <w:lang w:val="sk-SK"/>
        </w:rPr>
        <w:t>opadry</w:t>
      </w:r>
      <w:proofErr w:type="spellEnd"/>
      <w:r w:rsidR="0052673F" w:rsidRPr="008A6EA9">
        <w:rPr>
          <w:sz w:val="22"/>
          <w:szCs w:val="22"/>
          <w:u w:val="single"/>
          <w:lang w:val="sk-SK"/>
        </w:rPr>
        <w:t xml:space="preserve"> oy-s-34907)</w:t>
      </w:r>
      <w:r w:rsidR="0052673F" w:rsidRPr="008A6EA9">
        <w:rPr>
          <w:sz w:val="22"/>
          <w:szCs w:val="22"/>
          <w:lang w:val="sk-SK"/>
        </w:rPr>
        <w:t>:</w:t>
      </w:r>
    </w:p>
    <w:p w:rsidR="0052673F" w:rsidRPr="008A6EA9" w:rsidRDefault="00CF7D6D" w:rsidP="004E3DD0">
      <w:pPr>
        <w:keepNext/>
        <w:keepLines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C646BC" w:rsidRPr="008A6EA9">
        <w:rPr>
          <w:sz w:val="22"/>
          <w:szCs w:val="22"/>
          <w:lang w:val="sk-SK"/>
        </w:rPr>
        <w:t>ydroxypropylmetylcelulóza</w:t>
      </w:r>
      <w:proofErr w:type="spellEnd"/>
    </w:p>
    <w:p w:rsidR="0052673F" w:rsidRPr="008A6EA9" w:rsidRDefault="00CF7D6D" w:rsidP="004E3DD0">
      <w:pPr>
        <w:keepNext/>
        <w:keepLine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52673F" w:rsidRPr="008A6EA9">
        <w:rPr>
          <w:sz w:val="22"/>
          <w:szCs w:val="22"/>
          <w:lang w:val="sk-SK"/>
        </w:rPr>
        <w:t xml:space="preserve">xid </w:t>
      </w:r>
      <w:proofErr w:type="spellStart"/>
      <w:r w:rsidR="0052673F" w:rsidRPr="008A6EA9">
        <w:rPr>
          <w:sz w:val="22"/>
          <w:szCs w:val="22"/>
          <w:lang w:val="sk-SK"/>
        </w:rPr>
        <w:t>titaničitý</w:t>
      </w:r>
      <w:proofErr w:type="spellEnd"/>
      <w:r w:rsidR="0052673F" w:rsidRPr="008A6EA9">
        <w:rPr>
          <w:sz w:val="22"/>
          <w:szCs w:val="22"/>
          <w:lang w:val="sk-SK"/>
        </w:rPr>
        <w:t xml:space="preserve"> (E171) </w:t>
      </w:r>
    </w:p>
    <w:p w:rsidR="0052673F" w:rsidRPr="008A6EA9" w:rsidRDefault="00CF7D6D" w:rsidP="004E3DD0">
      <w:pPr>
        <w:keepNext/>
        <w:keepLines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</w:t>
      </w:r>
      <w:r w:rsidR="0052673F" w:rsidRPr="008A6EA9">
        <w:rPr>
          <w:sz w:val="22"/>
          <w:szCs w:val="22"/>
          <w:lang w:val="sk-SK"/>
        </w:rPr>
        <w:t>inátrium</w:t>
      </w:r>
      <w:proofErr w:type="spellEnd"/>
      <w:r w:rsidR="0052673F" w:rsidRPr="008A6EA9">
        <w:rPr>
          <w:sz w:val="22"/>
          <w:szCs w:val="22"/>
          <w:lang w:val="sk-SK"/>
        </w:rPr>
        <w:t xml:space="preserve"> </w:t>
      </w:r>
      <w:proofErr w:type="spellStart"/>
      <w:r w:rsidR="0052673F" w:rsidRPr="008A6EA9">
        <w:rPr>
          <w:sz w:val="22"/>
          <w:szCs w:val="22"/>
          <w:lang w:val="sk-SK"/>
        </w:rPr>
        <w:t>edetát</w:t>
      </w:r>
      <w:proofErr w:type="spellEnd"/>
    </w:p>
    <w:p w:rsidR="0052673F" w:rsidRPr="008A6EA9" w:rsidRDefault="00CF7D6D" w:rsidP="004E3DD0">
      <w:pPr>
        <w:keepNext/>
        <w:keepLines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="0052673F" w:rsidRPr="008A6EA9">
        <w:rPr>
          <w:sz w:val="22"/>
          <w:szCs w:val="22"/>
          <w:lang w:val="sk-SK"/>
        </w:rPr>
        <w:t>ropylénglykol</w:t>
      </w:r>
      <w:proofErr w:type="spellEnd"/>
    </w:p>
    <w:p w:rsidR="0052673F" w:rsidRPr="008A6EA9" w:rsidRDefault="00CF7D6D" w:rsidP="004E3DD0">
      <w:pPr>
        <w:keepNext/>
        <w:keepLine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="0052673F" w:rsidRPr="008A6EA9">
        <w:rPr>
          <w:sz w:val="22"/>
          <w:szCs w:val="22"/>
          <w:lang w:val="sk-SK"/>
        </w:rPr>
        <w:t xml:space="preserve">ervený oxid </w:t>
      </w:r>
      <w:r w:rsidR="00C646BC" w:rsidRPr="008A6EA9">
        <w:rPr>
          <w:sz w:val="22"/>
          <w:szCs w:val="22"/>
          <w:lang w:val="sk-SK"/>
        </w:rPr>
        <w:t xml:space="preserve">železitý </w:t>
      </w:r>
      <w:r w:rsidR="0052673F" w:rsidRPr="008A6EA9">
        <w:rPr>
          <w:sz w:val="22"/>
          <w:szCs w:val="22"/>
          <w:lang w:val="sk-SK"/>
        </w:rPr>
        <w:t>(E172)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6.2</w:t>
      </w:r>
      <w:r w:rsidRPr="008A6EA9">
        <w:rPr>
          <w:b/>
          <w:sz w:val="22"/>
          <w:szCs w:val="22"/>
          <w:lang w:val="sk-SK"/>
        </w:rPr>
        <w:tab/>
        <w:t>Inkompatibility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Neaplikovateľné.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6.3</w:t>
      </w:r>
      <w:r w:rsidRPr="008A6EA9">
        <w:rPr>
          <w:b/>
          <w:sz w:val="22"/>
          <w:szCs w:val="22"/>
          <w:lang w:val="sk-SK"/>
        </w:rPr>
        <w:tab/>
        <w:t>Čas použiteľnosti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3 roky.</w:t>
      </w:r>
    </w:p>
    <w:p w:rsidR="0052673F" w:rsidRPr="008A6EA9" w:rsidRDefault="0052673F" w:rsidP="004E3DD0">
      <w:pPr>
        <w:ind w:left="540" w:hanging="540"/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6.4</w:t>
      </w:r>
      <w:r w:rsidRPr="008A6EA9">
        <w:rPr>
          <w:b/>
          <w:sz w:val="22"/>
          <w:szCs w:val="22"/>
          <w:lang w:val="sk-SK"/>
        </w:rPr>
        <w:tab/>
        <w:t>Špeciálne upozornenia na uchovávanie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Tento liek nevyžaduje žiadne zvláštne podmienky na uchovávanie.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6.5</w:t>
      </w:r>
      <w:r w:rsidRPr="008A6EA9">
        <w:rPr>
          <w:b/>
          <w:sz w:val="22"/>
          <w:szCs w:val="22"/>
          <w:lang w:val="sk-SK"/>
        </w:rPr>
        <w:tab/>
        <w:t>Druh obalu a obsah balenia</w:t>
      </w:r>
      <w:r w:rsidRPr="008A6EA9">
        <w:rPr>
          <w:b/>
          <w:color w:val="0000FF"/>
          <w:sz w:val="22"/>
          <w:szCs w:val="22"/>
          <w:lang w:val="sk-SK"/>
        </w:rPr>
        <w:t xml:space="preserve"> 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proofErr w:type="spellStart"/>
      <w:r w:rsidRPr="008A6EA9">
        <w:rPr>
          <w:sz w:val="22"/>
          <w:szCs w:val="22"/>
          <w:lang w:val="sk-SK"/>
        </w:rPr>
        <w:t>Blistre</w:t>
      </w:r>
      <w:proofErr w:type="spellEnd"/>
      <w:r w:rsidRPr="008A6EA9">
        <w:rPr>
          <w:sz w:val="22"/>
          <w:szCs w:val="22"/>
          <w:lang w:val="sk-SK"/>
        </w:rPr>
        <w:t xml:space="preserve"> z PVC-PE-PVDC/hliníkovej fólie v škatuliach </w:t>
      </w:r>
      <w:r w:rsidR="00C646BC" w:rsidRPr="008A6EA9">
        <w:rPr>
          <w:sz w:val="22"/>
          <w:szCs w:val="22"/>
          <w:lang w:val="sk-SK"/>
        </w:rPr>
        <w:t>po</w:t>
      </w:r>
      <w:r w:rsidRPr="008A6EA9">
        <w:rPr>
          <w:sz w:val="22"/>
          <w:szCs w:val="22"/>
          <w:lang w:val="sk-SK"/>
        </w:rPr>
        <w:t xml:space="preserve"> 14, 28, 42, 56 alebo 98 tabliet.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Nie všetky veľkosti balenia musia byť uvedené na trh.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b/>
          <w:bCs/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6.6</w:t>
      </w:r>
      <w:r w:rsidRPr="008A6EA9">
        <w:rPr>
          <w:b/>
          <w:sz w:val="22"/>
          <w:szCs w:val="22"/>
          <w:lang w:val="sk-SK"/>
        </w:rPr>
        <w:tab/>
      </w:r>
      <w:r w:rsidRPr="008A6EA9">
        <w:rPr>
          <w:b/>
          <w:bCs/>
          <w:sz w:val="22"/>
          <w:szCs w:val="22"/>
          <w:lang w:val="sk-SK"/>
        </w:rPr>
        <w:t>Špeciálne opatrenia na likvidáciu</w:t>
      </w:r>
    </w:p>
    <w:p w:rsidR="0052673F" w:rsidRPr="008A6EA9" w:rsidRDefault="0052673F" w:rsidP="004E3DD0">
      <w:pPr>
        <w:rPr>
          <w:b/>
          <w:bCs/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Žiadne zvláštne požiadavky.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Nepoužitý liek alebo odpad vzniknutý z lieku treba vrátiť do lekárne.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b/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7.</w:t>
      </w:r>
      <w:r w:rsidRPr="008A6EA9">
        <w:rPr>
          <w:b/>
          <w:sz w:val="22"/>
          <w:szCs w:val="22"/>
          <w:lang w:val="sk-SK"/>
        </w:rPr>
        <w:tab/>
        <w:t>DRŽITEĽ ROZHODNUTIA O REGISTRÁCII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A12AA7" w:rsidRPr="008A6EA9" w:rsidRDefault="00A12AA7" w:rsidP="00A12AA7">
      <w:pPr>
        <w:rPr>
          <w:sz w:val="22"/>
          <w:szCs w:val="22"/>
          <w:lang w:val="sk-SK"/>
        </w:rPr>
      </w:pPr>
      <w:proofErr w:type="spellStart"/>
      <w:r w:rsidRPr="002D50EE">
        <w:rPr>
          <w:sz w:val="22"/>
          <w:szCs w:val="22"/>
          <w:lang w:val="sk-SK"/>
        </w:rPr>
        <w:t>Alfasigma</w:t>
      </w:r>
      <w:proofErr w:type="spellEnd"/>
      <w:r w:rsidRPr="002D50EE">
        <w:rPr>
          <w:sz w:val="22"/>
          <w:szCs w:val="22"/>
          <w:lang w:val="sk-SK"/>
        </w:rPr>
        <w:t xml:space="preserve"> </w:t>
      </w:r>
      <w:proofErr w:type="spellStart"/>
      <w:r w:rsidRPr="002D50EE">
        <w:rPr>
          <w:sz w:val="22"/>
          <w:szCs w:val="22"/>
          <w:lang w:val="sk-SK"/>
        </w:rPr>
        <w:t>S.p.A</w:t>
      </w:r>
      <w:proofErr w:type="spellEnd"/>
      <w:r w:rsidRPr="002D50EE">
        <w:rPr>
          <w:sz w:val="22"/>
          <w:szCs w:val="22"/>
          <w:lang w:val="sk-SK"/>
        </w:rPr>
        <w:t>.</w:t>
      </w:r>
    </w:p>
    <w:p w:rsidR="00931962" w:rsidRPr="005541DA" w:rsidRDefault="00931962" w:rsidP="00931962">
      <w:pPr>
        <w:rPr>
          <w:sz w:val="22"/>
          <w:szCs w:val="22"/>
          <w:lang w:val="sk-SK"/>
        </w:rPr>
      </w:pPr>
      <w:proofErr w:type="spellStart"/>
      <w:r w:rsidRPr="005541DA">
        <w:rPr>
          <w:sz w:val="22"/>
          <w:szCs w:val="22"/>
          <w:lang w:val="sk-SK"/>
        </w:rPr>
        <w:t>Via</w:t>
      </w:r>
      <w:proofErr w:type="spellEnd"/>
      <w:r w:rsidRPr="005541DA">
        <w:rPr>
          <w:sz w:val="22"/>
          <w:szCs w:val="22"/>
          <w:lang w:val="sk-SK"/>
        </w:rPr>
        <w:t xml:space="preserve"> </w:t>
      </w:r>
      <w:proofErr w:type="spellStart"/>
      <w:r w:rsidRPr="005541DA">
        <w:rPr>
          <w:sz w:val="22"/>
          <w:szCs w:val="22"/>
          <w:lang w:val="sk-SK"/>
        </w:rPr>
        <w:t>Ragazzi</w:t>
      </w:r>
      <w:proofErr w:type="spellEnd"/>
      <w:r w:rsidRPr="005541DA">
        <w:rPr>
          <w:sz w:val="22"/>
          <w:szCs w:val="22"/>
          <w:lang w:val="sk-SK"/>
        </w:rPr>
        <w:t xml:space="preserve"> del’99, n. 5 </w:t>
      </w:r>
    </w:p>
    <w:p w:rsidR="00931962" w:rsidRDefault="00931962" w:rsidP="00931962">
      <w:pPr>
        <w:rPr>
          <w:sz w:val="22"/>
          <w:szCs w:val="22"/>
          <w:lang w:val="sk-SK"/>
        </w:rPr>
      </w:pPr>
      <w:r w:rsidRPr="005541DA">
        <w:rPr>
          <w:sz w:val="22"/>
          <w:szCs w:val="22"/>
          <w:lang w:val="sk-SK"/>
        </w:rPr>
        <w:t>40133 Bologna (BO)</w:t>
      </w:r>
    </w:p>
    <w:p w:rsidR="0052673F" w:rsidRPr="008A6EA9" w:rsidRDefault="0052673F" w:rsidP="000E57F7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Taliansko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b/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8.</w:t>
      </w:r>
      <w:r w:rsidRPr="008A6EA9">
        <w:rPr>
          <w:b/>
          <w:sz w:val="22"/>
          <w:szCs w:val="22"/>
          <w:lang w:val="sk-SK"/>
        </w:rPr>
        <w:tab/>
        <w:t xml:space="preserve">REGISTRAČNÉ ČÍSLO </w:t>
      </w:r>
    </w:p>
    <w:p w:rsidR="0052673F" w:rsidRPr="008A6EA9" w:rsidRDefault="0052673F" w:rsidP="004E3DD0">
      <w:pPr>
        <w:rPr>
          <w:i/>
          <w:sz w:val="22"/>
          <w:szCs w:val="22"/>
          <w:lang w:val="sk-SK"/>
        </w:rPr>
      </w:pPr>
    </w:p>
    <w:p w:rsidR="0052673F" w:rsidRPr="008A6EA9" w:rsidRDefault="008A6EA9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>15/0076/13-S</w:t>
      </w:r>
    </w:p>
    <w:p w:rsidR="008A6EA9" w:rsidRPr="008A6EA9" w:rsidRDefault="008A6EA9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b/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9.</w:t>
      </w:r>
      <w:r w:rsidRPr="008A6EA9">
        <w:rPr>
          <w:b/>
          <w:sz w:val="22"/>
          <w:szCs w:val="22"/>
          <w:lang w:val="sk-SK"/>
        </w:rPr>
        <w:tab/>
        <w:t>DÁTUM PRVEJ REGISTRÁCIE/ PREDĹŽENIA REGISTRÁCIE</w:t>
      </w: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Default="0052673F" w:rsidP="004E3DD0">
      <w:pPr>
        <w:rPr>
          <w:sz w:val="22"/>
          <w:szCs w:val="22"/>
          <w:lang w:val="sk-SK"/>
        </w:rPr>
      </w:pPr>
      <w:r w:rsidRPr="008A6EA9">
        <w:rPr>
          <w:sz w:val="22"/>
          <w:szCs w:val="22"/>
          <w:lang w:val="sk-SK"/>
        </w:rPr>
        <w:t xml:space="preserve">Dátum prvej registrácie: </w:t>
      </w:r>
      <w:r w:rsidR="00032D19">
        <w:rPr>
          <w:sz w:val="22"/>
          <w:szCs w:val="22"/>
          <w:lang w:val="sk-SK"/>
        </w:rPr>
        <w:t xml:space="preserve">5. marca </w:t>
      </w:r>
      <w:r w:rsidR="00B03E3F">
        <w:rPr>
          <w:sz w:val="22"/>
          <w:szCs w:val="22"/>
          <w:lang w:val="sk-SK"/>
        </w:rPr>
        <w:t>2013</w:t>
      </w:r>
    </w:p>
    <w:p w:rsidR="008F7E02" w:rsidRPr="008A6EA9" w:rsidRDefault="008F7E02" w:rsidP="004E3DD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posledného predĺženia registrácie:</w:t>
      </w:r>
    </w:p>
    <w:p w:rsidR="0052673F" w:rsidRPr="008A6EA9" w:rsidRDefault="0052673F" w:rsidP="004E3DD0">
      <w:pPr>
        <w:rPr>
          <w:i/>
          <w:sz w:val="22"/>
          <w:szCs w:val="22"/>
          <w:lang w:val="sk-SK"/>
        </w:rPr>
      </w:pPr>
    </w:p>
    <w:p w:rsidR="0052673F" w:rsidRPr="008A6EA9" w:rsidRDefault="0052673F" w:rsidP="004E3DD0">
      <w:pPr>
        <w:rPr>
          <w:sz w:val="22"/>
          <w:szCs w:val="22"/>
          <w:lang w:val="sk-SK"/>
        </w:rPr>
      </w:pPr>
    </w:p>
    <w:p w:rsidR="0052673F" w:rsidRPr="008A6EA9" w:rsidRDefault="0052673F" w:rsidP="004E3DD0">
      <w:pPr>
        <w:rPr>
          <w:b/>
          <w:sz w:val="22"/>
          <w:szCs w:val="22"/>
          <w:lang w:val="sk-SK"/>
        </w:rPr>
      </w:pPr>
      <w:r w:rsidRPr="008A6EA9">
        <w:rPr>
          <w:b/>
          <w:sz w:val="22"/>
          <w:szCs w:val="22"/>
          <w:lang w:val="sk-SK"/>
        </w:rPr>
        <w:t>10.</w:t>
      </w:r>
      <w:r w:rsidRPr="008A6EA9">
        <w:rPr>
          <w:b/>
          <w:sz w:val="22"/>
          <w:szCs w:val="22"/>
          <w:lang w:val="sk-SK"/>
        </w:rPr>
        <w:tab/>
        <w:t>DÁTUM REVÍZIE TEXTU</w:t>
      </w:r>
    </w:p>
    <w:p w:rsidR="0052673F" w:rsidRDefault="0052673F" w:rsidP="004E3DD0">
      <w:pPr>
        <w:rPr>
          <w:b/>
          <w:sz w:val="22"/>
          <w:szCs w:val="22"/>
          <w:lang w:val="sk-SK"/>
        </w:rPr>
      </w:pPr>
    </w:p>
    <w:p w:rsidR="00284CB8" w:rsidRPr="008A6EA9" w:rsidRDefault="00284CB8" w:rsidP="004E3DD0">
      <w:pPr>
        <w:rPr>
          <w:b/>
          <w:sz w:val="22"/>
          <w:szCs w:val="22"/>
          <w:lang w:val="sk-SK"/>
        </w:rPr>
      </w:pPr>
    </w:p>
    <w:p w:rsidR="0052673F" w:rsidRPr="008A6EA9" w:rsidRDefault="0093196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Júl </w:t>
      </w:r>
      <w:r w:rsidR="000A4CDD">
        <w:rPr>
          <w:sz w:val="22"/>
          <w:szCs w:val="22"/>
          <w:lang w:val="sk-SK"/>
        </w:rPr>
        <w:t>2018</w:t>
      </w:r>
    </w:p>
    <w:sectPr w:rsidR="0052673F" w:rsidRPr="008A6EA9" w:rsidSect="000A4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AB1" w:rsidRDefault="003E1AB1" w:rsidP="007A0F03">
      <w:r>
        <w:separator/>
      </w:r>
    </w:p>
  </w:endnote>
  <w:endnote w:type="continuationSeparator" w:id="0">
    <w:p w:rsidR="003E1AB1" w:rsidRDefault="003E1AB1" w:rsidP="007A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962" w:rsidRDefault="0093196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2882262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7A0F03" w:rsidRPr="00151427" w:rsidRDefault="00B72FCE">
        <w:pPr>
          <w:pStyle w:val="Pta"/>
          <w:jc w:val="center"/>
          <w:rPr>
            <w:sz w:val="18"/>
          </w:rPr>
        </w:pPr>
        <w:r w:rsidRPr="00151427">
          <w:rPr>
            <w:sz w:val="18"/>
          </w:rPr>
          <w:fldChar w:fldCharType="begin"/>
        </w:r>
        <w:r w:rsidR="007A0F03" w:rsidRPr="00151427">
          <w:rPr>
            <w:sz w:val="18"/>
          </w:rPr>
          <w:instrText>PAGE   \* MERGEFORMAT</w:instrText>
        </w:r>
        <w:r w:rsidRPr="00151427">
          <w:rPr>
            <w:sz w:val="18"/>
          </w:rPr>
          <w:fldChar w:fldCharType="separate"/>
        </w:r>
        <w:r w:rsidR="007A6ED0" w:rsidRPr="007A6ED0">
          <w:rPr>
            <w:noProof/>
            <w:sz w:val="18"/>
            <w:lang w:val="sk-SK"/>
          </w:rPr>
          <w:t>1</w:t>
        </w:r>
        <w:r w:rsidRPr="00151427">
          <w:rPr>
            <w:sz w:val="18"/>
          </w:rPr>
          <w:fldChar w:fldCharType="end"/>
        </w:r>
      </w:p>
    </w:sdtContent>
  </w:sdt>
  <w:p w:rsidR="007A0F03" w:rsidRDefault="007A0F0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0962793"/>
      <w:docPartObj>
        <w:docPartGallery w:val="Page Numbers (Bottom of Page)"/>
        <w:docPartUnique/>
      </w:docPartObj>
    </w:sdtPr>
    <w:sdtEndPr/>
    <w:sdtContent>
      <w:p w:rsidR="00151427" w:rsidRDefault="00B72FCE">
        <w:pPr>
          <w:pStyle w:val="Pta"/>
          <w:jc w:val="center"/>
        </w:pPr>
        <w:r w:rsidRPr="00151427">
          <w:rPr>
            <w:sz w:val="18"/>
          </w:rPr>
          <w:fldChar w:fldCharType="begin"/>
        </w:r>
        <w:r w:rsidR="00151427" w:rsidRPr="00151427">
          <w:rPr>
            <w:sz w:val="18"/>
          </w:rPr>
          <w:instrText>PAGE   \* MERGEFORMAT</w:instrText>
        </w:r>
        <w:r w:rsidRPr="00151427">
          <w:rPr>
            <w:sz w:val="18"/>
          </w:rPr>
          <w:fldChar w:fldCharType="separate"/>
        </w:r>
        <w:r w:rsidR="000A4CDD" w:rsidRPr="000A4CDD">
          <w:rPr>
            <w:noProof/>
            <w:sz w:val="18"/>
            <w:lang w:val="sk-SK"/>
          </w:rPr>
          <w:t>1</w:t>
        </w:r>
        <w:r w:rsidRPr="00151427">
          <w:rPr>
            <w:sz w:val="18"/>
          </w:rPr>
          <w:fldChar w:fldCharType="end"/>
        </w:r>
      </w:p>
    </w:sdtContent>
  </w:sdt>
  <w:p w:rsidR="00151427" w:rsidRDefault="001514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AB1" w:rsidRDefault="003E1AB1" w:rsidP="007A0F03">
      <w:r>
        <w:separator/>
      </w:r>
    </w:p>
  </w:footnote>
  <w:footnote w:type="continuationSeparator" w:id="0">
    <w:p w:rsidR="003E1AB1" w:rsidRDefault="003E1AB1" w:rsidP="007A0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962" w:rsidRDefault="0093196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427" w:rsidRDefault="00931962" w:rsidP="00931962">
    <w:pPr>
      <w:pStyle w:val="Hlavika"/>
    </w:pPr>
    <w:r>
      <w:rPr>
        <w:sz w:val="18"/>
        <w:szCs w:val="22"/>
        <w:lang w:val="sk-SK"/>
      </w:rPr>
      <w:t>Príloha č. 2 k notifikácii o zmene, ev. č. : 2018/03750-Z1A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CDD" w:rsidRDefault="000A4CDD" w:rsidP="000A4CDD">
    <w:pPr>
      <w:pStyle w:val="Hlavika"/>
    </w:pPr>
    <w:r>
      <w:rPr>
        <w:sz w:val="18"/>
        <w:szCs w:val="22"/>
        <w:lang w:val="sk-SK"/>
      </w:rPr>
      <w:t>Schválený text k rozhodnutiu o predĺžení, ev. č.: 2017/00967-PRE</w:t>
    </w:r>
  </w:p>
  <w:p w:rsidR="00151427" w:rsidRDefault="00151427" w:rsidP="001514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BB1"/>
    <w:multiLevelType w:val="hybridMultilevel"/>
    <w:tmpl w:val="74E883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DD0"/>
    <w:rsid w:val="00003EE4"/>
    <w:rsid w:val="00005227"/>
    <w:rsid w:val="00032CDA"/>
    <w:rsid w:val="00032D19"/>
    <w:rsid w:val="00060E43"/>
    <w:rsid w:val="00071C67"/>
    <w:rsid w:val="00087473"/>
    <w:rsid w:val="0009036C"/>
    <w:rsid w:val="000A3606"/>
    <w:rsid w:val="000A4CDD"/>
    <w:rsid w:val="000C031B"/>
    <w:rsid w:val="000E05D1"/>
    <w:rsid w:val="000E57F7"/>
    <w:rsid w:val="00116446"/>
    <w:rsid w:val="00121943"/>
    <w:rsid w:val="00127177"/>
    <w:rsid w:val="00151427"/>
    <w:rsid w:val="001557A5"/>
    <w:rsid w:val="001A10A3"/>
    <w:rsid w:val="001A2CD2"/>
    <w:rsid w:val="001C54C1"/>
    <w:rsid w:val="001C5744"/>
    <w:rsid w:val="00205D19"/>
    <w:rsid w:val="0024759F"/>
    <w:rsid w:val="00251816"/>
    <w:rsid w:val="00262638"/>
    <w:rsid w:val="00271480"/>
    <w:rsid w:val="00277C36"/>
    <w:rsid w:val="00281223"/>
    <w:rsid w:val="00284CB8"/>
    <w:rsid w:val="002B1C21"/>
    <w:rsid w:val="002B6509"/>
    <w:rsid w:val="002B6B88"/>
    <w:rsid w:val="002E01B1"/>
    <w:rsid w:val="00313D67"/>
    <w:rsid w:val="00316DE6"/>
    <w:rsid w:val="00356911"/>
    <w:rsid w:val="00392AD9"/>
    <w:rsid w:val="003E1AB1"/>
    <w:rsid w:val="003E7961"/>
    <w:rsid w:val="00407B50"/>
    <w:rsid w:val="00425EC8"/>
    <w:rsid w:val="00435C7A"/>
    <w:rsid w:val="00454693"/>
    <w:rsid w:val="004774B1"/>
    <w:rsid w:val="00480242"/>
    <w:rsid w:val="004D1218"/>
    <w:rsid w:val="004D747D"/>
    <w:rsid w:val="004E3DD0"/>
    <w:rsid w:val="004F0665"/>
    <w:rsid w:val="00503D82"/>
    <w:rsid w:val="005161B1"/>
    <w:rsid w:val="0052673F"/>
    <w:rsid w:val="00527CA2"/>
    <w:rsid w:val="0056191B"/>
    <w:rsid w:val="0057150F"/>
    <w:rsid w:val="0058177A"/>
    <w:rsid w:val="00586F09"/>
    <w:rsid w:val="005A0AE6"/>
    <w:rsid w:val="005B49CF"/>
    <w:rsid w:val="005E24B6"/>
    <w:rsid w:val="005F4786"/>
    <w:rsid w:val="006464E3"/>
    <w:rsid w:val="00664D48"/>
    <w:rsid w:val="0068685C"/>
    <w:rsid w:val="006C1824"/>
    <w:rsid w:val="006D20A1"/>
    <w:rsid w:val="006E37BD"/>
    <w:rsid w:val="006F2582"/>
    <w:rsid w:val="00701F3A"/>
    <w:rsid w:val="00720A2C"/>
    <w:rsid w:val="00752DD6"/>
    <w:rsid w:val="00787E2A"/>
    <w:rsid w:val="007906C8"/>
    <w:rsid w:val="00792D9C"/>
    <w:rsid w:val="007A0F03"/>
    <w:rsid w:val="007A6ED0"/>
    <w:rsid w:val="007B7D89"/>
    <w:rsid w:val="007C2EB6"/>
    <w:rsid w:val="007C497C"/>
    <w:rsid w:val="007E36E6"/>
    <w:rsid w:val="007F0CE9"/>
    <w:rsid w:val="00813643"/>
    <w:rsid w:val="008142FE"/>
    <w:rsid w:val="0081674F"/>
    <w:rsid w:val="00816CCA"/>
    <w:rsid w:val="00854271"/>
    <w:rsid w:val="008A6EA9"/>
    <w:rsid w:val="008F3F78"/>
    <w:rsid w:val="008F6530"/>
    <w:rsid w:val="008F7E02"/>
    <w:rsid w:val="00901A5D"/>
    <w:rsid w:val="009126EF"/>
    <w:rsid w:val="00931962"/>
    <w:rsid w:val="00931EF7"/>
    <w:rsid w:val="00934A34"/>
    <w:rsid w:val="00937B39"/>
    <w:rsid w:val="00944206"/>
    <w:rsid w:val="00962B52"/>
    <w:rsid w:val="0096412D"/>
    <w:rsid w:val="009C6D95"/>
    <w:rsid w:val="00A01133"/>
    <w:rsid w:val="00A01618"/>
    <w:rsid w:val="00A12AA7"/>
    <w:rsid w:val="00A279AB"/>
    <w:rsid w:val="00A56A2B"/>
    <w:rsid w:val="00A70608"/>
    <w:rsid w:val="00A8393B"/>
    <w:rsid w:val="00A87A6A"/>
    <w:rsid w:val="00A930A4"/>
    <w:rsid w:val="00AB037A"/>
    <w:rsid w:val="00AB4B2F"/>
    <w:rsid w:val="00AB7B02"/>
    <w:rsid w:val="00AE3182"/>
    <w:rsid w:val="00AE5772"/>
    <w:rsid w:val="00AE5DA4"/>
    <w:rsid w:val="00B03E3F"/>
    <w:rsid w:val="00B15B99"/>
    <w:rsid w:val="00B23A61"/>
    <w:rsid w:val="00B51119"/>
    <w:rsid w:val="00B56624"/>
    <w:rsid w:val="00B72379"/>
    <w:rsid w:val="00B72FCE"/>
    <w:rsid w:val="00B804C6"/>
    <w:rsid w:val="00B85D29"/>
    <w:rsid w:val="00BB6EBC"/>
    <w:rsid w:val="00C0213F"/>
    <w:rsid w:val="00C036F6"/>
    <w:rsid w:val="00C417DB"/>
    <w:rsid w:val="00C52845"/>
    <w:rsid w:val="00C646BC"/>
    <w:rsid w:val="00C67CDE"/>
    <w:rsid w:val="00CA24BC"/>
    <w:rsid w:val="00CC079E"/>
    <w:rsid w:val="00CD3EE7"/>
    <w:rsid w:val="00CD59A5"/>
    <w:rsid w:val="00CF20DC"/>
    <w:rsid w:val="00CF7D6D"/>
    <w:rsid w:val="00D35990"/>
    <w:rsid w:val="00D41BD2"/>
    <w:rsid w:val="00D73EAF"/>
    <w:rsid w:val="00D8647B"/>
    <w:rsid w:val="00D94647"/>
    <w:rsid w:val="00D95F30"/>
    <w:rsid w:val="00DA64E6"/>
    <w:rsid w:val="00DB0D8F"/>
    <w:rsid w:val="00DD533C"/>
    <w:rsid w:val="00E438B7"/>
    <w:rsid w:val="00E8537F"/>
    <w:rsid w:val="00E911A7"/>
    <w:rsid w:val="00EA01AB"/>
    <w:rsid w:val="00EC0C23"/>
    <w:rsid w:val="00ED614D"/>
    <w:rsid w:val="00EE265F"/>
    <w:rsid w:val="00F10092"/>
    <w:rsid w:val="00F54701"/>
    <w:rsid w:val="00F67626"/>
    <w:rsid w:val="00FB01DE"/>
    <w:rsid w:val="00FC7226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5"/>
    <o:shapelayout v:ext="edit">
      <o:idmap v:ext="edit" data="1"/>
    </o:shapelayout>
  </w:shapeDefaults>
  <w:decimalSymbol w:val=","/>
  <w:listSeparator w:val=";"/>
  <w15:docId w15:val="{58DAFA36-42AE-431A-8333-FE5D62D9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071C67"/>
    <w:rPr>
      <w:sz w:val="24"/>
      <w:szCs w:val="24"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E3DD0"/>
  </w:style>
  <w:style w:type="character" w:customStyle="1" w:styleId="ZkladntextChar">
    <w:name w:val="Základný text Char"/>
    <w:link w:val="Zkladntext"/>
    <w:semiHidden/>
    <w:locked/>
    <w:rsid w:val="0057150F"/>
    <w:rPr>
      <w:rFonts w:cs="Times New Roman"/>
      <w:sz w:val="24"/>
      <w:szCs w:val="24"/>
      <w:lang w:val="de-DE"/>
    </w:rPr>
  </w:style>
  <w:style w:type="character" w:styleId="Odkaznakomentr">
    <w:name w:val="annotation reference"/>
    <w:uiPriority w:val="99"/>
    <w:rsid w:val="00586F0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86F0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586F09"/>
    <w:rPr>
      <w:rFonts w:cs="Times New Roman"/>
      <w:lang w:val="de-DE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586F09"/>
    <w:rPr>
      <w:b/>
      <w:bCs/>
    </w:rPr>
  </w:style>
  <w:style w:type="character" w:customStyle="1" w:styleId="PredmetkomentraChar">
    <w:name w:val="Predmet komentára Char"/>
    <w:link w:val="Predmetkomentra"/>
    <w:locked/>
    <w:rsid w:val="00586F09"/>
    <w:rPr>
      <w:rFonts w:cs="Times New Roman"/>
      <w:b/>
      <w:bCs/>
      <w:lang w:val="de-DE" w:eastAsia="sk-SK" w:bidi="ar-SA"/>
    </w:rPr>
  </w:style>
  <w:style w:type="paragraph" w:styleId="Textbubliny">
    <w:name w:val="Balloon Text"/>
    <w:basedOn w:val="Normlny"/>
    <w:link w:val="TextbublinyChar"/>
    <w:rsid w:val="00586F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586F09"/>
    <w:rPr>
      <w:rFonts w:ascii="Tahoma" w:hAnsi="Tahoma" w:cs="Tahoma"/>
      <w:sz w:val="16"/>
      <w:szCs w:val="16"/>
      <w:lang w:val="de-DE" w:eastAsia="sk-SK" w:bidi="ar-SA"/>
    </w:rPr>
  </w:style>
  <w:style w:type="character" w:styleId="Hypertextovprepojenie">
    <w:name w:val="Hyperlink"/>
    <w:rsid w:val="00121943"/>
    <w:rPr>
      <w:rFonts w:cs="Times New Roman"/>
      <w:color w:val="0000FF"/>
      <w:u w:val="single"/>
    </w:rPr>
  </w:style>
  <w:style w:type="paragraph" w:customStyle="1" w:styleId="Default">
    <w:name w:val="Default"/>
    <w:rsid w:val="005F478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it-IT" w:eastAsia="en-US"/>
    </w:rPr>
  </w:style>
  <w:style w:type="paragraph" w:styleId="Revzia">
    <w:name w:val="Revision"/>
    <w:hidden/>
    <w:uiPriority w:val="99"/>
    <w:semiHidden/>
    <w:rsid w:val="00284CB8"/>
    <w:rPr>
      <w:sz w:val="24"/>
      <w:szCs w:val="24"/>
      <w:lang w:val="de-DE"/>
    </w:rPr>
  </w:style>
  <w:style w:type="paragraph" w:styleId="Hlavika">
    <w:name w:val="header"/>
    <w:basedOn w:val="Normlny"/>
    <w:link w:val="HlavikaChar"/>
    <w:unhideWhenUsed/>
    <w:rsid w:val="00B5662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6624"/>
    <w:rPr>
      <w:sz w:val="24"/>
      <w:szCs w:val="24"/>
      <w:lang w:val="de-DE"/>
    </w:rPr>
  </w:style>
  <w:style w:type="paragraph" w:styleId="Pta">
    <w:name w:val="footer"/>
    <w:basedOn w:val="Normlny"/>
    <w:link w:val="PtaChar"/>
    <w:uiPriority w:val="99"/>
    <w:unhideWhenUsed/>
    <w:rsid w:val="007A0F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A0F03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3117</Words>
  <Characters>17771</Characters>
  <Application>Microsoft Office Word</Application>
  <DocSecurity>0</DocSecurity>
  <Lines>148</Lines>
  <Paragraphs>41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SÚHRN CHARAKTERISTICKÝCH VLASTNOSTÍ LIEKU</vt:lpstr>
      <vt:lpstr>SÚHRN CHARAKTERISTICKÝCH VLASTNOSTÍ LIEKU</vt:lpstr>
      <vt:lpstr>SÚHRN CHARAKTERISTICKÝCH VLASTNOSTÍ LIEKU</vt:lpstr>
    </vt:vector>
  </TitlesOfParts>
  <Company>Microsoft</Company>
  <LinksUpToDate>false</LinksUpToDate>
  <CharactersWithSpaces>20847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Reviewer</dc:creator>
  <cp:lastModifiedBy>JR</cp:lastModifiedBy>
  <cp:revision>4</cp:revision>
  <cp:lastPrinted>2012-10-26T08:16:00Z</cp:lastPrinted>
  <dcterms:created xsi:type="dcterms:W3CDTF">2018-07-10T12:17:00Z</dcterms:created>
  <dcterms:modified xsi:type="dcterms:W3CDTF">2018-07-10T18:29:00Z</dcterms:modified>
</cp:coreProperties>
</file>