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9ECD7" w14:textId="77777777" w:rsidR="0015754B" w:rsidRDefault="0015754B" w:rsidP="00A943F8">
      <w:pPr>
        <w:jc w:val="center"/>
        <w:outlineLvl w:val="0"/>
        <w:rPr>
          <w:b/>
          <w:caps/>
        </w:rPr>
      </w:pPr>
      <w:r w:rsidRPr="00A943F8">
        <w:rPr>
          <w:b/>
          <w:caps/>
        </w:rPr>
        <w:t>Súhrn charakteristických vlastností lieku</w:t>
      </w:r>
    </w:p>
    <w:p w14:paraId="3957D957" w14:textId="77777777" w:rsidR="00A943F8" w:rsidRPr="00A943F8" w:rsidRDefault="00A943F8" w:rsidP="00A943F8">
      <w:pPr>
        <w:jc w:val="center"/>
        <w:outlineLvl w:val="0"/>
        <w:rPr>
          <w:b/>
          <w:caps/>
        </w:rPr>
      </w:pPr>
    </w:p>
    <w:p w14:paraId="5F7F9F56" w14:textId="77777777" w:rsidR="0015754B" w:rsidRPr="00A943F8" w:rsidRDefault="0015754B" w:rsidP="00A943F8">
      <w:pPr>
        <w:tabs>
          <w:tab w:val="left" w:pos="-1440"/>
          <w:tab w:val="left" w:pos="-720"/>
        </w:tabs>
        <w:rPr>
          <w:b/>
        </w:rPr>
      </w:pPr>
    </w:p>
    <w:p w14:paraId="3E109F07" w14:textId="77777777" w:rsidR="0015754B" w:rsidRPr="00A943F8" w:rsidRDefault="0015754B">
      <w:pPr>
        <w:rPr>
          <w:b/>
        </w:rPr>
      </w:pPr>
      <w:r w:rsidRPr="00A943F8">
        <w:rPr>
          <w:b/>
        </w:rPr>
        <w:t>1.</w:t>
      </w:r>
      <w:r w:rsidRPr="00A943F8">
        <w:rPr>
          <w:b/>
        </w:rPr>
        <w:tab/>
        <w:t>NÁZOV LIEKU</w:t>
      </w:r>
    </w:p>
    <w:p w14:paraId="1EB1A1E4" w14:textId="77777777" w:rsidR="00937E94" w:rsidRPr="00A943F8" w:rsidRDefault="00937E94" w:rsidP="00A943F8">
      <w:pPr>
        <w:ind w:firstLine="0"/>
        <w:outlineLvl w:val="0"/>
        <w:rPr>
          <w:b/>
        </w:rPr>
      </w:pPr>
    </w:p>
    <w:p w14:paraId="1F9C7335" w14:textId="77777777" w:rsidR="00F02B49" w:rsidRPr="00A943F8" w:rsidRDefault="009144F6" w:rsidP="00A943F8">
      <w:r w:rsidRPr="00A943F8">
        <w:t>GLIMBAX</w:t>
      </w:r>
      <w:r w:rsidR="00F101AC" w:rsidRPr="00A943F8">
        <w:t xml:space="preserve"> </w:t>
      </w:r>
    </w:p>
    <w:p w14:paraId="25F0C63D" w14:textId="107A60B7" w:rsidR="0015754B" w:rsidRPr="00A943F8" w:rsidRDefault="00F101AC" w:rsidP="00A943F8">
      <w:r w:rsidRPr="00A943F8">
        <w:t>0</w:t>
      </w:r>
      <w:smartTag w:uri="urn:schemas-microsoft-com:office:smarttags" w:element="PersonName">
        <w:r w:rsidRPr="00A943F8">
          <w:t>,</w:t>
        </w:r>
      </w:smartTag>
      <w:r w:rsidRPr="00A943F8">
        <w:t>074 g/100 ml</w:t>
      </w:r>
      <w:r w:rsidR="00A943F8">
        <w:t xml:space="preserve"> </w:t>
      </w:r>
      <w:r w:rsidR="00954280" w:rsidRPr="00A943F8">
        <w:t>ústny výplach</w:t>
      </w:r>
    </w:p>
    <w:p w14:paraId="20F1E4CF" w14:textId="77777777" w:rsidR="00954280" w:rsidRPr="00A943F8" w:rsidRDefault="00954280" w:rsidP="00A943F8">
      <w:pPr>
        <w:rPr>
          <w:b/>
        </w:rPr>
      </w:pPr>
    </w:p>
    <w:p w14:paraId="7AE39A15" w14:textId="77777777" w:rsidR="0015754B" w:rsidRPr="00A943F8" w:rsidRDefault="0015754B" w:rsidP="00A943F8">
      <w:pPr>
        <w:rPr>
          <w:b/>
        </w:rPr>
      </w:pPr>
    </w:p>
    <w:p w14:paraId="089B2360" w14:textId="77777777" w:rsidR="0015754B" w:rsidRPr="00A943F8" w:rsidRDefault="0015754B" w:rsidP="00A943F8">
      <w:pPr>
        <w:numPr>
          <w:ilvl w:val="0"/>
          <w:numId w:val="15"/>
        </w:numPr>
        <w:tabs>
          <w:tab w:val="clear" w:pos="930"/>
          <w:tab w:val="num" w:pos="0"/>
        </w:tabs>
        <w:ind w:left="540" w:hanging="540"/>
        <w:rPr>
          <w:b/>
        </w:rPr>
      </w:pPr>
      <w:r w:rsidRPr="00A943F8">
        <w:rPr>
          <w:b/>
        </w:rPr>
        <w:t>KVALITATÍVNE A KVANTITATÍVNE ZLOŽENIE</w:t>
      </w:r>
    </w:p>
    <w:p w14:paraId="42A8C436" w14:textId="77777777" w:rsidR="005B1F2F" w:rsidRPr="00A943F8" w:rsidRDefault="005B1F2F" w:rsidP="00A943F8">
      <w:pPr>
        <w:ind w:left="360" w:firstLine="0"/>
        <w:rPr>
          <w:b/>
        </w:rPr>
      </w:pPr>
    </w:p>
    <w:p w14:paraId="5F7C1725" w14:textId="77777777" w:rsidR="00E641B9" w:rsidRPr="00A943F8" w:rsidRDefault="00E641B9" w:rsidP="00A943F8">
      <w:r w:rsidRPr="00A943F8">
        <w:t xml:space="preserve">100 ml roztoku obsahuje 0,074 g </w:t>
      </w:r>
      <w:proofErr w:type="spellStart"/>
      <w:r w:rsidRPr="00A943F8">
        <w:t>diklofenaku</w:t>
      </w:r>
      <w:proofErr w:type="spellEnd"/>
      <w:r w:rsidRPr="00A943F8">
        <w:t xml:space="preserve"> vo forme voľnej kyseliny.</w:t>
      </w:r>
    </w:p>
    <w:p w14:paraId="3690C3E1" w14:textId="77777777" w:rsidR="005B1F2F" w:rsidRPr="00A943F8" w:rsidRDefault="005B1F2F" w:rsidP="00A943F8"/>
    <w:p w14:paraId="6AB7559E" w14:textId="1C786C83" w:rsidR="005B1F2F" w:rsidRPr="00A943F8" w:rsidRDefault="005B1F2F" w:rsidP="005B1F2F">
      <w:r w:rsidRPr="00A943F8">
        <w:t>Úplný zoznam pomocných látok</w:t>
      </w:r>
      <w:r w:rsidR="00E641B9" w:rsidRPr="00A943F8">
        <w:t xml:space="preserve">, </w:t>
      </w:r>
      <w:r w:rsidRPr="00A943F8">
        <w:t>pozri časť 6.1.</w:t>
      </w:r>
    </w:p>
    <w:p w14:paraId="165C8829" w14:textId="77777777" w:rsidR="005B1F2F" w:rsidRPr="00A943F8" w:rsidRDefault="005B1F2F" w:rsidP="00A943F8">
      <w:pPr>
        <w:ind w:left="0" w:firstLine="0"/>
        <w:rPr>
          <w:b/>
        </w:rPr>
      </w:pPr>
    </w:p>
    <w:p w14:paraId="76E046BC" w14:textId="77777777" w:rsidR="005B1F2F" w:rsidRPr="00A943F8" w:rsidRDefault="005B1F2F" w:rsidP="00A943F8">
      <w:pPr>
        <w:rPr>
          <w:b/>
        </w:rPr>
      </w:pPr>
    </w:p>
    <w:p w14:paraId="1506A332" w14:textId="77777777" w:rsidR="005B1F2F" w:rsidRPr="00A943F8" w:rsidRDefault="005B1F2F" w:rsidP="005B1F2F">
      <w:pPr>
        <w:numPr>
          <w:ilvl w:val="0"/>
          <w:numId w:val="15"/>
        </w:numPr>
        <w:tabs>
          <w:tab w:val="clear" w:pos="930"/>
          <w:tab w:val="num" w:pos="0"/>
        </w:tabs>
        <w:ind w:left="540" w:hanging="540"/>
        <w:rPr>
          <w:b/>
        </w:rPr>
      </w:pPr>
      <w:r w:rsidRPr="00A943F8">
        <w:rPr>
          <w:b/>
        </w:rPr>
        <w:t>LIEKOVÁ FORMA</w:t>
      </w:r>
    </w:p>
    <w:p w14:paraId="3AAF633F" w14:textId="77777777" w:rsidR="00937E94" w:rsidRPr="00A943F8" w:rsidRDefault="00937E94" w:rsidP="00A943F8">
      <w:pPr>
        <w:ind w:left="0" w:firstLine="0"/>
        <w:rPr>
          <w:b/>
        </w:rPr>
      </w:pPr>
    </w:p>
    <w:p w14:paraId="757F368F" w14:textId="77777777" w:rsidR="00D015F8" w:rsidRPr="00A943F8" w:rsidRDefault="00D015F8" w:rsidP="00A943F8">
      <w:r w:rsidRPr="00A943F8">
        <w:t>Ústny výplach.</w:t>
      </w:r>
    </w:p>
    <w:p w14:paraId="2C5D0183" w14:textId="77777777" w:rsidR="00D015F8" w:rsidRPr="00A943F8" w:rsidRDefault="004370F7" w:rsidP="00A943F8">
      <w:r w:rsidRPr="00A943F8">
        <w:t>Vzhľad lieku:</w:t>
      </w:r>
      <w:r w:rsidR="00D015F8" w:rsidRPr="00A943F8">
        <w:t xml:space="preserve"> číry roztok </w:t>
      </w:r>
      <w:r w:rsidR="00E641B9" w:rsidRPr="00A943F8">
        <w:t>oranžovočervenej</w:t>
      </w:r>
      <w:r w:rsidR="00D015F8" w:rsidRPr="00A943F8">
        <w:t xml:space="preserve"> farby.</w:t>
      </w:r>
    </w:p>
    <w:p w14:paraId="070FD848" w14:textId="77777777" w:rsidR="00D015F8" w:rsidRPr="00A943F8" w:rsidRDefault="00D015F8" w:rsidP="00A943F8"/>
    <w:p w14:paraId="05E905E5" w14:textId="77777777" w:rsidR="00B259E0" w:rsidRPr="00A943F8" w:rsidRDefault="00B259E0">
      <w:pPr>
        <w:rPr>
          <w:b/>
          <w:caps/>
        </w:rPr>
      </w:pPr>
    </w:p>
    <w:p w14:paraId="5793DD75" w14:textId="77777777" w:rsidR="0015754B" w:rsidRPr="00A943F8" w:rsidRDefault="0015754B" w:rsidP="00A943F8">
      <w:pPr>
        <w:rPr>
          <w:b/>
          <w:caps/>
        </w:rPr>
      </w:pPr>
      <w:r w:rsidRPr="00A943F8">
        <w:rPr>
          <w:b/>
          <w:caps/>
        </w:rPr>
        <w:t>4.</w:t>
      </w:r>
      <w:r w:rsidRPr="00A943F8">
        <w:rPr>
          <w:b/>
          <w:caps/>
        </w:rPr>
        <w:tab/>
        <w:t>KLINICKÉ ÚDAJE</w:t>
      </w:r>
    </w:p>
    <w:p w14:paraId="5EA3C557" w14:textId="77777777" w:rsidR="0015754B" w:rsidRPr="00A943F8" w:rsidRDefault="0015754B" w:rsidP="00A943F8">
      <w:pPr>
        <w:rPr>
          <w:b/>
        </w:rPr>
      </w:pPr>
    </w:p>
    <w:p w14:paraId="4BD693C4" w14:textId="77777777" w:rsidR="0015754B" w:rsidRPr="00A943F8" w:rsidRDefault="0015754B" w:rsidP="00A943F8">
      <w:pPr>
        <w:numPr>
          <w:ilvl w:val="1"/>
          <w:numId w:val="13"/>
        </w:numPr>
        <w:rPr>
          <w:b/>
        </w:rPr>
      </w:pPr>
      <w:r w:rsidRPr="00A943F8">
        <w:rPr>
          <w:b/>
        </w:rPr>
        <w:t>Terapeutické indikácie</w:t>
      </w:r>
    </w:p>
    <w:p w14:paraId="01EF9508" w14:textId="77777777" w:rsidR="00937E94" w:rsidRPr="00A943F8" w:rsidRDefault="00937E94" w:rsidP="00A943F8">
      <w:pPr>
        <w:ind w:left="0" w:firstLine="0"/>
        <w:rPr>
          <w:b/>
        </w:rPr>
      </w:pPr>
    </w:p>
    <w:p w14:paraId="5F350AAD" w14:textId="77777777" w:rsidR="005B1F2F" w:rsidRPr="00A943F8" w:rsidRDefault="009144F6" w:rsidP="00A943F8">
      <w:r w:rsidRPr="00A943F8">
        <w:t xml:space="preserve">GLIMBAX </w:t>
      </w:r>
      <w:r w:rsidR="002C4B22" w:rsidRPr="00A943F8">
        <w:t>j</w:t>
      </w:r>
      <w:r w:rsidR="00D015F8" w:rsidRPr="00A943F8">
        <w:t xml:space="preserve">e indikovaný na symptomatickú liečbu zápalových </w:t>
      </w:r>
      <w:r w:rsidR="005B1F2F" w:rsidRPr="00A943F8">
        <w:t>prejavov v </w:t>
      </w:r>
      <w:proofErr w:type="spellStart"/>
      <w:r w:rsidR="005B1F2F" w:rsidRPr="00A943F8">
        <w:t>orofaryngu</w:t>
      </w:r>
      <w:proofErr w:type="spellEnd"/>
      <w:r w:rsidR="005B1F2F" w:rsidRPr="00A943F8">
        <w:t xml:space="preserve"> spojených </w:t>
      </w:r>
    </w:p>
    <w:p w14:paraId="10E78697" w14:textId="77777777" w:rsidR="005B1F2F" w:rsidRPr="00A943F8" w:rsidRDefault="00D015F8" w:rsidP="00A943F8">
      <w:r w:rsidRPr="00A943F8">
        <w:t xml:space="preserve">s bolesťou (ako je napríklad </w:t>
      </w:r>
      <w:proofErr w:type="spellStart"/>
      <w:r w:rsidRPr="00A943F8">
        <w:t>gingivitída</w:t>
      </w:r>
      <w:proofErr w:type="spellEnd"/>
      <w:smartTag w:uri="urn:schemas-microsoft-com:office:smarttags" w:element="PersonName">
        <w:r w:rsidRPr="00A943F8">
          <w:t>,</w:t>
        </w:r>
      </w:smartTag>
      <w:r w:rsidRPr="00A943F8">
        <w:t xml:space="preserve"> </w:t>
      </w:r>
      <w:proofErr w:type="spellStart"/>
      <w:r w:rsidRPr="00A943F8">
        <w:t>faryngitída</w:t>
      </w:r>
      <w:proofErr w:type="spellEnd"/>
      <w:smartTag w:uri="urn:schemas-microsoft-com:office:smarttags" w:element="PersonName">
        <w:r w:rsidRPr="00A943F8">
          <w:t>,</w:t>
        </w:r>
      </w:smartTag>
      <w:r w:rsidRPr="00A943F8">
        <w:t xml:space="preserve"> </w:t>
      </w:r>
      <w:proofErr w:type="spellStart"/>
      <w:r w:rsidRPr="00A943F8">
        <w:t>stomatitída</w:t>
      </w:r>
      <w:proofErr w:type="spellEnd"/>
      <w:r w:rsidRPr="00A943F8">
        <w:t>). Ďal</w:t>
      </w:r>
      <w:r w:rsidR="005B1F2F" w:rsidRPr="00A943F8">
        <w:t xml:space="preserve">šou indikáciou je symptomatická </w:t>
      </w:r>
    </w:p>
    <w:p w14:paraId="1D22FD04" w14:textId="77777777" w:rsidR="00D015F8" w:rsidRPr="00A943F8" w:rsidRDefault="00D015F8" w:rsidP="00A943F8">
      <w:r w:rsidRPr="00A943F8">
        <w:t>liečba po stomatologických zákrokoch v </w:t>
      </w:r>
      <w:proofErr w:type="spellStart"/>
      <w:r w:rsidRPr="00A943F8">
        <w:t>orofaryngeálnej</w:t>
      </w:r>
      <w:proofErr w:type="spellEnd"/>
      <w:r w:rsidRPr="00A943F8">
        <w:t xml:space="preserve"> oblasti.</w:t>
      </w:r>
    </w:p>
    <w:p w14:paraId="625131BB" w14:textId="77777777" w:rsidR="0015754B" w:rsidRPr="00A943F8" w:rsidRDefault="0015754B">
      <w:pPr>
        <w:rPr>
          <w:b/>
        </w:rPr>
      </w:pPr>
    </w:p>
    <w:p w14:paraId="5FEDC460" w14:textId="77777777" w:rsidR="0015754B" w:rsidRPr="00A943F8" w:rsidRDefault="0015754B" w:rsidP="00A943F8">
      <w:pPr>
        <w:numPr>
          <w:ilvl w:val="1"/>
          <w:numId w:val="12"/>
        </w:numPr>
        <w:rPr>
          <w:b/>
        </w:rPr>
      </w:pPr>
      <w:r w:rsidRPr="00A943F8">
        <w:rPr>
          <w:b/>
        </w:rPr>
        <w:t>Dávkovanie a spôsob podávania</w:t>
      </w:r>
    </w:p>
    <w:p w14:paraId="3F9370DD" w14:textId="77777777" w:rsidR="005B1F2F" w:rsidRPr="00A943F8" w:rsidRDefault="005B1F2F" w:rsidP="00A943F8">
      <w:pPr>
        <w:pStyle w:val="Zkladntext"/>
        <w:rPr>
          <w:b/>
        </w:rPr>
      </w:pPr>
    </w:p>
    <w:p w14:paraId="165DADE6" w14:textId="77777777" w:rsidR="00D015F8" w:rsidRPr="00A943F8" w:rsidRDefault="00D015F8" w:rsidP="00A943F8">
      <w:pPr>
        <w:pStyle w:val="Zkladntext"/>
      </w:pPr>
      <w:r w:rsidRPr="00A943F8">
        <w:t>Výplachy ústnej dutiny alebo kloktanie sa prevádzajú 2-3</w:t>
      </w:r>
      <w:r w:rsidR="002C4B22" w:rsidRPr="00A943F8">
        <w:t>-</w:t>
      </w:r>
      <w:r w:rsidRPr="00A943F8">
        <w:t xml:space="preserve"> krát denne dávkou 15 ml neriedeného roztoku, čo zodpovedá naplnenej priloženej odmerke. Dávku možno rozriediť malým množstvom vody.</w:t>
      </w:r>
    </w:p>
    <w:p w14:paraId="22E4FB57" w14:textId="77777777" w:rsidR="00D015F8" w:rsidRPr="00A943F8" w:rsidRDefault="00D015F8" w:rsidP="00A943F8">
      <w:pPr>
        <w:pStyle w:val="Zkladntext"/>
        <w:rPr>
          <w:b/>
        </w:rPr>
      </w:pPr>
    </w:p>
    <w:p w14:paraId="458B0794" w14:textId="77777777" w:rsidR="0015754B" w:rsidRPr="00A943F8" w:rsidRDefault="0015754B" w:rsidP="00A943F8">
      <w:pPr>
        <w:rPr>
          <w:b/>
        </w:rPr>
      </w:pPr>
    </w:p>
    <w:p w14:paraId="01AEA3D8" w14:textId="52E79F3B" w:rsidR="0015754B" w:rsidRPr="00A943F8" w:rsidRDefault="0015754B" w:rsidP="00A943F8">
      <w:pPr>
        <w:numPr>
          <w:ilvl w:val="1"/>
          <w:numId w:val="11"/>
        </w:numPr>
        <w:rPr>
          <w:b/>
        </w:rPr>
      </w:pPr>
      <w:r w:rsidRPr="00A943F8">
        <w:rPr>
          <w:b/>
        </w:rPr>
        <w:t>Kontraindikácie</w:t>
      </w:r>
    </w:p>
    <w:p w14:paraId="23D0383D" w14:textId="77777777" w:rsidR="00B01174" w:rsidRPr="00A943F8" w:rsidRDefault="00B01174" w:rsidP="00A943F8">
      <w:pPr>
        <w:rPr>
          <w:b/>
        </w:rPr>
      </w:pPr>
    </w:p>
    <w:p w14:paraId="060A3A6F" w14:textId="77777777" w:rsidR="007C3A4E" w:rsidRPr="00A943F8" w:rsidRDefault="00D2723F" w:rsidP="00A943F8">
      <w:r w:rsidRPr="00A943F8">
        <w:t xml:space="preserve">Liek je kontraindikovaný pri precitlivenosti na liečivo </w:t>
      </w:r>
      <w:r w:rsidR="007C3A4E" w:rsidRPr="00A943F8">
        <w:t xml:space="preserve">alebo ktorúkoľvek z pomocných látok </w:t>
      </w:r>
    </w:p>
    <w:p w14:paraId="51705644" w14:textId="77777777" w:rsidR="00D2723F" w:rsidRPr="00A943F8" w:rsidRDefault="007C3A4E" w:rsidP="00A943F8">
      <w:r w:rsidRPr="00A943F8">
        <w:t>uvedených v časti 6.1.</w:t>
      </w:r>
    </w:p>
    <w:p w14:paraId="5DAA5368" w14:textId="77777777" w:rsidR="00B01174" w:rsidRPr="00A943F8" w:rsidRDefault="00D2723F" w:rsidP="00A943F8">
      <w:r w:rsidRPr="00A943F8">
        <w:t>Ďalej sa nesmie podávať pacientom so známou precitlivenosťou na k</w:t>
      </w:r>
      <w:r w:rsidR="00B01174" w:rsidRPr="00A943F8">
        <w:t xml:space="preserve">yselinu </w:t>
      </w:r>
      <w:proofErr w:type="spellStart"/>
      <w:r w:rsidR="00B01174" w:rsidRPr="00A943F8">
        <w:t>acetylosalicylovú</w:t>
      </w:r>
      <w:proofErr w:type="spellEnd"/>
      <w:r w:rsidR="00B01174" w:rsidRPr="00A943F8">
        <w:t xml:space="preserve"> alebo </w:t>
      </w:r>
    </w:p>
    <w:p w14:paraId="6A4E9B6A" w14:textId="77777777" w:rsidR="00D2723F" w:rsidRPr="00A943F8" w:rsidRDefault="00D2723F" w:rsidP="00A943F8">
      <w:r w:rsidRPr="00A943F8">
        <w:t xml:space="preserve">iné </w:t>
      </w:r>
      <w:proofErr w:type="spellStart"/>
      <w:r w:rsidRPr="00A943F8">
        <w:t>nesteroidové</w:t>
      </w:r>
      <w:proofErr w:type="spellEnd"/>
      <w:r w:rsidRPr="00A943F8">
        <w:t xml:space="preserve"> </w:t>
      </w:r>
      <w:r w:rsidR="007C3A4E" w:rsidRPr="00A943F8">
        <w:t>protizápalové lieky</w:t>
      </w:r>
      <w:r w:rsidRPr="00A943F8">
        <w:t>.</w:t>
      </w:r>
    </w:p>
    <w:p w14:paraId="64AD1B28" w14:textId="77777777" w:rsidR="00D2723F" w:rsidRPr="00A943F8" w:rsidRDefault="00D2723F" w:rsidP="00A943F8">
      <w:r w:rsidRPr="00A943F8">
        <w:t xml:space="preserve"> </w:t>
      </w:r>
    </w:p>
    <w:p w14:paraId="5FF7ABB7" w14:textId="77777777" w:rsidR="009B7547" w:rsidRPr="00A943F8" w:rsidRDefault="009B7547" w:rsidP="00A943F8">
      <w:pPr>
        <w:rPr>
          <w:b/>
        </w:rPr>
      </w:pPr>
    </w:p>
    <w:p w14:paraId="3B8371AF" w14:textId="77777777" w:rsidR="0015754B" w:rsidRPr="00A943F8" w:rsidRDefault="0015754B" w:rsidP="00937E94">
      <w:pPr>
        <w:numPr>
          <w:ilvl w:val="1"/>
          <w:numId w:val="10"/>
        </w:numPr>
        <w:rPr>
          <w:b/>
        </w:rPr>
      </w:pPr>
      <w:r w:rsidRPr="00A943F8">
        <w:rPr>
          <w:b/>
        </w:rPr>
        <w:t>Osobitné upozornenia a opatrenia pri používaní</w:t>
      </w:r>
    </w:p>
    <w:p w14:paraId="3CAD171F" w14:textId="77777777" w:rsidR="00B01174" w:rsidRPr="00A943F8" w:rsidRDefault="00B01174" w:rsidP="00A943F8">
      <w:pPr>
        <w:rPr>
          <w:b/>
        </w:rPr>
      </w:pPr>
    </w:p>
    <w:p w14:paraId="575CE437" w14:textId="77777777" w:rsidR="00B01174" w:rsidRPr="00A943F8" w:rsidRDefault="00D2723F" w:rsidP="00A943F8">
      <w:r w:rsidRPr="00A943F8">
        <w:t>Náhodné prehltnutie dávky roztoku určeného na ústne výplach</w:t>
      </w:r>
      <w:r w:rsidR="00B01174" w:rsidRPr="00A943F8">
        <w:t xml:space="preserve">y nevyvolá poškodenie pacienta, </w:t>
      </w:r>
    </w:p>
    <w:p w14:paraId="21ABF7A9" w14:textId="77777777" w:rsidR="00B01174" w:rsidRPr="00A943F8" w:rsidRDefault="00D2723F" w:rsidP="00A943F8">
      <w:r w:rsidRPr="00A943F8">
        <w:t xml:space="preserve">pretože táto dávka zodpovedá pätine až šestine dávky odporúčanej na systémové podávanie. Lokálne </w:t>
      </w:r>
    </w:p>
    <w:p w14:paraId="5D48D487" w14:textId="77777777" w:rsidR="00B01174" w:rsidRPr="00A943F8" w:rsidRDefault="00D2723F" w:rsidP="00A943F8">
      <w:r w:rsidRPr="00A943F8">
        <w:t xml:space="preserve">lieky môžu vyvolať </w:t>
      </w:r>
      <w:proofErr w:type="spellStart"/>
      <w:r w:rsidRPr="00A943F8">
        <w:t>senzibilizáciu</w:t>
      </w:r>
      <w:proofErr w:type="spellEnd"/>
      <w:r w:rsidRPr="00A943F8">
        <w:t>, najmä pri dlhodobom podávaní. V p</w:t>
      </w:r>
      <w:r w:rsidR="00B01174" w:rsidRPr="00A943F8">
        <w:t xml:space="preserve">rípade precitlivenosti je treba </w:t>
      </w:r>
    </w:p>
    <w:p w14:paraId="4E0E197B" w14:textId="77777777" w:rsidR="00D2723F" w:rsidRPr="00A943F8" w:rsidRDefault="00D2723F" w:rsidP="00A943F8">
      <w:r w:rsidRPr="00A943F8">
        <w:t xml:space="preserve">liečbu prerušiť a nahradiť ju inou odpovedajúcou liečbou. </w:t>
      </w:r>
    </w:p>
    <w:p w14:paraId="0DF466BE" w14:textId="77777777" w:rsidR="00D2723F" w:rsidRPr="00A943F8" w:rsidRDefault="00D2723F" w:rsidP="00A943F8"/>
    <w:p w14:paraId="74163F71" w14:textId="77777777" w:rsidR="0015754B" w:rsidRPr="00A943F8" w:rsidRDefault="0015754B">
      <w:pPr>
        <w:rPr>
          <w:b/>
        </w:rPr>
      </w:pPr>
    </w:p>
    <w:p w14:paraId="148CC9A4" w14:textId="77777777" w:rsidR="0015754B" w:rsidRPr="00A943F8" w:rsidRDefault="0015754B" w:rsidP="00A943F8">
      <w:pPr>
        <w:keepNext/>
        <w:numPr>
          <w:ilvl w:val="1"/>
          <w:numId w:val="9"/>
        </w:numPr>
        <w:rPr>
          <w:b/>
        </w:rPr>
      </w:pPr>
      <w:r w:rsidRPr="00A943F8">
        <w:rPr>
          <w:b/>
        </w:rPr>
        <w:lastRenderedPageBreak/>
        <w:t>Liekové a iné interakcie</w:t>
      </w:r>
    </w:p>
    <w:p w14:paraId="78204828" w14:textId="77777777" w:rsidR="00B01174" w:rsidRPr="00A943F8" w:rsidRDefault="00B01174" w:rsidP="00A943F8">
      <w:pPr>
        <w:keepNext/>
        <w:rPr>
          <w:b/>
        </w:rPr>
      </w:pPr>
    </w:p>
    <w:p w14:paraId="097D0D7D" w14:textId="77777777" w:rsidR="00954280" w:rsidRPr="00A943F8" w:rsidRDefault="002D08D8" w:rsidP="00A943F8">
      <w:pPr>
        <w:keepNext/>
      </w:pPr>
      <w:r w:rsidRPr="00A943F8">
        <w:t xml:space="preserve">Neuskutočnili sa žiadne interakčné štúdie. </w:t>
      </w:r>
    </w:p>
    <w:p w14:paraId="1D7B178E" w14:textId="77777777" w:rsidR="00D2723F" w:rsidRPr="00A943F8" w:rsidRDefault="00D2723F" w:rsidP="00A943F8"/>
    <w:p w14:paraId="16435D55" w14:textId="77777777" w:rsidR="0015754B" w:rsidRPr="00A943F8" w:rsidRDefault="0015754B" w:rsidP="00954280">
      <w:pPr>
        <w:numPr>
          <w:ilvl w:val="1"/>
          <w:numId w:val="3"/>
        </w:numPr>
        <w:rPr>
          <w:b/>
        </w:rPr>
      </w:pPr>
      <w:r w:rsidRPr="00A943F8">
        <w:rPr>
          <w:b/>
        </w:rPr>
        <w:t>Gravidita a</w:t>
      </w:r>
      <w:r w:rsidR="00937E94" w:rsidRPr="00A943F8">
        <w:rPr>
          <w:b/>
        </w:rPr>
        <w:t> </w:t>
      </w:r>
      <w:r w:rsidRPr="00A943F8">
        <w:rPr>
          <w:b/>
        </w:rPr>
        <w:t>laktácia</w:t>
      </w:r>
    </w:p>
    <w:p w14:paraId="316048F1" w14:textId="77777777" w:rsidR="00B01174" w:rsidRPr="00A943F8" w:rsidRDefault="00B01174" w:rsidP="00A943F8">
      <w:pPr>
        <w:rPr>
          <w:b/>
        </w:rPr>
      </w:pPr>
    </w:p>
    <w:p w14:paraId="55DB0ED4" w14:textId="77777777" w:rsidR="00D2723F" w:rsidRPr="00A943F8" w:rsidRDefault="00D2723F" w:rsidP="00A943F8">
      <w:r w:rsidRPr="00A943F8">
        <w:t>Počas tehotenstva a dojčenia môže byť liek používaný iba pod dohľadom lekára</w:t>
      </w:r>
      <w:r w:rsidR="00B01174" w:rsidRPr="00A943F8">
        <w:t>.</w:t>
      </w:r>
    </w:p>
    <w:p w14:paraId="4FD4CD95" w14:textId="77777777" w:rsidR="00937E94" w:rsidRPr="00A943F8" w:rsidRDefault="00937E94" w:rsidP="00A943F8">
      <w:pPr>
        <w:ind w:left="0" w:firstLine="567"/>
        <w:rPr>
          <w:b/>
        </w:rPr>
      </w:pPr>
    </w:p>
    <w:p w14:paraId="31DF9C8E" w14:textId="77777777" w:rsidR="0015754B" w:rsidRPr="00A943F8" w:rsidRDefault="0015754B" w:rsidP="00A943F8">
      <w:pPr>
        <w:numPr>
          <w:ilvl w:val="1"/>
          <w:numId w:val="3"/>
        </w:numPr>
        <w:rPr>
          <w:b/>
        </w:rPr>
      </w:pPr>
      <w:r w:rsidRPr="00A943F8">
        <w:rPr>
          <w:b/>
        </w:rPr>
        <w:t>Ovplyvnenie schopnosti viesť vozidlá a obsluhovať stroje</w:t>
      </w:r>
    </w:p>
    <w:p w14:paraId="6A85BBBD" w14:textId="77777777" w:rsidR="00B01174" w:rsidRPr="00A943F8" w:rsidRDefault="00B01174" w:rsidP="00A943F8">
      <w:pPr>
        <w:rPr>
          <w:b/>
        </w:rPr>
      </w:pPr>
    </w:p>
    <w:p w14:paraId="27803ECB" w14:textId="77777777" w:rsidR="00D2723F" w:rsidRPr="00A943F8" w:rsidRDefault="00794438" w:rsidP="00A943F8">
      <w:r w:rsidRPr="00A943F8">
        <w:t>GLIMBAX nemá žiadny vplyv na schopnosť viesť vozidlá a obsluhovať stroje.</w:t>
      </w:r>
    </w:p>
    <w:p w14:paraId="7DF5B242" w14:textId="77777777" w:rsidR="009B7547" w:rsidRPr="00A943F8" w:rsidRDefault="009B7547" w:rsidP="00A943F8">
      <w:pPr>
        <w:rPr>
          <w:b/>
        </w:rPr>
      </w:pPr>
    </w:p>
    <w:p w14:paraId="55C476E0" w14:textId="77777777" w:rsidR="0015754B" w:rsidRPr="00A943F8" w:rsidRDefault="0015754B" w:rsidP="00A943F8">
      <w:pPr>
        <w:numPr>
          <w:ilvl w:val="1"/>
          <w:numId w:val="3"/>
        </w:numPr>
        <w:rPr>
          <w:b/>
        </w:rPr>
      </w:pPr>
      <w:r w:rsidRPr="00A943F8">
        <w:rPr>
          <w:b/>
        </w:rPr>
        <w:t>Nežiaduce účinky</w:t>
      </w:r>
    </w:p>
    <w:p w14:paraId="6D11549A" w14:textId="77777777" w:rsidR="00B01174" w:rsidRPr="00A943F8" w:rsidRDefault="00B01174" w:rsidP="00A943F8">
      <w:pPr>
        <w:rPr>
          <w:b/>
        </w:rPr>
      </w:pPr>
    </w:p>
    <w:p w14:paraId="4CE780FF" w14:textId="77777777" w:rsidR="00F101AC" w:rsidRPr="00A943F8" w:rsidRDefault="008504E9" w:rsidP="00A943F8">
      <w:r w:rsidRPr="00A943F8">
        <w:t>Klinické štúdie preukázali, že liek sa veľmi dobre znáša.</w:t>
      </w:r>
    </w:p>
    <w:p w14:paraId="684C8370" w14:textId="1AD46969" w:rsidR="00F101AC" w:rsidRPr="00A943F8" w:rsidRDefault="00F101AC" w:rsidP="00A943F8">
      <w:r w:rsidRPr="00A943F8">
        <w:t>Boli zaznamenané nasledovné nežiaduce účinky, ktoré sa vyskytli najmä pri dlhodobom podávaní:</w:t>
      </w:r>
    </w:p>
    <w:p w14:paraId="5A5B407E" w14:textId="77777777" w:rsidR="00F02B49" w:rsidRPr="00A943F8" w:rsidRDefault="00F02B49" w:rsidP="00A943F8">
      <w:pPr>
        <w:rPr>
          <w:b/>
        </w:rPr>
      </w:pPr>
    </w:p>
    <w:p w14:paraId="79C615AF" w14:textId="77777777" w:rsidR="008D184F" w:rsidRPr="00A943F8" w:rsidRDefault="00F101AC" w:rsidP="00A943F8">
      <w:pPr>
        <w:rPr>
          <w:b/>
        </w:rPr>
      </w:pPr>
      <w:r w:rsidRPr="00A943F8">
        <w:rPr>
          <w:b/>
        </w:rPr>
        <w:t xml:space="preserve">Poruchy </w:t>
      </w:r>
      <w:proofErr w:type="spellStart"/>
      <w:r w:rsidRPr="00A943F8">
        <w:rPr>
          <w:b/>
        </w:rPr>
        <w:t>gastrointestinálneho</w:t>
      </w:r>
      <w:proofErr w:type="spellEnd"/>
      <w:r w:rsidRPr="00A943F8">
        <w:rPr>
          <w:b/>
        </w:rPr>
        <w:t xml:space="preserve"> traktu</w:t>
      </w:r>
    </w:p>
    <w:p w14:paraId="3F3ADAB4" w14:textId="77777777" w:rsidR="008D184F" w:rsidRPr="00A943F8" w:rsidRDefault="008D184F" w:rsidP="00A943F8">
      <w:proofErr w:type="spellStart"/>
      <w:r w:rsidRPr="00A943F8">
        <w:t>Nauzea</w:t>
      </w:r>
      <w:proofErr w:type="spellEnd"/>
      <w:r w:rsidRPr="00A943F8">
        <w:t xml:space="preserve">, </w:t>
      </w:r>
      <w:proofErr w:type="spellStart"/>
      <w:r w:rsidRPr="00A943F8">
        <w:t>dyspepsia</w:t>
      </w:r>
      <w:proofErr w:type="spellEnd"/>
    </w:p>
    <w:p w14:paraId="4FE4F618" w14:textId="77777777" w:rsidR="00E44F56" w:rsidRPr="00A943F8" w:rsidRDefault="00E44F56" w:rsidP="00A943F8">
      <w:pPr>
        <w:ind w:left="0" w:firstLine="0"/>
      </w:pPr>
    </w:p>
    <w:p w14:paraId="1DC1D43B" w14:textId="77777777" w:rsidR="008D184F" w:rsidRPr="00A943F8" w:rsidRDefault="00721650" w:rsidP="00A943F8">
      <w:pPr>
        <w:rPr>
          <w:b/>
        </w:rPr>
      </w:pPr>
      <w:r w:rsidRPr="00A943F8">
        <w:rPr>
          <w:b/>
        </w:rPr>
        <w:t>Poruchy nervového systému</w:t>
      </w:r>
    </w:p>
    <w:p w14:paraId="2FF7A949" w14:textId="77777777" w:rsidR="00721650" w:rsidRPr="00A943F8" w:rsidRDefault="00721650" w:rsidP="00A943F8">
      <w:r w:rsidRPr="00A943F8">
        <w:t>Bolesť hlavy</w:t>
      </w:r>
    </w:p>
    <w:p w14:paraId="4B2624CB" w14:textId="77777777" w:rsidR="00C66F05" w:rsidRPr="00A943F8" w:rsidRDefault="00C66F05" w:rsidP="00A943F8">
      <w:pPr>
        <w:rPr>
          <w:b/>
        </w:rPr>
      </w:pPr>
    </w:p>
    <w:p w14:paraId="115E6055" w14:textId="77777777" w:rsidR="00721650" w:rsidRPr="00A943F8" w:rsidRDefault="00721650" w:rsidP="00A943F8">
      <w:pPr>
        <w:rPr>
          <w:b/>
        </w:rPr>
      </w:pPr>
      <w:r w:rsidRPr="00A943F8">
        <w:rPr>
          <w:b/>
        </w:rPr>
        <w:t>Poruchy kože a podkožného tkaniva</w:t>
      </w:r>
    </w:p>
    <w:p w14:paraId="6CA25586" w14:textId="77777777" w:rsidR="00D72B1D" w:rsidRPr="00A943F8" w:rsidRDefault="00D72B1D" w:rsidP="00A943F8">
      <w:r w:rsidRPr="00A943F8">
        <w:t>Iritácia ústnej sliznice</w:t>
      </w:r>
    </w:p>
    <w:p w14:paraId="2AB7DBCF" w14:textId="77777777" w:rsidR="00C66F05" w:rsidRPr="00A943F8" w:rsidRDefault="00C66F05" w:rsidP="00A943F8">
      <w:pPr>
        <w:rPr>
          <w:b/>
        </w:rPr>
      </w:pPr>
    </w:p>
    <w:p w14:paraId="6A785DDA" w14:textId="77777777" w:rsidR="00D72B1D" w:rsidRPr="00A943F8" w:rsidRDefault="00D72B1D" w:rsidP="00A943F8">
      <w:pPr>
        <w:rPr>
          <w:b/>
        </w:rPr>
      </w:pPr>
      <w:r w:rsidRPr="00A943F8">
        <w:rPr>
          <w:b/>
        </w:rPr>
        <w:t>Poruchy dýchacej sústavy, hrudníka a </w:t>
      </w:r>
      <w:proofErr w:type="spellStart"/>
      <w:r w:rsidRPr="00A943F8">
        <w:rPr>
          <w:b/>
        </w:rPr>
        <w:t>mediastína</w:t>
      </w:r>
      <w:proofErr w:type="spellEnd"/>
    </w:p>
    <w:p w14:paraId="26B5633E" w14:textId="77777777" w:rsidR="00D72B1D" w:rsidRPr="00A943F8" w:rsidRDefault="00D72B1D" w:rsidP="00A943F8">
      <w:r w:rsidRPr="00A943F8">
        <w:t>Kašeľ</w:t>
      </w:r>
    </w:p>
    <w:p w14:paraId="17ACFC58" w14:textId="77777777" w:rsidR="00D72B1D" w:rsidRPr="00A943F8" w:rsidRDefault="00D72B1D" w:rsidP="00A943F8"/>
    <w:p w14:paraId="625985FF" w14:textId="77777777" w:rsidR="00C66F05" w:rsidRPr="00A943F8" w:rsidRDefault="004F412B" w:rsidP="00A943F8">
      <w:r w:rsidRPr="00A943F8">
        <w:t xml:space="preserve">Tieto nežiaduce účinky sú </w:t>
      </w:r>
      <w:r w:rsidR="008504E9" w:rsidRPr="00A943F8">
        <w:t xml:space="preserve">zvyčajne mierne a prechodné. </w:t>
      </w:r>
      <w:bookmarkStart w:id="0" w:name="OLE_LINK1"/>
      <w:bookmarkStart w:id="1" w:name="OLE_LINK2"/>
      <w:r w:rsidR="008504E9" w:rsidRPr="00A943F8">
        <w:t>Lokáln</w:t>
      </w:r>
      <w:r w:rsidR="00C66F05" w:rsidRPr="00A943F8">
        <w:t xml:space="preserve">e aplikované lieky môžu vyvolať </w:t>
      </w:r>
    </w:p>
    <w:p w14:paraId="1F767329" w14:textId="77777777" w:rsidR="00C66F05" w:rsidRPr="00A943F8" w:rsidRDefault="008504E9" w:rsidP="00A943F8">
      <w:proofErr w:type="spellStart"/>
      <w:r w:rsidRPr="00A943F8">
        <w:t>senzibilizáciu</w:t>
      </w:r>
      <w:proofErr w:type="spellEnd"/>
      <w:r w:rsidRPr="00A943F8">
        <w:t>,</w:t>
      </w:r>
      <w:bookmarkEnd w:id="0"/>
      <w:bookmarkEnd w:id="1"/>
      <w:r w:rsidR="004F412B" w:rsidRPr="00A943F8">
        <w:t xml:space="preserve"> najmä pri </w:t>
      </w:r>
      <w:r w:rsidRPr="00A943F8">
        <w:t>dlhodobom podávaní. V prípade precitlivenosti treba lie</w:t>
      </w:r>
      <w:r w:rsidR="000839FE" w:rsidRPr="00A943F8">
        <w:t xml:space="preserve">čbu prerušiť </w:t>
      </w:r>
    </w:p>
    <w:p w14:paraId="1E2CB879" w14:textId="77777777" w:rsidR="008504E9" w:rsidRPr="00A943F8" w:rsidRDefault="000839FE" w:rsidP="00A943F8">
      <w:r w:rsidRPr="00A943F8">
        <w:t xml:space="preserve">a nahradiť ju inou </w:t>
      </w:r>
      <w:r w:rsidR="008504E9" w:rsidRPr="00A943F8">
        <w:t xml:space="preserve">zodpovedajúcou liečbou. </w:t>
      </w:r>
    </w:p>
    <w:p w14:paraId="34ADC5DC" w14:textId="77777777" w:rsidR="008504E9" w:rsidRPr="00A943F8" w:rsidRDefault="008504E9" w:rsidP="00A943F8">
      <w:pPr>
        <w:ind w:right="-2"/>
      </w:pPr>
    </w:p>
    <w:p w14:paraId="098C62D7" w14:textId="77777777" w:rsidR="008504E9" w:rsidRPr="00A943F8" w:rsidRDefault="008504E9" w:rsidP="00A943F8">
      <w:pPr>
        <w:ind w:right="-2"/>
        <w:rPr>
          <w:b/>
        </w:rPr>
      </w:pPr>
      <w:r w:rsidRPr="00A943F8">
        <w:rPr>
          <w:b/>
        </w:rPr>
        <w:t>Hlásenie podozrení na nežiaduce reakcie</w:t>
      </w:r>
    </w:p>
    <w:p w14:paraId="69B88461" w14:textId="77777777" w:rsidR="008504E9" w:rsidRPr="00A943F8" w:rsidRDefault="008504E9" w:rsidP="00A943F8">
      <w:pPr>
        <w:ind w:right="-2"/>
      </w:pPr>
      <w:r w:rsidRPr="00A943F8">
        <w:t xml:space="preserve">Hlásenie podozrení na nežiaduce reakcie po registrácii lieku je dôležité. Umožňuje priebežné </w:t>
      </w:r>
    </w:p>
    <w:p w14:paraId="66BB78DE" w14:textId="77777777" w:rsidR="008504E9" w:rsidRPr="00A943F8" w:rsidRDefault="008504E9" w:rsidP="00A943F8">
      <w:pPr>
        <w:ind w:right="-2"/>
      </w:pPr>
      <w:r w:rsidRPr="00A943F8">
        <w:t xml:space="preserve">monitorovanie pomeru prínosu a rizika lieku. Od zdravotníckych pracovníkov sa vyžaduje, aby hlásili </w:t>
      </w:r>
    </w:p>
    <w:p w14:paraId="4118D19D" w14:textId="72613F2A" w:rsidR="008504E9" w:rsidRPr="00A943F8" w:rsidRDefault="008504E9" w:rsidP="00A943F8">
      <w:pPr>
        <w:ind w:left="0" w:firstLine="0"/>
        <w:rPr>
          <w:rFonts w:eastAsia="Calibri"/>
        </w:rPr>
      </w:pPr>
      <w:r w:rsidRPr="00A943F8">
        <w:t xml:space="preserve">akékoľvek podozrenia na nežiaduce reakcie </w:t>
      </w:r>
      <w:r w:rsidR="00EE6A69">
        <w:rPr>
          <w:szCs w:val="22"/>
        </w:rPr>
        <w:t>na</w:t>
      </w:r>
      <w:r w:rsidRPr="00A943F8">
        <w:t xml:space="preserve"> </w:t>
      </w:r>
      <w:r w:rsidR="00B5684D" w:rsidRPr="00A943F8">
        <w:rPr>
          <w:highlight w:val="lightGray"/>
        </w:rPr>
        <w:t xml:space="preserve">národné </w:t>
      </w:r>
      <w:r w:rsidR="00EE6A69">
        <w:rPr>
          <w:noProof/>
          <w:szCs w:val="22"/>
          <w:highlight w:val="lightGray"/>
        </w:rPr>
        <w:t>centrum</w:t>
      </w:r>
      <w:r w:rsidR="00B5684D" w:rsidRPr="00A943F8">
        <w:rPr>
          <w:highlight w:val="lightGray"/>
        </w:rPr>
        <w:t xml:space="preserve"> hlásenia uvedené v </w:t>
      </w:r>
      <w:hyperlink r:id="rId9">
        <w:r w:rsidR="00EE6A69" w:rsidRPr="00314619">
          <w:rPr>
            <w:rStyle w:val="Hypertextovprepojenie"/>
            <w:szCs w:val="22"/>
            <w:highlight w:val="lightGray"/>
          </w:rPr>
          <w:t>Prílohe V</w:t>
        </w:r>
      </w:hyperlink>
      <w:r w:rsidR="00EE6A69">
        <w:rPr>
          <w:rStyle w:val="Hypertextovprepojenie"/>
          <w:szCs w:val="22"/>
          <w:highlight w:val="lightGray"/>
        </w:rPr>
        <w:t>.</w:t>
      </w:r>
    </w:p>
    <w:p w14:paraId="702E3C43" w14:textId="77777777" w:rsidR="009B7547" w:rsidRPr="00A943F8" w:rsidRDefault="009B7547" w:rsidP="00A943F8">
      <w:pPr>
        <w:rPr>
          <w:b/>
        </w:rPr>
      </w:pPr>
    </w:p>
    <w:p w14:paraId="38CADA70" w14:textId="77777777" w:rsidR="0015754B" w:rsidRPr="00A943F8" w:rsidRDefault="0015754B" w:rsidP="00937E94">
      <w:pPr>
        <w:numPr>
          <w:ilvl w:val="1"/>
          <w:numId w:val="8"/>
        </w:numPr>
        <w:rPr>
          <w:b/>
        </w:rPr>
      </w:pPr>
      <w:r w:rsidRPr="00A943F8">
        <w:rPr>
          <w:b/>
        </w:rPr>
        <w:t>Predávkovanie</w:t>
      </w:r>
    </w:p>
    <w:p w14:paraId="592ADD84" w14:textId="77777777" w:rsidR="004E352E" w:rsidRPr="00A943F8" w:rsidRDefault="004E352E" w:rsidP="00A943F8">
      <w:pPr>
        <w:rPr>
          <w:b/>
        </w:rPr>
      </w:pPr>
    </w:p>
    <w:p w14:paraId="5C810132" w14:textId="77777777" w:rsidR="002C4B22" w:rsidRPr="00A943F8" w:rsidRDefault="002C4B22" w:rsidP="00A943F8">
      <w:r w:rsidRPr="00A943F8">
        <w:t xml:space="preserve">Nie sú známe prípady predávkovania. </w:t>
      </w:r>
    </w:p>
    <w:p w14:paraId="5C17B8C0" w14:textId="77777777" w:rsidR="002C4B22" w:rsidRPr="00A943F8" w:rsidRDefault="002C4B22" w:rsidP="00A943F8"/>
    <w:p w14:paraId="15177292" w14:textId="77777777" w:rsidR="0015754B" w:rsidRPr="00A943F8" w:rsidRDefault="0015754B">
      <w:pPr>
        <w:rPr>
          <w:b/>
        </w:rPr>
      </w:pPr>
    </w:p>
    <w:p w14:paraId="3F931631" w14:textId="77777777" w:rsidR="0015754B" w:rsidRPr="00A943F8" w:rsidRDefault="0015754B" w:rsidP="00A943F8">
      <w:pPr>
        <w:rPr>
          <w:b/>
        </w:rPr>
      </w:pPr>
      <w:r w:rsidRPr="00A943F8">
        <w:rPr>
          <w:b/>
        </w:rPr>
        <w:t>5.</w:t>
      </w:r>
      <w:r w:rsidRPr="00A943F8">
        <w:rPr>
          <w:b/>
        </w:rPr>
        <w:tab/>
        <w:t>FARMAKOLOGICKÉ VLASTNOSTI</w:t>
      </w:r>
    </w:p>
    <w:p w14:paraId="08C736C3" w14:textId="77777777" w:rsidR="00B5684D" w:rsidRPr="00A943F8" w:rsidRDefault="00B5684D" w:rsidP="00A943F8">
      <w:pPr>
        <w:rPr>
          <w:b/>
        </w:rPr>
      </w:pPr>
    </w:p>
    <w:p w14:paraId="5D8C8BF6" w14:textId="77777777" w:rsidR="0015754B" w:rsidRPr="00A943F8" w:rsidRDefault="0015754B" w:rsidP="00A943F8">
      <w:pPr>
        <w:rPr>
          <w:b/>
        </w:rPr>
      </w:pPr>
      <w:r w:rsidRPr="00A943F8">
        <w:rPr>
          <w:b/>
        </w:rPr>
        <w:t>5.1</w:t>
      </w:r>
      <w:r w:rsidRPr="00A943F8">
        <w:rPr>
          <w:b/>
        </w:rPr>
        <w:tab/>
        <w:t>Farmakodynamické vlastnosti</w:t>
      </w:r>
    </w:p>
    <w:p w14:paraId="73E25440" w14:textId="77777777" w:rsidR="004E352E" w:rsidRPr="00A943F8" w:rsidRDefault="004E352E" w:rsidP="00A943F8">
      <w:pPr>
        <w:rPr>
          <w:b/>
        </w:rPr>
      </w:pPr>
    </w:p>
    <w:p w14:paraId="4CC70D11" w14:textId="77777777" w:rsidR="000839FE" w:rsidRPr="00A943F8" w:rsidRDefault="000839FE" w:rsidP="00A943F8">
      <w:proofErr w:type="spellStart"/>
      <w:r w:rsidRPr="00A943F8">
        <w:t>F</w:t>
      </w:r>
      <w:r w:rsidR="002C4B22" w:rsidRPr="00A943F8">
        <w:t>armakoterapeutická</w:t>
      </w:r>
      <w:proofErr w:type="spellEnd"/>
      <w:r w:rsidR="002C4B22" w:rsidRPr="00A943F8">
        <w:t xml:space="preserve"> skupina: </w:t>
      </w:r>
      <w:proofErr w:type="spellStart"/>
      <w:r w:rsidR="002C4B22" w:rsidRPr="00A943F8">
        <w:t>antiflogistikum</w:t>
      </w:r>
      <w:proofErr w:type="spellEnd"/>
      <w:r w:rsidR="002C4B22" w:rsidRPr="00A943F8">
        <w:t>, analgetikum.</w:t>
      </w:r>
    </w:p>
    <w:p w14:paraId="0B4D1BB9" w14:textId="77777777" w:rsidR="002C4B22" w:rsidRPr="00A943F8" w:rsidRDefault="000839FE" w:rsidP="00A943F8">
      <w:r w:rsidRPr="00A943F8">
        <w:t>ATC kód: A01AD11</w:t>
      </w:r>
    </w:p>
    <w:p w14:paraId="282D33D1" w14:textId="77777777" w:rsidR="000839FE" w:rsidRPr="00A943F8" w:rsidRDefault="000839FE" w:rsidP="004E352E">
      <w:pPr>
        <w:pStyle w:val="Zkladntext"/>
      </w:pPr>
    </w:p>
    <w:p w14:paraId="6929A7D3" w14:textId="77777777" w:rsidR="002C4B22" w:rsidRPr="00A943F8" w:rsidRDefault="002C4B22" w:rsidP="00A943F8">
      <w:pPr>
        <w:pStyle w:val="Zkladntext"/>
      </w:pPr>
      <w:r w:rsidRPr="00A943F8">
        <w:t xml:space="preserve">Liečivom v lieku </w:t>
      </w:r>
      <w:r w:rsidR="009144F6" w:rsidRPr="00A943F8">
        <w:t xml:space="preserve">GLIMBAX </w:t>
      </w:r>
      <w:r w:rsidRPr="00A943F8">
        <w:t xml:space="preserve">je </w:t>
      </w:r>
      <w:proofErr w:type="spellStart"/>
      <w:r w:rsidRPr="00A943F8">
        <w:t>di</w:t>
      </w:r>
      <w:r w:rsidR="000839FE" w:rsidRPr="00A943F8">
        <w:t>k</w:t>
      </w:r>
      <w:r w:rsidRPr="00A943F8">
        <w:t>lofena</w:t>
      </w:r>
      <w:r w:rsidR="000839FE" w:rsidRPr="00A943F8">
        <w:t>k</w:t>
      </w:r>
      <w:proofErr w:type="spellEnd"/>
      <w:r w:rsidRPr="00A943F8">
        <w:t>, ktorý pri systémovom podávaní vykazuje analgetický</w:t>
      </w:r>
      <w:smartTag w:uri="urn:schemas-microsoft-com:office:smarttags" w:element="PersonName">
        <w:r w:rsidRPr="00A943F8">
          <w:t>,</w:t>
        </w:r>
      </w:smartTag>
      <w:r w:rsidRPr="00A943F8">
        <w:t xml:space="preserve"> </w:t>
      </w:r>
      <w:proofErr w:type="spellStart"/>
      <w:r w:rsidRPr="00A943F8">
        <w:t>antiflogistický</w:t>
      </w:r>
      <w:proofErr w:type="spellEnd"/>
      <w:r w:rsidRPr="00A943F8">
        <w:t xml:space="preserve"> a </w:t>
      </w:r>
      <w:proofErr w:type="spellStart"/>
      <w:r w:rsidRPr="00A943F8">
        <w:t>antipyretický</w:t>
      </w:r>
      <w:proofErr w:type="spellEnd"/>
      <w:r w:rsidRPr="00A943F8">
        <w:t xml:space="preserve"> účinok. </w:t>
      </w:r>
      <w:r w:rsidR="009144F6" w:rsidRPr="00A943F8">
        <w:t xml:space="preserve">GLIMBAX </w:t>
      </w:r>
      <w:r w:rsidRPr="00A943F8">
        <w:t xml:space="preserve">po lokálnej aplikácii vykazuje analgetické a </w:t>
      </w:r>
      <w:proofErr w:type="spellStart"/>
      <w:r w:rsidRPr="00A943F8">
        <w:t>antiflogistické</w:t>
      </w:r>
      <w:proofErr w:type="spellEnd"/>
      <w:r w:rsidRPr="00A943F8">
        <w:t xml:space="preserve"> vlastnosti.</w:t>
      </w:r>
    </w:p>
    <w:p w14:paraId="7E182DC1" w14:textId="77777777" w:rsidR="0015754B" w:rsidRPr="00A943F8" w:rsidRDefault="0015754B" w:rsidP="00A943F8">
      <w:pPr>
        <w:rPr>
          <w:b/>
        </w:rPr>
      </w:pPr>
    </w:p>
    <w:p w14:paraId="00A038BB" w14:textId="77777777" w:rsidR="0015754B" w:rsidRPr="00A943F8" w:rsidRDefault="0015754B" w:rsidP="00A943F8">
      <w:pPr>
        <w:keepNext/>
        <w:numPr>
          <w:ilvl w:val="1"/>
          <w:numId w:val="4"/>
        </w:numPr>
        <w:rPr>
          <w:b/>
        </w:rPr>
      </w:pPr>
      <w:r w:rsidRPr="00A943F8">
        <w:rPr>
          <w:b/>
        </w:rPr>
        <w:lastRenderedPageBreak/>
        <w:t>Farmakokinetické vlastnosti</w:t>
      </w:r>
    </w:p>
    <w:p w14:paraId="1DAD1BE7" w14:textId="77777777" w:rsidR="00937E94" w:rsidRPr="00A943F8" w:rsidRDefault="00937E94" w:rsidP="00A943F8">
      <w:pPr>
        <w:keepNext/>
        <w:ind w:left="0" w:firstLine="0"/>
        <w:rPr>
          <w:b/>
        </w:rPr>
      </w:pPr>
    </w:p>
    <w:p w14:paraId="151428B7" w14:textId="77777777" w:rsidR="004E352E" w:rsidRPr="00A943F8" w:rsidRDefault="002C4B22" w:rsidP="00A943F8">
      <w:pPr>
        <w:keepNext/>
      </w:pPr>
      <w:r w:rsidRPr="00A943F8">
        <w:t xml:space="preserve">Pomocou </w:t>
      </w:r>
      <w:proofErr w:type="spellStart"/>
      <w:r w:rsidRPr="00A943F8">
        <w:t>spektrofluoroskopie</w:t>
      </w:r>
      <w:proofErr w:type="spellEnd"/>
      <w:r w:rsidRPr="00A943F8">
        <w:t xml:space="preserve"> bolo dokázané</w:t>
      </w:r>
      <w:smartTag w:uri="urn:schemas-microsoft-com:office:smarttags" w:element="PersonName">
        <w:r w:rsidRPr="00A943F8">
          <w:t>,</w:t>
        </w:r>
      </w:smartTag>
      <w:r w:rsidRPr="00A943F8">
        <w:t xml:space="preserve"> že sa liečivo lieku </w:t>
      </w:r>
      <w:r w:rsidR="009144F6" w:rsidRPr="00A943F8">
        <w:t xml:space="preserve">GLIMBAX </w:t>
      </w:r>
      <w:r w:rsidRPr="00A943F8">
        <w:t xml:space="preserve">koncentruje </w:t>
      </w:r>
    </w:p>
    <w:p w14:paraId="416AB183" w14:textId="77777777" w:rsidR="004E352E" w:rsidRPr="00A943F8" w:rsidRDefault="002C4B22" w:rsidP="00A943F8">
      <w:r w:rsidRPr="00A943F8">
        <w:t>v </w:t>
      </w:r>
      <w:proofErr w:type="spellStart"/>
      <w:r w:rsidRPr="00A943F8">
        <w:t>orofaryngeálnej</w:t>
      </w:r>
      <w:proofErr w:type="spellEnd"/>
      <w:r w:rsidRPr="00A943F8">
        <w:t xml:space="preserve"> </w:t>
      </w:r>
      <w:proofErr w:type="spellStart"/>
      <w:r w:rsidRPr="00A943F8">
        <w:t>mukóze</w:t>
      </w:r>
      <w:proofErr w:type="spellEnd"/>
      <w:r w:rsidRPr="00A943F8">
        <w:t xml:space="preserve"> a potom sa pomaly absorbuje</w:t>
      </w:r>
      <w:r w:rsidR="004E352E" w:rsidRPr="00A943F8">
        <w:t xml:space="preserve">. Tak sa dosahuje veľmi nízkych </w:t>
      </w:r>
    </w:p>
    <w:p w14:paraId="3528B330" w14:textId="77777777" w:rsidR="004E352E" w:rsidRPr="00A943F8" w:rsidRDefault="002C4B22" w:rsidP="00A943F8">
      <w:r w:rsidRPr="00A943F8">
        <w:t>plazmatických koncentrácií liečiva</w:t>
      </w:r>
      <w:smartTag w:uri="urn:schemas-microsoft-com:office:smarttags" w:element="PersonName">
        <w:r w:rsidRPr="00A943F8">
          <w:t>,</w:t>
        </w:r>
      </w:smartTag>
      <w:r w:rsidRPr="00A943F8">
        <w:t xml:space="preserve"> ktoré nevyvolávajú systémové</w:t>
      </w:r>
      <w:r w:rsidR="004E352E" w:rsidRPr="00A943F8">
        <w:t xml:space="preserve"> účinky. Liek sa vylučuje najmä </w:t>
      </w:r>
    </w:p>
    <w:p w14:paraId="756F0A55" w14:textId="77777777" w:rsidR="002C4B22" w:rsidRPr="00A943F8" w:rsidRDefault="002C4B22" w:rsidP="00A943F8">
      <w:r w:rsidRPr="00A943F8">
        <w:t xml:space="preserve">močom vo forme </w:t>
      </w:r>
      <w:proofErr w:type="spellStart"/>
      <w:r w:rsidRPr="00A943F8">
        <w:t>metabolitov</w:t>
      </w:r>
      <w:proofErr w:type="spellEnd"/>
      <w:smartTag w:uri="urn:schemas-microsoft-com:office:smarttags" w:element="PersonName">
        <w:r w:rsidRPr="00A943F8">
          <w:t>,</w:t>
        </w:r>
      </w:smartTag>
      <w:r w:rsidRPr="00A943F8">
        <w:t xml:space="preserve"> zvyšná časť sa vylučuje žlčou a stolicou.</w:t>
      </w:r>
    </w:p>
    <w:p w14:paraId="3FEC4D2C" w14:textId="77777777" w:rsidR="002C4B22" w:rsidRPr="00A943F8" w:rsidRDefault="002C4B22" w:rsidP="00A943F8">
      <w:r w:rsidRPr="00A943F8">
        <w:t xml:space="preserve"> </w:t>
      </w:r>
    </w:p>
    <w:p w14:paraId="67597935" w14:textId="77777777" w:rsidR="0015754B" w:rsidRPr="00A943F8" w:rsidRDefault="0015754B" w:rsidP="00A943F8">
      <w:pPr>
        <w:numPr>
          <w:ilvl w:val="1"/>
          <w:numId w:val="4"/>
        </w:numPr>
        <w:rPr>
          <w:b/>
        </w:rPr>
      </w:pPr>
      <w:r w:rsidRPr="00A943F8">
        <w:rPr>
          <w:b/>
        </w:rPr>
        <w:t>Predklinické údaje o</w:t>
      </w:r>
      <w:r w:rsidR="00937E94" w:rsidRPr="00A943F8">
        <w:rPr>
          <w:b/>
        </w:rPr>
        <w:t> </w:t>
      </w:r>
      <w:r w:rsidRPr="00A943F8">
        <w:rPr>
          <w:b/>
        </w:rPr>
        <w:t>bezpečnosti</w:t>
      </w:r>
    </w:p>
    <w:p w14:paraId="6E8BD97E" w14:textId="77777777" w:rsidR="004E352E" w:rsidRPr="00A943F8" w:rsidRDefault="004E352E" w:rsidP="00A943F8">
      <w:pPr>
        <w:rPr>
          <w:b/>
        </w:rPr>
      </w:pPr>
    </w:p>
    <w:p w14:paraId="06239E8E" w14:textId="77777777" w:rsidR="002C4B22" w:rsidRPr="00A943F8" w:rsidRDefault="002C4B22" w:rsidP="00A943F8">
      <w:r w:rsidRPr="00A943F8">
        <w:t>LD</w:t>
      </w:r>
      <w:r w:rsidRPr="00A943F8">
        <w:rPr>
          <w:vertAlign w:val="subscript"/>
        </w:rPr>
        <w:t>50</w:t>
      </w:r>
      <w:r w:rsidRPr="00A943F8">
        <w:t xml:space="preserve"> per os:</w:t>
      </w:r>
    </w:p>
    <w:p w14:paraId="1F8650BB" w14:textId="77777777" w:rsidR="002C4B22" w:rsidRPr="00A943F8" w:rsidRDefault="002C4B22" w:rsidP="00A943F8">
      <w:r w:rsidRPr="00A943F8">
        <w:t>Myš:       1300 mg/kg po 48 hod / 231 mg/kg po 15 dňoch</w:t>
      </w:r>
    </w:p>
    <w:p w14:paraId="7ED3D0AD" w14:textId="77777777" w:rsidR="002C4B22" w:rsidRPr="00A943F8" w:rsidRDefault="002C4B22" w:rsidP="00A943F8">
      <w:r w:rsidRPr="00A943F8">
        <w:t>Potkan:   1500 mg/kg po 48 hod / 233 mg/kg po 15 dňoch</w:t>
      </w:r>
    </w:p>
    <w:p w14:paraId="1EF96646" w14:textId="77777777" w:rsidR="002C4B22" w:rsidRPr="00A943F8" w:rsidRDefault="002C4B22" w:rsidP="00A943F8">
      <w:r w:rsidRPr="00A943F8">
        <w:t xml:space="preserve">Morča:    1250 mg/kg po 48 hod / 233 mg/kg po 15 dňoch </w:t>
      </w:r>
    </w:p>
    <w:p w14:paraId="60D554C8" w14:textId="77777777" w:rsidR="00DC0F1F" w:rsidRPr="00A943F8" w:rsidRDefault="002C4B22" w:rsidP="00A943F8">
      <w:r w:rsidRPr="00A943F8">
        <w:t xml:space="preserve">3-mesačné perorálne podávanie </w:t>
      </w:r>
      <w:proofErr w:type="spellStart"/>
      <w:r w:rsidRPr="00A943F8">
        <w:t>diklofenaku</w:t>
      </w:r>
      <w:proofErr w:type="spellEnd"/>
      <w:r w:rsidRPr="00A943F8">
        <w:t xml:space="preserve"> v dávke 2 mg/kg</w:t>
      </w:r>
      <w:r w:rsidR="00DC0F1F" w:rsidRPr="00A943F8">
        <w:t xml:space="preserve">/deň potkanom nevyvolalo žiadnu </w:t>
      </w:r>
    </w:p>
    <w:p w14:paraId="73227630" w14:textId="77777777" w:rsidR="00DC0F1F" w:rsidRPr="00A943F8" w:rsidRDefault="002C4B22" w:rsidP="00A943F8">
      <w:r w:rsidRPr="00A943F8">
        <w:t xml:space="preserve">chronickú toxicitu. Štúdie na pokusných zvieratách preukázali, že </w:t>
      </w:r>
      <w:proofErr w:type="spellStart"/>
      <w:r w:rsidRPr="00A943F8">
        <w:t>diklofenak</w:t>
      </w:r>
      <w:proofErr w:type="spellEnd"/>
      <w:r w:rsidRPr="00A943F8">
        <w:t xml:space="preserve"> nevykazuje mutagénne, </w:t>
      </w:r>
    </w:p>
    <w:p w14:paraId="0C1D011B" w14:textId="77777777" w:rsidR="002C4B22" w:rsidRPr="00A943F8" w:rsidRDefault="002C4B22" w:rsidP="00A943F8">
      <w:proofErr w:type="spellStart"/>
      <w:r w:rsidRPr="00A943F8">
        <w:t>teratogénne</w:t>
      </w:r>
      <w:proofErr w:type="spellEnd"/>
      <w:r w:rsidRPr="00A943F8">
        <w:t xml:space="preserve"> ani karcinogénne účinky.</w:t>
      </w:r>
    </w:p>
    <w:p w14:paraId="4FC0316A" w14:textId="77777777" w:rsidR="002C4B22" w:rsidRPr="00A943F8" w:rsidRDefault="002C4B22" w:rsidP="00A943F8"/>
    <w:p w14:paraId="1B3489B9" w14:textId="77777777" w:rsidR="0015754B" w:rsidRPr="00A943F8" w:rsidRDefault="0015754B" w:rsidP="00A943F8">
      <w:pPr>
        <w:rPr>
          <w:b/>
        </w:rPr>
      </w:pPr>
    </w:p>
    <w:p w14:paraId="49944C5B" w14:textId="77777777" w:rsidR="0015754B" w:rsidRPr="00A943F8" w:rsidRDefault="0015754B" w:rsidP="00A943F8">
      <w:pPr>
        <w:rPr>
          <w:b/>
        </w:rPr>
      </w:pPr>
      <w:r w:rsidRPr="00A943F8">
        <w:rPr>
          <w:b/>
        </w:rPr>
        <w:t>6.</w:t>
      </w:r>
      <w:r w:rsidRPr="00A943F8">
        <w:rPr>
          <w:b/>
        </w:rPr>
        <w:tab/>
        <w:t>FARMACEUTICKÉ INFORMÁCIE</w:t>
      </w:r>
    </w:p>
    <w:p w14:paraId="59422A34" w14:textId="77777777" w:rsidR="0015754B" w:rsidRPr="00A943F8" w:rsidRDefault="0015754B" w:rsidP="00A943F8">
      <w:pPr>
        <w:rPr>
          <w:b/>
        </w:rPr>
      </w:pPr>
    </w:p>
    <w:p w14:paraId="5A5A035A" w14:textId="77777777" w:rsidR="0015754B" w:rsidRPr="00A943F8" w:rsidRDefault="0015754B" w:rsidP="00A943F8">
      <w:pPr>
        <w:rPr>
          <w:b/>
        </w:rPr>
      </w:pPr>
      <w:r w:rsidRPr="00A943F8">
        <w:rPr>
          <w:b/>
        </w:rPr>
        <w:t>6.1</w:t>
      </w:r>
      <w:r w:rsidRPr="00A943F8">
        <w:rPr>
          <w:b/>
        </w:rPr>
        <w:tab/>
        <w:t>Zoznam pomocných látok</w:t>
      </w:r>
    </w:p>
    <w:p w14:paraId="4A3F7434" w14:textId="77777777" w:rsidR="00DC0F1F" w:rsidRPr="00A943F8" w:rsidRDefault="00DC0F1F" w:rsidP="00A943F8"/>
    <w:p w14:paraId="7F59C6EE" w14:textId="77777777" w:rsidR="00D71EDC" w:rsidRPr="00A943F8" w:rsidRDefault="00DC0F1F" w:rsidP="00A943F8">
      <w:r w:rsidRPr="00A943F8">
        <w:t>Sorbitol 70 % nekryštalizujúci</w:t>
      </w:r>
      <w:smartTag w:uri="urn:schemas-microsoft-com:office:smarttags" w:element="PersonName">
        <w:r w:rsidRPr="00A943F8">
          <w:t>,</w:t>
        </w:r>
      </w:smartTag>
      <w:r w:rsidRPr="00A943F8">
        <w:t xml:space="preserve"> cholín</w:t>
      </w:r>
      <w:smartTag w:uri="urn:schemas-microsoft-com:office:smarttags" w:element="PersonName">
        <w:r w:rsidRPr="00A943F8">
          <w:t>,</w:t>
        </w:r>
      </w:smartTag>
      <w:r w:rsidRPr="00A943F8">
        <w:t xml:space="preserve"> </w:t>
      </w:r>
      <w:r w:rsidR="00D71EDC" w:rsidRPr="00A943F8">
        <w:t>natriumbenzoát</w:t>
      </w:r>
      <w:r w:rsidRPr="00A943F8">
        <w:t>, edetan disodný</w:t>
      </w:r>
      <w:smartTag w:uri="urn:schemas-microsoft-com:office:smarttags" w:element="PersonName">
        <w:r w:rsidRPr="00A943F8">
          <w:t>,</w:t>
        </w:r>
      </w:smartTag>
      <w:r w:rsidRPr="00A943F8">
        <w:t xml:space="preserve"> acesulfam draselný</w:t>
      </w:r>
      <w:smartTag w:uri="urn:schemas-microsoft-com:office:smarttags" w:element="PersonName">
        <w:r w:rsidRPr="00A943F8">
          <w:t>,</w:t>
        </w:r>
      </w:smartTag>
      <w:r w:rsidRPr="00A943F8">
        <w:t xml:space="preserve"> </w:t>
      </w:r>
    </w:p>
    <w:p w14:paraId="323182B6" w14:textId="77777777" w:rsidR="00DC0F1F" w:rsidRPr="00A943F8" w:rsidRDefault="00DC0F1F" w:rsidP="00A943F8">
      <w:r w:rsidRPr="00A943F8">
        <w:t>mentolová príchuť</w:t>
      </w:r>
      <w:smartTag w:uri="urn:schemas-microsoft-com:office:smarttags" w:element="PersonName">
        <w:r w:rsidRPr="00A943F8">
          <w:t>,</w:t>
        </w:r>
      </w:smartTag>
      <w:r w:rsidRPr="00A943F8">
        <w:t xml:space="preserve"> broskyňová príchuť</w:t>
      </w:r>
      <w:smartTag w:uri="urn:schemas-microsoft-com:office:smarttags" w:element="PersonName">
        <w:r w:rsidRPr="00A943F8">
          <w:t>,</w:t>
        </w:r>
      </w:smartTag>
      <w:r w:rsidRPr="00A943F8">
        <w:t xml:space="preserve"> ponceau 4R (E124)</w:t>
      </w:r>
      <w:smartTag w:uri="urn:schemas-microsoft-com:office:smarttags" w:element="PersonName">
        <w:r w:rsidRPr="00A943F8">
          <w:t>,</w:t>
        </w:r>
      </w:smartTag>
      <w:r w:rsidRPr="00A943F8">
        <w:t xml:space="preserve"> čistená voda. </w:t>
      </w:r>
    </w:p>
    <w:p w14:paraId="30704953" w14:textId="77777777" w:rsidR="002C4B22" w:rsidRPr="00A943F8" w:rsidRDefault="002C4B22" w:rsidP="00A943F8"/>
    <w:p w14:paraId="5EB9BA62" w14:textId="77777777" w:rsidR="0015754B" w:rsidRPr="00A943F8" w:rsidRDefault="0015754B" w:rsidP="00A943F8">
      <w:pPr>
        <w:numPr>
          <w:ilvl w:val="1"/>
          <w:numId w:val="7"/>
        </w:numPr>
        <w:rPr>
          <w:b/>
        </w:rPr>
      </w:pPr>
      <w:r w:rsidRPr="00A943F8">
        <w:rPr>
          <w:b/>
        </w:rPr>
        <w:t>Inkompatibility</w:t>
      </w:r>
    </w:p>
    <w:p w14:paraId="16303B83" w14:textId="77777777" w:rsidR="00937E94" w:rsidRPr="00A943F8" w:rsidRDefault="00937E94" w:rsidP="00A943F8">
      <w:pPr>
        <w:ind w:left="0" w:firstLine="0"/>
        <w:rPr>
          <w:b/>
        </w:rPr>
      </w:pPr>
    </w:p>
    <w:p w14:paraId="5367D85F" w14:textId="77777777" w:rsidR="00DC0F1F" w:rsidRPr="00A943F8" w:rsidRDefault="00DC0F1F" w:rsidP="00A943F8">
      <w:r w:rsidRPr="00A943F8">
        <w:t>Neaplikovateľné.</w:t>
      </w:r>
    </w:p>
    <w:p w14:paraId="51E48ECD" w14:textId="77777777" w:rsidR="0015754B" w:rsidRPr="00A943F8" w:rsidRDefault="0015754B" w:rsidP="00A943F8">
      <w:pPr>
        <w:rPr>
          <w:b/>
        </w:rPr>
      </w:pPr>
    </w:p>
    <w:p w14:paraId="48472397" w14:textId="77777777" w:rsidR="0015754B" w:rsidRPr="00A943F8" w:rsidRDefault="0015754B" w:rsidP="00A943F8">
      <w:pPr>
        <w:rPr>
          <w:b/>
        </w:rPr>
      </w:pPr>
      <w:r w:rsidRPr="00A943F8">
        <w:rPr>
          <w:b/>
        </w:rPr>
        <w:t>6.3</w:t>
      </w:r>
      <w:r w:rsidRPr="00A943F8">
        <w:rPr>
          <w:b/>
        </w:rPr>
        <w:tab/>
        <w:t>Čas použiteľnosti</w:t>
      </w:r>
    </w:p>
    <w:p w14:paraId="6C2D3EE1" w14:textId="77777777" w:rsidR="00937E94" w:rsidRPr="00A943F8" w:rsidRDefault="00937E94" w:rsidP="00A943F8">
      <w:pPr>
        <w:rPr>
          <w:b/>
        </w:rPr>
      </w:pPr>
    </w:p>
    <w:p w14:paraId="1ED23494" w14:textId="77777777" w:rsidR="0015754B" w:rsidRPr="00A943F8" w:rsidRDefault="002C4B22" w:rsidP="00A943F8">
      <w:pPr>
        <w:rPr>
          <w:b/>
        </w:rPr>
      </w:pPr>
      <w:r w:rsidRPr="00A943F8">
        <w:t xml:space="preserve">3 roky </w:t>
      </w:r>
    </w:p>
    <w:p w14:paraId="0137C864" w14:textId="77777777" w:rsidR="004A53D1" w:rsidRPr="00A943F8" w:rsidRDefault="004A53D1" w:rsidP="00A943F8">
      <w:pPr>
        <w:rPr>
          <w:b/>
        </w:rPr>
      </w:pPr>
    </w:p>
    <w:p w14:paraId="540F67C3" w14:textId="77777777" w:rsidR="0015754B" w:rsidRPr="00A943F8" w:rsidRDefault="0015754B" w:rsidP="00A943F8">
      <w:pPr>
        <w:numPr>
          <w:ilvl w:val="1"/>
          <w:numId w:val="7"/>
        </w:numPr>
        <w:rPr>
          <w:b/>
        </w:rPr>
      </w:pPr>
      <w:r w:rsidRPr="00A943F8">
        <w:rPr>
          <w:b/>
        </w:rPr>
        <w:t>Špeciálne upozornenia na uchovávanie</w:t>
      </w:r>
    </w:p>
    <w:p w14:paraId="6E0C8FF6" w14:textId="77777777" w:rsidR="00937E94" w:rsidRPr="00A943F8" w:rsidRDefault="00937E94" w:rsidP="00A943F8">
      <w:pPr>
        <w:ind w:left="0" w:firstLine="0"/>
        <w:rPr>
          <w:b/>
        </w:rPr>
      </w:pPr>
    </w:p>
    <w:p w14:paraId="72FBB9CA" w14:textId="77777777" w:rsidR="002C4B22" w:rsidRPr="00A943F8" w:rsidRDefault="008D7339" w:rsidP="00A943F8">
      <w:r w:rsidRPr="00A943F8">
        <w:t xml:space="preserve">Uchovávajte </w:t>
      </w:r>
      <w:r w:rsidR="002C4B22" w:rsidRPr="00A943F8">
        <w:t xml:space="preserve">pri teplote do </w:t>
      </w:r>
      <w:smartTag w:uri="urn:schemas-microsoft-com:office:smarttags" w:element="metricconverter">
        <w:smartTagPr>
          <w:attr w:name="ProductID" w:val="25°C"/>
        </w:smartTagPr>
        <w:r w:rsidR="002C4B22" w:rsidRPr="00A943F8">
          <w:t>25°C</w:t>
        </w:r>
      </w:smartTag>
      <w:r w:rsidR="002C4B22" w:rsidRPr="00A943F8">
        <w:t>.</w:t>
      </w:r>
    </w:p>
    <w:p w14:paraId="09DA3AB2" w14:textId="77777777" w:rsidR="00FC659A" w:rsidRPr="00A943F8" w:rsidRDefault="00FC659A" w:rsidP="00A943F8">
      <w:pPr>
        <w:ind w:left="0" w:firstLine="0"/>
        <w:rPr>
          <w:b/>
        </w:rPr>
      </w:pPr>
    </w:p>
    <w:p w14:paraId="140A6A93" w14:textId="17C135A8" w:rsidR="0015754B" w:rsidRPr="00A943F8" w:rsidRDefault="0015754B" w:rsidP="00A943F8">
      <w:pPr>
        <w:numPr>
          <w:ilvl w:val="1"/>
          <w:numId w:val="7"/>
        </w:numPr>
        <w:rPr>
          <w:b/>
        </w:rPr>
      </w:pPr>
      <w:r w:rsidRPr="00A943F8">
        <w:rPr>
          <w:b/>
        </w:rPr>
        <w:t xml:space="preserve">Druh obalu a obsah balenia </w:t>
      </w:r>
    </w:p>
    <w:p w14:paraId="6EA74DCF" w14:textId="77777777" w:rsidR="00937E94" w:rsidRPr="00A943F8" w:rsidRDefault="00937E94" w:rsidP="00F101AC">
      <w:pPr>
        <w:ind w:left="0" w:firstLine="0"/>
        <w:rPr>
          <w:b/>
        </w:rPr>
      </w:pPr>
    </w:p>
    <w:p w14:paraId="2360F82F" w14:textId="77777777" w:rsidR="00DC0F1F" w:rsidRPr="00A943F8" w:rsidRDefault="002C4B22" w:rsidP="00A943F8">
      <w:r w:rsidRPr="005B2B50">
        <w:rPr>
          <w:szCs w:val="22"/>
        </w:rPr>
        <w:t xml:space="preserve">Liekovka typu III zo skla jantárovej farby, PE uzáver s detskou poistkou, písomná informácia pre </w:t>
      </w:r>
    </w:p>
    <w:p w14:paraId="5A1DF1D3" w14:textId="6A342A32" w:rsidR="002C4B22" w:rsidRPr="00A943F8" w:rsidRDefault="002C4B22" w:rsidP="00A943F8">
      <w:r w:rsidRPr="00A943F8">
        <w:t>používateľ</w:t>
      </w:r>
      <w:r w:rsidR="005D5B17" w:rsidRPr="00A943F8">
        <w:t>a</w:t>
      </w:r>
      <w:r w:rsidRPr="00A943F8">
        <w:t xml:space="preserve">, papierová </w:t>
      </w:r>
      <w:r w:rsidR="00E60C46" w:rsidRPr="00A943F8">
        <w:t>škatuľka</w:t>
      </w:r>
      <w:r w:rsidRPr="00A943F8">
        <w:t>.</w:t>
      </w:r>
    </w:p>
    <w:p w14:paraId="49D301D2" w14:textId="77777777" w:rsidR="005D5B17" w:rsidRPr="00A943F8" w:rsidRDefault="005D5B17" w:rsidP="00A943F8"/>
    <w:p w14:paraId="3EF9AAC8" w14:textId="77777777" w:rsidR="002C4B22" w:rsidRPr="00A943F8" w:rsidRDefault="002C4B22" w:rsidP="00A943F8">
      <w:r w:rsidRPr="00A943F8">
        <w:t>Veľkosť balenia</w:t>
      </w:r>
      <w:r w:rsidRPr="00A943F8">
        <w:rPr>
          <w:i/>
        </w:rPr>
        <w:t>:</w:t>
      </w:r>
      <w:r w:rsidRPr="00A943F8">
        <w:t xml:space="preserve"> 200ml.</w:t>
      </w:r>
    </w:p>
    <w:p w14:paraId="0B199E2A" w14:textId="77777777" w:rsidR="00FC659A" w:rsidRPr="00A943F8" w:rsidRDefault="00FC659A" w:rsidP="00A943F8">
      <w:pPr>
        <w:rPr>
          <w:b/>
        </w:rPr>
      </w:pPr>
    </w:p>
    <w:p w14:paraId="70D56D1F" w14:textId="77777777" w:rsidR="0015754B" w:rsidRPr="00A943F8" w:rsidRDefault="0015754B" w:rsidP="00A943F8">
      <w:pPr>
        <w:rPr>
          <w:b/>
        </w:rPr>
      </w:pPr>
    </w:p>
    <w:p w14:paraId="46C8437C" w14:textId="77777777" w:rsidR="00FC659A" w:rsidRPr="00A943F8" w:rsidRDefault="0015754B" w:rsidP="00A943F8">
      <w:pPr>
        <w:rPr>
          <w:b/>
          <w:lang w:val="pl-PL"/>
        </w:rPr>
      </w:pPr>
      <w:r w:rsidRPr="00A943F8">
        <w:rPr>
          <w:b/>
        </w:rPr>
        <w:t>6.6</w:t>
      </w:r>
      <w:r w:rsidRPr="00A943F8">
        <w:rPr>
          <w:b/>
        </w:rPr>
        <w:tab/>
      </w:r>
      <w:r w:rsidRPr="00A943F8">
        <w:rPr>
          <w:b/>
          <w:lang w:val="pl-PL"/>
        </w:rPr>
        <w:t>Špeciálne opatrenia na likvidáciu</w:t>
      </w:r>
      <w:r w:rsidR="00FC659A" w:rsidRPr="00A943F8">
        <w:rPr>
          <w:b/>
          <w:lang w:val="pl-PL"/>
        </w:rPr>
        <w:t xml:space="preserve"> </w:t>
      </w:r>
      <w:r w:rsidRPr="00A943F8">
        <w:rPr>
          <w:b/>
          <w:lang w:val="pl-PL"/>
        </w:rPr>
        <w:t>a iné zaobchádzanie s liekom</w:t>
      </w:r>
    </w:p>
    <w:p w14:paraId="0BD1C43E" w14:textId="77777777" w:rsidR="00937E94" w:rsidRPr="00A943F8" w:rsidRDefault="00937E94" w:rsidP="00A943F8">
      <w:pPr>
        <w:pStyle w:val="Zkladntext"/>
        <w:ind w:firstLine="567"/>
      </w:pPr>
    </w:p>
    <w:p w14:paraId="096229FC" w14:textId="77777777" w:rsidR="00E60C46" w:rsidRPr="00A943F8" w:rsidRDefault="005D5B17" w:rsidP="00A943F8">
      <w:pPr>
        <w:pStyle w:val="Zkladntext"/>
      </w:pPr>
      <w:r w:rsidRPr="00A943F8">
        <w:t>Žiadne zvláštne požiadavky na likvidáciu.</w:t>
      </w:r>
      <w:r w:rsidR="00E60C46" w:rsidRPr="00A943F8">
        <w:t xml:space="preserve"> </w:t>
      </w:r>
    </w:p>
    <w:p w14:paraId="15F16983" w14:textId="77777777" w:rsidR="00E60C46" w:rsidRPr="00A943F8" w:rsidRDefault="00E60C46" w:rsidP="00A943F8">
      <w:pPr>
        <w:rPr>
          <w:b/>
        </w:rPr>
      </w:pPr>
      <w:r w:rsidRPr="00A943F8">
        <w:t>Nepoužitý liek vráťte do lekárne</w:t>
      </w:r>
      <w:r w:rsidRPr="00A943F8">
        <w:rPr>
          <w:b/>
        </w:rPr>
        <w:t>.</w:t>
      </w:r>
    </w:p>
    <w:p w14:paraId="69698C92" w14:textId="77777777" w:rsidR="00E60C46" w:rsidRPr="00A943F8" w:rsidRDefault="00E60C46" w:rsidP="00A943F8">
      <w:pPr>
        <w:pStyle w:val="Zkladntext"/>
      </w:pPr>
    </w:p>
    <w:p w14:paraId="1142AFE8" w14:textId="77777777" w:rsidR="0015754B" w:rsidRPr="00A943F8" w:rsidRDefault="0015754B" w:rsidP="006825D9">
      <w:pPr>
        <w:rPr>
          <w:b/>
        </w:rPr>
      </w:pPr>
    </w:p>
    <w:p w14:paraId="46631C37" w14:textId="77777777" w:rsidR="0015754B" w:rsidRPr="00A943F8" w:rsidRDefault="0015754B" w:rsidP="00A943F8">
      <w:pPr>
        <w:keepNext/>
        <w:rPr>
          <w:b/>
        </w:rPr>
      </w:pPr>
      <w:r w:rsidRPr="00A943F8">
        <w:rPr>
          <w:b/>
        </w:rPr>
        <w:lastRenderedPageBreak/>
        <w:t>7.</w:t>
      </w:r>
      <w:r w:rsidRPr="00A943F8">
        <w:rPr>
          <w:b/>
        </w:rPr>
        <w:tab/>
        <w:t>DRŽITEĽ ROZHODNUTIA O REGISTRÁCII</w:t>
      </w:r>
    </w:p>
    <w:p w14:paraId="633E4803" w14:textId="77777777" w:rsidR="00937E94" w:rsidRPr="00A943F8" w:rsidRDefault="00937E94" w:rsidP="00A943F8">
      <w:pPr>
        <w:keepNext/>
      </w:pPr>
    </w:p>
    <w:p w14:paraId="675D99B7" w14:textId="77777777" w:rsidR="005D5B17" w:rsidRPr="00A943F8" w:rsidRDefault="005D5B17" w:rsidP="00A943F8">
      <w:pPr>
        <w:keepNext/>
      </w:pPr>
      <w:proofErr w:type="spellStart"/>
      <w:r w:rsidRPr="00A943F8">
        <w:t>Angelini</w:t>
      </w:r>
      <w:proofErr w:type="spellEnd"/>
      <w:r w:rsidRPr="00A943F8">
        <w:t xml:space="preserve"> </w:t>
      </w:r>
      <w:proofErr w:type="spellStart"/>
      <w:r w:rsidRPr="00A943F8">
        <w:t>Pharma</w:t>
      </w:r>
      <w:proofErr w:type="spellEnd"/>
      <w:r w:rsidRPr="00A943F8">
        <w:t xml:space="preserve"> </w:t>
      </w:r>
      <w:proofErr w:type="spellStart"/>
      <w:r w:rsidRPr="00A943F8">
        <w:t>Österreich</w:t>
      </w:r>
      <w:proofErr w:type="spellEnd"/>
      <w:r w:rsidR="002C4B22" w:rsidRPr="00A943F8">
        <w:t xml:space="preserve"> </w:t>
      </w:r>
      <w:proofErr w:type="spellStart"/>
      <w:r w:rsidR="002C4B22" w:rsidRPr="00A943F8">
        <w:t>GmbH</w:t>
      </w:r>
      <w:proofErr w:type="spellEnd"/>
    </w:p>
    <w:p w14:paraId="77833B23" w14:textId="77777777" w:rsidR="00EE6A69" w:rsidRPr="002C7DFF" w:rsidRDefault="00EE6A69" w:rsidP="00501A78">
      <w:pPr>
        <w:pStyle w:val="Default"/>
        <w:keepNext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proofErr w:type="spellStart"/>
      <w:r w:rsidRPr="002C7DFF">
        <w:rPr>
          <w:rFonts w:ascii="Times New Roman" w:hAnsi="Times New Roman" w:cs="Times New Roman"/>
          <w:color w:val="auto"/>
          <w:sz w:val="22"/>
          <w:szCs w:val="22"/>
          <w:lang w:val="sk-SK"/>
        </w:rPr>
        <w:t>Brigittenauer</w:t>
      </w:r>
      <w:proofErr w:type="spellEnd"/>
      <w:r w:rsidRPr="002C7DFF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</w:t>
      </w:r>
      <w:proofErr w:type="spellStart"/>
      <w:r w:rsidRPr="002C7DFF">
        <w:rPr>
          <w:rFonts w:ascii="Times New Roman" w:hAnsi="Times New Roman" w:cs="Times New Roman"/>
          <w:color w:val="auto"/>
          <w:sz w:val="22"/>
          <w:szCs w:val="22"/>
          <w:lang w:val="sk-SK"/>
        </w:rPr>
        <w:t>Lände</w:t>
      </w:r>
      <w:proofErr w:type="spellEnd"/>
      <w:r w:rsidRPr="002C7DFF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50-54</w:t>
      </w:r>
    </w:p>
    <w:p w14:paraId="0080AD06" w14:textId="77777777" w:rsidR="00EE6A69" w:rsidRDefault="00EE6A69" w:rsidP="00A943F8">
      <w:pPr>
        <w:keepNext/>
        <w:rPr>
          <w:szCs w:val="22"/>
        </w:rPr>
      </w:pPr>
      <w:r w:rsidRPr="002C7DFF">
        <w:rPr>
          <w:szCs w:val="22"/>
        </w:rPr>
        <w:t>1200 Viedeň</w:t>
      </w:r>
      <w:bookmarkStart w:id="2" w:name="_GoBack"/>
      <w:bookmarkEnd w:id="2"/>
    </w:p>
    <w:p w14:paraId="39E247CF" w14:textId="77777777" w:rsidR="002C4B22" w:rsidRPr="00A943F8" w:rsidRDefault="002C4B22" w:rsidP="00A943F8">
      <w:r w:rsidRPr="00A943F8">
        <w:t xml:space="preserve">Rakúsko </w:t>
      </w:r>
    </w:p>
    <w:p w14:paraId="38E9992E" w14:textId="77777777" w:rsidR="002C4B22" w:rsidRPr="00A943F8" w:rsidRDefault="002C4B22" w:rsidP="00A943F8">
      <w:pPr>
        <w:rPr>
          <w:b/>
        </w:rPr>
      </w:pPr>
    </w:p>
    <w:p w14:paraId="74A65066" w14:textId="77777777" w:rsidR="0015754B" w:rsidRPr="00A943F8" w:rsidRDefault="0015754B">
      <w:pPr>
        <w:rPr>
          <w:b/>
        </w:rPr>
      </w:pPr>
    </w:p>
    <w:p w14:paraId="2B675F54" w14:textId="70836E81" w:rsidR="0015754B" w:rsidRPr="00A943F8" w:rsidRDefault="0015754B" w:rsidP="00A943F8">
      <w:pPr>
        <w:rPr>
          <w:b/>
        </w:rPr>
      </w:pPr>
      <w:r w:rsidRPr="00A943F8">
        <w:rPr>
          <w:b/>
        </w:rPr>
        <w:t>8.</w:t>
      </w:r>
      <w:r w:rsidRPr="00A943F8">
        <w:rPr>
          <w:b/>
        </w:rPr>
        <w:tab/>
        <w:t>REGISTRAČNÉ ČÍSLO</w:t>
      </w:r>
    </w:p>
    <w:p w14:paraId="37C0E02D" w14:textId="77777777" w:rsidR="00937E94" w:rsidRPr="00A943F8" w:rsidRDefault="00937E94" w:rsidP="00A943F8"/>
    <w:p w14:paraId="7D64DCD6" w14:textId="77777777" w:rsidR="002C4B22" w:rsidRPr="00A943F8" w:rsidRDefault="002C4B22" w:rsidP="004D4F73">
      <w:r w:rsidRPr="00A943F8">
        <w:t>95/0200/04-S</w:t>
      </w:r>
    </w:p>
    <w:p w14:paraId="2178EA51" w14:textId="77777777" w:rsidR="0015754B" w:rsidRPr="00A943F8" w:rsidRDefault="0015754B" w:rsidP="00A943F8">
      <w:pPr>
        <w:rPr>
          <w:b/>
        </w:rPr>
      </w:pPr>
    </w:p>
    <w:p w14:paraId="36C1E08C" w14:textId="77777777" w:rsidR="005D5B17" w:rsidRPr="00A943F8" w:rsidRDefault="005D5B17" w:rsidP="00A943F8">
      <w:pPr>
        <w:rPr>
          <w:b/>
        </w:rPr>
      </w:pPr>
    </w:p>
    <w:p w14:paraId="46D01A66" w14:textId="77777777" w:rsidR="0015754B" w:rsidRPr="00A943F8" w:rsidRDefault="0015754B" w:rsidP="00A943F8">
      <w:pPr>
        <w:rPr>
          <w:b/>
        </w:rPr>
      </w:pPr>
      <w:r w:rsidRPr="00A943F8">
        <w:rPr>
          <w:b/>
        </w:rPr>
        <w:t>9.</w:t>
      </w:r>
      <w:r w:rsidRPr="00A943F8">
        <w:rPr>
          <w:b/>
        </w:rPr>
        <w:tab/>
        <w:t>DÁTUM PRVEJ REGISTRÁCIE/ PREDĹŽENIA REGISTRÁCIE</w:t>
      </w:r>
    </w:p>
    <w:p w14:paraId="38919618" w14:textId="77777777" w:rsidR="00937E94" w:rsidRPr="00A943F8" w:rsidRDefault="00937E94" w:rsidP="00A943F8">
      <w:pPr>
        <w:ind w:firstLine="0"/>
      </w:pPr>
    </w:p>
    <w:p w14:paraId="4437E4CB" w14:textId="2F615023" w:rsidR="002C4B22" w:rsidRDefault="005D5B17" w:rsidP="00A943F8">
      <w:pPr>
        <w:rPr>
          <w:szCs w:val="22"/>
        </w:rPr>
      </w:pPr>
      <w:r w:rsidRPr="00A943F8">
        <w:t xml:space="preserve">Dátum prvej registrácie: </w:t>
      </w:r>
      <w:r w:rsidR="002C4B22" w:rsidRPr="00A943F8">
        <w:t>30.</w:t>
      </w:r>
      <w:r w:rsidR="00EE6A69">
        <w:rPr>
          <w:szCs w:val="22"/>
        </w:rPr>
        <w:t xml:space="preserve"> apríla </w:t>
      </w:r>
      <w:r w:rsidR="002C4B22" w:rsidRPr="005B2B50">
        <w:rPr>
          <w:szCs w:val="22"/>
        </w:rPr>
        <w:t>2004</w:t>
      </w:r>
    </w:p>
    <w:p w14:paraId="2F5123ED" w14:textId="5A133466" w:rsidR="005D5B17" w:rsidRPr="005B2B50" w:rsidRDefault="005D5B17" w:rsidP="00A943F8">
      <w:pPr>
        <w:rPr>
          <w:szCs w:val="22"/>
        </w:rPr>
      </w:pPr>
      <w:r w:rsidRPr="00A943F8">
        <w:t xml:space="preserve">Dátum </w:t>
      </w:r>
      <w:r w:rsidR="00B5684D" w:rsidRPr="00A943F8">
        <w:t xml:space="preserve">posledného </w:t>
      </w:r>
      <w:r w:rsidRPr="00A943F8">
        <w:t>predĺženia registrácie: 15.</w:t>
      </w:r>
      <w:r w:rsidR="00EE6A69">
        <w:rPr>
          <w:szCs w:val="22"/>
        </w:rPr>
        <w:t xml:space="preserve"> apríla </w:t>
      </w:r>
      <w:r>
        <w:rPr>
          <w:szCs w:val="22"/>
        </w:rPr>
        <w:t>2009</w:t>
      </w:r>
    </w:p>
    <w:p w14:paraId="56DC0F51" w14:textId="77777777" w:rsidR="0015754B" w:rsidRPr="00A943F8" w:rsidRDefault="0015754B" w:rsidP="00A943F8">
      <w:pPr>
        <w:rPr>
          <w:b/>
        </w:rPr>
      </w:pPr>
    </w:p>
    <w:p w14:paraId="5344768F" w14:textId="77777777" w:rsidR="005D5B17" w:rsidRPr="00A943F8" w:rsidRDefault="005D5B17" w:rsidP="00A943F8">
      <w:pPr>
        <w:rPr>
          <w:b/>
        </w:rPr>
      </w:pPr>
    </w:p>
    <w:p w14:paraId="04852784" w14:textId="77777777" w:rsidR="0015754B" w:rsidRPr="00A943F8" w:rsidRDefault="0015754B" w:rsidP="00A943F8">
      <w:pPr>
        <w:rPr>
          <w:b/>
        </w:rPr>
      </w:pPr>
      <w:r w:rsidRPr="00A943F8">
        <w:rPr>
          <w:b/>
        </w:rPr>
        <w:t>10.</w:t>
      </w:r>
      <w:r w:rsidRPr="00A943F8">
        <w:rPr>
          <w:b/>
        </w:rPr>
        <w:tab/>
        <w:t>DÁTUM REVÍZIE TEXTU</w:t>
      </w:r>
    </w:p>
    <w:p w14:paraId="0349A516" w14:textId="77777777" w:rsidR="00DC0F1F" w:rsidRPr="00A943F8" w:rsidRDefault="00DC0F1F" w:rsidP="00A943F8">
      <w:pPr>
        <w:rPr>
          <w:b/>
        </w:rPr>
      </w:pPr>
    </w:p>
    <w:p w14:paraId="7694D268" w14:textId="7492090E" w:rsidR="0015754B" w:rsidRPr="00A943F8" w:rsidRDefault="00A943F8" w:rsidP="00A943F8">
      <w:r>
        <w:t>Júl 2018</w:t>
      </w:r>
    </w:p>
    <w:sectPr w:rsidR="0015754B" w:rsidRPr="00A943F8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A7891C" w14:textId="77777777" w:rsidR="00A943F8" w:rsidRDefault="00A943F8">
      <w:r>
        <w:separator/>
      </w:r>
    </w:p>
  </w:endnote>
  <w:endnote w:type="continuationSeparator" w:id="0">
    <w:p w14:paraId="304B5418" w14:textId="77777777" w:rsidR="00A943F8" w:rsidRDefault="00A943F8">
      <w:r>
        <w:continuationSeparator/>
      </w:r>
    </w:p>
  </w:endnote>
  <w:endnote w:type="continuationNotice" w:id="1">
    <w:p w14:paraId="293C5141" w14:textId="77777777" w:rsidR="00A943F8" w:rsidRDefault="00A943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8CE4D" w14:textId="77777777" w:rsidR="009144F6" w:rsidRDefault="009144F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7EF36D0" w14:textId="77777777" w:rsidR="009144F6" w:rsidRDefault="009144F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6F58F" w14:textId="77777777" w:rsidR="009144F6" w:rsidRPr="00A943F8" w:rsidRDefault="009144F6" w:rsidP="00A943F8">
    <w:pPr>
      <w:pStyle w:val="Pta"/>
      <w:framePr w:wrap="around" w:vAnchor="text" w:hAnchor="page" w:x="6014" w:y="-13"/>
      <w:rPr>
        <w:rStyle w:val="slostrany"/>
        <w:sz w:val="18"/>
        <w:szCs w:val="18"/>
      </w:rPr>
    </w:pPr>
    <w:r w:rsidRPr="00A943F8">
      <w:rPr>
        <w:rStyle w:val="slostrany"/>
        <w:sz w:val="18"/>
        <w:szCs w:val="18"/>
      </w:rPr>
      <w:fldChar w:fldCharType="begin"/>
    </w:r>
    <w:r w:rsidRPr="00A943F8">
      <w:rPr>
        <w:rStyle w:val="slostrany"/>
        <w:sz w:val="18"/>
        <w:szCs w:val="18"/>
      </w:rPr>
      <w:instrText xml:space="preserve">PAGE  </w:instrText>
    </w:r>
    <w:r w:rsidRPr="00A943F8">
      <w:rPr>
        <w:rStyle w:val="slostrany"/>
        <w:sz w:val="18"/>
        <w:szCs w:val="18"/>
      </w:rPr>
      <w:fldChar w:fldCharType="separate"/>
    </w:r>
    <w:r w:rsidR="00A943F8">
      <w:rPr>
        <w:rStyle w:val="slostrany"/>
        <w:noProof/>
        <w:sz w:val="18"/>
        <w:szCs w:val="18"/>
      </w:rPr>
      <w:t>4</w:t>
    </w:r>
    <w:r w:rsidRPr="00A943F8">
      <w:rPr>
        <w:rStyle w:val="slostrany"/>
        <w:sz w:val="18"/>
        <w:szCs w:val="18"/>
      </w:rPr>
      <w:fldChar w:fldCharType="end"/>
    </w:r>
  </w:p>
  <w:p w14:paraId="5587548D" w14:textId="77777777" w:rsidR="009144F6" w:rsidRDefault="009144F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69768" w14:textId="77777777" w:rsidR="00A943F8" w:rsidRDefault="00A943F8">
      <w:r>
        <w:separator/>
      </w:r>
    </w:p>
  </w:footnote>
  <w:footnote w:type="continuationSeparator" w:id="0">
    <w:p w14:paraId="0910472E" w14:textId="77777777" w:rsidR="00A943F8" w:rsidRDefault="00A943F8">
      <w:r>
        <w:continuationSeparator/>
      </w:r>
    </w:p>
  </w:footnote>
  <w:footnote w:type="continuationNotice" w:id="1">
    <w:p w14:paraId="3FB5DC8B" w14:textId="77777777" w:rsidR="00A943F8" w:rsidRDefault="00A943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990AEA" w14:textId="0E1AE88B" w:rsidR="00A943F8" w:rsidRDefault="00EE6A69">
    <w:pPr>
      <w:pStyle w:val="Hlavika"/>
    </w:pPr>
    <w:r w:rsidRPr="00314619">
      <w:rPr>
        <w:sz w:val="18"/>
        <w:szCs w:val="18"/>
      </w:rPr>
      <w:t xml:space="preserve">Príloha č.2 k notifikácii o zmene, ev. č.: </w:t>
    </w:r>
    <w:r w:rsidR="0046123A">
      <w:rPr>
        <w:sz w:val="18"/>
        <w:szCs w:val="18"/>
      </w:rPr>
      <w:t>2018/</w:t>
    </w:r>
    <w:proofErr w:type="spellStart"/>
    <w:r w:rsidR="0046123A">
      <w:rPr>
        <w:sz w:val="18"/>
        <w:szCs w:val="18"/>
      </w:rPr>
      <w:t>00098-Z1A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4A4550"/>
    <w:multiLevelType w:val="hybridMultilevel"/>
    <w:tmpl w:val="40D6E798"/>
    <w:lvl w:ilvl="0" w:tplc="8EE42A12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50388F"/>
    <w:multiLevelType w:val="multilevel"/>
    <w:tmpl w:val="27703DE0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BFB100E"/>
    <w:multiLevelType w:val="multilevel"/>
    <w:tmpl w:val="B3C2C6A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25EF6CFA"/>
    <w:multiLevelType w:val="multilevel"/>
    <w:tmpl w:val="018A4C5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5">
    <w:nsid w:val="28341F57"/>
    <w:multiLevelType w:val="hybridMultilevel"/>
    <w:tmpl w:val="DBFE2DDA"/>
    <w:lvl w:ilvl="0" w:tplc="C9F41AB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860B79"/>
    <w:multiLevelType w:val="multilevel"/>
    <w:tmpl w:val="B664945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B142BA1"/>
    <w:multiLevelType w:val="multilevel"/>
    <w:tmpl w:val="B3C2C6A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437E76F5"/>
    <w:multiLevelType w:val="multilevel"/>
    <w:tmpl w:val="D3389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45A4599C"/>
    <w:multiLevelType w:val="multilevel"/>
    <w:tmpl w:val="FD1A515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4AD0425A"/>
    <w:multiLevelType w:val="multilevel"/>
    <w:tmpl w:val="5A1A016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515E5426"/>
    <w:multiLevelType w:val="multilevel"/>
    <w:tmpl w:val="F174797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5B577004"/>
    <w:multiLevelType w:val="multilevel"/>
    <w:tmpl w:val="167602E0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72AF6F19"/>
    <w:multiLevelType w:val="hybridMultilevel"/>
    <w:tmpl w:val="FB22EBC8"/>
    <w:lvl w:ilvl="0" w:tplc="29DC227A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7F4023"/>
    <w:multiLevelType w:val="multilevel"/>
    <w:tmpl w:val="887ED50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7DCD6CA2"/>
    <w:multiLevelType w:val="hybridMultilevel"/>
    <w:tmpl w:val="D584BB82"/>
    <w:lvl w:ilvl="0" w:tplc="63345106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2"/>
  </w:num>
  <w:num w:numId="5">
    <w:abstractNumId w:val="13"/>
  </w:num>
  <w:num w:numId="6">
    <w:abstractNumId w:val="5"/>
  </w:num>
  <w:num w:numId="7">
    <w:abstractNumId w:val="7"/>
  </w:num>
  <w:num w:numId="8">
    <w:abstractNumId w:val="11"/>
  </w:num>
  <w:num w:numId="9">
    <w:abstractNumId w:val="10"/>
  </w:num>
  <w:num w:numId="10">
    <w:abstractNumId w:val="14"/>
  </w:num>
  <w:num w:numId="11">
    <w:abstractNumId w:val="12"/>
  </w:num>
  <w:num w:numId="12">
    <w:abstractNumId w:val="9"/>
  </w:num>
  <w:num w:numId="13">
    <w:abstractNumId w:val="8"/>
  </w:num>
  <w:num w:numId="14">
    <w:abstractNumId w:val="15"/>
  </w:num>
  <w:num w:numId="15">
    <w:abstractNumId w:val="1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1442"/>
    <w:rsid w:val="00000ECB"/>
    <w:rsid w:val="00023999"/>
    <w:rsid w:val="00023BB5"/>
    <w:rsid w:val="000358B0"/>
    <w:rsid w:val="00041D45"/>
    <w:rsid w:val="000839FE"/>
    <w:rsid w:val="000A09D8"/>
    <w:rsid w:val="000D69E5"/>
    <w:rsid w:val="000E4D9F"/>
    <w:rsid w:val="0011540F"/>
    <w:rsid w:val="00137393"/>
    <w:rsid w:val="0015754B"/>
    <w:rsid w:val="0016031B"/>
    <w:rsid w:val="00164716"/>
    <w:rsid w:val="001859F9"/>
    <w:rsid w:val="001A135C"/>
    <w:rsid w:val="001D230F"/>
    <w:rsid w:val="00227331"/>
    <w:rsid w:val="00227F24"/>
    <w:rsid w:val="002A00AA"/>
    <w:rsid w:val="002C4B22"/>
    <w:rsid w:val="002C7166"/>
    <w:rsid w:val="002D08D8"/>
    <w:rsid w:val="0035348C"/>
    <w:rsid w:val="00394303"/>
    <w:rsid w:val="00394CA3"/>
    <w:rsid w:val="003B23F6"/>
    <w:rsid w:val="003D50FF"/>
    <w:rsid w:val="003F5E44"/>
    <w:rsid w:val="00401B69"/>
    <w:rsid w:val="00413D1B"/>
    <w:rsid w:val="004370F7"/>
    <w:rsid w:val="00444346"/>
    <w:rsid w:val="0046123A"/>
    <w:rsid w:val="004705AC"/>
    <w:rsid w:val="004A1C8F"/>
    <w:rsid w:val="004A53D1"/>
    <w:rsid w:val="004B2A90"/>
    <w:rsid w:val="004D4F73"/>
    <w:rsid w:val="004E352E"/>
    <w:rsid w:val="004F412B"/>
    <w:rsid w:val="004F7F3D"/>
    <w:rsid w:val="00501A78"/>
    <w:rsid w:val="00514E48"/>
    <w:rsid w:val="00546A53"/>
    <w:rsid w:val="00577235"/>
    <w:rsid w:val="00580FF8"/>
    <w:rsid w:val="005B1F2F"/>
    <w:rsid w:val="005B2B50"/>
    <w:rsid w:val="005D0655"/>
    <w:rsid w:val="005D5B17"/>
    <w:rsid w:val="005D61E1"/>
    <w:rsid w:val="006825D9"/>
    <w:rsid w:val="006A1D00"/>
    <w:rsid w:val="006B13FE"/>
    <w:rsid w:val="006E1B60"/>
    <w:rsid w:val="006E66E6"/>
    <w:rsid w:val="00721650"/>
    <w:rsid w:val="00787E55"/>
    <w:rsid w:val="00794438"/>
    <w:rsid w:val="007C3A4E"/>
    <w:rsid w:val="007E3A65"/>
    <w:rsid w:val="007F2DF3"/>
    <w:rsid w:val="00832F83"/>
    <w:rsid w:val="008339AD"/>
    <w:rsid w:val="008504E9"/>
    <w:rsid w:val="008640CC"/>
    <w:rsid w:val="008649E9"/>
    <w:rsid w:val="008737FD"/>
    <w:rsid w:val="00881625"/>
    <w:rsid w:val="00885F46"/>
    <w:rsid w:val="008C4971"/>
    <w:rsid w:val="008D184F"/>
    <w:rsid w:val="008D7339"/>
    <w:rsid w:val="009011EC"/>
    <w:rsid w:val="009144F6"/>
    <w:rsid w:val="00937E94"/>
    <w:rsid w:val="00954280"/>
    <w:rsid w:val="009723E6"/>
    <w:rsid w:val="00997FA9"/>
    <w:rsid w:val="009B7547"/>
    <w:rsid w:val="00A42E25"/>
    <w:rsid w:val="00A43860"/>
    <w:rsid w:val="00A943F8"/>
    <w:rsid w:val="00B01174"/>
    <w:rsid w:val="00B259E0"/>
    <w:rsid w:val="00B5684D"/>
    <w:rsid w:val="00B76172"/>
    <w:rsid w:val="00B92C41"/>
    <w:rsid w:val="00B9520B"/>
    <w:rsid w:val="00BA3A15"/>
    <w:rsid w:val="00BA5DDC"/>
    <w:rsid w:val="00BE7AE7"/>
    <w:rsid w:val="00BE7FDB"/>
    <w:rsid w:val="00BF4AD3"/>
    <w:rsid w:val="00C21442"/>
    <w:rsid w:val="00C66F05"/>
    <w:rsid w:val="00C86814"/>
    <w:rsid w:val="00CC55E1"/>
    <w:rsid w:val="00CF1F4F"/>
    <w:rsid w:val="00CF2ED9"/>
    <w:rsid w:val="00D015F8"/>
    <w:rsid w:val="00D2684F"/>
    <w:rsid w:val="00D2723F"/>
    <w:rsid w:val="00D34393"/>
    <w:rsid w:val="00D71EDC"/>
    <w:rsid w:val="00D72B1D"/>
    <w:rsid w:val="00D747FF"/>
    <w:rsid w:val="00D81CCD"/>
    <w:rsid w:val="00D8651B"/>
    <w:rsid w:val="00DA0604"/>
    <w:rsid w:val="00DA747F"/>
    <w:rsid w:val="00DC0F1F"/>
    <w:rsid w:val="00E44F56"/>
    <w:rsid w:val="00E51C03"/>
    <w:rsid w:val="00E53566"/>
    <w:rsid w:val="00E53808"/>
    <w:rsid w:val="00E60C46"/>
    <w:rsid w:val="00E641B9"/>
    <w:rsid w:val="00EE6A69"/>
    <w:rsid w:val="00EE785E"/>
    <w:rsid w:val="00F02B49"/>
    <w:rsid w:val="00F101AC"/>
    <w:rsid w:val="00F27B1A"/>
    <w:rsid w:val="00F6310E"/>
    <w:rsid w:val="00F9723B"/>
    <w:rsid w:val="00FC659A"/>
    <w:rsid w:val="00FD1297"/>
    <w:rsid w:val="00FD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7DE2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9B75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413D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qFormat/>
    <w:rsid w:val="00394C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truktradokumentu">
    <w:name w:val="Document Map"/>
    <w:basedOn w:val="Normlny"/>
    <w:semiHidden/>
    <w:rsid w:val="008D733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rsid w:val="00954280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954280"/>
  </w:style>
  <w:style w:type="character" w:customStyle="1" w:styleId="PredmetkomentraChar">
    <w:name w:val="Predmet komentára Char"/>
    <w:link w:val="Predmetkomentra"/>
    <w:rsid w:val="00954280"/>
    <w:rPr>
      <w:b/>
      <w:bCs/>
    </w:rPr>
  </w:style>
  <w:style w:type="character" w:customStyle="1" w:styleId="HlavikaChar">
    <w:name w:val="Hlavička Char"/>
    <w:link w:val="Hlavika"/>
    <w:rsid w:val="00A943F8"/>
    <w:rPr>
      <w:sz w:val="22"/>
      <w:szCs w:val="24"/>
    </w:rPr>
  </w:style>
  <w:style w:type="paragraph" w:customStyle="1" w:styleId="Default">
    <w:name w:val="Default"/>
    <w:rsid w:val="00A943F8"/>
    <w:pPr>
      <w:autoSpaceDE w:val="0"/>
      <w:autoSpaceDN w:val="0"/>
      <w:adjustRightInd w:val="0"/>
    </w:pPr>
    <w:rPr>
      <w:rFonts w:ascii="Symbol" w:hAnsi="Symbol" w:cs="Symbol"/>
      <w:snapToGrid w:val="0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9B75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413D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qFormat/>
    <w:rsid w:val="00394C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truktradokumentu">
    <w:name w:val="Document Map"/>
    <w:basedOn w:val="Normlny"/>
    <w:semiHidden/>
    <w:rsid w:val="008D733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rsid w:val="00954280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954280"/>
  </w:style>
  <w:style w:type="character" w:customStyle="1" w:styleId="PredmetkomentraChar">
    <w:name w:val="Predmet komentára Char"/>
    <w:link w:val="Predmetkomentra"/>
    <w:rsid w:val="00954280"/>
    <w:rPr>
      <w:b/>
      <w:bCs/>
    </w:rPr>
  </w:style>
  <w:style w:type="character" w:customStyle="1" w:styleId="HlavikaChar">
    <w:name w:val="Hlavička Char"/>
    <w:link w:val="Hlavika"/>
    <w:rsid w:val="00A943F8"/>
    <w:rPr>
      <w:sz w:val="22"/>
      <w:szCs w:val="24"/>
    </w:rPr>
  </w:style>
  <w:style w:type="paragraph" w:customStyle="1" w:styleId="Default">
    <w:name w:val="Default"/>
    <w:rsid w:val="00A943F8"/>
    <w:pPr>
      <w:autoSpaceDE w:val="0"/>
      <w:autoSpaceDN w:val="0"/>
      <w:adjustRightInd w:val="0"/>
    </w:pPr>
    <w:rPr>
      <w:rFonts w:ascii="Symbol" w:hAnsi="Symbol" w:cs="Symbol"/>
      <w:snapToGrid w:val="0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89746-9878-459F-AC10-31DF2149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665</Words>
  <Characters>4490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Version 7</vt:lpstr>
      <vt:lpstr>Version 7</vt:lpstr>
    </vt:vector>
  </TitlesOfParts>
  <Company>Štátny ústav pre kontrolu liečiv</Company>
  <LinksUpToDate>false</LinksUpToDate>
  <CharactersWithSpaces>5145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</dc:title>
  <dc:subject>General-EMEA/220782/2008</dc:subject>
  <dc:creator>Tamara Lajcakova</dc:creator>
  <cp:lastModifiedBy>Natalia </cp:lastModifiedBy>
  <cp:revision>1</cp:revision>
  <cp:lastPrinted>2018-07-20T06:33:00Z</cp:lastPrinted>
  <dcterms:created xsi:type="dcterms:W3CDTF">2018-07-19T14:16:00Z</dcterms:created>
  <dcterms:modified xsi:type="dcterms:W3CDTF">2018-07-20T06:34:00Z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General-EMEA/220782/2008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Hqrdtemplatesk</vt:lpwstr>
  </property>
  <property fmtid="{D5CDD505-2E9C-101B-9397-08002B2CF9AE}" pid="9" name="DM_Owner">
    <vt:lpwstr>Prizzi Monica</vt:lpwstr>
  </property>
  <property fmtid="{D5CDD505-2E9C-101B-9397-08002B2CF9AE}" pid="10" name="DM_Creation_Date">
    <vt:lpwstr>01/07/2008 15:34:22</vt:lpwstr>
  </property>
  <property fmtid="{D5CDD505-2E9C-101B-9397-08002B2CF9AE}" pid="11" name="DM_Creator_Name">
    <vt:lpwstr>Molnar Tunde</vt:lpwstr>
  </property>
  <property fmtid="{D5CDD505-2E9C-101B-9397-08002B2CF9AE}" pid="12" name="DM_Modifer_Name">
    <vt:lpwstr>Molnar Tunde</vt:lpwstr>
  </property>
  <property fmtid="{D5CDD505-2E9C-101B-9397-08002B2CF9AE}" pid="13" name="DM_Modified_Date">
    <vt:lpwstr>01/07/2008 15:34:22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EMEA/220782/2008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220782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