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D3FA7" w14:textId="77777777" w:rsidR="00B873AC" w:rsidRPr="00FD306D" w:rsidRDefault="00B873AC" w:rsidP="00B873AC">
      <w:pPr>
        <w:rPr>
          <w:sz w:val="22"/>
          <w:szCs w:val="22"/>
        </w:rPr>
      </w:pPr>
    </w:p>
    <w:p w14:paraId="1F0FC588" w14:textId="77777777" w:rsidR="00A759D9" w:rsidRPr="00FD306D" w:rsidRDefault="00A759D9" w:rsidP="00A759D9">
      <w:pPr>
        <w:pStyle w:val="Nadpis1"/>
        <w:keepNext w:val="0"/>
        <w:tabs>
          <w:tab w:val="left" w:pos="567"/>
        </w:tabs>
        <w:jc w:val="center"/>
        <w:rPr>
          <w:i w:val="0"/>
          <w:caps/>
          <w:sz w:val="22"/>
          <w:szCs w:val="22"/>
          <w:lang w:val="sk-SK"/>
        </w:rPr>
      </w:pPr>
      <w:r w:rsidRPr="00FD306D">
        <w:rPr>
          <w:i w:val="0"/>
          <w:caps/>
          <w:sz w:val="22"/>
          <w:szCs w:val="22"/>
          <w:lang w:val="sk-SK"/>
        </w:rPr>
        <w:t>Súhrn charakteristických vlastností lieku</w:t>
      </w:r>
    </w:p>
    <w:p w14:paraId="3B19C068" w14:textId="77777777" w:rsidR="00A759D9" w:rsidRPr="00FD306D" w:rsidRDefault="00A759D9" w:rsidP="00A759D9">
      <w:pPr>
        <w:tabs>
          <w:tab w:val="left" w:pos="567"/>
        </w:tabs>
        <w:jc w:val="both"/>
        <w:rPr>
          <w:sz w:val="22"/>
          <w:szCs w:val="22"/>
        </w:rPr>
      </w:pPr>
    </w:p>
    <w:p w14:paraId="65F732FD" w14:textId="77777777" w:rsidR="00A759D9" w:rsidRPr="00FD306D" w:rsidRDefault="00A759D9" w:rsidP="00A759D9">
      <w:pPr>
        <w:tabs>
          <w:tab w:val="left" w:pos="567"/>
        </w:tabs>
        <w:jc w:val="both"/>
        <w:rPr>
          <w:b/>
          <w:caps/>
          <w:sz w:val="22"/>
          <w:szCs w:val="22"/>
        </w:rPr>
      </w:pPr>
      <w:r w:rsidRPr="00FD306D">
        <w:rPr>
          <w:b/>
          <w:caps/>
          <w:sz w:val="22"/>
          <w:szCs w:val="22"/>
        </w:rPr>
        <w:t xml:space="preserve">1. </w:t>
      </w:r>
      <w:r w:rsidR="00F80F43">
        <w:rPr>
          <w:b/>
          <w:caps/>
          <w:sz w:val="22"/>
          <w:szCs w:val="22"/>
        </w:rPr>
        <w:tab/>
      </w:r>
      <w:r w:rsidRPr="00FD306D">
        <w:rPr>
          <w:b/>
          <w:caps/>
          <w:sz w:val="22"/>
          <w:szCs w:val="22"/>
        </w:rPr>
        <w:t xml:space="preserve">Názov lieku   </w:t>
      </w:r>
    </w:p>
    <w:p w14:paraId="576C129D" w14:textId="77777777" w:rsidR="00422C31" w:rsidRPr="00FD306D" w:rsidRDefault="00422C31" w:rsidP="00A759D9">
      <w:pPr>
        <w:pStyle w:val="Nzov"/>
        <w:jc w:val="left"/>
        <w:rPr>
          <w:rFonts w:ascii="Times New Roman" w:hAnsi="Times New Roman"/>
          <w:b w:val="0"/>
          <w:sz w:val="22"/>
          <w:szCs w:val="22"/>
        </w:rPr>
      </w:pPr>
    </w:p>
    <w:p w14:paraId="6812F0CB" w14:textId="77777777" w:rsidR="00F67146" w:rsidRDefault="00A759D9" w:rsidP="00A759D9">
      <w:pPr>
        <w:pStyle w:val="Nzov"/>
        <w:jc w:val="left"/>
        <w:rPr>
          <w:rFonts w:ascii="Times New Roman" w:hAnsi="Times New Roman"/>
          <w:b w:val="0"/>
          <w:sz w:val="22"/>
          <w:szCs w:val="22"/>
        </w:rPr>
      </w:pPr>
      <w:r w:rsidRPr="00FD306D">
        <w:rPr>
          <w:rFonts w:ascii="Times New Roman" w:hAnsi="Times New Roman"/>
          <w:b w:val="0"/>
          <w:sz w:val="22"/>
          <w:szCs w:val="22"/>
        </w:rPr>
        <w:t>Petnidan</w:t>
      </w:r>
    </w:p>
    <w:p w14:paraId="39AC7AD5" w14:textId="77777777" w:rsidR="00A759D9" w:rsidRPr="00FD306D" w:rsidRDefault="00422C31" w:rsidP="00A759D9">
      <w:pPr>
        <w:pStyle w:val="Nzov"/>
        <w:jc w:val="left"/>
        <w:rPr>
          <w:rFonts w:ascii="Times New Roman" w:hAnsi="Times New Roman"/>
          <w:b w:val="0"/>
          <w:sz w:val="22"/>
          <w:szCs w:val="22"/>
        </w:rPr>
      </w:pPr>
      <w:r w:rsidRPr="00FD306D">
        <w:rPr>
          <w:rFonts w:ascii="Times New Roman" w:hAnsi="Times New Roman"/>
          <w:b w:val="0"/>
          <w:sz w:val="22"/>
          <w:szCs w:val="22"/>
        </w:rPr>
        <w:t>250 mg kapsuly</w:t>
      </w:r>
    </w:p>
    <w:p w14:paraId="28F1041D" w14:textId="77777777" w:rsidR="00422C31" w:rsidRPr="00FD306D" w:rsidRDefault="00422C31" w:rsidP="00A759D9">
      <w:pPr>
        <w:pStyle w:val="Nzov"/>
        <w:jc w:val="left"/>
        <w:rPr>
          <w:rFonts w:ascii="Times New Roman" w:hAnsi="Times New Roman"/>
          <w:b w:val="0"/>
          <w:sz w:val="22"/>
          <w:szCs w:val="22"/>
        </w:rPr>
      </w:pPr>
    </w:p>
    <w:p w14:paraId="413791FE" w14:textId="77777777" w:rsidR="00A759D9" w:rsidRPr="00FD306D" w:rsidRDefault="00A759D9" w:rsidP="00A759D9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0BE8A5BA" w14:textId="77777777" w:rsidR="00A759D9" w:rsidRPr="00FD306D" w:rsidRDefault="00A759D9" w:rsidP="00F67146">
      <w:pPr>
        <w:tabs>
          <w:tab w:val="left" w:pos="567"/>
        </w:tabs>
        <w:rPr>
          <w:caps/>
          <w:sz w:val="22"/>
          <w:szCs w:val="22"/>
        </w:rPr>
      </w:pPr>
      <w:r w:rsidRPr="00FD306D">
        <w:rPr>
          <w:b/>
          <w:caps/>
          <w:sz w:val="22"/>
          <w:szCs w:val="22"/>
        </w:rPr>
        <w:t xml:space="preserve">2. </w:t>
      </w:r>
      <w:r w:rsidR="00F80F43">
        <w:rPr>
          <w:b/>
          <w:caps/>
          <w:sz w:val="22"/>
          <w:szCs w:val="22"/>
        </w:rPr>
        <w:tab/>
      </w:r>
      <w:r w:rsidRPr="00FD306D">
        <w:rPr>
          <w:b/>
          <w:caps/>
          <w:sz w:val="22"/>
          <w:szCs w:val="22"/>
        </w:rPr>
        <w:t>Kvalitatívne a kvantitatívne zloženie</w:t>
      </w:r>
    </w:p>
    <w:p w14:paraId="772A8BFC" w14:textId="77777777" w:rsidR="0061723C" w:rsidRPr="00FD306D" w:rsidRDefault="0061723C" w:rsidP="00F67146">
      <w:pPr>
        <w:tabs>
          <w:tab w:val="left" w:pos="567"/>
        </w:tabs>
        <w:rPr>
          <w:sz w:val="22"/>
          <w:szCs w:val="22"/>
        </w:rPr>
      </w:pPr>
    </w:p>
    <w:p w14:paraId="36494453" w14:textId="77777777" w:rsidR="00A759D9" w:rsidRPr="00FD306D" w:rsidRDefault="00A759D9" w:rsidP="00F67146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>1 kapsula obsahuje 250 mg etosuximid</w:t>
      </w:r>
      <w:r w:rsidR="00F80F43">
        <w:rPr>
          <w:sz w:val="22"/>
          <w:szCs w:val="22"/>
        </w:rPr>
        <w:t>u</w:t>
      </w:r>
    </w:p>
    <w:p w14:paraId="33CEEEB5" w14:textId="77777777" w:rsidR="00A759D9" w:rsidRPr="00FD306D" w:rsidRDefault="00A759D9" w:rsidP="00F67146">
      <w:pPr>
        <w:tabs>
          <w:tab w:val="left" w:pos="567"/>
        </w:tabs>
        <w:rPr>
          <w:sz w:val="22"/>
          <w:szCs w:val="22"/>
        </w:rPr>
      </w:pPr>
    </w:p>
    <w:p w14:paraId="751BF86E" w14:textId="77777777" w:rsidR="008159BE" w:rsidRPr="004D6E7B" w:rsidRDefault="008159BE" w:rsidP="008159BE">
      <w:pPr>
        <w:autoSpaceDE w:val="0"/>
        <w:autoSpaceDN w:val="0"/>
        <w:adjustRightInd w:val="0"/>
        <w:rPr>
          <w:sz w:val="22"/>
          <w:szCs w:val="22"/>
        </w:rPr>
      </w:pPr>
      <w:r w:rsidRPr="004D6E7B">
        <w:rPr>
          <w:sz w:val="22"/>
          <w:szCs w:val="22"/>
        </w:rPr>
        <w:t>Tento liek obsahuje 6 mg sorbitol</w:t>
      </w:r>
      <w:r>
        <w:rPr>
          <w:sz w:val="22"/>
          <w:szCs w:val="22"/>
        </w:rPr>
        <w:t xml:space="preserve">u v jednej kapsule, čo zodpovedá </w:t>
      </w:r>
      <w:r w:rsidRPr="004D6E7B">
        <w:rPr>
          <w:sz w:val="22"/>
          <w:szCs w:val="22"/>
        </w:rPr>
        <w:t>6 mg/250 mg etosuximid</w:t>
      </w:r>
      <w:r>
        <w:rPr>
          <w:sz w:val="22"/>
          <w:szCs w:val="22"/>
        </w:rPr>
        <w:t>u</w:t>
      </w:r>
      <w:r w:rsidRPr="004D6E7B">
        <w:rPr>
          <w:sz w:val="22"/>
          <w:szCs w:val="22"/>
        </w:rPr>
        <w:t>.</w:t>
      </w:r>
    </w:p>
    <w:p w14:paraId="4D1677EA" w14:textId="77777777" w:rsidR="008159BE" w:rsidRPr="00FD306D" w:rsidRDefault="008159BE" w:rsidP="00F67146">
      <w:pPr>
        <w:tabs>
          <w:tab w:val="left" w:pos="567"/>
        </w:tabs>
        <w:rPr>
          <w:sz w:val="22"/>
          <w:szCs w:val="22"/>
        </w:rPr>
      </w:pPr>
    </w:p>
    <w:p w14:paraId="24A86554" w14:textId="77777777" w:rsidR="0061723C" w:rsidRPr="00FD306D" w:rsidRDefault="00E50740" w:rsidP="00F67146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>Úplný zoznam pomocných látok, pozri časť 6.1.</w:t>
      </w:r>
    </w:p>
    <w:p w14:paraId="6B441D9B" w14:textId="77777777" w:rsidR="00E50740" w:rsidRPr="00FD306D" w:rsidRDefault="00E50740" w:rsidP="00F67146">
      <w:pPr>
        <w:tabs>
          <w:tab w:val="left" w:pos="567"/>
        </w:tabs>
        <w:rPr>
          <w:sz w:val="22"/>
          <w:szCs w:val="22"/>
        </w:rPr>
      </w:pPr>
    </w:p>
    <w:p w14:paraId="2F30B833" w14:textId="77777777" w:rsidR="00E50740" w:rsidRPr="00FD306D" w:rsidRDefault="00E50740" w:rsidP="00F67146">
      <w:pPr>
        <w:tabs>
          <w:tab w:val="left" w:pos="567"/>
        </w:tabs>
        <w:rPr>
          <w:sz w:val="22"/>
          <w:szCs w:val="22"/>
        </w:rPr>
      </w:pPr>
    </w:p>
    <w:p w14:paraId="7B173DC9" w14:textId="77777777" w:rsidR="00A759D9" w:rsidRPr="00FD306D" w:rsidRDefault="00A759D9" w:rsidP="00F67146">
      <w:pPr>
        <w:tabs>
          <w:tab w:val="left" w:pos="567"/>
        </w:tabs>
        <w:rPr>
          <w:caps/>
          <w:sz w:val="22"/>
          <w:szCs w:val="22"/>
        </w:rPr>
      </w:pPr>
      <w:r w:rsidRPr="00FD306D">
        <w:rPr>
          <w:b/>
          <w:caps/>
          <w:sz w:val="22"/>
          <w:szCs w:val="22"/>
        </w:rPr>
        <w:t xml:space="preserve">3. </w:t>
      </w:r>
      <w:r w:rsidR="00F80F43">
        <w:rPr>
          <w:b/>
          <w:caps/>
          <w:sz w:val="22"/>
          <w:szCs w:val="22"/>
        </w:rPr>
        <w:tab/>
      </w:r>
      <w:r w:rsidRPr="00FD306D">
        <w:rPr>
          <w:b/>
          <w:caps/>
          <w:sz w:val="22"/>
          <w:szCs w:val="22"/>
        </w:rPr>
        <w:t>Lieková forma</w:t>
      </w:r>
      <w:r w:rsidRPr="00FD306D">
        <w:rPr>
          <w:caps/>
          <w:sz w:val="22"/>
          <w:szCs w:val="22"/>
        </w:rPr>
        <w:t xml:space="preserve"> </w:t>
      </w:r>
    </w:p>
    <w:p w14:paraId="45AA503D" w14:textId="77777777" w:rsidR="00E50740" w:rsidRPr="00FD306D" w:rsidRDefault="00E50740" w:rsidP="00F67146">
      <w:pPr>
        <w:tabs>
          <w:tab w:val="left" w:pos="567"/>
        </w:tabs>
        <w:rPr>
          <w:sz w:val="22"/>
          <w:szCs w:val="22"/>
        </w:rPr>
      </w:pPr>
    </w:p>
    <w:p w14:paraId="31D516B1" w14:textId="77777777" w:rsidR="00A759D9" w:rsidRPr="00FD306D" w:rsidRDefault="00A759D9" w:rsidP="00F67146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>Kapsula</w:t>
      </w:r>
    </w:p>
    <w:p w14:paraId="56D458AB" w14:textId="79C1DD5D" w:rsidR="00A759D9" w:rsidRPr="00FD306D" w:rsidRDefault="00D823B1" w:rsidP="00F67146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>Ž</w:t>
      </w:r>
      <w:r w:rsidR="00A759D9" w:rsidRPr="00FD306D">
        <w:rPr>
          <w:sz w:val="22"/>
          <w:szCs w:val="22"/>
        </w:rPr>
        <w:t>elatínové kapsuly vajcovitého tvaru,</w:t>
      </w:r>
      <w:r w:rsidRPr="00FD306D">
        <w:rPr>
          <w:sz w:val="22"/>
          <w:szCs w:val="22"/>
        </w:rPr>
        <w:t xml:space="preserve"> </w:t>
      </w:r>
      <w:r w:rsidR="008159BE">
        <w:rPr>
          <w:sz w:val="22"/>
          <w:szCs w:val="22"/>
        </w:rPr>
        <w:t>zlatožlté</w:t>
      </w:r>
      <w:r w:rsidR="00A759D9" w:rsidRPr="00FD306D">
        <w:rPr>
          <w:sz w:val="22"/>
          <w:szCs w:val="22"/>
        </w:rPr>
        <w:t>,</w:t>
      </w:r>
      <w:r w:rsidRPr="00FD306D">
        <w:rPr>
          <w:sz w:val="22"/>
          <w:szCs w:val="22"/>
        </w:rPr>
        <w:t xml:space="preserve"> </w:t>
      </w:r>
      <w:r w:rsidR="00A759D9" w:rsidRPr="00FD306D">
        <w:rPr>
          <w:sz w:val="22"/>
          <w:szCs w:val="22"/>
        </w:rPr>
        <w:t>nepriesvitné</w:t>
      </w:r>
      <w:r w:rsidRPr="00FD306D">
        <w:rPr>
          <w:sz w:val="22"/>
          <w:szCs w:val="22"/>
        </w:rPr>
        <w:t>.</w:t>
      </w:r>
    </w:p>
    <w:p w14:paraId="2B5A8631" w14:textId="77777777" w:rsidR="00A759D9" w:rsidRPr="00FD306D" w:rsidRDefault="00D823B1" w:rsidP="00F67146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>O</w:t>
      </w:r>
      <w:r w:rsidR="00400CC0" w:rsidRPr="00FD306D">
        <w:rPr>
          <w:sz w:val="22"/>
          <w:szCs w:val="22"/>
        </w:rPr>
        <w:t xml:space="preserve">bsah kapsuly je </w:t>
      </w:r>
      <w:r w:rsidR="00A759D9" w:rsidRPr="00FD306D">
        <w:rPr>
          <w:sz w:val="22"/>
          <w:szCs w:val="22"/>
        </w:rPr>
        <w:t>tekutina číra,</w:t>
      </w:r>
      <w:r w:rsidR="00400CC0" w:rsidRPr="00FD306D">
        <w:rPr>
          <w:sz w:val="22"/>
          <w:szCs w:val="22"/>
        </w:rPr>
        <w:t xml:space="preserve"> </w:t>
      </w:r>
      <w:r w:rsidR="00A759D9" w:rsidRPr="00FD306D">
        <w:rPr>
          <w:sz w:val="22"/>
          <w:szCs w:val="22"/>
        </w:rPr>
        <w:t>bezfarebná, konzistencia sirupu.</w:t>
      </w:r>
    </w:p>
    <w:p w14:paraId="4ADAD91F" w14:textId="77777777" w:rsidR="00A759D9" w:rsidRPr="00FD306D" w:rsidRDefault="00A759D9" w:rsidP="00F67146">
      <w:pPr>
        <w:tabs>
          <w:tab w:val="left" w:pos="567"/>
        </w:tabs>
        <w:rPr>
          <w:sz w:val="22"/>
          <w:szCs w:val="22"/>
        </w:rPr>
      </w:pPr>
    </w:p>
    <w:p w14:paraId="48C85380" w14:textId="77777777" w:rsidR="00552DF2" w:rsidRPr="00FD306D" w:rsidRDefault="00552DF2" w:rsidP="00A759D9">
      <w:pPr>
        <w:tabs>
          <w:tab w:val="left" w:pos="567"/>
        </w:tabs>
        <w:jc w:val="both"/>
        <w:rPr>
          <w:sz w:val="22"/>
          <w:szCs w:val="22"/>
        </w:rPr>
      </w:pPr>
    </w:p>
    <w:p w14:paraId="48383C27" w14:textId="77777777" w:rsidR="00A759D9" w:rsidRPr="00FD306D" w:rsidRDefault="00A759D9" w:rsidP="00F67146">
      <w:pPr>
        <w:tabs>
          <w:tab w:val="left" w:pos="567"/>
        </w:tabs>
        <w:rPr>
          <w:b/>
          <w:caps/>
          <w:sz w:val="22"/>
          <w:szCs w:val="22"/>
        </w:rPr>
      </w:pPr>
      <w:r w:rsidRPr="00FD306D">
        <w:rPr>
          <w:b/>
          <w:caps/>
          <w:sz w:val="22"/>
          <w:szCs w:val="22"/>
        </w:rPr>
        <w:t xml:space="preserve">4. </w:t>
      </w:r>
      <w:r w:rsidR="00F80F43">
        <w:rPr>
          <w:b/>
          <w:caps/>
          <w:sz w:val="22"/>
          <w:szCs w:val="22"/>
        </w:rPr>
        <w:tab/>
      </w:r>
      <w:r w:rsidRPr="00FD306D">
        <w:rPr>
          <w:b/>
          <w:caps/>
          <w:sz w:val="22"/>
          <w:szCs w:val="22"/>
        </w:rPr>
        <w:t>Klinické údaje</w:t>
      </w:r>
    </w:p>
    <w:p w14:paraId="3068782A" w14:textId="77777777" w:rsidR="00E26BA5" w:rsidRPr="00FD306D" w:rsidRDefault="00E26BA5" w:rsidP="00F67146">
      <w:pPr>
        <w:tabs>
          <w:tab w:val="left" w:pos="567"/>
        </w:tabs>
        <w:rPr>
          <w:bCs/>
          <w:caps/>
          <w:sz w:val="22"/>
          <w:szCs w:val="22"/>
        </w:rPr>
      </w:pPr>
    </w:p>
    <w:p w14:paraId="32D6AE7D" w14:textId="77777777" w:rsidR="00A759D9" w:rsidRPr="00FD306D" w:rsidRDefault="00A759D9" w:rsidP="00F67146">
      <w:pPr>
        <w:tabs>
          <w:tab w:val="left" w:pos="567"/>
        </w:tabs>
        <w:rPr>
          <w:b/>
          <w:sz w:val="22"/>
          <w:szCs w:val="22"/>
        </w:rPr>
      </w:pPr>
      <w:r w:rsidRPr="00FD306D">
        <w:rPr>
          <w:b/>
          <w:sz w:val="22"/>
          <w:szCs w:val="22"/>
        </w:rPr>
        <w:t>4.1.</w:t>
      </w:r>
      <w:r w:rsidR="00F80F43">
        <w:rPr>
          <w:b/>
          <w:sz w:val="22"/>
          <w:szCs w:val="22"/>
        </w:rPr>
        <w:tab/>
      </w:r>
      <w:r w:rsidRPr="00FD306D">
        <w:rPr>
          <w:b/>
          <w:sz w:val="22"/>
          <w:szCs w:val="22"/>
        </w:rPr>
        <w:t>Terapeutické indikácie</w:t>
      </w:r>
    </w:p>
    <w:p w14:paraId="70F0B2F8" w14:textId="77777777" w:rsidR="00B873AC" w:rsidRPr="00FD306D" w:rsidRDefault="00B873AC" w:rsidP="00F67146">
      <w:pPr>
        <w:tabs>
          <w:tab w:val="left" w:pos="567"/>
        </w:tabs>
        <w:rPr>
          <w:sz w:val="22"/>
          <w:szCs w:val="22"/>
        </w:rPr>
      </w:pPr>
    </w:p>
    <w:p w14:paraId="5D0ED1D2" w14:textId="77777777" w:rsidR="00A759D9" w:rsidRPr="00FD306D" w:rsidRDefault="00A759D9" w:rsidP="00F67146">
      <w:pPr>
        <w:numPr>
          <w:ilvl w:val="0"/>
          <w:numId w:val="1"/>
        </w:num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 xml:space="preserve">pyknoleptické absencie, tiež komplexné a atypické absencie </w:t>
      </w:r>
    </w:p>
    <w:p w14:paraId="1C945DB4" w14:textId="77777777" w:rsidR="00A759D9" w:rsidRPr="00FD306D" w:rsidRDefault="00A759D9" w:rsidP="00F67146">
      <w:pPr>
        <w:tabs>
          <w:tab w:val="left" w:pos="567"/>
        </w:tabs>
        <w:ind w:left="357" w:hanging="357"/>
        <w:rPr>
          <w:i/>
          <w:sz w:val="22"/>
          <w:szCs w:val="22"/>
        </w:rPr>
      </w:pPr>
      <w:r w:rsidRPr="00FD306D">
        <w:rPr>
          <w:i/>
          <w:sz w:val="22"/>
          <w:szCs w:val="22"/>
        </w:rPr>
        <w:tab/>
      </w:r>
      <w:r w:rsidRPr="00FD306D">
        <w:rPr>
          <w:sz w:val="22"/>
          <w:szCs w:val="22"/>
        </w:rPr>
        <w:t>Poznámka:</w:t>
      </w:r>
    </w:p>
    <w:p w14:paraId="02DB71E6" w14:textId="77777777" w:rsidR="00A759D9" w:rsidRPr="00FD306D" w:rsidRDefault="00A759D9" w:rsidP="00F67146">
      <w:pPr>
        <w:tabs>
          <w:tab w:val="left" w:pos="567"/>
        </w:tabs>
        <w:ind w:left="357" w:hanging="357"/>
        <w:rPr>
          <w:sz w:val="22"/>
          <w:szCs w:val="22"/>
        </w:rPr>
      </w:pPr>
      <w:r w:rsidRPr="00FD306D">
        <w:rPr>
          <w:i/>
          <w:sz w:val="22"/>
          <w:szCs w:val="22"/>
        </w:rPr>
        <w:tab/>
      </w:r>
      <w:r w:rsidRPr="00FD306D">
        <w:rPr>
          <w:sz w:val="22"/>
          <w:szCs w:val="22"/>
        </w:rPr>
        <w:t>K prevencii záchvatov grand mal, ktoré sa často vyskytujú pri komplexných a atypických absenciách</w:t>
      </w:r>
      <w:r w:rsidR="00F363D6" w:rsidRPr="00FD306D">
        <w:rPr>
          <w:sz w:val="22"/>
          <w:szCs w:val="22"/>
        </w:rPr>
        <w:t>,</w:t>
      </w:r>
      <w:r w:rsidRPr="00FD306D">
        <w:rPr>
          <w:sz w:val="22"/>
          <w:szCs w:val="22"/>
        </w:rPr>
        <w:t xml:space="preserve"> sa etosuximid môže kombinovať s ďalšími antikonvulzívami, účinnými u tohoto typu záchvatov (napr. s primidónom alebo fenobarbitalom). Len  pri pyknoleptických absenciách v školskom veku je možné upustiť od prídavnej profylaktickej liečby záchvatov grand mal.</w:t>
      </w:r>
    </w:p>
    <w:p w14:paraId="37AD3E2D" w14:textId="77777777" w:rsidR="00A759D9" w:rsidRPr="00FD306D" w:rsidRDefault="00A759D9" w:rsidP="00F67146">
      <w:pPr>
        <w:numPr>
          <w:ilvl w:val="0"/>
          <w:numId w:val="1"/>
        </w:num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>myoklonicko-astatický petit mal</w:t>
      </w:r>
    </w:p>
    <w:p w14:paraId="0C3711FB" w14:textId="77777777" w:rsidR="00A759D9" w:rsidRPr="00FD306D" w:rsidRDefault="00A759D9" w:rsidP="00F67146">
      <w:pPr>
        <w:numPr>
          <w:ilvl w:val="0"/>
          <w:numId w:val="1"/>
        </w:num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>myoklonické záchvaty mladistvých ( impulzívny petit mal)</w:t>
      </w:r>
    </w:p>
    <w:p w14:paraId="37B97531" w14:textId="77777777" w:rsidR="00A759D9" w:rsidRPr="00FD306D" w:rsidRDefault="00A759D9" w:rsidP="00F67146">
      <w:pPr>
        <w:tabs>
          <w:tab w:val="left" w:pos="567"/>
        </w:tabs>
        <w:rPr>
          <w:bCs/>
          <w:sz w:val="22"/>
          <w:szCs w:val="22"/>
        </w:rPr>
      </w:pPr>
    </w:p>
    <w:p w14:paraId="60D1BCAE" w14:textId="77777777" w:rsidR="00A759D9" w:rsidRPr="00FD306D" w:rsidRDefault="00A759D9" w:rsidP="00F67146">
      <w:pPr>
        <w:tabs>
          <w:tab w:val="left" w:pos="567"/>
        </w:tabs>
        <w:rPr>
          <w:b/>
          <w:sz w:val="22"/>
          <w:szCs w:val="22"/>
        </w:rPr>
      </w:pPr>
      <w:r w:rsidRPr="00FD306D">
        <w:rPr>
          <w:b/>
          <w:sz w:val="22"/>
          <w:szCs w:val="22"/>
        </w:rPr>
        <w:t xml:space="preserve">4.2 </w:t>
      </w:r>
      <w:r w:rsidR="00F80F43">
        <w:rPr>
          <w:b/>
          <w:sz w:val="22"/>
          <w:szCs w:val="22"/>
        </w:rPr>
        <w:tab/>
      </w:r>
      <w:r w:rsidRPr="00FD306D">
        <w:rPr>
          <w:b/>
          <w:sz w:val="22"/>
          <w:szCs w:val="22"/>
        </w:rPr>
        <w:t>Dávkovanie a spôsob podávania</w:t>
      </w:r>
    </w:p>
    <w:p w14:paraId="69403DEB" w14:textId="77777777" w:rsidR="00B873AC" w:rsidRPr="00FD306D" w:rsidRDefault="00B873AC" w:rsidP="00F67146">
      <w:pPr>
        <w:tabs>
          <w:tab w:val="left" w:pos="567"/>
        </w:tabs>
        <w:rPr>
          <w:sz w:val="22"/>
          <w:szCs w:val="22"/>
        </w:rPr>
      </w:pPr>
    </w:p>
    <w:p w14:paraId="609450FD" w14:textId="77777777" w:rsidR="00B53E04" w:rsidRPr="00FD306D" w:rsidRDefault="008B78EC" w:rsidP="00F67146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  <w:u w:val="single"/>
        </w:rPr>
        <w:t>Dávkovanie</w:t>
      </w:r>
    </w:p>
    <w:p w14:paraId="34F3D3FA" w14:textId="77777777" w:rsidR="00A759D9" w:rsidRPr="00FD306D" w:rsidRDefault="00A759D9" w:rsidP="00F67146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 xml:space="preserve">Dávkovanie etosuximidu sa riadi podľa klinického obrazu, individuálnej odpovede a znášanlivosti lieku. Liečba sa nasadzuje postupne, v stúpajúcich dávkach. U detí aj u dospelých sa liečba začína celkovou dennou dávkou 5 - 10 mg etosuximidu/kg telesnej hmotnosti. V odstupe  4 - 7 dní (v závislosti od dosiahnutia </w:t>
      </w:r>
      <w:r w:rsidR="00F80F43">
        <w:rPr>
          <w:sz w:val="22"/>
          <w:szCs w:val="22"/>
        </w:rPr>
        <w:t>rovnovážneho stavu</w:t>
      </w:r>
      <w:r w:rsidRPr="00FD306D">
        <w:rPr>
          <w:sz w:val="22"/>
          <w:szCs w:val="22"/>
        </w:rPr>
        <w:t>: 8 -10 dní) sa môže denná dávka zvýšiť o 5 mg etosuximidu na kg telesnej hmotnosti. Ako udržiavaciu dávku je obvykle postačujúce  deťom podávať 20 mg/kg telesnej hmotnosti a dospelým 15 mg/kg telesnej hmotnosti. Nem</w:t>
      </w:r>
      <w:r w:rsidR="00F80F43">
        <w:rPr>
          <w:sz w:val="22"/>
          <w:szCs w:val="22"/>
        </w:rPr>
        <w:t xml:space="preserve">á </w:t>
      </w:r>
      <w:r w:rsidRPr="00FD306D">
        <w:rPr>
          <w:sz w:val="22"/>
          <w:szCs w:val="22"/>
        </w:rPr>
        <w:t xml:space="preserve">sa prekročiť celková denná dávka 40 mg/kg telesnej hmotnosti u detí, a 30 mg/kg telesnej hmotnosti u dospelých. Pokiaľ nebolo </w:t>
      </w:r>
      <w:r w:rsidRPr="00FD306D">
        <w:rPr>
          <w:sz w:val="22"/>
          <w:szCs w:val="22"/>
          <w:lang w:eastAsia="sk-SK"/>
        </w:rPr>
        <w:t>dávkovanie</w:t>
      </w:r>
      <w:r w:rsidRPr="00FD306D">
        <w:rPr>
          <w:sz w:val="22"/>
          <w:szCs w:val="22"/>
        </w:rPr>
        <w:t xml:space="preserve"> stanovené </w:t>
      </w:r>
      <w:r w:rsidRPr="00FD306D">
        <w:rPr>
          <w:sz w:val="22"/>
          <w:szCs w:val="22"/>
          <w:lang w:eastAsia="sk-SK"/>
        </w:rPr>
        <w:t>podľa individuálnej potreby pacienta,</w:t>
      </w:r>
      <w:r w:rsidRPr="00FD306D" w:rsidDel="002A63A9">
        <w:rPr>
          <w:sz w:val="22"/>
          <w:szCs w:val="22"/>
        </w:rPr>
        <w:t xml:space="preserve"> </w:t>
      </w:r>
      <w:r w:rsidRPr="00FD306D">
        <w:rPr>
          <w:sz w:val="22"/>
          <w:szCs w:val="22"/>
        </w:rPr>
        <w:t xml:space="preserve"> možno všeobecne odporučiť pre pacientov doteraz neliečených nasled</w:t>
      </w:r>
      <w:r w:rsidR="00F80F43">
        <w:rPr>
          <w:sz w:val="22"/>
          <w:szCs w:val="22"/>
        </w:rPr>
        <w:t xml:space="preserve">ovné </w:t>
      </w:r>
      <w:r w:rsidRPr="00FD306D">
        <w:rPr>
          <w:sz w:val="22"/>
          <w:szCs w:val="22"/>
        </w:rPr>
        <w:t>dávkovanie:</w:t>
      </w:r>
    </w:p>
    <w:p w14:paraId="0917DE0A" w14:textId="792BE622" w:rsidR="00A759D9" w:rsidRPr="00FD306D" w:rsidRDefault="004D6E7B" w:rsidP="00F67146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3ADCC4B" w14:textId="77777777" w:rsidR="00A759D9" w:rsidRPr="00FD306D" w:rsidRDefault="00A759D9" w:rsidP="004D6E7B">
      <w:pPr>
        <w:keepNext/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>Priemerná denná dávka v mg rozdelená do 2 dávok (ráno a večer )</w:t>
      </w:r>
    </w:p>
    <w:p w14:paraId="6D834EF5" w14:textId="77777777" w:rsidR="00A759D9" w:rsidRPr="00FD306D" w:rsidRDefault="00A759D9" w:rsidP="004D6E7B">
      <w:pPr>
        <w:keepNext/>
        <w:rPr>
          <w:sz w:val="22"/>
          <w:szCs w:val="22"/>
        </w:rPr>
      </w:pPr>
    </w:p>
    <w:tbl>
      <w:tblPr>
        <w:tblW w:w="536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1985"/>
        <w:gridCol w:w="844"/>
        <w:gridCol w:w="844"/>
        <w:gridCol w:w="844"/>
        <w:gridCol w:w="842"/>
        <w:gridCol w:w="8"/>
      </w:tblGrid>
      <w:tr w:rsidR="006F293B" w:rsidRPr="00FD306D" w14:paraId="26D688E2" w14:textId="77777777">
        <w:trPr>
          <w:gridAfter w:val="1"/>
          <w:wAfter w:w="8" w:type="dxa"/>
          <w:cantSplit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6178F4A1" w14:textId="77777777" w:rsidR="006F293B" w:rsidRPr="00FD306D" w:rsidRDefault="006F293B" w:rsidP="004D6E7B">
            <w:pPr>
              <w:keepNext/>
              <w:jc w:val="center"/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>Časový plán</w:t>
            </w:r>
          </w:p>
        </w:tc>
        <w:tc>
          <w:tcPr>
            <w:tcW w:w="1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4DA66B" w14:textId="77777777" w:rsidR="006F293B" w:rsidRPr="00FD306D" w:rsidRDefault="006F293B" w:rsidP="004D6E7B">
            <w:pPr>
              <w:keepNext/>
              <w:jc w:val="center"/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>Deti 6 - 9 rokov</w:t>
            </w:r>
          </w:p>
          <w:p w14:paraId="55F64038" w14:textId="77777777" w:rsidR="006F293B" w:rsidRPr="00FD306D" w:rsidRDefault="006F293B" w:rsidP="004D6E7B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0A8D2B" w14:textId="77777777" w:rsidR="006F293B" w:rsidRPr="00FD306D" w:rsidRDefault="006F293B" w:rsidP="004D6E7B">
            <w:pPr>
              <w:keepNext/>
              <w:jc w:val="center"/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>Staršie než 9 rokov a dospelí</w:t>
            </w:r>
          </w:p>
        </w:tc>
      </w:tr>
      <w:tr w:rsidR="006F293B" w:rsidRPr="00FD306D" w14:paraId="797C20E1" w14:textId="77777777">
        <w:trPr>
          <w:cantSplit/>
        </w:trPr>
        <w:tc>
          <w:tcPr>
            <w:tcW w:w="1985" w:type="dxa"/>
            <w:tcBorders>
              <w:top w:val="single" w:sz="6" w:space="0" w:color="auto"/>
            </w:tcBorders>
          </w:tcPr>
          <w:p w14:paraId="0F4E0CE9" w14:textId="77777777" w:rsidR="006F293B" w:rsidRPr="00FD306D" w:rsidRDefault="006F293B" w:rsidP="004D6E7B">
            <w:pPr>
              <w:keepNext/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>1.- 3.deň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</w:tcBorders>
          </w:tcPr>
          <w:p w14:paraId="40521312" w14:textId="77777777" w:rsidR="006F293B" w:rsidRPr="00FD306D" w:rsidRDefault="006F293B" w:rsidP="004D6E7B">
            <w:pPr>
              <w:keepNext/>
              <w:tabs>
                <w:tab w:val="right" w:pos="491"/>
              </w:tabs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>250</w:t>
            </w:r>
          </w:p>
        </w:tc>
        <w:tc>
          <w:tcPr>
            <w:tcW w:w="844" w:type="dxa"/>
            <w:tcBorders>
              <w:top w:val="single" w:sz="6" w:space="0" w:color="auto"/>
            </w:tcBorders>
          </w:tcPr>
          <w:p w14:paraId="27B27DDF" w14:textId="77777777" w:rsidR="006F293B" w:rsidRPr="00FD306D" w:rsidRDefault="006F293B" w:rsidP="004D6E7B">
            <w:pPr>
              <w:keepNext/>
              <w:tabs>
                <w:tab w:val="right" w:pos="491"/>
              </w:tabs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ab/>
              <w:t>250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</w:tcBorders>
          </w:tcPr>
          <w:p w14:paraId="05938FCF" w14:textId="77777777" w:rsidR="006F293B" w:rsidRPr="00FD306D" w:rsidRDefault="006F293B" w:rsidP="004D6E7B">
            <w:pPr>
              <w:keepNext/>
              <w:tabs>
                <w:tab w:val="right" w:pos="498"/>
              </w:tabs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ab/>
              <w:t>250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</w:tcBorders>
          </w:tcPr>
          <w:p w14:paraId="0900A9BB" w14:textId="77777777" w:rsidR="006F293B" w:rsidRPr="00FD306D" w:rsidRDefault="006F293B" w:rsidP="004D6E7B">
            <w:pPr>
              <w:keepNext/>
              <w:tabs>
                <w:tab w:val="right" w:pos="498"/>
              </w:tabs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ab/>
              <w:t>250</w:t>
            </w:r>
          </w:p>
        </w:tc>
      </w:tr>
      <w:tr w:rsidR="006F293B" w:rsidRPr="00FD306D" w14:paraId="3E81ECF7" w14:textId="77777777">
        <w:trPr>
          <w:cantSplit/>
        </w:trPr>
        <w:tc>
          <w:tcPr>
            <w:tcW w:w="1985" w:type="dxa"/>
          </w:tcPr>
          <w:p w14:paraId="2A064F8D" w14:textId="77777777" w:rsidR="006F293B" w:rsidRPr="00FD306D" w:rsidRDefault="006F293B" w:rsidP="004D6E7B">
            <w:pPr>
              <w:keepNext/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lastRenderedPageBreak/>
              <w:t>4.- 7.deň</w:t>
            </w:r>
          </w:p>
        </w:tc>
        <w:tc>
          <w:tcPr>
            <w:tcW w:w="844" w:type="dxa"/>
            <w:tcBorders>
              <w:left w:val="single" w:sz="6" w:space="0" w:color="auto"/>
            </w:tcBorders>
          </w:tcPr>
          <w:p w14:paraId="4F2698C8" w14:textId="77777777" w:rsidR="006F293B" w:rsidRPr="00FD306D" w:rsidRDefault="006F293B" w:rsidP="004D6E7B">
            <w:pPr>
              <w:keepNext/>
              <w:tabs>
                <w:tab w:val="right" w:pos="491"/>
              </w:tabs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>250</w:t>
            </w:r>
          </w:p>
        </w:tc>
        <w:tc>
          <w:tcPr>
            <w:tcW w:w="844" w:type="dxa"/>
          </w:tcPr>
          <w:p w14:paraId="16C01237" w14:textId="77777777" w:rsidR="006F293B" w:rsidRPr="00FD306D" w:rsidRDefault="006F293B" w:rsidP="004D6E7B">
            <w:pPr>
              <w:keepNext/>
              <w:tabs>
                <w:tab w:val="right" w:pos="491"/>
              </w:tabs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ab/>
              <w:t>375</w:t>
            </w:r>
          </w:p>
        </w:tc>
        <w:tc>
          <w:tcPr>
            <w:tcW w:w="844" w:type="dxa"/>
            <w:tcBorders>
              <w:left w:val="single" w:sz="6" w:space="0" w:color="auto"/>
            </w:tcBorders>
          </w:tcPr>
          <w:p w14:paraId="61878E7C" w14:textId="77777777" w:rsidR="006F293B" w:rsidRPr="00FD306D" w:rsidRDefault="006F293B" w:rsidP="004D6E7B">
            <w:pPr>
              <w:keepNext/>
              <w:tabs>
                <w:tab w:val="right" w:pos="498"/>
              </w:tabs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ab/>
              <w:t>250</w:t>
            </w:r>
          </w:p>
        </w:tc>
        <w:tc>
          <w:tcPr>
            <w:tcW w:w="850" w:type="dxa"/>
            <w:gridSpan w:val="2"/>
          </w:tcPr>
          <w:p w14:paraId="28722854" w14:textId="77777777" w:rsidR="006F293B" w:rsidRPr="00FD306D" w:rsidRDefault="006F293B" w:rsidP="004D6E7B">
            <w:pPr>
              <w:keepNext/>
              <w:tabs>
                <w:tab w:val="right" w:pos="498"/>
              </w:tabs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ab/>
              <w:t>500</w:t>
            </w:r>
          </w:p>
        </w:tc>
      </w:tr>
      <w:tr w:rsidR="006F293B" w:rsidRPr="00FD306D" w14:paraId="574321A7" w14:textId="77777777">
        <w:trPr>
          <w:cantSplit/>
        </w:trPr>
        <w:tc>
          <w:tcPr>
            <w:tcW w:w="1985" w:type="dxa"/>
          </w:tcPr>
          <w:p w14:paraId="196CA064" w14:textId="77777777" w:rsidR="006F293B" w:rsidRPr="00FD306D" w:rsidRDefault="006F293B" w:rsidP="004D6E7B">
            <w:pPr>
              <w:keepNext/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 xml:space="preserve">2. týždeň </w:t>
            </w:r>
          </w:p>
        </w:tc>
        <w:tc>
          <w:tcPr>
            <w:tcW w:w="844" w:type="dxa"/>
            <w:tcBorders>
              <w:left w:val="single" w:sz="6" w:space="0" w:color="auto"/>
            </w:tcBorders>
          </w:tcPr>
          <w:p w14:paraId="7751DBF0" w14:textId="77777777" w:rsidR="006F293B" w:rsidRPr="00FD306D" w:rsidRDefault="006F293B" w:rsidP="004D6E7B">
            <w:pPr>
              <w:keepNext/>
              <w:tabs>
                <w:tab w:val="right" w:pos="491"/>
              </w:tabs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>250</w:t>
            </w:r>
          </w:p>
        </w:tc>
        <w:tc>
          <w:tcPr>
            <w:tcW w:w="844" w:type="dxa"/>
          </w:tcPr>
          <w:p w14:paraId="1A6F8E8F" w14:textId="77777777" w:rsidR="006F293B" w:rsidRPr="00FD306D" w:rsidRDefault="006F293B" w:rsidP="004D6E7B">
            <w:pPr>
              <w:keepNext/>
              <w:tabs>
                <w:tab w:val="right" w:pos="491"/>
              </w:tabs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ab/>
              <w:t>500</w:t>
            </w:r>
          </w:p>
        </w:tc>
        <w:tc>
          <w:tcPr>
            <w:tcW w:w="844" w:type="dxa"/>
            <w:tcBorders>
              <w:left w:val="single" w:sz="6" w:space="0" w:color="auto"/>
            </w:tcBorders>
          </w:tcPr>
          <w:p w14:paraId="44BCCDE7" w14:textId="77777777" w:rsidR="006F293B" w:rsidRPr="00FD306D" w:rsidRDefault="006F293B" w:rsidP="004D6E7B">
            <w:pPr>
              <w:keepNext/>
              <w:tabs>
                <w:tab w:val="right" w:pos="498"/>
              </w:tabs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ab/>
              <w:t>500</w:t>
            </w:r>
          </w:p>
        </w:tc>
        <w:tc>
          <w:tcPr>
            <w:tcW w:w="850" w:type="dxa"/>
            <w:gridSpan w:val="2"/>
          </w:tcPr>
          <w:p w14:paraId="1A33FB79" w14:textId="77777777" w:rsidR="006F293B" w:rsidRPr="00FD306D" w:rsidRDefault="006F293B" w:rsidP="004D6E7B">
            <w:pPr>
              <w:keepNext/>
              <w:tabs>
                <w:tab w:val="right" w:pos="498"/>
              </w:tabs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ab/>
              <w:t>500</w:t>
            </w:r>
          </w:p>
        </w:tc>
      </w:tr>
      <w:tr w:rsidR="006F293B" w:rsidRPr="00FD306D" w14:paraId="68406352" w14:textId="77777777">
        <w:trPr>
          <w:cantSplit/>
        </w:trPr>
        <w:tc>
          <w:tcPr>
            <w:tcW w:w="1985" w:type="dxa"/>
          </w:tcPr>
          <w:p w14:paraId="456EF58F" w14:textId="77777777" w:rsidR="006F293B" w:rsidRPr="00FD306D" w:rsidRDefault="006F293B" w:rsidP="004D6E7B">
            <w:pPr>
              <w:keepNext/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 xml:space="preserve">3. týždeň </w:t>
            </w:r>
          </w:p>
        </w:tc>
        <w:tc>
          <w:tcPr>
            <w:tcW w:w="844" w:type="dxa"/>
            <w:tcBorders>
              <w:left w:val="single" w:sz="6" w:space="0" w:color="auto"/>
            </w:tcBorders>
          </w:tcPr>
          <w:p w14:paraId="4CCF4C62" w14:textId="77777777" w:rsidR="006F293B" w:rsidRPr="00FD306D" w:rsidRDefault="006F293B" w:rsidP="004D6E7B">
            <w:pPr>
              <w:keepNext/>
              <w:tabs>
                <w:tab w:val="right" w:pos="491"/>
              </w:tabs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>375</w:t>
            </w:r>
          </w:p>
        </w:tc>
        <w:tc>
          <w:tcPr>
            <w:tcW w:w="844" w:type="dxa"/>
          </w:tcPr>
          <w:p w14:paraId="47B238D9" w14:textId="77777777" w:rsidR="006F293B" w:rsidRPr="00FD306D" w:rsidRDefault="006F293B" w:rsidP="004D6E7B">
            <w:pPr>
              <w:keepNext/>
              <w:tabs>
                <w:tab w:val="right" w:pos="491"/>
              </w:tabs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ab/>
              <w:t>500</w:t>
            </w:r>
          </w:p>
        </w:tc>
        <w:tc>
          <w:tcPr>
            <w:tcW w:w="844" w:type="dxa"/>
            <w:tcBorders>
              <w:left w:val="single" w:sz="6" w:space="0" w:color="auto"/>
            </w:tcBorders>
          </w:tcPr>
          <w:p w14:paraId="1B3BB03B" w14:textId="77777777" w:rsidR="006F293B" w:rsidRPr="00FD306D" w:rsidRDefault="006F293B" w:rsidP="004D6E7B">
            <w:pPr>
              <w:keepNext/>
              <w:tabs>
                <w:tab w:val="right" w:pos="498"/>
              </w:tabs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ab/>
              <w:t>500</w:t>
            </w:r>
          </w:p>
        </w:tc>
        <w:tc>
          <w:tcPr>
            <w:tcW w:w="850" w:type="dxa"/>
            <w:gridSpan w:val="2"/>
          </w:tcPr>
          <w:p w14:paraId="5BE48147" w14:textId="77777777" w:rsidR="006F293B" w:rsidRPr="00FD306D" w:rsidRDefault="006F293B" w:rsidP="004D6E7B">
            <w:pPr>
              <w:keepNext/>
              <w:tabs>
                <w:tab w:val="right" w:pos="498"/>
              </w:tabs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ab/>
              <w:t>750</w:t>
            </w:r>
          </w:p>
        </w:tc>
      </w:tr>
      <w:tr w:rsidR="006F293B" w:rsidRPr="00FD306D" w14:paraId="175373EE" w14:textId="77777777">
        <w:trPr>
          <w:cantSplit/>
        </w:trPr>
        <w:tc>
          <w:tcPr>
            <w:tcW w:w="1985" w:type="dxa"/>
          </w:tcPr>
          <w:p w14:paraId="092F3B86" w14:textId="77777777" w:rsidR="006F293B" w:rsidRPr="00FD306D" w:rsidRDefault="006F293B" w:rsidP="004D6E7B">
            <w:pPr>
              <w:keepNext/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>od 4. týždňa</w:t>
            </w:r>
          </w:p>
        </w:tc>
        <w:tc>
          <w:tcPr>
            <w:tcW w:w="844" w:type="dxa"/>
            <w:tcBorders>
              <w:left w:val="single" w:sz="6" w:space="0" w:color="auto"/>
            </w:tcBorders>
          </w:tcPr>
          <w:p w14:paraId="740B4B62" w14:textId="77777777" w:rsidR="006F293B" w:rsidRPr="00FD306D" w:rsidRDefault="006F293B" w:rsidP="004D6E7B">
            <w:pPr>
              <w:keepNext/>
              <w:tabs>
                <w:tab w:val="right" w:pos="491"/>
              </w:tabs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>500</w:t>
            </w:r>
          </w:p>
        </w:tc>
        <w:tc>
          <w:tcPr>
            <w:tcW w:w="844" w:type="dxa"/>
          </w:tcPr>
          <w:p w14:paraId="7057E848" w14:textId="77777777" w:rsidR="006F293B" w:rsidRPr="00FD306D" w:rsidRDefault="006F293B" w:rsidP="004D6E7B">
            <w:pPr>
              <w:keepNext/>
              <w:tabs>
                <w:tab w:val="right" w:pos="491"/>
              </w:tabs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ab/>
              <w:t>500</w:t>
            </w:r>
          </w:p>
        </w:tc>
        <w:tc>
          <w:tcPr>
            <w:tcW w:w="844" w:type="dxa"/>
            <w:tcBorders>
              <w:left w:val="single" w:sz="6" w:space="0" w:color="auto"/>
            </w:tcBorders>
          </w:tcPr>
          <w:p w14:paraId="777711C2" w14:textId="77777777" w:rsidR="006F293B" w:rsidRPr="00FD306D" w:rsidRDefault="006F293B" w:rsidP="004D6E7B">
            <w:pPr>
              <w:keepNext/>
              <w:tabs>
                <w:tab w:val="right" w:pos="498"/>
              </w:tabs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ab/>
              <w:t>750</w:t>
            </w:r>
          </w:p>
        </w:tc>
        <w:tc>
          <w:tcPr>
            <w:tcW w:w="850" w:type="dxa"/>
            <w:gridSpan w:val="2"/>
          </w:tcPr>
          <w:p w14:paraId="2DF12634" w14:textId="77777777" w:rsidR="006F293B" w:rsidRPr="00FD306D" w:rsidRDefault="006F293B" w:rsidP="004D6E7B">
            <w:pPr>
              <w:keepNext/>
              <w:tabs>
                <w:tab w:val="right" w:pos="498"/>
              </w:tabs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ab/>
              <w:t>750</w:t>
            </w:r>
          </w:p>
        </w:tc>
      </w:tr>
      <w:tr w:rsidR="006F293B" w:rsidRPr="00FD306D" w14:paraId="0C4BF1E3" w14:textId="77777777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985" w:type="dxa"/>
            <w:tcBorders>
              <w:bottom w:val="single" w:sz="6" w:space="0" w:color="auto"/>
            </w:tcBorders>
          </w:tcPr>
          <w:p w14:paraId="77933F88" w14:textId="77777777" w:rsidR="006F293B" w:rsidRPr="00FD306D" w:rsidRDefault="006F293B" w:rsidP="004D6E7B">
            <w:pPr>
              <w:keepNext/>
              <w:rPr>
                <w:sz w:val="22"/>
                <w:szCs w:val="22"/>
              </w:rPr>
            </w:pPr>
          </w:p>
          <w:p w14:paraId="66F94EF2" w14:textId="77777777" w:rsidR="006F293B" w:rsidRPr="00FD306D" w:rsidRDefault="006F293B" w:rsidP="004D6E7B">
            <w:pPr>
              <w:keepNext/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>priemerná udržiavacia dávka (mg)</w:t>
            </w:r>
          </w:p>
        </w:tc>
        <w:tc>
          <w:tcPr>
            <w:tcW w:w="168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05569493" w14:textId="77777777" w:rsidR="006F293B" w:rsidRPr="00FD306D" w:rsidRDefault="006F293B" w:rsidP="004D6E7B">
            <w:pPr>
              <w:keepNext/>
              <w:rPr>
                <w:sz w:val="22"/>
                <w:szCs w:val="22"/>
              </w:rPr>
            </w:pPr>
          </w:p>
          <w:p w14:paraId="658E8C23" w14:textId="77777777" w:rsidR="006F293B" w:rsidRPr="00FD306D" w:rsidRDefault="006F293B" w:rsidP="004D6E7B">
            <w:pPr>
              <w:keepNext/>
              <w:jc w:val="center"/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>500 – 1000</w:t>
            </w:r>
          </w:p>
        </w:tc>
        <w:tc>
          <w:tcPr>
            <w:tcW w:w="1694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28A31885" w14:textId="77777777" w:rsidR="006F293B" w:rsidRPr="00FD306D" w:rsidRDefault="006F293B" w:rsidP="004D6E7B">
            <w:pPr>
              <w:keepNext/>
              <w:tabs>
                <w:tab w:val="right" w:pos="491"/>
              </w:tabs>
              <w:rPr>
                <w:sz w:val="22"/>
                <w:szCs w:val="22"/>
              </w:rPr>
            </w:pPr>
          </w:p>
          <w:p w14:paraId="13F07F2F" w14:textId="77777777" w:rsidR="006F293B" w:rsidRPr="00FD306D" w:rsidRDefault="006F293B" w:rsidP="004D6E7B">
            <w:pPr>
              <w:keepNext/>
              <w:tabs>
                <w:tab w:val="right" w:pos="491"/>
              </w:tabs>
              <w:jc w:val="center"/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>1000 - 2000</w:t>
            </w:r>
          </w:p>
        </w:tc>
      </w:tr>
    </w:tbl>
    <w:p w14:paraId="588B53B3" w14:textId="77777777" w:rsidR="00A759D9" w:rsidRPr="00FD306D" w:rsidRDefault="00A759D9" w:rsidP="00F67146">
      <w:pPr>
        <w:tabs>
          <w:tab w:val="left" w:pos="567"/>
        </w:tabs>
        <w:rPr>
          <w:sz w:val="22"/>
          <w:szCs w:val="22"/>
        </w:rPr>
      </w:pPr>
    </w:p>
    <w:p w14:paraId="7416E9BE" w14:textId="77777777" w:rsidR="005857F9" w:rsidRPr="00FD306D" w:rsidRDefault="008965F3" w:rsidP="00F67146">
      <w:pPr>
        <w:tabs>
          <w:tab w:val="left" w:pos="567"/>
        </w:tabs>
        <w:rPr>
          <w:sz w:val="22"/>
          <w:szCs w:val="22"/>
        </w:rPr>
      </w:pPr>
      <w:r w:rsidRPr="00FD306D">
        <w:rPr>
          <w:color w:val="000000"/>
          <w:sz w:val="22"/>
          <w:szCs w:val="22"/>
        </w:rPr>
        <w:t xml:space="preserve">Deťom vo veku 0-6 rokov a tým, ktoré nedokážu prehltnúť kapsuly, by sa mal podávať etosuximid vo forme perorálnej kvapaliny. V súčasnosti dostupné údaje z klinických skúšok týkajúce sa užívania etosuximidu u pediatrickej populácie sú popísané v časti 5.1 </w:t>
      </w:r>
    </w:p>
    <w:p w14:paraId="2E12178F" w14:textId="77777777" w:rsidR="005857F9" w:rsidRPr="00FD306D" w:rsidRDefault="005857F9" w:rsidP="00F67146">
      <w:pPr>
        <w:tabs>
          <w:tab w:val="left" w:pos="567"/>
        </w:tabs>
        <w:rPr>
          <w:sz w:val="22"/>
          <w:szCs w:val="22"/>
        </w:rPr>
      </w:pPr>
    </w:p>
    <w:p w14:paraId="071E9468" w14:textId="77777777" w:rsidR="00A759D9" w:rsidRPr="00FD306D" w:rsidRDefault="00A759D9" w:rsidP="00F67146">
      <w:pPr>
        <w:tabs>
          <w:tab w:val="left" w:pos="567"/>
        </w:tabs>
        <w:rPr>
          <w:sz w:val="22"/>
          <w:szCs w:val="22"/>
        </w:rPr>
      </w:pPr>
      <w:r w:rsidRPr="00FD306D">
        <w:rPr>
          <w:color w:val="000000"/>
          <w:sz w:val="22"/>
          <w:szCs w:val="22"/>
        </w:rPr>
        <w:t>Etosuximid je dialyzovateľný. Pacienti na hemodialýze preto potrebujú dodatočnú dávku alebo zmenený plán dávkovania. Počas štyroch hodín dialýzy sa odstráni 39 až 52 % podanej dávky.</w:t>
      </w:r>
    </w:p>
    <w:p w14:paraId="3B3009E3" w14:textId="77777777" w:rsidR="00A759D9" w:rsidRPr="00FD306D" w:rsidRDefault="00A759D9" w:rsidP="00F67146">
      <w:pPr>
        <w:tabs>
          <w:tab w:val="left" w:pos="567"/>
        </w:tabs>
        <w:rPr>
          <w:sz w:val="22"/>
          <w:szCs w:val="22"/>
        </w:rPr>
      </w:pPr>
    </w:p>
    <w:p w14:paraId="3CF81478" w14:textId="77777777" w:rsidR="00A759D9" w:rsidRPr="00FD306D" w:rsidRDefault="00A759D9" w:rsidP="00F67146">
      <w:pPr>
        <w:tabs>
          <w:tab w:val="left" w:pos="567"/>
        </w:tabs>
        <w:rPr>
          <w:iCs/>
          <w:sz w:val="22"/>
          <w:szCs w:val="22"/>
          <w:u w:val="single"/>
        </w:rPr>
      </w:pPr>
      <w:r w:rsidRPr="00FD306D">
        <w:rPr>
          <w:iCs/>
          <w:sz w:val="22"/>
          <w:szCs w:val="22"/>
          <w:u w:val="single"/>
        </w:rPr>
        <w:t>Spôsob podávania</w:t>
      </w:r>
    </w:p>
    <w:p w14:paraId="1436129E" w14:textId="77777777" w:rsidR="00A759D9" w:rsidRPr="00FD306D" w:rsidRDefault="00A759D9" w:rsidP="00F67146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 xml:space="preserve">Dennú dávku možno podať v jednej dávke (1x denne), alebo po rozdelení do 2 - 3 jednotlivých dávok. Petnidan sa podáva počas </w:t>
      </w:r>
      <w:r w:rsidR="00F363D6" w:rsidRPr="00FD306D">
        <w:rPr>
          <w:sz w:val="22"/>
          <w:szCs w:val="22"/>
        </w:rPr>
        <w:t xml:space="preserve">jedla </w:t>
      </w:r>
      <w:r w:rsidRPr="00FD306D">
        <w:rPr>
          <w:sz w:val="22"/>
          <w:szCs w:val="22"/>
        </w:rPr>
        <w:t>alebo po jedle, prípadne je možné ho primiešať do mliečnej kaše. Dojčatá a malé deti ma</w:t>
      </w:r>
      <w:r w:rsidR="00F363D6" w:rsidRPr="00FD306D">
        <w:rPr>
          <w:sz w:val="22"/>
          <w:szCs w:val="22"/>
        </w:rPr>
        <w:t>jú</w:t>
      </w:r>
      <w:r w:rsidRPr="00FD306D">
        <w:rPr>
          <w:sz w:val="22"/>
          <w:szCs w:val="22"/>
        </w:rPr>
        <w:t xml:space="preserve"> byť prednostne liečené liekom Petnidan</w:t>
      </w:r>
      <w:r w:rsidRPr="00FD306D">
        <w:rPr>
          <w:sz w:val="22"/>
          <w:szCs w:val="22"/>
          <w:vertAlign w:val="superscript"/>
        </w:rPr>
        <w:t xml:space="preserve"> </w:t>
      </w:r>
      <w:r w:rsidRPr="00FD306D">
        <w:rPr>
          <w:sz w:val="22"/>
          <w:szCs w:val="22"/>
        </w:rPr>
        <w:t xml:space="preserve"> Saft.</w:t>
      </w:r>
    </w:p>
    <w:p w14:paraId="7974F4C3" w14:textId="77777777" w:rsidR="008965F3" w:rsidRPr="00FD306D" w:rsidRDefault="008965F3" w:rsidP="00F67146">
      <w:pPr>
        <w:tabs>
          <w:tab w:val="left" w:pos="567"/>
        </w:tabs>
        <w:rPr>
          <w:sz w:val="22"/>
          <w:szCs w:val="22"/>
        </w:rPr>
      </w:pPr>
    </w:p>
    <w:p w14:paraId="16DED3FB" w14:textId="77777777" w:rsidR="008965F3" w:rsidRPr="00FD306D" w:rsidRDefault="008965F3" w:rsidP="00F67146">
      <w:pPr>
        <w:tabs>
          <w:tab w:val="left" w:pos="567"/>
        </w:tabs>
        <w:rPr>
          <w:sz w:val="22"/>
          <w:szCs w:val="22"/>
        </w:rPr>
      </w:pPr>
      <w:r w:rsidRPr="00FD306D">
        <w:rPr>
          <w:iCs/>
          <w:sz w:val="22"/>
          <w:szCs w:val="22"/>
          <w:u w:val="single"/>
        </w:rPr>
        <w:t>Dĺžka podávania</w:t>
      </w:r>
    </w:p>
    <w:p w14:paraId="7D76F076" w14:textId="77777777" w:rsidR="00A759D9" w:rsidRPr="00FD306D" w:rsidRDefault="00A759D9" w:rsidP="00F67146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 xml:space="preserve">Antiepileptická liečba je zásadne dlhodobá. O jej zmene, trvaní a ukončení rozhoduje v každom jednotlivom prípade odborný lekár (neurológ, detský neurológ). Obvykle možno uvažovať o redukcii dávok a prípadnom vysadení liečby najskôr po 2 - 3 ročnom bezzáchvatovom období. </w:t>
      </w:r>
    </w:p>
    <w:p w14:paraId="56F3EC7B" w14:textId="77777777" w:rsidR="00747C8D" w:rsidRPr="00FD306D" w:rsidRDefault="00A759D9" w:rsidP="00F67146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>Vysadenie sa realizuje postupne, znižovaním dávok v priebehu 1 - 2 rokov. Deti môžu z dávky na kg telesnej hmotnosti „vyrásť“ pokiaľ sa ich EEG nález nezhoršuje.</w:t>
      </w:r>
    </w:p>
    <w:p w14:paraId="66C41036" w14:textId="77777777" w:rsidR="00A759D9" w:rsidRPr="00FD306D" w:rsidRDefault="00A759D9" w:rsidP="00F67146">
      <w:pPr>
        <w:tabs>
          <w:tab w:val="left" w:pos="567"/>
        </w:tabs>
        <w:spacing w:before="240"/>
        <w:rPr>
          <w:sz w:val="22"/>
          <w:szCs w:val="22"/>
        </w:rPr>
      </w:pPr>
      <w:r w:rsidRPr="00FD306D">
        <w:rPr>
          <w:b/>
          <w:sz w:val="22"/>
          <w:szCs w:val="22"/>
        </w:rPr>
        <w:t xml:space="preserve">4.3 </w:t>
      </w:r>
      <w:r w:rsidR="00F80F43">
        <w:rPr>
          <w:b/>
          <w:sz w:val="22"/>
          <w:szCs w:val="22"/>
        </w:rPr>
        <w:tab/>
      </w:r>
      <w:r w:rsidRPr="00FD306D">
        <w:rPr>
          <w:b/>
          <w:sz w:val="22"/>
          <w:szCs w:val="22"/>
        </w:rPr>
        <w:t>Kontraindikácie</w:t>
      </w:r>
    </w:p>
    <w:p w14:paraId="0AAEC62E" w14:textId="77777777" w:rsidR="00BB4DB6" w:rsidRPr="00FD306D" w:rsidRDefault="00BB4DB6" w:rsidP="00F67146">
      <w:pPr>
        <w:pStyle w:val="Zkladntext"/>
        <w:tabs>
          <w:tab w:val="left" w:pos="567"/>
        </w:tabs>
        <w:jc w:val="left"/>
        <w:rPr>
          <w:sz w:val="22"/>
          <w:szCs w:val="22"/>
          <w:lang w:val="sk-SK"/>
        </w:rPr>
      </w:pPr>
    </w:p>
    <w:p w14:paraId="6DF58F07" w14:textId="77777777" w:rsidR="00A759D9" w:rsidRPr="00FD306D" w:rsidRDefault="00BB4DB6" w:rsidP="00F67146">
      <w:pPr>
        <w:pStyle w:val="Zkladntext"/>
        <w:tabs>
          <w:tab w:val="left" w:pos="567"/>
        </w:tabs>
        <w:jc w:val="left"/>
        <w:rPr>
          <w:sz w:val="22"/>
          <w:szCs w:val="22"/>
          <w:lang w:val="sk-SK"/>
        </w:rPr>
      </w:pPr>
      <w:r w:rsidRPr="00FD306D">
        <w:rPr>
          <w:sz w:val="22"/>
          <w:szCs w:val="22"/>
          <w:lang w:val="sk-SK"/>
        </w:rPr>
        <w:t xml:space="preserve">Petnidan </w:t>
      </w:r>
      <w:r w:rsidR="00A759D9" w:rsidRPr="00FD306D">
        <w:rPr>
          <w:sz w:val="22"/>
          <w:szCs w:val="22"/>
          <w:lang w:val="sk-SK"/>
        </w:rPr>
        <w:t xml:space="preserve">je absolútne kontraindikovaný pri už známej precitlivenosti na </w:t>
      </w:r>
      <w:r w:rsidR="00C91CA2" w:rsidRPr="00FD306D">
        <w:rPr>
          <w:sz w:val="22"/>
          <w:szCs w:val="22"/>
          <w:lang w:val="sk-SK"/>
        </w:rPr>
        <w:t>liečivo etosuximid</w:t>
      </w:r>
      <w:r w:rsidR="00A759D9" w:rsidRPr="00FD306D">
        <w:rPr>
          <w:sz w:val="22"/>
          <w:szCs w:val="22"/>
          <w:lang w:val="sk-SK"/>
        </w:rPr>
        <w:t xml:space="preserve">, </w:t>
      </w:r>
      <w:r w:rsidR="00C91CA2" w:rsidRPr="00FD306D">
        <w:rPr>
          <w:sz w:val="22"/>
          <w:szCs w:val="22"/>
          <w:lang w:val="sk-SK"/>
        </w:rPr>
        <w:t xml:space="preserve">na </w:t>
      </w:r>
      <w:r w:rsidR="00A759D9" w:rsidRPr="00FD306D">
        <w:rPr>
          <w:sz w:val="22"/>
          <w:szCs w:val="22"/>
          <w:lang w:val="sk-SK"/>
        </w:rPr>
        <w:t xml:space="preserve">iné sukcinimidy alebo na </w:t>
      </w:r>
      <w:r w:rsidR="00743818" w:rsidRPr="00FD306D">
        <w:rPr>
          <w:sz w:val="22"/>
          <w:szCs w:val="22"/>
          <w:lang w:val="sk-SK"/>
        </w:rPr>
        <w:t>ktorúkoľvek z pomocných látok uvedených v časti 6.1.</w:t>
      </w:r>
    </w:p>
    <w:p w14:paraId="007CE1DA" w14:textId="77777777" w:rsidR="00E11194" w:rsidRPr="00FD306D" w:rsidRDefault="00E11194" w:rsidP="00F67146">
      <w:pPr>
        <w:pStyle w:val="Zkladntext"/>
        <w:tabs>
          <w:tab w:val="left" w:pos="567"/>
        </w:tabs>
        <w:jc w:val="left"/>
        <w:rPr>
          <w:sz w:val="22"/>
          <w:szCs w:val="22"/>
          <w:lang w:val="sk-SK"/>
        </w:rPr>
      </w:pPr>
    </w:p>
    <w:p w14:paraId="51F127A9" w14:textId="77777777" w:rsidR="00A759D9" w:rsidRPr="00FD306D" w:rsidRDefault="00A759D9" w:rsidP="00F67146">
      <w:pPr>
        <w:pStyle w:val="Zkladntext"/>
        <w:tabs>
          <w:tab w:val="left" w:pos="567"/>
        </w:tabs>
        <w:jc w:val="left"/>
        <w:rPr>
          <w:b/>
          <w:sz w:val="22"/>
          <w:szCs w:val="22"/>
          <w:lang w:val="sk-SK"/>
        </w:rPr>
      </w:pPr>
      <w:r w:rsidRPr="00FD306D">
        <w:rPr>
          <w:b/>
          <w:sz w:val="22"/>
          <w:szCs w:val="22"/>
          <w:lang w:val="sk-SK"/>
        </w:rPr>
        <w:t xml:space="preserve">4.4 </w:t>
      </w:r>
      <w:r w:rsidR="00F80F43">
        <w:rPr>
          <w:b/>
          <w:sz w:val="22"/>
          <w:szCs w:val="22"/>
          <w:lang w:val="sk-SK"/>
        </w:rPr>
        <w:tab/>
      </w:r>
      <w:r w:rsidR="00E11194" w:rsidRPr="00FD306D">
        <w:rPr>
          <w:b/>
          <w:sz w:val="22"/>
          <w:szCs w:val="22"/>
          <w:lang w:val="sk-SK"/>
        </w:rPr>
        <w:t xml:space="preserve">Osobitné  </w:t>
      </w:r>
      <w:r w:rsidRPr="00FD306D">
        <w:rPr>
          <w:b/>
          <w:sz w:val="22"/>
          <w:szCs w:val="22"/>
          <w:lang w:val="sk-SK"/>
        </w:rPr>
        <w:t>upozornenia</w:t>
      </w:r>
      <w:r w:rsidR="00E11194" w:rsidRPr="00FD306D">
        <w:rPr>
          <w:b/>
          <w:sz w:val="22"/>
          <w:szCs w:val="22"/>
          <w:lang w:val="sk-SK"/>
        </w:rPr>
        <w:t xml:space="preserve"> a opatrenia pri používaní</w:t>
      </w:r>
    </w:p>
    <w:p w14:paraId="2B8B5278" w14:textId="77777777" w:rsidR="003D3117" w:rsidRPr="00FD306D" w:rsidRDefault="003D3117" w:rsidP="00F67146">
      <w:pPr>
        <w:pStyle w:val="Zkladntext"/>
        <w:tabs>
          <w:tab w:val="left" w:pos="567"/>
        </w:tabs>
        <w:jc w:val="left"/>
        <w:rPr>
          <w:sz w:val="22"/>
          <w:szCs w:val="22"/>
          <w:lang w:val="sk-SK"/>
        </w:rPr>
      </w:pPr>
    </w:p>
    <w:p w14:paraId="1AE77CE5" w14:textId="77777777" w:rsidR="00743AFE" w:rsidRPr="00FD306D" w:rsidRDefault="00743AFE" w:rsidP="00F67146">
      <w:pPr>
        <w:pStyle w:val="Zkladntext"/>
        <w:tabs>
          <w:tab w:val="left" w:pos="567"/>
        </w:tabs>
        <w:jc w:val="left"/>
        <w:rPr>
          <w:sz w:val="22"/>
          <w:szCs w:val="22"/>
          <w:lang w:val="sk-SK"/>
        </w:rPr>
      </w:pPr>
      <w:r w:rsidRPr="00FD306D">
        <w:rPr>
          <w:sz w:val="22"/>
          <w:szCs w:val="22"/>
          <w:lang w:val="sk-SK"/>
        </w:rPr>
        <w:t>Pri výskyte reverzibilných nežiaducich účinkov, nezávislých od dávky, je indikované vysadenie lieku Petnidan. Pri opakovanom nasadení lieku treba počítať so znovuobjavením sa príznakov.</w:t>
      </w:r>
    </w:p>
    <w:p w14:paraId="3DAF129E" w14:textId="77777777" w:rsidR="00743AFE" w:rsidRPr="00FD306D" w:rsidRDefault="00FD306D" w:rsidP="00F67146">
      <w:pPr>
        <w:pStyle w:val="Zkladntext"/>
        <w:tabs>
          <w:tab w:val="left" w:pos="567"/>
        </w:tabs>
        <w:jc w:val="left"/>
        <w:rPr>
          <w:sz w:val="22"/>
          <w:szCs w:val="22"/>
          <w:lang w:val="sk-SK"/>
        </w:rPr>
      </w:pPr>
      <w:r w:rsidRPr="00FD306D">
        <w:rPr>
          <w:sz w:val="22"/>
          <w:szCs w:val="22"/>
          <w:lang w:val="sk-SK"/>
        </w:rPr>
        <w:t>Väčšinu prejavov  nežiaducich účinkov závislých od dávky, možno zmierniť presným dávkovaním (opatrným zvyšovaním dávky na začiatku liečby) a podávaním lieku pri jedle alebo po ňom (pozri tiež časť 4.8).</w:t>
      </w:r>
    </w:p>
    <w:p w14:paraId="0069FE6F" w14:textId="77777777" w:rsidR="00FD306D" w:rsidRPr="00FD306D" w:rsidRDefault="00FD306D" w:rsidP="00F67146">
      <w:pPr>
        <w:pStyle w:val="Zkladntext"/>
        <w:tabs>
          <w:tab w:val="left" w:pos="567"/>
        </w:tabs>
        <w:jc w:val="left"/>
        <w:rPr>
          <w:sz w:val="22"/>
          <w:szCs w:val="22"/>
          <w:lang w:val="sk-SK"/>
        </w:rPr>
      </w:pPr>
    </w:p>
    <w:p w14:paraId="7D52A34A" w14:textId="77777777" w:rsidR="00FD306D" w:rsidRDefault="004821E3" w:rsidP="00F67146">
      <w:pPr>
        <w:pStyle w:val="Zkladntext"/>
        <w:tabs>
          <w:tab w:val="left" w:pos="567"/>
        </w:tabs>
        <w:jc w:val="left"/>
        <w:rPr>
          <w:sz w:val="22"/>
          <w:szCs w:val="22"/>
          <w:lang w:val="sk-SK"/>
        </w:rPr>
      </w:pPr>
      <w:r w:rsidRPr="00FD306D">
        <w:rPr>
          <w:sz w:val="22"/>
          <w:szCs w:val="22"/>
          <w:lang w:val="sk-SK"/>
        </w:rPr>
        <w:t>Pri výskyte dyskinéz je vysadenie lieku Petnidan</w:t>
      </w:r>
      <w:r w:rsidRPr="00FD306D">
        <w:rPr>
          <w:sz w:val="22"/>
          <w:szCs w:val="22"/>
          <w:vertAlign w:val="superscript"/>
          <w:lang w:val="sk-SK"/>
        </w:rPr>
        <w:t xml:space="preserve"> </w:t>
      </w:r>
      <w:r w:rsidRPr="00FD306D">
        <w:rPr>
          <w:sz w:val="22"/>
          <w:szCs w:val="22"/>
          <w:lang w:val="sk-SK"/>
        </w:rPr>
        <w:t>nevyhnutné, a je ďalej vhodné podanie difenhydramínu.</w:t>
      </w:r>
    </w:p>
    <w:p w14:paraId="664F4C36" w14:textId="77777777" w:rsidR="004821E3" w:rsidRPr="00FD306D" w:rsidRDefault="004821E3" w:rsidP="00403B3D">
      <w:pPr>
        <w:pStyle w:val="Zkladntext"/>
        <w:tabs>
          <w:tab w:val="left" w:pos="567"/>
        </w:tabs>
        <w:jc w:val="left"/>
        <w:rPr>
          <w:sz w:val="22"/>
          <w:szCs w:val="22"/>
          <w:lang w:val="sk-SK"/>
        </w:rPr>
      </w:pPr>
    </w:p>
    <w:p w14:paraId="0B2BA549" w14:textId="77777777" w:rsidR="00A759D9" w:rsidRPr="00FD306D" w:rsidRDefault="00A759D9" w:rsidP="00403B3D">
      <w:pPr>
        <w:pStyle w:val="Zkladntext"/>
        <w:tabs>
          <w:tab w:val="left" w:pos="567"/>
        </w:tabs>
        <w:jc w:val="left"/>
        <w:rPr>
          <w:sz w:val="22"/>
          <w:szCs w:val="22"/>
          <w:lang w:val="sk-SK"/>
        </w:rPr>
      </w:pPr>
      <w:r w:rsidRPr="00FD306D">
        <w:rPr>
          <w:sz w:val="22"/>
          <w:szCs w:val="22"/>
          <w:lang w:val="sk-SK"/>
        </w:rPr>
        <w:t>U pacientov s psychiatrickými poruchami v anamnéze sa môžu vyskytnúť nežiaduce psychické účinky, ako paranoidno-halucinatorné</w:t>
      </w:r>
      <w:r w:rsidR="00D31D39" w:rsidRPr="00FD306D">
        <w:rPr>
          <w:sz w:val="22"/>
          <w:szCs w:val="22"/>
          <w:lang w:val="sk-SK"/>
        </w:rPr>
        <w:t xml:space="preserve"> (stavy,</w:t>
      </w:r>
      <w:r w:rsidR="00F80F43">
        <w:rPr>
          <w:sz w:val="22"/>
          <w:szCs w:val="22"/>
          <w:lang w:val="sk-SK"/>
        </w:rPr>
        <w:t xml:space="preserve"> </w:t>
      </w:r>
      <w:r w:rsidR="00D31D39" w:rsidRPr="00FD306D">
        <w:rPr>
          <w:sz w:val="22"/>
          <w:szCs w:val="22"/>
          <w:lang w:val="sk-SK"/>
        </w:rPr>
        <w:t>keď pacient vníma vnemy,</w:t>
      </w:r>
      <w:r w:rsidR="00F80F43">
        <w:rPr>
          <w:sz w:val="22"/>
          <w:szCs w:val="22"/>
          <w:lang w:val="sk-SK"/>
        </w:rPr>
        <w:t xml:space="preserve"> </w:t>
      </w:r>
      <w:r w:rsidR="00D31D39" w:rsidRPr="00FD306D">
        <w:rPr>
          <w:sz w:val="22"/>
          <w:szCs w:val="22"/>
          <w:lang w:val="sk-SK"/>
        </w:rPr>
        <w:t>ktoré nezodpovedajú skutočnosti)</w:t>
      </w:r>
      <w:r w:rsidRPr="00FD306D">
        <w:rPr>
          <w:sz w:val="22"/>
          <w:szCs w:val="22"/>
          <w:lang w:val="sk-SK"/>
        </w:rPr>
        <w:t xml:space="preserve"> symptómy, úzkostné stavy, agitovanosť, preto je pri podávaní lieku Petnidan</w:t>
      </w:r>
      <w:r w:rsidRPr="00FD306D">
        <w:rPr>
          <w:sz w:val="22"/>
          <w:szCs w:val="22"/>
          <w:vertAlign w:val="superscript"/>
          <w:lang w:val="sk-SK"/>
        </w:rPr>
        <w:t xml:space="preserve">  </w:t>
      </w:r>
      <w:r w:rsidR="00F80F43" w:rsidRPr="00F80F43">
        <w:rPr>
          <w:sz w:val="22"/>
          <w:szCs w:val="22"/>
          <w:lang w:val="sk-SK"/>
        </w:rPr>
        <w:t xml:space="preserve">v </w:t>
      </w:r>
      <w:r w:rsidRPr="00FD306D">
        <w:rPr>
          <w:sz w:val="22"/>
          <w:szCs w:val="22"/>
          <w:lang w:val="sk-SK"/>
        </w:rPr>
        <w:t>tejto skupin</w:t>
      </w:r>
      <w:r w:rsidR="00F80F43">
        <w:rPr>
          <w:sz w:val="22"/>
          <w:szCs w:val="22"/>
          <w:lang w:val="sk-SK"/>
        </w:rPr>
        <w:t>e pacientov</w:t>
      </w:r>
      <w:r w:rsidRPr="00FD306D">
        <w:rPr>
          <w:sz w:val="22"/>
          <w:szCs w:val="22"/>
          <w:lang w:val="sk-SK"/>
        </w:rPr>
        <w:t xml:space="preserve"> na mieste zvláštna opatrnosť. Je tiež potrebné venovať pozornosť klinickým príznakom poškodenia kostnej drene (horúčky, angíny, hemorágia). K zachyteniu možného poškodenia kostnej drene sú potrebné pravidelné kontroly krvného obrazu (zo začiatku 1</w:t>
      </w:r>
      <w:r w:rsidR="00916F18" w:rsidRPr="00FD306D">
        <w:rPr>
          <w:sz w:val="22"/>
          <w:szCs w:val="22"/>
          <w:lang w:val="sk-SK"/>
        </w:rPr>
        <w:t>krát</w:t>
      </w:r>
      <w:r w:rsidRPr="00FD306D">
        <w:rPr>
          <w:sz w:val="22"/>
          <w:szCs w:val="22"/>
          <w:lang w:val="sk-SK"/>
        </w:rPr>
        <w:t xml:space="preserve"> mesačne, po 12 mesačnej liečbe v polročných intervaloch). Pri poklese počtu leukocytov pod 3500/mm</w:t>
      </w:r>
      <w:r w:rsidRPr="00FD306D">
        <w:rPr>
          <w:sz w:val="22"/>
          <w:szCs w:val="22"/>
          <w:vertAlign w:val="superscript"/>
          <w:lang w:val="sk-SK"/>
        </w:rPr>
        <w:t>3</w:t>
      </w:r>
      <w:r w:rsidRPr="00FD306D">
        <w:rPr>
          <w:sz w:val="22"/>
          <w:szCs w:val="22"/>
          <w:lang w:val="sk-SK"/>
        </w:rPr>
        <w:t>, alebo podielu granulocytov pod 25</w:t>
      </w:r>
      <w:r w:rsidR="00F80F43">
        <w:rPr>
          <w:sz w:val="22"/>
          <w:szCs w:val="22"/>
          <w:lang w:val="sk-SK"/>
        </w:rPr>
        <w:t> </w:t>
      </w:r>
      <w:r w:rsidRPr="00FD306D">
        <w:rPr>
          <w:sz w:val="22"/>
          <w:szCs w:val="22"/>
          <w:lang w:val="sk-SK"/>
        </w:rPr>
        <w:t>%, je potrebné znížiť dávku, alebo liek vysadiť</w:t>
      </w:r>
      <w:r w:rsidR="004821E3">
        <w:rPr>
          <w:sz w:val="22"/>
          <w:szCs w:val="22"/>
          <w:lang w:val="sk-SK"/>
        </w:rPr>
        <w:t xml:space="preserve"> </w:t>
      </w:r>
      <w:r w:rsidR="004821E3" w:rsidRPr="00FD306D">
        <w:rPr>
          <w:sz w:val="22"/>
          <w:szCs w:val="22"/>
          <w:lang w:val="sk-SK"/>
        </w:rPr>
        <w:t>(pozri tiež časť 4.8)</w:t>
      </w:r>
      <w:r w:rsidRPr="00FD306D">
        <w:rPr>
          <w:sz w:val="22"/>
          <w:szCs w:val="22"/>
          <w:lang w:val="sk-SK"/>
        </w:rPr>
        <w:t>.</w:t>
      </w:r>
    </w:p>
    <w:p w14:paraId="2470AA0D" w14:textId="77777777" w:rsidR="004821E3" w:rsidRDefault="004821E3" w:rsidP="00403B3D">
      <w:pPr>
        <w:rPr>
          <w:sz w:val="22"/>
          <w:szCs w:val="22"/>
        </w:rPr>
      </w:pPr>
    </w:p>
    <w:p w14:paraId="113887F9" w14:textId="77777777" w:rsidR="00B873AC" w:rsidRPr="00FD306D" w:rsidRDefault="00B873AC" w:rsidP="00F80F43">
      <w:pPr>
        <w:rPr>
          <w:sz w:val="22"/>
          <w:szCs w:val="22"/>
        </w:rPr>
      </w:pPr>
      <w:r w:rsidRPr="00FD306D">
        <w:rPr>
          <w:sz w:val="22"/>
          <w:szCs w:val="22"/>
        </w:rPr>
        <w:t xml:space="preserve">Pri liečbe antiepileptikami v niekoľkých indikáciách boli u pacientov hlásené suicidálne myšlienky a správanie. Metaanalýza randomizovaných placebom kontrolovaných štúdií antiepileptikami </w:t>
      </w:r>
      <w:r w:rsidRPr="00FD306D">
        <w:rPr>
          <w:sz w:val="22"/>
          <w:szCs w:val="22"/>
        </w:rPr>
        <w:lastRenderedPageBreak/>
        <w:t>ukázala malé zvýšenie rizika suicidálnych myšlienok a správania. Mechanizmus tohto rizika nie je známy a dostupné údaje nevylučujú možnosť zvýšeného rizika u</w:t>
      </w:r>
      <w:r w:rsidR="009E495D" w:rsidRPr="00FD306D">
        <w:rPr>
          <w:sz w:val="22"/>
          <w:szCs w:val="22"/>
        </w:rPr>
        <w:t> </w:t>
      </w:r>
      <w:r w:rsidRPr="00FD306D">
        <w:rPr>
          <w:sz w:val="22"/>
          <w:szCs w:val="22"/>
        </w:rPr>
        <w:t>etosuximidu</w:t>
      </w:r>
      <w:r w:rsidR="009E495D" w:rsidRPr="00FD306D">
        <w:rPr>
          <w:sz w:val="22"/>
          <w:szCs w:val="22"/>
        </w:rPr>
        <w:t>.</w:t>
      </w:r>
    </w:p>
    <w:p w14:paraId="40C5075E" w14:textId="77777777" w:rsidR="00B873AC" w:rsidRPr="00FD306D" w:rsidRDefault="00B873AC" w:rsidP="00B873AC">
      <w:pPr>
        <w:rPr>
          <w:sz w:val="22"/>
          <w:szCs w:val="22"/>
        </w:rPr>
      </w:pPr>
      <w:r w:rsidRPr="00FD306D">
        <w:rPr>
          <w:sz w:val="22"/>
          <w:szCs w:val="22"/>
        </w:rPr>
        <w:t>Pacientov je preto potrebné sledovať na príznaky a symptómy suicidálnych myšlienok a správania a je potrebné zvážiť vhodnú liečbu. Pacientom</w:t>
      </w:r>
      <w:r w:rsidR="00DB0E14" w:rsidRPr="00FD306D">
        <w:rPr>
          <w:sz w:val="22"/>
          <w:szCs w:val="22"/>
        </w:rPr>
        <w:t xml:space="preserve"> </w:t>
      </w:r>
      <w:r w:rsidRPr="00FD306D">
        <w:rPr>
          <w:sz w:val="22"/>
          <w:szCs w:val="22"/>
        </w:rPr>
        <w:t>(a opatrovateľom pacientov)</w:t>
      </w:r>
      <w:r w:rsidR="00DB0E14" w:rsidRPr="00FD306D">
        <w:rPr>
          <w:sz w:val="22"/>
          <w:szCs w:val="22"/>
        </w:rPr>
        <w:t xml:space="preserve"> j</w:t>
      </w:r>
      <w:r w:rsidRPr="00FD306D">
        <w:rPr>
          <w:sz w:val="22"/>
          <w:szCs w:val="22"/>
        </w:rPr>
        <w:t>e potrebné odporučiť,</w:t>
      </w:r>
      <w:r w:rsidR="00916F18" w:rsidRPr="00FD306D">
        <w:rPr>
          <w:sz w:val="22"/>
          <w:szCs w:val="22"/>
        </w:rPr>
        <w:t xml:space="preserve"> </w:t>
      </w:r>
      <w:r w:rsidRPr="00FD306D">
        <w:rPr>
          <w:sz w:val="22"/>
          <w:szCs w:val="22"/>
        </w:rPr>
        <w:t>aby vyhľadali lekársku pomoc,</w:t>
      </w:r>
      <w:r w:rsidR="00916F18" w:rsidRPr="00FD306D">
        <w:rPr>
          <w:sz w:val="22"/>
          <w:szCs w:val="22"/>
        </w:rPr>
        <w:t xml:space="preserve"> </w:t>
      </w:r>
      <w:r w:rsidRPr="00FD306D">
        <w:rPr>
          <w:sz w:val="22"/>
          <w:szCs w:val="22"/>
        </w:rPr>
        <w:t>ak sa objavia príznaky suicidálnych myšlienok alebo správania.</w:t>
      </w:r>
    </w:p>
    <w:p w14:paraId="61B8658E" w14:textId="77777777" w:rsidR="00A759D9" w:rsidRPr="00FD306D" w:rsidRDefault="00A759D9" w:rsidP="00403B3D">
      <w:pPr>
        <w:tabs>
          <w:tab w:val="left" w:pos="567"/>
        </w:tabs>
        <w:spacing w:before="240"/>
        <w:rPr>
          <w:sz w:val="22"/>
          <w:szCs w:val="22"/>
        </w:rPr>
      </w:pPr>
      <w:r w:rsidRPr="00FD306D">
        <w:rPr>
          <w:b/>
          <w:sz w:val="22"/>
          <w:szCs w:val="22"/>
        </w:rPr>
        <w:t xml:space="preserve">4.5 </w:t>
      </w:r>
      <w:r w:rsidR="00F80F43">
        <w:rPr>
          <w:b/>
          <w:sz w:val="22"/>
          <w:szCs w:val="22"/>
        </w:rPr>
        <w:tab/>
      </w:r>
      <w:r w:rsidRPr="00FD306D">
        <w:rPr>
          <w:b/>
          <w:sz w:val="22"/>
          <w:szCs w:val="22"/>
        </w:rPr>
        <w:t>Liekové a iné interakcie</w:t>
      </w:r>
    </w:p>
    <w:p w14:paraId="7A1CF291" w14:textId="77777777" w:rsidR="0060744D" w:rsidRDefault="0060744D" w:rsidP="00403B3D">
      <w:pPr>
        <w:tabs>
          <w:tab w:val="left" w:pos="567"/>
        </w:tabs>
        <w:rPr>
          <w:sz w:val="22"/>
          <w:szCs w:val="22"/>
        </w:rPr>
      </w:pPr>
    </w:p>
    <w:p w14:paraId="439299CA" w14:textId="77777777" w:rsidR="00A759D9" w:rsidRPr="00FD306D" w:rsidRDefault="00A759D9" w:rsidP="00403B3D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 xml:space="preserve">Treba sa zvlášť vyvarovať súčasného podávania etosuximidu a liekov pôsobiacich na centrálny nervový systém, alkoholu alebo iných látok vyvolávajúcich kŕče. </w:t>
      </w:r>
    </w:p>
    <w:p w14:paraId="6A22B09F" w14:textId="77777777" w:rsidR="00A759D9" w:rsidRPr="00FD306D" w:rsidRDefault="00A759D9" w:rsidP="00403B3D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>Etosuximid spravidla neovplyvňuje plazmatickú koncentráciu iných antiepileptík, ako primidón, phenobarbital a fenytoín, pretože etosuximid nie je induktorom enzýmov. Ojedinele ale bol pozorovaný vzostup plazmatickej koncentrácie fenytoínu pri súčasnom podávaní etosuximidu.</w:t>
      </w:r>
    </w:p>
    <w:p w14:paraId="4FDEC696" w14:textId="77777777" w:rsidR="00A759D9" w:rsidRPr="00FD306D" w:rsidRDefault="00A759D9" w:rsidP="00403B3D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>Pri súčasnom podávaní karbamazepínu sa zvyšuje plazmatická klírens etosuximidu.</w:t>
      </w:r>
    </w:p>
    <w:p w14:paraId="307547E1" w14:textId="77777777" w:rsidR="00A759D9" w:rsidRPr="00FD306D" w:rsidRDefault="00A759D9" w:rsidP="00403B3D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>Valproová kyselina môže u značnej časti pacientov zvýšiť plazmatickú hladinu etosuximidu.</w:t>
      </w:r>
    </w:p>
    <w:p w14:paraId="1E533EFC" w14:textId="77777777" w:rsidR="00A759D9" w:rsidRPr="00FD306D" w:rsidRDefault="00A759D9" w:rsidP="00403B3D">
      <w:pPr>
        <w:tabs>
          <w:tab w:val="left" w:pos="567"/>
        </w:tabs>
        <w:spacing w:before="240"/>
        <w:rPr>
          <w:sz w:val="22"/>
          <w:szCs w:val="22"/>
        </w:rPr>
      </w:pPr>
      <w:r w:rsidRPr="00FD306D">
        <w:rPr>
          <w:b/>
          <w:sz w:val="22"/>
          <w:szCs w:val="22"/>
        </w:rPr>
        <w:t xml:space="preserve">4.6 </w:t>
      </w:r>
      <w:r w:rsidR="00F80F43">
        <w:rPr>
          <w:b/>
          <w:sz w:val="22"/>
          <w:szCs w:val="22"/>
        </w:rPr>
        <w:tab/>
      </w:r>
      <w:r w:rsidR="00044A0B" w:rsidRPr="000D27F8">
        <w:rPr>
          <w:b/>
          <w:sz w:val="22"/>
          <w:szCs w:val="22"/>
        </w:rPr>
        <w:t xml:space="preserve">Fertilita, </w:t>
      </w:r>
      <w:r w:rsidRPr="00FD306D">
        <w:rPr>
          <w:b/>
          <w:sz w:val="22"/>
          <w:szCs w:val="22"/>
        </w:rPr>
        <w:t>gravidit</w:t>
      </w:r>
      <w:r w:rsidR="00044A0B">
        <w:rPr>
          <w:b/>
          <w:sz w:val="22"/>
          <w:szCs w:val="22"/>
        </w:rPr>
        <w:t>a</w:t>
      </w:r>
      <w:r w:rsidRPr="00FD306D">
        <w:rPr>
          <w:b/>
          <w:sz w:val="22"/>
          <w:szCs w:val="22"/>
        </w:rPr>
        <w:t xml:space="preserve"> a laktáci</w:t>
      </w:r>
      <w:r w:rsidR="00044A0B">
        <w:rPr>
          <w:b/>
          <w:sz w:val="22"/>
          <w:szCs w:val="22"/>
        </w:rPr>
        <w:t>a</w:t>
      </w:r>
    </w:p>
    <w:p w14:paraId="7AA3FE85" w14:textId="77777777" w:rsidR="00044A0B" w:rsidRDefault="00044A0B" w:rsidP="00403B3D">
      <w:pPr>
        <w:tabs>
          <w:tab w:val="left" w:pos="567"/>
        </w:tabs>
        <w:rPr>
          <w:sz w:val="22"/>
          <w:szCs w:val="22"/>
        </w:rPr>
      </w:pPr>
    </w:p>
    <w:p w14:paraId="00681E45" w14:textId="77777777" w:rsidR="00A759D9" w:rsidRPr="00FD306D" w:rsidRDefault="00A759D9" w:rsidP="00403B3D">
      <w:pPr>
        <w:tabs>
          <w:tab w:val="left" w:pos="567"/>
        </w:tabs>
        <w:rPr>
          <w:sz w:val="22"/>
          <w:szCs w:val="22"/>
          <w:highlight w:val="yellow"/>
        </w:rPr>
      </w:pPr>
      <w:r w:rsidRPr="00FD306D">
        <w:rPr>
          <w:sz w:val="22"/>
          <w:szCs w:val="22"/>
        </w:rPr>
        <w:t xml:space="preserve">Pred uvažovanou koncepciou je vždy odporúčané u všetkých epileptičiek genetické poradenstvo. </w:t>
      </w:r>
      <w:r w:rsidRPr="00FD306D">
        <w:rPr>
          <w:sz w:val="22"/>
          <w:szCs w:val="22"/>
          <w:lang w:eastAsia="sk-SK"/>
        </w:rPr>
        <w:t xml:space="preserve">Počas gravidity, najmä v prvých troch mesiacoch, každé užívanie liekov predstavuje potenciálne nebezpečenstvo. Odmietnutie potrebnej antiepileptickej terapie môže však znamenať väčšie zdravotné riziko pre matku a plod. Počas gravidity treba starostlivo zvážiť liečebný efekt oproti možnému riziku. </w:t>
      </w:r>
      <w:r w:rsidRPr="00FD306D">
        <w:rPr>
          <w:sz w:val="22"/>
          <w:szCs w:val="22"/>
        </w:rPr>
        <w:t>Tehotným epileptičkám by zásadne nemala byť odopieraná optimálna liečba liekom Petnidan</w:t>
      </w:r>
      <w:r w:rsidR="00B873AC" w:rsidRPr="00FD306D">
        <w:rPr>
          <w:sz w:val="22"/>
          <w:szCs w:val="22"/>
          <w:vertAlign w:val="superscript"/>
        </w:rPr>
        <w:t xml:space="preserve"> </w:t>
      </w:r>
      <w:r w:rsidRPr="00FD306D">
        <w:rPr>
          <w:sz w:val="22"/>
          <w:szCs w:val="22"/>
          <w:vertAlign w:val="superscript"/>
        </w:rPr>
        <w:t xml:space="preserve"> </w:t>
      </w:r>
      <w:r w:rsidRPr="00FD306D">
        <w:rPr>
          <w:sz w:val="22"/>
          <w:szCs w:val="22"/>
        </w:rPr>
        <w:t>ktorá záchvaty plne kontroluje.</w:t>
      </w:r>
      <w:r w:rsidRPr="00FD306D" w:rsidDel="00C36BF9">
        <w:rPr>
          <w:sz w:val="22"/>
          <w:szCs w:val="22"/>
        </w:rPr>
        <w:t xml:space="preserve"> </w:t>
      </w:r>
    </w:p>
    <w:p w14:paraId="355DEA8D" w14:textId="77777777" w:rsidR="0013586D" w:rsidRDefault="0013586D" w:rsidP="00403B3D">
      <w:pPr>
        <w:tabs>
          <w:tab w:val="left" w:pos="567"/>
        </w:tabs>
        <w:rPr>
          <w:sz w:val="22"/>
          <w:szCs w:val="22"/>
        </w:rPr>
      </w:pPr>
    </w:p>
    <w:p w14:paraId="6EFBE083" w14:textId="77777777" w:rsidR="00A759D9" w:rsidRPr="00FD306D" w:rsidRDefault="00A759D9" w:rsidP="00403B3D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>Doteraz neboli opísané špecifické embryop</w:t>
      </w:r>
      <w:r w:rsidR="00916F18" w:rsidRPr="00FD306D">
        <w:rPr>
          <w:sz w:val="22"/>
          <w:szCs w:val="22"/>
        </w:rPr>
        <w:t>a</w:t>
      </w:r>
      <w:r w:rsidRPr="00FD306D">
        <w:rPr>
          <w:sz w:val="22"/>
          <w:szCs w:val="22"/>
        </w:rPr>
        <w:t>t</w:t>
      </w:r>
      <w:r w:rsidR="00916F18" w:rsidRPr="00FD306D">
        <w:rPr>
          <w:sz w:val="22"/>
          <w:szCs w:val="22"/>
        </w:rPr>
        <w:t>h</w:t>
      </w:r>
      <w:r w:rsidRPr="00FD306D">
        <w:rPr>
          <w:sz w:val="22"/>
          <w:szCs w:val="22"/>
        </w:rPr>
        <w:t>ie u detí matiek pri monoterapii etosuximidom. Napriek tomu je na mieste, zvlášť medzi 20 – 40 dňom tehotenstva, udržiavať pokiaľ možno čo najnižšie dávky etosuximidu, rovnako tak v priebehu dojčenia, pretože etosuximid prechádza placentou aj do materského mlieka. Ženy ktoré plánujú otehotnieť, rovnako ako ženy, u ktorých nie je tehotenstvo vylúčené, alebo pacientky na začiatku tehotenstva, by sa mali vždy čo najskôr poradiť so svojim ošetrujúcim lekárom. Pri podávaní etosuximidu v tehotenstve je vhodné profylaktické podávanie perorálneho vitamínu K1 v poslednom mesiaci.</w:t>
      </w:r>
    </w:p>
    <w:p w14:paraId="4FE10025" w14:textId="77777777" w:rsidR="005357CE" w:rsidRPr="00FD306D" w:rsidRDefault="005357CE" w:rsidP="00403B3D">
      <w:pPr>
        <w:tabs>
          <w:tab w:val="left" w:pos="567"/>
        </w:tabs>
        <w:rPr>
          <w:sz w:val="22"/>
          <w:szCs w:val="22"/>
        </w:rPr>
      </w:pPr>
    </w:p>
    <w:p w14:paraId="05CF5D58" w14:textId="77777777" w:rsidR="00A759D9" w:rsidRPr="00FD306D" w:rsidRDefault="00A759D9" w:rsidP="00403B3D">
      <w:pPr>
        <w:tabs>
          <w:tab w:val="left" w:pos="567"/>
        </w:tabs>
        <w:rPr>
          <w:b/>
          <w:sz w:val="22"/>
          <w:szCs w:val="22"/>
        </w:rPr>
      </w:pPr>
      <w:r w:rsidRPr="00FD306D">
        <w:rPr>
          <w:b/>
          <w:sz w:val="22"/>
          <w:szCs w:val="22"/>
        </w:rPr>
        <w:t xml:space="preserve">4.7 </w:t>
      </w:r>
      <w:r w:rsidR="00F80F43">
        <w:rPr>
          <w:b/>
          <w:sz w:val="22"/>
          <w:szCs w:val="22"/>
        </w:rPr>
        <w:tab/>
      </w:r>
      <w:r w:rsidRPr="00FD306D">
        <w:rPr>
          <w:b/>
          <w:sz w:val="22"/>
          <w:szCs w:val="22"/>
        </w:rPr>
        <w:t>Ovplyvnenie schopnosti viesť vozidlá a obsluhovať stroje</w:t>
      </w:r>
    </w:p>
    <w:p w14:paraId="7F3C9A88" w14:textId="77777777" w:rsidR="0013586D" w:rsidRDefault="0013586D" w:rsidP="00403B3D">
      <w:pPr>
        <w:tabs>
          <w:tab w:val="left" w:pos="567"/>
        </w:tabs>
        <w:rPr>
          <w:sz w:val="22"/>
          <w:szCs w:val="22"/>
        </w:rPr>
      </w:pPr>
    </w:p>
    <w:p w14:paraId="530161FE" w14:textId="77777777" w:rsidR="00A759D9" w:rsidRPr="00FD306D" w:rsidRDefault="00A759D9" w:rsidP="00403B3D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>Na začiatku liečby, pri podávaní vyšších dávok a pri kombinácii s liekmi ovplyvňujúcimi centrálnu nervovú sústavu môžu byť reakčné schopnosti ovplyvnené natoľko, že sa zhoršujú schopnosti vedenia motorových vozidiel alebo obsluhy strojov. To platí tiež pri užívaní lieku Petnidan</w:t>
      </w:r>
      <w:r w:rsidRPr="00FD306D">
        <w:rPr>
          <w:sz w:val="22"/>
          <w:szCs w:val="22"/>
          <w:vertAlign w:val="superscript"/>
        </w:rPr>
        <w:t xml:space="preserve"> </w:t>
      </w:r>
      <w:r w:rsidRPr="00FD306D">
        <w:rPr>
          <w:sz w:val="22"/>
          <w:szCs w:val="22"/>
        </w:rPr>
        <w:t>pri súčasnom požívaní alkoholu.</w:t>
      </w:r>
    </w:p>
    <w:p w14:paraId="77194096" w14:textId="77777777" w:rsidR="00A759D9" w:rsidRPr="00FD306D" w:rsidRDefault="00A759D9" w:rsidP="00403B3D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 xml:space="preserve">Preto je na mieste obmedziť riadenie vozidiel, prácu pri obsluhe strojov alebo inú rizikovú činnosť u pacientov, užívajúcich liek Petnidan, prinajmenšom v začiatočnej fáze liečby. Konečné rozhodnutie prináleží ošetrujúcemu lekárovi s prihliadnutím </w:t>
      </w:r>
      <w:r w:rsidR="00320CFD" w:rsidRPr="00FD306D">
        <w:rPr>
          <w:sz w:val="22"/>
          <w:szCs w:val="22"/>
        </w:rPr>
        <w:t>na</w:t>
      </w:r>
      <w:r w:rsidRPr="00FD306D">
        <w:rPr>
          <w:sz w:val="22"/>
          <w:szCs w:val="22"/>
        </w:rPr>
        <w:t xml:space="preserve"> </w:t>
      </w:r>
      <w:r w:rsidR="00320CFD" w:rsidRPr="00FD306D">
        <w:rPr>
          <w:sz w:val="22"/>
          <w:szCs w:val="22"/>
        </w:rPr>
        <w:t xml:space="preserve">individuálne reakčné </w:t>
      </w:r>
      <w:r w:rsidRPr="00FD306D">
        <w:rPr>
          <w:sz w:val="22"/>
          <w:szCs w:val="22"/>
        </w:rPr>
        <w:t>schopnosti a aktuáln</w:t>
      </w:r>
      <w:r w:rsidR="00320CFD" w:rsidRPr="00FD306D">
        <w:rPr>
          <w:sz w:val="22"/>
          <w:szCs w:val="22"/>
        </w:rPr>
        <w:t>u</w:t>
      </w:r>
      <w:r w:rsidRPr="00FD306D">
        <w:rPr>
          <w:sz w:val="22"/>
          <w:szCs w:val="22"/>
        </w:rPr>
        <w:t xml:space="preserve"> dávk</w:t>
      </w:r>
      <w:r w:rsidR="00320CFD" w:rsidRPr="00FD306D">
        <w:rPr>
          <w:sz w:val="22"/>
          <w:szCs w:val="22"/>
        </w:rPr>
        <w:t>u</w:t>
      </w:r>
      <w:r w:rsidRPr="00FD306D">
        <w:rPr>
          <w:sz w:val="22"/>
          <w:szCs w:val="22"/>
        </w:rPr>
        <w:t xml:space="preserve"> lieku.</w:t>
      </w:r>
    </w:p>
    <w:p w14:paraId="1ECFA93D" w14:textId="77777777" w:rsidR="00A759D9" w:rsidRPr="00FD306D" w:rsidRDefault="00A759D9" w:rsidP="00403B3D">
      <w:pPr>
        <w:tabs>
          <w:tab w:val="left" w:pos="567"/>
        </w:tabs>
        <w:spacing w:before="240"/>
        <w:rPr>
          <w:b/>
          <w:sz w:val="22"/>
          <w:szCs w:val="22"/>
        </w:rPr>
      </w:pPr>
      <w:r w:rsidRPr="00FD306D">
        <w:rPr>
          <w:b/>
          <w:sz w:val="22"/>
          <w:szCs w:val="22"/>
        </w:rPr>
        <w:t xml:space="preserve">4.8 </w:t>
      </w:r>
      <w:r w:rsidR="00F80F43">
        <w:rPr>
          <w:b/>
          <w:sz w:val="22"/>
          <w:szCs w:val="22"/>
        </w:rPr>
        <w:tab/>
      </w:r>
      <w:r w:rsidRPr="00FD306D">
        <w:rPr>
          <w:b/>
          <w:sz w:val="22"/>
          <w:szCs w:val="22"/>
        </w:rPr>
        <w:t>Nežiaduce účinky</w:t>
      </w:r>
    </w:p>
    <w:p w14:paraId="1F9C4E9F" w14:textId="77777777" w:rsidR="00651CF2" w:rsidRDefault="00651CF2" w:rsidP="00403B3D">
      <w:pPr>
        <w:pStyle w:val="Zkladntext"/>
        <w:tabs>
          <w:tab w:val="left" w:pos="567"/>
        </w:tabs>
        <w:jc w:val="left"/>
        <w:rPr>
          <w:sz w:val="22"/>
          <w:szCs w:val="22"/>
          <w:lang w:val="sk-SK"/>
        </w:rPr>
      </w:pPr>
    </w:p>
    <w:p w14:paraId="4A80EBD9" w14:textId="77777777" w:rsidR="00506078" w:rsidRDefault="004F0873" w:rsidP="00403B3D">
      <w:pPr>
        <w:pStyle w:val="Zkladntext"/>
        <w:tabs>
          <w:tab w:val="left" w:pos="567"/>
        </w:tabs>
        <w:jc w:val="left"/>
        <w:rPr>
          <w:sz w:val="22"/>
          <w:szCs w:val="22"/>
          <w:lang w:val="sk-SK"/>
        </w:rPr>
      </w:pPr>
      <w:r w:rsidRPr="00FD306D">
        <w:rPr>
          <w:sz w:val="22"/>
          <w:szCs w:val="22"/>
          <w:lang w:val="sk-SK"/>
        </w:rPr>
        <w:t>Aj</w:t>
      </w:r>
      <w:r w:rsidR="00A759D9" w:rsidRPr="00FD306D">
        <w:rPr>
          <w:sz w:val="22"/>
          <w:szCs w:val="22"/>
          <w:lang w:val="sk-SK"/>
        </w:rPr>
        <w:t xml:space="preserve"> pri terapeutickom rozpätí dávok sú nežiaduce účinky pomerne časté a vyskytujú sa asi u 1/6 pacientov. Ide väčšinou o nevoľnosť, vracanie, čkanie a bolesti brucha</w:t>
      </w:r>
      <w:r w:rsidR="00506078">
        <w:rPr>
          <w:sz w:val="22"/>
          <w:szCs w:val="22"/>
          <w:lang w:val="sk-SK"/>
        </w:rPr>
        <w:t>.</w:t>
      </w:r>
    </w:p>
    <w:p w14:paraId="4EE4C59D" w14:textId="77777777" w:rsidR="00506078" w:rsidRDefault="00506078" w:rsidP="00403B3D">
      <w:pPr>
        <w:pStyle w:val="Zkladntext"/>
        <w:tabs>
          <w:tab w:val="left" w:pos="567"/>
        </w:tabs>
        <w:jc w:val="left"/>
        <w:rPr>
          <w:sz w:val="22"/>
          <w:szCs w:val="22"/>
          <w:lang w:val="sk-SK"/>
        </w:rPr>
      </w:pPr>
    </w:p>
    <w:p w14:paraId="397DF373" w14:textId="77777777" w:rsidR="00FF4691" w:rsidRPr="00FF4691" w:rsidRDefault="00FF4691" w:rsidP="004D6E7B">
      <w:pPr>
        <w:keepNext/>
        <w:tabs>
          <w:tab w:val="left" w:pos="720"/>
          <w:tab w:val="left" w:pos="1134"/>
        </w:tabs>
        <w:rPr>
          <w:rStyle w:val="st"/>
          <w:sz w:val="22"/>
          <w:szCs w:val="22"/>
        </w:rPr>
      </w:pPr>
      <w:r w:rsidRPr="00FF4691">
        <w:rPr>
          <w:rStyle w:val="st"/>
          <w:sz w:val="22"/>
          <w:szCs w:val="22"/>
        </w:rPr>
        <w:t xml:space="preserve">Kategórie </w:t>
      </w:r>
      <w:r w:rsidRPr="00FF4691">
        <w:rPr>
          <w:rStyle w:val="Zvraznenie"/>
          <w:i w:val="0"/>
          <w:iCs w:val="0"/>
          <w:sz w:val="22"/>
          <w:szCs w:val="22"/>
        </w:rPr>
        <w:t>frekvencie výskytu</w:t>
      </w:r>
      <w:r w:rsidRPr="00FF4691">
        <w:rPr>
          <w:rStyle w:val="st"/>
          <w:sz w:val="22"/>
          <w:szCs w:val="22"/>
        </w:rPr>
        <w:t xml:space="preserve"> </w:t>
      </w:r>
      <w:r w:rsidR="00EF60D5">
        <w:rPr>
          <w:rStyle w:val="st"/>
          <w:sz w:val="22"/>
          <w:szCs w:val="22"/>
        </w:rPr>
        <w:t xml:space="preserve">nežiaducich účinkov </w:t>
      </w:r>
      <w:r w:rsidRPr="00FF4691">
        <w:rPr>
          <w:rStyle w:val="st"/>
          <w:sz w:val="22"/>
          <w:szCs w:val="22"/>
        </w:rPr>
        <w:t xml:space="preserve">sú definované </w:t>
      </w:r>
      <w:r w:rsidRPr="00FF4691">
        <w:rPr>
          <w:rStyle w:val="Zvraznenie"/>
          <w:i w:val="0"/>
          <w:iCs w:val="0"/>
          <w:sz w:val="22"/>
          <w:szCs w:val="22"/>
        </w:rPr>
        <w:t>podľa nasled</w:t>
      </w:r>
      <w:r w:rsidR="00F80F43">
        <w:rPr>
          <w:rStyle w:val="Zvraznenie"/>
          <w:i w:val="0"/>
          <w:iCs w:val="0"/>
          <w:sz w:val="22"/>
          <w:szCs w:val="22"/>
        </w:rPr>
        <w:t xml:space="preserve">ovnej </w:t>
      </w:r>
      <w:r w:rsidR="00195568">
        <w:rPr>
          <w:rStyle w:val="Zvraznenie"/>
          <w:i w:val="0"/>
          <w:iCs w:val="0"/>
          <w:sz w:val="22"/>
          <w:szCs w:val="22"/>
        </w:rPr>
        <w:t xml:space="preserve"> </w:t>
      </w:r>
      <w:r w:rsidR="00EF60D5">
        <w:rPr>
          <w:rStyle w:val="st"/>
          <w:sz w:val="22"/>
          <w:szCs w:val="22"/>
        </w:rPr>
        <w:t>konvenci</w:t>
      </w:r>
      <w:r w:rsidR="00195568">
        <w:rPr>
          <w:rStyle w:val="st"/>
          <w:sz w:val="22"/>
          <w:szCs w:val="22"/>
        </w:rPr>
        <w:t>e</w:t>
      </w:r>
      <w:r w:rsidRPr="00FF4691">
        <w:rPr>
          <w:rStyle w:val="st"/>
          <w:sz w:val="22"/>
          <w:szCs w:val="22"/>
        </w:rPr>
        <w:t>:</w:t>
      </w:r>
    </w:p>
    <w:p w14:paraId="2FF14D55" w14:textId="77777777" w:rsidR="00FF4691" w:rsidRPr="00FF4691" w:rsidRDefault="00FF4691" w:rsidP="004D6E7B">
      <w:pPr>
        <w:keepNext/>
        <w:tabs>
          <w:tab w:val="left" w:pos="720"/>
          <w:tab w:val="left" w:pos="1134"/>
        </w:tabs>
        <w:ind w:left="708"/>
        <w:rPr>
          <w:sz w:val="22"/>
          <w:szCs w:val="22"/>
        </w:rPr>
      </w:pPr>
      <w:r w:rsidRPr="00FF4691">
        <w:rPr>
          <w:sz w:val="22"/>
          <w:szCs w:val="22"/>
        </w:rPr>
        <w:t xml:space="preserve">veľmi časté </w:t>
      </w:r>
      <w:r w:rsidRPr="00FF4691">
        <w:rPr>
          <w:sz w:val="22"/>
          <w:szCs w:val="22"/>
        </w:rPr>
        <w:tab/>
      </w:r>
      <w:r w:rsidRPr="00FF4691">
        <w:rPr>
          <w:sz w:val="22"/>
          <w:szCs w:val="22"/>
        </w:rPr>
        <w:tab/>
        <w:t>(</w:t>
      </w:r>
      <w:r w:rsidRPr="00FF4691">
        <w:rPr>
          <w:sz w:val="22"/>
          <w:szCs w:val="22"/>
        </w:rPr>
        <w:sym w:font="Symbol" w:char="F03E"/>
      </w:r>
      <w:r w:rsidRPr="00FF4691">
        <w:rPr>
          <w:sz w:val="22"/>
          <w:szCs w:val="22"/>
        </w:rPr>
        <w:t>1/10)</w:t>
      </w:r>
    </w:p>
    <w:p w14:paraId="57308574" w14:textId="77777777" w:rsidR="00FF4691" w:rsidRPr="00FF4691" w:rsidRDefault="00FF4691" w:rsidP="004D6E7B">
      <w:pPr>
        <w:keepNext/>
        <w:tabs>
          <w:tab w:val="left" w:pos="720"/>
          <w:tab w:val="left" w:pos="1134"/>
        </w:tabs>
        <w:ind w:left="708"/>
        <w:rPr>
          <w:sz w:val="22"/>
          <w:szCs w:val="22"/>
        </w:rPr>
      </w:pPr>
      <w:r w:rsidRPr="00FF4691">
        <w:rPr>
          <w:sz w:val="22"/>
          <w:szCs w:val="22"/>
        </w:rPr>
        <w:t xml:space="preserve">časté </w:t>
      </w:r>
      <w:r w:rsidRPr="00FF4691">
        <w:rPr>
          <w:sz w:val="22"/>
          <w:szCs w:val="22"/>
        </w:rPr>
        <w:tab/>
      </w:r>
      <w:r w:rsidRPr="00FF4691">
        <w:rPr>
          <w:sz w:val="22"/>
          <w:szCs w:val="22"/>
        </w:rPr>
        <w:tab/>
      </w:r>
      <w:r w:rsidRPr="00FF4691">
        <w:rPr>
          <w:sz w:val="22"/>
          <w:szCs w:val="22"/>
        </w:rPr>
        <w:tab/>
        <w:t>(</w:t>
      </w:r>
      <w:r w:rsidRPr="00FF4691">
        <w:rPr>
          <w:sz w:val="22"/>
          <w:szCs w:val="22"/>
        </w:rPr>
        <w:sym w:font="Symbol" w:char="F03E"/>
      </w:r>
      <w:r w:rsidRPr="00FF4691">
        <w:rPr>
          <w:sz w:val="22"/>
          <w:szCs w:val="22"/>
        </w:rPr>
        <w:t xml:space="preserve">1/100 až </w:t>
      </w:r>
      <w:r w:rsidRPr="00FF4691">
        <w:rPr>
          <w:sz w:val="22"/>
          <w:szCs w:val="22"/>
        </w:rPr>
        <w:sym w:font="Symbol" w:char="F03C"/>
      </w:r>
      <w:r w:rsidRPr="00FF4691">
        <w:rPr>
          <w:sz w:val="22"/>
          <w:szCs w:val="22"/>
        </w:rPr>
        <w:t>1/10)</w:t>
      </w:r>
    </w:p>
    <w:p w14:paraId="7B7C893B" w14:textId="77777777" w:rsidR="00FF4691" w:rsidRPr="00FF4691" w:rsidRDefault="00FF4691" w:rsidP="004D6E7B">
      <w:pPr>
        <w:keepNext/>
        <w:tabs>
          <w:tab w:val="left" w:pos="720"/>
          <w:tab w:val="left" w:pos="1134"/>
        </w:tabs>
        <w:ind w:left="708"/>
        <w:rPr>
          <w:sz w:val="22"/>
          <w:szCs w:val="22"/>
        </w:rPr>
      </w:pPr>
      <w:r w:rsidRPr="00FF4691">
        <w:rPr>
          <w:sz w:val="22"/>
          <w:szCs w:val="22"/>
        </w:rPr>
        <w:t xml:space="preserve">menej časté </w:t>
      </w:r>
      <w:r w:rsidRPr="00FF4691">
        <w:rPr>
          <w:sz w:val="22"/>
          <w:szCs w:val="22"/>
        </w:rPr>
        <w:tab/>
      </w:r>
      <w:r w:rsidRPr="00FF4691">
        <w:rPr>
          <w:sz w:val="22"/>
          <w:szCs w:val="22"/>
        </w:rPr>
        <w:tab/>
        <w:t>(</w:t>
      </w:r>
      <w:r w:rsidRPr="00FF4691">
        <w:rPr>
          <w:sz w:val="22"/>
          <w:szCs w:val="22"/>
        </w:rPr>
        <w:sym w:font="Symbol" w:char="F03E"/>
      </w:r>
      <w:r w:rsidRPr="00FF4691">
        <w:rPr>
          <w:sz w:val="22"/>
          <w:szCs w:val="22"/>
        </w:rPr>
        <w:t xml:space="preserve">1/1 000 až </w:t>
      </w:r>
      <w:r w:rsidRPr="00FF4691">
        <w:rPr>
          <w:sz w:val="22"/>
          <w:szCs w:val="22"/>
        </w:rPr>
        <w:sym w:font="Symbol" w:char="F03C"/>
      </w:r>
      <w:r w:rsidRPr="00FF4691">
        <w:rPr>
          <w:sz w:val="22"/>
          <w:szCs w:val="22"/>
        </w:rPr>
        <w:t>1/100)</w:t>
      </w:r>
    </w:p>
    <w:p w14:paraId="73A99152" w14:textId="77777777" w:rsidR="00FF4691" w:rsidRPr="00FF4691" w:rsidRDefault="00FF4691" w:rsidP="004D6E7B">
      <w:pPr>
        <w:keepNext/>
        <w:tabs>
          <w:tab w:val="left" w:pos="720"/>
          <w:tab w:val="left" w:pos="1134"/>
        </w:tabs>
        <w:ind w:left="708"/>
        <w:rPr>
          <w:sz w:val="22"/>
          <w:szCs w:val="22"/>
        </w:rPr>
      </w:pPr>
      <w:r w:rsidRPr="00FF4691">
        <w:rPr>
          <w:sz w:val="22"/>
          <w:szCs w:val="22"/>
        </w:rPr>
        <w:t xml:space="preserve">zriedkavé </w:t>
      </w:r>
      <w:r w:rsidRPr="00FF4691">
        <w:rPr>
          <w:sz w:val="22"/>
          <w:szCs w:val="22"/>
        </w:rPr>
        <w:tab/>
      </w:r>
      <w:r w:rsidRPr="00FF4691">
        <w:rPr>
          <w:sz w:val="22"/>
          <w:szCs w:val="22"/>
        </w:rPr>
        <w:tab/>
        <w:t>(</w:t>
      </w:r>
      <w:r w:rsidRPr="00FF4691">
        <w:rPr>
          <w:sz w:val="22"/>
          <w:szCs w:val="22"/>
        </w:rPr>
        <w:sym w:font="Symbol" w:char="F03E"/>
      </w:r>
      <w:r w:rsidRPr="00FF4691">
        <w:rPr>
          <w:sz w:val="22"/>
          <w:szCs w:val="22"/>
        </w:rPr>
        <w:t xml:space="preserve">1/10 000 až </w:t>
      </w:r>
      <w:r w:rsidRPr="00FF4691">
        <w:rPr>
          <w:sz w:val="22"/>
          <w:szCs w:val="22"/>
        </w:rPr>
        <w:sym w:font="Symbol" w:char="F03C"/>
      </w:r>
      <w:r w:rsidRPr="00FF4691">
        <w:rPr>
          <w:sz w:val="22"/>
          <w:szCs w:val="22"/>
        </w:rPr>
        <w:t>1/1 000)</w:t>
      </w:r>
    </w:p>
    <w:p w14:paraId="4B38DE6A" w14:textId="77777777" w:rsidR="00FF4691" w:rsidRPr="00FF4691" w:rsidRDefault="00FF4691" w:rsidP="004D6E7B">
      <w:pPr>
        <w:keepNext/>
        <w:tabs>
          <w:tab w:val="left" w:pos="720"/>
          <w:tab w:val="left" w:pos="1134"/>
        </w:tabs>
        <w:ind w:left="708"/>
        <w:rPr>
          <w:sz w:val="22"/>
          <w:szCs w:val="22"/>
        </w:rPr>
      </w:pPr>
      <w:r w:rsidRPr="00FF4691">
        <w:rPr>
          <w:sz w:val="22"/>
          <w:szCs w:val="22"/>
        </w:rPr>
        <w:t xml:space="preserve">veľmi zriedkavé </w:t>
      </w:r>
      <w:r w:rsidRPr="00FF4691">
        <w:rPr>
          <w:sz w:val="22"/>
          <w:szCs w:val="22"/>
        </w:rPr>
        <w:tab/>
        <w:t>(</w:t>
      </w:r>
      <w:r w:rsidRPr="00FF4691">
        <w:rPr>
          <w:sz w:val="22"/>
          <w:szCs w:val="22"/>
        </w:rPr>
        <w:sym w:font="Symbol" w:char="F03C"/>
      </w:r>
      <w:r w:rsidRPr="00FF4691">
        <w:rPr>
          <w:sz w:val="22"/>
          <w:szCs w:val="22"/>
        </w:rPr>
        <w:t>1/10 000)</w:t>
      </w:r>
    </w:p>
    <w:p w14:paraId="5FB96A70" w14:textId="77777777" w:rsidR="00FF4691" w:rsidRPr="00FF4691" w:rsidRDefault="00FF4691" w:rsidP="004D6E7B">
      <w:pPr>
        <w:keepNext/>
        <w:tabs>
          <w:tab w:val="left" w:pos="720"/>
          <w:tab w:val="left" w:pos="1134"/>
        </w:tabs>
        <w:ind w:left="708"/>
        <w:rPr>
          <w:sz w:val="22"/>
          <w:szCs w:val="22"/>
        </w:rPr>
      </w:pPr>
      <w:r w:rsidRPr="00FF4691">
        <w:rPr>
          <w:sz w:val="22"/>
          <w:szCs w:val="22"/>
        </w:rPr>
        <w:t xml:space="preserve">neznáme </w:t>
      </w:r>
      <w:r w:rsidRPr="00FF4691">
        <w:rPr>
          <w:sz w:val="22"/>
          <w:szCs w:val="22"/>
        </w:rPr>
        <w:tab/>
      </w:r>
      <w:r w:rsidRPr="00FF4691">
        <w:rPr>
          <w:sz w:val="22"/>
          <w:szCs w:val="22"/>
        </w:rPr>
        <w:tab/>
        <w:t>(z dostupných údajov)</w:t>
      </w:r>
    </w:p>
    <w:p w14:paraId="67353409" w14:textId="77777777" w:rsidR="00FF4691" w:rsidRDefault="00FF4691" w:rsidP="00403B3D">
      <w:pPr>
        <w:pStyle w:val="Zkladntext"/>
        <w:tabs>
          <w:tab w:val="left" w:pos="567"/>
        </w:tabs>
        <w:jc w:val="left"/>
        <w:rPr>
          <w:sz w:val="22"/>
          <w:szCs w:val="22"/>
          <w:lang w:val="sk-SK"/>
        </w:rPr>
      </w:pPr>
    </w:p>
    <w:p w14:paraId="7F1A25F1" w14:textId="77777777" w:rsidR="00E35CBB" w:rsidRPr="00C67398" w:rsidRDefault="00E35CBB" w:rsidP="00E35CB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7"/>
        <w:gridCol w:w="7094"/>
      </w:tblGrid>
      <w:tr w:rsidR="00E35CBB" w:rsidRPr="00C67398" w14:paraId="78BA4435" w14:textId="77777777">
        <w:tc>
          <w:tcPr>
            <w:tcW w:w="9061" w:type="dxa"/>
            <w:gridSpan w:val="2"/>
            <w:shd w:val="clear" w:color="auto" w:fill="auto"/>
          </w:tcPr>
          <w:p w14:paraId="292E853D" w14:textId="77777777" w:rsidR="00E35CBB" w:rsidRPr="00C67398" w:rsidRDefault="00E35CBB" w:rsidP="00E35CBB">
            <w:pPr>
              <w:tabs>
                <w:tab w:val="left" w:pos="720"/>
                <w:tab w:val="left" w:pos="1134"/>
              </w:tabs>
              <w:jc w:val="both"/>
              <w:rPr>
                <w:b/>
                <w:sz w:val="22"/>
                <w:szCs w:val="22"/>
              </w:rPr>
            </w:pPr>
            <w:r w:rsidRPr="00C67398">
              <w:rPr>
                <w:b/>
                <w:sz w:val="22"/>
                <w:szCs w:val="22"/>
              </w:rPr>
              <w:t>Poruchy krvi a lymfatického systému</w:t>
            </w:r>
          </w:p>
        </w:tc>
      </w:tr>
      <w:tr w:rsidR="00E35CBB" w:rsidRPr="00C67398" w14:paraId="01A16926" w14:textId="77777777">
        <w:tc>
          <w:tcPr>
            <w:tcW w:w="1967" w:type="dxa"/>
            <w:shd w:val="clear" w:color="auto" w:fill="auto"/>
          </w:tcPr>
          <w:p w14:paraId="1CD7974C" w14:textId="77777777" w:rsidR="00E35CBB" w:rsidRPr="00C67398" w:rsidRDefault="00E35CBB" w:rsidP="00E35CBB">
            <w:pPr>
              <w:tabs>
                <w:tab w:val="left" w:pos="720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C67398">
              <w:rPr>
                <w:sz w:val="22"/>
                <w:szCs w:val="22"/>
              </w:rPr>
              <w:t>Zriedkavé</w:t>
            </w:r>
          </w:p>
        </w:tc>
        <w:tc>
          <w:tcPr>
            <w:tcW w:w="7094" w:type="dxa"/>
            <w:shd w:val="clear" w:color="auto" w:fill="auto"/>
          </w:tcPr>
          <w:p w14:paraId="15D403C5" w14:textId="77777777" w:rsidR="00E35CBB" w:rsidRPr="00C67398" w:rsidRDefault="00E35CBB" w:rsidP="00E35CBB">
            <w:pPr>
              <w:tabs>
                <w:tab w:val="left" w:pos="720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C67398">
              <w:rPr>
                <w:sz w:val="22"/>
                <w:szCs w:val="22"/>
              </w:rPr>
              <w:t>leukopénia</w:t>
            </w:r>
            <w:r>
              <w:rPr>
                <w:sz w:val="22"/>
                <w:szCs w:val="22"/>
              </w:rPr>
              <w:t>*</w:t>
            </w:r>
            <w:r w:rsidRPr="00C67398">
              <w:rPr>
                <w:sz w:val="22"/>
                <w:szCs w:val="22"/>
              </w:rPr>
              <w:t>, agranulocytóza</w:t>
            </w:r>
            <w:r>
              <w:rPr>
                <w:sz w:val="22"/>
                <w:szCs w:val="22"/>
              </w:rPr>
              <w:t>*</w:t>
            </w:r>
          </w:p>
        </w:tc>
      </w:tr>
      <w:tr w:rsidR="00E35CBB" w:rsidRPr="00C67398" w14:paraId="32CA633F" w14:textId="77777777">
        <w:tc>
          <w:tcPr>
            <w:tcW w:w="1967" w:type="dxa"/>
            <w:shd w:val="clear" w:color="auto" w:fill="auto"/>
          </w:tcPr>
          <w:p w14:paraId="284B7C58" w14:textId="77777777" w:rsidR="00E35CBB" w:rsidRPr="00C67398" w:rsidRDefault="00E35CBB" w:rsidP="00E35CBB">
            <w:pPr>
              <w:tabs>
                <w:tab w:val="left" w:pos="720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C67398">
              <w:rPr>
                <w:sz w:val="22"/>
                <w:szCs w:val="22"/>
              </w:rPr>
              <w:t>Neznáme</w:t>
            </w:r>
          </w:p>
        </w:tc>
        <w:tc>
          <w:tcPr>
            <w:tcW w:w="7094" w:type="dxa"/>
            <w:shd w:val="clear" w:color="auto" w:fill="auto"/>
          </w:tcPr>
          <w:p w14:paraId="72EE15E2" w14:textId="77777777" w:rsidR="00E35CBB" w:rsidRPr="00C67398" w:rsidRDefault="00E35CBB" w:rsidP="00E35CBB">
            <w:pPr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>aplastická anémia</w:t>
            </w:r>
            <w:r>
              <w:rPr>
                <w:sz w:val="22"/>
                <w:szCs w:val="22"/>
              </w:rPr>
              <w:t>*,</w:t>
            </w:r>
            <w:r w:rsidRPr="00FD306D">
              <w:rPr>
                <w:sz w:val="22"/>
                <w:szCs w:val="22"/>
              </w:rPr>
              <w:t xml:space="preserve"> pancytopénia</w:t>
            </w:r>
            <w:r>
              <w:rPr>
                <w:sz w:val="22"/>
                <w:szCs w:val="22"/>
              </w:rPr>
              <w:t xml:space="preserve">*, </w:t>
            </w:r>
            <w:r w:rsidR="00747DCE" w:rsidRPr="00FD306D">
              <w:rPr>
                <w:sz w:val="22"/>
                <w:szCs w:val="22"/>
              </w:rPr>
              <w:t>eozinofília</w:t>
            </w:r>
            <w:r w:rsidR="00747DCE">
              <w:rPr>
                <w:sz w:val="22"/>
                <w:szCs w:val="22"/>
              </w:rPr>
              <w:t>*</w:t>
            </w:r>
          </w:p>
        </w:tc>
      </w:tr>
      <w:tr w:rsidR="00747DCE" w:rsidRPr="00C67398" w14:paraId="66037EDE" w14:textId="77777777">
        <w:tc>
          <w:tcPr>
            <w:tcW w:w="9061" w:type="dxa"/>
            <w:gridSpan w:val="2"/>
            <w:shd w:val="clear" w:color="auto" w:fill="auto"/>
          </w:tcPr>
          <w:p w14:paraId="194E258E" w14:textId="77777777" w:rsidR="00747DCE" w:rsidRPr="00FD306D" w:rsidRDefault="00747DCE" w:rsidP="00E35CBB">
            <w:pPr>
              <w:rPr>
                <w:sz w:val="22"/>
                <w:szCs w:val="22"/>
              </w:rPr>
            </w:pPr>
            <w:r w:rsidRPr="00C67398">
              <w:rPr>
                <w:b/>
                <w:sz w:val="22"/>
                <w:szCs w:val="22"/>
              </w:rPr>
              <w:t xml:space="preserve">Poruchy </w:t>
            </w:r>
            <w:r>
              <w:rPr>
                <w:b/>
                <w:sz w:val="22"/>
                <w:szCs w:val="22"/>
              </w:rPr>
              <w:t>metabolizmu a výživy</w:t>
            </w:r>
          </w:p>
        </w:tc>
      </w:tr>
      <w:tr w:rsidR="00747DCE" w:rsidRPr="00C67398" w14:paraId="0DAD7ACF" w14:textId="77777777">
        <w:tc>
          <w:tcPr>
            <w:tcW w:w="1967" w:type="dxa"/>
            <w:shd w:val="clear" w:color="auto" w:fill="auto"/>
          </w:tcPr>
          <w:p w14:paraId="2F26F306" w14:textId="77777777" w:rsidR="00747DCE" w:rsidRPr="00C67398" w:rsidRDefault="00747DCE" w:rsidP="00E35CBB">
            <w:pPr>
              <w:tabs>
                <w:tab w:val="left" w:pos="720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C67398">
              <w:rPr>
                <w:sz w:val="22"/>
                <w:szCs w:val="22"/>
              </w:rPr>
              <w:t>Zriedkavé</w:t>
            </w:r>
          </w:p>
        </w:tc>
        <w:tc>
          <w:tcPr>
            <w:tcW w:w="7094" w:type="dxa"/>
            <w:shd w:val="clear" w:color="auto" w:fill="auto"/>
          </w:tcPr>
          <w:p w14:paraId="044607FF" w14:textId="77777777" w:rsidR="00747DCE" w:rsidRPr="00FD306D" w:rsidRDefault="003D610B" w:rsidP="00E35CBB">
            <w:pPr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>nechutenstvo</w:t>
            </w:r>
          </w:p>
        </w:tc>
      </w:tr>
      <w:tr w:rsidR="00E35CBB" w:rsidRPr="00C67398" w14:paraId="51065955" w14:textId="77777777">
        <w:tc>
          <w:tcPr>
            <w:tcW w:w="9061" w:type="dxa"/>
            <w:gridSpan w:val="2"/>
            <w:shd w:val="clear" w:color="auto" w:fill="auto"/>
          </w:tcPr>
          <w:p w14:paraId="534D2161" w14:textId="77777777" w:rsidR="00E35CBB" w:rsidRPr="00C67398" w:rsidRDefault="00E35CBB" w:rsidP="00E35CBB">
            <w:pPr>
              <w:tabs>
                <w:tab w:val="left" w:pos="720"/>
                <w:tab w:val="left" w:pos="1134"/>
              </w:tabs>
              <w:jc w:val="both"/>
              <w:rPr>
                <w:b/>
                <w:sz w:val="22"/>
                <w:szCs w:val="22"/>
              </w:rPr>
            </w:pPr>
            <w:r w:rsidRPr="00C67398">
              <w:rPr>
                <w:b/>
                <w:sz w:val="22"/>
                <w:szCs w:val="22"/>
              </w:rPr>
              <w:t>Psychické poruchy</w:t>
            </w:r>
          </w:p>
        </w:tc>
      </w:tr>
      <w:tr w:rsidR="00E35CBB" w:rsidRPr="00C67398" w14:paraId="5E0489D1" w14:textId="77777777">
        <w:tc>
          <w:tcPr>
            <w:tcW w:w="1967" w:type="dxa"/>
            <w:shd w:val="clear" w:color="auto" w:fill="auto"/>
          </w:tcPr>
          <w:p w14:paraId="7B9DFC93" w14:textId="77777777" w:rsidR="00E35CBB" w:rsidRPr="00C67398" w:rsidRDefault="00E35CBB" w:rsidP="00E35CBB">
            <w:pPr>
              <w:tabs>
                <w:tab w:val="left" w:pos="720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C67398">
              <w:rPr>
                <w:sz w:val="22"/>
                <w:szCs w:val="22"/>
              </w:rPr>
              <w:t>Menej časté</w:t>
            </w:r>
          </w:p>
        </w:tc>
        <w:tc>
          <w:tcPr>
            <w:tcW w:w="7094" w:type="dxa"/>
            <w:shd w:val="clear" w:color="auto" w:fill="auto"/>
          </w:tcPr>
          <w:p w14:paraId="76EF866A" w14:textId="77777777" w:rsidR="00E35CBB" w:rsidRPr="00C67398" w:rsidRDefault="00140480" w:rsidP="00E35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príznaky z vynechania</w:t>
            </w:r>
          </w:p>
        </w:tc>
      </w:tr>
      <w:tr w:rsidR="00140480" w:rsidRPr="00C67398" w14:paraId="4A2DD68A" w14:textId="77777777">
        <w:tc>
          <w:tcPr>
            <w:tcW w:w="1967" w:type="dxa"/>
            <w:shd w:val="clear" w:color="auto" w:fill="auto"/>
          </w:tcPr>
          <w:p w14:paraId="6F27F3C2" w14:textId="77777777" w:rsidR="00140480" w:rsidRPr="00C67398" w:rsidRDefault="00140480" w:rsidP="00E35CBB">
            <w:pPr>
              <w:tabs>
                <w:tab w:val="left" w:pos="720"/>
                <w:tab w:val="left" w:pos="113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Zriedkavé</w:t>
            </w:r>
          </w:p>
        </w:tc>
        <w:tc>
          <w:tcPr>
            <w:tcW w:w="7094" w:type="dxa"/>
            <w:shd w:val="clear" w:color="auto" w:fill="auto"/>
          </w:tcPr>
          <w:p w14:paraId="6ABF5BB3" w14:textId="77777777" w:rsidR="00140480" w:rsidRDefault="00140480" w:rsidP="00E35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poruchy spánku, úzkosť</w:t>
            </w:r>
          </w:p>
        </w:tc>
      </w:tr>
      <w:tr w:rsidR="00E35CBB" w:rsidRPr="00C67398" w14:paraId="59F0DF1F" w14:textId="77777777">
        <w:tc>
          <w:tcPr>
            <w:tcW w:w="1967" w:type="dxa"/>
            <w:shd w:val="clear" w:color="auto" w:fill="auto"/>
          </w:tcPr>
          <w:p w14:paraId="5B8C5747" w14:textId="77777777" w:rsidR="00E35CBB" w:rsidRPr="00C67398" w:rsidRDefault="00EA28B6" w:rsidP="00E35CBB">
            <w:pPr>
              <w:tabs>
                <w:tab w:val="left" w:pos="720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FF4691">
              <w:rPr>
                <w:sz w:val="22"/>
                <w:szCs w:val="22"/>
              </w:rPr>
              <w:t xml:space="preserve">Veľmi zriedkavé </w:t>
            </w:r>
          </w:p>
        </w:tc>
        <w:tc>
          <w:tcPr>
            <w:tcW w:w="7094" w:type="dxa"/>
            <w:shd w:val="clear" w:color="auto" w:fill="auto"/>
          </w:tcPr>
          <w:p w14:paraId="31FD3541" w14:textId="77777777" w:rsidR="00E35CBB" w:rsidRPr="00C67398" w:rsidRDefault="00140480" w:rsidP="00E35CBB">
            <w:pPr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>paranoidno-halucinatorné prejavy</w:t>
            </w:r>
            <w:r w:rsidR="00FC27F7">
              <w:rPr>
                <w:sz w:val="22"/>
                <w:szCs w:val="22"/>
              </w:rPr>
              <w:t xml:space="preserve"> ktoré </w:t>
            </w:r>
            <w:r w:rsidR="00FC27F7" w:rsidRPr="00FD306D">
              <w:rPr>
                <w:sz w:val="22"/>
                <w:szCs w:val="22"/>
              </w:rPr>
              <w:t>sa môžu rozvinúť v priebehu dní až týždňov</w:t>
            </w:r>
          </w:p>
        </w:tc>
      </w:tr>
      <w:tr w:rsidR="00E35CBB" w:rsidRPr="00C67398" w14:paraId="5CC2F438" w14:textId="77777777">
        <w:tc>
          <w:tcPr>
            <w:tcW w:w="9061" w:type="dxa"/>
            <w:gridSpan w:val="2"/>
            <w:shd w:val="clear" w:color="auto" w:fill="auto"/>
          </w:tcPr>
          <w:p w14:paraId="08AC804E" w14:textId="77777777" w:rsidR="00E35CBB" w:rsidRPr="00C67398" w:rsidRDefault="00E35CBB" w:rsidP="00E35CBB">
            <w:pPr>
              <w:tabs>
                <w:tab w:val="left" w:pos="720"/>
                <w:tab w:val="left" w:pos="1134"/>
              </w:tabs>
              <w:jc w:val="both"/>
              <w:rPr>
                <w:b/>
                <w:sz w:val="22"/>
                <w:szCs w:val="22"/>
              </w:rPr>
            </w:pPr>
            <w:r w:rsidRPr="00C67398">
              <w:rPr>
                <w:b/>
                <w:sz w:val="22"/>
                <w:szCs w:val="22"/>
              </w:rPr>
              <w:t>Poruchy nervového systému</w:t>
            </w:r>
          </w:p>
        </w:tc>
      </w:tr>
      <w:tr w:rsidR="00FC27F7" w:rsidRPr="00C67398" w14:paraId="3EAECB12" w14:textId="77777777">
        <w:tc>
          <w:tcPr>
            <w:tcW w:w="1967" w:type="dxa"/>
            <w:shd w:val="clear" w:color="auto" w:fill="auto"/>
          </w:tcPr>
          <w:p w14:paraId="3E1FF7EA" w14:textId="77777777" w:rsidR="00FC27F7" w:rsidRPr="00C67398" w:rsidRDefault="00FC27F7" w:rsidP="00E35CBB">
            <w:pPr>
              <w:tabs>
                <w:tab w:val="left" w:pos="720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C67398">
              <w:rPr>
                <w:sz w:val="22"/>
                <w:szCs w:val="22"/>
              </w:rPr>
              <w:t>Menej časté</w:t>
            </w:r>
          </w:p>
        </w:tc>
        <w:tc>
          <w:tcPr>
            <w:tcW w:w="7094" w:type="dxa"/>
            <w:shd w:val="clear" w:color="auto" w:fill="auto"/>
          </w:tcPr>
          <w:p w14:paraId="6B76913D" w14:textId="77777777" w:rsidR="00FC27F7" w:rsidRPr="00C67398" w:rsidRDefault="00FC27F7" w:rsidP="00E35CBB">
            <w:pPr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>letargia</w:t>
            </w:r>
          </w:p>
        </w:tc>
      </w:tr>
      <w:tr w:rsidR="00FC27F7" w:rsidRPr="00C67398" w14:paraId="680B1346" w14:textId="77777777">
        <w:tc>
          <w:tcPr>
            <w:tcW w:w="1967" w:type="dxa"/>
            <w:shd w:val="clear" w:color="auto" w:fill="auto"/>
          </w:tcPr>
          <w:p w14:paraId="52B13965" w14:textId="77777777" w:rsidR="00FC27F7" w:rsidRPr="00C67398" w:rsidRDefault="00FC27F7" w:rsidP="00E35CBB">
            <w:pPr>
              <w:tabs>
                <w:tab w:val="left" w:pos="720"/>
                <w:tab w:val="left" w:pos="113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Zriedkavé</w:t>
            </w:r>
          </w:p>
        </w:tc>
        <w:tc>
          <w:tcPr>
            <w:tcW w:w="7094" w:type="dxa"/>
            <w:shd w:val="clear" w:color="auto" w:fill="auto"/>
          </w:tcPr>
          <w:p w14:paraId="73F3B8F2" w14:textId="77777777" w:rsidR="00FC27F7" w:rsidRPr="00C67398" w:rsidRDefault="00FC27F7" w:rsidP="00E35CBB">
            <w:pPr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>výrazné bolesti hlavy</w:t>
            </w:r>
            <w:r>
              <w:rPr>
                <w:sz w:val="22"/>
                <w:szCs w:val="22"/>
              </w:rPr>
              <w:t>, ataxia</w:t>
            </w:r>
          </w:p>
        </w:tc>
      </w:tr>
      <w:tr w:rsidR="00E35CBB" w:rsidRPr="00C67398" w14:paraId="0A2FAA27" w14:textId="77777777">
        <w:tc>
          <w:tcPr>
            <w:tcW w:w="1967" w:type="dxa"/>
            <w:shd w:val="clear" w:color="auto" w:fill="auto"/>
          </w:tcPr>
          <w:p w14:paraId="0BEF4BE9" w14:textId="77777777" w:rsidR="00E35CBB" w:rsidRPr="00C67398" w:rsidRDefault="001A56CF" w:rsidP="00E35CBB">
            <w:pPr>
              <w:tabs>
                <w:tab w:val="left" w:pos="720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C67398">
              <w:rPr>
                <w:sz w:val="22"/>
                <w:szCs w:val="22"/>
              </w:rPr>
              <w:t>Neznáme</w:t>
            </w:r>
          </w:p>
        </w:tc>
        <w:tc>
          <w:tcPr>
            <w:tcW w:w="7094" w:type="dxa"/>
            <w:shd w:val="clear" w:color="auto" w:fill="auto"/>
          </w:tcPr>
          <w:p w14:paraId="763FD733" w14:textId="77777777" w:rsidR="00E35CBB" w:rsidRPr="00C67398" w:rsidRDefault="00FD3587" w:rsidP="00E35CBB">
            <w:pPr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>dyskinéz</w:t>
            </w:r>
            <w:r>
              <w:rPr>
                <w:sz w:val="22"/>
                <w:szCs w:val="22"/>
              </w:rPr>
              <w:t>a</w:t>
            </w:r>
            <w:r w:rsidR="00E35CBB" w:rsidRPr="00C67398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</w:tr>
      <w:tr w:rsidR="00E35CBB" w:rsidRPr="00C67398" w14:paraId="3A2FE50F" w14:textId="77777777">
        <w:tc>
          <w:tcPr>
            <w:tcW w:w="9061" w:type="dxa"/>
            <w:gridSpan w:val="2"/>
            <w:shd w:val="clear" w:color="auto" w:fill="auto"/>
          </w:tcPr>
          <w:p w14:paraId="619F5FED" w14:textId="77777777" w:rsidR="00E35CBB" w:rsidRPr="00C67398" w:rsidRDefault="00E35CBB" w:rsidP="00E35CBB">
            <w:pPr>
              <w:tabs>
                <w:tab w:val="left" w:pos="720"/>
                <w:tab w:val="left" w:pos="1134"/>
              </w:tabs>
              <w:jc w:val="both"/>
              <w:rPr>
                <w:b/>
                <w:sz w:val="22"/>
                <w:szCs w:val="22"/>
              </w:rPr>
            </w:pPr>
            <w:r w:rsidRPr="00C67398">
              <w:rPr>
                <w:b/>
                <w:sz w:val="22"/>
                <w:szCs w:val="22"/>
              </w:rPr>
              <w:t>Poruchy dýchacej sústavy, hrudníka a mediastína</w:t>
            </w:r>
          </w:p>
        </w:tc>
      </w:tr>
      <w:tr w:rsidR="00E35CBB" w:rsidRPr="00C67398" w14:paraId="3C0D5B71" w14:textId="77777777">
        <w:tc>
          <w:tcPr>
            <w:tcW w:w="1967" w:type="dxa"/>
            <w:shd w:val="clear" w:color="auto" w:fill="auto"/>
          </w:tcPr>
          <w:p w14:paraId="5A7341BF" w14:textId="77777777" w:rsidR="00E35CBB" w:rsidRPr="00C67398" w:rsidRDefault="00D457E0" w:rsidP="00D457E0">
            <w:pPr>
              <w:tabs>
                <w:tab w:val="left" w:pos="720"/>
                <w:tab w:val="left" w:pos="1134"/>
              </w:tabs>
              <w:rPr>
                <w:sz w:val="22"/>
                <w:szCs w:val="22"/>
              </w:rPr>
            </w:pPr>
            <w:r w:rsidRPr="00FF4691">
              <w:rPr>
                <w:sz w:val="22"/>
                <w:szCs w:val="22"/>
              </w:rPr>
              <w:t>Časté</w:t>
            </w:r>
            <w:r>
              <w:rPr>
                <w:sz w:val="22"/>
                <w:szCs w:val="22"/>
              </w:rPr>
              <w:t xml:space="preserve"> až </w:t>
            </w:r>
            <w:r w:rsidRPr="00FF4691">
              <w:rPr>
                <w:sz w:val="22"/>
                <w:szCs w:val="22"/>
              </w:rPr>
              <w:t>veľmi časté</w:t>
            </w:r>
          </w:p>
        </w:tc>
        <w:tc>
          <w:tcPr>
            <w:tcW w:w="7094" w:type="dxa"/>
            <w:shd w:val="clear" w:color="auto" w:fill="auto"/>
          </w:tcPr>
          <w:p w14:paraId="12AE194D" w14:textId="77777777" w:rsidR="00E35CBB" w:rsidRPr="00C67398" w:rsidRDefault="004A42F3" w:rsidP="00E35CBB">
            <w:pPr>
              <w:tabs>
                <w:tab w:val="left" w:pos="720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>čkanie</w:t>
            </w:r>
          </w:p>
        </w:tc>
      </w:tr>
      <w:tr w:rsidR="00E35CBB" w:rsidRPr="00C67398" w14:paraId="45F7D30C" w14:textId="77777777">
        <w:tc>
          <w:tcPr>
            <w:tcW w:w="9061" w:type="dxa"/>
            <w:gridSpan w:val="2"/>
            <w:shd w:val="clear" w:color="auto" w:fill="auto"/>
          </w:tcPr>
          <w:p w14:paraId="6779C7EE" w14:textId="77777777" w:rsidR="00E35CBB" w:rsidRPr="00C67398" w:rsidRDefault="00E35CBB" w:rsidP="00E35CBB">
            <w:pPr>
              <w:tabs>
                <w:tab w:val="left" w:pos="720"/>
                <w:tab w:val="left" w:pos="1134"/>
              </w:tabs>
              <w:jc w:val="both"/>
              <w:rPr>
                <w:b/>
                <w:sz w:val="22"/>
                <w:szCs w:val="22"/>
              </w:rPr>
            </w:pPr>
            <w:r w:rsidRPr="00C67398">
              <w:rPr>
                <w:b/>
                <w:sz w:val="22"/>
                <w:szCs w:val="22"/>
              </w:rPr>
              <w:t>Poruchy gastrointestinálneho traktu</w:t>
            </w:r>
          </w:p>
        </w:tc>
      </w:tr>
      <w:tr w:rsidR="00E35CBB" w:rsidRPr="00C67398" w14:paraId="6B571A3D" w14:textId="77777777">
        <w:trPr>
          <w:trHeight w:val="371"/>
        </w:trPr>
        <w:tc>
          <w:tcPr>
            <w:tcW w:w="1967" w:type="dxa"/>
            <w:shd w:val="clear" w:color="auto" w:fill="auto"/>
          </w:tcPr>
          <w:p w14:paraId="4F68482D" w14:textId="77777777" w:rsidR="00E35CBB" w:rsidRPr="00C67398" w:rsidRDefault="00D90B50" w:rsidP="00D90B50">
            <w:pPr>
              <w:tabs>
                <w:tab w:val="left" w:pos="720"/>
                <w:tab w:val="left" w:pos="1134"/>
              </w:tabs>
              <w:rPr>
                <w:sz w:val="22"/>
                <w:szCs w:val="22"/>
              </w:rPr>
            </w:pPr>
            <w:r w:rsidRPr="00FF4691">
              <w:rPr>
                <w:sz w:val="22"/>
                <w:szCs w:val="22"/>
              </w:rPr>
              <w:t>Časté</w:t>
            </w:r>
            <w:r>
              <w:rPr>
                <w:sz w:val="22"/>
                <w:szCs w:val="22"/>
              </w:rPr>
              <w:t xml:space="preserve"> až </w:t>
            </w:r>
            <w:r w:rsidRPr="00FF4691">
              <w:rPr>
                <w:sz w:val="22"/>
                <w:szCs w:val="22"/>
              </w:rPr>
              <w:t>veľmi časté</w:t>
            </w:r>
          </w:p>
        </w:tc>
        <w:tc>
          <w:tcPr>
            <w:tcW w:w="7094" w:type="dxa"/>
            <w:shd w:val="clear" w:color="auto" w:fill="auto"/>
          </w:tcPr>
          <w:p w14:paraId="6EA5D7DD" w14:textId="77777777" w:rsidR="00E35CBB" w:rsidRPr="00C67398" w:rsidRDefault="00E35CBB" w:rsidP="00E35CBB">
            <w:pPr>
              <w:tabs>
                <w:tab w:val="left" w:pos="720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C67398">
              <w:rPr>
                <w:sz w:val="22"/>
                <w:szCs w:val="22"/>
              </w:rPr>
              <w:t xml:space="preserve">nevoľnosť, vracanie, </w:t>
            </w:r>
            <w:r w:rsidR="00C704CB" w:rsidRPr="00FD306D">
              <w:rPr>
                <w:sz w:val="22"/>
                <w:szCs w:val="22"/>
              </w:rPr>
              <w:t>bolesti brucha</w:t>
            </w:r>
          </w:p>
        </w:tc>
      </w:tr>
      <w:tr w:rsidR="00E35CBB" w:rsidRPr="00C67398" w14:paraId="4F131224" w14:textId="77777777">
        <w:trPr>
          <w:trHeight w:val="371"/>
        </w:trPr>
        <w:tc>
          <w:tcPr>
            <w:tcW w:w="1967" w:type="dxa"/>
            <w:shd w:val="clear" w:color="auto" w:fill="auto"/>
          </w:tcPr>
          <w:p w14:paraId="0796982A" w14:textId="77777777" w:rsidR="00E35CBB" w:rsidRPr="00C67398" w:rsidRDefault="00AB507E" w:rsidP="00E35CBB">
            <w:pPr>
              <w:tabs>
                <w:tab w:val="left" w:pos="720"/>
                <w:tab w:val="left" w:pos="113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Zriedkavé</w:t>
            </w:r>
          </w:p>
        </w:tc>
        <w:tc>
          <w:tcPr>
            <w:tcW w:w="7094" w:type="dxa"/>
            <w:shd w:val="clear" w:color="auto" w:fill="auto"/>
          </w:tcPr>
          <w:p w14:paraId="37583C6E" w14:textId="77777777" w:rsidR="00E35CBB" w:rsidRPr="00C67398" w:rsidRDefault="00E35CBB" w:rsidP="00E35CBB">
            <w:pPr>
              <w:tabs>
                <w:tab w:val="left" w:pos="720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C67398">
              <w:rPr>
                <w:sz w:val="22"/>
                <w:szCs w:val="22"/>
              </w:rPr>
              <w:t>hnačka</w:t>
            </w:r>
            <w:r w:rsidR="00AB507E">
              <w:rPr>
                <w:sz w:val="22"/>
                <w:szCs w:val="22"/>
              </w:rPr>
              <w:t xml:space="preserve">, </w:t>
            </w:r>
            <w:r w:rsidR="00AB507E" w:rsidRPr="00C67398">
              <w:rPr>
                <w:sz w:val="22"/>
                <w:szCs w:val="22"/>
              </w:rPr>
              <w:t>zápcha</w:t>
            </w:r>
          </w:p>
        </w:tc>
      </w:tr>
      <w:tr w:rsidR="00E35CBB" w:rsidRPr="00C67398" w14:paraId="3D44FCAF" w14:textId="77777777">
        <w:trPr>
          <w:trHeight w:val="371"/>
        </w:trPr>
        <w:tc>
          <w:tcPr>
            <w:tcW w:w="9061" w:type="dxa"/>
            <w:gridSpan w:val="2"/>
            <w:shd w:val="clear" w:color="auto" w:fill="auto"/>
          </w:tcPr>
          <w:p w14:paraId="29ABC22D" w14:textId="77777777" w:rsidR="00E35CBB" w:rsidRPr="00C67398" w:rsidRDefault="00E35CBB" w:rsidP="00E35CBB">
            <w:pPr>
              <w:tabs>
                <w:tab w:val="left" w:pos="720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C67398">
              <w:rPr>
                <w:b/>
                <w:sz w:val="22"/>
                <w:szCs w:val="22"/>
              </w:rPr>
              <w:t>Poruchy kože a podkožného tkaniva</w:t>
            </w:r>
          </w:p>
        </w:tc>
      </w:tr>
      <w:tr w:rsidR="00E35CBB" w:rsidRPr="00C67398" w14:paraId="09BE2C59" w14:textId="77777777">
        <w:tc>
          <w:tcPr>
            <w:tcW w:w="1967" w:type="dxa"/>
            <w:shd w:val="clear" w:color="auto" w:fill="auto"/>
          </w:tcPr>
          <w:p w14:paraId="1A9E923A" w14:textId="77777777" w:rsidR="00E35CBB" w:rsidRPr="00C67398" w:rsidRDefault="00E35CBB" w:rsidP="00E35CBB">
            <w:pPr>
              <w:tabs>
                <w:tab w:val="left" w:pos="720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C67398">
              <w:rPr>
                <w:sz w:val="22"/>
                <w:szCs w:val="22"/>
              </w:rPr>
              <w:t>Neznáme</w:t>
            </w:r>
          </w:p>
        </w:tc>
        <w:tc>
          <w:tcPr>
            <w:tcW w:w="7094" w:type="dxa"/>
            <w:shd w:val="clear" w:color="auto" w:fill="auto"/>
          </w:tcPr>
          <w:p w14:paraId="505C8DF1" w14:textId="77777777" w:rsidR="00E35CBB" w:rsidRPr="00C67398" w:rsidRDefault="008E5BAE" w:rsidP="00E35CBB">
            <w:pPr>
              <w:tabs>
                <w:tab w:val="left" w:pos="6240"/>
              </w:tabs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>alergické kožné reakcie, napr. exantémy, ale tiež aj ťažšie generalizované formy, napr. Stevensov-Johnsonov syndróm</w:t>
            </w:r>
            <w:r>
              <w:rPr>
                <w:sz w:val="22"/>
                <w:szCs w:val="22"/>
              </w:rPr>
              <w:t>*</w:t>
            </w:r>
          </w:p>
        </w:tc>
      </w:tr>
      <w:tr w:rsidR="00E35CBB" w:rsidRPr="00C67398" w14:paraId="31A4094B" w14:textId="77777777">
        <w:tc>
          <w:tcPr>
            <w:tcW w:w="9061" w:type="dxa"/>
            <w:gridSpan w:val="2"/>
            <w:shd w:val="clear" w:color="auto" w:fill="auto"/>
          </w:tcPr>
          <w:p w14:paraId="5FB804FB" w14:textId="77777777" w:rsidR="00E35CBB" w:rsidRPr="00C67398" w:rsidRDefault="00E35CBB" w:rsidP="00E35CBB">
            <w:pPr>
              <w:tabs>
                <w:tab w:val="left" w:pos="720"/>
                <w:tab w:val="left" w:pos="1134"/>
              </w:tabs>
              <w:jc w:val="both"/>
              <w:rPr>
                <w:b/>
                <w:sz w:val="22"/>
                <w:szCs w:val="22"/>
              </w:rPr>
            </w:pPr>
            <w:r w:rsidRPr="00C67398">
              <w:rPr>
                <w:b/>
                <w:sz w:val="22"/>
                <w:szCs w:val="22"/>
              </w:rPr>
              <w:t>Poruchy kostrovej a svalovej sústavy a spojivového tkaniva</w:t>
            </w:r>
          </w:p>
        </w:tc>
      </w:tr>
      <w:tr w:rsidR="00E35CBB" w:rsidRPr="00C67398" w14:paraId="105E14B7" w14:textId="77777777">
        <w:tc>
          <w:tcPr>
            <w:tcW w:w="1967" w:type="dxa"/>
            <w:shd w:val="clear" w:color="auto" w:fill="auto"/>
          </w:tcPr>
          <w:p w14:paraId="7D05629A" w14:textId="77777777" w:rsidR="00E35CBB" w:rsidRPr="00C67398" w:rsidRDefault="007D617D" w:rsidP="00E35CBB">
            <w:pPr>
              <w:tabs>
                <w:tab w:val="left" w:pos="720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C67398">
              <w:rPr>
                <w:sz w:val="22"/>
                <w:szCs w:val="22"/>
              </w:rPr>
              <w:t>Z</w:t>
            </w:r>
            <w:r w:rsidR="00E35CBB" w:rsidRPr="00C67398">
              <w:rPr>
                <w:sz w:val="22"/>
                <w:szCs w:val="22"/>
              </w:rPr>
              <w:t>riedkavé</w:t>
            </w:r>
          </w:p>
        </w:tc>
        <w:tc>
          <w:tcPr>
            <w:tcW w:w="7094" w:type="dxa"/>
            <w:shd w:val="clear" w:color="auto" w:fill="auto"/>
          </w:tcPr>
          <w:p w14:paraId="52A49E69" w14:textId="77777777" w:rsidR="00E35CBB" w:rsidRPr="00C67398" w:rsidRDefault="00C15ECE" w:rsidP="00E35CBB">
            <w:pPr>
              <w:tabs>
                <w:tab w:val="left" w:pos="720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>lupus erythematodes v rôznych podobách</w:t>
            </w:r>
            <w:r>
              <w:rPr>
                <w:sz w:val="22"/>
                <w:szCs w:val="22"/>
              </w:rPr>
              <w:t>*</w:t>
            </w:r>
          </w:p>
        </w:tc>
      </w:tr>
      <w:tr w:rsidR="00E35CBB" w:rsidRPr="00C67398" w14:paraId="2670F1A7" w14:textId="77777777">
        <w:tc>
          <w:tcPr>
            <w:tcW w:w="9061" w:type="dxa"/>
            <w:gridSpan w:val="2"/>
            <w:shd w:val="clear" w:color="auto" w:fill="auto"/>
          </w:tcPr>
          <w:p w14:paraId="044D598C" w14:textId="77777777" w:rsidR="00E35CBB" w:rsidRPr="00C67398" w:rsidRDefault="00E35CBB" w:rsidP="00E35CBB">
            <w:pPr>
              <w:tabs>
                <w:tab w:val="left" w:pos="720"/>
                <w:tab w:val="left" w:pos="1134"/>
              </w:tabs>
              <w:jc w:val="both"/>
              <w:rPr>
                <w:b/>
                <w:sz w:val="22"/>
                <w:szCs w:val="22"/>
              </w:rPr>
            </w:pPr>
            <w:r w:rsidRPr="00C67398">
              <w:rPr>
                <w:b/>
                <w:sz w:val="22"/>
                <w:szCs w:val="22"/>
              </w:rPr>
              <w:t>Labor</w:t>
            </w:r>
            <w:r w:rsidR="00C15ECE">
              <w:rPr>
                <w:b/>
                <w:sz w:val="22"/>
                <w:szCs w:val="22"/>
              </w:rPr>
              <w:t>a</w:t>
            </w:r>
            <w:r w:rsidRPr="00C67398">
              <w:rPr>
                <w:b/>
                <w:sz w:val="22"/>
                <w:szCs w:val="22"/>
              </w:rPr>
              <w:t>t</w:t>
            </w:r>
            <w:r w:rsidR="00C15ECE">
              <w:rPr>
                <w:b/>
                <w:sz w:val="22"/>
                <w:szCs w:val="22"/>
              </w:rPr>
              <w:t>ó</w:t>
            </w:r>
            <w:r w:rsidRPr="00C67398">
              <w:rPr>
                <w:b/>
                <w:sz w:val="22"/>
                <w:szCs w:val="22"/>
              </w:rPr>
              <w:t>rne a funkčné vyšetrenia</w:t>
            </w:r>
          </w:p>
        </w:tc>
      </w:tr>
      <w:tr w:rsidR="00E35CBB" w:rsidRPr="00C67398" w14:paraId="1E858C6E" w14:textId="77777777">
        <w:tc>
          <w:tcPr>
            <w:tcW w:w="1967" w:type="dxa"/>
            <w:shd w:val="clear" w:color="auto" w:fill="auto"/>
          </w:tcPr>
          <w:p w14:paraId="55F36A6F" w14:textId="77777777" w:rsidR="00E35CBB" w:rsidRPr="00C67398" w:rsidRDefault="00AD5272" w:rsidP="00E35CBB">
            <w:pPr>
              <w:tabs>
                <w:tab w:val="left" w:pos="720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C67398">
              <w:rPr>
                <w:sz w:val="22"/>
                <w:szCs w:val="22"/>
              </w:rPr>
              <w:t>Zriedkavé</w:t>
            </w:r>
          </w:p>
        </w:tc>
        <w:tc>
          <w:tcPr>
            <w:tcW w:w="7094" w:type="dxa"/>
            <w:shd w:val="clear" w:color="auto" w:fill="auto"/>
          </w:tcPr>
          <w:p w14:paraId="76470B33" w14:textId="77777777" w:rsidR="00E35CBB" w:rsidRPr="00C67398" w:rsidRDefault="00AD5272" w:rsidP="00E35CBB">
            <w:pPr>
              <w:tabs>
                <w:tab w:val="left" w:pos="720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FD306D">
              <w:rPr>
                <w:sz w:val="22"/>
                <w:szCs w:val="22"/>
              </w:rPr>
              <w:t>úbytok hmotnosti</w:t>
            </w:r>
          </w:p>
        </w:tc>
      </w:tr>
    </w:tbl>
    <w:p w14:paraId="046916D4" w14:textId="77777777" w:rsidR="00E35CBB" w:rsidRDefault="00E35CBB" w:rsidP="00A759D9">
      <w:pPr>
        <w:pStyle w:val="Zkladntext"/>
        <w:tabs>
          <w:tab w:val="left" w:pos="567"/>
        </w:tabs>
        <w:rPr>
          <w:sz w:val="22"/>
          <w:szCs w:val="22"/>
          <w:lang w:val="sk-SK"/>
        </w:rPr>
      </w:pPr>
    </w:p>
    <w:p w14:paraId="4E9D85B4" w14:textId="77777777" w:rsidR="00C15ECE" w:rsidRPr="00CB6876" w:rsidRDefault="00106EF0" w:rsidP="00106EF0">
      <w:pPr>
        <w:tabs>
          <w:tab w:val="left" w:pos="284"/>
        </w:tabs>
        <w:rPr>
          <w:b/>
          <w:sz w:val="22"/>
          <w:szCs w:val="22"/>
        </w:rPr>
      </w:pPr>
      <w:r>
        <w:rPr>
          <w:sz w:val="22"/>
          <w:szCs w:val="22"/>
        </w:rPr>
        <w:t>*</w:t>
      </w:r>
      <w:r w:rsidR="00C15ECE" w:rsidRPr="00CB6876">
        <w:rPr>
          <w:sz w:val="22"/>
          <w:szCs w:val="22"/>
        </w:rPr>
        <w:tab/>
      </w:r>
      <w:r w:rsidR="00CB6876" w:rsidRPr="00CB6876">
        <w:rPr>
          <w:sz w:val="22"/>
          <w:szCs w:val="22"/>
        </w:rPr>
        <w:t>Nežiaduce účinky</w:t>
      </w:r>
      <w:r w:rsidR="00CB6876">
        <w:rPr>
          <w:sz w:val="22"/>
          <w:szCs w:val="22"/>
        </w:rPr>
        <w:t xml:space="preserve"> </w:t>
      </w:r>
      <w:r w:rsidR="00D20552">
        <w:rPr>
          <w:sz w:val="22"/>
          <w:szCs w:val="22"/>
        </w:rPr>
        <w:t>vyskytu</w:t>
      </w:r>
      <w:r w:rsidR="00CB6876">
        <w:rPr>
          <w:sz w:val="22"/>
          <w:szCs w:val="22"/>
        </w:rPr>
        <w:t xml:space="preserve">júce sa nezávislé od dávky </w:t>
      </w:r>
      <w:r w:rsidR="00C07839" w:rsidRPr="00FD306D">
        <w:rPr>
          <w:sz w:val="22"/>
          <w:szCs w:val="22"/>
        </w:rPr>
        <w:t>(pozri tiež časť 4.</w:t>
      </w:r>
      <w:r w:rsidR="00F15AC8">
        <w:rPr>
          <w:sz w:val="22"/>
          <w:szCs w:val="22"/>
        </w:rPr>
        <w:t>4</w:t>
      </w:r>
      <w:r w:rsidR="00C07839" w:rsidRPr="00FD306D">
        <w:rPr>
          <w:sz w:val="22"/>
          <w:szCs w:val="22"/>
        </w:rPr>
        <w:t>)</w:t>
      </w:r>
    </w:p>
    <w:p w14:paraId="0C1F1732" w14:textId="77777777" w:rsidR="00C15ECE" w:rsidRPr="006A4AC1" w:rsidRDefault="00C15ECE" w:rsidP="00CB6876">
      <w:pPr>
        <w:tabs>
          <w:tab w:val="left" w:pos="284"/>
        </w:tabs>
        <w:ind w:left="284" w:hanging="284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**</w:t>
      </w:r>
      <w:r>
        <w:rPr>
          <w:b/>
          <w:sz w:val="22"/>
          <w:szCs w:val="22"/>
          <w:lang w:val="en-GB"/>
        </w:rPr>
        <w:tab/>
      </w:r>
      <w:r w:rsidR="00CB6876" w:rsidRPr="00FD306D">
        <w:rPr>
          <w:sz w:val="22"/>
          <w:szCs w:val="22"/>
        </w:rPr>
        <w:t>V ojedinelých prípadoch boli hlásené dyskinézy na začiatku liečby už počas prvých 12 hodín, ktoré však po vysadení lieku Petnidan znovu ustúpili, resp. po podaní difenhydramínu rýchle vymizli</w:t>
      </w:r>
      <w:r>
        <w:rPr>
          <w:sz w:val="22"/>
          <w:szCs w:val="22"/>
          <w:lang w:val="en-GB"/>
        </w:rPr>
        <w:t xml:space="preserve"> </w:t>
      </w:r>
      <w:r w:rsidR="00F15AC8" w:rsidRPr="00FD306D">
        <w:rPr>
          <w:sz w:val="22"/>
          <w:szCs w:val="22"/>
        </w:rPr>
        <w:t>(pozri tiež časť 4.</w:t>
      </w:r>
      <w:r w:rsidR="00F15AC8">
        <w:rPr>
          <w:sz w:val="22"/>
          <w:szCs w:val="22"/>
        </w:rPr>
        <w:t>4</w:t>
      </w:r>
      <w:r w:rsidR="00F15AC8" w:rsidRPr="00FD306D">
        <w:rPr>
          <w:sz w:val="22"/>
          <w:szCs w:val="22"/>
        </w:rPr>
        <w:t>)</w:t>
      </w:r>
      <w:r w:rsidRPr="00CD2A63">
        <w:rPr>
          <w:sz w:val="22"/>
          <w:szCs w:val="22"/>
          <w:lang w:val="en-GB"/>
        </w:rPr>
        <w:t>.</w:t>
      </w:r>
    </w:p>
    <w:p w14:paraId="1FC9939C" w14:textId="77777777" w:rsidR="00C15ECE" w:rsidRDefault="00C15ECE" w:rsidP="00403B3D">
      <w:pPr>
        <w:pStyle w:val="Zkladntext"/>
        <w:tabs>
          <w:tab w:val="left" w:pos="567"/>
        </w:tabs>
        <w:rPr>
          <w:sz w:val="22"/>
          <w:szCs w:val="22"/>
          <w:lang w:val="en-GB"/>
        </w:rPr>
      </w:pPr>
    </w:p>
    <w:p w14:paraId="1330953A" w14:textId="77777777" w:rsidR="00403B3D" w:rsidRPr="000542FC" w:rsidRDefault="00403B3D" w:rsidP="004D6E7B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0542FC">
        <w:rPr>
          <w:noProof/>
          <w:sz w:val="22"/>
          <w:szCs w:val="22"/>
          <w:u w:val="single"/>
        </w:rPr>
        <w:t>Hlásenie podozrení na nežiaduce reakcie</w:t>
      </w:r>
    </w:p>
    <w:p w14:paraId="6052125C" w14:textId="77777777" w:rsidR="004D6E7B" w:rsidRDefault="00403B3D" w:rsidP="004D6E7B">
      <w:pPr>
        <w:keepNext/>
        <w:tabs>
          <w:tab w:val="left" w:pos="567"/>
        </w:tabs>
        <w:rPr>
          <w:noProof/>
          <w:sz w:val="22"/>
          <w:szCs w:val="22"/>
          <w:highlight w:val="lightGray"/>
        </w:rPr>
      </w:pPr>
      <w:r w:rsidRPr="000542FC">
        <w:rPr>
          <w:noProof/>
          <w:sz w:val="22"/>
          <w:szCs w:val="22"/>
        </w:rPr>
        <w:t>Hlásenie podozrení na nežiaduce reakcie po registrácii lieku je dôležité.</w:t>
      </w:r>
      <w:r w:rsidRPr="000542FC">
        <w:rPr>
          <w:sz w:val="22"/>
          <w:szCs w:val="22"/>
        </w:rPr>
        <w:t xml:space="preserve"> </w:t>
      </w:r>
      <w:r w:rsidRPr="000542FC">
        <w:rPr>
          <w:noProof/>
          <w:sz w:val="22"/>
          <w:szCs w:val="22"/>
        </w:rPr>
        <w:t>Umožňuje priebežné monitorovanie pomeru prínosu</w:t>
      </w:r>
      <w:r w:rsidRPr="000542FC">
        <w:rPr>
          <w:sz w:val="22"/>
          <w:szCs w:val="22"/>
        </w:rPr>
        <w:t xml:space="preserve"> a</w:t>
      </w:r>
      <w:r w:rsidRPr="000542FC">
        <w:rPr>
          <w:noProof/>
          <w:sz w:val="22"/>
          <w:szCs w:val="22"/>
        </w:rPr>
        <w:t> rizika lieku.</w:t>
      </w:r>
      <w:r w:rsidRPr="000542FC">
        <w:rPr>
          <w:sz w:val="22"/>
          <w:szCs w:val="22"/>
        </w:rPr>
        <w:t xml:space="preserve"> Od </w:t>
      </w:r>
      <w:r w:rsidRPr="000542FC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F73DA4">
        <w:rPr>
          <w:noProof/>
          <w:sz w:val="22"/>
          <w:szCs w:val="22"/>
        </w:rPr>
        <w:t xml:space="preserve">na </w:t>
      </w:r>
      <w:r w:rsidRPr="000542FC">
        <w:rPr>
          <w:noProof/>
          <w:sz w:val="22"/>
          <w:szCs w:val="22"/>
          <w:highlight w:val="lightGray"/>
        </w:rPr>
        <w:t>národné</w:t>
      </w:r>
      <w:r w:rsidR="00F73DA4">
        <w:rPr>
          <w:noProof/>
          <w:sz w:val="22"/>
          <w:szCs w:val="22"/>
          <w:highlight w:val="lightGray"/>
        </w:rPr>
        <w:t xml:space="preserve"> centrum </w:t>
      </w:r>
      <w:r w:rsidRPr="000542FC">
        <w:rPr>
          <w:noProof/>
          <w:sz w:val="22"/>
          <w:szCs w:val="22"/>
          <w:highlight w:val="lightGray"/>
        </w:rPr>
        <w:t xml:space="preserve">hlásenia uvedené </w:t>
      </w:r>
    </w:p>
    <w:p w14:paraId="49D98579" w14:textId="47973D85" w:rsidR="00403B3D" w:rsidRPr="000542FC" w:rsidRDefault="00403B3D" w:rsidP="004D6E7B">
      <w:pPr>
        <w:keepNext/>
        <w:tabs>
          <w:tab w:val="left" w:pos="567"/>
        </w:tabs>
        <w:rPr>
          <w:noProof/>
          <w:sz w:val="22"/>
          <w:szCs w:val="22"/>
        </w:rPr>
      </w:pPr>
      <w:r w:rsidRPr="000542FC">
        <w:rPr>
          <w:noProof/>
          <w:sz w:val="22"/>
          <w:szCs w:val="22"/>
          <w:highlight w:val="lightGray"/>
        </w:rPr>
        <w:t>v </w:t>
      </w:r>
      <w:hyperlink r:id="rId8" w:history="1">
        <w:r w:rsidRPr="000542FC">
          <w:rPr>
            <w:rStyle w:val="Hypertextovprepojenie"/>
            <w:noProof/>
            <w:sz w:val="22"/>
            <w:szCs w:val="22"/>
            <w:highlight w:val="lightGray"/>
          </w:rPr>
          <w:t>P</w:t>
        </w:r>
        <w:r w:rsidRPr="000542FC">
          <w:rPr>
            <w:rStyle w:val="Hypertextovprepojenie"/>
            <w:sz w:val="22"/>
            <w:szCs w:val="22"/>
            <w:highlight w:val="lightGray"/>
          </w:rPr>
          <w:t xml:space="preserve">rílohe </w:t>
        </w:r>
        <w:r w:rsidRPr="000542FC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Pr="000542FC">
        <w:rPr>
          <w:noProof/>
          <w:sz w:val="22"/>
          <w:szCs w:val="22"/>
        </w:rPr>
        <w:t>.</w:t>
      </w:r>
    </w:p>
    <w:p w14:paraId="38E23DA9" w14:textId="77777777" w:rsidR="00403B3D" w:rsidRPr="00C15ECE" w:rsidRDefault="00403B3D" w:rsidP="00F80F43">
      <w:pPr>
        <w:pStyle w:val="Zkladntext"/>
        <w:tabs>
          <w:tab w:val="left" w:pos="567"/>
        </w:tabs>
        <w:rPr>
          <w:sz w:val="22"/>
          <w:szCs w:val="22"/>
          <w:lang w:val="en-GB"/>
        </w:rPr>
      </w:pPr>
    </w:p>
    <w:p w14:paraId="5A6459E7" w14:textId="77777777" w:rsidR="00A759D9" w:rsidRPr="00FD306D" w:rsidRDefault="00A759D9" w:rsidP="00403B3D">
      <w:pPr>
        <w:tabs>
          <w:tab w:val="left" w:pos="567"/>
        </w:tabs>
        <w:rPr>
          <w:sz w:val="22"/>
          <w:szCs w:val="22"/>
        </w:rPr>
      </w:pPr>
      <w:r w:rsidRPr="00FD306D">
        <w:rPr>
          <w:b/>
          <w:sz w:val="22"/>
          <w:szCs w:val="22"/>
        </w:rPr>
        <w:t xml:space="preserve">4.9 </w:t>
      </w:r>
      <w:r w:rsidR="00F80F43">
        <w:rPr>
          <w:b/>
          <w:sz w:val="22"/>
          <w:szCs w:val="22"/>
        </w:rPr>
        <w:tab/>
      </w:r>
      <w:r w:rsidRPr="00FD306D">
        <w:rPr>
          <w:b/>
          <w:sz w:val="22"/>
          <w:szCs w:val="22"/>
        </w:rPr>
        <w:t>Predávkovanie</w:t>
      </w:r>
      <w:r w:rsidRPr="00FD306D">
        <w:rPr>
          <w:sz w:val="22"/>
          <w:szCs w:val="22"/>
        </w:rPr>
        <w:t xml:space="preserve"> </w:t>
      </w:r>
    </w:p>
    <w:p w14:paraId="56D9E721" w14:textId="77777777" w:rsidR="004855E2" w:rsidRDefault="004855E2" w:rsidP="00403B3D">
      <w:pPr>
        <w:pStyle w:val="Zkladntext"/>
        <w:tabs>
          <w:tab w:val="left" w:pos="567"/>
        </w:tabs>
        <w:jc w:val="left"/>
        <w:rPr>
          <w:sz w:val="22"/>
          <w:szCs w:val="22"/>
          <w:lang w:val="sk-SK"/>
        </w:rPr>
      </w:pPr>
    </w:p>
    <w:p w14:paraId="0084D2A1" w14:textId="77777777" w:rsidR="00A759D9" w:rsidRPr="00FD306D" w:rsidRDefault="00A759D9" w:rsidP="00403B3D">
      <w:pPr>
        <w:pStyle w:val="Zkladntext"/>
        <w:tabs>
          <w:tab w:val="left" w:pos="567"/>
        </w:tabs>
        <w:jc w:val="left"/>
        <w:rPr>
          <w:sz w:val="22"/>
          <w:szCs w:val="22"/>
          <w:lang w:val="sk-SK"/>
        </w:rPr>
      </w:pPr>
      <w:r w:rsidRPr="00FD306D">
        <w:rPr>
          <w:sz w:val="22"/>
          <w:szCs w:val="22"/>
          <w:lang w:val="sk-SK"/>
        </w:rPr>
        <w:t>Pri zistení intoxikácie je potrebné myslieť na možnosť kombinovanej intoxikácie viacerými druhmi liekov, napr. v suicidálnom úmysle.</w:t>
      </w:r>
    </w:p>
    <w:p w14:paraId="029124B6" w14:textId="77777777" w:rsidR="00A759D9" w:rsidRPr="00FD306D" w:rsidRDefault="00A759D9" w:rsidP="00403B3D">
      <w:pPr>
        <w:pStyle w:val="Zkladntext"/>
        <w:tabs>
          <w:tab w:val="left" w:pos="567"/>
        </w:tabs>
        <w:jc w:val="left"/>
        <w:rPr>
          <w:sz w:val="22"/>
          <w:szCs w:val="22"/>
          <w:lang w:val="sk-SK"/>
        </w:rPr>
      </w:pPr>
    </w:p>
    <w:p w14:paraId="153A12C4" w14:textId="77777777" w:rsidR="00A759D9" w:rsidRPr="004E1507" w:rsidRDefault="00A759D9" w:rsidP="004D6E7B">
      <w:pPr>
        <w:keepNext/>
        <w:tabs>
          <w:tab w:val="left" w:pos="567"/>
        </w:tabs>
        <w:rPr>
          <w:bCs/>
          <w:sz w:val="22"/>
          <w:szCs w:val="22"/>
          <w:u w:val="single"/>
        </w:rPr>
      </w:pPr>
      <w:r w:rsidRPr="004E1507">
        <w:rPr>
          <w:bCs/>
          <w:sz w:val="22"/>
          <w:szCs w:val="22"/>
          <w:u w:val="single"/>
        </w:rPr>
        <w:t xml:space="preserve">Príznaky intoxikácie </w:t>
      </w:r>
    </w:p>
    <w:p w14:paraId="6FEEB477" w14:textId="77777777" w:rsidR="00A759D9" w:rsidRPr="00FD306D" w:rsidRDefault="00A759D9" w:rsidP="004D6E7B">
      <w:pPr>
        <w:keepNext/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>Petnidan je pomerne málo toxický. Pri predávkovaní sa prejavujú vo zvýšenej miere príznaky, uvedené pod nežiaducimi účinkami, ako únava, letargia, stavy mrzutosti a podráždenosti, niekedy tiež vzrušenosť. Pri podozrení na intoxikáciu sa odporúča v každom prípade stanovenie plazmatickej koncentrácie antiepileptika.</w:t>
      </w:r>
    </w:p>
    <w:p w14:paraId="338E20D2" w14:textId="77777777" w:rsidR="00A759D9" w:rsidRPr="00FD306D" w:rsidRDefault="00A759D9" w:rsidP="00403B3D">
      <w:pPr>
        <w:tabs>
          <w:tab w:val="left" w:pos="567"/>
        </w:tabs>
        <w:rPr>
          <w:sz w:val="22"/>
          <w:szCs w:val="22"/>
        </w:rPr>
      </w:pPr>
    </w:p>
    <w:p w14:paraId="6E8DE397" w14:textId="5DEF8FB4" w:rsidR="00A759D9" w:rsidRPr="004E1507" w:rsidRDefault="00A759D9" w:rsidP="004D6E7B">
      <w:pPr>
        <w:keepNext/>
        <w:tabs>
          <w:tab w:val="left" w:pos="567"/>
        </w:tabs>
        <w:jc w:val="both"/>
        <w:rPr>
          <w:bCs/>
          <w:sz w:val="22"/>
          <w:szCs w:val="22"/>
          <w:u w:val="single"/>
        </w:rPr>
      </w:pPr>
      <w:r w:rsidRPr="004E1507">
        <w:rPr>
          <w:bCs/>
          <w:sz w:val="22"/>
          <w:szCs w:val="22"/>
          <w:u w:val="single"/>
        </w:rPr>
        <w:lastRenderedPageBreak/>
        <w:t>Terapi</w:t>
      </w:r>
      <w:r w:rsidR="00F73DA4">
        <w:rPr>
          <w:bCs/>
          <w:sz w:val="22"/>
          <w:szCs w:val="22"/>
          <w:u w:val="single"/>
        </w:rPr>
        <w:t>a</w:t>
      </w:r>
      <w:r w:rsidRPr="004E1507">
        <w:rPr>
          <w:bCs/>
          <w:sz w:val="22"/>
          <w:szCs w:val="22"/>
          <w:u w:val="single"/>
        </w:rPr>
        <w:t xml:space="preserve"> intoxikácie </w:t>
      </w:r>
    </w:p>
    <w:p w14:paraId="546106C0" w14:textId="77777777" w:rsidR="00A759D9" w:rsidRPr="00FD306D" w:rsidRDefault="00A759D9" w:rsidP="004D6E7B">
      <w:pPr>
        <w:keepNext/>
        <w:tabs>
          <w:tab w:val="left" w:pos="567"/>
        </w:tabs>
        <w:jc w:val="both"/>
        <w:rPr>
          <w:sz w:val="22"/>
          <w:szCs w:val="22"/>
        </w:rPr>
      </w:pPr>
      <w:r w:rsidRPr="00FD306D">
        <w:rPr>
          <w:sz w:val="22"/>
          <w:szCs w:val="22"/>
        </w:rPr>
        <w:t>Pri ťažšom predávkovaní sa odporúča najprv výplach žalúdka a  potom podanie aktívneho uhlia, ďalej zaistenie intenzívnej starostlivosti, obehových a dychových funkcií. Špecifické antidotum nie je známe.</w:t>
      </w:r>
    </w:p>
    <w:p w14:paraId="294CC6FF" w14:textId="77777777" w:rsidR="00A759D9" w:rsidRDefault="00A759D9" w:rsidP="00101570">
      <w:pPr>
        <w:tabs>
          <w:tab w:val="left" w:pos="567"/>
        </w:tabs>
        <w:jc w:val="both"/>
        <w:rPr>
          <w:sz w:val="22"/>
          <w:szCs w:val="22"/>
        </w:rPr>
      </w:pPr>
    </w:p>
    <w:p w14:paraId="017AF6EA" w14:textId="77777777" w:rsidR="00101570" w:rsidRPr="00FD306D" w:rsidRDefault="00101570" w:rsidP="00101570">
      <w:pPr>
        <w:tabs>
          <w:tab w:val="left" w:pos="567"/>
        </w:tabs>
        <w:jc w:val="both"/>
        <w:rPr>
          <w:sz w:val="22"/>
          <w:szCs w:val="22"/>
        </w:rPr>
      </w:pPr>
    </w:p>
    <w:p w14:paraId="655F0D0D" w14:textId="77777777" w:rsidR="00A759D9" w:rsidRDefault="00A759D9" w:rsidP="00101570">
      <w:pPr>
        <w:tabs>
          <w:tab w:val="left" w:pos="567"/>
        </w:tabs>
        <w:jc w:val="both"/>
        <w:rPr>
          <w:b/>
          <w:caps/>
          <w:sz w:val="22"/>
          <w:szCs w:val="22"/>
        </w:rPr>
      </w:pPr>
      <w:r w:rsidRPr="00FD306D">
        <w:rPr>
          <w:b/>
          <w:caps/>
          <w:sz w:val="22"/>
          <w:szCs w:val="22"/>
        </w:rPr>
        <w:t xml:space="preserve">5. </w:t>
      </w:r>
      <w:r w:rsidR="00F80F43">
        <w:rPr>
          <w:b/>
          <w:caps/>
          <w:sz w:val="22"/>
          <w:szCs w:val="22"/>
        </w:rPr>
        <w:tab/>
      </w:r>
      <w:r w:rsidRPr="00FD306D">
        <w:rPr>
          <w:b/>
          <w:caps/>
          <w:sz w:val="22"/>
          <w:szCs w:val="22"/>
        </w:rPr>
        <w:t>Farmakologické vlastnosti</w:t>
      </w:r>
    </w:p>
    <w:p w14:paraId="0A84A5B6" w14:textId="77777777" w:rsidR="00101570" w:rsidRPr="00FD306D" w:rsidRDefault="00101570" w:rsidP="00101570">
      <w:pPr>
        <w:tabs>
          <w:tab w:val="left" w:pos="567"/>
        </w:tabs>
        <w:jc w:val="both"/>
        <w:rPr>
          <w:b/>
          <w:caps/>
          <w:sz w:val="22"/>
          <w:szCs w:val="22"/>
        </w:rPr>
      </w:pPr>
    </w:p>
    <w:p w14:paraId="1DD5EAF8" w14:textId="77777777" w:rsidR="00A759D9" w:rsidRPr="00FD306D" w:rsidRDefault="00A759D9" w:rsidP="00101570">
      <w:pPr>
        <w:tabs>
          <w:tab w:val="left" w:pos="567"/>
        </w:tabs>
        <w:rPr>
          <w:sz w:val="22"/>
          <w:szCs w:val="22"/>
        </w:rPr>
      </w:pPr>
      <w:r w:rsidRPr="00FD306D">
        <w:rPr>
          <w:b/>
          <w:sz w:val="22"/>
          <w:szCs w:val="22"/>
        </w:rPr>
        <w:t xml:space="preserve">5.1 </w:t>
      </w:r>
      <w:r w:rsidR="00F80F43">
        <w:rPr>
          <w:b/>
          <w:sz w:val="22"/>
          <w:szCs w:val="22"/>
        </w:rPr>
        <w:tab/>
      </w:r>
      <w:r w:rsidRPr="00FD306D">
        <w:rPr>
          <w:b/>
          <w:sz w:val="22"/>
          <w:szCs w:val="22"/>
        </w:rPr>
        <w:t>Farmakodynamické vlastnosti</w:t>
      </w:r>
    </w:p>
    <w:p w14:paraId="32A3FA3F" w14:textId="77777777" w:rsidR="009D7421" w:rsidRDefault="009D7421" w:rsidP="00101570">
      <w:pPr>
        <w:tabs>
          <w:tab w:val="left" w:pos="567"/>
        </w:tabs>
        <w:rPr>
          <w:bCs/>
          <w:sz w:val="22"/>
          <w:szCs w:val="22"/>
        </w:rPr>
      </w:pPr>
    </w:p>
    <w:p w14:paraId="57C407AB" w14:textId="77777777" w:rsidR="009D7421" w:rsidRDefault="009D7421" w:rsidP="00101570">
      <w:pPr>
        <w:tabs>
          <w:tab w:val="left" w:pos="567"/>
        </w:tabs>
        <w:rPr>
          <w:bCs/>
          <w:sz w:val="22"/>
          <w:szCs w:val="22"/>
        </w:rPr>
      </w:pPr>
      <w:r w:rsidRPr="000D27F8">
        <w:rPr>
          <w:sz w:val="22"/>
          <w:szCs w:val="22"/>
        </w:rPr>
        <w:t xml:space="preserve">Farmakoterapeutická skupina: </w:t>
      </w:r>
      <w:r w:rsidR="006744EC">
        <w:rPr>
          <w:sz w:val="22"/>
          <w:szCs w:val="22"/>
        </w:rPr>
        <w:t>Antiepileptiká, deriváty sukcinimidov</w:t>
      </w:r>
    </w:p>
    <w:p w14:paraId="16672196" w14:textId="77777777" w:rsidR="00A759D9" w:rsidRPr="009D7421" w:rsidRDefault="00A759D9" w:rsidP="00101570">
      <w:pPr>
        <w:tabs>
          <w:tab w:val="left" w:pos="567"/>
        </w:tabs>
        <w:rPr>
          <w:bCs/>
          <w:sz w:val="22"/>
          <w:szCs w:val="22"/>
        </w:rPr>
      </w:pPr>
      <w:r w:rsidRPr="009D7421">
        <w:rPr>
          <w:bCs/>
          <w:sz w:val="22"/>
          <w:szCs w:val="22"/>
        </w:rPr>
        <w:t xml:space="preserve">ATC </w:t>
      </w:r>
      <w:r w:rsidR="009D7421">
        <w:rPr>
          <w:bCs/>
          <w:sz w:val="22"/>
          <w:szCs w:val="22"/>
        </w:rPr>
        <w:t>kód</w:t>
      </w:r>
      <w:r w:rsidRPr="009D7421">
        <w:rPr>
          <w:bCs/>
          <w:sz w:val="22"/>
          <w:szCs w:val="22"/>
        </w:rPr>
        <w:t>: N03AD01</w:t>
      </w:r>
    </w:p>
    <w:p w14:paraId="0D8031A4" w14:textId="77777777" w:rsidR="009D7421" w:rsidRDefault="009D7421" w:rsidP="00101570">
      <w:pPr>
        <w:tabs>
          <w:tab w:val="left" w:pos="567"/>
        </w:tabs>
        <w:rPr>
          <w:sz w:val="22"/>
          <w:szCs w:val="22"/>
        </w:rPr>
      </w:pPr>
    </w:p>
    <w:p w14:paraId="09FD1242" w14:textId="77777777" w:rsidR="00A759D9" w:rsidRPr="00FD306D" w:rsidRDefault="00A759D9" w:rsidP="00101570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 xml:space="preserve">Etosuximid je antiepileptikum zo skupiny suxinimidov. Mechanizmus jeho účinku nie je ešte úplne objasnený; hlásený bol inhibičný účinok na odbúravanie GABA. </w:t>
      </w:r>
    </w:p>
    <w:p w14:paraId="4CB231DC" w14:textId="77777777" w:rsidR="006744EC" w:rsidRPr="001E2379" w:rsidRDefault="006744EC" w:rsidP="00101570">
      <w:pPr>
        <w:pStyle w:val="Default"/>
        <w:rPr>
          <w:bCs/>
          <w:iCs/>
          <w:sz w:val="22"/>
          <w:szCs w:val="22"/>
          <w:lang w:val="sk-SK"/>
        </w:rPr>
      </w:pPr>
      <w:r>
        <w:rPr>
          <w:bCs/>
          <w:iCs/>
          <w:sz w:val="22"/>
          <w:szCs w:val="22"/>
          <w:lang w:val="sk-SK"/>
        </w:rPr>
        <w:t>V dvojito zaslepenej, randomizovanej</w:t>
      </w:r>
      <w:r w:rsidRPr="001E2379">
        <w:rPr>
          <w:bCs/>
          <w:iCs/>
          <w:sz w:val="22"/>
          <w:szCs w:val="22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>štúdii v trvaní</w:t>
      </w:r>
      <w:r w:rsidRPr="001E2379">
        <w:rPr>
          <w:bCs/>
          <w:iCs/>
          <w:sz w:val="22"/>
          <w:szCs w:val="22"/>
          <w:lang w:val="sk-SK"/>
        </w:rPr>
        <w:t xml:space="preserve"> 20 </w:t>
      </w:r>
      <w:r>
        <w:rPr>
          <w:bCs/>
          <w:iCs/>
          <w:sz w:val="22"/>
          <w:szCs w:val="22"/>
          <w:lang w:val="sk-SK"/>
        </w:rPr>
        <w:t>týždňov u</w:t>
      </w:r>
      <w:r w:rsidRPr="001E2379">
        <w:rPr>
          <w:bCs/>
          <w:iCs/>
          <w:sz w:val="22"/>
          <w:szCs w:val="22"/>
          <w:lang w:val="sk-SK"/>
        </w:rPr>
        <w:t xml:space="preserve"> 453 </w:t>
      </w:r>
      <w:r>
        <w:rPr>
          <w:bCs/>
          <w:iCs/>
          <w:sz w:val="22"/>
          <w:szCs w:val="22"/>
          <w:lang w:val="sk-SK"/>
        </w:rPr>
        <w:t>detí vo veku 2,5 až</w:t>
      </w:r>
      <w:r w:rsidRPr="001E2379">
        <w:rPr>
          <w:bCs/>
          <w:iCs/>
          <w:sz w:val="22"/>
          <w:szCs w:val="22"/>
          <w:lang w:val="sk-SK"/>
        </w:rPr>
        <w:t xml:space="preserve"> 13 </w:t>
      </w:r>
      <w:r>
        <w:rPr>
          <w:bCs/>
          <w:iCs/>
          <w:sz w:val="22"/>
          <w:szCs w:val="22"/>
          <w:lang w:val="sk-SK"/>
        </w:rPr>
        <w:t>rokov s novo diagnostikovanou</w:t>
      </w:r>
      <w:r w:rsidRPr="001E2379">
        <w:rPr>
          <w:bCs/>
          <w:iCs/>
          <w:sz w:val="22"/>
          <w:szCs w:val="22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>detskou absenčnou epilepsiou, bola skúmaná</w:t>
      </w:r>
      <w:r w:rsidRPr="001E2379">
        <w:rPr>
          <w:bCs/>
          <w:iCs/>
          <w:sz w:val="22"/>
          <w:szCs w:val="22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>účinnosť</w:t>
      </w:r>
      <w:r w:rsidRPr="001E2379">
        <w:rPr>
          <w:bCs/>
          <w:iCs/>
          <w:sz w:val="22"/>
          <w:szCs w:val="22"/>
          <w:lang w:val="sk-SK"/>
        </w:rPr>
        <w:t xml:space="preserve">, </w:t>
      </w:r>
      <w:r>
        <w:rPr>
          <w:bCs/>
          <w:iCs/>
          <w:sz w:val="22"/>
          <w:szCs w:val="22"/>
          <w:lang w:val="sk-SK"/>
        </w:rPr>
        <w:t>znášanlivosť a neuropsychologické</w:t>
      </w:r>
      <w:r w:rsidRPr="001E2379">
        <w:rPr>
          <w:bCs/>
          <w:iCs/>
          <w:sz w:val="22"/>
          <w:szCs w:val="22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>účinky etosuximidu</w:t>
      </w:r>
      <w:r w:rsidRPr="001E2379">
        <w:rPr>
          <w:bCs/>
          <w:iCs/>
          <w:sz w:val="22"/>
          <w:szCs w:val="22"/>
          <w:lang w:val="sk-SK"/>
        </w:rPr>
        <w:t xml:space="preserve">, </w:t>
      </w:r>
      <w:r>
        <w:rPr>
          <w:bCs/>
          <w:iCs/>
          <w:sz w:val="22"/>
          <w:szCs w:val="22"/>
          <w:lang w:val="sk-SK"/>
        </w:rPr>
        <w:t>kyseliny valproovej a lamotrigínu</w:t>
      </w:r>
      <w:r w:rsidRPr="001E2379">
        <w:rPr>
          <w:bCs/>
          <w:iCs/>
          <w:sz w:val="22"/>
          <w:szCs w:val="22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>ako monoterapie pri</w:t>
      </w:r>
      <w:r w:rsidRPr="001E2379">
        <w:rPr>
          <w:bCs/>
          <w:iCs/>
          <w:sz w:val="22"/>
          <w:szCs w:val="22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>detskej absenčnej epilepsii</w:t>
      </w:r>
      <w:r w:rsidRPr="001E2379">
        <w:rPr>
          <w:bCs/>
          <w:iCs/>
          <w:sz w:val="22"/>
          <w:szCs w:val="22"/>
          <w:lang w:val="sk-SK"/>
        </w:rPr>
        <w:t xml:space="preserve">. </w:t>
      </w:r>
      <w:r>
        <w:rPr>
          <w:bCs/>
          <w:iCs/>
          <w:sz w:val="22"/>
          <w:szCs w:val="22"/>
          <w:lang w:val="sk-SK"/>
        </w:rPr>
        <w:t>Pacienti liečení s</w:t>
      </w:r>
      <w:r w:rsidRPr="001E2379">
        <w:rPr>
          <w:bCs/>
          <w:iCs/>
          <w:sz w:val="22"/>
          <w:szCs w:val="22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>etosuximidom alebo kyselinou valproovou mali</w:t>
      </w:r>
      <w:r w:rsidRPr="001E2379">
        <w:rPr>
          <w:bCs/>
          <w:iCs/>
          <w:sz w:val="22"/>
          <w:szCs w:val="22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>vyššie</w:t>
      </w:r>
      <w:r w:rsidRPr="001E2379">
        <w:rPr>
          <w:bCs/>
          <w:iCs/>
          <w:sz w:val="22"/>
          <w:szCs w:val="22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>miery nezlyhania (53 % resp. 58 %</w:t>
      </w:r>
      <w:r w:rsidRPr="001E2379">
        <w:rPr>
          <w:bCs/>
          <w:iCs/>
          <w:sz w:val="22"/>
          <w:szCs w:val="22"/>
          <w:lang w:val="sk-SK"/>
        </w:rPr>
        <w:t xml:space="preserve">) </w:t>
      </w:r>
      <w:r>
        <w:rPr>
          <w:bCs/>
          <w:iCs/>
          <w:sz w:val="22"/>
          <w:szCs w:val="22"/>
          <w:lang w:val="sk-SK"/>
        </w:rPr>
        <w:t>než pacienti, ktorým bol podávaný lamotrigín</w:t>
      </w:r>
      <w:r w:rsidRPr="001E2379">
        <w:rPr>
          <w:bCs/>
          <w:iCs/>
          <w:sz w:val="22"/>
          <w:szCs w:val="22"/>
          <w:lang w:val="sk-SK"/>
        </w:rPr>
        <w:t xml:space="preserve"> (29</w:t>
      </w:r>
      <w:r>
        <w:rPr>
          <w:bCs/>
          <w:iCs/>
          <w:sz w:val="22"/>
          <w:szCs w:val="22"/>
          <w:lang w:val="sk-SK"/>
        </w:rPr>
        <w:t xml:space="preserve"> </w:t>
      </w:r>
      <w:r w:rsidRPr="001E2379">
        <w:rPr>
          <w:bCs/>
          <w:iCs/>
          <w:sz w:val="22"/>
          <w:szCs w:val="22"/>
          <w:lang w:val="sk-SK"/>
        </w:rPr>
        <w:t xml:space="preserve">%; </w:t>
      </w:r>
      <w:r>
        <w:rPr>
          <w:bCs/>
          <w:iCs/>
          <w:sz w:val="22"/>
          <w:szCs w:val="22"/>
          <w:lang w:val="sk-SK"/>
        </w:rPr>
        <w:t>pomer pravdepodobností</w:t>
      </w:r>
      <w:r w:rsidRPr="001E2379">
        <w:rPr>
          <w:bCs/>
          <w:iCs/>
          <w:sz w:val="22"/>
          <w:szCs w:val="22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>s et</w:t>
      </w:r>
      <w:r w:rsidRPr="001E2379">
        <w:rPr>
          <w:bCs/>
          <w:iCs/>
          <w:sz w:val="22"/>
          <w:szCs w:val="22"/>
          <w:lang w:val="sk-SK"/>
        </w:rPr>
        <w:t>osuximid</w:t>
      </w:r>
      <w:r>
        <w:rPr>
          <w:bCs/>
          <w:iCs/>
          <w:sz w:val="22"/>
          <w:szCs w:val="22"/>
          <w:lang w:val="sk-SK"/>
        </w:rPr>
        <w:t>om</w:t>
      </w:r>
      <w:r w:rsidRPr="001E2379">
        <w:rPr>
          <w:bCs/>
          <w:iCs/>
          <w:sz w:val="22"/>
          <w:szCs w:val="22"/>
          <w:lang w:val="sk-SK"/>
        </w:rPr>
        <w:t xml:space="preserve"> vs. la</w:t>
      </w:r>
      <w:r>
        <w:rPr>
          <w:bCs/>
          <w:iCs/>
          <w:sz w:val="22"/>
          <w:szCs w:val="22"/>
          <w:lang w:val="sk-SK"/>
        </w:rPr>
        <w:t>motrigínom, 2,</w:t>
      </w:r>
      <w:r w:rsidRPr="001E2379">
        <w:rPr>
          <w:bCs/>
          <w:iCs/>
          <w:sz w:val="22"/>
          <w:szCs w:val="22"/>
          <w:lang w:val="sk-SK"/>
        </w:rPr>
        <w:t>66; 95</w:t>
      </w:r>
      <w:r>
        <w:rPr>
          <w:bCs/>
          <w:iCs/>
          <w:sz w:val="22"/>
          <w:szCs w:val="22"/>
          <w:lang w:val="sk-SK"/>
        </w:rPr>
        <w:t xml:space="preserve"> </w:t>
      </w:r>
      <w:r w:rsidRPr="001E2379">
        <w:rPr>
          <w:bCs/>
          <w:iCs/>
          <w:sz w:val="22"/>
          <w:szCs w:val="22"/>
          <w:lang w:val="sk-SK"/>
        </w:rPr>
        <w:t>% interval</w:t>
      </w:r>
      <w:r>
        <w:rPr>
          <w:bCs/>
          <w:iCs/>
          <w:sz w:val="22"/>
          <w:szCs w:val="22"/>
          <w:lang w:val="sk-SK"/>
        </w:rPr>
        <w:t xml:space="preserve"> spoľahlivosti [CI], 1,65 až 4,</w:t>
      </w:r>
      <w:r w:rsidRPr="001E2379">
        <w:rPr>
          <w:bCs/>
          <w:iCs/>
          <w:sz w:val="22"/>
          <w:szCs w:val="22"/>
          <w:lang w:val="sk-SK"/>
        </w:rPr>
        <w:t xml:space="preserve">28; </w:t>
      </w:r>
      <w:r>
        <w:rPr>
          <w:bCs/>
          <w:iCs/>
          <w:sz w:val="22"/>
          <w:szCs w:val="22"/>
          <w:lang w:val="sk-SK"/>
        </w:rPr>
        <w:t>pomer pravdepodobností</w:t>
      </w:r>
      <w:r w:rsidRPr="001E2379">
        <w:rPr>
          <w:bCs/>
          <w:iCs/>
          <w:sz w:val="22"/>
          <w:szCs w:val="22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>s kyselinou valproovou vs. lamotrigínom, 3,</w:t>
      </w:r>
      <w:r w:rsidRPr="001E2379">
        <w:rPr>
          <w:bCs/>
          <w:iCs/>
          <w:sz w:val="22"/>
          <w:szCs w:val="22"/>
          <w:lang w:val="sk-SK"/>
        </w:rPr>
        <w:t>34; 95</w:t>
      </w:r>
      <w:r>
        <w:rPr>
          <w:bCs/>
          <w:iCs/>
          <w:sz w:val="22"/>
          <w:szCs w:val="22"/>
          <w:lang w:val="sk-SK"/>
        </w:rPr>
        <w:t xml:space="preserve"> % CI, 2,06 až 5,42; P&lt;0,</w:t>
      </w:r>
      <w:r w:rsidRPr="001E2379">
        <w:rPr>
          <w:bCs/>
          <w:iCs/>
          <w:sz w:val="22"/>
          <w:szCs w:val="22"/>
          <w:lang w:val="sk-SK"/>
        </w:rPr>
        <w:t xml:space="preserve">001 </w:t>
      </w:r>
      <w:r>
        <w:rPr>
          <w:bCs/>
          <w:iCs/>
          <w:sz w:val="22"/>
          <w:szCs w:val="22"/>
          <w:lang w:val="sk-SK"/>
        </w:rPr>
        <w:t>pre obe porovnania</w:t>
      </w:r>
      <w:r w:rsidRPr="001E2379">
        <w:rPr>
          <w:bCs/>
          <w:iCs/>
          <w:sz w:val="22"/>
          <w:szCs w:val="22"/>
          <w:lang w:val="sk-SK"/>
        </w:rPr>
        <w:t xml:space="preserve">). </w:t>
      </w:r>
      <w:r>
        <w:rPr>
          <w:bCs/>
          <w:iCs/>
          <w:sz w:val="22"/>
          <w:szCs w:val="22"/>
          <w:lang w:val="sk-SK"/>
        </w:rPr>
        <w:t>Vo vopred špecifikovanej aj</w:t>
      </w:r>
      <w:r w:rsidRPr="001E2379">
        <w:rPr>
          <w:bCs/>
          <w:iCs/>
          <w:sz w:val="22"/>
          <w:szCs w:val="22"/>
          <w:lang w:val="sk-SK"/>
        </w:rPr>
        <w:t xml:space="preserve"> post hoc anal</w:t>
      </w:r>
      <w:r>
        <w:rPr>
          <w:bCs/>
          <w:iCs/>
          <w:sz w:val="22"/>
          <w:szCs w:val="22"/>
          <w:lang w:val="sk-SK"/>
        </w:rPr>
        <w:t>ýze viedol etosuximid</w:t>
      </w:r>
      <w:r w:rsidRPr="001E2379">
        <w:rPr>
          <w:bCs/>
          <w:iCs/>
          <w:sz w:val="22"/>
          <w:szCs w:val="22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>k menšiemu množstvu</w:t>
      </w:r>
      <w:r w:rsidRPr="001E2379">
        <w:rPr>
          <w:bCs/>
          <w:iCs/>
          <w:sz w:val="22"/>
          <w:szCs w:val="22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>účinkov na pozornosť</w:t>
      </w:r>
      <w:r w:rsidRPr="001E2379">
        <w:rPr>
          <w:bCs/>
          <w:iCs/>
          <w:sz w:val="22"/>
          <w:szCs w:val="22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>v porovnaní s kyselinou valproovou</w:t>
      </w:r>
      <w:r w:rsidRPr="001E2379">
        <w:rPr>
          <w:bCs/>
          <w:iCs/>
          <w:sz w:val="22"/>
          <w:szCs w:val="22"/>
          <w:lang w:val="sk-SK"/>
        </w:rPr>
        <w:t xml:space="preserve"> (</w:t>
      </w:r>
      <w:r>
        <w:rPr>
          <w:bCs/>
          <w:iCs/>
          <w:sz w:val="22"/>
          <w:szCs w:val="22"/>
          <w:lang w:val="sk-SK"/>
        </w:rPr>
        <w:t>v týždni 16 a</w:t>
      </w:r>
      <w:r w:rsidRPr="001E2379">
        <w:rPr>
          <w:bCs/>
          <w:iCs/>
          <w:sz w:val="22"/>
          <w:szCs w:val="22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>týždni</w:t>
      </w:r>
      <w:r w:rsidRPr="001E2379">
        <w:rPr>
          <w:bCs/>
          <w:iCs/>
          <w:sz w:val="22"/>
          <w:szCs w:val="22"/>
          <w:lang w:val="sk-SK"/>
        </w:rPr>
        <w:t xml:space="preserve"> 20, </w:t>
      </w:r>
      <w:r>
        <w:rPr>
          <w:bCs/>
          <w:iCs/>
          <w:sz w:val="22"/>
          <w:szCs w:val="22"/>
          <w:lang w:val="sk-SK"/>
        </w:rPr>
        <w:t>percento subjektov so</w:t>
      </w:r>
      <w:r w:rsidRPr="001E2379">
        <w:rPr>
          <w:bCs/>
          <w:iCs/>
          <w:sz w:val="22"/>
          <w:szCs w:val="22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>skóre indexu spoľahlivosti 0,</w:t>
      </w:r>
      <w:r w:rsidRPr="001E2379">
        <w:rPr>
          <w:bCs/>
          <w:iCs/>
          <w:sz w:val="22"/>
          <w:szCs w:val="22"/>
          <w:lang w:val="sk-SK"/>
        </w:rPr>
        <w:t xml:space="preserve">60 </w:t>
      </w:r>
      <w:r>
        <w:rPr>
          <w:bCs/>
          <w:iCs/>
          <w:sz w:val="22"/>
          <w:szCs w:val="22"/>
          <w:lang w:val="sk-SK"/>
        </w:rPr>
        <w:t>alebo vyšším v</w:t>
      </w:r>
      <w:r w:rsidRPr="001E2379">
        <w:rPr>
          <w:bCs/>
          <w:iCs/>
          <w:sz w:val="22"/>
          <w:szCs w:val="22"/>
          <w:lang w:val="sk-SK"/>
        </w:rPr>
        <w:t xml:space="preserve"> Conners' Continuous Performance Test</w:t>
      </w:r>
      <w:r>
        <w:rPr>
          <w:bCs/>
          <w:iCs/>
          <w:sz w:val="22"/>
          <w:szCs w:val="22"/>
          <w:lang w:val="sk-SK"/>
        </w:rPr>
        <w:t xml:space="preserve"> (Connersovej skúška nepretržitého výkonu, CPT)</w:t>
      </w:r>
      <w:r w:rsidRPr="001E2379">
        <w:rPr>
          <w:bCs/>
          <w:iCs/>
          <w:sz w:val="22"/>
          <w:szCs w:val="22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>bolo väčšie v skupine, ktorej bola podávaná kyselina valproová ako v skupine, ktorej bol podávaný</w:t>
      </w:r>
      <w:r w:rsidRPr="001E2379">
        <w:rPr>
          <w:bCs/>
          <w:iCs/>
          <w:sz w:val="22"/>
          <w:szCs w:val="22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>etosuximid</w:t>
      </w:r>
      <w:r w:rsidRPr="001E2379">
        <w:rPr>
          <w:bCs/>
          <w:iCs/>
          <w:sz w:val="22"/>
          <w:szCs w:val="22"/>
          <w:lang w:val="sk-SK"/>
        </w:rPr>
        <w:t xml:space="preserve"> (49</w:t>
      </w:r>
      <w:r>
        <w:rPr>
          <w:bCs/>
          <w:iCs/>
          <w:sz w:val="22"/>
          <w:szCs w:val="22"/>
          <w:lang w:val="sk-SK"/>
        </w:rPr>
        <w:t xml:space="preserve"> </w:t>
      </w:r>
      <w:r w:rsidRPr="001E2379">
        <w:rPr>
          <w:bCs/>
          <w:iCs/>
          <w:sz w:val="22"/>
          <w:szCs w:val="22"/>
          <w:lang w:val="sk-SK"/>
        </w:rPr>
        <w:t>% vs. 33</w:t>
      </w:r>
      <w:r>
        <w:rPr>
          <w:bCs/>
          <w:iCs/>
          <w:sz w:val="22"/>
          <w:szCs w:val="22"/>
          <w:lang w:val="sk-SK"/>
        </w:rPr>
        <w:t xml:space="preserve"> </w:t>
      </w:r>
      <w:r w:rsidRPr="001E2379">
        <w:rPr>
          <w:bCs/>
          <w:iCs/>
          <w:sz w:val="22"/>
          <w:szCs w:val="22"/>
          <w:lang w:val="sk-SK"/>
        </w:rPr>
        <w:t xml:space="preserve">%; </w:t>
      </w:r>
      <w:r>
        <w:rPr>
          <w:bCs/>
          <w:iCs/>
          <w:sz w:val="22"/>
          <w:szCs w:val="22"/>
          <w:lang w:val="sk-SK"/>
        </w:rPr>
        <w:t>pomer pravdepodobností, 1,</w:t>
      </w:r>
      <w:r w:rsidRPr="001E2379">
        <w:rPr>
          <w:bCs/>
          <w:iCs/>
          <w:sz w:val="22"/>
          <w:szCs w:val="22"/>
          <w:lang w:val="sk-SK"/>
        </w:rPr>
        <w:t>95; 95</w:t>
      </w:r>
      <w:r>
        <w:rPr>
          <w:bCs/>
          <w:iCs/>
          <w:sz w:val="22"/>
          <w:szCs w:val="22"/>
          <w:lang w:val="sk-SK"/>
        </w:rPr>
        <w:t xml:space="preserve"> % CI, 1,12 až 3,41; P=0,03) a</w:t>
      </w:r>
      <w:r w:rsidRPr="001E2379">
        <w:rPr>
          <w:bCs/>
          <w:iCs/>
          <w:sz w:val="22"/>
          <w:szCs w:val="22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>v skupine, ktorej bol podávaný</w:t>
      </w:r>
      <w:r w:rsidRPr="001E2379">
        <w:rPr>
          <w:bCs/>
          <w:iCs/>
          <w:sz w:val="22"/>
          <w:szCs w:val="22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>lamotrigín</w:t>
      </w:r>
      <w:r w:rsidRPr="001E2379">
        <w:rPr>
          <w:bCs/>
          <w:iCs/>
          <w:sz w:val="22"/>
          <w:szCs w:val="22"/>
          <w:lang w:val="sk-SK"/>
        </w:rPr>
        <w:t xml:space="preserve"> (49</w:t>
      </w:r>
      <w:r>
        <w:rPr>
          <w:bCs/>
          <w:iCs/>
          <w:sz w:val="22"/>
          <w:szCs w:val="22"/>
          <w:lang w:val="sk-SK"/>
        </w:rPr>
        <w:t xml:space="preserve"> </w:t>
      </w:r>
      <w:r w:rsidRPr="001E2379">
        <w:rPr>
          <w:bCs/>
          <w:iCs/>
          <w:sz w:val="22"/>
          <w:szCs w:val="22"/>
          <w:lang w:val="sk-SK"/>
        </w:rPr>
        <w:t>% vs. 24</w:t>
      </w:r>
      <w:r>
        <w:rPr>
          <w:bCs/>
          <w:iCs/>
          <w:sz w:val="22"/>
          <w:szCs w:val="22"/>
          <w:lang w:val="sk-SK"/>
        </w:rPr>
        <w:t xml:space="preserve"> </w:t>
      </w:r>
      <w:r w:rsidRPr="001E2379">
        <w:rPr>
          <w:bCs/>
          <w:iCs/>
          <w:sz w:val="22"/>
          <w:szCs w:val="22"/>
          <w:lang w:val="sk-SK"/>
        </w:rPr>
        <w:t xml:space="preserve">%; </w:t>
      </w:r>
      <w:r>
        <w:rPr>
          <w:bCs/>
          <w:iCs/>
          <w:sz w:val="22"/>
          <w:szCs w:val="22"/>
          <w:lang w:val="sk-SK"/>
        </w:rPr>
        <w:t>pomer pravdepodobností, 3,</w:t>
      </w:r>
      <w:r w:rsidRPr="001E2379">
        <w:rPr>
          <w:bCs/>
          <w:iCs/>
          <w:sz w:val="22"/>
          <w:szCs w:val="22"/>
          <w:lang w:val="sk-SK"/>
        </w:rPr>
        <w:t>04; 95</w:t>
      </w:r>
      <w:r>
        <w:rPr>
          <w:bCs/>
          <w:iCs/>
          <w:sz w:val="22"/>
          <w:szCs w:val="22"/>
          <w:lang w:val="sk-SK"/>
        </w:rPr>
        <w:t xml:space="preserve"> % CI, 1,69 až 5,49; P&lt;0,</w:t>
      </w:r>
      <w:r w:rsidRPr="001E2379">
        <w:rPr>
          <w:bCs/>
          <w:iCs/>
          <w:sz w:val="22"/>
          <w:szCs w:val="22"/>
          <w:lang w:val="sk-SK"/>
        </w:rPr>
        <w:t>001).</w:t>
      </w:r>
    </w:p>
    <w:p w14:paraId="6B2FB47D" w14:textId="77777777" w:rsidR="00CC59AB" w:rsidRPr="00FD306D" w:rsidRDefault="00CC59AB" w:rsidP="00F80F43">
      <w:pPr>
        <w:tabs>
          <w:tab w:val="left" w:pos="567"/>
        </w:tabs>
        <w:rPr>
          <w:sz w:val="22"/>
          <w:szCs w:val="22"/>
        </w:rPr>
      </w:pPr>
    </w:p>
    <w:p w14:paraId="202C0B02" w14:textId="77777777" w:rsidR="00A759D9" w:rsidRPr="00FD306D" w:rsidRDefault="00A759D9" w:rsidP="00F80F43">
      <w:pPr>
        <w:tabs>
          <w:tab w:val="left" w:pos="567"/>
        </w:tabs>
        <w:rPr>
          <w:sz w:val="22"/>
          <w:szCs w:val="22"/>
        </w:rPr>
      </w:pPr>
      <w:r w:rsidRPr="00FD306D">
        <w:rPr>
          <w:b/>
          <w:sz w:val="22"/>
          <w:szCs w:val="22"/>
        </w:rPr>
        <w:t>5.2</w:t>
      </w:r>
      <w:r w:rsidR="00E67DA9">
        <w:rPr>
          <w:b/>
          <w:sz w:val="22"/>
          <w:szCs w:val="22"/>
        </w:rPr>
        <w:t xml:space="preserve"> </w:t>
      </w:r>
      <w:r w:rsidRPr="00FD306D">
        <w:rPr>
          <w:b/>
          <w:sz w:val="22"/>
          <w:szCs w:val="22"/>
        </w:rPr>
        <w:t>Farmakokinetické vlastnosti</w:t>
      </w:r>
    </w:p>
    <w:p w14:paraId="54AF1F45" w14:textId="77777777" w:rsidR="00A759D9" w:rsidRPr="00FD306D" w:rsidRDefault="00A759D9" w:rsidP="00F80F43">
      <w:pPr>
        <w:tabs>
          <w:tab w:val="left" w:pos="567"/>
        </w:tabs>
        <w:rPr>
          <w:i/>
          <w:sz w:val="22"/>
          <w:szCs w:val="22"/>
        </w:rPr>
      </w:pPr>
    </w:p>
    <w:p w14:paraId="5D4F8836" w14:textId="77777777" w:rsidR="00A759D9" w:rsidRPr="00343231" w:rsidRDefault="00A759D9" w:rsidP="00F80F43">
      <w:pPr>
        <w:tabs>
          <w:tab w:val="left" w:pos="567"/>
        </w:tabs>
        <w:rPr>
          <w:iCs/>
          <w:sz w:val="22"/>
          <w:szCs w:val="22"/>
          <w:u w:val="single"/>
        </w:rPr>
      </w:pPr>
      <w:r w:rsidRPr="00343231">
        <w:rPr>
          <w:iCs/>
          <w:sz w:val="22"/>
          <w:szCs w:val="22"/>
          <w:u w:val="single"/>
        </w:rPr>
        <w:t>Absorpcia</w:t>
      </w:r>
    </w:p>
    <w:p w14:paraId="4F2959E8" w14:textId="77777777" w:rsidR="00A471A6" w:rsidRDefault="00A759D9" w:rsidP="00F80F43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>Etosuximid je po perorálnom podaní prakticky úplne absorbovaný. Po podaní 1g etosuximidu trom dobrovoľníkom boli po 1 - 4 hodinách namerané C</w:t>
      </w:r>
      <w:r w:rsidRPr="00FD306D">
        <w:rPr>
          <w:sz w:val="22"/>
          <w:szCs w:val="22"/>
          <w:vertAlign w:val="subscript"/>
        </w:rPr>
        <w:t>max</w:t>
      </w:r>
      <w:r w:rsidRPr="00FD306D">
        <w:rPr>
          <w:sz w:val="22"/>
          <w:szCs w:val="22"/>
        </w:rPr>
        <w:t xml:space="preserve"> hodnoty plazmatickej hladiny 18 až 24 </w:t>
      </w:r>
      <w:r w:rsidRPr="00FD306D">
        <w:rPr>
          <w:sz w:val="22"/>
          <w:szCs w:val="22"/>
        </w:rPr>
        <w:sym w:font="Symbol" w:char="F06D"/>
      </w:r>
      <w:r w:rsidRPr="00FD306D">
        <w:rPr>
          <w:sz w:val="22"/>
          <w:szCs w:val="22"/>
        </w:rPr>
        <w:t>g/ml.</w:t>
      </w:r>
    </w:p>
    <w:p w14:paraId="006AEE67" w14:textId="77777777" w:rsidR="00A471A6" w:rsidRDefault="00A471A6" w:rsidP="00F80F43">
      <w:pPr>
        <w:tabs>
          <w:tab w:val="left" w:pos="567"/>
        </w:tabs>
        <w:rPr>
          <w:sz w:val="22"/>
          <w:szCs w:val="22"/>
        </w:rPr>
      </w:pPr>
    </w:p>
    <w:p w14:paraId="2148A615" w14:textId="77777777" w:rsidR="00A471A6" w:rsidRDefault="00A471A6" w:rsidP="00F80F4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U dospelých p</w:t>
      </w:r>
      <w:r w:rsidRPr="00FD306D">
        <w:rPr>
          <w:sz w:val="22"/>
          <w:szCs w:val="22"/>
        </w:rPr>
        <w:t xml:space="preserve">ri dlhodobej medikácii </w:t>
      </w:r>
      <w:r>
        <w:rPr>
          <w:sz w:val="22"/>
          <w:szCs w:val="22"/>
        </w:rPr>
        <w:t>15</w:t>
      </w:r>
      <w:r w:rsidRPr="00FD306D">
        <w:rPr>
          <w:sz w:val="22"/>
          <w:szCs w:val="22"/>
        </w:rPr>
        <w:t xml:space="preserve"> mg/kg telesnej hmotnosti boli namerané koncentrácie v plazme cca 50 </w:t>
      </w:r>
      <w:r w:rsidRPr="00FD306D">
        <w:rPr>
          <w:sz w:val="22"/>
          <w:szCs w:val="22"/>
        </w:rPr>
        <w:sym w:font="Symbol" w:char="F06D"/>
      </w:r>
      <w:r w:rsidRPr="00FD306D">
        <w:rPr>
          <w:sz w:val="22"/>
          <w:szCs w:val="22"/>
        </w:rPr>
        <w:t xml:space="preserve">g/ml. Pri perorálnej dávke 1 mg/kg telesnej hmotnosti možno predpokladať denne plazmatickú koncentráciu cca 2 - 3 </w:t>
      </w:r>
      <w:r w:rsidRPr="00FD306D">
        <w:rPr>
          <w:sz w:val="22"/>
          <w:szCs w:val="22"/>
        </w:rPr>
        <w:sym w:font="Symbol" w:char="F06D"/>
      </w:r>
      <w:r w:rsidRPr="00FD306D">
        <w:rPr>
          <w:sz w:val="22"/>
          <w:szCs w:val="22"/>
        </w:rPr>
        <w:t xml:space="preserve">g/ml, u detí 1 - 2 </w:t>
      </w:r>
      <w:r w:rsidRPr="00FD306D">
        <w:rPr>
          <w:sz w:val="22"/>
          <w:szCs w:val="22"/>
        </w:rPr>
        <w:sym w:font="Symbol" w:char="F06D"/>
      </w:r>
      <w:r w:rsidRPr="00FD306D">
        <w:rPr>
          <w:sz w:val="22"/>
          <w:szCs w:val="22"/>
        </w:rPr>
        <w:t>g/ml.</w:t>
      </w:r>
    </w:p>
    <w:p w14:paraId="7B18441A" w14:textId="77777777" w:rsidR="00A759D9" w:rsidRPr="00FD306D" w:rsidRDefault="00A759D9" w:rsidP="00F80F43">
      <w:pPr>
        <w:tabs>
          <w:tab w:val="left" w:pos="567"/>
        </w:tabs>
        <w:rPr>
          <w:sz w:val="22"/>
          <w:szCs w:val="22"/>
        </w:rPr>
      </w:pPr>
    </w:p>
    <w:p w14:paraId="6CF981EE" w14:textId="77777777" w:rsidR="00556E24" w:rsidRDefault="00A759D9" w:rsidP="00F80F43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 xml:space="preserve">8 - 10 dní </w:t>
      </w:r>
      <w:r w:rsidR="00E77066" w:rsidRPr="00FD306D">
        <w:rPr>
          <w:sz w:val="22"/>
          <w:szCs w:val="22"/>
        </w:rPr>
        <w:t xml:space="preserve">od </w:t>
      </w:r>
      <w:r w:rsidRPr="00FD306D">
        <w:rPr>
          <w:sz w:val="22"/>
          <w:szCs w:val="22"/>
        </w:rPr>
        <w:t xml:space="preserve">začiatku terapie možno počítať s nástupom </w:t>
      </w:r>
      <w:r w:rsidR="00F80F43">
        <w:rPr>
          <w:sz w:val="22"/>
          <w:szCs w:val="22"/>
        </w:rPr>
        <w:t>rovnovážneho stavu</w:t>
      </w:r>
      <w:r w:rsidRPr="00FD306D">
        <w:rPr>
          <w:sz w:val="22"/>
          <w:szCs w:val="22"/>
        </w:rPr>
        <w:t xml:space="preserve">. Napriek značným interindividuálnym </w:t>
      </w:r>
      <w:r w:rsidR="00F80F43">
        <w:rPr>
          <w:sz w:val="22"/>
          <w:szCs w:val="22"/>
        </w:rPr>
        <w:t>rozdielom</w:t>
      </w:r>
      <w:r w:rsidR="00F80F43" w:rsidRPr="00FD306D">
        <w:rPr>
          <w:sz w:val="22"/>
          <w:szCs w:val="22"/>
        </w:rPr>
        <w:t xml:space="preserve"> </w:t>
      </w:r>
      <w:r w:rsidRPr="00FD306D">
        <w:rPr>
          <w:sz w:val="22"/>
          <w:szCs w:val="22"/>
        </w:rPr>
        <w:t>pri rovnakej perorálnej dávke sa ukazuje, že plazmatická koncentrácia je lineárne závislá od dávky.</w:t>
      </w:r>
    </w:p>
    <w:p w14:paraId="3AFA8005" w14:textId="77777777" w:rsidR="00A759D9" w:rsidRPr="00FD306D" w:rsidRDefault="00A759D9" w:rsidP="00F80F43">
      <w:pPr>
        <w:tabs>
          <w:tab w:val="left" w:pos="567"/>
        </w:tabs>
        <w:rPr>
          <w:sz w:val="22"/>
          <w:szCs w:val="22"/>
        </w:rPr>
      </w:pPr>
    </w:p>
    <w:p w14:paraId="370E23B2" w14:textId="77777777" w:rsidR="00A759D9" w:rsidRDefault="00A759D9" w:rsidP="00F80F43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 xml:space="preserve">Terapeutická plazmatická koncentrácia etosuximidu leží medzi hodnotami 40 až 100 </w:t>
      </w:r>
      <w:r w:rsidRPr="00FD306D">
        <w:rPr>
          <w:sz w:val="22"/>
          <w:szCs w:val="22"/>
        </w:rPr>
        <w:sym w:font="Symbol" w:char="F06D"/>
      </w:r>
      <w:r w:rsidRPr="00FD306D">
        <w:rPr>
          <w:sz w:val="22"/>
          <w:szCs w:val="22"/>
        </w:rPr>
        <w:t xml:space="preserve">g/ml. Plazmatická koncentrácia presahujúca 150 </w:t>
      </w:r>
      <w:r w:rsidRPr="00FD306D">
        <w:rPr>
          <w:sz w:val="22"/>
          <w:szCs w:val="22"/>
        </w:rPr>
        <w:sym w:font="Symbol" w:char="F06D"/>
      </w:r>
      <w:r w:rsidRPr="00FD306D">
        <w:rPr>
          <w:sz w:val="22"/>
          <w:szCs w:val="22"/>
        </w:rPr>
        <w:t xml:space="preserve">g/ml môže viesť už k toxickým príznakom. </w:t>
      </w:r>
    </w:p>
    <w:p w14:paraId="347C4260" w14:textId="77777777" w:rsidR="00A471A6" w:rsidRDefault="00A471A6" w:rsidP="00F80F43">
      <w:pPr>
        <w:tabs>
          <w:tab w:val="left" w:pos="567"/>
        </w:tabs>
        <w:rPr>
          <w:sz w:val="22"/>
          <w:szCs w:val="22"/>
        </w:rPr>
      </w:pPr>
    </w:p>
    <w:p w14:paraId="1E0B2722" w14:textId="77777777" w:rsidR="00A471A6" w:rsidRPr="00A471A6" w:rsidRDefault="00F80F43" w:rsidP="00F80F4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  <w:u w:val="single"/>
        </w:rPr>
        <w:t>Pediatrická populácia</w:t>
      </w:r>
    </w:p>
    <w:p w14:paraId="2CE8F70E" w14:textId="77777777" w:rsidR="00A471A6" w:rsidRPr="00A471A6" w:rsidRDefault="00A471A6" w:rsidP="00F80F43">
      <w:pPr>
        <w:tabs>
          <w:tab w:val="left" w:pos="567"/>
        </w:tabs>
        <w:rPr>
          <w:sz w:val="22"/>
          <w:szCs w:val="22"/>
        </w:rPr>
      </w:pPr>
      <w:r w:rsidRPr="00A471A6">
        <w:rPr>
          <w:sz w:val="22"/>
          <w:szCs w:val="22"/>
        </w:rPr>
        <w:t xml:space="preserve">Po jednorazovom podaní 500 mg etosuximidu </w:t>
      </w:r>
      <w:r>
        <w:rPr>
          <w:sz w:val="22"/>
          <w:szCs w:val="22"/>
        </w:rPr>
        <w:t>u</w:t>
      </w:r>
      <w:r w:rsidRPr="00A471A6">
        <w:rPr>
          <w:sz w:val="22"/>
          <w:szCs w:val="22"/>
        </w:rPr>
        <w:t xml:space="preserve"> detí (7 - 8,5 roka, 12,9 - </w:t>
      </w:r>
      <w:smartTag w:uri="urn:schemas-microsoft-com:office:smarttags" w:element="metricconverter">
        <w:smartTagPr>
          <w:attr w:name="ProductID" w:val="24,4 kg"/>
        </w:smartTagPr>
        <w:r w:rsidRPr="00A471A6">
          <w:rPr>
            <w:sz w:val="22"/>
            <w:szCs w:val="22"/>
          </w:rPr>
          <w:t>24,4 kg</w:t>
        </w:r>
      </w:smartTag>
      <w:r w:rsidRPr="00A471A6">
        <w:rPr>
          <w:sz w:val="22"/>
          <w:szCs w:val="22"/>
        </w:rPr>
        <w:t xml:space="preserve"> telesnej hmotnosti) po 3 - 7 hodinách boli zistené C</w:t>
      </w:r>
      <w:r w:rsidRPr="00A471A6">
        <w:rPr>
          <w:sz w:val="22"/>
          <w:szCs w:val="22"/>
          <w:vertAlign w:val="subscript"/>
        </w:rPr>
        <w:t>max</w:t>
      </w:r>
      <w:r w:rsidRPr="00A471A6">
        <w:rPr>
          <w:sz w:val="22"/>
          <w:szCs w:val="22"/>
        </w:rPr>
        <w:t xml:space="preserve"> hodnoty 28,0 až 50,9 </w:t>
      </w:r>
      <w:r w:rsidRPr="00A471A6">
        <w:rPr>
          <w:sz w:val="22"/>
          <w:szCs w:val="22"/>
        </w:rPr>
        <w:sym w:font="Symbol" w:char="F06D"/>
      </w:r>
      <w:r w:rsidRPr="00A471A6">
        <w:rPr>
          <w:sz w:val="22"/>
          <w:szCs w:val="22"/>
        </w:rPr>
        <w:t xml:space="preserve">g/ml. Pri dlhodobej medikácii 20 mg/kg telesnej hmotnosti boli u detí namerané koncentrácie v plazme cca 50 </w:t>
      </w:r>
      <w:r w:rsidRPr="00A471A6">
        <w:rPr>
          <w:sz w:val="22"/>
          <w:szCs w:val="22"/>
        </w:rPr>
        <w:sym w:font="Symbol" w:char="F06D"/>
      </w:r>
      <w:r w:rsidRPr="00A471A6">
        <w:rPr>
          <w:sz w:val="22"/>
          <w:szCs w:val="22"/>
        </w:rPr>
        <w:t>g/ml</w:t>
      </w:r>
      <w:r w:rsidR="00DC7E84">
        <w:rPr>
          <w:sz w:val="22"/>
          <w:szCs w:val="22"/>
        </w:rPr>
        <w:t>, zatiaľ čo u</w:t>
      </w:r>
      <w:r w:rsidRPr="00A471A6">
        <w:rPr>
          <w:sz w:val="22"/>
          <w:szCs w:val="22"/>
        </w:rPr>
        <w:t xml:space="preserve"> dospelých postačuje na dosiahnutie tej istej plazmatickej koncentrácie nižšia dávka (cca 15 mg/kg telesnej hmotnosti). Pri perorálnej dávke 1 mg/kg telesnej hmotnosti denne u detí možno predpokladať plazmatickú koncentráciu 1 - 2 </w:t>
      </w:r>
      <w:r w:rsidRPr="00A471A6">
        <w:rPr>
          <w:sz w:val="22"/>
          <w:szCs w:val="22"/>
        </w:rPr>
        <w:sym w:font="Symbol" w:char="F06D"/>
      </w:r>
      <w:r w:rsidRPr="00A471A6">
        <w:rPr>
          <w:sz w:val="22"/>
          <w:szCs w:val="22"/>
        </w:rPr>
        <w:t xml:space="preserve">g/ml. Mladšie deti potrebujú o niečo vyššie dávky než staršie. </w:t>
      </w:r>
    </w:p>
    <w:p w14:paraId="005A944E" w14:textId="77777777" w:rsidR="00A759D9" w:rsidRPr="00556E24" w:rsidRDefault="00A759D9" w:rsidP="00F80F43">
      <w:pPr>
        <w:tabs>
          <w:tab w:val="left" w:pos="567"/>
        </w:tabs>
        <w:rPr>
          <w:iCs/>
          <w:sz w:val="22"/>
          <w:szCs w:val="22"/>
        </w:rPr>
      </w:pPr>
    </w:p>
    <w:p w14:paraId="2DF81B00" w14:textId="77777777" w:rsidR="00A759D9" w:rsidRPr="00556E24" w:rsidRDefault="00556E24" w:rsidP="004D6E7B">
      <w:pPr>
        <w:keepNext/>
        <w:tabs>
          <w:tab w:val="left" w:pos="567"/>
        </w:tabs>
        <w:rPr>
          <w:iCs/>
          <w:sz w:val="22"/>
          <w:szCs w:val="22"/>
        </w:rPr>
      </w:pPr>
      <w:r w:rsidRPr="000D27F8">
        <w:rPr>
          <w:sz w:val="22"/>
          <w:szCs w:val="22"/>
          <w:u w:val="single"/>
        </w:rPr>
        <w:lastRenderedPageBreak/>
        <w:t>Distribúcia</w:t>
      </w:r>
    </w:p>
    <w:p w14:paraId="22309E5A" w14:textId="77777777" w:rsidR="00A759D9" w:rsidRPr="00FD306D" w:rsidRDefault="00A759D9" w:rsidP="004D6E7B">
      <w:pPr>
        <w:keepNext/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>Etosuximid sa neviaže na plazmatické bielkoviny. V likvore a v slinách sa etosuximid nachádza v rovnakej koncentrácii ako v plazme. Distribučný objem sa udáva v hodnote cca 0,7 l/kg telesnej hmotnosti. Etosuximid prechádza placentárnou bariérou.</w:t>
      </w:r>
    </w:p>
    <w:p w14:paraId="3E37B245" w14:textId="77777777" w:rsidR="00A759D9" w:rsidRDefault="00A759D9" w:rsidP="00F80F43">
      <w:pPr>
        <w:tabs>
          <w:tab w:val="left" w:pos="567"/>
        </w:tabs>
        <w:rPr>
          <w:iCs/>
          <w:sz w:val="22"/>
          <w:szCs w:val="22"/>
        </w:rPr>
      </w:pPr>
    </w:p>
    <w:p w14:paraId="79BED728" w14:textId="77777777" w:rsidR="00CE54F4" w:rsidRDefault="004B441A" w:rsidP="00F80F43">
      <w:pPr>
        <w:tabs>
          <w:tab w:val="left" w:pos="567"/>
        </w:tabs>
        <w:rPr>
          <w:iCs/>
          <w:sz w:val="22"/>
          <w:szCs w:val="22"/>
        </w:rPr>
      </w:pPr>
      <w:r w:rsidRPr="000D27F8">
        <w:rPr>
          <w:sz w:val="22"/>
          <w:szCs w:val="22"/>
          <w:u w:val="single"/>
        </w:rPr>
        <w:t>Biotransformácia</w:t>
      </w:r>
    </w:p>
    <w:p w14:paraId="29510E6C" w14:textId="77777777" w:rsidR="00A759D9" w:rsidRPr="00FD306D" w:rsidRDefault="00A759D9" w:rsidP="00F80F43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>Etosuximid je v najväčšej miere oxidatívne metabolizovaný v pečeni</w:t>
      </w:r>
      <w:r w:rsidR="004B441A">
        <w:rPr>
          <w:sz w:val="22"/>
          <w:szCs w:val="22"/>
        </w:rPr>
        <w:t>.</w:t>
      </w:r>
      <w:r w:rsidRPr="00FD306D">
        <w:rPr>
          <w:sz w:val="22"/>
          <w:szCs w:val="22"/>
        </w:rPr>
        <w:t xml:space="preserve"> Vzniká viacej metabolitov, predovšetkým dva diastereoméry 2-(1-hydroxyetyl)-2-metylsukcinimid a 2-etyl-2-metyl-3-hydroxysukcinimid. </w:t>
      </w:r>
      <w:r w:rsidR="004B441A">
        <w:rPr>
          <w:sz w:val="22"/>
          <w:szCs w:val="22"/>
        </w:rPr>
        <w:t>Oba m</w:t>
      </w:r>
      <w:r w:rsidRPr="00FD306D">
        <w:rPr>
          <w:sz w:val="22"/>
          <w:szCs w:val="22"/>
        </w:rPr>
        <w:t xml:space="preserve">etabolity sú pravdepodobne </w:t>
      </w:r>
      <w:r w:rsidR="004B441A">
        <w:rPr>
          <w:sz w:val="22"/>
          <w:szCs w:val="22"/>
        </w:rPr>
        <w:t xml:space="preserve">farmakologicky </w:t>
      </w:r>
      <w:r w:rsidRPr="00FD306D">
        <w:rPr>
          <w:sz w:val="22"/>
          <w:szCs w:val="22"/>
        </w:rPr>
        <w:t>neaktívne.</w:t>
      </w:r>
    </w:p>
    <w:p w14:paraId="25A30680" w14:textId="77777777" w:rsidR="004B441A" w:rsidRDefault="004B441A" w:rsidP="00F80F43">
      <w:pPr>
        <w:tabs>
          <w:tab w:val="left" w:pos="567"/>
        </w:tabs>
        <w:rPr>
          <w:sz w:val="22"/>
          <w:szCs w:val="22"/>
        </w:rPr>
      </w:pPr>
    </w:p>
    <w:p w14:paraId="7A3D17FD" w14:textId="77777777" w:rsidR="007E2AEC" w:rsidRPr="001E2379" w:rsidRDefault="007E2AEC" w:rsidP="00A77A27">
      <w:pPr>
        <w:tabs>
          <w:tab w:val="left" w:pos="567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Eliminácia</w:t>
      </w:r>
    </w:p>
    <w:p w14:paraId="14CE4DA8" w14:textId="77777777" w:rsidR="007E2AEC" w:rsidRPr="001E2379" w:rsidRDefault="007E2AEC" w:rsidP="00F80F4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Len</w:t>
      </w:r>
      <w:r w:rsidRPr="001E2379">
        <w:rPr>
          <w:sz w:val="22"/>
          <w:szCs w:val="22"/>
        </w:rPr>
        <w:t xml:space="preserve"> 10 </w:t>
      </w:r>
      <w:r>
        <w:rPr>
          <w:sz w:val="22"/>
          <w:szCs w:val="22"/>
        </w:rPr>
        <w:t>–</w:t>
      </w:r>
      <w:r w:rsidRPr="001E2379">
        <w:rPr>
          <w:sz w:val="22"/>
          <w:szCs w:val="22"/>
        </w:rPr>
        <w:t xml:space="preserve"> 20</w:t>
      </w:r>
      <w:r>
        <w:rPr>
          <w:sz w:val="22"/>
          <w:szCs w:val="22"/>
        </w:rPr>
        <w:t xml:space="preserve"> </w:t>
      </w:r>
      <w:r w:rsidRPr="001E2379">
        <w:rPr>
          <w:sz w:val="22"/>
          <w:szCs w:val="22"/>
        </w:rPr>
        <w:t>%</w:t>
      </w:r>
      <w:r>
        <w:rPr>
          <w:sz w:val="22"/>
          <w:szCs w:val="22"/>
        </w:rPr>
        <w:t xml:space="preserve"> etosuximidu</w:t>
      </w:r>
      <w:r w:rsidRPr="001E2379">
        <w:rPr>
          <w:sz w:val="22"/>
          <w:szCs w:val="22"/>
        </w:rPr>
        <w:t xml:space="preserve"> </w:t>
      </w:r>
      <w:r>
        <w:rPr>
          <w:sz w:val="22"/>
          <w:szCs w:val="22"/>
        </w:rPr>
        <w:t>je vylúčených v nezmenenej forme močom</w:t>
      </w:r>
      <w:r w:rsidRPr="001E2379">
        <w:rPr>
          <w:sz w:val="22"/>
          <w:szCs w:val="22"/>
        </w:rPr>
        <w:t xml:space="preserve">. </w:t>
      </w:r>
      <w:r>
        <w:rPr>
          <w:sz w:val="22"/>
          <w:szCs w:val="22"/>
        </w:rPr>
        <w:t>Hlavné</w:t>
      </w:r>
      <w:r w:rsidRPr="001E2379">
        <w:rPr>
          <w:sz w:val="22"/>
          <w:szCs w:val="22"/>
        </w:rPr>
        <w:t xml:space="preserve"> metabolit</w:t>
      </w:r>
      <w:r>
        <w:rPr>
          <w:sz w:val="22"/>
          <w:szCs w:val="22"/>
        </w:rPr>
        <w:t>y etosuximidu</w:t>
      </w:r>
      <w:r w:rsidRPr="001E2379">
        <w:rPr>
          <w:sz w:val="22"/>
          <w:szCs w:val="22"/>
        </w:rPr>
        <w:t xml:space="preserve">, </w:t>
      </w:r>
      <w:r>
        <w:rPr>
          <w:sz w:val="22"/>
          <w:szCs w:val="22"/>
        </w:rPr>
        <w:t>dv</w:t>
      </w:r>
      <w:r w:rsidR="00A27578">
        <w:rPr>
          <w:sz w:val="22"/>
          <w:szCs w:val="22"/>
        </w:rPr>
        <w:t>a</w:t>
      </w:r>
      <w:r w:rsidRPr="001E2379">
        <w:rPr>
          <w:sz w:val="22"/>
          <w:szCs w:val="22"/>
        </w:rPr>
        <w:t xml:space="preserve"> dias</w:t>
      </w:r>
      <w:r>
        <w:rPr>
          <w:sz w:val="22"/>
          <w:szCs w:val="22"/>
        </w:rPr>
        <w:t>tereomé</w:t>
      </w:r>
      <w:r w:rsidRPr="001E2379">
        <w:rPr>
          <w:sz w:val="22"/>
          <w:szCs w:val="22"/>
        </w:rPr>
        <w:t>r</w:t>
      </w:r>
      <w:r w:rsidR="00A27578">
        <w:rPr>
          <w:sz w:val="22"/>
          <w:szCs w:val="22"/>
        </w:rPr>
        <w:t>y</w:t>
      </w:r>
      <w:r>
        <w:rPr>
          <w:sz w:val="22"/>
          <w:szCs w:val="22"/>
        </w:rPr>
        <w:t xml:space="preserve"> 2-(1-hydroxyetyl)-2-metylsukcinimid a 2-etyl-2-metyl-3-hydroxysukcinimid</w:t>
      </w:r>
      <w:r w:rsidRPr="001E2379">
        <w:rPr>
          <w:sz w:val="22"/>
          <w:szCs w:val="22"/>
        </w:rPr>
        <w:t xml:space="preserve">, </w:t>
      </w:r>
      <w:r>
        <w:rPr>
          <w:sz w:val="22"/>
          <w:szCs w:val="22"/>
        </w:rPr>
        <w:t>sú vylučované čiastočne ako glukuronidové konjugáty</w:t>
      </w:r>
      <w:r w:rsidRPr="001E2379">
        <w:rPr>
          <w:sz w:val="22"/>
          <w:szCs w:val="22"/>
        </w:rPr>
        <w:t xml:space="preserve"> </w:t>
      </w:r>
      <w:r>
        <w:rPr>
          <w:sz w:val="22"/>
          <w:szCs w:val="22"/>
        </w:rPr>
        <w:t>v moči</w:t>
      </w:r>
      <w:r w:rsidRPr="001E2379">
        <w:rPr>
          <w:sz w:val="22"/>
          <w:szCs w:val="22"/>
        </w:rPr>
        <w:t>.</w:t>
      </w:r>
    </w:p>
    <w:p w14:paraId="4985EC8A" w14:textId="77777777" w:rsidR="00734D8B" w:rsidRDefault="00A759D9" w:rsidP="00A77A27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 xml:space="preserve">Po jednorazovej perorálnej dávke  13,1 až 18,0 mg etosuximidu/kg telesnej hmotnosti u 12 mužských dobrovoľníkov (20 – 23 ročných, 57,2 - 114,8 kg telesnej hmotnosti) sa plazmatický polčas eliminácie pohyboval medzi 38,3 - 66,6 hodín. Po jednorazovej dávke 500 mg etosuximidu (kapsuly) u 5 detí bol nameraný plazmatický polčas eliminácie od 25,7 do 35,9 hodín, pri tej istej  dávke, podanej v roztoku 24,8 - 41,7 hodín. </w:t>
      </w:r>
    </w:p>
    <w:p w14:paraId="31D0410D" w14:textId="77777777" w:rsidR="002A3DBC" w:rsidRDefault="002A3DBC" w:rsidP="00A77A27">
      <w:pPr>
        <w:tabs>
          <w:tab w:val="left" w:pos="567"/>
        </w:tabs>
        <w:rPr>
          <w:sz w:val="22"/>
          <w:szCs w:val="22"/>
        </w:rPr>
      </w:pPr>
    </w:p>
    <w:p w14:paraId="1D5C5E2D" w14:textId="77777777" w:rsidR="00734D8B" w:rsidRPr="00462EF3" w:rsidRDefault="00734D8B" w:rsidP="00A77A27">
      <w:pPr>
        <w:tabs>
          <w:tab w:val="left" w:pos="567"/>
        </w:tabs>
        <w:rPr>
          <w:iCs/>
          <w:sz w:val="22"/>
          <w:szCs w:val="22"/>
          <w:u w:val="single"/>
        </w:rPr>
      </w:pPr>
      <w:r w:rsidRPr="00462EF3">
        <w:rPr>
          <w:iCs/>
          <w:sz w:val="22"/>
          <w:szCs w:val="22"/>
          <w:u w:val="single"/>
        </w:rPr>
        <w:t>Priestupnosť do materského mlieka</w:t>
      </w:r>
    </w:p>
    <w:p w14:paraId="7B959EA3" w14:textId="77777777" w:rsidR="00734D8B" w:rsidRPr="00FD306D" w:rsidRDefault="00734D8B" w:rsidP="00A77A27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 xml:space="preserve">Etosuximid prechádza do materského mlieka, kde vzťah koncentrácie etosuximidu v materskom mlieku k plazmatickej koncentrácii je udávaný pomerom 0,94 </w:t>
      </w:r>
      <w:r w:rsidRPr="00FD306D">
        <w:rPr>
          <w:sz w:val="22"/>
          <w:szCs w:val="22"/>
        </w:rPr>
        <w:sym w:font="Symbol" w:char="F0B1"/>
      </w:r>
      <w:r w:rsidRPr="00FD306D">
        <w:rPr>
          <w:sz w:val="22"/>
          <w:szCs w:val="22"/>
        </w:rPr>
        <w:t xml:space="preserve"> 0,06.</w:t>
      </w:r>
    </w:p>
    <w:p w14:paraId="35F3DF8E" w14:textId="77777777" w:rsidR="00734D8B" w:rsidRPr="00FD306D" w:rsidRDefault="00734D8B" w:rsidP="00734D8B">
      <w:pPr>
        <w:tabs>
          <w:tab w:val="left" w:pos="567"/>
        </w:tabs>
        <w:jc w:val="both"/>
        <w:rPr>
          <w:i/>
          <w:sz w:val="22"/>
          <w:szCs w:val="22"/>
        </w:rPr>
      </w:pPr>
    </w:p>
    <w:p w14:paraId="67D42CAA" w14:textId="77777777" w:rsidR="00734D8B" w:rsidRPr="00FD306D" w:rsidRDefault="005F41EE" w:rsidP="00A77A27">
      <w:pPr>
        <w:tabs>
          <w:tab w:val="left" w:pos="567"/>
        </w:tabs>
        <w:rPr>
          <w:sz w:val="22"/>
          <w:szCs w:val="22"/>
        </w:rPr>
      </w:pPr>
      <w:r w:rsidRPr="000D27F8">
        <w:rPr>
          <w:b/>
          <w:sz w:val="22"/>
          <w:szCs w:val="22"/>
        </w:rPr>
        <w:t>5.3</w:t>
      </w:r>
      <w:r w:rsidR="00E67DA9">
        <w:rPr>
          <w:b/>
          <w:sz w:val="22"/>
          <w:szCs w:val="22"/>
        </w:rPr>
        <w:t xml:space="preserve"> </w:t>
      </w:r>
      <w:r w:rsidR="00F80F43">
        <w:rPr>
          <w:b/>
          <w:sz w:val="22"/>
          <w:szCs w:val="22"/>
        </w:rPr>
        <w:tab/>
      </w:r>
      <w:r w:rsidRPr="000D27F8">
        <w:rPr>
          <w:b/>
          <w:sz w:val="22"/>
          <w:szCs w:val="22"/>
        </w:rPr>
        <w:t>Predklinické údaje o bezpečnosti</w:t>
      </w:r>
    </w:p>
    <w:p w14:paraId="51C26D0B" w14:textId="77777777" w:rsidR="00A759D9" w:rsidRDefault="00A759D9" w:rsidP="00A77A27">
      <w:pPr>
        <w:tabs>
          <w:tab w:val="left" w:pos="567"/>
        </w:tabs>
        <w:rPr>
          <w:sz w:val="22"/>
          <w:szCs w:val="22"/>
        </w:rPr>
      </w:pPr>
    </w:p>
    <w:p w14:paraId="2ADE1F6E" w14:textId="77777777" w:rsidR="001E059B" w:rsidRPr="001E2379" w:rsidRDefault="001E059B" w:rsidP="00A77A27">
      <w:pPr>
        <w:tabs>
          <w:tab w:val="left" w:pos="567"/>
        </w:tabs>
        <w:rPr>
          <w:sz w:val="22"/>
          <w:szCs w:val="22"/>
          <w:u w:val="single"/>
        </w:rPr>
      </w:pPr>
      <w:r w:rsidRPr="001E2379">
        <w:rPr>
          <w:sz w:val="22"/>
          <w:szCs w:val="22"/>
          <w:u w:val="single"/>
        </w:rPr>
        <w:t>A</w:t>
      </w:r>
      <w:r>
        <w:rPr>
          <w:sz w:val="22"/>
          <w:szCs w:val="22"/>
          <w:u w:val="single"/>
        </w:rPr>
        <w:t>kútna toxicita</w:t>
      </w:r>
    </w:p>
    <w:p w14:paraId="26689009" w14:textId="77777777" w:rsidR="001E059B" w:rsidRPr="001E2379" w:rsidRDefault="001E059B" w:rsidP="00F80F4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Plazmatické koncentrácie presahujúce hodnotu</w:t>
      </w:r>
      <w:r w:rsidRPr="001E2379">
        <w:rPr>
          <w:sz w:val="22"/>
          <w:szCs w:val="22"/>
        </w:rPr>
        <w:t xml:space="preserve"> 150 µg/ml </w:t>
      </w:r>
      <w:r>
        <w:rPr>
          <w:sz w:val="22"/>
          <w:szCs w:val="22"/>
        </w:rPr>
        <w:t>môžu viesť k toxickým účinkom</w:t>
      </w:r>
      <w:r w:rsidRPr="001E2379">
        <w:rPr>
          <w:sz w:val="22"/>
          <w:szCs w:val="22"/>
        </w:rPr>
        <w:t xml:space="preserve">. LD 50 </w:t>
      </w:r>
      <w:r>
        <w:rPr>
          <w:sz w:val="22"/>
          <w:szCs w:val="22"/>
        </w:rPr>
        <w:t>u myší je</w:t>
      </w:r>
      <w:r w:rsidRPr="001E2379">
        <w:rPr>
          <w:sz w:val="22"/>
          <w:szCs w:val="22"/>
        </w:rPr>
        <w:t xml:space="preserve"> 1400 - 1550 mg/kg </w:t>
      </w:r>
      <w:r>
        <w:rPr>
          <w:sz w:val="22"/>
          <w:szCs w:val="22"/>
        </w:rPr>
        <w:t>telesnej hmotnosti</w:t>
      </w:r>
      <w:r w:rsidRPr="001E2379">
        <w:rPr>
          <w:sz w:val="22"/>
          <w:szCs w:val="22"/>
        </w:rPr>
        <w:t>.</w:t>
      </w:r>
    </w:p>
    <w:p w14:paraId="146A7147" w14:textId="77777777" w:rsidR="001E059B" w:rsidRPr="001E2379" w:rsidRDefault="001E059B" w:rsidP="00F80F43">
      <w:pPr>
        <w:tabs>
          <w:tab w:val="left" w:pos="567"/>
        </w:tabs>
        <w:rPr>
          <w:sz w:val="22"/>
          <w:szCs w:val="22"/>
        </w:rPr>
      </w:pPr>
    </w:p>
    <w:p w14:paraId="5288799F" w14:textId="77777777" w:rsidR="001E059B" w:rsidRPr="001E2379" w:rsidRDefault="001E059B" w:rsidP="00F80F43">
      <w:pPr>
        <w:tabs>
          <w:tab w:val="left" w:pos="567"/>
        </w:tabs>
        <w:rPr>
          <w:i/>
          <w:sz w:val="22"/>
          <w:szCs w:val="22"/>
        </w:rPr>
      </w:pPr>
      <w:r w:rsidRPr="001E2379">
        <w:rPr>
          <w:sz w:val="22"/>
          <w:szCs w:val="22"/>
          <w:u w:val="single"/>
        </w:rPr>
        <w:t>Chronic</w:t>
      </w:r>
      <w:r>
        <w:rPr>
          <w:sz w:val="22"/>
          <w:szCs w:val="22"/>
          <w:u w:val="single"/>
        </w:rPr>
        <w:t>ká toxicita</w:t>
      </w:r>
    </w:p>
    <w:p w14:paraId="58AEB7E1" w14:textId="77777777" w:rsidR="001E059B" w:rsidRPr="001E2379" w:rsidRDefault="001E059B" w:rsidP="00F80F4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Šesťmesačná aplikácia dávok do</w:t>
      </w:r>
      <w:r w:rsidRPr="001E2379">
        <w:rPr>
          <w:sz w:val="22"/>
          <w:szCs w:val="22"/>
        </w:rPr>
        <w:t xml:space="preserve"> 1200 mg/kg </w:t>
      </w:r>
      <w:r>
        <w:rPr>
          <w:sz w:val="22"/>
          <w:szCs w:val="22"/>
        </w:rPr>
        <w:t>telesnej hmotnosti</w:t>
      </w:r>
      <w:r w:rsidRPr="001E2379">
        <w:rPr>
          <w:sz w:val="22"/>
          <w:szCs w:val="22"/>
        </w:rPr>
        <w:t xml:space="preserve"> </w:t>
      </w:r>
      <w:r>
        <w:rPr>
          <w:sz w:val="22"/>
          <w:szCs w:val="22"/>
        </w:rPr>
        <w:t>denne bola u myší dobre znášaná</w:t>
      </w:r>
      <w:r w:rsidRPr="001E2379">
        <w:rPr>
          <w:sz w:val="22"/>
          <w:szCs w:val="22"/>
        </w:rPr>
        <w:t xml:space="preserve">. </w:t>
      </w:r>
      <w:r>
        <w:rPr>
          <w:sz w:val="22"/>
          <w:szCs w:val="22"/>
        </w:rPr>
        <w:t>Psy znášali viac než rok 12,</w:t>
      </w:r>
      <w:r w:rsidRPr="001E2379">
        <w:rPr>
          <w:sz w:val="22"/>
          <w:szCs w:val="22"/>
        </w:rPr>
        <w:t xml:space="preserve">5 - 50 mg/kg </w:t>
      </w:r>
      <w:r>
        <w:rPr>
          <w:sz w:val="22"/>
          <w:szCs w:val="22"/>
        </w:rPr>
        <w:t>telesnej hmotnosti, aplikované 2x denne</w:t>
      </w:r>
      <w:r w:rsidRPr="001E2379">
        <w:rPr>
          <w:sz w:val="22"/>
          <w:szCs w:val="22"/>
        </w:rPr>
        <w:t>.</w:t>
      </w:r>
    </w:p>
    <w:p w14:paraId="41D11AE4" w14:textId="77777777" w:rsidR="001E059B" w:rsidRDefault="001E059B" w:rsidP="00A77A27">
      <w:pPr>
        <w:tabs>
          <w:tab w:val="left" w:pos="567"/>
        </w:tabs>
        <w:rPr>
          <w:sz w:val="22"/>
          <w:szCs w:val="22"/>
        </w:rPr>
      </w:pPr>
    </w:p>
    <w:p w14:paraId="0E0162BD" w14:textId="77777777" w:rsidR="005F41EE" w:rsidRPr="00FD306D" w:rsidRDefault="005F41EE" w:rsidP="00A77A27">
      <w:pPr>
        <w:tabs>
          <w:tab w:val="left" w:pos="567"/>
        </w:tabs>
        <w:rPr>
          <w:sz w:val="22"/>
          <w:szCs w:val="22"/>
        </w:rPr>
      </w:pPr>
    </w:p>
    <w:p w14:paraId="6635B231" w14:textId="77777777" w:rsidR="00A759D9" w:rsidRPr="00FD306D" w:rsidRDefault="00A759D9" w:rsidP="00A77A27">
      <w:pPr>
        <w:tabs>
          <w:tab w:val="left" w:pos="567"/>
        </w:tabs>
        <w:rPr>
          <w:b/>
          <w:caps/>
          <w:sz w:val="22"/>
          <w:szCs w:val="22"/>
        </w:rPr>
      </w:pPr>
      <w:r w:rsidRPr="00FD306D">
        <w:rPr>
          <w:b/>
          <w:caps/>
          <w:sz w:val="22"/>
          <w:szCs w:val="22"/>
        </w:rPr>
        <w:t xml:space="preserve">6. </w:t>
      </w:r>
      <w:r w:rsidR="00F80F43">
        <w:rPr>
          <w:b/>
          <w:caps/>
          <w:sz w:val="22"/>
          <w:szCs w:val="22"/>
        </w:rPr>
        <w:tab/>
      </w:r>
      <w:r w:rsidRPr="00FD306D">
        <w:rPr>
          <w:b/>
          <w:caps/>
          <w:sz w:val="22"/>
          <w:szCs w:val="22"/>
        </w:rPr>
        <w:t>Farmaceutické údaje</w:t>
      </w:r>
    </w:p>
    <w:p w14:paraId="3501F138" w14:textId="77777777" w:rsidR="00A759D9" w:rsidRPr="005F41EE" w:rsidRDefault="00A759D9" w:rsidP="00A77A27">
      <w:pPr>
        <w:tabs>
          <w:tab w:val="left" w:pos="567"/>
        </w:tabs>
        <w:rPr>
          <w:bCs/>
          <w:sz w:val="22"/>
          <w:szCs w:val="22"/>
        </w:rPr>
      </w:pPr>
    </w:p>
    <w:p w14:paraId="268FCF02" w14:textId="77777777" w:rsidR="00A759D9" w:rsidRPr="00FD306D" w:rsidRDefault="00A759D9" w:rsidP="00A77A27">
      <w:pPr>
        <w:tabs>
          <w:tab w:val="left" w:pos="567"/>
        </w:tabs>
        <w:rPr>
          <w:sz w:val="22"/>
          <w:szCs w:val="22"/>
        </w:rPr>
      </w:pPr>
      <w:r w:rsidRPr="00FD306D">
        <w:rPr>
          <w:b/>
          <w:sz w:val="22"/>
          <w:szCs w:val="22"/>
        </w:rPr>
        <w:t xml:space="preserve">6.1. </w:t>
      </w:r>
      <w:r w:rsidR="00F80F43">
        <w:rPr>
          <w:b/>
          <w:sz w:val="22"/>
          <w:szCs w:val="22"/>
        </w:rPr>
        <w:tab/>
      </w:r>
      <w:r w:rsidR="00D22EE2" w:rsidRPr="000D27F8">
        <w:rPr>
          <w:b/>
          <w:sz w:val="22"/>
          <w:szCs w:val="22"/>
        </w:rPr>
        <w:t>Zoznam pomocných látok</w:t>
      </w:r>
    </w:p>
    <w:p w14:paraId="76053526" w14:textId="77777777" w:rsidR="00E67DA9" w:rsidRDefault="00E67DA9" w:rsidP="00A77A27">
      <w:pPr>
        <w:tabs>
          <w:tab w:val="left" w:pos="567"/>
        </w:tabs>
        <w:rPr>
          <w:sz w:val="22"/>
          <w:szCs w:val="22"/>
        </w:rPr>
      </w:pPr>
    </w:p>
    <w:p w14:paraId="40D4E033" w14:textId="77777777" w:rsidR="00A759D9" w:rsidRPr="00FD306D" w:rsidRDefault="00F80F43" w:rsidP="00A77A27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M</w:t>
      </w:r>
      <w:r w:rsidRPr="004612E9">
        <w:rPr>
          <w:sz w:val="22"/>
          <w:szCs w:val="22"/>
        </w:rPr>
        <w:t>akrogol</w:t>
      </w:r>
      <w:r w:rsidR="00A759D9" w:rsidRPr="00FD306D">
        <w:rPr>
          <w:sz w:val="22"/>
          <w:szCs w:val="22"/>
        </w:rPr>
        <w:t xml:space="preserve"> 300, </w:t>
      </w:r>
      <w:r w:rsidRPr="004612E9">
        <w:rPr>
          <w:sz w:val="22"/>
          <w:szCs w:val="22"/>
        </w:rPr>
        <w:t>čistená voda</w:t>
      </w:r>
      <w:r w:rsidR="00A759D9" w:rsidRPr="00FD306D">
        <w:rPr>
          <w:sz w:val="22"/>
          <w:szCs w:val="22"/>
        </w:rPr>
        <w:t xml:space="preserve">, (kapsula: </w:t>
      </w:r>
      <w:r w:rsidRPr="004612E9">
        <w:rPr>
          <w:sz w:val="22"/>
          <w:szCs w:val="22"/>
        </w:rPr>
        <w:t>želatína</w:t>
      </w:r>
      <w:r w:rsidR="00A759D9" w:rsidRPr="00FD306D">
        <w:rPr>
          <w:sz w:val="22"/>
          <w:szCs w:val="22"/>
        </w:rPr>
        <w:t xml:space="preserve">, </w:t>
      </w:r>
      <w:r w:rsidRPr="004612E9">
        <w:rPr>
          <w:sz w:val="22"/>
          <w:szCs w:val="22"/>
        </w:rPr>
        <w:t xml:space="preserve">glycerol </w:t>
      </w:r>
      <w:r w:rsidR="00A759D9" w:rsidRPr="00FD306D">
        <w:rPr>
          <w:sz w:val="22"/>
          <w:szCs w:val="22"/>
        </w:rPr>
        <w:t xml:space="preserve">85 %, </w:t>
      </w:r>
      <w:r w:rsidRPr="004612E9">
        <w:rPr>
          <w:sz w:val="22"/>
          <w:szCs w:val="22"/>
        </w:rPr>
        <w:t xml:space="preserve">titanii dioxidum </w:t>
      </w:r>
      <w:r w:rsidR="00A759D9" w:rsidRPr="00FD306D">
        <w:rPr>
          <w:sz w:val="22"/>
          <w:szCs w:val="22"/>
        </w:rPr>
        <w:t xml:space="preserve">(E171) anidrisorb 85/70 ( zloženie: </w:t>
      </w:r>
      <w:r w:rsidRPr="004612E9">
        <w:rPr>
          <w:sz w:val="22"/>
          <w:szCs w:val="22"/>
        </w:rPr>
        <w:t>sorbitan</w:t>
      </w:r>
      <w:r w:rsidR="00A759D9" w:rsidRPr="00FD306D">
        <w:rPr>
          <w:sz w:val="22"/>
          <w:szCs w:val="22"/>
        </w:rPr>
        <w:t xml:space="preserve">, </w:t>
      </w:r>
      <w:r w:rsidRPr="004612E9">
        <w:rPr>
          <w:sz w:val="22"/>
          <w:szCs w:val="22"/>
        </w:rPr>
        <w:t>sorbitol</w:t>
      </w:r>
      <w:r w:rsidR="00A759D9" w:rsidRPr="00FD306D">
        <w:rPr>
          <w:sz w:val="22"/>
          <w:szCs w:val="22"/>
        </w:rPr>
        <w:t xml:space="preserve">, </w:t>
      </w:r>
      <w:r w:rsidRPr="004612E9">
        <w:rPr>
          <w:sz w:val="22"/>
          <w:szCs w:val="22"/>
        </w:rPr>
        <w:t>manitol</w:t>
      </w:r>
      <w:r w:rsidR="00A759D9" w:rsidRPr="00FD306D">
        <w:rPr>
          <w:sz w:val="22"/>
          <w:szCs w:val="22"/>
        </w:rPr>
        <w:t xml:space="preserve">, </w:t>
      </w:r>
      <w:r w:rsidRPr="004612E9">
        <w:rPr>
          <w:sz w:val="22"/>
          <w:szCs w:val="22"/>
        </w:rPr>
        <w:t>polyoly</w:t>
      </w:r>
      <w:r w:rsidR="00A759D9" w:rsidRPr="00FD306D">
        <w:rPr>
          <w:sz w:val="22"/>
          <w:szCs w:val="22"/>
        </w:rPr>
        <w:t xml:space="preserve">), </w:t>
      </w:r>
      <w:r w:rsidRPr="004612E9">
        <w:rPr>
          <w:sz w:val="22"/>
          <w:szCs w:val="22"/>
        </w:rPr>
        <w:t>žltý oxid železitý</w:t>
      </w:r>
    </w:p>
    <w:p w14:paraId="41A9E5DC" w14:textId="77777777" w:rsidR="00A759D9" w:rsidRPr="00FD306D" w:rsidRDefault="00A759D9" w:rsidP="00A77A27">
      <w:pPr>
        <w:tabs>
          <w:tab w:val="left" w:pos="567"/>
        </w:tabs>
        <w:rPr>
          <w:b/>
          <w:sz w:val="22"/>
          <w:szCs w:val="22"/>
        </w:rPr>
      </w:pPr>
      <w:r w:rsidRPr="00FD306D">
        <w:rPr>
          <w:sz w:val="22"/>
          <w:szCs w:val="22"/>
        </w:rPr>
        <w:t xml:space="preserve"> (E172)</w:t>
      </w:r>
    </w:p>
    <w:p w14:paraId="2DE400E4" w14:textId="77777777" w:rsidR="00F80F43" w:rsidRPr="003B34D7" w:rsidRDefault="00F80F43" w:rsidP="00A77A27">
      <w:pPr>
        <w:tabs>
          <w:tab w:val="left" w:pos="567"/>
        </w:tabs>
        <w:rPr>
          <w:bCs/>
          <w:sz w:val="22"/>
          <w:szCs w:val="22"/>
        </w:rPr>
      </w:pPr>
    </w:p>
    <w:p w14:paraId="1F02E7BF" w14:textId="77777777" w:rsidR="00A759D9" w:rsidRPr="00FD306D" w:rsidRDefault="00A759D9" w:rsidP="00A77A27">
      <w:pPr>
        <w:tabs>
          <w:tab w:val="left" w:pos="567"/>
        </w:tabs>
        <w:rPr>
          <w:sz w:val="22"/>
          <w:szCs w:val="22"/>
        </w:rPr>
      </w:pPr>
      <w:r w:rsidRPr="00FD306D">
        <w:rPr>
          <w:b/>
          <w:sz w:val="22"/>
          <w:szCs w:val="22"/>
        </w:rPr>
        <w:t xml:space="preserve">6.2 </w:t>
      </w:r>
      <w:r w:rsidR="00F80F43">
        <w:rPr>
          <w:b/>
          <w:sz w:val="22"/>
          <w:szCs w:val="22"/>
        </w:rPr>
        <w:tab/>
      </w:r>
      <w:r w:rsidRPr="00FD306D">
        <w:rPr>
          <w:b/>
          <w:sz w:val="22"/>
          <w:szCs w:val="22"/>
        </w:rPr>
        <w:t>Inkompatibility</w:t>
      </w:r>
    </w:p>
    <w:p w14:paraId="4D8157B6" w14:textId="77777777" w:rsidR="003B34D7" w:rsidRDefault="003B34D7" w:rsidP="00A77A27">
      <w:pPr>
        <w:tabs>
          <w:tab w:val="left" w:pos="567"/>
        </w:tabs>
        <w:rPr>
          <w:sz w:val="22"/>
          <w:szCs w:val="22"/>
        </w:rPr>
      </w:pPr>
    </w:p>
    <w:p w14:paraId="760ECC56" w14:textId="77777777" w:rsidR="00A759D9" w:rsidRPr="00FD306D" w:rsidRDefault="003B34D7" w:rsidP="00A77A27">
      <w:pPr>
        <w:tabs>
          <w:tab w:val="left" w:pos="567"/>
        </w:tabs>
        <w:rPr>
          <w:sz w:val="22"/>
          <w:szCs w:val="22"/>
        </w:rPr>
      </w:pPr>
      <w:r w:rsidRPr="000D27F8">
        <w:rPr>
          <w:sz w:val="22"/>
          <w:szCs w:val="22"/>
        </w:rPr>
        <w:t>Neaplikovateľné.</w:t>
      </w:r>
    </w:p>
    <w:p w14:paraId="30C1FCAC" w14:textId="77777777" w:rsidR="00A759D9" w:rsidRPr="00FD306D" w:rsidRDefault="00A759D9" w:rsidP="00A77A27">
      <w:pPr>
        <w:tabs>
          <w:tab w:val="left" w:pos="567"/>
        </w:tabs>
        <w:rPr>
          <w:b/>
          <w:sz w:val="22"/>
          <w:szCs w:val="22"/>
        </w:rPr>
      </w:pPr>
    </w:p>
    <w:p w14:paraId="1D072F06" w14:textId="77777777" w:rsidR="00A759D9" w:rsidRPr="00FD306D" w:rsidRDefault="00A759D9" w:rsidP="00A77A27">
      <w:pPr>
        <w:tabs>
          <w:tab w:val="left" w:pos="567"/>
        </w:tabs>
        <w:rPr>
          <w:b/>
          <w:sz w:val="22"/>
          <w:szCs w:val="22"/>
        </w:rPr>
      </w:pPr>
      <w:r w:rsidRPr="00FD306D">
        <w:rPr>
          <w:b/>
          <w:sz w:val="22"/>
          <w:szCs w:val="22"/>
        </w:rPr>
        <w:t xml:space="preserve">6.3 </w:t>
      </w:r>
      <w:r w:rsidR="00F80F43">
        <w:rPr>
          <w:b/>
          <w:sz w:val="22"/>
          <w:szCs w:val="22"/>
        </w:rPr>
        <w:tab/>
      </w:r>
      <w:r w:rsidRPr="00FD306D">
        <w:rPr>
          <w:b/>
          <w:sz w:val="22"/>
          <w:szCs w:val="22"/>
        </w:rPr>
        <w:t>Čas použiteľnosti</w:t>
      </w:r>
    </w:p>
    <w:p w14:paraId="37A3B92B" w14:textId="77777777" w:rsidR="00050978" w:rsidRDefault="00050978" w:rsidP="00A77A27">
      <w:pPr>
        <w:tabs>
          <w:tab w:val="left" w:pos="567"/>
        </w:tabs>
        <w:rPr>
          <w:sz w:val="22"/>
          <w:szCs w:val="22"/>
        </w:rPr>
      </w:pPr>
    </w:p>
    <w:p w14:paraId="1F03851C" w14:textId="77777777" w:rsidR="00A759D9" w:rsidRPr="00FD306D" w:rsidRDefault="00A759D9" w:rsidP="00A77A27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>3 roky</w:t>
      </w:r>
    </w:p>
    <w:p w14:paraId="65163885" w14:textId="77777777" w:rsidR="00A759D9" w:rsidRPr="00FD306D" w:rsidRDefault="00A759D9" w:rsidP="00A759D9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20832CBF" w14:textId="77777777" w:rsidR="00A759D9" w:rsidRPr="00FD306D" w:rsidRDefault="00A759D9" w:rsidP="004D6E7B">
      <w:pPr>
        <w:keepNext/>
        <w:tabs>
          <w:tab w:val="left" w:pos="567"/>
        </w:tabs>
        <w:rPr>
          <w:sz w:val="22"/>
          <w:szCs w:val="22"/>
        </w:rPr>
      </w:pPr>
      <w:r w:rsidRPr="00FD306D">
        <w:rPr>
          <w:b/>
          <w:sz w:val="22"/>
          <w:szCs w:val="22"/>
        </w:rPr>
        <w:t xml:space="preserve">6.4 </w:t>
      </w:r>
      <w:r w:rsidR="00F80F43">
        <w:rPr>
          <w:b/>
          <w:sz w:val="22"/>
          <w:szCs w:val="22"/>
        </w:rPr>
        <w:tab/>
      </w:r>
      <w:r w:rsidR="00A1217D" w:rsidRPr="000D27F8">
        <w:rPr>
          <w:b/>
          <w:sz w:val="22"/>
          <w:szCs w:val="22"/>
        </w:rPr>
        <w:t>Špeciálne upozornenia na uchovávanie</w:t>
      </w:r>
    </w:p>
    <w:p w14:paraId="63585A79" w14:textId="77777777" w:rsidR="00050978" w:rsidRDefault="00050978" w:rsidP="004D6E7B">
      <w:pPr>
        <w:keepNext/>
        <w:tabs>
          <w:tab w:val="left" w:pos="567"/>
        </w:tabs>
        <w:rPr>
          <w:sz w:val="22"/>
          <w:szCs w:val="22"/>
        </w:rPr>
      </w:pPr>
    </w:p>
    <w:p w14:paraId="4F93D1E9" w14:textId="77777777" w:rsidR="00A759D9" w:rsidRPr="00FD306D" w:rsidRDefault="00A759D9" w:rsidP="004D6E7B">
      <w:pPr>
        <w:keepNext/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30ﾰC"/>
        </w:smartTagPr>
        <w:r w:rsidRPr="00FD306D">
          <w:rPr>
            <w:sz w:val="22"/>
            <w:szCs w:val="22"/>
          </w:rPr>
          <w:t>30°C</w:t>
        </w:r>
      </w:smartTag>
      <w:r w:rsidRPr="00FD306D">
        <w:rPr>
          <w:sz w:val="22"/>
          <w:szCs w:val="22"/>
        </w:rPr>
        <w:t>.</w:t>
      </w:r>
    </w:p>
    <w:p w14:paraId="74E8BE71" w14:textId="77777777" w:rsidR="00A759D9" w:rsidRPr="00FD306D" w:rsidRDefault="00050978" w:rsidP="00A77A27">
      <w:pPr>
        <w:tabs>
          <w:tab w:val="left" w:pos="567"/>
        </w:tabs>
        <w:rPr>
          <w:sz w:val="22"/>
          <w:szCs w:val="22"/>
        </w:rPr>
      </w:pPr>
      <w:r w:rsidRPr="00050978">
        <w:rPr>
          <w:sz w:val="22"/>
          <w:szCs w:val="22"/>
        </w:rPr>
        <w:t>Liekovku udržiavajte dôk</w:t>
      </w:r>
      <w:bookmarkStart w:id="0" w:name="_GoBack"/>
      <w:bookmarkEnd w:id="0"/>
      <w:r w:rsidRPr="00050978">
        <w:rPr>
          <w:sz w:val="22"/>
          <w:szCs w:val="22"/>
        </w:rPr>
        <w:t>ladne uzatvorenú</w:t>
      </w:r>
      <w:r>
        <w:rPr>
          <w:sz w:val="22"/>
          <w:szCs w:val="22"/>
        </w:rPr>
        <w:t>.</w:t>
      </w:r>
    </w:p>
    <w:p w14:paraId="1FDEFD59" w14:textId="77777777" w:rsidR="00A759D9" w:rsidRPr="00FD306D" w:rsidRDefault="00A759D9" w:rsidP="00A77A27">
      <w:pPr>
        <w:tabs>
          <w:tab w:val="left" w:pos="567"/>
        </w:tabs>
        <w:rPr>
          <w:b/>
          <w:sz w:val="22"/>
          <w:szCs w:val="22"/>
        </w:rPr>
      </w:pPr>
    </w:p>
    <w:p w14:paraId="48AA0265" w14:textId="77777777" w:rsidR="00A759D9" w:rsidRPr="00FD306D" w:rsidRDefault="00A759D9" w:rsidP="004D6E7B">
      <w:pPr>
        <w:keepNext/>
        <w:tabs>
          <w:tab w:val="left" w:pos="567"/>
        </w:tabs>
        <w:rPr>
          <w:b/>
          <w:sz w:val="22"/>
          <w:szCs w:val="22"/>
        </w:rPr>
      </w:pPr>
      <w:r w:rsidRPr="00FD306D">
        <w:rPr>
          <w:b/>
          <w:sz w:val="22"/>
          <w:szCs w:val="22"/>
        </w:rPr>
        <w:lastRenderedPageBreak/>
        <w:t xml:space="preserve">6.5 </w:t>
      </w:r>
      <w:r w:rsidR="00F80F43">
        <w:rPr>
          <w:b/>
          <w:sz w:val="22"/>
          <w:szCs w:val="22"/>
        </w:rPr>
        <w:tab/>
      </w:r>
      <w:r w:rsidR="00F5106C" w:rsidRPr="000D27F8">
        <w:rPr>
          <w:b/>
          <w:sz w:val="22"/>
          <w:szCs w:val="22"/>
        </w:rPr>
        <w:t>Druh obalu a obsah balenia</w:t>
      </w:r>
    </w:p>
    <w:p w14:paraId="3D2AA5F9" w14:textId="77777777" w:rsidR="00995DF9" w:rsidRDefault="00995DF9" w:rsidP="004D6E7B">
      <w:pPr>
        <w:keepNext/>
        <w:tabs>
          <w:tab w:val="left" w:pos="567"/>
        </w:tabs>
        <w:rPr>
          <w:sz w:val="22"/>
          <w:szCs w:val="22"/>
        </w:rPr>
      </w:pPr>
    </w:p>
    <w:p w14:paraId="282E0DA9" w14:textId="77777777" w:rsidR="00A759D9" w:rsidRPr="00FD306D" w:rsidRDefault="00A759D9" w:rsidP="004D6E7B">
      <w:pPr>
        <w:keepNext/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>Liekovka z polyetylénu s potrebným označením, skrutkový uzáver z polypropylénu, papierová škatuľka, písomná informácia pre požívateľ</w:t>
      </w:r>
      <w:r w:rsidR="00F80F43">
        <w:rPr>
          <w:sz w:val="22"/>
          <w:szCs w:val="22"/>
        </w:rPr>
        <w:t>a</w:t>
      </w:r>
      <w:r w:rsidRPr="00FD306D">
        <w:rPr>
          <w:sz w:val="22"/>
          <w:szCs w:val="22"/>
        </w:rPr>
        <w:t>.</w:t>
      </w:r>
    </w:p>
    <w:p w14:paraId="09CEDBD2" w14:textId="77777777" w:rsidR="00A759D9" w:rsidRPr="00FD306D" w:rsidRDefault="00A759D9" w:rsidP="00A77A27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>50 kapsúl</w:t>
      </w:r>
    </w:p>
    <w:p w14:paraId="5FD3CF72" w14:textId="77777777" w:rsidR="00A759D9" w:rsidRPr="00FD306D" w:rsidRDefault="00A759D9" w:rsidP="00A77A27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>100 kapsúl</w:t>
      </w:r>
    </w:p>
    <w:p w14:paraId="5BCA1F2E" w14:textId="77777777" w:rsidR="00A759D9" w:rsidRPr="00FD306D" w:rsidRDefault="00A759D9" w:rsidP="00A77A27">
      <w:pPr>
        <w:tabs>
          <w:tab w:val="left" w:pos="567"/>
        </w:tabs>
        <w:rPr>
          <w:b/>
          <w:sz w:val="22"/>
          <w:szCs w:val="22"/>
        </w:rPr>
      </w:pPr>
    </w:p>
    <w:p w14:paraId="741B0E96" w14:textId="77777777" w:rsidR="00A759D9" w:rsidRPr="00FD306D" w:rsidRDefault="00A759D9" w:rsidP="00A77A27">
      <w:pPr>
        <w:tabs>
          <w:tab w:val="left" w:pos="567"/>
        </w:tabs>
        <w:rPr>
          <w:b/>
          <w:sz w:val="22"/>
          <w:szCs w:val="22"/>
        </w:rPr>
      </w:pPr>
      <w:r w:rsidRPr="00FD306D">
        <w:rPr>
          <w:b/>
          <w:sz w:val="22"/>
          <w:szCs w:val="22"/>
        </w:rPr>
        <w:t xml:space="preserve">6.6 </w:t>
      </w:r>
      <w:r w:rsidR="00F80F43">
        <w:rPr>
          <w:b/>
          <w:sz w:val="22"/>
          <w:szCs w:val="22"/>
        </w:rPr>
        <w:tab/>
      </w:r>
      <w:r w:rsidR="00425D19" w:rsidRPr="000D27F8">
        <w:rPr>
          <w:b/>
          <w:sz w:val="22"/>
          <w:szCs w:val="22"/>
        </w:rPr>
        <w:t>Špeciálne opatrenia na likvidáciu a iné zaobchádzanie s liekom</w:t>
      </w:r>
    </w:p>
    <w:p w14:paraId="4D0B7964" w14:textId="77777777" w:rsidR="004267A9" w:rsidRDefault="004267A9" w:rsidP="00A77A27">
      <w:pPr>
        <w:tabs>
          <w:tab w:val="left" w:pos="567"/>
        </w:tabs>
        <w:rPr>
          <w:sz w:val="22"/>
          <w:szCs w:val="22"/>
        </w:rPr>
      </w:pPr>
    </w:p>
    <w:p w14:paraId="4C3CD68E" w14:textId="62BE2784" w:rsidR="004267A9" w:rsidRPr="00F73DA4" w:rsidRDefault="001866D5" w:rsidP="00A77A27">
      <w:pPr>
        <w:tabs>
          <w:tab w:val="left" w:pos="567"/>
        </w:tabs>
        <w:rPr>
          <w:sz w:val="22"/>
          <w:szCs w:val="22"/>
        </w:rPr>
      </w:pPr>
      <w:r w:rsidRPr="00F73DA4">
        <w:rPr>
          <w:sz w:val="22"/>
          <w:szCs w:val="22"/>
        </w:rPr>
        <w:t>Žiadne zvláštne požiadavky na likvidáciu.</w:t>
      </w:r>
      <w:r w:rsidR="00F73DA4" w:rsidRPr="00F73DA4">
        <w:rPr>
          <w:sz w:val="22"/>
          <w:szCs w:val="22"/>
        </w:rPr>
        <w:t xml:space="preserve"> </w:t>
      </w:r>
    </w:p>
    <w:p w14:paraId="5259B62D" w14:textId="77777777" w:rsidR="000A5786" w:rsidRDefault="000A5786" w:rsidP="00A77A27">
      <w:pPr>
        <w:tabs>
          <w:tab w:val="left" w:pos="567"/>
        </w:tabs>
        <w:rPr>
          <w:b/>
          <w:caps/>
          <w:sz w:val="22"/>
          <w:szCs w:val="22"/>
        </w:rPr>
      </w:pPr>
    </w:p>
    <w:p w14:paraId="5F0F79E2" w14:textId="77777777" w:rsidR="000A5786" w:rsidRDefault="000A5786" w:rsidP="00A77A27">
      <w:pPr>
        <w:tabs>
          <w:tab w:val="left" w:pos="567"/>
        </w:tabs>
        <w:rPr>
          <w:b/>
          <w:caps/>
          <w:sz w:val="22"/>
          <w:szCs w:val="22"/>
        </w:rPr>
      </w:pPr>
    </w:p>
    <w:p w14:paraId="3FD76A43" w14:textId="77777777" w:rsidR="00A759D9" w:rsidRPr="00FD306D" w:rsidRDefault="00A759D9" w:rsidP="00A77A27">
      <w:pPr>
        <w:tabs>
          <w:tab w:val="left" w:pos="567"/>
        </w:tabs>
        <w:rPr>
          <w:sz w:val="22"/>
          <w:szCs w:val="22"/>
        </w:rPr>
      </w:pPr>
      <w:r w:rsidRPr="00F73DA4">
        <w:rPr>
          <w:b/>
          <w:caps/>
          <w:sz w:val="22"/>
          <w:szCs w:val="22"/>
        </w:rPr>
        <w:t xml:space="preserve">7. </w:t>
      </w:r>
      <w:r w:rsidR="00F80F43" w:rsidRPr="00F73DA4">
        <w:rPr>
          <w:b/>
          <w:caps/>
          <w:sz w:val="22"/>
          <w:szCs w:val="22"/>
        </w:rPr>
        <w:tab/>
      </w:r>
      <w:r w:rsidRPr="00F73DA4">
        <w:rPr>
          <w:b/>
          <w:caps/>
          <w:sz w:val="22"/>
          <w:szCs w:val="22"/>
        </w:rPr>
        <w:t>Držiteľ rozhodnutia</w:t>
      </w:r>
      <w:r w:rsidRPr="00FD306D">
        <w:rPr>
          <w:b/>
          <w:caps/>
          <w:sz w:val="22"/>
          <w:szCs w:val="22"/>
        </w:rPr>
        <w:t xml:space="preserve"> o registrácii</w:t>
      </w:r>
    </w:p>
    <w:p w14:paraId="461459E4" w14:textId="77777777" w:rsidR="00F550DF" w:rsidRDefault="00F550DF" w:rsidP="00A77A27">
      <w:pPr>
        <w:tabs>
          <w:tab w:val="left" w:pos="567"/>
        </w:tabs>
        <w:rPr>
          <w:sz w:val="22"/>
          <w:szCs w:val="22"/>
        </w:rPr>
      </w:pPr>
    </w:p>
    <w:p w14:paraId="15C95998" w14:textId="77777777" w:rsidR="00A759D9" w:rsidRPr="00FD306D" w:rsidRDefault="00A759D9" w:rsidP="00A77A27">
      <w:pPr>
        <w:tabs>
          <w:tab w:val="left" w:pos="567"/>
        </w:tabs>
        <w:rPr>
          <w:b/>
          <w:sz w:val="22"/>
          <w:szCs w:val="22"/>
        </w:rPr>
      </w:pPr>
      <w:r w:rsidRPr="00FD306D">
        <w:rPr>
          <w:sz w:val="22"/>
          <w:szCs w:val="22"/>
        </w:rPr>
        <w:t>DESITIN Arzneimittel GmbH</w:t>
      </w:r>
      <w:r w:rsidRPr="00FD306D">
        <w:rPr>
          <w:sz w:val="22"/>
          <w:szCs w:val="22"/>
        </w:rPr>
        <w:tab/>
      </w:r>
    </w:p>
    <w:p w14:paraId="687EE6EC" w14:textId="77777777" w:rsidR="00A759D9" w:rsidRPr="00FD306D" w:rsidRDefault="00A759D9" w:rsidP="00A77A27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>Weg beim Jäger 214</w:t>
      </w:r>
    </w:p>
    <w:p w14:paraId="676DC93E" w14:textId="77777777" w:rsidR="00F80F43" w:rsidRDefault="00A759D9" w:rsidP="00A77A27">
      <w:pPr>
        <w:tabs>
          <w:tab w:val="left" w:pos="567"/>
        </w:tabs>
        <w:rPr>
          <w:sz w:val="22"/>
          <w:szCs w:val="22"/>
        </w:rPr>
      </w:pPr>
      <w:r w:rsidRPr="00FD306D">
        <w:rPr>
          <w:sz w:val="22"/>
          <w:szCs w:val="22"/>
        </w:rPr>
        <w:t>D-22335 Hamburg</w:t>
      </w:r>
    </w:p>
    <w:p w14:paraId="79CE43BC" w14:textId="77777777" w:rsidR="00A759D9" w:rsidRPr="00FD306D" w:rsidRDefault="00A77A27" w:rsidP="00A77A27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Nemecko</w:t>
      </w:r>
    </w:p>
    <w:p w14:paraId="790978EE" w14:textId="77777777" w:rsidR="00A759D9" w:rsidRDefault="00A759D9" w:rsidP="00A759D9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7B71498E" w14:textId="77777777" w:rsidR="00F550DF" w:rsidRPr="00FD306D" w:rsidRDefault="00F550DF" w:rsidP="00A759D9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441FB99B" w14:textId="77777777" w:rsidR="00A759D9" w:rsidRPr="00FD306D" w:rsidRDefault="00A759D9" w:rsidP="00A759D9">
      <w:pPr>
        <w:tabs>
          <w:tab w:val="left" w:pos="567"/>
        </w:tabs>
        <w:jc w:val="both"/>
        <w:rPr>
          <w:b/>
          <w:caps/>
          <w:sz w:val="22"/>
          <w:szCs w:val="22"/>
        </w:rPr>
      </w:pPr>
      <w:r w:rsidRPr="00FD306D">
        <w:rPr>
          <w:b/>
          <w:caps/>
          <w:sz w:val="22"/>
          <w:szCs w:val="22"/>
        </w:rPr>
        <w:t xml:space="preserve">8. </w:t>
      </w:r>
      <w:r w:rsidR="00F80F43">
        <w:rPr>
          <w:b/>
          <w:caps/>
          <w:sz w:val="22"/>
          <w:szCs w:val="22"/>
        </w:rPr>
        <w:tab/>
      </w:r>
      <w:r w:rsidRPr="00FD306D">
        <w:rPr>
          <w:b/>
          <w:caps/>
          <w:sz w:val="22"/>
          <w:szCs w:val="22"/>
        </w:rPr>
        <w:t>Registračné číslo</w:t>
      </w:r>
    </w:p>
    <w:p w14:paraId="1020543E" w14:textId="77777777" w:rsidR="00F550DF" w:rsidRDefault="00F550DF" w:rsidP="00A759D9">
      <w:pPr>
        <w:tabs>
          <w:tab w:val="left" w:pos="567"/>
        </w:tabs>
        <w:jc w:val="both"/>
        <w:rPr>
          <w:sz w:val="22"/>
          <w:szCs w:val="22"/>
        </w:rPr>
      </w:pPr>
    </w:p>
    <w:p w14:paraId="434C7556" w14:textId="77777777" w:rsidR="00A759D9" w:rsidRPr="00FD306D" w:rsidRDefault="00A759D9" w:rsidP="00A759D9">
      <w:pPr>
        <w:tabs>
          <w:tab w:val="left" w:pos="567"/>
        </w:tabs>
        <w:jc w:val="both"/>
        <w:rPr>
          <w:b/>
          <w:sz w:val="22"/>
          <w:szCs w:val="22"/>
        </w:rPr>
      </w:pPr>
      <w:r w:rsidRPr="00FD306D">
        <w:rPr>
          <w:sz w:val="22"/>
          <w:szCs w:val="22"/>
        </w:rPr>
        <w:t>21/</w:t>
      </w:r>
      <w:r w:rsidR="00E2549E" w:rsidRPr="00FD306D">
        <w:rPr>
          <w:sz w:val="22"/>
          <w:szCs w:val="22"/>
        </w:rPr>
        <w:t>0</w:t>
      </w:r>
      <w:r w:rsidRPr="00FD306D">
        <w:rPr>
          <w:sz w:val="22"/>
          <w:szCs w:val="22"/>
        </w:rPr>
        <w:t>036/94-S</w:t>
      </w:r>
    </w:p>
    <w:p w14:paraId="673E4187" w14:textId="77777777" w:rsidR="00A759D9" w:rsidRDefault="00A759D9" w:rsidP="00A759D9">
      <w:pPr>
        <w:tabs>
          <w:tab w:val="left" w:pos="567"/>
        </w:tabs>
        <w:jc w:val="both"/>
        <w:rPr>
          <w:sz w:val="22"/>
          <w:szCs w:val="22"/>
        </w:rPr>
      </w:pPr>
    </w:p>
    <w:p w14:paraId="5A64B75A" w14:textId="77777777" w:rsidR="00F550DF" w:rsidRPr="00FD306D" w:rsidRDefault="00F550DF" w:rsidP="00A759D9">
      <w:pPr>
        <w:tabs>
          <w:tab w:val="left" w:pos="567"/>
        </w:tabs>
        <w:jc w:val="both"/>
        <w:rPr>
          <w:sz w:val="22"/>
          <w:szCs w:val="22"/>
        </w:rPr>
      </w:pPr>
    </w:p>
    <w:p w14:paraId="64DAD355" w14:textId="77777777" w:rsidR="00A759D9" w:rsidRPr="00FD306D" w:rsidRDefault="00A759D9" w:rsidP="00A759D9">
      <w:pPr>
        <w:tabs>
          <w:tab w:val="left" w:pos="567"/>
        </w:tabs>
        <w:jc w:val="both"/>
        <w:rPr>
          <w:b/>
          <w:caps/>
          <w:sz w:val="22"/>
          <w:szCs w:val="22"/>
        </w:rPr>
      </w:pPr>
      <w:r w:rsidRPr="00FD306D">
        <w:rPr>
          <w:b/>
          <w:caps/>
          <w:sz w:val="22"/>
          <w:szCs w:val="22"/>
        </w:rPr>
        <w:t xml:space="preserve">9. </w:t>
      </w:r>
      <w:r w:rsidR="00F80F43">
        <w:rPr>
          <w:b/>
          <w:caps/>
          <w:sz w:val="22"/>
          <w:szCs w:val="22"/>
        </w:rPr>
        <w:tab/>
      </w:r>
      <w:r w:rsidRPr="00FD306D">
        <w:rPr>
          <w:b/>
          <w:sz w:val="22"/>
          <w:szCs w:val="22"/>
        </w:rPr>
        <w:t xml:space="preserve">DÁTUM </w:t>
      </w:r>
      <w:r w:rsidR="00E2549E" w:rsidRPr="00FD306D">
        <w:rPr>
          <w:b/>
          <w:sz w:val="22"/>
          <w:szCs w:val="22"/>
        </w:rPr>
        <w:t>PRVEJ REGISTRÁCIE/</w:t>
      </w:r>
      <w:r w:rsidRPr="00FD306D">
        <w:rPr>
          <w:b/>
          <w:sz w:val="22"/>
          <w:szCs w:val="22"/>
        </w:rPr>
        <w:t>PREDĹŽENI</w:t>
      </w:r>
      <w:r w:rsidR="00E2549E" w:rsidRPr="00FD306D">
        <w:rPr>
          <w:b/>
          <w:sz w:val="22"/>
          <w:szCs w:val="22"/>
        </w:rPr>
        <w:t>A</w:t>
      </w:r>
      <w:r w:rsidRPr="00FD306D">
        <w:rPr>
          <w:b/>
          <w:sz w:val="22"/>
          <w:szCs w:val="22"/>
        </w:rPr>
        <w:t xml:space="preserve"> REGISTRÁCIE</w:t>
      </w:r>
    </w:p>
    <w:p w14:paraId="39EA4357" w14:textId="77777777" w:rsidR="00F550DF" w:rsidRDefault="00F550DF" w:rsidP="00A759D9">
      <w:pPr>
        <w:tabs>
          <w:tab w:val="left" w:pos="567"/>
        </w:tabs>
        <w:jc w:val="both"/>
        <w:rPr>
          <w:sz w:val="22"/>
          <w:szCs w:val="22"/>
        </w:rPr>
      </w:pPr>
    </w:p>
    <w:p w14:paraId="6B2623D0" w14:textId="77777777" w:rsidR="00A77A27" w:rsidRDefault="00A77A27" w:rsidP="00A759D9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Dátum prvej registrácie: </w:t>
      </w:r>
      <w:r w:rsidR="00AF28CA" w:rsidRPr="00FD306D">
        <w:rPr>
          <w:sz w:val="22"/>
          <w:szCs w:val="22"/>
        </w:rPr>
        <w:t>27.1.1994</w:t>
      </w:r>
    </w:p>
    <w:p w14:paraId="3138E025" w14:textId="77777777" w:rsidR="00A759D9" w:rsidRPr="00FD306D" w:rsidRDefault="00A77A27" w:rsidP="00A759D9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Dátum posledného predĺženia registrácie: </w:t>
      </w:r>
      <w:r w:rsidR="00AF28CA" w:rsidRPr="00FD306D">
        <w:rPr>
          <w:sz w:val="22"/>
          <w:szCs w:val="22"/>
        </w:rPr>
        <w:t>26.3.2008</w:t>
      </w:r>
    </w:p>
    <w:p w14:paraId="6DFBAF66" w14:textId="77777777" w:rsidR="00A759D9" w:rsidRDefault="00A759D9" w:rsidP="00A759D9">
      <w:pPr>
        <w:tabs>
          <w:tab w:val="left" w:pos="567"/>
        </w:tabs>
        <w:jc w:val="both"/>
        <w:rPr>
          <w:sz w:val="22"/>
          <w:szCs w:val="22"/>
        </w:rPr>
      </w:pPr>
    </w:p>
    <w:p w14:paraId="6B84D297" w14:textId="77777777" w:rsidR="00F550DF" w:rsidRPr="00FD306D" w:rsidRDefault="00F550DF" w:rsidP="00A759D9">
      <w:pPr>
        <w:tabs>
          <w:tab w:val="left" w:pos="567"/>
        </w:tabs>
        <w:jc w:val="both"/>
        <w:rPr>
          <w:sz w:val="22"/>
          <w:szCs w:val="22"/>
        </w:rPr>
      </w:pPr>
    </w:p>
    <w:p w14:paraId="618FD27B" w14:textId="77777777" w:rsidR="00A759D9" w:rsidRPr="00FD306D" w:rsidRDefault="00A759D9" w:rsidP="00A759D9">
      <w:pPr>
        <w:tabs>
          <w:tab w:val="left" w:pos="567"/>
        </w:tabs>
        <w:jc w:val="both"/>
        <w:rPr>
          <w:b/>
          <w:caps/>
          <w:sz w:val="22"/>
          <w:szCs w:val="22"/>
        </w:rPr>
      </w:pPr>
      <w:r w:rsidRPr="00FD306D">
        <w:rPr>
          <w:b/>
          <w:caps/>
          <w:sz w:val="22"/>
          <w:szCs w:val="22"/>
        </w:rPr>
        <w:t xml:space="preserve">10. </w:t>
      </w:r>
      <w:r w:rsidR="00F80F43">
        <w:rPr>
          <w:b/>
          <w:caps/>
          <w:sz w:val="22"/>
          <w:szCs w:val="22"/>
        </w:rPr>
        <w:tab/>
      </w:r>
      <w:r w:rsidRPr="00FD306D">
        <w:rPr>
          <w:b/>
          <w:caps/>
          <w:sz w:val="22"/>
          <w:szCs w:val="22"/>
        </w:rPr>
        <w:t>Dátum revízie textu</w:t>
      </w:r>
    </w:p>
    <w:p w14:paraId="658A9A9D" w14:textId="77777777" w:rsidR="00F550DF" w:rsidRDefault="00F550DF" w:rsidP="002C4896">
      <w:pPr>
        <w:tabs>
          <w:tab w:val="left" w:pos="567"/>
        </w:tabs>
        <w:jc w:val="both"/>
        <w:rPr>
          <w:sz w:val="22"/>
          <w:szCs w:val="22"/>
        </w:rPr>
      </w:pPr>
    </w:p>
    <w:p w14:paraId="115A6263" w14:textId="7BC53D50" w:rsidR="00A759D9" w:rsidRPr="00FD306D" w:rsidRDefault="00F73DA4" w:rsidP="00F550DF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júl 2018</w:t>
      </w:r>
    </w:p>
    <w:sectPr w:rsidR="00A759D9" w:rsidRPr="00FD306D">
      <w:headerReference w:type="default" r:id="rId9"/>
      <w:footerReference w:type="even" r:id="rId10"/>
      <w:footerReference w:type="default" r:id="rId11"/>
      <w:pgSz w:w="11907" w:h="16840"/>
      <w:pgMar w:top="1134" w:right="1361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4EBD7" w14:textId="77777777" w:rsidR="00155196" w:rsidRDefault="00155196">
      <w:r>
        <w:separator/>
      </w:r>
    </w:p>
  </w:endnote>
  <w:endnote w:type="continuationSeparator" w:id="0">
    <w:p w14:paraId="69E8482C" w14:textId="77777777" w:rsidR="00155196" w:rsidRDefault="00155196">
      <w:r>
        <w:continuationSeparator/>
      </w:r>
    </w:p>
  </w:endnote>
  <w:endnote w:type="continuationNotice" w:id="1">
    <w:p w14:paraId="31543C46" w14:textId="77777777" w:rsidR="00155196" w:rsidRDefault="001551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3247" w14:textId="77777777" w:rsidR="00C32788" w:rsidRDefault="00C32788" w:rsidP="00A759D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4FE9E1F" w14:textId="77777777" w:rsidR="00C32788" w:rsidRDefault="00C3278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83CF4" w14:textId="77777777" w:rsidR="00C32788" w:rsidRDefault="00C32788" w:rsidP="00A759D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D6E7B">
      <w:rPr>
        <w:rStyle w:val="slostrany"/>
        <w:noProof/>
      </w:rPr>
      <w:t>7</w:t>
    </w:r>
    <w:r>
      <w:rPr>
        <w:rStyle w:val="slostrany"/>
      </w:rPr>
      <w:fldChar w:fldCharType="end"/>
    </w:r>
  </w:p>
  <w:p w14:paraId="01C74804" w14:textId="77777777" w:rsidR="00C32788" w:rsidRDefault="00C3278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189D8" w14:textId="77777777" w:rsidR="00155196" w:rsidRDefault="00155196">
      <w:r>
        <w:separator/>
      </w:r>
    </w:p>
  </w:footnote>
  <w:footnote w:type="continuationSeparator" w:id="0">
    <w:p w14:paraId="5CF6098E" w14:textId="77777777" w:rsidR="00155196" w:rsidRDefault="00155196">
      <w:r>
        <w:continuationSeparator/>
      </w:r>
    </w:p>
  </w:footnote>
  <w:footnote w:type="continuationNotice" w:id="1">
    <w:p w14:paraId="60AE3018" w14:textId="77777777" w:rsidR="00155196" w:rsidRDefault="001551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A7829" w14:textId="6D2C118E" w:rsidR="00F73DA4" w:rsidRPr="004D6E7B" w:rsidRDefault="00F73DA4" w:rsidP="00F73DA4">
    <w:pPr>
      <w:pStyle w:val="Default"/>
      <w:rPr>
        <w:sz w:val="18"/>
        <w:szCs w:val="18"/>
        <w:lang w:val="sk-SK"/>
      </w:rPr>
    </w:pPr>
    <w:r w:rsidRPr="004D6E7B">
      <w:rPr>
        <w:sz w:val="18"/>
        <w:szCs w:val="18"/>
      </w:rPr>
      <w:t>Príloha č.1 k notifikácii o zmene ev.</w:t>
    </w:r>
    <w:r w:rsidRPr="004D6E7B">
      <w:rPr>
        <w:bCs/>
        <w:iCs/>
        <w:sz w:val="18"/>
        <w:szCs w:val="18"/>
      </w:rPr>
      <w:t xml:space="preserve"> </w:t>
    </w:r>
    <w:r>
      <w:rPr>
        <w:sz w:val="18"/>
        <w:szCs w:val="18"/>
      </w:rPr>
      <w:t>č.: 2017/07043-ZIA</w:t>
    </w:r>
  </w:p>
  <w:p w14:paraId="2BE2B3B5" w14:textId="77777777" w:rsidR="00F73DA4" w:rsidRDefault="00F73DA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28DF"/>
    <w:multiLevelType w:val="hybridMultilevel"/>
    <w:tmpl w:val="F83A785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3F3A83"/>
    <w:multiLevelType w:val="hybridMultilevel"/>
    <w:tmpl w:val="59E2B230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pharm regpharm">
    <w15:presenceInfo w15:providerId="Windows Live" w15:userId="12cfec8eae7379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59D9"/>
    <w:rsid w:val="00022493"/>
    <w:rsid w:val="00044A0B"/>
    <w:rsid w:val="00050978"/>
    <w:rsid w:val="000632BF"/>
    <w:rsid w:val="00072875"/>
    <w:rsid w:val="00097EFC"/>
    <w:rsid w:val="000A5786"/>
    <w:rsid w:val="00101570"/>
    <w:rsid w:val="00106EF0"/>
    <w:rsid w:val="0013586D"/>
    <w:rsid w:val="00140480"/>
    <w:rsid w:val="00155196"/>
    <w:rsid w:val="001866D5"/>
    <w:rsid w:val="00192704"/>
    <w:rsid w:val="00195568"/>
    <w:rsid w:val="001A56CF"/>
    <w:rsid w:val="001B4889"/>
    <w:rsid w:val="001D2249"/>
    <w:rsid w:val="001E059B"/>
    <w:rsid w:val="0024611F"/>
    <w:rsid w:val="00261C21"/>
    <w:rsid w:val="00292FAA"/>
    <w:rsid w:val="002A3DBC"/>
    <w:rsid w:val="002C4896"/>
    <w:rsid w:val="002E424E"/>
    <w:rsid w:val="00316889"/>
    <w:rsid w:val="00320CFD"/>
    <w:rsid w:val="00343231"/>
    <w:rsid w:val="00383BF7"/>
    <w:rsid w:val="003A1DF1"/>
    <w:rsid w:val="003B34D7"/>
    <w:rsid w:val="003B7637"/>
    <w:rsid w:val="003D3117"/>
    <w:rsid w:val="003D610B"/>
    <w:rsid w:val="003E0B1F"/>
    <w:rsid w:val="00400CC0"/>
    <w:rsid w:val="00403B3D"/>
    <w:rsid w:val="00412613"/>
    <w:rsid w:val="00422C31"/>
    <w:rsid w:val="00425D19"/>
    <w:rsid w:val="004267A9"/>
    <w:rsid w:val="004571E5"/>
    <w:rsid w:val="00462EF3"/>
    <w:rsid w:val="004821E3"/>
    <w:rsid w:val="004855E2"/>
    <w:rsid w:val="004A42F3"/>
    <w:rsid w:val="004B441A"/>
    <w:rsid w:val="004D6E7B"/>
    <w:rsid w:val="004E1507"/>
    <w:rsid w:val="004F0873"/>
    <w:rsid w:val="00506078"/>
    <w:rsid w:val="005357CE"/>
    <w:rsid w:val="00552DF2"/>
    <w:rsid w:val="00556E24"/>
    <w:rsid w:val="00561A7E"/>
    <w:rsid w:val="00567D62"/>
    <w:rsid w:val="005857F9"/>
    <w:rsid w:val="005B1984"/>
    <w:rsid w:val="005B2ECB"/>
    <w:rsid w:val="005E3770"/>
    <w:rsid w:val="005F41EE"/>
    <w:rsid w:val="00606262"/>
    <w:rsid w:val="0060744D"/>
    <w:rsid w:val="0061723C"/>
    <w:rsid w:val="00617A13"/>
    <w:rsid w:val="00651CF2"/>
    <w:rsid w:val="006526E6"/>
    <w:rsid w:val="006744EC"/>
    <w:rsid w:val="006762EE"/>
    <w:rsid w:val="006B2B2F"/>
    <w:rsid w:val="006D662E"/>
    <w:rsid w:val="006E369F"/>
    <w:rsid w:val="006F293B"/>
    <w:rsid w:val="006F6D8A"/>
    <w:rsid w:val="00727D87"/>
    <w:rsid w:val="007342E0"/>
    <w:rsid w:val="00734D8B"/>
    <w:rsid w:val="00743818"/>
    <w:rsid w:val="00743AFE"/>
    <w:rsid w:val="00747C8D"/>
    <w:rsid w:val="00747DCE"/>
    <w:rsid w:val="00767883"/>
    <w:rsid w:val="007C5129"/>
    <w:rsid w:val="007D5F2B"/>
    <w:rsid w:val="007D617D"/>
    <w:rsid w:val="007E0287"/>
    <w:rsid w:val="007E2AEC"/>
    <w:rsid w:val="008159BE"/>
    <w:rsid w:val="008965F3"/>
    <w:rsid w:val="008B78EC"/>
    <w:rsid w:val="008E5BAE"/>
    <w:rsid w:val="00916F18"/>
    <w:rsid w:val="00966A87"/>
    <w:rsid w:val="009806B2"/>
    <w:rsid w:val="00995DF9"/>
    <w:rsid w:val="009A72FA"/>
    <w:rsid w:val="009D7421"/>
    <w:rsid w:val="009E495D"/>
    <w:rsid w:val="00A01846"/>
    <w:rsid w:val="00A1217D"/>
    <w:rsid w:val="00A27578"/>
    <w:rsid w:val="00A407D1"/>
    <w:rsid w:val="00A471A6"/>
    <w:rsid w:val="00A759D9"/>
    <w:rsid w:val="00A77A27"/>
    <w:rsid w:val="00A94DA4"/>
    <w:rsid w:val="00AB507E"/>
    <w:rsid w:val="00AD5272"/>
    <w:rsid w:val="00AF1917"/>
    <w:rsid w:val="00AF28CA"/>
    <w:rsid w:val="00AF7B76"/>
    <w:rsid w:val="00B53260"/>
    <w:rsid w:val="00B53E04"/>
    <w:rsid w:val="00B63EA3"/>
    <w:rsid w:val="00B65089"/>
    <w:rsid w:val="00B668AE"/>
    <w:rsid w:val="00B873AC"/>
    <w:rsid w:val="00B9659E"/>
    <w:rsid w:val="00BB4DB6"/>
    <w:rsid w:val="00BF0338"/>
    <w:rsid w:val="00C07839"/>
    <w:rsid w:val="00C15ECE"/>
    <w:rsid w:val="00C22497"/>
    <w:rsid w:val="00C32788"/>
    <w:rsid w:val="00C704CB"/>
    <w:rsid w:val="00C740D9"/>
    <w:rsid w:val="00C7744A"/>
    <w:rsid w:val="00C91CA2"/>
    <w:rsid w:val="00CB6876"/>
    <w:rsid w:val="00CC37FA"/>
    <w:rsid w:val="00CC59AB"/>
    <w:rsid w:val="00CE54F4"/>
    <w:rsid w:val="00CE603D"/>
    <w:rsid w:val="00D20552"/>
    <w:rsid w:val="00D22EE2"/>
    <w:rsid w:val="00D31D39"/>
    <w:rsid w:val="00D457E0"/>
    <w:rsid w:val="00D76DD6"/>
    <w:rsid w:val="00D823B1"/>
    <w:rsid w:val="00D9016F"/>
    <w:rsid w:val="00D90B50"/>
    <w:rsid w:val="00DA41E9"/>
    <w:rsid w:val="00DB0E14"/>
    <w:rsid w:val="00DC7E84"/>
    <w:rsid w:val="00E11194"/>
    <w:rsid w:val="00E2549E"/>
    <w:rsid w:val="00E26BA5"/>
    <w:rsid w:val="00E35CBB"/>
    <w:rsid w:val="00E50740"/>
    <w:rsid w:val="00E51465"/>
    <w:rsid w:val="00E67DA9"/>
    <w:rsid w:val="00E77066"/>
    <w:rsid w:val="00E85403"/>
    <w:rsid w:val="00EA15E4"/>
    <w:rsid w:val="00EA28B6"/>
    <w:rsid w:val="00ED78CC"/>
    <w:rsid w:val="00EF60D5"/>
    <w:rsid w:val="00F15AC8"/>
    <w:rsid w:val="00F363D6"/>
    <w:rsid w:val="00F46EDF"/>
    <w:rsid w:val="00F5106C"/>
    <w:rsid w:val="00F550DF"/>
    <w:rsid w:val="00F67146"/>
    <w:rsid w:val="00F73DA4"/>
    <w:rsid w:val="00F80F43"/>
    <w:rsid w:val="00F94745"/>
    <w:rsid w:val="00FA0902"/>
    <w:rsid w:val="00FB1651"/>
    <w:rsid w:val="00FC27F7"/>
    <w:rsid w:val="00FD306D"/>
    <w:rsid w:val="00FD3587"/>
    <w:rsid w:val="00F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9BA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9D9"/>
    <w:rPr>
      <w:lang w:eastAsia="de-DE"/>
    </w:rPr>
  </w:style>
  <w:style w:type="paragraph" w:styleId="Nadpis1">
    <w:name w:val="heading 1"/>
    <w:basedOn w:val="Normlny"/>
    <w:next w:val="Normlny"/>
    <w:qFormat/>
    <w:rsid w:val="00A759D9"/>
    <w:pPr>
      <w:keepNext/>
      <w:jc w:val="both"/>
      <w:outlineLvl w:val="0"/>
    </w:pPr>
    <w:rPr>
      <w:b/>
      <w:i/>
      <w:sz w:val="4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A759D9"/>
    <w:pPr>
      <w:jc w:val="both"/>
    </w:pPr>
    <w:rPr>
      <w:sz w:val="24"/>
      <w:lang w:val="cs-CZ"/>
    </w:rPr>
  </w:style>
  <w:style w:type="paragraph" w:styleId="Pta">
    <w:name w:val="footer"/>
    <w:basedOn w:val="Normlny"/>
    <w:rsid w:val="00A759D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759D9"/>
  </w:style>
  <w:style w:type="paragraph" w:styleId="Nzov">
    <w:name w:val="Title"/>
    <w:basedOn w:val="Normlny"/>
    <w:qFormat/>
    <w:rsid w:val="00A759D9"/>
    <w:pPr>
      <w:jc w:val="center"/>
    </w:pPr>
    <w:rPr>
      <w:rFonts w:ascii="Arial" w:hAnsi="Arial"/>
      <w:b/>
      <w:sz w:val="24"/>
    </w:rPr>
  </w:style>
  <w:style w:type="paragraph" w:styleId="Textbubliny">
    <w:name w:val="Balloon Text"/>
    <w:basedOn w:val="Normlny"/>
    <w:semiHidden/>
    <w:rsid w:val="00F363D6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6F293B"/>
    <w:pPr>
      <w:tabs>
        <w:tab w:val="center" w:pos="4536"/>
        <w:tab w:val="right" w:pos="9072"/>
      </w:tabs>
    </w:pPr>
  </w:style>
  <w:style w:type="character" w:customStyle="1" w:styleId="st">
    <w:name w:val="st"/>
    <w:basedOn w:val="Predvolenpsmoodseku"/>
    <w:rsid w:val="00FF4691"/>
  </w:style>
  <w:style w:type="character" w:styleId="Zvraznenie">
    <w:name w:val="Emphasis"/>
    <w:qFormat/>
    <w:rsid w:val="00FF4691"/>
    <w:rPr>
      <w:i/>
      <w:iCs/>
    </w:rPr>
  </w:style>
  <w:style w:type="paragraph" w:customStyle="1" w:styleId="Default">
    <w:name w:val="Default"/>
    <w:rsid w:val="006744E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de-DE" w:eastAsia="en-US"/>
    </w:rPr>
  </w:style>
  <w:style w:type="character" w:styleId="Odkaznakomentr">
    <w:name w:val="annotation reference"/>
    <w:uiPriority w:val="99"/>
    <w:semiHidden/>
    <w:unhideWhenUsed/>
    <w:rsid w:val="001927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2704"/>
  </w:style>
  <w:style w:type="character" w:customStyle="1" w:styleId="TextkomentraChar">
    <w:name w:val="Text komentára Char"/>
    <w:link w:val="Textkomentra"/>
    <w:uiPriority w:val="99"/>
    <w:semiHidden/>
    <w:rsid w:val="00192704"/>
    <w:rPr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270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92704"/>
    <w:rPr>
      <w:b/>
      <w:bCs/>
      <w:lang w:val="sk-SK"/>
    </w:rPr>
  </w:style>
  <w:style w:type="paragraph" w:styleId="Revzia">
    <w:name w:val="Revision"/>
    <w:hidden/>
    <w:uiPriority w:val="99"/>
    <w:semiHidden/>
    <w:rsid w:val="00192704"/>
    <w:rPr>
      <w:lang w:eastAsia="de-DE"/>
    </w:rPr>
  </w:style>
  <w:style w:type="character" w:styleId="Hypertextovprepojenie">
    <w:name w:val="Hyperlink"/>
    <w:rsid w:val="00403B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9D9"/>
    <w:rPr>
      <w:lang w:eastAsia="de-DE"/>
    </w:rPr>
  </w:style>
  <w:style w:type="paragraph" w:styleId="Nadpis1">
    <w:name w:val="heading 1"/>
    <w:basedOn w:val="Normlny"/>
    <w:next w:val="Normlny"/>
    <w:qFormat/>
    <w:rsid w:val="00A759D9"/>
    <w:pPr>
      <w:keepNext/>
      <w:jc w:val="both"/>
      <w:outlineLvl w:val="0"/>
    </w:pPr>
    <w:rPr>
      <w:b/>
      <w:i/>
      <w:sz w:val="4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A759D9"/>
    <w:pPr>
      <w:jc w:val="both"/>
    </w:pPr>
    <w:rPr>
      <w:sz w:val="24"/>
      <w:lang w:val="cs-CZ"/>
    </w:rPr>
  </w:style>
  <w:style w:type="paragraph" w:styleId="Pta">
    <w:name w:val="footer"/>
    <w:basedOn w:val="Normlny"/>
    <w:rsid w:val="00A759D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759D9"/>
  </w:style>
  <w:style w:type="paragraph" w:styleId="Nzov">
    <w:name w:val="Title"/>
    <w:basedOn w:val="Normlny"/>
    <w:qFormat/>
    <w:rsid w:val="00A759D9"/>
    <w:pPr>
      <w:jc w:val="center"/>
    </w:pPr>
    <w:rPr>
      <w:rFonts w:ascii="Arial" w:hAnsi="Arial"/>
      <w:b/>
      <w:sz w:val="24"/>
    </w:rPr>
  </w:style>
  <w:style w:type="paragraph" w:styleId="Textbubliny">
    <w:name w:val="Balloon Text"/>
    <w:basedOn w:val="Normlny"/>
    <w:semiHidden/>
    <w:rsid w:val="00F363D6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6F293B"/>
    <w:pPr>
      <w:tabs>
        <w:tab w:val="center" w:pos="4536"/>
        <w:tab w:val="right" w:pos="9072"/>
      </w:tabs>
    </w:pPr>
  </w:style>
  <w:style w:type="character" w:customStyle="1" w:styleId="st">
    <w:name w:val="st"/>
    <w:basedOn w:val="Predvolenpsmoodseku"/>
    <w:rsid w:val="00FF4691"/>
  </w:style>
  <w:style w:type="character" w:styleId="Zvraznenie">
    <w:name w:val="Emphasis"/>
    <w:qFormat/>
    <w:rsid w:val="00FF4691"/>
    <w:rPr>
      <w:i/>
      <w:iCs/>
    </w:rPr>
  </w:style>
  <w:style w:type="paragraph" w:customStyle="1" w:styleId="Default">
    <w:name w:val="Default"/>
    <w:rsid w:val="006744E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de-DE" w:eastAsia="en-US"/>
    </w:rPr>
  </w:style>
  <w:style w:type="character" w:styleId="Odkaznakomentr">
    <w:name w:val="annotation reference"/>
    <w:uiPriority w:val="99"/>
    <w:semiHidden/>
    <w:unhideWhenUsed/>
    <w:rsid w:val="001927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2704"/>
  </w:style>
  <w:style w:type="character" w:customStyle="1" w:styleId="TextkomentraChar">
    <w:name w:val="Text komentára Char"/>
    <w:link w:val="Textkomentra"/>
    <w:uiPriority w:val="99"/>
    <w:semiHidden/>
    <w:rsid w:val="00192704"/>
    <w:rPr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270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92704"/>
    <w:rPr>
      <w:b/>
      <w:bCs/>
      <w:lang w:val="sk-SK"/>
    </w:rPr>
  </w:style>
  <w:style w:type="paragraph" w:styleId="Revzia">
    <w:name w:val="Revision"/>
    <w:hidden/>
    <w:uiPriority w:val="99"/>
    <w:semiHidden/>
    <w:rsid w:val="00192704"/>
    <w:rPr>
      <w:lang w:eastAsia="de-DE"/>
    </w:rPr>
  </w:style>
  <w:style w:type="character" w:styleId="Hypertextovprepojenie">
    <w:name w:val="Hyperlink"/>
    <w:rsid w:val="00403B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2297</Words>
  <Characters>14685</Characters>
  <Application>Microsoft Office Word</Application>
  <DocSecurity>0</DocSecurity>
  <Lines>122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DESITIN Arzneimittel GmbH</Company>
  <LinksUpToDate>false</LinksUpToDate>
  <CharactersWithSpaces>16949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desitin</dc:creator>
  <cp:lastModifiedBy>Natalia </cp:lastModifiedBy>
  <cp:revision>2</cp:revision>
  <cp:lastPrinted>2012-09-23T14:54:00Z</cp:lastPrinted>
  <dcterms:created xsi:type="dcterms:W3CDTF">2018-07-20T08:16:00Z</dcterms:created>
  <dcterms:modified xsi:type="dcterms:W3CDTF">2018-07-20T08:16:00Z</dcterms:modified>
</cp:coreProperties>
</file>