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99" w:rsidRDefault="00E35B99">
      <w:pPr>
        <w:rPr>
          <w:lang w:val="sk-SK"/>
        </w:rPr>
      </w:pPr>
      <w:bookmarkStart w:id="0" w:name="_GoBack"/>
      <w:bookmarkEnd w:id="0"/>
    </w:p>
    <w:p w:rsidR="00D80E0D" w:rsidRPr="00681040" w:rsidRDefault="00D80E0D" w:rsidP="000966A7">
      <w:pPr>
        <w:pStyle w:val="SPCaPILhlavika"/>
        <w:rPr>
          <w:lang w:val="sk-SK"/>
        </w:rPr>
      </w:pPr>
      <w:r w:rsidRPr="00681040">
        <w:rPr>
          <w:lang w:val="sk-SK"/>
        </w:rPr>
        <w:t>SÚHRN CHARAKTERISTICKÝCH VLASTNOSTÍ LIEKU</w:t>
      </w:r>
    </w:p>
    <w:p w:rsidR="00D80E0D" w:rsidRPr="00681040" w:rsidRDefault="00D80E0D" w:rsidP="00E02173">
      <w:pPr>
        <w:pStyle w:val="Styl1"/>
      </w:pPr>
      <w:r w:rsidRPr="00681040">
        <w:t>NÁZOV LIEKU</w:t>
      </w:r>
    </w:p>
    <w:p w:rsidR="00D80E0D" w:rsidRPr="00681040" w:rsidRDefault="00D80E0D" w:rsidP="007478A3">
      <w:pPr>
        <w:pStyle w:val="Normlndobloku"/>
      </w:pPr>
      <w:r>
        <w:t>MEDOCLAV</w:t>
      </w:r>
      <w:r w:rsidRPr="00681040">
        <w:t xml:space="preserve"> 375</w:t>
      </w:r>
      <w:r>
        <w:t> </w:t>
      </w:r>
      <w:r w:rsidRPr="00681040">
        <w:t>mg</w:t>
      </w:r>
    </w:p>
    <w:p w:rsidR="00D80E0D" w:rsidRPr="00681040" w:rsidRDefault="00D80E0D" w:rsidP="007478A3">
      <w:pPr>
        <w:pStyle w:val="Normlndobloku"/>
      </w:pPr>
      <w:r>
        <w:t>MEDOCLAV</w:t>
      </w:r>
      <w:r w:rsidRPr="00681040">
        <w:t xml:space="preserve"> 625</w:t>
      </w:r>
      <w:r>
        <w:t> </w:t>
      </w:r>
      <w:r w:rsidRPr="00681040">
        <w:t>mg</w:t>
      </w:r>
    </w:p>
    <w:p w:rsidR="00D80E0D" w:rsidRDefault="00D80E0D" w:rsidP="007478A3">
      <w:pPr>
        <w:pStyle w:val="Normlndobloku"/>
      </w:pPr>
      <w:r>
        <w:t>MEDOCLAV</w:t>
      </w:r>
      <w:r w:rsidRPr="00681040">
        <w:t xml:space="preserve"> 1</w:t>
      </w:r>
      <w:r>
        <w:t> </w:t>
      </w:r>
      <w:r w:rsidRPr="00681040">
        <w:t>g</w:t>
      </w:r>
    </w:p>
    <w:p w:rsidR="00D80E0D" w:rsidRPr="00681040" w:rsidRDefault="00D80E0D" w:rsidP="007478A3">
      <w:pPr>
        <w:pStyle w:val="Normlndobloku"/>
      </w:pPr>
      <w:r>
        <w:t>filmom obalené tablety</w:t>
      </w:r>
    </w:p>
    <w:p w:rsidR="00D80E0D" w:rsidRPr="00681040" w:rsidRDefault="00D80E0D" w:rsidP="00E02173">
      <w:pPr>
        <w:pStyle w:val="Styl1"/>
      </w:pPr>
      <w:r w:rsidRPr="00681040">
        <w:t>KVALITATÍVNE A</w:t>
      </w:r>
      <w:r>
        <w:t> </w:t>
      </w:r>
      <w:r w:rsidRPr="00681040">
        <w:t>KVANTITATÍVNE ZLOŽENIE</w:t>
      </w:r>
    </w:p>
    <w:p w:rsidR="00D80E0D" w:rsidRPr="00681040" w:rsidRDefault="00D80E0D" w:rsidP="007478A3">
      <w:pPr>
        <w:pStyle w:val="Normlndobloku"/>
      </w:pPr>
      <w:r>
        <w:t>Jedna filmom obalená</w:t>
      </w:r>
      <w:r w:rsidRPr="00681040">
        <w:t xml:space="preserve"> tableta lieku </w:t>
      </w:r>
      <w:r>
        <w:t>MEDOCLAV</w:t>
      </w:r>
      <w:r w:rsidRPr="00681040">
        <w:t xml:space="preserve"> 375</w:t>
      </w:r>
      <w:r>
        <w:t> </w:t>
      </w:r>
      <w:r w:rsidRPr="00681040">
        <w:t>mg obsahuje amoxic</w:t>
      </w:r>
      <w:r>
        <w:t>ilín</w:t>
      </w:r>
      <w:r w:rsidRPr="00681040">
        <w:t xml:space="preserve"> 250</w:t>
      </w:r>
      <w:r>
        <w:t> </w:t>
      </w:r>
      <w:r w:rsidRPr="00681040">
        <w:t xml:space="preserve">mg (vo forme </w:t>
      </w:r>
      <w:r>
        <w:t>trihydrátu amoxicilínu</w:t>
      </w:r>
      <w:r w:rsidRPr="00681040">
        <w:t>) a</w:t>
      </w:r>
      <w:r>
        <w:t> kyselinu klavulánovú</w:t>
      </w:r>
      <w:r w:rsidRPr="00681040">
        <w:t xml:space="preserve"> 125</w:t>
      </w:r>
      <w:r>
        <w:t> </w:t>
      </w:r>
      <w:r w:rsidRPr="00681040">
        <w:t xml:space="preserve">mg (vo forme </w:t>
      </w:r>
      <w:r>
        <w:t>káliumklavulanátu</w:t>
      </w:r>
      <w:r w:rsidRPr="00681040">
        <w:t>).</w:t>
      </w:r>
    </w:p>
    <w:p w:rsidR="00D80E0D" w:rsidRPr="00681040" w:rsidRDefault="00D80E0D" w:rsidP="007478A3">
      <w:pPr>
        <w:pStyle w:val="Normlndobloku"/>
      </w:pPr>
      <w:r>
        <w:t>Jedna filmom obalená</w:t>
      </w:r>
      <w:r w:rsidRPr="00681040">
        <w:t xml:space="preserve"> tableta lieku</w:t>
      </w:r>
      <w:r w:rsidRPr="005D7F4A">
        <w:t xml:space="preserve"> </w:t>
      </w:r>
      <w:r>
        <w:t>MEDOCLAV</w:t>
      </w:r>
      <w:r w:rsidRPr="00681040">
        <w:t xml:space="preserve"> 625</w:t>
      </w:r>
      <w:r>
        <w:t> </w:t>
      </w:r>
      <w:r w:rsidRPr="00681040">
        <w:t>mg obsahuje amoxic</w:t>
      </w:r>
      <w:r>
        <w:t>ilín</w:t>
      </w:r>
      <w:r w:rsidRPr="00681040">
        <w:t xml:space="preserve"> 500</w:t>
      </w:r>
      <w:r>
        <w:t> </w:t>
      </w:r>
      <w:r w:rsidRPr="00681040">
        <w:t xml:space="preserve">mg (vo forme </w:t>
      </w:r>
      <w:r>
        <w:t>trihydrátu amoxicilínu</w:t>
      </w:r>
      <w:r w:rsidRPr="00681040">
        <w:t>) a</w:t>
      </w:r>
      <w:r>
        <w:t> kyselinu klavulánovú</w:t>
      </w:r>
      <w:r w:rsidRPr="00681040">
        <w:t xml:space="preserve"> 125</w:t>
      </w:r>
      <w:r>
        <w:t> </w:t>
      </w:r>
      <w:r w:rsidRPr="00681040">
        <w:t xml:space="preserve">mg (vo forme </w:t>
      </w:r>
      <w:r>
        <w:t>káliumklavulanátu</w:t>
      </w:r>
      <w:r w:rsidRPr="00681040">
        <w:t>).</w:t>
      </w:r>
    </w:p>
    <w:p w:rsidR="00D80E0D" w:rsidRPr="00681040" w:rsidRDefault="00D80E0D" w:rsidP="007478A3">
      <w:pPr>
        <w:pStyle w:val="Normlndobloku"/>
      </w:pPr>
      <w:r>
        <w:t>Jedna filmom obalená</w:t>
      </w:r>
      <w:r w:rsidRPr="00681040">
        <w:t xml:space="preserve"> tableta lieku </w:t>
      </w:r>
      <w:r>
        <w:t>MEDOCLAV</w:t>
      </w:r>
      <w:r w:rsidRPr="00681040">
        <w:t xml:space="preserve"> 1</w:t>
      </w:r>
      <w:r>
        <w:t> </w:t>
      </w:r>
      <w:r w:rsidRPr="00681040">
        <w:t>g obsahuje amoxic</w:t>
      </w:r>
      <w:r>
        <w:t>ilín</w:t>
      </w:r>
      <w:r w:rsidRPr="00681040">
        <w:t xml:space="preserve"> 875</w:t>
      </w:r>
      <w:r>
        <w:t> </w:t>
      </w:r>
      <w:r w:rsidRPr="00681040">
        <w:t xml:space="preserve">mg (vo forme </w:t>
      </w:r>
      <w:r>
        <w:t>trihydrátu amoxicilínu</w:t>
      </w:r>
      <w:r w:rsidRPr="00681040">
        <w:t>) a</w:t>
      </w:r>
      <w:r>
        <w:t> kyselinu klavulánovú</w:t>
      </w:r>
      <w:r w:rsidRPr="00681040">
        <w:t xml:space="preserve"> 125</w:t>
      </w:r>
      <w:r>
        <w:t> </w:t>
      </w:r>
      <w:r w:rsidRPr="00681040">
        <w:t xml:space="preserve">mg (vo forme </w:t>
      </w:r>
      <w:r>
        <w:t>káliumklavulanátu</w:t>
      </w:r>
      <w:r w:rsidRPr="00681040">
        <w:t>).</w:t>
      </w:r>
    </w:p>
    <w:p w:rsidR="00D80E0D" w:rsidRPr="00681040" w:rsidRDefault="00D80E0D" w:rsidP="007478A3">
      <w:pPr>
        <w:pStyle w:val="Normlndobloku"/>
      </w:pPr>
      <w:r w:rsidRPr="00681040">
        <w:t>Úplný zoznam pomocných látok, pozri časť 6.1.</w:t>
      </w:r>
    </w:p>
    <w:p w:rsidR="00D80E0D" w:rsidRPr="00681040" w:rsidRDefault="00D80E0D" w:rsidP="00E02173">
      <w:pPr>
        <w:pStyle w:val="Styl1"/>
      </w:pPr>
      <w:r w:rsidRPr="00681040">
        <w:t>LIEKOVÁ FORMA</w:t>
      </w:r>
    </w:p>
    <w:p w:rsidR="00D80E0D" w:rsidRPr="00681040" w:rsidRDefault="00D80E0D" w:rsidP="007478A3">
      <w:pPr>
        <w:pStyle w:val="Normlndobloku"/>
      </w:pPr>
      <w:r w:rsidRPr="00681040">
        <w:t>Filmom obalen</w:t>
      </w:r>
      <w:r>
        <w:t>á</w:t>
      </w:r>
      <w:r w:rsidRPr="00681040">
        <w:t xml:space="preserve"> tablet</w:t>
      </w:r>
      <w:r>
        <w:t>a</w:t>
      </w:r>
    </w:p>
    <w:p w:rsidR="00D80E0D" w:rsidRPr="00681040" w:rsidRDefault="00D80E0D" w:rsidP="007478A3">
      <w:pPr>
        <w:pStyle w:val="Normlndobloku"/>
      </w:pPr>
      <w:r>
        <w:t>MEDOCLAV</w:t>
      </w:r>
      <w:r w:rsidRPr="00681040">
        <w:t xml:space="preserve"> 375</w:t>
      </w:r>
      <w:r>
        <w:t> </w:t>
      </w:r>
      <w:r w:rsidRPr="00681040">
        <w:t>mg: biele, filmom obalené tablety, kapsulovitého tvaru, konvexné, na jednej strane s</w:t>
      </w:r>
      <w:r>
        <w:t> </w:t>
      </w:r>
      <w:r w:rsidRPr="00681040">
        <w:t>deliacou ryhou, na druhej strane s</w:t>
      </w:r>
      <w:r>
        <w:t> </w:t>
      </w:r>
      <w:r w:rsidRPr="00681040">
        <w:t xml:space="preserve">označením MC, s priemerom jadra 17,5 mm x </w:t>
      </w:r>
      <w:smartTag w:uri="urn:schemas-microsoft-com:office:smarttags" w:element="metricconverter">
        <w:smartTagPr>
          <w:attr w:name="ProductID" w:val="8ﾠmm"/>
        </w:smartTagPr>
        <w:r w:rsidRPr="00681040">
          <w:t>8 mm</w:t>
        </w:r>
      </w:smartTag>
      <w:r w:rsidRPr="00681040">
        <w:t>.</w:t>
      </w:r>
    </w:p>
    <w:p w:rsidR="00D80E0D" w:rsidRPr="00681040" w:rsidRDefault="00D80E0D" w:rsidP="007478A3">
      <w:pPr>
        <w:pStyle w:val="Normlndobloku"/>
      </w:pPr>
      <w:r w:rsidRPr="00681040">
        <w:t>Deliaca ryha iba pomáha rozlom</w:t>
      </w:r>
      <w:r>
        <w:t>iť tabletu, aby sa dala ľahšie prehltnúť</w:t>
      </w:r>
      <w:r w:rsidRPr="00681040">
        <w:t xml:space="preserve"> a</w:t>
      </w:r>
      <w:r>
        <w:t> </w:t>
      </w:r>
      <w:r w:rsidRPr="00681040">
        <w:t xml:space="preserve">neslúži </w:t>
      </w:r>
      <w:r>
        <w:t>na</w:t>
      </w:r>
      <w:r w:rsidRPr="00681040">
        <w:t xml:space="preserve"> rozdelenie na rovnaké dávky.</w:t>
      </w:r>
    </w:p>
    <w:p w:rsidR="00D80E0D" w:rsidRPr="00681040" w:rsidRDefault="00D80E0D" w:rsidP="007478A3">
      <w:pPr>
        <w:pStyle w:val="Normlndobloku"/>
      </w:pPr>
      <w:r>
        <w:t>MEDOCLAV</w:t>
      </w:r>
      <w:r w:rsidRPr="00681040" w:rsidDel="005D7F4A">
        <w:t xml:space="preserve"> </w:t>
      </w:r>
      <w:r w:rsidRPr="00681040">
        <w:t>625</w:t>
      </w:r>
      <w:r>
        <w:t> </w:t>
      </w:r>
      <w:r w:rsidRPr="00681040">
        <w:t xml:space="preserve">mg: biele, filmom obalené tablety, kapsulovitého tvaru, konvexné, s priemerom jadra 19,0 mm x </w:t>
      </w:r>
      <w:smartTag w:uri="urn:schemas-microsoft-com:office:smarttags" w:element="metricconverter">
        <w:smartTagPr>
          <w:attr w:name="ProductID" w:val="10ﾠmm"/>
        </w:smartTagPr>
        <w:r w:rsidRPr="00681040">
          <w:t>10 mm</w:t>
        </w:r>
      </w:smartTag>
      <w:r w:rsidRPr="00681040">
        <w:t>.</w:t>
      </w:r>
    </w:p>
    <w:p w:rsidR="00D80E0D" w:rsidRPr="00681040" w:rsidRDefault="00D80E0D" w:rsidP="007478A3">
      <w:pPr>
        <w:pStyle w:val="Normlndobloku"/>
      </w:pPr>
      <w:r>
        <w:t>MEDOCLAV</w:t>
      </w:r>
      <w:r w:rsidRPr="005D57AF">
        <w:t xml:space="preserve"> 1</w:t>
      </w:r>
      <w:r>
        <w:t> </w:t>
      </w:r>
      <w:r w:rsidRPr="005D57AF">
        <w:t>g: biele, konvexné, filmom obalené tablety kapsulovitého tvaru, s</w:t>
      </w:r>
      <w:r>
        <w:t> </w:t>
      </w:r>
      <w:r w:rsidRPr="005D57AF">
        <w:t>priemerom jadra 21,5</w:t>
      </w:r>
      <w:r>
        <w:t> </w:t>
      </w:r>
      <w:r w:rsidRPr="005D57AF">
        <w:t>mm x 10</w:t>
      </w:r>
      <w:r>
        <w:t> </w:t>
      </w:r>
      <w:r w:rsidRPr="005D57AF">
        <w:t>mm.</w:t>
      </w:r>
    </w:p>
    <w:p w:rsidR="00D80E0D" w:rsidRPr="00681040" w:rsidRDefault="00D80E0D" w:rsidP="000966A7">
      <w:pPr>
        <w:pStyle w:val="Styl1"/>
      </w:pPr>
      <w:r w:rsidRPr="00681040">
        <w:t>KLINICKÉ ÚDAJE</w:t>
      </w:r>
    </w:p>
    <w:p w:rsidR="00D80E0D" w:rsidRPr="00681040" w:rsidRDefault="00D80E0D" w:rsidP="00C50E86">
      <w:pPr>
        <w:pStyle w:val="Styl2"/>
      </w:pPr>
      <w:r w:rsidRPr="00681040">
        <w:t>Terapeutické indikácie</w:t>
      </w:r>
    </w:p>
    <w:p w:rsidR="00D80E0D" w:rsidRPr="00681040" w:rsidRDefault="00D80E0D" w:rsidP="007478A3">
      <w:pPr>
        <w:pStyle w:val="Normlndobloku"/>
        <w:rPr>
          <w:szCs w:val="22"/>
          <w:lang w:eastAsia="sk-SK"/>
        </w:rPr>
      </w:pPr>
      <w:r>
        <w:t>MEDOCLAV</w:t>
      </w:r>
      <w:r w:rsidRPr="00681040">
        <w:t xml:space="preserve"> je indikovaný na liečbu nasledujúcich infekcií u</w:t>
      </w:r>
      <w:r>
        <w:t> </w:t>
      </w:r>
      <w:r w:rsidRPr="00681040">
        <w:t>dospelých a</w:t>
      </w:r>
      <w:r>
        <w:t> </w:t>
      </w:r>
      <w:r w:rsidRPr="00681040">
        <w:t>detí (pozri časti 4</w:t>
      </w:r>
      <w:r>
        <w:t>.</w:t>
      </w:r>
      <w:r w:rsidRPr="00681040">
        <w:t xml:space="preserve">2, </w:t>
      </w:r>
      <w:smartTag w:uri="urn:schemas-microsoft-com:office:smarttags" w:element="metricconverter">
        <w:smartTagPr>
          <w:attr w:name="ProductID" w:val="4.4 a"/>
        </w:smartTagPr>
        <w:r w:rsidRPr="00681040">
          <w:t>4.4</w:t>
        </w:r>
        <w:r>
          <w:t xml:space="preserve"> </w:t>
        </w:r>
        <w:r w:rsidRPr="00681040">
          <w:t>a</w:t>
        </w:r>
        <w:r>
          <w:t> </w:t>
        </w:r>
      </w:smartTag>
      <w:r w:rsidRPr="00681040">
        <w:rPr>
          <w:szCs w:val="22"/>
          <w:lang w:eastAsia="sk-SK"/>
        </w:rPr>
        <w:t>5.1).</w:t>
      </w:r>
    </w:p>
    <w:p w:rsidR="00D80E0D" w:rsidRPr="00681040" w:rsidRDefault="00D80E0D" w:rsidP="007478A3">
      <w:pPr>
        <w:pStyle w:val="Normlndobloku"/>
        <w:rPr>
          <w:lang w:eastAsia="sk-S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81"/>
        <w:gridCol w:w="3181"/>
        <w:gridCol w:w="3182"/>
      </w:tblGrid>
      <w:tr w:rsidR="00D80E0D" w:rsidRPr="00681040" w:rsidTr="00003B60">
        <w:trPr>
          <w:tblHeader/>
        </w:trPr>
        <w:tc>
          <w:tcPr>
            <w:tcW w:w="3181" w:type="dxa"/>
            <w:shd w:val="clear" w:color="000000" w:fill="auto"/>
          </w:tcPr>
          <w:p w:rsidR="00D80E0D" w:rsidRPr="00D80E0D" w:rsidRDefault="00D80E0D" w:rsidP="00AE5E07">
            <w:pPr>
              <w:pStyle w:val="Styl4"/>
              <w:rPr>
                <w:lang w:eastAsia="sk-SK"/>
              </w:rPr>
            </w:pPr>
            <w:r w:rsidRPr="00D80E0D">
              <w:t>MEDOCLAV 375 mg</w:t>
            </w:r>
          </w:p>
        </w:tc>
        <w:tc>
          <w:tcPr>
            <w:tcW w:w="3181" w:type="dxa"/>
            <w:shd w:val="clear" w:color="000000" w:fill="auto"/>
          </w:tcPr>
          <w:p w:rsidR="00D80E0D" w:rsidRPr="00D80E0D" w:rsidRDefault="00D80E0D" w:rsidP="00AE5E07">
            <w:pPr>
              <w:pStyle w:val="Styl4"/>
              <w:rPr>
                <w:lang w:eastAsia="sk-SK"/>
              </w:rPr>
            </w:pPr>
            <w:r w:rsidRPr="00D80E0D">
              <w:t>MEDOCLAV 625 mg</w:t>
            </w:r>
          </w:p>
        </w:tc>
        <w:tc>
          <w:tcPr>
            <w:tcW w:w="3182" w:type="dxa"/>
            <w:shd w:val="clear" w:color="000000" w:fill="auto"/>
          </w:tcPr>
          <w:p w:rsidR="00D80E0D" w:rsidRPr="00D80E0D" w:rsidRDefault="00D80E0D" w:rsidP="00AE5E07">
            <w:pPr>
              <w:pStyle w:val="Styl4"/>
              <w:rPr>
                <w:lang w:eastAsia="sk-SK"/>
              </w:rPr>
            </w:pPr>
            <w:r w:rsidRPr="00D80E0D">
              <w:t>MEDOCLAV 1 g</w:t>
            </w:r>
          </w:p>
        </w:tc>
      </w:tr>
      <w:tr w:rsidR="00D80E0D" w:rsidRPr="00681040" w:rsidTr="00003B60">
        <w:tc>
          <w:tcPr>
            <w:tcW w:w="3181" w:type="dxa"/>
            <w:shd w:val="clear" w:color="000000" w:fill="auto"/>
          </w:tcPr>
          <w:p w:rsidR="00D80E0D" w:rsidRPr="00E024DB" w:rsidRDefault="00D80E0D" w:rsidP="007478A3">
            <w:pPr>
              <w:pStyle w:val="Normlndobloku"/>
            </w:pPr>
            <w:r w:rsidRPr="00E024DB">
              <w:t>Akútna bakteriálna sinusitída (adekvátne diagnostikovaná)</w:t>
            </w: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Akútna bakteriálna sinusitída (adekvátne diagnostikovaná)</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Akútna bakteriálna sinusitída (adekvátne diagnostikovaná)</w:t>
            </w:r>
          </w:p>
        </w:tc>
      </w:tr>
      <w:tr w:rsidR="00D80E0D" w:rsidRPr="00681040" w:rsidTr="00003B60">
        <w:tc>
          <w:tcPr>
            <w:tcW w:w="3181" w:type="dxa"/>
            <w:shd w:val="pct15" w:color="000000" w:fill="auto"/>
          </w:tcPr>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Akútna otitis media</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Akútna otitis media</w:t>
            </w:r>
          </w:p>
        </w:tc>
      </w:tr>
      <w:tr w:rsidR="00D80E0D" w:rsidRPr="00681040" w:rsidTr="00003B60">
        <w:tc>
          <w:tcPr>
            <w:tcW w:w="3181" w:type="dxa"/>
            <w:shd w:val="pct15" w:color="000000" w:fill="auto"/>
          </w:tcPr>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 xml:space="preserve">Akútne exacerbácie chronickej bronchitídy (adekvátne </w:t>
            </w:r>
            <w:r w:rsidRPr="00E024DB">
              <w:rPr>
                <w:lang w:eastAsia="sk-SK"/>
              </w:rPr>
              <w:lastRenderedPageBreak/>
              <w:t>diagnostikovanej)</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lastRenderedPageBreak/>
              <w:t xml:space="preserve">Akútne exacerbácie chronickej bronchitídy (adekvátne </w:t>
            </w:r>
            <w:r w:rsidRPr="00E024DB">
              <w:rPr>
                <w:lang w:eastAsia="sk-SK"/>
              </w:rPr>
              <w:lastRenderedPageBreak/>
              <w:t>diagnostikovanej)</w:t>
            </w:r>
          </w:p>
        </w:tc>
      </w:tr>
      <w:tr w:rsidR="00D80E0D" w:rsidRPr="00681040" w:rsidTr="00003B60">
        <w:tc>
          <w:tcPr>
            <w:tcW w:w="3181" w:type="dxa"/>
            <w:shd w:val="pct15" w:color="000000" w:fill="auto"/>
          </w:tcPr>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Pneumónia získaná v komunite</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Pneumónia získaná v komunite</w:t>
            </w:r>
          </w:p>
        </w:tc>
      </w:tr>
      <w:tr w:rsidR="00D80E0D" w:rsidRPr="00681040" w:rsidTr="00003B60">
        <w:tc>
          <w:tcPr>
            <w:tcW w:w="3181" w:type="dxa"/>
            <w:shd w:val="clear" w:color="000000" w:fill="auto"/>
          </w:tcPr>
          <w:p w:rsidR="00D80E0D" w:rsidRPr="00E024DB" w:rsidRDefault="00D80E0D" w:rsidP="007478A3">
            <w:pPr>
              <w:pStyle w:val="Normlndobloku"/>
            </w:pPr>
            <w:r w:rsidRPr="00E024DB">
              <w:t>Cystitída</w:t>
            </w: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Cystitída</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Cystitída</w:t>
            </w:r>
          </w:p>
        </w:tc>
      </w:tr>
      <w:tr w:rsidR="00D80E0D" w:rsidRPr="00681040" w:rsidTr="00003B60">
        <w:tc>
          <w:tcPr>
            <w:tcW w:w="3181" w:type="dxa"/>
            <w:shd w:val="clear" w:color="000000" w:fill="auto"/>
          </w:tcPr>
          <w:p w:rsidR="00D80E0D" w:rsidRPr="00E024DB" w:rsidRDefault="00D80E0D" w:rsidP="007478A3">
            <w:pPr>
              <w:pStyle w:val="Normlndobloku"/>
            </w:pPr>
            <w:r w:rsidRPr="00E024DB">
              <w:t>Pyelonefritída</w:t>
            </w:r>
          </w:p>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Normlndobloku"/>
            </w:pPr>
            <w:r w:rsidRPr="00E024DB">
              <w:rPr>
                <w:lang w:eastAsia="sk-SK"/>
              </w:rPr>
              <w:t>Pyelonefritída</w:t>
            </w:r>
          </w:p>
          <w:p w:rsidR="00D80E0D" w:rsidRPr="00E024DB" w:rsidRDefault="00D80E0D" w:rsidP="007478A3">
            <w:pPr>
              <w:pStyle w:val="Normlndobloku"/>
            </w:pP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Pyelonefritída</w:t>
            </w:r>
          </w:p>
        </w:tc>
      </w:tr>
      <w:tr w:rsidR="00D80E0D" w:rsidRPr="00681040" w:rsidTr="00003B60">
        <w:tc>
          <w:tcPr>
            <w:tcW w:w="3181" w:type="dxa"/>
            <w:shd w:val="pct15" w:color="000000" w:fill="auto"/>
          </w:tcPr>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Infekcie kože a mäkkých tkanív, najmä flegmóna, pohryznutie zvieraťom, ťažký dentálny absces so šíriacou sa flegmónou.</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Infekcie kože a mäkkých tkanív, najmä flegmóna, pohryznutie zvieraťom, ťažký dentálny absces so šíriacou sa flegmónou.</w:t>
            </w:r>
          </w:p>
        </w:tc>
      </w:tr>
      <w:tr w:rsidR="00D80E0D" w:rsidRPr="00681040" w:rsidTr="00003B60">
        <w:tc>
          <w:tcPr>
            <w:tcW w:w="3181" w:type="dxa"/>
            <w:shd w:val="pct15" w:color="000000" w:fill="auto"/>
          </w:tcPr>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Normlndobloku"/>
              <w:rPr>
                <w:sz w:val="20"/>
                <w:lang w:eastAsia="sk-SK"/>
              </w:rPr>
            </w:pPr>
            <w:r w:rsidRPr="00E024DB">
              <w:rPr>
                <w:lang w:eastAsia="sk-SK"/>
              </w:rPr>
              <w:t>Infekcie kostí a kĺbov, najmä osteomyelitída.</w:t>
            </w:r>
          </w:p>
        </w:tc>
        <w:tc>
          <w:tcPr>
            <w:tcW w:w="3182"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Infekcie kostí a kĺbov, najmä osteomyelitída.</w:t>
            </w:r>
          </w:p>
        </w:tc>
      </w:tr>
      <w:tr w:rsidR="00D80E0D" w:rsidRPr="00681040" w:rsidTr="00003B60">
        <w:tc>
          <w:tcPr>
            <w:tcW w:w="3181" w:type="dxa"/>
            <w:shd w:val="clear" w:color="000000" w:fill="auto"/>
          </w:tcPr>
          <w:p w:rsidR="00D80E0D" w:rsidRPr="00E024DB" w:rsidRDefault="00D80E0D" w:rsidP="007478A3">
            <w:pPr>
              <w:pStyle w:val="Normlndobloku"/>
            </w:pPr>
            <w:r w:rsidRPr="00E024DB">
              <w:t>Flegmóna</w:t>
            </w:r>
          </w:p>
        </w:tc>
        <w:tc>
          <w:tcPr>
            <w:tcW w:w="3181" w:type="dxa"/>
            <w:shd w:val="pct15" w:color="000000" w:fill="auto"/>
          </w:tcPr>
          <w:p w:rsidR="00D80E0D" w:rsidRPr="00E024DB" w:rsidRDefault="00D80E0D" w:rsidP="007478A3">
            <w:pPr>
              <w:pStyle w:val="Normlndobloku"/>
              <w:rPr>
                <w:lang w:eastAsia="sk-SK"/>
              </w:rPr>
            </w:pPr>
          </w:p>
        </w:tc>
        <w:tc>
          <w:tcPr>
            <w:tcW w:w="3182" w:type="dxa"/>
            <w:shd w:val="pct15" w:color="000000" w:fill="auto"/>
          </w:tcPr>
          <w:p w:rsidR="00D80E0D" w:rsidRPr="00681040" w:rsidRDefault="00D80E0D" w:rsidP="00003B60">
            <w:pPr>
              <w:autoSpaceDE w:val="0"/>
              <w:autoSpaceDN w:val="0"/>
              <w:adjustRightInd w:val="0"/>
              <w:rPr>
                <w:lang w:val="sk-SK" w:eastAsia="sk-SK"/>
              </w:rPr>
            </w:pPr>
          </w:p>
        </w:tc>
      </w:tr>
      <w:tr w:rsidR="00D80E0D" w:rsidRPr="00681040" w:rsidTr="00003B60">
        <w:tc>
          <w:tcPr>
            <w:tcW w:w="3181" w:type="dxa"/>
            <w:shd w:val="clear" w:color="000000" w:fill="auto"/>
          </w:tcPr>
          <w:p w:rsidR="00D80E0D" w:rsidRPr="00E024DB" w:rsidRDefault="00D80E0D" w:rsidP="007478A3">
            <w:pPr>
              <w:pStyle w:val="Normlndobloku"/>
            </w:pPr>
            <w:r w:rsidRPr="00E024DB">
              <w:t>Pohryznutie zvieraťom</w:t>
            </w:r>
          </w:p>
        </w:tc>
        <w:tc>
          <w:tcPr>
            <w:tcW w:w="3181" w:type="dxa"/>
            <w:shd w:val="pct15" w:color="000000" w:fill="auto"/>
          </w:tcPr>
          <w:p w:rsidR="00D80E0D" w:rsidRPr="00E024DB" w:rsidRDefault="00D80E0D" w:rsidP="007478A3">
            <w:pPr>
              <w:pStyle w:val="Normlndobloku"/>
              <w:rPr>
                <w:lang w:eastAsia="sk-SK"/>
              </w:rPr>
            </w:pPr>
          </w:p>
        </w:tc>
        <w:tc>
          <w:tcPr>
            <w:tcW w:w="3182" w:type="dxa"/>
            <w:shd w:val="pct15" w:color="000000" w:fill="auto"/>
          </w:tcPr>
          <w:p w:rsidR="00D80E0D" w:rsidRPr="00681040" w:rsidRDefault="00D80E0D" w:rsidP="00003B60">
            <w:pPr>
              <w:autoSpaceDE w:val="0"/>
              <w:autoSpaceDN w:val="0"/>
              <w:adjustRightInd w:val="0"/>
              <w:rPr>
                <w:lang w:val="sk-SK" w:eastAsia="sk-SK"/>
              </w:rPr>
            </w:pPr>
          </w:p>
        </w:tc>
      </w:tr>
      <w:tr w:rsidR="00D80E0D" w:rsidRPr="00681040" w:rsidTr="00003B60">
        <w:tc>
          <w:tcPr>
            <w:tcW w:w="3181" w:type="dxa"/>
            <w:shd w:val="clear" w:color="000000" w:fill="auto"/>
          </w:tcPr>
          <w:p w:rsidR="00D80E0D" w:rsidRPr="00E024DB" w:rsidRDefault="00D80E0D" w:rsidP="007478A3">
            <w:pPr>
              <w:pStyle w:val="Normlndobloku"/>
              <w:rPr>
                <w:szCs w:val="22"/>
                <w:lang w:eastAsia="sk-SK"/>
              </w:rPr>
            </w:pPr>
            <w:r w:rsidRPr="00E024DB">
              <w:t>Ťažký dentálny absces so šíriacou sa flegmónou</w:t>
            </w:r>
          </w:p>
        </w:tc>
        <w:tc>
          <w:tcPr>
            <w:tcW w:w="3181" w:type="dxa"/>
            <w:shd w:val="pct15" w:color="000000" w:fill="auto"/>
          </w:tcPr>
          <w:p w:rsidR="00D80E0D" w:rsidRPr="00E024DB" w:rsidRDefault="00D80E0D" w:rsidP="007478A3">
            <w:pPr>
              <w:pStyle w:val="Normlndobloku"/>
              <w:rPr>
                <w:lang w:eastAsia="sk-SK"/>
              </w:rPr>
            </w:pPr>
          </w:p>
        </w:tc>
        <w:tc>
          <w:tcPr>
            <w:tcW w:w="3182" w:type="dxa"/>
            <w:shd w:val="pct15" w:color="000000" w:fill="auto"/>
          </w:tcPr>
          <w:p w:rsidR="00D80E0D" w:rsidRPr="00681040" w:rsidRDefault="00D80E0D" w:rsidP="00003B60">
            <w:pPr>
              <w:autoSpaceDE w:val="0"/>
              <w:autoSpaceDN w:val="0"/>
              <w:adjustRightInd w:val="0"/>
              <w:rPr>
                <w:lang w:val="sk-SK" w:eastAsia="sk-SK"/>
              </w:rPr>
            </w:pPr>
          </w:p>
        </w:tc>
      </w:tr>
    </w:tbl>
    <w:p w:rsidR="00D80E0D" w:rsidRPr="00681040" w:rsidRDefault="00D80E0D" w:rsidP="007478A3">
      <w:pPr>
        <w:pStyle w:val="Normlndobloku"/>
      </w:pPr>
      <w:r w:rsidRPr="00681040">
        <w:t>Do úvahy sa má vziať oficiálne usmernenie o</w:t>
      </w:r>
      <w:r>
        <w:t> </w:t>
      </w:r>
      <w:r w:rsidRPr="00681040">
        <w:t>náležitom používaní antibakteriálnych látok.</w:t>
      </w:r>
    </w:p>
    <w:p w:rsidR="00D80E0D" w:rsidRPr="00681040" w:rsidRDefault="00D80E0D" w:rsidP="00C50E86">
      <w:pPr>
        <w:pStyle w:val="Styl2"/>
      </w:pPr>
      <w:r w:rsidRPr="00681040">
        <w:t>Dávkovanie a</w:t>
      </w:r>
      <w:r>
        <w:t> </w:t>
      </w:r>
      <w:r w:rsidRPr="00681040">
        <w:t>spôsob podávania</w:t>
      </w:r>
    </w:p>
    <w:p w:rsidR="00D80E0D" w:rsidRDefault="00D80E0D" w:rsidP="00AE5E07">
      <w:pPr>
        <w:pStyle w:val="Styl4"/>
        <w:rPr>
          <w:lang w:eastAsia="sk-SK"/>
        </w:rPr>
      </w:pPr>
      <w:r>
        <w:t>Dávkovanie</w:t>
      </w:r>
    </w:p>
    <w:p w:rsidR="00D80E0D" w:rsidRPr="00681040" w:rsidRDefault="00D80E0D" w:rsidP="007478A3">
      <w:pPr>
        <w:pStyle w:val="Normlndobloku"/>
      </w:pPr>
      <w:r w:rsidRPr="00681040">
        <w:t>Dávky sú všade vyjadrené v</w:t>
      </w:r>
      <w:r>
        <w:t> </w:t>
      </w:r>
      <w:r w:rsidRPr="00681040">
        <w:t>zmysle obsahu amoxicilínu/kyseliny klavul</w:t>
      </w:r>
      <w:r w:rsidR="002C381C">
        <w:t>á</w:t>
      </w:r>
      <w:r w:rsidRPr="00681040">
        <w:t>novej, okrem prípadov, v</w:t>
      </w:r>
      <w:r>
        <w:t> </w:t>
      </w:r>
      <w:r w:rsidRPr="00681040">
        <w:t>ktorých sú dávky vyjadrené v</w:t>
      </w:r>
      <w:r>
        <w:t> </w:t>
      </w:r>
      <w:r w:rsidRPr="00681040">
        <w:t>zmysle jednotlivej zložky.</w:t>
      </w:r>
    </w:p>
    <w:p w:rsidR="00D80E0D" w:rsidRPr="00681040" w:rsidRDefault="00D80E0D" w:rsidP="007478A3">
      <w:pPr>
        <w:pStyle w:val="Normlndobloku"/>
      </w:pPr>
      <w:r w:rsidRPr="00681040">
        <w:t xml:space="preserve">Dávka </w:t>
      </w:r>
      <w:r>
        <w:t>lieku MEDOCLAV</w:t>
      </w:r>
      <w:r w:rsidRPr="00681040">
        <w:t>, ktorá sa zvolí na liečbu individuálnej infekcie, musí zohľadňovať:</w:t>
      </w:r>
    </w:p>
    <w:p w:rsidR="00D80E0D" w:rsidRPr="00681040" w:rsidRDefault="00D80E0D" w:rsidP="007478A3">
      <w:pPr>
        <w:pStyle w:val="Normlndoblokusodrkami"/>
      </w:pPr>
      <w:r w:rsidRPr="00681040">
        <w:t>Predpokladané patogény a</w:t>
      </w:r>
      <w:r>
        <w:t> </w:t>
      </w:r>
      <w:r w:rsidRPr="00681040">
        <w:t>ich pravdepodobnú citlivosť na antibakteriálne látky (pozri časť 4.4)</w:t>
      </w:r>
    </w:p>
    <w:p w:rsidR="00D80E0D" w:rsidRPr="00681040" w:rsidRDefault="00D80E0D" w:rsidP="007478A3">
      <w:pPr>
        <w:pStyle w:val="Normlndoblokusodrkami"/>
      </w:pPr>
      <w:r w:rsidRPr="00681040">
        <w:t>Závažnosť infekcie a</w:t>
      </w:r>
      <w:r>
        <w:t> </w:t>
      </w:r>
      <w:r w:rsidRPr="00681040">
        <w:t>miesto infekcie</w:t>
      </w:r>
    </w:p>
    <w:p w:rsidR="00D80E0D" w:rsidRPr="00681040" w:rsidRDefault="00D80E0D" w:rsidP="007478A3">
      <w:pPr>
        <w:pStyle w:val="Normlndoblokusodrkami"/>
      </w:pPr>
      <w:r w:rsidRPr="00681040">
        <w:t>Vek, telesnú hmotnosť a</w:t>
      </w:r>
      <w:r>
        <w:t> </w:t>
      </w:r>
      <w:r w:rsidRPr="00681040">
        <w:t>funkciu obličiek pacienta, ako je uvedené nižšie.</w:t>
      </w:r>
    </w:p>
    <w:p w:rsidR="00D80E0D" w:rsidRPr="00681040" w:rsidRDefault="00D80E0D" w:rsidP="007478A3">
      <w:pPr>
        <w:pStyle w:val="Normlndobloku"/>
      </w:pPr>
      <w:r w:rsidRPr="00681040">
        <w:t>V</w:t>
      </w:r>
      <w:r>
        <w:t> </w:t>
      </w:r>
      <w:r w:rsidRPr="00681040">
        <w:t xml:space="preserve">prípade potreby sa má zvážiť použitie alternatívnych foriem </w:t>
      </w:r>
      <w:r>
        <w:t>lieku MEDOCLAV</w:t>
      </w:r>
      <w:r w:rsidRPr="00681040">
        <w:t xml:space="preserve"> (napr.</w:t>
      </w:r>
      <w:r>
        <w:t> </w:t>
      </w:r>
      <w:r w:rsidRPr="00681040">
        <w:t>takých, ktoré poskytujú vyššie dávky amoxicilínu a/alebo odlišný pomer amoxicilínu a</w:t>
      </w:r>
      <w:r>
        <w:t> </w:t>
      </w:r>
      <w:r w:rsidRPr="00681040">
        <w:t>kyseliny klavul</w:t>
      </w:r>
      <w:r>
        <w:t>á</w:t>
      </w:r>
      <w:r w:rsidRPr="00681040">
        <w:t>novej) (pozri časti 4.4 a</w:t>
      </w:r>
      <w:r>
        <w:t> </w:t>
      </w:r>
      <w:r w:rsidRPr="00681040">
        <w:t>5.1).</w:t>
      </w:r>
    </w:p>
    <w:p w:rsidR="00D80E0D" w:rsidRPr="00681040" w:rsidRDefault="00D80E0D" w:rsidP="00AE5E07">
      <w:pPr>
        <w:pStyle w:val="Styl4"/>
      </w:pPr>
      <w:r>
        <w:t>MEDOCLAV</w:t>
      </w:r>
      <w:r w:rsidRPr="00681040">
        <w:t xml:space="preserve"> 375</w:t>
      </w:r>
      <w:r>
        <w:t> </w:t>
      </w:r>
      <w:r w:rsidRPr="00681040">
        <w:t>mg</w:t>
      </w:r>
    </w:p>
    <w:p w:rsidR="00D80E0D" w:rsidRDefault="00D80E0D" w:rsidP="007478A3">
      <w:pPr>
        <w:pStyle w:val="Normlndobloku"/>
      </w:pPr>
      <w:r w:rsidRPr="00681040">
        <w:t>Pre dospelých a</w:t>
      </w:r>
      <w:r>
        <w:t> </w:t>
      </w:r>
      <w:r w:rsidRPr="00681040">
        <w:t xml:space="preserve">deti </w:t>
      </w:r>
      <w:r>
        <w:t>s telesnou hmotnosťou</w:t>
      </w:r>
      <w:r w:rsidRPr="00681040">
        <w:t xml:space="preserve"> ≥ 40</w:t>
      </w:r>
      <w:r>
        <w:t> </w:t>
      </w:r>
      <w:r w:rsidRPr="00681040">
        <w:t xml:space="preserve">kg poskytuje táto lieková forma </w:t>
      </w:r>
      <w:r>
        <w:t>lieku MEDOCLAV</w:t>
      </w:r>
      <w:r w:rsidRPr="00681040">
        <w:t xml:space="preserve"> celkovú dennú dávku 750</w:t>
      </w:r>
      <w:r>
        <w:t> </w:t>
      </w:r>
      <w:r w:rsidRPr="00681040">
        <w:t>mg amoxicilínu/375</w:t>
      </w:r>
      <w:r>
        <w:t> </w:t>
      </w:r>
      <w:r w:rsidRPr="00681040">
        <w:t>mg kyseliny klavul</w:t>
      </w:r>
      <w:r>
        <w:t>á</w:t>
      </w:r>
      <w:r w:rsidRPr="00681040">
        <w:t xml:space="preserve">novej, keď sa podáva tak, ako je odporúčané nižšie. Ak sa usúdi, že je potrebná vyššia denná dávka amoxicilínu, odporúča sa zvoliť iný </w:t>
      </w:r>
      <w:r>
        <w:t>liek</w:t>
      </w:r>
      <w:r w:rsidRPr="00681040">
        <w:t>, aby sa predišlo podávaniu zbytočne vysokých denných dávok kyseliny klavul</w:t>
      </w:r>
      <w:r>
        <w:t>á</w:t>
      </w:r>
      <w:r w:rsidRPr="00681040">
        <w:t xml:space="preserve">novej (pozri časti </w:t>
      </w:r>
      <w:smartTag w:uri="urn:schemas-microsoft-com:office:smarttags" w:element="metricconverter">
        <w:smartTagPr>
          <w:attr w:name="ProductID" w:val="4.4 a"/>
        </w:smartTagPr>
        <w:r w:rsidRPr="00681040">
          <w:t>4.4 a</w:t>
        </w:r>
        <w:r>
          <w:t> </w:t>
        </w:r>
      </w:smartTag>
      <w:r w:rsidRPr="00681040">
        <w:t>5.1).</w:t>
      </w:r>
    </w:p>
    <w:p w:rsidR="00D80E0D" w:rsidRDefault="00D80E0D" w:rsidP="007478A3">
      <w:pPr>
        <w:pStyle w:val="Normlndobloku"/>
      </w:pPr>
      <w:r w:rsidRPr="00681040">
        <w:t>Liečba nemá presiahnuť 14 dní bez vyšetrenia stavu pacienta</w:t>
      </w:r>
    </w:p>
    <w:p w:rsidR="00D80E0D" w:rsidRPr="00681040" w:rsidRDefault="00D80E0D" w:rsidP="00AE5E07">
      <w:pPr>
        <w:pStyle w:val="Styl3"/>
      </w:pPr>
      <w:r w:rsidRPr="00C72A51">
        <w:t>Dospelí a</w:t>
      </w:r>
      <w:r>
        <w:t> </w:t>
      </w:r>
      <w:r w:rsidRPr="00C72A51">
        <w:t xml:space="preserve">deti </w:t>
      </w:r>
      <w:r>
        <w:t>s telesnou hmotnosťou</w:t>
      </w:r>
      <w:r w:rsidRPr="00C72A51">
        <w:t xml:space="preserve"> </w:t>
      </w:r>
      <w:r w:rsidRPr="00B858EA">
        <w:t>≥</w:t>
      </w:r>
      <w:r w:rsidRPr="00C72A51">
        <w:t>40</w:t>
      </w:r>
      <w:r>
        <w:t> </w:t>
      </w:r>
      <w:r w:rsidRPr="00C72A51">
        <w:t>kg</w:t>
      </w:r>
    </w:p>
    <w:p w:rsidR="00D80E0D" w:rsidRPr="00681040" w:rsidRDefault="00D80E0D" w:rsidP="007478A3">
      <w:pPr>
        <w:pStyle w:val="Normlndobloku"/>
      </w:pPr>
      <w:r w:rsidRPr="00681040">
        <w:t>Jedna tableta užívaná trikrát denne.</w:t>
      </w:r>
    </w:p>
    <w:p w:rsidR="00D80E0D" w:rsidRPr="00681040" w:rsidRDefault="00D80E0D" w:rsidP="00AE5E07">
      <w:pPr>
        <w:pStyle w:val="Styl3"/>
        <w:rPr>
          <w:noProof w:val="0"/>
        </w:rPr>
      </w:pPr>
      <w:r w:rsidRPr="00681040">
        <w:rPr>
          <w:noProof w:val="0"/>
        </w:rPr>
        <w:lastRenderedPageBreak/>
        <w:t xml:space="preserve">Deti </w:t>
      </w:r>
      <w:r>
        <w:t>s telesnou hmotnosťou</w:t>
      </w:r>
      <w:r w:rsidRPr="00681040">
        <w:rPr>
          <w:noProof w:val="0"/>
        </w:rPr>
        <w:t xml:space="preserve"> &lt; 40</w:t>
      </w:r>
      <w:r>
        <w:rPr>
          <w:noProof w:val="0"/>
        </w:rPr>
        <w:t> </w:t>
      </w:r>
      <w:r w:rsidRPr="00681040">
        <w:rPr>
          <w:noProof w:val="0"/>
        </w:rPr>
        <w:t>kg</w:t>
      </w:r>
    </w:p>
    <w:p w:rsidR="00D80E0D" w:rsidRPr="00681040" w:rsidRDefault="00D80E0D" w:rsidP="007478A3">
      <w:pPr>
        <w:pStyle w:val="Normlndobloku"/>
      </w:pPr>
      <w:r>
        <w:t>MEDOCLAV</w:t>
      </w:r>
      <w:r w:rsidRPr="00681040">
        <w:t xml:space="preserve"> 375</w:t>
      </w:r>
      <w:r>
        <w:t> </w:t>
      </w:r>
      <w:r w:rsidRPr="00681040">
        <w:t xml:space="preserve">mg sa neodporúča pre deti </w:t>
      </w:r>
      <w:r>
        <w:t>s telesnou hmotnosťou</w:t>
      </w:r>
      <w:r w:rsidRPr="00681040">
        <w:t xml:space="preserve"> &lt; 40</w:t>
      </w:r>
      <w:r>
        <w:t> </w:t>
      </w:r>
      <w:r w:rsidRPr="00681040">
        <w:t>kg.</w:t>
      </w:r>
    </w:p>
    <w:p w:rsidR="00D80E0D" w:rsidRPr="00681040" w:rsidRDefault="00D80E0D" w:rsidP="00AE5E07">
      <w:pPr>
        <w:pStyle w:val="Styl4"/>
      </w:pPr>
      <w:r>
        <w:t>MEDOCLAV</w:t>
      </w:r>
      <w:r w:rsidRPr="00681040">
        <w:t xml:space="preserve"> 625</w:t>
      </w:r>
      <w:r>
        <w:t> </w:t>
      </w:r>
      <w:r w:rsidRPr="00681040">
        <w:t>mg</w:t>
      </w:r>
    </w:p>
    <w:p w:rsidR="00D80E0D" w:rsidRPr="00681040" w:rsidRDefault="00D80E0D" w:rsidP="007478A3">
      <w:pPr>
        <w:pStyle w:val="Normlndobloku"/>
      </w:pPr>
      <w:r w:rsidRPr="00681040">
        <w:t>Pre dospelých a</w:t>
      </w:r>
      <w:r>
        <w:t> </w:t>
      </w:r>
      <w:r w:rsidRPr="00681040">
        <w:t xml:space="preserve">deti </w:t>
      </w:r>
      <w:r>
        <w:t>s telesnou hmotnosťou</w:t>
      </w:r>
      <w:r w:rsidRPr="00681040">
        <w:t xml:space="preserve"> ≥ 40</w:t>
      </w:r>
      <w:r>
        <w:t> </w:t>
      </w:r>
      <w:r w:rsidRPr="00681040">
        <w:t xml:space="preserve">kg poskytuje táto lieková forma </w:t>
      </w:r>
      <w:r>
        <w:t>lieku MEDOCLAV</w:t>
      </w:r>
      <w:r w:rsidRPr="00681040">
        <w:t xml:space="preserve"> celkovú dennú dávku 1</w:t>
      </w:r>
      <w:r>
        <w:t> </w:t>
      </w:r>
      <w:r w:rsidRPr="00681040">
        <w:t>500</w:t>
      </w:r>
      <w:r>
        <w:t> </w:t>
      </w:r>
      <w:r w:rsidRPr="00681040">
        <w:t>mg amoxicilínu/375</w:t>
      </w:r>
      <w:r>
        <w:t> </w:t>
      </w:r>
      <w:r w:rsidRPr="00681040">
        <w:t>mg kyseliny klavul</w:t>
      </w:r>
      <w:r>
        <w:t>á</w:t>
      </w:r>
      <w:r w:rsidRPr="00681040">
        <w:t xml:space="preserve">novej, keď sa podáva tak, ako je odporúčané nižšie. Pre deti </w:t>
      </w:r>
      <w:r>
        <w:t>s telesnou hmotnosťou</w:t>
      </w:r>
      <w:r w:rsidRPr="00681040">
        <w:t xml:space="preserve"> &lt; 40</w:t>
      </w:r>
      <w:r>
        <w:t> </w:t>
      </w:r>
      <w:r w:rsidRPr="00681040">
        <w:t xml:space="preserve">kg poskytuje táto lieková forma </w:t>
      </w:r>
      <w:r>
        <w:t>lieku MEDOCLAV</w:t>
      </w:r>
      <w:r w:rsidRPr="00681040">
        <w:t xml:space="preserve"> maximálnu dennú dávku </w:t>
      </w:r>
      <w:r w:rsidRPr="00681040">
        <w:rPr>
          <w:szCs w:val="22"/>
          <w:lang w:eastAsia="sk-SK"/>
        </w:rPr>
        <w:t>2</w:t>
      </w:r>
      <w:r>
        <w:rPr>
          <w:szCs w:val="22"/>
          <w:lang w:eastAsia="sk-SK"/>
        </w:rPr>
        <w:t> </w:t>
      </w:r>
      <w:r w:rsidRPr="00681040">
        <w:rPr>
          <w:szCs w:val="22"/>
          <w:lang w:eastAsia="sk-SK"/>
        </w:rPr>
        <w:t>400</w:t>
      </w:r>
      <w:r>
        <w:rPr>
          <w:szCs w:val="22"/>
          <w:lang w:eastAsia="sk-SK"/>
        </w:rPr>
        <w:t> </w:t>
      </w:r>
      <w:r w:rsidRPr="00681040">
        <w:rPr>
          <w:szCs w:val="22"/>
          <w:lang w:eastAsia="sk-SK"/>
        </w:rPr>
        <w:t>mg amoxicilínu/600</w:t>
      </w:r>
      <w:r>
        <w:rPr>
          <w:szCs w:val="22"/>
          <w:lang w:eastAsia="sk-SK"/>
        </w:rPr>
        <w:t> </w:t>
      </w:r>
      <w:r w:rsidRPr="00681040">
        <w:rPr>
          <w:szCs w:val="22"/>
          <w:lang w:eastAsia="sk-SK"/>
        </w:rPr>
        <w:t>mg kyseliny klavul</w:t>
      </w:r>
      <w:r>
        <w:rPr>
          <w:szCs w:val="22"/>
          <w:lang w:eastAsia="sk-SK"/>
        </w:rPr>
        <w:t>á</w:t>
      </w:r>
      <w:r w:rsidRPr="00681040">
        <w:rPr>
          <w:szCs w:val="22"/>
          <w:lang w:eastAsia="sk-SK"/>
        </w:rPr>
        <w:t xml:space="preserve">novej, keď sa podáva tak, ako je odporúčané nižšie. Ak sa usúdi, že je potrebná vyššia denná dávka amoxicilínu, odporúča sa zvoliť </w:t>
      </w:r>
      <w:r>
        <w:rPr>
          <w:szCs w:val="22"/>
          <w:lang w:eastAsia="sk-SK"/>
        </w:rPr>
        <w:t>inú silu lieku MEDOCLAV</w:t>
      </w:r>
      <w:r w:rsidRPr="00681040">
        <w:rPr>
          <w:szCs w:val="22"/>
          <w:lang w:eastAsia="sk-SK"/>
        </w:rPr>
        <w:t xml:space="preserve"> </w:t>
      </w:r>
      <w:r>
        <w:rPr>
          <w:szCs w:val="22"/>
          <w:lang w:eastAsia="sk-SK"/>
        </w:rPr>
        <w:t xml:space="preserve">alebo iný liek, </w:t>
      </w:r>
      <w:r w:rsidRPr="00681040">
        <w:rPr>
          <w:szCs w:val="22"/>
          <w:lang w:eastAsia="sk-SK"/>
        </w:rPr>
        <w:t>aby sa predišlo podávaniu zbytočne vysokých denných dávok kyseliny klavul</w:t>
      </w:r>
      <w:r>
        <w:rPr>
          <w:szCs w:val="22"/>
          <w:lang w:eastAsia="sk-SK"/>
        </w:rPr>
        <w:t>á</w:t>
      </w:r>
      <w:r w:rsidRPr="00681040">
        <w:rPr>
          <w:szCs w:val="22"/>
          <w:lang w:eastAsia="sk-SK"/>
        </w:rPr>
        <w:t xml:space="preserve">novej (pozri časti </w:t>
      </w:r>
      <w:smartTag w:uri="urn:schemas-microsoft-com:office:smarttags" w:element="metricconverter">
        <w:smartTagPr>
          <w:attr w:name="ProductID" w:val="4.4 a"/>
        </w:smartTagPr>
        <w:r w:rsidRPr="00681040">
          <w:rPr>
            <w:szCs w:val="22"/>
            <w:lang w:eastAsia="sk-SK"/>
          </w:rPr>
          <w:t>4.4 a</w:t>
        </w:r>
        <w:r>
          <w:rPr>
            <w:szCs w:val="22"/>
            <w:lang w:eastAsia="sk-SK"/>
          </w:rPr>
          <w:t> </w:t>
        </w:r>
      </w:smartTag>
      <w:r w:rsidRPr="00681040">
        <w:rPr>
          <w:szCs w:val="22"/>
          <w:lang w:eastAsia="sk-SK"/>
        </w:rPr>
        <w:t>5.1).</w:t>
      </w:r>
    </w:p>
    <w:p w:rsidR="00D80E0D" w:rsidRPr="00681040" w:rsidRDefault="00D80E0D" w:rsidP="007478A3">
      <w:pPr>
        <w:pStyle w:val="Normlndobloku"/>
      </w:pPr>
      <w:r w:rsidRPr="00681040">
        <w:t>Dĺžka liečby sa má určiť podľa odpovede pacienta. Niektoré infekcie (napr.</w:t>
      </w:r>
      <w:r>
        <w:t> </w:t>
      </w:r>
      <w:r w:rsidRPr="00681040">
        <w:t>osteomyelitída) vyžadujú dlhodobejšiu liečbu. Liečba nemá presiahnuť 14 dní bez vyšetrenia stavu pacienta (údaje o dlhodobej liečbe, pozri časť 4.4).</w:t>
      </w:r>
    </w:p>
    <w:p w:rsidR="00D80E0D" w:rsidRPr="000C1D91" w:rsidRDefault="00D80E0D" w:rsidP="00AE5E07">
      <w:pPr>
        <w:pStyle w:val="Styl3"/>
      </w:pPr>
      <w:r w:rsidRPr="000C1D91">
        <w:t>Dospelí a</w:t>
      </w:r>
      <w:r>
        <w:t> </w:t>
      </w:r>
      <w:r w:rsidRPr="000C1D91">
        <w:t xml:space="preserve">deti </w:t>
      </w:r>
      <w:r>
        <w:t>s telesnou hmotnosťou</w:t>
      </w:r>
      <w:r w:rsidRPr="000C1D91">
        <w:t xml:space="preserve"> </w:t>
      </w:r>
      <w:r w:rsidRPr="00B858EA">
        <w:t>≥</w:t>
      </w:r>
      <w:r w:rsidRPr="000C1D91">
        <w:t>40</w:t>
      </w:r>
      <w:r>
        <w:t> </w:t>
      </w:r>
      <w:r w:rsidRPr="000C1D91">
        <w:t>kg</w:t>
      </w:r>
    </w:p>
    <w:p w:rsidR="00D80E0D" w:rsidRPr="00681040" w:rsidRDefault="00D80E0D" w:rsidP="007478A3">
      <w:pPr>
        <w:pStyle w:val="Normlndobloku"/>
      </w:pPr>
      <w:r w:rsidRPr="00681040">
        <w:t>Jedna tableta užívaná trikrát denne.</w:t>
      </w:r>
    </w:p>
    <w:p w:rsidR="00D80E0D" w:rsidRPr="00681040" w:rsidRDefault="00D80E0D" w:rsidP="00AE5E07">
      <w:pPr>
        <w:pStyle w:val="Styl3"/>
        <w:rPr>
          <w:noProof w:val="0"/>
        </w:rPr>
      </w:pPr>
      <w:r w:rsidRPr="00681040">
        <w:rPr>
          <w:noProof w:val="0"/>
        </w:rPr>
        <w:t xml:space="preserve">Deti </w:t>
      </w:r>
      <w:r>
        <w:t>s telesnou hmotnosťou</w:t>
      </w:r>
      <w:r w:rsidRPr="00681040">
        <w:rPr>
          <w:noProof w:val="0"/>
        </w:rPr>
        <w:t xml:space="preserve"> &lt; 40</w:t>
      </w:r>
      <w:r>
        <w:rPr>
          <w:noProof w:val="0"/>
        </w:rPr>
        <w:t> </w:t>
      </w:r>
      <w:r w:rsidRPr="00681040">
        <w:rPr>
          <w:noProof w:val="0"/>
        </w:rPr>
        <w:t>kg</w:t>
      </w:r>
    </w:p>
    <w:p w:rsidR="00D80E0D" w:rsidRPr="00681040" w:rsidRDefault="00D80E0D" w:rsidP="007478A3">
      <w:pPr>
        <w:pStyle w:val="Normlndobloku"/>
      </w:pPr>
      <w:r w:rsidRPr="00681040">
        <w:t>20</w:t>
      </w:r>
      <w:r>
        <w:t> </w:t>
      </w:r>
      <w:r w:rsidRPr="00681040">
        <w:t>mg/5</w:t>
      </w:r>
      <w:r>
        <w:t> </w:t>
      </w:r>
      <w:r w:rsidRPr="00681040">
        <w:t>mg/kg/deň až 60</w:t>
      </w:r>
      <w:r>
        <w:t> </w:t>
      </w:r>
      <w:r w:rsidRPr="00681040">
        <w:t>mg/15</w:t>
      </w:r>
      <w:r>
        <w:t> </w:t>
      </w:r>
      <w:r w:rsidRPr="00681040">
        <w:t>mg/kg/deň, ktoré sa podávajú rozdelené do troch dávok.</w:t>
      </w:r>
    </w:p>
    <w:p w:rsidR="00D80E0D" w:rsidRDefault="00D80E0D" w:rsidP="007478A3">
      <w:pPr>
        <w:pStyle w:val="Normlndobloku"/>
      </w:pPr>
      <w:r w:rsidRPr="00681040">
        <w:t xml:space="preserve">Deti sa môžu liečiť </w:t>
      </w:r>
      <w:r>
        <w:t>liekom MEDOCLAV</w:t>
      </w:r>
      <w:r w:rsidRPr="00681040">
        <w:t xml:space="preserve"> vo forme tabliet alebo suspenzie. Deti vo veku do a</w:t>
      </w:r>
      <w:r>
        <w:t> </w:t>
      </w:r>
      <w:r w:rsidRPr="00681040">
        <w:t xml:space="preserve">vrátane 6 rokov je lepšie liečiť </w:t>
      </w:r>
      <w:r>
        <w:t>liekom MEDOCLAV</w:t>
      </w:r>
      <w:r w:rsidRPr="00681040">
        <w:t xml:space="preserve"> vo forme suspenzie.</w:t>
      </w:r>
    </w:p>
    <w:p w:rsidR="00D80E0D" w:rsidRPr="00681040" w:rsidRDefault="00D80E0D" w:rsidP="007478A3">
      <w:pPr>
        <w:pStyle w:val="Normlndobloku"/>
      </w:pPr>
      <w:r w:rsidRPr="00681040">
        <w:rPr>
          <w:lang w:eastAsia="sk-SK"/>
        </w:rPr>
        <w:t>Nie sú k</w:t>
      </w:r>
      <w:r>
        <w:rPr>
          <w:lang w:eastAsia="sk-SK"/>
        </w:rPr>
        <w:t> </w:t>
      </w:r>
      <w:r w:rsidRPr="00681040">
        <w:rPr>
          <w:lang w:eastAsia="sk-SK"/>
        </w:rPr>
        <w:t>dispozícii klinické údaje o</w:t>
      </w:r>
      <w:r>
        <w:rPr>
          <w:lang w:eastAsia="sk-SK"/>
        </w:rPr>
        <w:t> </w:t>
      </w:r>
      <w:r w:rsidRPr="00681040">
        <w:rPr>
          <w:lang w:eastAsia="sk-SK"/>
        </w:rPr>
        <w:t>liekových formách 4:1 týkajúce sa dávok vyšších než 40</w:t>
      </w:r>
      <w:r>
        <w:rPr>
          <w:lang w:eastAsia="sk-SK"/>
        </w:rPr>
        <w:t> </w:t>
      </w:r>
      <w:r w:rsidRPr="00681040">
        <w:rPr>
          <w:lang w:eastAsia="sk-SK"/>
        </w:rPr>
        <w:t>mg/10</w:t>
      </w:r>
      <w:r>
        <w:rPr>
          <w:lang w:eastAsia="sk-SK"/>
        </w:rPr>
        <w:t> </w:t>
      </w:r>
      <w:r w:rsidRPr="00681040">
        <w:rPr>
          <w:lang w:eastAsia="sk-SK"/>
        </w:rPr>
        <w:t>mg/kg denne u</w:t>
      </w:r>
      <w:r>
        <w:rPr>
          <w:lang w:eastAsia="sk-SK"/>
        </w:rPr>
        <w:t> </w:t>
      </w:r>
      <w:r w:rsidRPr="00681040">
        <w:rPr>
          <w:lang w:eastAsia="sk-SK"/>
        </w:rPr>
        <w:t>detí mladších ako 2 roky.</w:t>
      </w:r>
    </w:p>
    <w:p w:rsidR="00D80E0D" w:rsidRPr="00681040" w:rsidRDefault="00D80E0D" w:rsidP="00AE5E07">
      <w:pPr>
        <w:pStyle w:val="Styl4"/>
      </w:pPr>
      <w:r>
        <w:t>MEDOCLAV</w:t>
      </w:r>
      <w:r w:rsidRPr="00681040">
        <w:t xml:space="preserve"> 1</w:t>
      </w:r>
      <w:r>
        <w:t> </w:t>
      </w:r>
      <w:r w:rsidRPr="00681040">
        <w:t>g</w:t>
      </w:r>
    </w:p>
    <w:p w:rsidR="00D80E0D" w:rsidRPr="00681040" w:rsidRDefault="00D80E0D" w:rsidP="007478A3">
      <w:pPr>
        <w:pStyle w:val="Normlndobloku"/>
      </w:pPr>
      <w:r w:rsidRPr="00681040">
        <w:rPr>
          <w:lang w:eastAsia="sk-SK"/>
        </w:rPr>
        <w:t>Pre dospelých a</w:t>
      </w:r>
      <w:r>
        <w:rPr>
          <w:lang w:eastAsia="sk-SK"/>
        </w:rPr>
        <w:t> </w:t>
      </w:r>
      <w:r w:rsidRPr="00681040">
        <w:rPr>
          <w:lang w:eastAsia="sk-SK"/>
        </w:rPr>
        <w:t xml:space="preserve">deti </w:t>
      </w:r>
      <w:r>
        <w:rPr>
          <w:lang w:eastAsia="sk-SK"/>
        </w:rPr>
        <w:t>s telesnou hmotnosťou</w:t>
      </w:r>
      <w:r w:rsidRPr="00681040">
        <w:rPr>
          <w:lang w:eastAsia="sk-SK"/>
        </w:rPr>
        <w:t xml:space="preserve"> ≥ 40</w:t>
      </w:r>
      <w:r>
        <w:rPr>
          <w:lang w:eastAsia="sk-SK"/>
        </w:rPr>
        <w:t> </w:t>
      </w:r>
      <w:r w:rsidRPr="00681040">
        <w:rPr>
          <w:lang w:eastAsia="sk-SK"/>
        </w:rPr>
        <w:t xml:space="preserve">kg poskytuje táto lieková forma </w:t>
      </w:r>
      <w:r>
        <w:rPr>
          <w:lang w:eastAsia="sk-SK"/>
        </w:rPr>
        <w:t>lieku MEDOCLAV</w:t>
      </w:r>
      <w:r w:rsidRPr="00681040">
        <w:rPr>
          <w:lang w:eastAsia="sk-SK"/>
        </w:rPr>
        <w:t xml:space="preserve"> celkovú dennú dávku 1</w:t>
      </w:r>
      <w:r>
        <w:rPr>
          <w:lang w:eastAsia="sk-SK"/>
        </w:rPr>
        <w:t> </w:t>
      </w:r>
      <w:r w:rsidRPr="00681040">
        <w:rPr>
          <w:lang w:eastAsia="sk-SK"/>
        </w:rPr>
        <w:t>750</w:t>
      </w:r>
      <w:r>
        <w:rPr>
          <w:lang w:eastAsia="sk-SK"/>
        </w:rPr>
        <w:t> </w:t>
      </w:r>
      <w:r w:rsidRPr="00681040">
        <w:rPr>
          <w:lang w:eastAsia="sk-SK"/>
        </w:rPr>
        <w:t>mg amoxicilínu/250</w:t>
      </w:r>
      <w:r>
        <w:rPr>
          <w:lang w:eastAsia="sk-SK"/>
        </w:rPr>
        <w:t> </w:t>
      </w:r>
      <w:r w:rsidRPr="00681040">
        <w:rPr>
          <w:lang w:eastAsia="sk-SK"/>
        </w:rPr>
        <w:t>mg kyseliny klavul</w:t>
      </w:r>
      <w:r>
        <w:rPr>
          <w:lang w:eastAsia="sk-SK"/>
        </w:rPr>
        <w:t>á</w:t>
      </w:r>
      <w:r w:rsidRPr="00681040">
        <w:rPr>
          <w:lang w:eastAsia="sk-SK"/>
        </w:rPr>
        <w:t>novej pri dávke podávanej dvakrát denne a</w:t>
      </w:r>
      <w:r>
        <w:rPr>
          <w:lang w:eastAsia="sk-SK"/>
        </w:rPr>
        <w:t> </w:t>
      </w:r>
      <w:r w:rsidRPr="00681040">
        <w:rPr>
          <w:lang w:eastAsia="sk-SK"/>
        </w:rPr>
        <w:t>2</w:t>
      </w:r>
      <w:r>
        <w:rPr>
          <w:lang w:eastAsia="sk-SK"/>
        </w:rPr>
        <w:t> </w:t>
      </w:r>
      <w:r w:rsidRPr="00681040">
        <w:rPr>
          <w:lang w:eastAsia="sk-SK"/>
        </w:rPr>
        <w:t>625</w:t>
      </w:r>
      <w:r>
        <w:rPr>
          <w:lang w:eastAsia="sk-SK"/>
        </w:rPr>
        <w:t> </w:t>
      </w:r>
      <w:r w:rsidRPr="00681040">
        <w:rPr>
          <w:lang w:eastAsia="sk-SK"/>
        </w:rPr>
        <w:t xml:space="preserve">mg </w:t>
      </w:r>
      <w:r>
        <w:rPr>
          <w:lang w:eastAsia="sk-SK"/>
        </w:rPr>
        <w:t>a</w:t>
      </w:r>
      <w:r w:rsidRPr="00681040">
        <w:rPr>
          <w:lang w:eastAsia="sk-SK"/>
        </w:rPr>
        <w:t>moxicilínu/375</w:t>
      </w:r>
      <w:r>
        <w:rPr>
          <w:lang w:eastAsia="sk-SK"/>
        </w:rPr>
        <w:t> </w:t>
      </w:r>
      <w:r w:rsidRPr="00681040">
        <w:rPr>
          <w:lang w:eastAsia="sk-SK"/>
        </w:rPr>
        <w:t>mg kyseliny klavul</w:t>
      </w:r>
      <w:r>
        <w:rPr>
          <w:lang w:eastAsia="sk-SK"/>
        </w:rPr>
        <w:t>á</w:t>
      </w:r>
      <w:r w:rsidRPr="00681040">
        <w:rPr>
          <w:lang w:eastAsia="sk-SK"/>
        </w:rPr>
        <w:t xml:space="preserve">novej pri dávke podávanej trikrát denne, keď sa podáva tak, ako </w:t>
      </w:r>
      <w:r w:rsidRPr="00681040">
        <w:t xml:space="preserve">je odporúčané nižšie. Pre deti </w:t>
      </w:r>
      <w:r>
        <w:t>s telesnou hmotnosťou</w:t>
      </w:r>
      <w:r w:rsidRPr="00681040">
        <w:t xml:space="preserve"> &lt; 40</w:t>
      </w:r>
      <w:r>
        <w:t> </w:t>
      </w:r>
      <w:r w:rsidRPr="00681040">
        <w:t xml:space="preserve">kg poskytuje táto lieková forma </w:t>
      </w:r>
      <w:r>
        <w:t>lieku MEDOCLAV</w:t>
      </w:r>
      <w:r w:rsidRPr="00681040">
        <w:t xml:space="preserve"> maximálnu dennú dávku 1</w:t>
      </w:r>
      <w:r>
        <w:t> </w:t>
      </w:r>
      <w:r w:rsidRPr="00681040">
        <w:t>000</w:t>
      </w:r>
      <w:r>
        <w:t> – </w:t>
      </w:r>
      <w:r w:rsidRPr="00681040">
        <w:t>2</w:t>
      </w:r>
      <w:r>
        <w:t> </w:t>
      </w:r>
      <w:r w:rsidRPr="00681040">
        <w:t>800</w:t>
      </w:r>
      <w:r>
        <w:t> </w:t>
      </w:r>
      <w:r w:rsidRPr="00681040">
        <w:t>mg amoxicilínu/143</w:t>
      </w:r>
      <w:r>
        <w:t> – </w:t>
      </w:r>
      <w:r w:rsidRPr="00681040">
        <w:t>400</w:t>
      </w:r>
      <w:r>
        <w:t> </w:t>
      </w:r>
      <w:r w:rsidRPr="00681040">
        <w:t>mg kyseliny klavul</w:t>
      </w:r>
      <w:r>
        <w:t>á</w:t>
      </w:r>
      <w:r w:rsidRPr="00681040">
        <w:t>novej, keď sa podáva tak, ako je odporúčané nižšie</w:t>
      </w:r>
      <w:r>
        <w:t>.</w:t>
      </w:r>
      <w:r w:rsidRPr="00681040">
        <w:t xml:space="preserve"> Ak sa usúdi, že je potrebná vyššia denná dávka amoxicilínu, odporúča sa </w:t>
      </w:r>
      <w:r w:rsidRPr="00681040">
        <w:rPr>
          <w:szCs w:val="22"/>
          <w:lang w:eastAsia="sk-SK"/>
        </w:rPr>
        <w:t xml:space="preserve">zvoliť </w:t>
      </w:r>
      <w:r>
        <w:rPr>
          <w:szCs w:val="22"/>
          <w:lang w:eastAsia="sk-SK"/>
        </w:rPr>
        <w:t>inú silu lieku MEDOCLAV</w:t>
      </w:r>
      <w:r w:rsidRPr="00681040">
        <w:rPr>
          <w:szCs w:val="22"/>
          <w:lang w:eastAsia="sk-SK"/>
        </w:rPr>
        <w:t xml:space="preserve"> </w:t>
      </w:r>
      <w:r>
        <w:rPr>
          <w:szCs w:val="22"/>
          <w:lang w:eastAsia="sk-SK"/>
        </w:rPr>
        <w:t>alebo iný liek,</w:t>
      </w:r>
      <w:r w:rsidRPr="00681040">
        <w:t xml:space="preserve"> aby sa predišlo podávaniu zbytočne vysokých denných dávok kyseliny klavul</w:t>
      </w:r>
      <w:r>
        <w:t>á</w:t>
      </w:r>
      <w:r w:rsidRPr="00681040">
        <w:t xml:space="preserve">novej (pozri časti </w:t>
      </w:r>
      <w:smartTag w:uri="urn:schemas-microsoft-com:office:smarttags" w:element="metricconverter">
        <w:smartTagPr>
          <w:attr w:name="ProductID" w:val="4.4 a"/>
        </w:smartTagPr>
        <w:r w:rsidRPr="00681040">
          <w:t>4.4 a</w:t>
        </w:r>
      </w:smartTag>
      <w:r w:rsidRPr="00681040">
        <w:t xml:space="preserve"> 5.1).</w:t>
      </w:r>
    </w:p>
    <w:p w:rsidR="00D80E0D" w:rsidRPr="00681040" w:rsidRDefault="00D80E0D" w:rsidP="007478A3">
      <w:pPr>
        <w:pStyle w:val="Normlndobloku"/>
        <w:rPr>
          <w:lang w:eastAsia="sk-SK"/>
        </w:rPr>
      </w:pPr>
      <w:r w:rsidRPr="00681040">
        <w:rPr>
          <w:lang w:eastAsia="sk-SK"/>
        </w:rPr>
        <w:t>Dĺžka liečby sa má určiť podľa odpovede pacienta. Niektoré infekcie (napr.</w:t>
      </w:r>
      <w:r>
        <w:rPr>
          <w:lang w:eastAsia="sk-SK"/>
        </w:rPr>
        <w:t> </w:t>
      </w:r>
      <w:r w:rsidRPr="00681040">
        <w:rPr>
          <w:lang w:eastAsia="sk-SK"/>
        </w:rPr>
        <w:t>osteomyelitída) vyžadujú dlhodobejšiu liečbu. Liečba nemá presiahnuť 14 dní bez vyšetrenia stavu pacienta (údaje o dlhodobej liečbe, pozri časť 4.4).</w:t>
      </w:r>
    </w:p>
    <w:p w:rsidR="00D80E0D" w:rsidRPr="00681040" w:rsidRDefault="00D80E0D" w:rsidP="00AE5E07">
      <w:pPr>
        <w:pStyle w:val="Styl3"/>
      </w:pPr>
      <w:r w:rsidRPr="00681040">
        <w:t>Dospelí a</w:t>
      </w:r>
      <w:r>
        <w:t> </w:t>
      </w:r>
      <w:r w:rsidRPr="00681040">
        <w:t xml:space="preserve">deti </w:t>
      </w:r>
      <w:r>
        <w:t>s telesnou hmotnosťou</w:t>
      </w:r>
      <w:r w:rsidRPr="00681040">
        <w:t xml:space="preserve"> ≥ 40</w:t>
      </w:r>
      <w:r>
        <w:t> </w:t>
      </w:r>
      <w:r w:rsidRPr="00681040">
        <w:t>kg</w:t>
      </w:r>
    </w:p>
    <w:p w:rsidR="00D80E0D" w:rsidRPr="00681040" w:rsidRDefault="00D80E0D" w:rsidP="007478A3">
      <w:pPr>
        <w:pStyle w:val="Normlndobloku"/>
        <w:rPr>
          <w:lang w:eastAsia="sk-SK"/>
        </w:rPr>
      </w:pPr>
      <w:r w:rsidRPr="00681040">
        <w:rPr>
          <w:lang w:eastAsia="sk-SK"/>
        </w:rPr>
        <w:t>Odporúčané dávky:</w:t>
      </w:r>
    </w:p>
    <w:p w:rsidR="00D80E0D" w:rsidRPr="00681040" w:rsidRDefault="00D80E0D" w:rsidP="007478A3">
      <w:pPr>
        <w:pStyle w:val="Normlndoblokusodrkami"/>
      </w:pPr>
      <w:r w:rsidRPr="00681040">
        <w:t>štandardná dávka (pri všetkých indikáciách): 875</w:t>
      </w:r>
      <w:r>
        <w:t> </w:t>
      </w:r>
      <w:r w:rsidRPr="00681040">
        <w:t>mg/125</w:t>
      </w:r>
      <w:r>
        <w:t> </w:t>
      </w:r>
      <w:r w:rsidRPr="00681040">
        <w:t>mg dvakrát denne,</w:t>
      </w:r>
    </w:p>
    <w:p w:rsidR="00D80E0D" w:rsidRPr="00681040" w:rsidRDefault="00D80E0D" w:rsidP="007478A3">
      <w:pPr>
        <w:pStyle w:val="Normlndoblokusodrkami"/>
      </w:pPr>
      <w:r w:rsidRPr="00681040">
        <w:t>vyššia dávka (najmä pri infekciách akými sú otitis media, sinusitída, infekcie dolných dýchacích ciest a infekcie močových ciest): 875</w:t>
      </w:r>
      <w:r>
        <w:t> </w:t>
      </w:r>
      <w:r w:rsidRPr="00681040">
        <w:t>mg/125</w:t>
      </w:r>
      <w:r>
        <w:t> </w:t>
      </w:r>
      <w:r w:rsidRPr="00681040">
        <w:t>mg trikrát denne.</w:t>
      </w:r>
    </w:p>
    <w:p w:rsidR="00D80E0D" w:rsidRPr="00681040" w:rsidRDefault="00D80E0D" w:rsidP="00AE5E07">
      <w:pPr>
        <w:pStyle w:val="Styl3"/>
        <w:rPr>
          <w:noProof w:val="0"/>
        </w:rPr>
      </w:pPr>
      <w:r w:rsidRPr="00681040">
        <w:rPr>
          <w:noProof w:val="0"/>
        </w:rPr>
        <w:t xml:space="preserve">Deti </w:t>
      </w:r>
      <w:r>
        <w:t>s telesnou hmotnosťou</w:t>
      </w:r>
      <w:r w:rsidRPr="00681040">
        <w:rPr>
          <w:noProof w:val="0"/>
        </w:rPr>
        <w:t xml:space="preserve"> &lt; 40</w:t>
      </w:r>
      <w:r>
        <w:rPr>
          <w:noProof w:val="0"/>
        </w:rPr>
        <w:t> </w:t>
      </w:r>
      <w:r w:rsidRPr="00681040">
        <w:rPr>
          <w:noProof w:val="0"/>
        </w:rPr>
        <w:t>kg</w:t>
      </w:r>
    </w:p>
    <w:p w:rsidR="00D80E0D" w:rsidRPr="00681040" w:rsidRDefault="00D80E0D" w:rsidP="007478A3">
      <w:pPr>
        <w:pStyle w:val="Normlndobloku"/>
        <w:rPr>
          <w:lang w:eastAsia="sk-SK"/>
        </w:rPr>
      </w:pPr>
      <w:r w:rsidRPr="00681040">
        <w:rPr>
          <w:lang w:eastAsia="sk-SK"/>
        </w:rPr>
        <w:t xml:space="preserve">Deti sa môžu liečiť </w:t>
      </w:r>
      <w:r>
        <w:rPr>
          <w:lang w:eastAsia="sk-SK"/>
        </w:rPr>
        <w:t>liekom MEDOCLAV</w:t>
      </w:r>
      <w:r w:rsidRPr="00681040">
        <w:rPr>
          <w:lang w:eastAsia="sk-SK"/>
        </w:rPr>
        <w:t xml:space="preserve"> vo forme tabliet alebo suspenzie.</w:t>
      </w:r>
    </w:p>
    <w:p w:rsidR="00D80E0D" w:rsidRPr="00681040" w:rsidRDefault="00D80E0D" w:rsidP="007478A3">
      <w:pPr>
        <w:pStyle w:val="Normlndobloku"/>
        <w:rPr>
          <w:lang w:eastAsia="sk-SK"/>
        </w:rPr>
      </w:pPr>
      <w:r w:rsidRPr="00681040">
        <w:rPr>
          <w:lang w:eastAsia="sk-SK"/>
        </w:rPr>
        <w:t>Odporúčané dávky:</w:t>
      </w:r>
    </w:p>
    <w:p w:rsidR="00D80E0D" w:rsidRPr="00681040" w:rsidRDefault="00D80E0D" w:rsidP="007478A3">
      <w:pPr>
        <w:pStyle w:val="Normlndoblokusodrkami"/>
      </w:pPr>
      <w:r w:rsidRPr="00681040">
        <w:lastRenderedPageBreak/>
        <w:t>25</w:t>
      </w:r>
      <w:r>
        <w:t> </w:t>
      </w:r>
      <w:r w:rsidRPr="00681040">
        <w:t>mg/3,6</w:t>
      </w:r>
      <w:r>
        <w:t> </w:t>
      </w:r>
      <w:r w:rsidRPr="00681040">
        <w:t>mg/kg/deň až 45</w:t>
      </w:r>
      <w:r>
        <w:t> </w:t>
      </w:r>
      <w:r w:rsidRPr="00681040">
        <w:t>mg/6,4</w:t>
      </w:r>
      <w:r>
        <w:t> </w:t>
      </w:r>
      <w:r w:rsidRPr="00681040">
        <w:t>mg/kg/deň, ktoré sa podávajú rozdelené do dvoch dávok,</w:t>
      </w:r>
    </w:p>
    <w:p w:rsidR="00D80E0D" w:rsidRPr="00681040" w:rsidRDefault="00D80E0D" w:rsidP="007478A3">
      <w:pPr>
        <w:pStyle w:val="Normlndoblokusodrkami"/>
        <w:rPr>
          <w:lang w:eastAsia="sk-SK"/>
        </w:rPr>
      </w:pPr>
      <w:r w:rsidRPr="00681040">
        <w:t>pri niektorých infekciách (akými sú otitis media, sinusitída a</w:t>
      </w:r>
      <w:r>
        <w:t> </w:t>
      </w:r>
      <w:r w:rsidRPr="00681040">
        <w:t>infekcie dolných dýchacích ciest) sa môže</w:t>
      </w:r>
      <w:r w:rsidRPr="00681040">
        <w:rPr>
          <w:lang w:eastAsia="sk-SK"/>
        </w:rPr>
        <w:t xml:space="preserve"> zvážiť použitie až 70</w:t>
      </w:r>
      <w:r>
        <w:rPr>
          <w:lang w:eastAsia="sk-SK"/>
        </w:rPr>
        <w:t> </w:t>
      </w:r>
      <w:r w:rsidRPr="00681040">
        <w:rPr>
          <w:lang w:eastAsia="sk-SK"/>
        </w:rPr>
        <w:t>mg/10</w:t>
      </w:r>
      <w:r>
        <w:rPr>
          <w:lang w:eastAsia="sk-SK"/>
        </w:rPr>
        <w:t> </w:t>
      </w:r>
      <w:r w:rsidRPr="00681040">
        <w:rPr>
          <w:lang w:eastAsia="sk-SK"/>
        </w:rPr>
        <w:t>mg/kg/deň, ktoré sa podávajú rozdelené do dvoch dávok.</w:t>
      </w:r>
    </w:p>
    <w:p w:rsidR="00D80E0D" w:rsidRPr="00681040" w:rsidRDefault="00D80E0D" w:rsidP="007478A3">
      <w:pPr>
        <w:pStyle w:val="Normlndobloku"/>
      </w:pPr>
      <w:r w:rsidRPr="00681040">
        <w:rPr>
          <w:lang w:eastAsia="sk-SK"/>
        </w:rPr>
        <w:t>Nie sú k</w:t>
      </w:r>
      <w:r>
        <w:rPr>
          <w:lang w:eastAsia="sk-SK"/>
        </w:rPr>
        <w:t> </w:t>
      </w:r>
      <w:r w:rsidRPr="00681040">
        <w:rPr>
          <w:lang w:eastAsia="sk-SK"/>
        </w:rPr>
        <w:t>dispozícii klinické údaje o</w:t>
      </w:r>
      <w:r>
        <w:rPr>
          <w:lang w:eastAsia="sk-SK"/>
        </w:rPr>
        <w:t> </w:t>
      </w:r>
      <w:r w:rsidRPr="00681040">
        <w:rPr>
          <w:lang w:eastAsia="sk-SK"/>
        </w:rPr>
        <w:t xml:space="preserve">liekových formách 7:1 týkajúce sa dávok vyšších než </w:t>
      </w:r>
      <w:r w:rsidRPr="00681040">
        <w:t>45</w:t>
      </w:r>
      <w:r>
        <w:t> </w:t>
      </w:r>
      <w:r w:rsidRPr="00681040">
        <w:t>mg/6,4</w:t>
      </w:r>
      <w:r>
        <w:t> </w:t>
      </w:r>
      <w:r w:rsidRPr="00681040">
        <w:t>mg na kg denne u</w:t>
      </w:r>
      <w:r>
        <w:t> </w:t>
      </w:r>
      <w:r w:rsidRPr="00681040">
        <w:t>detí mladších ako 2 roky.</w:t>
      </w:r>
    </w:p>
    <w:p w:rsidR="00D80E0D" w:rsidRPr="00681040" w:rsidRDefault="00D80E0D" w:rsidP="007478A3">
      <w:pPr>
        <w:pStyle w:val="Normlndobloku"/>
      </w:pPr>
      <w:r w:rsidRPr="00681040">
        <w:t>Nie sú žiadne klinické údaje o</w:t>
      </w:r>
      <w:r>
        <w:t> </w:t>
      </w:r>
      <w:r w:rsidRPr="00681040">
        <w:t>liekových formách 7:1 pre pacientov mladších ako 2 mesiace. Preto nie je možné odporučiť dávkovanie pre túto skupinu pacientov.</w:t>
      </w:r>
    </w:p>
    <w:p w:rsidR="00D80E0D" w:rsidRPr="00681040" w:rsidRDefault="00D80E0D" w:rsidP="00AE5E07">
      <w:pPr>
        <w:pStyle w:val="Styl4"/>
      </w:pPr>
      <w:r w:rsidRPr="00681040">
        <w:t>Pre všetky sily</w:t>
      </w:r>
    </w:p>
    <w:p w:rsidR="00D80E0D" w:rsidRPr="00681040" w:rsidRDefault="00D80E0D" w:rsidP="00AE5E07">
      <w:pPr>
        <w:pStyle w:val="Styl3"/>
      </w:pPr>
      <w:r w:rsidRPr="00681040">
        <w:t>Starší pacienti</w:t>
      </w:r>
    </w:p>
    <w:p w:rsidR="00D80E0D" w:rsidRPr="00681040" w:rsidRDefault="00D80E0D" w:rsidP="007478A3">
      <w:pPr>
        <w:pStyle w:val="Normlndobloku"/>
      </w:pPr>
      <w:r w:rsidRPr="00681040">
        <w:t>Nie je nevyhnutná žiadna úprava dávky.</w:t>
      </w:r>
    </w:p>
    <w:p w:rsidR="00D80E0D" w:rsidRPr="00681040" w:rsidRDefault="00D80E0D" w:rsidP="00AE5E07">
      <w:pPr>
        <w:pStyle w:val="Styl3"/>
      </w:pPr>
      <w:r w:rsidRPr="00681040">
        <w:t>Porucha funkcie obličiek</w:t>
      </w:r>
    </w:p>
    <w:p w:rsidR="00D80E0D" w:rsidRPr="00681040" w:rsidRDefault="00D80E0D" w:rsidP="007478A3">
      <w:pPr>
        <w:pStyle w:val="Normlndobloku"/>
      </w:pPr>
      <w:r w:rsidRPr="00681040">
        <w:t>Úpravy dávky vychádzajú z</w:t>
      </w:r>
      <w:r>
        <w:t> </w:t>
      </w:r>
      <w:r w:rsidRPr="00681040">
        <w:t>maximálneho odporúčaného množstva amoxicilínu.</w:t>
      </w:r>
    </w:p>
    <w:p w:rsidR="00D80E0D" w:rsidRPr="00681040" w:rsidRDefault="00D80E0D" w:rsidP="007478A3">
      <w:pPr>
        <w:pStyle w:val="Normlndobloku"/>
      </w:pPr>
      <w:r w:rsidRPr="00681040">
        <w:t>U</w:t>
      </w:r>
      <w:r>
        <w:t> </w:t>
      </w:r>
      <w:r w:rsidRPr="00681040">
        <w:t>pacientov s</w:t>
      </w:r>
      <w:r>
        <w:t> </w:t>
      </w:r>
      <w:r w:rsidRPr="00681040">
        <w:t>klírensom kreatinínu (CrCl) nad 30</w:t>
      </w:r>
      <w:r>
        <w:t> </w:t>
      </w:r>
      <w:r w:rsidRPr="00681040">
        <w:t>ml/min nie je potrebná úprava dávky.</w:t>
      </w:r>
    </w:p>
    <w:p w:rsidR="00D80E0D" w:rsidRPr="00674AD7" w:rsidRDefault="00D80E0D" w:rsidP="007478A3">
      <w:pPr>
        <w:pStyle w:val="Normlndobloku"/>
      </w:pPr>
      <w:r w:rsidRPr="00681040">
        <w:rPr>
          <w:lang w:eastAsia="sk-SK"/>
        </w:rPr>
        <w:t>U</w:t>
      </w:r>
      <w:r>
        <w:rPr>
          <w:lang w:eastAsia="sk-SK"/>
        </w:rPr>
        <w:t> </w:t>
      </w:r>
      <w:r w:rsidRPr="00681040">
        <w:rPr>
          <w:lang w:eastAsia="sk-SK"/>
        </w:rPr>
        <w:t>pacientov s</w:t>
      </w:r>
      <w:r>
        <w:rPr>
          <w:lang w:eastAsia="sk-SK"/>
        </w:rPr>
        <w:t> </w:t>
      </w:r>
      <w:r w:rsidRPr="00681040">
        <w:rPr>
          <w:lang w:eastAsia="sk-SK"/>
        </w:rPr>
        <w:t>klírensom kreatinínu (CrCl) pod 30</w:t>
      </w:r>
      <w:r>
        <w:rPr>
          <w:lang w:eastAsia="sk-SK"/>
        </w:rPr>
        <w:t> </w:t>
      </w:r>
      <w:r w:rsidRPr="00681040">
        <w:rPr>
          <w:lang w:eastAsia="sk-SK"/>
        </w:rPr>
        <w:t xml:space="preserve">ml/min sa použitie </w:t>
      </w:r>
      <w:r>
        <w:rPr>
          <w:lang w:eastAsia="sk-SK"/>
        </w:rPr>
        <w:t>lieku MEDOCLAV</w:t>
      </w:r>
      <w:r w:rsidRPr="00681040">
        <w:rPr>
          <w:lang w:eastAsia="sk-SK"/>
        </w:rPr>
        <w:t xml:space="preserve"> s pomerom </w:t>
      </w:r>
      <w:r w:rsidRPr="00681040">
        <w:t>amoxicilínu a</w:t>
      </w:r>
      <w:r>
        <w:t> </w:t>
      </w:r>
      <w:r w:rsidRPr="00681040">
        <w:t>kyseliny klavul</w:t>
      </w:r>
      <w:r>
        <w:t>á</w:t>
      </w:r>
      <w:r w:rsidRPr="00681040">
        <w:t>novej 7:1 neodporúča, keďže nie sú k</w:t>
      </w:r>
      <w:r>
        <w:t> </w:t>
      </w:r>
      <w:r w:rsidRPr="00681040">
        <w:t xml:space="preserve">dispozícii žiadne </w:t>
      </w:r>
      <w:r w:rsidRPr="00436A54">
        <w:t xml:space="preserve">odporúčania </w:t>
      </w:r>
      <w:r w:rsidRPr="00674AD7">
        <w:rPr>
          <w:lang w:eastAsia="sk-SK"/>
        </w:rPr>
        <w:t>pre úpravy dávky.</w:t>
      </w:r>
    </w:p>
    <w:p w:rsidR="00D80E0D" w:rsidRPr="009F6C65" w:rsidRDefault="00D80E0D" w:rsidP="00AE5E07">
      <w:pPr>
        <w:pStyle w:val="Styl4"/>
      </w:pPr>
      <w:r w:rsidRPr="00674AD7">
        <w:t>Dospelí a </w:t>
      </w:r>
      <w:r w:rsidRPr="009F6C65">
        <w:t>deti s telesnou hmotnosťou ≥40 kg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0"/>
        <w:gridCol w:w="2744"/>
        <w:gridCol w:w="2744"/>
        <w:gridCol w:w="2869"/>
      </w:tblGrid>
      <w:tr w:rsidR="00D80E0D" w:rsidRPr="00681040" w:rsidTr="009F6C65">
        <w:trPr>
          <w:tblHeader/>
        </w:trPr>
        <w:tc>
          <w:tcPr>
            <w:tcW w:w="1355" w:type="dxa"/>
          </w:tcPr>
          <w:p w:rsidR="00D80E0D" w:rsidRPr="00E024DB" w:rsidRDefault="00D80E0D" w:rsidP="007478A3">
            <w:pPr>
              <w:pStyle w:val="Normlndobloku"/>
            </w:pPr>
          </w:p>
        </w:tc>
        <w:tc>
          <w:tcPr>
            <w:tcW w:w="2755" w:type="dxa"/>
          </w:tcPr>
          <w:p w:rsidR="00D80E0D" w:rsidRPr="00D80E0D" w:rsidRDefault="00D80E0D" w:rsidP="00AE5E07">
            <w:pPr>
              <w:pStyle w:val="Styl4"/>
            </w:pPr>
            <w:r w:rsidRPr="00D80E0D">
              <w:t>MEDOCLAV 375 mg</w:t>
            </w:r>
          </w:p>
        </w:tc>
        <w:tc>
          <w:tcPr>
            <w:tcW w:w="2755" w:type="dxa"/>
          </w:tcPr>
          <w:p w:rsidR="00D80E0D" w:rsidRPr="00D80E0D" w:rsidRDefault="00D80E0D" w:rsidP="00AE5E07">
            <w:pPr>
              <w:pStyle w:val="Styl4"/>
            </w:pPr>
            <w:r w:rsidRPr="00D80E0D">
              <w:t>MEDOCLAV 625 mg</w:t>
            </w:r>
          </w:p>
        </w:tc>
        <w:tc>
          <w:tcPr>
            <w:tcW w:w="2882" w:type="dxa"/>
          </w:tcPr>
          <w:p w:rsidR="00D80E0D" w:rsidRPr="00D80E0D" w:rsidRDefault="00D80E0D" w:rsidP="00AE5E07">
            <w:pPr>
              <w:pStyle w:val="Styl4"/>
            </w:pPr>
            <w:r w:rsidRPr="00D80E0D">
              <w:t>MEDOCLAV 1 g</w:t>
            </w:r>
          </w:p>
        </w:tc>
      </w:tr>
      <w:tr w:rsidR="00D80E0D" w:rsidRPr="00681040" w:rsidTr="009F6C65">
        <w:tc>
          <w:tcPr>
            <w:tcW w:w="1355" w:type="dxa"/>
          </w:tcPr>
          <w:p w:rsidR="00D80E0D" w:rsidRPr="00681040" w:rsidRDefault="00D80E0D" w:rsidP="00B858EA">
            <w:pPr>
              <w:rPr>
                <w:lang w:val="sk-SK"/>
              </w:rPr>
            </w:pPr>
            <w:r w:rsidRPr="00681040">
              <w:rPr>
                <w:lang w:val="sk-SK"/>
              </w:rPr>
              <w:t>CrCl: 10</w:t>
            </w:r>
            <w:r>
              <w:rPr>
                <w:lang w:val="sk-SK"/>
              </w:rPr>
              <w:t> – </w:t>
            </w:r>
            <w:r w:rsidRPr="00681040">
              <w:rPr>
                <w:lang w:val="sk-SK"/>
              </w:rPr>
              <w:t>30</w:t>
            </w:r>
            <w:r>
              <w:rPr>
                <w:lang w:val="sk-SK"/>
              </w:rPr>
              <w:t> </w:t>
            </w:r>
            <w:r w:rsidRPr="00681040">
              <w:rPr>
                <w:lang w:val="sk-SK"/>
              </w:rPr>
              <w:t>ml/min</w:t>
            </w:r>
          </w:p>
        </w:tc>
        <w:tc>
          <w:tcPr>
            <w:tcW w:w="2755" w:type="dxa"/>
          </w:tcPr>
          <w:p w:rsidR="00D80E0D" w:rsidRPr="00681040" w:rsidRDefault="00D80E0D" w:rsidP="00B858EA">
            <w:pPr>
              <w:rPr>
                <w:lang w:val="sk-SK"/>
              </w:rPr>
            </w:pPr>
            <w:r w:rsidRPr="00681040">
              <w:rPr>
                <w:lang w:val="sk-SK"/>
              </w:rPr>
              <w:t>250</w:t>
            </w:r>
            <w:r>
              <w:rPr>
                <w:lang w:val="sk-SK"/>
              </w:rPr>
              <w:t> </w:t>
            </w:r>
            <w:r w:rsidRPr="00681040">
              <w:rPr>
                <w:lang w:val="sk-SK"/>
              </w:rPr>
              <w:t>mg/125</w:t>
            </w:r>
            <w:r>
              <w:rPr>
                <w:lang w:val="sk-SK"/>
              </w:rPr>
              <w:t> </w:t>
            </w:r>
            <w:r w:rsidRPr="00681040">
              <w:rPr>
                <w:lang w:val="sk-SK"/>
              </w:rPr>
              <w:t>mg dvakrát denne</w:t>
            </w:r>
          </w:p>
        </w:tc>
        <w:tc>
          <w:tcPr>
            <w:tcW w:w="2755" w:type="dxa"/>
          </w:tcPr>
          <w:p w:rsidR="00D80E0D" w:rsidRPr="00681040" w:rsidRDefault="00D80E0D" w:rsidP="00B858EA">
            <w:pPr>
              <w:rPr>
                <w:rFonts w:ascii="TimesNewRoman" w:hAnsi="TimesNewRoman"/>
                <w:sz w:val="20"/>
                <w:lang w:val="sk-SK" w:eastAsia="sk-SK"/>
              </w:rPr>
            </w:pPr>
            <w:r w:rsidRPr="00681040">
              <w:rPr>
                <w:lang w:val="sk-SK" w:eastAsia="sk-SK"/>
              </w:rPr>
              <w:t>500</w:t>
            </w:r>
            <w:r>
              <w:rPr>
                <w:lang w:val="sk-SK" w:eastAsia="sk-SK"/>
              </w:rPr>
              <w:t> </w:t>
            </w:r>
            <w:r w:rsidRPr="00681040">
              <w:rPr>
                <w:lang w:val="sk-SK" w:eastAsia="sk-SK"/>
              </w:rPr>
              <w:t>mg/125</w:t>
            </w:r>
            <w:r>
              <w:rPr>
                <w:lang w:val="sk-SK" w:eastAsia="sk-SK"/>
              </w:rPr>
              <w:t> </w:t>
            </w:r>
            <w:r w:rsidRPr="00681040">
              <w:rPr>
                <w:lang w:val="sk-SK" w:eastAsia="sk-SK"/>
              </w:rPr>
              <w:t>mg dvakrát denne</w:t>
            </w:r>
          </w:p>
        </w:tc>
        <w:tc>
          <w:tcPr>
            <w:tcW w:w="2882" w:type="dxa"/>
          </w:tcPr>
          <w:p w:rsidR="00D80E0D" w:rsidRPr="00E024DB" w:rsidRDefault="00D80E0D" w:rsidP="007478A3">
            <w:pPr>
              <w:pStyle w:val="Normlndobloku"/>
            </w:pPr>
          </w:p>
        </w:tc>
      </w:tr>
      <w:tr w:rsidR="00D80E0D" w:rsidRPr="00681040" w:rsidTr="009F6C65">
        <w:tc>
          <w:tcPr>
            <w:tcW w:w="1355" w:type="dxa"/>
          </w:tcPr>
          <w:p w:rsidR="00D80E0D" w:rsidRPr="00681040" w:rsidRDefault="00D80E0D" w:rsidP="00B858EA">
            <w:pPr>
              <w:rPr>
                <w:lang w:val="sk-SK"/>
              </w:rPr>
            </w:pPr>
            <w:r w:rsidRPr="00681040">
              <w:rPr>
                <w:lang w:val="sk-SK"/>
              </w:rPr>
              <w:t>CrCl &lt; 10</w:t>
            </w:r>
            <w:r>
              <w:rPr>
                <w:lang w:val="sk-SK"/>
              </w:rPr>
              <w:t> </w:t>
            </w:r>
            <w:r w:rsidRPr="00681040">
              <w:rPr>
                <w:lang w:val="sk-SK"/>
              </w:rPr>
              <w:t>ml/min</w:t>
            </w:r>
          </w:p>
        </w:tc>
        <w:tc>
          <w:tcPr>
            <w:tcW w:w="2755" w:type="dxa"/>
          </w:tcPr>
          <w:p w:rsidR="00D80E0D" w:rsidRPr="00681040" w:rsidRDefault="00D80E0D" w:rsidP="00B858EA">
            <w:pPr>
              <w:rPr>
                <w:lang w:val="sk-SK"/>
              </w:rPr>
            </w:pPr>
            <w:r w:rsidRPr="00681040">
              <w:rPr>
                <w:lang w:val="sk-SK"/>
              </w:rPr>
              <w:t>250</w:t>
            </w:r>
            <w:r>
              <w:rPr>
                <w:lang w:val="sk-SK"/>
              </w:rPr>
              <w:t> </w:t>
            </w:r>
            <w:r w:rsidRPr="00681040">
              <w:rPr>
                <w:lang w:val="sk-SK"/>
              </w:rPr>
              <w:t>mg/125</w:t>
            </w:r>
            <w:r>
              <w:rPr>
                <w:lang w:val="sk-SK"/>
              </w:rPr>
              <w:t> </w:t>
            </w:r>
            <w:r w:rsidRPr="00681040">
              <w:rPr>
                <w:lang w:val="sk-SK"/>
              </w:rPr>
              <w:t>mg</w:t>
            </w:r>
            <w:r>
              <w:rPr>
                <w:lang w:val="sk-SK"/>
              </w:rPr>
              <w:t xml:space="preserve"> </w:t>
            </w:r>
            <w:r w:rsidRPr="00681040">
              <w:rPr>
                <w:lang w:val="sk-SK"/>
              </w:rPr>
              <w:t>jedenkrát denne</w:t>
            </w:r>
          </w:p>
        </w:tc>
        <w:tc>
          <w:tcPr>
            <w:tcW w:w="2755" w:type="dxa"/>
          </w:tcPr>
          <w:p w:rsidR="00D80E0D" w:rsidRPr="00681040" w:rsidRDefault="00D80E0D" w:rsidP="00B858EA">
            <w:pPr>
              <w:rPr>
                <w:rFonts w:ascii="TimesNewRoman" w:hAnsi="TimesNewRoman"/>
                <w:sz w:val="20"/>
                <w:lang w:val="sk-SK" w:eastAsia="sk-SK"/>
              </w:rPr>
            </w:pPr>
            <w:r w:rsidRPr="00681040">
              <w:rPr>
                <w:lang w:val="sk-SK" w:eastAsia="sk-SK"/>
              </w:rPr>
              <w:t>500</w:t>
            </w:r>
            <w:r>
              <w:rPr>
                <w:lang w:val="sk-SK" w:eastAsia="sk-SK"/>
              </w:rPr>
              <w:t> </w:t>
            </w:r>
            <w:r w:rsidRPr="00681040">
              <w:rPr>
                <w:lang w:val="sk-SK" w:eastAsia="sk-SK"/>
              </w:rPr>
              <w:t>mg/125</w:t>
            </w:r>
            <w:r>
              <w:rPr>
                <w:lang w:val="sk-SK" w:eastAsia="sk-SK"/>
              </w:rPr>
              <w:t> </w:t>
            </w:r>
            <w:r w:rsidRPr="00681040">
              <w:rPr>
                <w:lang w:val="sk-SK" w:eastAsia="sk-SK"/>
              </w:rPr>
              <w:t>mg</w:t>
            </w:r>
            <w:r>
              <w:rPr>
                <w:lang w:val="sk-SK" w:eastAsia="sk-SK"/>
              </w:rPr>
              <w:t xml:space="preserve"> </w:t>
            </w:r>
            <w:r w:rsidRPr="00681040">
              <w:rPr>
                <w:lang w:val="sk-SK" w:eastAsia="sk-SK"/>
              </w:rPr>
              <w:t>jedenkrát denne</w:t>
            </w:r>
          </w:p>
        </w:tc>
        <w:tc>
          <w:tcPr>
            <w:tcW w:w="2882" w:type="dxa"/>
          </w:tcPr>
          <w:p w:rsidR="00D80E0D" w:rsidRPr="00E024DB" w:rsidRDefault="00D80E0D" w:rsidP="007478A3">
            <w:pPr>
              <w:pStyle w:val="Normlndobloku"/>
            </w:pPr>
          </w:p>
        </w:tc>
      </w:tr>
      <w:tr w:rsidR="00D80E0D" w:rsidRPr="00681040" w:rsidTr="009F6C65">
        <w:tc>
          <w:tcPr>
            <w:tcW w:w="1355" w:type="dxa"/>
          </w:tcPr>
          <w:p w:rsidR="00D80E0D" w:rsidRPr="00681040" w:rsidRDefault="00D80E0D" w:rsidP="00B858EA">
            <w:pPr>
              <w:rPr>
                <w:lang w:val="sk-SK"/>
              </w:rPr>
            </w:pPr>
            <w:r w:rsidRPr="00681040">
              <w:rPr>
                <w:lang w:val="sk-SK"/>
              </w:rPr>
              <w:t>Hemodialýza</w:t>
            </w:r>
          </w:p>
        </w:tc>
        <w:tc>
          <w:tcPr>
            <w:tcW w:w="2755" w:type="dxa"/>
          </w:tcPr>
          <w:p w:rsidR="00D80E0D" w:rsidRDefault="00D80E0D" w:rsidP="00B858EA">
            <w:pPr>
              <w:rPr>
                <w:lang w:val="sk-SK"/>
              </w:rPr>
            </w:pPr>
            <w:r w:rsidRPr="00681040">
              <w:rPr>
                <w:lang w:val="sk-SK"/>
              </w:rPr>
              <w:t>Dve dávky po 250</w:t>
            </w:r>
            <w:r>
              <w:rPr>
                <w:lang w:val="sk-SK"/>
              </w:rPr>
              <w:t> </w:t>
            </w:r>
            <w:r w:rsidRPr="00681040">
              <w:rPr>
                <w:lang w:val="sk-SK"/>
              </w:rPr>
              <w:t>mg/125</w:t>
            </w:r>
            <w:r>
              <w:rPr>
                <w:lang w:val="sk-SK"/>
              </w:rPr>
              <w:t> </w:t>
            </w:r>
            <w:r w:rsidRPr="00681040">
              <w:rPr>
                <w:lang w:val="sk-SK"/>
              </w:rPr>
              <w:t>mg každých 24 hodín, plus dve dávky po 250</w:t>
            </w:r>
            <w:r>
              <w:rPr>
                <w:lang w:val="sk-SK"/>
              </w:rPr>
              <w:t> </w:t>
            </w:r>
            <w:r w:rsidRPr="00681040">
              <w:rPr>
                <w:lang w:val="sk-SK"/>
              </w:rPr>
              <w:t>mg/125</w:t>
            </w:r>
            <w:r>
              <w:rPr>
                <w:lang w:val="sk-SK"/>
              </w:rPr>
              <w:t> </w:t>
            </w:r>
            <w:r w:rsidRPr="00681040">
              <w:rPr>
                <w:lang w:val="sk-SK"/>
              </w:rPr>
              <w:t>mg počas dialýzy, ktorých podanie sa zopakuje po ukončení dialýzy (keďže koncentrácie amoxicilínu aj kyseliny klavul</w:t>
            </w:r>
            <w:r>
              <w:rPr>
                <w:lang w:val="sk-SK"/>
              </w:rPr>
              <w:t>á</w:t>
            </w:r>
            <w:r w:rsidRPr="00681040">
              <w:rPr>
                <w:lang w:val="sk-SK"/>
              </w:rPr>
              <w:t>novej v</w:t>
            </w:r>
            <w:r>
              <w:rPr>
                <w:lang w:val="sk-SK"/>
              </w:rPr>
              <w:t> </w:t>
            </w:r>
            <w:r w:rsidRPr="00681040">
              <w:rPr>
                <w:lang w:val="sk-SK"/>
              </w:rPr>
              <w:t xml:space="preserve">sére sú znížené). </w:t>
            </w:r>
          </w:p>
          <w:p w:rsidR="00D02BB4" w:rsidRPr="00681040" w:rsidRDefault="00D02BB4" w:rsidP="00B858EA">
            <w:pPr>
              <w:rPr>
                <w:lang w:val="sk-SK"/>
              </w:rPr>
            </w:pPr>
          </w:p>
        </w:tc>
        <w:tc>
          <w:tcPr>
            <w:tcW w:w="2755" w:type="dxa"/>
          </w:tcPr>
          <w:p w:rsidR="00D80E0D" w:rsidRPr="00681040" w:rsidRDefault="00D80E0D" w:rsidP="00B858EA">
            <w:pPr>
              <w:rPr>
                <w:rFonts w:ascii="TimesNewRoman" w:hAnsi="TimesNewRoman"/>
                <w:sz w:val="20"/>
                <w:lang w:val="sk-SK" w:eastAsia="sk-SK"/>
              </w:rPr>
            </w:pPr>
            <w:r w:rsidRPr="00681040">
              <w:rPr>
                <w:lang w:val="sk-SK" w:eastAsia="sk-SK"/>
              </w:rPr>
              <w:t>500</w:t>
            </w:r>
            <w:r>
              <w:rPr>
                <w:lang w:val="sk-SK" w:eastAsia="sk-SK"/>
              </w:rPr>
              <w:t> </w:t>
            </w:r>
            <w:r w:rsidRPr="00681040">
              <w:rPr>
                <w:lang w:val="sk-SK" w:eastAsia="sk-SK"/>
              </w:rPr>
              <w:t>mg/125</w:t>
            </w:r>
            <w:r>
              <w:rPr>
                <w:lang w:val="sk-SK" w:eastAsia="sk-SK"/>
              </w:rPr>
              <w:t> </w:t>
            </w:r>
            <w:r w:rsidRPr="00681040">
              <w:rPr>
                <w:lang w:val="sk-SK" w:eastAsia="sk-SK"/>
              </w:rPr>
              <w:t>mg každých 24 hodín, plus 500</w:t>
            </w:r>
            <w:r>
              <w:rPr>
                <w:lang w:val="sk-SK" w:eastAsia="sk-SK"/>
              </w:rPr>
              <w:t> </w:t>
            </w:r>
            <w:r w:rsidRPr="00681040">
              <w:rPr>
                <w:lang w:val="sk-SK" w:eastAsia="sk-SK"/>
              </w:rPr>
              <w:t>mg/125</w:t>
            </w:r>
            <w:r>
              <w:rPr>
                <w:lang w:val="sk-SK" w:eastAsia="sk-SK"/>
              </w:rPr>
              <w:t> </w:t>
            </w:r>
            <w:r w:rsidRPr="00681040">
              <w:rPr>
                <w:lang w:val="sk-SK" w:eastAsia="sk-SK"/>
              </w:rPr>
              <w:t>mg počas dialýzy, ktorých podanie sa zopakuje po ukončení dialýzy (keďže koncentrácie amoxicilínu aj kyseliny klavul</w:t>
            </w:r>
            <w:r>
              <w:rPr>
                <w:lang w:val="sk-SK" w:eastAsia="sk-SK"/>
              </w:rPr>
              <w:t>á</w:t>
            </w:r>
            <w:r w:rsidRPr="00681040">
              <w:rPr>
                <w:lang w:val="sk-SK" w:eastAsia="sk-SK"/>
              </w:rPr>
              <w:t>novej v</w:t>
            </w:r>
            <w:r>
              <w:rPr>
                <w:lang w:val="sk-SK" w:eastAsia="sk-SK"/>
              </w:rPr>
              <w:t> </w:t>
            </w:r>
            <w:r w:rsidRPr="00681040">
              <w:rPr>
                <w:lang w:val="sk-SK" w:eastAsia="sk-SK"/>
              </w:rPr>
              <w:t>sére sú znížené).</w:t>
            </w:r>
          </w:p>
        </w:tc>
        <w:tc>
          <w:tcPr>
            <w:tcW w:w="2882" w:type="dxa"/>
          </w:tcPr>
          <w:p w:rsidR="00D80E0D" w:rsidRPr="00E024DB" w:rsidRDefault="00D80E0D" w:rsidP="007478A3">
            <w:pPr>
              <w:pStyle w:val="Normlndobloku"/>
            </w:pPr>
          </w:p>
        </w:tc>
      </w:tr>
    </w:tbl>
    <w:p w:rsidR="00D80E0D" w:rsidRPr="00681040" w:rsidRDefault="00D80E0D" w:rsidP="007478A3">
      <w:pPr>
        <w:pStyle w:val="Normlndobloku"/>
      </w:pPr>
      <w:r w:rsidRPr="00681040">
        <w:t>U</w:t>
      </w:r>
      <w:r>
        <w:t> </w:t>
      </w:r>
      <w:r w:rsidRPr="00681040">
        <w:t xml:space="preserve">detí </w:t>
      </w:r>
      <w:r>
        <w:t>s telesnou hmotnosťou</w:t>
      </w:r>
      <w:r w:rsidRPr="00681040">
        <w:t xml:space="preserve"> &lt; 40</w:t>
      </w:r>
      <w:r>
        <w:t> </w:t>
      </w:r>
      <w:r w:rsidRPr="00681040">
        <w:t>kg, ktoré majú klírens kreatinínu pod 30</w:t>
      </w:r>
      <w:r>
        <w:t> </w:t>
      </w:r>
      <w:r w:rsidRPr="00681040">
        <w:t>ml/min, sa použitie foriem s</w:t>
      </w:r>
      <w:r>
        <w:t> </w:t>
      </w:r>
      <w:r w:rsidRPr="00681040">
        <w:t>pomerom amoxicilínu a kyseliny klavul</w:t>
      </w:r>
      <w:r>
        <w:t>á</w:t>
      </w:r>
      <w:r w:rsidRPr="00681040">
        <w:t>novej 2:1 neodporúča, keďže neumožňujú úpravy dávky. U</w:t>
      </w:r>
      <w:r>
        <w:t> </w:t>
      </w:r>
      <w:r w:rsidRPr="00681040">
        <w:t>takýchto pacientov sa odporúčajú liekové formy s</w:t>
      </w:r>
      <w:r>
        <w:t> </w:t>
      </w:r>
      <w:r w:rsidRPr="00681040">
        <w:t>pomerom amoxicilínu a kyseliny klavul</w:t>
      </w:r>
      <w:r>
        <w:t>á</w:t>
      </w:r>
      <w:r w:rsidRPr="00681040">
        <w:t>novej 4:1.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2743"/>
        <w:gridCol w:w="2746"/>
        <w:gridCol w:w="2869"/>
      </w:tblGrid>
      <w:tr w:rsidR="00D80E0D" w:rsidRPr="00681040" w:rsidTr="009F6C65">
        <w:tc>
          <w:tcPr>
            <w:tcW w:w="1355" w:type="dxa"/>
          </w:tcPr>
          <w:p w:rsidR="00D80E0D" w:rsidRPr="00E024DB" w:rsidRDefault="00D80E0D" w:rsidP="007478A3">
            <w:pPr>
              <w:pStyle w:val="Normlndobloku"/>
            </w:pPr>
          </w:p>
        </w:tc>
        <w:tc>
          <w:tcPr>
            <w:tcW w:w="2755" w:type="dxa"/>
          </w:tcPr>
          <w:p w:rsidR="00D80E0D" w:rsidRPr="00D80E0D" w:rsidRDefault="00D80E0D" w:rsidP="00AE5E07">
            <w:pPr>
              <w:pStyle w:val="Styl4"/>
            </w:pPr>
            <w:r w:rsidRPr="00D80E0D">
              <w:t>MEDOCLAV 375 mg</w:t>
            </w:r>
          </w:p>
        </w:tc>
        <w:tc>
          <w:tcPr>
            <w:tcW w:w="2755" w:type="dxa"/>
          </w:tcPr>
          <w:p w:rsidR="00D80E0D" w:rsidRPr="00D80E0D" w:rsidRDefault="00D80E0D" w:rsidP="00AE5E07">
            <w:pPr>
              <w:pStyle w:val="Styl4"/>
            </w:pPr>
            <w:r w:rsidRPr="00D80E0D">
              <w:t>MEDOCLAV 625 mg</w:t>
            </w:r>
          </w:p>
        </w:tc>
        <w:tc>
          <w:tcPr>
            <w:tcW w:w="2882" w:type="dxa"/>
          </w:tcPr>
          <w:p w:rsidR="00D80E0D" w:rsidRPr="00D80E0D" w:rsidRDefault="00D80E0D" w:rsidP="00AE5E07">
            <w:pPr>
              <w:pStyle w:val="Styl4"/>
            </w:pPr>
            <w:r w:rsidRPr="00D80E0D">
              <w:t>MEDOCLAV 1 g</w:t>
            </w:r>
          </w:p>
        </w:tc>
      </w:tr>
      <w:tr w:rsidR="00D80E0D" w:rsidRPr="00681040" w:rsidTr="009F6C65">
        <w:tc>
          <w:tcPr>
            <w:tcW w:w="1355" w:type="dxa"/>
          </w:tcPr>
          <w:p w:rsidR="00D80E0D" w:rsidRPr="00681040" w:rsidRDefault="00D80E0D" w:rsidP="00B858EA">
            <w:pPr>
              <w:rPr>
                <w:lang w:val="sk-SK"/>
              </w:rPr>
            </w:pPr>
            <w:r w:rsidRPr="00681040">
              <w:rPr>
                <w:lang w:val="sk-SK"/>
              </w:rPr>
              <w:t>CrCl: 10</w:t>
            </w:r>
            <w:r>
              <w:rPr>
                <w:lang w:val="sk-SK"/>
              </w:rPr>
              <w:t> – </w:t>
            </w:r>
            <w:r w:rsidRPr="00681040">
              <w:rPr>
                <w:lang w:val="sk-SK"/>
              </w:rPr>
              <w:t>30</w:t>
            </w:r>
            <w:r>
              <w:rPr>
                <w:lang w:val="sk-SK"/>
              </w:rPr>
              <w:t> </w:t>
            </w:r>
            <w:r w:rsidRPr="00681040">
              <w:rPr>
                <w:lang w:val="sk-SK"/>
              </w:rPr>
              <w:t>ml/min</w:t>
            </w:r>
          </w:p>
        </w:tc>
        <w:tc>
          <w:tcPr>
            <w:tcW w:w="2755" w:type="dxa"/>
          </w:tcPr>
          <w:p w:rsidR="00D80E0D" w:rsidRPr="00E024DB" w:rsidRDefault="00D80E0D" w:rsidP="007478A3">
            <w:pPr>
              <w:pStyle w:val="Normlndobloku"/>
            </w:pPr>
          </w:p>
        </w:tc>
        <w:tc>
          <w:tcPr>
            <w:tcW w:w="2755" w:type="dxa"/>
          </w:tcPr>
          <w:p w:rsidR="00D80E0D" w:rsidRPr="00681040" w:rsidRDefault="00D80E0D" w:rsidP="00B858EA">
            <w:pPr>
              <w:rPr>
                <w:lang w:val="sk-SK"/>
              </w:rPr>
            </w:pPr>
            <w:r w:rsidRPr="00681040">
              <w:rPr>
                <w:lang w:val="sk-SK"/>
              </w:rPr>
              <w:t>15</w:t>
            </w:r>
            <w:r>
              <w:rPr>
                <w:lang w:val="sk-SK"/>
              </w:rPr>
              <w:t> </w:t>
            </w:r>
            <w:r w:rsidRPr="00681040">
              <w:rPr>
                <w:lang w:val="sk-SK"/>
              </w:rPr>
              <w:t>mg/3,75</w:t>
            </w:r>
            <w:r>
              <w:rPr>
                <w:lang w:val="sk-SK"/>
              </w:rPr>
              <w:t> </w:t>
            </w:r>
            <w:r w:rsidRPr="00681040">
              <w:rPr>
                <w:lang w:val="sk-SK"/>
              </w:rPr>
              <w:t>mg/kg dvakrát denne (maximálne 500/125</w:t>
            </w:r>
            <w:r>
              <w:rPr>
                <w:lang w:val="sk-SK"/>
              </w:rPr>
              <w:t> </w:t>
            </w:r>
            <w:r w:rsidRPr="00681040">
              <w:rPr>
                <w:lang w:val="sk-SK"/>
              </w:rPr>
              <w:t>mg dvakrát denne).</w:t>
            </w:r>
          </w:p>
        </w:tc>
        <w:tc>
          <w:tcPr>
            <w:tcW w:w="2882" w:type="dxa"/>
          </w:tcPr>
          <w:p w:rsidR="00D80E0D" w:rsidRPr="00E024DB" w:rsidRDefault="00D80E0D" w:rsidP="007478A3">
            <w:pPr>
              <w:pStyle w:val="Normlndobloku"/>
            </w:pPr>
          </w:p>
        </w:tc>
      </w:tr>
      <w:tr w:rsidR="00D80E0D" w:rsidRPr="00681040" w:rsidTr="009F6C65">
        <w:tc>
          <w:tcPr>
            <w:tcW w:w="1355" w:type="dxa"/>
          </w:tcPr>
          <w:p w:rsidR="00D80E0D" w:rsidRPr="00681040" w:rsidRDefault="00D80E0D" w:rsidP="00B858EA">
            <w:pPr>
              <w:rPr>
                <w:lang w:val="sk-SK"/>
              </w:rPr>
            </w:pPr>
            <w:r w:rsidRPr="00681040">
              <w:rPr>
                <w:lang w:val="sk-SK"/>
              </w:rPr>
              <w:t>CrCl &lt; 10</w:t>
            </w:r>
            <w:r>
              <w:rPr>
                <w:lang w:val="sk-SK"/>
              </w:rPr>
              <w:t> </w:t>
            </w:r>
            <w:r w:rsidRPr="00681040">
              <w:rPr>
                <w:lang w:val="sk-SK"/>
              </w:rPr>
              <w:t>ml/min</w:t>
            </w:r>
          </w:p>
        </w:tc>
        <w:tc>
          <w:tcPr>
            <w:tcW w:w="2755" w:type="dxa"/>
          </w:tcPr>
          <w:p w:rsidR="00D80E0D" w:rsidRPr="00E024DB" w:rsidRDefault="00D80E0D" w:rsidP="007478A3">
            <w:pPr>
              <w:pStyle w:val="Normlndobloku"/>
            </w:pPr>
          </w:p>
        </w:tc>
        <w:tc>
          <w:tcPr>
            <w:tcW w:w="2755" w:type="dxa"/>
          </w:tcPr>
          <w:p w:rsidR="00D80E0D" w:rsidRPr="00681040" w:rsidRDefault="00D80E0D" w:rsidP="00B858EA">
            <w:pPr>
              <w:rPr>
                <w:lang w:val="sk-SK"/>
              </w:rPr>
            </w:pPr>
            <w:r w:rsidRPr="00681040">
              <w:rPr>
                <w:lang w:val="sk-SK"/>
              </w:rPr>
              <w:t>15</w:t>
            </w:r>
            <w:r>
              <w:rPr>
                <w:lang w:val="sk-SK"/>
              </w:rPr>
              <w:t> </w:t>
            </w:r>
            <w:r w:rsidRPr="00681040">
              <w:rPr>
                <w:lang w:val="sk-SK"/>
              </w:rPr>
              <w:t>mg/3,75</w:t>
            </w:r>
            <w:r>
              <w:rPr>
                <w:lang w:val="sk-SK"/>
              </w:rPr>
              <w:t> </w:t>
            </w:r>
            <w:r w:rsidRPr="00681040">
              <w:rPr>
                <w:lang w:val="sk-SK"/>
              </w:rPr>
              <w:t>mg/kg formou jednorazovej dennej dávky (maximálne 500/125</w:t>
            </w:r>
            <w:r>
              <w:rPr>
                <w:lang w:val="sk-SK"/>
              </w:rPr>
              <w:t> </w:t>
            </w:r>
            <w:r w:rsidRPr="00681040">
              <w:rPr>
                <w:lang w:val="sk-SK"/>
              </w:rPr>
              <w:t>mg).</w:t>
            </w:r>
          </w:p>
        </w:tc>
        <w:tc>
          <w:tcPr>
            <w:tcW w:w="2882" w:type="dxa"/>
          </w:tcPr>
          <w:p w:rsidR="00D80E0D" w:rsidRPr="00E024DB" w:rsidRDefault="00D80E0D" w:rsidP="007478A3">
            <w:pPr>
              <w:pStyle w:val="Normlndobloku"/>
            </w:pPr>
          </w:p>
        </w:tc>
      </w:tr>
      <w:tr w:rsidR="00D80E0D" w:rsidRPr="00681040" w:rsidTr="009F6C65">
        <w:tc>
          <w:tcPr>
            <w:tcW w:w="1355" w:type="dxa"/>
          </w:tcPr>
          <w:p w:rsidR="00D80E0D" w:rsidRPr="00681040" w:rsidRDefault="00D80E0D" w:rsidP="00B858EA">
            <w:pPr>
              <w:rPr>
                <w:lang w:val="sk-SK"/>
              </w:rPr>
            </w:pPr>
            <w:r w:rsidRPr="00681040">
              <w:rPr>
                <w:lang w:val="sk-SK"/>
              </w:rPr>
              <w:lastRenderedPageBreak/>
              <w:t>Hemodialýza</w:t>
            </w:r>
          </w:p>
        </w:tc>
        <w:tc>
          <w:tcPr>
            <w:tcW w:w="2755" w:type="dxa"/>
          </w:tcPr>
          <w:p w:rsidR="00D80E0D" w:rsidRPr="00E024DB" w:rsidRDefault="00D80E0D" w:rsidP="007478A3">
            <w:pPr>
              <w:pStyle w:val="Normlndobloku"/>
            </w:pPr>
          </w:p>
        </w:tc>
        <w:tc>
          <w:tcPr>
            <w:tcW w:w="2755" w:type="dxa"/>
          </w:tcPr>
          <w:p w:rsidR="00D80E0D" w:rsidRPr="00681040" w:rsidRDefault="00D80E0D" w:rsidP="00B858EA">
            <w:pPr>
              <w:rPr>
                <w:lang w:val="sk-SK"/>
              </w:rPr>
            </w:pPr>
            <w:r w:rsidRPr="00681040">
              <w:rPr>
                <w:lang w:val="sk-SK"/>
              </w:rPr>
              <w:t>15</w:t>
            </w:r>
            <w:r>
              <w:rPr>
                <w:lang w:val="sk-SK"/>
              </w:rPr>
              <w:t> </w:t>
            </w:r>
            <w:r w:rsidRPr="00681040">
              <w:rPr>
                <w:lang w:val="sk-SK"/>
              </w:rPr>
              <w:t>mg/3,75</w:t>
            </w:r>
            <w:r>
              <w:rPr>
                <w:lang w:val="sk-SK"/>
              </w:rPr>
              <w:t> </w:t>
            </w:r>
            <w:r w:rsidRPr="00681040">
              <w:rPr>
                <w:lang w:val="sk-SK"/>
              </w:rPr>
              <w:t>mg/kg jedenkrát denne.</w:t>
            </w:r>
          </w:p>
          <w:p w:rsidR="00D80E0D" w:rsidRPr="00681040" w:rsidRDefault="00D80E0D" w:rsidP="00B858EA">
            <w:pPr>
              <w:rPr>
                <w:lang w:val="sk-SK"/>
              </w:rPr>
            </w:pPr>
            <w:r w:rsidRPr="00681040">
              <w:rPr>
                <w:lang w:val="sk-SK"/>
              </w:rPr>
              <w:t>Pred hemodialýzou sa má podať 15</w:t>
            </w:r>
            <w:r>
              <w:rPr>
                <w:lang w:val="sk-SK"/>
              </w:rPr>
              <w:t> </w:t>
            </w:r>
            <w:r w:rsidRPr="00681040">
              <w:rPr>
                <w:lang w:val="sk-SK"/>
              </w:rPr>
              <w:t>mg/3,75</w:t>
            </w:r>
            <w:r>
              <w:rPr>
                <w:lang w:val="sk-SK"/>
              </w:rPr>
              <w:t> </w:t>
            </w:r>
            <w:r w:rsidRPr="00681040">
              <w:rPr>
                <w:lang w:val="sk-SK"/>
              </w:rPr>
              <w:t>mg/kg. Po hemodialýze sa má podať 15</w:t>
            </w:r>
            <w:r>
              <w:rPr>
                <w:lang w:val="sk-SK"/>
              </w:rPr>
              <w:t> </w:t>
            </w:r>
            <w:r w:rsidRPr="00681040">
              <w:rPr>
                <w:lang w:val="sk-SK"/>
              </w:rPr>
              <w:t>mg/3,75</w:t>
            </w:r>
            <w:r>
              <w:rPr>
                <w:lang w:val="sk-SK"/>
              </w:rPr>
              <w:t> </w:t>
            </w:r>
            <w:r w:rsidRPr="00681040">
              <w:rPr>
                <w:lang w:val="sk-SK"/>
              </w:rPr>
              <w:t>mg na kg, aby sa obnovili hladiny lieku v</w:t>
            </w:r>
            <w:r>
              <w:rPr>
                <w:lang w:val="sk-SK"/>
              </w:rPr>
              <w:t> </w:t>
            </w:r>
            <w:r w:rsidRPr="00681040">
              <w:rPr>
                <w:lang w:val="sk-SK"/>
              </w:rPr>
              <w:t>krvnom obehu.</w:t>
            </w:r>
          </w:p>
        </w:tc>
        <w:tc>
          <w:tcPr>
            <w:tcW w:w="2882" w:type="dxa"/>
          </w:tcPr>
          <w:p w:rsidR="00D80E0D" w:rsidRPr="00E024DB" w:rsidRDefault="00D80E0D" w:rsidP="007478A3">
            <w:pPr>
              <w:pStyle w:val="Normlndobloku"/>
            </w:pPr>
          </w:p>
        </w:tc>
      </w:tr>
    </w:tbl>
    <w:p w:rsidR="00D80E0D" w:rsidRPr="00681040" w:rsidRDefault="00D80E0D" w:rsidP="00AE5E07">
      <w:pPr>
        <w:pStyle w:val="Styl3"/>
      </w:pPr>
      <w:r w:rsidRPr="00681040">
        <w:t>Porucha funkcie pečene</w:t>
      </w:r>
    </w:p>
    <w:p w:rsidR="00D80E0D" w:rsidRPr="00681040" w:rsidRDefault="00D80E0D" w:rsidP="007478A3">
      <w:pPr>
        <w:pStyle w:val="Normlndobloku"/>
      </w:pPr>
      <w:r w:rsidRPr="00681040">
        <w:t>Liek podávajte opatrne a</w:t>
      </w:r>
      <w:r>
        <w:t> </w:t>
      </w:r>
      <w:r w:rsidRPr="00681040">
        <w:t>v</w:t>
      </w:r>
      <w:r>
        <w:t> </w:t>
      </w:r>
      <w:r w:rsidRPr="00681040">
        <w:t xml:space="preserve">pravidelných intervaloch sledujte funkciu pečene (pozri časti </w:t>
      </w:r>
      <w:smartTag w:uri="urn:schemas-microsoft-com:office:smarttags" w:element="metricconverter">
        <w:smartTagPr>
          <w:attr w:name="ProductID" w:val="4.3 a"/>
        </w:smartTagPr>
        <w:r w:rsidRPr="00681040">
          <w:t>4.3 a</w:t>
        </w:r>
        <w:r>
          <w:t> </w:t>
        </w:r>
      </w:smartTag>
      <w:r w:rsidRPr="00681040">
        <w:t>4.4).</w:t>
      </w:r>
    </w:p>
    <w:p w:rsidR="00D80E0D" w:rsidRDefault="00D80E0D" w:rsidP="00AE5E07">
      <w:pPr>
        <w:pStyle w:val="Styl4"/>
      </w:pPr>
      <w:r w:rsidRPr="00681040">
        <w:t>Spôsob podávania</w:t>
      </w:r>
    </w:p>
    <w:p w:rsidR="00D80E0D" w:rsidRPr="00681040" w:rsidRDefault="00D80E0D" w:rsidP="007478A3">
      <w:pPr>
        <w:pStyle w:val="Normlndobloku"/>
      </w:pPr>
      <w:r>
        <w:t>MEDOCLAV</w:t>
      </w:r>
      <w:r w:rsidRPr="00681040">
        <w:t xml:space="preserve"> je určený na perorálne použitie.</w:t>
      </w:r>
    </w:p>
    <w:p w:rsidR="00D80E0D" w:rsidRDefault="00D80E0D" w:rsidP="007478A3">
      <w:pPr>
        <w:pStyle w:val="Normlndobloku"/>
        <w:rPr>
          <w:szCs w:val="22"/>
          <w:lang w:eastAsia="sk-SK"/>
        </w:rPr>
      </w:pPr>
      <w:r w:rsidRPr="00681040">
        <w:t>Liek podávajte na začiatku jedla, aby sa minimalizovala možná gastrointestinálna intolerancia a</w:t>
      </w:r>
      <w:r>
        <w:t> </w:t>
      </w:r>
      <w:r w:rsidRPr="00681040">
        <w:t>optimalizovala absorpcia amoxicilínu/kyseliny klavul</w:t>
      </w:r>
      <w:r>
        <w:t>á</w:t>
      </w:r>
      <w:r w:rsidRPr="00681040">
        <w:t>novej.</w:t>
      </w:r>
    </w:p>
    <w:p w:rsidR="00D80E0D" w:rsidRPr="00681040" w:rsidRDefault="00D80E0D" w:rsidP="00AE5E07">
      <w:pPr>
        <w:pStyle w:val="Styl4"/>
      </w:pPr>
      <w:r>
        <w:t>MEDOCLAV</w:t>
      </w:r>
      <w:r w:rsidRPr="00681040">
        <w:t xml:space="preserve"> 625</w:t>
      </w:r>
      <w:r>
        <w:t> </w:t>
      </w:r>
      <w:r w:rsidRPr="00681040">
        <w:t xml:space="preserve">mg, </w:t>
      </w:r>
      <w:r>
        <w:t>MEDOCLAV</w:t>
      </w:r>
      <w:r w:rsidRPr="00681040">
        <w:t xml:space="preserve"> 1</w:t>
      </w:r>
      <w:r>
        <w:t> </w:t>
      </w:r>
      <w:r w:rsidRPr="00681040">
        <w:t>g</w:t>
      </w:r>
    </w:p>
    <w:p w:rsidR="00D80E0D" w:rsidRPr="00681040" w:rsidRDefault="00D80E0D" w:rsidP="007478A3">
      <w:pPr>
        <w:pStyle w:val="Normlndobloku"/>
      </w:pPr>
      <w:r w:rsidRPr="00681040">
        <w:t>Liečba sa môže začať parenterálne v</w:t>
      </w:r>
      <w:r>
        <w:t> </w:t>
      </w:r>
      <w:r w:rsidRPr="00681040">
        <w:t>súlade s</w:t>
      </w:r>
      <w:r>
        <w:t> </w:t>
      </w:r>
      <w:r w:rsidRPr="00681040">
        <w:t>SPC i.v. liekovej formy a</w:t>
      </w:r>
      <w:r>
        <w:t> </w:t>
      </w:r>
      <w:r w:rsidRPr="00681040">
        <w:t xml:space="preserve">pokračovať perorálnym </w:t>
      </w:r>
      <w:r>
        <w:rPr>
          <w:szCs w:val="22"/>
          <w:lang w:eastAsia="sk-SK"/>
        </w:rPr>
        <w:t>liekom</w:t>
      </w:r>
      <w:r w:rsidRPr="00681040">
        <w:rPr>
          <w:szCs w:val="22"/>
          <w:lang w:eastAsia="sk-SK"/>
        </w:rPr>
        <w:t>.</w:t>
      </w:r>
    </w:p>
    <w:p w:rsidR="00D80E0D" w:rsidRPr="00681040" w:rsidRDefault="00D80E0D" w:rsidP="00C50E86">
      <w:pPr>
        <w:pStyle w:val="Styl2"/>
      </w:pPr>
      <w:r w:rsidRPr="00681040">
        <w:t>Kontraindikácie</w:t>
      </w:r>
    </w:p>
    <w:p w:rsidR="00D80E0D" w:rsidRPr="00681040" w:rsidRDefault="00D80E0D" w:rsidP="007478A3">
      <w:pPr>
        <w:pStyle w:val="Normlndobloku"/>
      </w:pPr>
      <w:r w:rsidRPr="00681040">
        <w:t>Precitlivenosť na liečivá, na ktorýkoľvek z</w:t>
      </w:r>
      <w:r>
        <w:t> </w:t>
      </w:r>
      <w:r w:rsidRPr="00681040">
        <w:t>penicilínov alebo na ktorúkoľvek z</w:t>
      </w:r>
      <w:r>
        <w:t> </w:t>
      </w:r>
      <w:r w:rsidRPr="00681040">
        <w:t>pomocných látok</w:t>
      </w:r>
      <w:r>
        <w:t xml:space="preserve"> uvedených v časti 6.1.</w:t>
      </w:r>
    </w:p>
    <w:p w:rsidR="00D80E0D" w:rsidRPr="00681040" w:rsidRDefault="00D80E0D" w:rsidP="007478A3">
      <w:pPr>
        <w:pStyle w:val="Normlndobloku"/>
      </w:pPr>
      <w:r w:rsidRPr="00681040">
        <w:t>Anamnéza ťažkých, okamžitých reakcií z</w:t>
      </w:r>
      <w:r>
        <w:t> </w:t>
      </w:r>
      <w:r w:rsidRPr="00681040">
        <w:t>precitlivenosti (napr.</w:t>
      </w:r>
      <w:r>
        <w:t> </w:t>
      </w:r>
      <w:r w:rsidRPr="00681040">
        <w:t>anafylaxia) na iné betalaktámové liečivo (napr.</w:t>
      </w:r>
      <w:r>
        <w:t> </w:t>
      </w:r>
      <w:r w:rsidRPr="00681040">
        <w:t>cefalosporín, karbapenem alebo monobaktám).</w:t>
      </w:r>
    </w:p>
    <w:p w:rsidR="00D80E0D" w:rsidRPr="00681040" w:rsidRDefault="00D80E0D" w:rsidP="007478A3">
      <w:pPr>
        <w:pStyle w:val="Normlndobloku"/>
      </w:pPr>
      <w:r w:rsidRPr="00681040">
        <w:t>Anamnéza žltačky/poruchy funkcie pečene vyvolanej amoxicilínom/kyselinou klavul</w:t>
      </w:r>
      <w:r>
        <w:t>á</w:t>
      </w:r>
      <w:r w:rsidRPr="00681040">
        <w:t>novou (pozri časť 4.8).</w:t>
      </w:r>
    </w:p>
    <w:p w:rsidR="00D80E0D" w:rsidRPr="00681040" w:rsidRDefault="00D80E0D" w:rsidP="00C50E86">
      <w:pPr>
        <w:pStyle w:val="Styl2"/>
      </w:pPr>
      <w:r w:rsidRPr="00681040">
        <w:t>Osobitné upozornenia a opatrenia pri používaní</w:t>
      </w:r>
    </w:p>
    <w:p w:rsidR="00D80E0D" w:rsidRPr="00681040" w:rsidRDefault="00D80E0D" w:rsidP="007478A3">
      <w:pPr>
        <w:pStyle w:val="Normlndobloku"/>
      </w:pPr>
      <w:r w:rsidRPr="00681040">
        <w:t>Pred začatím liečby amoxicilínom/kyselinou klavul</w:t>
      </w:r>
      <w:r>
        <w:t>á</w:t>
      </w:r>
      <w:r w:rsidRPr="00681040">
        <w:t xml:space="preserve">novou sa má zostaviť podrobná anamnéza týkajúca sa </w:t>
      </w:r>
      <w:r>
        <w:t>p</w:t>
      </w:r>
      <w:r w:rsidRPr="00681040">
        <w:t>redchádzajúcich reakcií z</w:t>
      </w:r>
      <w:r>
        <w:t> </w:t>
      </w:r>
      <w:r w:rsidRPr="00681040">
        <w:t xml:space="preserve">precitlivenosti na penicilíny, cefalosporíny alebo iné betalaktámové liečivá (pozri časti </w:t>
      </w:r>
      <w:smartTag w:uri="urn:schemas-microsoft-com:office:smarttags" w:element="metricconverter">
        <w:smartTagPr>
          <w:attr w:name="ProductID" w:val="4.3 a"/>
        </w:smartTagPr>
        <w:r w:rsidRPr="00681040">
          <w:t>4.3 a</w:t>
        </w:r>
        <w:r>
          <w:t> </w:t>
        </w:r>
      </w:smartTag>
      <w:r w:rsidRPr="00681040">
        <w:t>4.8)</w:t>
      </w:r>
    </w:p>
    <w:p w:rsidR="00D80E0D" w:rsidRPr="00681040" w:rsidRDefault="00D80E0D" w:rsidP="007478A3">
      <w:pPr>
        <w:pStyle w:val="Normlndobloku"/>
        <w:rPr>
          <w:vertAlign w:val="superscript"/>
        </w:rPr>
      </w:pPr>
      <w:r w:rsidRPr="00681040">
        <w:t>U</w:t>
      </w:r>
      <w:r>
        <w:t> </w:t>
      </w:r>
      <w:r w:rsidRPr="00681040">
        <w:t>pacientov liečených penicilínmi sa hlásili závažné a</w:t>
      </w:r>
      <w:r>
        <w:t> </w:t>
      </w:r>
      <w:r w:rsidRPr="00681040">
        <w:t>ojedinele smrteľné reakcie z</w:t>
      </w:r>
      <w:r>
        <w:t> </w:t>
      </w:r>
      <w:r w:rsidRPr="00681040">
        <w:t>precitlivenosti</w:t>
      </w:r>
      <w:r>
        <w:t xml:space="preserve"> </w:t>
      </w:r>
      <w:r w:rsidRPr="00B70565">
        <w:t>(</w:t>
      </w:r>
      <w:r w:rsidRPr="00D80E0D">
        <w:rPr>
          <w:szCs w:val="22"/>
          <w:lang w:eastAsia="sk-SK"/>
        </w:rPr>
        <w:t xml:space="preserve">vrátane </w:t>
      </w:r>
      <w:r w:rsidRPr="00B70565">
        <w:rPr>
          <w:szCs w:val="22"/>
          <w:lang w:eastAsia="sk-SK"/>
        </w:rPr>
        <w:t>anafylak</w:t>
      </w:r>
      <w:r w:rsidRPr="00D80E0D">
        <w:rPr>
          <w:szCs w:val="22"/>
          <w:lang w:eastAsia="sk-SK"/>
        </w:rPr>
        <w:t>t</w:t>
      </w:r>
      <w:r w:rsidRPr="00B70565">
        <w:rPr>
          <w:szCs w:val="22"/>
          <w:lang w:eastAsia="sk-SK"/>
        </w:rPr>
        <w:t xml:space="preserve">oidných </w:t>
      </w:r>
      <w:r w:rsidRPr="00D80E0D">
        <w:rPr>
          <w:szCs w:val="22"/>
          <w:lang w:eastAsia="sk-SK"/>
        </w:rPr>
        <w:t>a</w:t>
      </w:r>
      <w:r w:rsidRPr="00291EAB">
        <w:rPr>
          <w:szCs w:val="22"/>
          <w:lang w:eastAsia="sk-SK"/>
        </w:rPr>
        <w:t> </w:t>
      </w:r>
      <w:r w:rsidRPr="00D80E0D">
        <w:rPr>
          <w:szCs w:val="22"/>
          <w:lang w:eastAsia="sk-SK"/>
        </w:rPr>
        <w:t>závažných kožných nežiaducich reakcií</w:t>
      </w:r>
      <w:r w:rsidRPr="00B70565">
        <w:rPr>
          <w:szCs w:val="22"/>
          <w:lang w:eastAsia="sk-SK"/>
        </w:rPr>
        <w:t>).</w:t>
      </w:r>
      <w:r w:rsidRPr="00681040">
        <w:t xml:space="preserve"> Tieto reakcie sa pravdepodobnejšie vyskytnú u</w:t>
      </w:r>
      <w:r>
        <w:t> </w:t>
      </w:r>
      <w:r w:rsidRPr="00681040">
        <w:t>jedincov s</w:t>
      </w:r>
      <w:r>
        <w:t> </w:t>
      </w:r>
      <w:r w:rsidRPr="00681040">
        <w:t xml:space="preserve">anamnézou precitlivenosti </w:t>
      </w:r>
      <w:r w:rsidRPr="00681040">
        <w:rPr>
          <w:szCs w:val="22"/>
          <w:lang w:eastAsia="sk-SK"/>
        </w:rPr>
        <w:t>na penicilín a</w:t>
      </w:r>
      <w:r>
        <w:rPr>
          <w:szCs w:val="22"/>
          <w:lang w:eastAsia="sk-SK"/>
        </w:rPr>
        <w:t> </w:t>
      </w:r>
      <w:r w:rsidRPr="00681040">
        <w:rPr>
          <w:szCs w:val="22"/>
          <w:lang w:eastAsia="sk-SK"/>
        </w:rPr>
        <w:t>u</w:t>
      </w:r>
      <w:r>
        <w:rPr>
          <w:szCs w:val="22"/>
          <w:lang w:eastAsia="sk-SK"/>
        </w:rPr>
        <w:t> </w:t>
      </w:r>
      <w:r w:rsidRPr="00681040">
        <w:rPr>
          <w:szCs w:val="22"/>
          <w:lang w:eastAsia="sk-SK"/>
        </w:rPr>
        <w:t>atopických jedincov. Ak sa vyskytne alergická reakcia, musí sa liečba amoxicilínom/kyselinou klavul</w:t>
      </w:r>
      <w:r>
        <w:rPr>
          <w:szCs w:val="22"/>
          <w:lang w:eastAsia="sk-SK"/>
        </w:rPr>
        <w:t>á</w:t>
      </w:r>
      <w:r w:rsidRPr="00681040">
        <w:rPr>
          <w:szCs w:val="22"/>
          <w:lang w:eastAsia="sk-SK"/>
        </w:rPr>
        <w:t>novou ukončiť a</w:t>
      </w:r>
      <w:r>
        <w:rPr>
          <w:szCs w:val="22"/>
          <w:lang w:eastAsia="sk-SK"/>
        </w:rPr>
        <w:t> </w:t>
      </w:r>
      <w:r w:rsidRPr="00681040">
        <w:rPr>
          <w:szCs w:val="22"/>
          <w:lang w:eastAsia="sk-SK"/>
        </w:rPr>
        <w:t>začať vhodná alternatívna liečba.</w:t>
      </w:r>
    </w:p>
    <w:p w:rsidR="00D80E0D" w:rsidRPr="00681040" w:rsidRDefault="00D80E0D" w:rsidP="007478A3">
      <w:pPr>
        <w:pStyle w:val="Normlndobloku"/>
        <w:rPr>
          <w:szCs w:val="22"/>
          <w:lang w:eastAsia="sk-SK"/>
        </w:rPr>
      </w:pPr>
      <w:r w:rsidRPr="00681040">
        <w:t>V</w:t>
      </w:r>
      <w:r>
        <w:t> </w:t>
      </w:r>
      <w:r w:rsidRPr="00681040">
        <w:t xml:space="preserve">prípade, že sa preukáže, že infekcia je </w:t>
      </w:r>
      <w:r w:rsidRPr="00681040">
        <w:rPr>
          <w:lang w:eastAsia="cs-CZ"/>
        </w:rPr>
        <w:t>v</w:t>
      </w:r>
      <w:r w:rsidRPr="00681040">
        <w:t>yvolaná mikroorganizmom (mikroorganizmami) citlivým (citlivými) na amoxicilín, má sa uvažovať o</w:t>
      </w:r>
      <w:r>
        <w:t> </w:t>
      </w:r>
      <w:r w:rsidRPr="00681040">
        <w:t>prechode z</w:t>
      </w:r>
      <w:r>
        <w:t> </w:t>
      </w:r>
      <w:r w:rsidRPr="00681040">
        <w:t>liečby amoxicilínom/kyselinou klavul</w:t>
      </w:r>
      <w:r>
        <w:t>á</w:t>
      </w:r>
      <w:r w:rsidRPr="00681040">
        <w:t xml:space="preserve">novou </w:t>
      </w:r>
      <w:r w:rsidRPr="00681040">
        <w:rPr>
          <w:szCs w:val="22"/>
          <w:lang w:eastAsia="sk-SK"/>
        </w:rPr>
        <w:t>na liečbu amoxicilínom, a</w:t>
      </w:r>
      <w:r>
        <w:rPr>
          <w:szCs w:val="22"/>
          <w:lang w:eastAsia="sk-SK"/>
        </w:rPr>
        <w:t> </w:t>
      </w:r>
      <w:r w:rsidRPr="00681040">
        <w:rPr>
          <w:szCs w:val="22"/>
          <w:lang w:eastAsia="sk-SK"/>
        </w:rPr>
        <w:t>to v</w:t>
      </w:r>
      <w:r>
        <w:rPr>
          <w:szCs w:val="22"/>
          <w:lang w:eastAsia="sk-SK"/>
        </w:rPr>
        <w:t> </w:t>
      </w:r>
      <w:r w:rsidRPr="00681040">
        <w:rPr>
          <w:szCs w:val="22"/>
          <w:lang w:eastAsia="sk-SK"/>
        </w:rPr>
        <w:t>súlade s oficiálnym usmernením.</w:t>
      </w:r>
    </w:p>
    <w:p w:rsidR="00D80E0D" w:rsidRPr="00681040" w:rsidRDefault="00D80E0D" w:rsidP="007478A3">
      <w:pPr>
        <w:pStyle w:val="Normlndobloku"/>
        <w:rPr>
          <w:szCs w:val="22"/>
          <w:lang w:eastAsia="sk-SK"/>
        </w:rPr>
      </w:pPr>
      <w:r w:rsidRPr="00681040">
        <w:t xml:space="preserve">Táto forma </w:t>
      </w:r>
      <w:r>
        <w:t>lieku MEDOCLAV</w:t>
      </w:r>
      <w:r w:rsidRPr="00681040">
        <w:t xml:space="preserve"> nie je vhodná na použitie, keď existuje vysoké riziko, že predpokladané patogény majú zníženú citlivosť alebo rezistenciu na betalaktámové liečivá, ktorá nie je sprostredkovaná betalaktamázami citlivými na inhibíciu kyselinou klavul</w:t>
      </w:r>
      <w:r>
        <w:t>á</w:t>
      </w:r>
      <w:r w:rsidRPr="00681040">
        <w:t>novou (napr.</w:t>
      </w:r>
      <w:r>
        <w:t> </w:t>
      </w:r>
      <w:r w:rsidRPr="00681040">
        <w:rPr>
          <w:rFonts w:ascii="TimesNewRoman" w:hAnsi="TimesNewRoman"/>
          <w:i/>
          <w:iCs/>
        </w:rPr>
        <w:t xml:space="preserve">S. pneumoniae </w:t>
      </w:r>
      <w:r w:rsidRPr="00681040">
        <w:rPr>
          <w:szCs w:val="22"/>
          <w:lang w:eastAsia="sk-SK"/>
        </w:rPr>
        <w:t>necitlivý na penicilín).</w:t>
      </w:r>
    </w:p>
    <w:p w:rsidR="00D80E0D" w:rsidRPr="00681040" w:rsidRDefault="00D80E0D" w:rsidP="007478A3">
      <w:pPr>
        <w:pStyle w:val="Normlndobloku"/>
        <w:rPr>
          <w:szCs w:val="22"/>
          <w:lang w:eastAsia="sk-SK"/>
        </w:rPr>
      </w:pPr>
      <w:r w:rsidRPr="00681040">
        <w:t>U</w:t>
      </w:r>
      <w:r>
        <w:t> </w:t>
      </w:r>
      <w:r w:rsidRPr="00681040">
        <w:t>pacientov s</w:t>
      </w:r>
      <w:r>
        <w:t> </w:t>
      </w:r>
      <w:r w:rsidRPr="00681040">
        <w:t>poruchou funkcie obličiek, alebo u</w:t>
      </w:r>
      <w:r>
        <w:t> </w:t>
      </w:r>
      <w:r w:rsidRPr="00681040">
        <w:t xml:space="preserve">tých, ktorí sú liečení vysokými dávkami, sa môžu </w:t>
      </w:r>
      <w:r w:rsidRPr="00681040">
        <w:rPr>
          <w:szCs w:val="22"/>
          <w:lang w:eastAsia="sk-SK"/>
        </w:rPr>
        <w:t>vyskytnúť kŕče (pozri časť 4.8).</w:t>
      </w:r>
    </w:p>
    <w:p w:rsidR="00D80E0D" w:rsidRPr="00681040" w:rsidRDefault="00D80E0D" w:rsidP="007478A3">
      <w:pPr>
        <w:pStyle w:val="Normlndobloku"/>
        <w:rPr>
          <w:szCs w:val="22"/>
          <w:lang w:eastAsia="sk-SK"/>
        </w:rPr>
      </w:pPr>
      <w:r w:rsidRPr="00681040">
        <w:lastRenderedPageBreak/>
        <w:t>Amoxicilín/kyselina klavul</w:t>
      </w:r>
      <w:r>
        <w:t>á</w:t>
      </w:r>
      <w:r w:rsidRPr="00681040">
        <w:t xml:space="preserve">nová sa nemajú podávať pri podozrení na infekčnú mononukleózu, keďže </w:t>
      </w:r>
      <w:r w:rsidRPr="00681040">
        <w:rPr>
          <w:szCs w:val="22"/>
          <w:lang w:eastAsia="sk-SK"/>
        </w:rPr>
        <w:t>v</w:t>
      </w:r>
      <w:r>
        <w:rPr>
          <w:szCs w:val="22"/>
          <w:lang w:eastAsia="sk-SK"/>
        </w:rPr>
        <w:t> </w:t>
      </w:r>
      <w:r w:rsidRPr="00681040">
        <w:rPr>
          <w:szCs w:val="22"/>
          <w:lang w:eastAsia="sk-SK"/>
        </w:rPr>
        <w:t>súvislosti s</w:t>
      </w:r>
      <w:r>
        <w:rPr>
          <w:szCs w:val="22"/>
          <w:lang w:eastAsia="sk-SK"/>
        </w:rPr>
        <w:t> </w:t>
      </w:r>
      <w:r w:rsidRPr="00681040">
        <w:rPr>
          <w:szCs w:val="22"/>
          <w:lang w:eastAsia="sk-SK"/>
        </w:rPr>
        <w:t>týmto stavom sa po podaní amoxicilínu vyskytla morbiliformná vyrážka.</w:t>
      </w:r>
    </w:p>
    <w:p w:rsidR="00D80E0D" w:rsidRPr="00681040" w:rsidRDefault="00D80E0D" w:rsidP="007478A3">
      <w:pPr>
        <w:pStyle w:val="Normlndobloku"/>
        <w:rPr>
          <w:szCs w:val="22"/>
          <w:lang w:eastAsia="sk-SK"/>
        </w:rPr>
      </w:pPr>
      <w:r w:rsidRPr="00681040">
        <w:t xml:space="preserve">Súbežné podávanie alopurinolu počas liečby amoxicilínom môže zvýšiť pravdepodobnosť vzniku </w:t>
      </w:r>
      <w:r w:rsidRPr="00681040">
        <w:rPr>
          <w:szCs w:val="22"/>
          <w:lang w:eastAsia="sk-SK"/>
        </w:rPr>
        <w:t>alergických kožných reakcií.</w:t>
      </w:r>
    </w:p>
    <w:p w:rsidR="00D80E0D" w:rsidRPr="00681040" w:rsidRDefault="00D80E0D" w:rsidP="007478A3">
      <w:pPr>
        <w:pStyle w:val="Normlndobloku"/>
      </w:pPr>
      <w:r w:rsidRPr="00681040">
        <w:t>Dlhodobé podávanie môže ojedinele viesť k</w:t>
      </w:r>
      <w:r>
        <w:t> </w:t>
      </w:r>
      <w:r w:rsidRPr="00681040">
        <w:t>pomnoženiu necitlivých mikroorganizmov.</w:t>
      </w:r>
    </w:p>
    <w:p w:rsidR="00D80E0D" w:rsidRPr="00681040" w:rsidRDefault="00D80E0D" w:rsidP="007478A3">
      <w:pPr>
        <w:pStyle w:val="Normlndobloku"/>
        <w:rPr>
          <w:szCs w:val="22"/>
          <w:lang w:eastAsia="sk-SK"/>
        </w:rPr>
      </w:pPr>
      <w:r w:rsidRPr="00681040">
        <w:t>Generalizovaný erytém sprevádzaný horúčkou a</w:t>
      </w:r>
      <w:r>
        <w:t> </w:t>
      </w:r>
      <w:r w:rsidRPr="00681040">
        <w:t>spojený s</w:t>
      </w:r>
      <w:r>
        <w:t> </w:t>
      </w:r>
      <w:r w:rsidRPr="00681040">
        <w:t>pustulami, ktorý sa vyskytne na začiatku liečby, môže byť príznakom akútnej generalizovanej exant</w:t>
      </w:r>
      <w:r w:rsidR="008707BE">
        <w:t>é</w:t>
      </w:r>
      <w:r w:rsidRPr="00681040">
        <w:t>m</w:t>
      </w:r>
      <w:r w:rsidR="008707BE">
        <w:t>ovej</w:t>
      </w:r>
      <w:r w:rsidRPr="00681040">
        <w:t xml:space="preserve"> pustulózy (AGEP) (pozri časť 4.8). Táto reakcia vyžaduje ukončenie liečby </w:t>
      </w:r>
      <w:r>
        <w:t>liekom MEDOCLAV</w:t>
      </w:r>
      <w:r w:rsidRPr="00681040">
        <w:t xml:space="preserve"> a</w:t>
      </w:r>
      <w:r>
        <w:t> </w:t>
      </w:r>
      <w:r w:rsidRPr="00681040">
        <w:t xml:space="preserve">je kontraindikáciou akéhokoľvek následného </w:t>
      </w:r>
      <w:r w:rsidRPr="00681040">
        <w:rPr>
          <w:szCs w:val="22"/>
          <w:lang w:eastAsia="sk-SK"/>
        </w:rPr>
        <w:t>podania amoxicilínu.</w:t>
      </w:r>
    </w:p>
    <w:p w:rsidR="00D80E0D" w:rsidRPr="00681040" w:rsidRDefault="00D80E0D" w:rsidP="007478A3">
      <w:pPr>
        <w:pStyle w:val="Normlndobloku"/>
      </w:pPr>
      <w:r w:rsidRPr="00681040">
        <w:t>Amoxicilín/kyselina klavul</w:t>
      </w:r>
      <w:r>
        <w:t>á</w:t>
      </w:r>
      <w:r w:rsidRPr="00681040">
        <w:t>nová sa majú podávať opatrne pacientom s</w:t>
      </w:r>
      <w:r>
        <w:t> </w:t>
      </w:r>
      <w:r w:rsidRPr="00681040">
        <w:t xml:space="preserve">preukázanou poruchou funkcie pečene (pozri časti 4.2, </w:t>
      </w:r>
      <w:smartTag w:uri="urn:schemas-microsoft-com:office:smarttags" w:element="metricconverter">
        <w:smartTagPr>
          <w:attr w:name="ProductID" w:val="4.3 a"/>
        </w:smartTagPr>
        <w:r w:rsidRPr="00681040">
          <w:t>4.3 a</w:t>
        </w:r>
        <w:r>
          <w:t> </w:t>
        </w:r>
      </w:smartTag>
      <w:r w:rsidRPr="00681040">
        <w:t>4.8).</w:t>
      </w:r>
    </w:p>
    <w:p w:rsidR="00D80E0D" w:rsidRPr="00681040" w:rsidRDefault="00D80E0D" w:rsidP="007478A3">
      <w:pPr>
        <w:pStyle w:val="Normlndobloku"/>
        <w:rPr>
          <w:szCs w:val="22"/>
          <w:lang w:eastAsia="sk-SK"/>
        </w:rPr>
      </w:pPr>
      <w:r w:rsidRPr="00681040">
        <w:t>Účinky na pečeň sa hlásili predovšetkým u</w:t>
      </w:r>
      <w:r>
        <w:t> </w:t>
      </w:r>
      <w:r w:rsidRPr="00681040">
        <w:t>mužov a</w:t>
      </w:r>
      <w:r>
        <w:t> </w:t>
      </w:r>
      <w:r w:rsidRPr="00681040">
        <w:t>starších pacientov a</w:t>
      </w:r>
      <w:r>
        <w:t> </w:t>
      </w:r>
      <w:r w:rsidRPr="00681040">
        <w:t>môžu súvisieť s dlhodobou liečbou. Tieto nežiaduce účinky sa veľmi zriedkavo hlásili u</w:t>
      </w:r>
      <w:r>
        <w:t> </w:t>
      </w:r>
      <w:r w:rsidRPr="00681040">
        <w:t>detí. U</w:t>
      </w:r>
      <w:r>
        <w:t> </w:t>
      </w:r>
      <w:r w:rsidRPr="00681040">
        <w:t>všetkých pacientov sa prejavy a</w:t>
      </w:r>
      <w:r>
        <w:t> </w:t>
      </w:r>
      <w:r w:rsidRPr="00681040">
        <w:rPr>
          <w:szCs w:val="22"/>
          <w:lang w:eastAsia="sk-SK"/>
        </w:rPr>
        <w:t>príznaky zvyčajne vyskytnú počas liečby alebo krátko po liečbe, ale v</w:t>
      </w:r>
      <w:r>
        <w:rPr>
          <w:szCs w:val="22"/>
          <w:lang w:eastAsia="sk-SK"/>
        </w:rPr>
        <w:t> </w:t>
      </w:r>
      <w:r w:rsidRPr="00681040">
        <w:rPr>
          <w:szCs w:val="22"/>
          <w:lang w:eastAsia="sk-SK"/>
        </w:rPr>
        <w:t>niektorých prípadoch sa môžu stať zjavnými až niekoľko týždňov po skončení liečby. Tieto nežiaduce účinky sú zvyčajne reverzibilné. Účinky na pečeň môžu byť ťažké a</w:t>
      </w:r>
      <w:r>
        <w:rPr>
          <w:szCs w:val="22"/>
          <w:lang w:eastAsia="sk-SK"/>
        </w:rPr>
        <w:t> </w:t>
      </w:r>
      <w:r w:rsidRPr="00681040">
        <w:rPr>
          <w:szCs w:val="22"/>
          <w:lang w:eastAsia="sk-SK"/>
        </w:rPr>
        <w:t>v</w:t>
      </w:r>
      <w:r>
        <w:rPr>
          <w:szCs w:val="22"/>
          <w:lang w:eastAsia="sk-SK"/>
        </w:rPr>
        <w:t> </w:t>
      </w:r>
      <w:r w:rsidRPr="00681040">
        <w:rPr>
          <w:szCs w:val="22"/>
          <w:lang w:eastAsia="sk-SK"/>
        </w:rPr>
        <w:t>extrémne zriedkavých prípadoch mali za následok úmrtie. Prípady úmrtia sa takmer vždy vyskytovali u</w:t>
      </w:r>
      <w:r>
        <w:rPr>
          <w:szCs w:val="22"/>
          <w:lang w:eastAsia="sk-SK"/>
        </w:rPr>
        <w:t> </w:t>
      </w:r>
      <w:r w:rsidRPr="00681040">
        <w:rPr>
          <w:szCs w:val="22"/>
          <w:lang w:eastAsia="sk-SK"/>
        </w:rPr>
        <w:t>pacientov so závažným základným ochorením, alebo u</w:t>
      </w:r>
      <w:r>
        <w:rPr>
          <w:szCs w:val="22"/>
          <w:lang w:eastAsia="sk-SK"/>
        </w:rPr>
        <w:t> </w:t>
      </w:r>
      <w:r w:rsidRPr="00681040">
        <w:rPr>
          <w:szCs w:val="22"/>
          <w:lang w:eastAsia="sk-SK"/>
        </w:rPr>
        <w:t>pacientov súbežne užívajúcich lieky, o</w:t>
      </w:r>
      <w:r>
        <w:rPr>
          <w:szCs w:val="22"/>
          <w:lang w:eastAsia="sk-SK"/>
        </w:rPr>
        <w:t> </w:t>
      </w:r>
      <w:r w:rsidRPr="00681040">
        <w:rPr>
          <w:szCs w:val="22"/>
          <w:lang w:eastAsia="sk-SK"/>
        </w:rPr>
        <w:t>ktorých je známe, že môžu mať nežiaduce účinky na pečeň (pozri časť 4.8).</w:t>
      </w:r>
    </w:p>
    <w:p w:rsidR="00D80E0D" w:rsidRPr="00681040" w:rsidRDefault="00D80E0D" w:rsidP="007478A3">
      <w:pPr>
        <w:pStyle w:val="Normlndobloku"/>
        <w:rPr>
          <w:szCs w:val="22"/>
          <w:lang w:eastAsia="sk-SK"/>
        </w:rPr>
      </w:pPr>
      <w:r w:rsidRPr="00681040">
        <w:t>Kolitída súvisiaca s</w:t>
      </w:r>
      <w:r>
        <w:t> </w:t>
      </w:r>
      <w:r w:rsidRPr="00681040">
        <w:t>podávaním antibiotík sa hlásila takmer pri všetkých antibakteriálnych látkach a jej závažnosť sa pohybuje od miernej až po život ohrozujúcu (pozri časť 4.8). Preto je dôležité vziať túto diagnózu do úvahy u</w:t>
      </w:r>
      <w:r>
        <w:t> </w:t>
      </w:r>
      <w:r w:rsidRPr="00681040">
        <w:t xml:space="preserve">pacientov, ktorí trpia hnačkou počas podávania akýchkoľvek antibiotík alebo </w:t>
      </w:r>
      <w:r w:rsidRPr="00681040">
        <w:rPr>
          <w:szCs w:val="22"/>
          <w:lang w:eastAsia="sk-SK"/>
        </w:rPr>
        <w:t>bezprostredne po ich vysadení. Ak sa vyskytne kolitída súvisiaca s podávaním antibiotík, musí sa liečba amoxicilínom/kyselinou klavul</w:t>
      </w:r>
      <w:r>
        <w:rPr>
          <w:szCs w:val="22"/>
          <w:lang w:eastAsia="sk-SK"/>
        </w:rPr>
        <w:t>á</w:t>
      </w:r>
      <w:r w:rsidRPr="00681040">
        <w:rPr>
          <w:szCs w:val="22"/>
          <w:lang w:eastAsia="sk-SK"/>
        </w:rPr>
        <w:t>novou ihneď ukončiť, vyhľadať pomoc lekára a</w:t>
      </w:r>
      <w:r>
        <w:rPr>
          <w:szCs w:val="22"/>
          <w:lang w:eastAsia="sk-SK"/>
        </w:rPr>
        <w:t> </w:t>
      </w:r>
      <w:r w:rsidRPr="00681040">
        <w:rPr>
          <w:szCs w:val="22"/>
          <w:lang w:eastAsia="sk-SK"/>
        </w:rPr>
        <w:t>začať vhodná liečba. V</w:t>
      </w:r>
      <w:r>
        <w:rPr>
          <w:szCs w:val="22"/>
          <w:lang w:eastAsia="sk-SK"/>
        </w:rPr>
        <w:t> </w:t>
      </w:r>
      <w:r w:rsidRPr="00681040">
        <w:rPr>
          <w:szCs w:val="22"/>
          <w:lang w:eastAsia="sk-SK"/>
        </w:rPr>
        <w:t>takomto prípade je podávanie antiperistaltických liekov kontraindikované.</w:t>
      </w:r>
    </w:p>
    <w:p w:rsidR="00D80E0D" w:rsidRPr="00681040" w:rsidRDefault="00D80E0D" w:rsidP="007478A3">
      <w:pPr>
        <w:pStyle w:val="Normlndobloku"/>
        <w:rPr>
          <w:szCs w:val="22"/>
          <w:lang w:eastAsia="sk-SK"/>
        </w:rPr>
      </w:pPr>
      <w:r w:rsidRPr="00681040">
        <w:t xml:space="preserve">Počas dlhodobej liečby sa odporúča pravidelné vyhodnocovanie funkcií orgánových systémov, vrátane </w:t>
      </w:r>
      <w:r w:rsidRPr="00681040">
        <w:rPr>
          <w:szCs w:val="22"/>
          <w:lang w:eastAsia="sk-SK"/>
        </w:rPr>
        <w:t>funkcie obličiek, pečene a</w:t>
      </w:r>
      <w:r>
        <w:rPr>
          <w:szCs w:val="22"/>
          <w:lang w:eastAsia="sk-SK"/>
        </w:rPr>
        <w:t> </w:t>
      </w:r>
      <w:r w:rsidRPr="00681040">
        <w:rPr>
          <w:szCs w:val="22"/>
          <w:lang w:eastAsia="sk-SK"/>
        </w:rPr>
        <w:t>krvotvorby.</w:t>
      </w:r>
    </w:p>
    <w:p w:rsidR="00D80E0D" w:rsidRPr="00681040" w:rsidRDefault="00D80E0D" w:rsidP="007478A3">
      <w:pPr>
        <w:pStyle w:val="Normlndobloku"/>
        <w:rPr>
          <w:szCs w:val="22"/>
          <w:lang w:eastAsia="sk-SK"/>
        </w:rPr>
      </w:pPr>
      <w:r w:rsidRPr="00681040">
        <w:t>U</w:t>
      </w:r>
      <w:r>
        <w:t> </w:t>
      </w:r>
      <w:r w:rsidRPr="00681040">
        <w:t>pacientov liečených amoxicilínom/kyselinou klavul</w:t>
      </w:r>
      <w:r>
        <w:t>á</w:t>
      </w:r>
      <w:r w:rsidRPr="00681040">
        <w:t xml:space="preserve">novou sa zriedkavo hlásilo predĺženie protrombínového času. Pri súbežnom predpísaní antikoagulancií sa má vykonávať náležité monitorovanie. Môže byť nutná úprava dávky perorálnych antikoagulancií na udržanie požadovaného </w:t>
      </w:r>
      <w:r w:rsidRPr="00681040">
        <w:rPr>
          <w:szCs w:val="22"/>
          <w:lang w:eastAsia="sk-SK"/>
        </w:rPr>
        <w:t xml:space="preserve">stupňa antikoagulácie (pozri časť </w:t>
      </w:r>
      <w:smartTag w:uri="urn:schemas-microsoft-com:office:smarttags" w:element="metricconverter">
        <w:smartTagPr>
          <w:attr w:name="ProductID" w:val="4.5 a"/>
        </w:smartTagPr>
        <w:r w:rsidRPr="00681040">
          <w:rPr>
            <w:szCs w:val="22"/>
            <w:lang w:eastAsia="sk-SK"/>
          </w:rPr>
          <w:t>4.5 a</w:t>
        </w:r>
        <w:r>
          <w:rPr>
            <w:szCs w:val="22"/>
            <w:lang w:eastAsia="sk-SK"/>
          </w:rPr>
          <w:t> </w:t>
        </w:r>
      </w:smartTag>
      <w:r w:rsidRPr="00681040">
        <w:rPr>
          <w:szCs w:val="22"/>
          <w:lang w:eastAsia="sk-SK"/>
        </w:rPr>
        <w:t>4.8).</w:t>
      </w:r>
    </w:p>
    <w:p w:rsidR="00D80E0D" w:rsidRDefault="00D80E0D" w:rsidP="007478A3">
      <w:pPr>
        <w:pStyle w:val="Normlndobloku"/>
      </w:pPr>
      <w:r w:rsidRPr="00681040">
        <w:t>U</w:t>
      </w:r>
      <w:r>
        <w:t> </w:t>
      </w:r>
      <w:r w:rsidRPr="00681040">
        <w:t>pacientov s</w:t>
      </w:r>
      <w:r>
        <w:t> </w:t>
      </w:r>
      <w:r w:rsidRPr="00681040">
        <w:t>poruchou funkcie obličiek sa má dávka upraviť podľa stupňa poruchy (pozri časť 4.2).</w:t>
      </w:r>
    </w:p>
    <w:p w:rsidR="00D80E0D" w:rsidRPr="00681040" w:rsidRDefault="00D80E0D" w:rsidP="007478A3">
      <w:pPr>
        <w:pStyle w:val="Normlndobloku"/>
        <w:rPr>
          <w:szCs w:val="22"/>
          <w:lang w:eastAsia="sk-SK"/>
        </w:rPr>
      </w:pPr>
      <w:r w:rsidRPr="00681040">
        <w:t>U</w:t>
      </w:r>
      <w:r>
        <w:t> </w:t>
      </w:r>
      <w:r w:rsidRPr="00681040">
        <w:t xml:space="preserve">pacientov so zníženým výdajom moču sa veľmi zriedkavo pozorovala kryštalúria, predovšetkým pri parenterálnej liečbe. Počas podávania vysokých dávok amoxicilínu treba udržiavať dostatočný príjem </w:t>
      </w:r>
      <w:r w:rsidRPr="00681040">
        <w:rPr>
          <w:szCs w:val="22"/>
          <w:lang w:eastAsia="sk-SK"/>
        </w:rPr>
        <w:t>tekutín a</w:t>
      </w:r>
      <w:r>
        <w:rPr>
          <w:szCs w:val="22"/>
          <w:lang w:eastAsia="sk-SK"/>
        </w:rPr>
        <w:t> </w:t>
      </w:r>
      <w:r w:rsidRPr="00681040">
        <w:rPr>
          <w:szCs w:val="22"/>
          <w:lang w:eastAsia="sk-SK"/>
        </w:rPr>
        <w:t>výdaj moču, aby sa znížila možnosť vzniku kryštalúrie vyvolanej amoxicilínom. U</w:t>
      </w:r>
      <w:r>
        <w:rPr>
          <w:szCs w:val="22"/>
          <w:lang w:eastAsia="sk-SK"/>
        </w:rPr>
        <w:t> </w:t>
      </w:r>
      <w:r w:rsidRPr="00681040">
        <w:rPr>
          <w:szCs w:val="22"/>
          <w:lang w:eastAsia="sk-SK"/>
        </w:rPr>
        <w:t>pacientov, ktorí majú v</w:t>
      </w:r>
      <w:r>
        <w:rPr>
          <w:szCs w:val="22"/>
          <w:lang w:eastAsia="sk-SK"/>
        </w:rPr>
        <w:t> </w:t>
      </w:r>
      <w:r w:rsidRPr="00681040">
        <w:rPr>
          <w:szCs w:val="22"/>
          <w:lang w:eastAsia="sk-SK"/>
        </w:rPr>
        <w:t>močovom mechúre zavedený katéter, sa má pravidelne kontrolovať jeho priechodnosť (pozri časť 4.9).</w:t>
      </w:r>
    </w:p>
    <w:p w:rsidR="00D80E0D" w:rsidRPr="00681040" w:rsidRDefault="00D80E0D" w:rsidP="007478A3">
      <w:pPr>
        <w:pStyle w:val="Normlndobloku"/>
      </w:pPr>
      <w:r w:rsidRPr="00681040">
        <w:t>Počas liečby amoxicilínom sa majú vždy použiť enzymatické metódy s</w:t>
      </w:r>
      <w:r>
        <w:t> </w:t>
      </w:r>
      <w:r w:rsidRPr="00681040">
        <w:t>glukózooxidázou, keď sa robia testy na prítomnosť glukózy v</w:t>
      </w:r>
      <w:r>
        <w:t> </w:t>
      </w:r>
      <w:r w:rsidRPr="00681040">
        <w:t>moči, pretože pri použití neenzymatických metód sa môžu vyskytnúť falošne pozitívne výsledky.</w:t>
      </w:r>
    </w:p>
    <w:p w:rsidR="00D80E0D" w:rsidRDefault="00D80E0D" w:rsidP="007478A3">
      <w:pPr>
        <w:pStyle w:val="Normlndobloku"/>
      </w:pPr>
      <w:r w:rsidRPr="00681040">
        <w:t>Prítomnosť kyseliny klavul</w:t>
      </w:r>
      <w:r>
        <w:t>á</w:t>
      </w:r>
      <w:r w:rsidRPr="00681040">
        <w:t>novej v</w:t>
      </w:r>
      <w:r w:rsidR="008707BE">
        <w:t> </w:t>
      </w:r>
      <w:r>
        <w:t>lieku</w:t>
      </w:r>
      <w:r w:rsidR="008707BE">
        <w:t xml:space="preserve"> </w:t>
      </w:r>
      <w:r>
        <w:t>MEDOCLAV</w:t>
      </w:r>
      <w:r w:rsidRPr="00681040">
        <w:t xml:space="preserve"> môže spôsobiť nešpecifickú väzbu IgG a albumínu na membrány erytrocytov, čo vedie k</w:t>
      </w:r>
      <w:r>
        <w:t> </w:t>
      </w:r>
      <w:r w:rsidRPr="00681040">
        <w:t>falošne pozitívnemu výsledku Coombsovho testu.</w:t>
      </w:r>
    </w:p>
    <w:p w:rsidR="00D80E0D" w:rsidRDefault="00D80E0D" w:rsidP="007478A3">
      <w:pPr>
        <w:pStyle w:val="Normlndobloku"/>
        <w:rPr>
          <w:szCs w:val="22"/>
          <w:lang w:eastAsia="sk-SK"/>
        </w:rPr>
      </w:pPr>
      <w:r w:rsidRPr="00681040">
        <w:t>U</w:t>
      </w:r>
      <w:r>
        <w:t> </w:t>
      </w:r>
      <w:r w:rsidRPr="00681040">
        <w:t>pacientov liečených amoxicilínom/kyselinou klavul</w:t>
      </w:r>
      <w:r>
        <w:t>á</w:t>
      </w:r>
      <w:r w:rsidRPr="00681040">
        <w:t xml:space="preserve">novou boli hlásené pozitívne výsledky testu pri použití testu Platelia </w:t>
      </w:r>
      <w:r w:rsidRPr="00681040">
        <w:rPr>
          <w:rFonts w:ascii="TimesNewRoman" w:hAnsi="TimesNewRoman"/>
          <w:i/>
          <w:iCs/>
        </w:rPr>
        <w:t xml:space="preserve">Aspergillus </w:t>
      </w:r>
      <w:r w:rsidRPr="00681040">
        <w:t xml:space="preserve">EIA od spoločnosti Bio-Rad laboratories, pričom následne sa zistilo, </w:t>
      </w:r>
      <w:r w:rsidRPr="00681040">
        <w:rPr>
          <w:szCs w:val="22"/>
          <w:lang w:eastAsia="sk-SK"/>
        </w:rPr>
        <w:t xml:space="preserve">že títo pacienti infekciu vyvolanú </w:t>
      </w:r>
      <w:r w:rsidRPr="00681040">
        <w:rPr>
          <w:rFonts w:ascii="TimesNewRoman" w:hAnsi="TimesNewRoman"/>
          <w:i/>
          <w:iCs/>
          <w:lang w:eastAsia="cs-CZ"/>
        </w:rPr>
        <w:t xml:space="preserve">Aspergillus </w:t>
      </w:r>
      <w:r w:rsidRPr="00681040">
        <w:rPr>
          <w:szCs w:val="22"/>
          <w:lang w:eastAsia="sk-SK"/>
        </w:rPr>
        <w:t>nemajú. Hlásené boli skrížené reakcie medzi polysacharidmi a</w:t>
      </w:r>
      <w:r>
        <w:rPr>
          <w:szCs w:val="22"/>
          <w:lang w:eastAsia="sk-SK"/>
        </w:rPr>
        <w:t> </w:t>
      </w:r>
      <w:r w:rsidRPr="00681040">
        <w:rPr>
          <w:szCs w:val="22"/>
          <w:lang w:eastAsia="sk-SK"/>
        </w:rPr>
        <w:t>polyfuránmi neaspergilového pôvodu a</w:t>
      </w:r>
      <w:r>
        <w:rPr>
          <w:szCs w:val="22"/>
          <w:lang w:eastAsia="sk-SK"/>
        </w:rPr>
        <w:t> </w:t>
      </w:r>
      <w:r w:rsidRPr="00681040">
        <w:rPr>
          <w:szCs w:val="22"/>
          <w:lang w:eastAsia="sk-SK"/>
        </w:rPr>
        <w:t>testom</w:t>
      </w:r>
      <w:r w:rsidRPr="00681040">
        <w:rPr>
          <w:lang w:eastAsia="cs-CZ"/>
        </w:rPr>
        <w:t xml:space="preserve"> Platelia </w:t>
      </w:r>
      <w:r w:rsidRPr="00681040">
        <w:rPr>
          <w:rFonts w:ascii="TimesNewRoman" w:hAnsi="TimesNewRoman"/>
          <w:i/>
          <w:iCs/>
          <w:lang w:eastAsia="cs-CZ"/>
        </w:rPr>
        <w:t xml:space="preserve">Aspergillus </w:t>
      </w:r>
      <w:r w:rsidRPr="00681040">
        <w:rPr>
          <w:szCs w:val="22"/>
          <w:lang w:eastAsia="sk-SK"/>
        </w:rPr>
        <w:t xml:space="preserve">EIA od spoločnosti Bio-Rad </w:t>
      </w:r>
      <w:r w:rsidRPr="00681040">
        <w:rPr>
          <w:szCs w:val="22"/>
          <w:lang w:eastAsia="sk-SK"/>
        </w:rPr>
        <w:lastRenderedPageBreak/>
        <w:t>laboratories. Preto sa musia pozitívne výsledky testu u</w:t>
      </w:r>
      <w:r>
        <w:rPr>
          <w:szCs w:val="22"/>
          <w:lang w:eastAsia="sk-SK"/>
        </w:rPr>
        <w:t> </w:t>
      </w:r>
      <w:r w:rsidRPr="00681040">
        <w:rPr>
          <w:szCs w:val="22"/>
          <w:lang w:eastAsia="sk-SK"/>
        </w:rPr>
        <w:t>pacientov liečených amoxicilínom/kyselinou klavul</w:t>
      </w:r>
      <w:r>
        <w:rPr>
          <w:szCs w:val="22"/>
          <w:lang w:eastAsia="sk-SK"/>
        </w:rPr>
        <w:t>á</w:t>
      </w:r>
      <w:r w:rsidRPr="00681040">
        <w:rPr>
          <w:szCs w:val="22"/>
          <w:lang w:eastAsia="sk-SK"/>
        </w:rPr>
        <w:t>novou interpretovať opatrne a</w:t>
      </w:r>
      <w:r>
        <w:rPr>
          <w:szCs w:val="22"/>
          <w:lang w:eastAsia="sk-SK"/>
        </w:rPr>
        <w:t> </w:t>
      </w:r>
      <w:r w:rsidRPr="00681040">
        <w:rPr>
          <w:szCs w:val="22"/>
          <w:lang w:eastAsia="sk-SK"/>
        </w:rPr>
        <w:t>potvrdiť inými diagnostickými metódami.</w:t>
      </w:r>
    </w:p>
    <w:p w:rsidR="00D80E0D" w:rsidRPr="00681040" w:rsidRDefault="00D80E0D" w:rsidP="00C50E86">
      <w:pPr>
        <w:pStyle w:val="Styl2"/>
      </w:pPr>
      <w:r w:rsidRPr="00681040">
        <w:t>Liekové a</w:t>
      </w:r>
      <w:r>
        <w:t> </w:t>
      </w:r>
      <w:r w:rsidRPr="00681040">
        <w:t>iné interakcie</w:t>
      </w:r>
    </w:p>
    <w:p w:rsidR="00D80E0D" w:rsidRPr="00681040" w:rsidRDefault="00D80E0D" w:rsidP="00AE5E07">
      <w:pPr>
        <w:pStyle w:val="Styl3"/>
      </w:pPr>
      <w:r w:rsidRPr="00681040">
        <w:t>Perorálne antikoagulanciá</w:t>
      </w:r>
    </w:p>
    <w:p w:rsidR="00D80E0D" w:rsidRPr="00681040" w:rsidRDefault="00D80E0D" w:rsidP="007478A3">
      <w:pPr>
        <w:pStyle w:val="Normlndobloku"/>
        <w:rPr>
          <w:szCs w:val="22"/>
          <w:lang w:eastAsia="sk-SK"/>
        </w:rPr>
      </w:pPr>
      <w:r w:rsidRPr="00681040">
        <w:t>Perorálne antikoagulanciá a</w:t>
      </w:r>
      <w:r>
        <w:t> </w:t>
      </w:r>
      <w:r w:rsidRPr="00681040">
        <w:t>penicilínové antibiotiká sa v</w:t>
      </w:r>
      <w:r>
        <w:t> </w:t>
      </w:r>
      <w:r w:rsidRPr="00681040">
        <w:t>praxi používajú v</w:t>
      </w:r>
      <w:r>
        <w:t> </w:t>
      </w:r>
      <w:r w:rsidRPr="00681040">
        <w:t>značnej miere, pričom sa medzi nimi nehlásila interakcia. V</w:t>
      </w:r>
      <w:r>
        <w:t> </w:t>
      </w:r>
      <w:r w:rsidRPr="00681040">
        <w:t>literatúre sa však uvádzajú prípady zvýšeného medzinárodného normalizovaného pomeru u</w:t>
      </w:r>
      <w:r>
        <w:t> </w:t>
      </w:r>
      <w:r w:rsidRPr="00681040">
        <w:t>pacientov s</w:t>
      </w:r>
      <w:r>
        <w:t> </w:t>
      </w:r>
      <w:r w:rsidRPr="00681040">
        <w:t xml:space="preserve">udržiavacou liečbou acenokumarolom alebo warfarínom, </w:t>
      </w:r>
      <w:r w:rsidRPr="00681040">
        <w:rPr>
          <w:szCs w:val="22"/>
          <w:lang w:eastAsia="sk-SK"/>
        </w:rPr>
        <w:t xml:space="preserve">ktorým sa nasadila liečba amoxicilínom. Ak je súbežné podávanie nevyhnutné, po pridaní alebo vysadení amoxicilínu sa má starostlivo sledovať protrombínový čas alebo medzinárodný normalizovaný pomer. Navyše môže byť nutná úprava dávky perorálnych antikoagulancií (pozri časť </w:t>
      </w:r>
      <w:smartTag w:uri="urn:schemas-microsoft-com:office:smarttags" w:element="metricconverter">
        <w:smartTagPr>
          <w:attr w:name="ProductID" w:val="4.4 a"/>
        </w:smartTagPr>
        <w:r w:rsidRPr="00681040">
          <w:rPr>
            <w:szCs w:val="22"/>
            <w:lang w:eastAsia="sk-SK"/>
          </w:rPr>
          <w:t>4.4 a</w:t>
        </w:r>
        <w:r>
          <w:rPr>
            <w:szCs w:val="22"/>
            <w:lang w:eastAsia="sk-SK"/>
          </w:rPr>
          <w:t> </w:t>
        </w:r>
      </w:smartTag>
      <w:r w:rsidRPr="00681040">
        <w:rPr>
          <w:szCs w:val="22"/>
          <w:lang w:eastAsia="sk-SK"/>
        </w:rPr>
        <w:t>4.8).</w:t>
      </w:r>
    </w:p>
    <w:p w:rsidR="00D80E0D" w:rsidRPr="00681040" w:rsidRDefault="00D80E0D" w:rsidP="00AE5E07">
      <w:pPr>
        <w:pStyle w:val="Styl3"/>
      </w:pPr>
      <w:r w:rsidRPr="00681040">
        <w:t>Metotrexát</w:t>
      </w:r>
    </w:p>
    <w:p w:rsidR="00D80E0D" w:rsidRPr="00681040" w:rsidRDefault="00D80E0D" w:rsidP="007478A3">
      <w:pPr>
        <w:pStyle w:val="Normlndobloku"/>
      </w:pPr>
      <w:r w:rsidRPr="00681040">
        <w:t>Penicilíny môžu znížiť vylučovanie metotrexátu, a</w:t>
      </w:r>
      <w:r>
        <w:t> </w:t>
      </w:r>
      <w:r w:rsidRPr="00681040">
        <w:t>tým vyvolať potenciálne zvýšenie jeho toxicity.</w:t>
      </w:r>
    </w:p>
    <w:p w:rsidR="00D80E0D" w:rsidRPr="00681040" w:rsidRDefault="00D80E0D" w:rsidP="00AE5E07">
      <w:pPr>
        <w:pStyle w:val="Styl3"/>
      </w:pPr>
      <w:r w:rsidRPr="00681040">
        <w:t>Probenecid</w:t>
      </w:r>
    </w:p>
    <w:p w:rsidR="00D80E0D" w:rsidRPr="00681040" w:rsidRDefault="00D80E0D" w:rsidP="007478A3">
      <w:pPr>
        <w:pStyle w:val="Normlndobloku"/>
      </w:pPr>
      <w:r w:rsidRPr="00681040">
        <w:t>Súbežné použitie probenecidu sa neodporúča. Probenecid znižuje renálnu tubulárnu sekréciu amoxicilínu. Súbežné použitie probenecidu môže viesť k zvýšeným a</w:t>
      </w:r>
      <w:r>
        <w:t> </w:t>
      </w:r>
      <w:r w:rsidRPr="00681040">
        <w:t xml:space="preserve">dlhodobejším krvným hladinám </w:t>
      </w:r>
      <w:r w:rsidRPr="00681040">
        <w:rPr>
          <w:szCs w:val="22"/>
          <w:lang w:eastAsia="sk-SK"/>
        </w:rPr>
        <w:t>amoxicilínu, nie však kyseliny klavul</w:t>
      </w:r>
      <w:r>
        <w:rPr>
          <w:szCs w:val="22"/>
          <w:lang w:eastAsia="sk-SK"/>
        </w:rPr>
        <w:t>á</w:t>
      </w:r>
      <w:r w:rsidRPr="00681040">
        <w:rPr>
          <w:szCs w:val="22"/>
          <w:lang w:eastAsia="sk-SK"/>
        </w:rPr>
        <w:t>novej.</w:t>
      </w:r>
    </w:p>
    <w:p w:rsidR="00D80E0D" w:rsidRPr="00681040" w:rsidRDefault="00D80E0D" w:rsidP="00C50E86">
      <w:pPr>
        <w:pStyle w:val="Styl2"/>
      </w:pPr>
      <w:r>
        <w:t>Fertilita, g</w:t>
      </w:r>
      <w:r w:rsidRPr="00681040">
        <w:t>ravidita a</w:t>
      </w:r>
      <w:r>
        <w:t> </w:t>
      </w:r>
      <w:r w:rsidRPr="00681040">
        <w:t>laktácia</w:t>
      </w:r>
    </w:p>
    <w:p w:rsidR="00D80E0D" w:rsidRPr="00681040" w:rsidRDefault="00D80E0D" w:rsidP="00AE5E07">
      <w:pPr>
        <w:pStyle w:val="Styl3"/>
      </w:pPr>
      <w:r w:rsidRPr="00681040">
        <w:t>Gravidita</w:t>
      </w:r>
    </w:p>
    <w:p w:rsidR="00D80E0D" w:rsidRPr="00681040" w:rsidRDefault="00D80E0D" w:rsidP="007478A3">
      <w:pPr>
        <w:pStyle w:val="Normlndobloku"/>
        <w:rPr>
          <w:szCs w:val="22"/>
          <w:lang w:eastAsia="sk-SK"/>
        </w:rPr>
      </w:pPr>
      <w:r w:rsidRPr="00681040">
        <w:t xml:space="preserve">Štúdie na zvieratách nepreukázali priame alebo nepriame škodlivé účinky na graviditu, embryonálny/fetálny vývoj, pôrod alebo postnatálny vývoj (pozri časť 5.3). Obmedzené údaje </w:t>
      </w:r>
      <w:r w:rsidRPr="00681040">
        <w:rPr>
          <w:szCs w:val="22"/>
          <w:lang w:eastAsia="sk-SK"/>
        </w:rPr>
        <w:t>o</w:t>
      </w:r>
      <w:r>
        <w:rPr>
          <w:szCs w:val="22"/>
          <w:lang w:eastAsia="sk-SK"/>
        </w:rPr>
        <w:t> </w:t>
      </w:r>
      <w:r w:rsidRPr="00681040">
        <w:rPr>
          <w:szCs w:val="22"/>
          <w:lang w:eastAsia="sk-SK"/>
        </w:rPr>
        <w:t>použití amoxicilínu/kyseliny klavul</w:t>
      </w:r>
      <w:r>
        <w:rPr>
          <w:szCs w:val="22"/>
          <w:lang w:eastAsia="sk-SK"/>
        </w:rPr>
        <w:t>á</w:t>
      </w:r>
      <w:r w:rsidRPr="00681040">
        <w:rPr>
          <w:szCs w:val="22"/>
          <w:lang w:eastAsia="sk-SK"/>
        </w:rPr>
        <w:t>novej u</w:t>
      </w:r>
      <w:r>
        <w:rPr>
          <w:szCs w:val="22"/>
          <w:lang w:eastAsia="sk-SK"/>
        </w:rPr>
        <w:t> </w:t>
      </w:r>
      <w:r w:rsidRPr="00681040">
        <w:rPr>
          <w:szCs w:val="22"/>
          <w:lang w:eastAsia="sk-SK"/>
        </w:rPr>
        <w:t>gravidných žien nepreukázali zvýšené riziko vrodených malformácií. V</w:t>
      </w:r>
      <w:r>
        <w:rPr>
          <w:szCs w:val="22"/>
          <w:lang w:eastAsia="sk-SK"/>
        </w:rPr>
        <w:t> </w:t>
      </w:r>
      <w:r w:rsidRPr="00681040">
        <w:rPr>
          <w:szCs w:val="22"/>
          <w:lang w:eastAsia="sk-SK"/>
        </w:rPr>
        <w:t>jednej štúdii u</w:t>
      </w:r>
      <w:r>
        <w:rPr>
          <w:szCs w:val="22"/>
          <w:lang w:eastAsia="sk-SK"/>
        </w:rPr>
        <w:t> </w:t>
      </w:r>
      <w:r w:rsidRPr="00681040">
        <w:rPr>
          <w:szCs w:val="22"/>
          <w:lang w:eastAsia="sk-SK"/>
        </w:rPr>
        <w:t>žien s</w:t>
      </w:r>
      <w:r>
        <w:rPr>
          <w:szCs w:val="22"/>
          <w:lang w:eastAsia="sk-SK"/>
        </w:rPr>
        <w:t> </w:t>
      </w:r>
      <w:r w:rsidRPr="00681040">
        <w:rPr>
          <w:szCs w:val="22"/>
          <w:lang w:eastAsia="sk-SK"/>
        </w:rPr>
        <w:t>predčasnou ruptúrou plodových obalov sa zistilo, že profylaktická liečba amoxicilínom/kyselinou klavul</w:t>
      </w:r>
      <w:r>
        <w:rPr>
          <w:szCs w:val="22"/>
          <w:lang w:eastAsia="sk-SK"/>
        </w:rPr>
        <w:t>á</w:t>
      </w:r>
      <w:r w:rsidRPr="00681040">
        <w:rPr>
          <w:szCs w:val="22"/>
          <w:lang w:eastAsia="sk-SK"/>
        </w:rPr>
        <w:t>novou môže súvisieť so zvýšeným rizikom nekrotizujúcej enterokolitídy u</w:t>
      </w:r>
      <w:r>
        <w:rPr>
          <w:szCs w:val="22"/>
          <w:lang w:eastAsia="sk-SK"/>
        </w:rPr>
        <w:t> </w:t>
      </w:r>
      <w:r w:rsidRPr="00681040">
        <w:rPr>
          <w:szCs w:val="22"/>
          <w:lang w:eastAsia="sk-SK"/>
        </w:rPr>
        <w:t>novorodencov. Použitiu počas gravidity sa má vyhnúť, pokiaľ to lekár nepovažuje za nevyhnutné.</w:t>
      </w:r>
    </w:p>
    <w:p w:rsidR="00D80E0D" w:rsidRPr="00681040" w:rsidRDefault="00D80E0D" w:rsidP="00AE5E07">
      <w:pPr>
        <w:pStyle w:val="Styl3"/>
      </w:pPr>
      <w:r>
        <w:t>Dojčenie</w:t>
      </w:r>
    </w:p>
    <w:p w:rsidR="00D80E0D" w:rsidRPr="00681040" w:rsidRDefault="00D80E0D" w:rsidP="007478A3">
      <w:pPr>
        <w:pStyle w:val="Normlndobloku"/>
      </w:pPr>
      <w:r w:rsidRPr="00681040">
        <w:t>Obe látky sa vylučujú do materského mlieka (o</w:t>
      </w:r>
      <w:r>
        <w:t> </w:t>
      </w:r>
      <w:r w:rsidRPr="00681040">
        <w:t>účinkoch kyseliny klavul</w:t>
      </w:r>
      <w:r>
        <w:t>á</w:t>
      </w:r>
      <w:r w:rsidRPr="00681040">
        <w:t>novej na dojčené dieťa sa nič nevie). V</w:t>
      </w:r>
      <w:r>
        <w:t> </w:t>
      </w:r>
      <w:r w:rsidRPr="00681040">
        <w:t>dôsledku toho sa u</w:t>
      </w:r>
      <w:r>
        <w:t> </w:t>
      </w:r>
      <w:r w:rsidRPr="00681040">
        <w:t>dojčeného dieťaťa môže vyskytnúť hnačka a</w:t>
      </w:r>
      <w:r>
        <w:t> </w:t>
      </w:r>
      <w:r w:rsidRPr="00681040">
        <w:t xml:space="preserve">hubová infekcia slizníc, </w:t>
      </w:r>
      <w:r w:rsidRPr="00681040">
        <w:rPr>
          <w:szCs w:val="22"/>
          <w:lang w:eastAsia="sk-SK"/>
        </w:rPr>
        <w:t>a</w:t>
      </w:r>
      <w:r>
        <w:rPr>
          <w:szCs w:val="22"/>
          <w:lang w:eastAsia="sk-SK"/>
        </w:rPr>
        <w:t> </w:t>
      </w:r>
      <w:r w:rsidRPr="00681040">
        <w:rPr>
          <w:szCs w:val="22"/>
          <w:lang w:eastAsia="sk-SK"/>
        </w:rPr>
        <w:t>preto sa dojčenie možno bude musieť prerušiť. Je potrebné vziať do úvahy možnosť senzibilizácie. Amoxicilín/kyselina klavul</w:t>
      </w:r>
      <w:r>
        <w:rPr>
          <w:szCs w:val="22"/>
          <w:lang w:eastAsia="sk-SK"/>
        </w:rPr>
        <w:t>á</w:t>
      </w:r>
      <w:r w:rsidRPr="00681040">
        <w:rPr>
          <w:szCs w:val="22"/>
          <w:lang w:eastAsia="sk-SK"/>
        </w:rPr>
        <w:t>nová sa majú používať počas dojčenia až po zhodnotení prínosu/rizika ošetrujúcim lek</w:t>
      </w:r>
      <w:r w:rsidRPr="00681040">
        <w:rPr>
          <w:lang w:eastAsia="cs-CZ"/>
        </w:rPr>
        <w:t>árom.</w:t>
      </w:r>
    </w:p>
    <w:p w:rsidR="00D80E0D" w:rsidRPr="00681040" w:rsidRDefault="00D80E0D" w:rsidP="00C50E86">
      <w:pPr>
        <w:pStyle w:val="Styl2"/>
      </w:pPr>
      <w:r w:rsidRPr="00681040">
        <w:t>Ovplyvnenie schopnosti viesť vozidlá a</w:t>
      </w:r>
      <w:r>
        <w:t> </w:t>
      </w:r>
      <w:r w:rsidRPr="00681040">
        <w:t>obsluhovať stroje</w:t>
      </w:r>
    </w:p>
    <w:p w:rsidR="00D80E0D" w:rsidRPr="00681040" w:rsidRDefault="00D80E0D" w:rsidP="007478A3">
      <w:pPr>
        <w:pStyle w:val="Normlndobloku"/>
      </w:pPr>
      <w:r w:rsidRPr="00681040">
        <w:t>Neuskutočnili sa žiadne štúdie o</w:t>
      </w:r>
      <w:r>
        <w:t> </w:t>
      </w:r>
      <w:r w:rsidRPr="00681040">
        <w:t>účinkoch na schopnosť viesť vozidlá a</w:t>
      </w:r>
      <w:r>
        <w:t> </w:t>
      </w:r>
      <w:r w:rsidRPr="00681040">
        <w:t>obsluhovať stroje. Môžu sa však vyskytnúť nežiaduce účinky (napr.</w:t>
      </w:r>
      <w:r>
        <w:t> </w:t>
      </w:r>
      <w:r w:rsidRPr="00681040">
        <w:t>alergické reakcie, závraty, kŕče), ktoré môžu ovplyvniť schopnosť viesť vozidlá a</w:t>
      </w:r>
      <w:r>
        <w:t> </w:t>
      </w:r>
      <w:r w:rsidRPr="00681040">
        <w:t>obsluhovať stroje (pozri časť 4.8).</w:t>
      </w:r>
    </w:p>
    <w:p w:rsidR="00D80E0D" w:rsidRPr="00681040" w:rsidRDefault="00D80E0D" w:rsidP="00C50E86">
      <w:pPr>
        <w:pStyle w:val="Styl2"/>
      </w:pPr>
      <w:r w:rsidRPr="00681040">
        <w:t>Nežiaduce účinky</w:t>
      </w:r>
    </w:p>
    <w:p w:rsidR="00D80E0D" w:rsidRPr="00681040" w:rsidRDefault="00D80E0D" w:rsidP="007478A3">
      <w:pPr>
        <w:pStyle w:val="Normlndobloku"/>
      </w:pPr>
      <w:r w:rsidRPr="00681040">
        <w:t>Najčastejšie hlásené nežiaduce reakcie na liek sú hnačka, nauzea a</w:t>
      </w:r>
      <w:r>
        <w:t> </w:t>
      </w:r>
      <w:r w:rsidRPr="00681040">
        <w:t>vracanie.</w:t>
      </w:r>
    </w:p>
    <w:p w:rsidR="00D80E0D" w:rsidRPr="00681040" w:rsidRDefault="00D80E0D" w:rsidP="007478A3">
      <w:pPr>
        <w:pStyle w:val="Normlndobloku"/>
      </w:pPr>
      <w:r w:rsidRPr="00681040">
        <w:t>Nižšie sú uvedené ADR zaznamenané v</w:t>
      </w:r>
      <w:r>
        <w:t> </w:t>
      </w:r>
      <w:r w:rsidRPr="00681040">
        <w:t>klinických štúdiách a</w:t>
      </w:r>
      <w:r>
        <w:t> </w:t>
      </w:r>
      <w:r w:rsidRPr="00681040">
        <w:t>v</w:t>
      </w:r>
      <w:r>
        <w:t> </w:t>
      </w:r>
      <w:r w:rsidRPr="00681040">
        <w:t>rámci pozorovania po uvedení na trh a</w:t>
      </w:r>
      <w:r>
        <w:t> </w:t>
      </w:r>
      <w:r w:rsidRPr="00681040">
        <w:t>sú zoradené podľa tried orgánových systémov podľa MedDRA.</w:t>
      </w:r>
    </w:p>
    <w:p w:rsidR="00D80E0D" w:rsidRPr="00681040" w:rsidRDefault="00D80E0D" w:rsidP="007478A3">
      <w:pPr>
        <w:pStyle w:val="Normlndobloku"/>
      </w:pPr>
      <w:r w:rsidRPr="00681040">
        <w:t>Na klasifikáciu výskytu nežiaducich účinkov sa použili nasledujúce výrazy.</w:t>
      </w:r>
    </w:p>
    <w:p w:rsidR="00D80E0D" w:rsidRPr="00333708" w:rsidRDefault="00D80E0D" w:rsidP="007478A3">
      <w:pPr>
        <w:pStyle w:val="Normlndobloku"/>
      </w:pPr>
      <w:r w:rsidRPr="00333708">
        <w:t>Veľmi časté (</w:t>
      </w:r>
      <w:r>
        <w:t>≥</w:t>
      </w:r>
      <w:r w:rsidRPr="00333708">
        <w:t>1/10)</w:t>
      </w:r>
    </w:p>
    <w:p w:rsidR="00D80E0D" w:rsidRPr="00333708" w:rsidRDefault="00D80E0D" w:rsidP="007478A3">
      <w:pPr>
        <w:pStyle w:val="Normlndobloku"/>
      </w:pPr>
      <w:r w:rsidRPr="00333708">
        <w:lastRenderedPageBreak/>
        <w:t>Časté (</w:t>
      </w:r>
      <w:r>
        <w:t>≥</w:t>
      </w:r>
      <w:r w:rsidRPr="00333708">
        <w:t>1/100 až &lt; 1/10)</w:t>
      </w:r>
    </w:p>
    <w:p w:rsidR="00D80E0D" w:rsidRPr="00333708" w:rsidRDefault="00D80E0D" w:rsidP="007478A3">
      <w:pPr>
        <w:pStyle w:val="Normlndobloku"/>
      </w:pPr>
      <w:r w:rsidRPr="00333708">
        <w:t>Menej časté (</w:t>
      </w:r>
      <w:r>
        <w:t>≥</w:t>
      </w:r>
      <w:r w:rsidRPr="00333708">
        <w:t>1/1 000 až &lt; 1/100)</w:t>
      </w:r>
    </w:p>
    <w:p w:rsidR="00D80E0D" w:rsidRDefault="00D80E0D" w:rsidP="007478A3">
      <w:pPr>
        <w:pStyle w:val="Normlndobloku"/>
      </w:pPr>
      <w:r w:rsidRPr="00333708">
        <w:t>Zriedkavé (</w:t>
      </w:r>
      <w:r>
        <w:t>≥</w:t>
      </w:r>
      <w:r w:rsidRPr="00333708">
        <w:t>1/10</w:t>
      </w:r>
      <w:r>
        <w:t> </w:t>
      </w:r>
      <w:r w:rsidRPr="00333708">
        <w:t>000 až &lt; 1/1</w:t>
      </w:r>
      <w:r>
        <w:t> </w:t>
      </w:r>
      <w:r w:rsidRPr="00333708">
        <w:t>000)</w:t>
      </w:r>
    </w:p>
    <w:p w:rsidR="00D80E0D" w:rsidRPr="00681040" w:rsidRDefault="00D80E0D" w:rsidP="007478A3">
      <w:pPr>
        <w:pStyle w:val="Normlndobloku"/>
      </w:pPr>
      <w:r w:rsidRPr="00681040">
        <w:t>Veľmi zriedkavé (&lt;1/10</w:t>
      </w:r>
      <w:r>
        <w:t> </w:t>
      </w:r>
      <w:r w:rsidRPr="00681040">
        <w:t>000)</w:t>
      </w:r>
    </w:p>
    <w:p w:rsidR="00D80E0D" w:rsidRPr="00681040" w:rsidRDefault="00D80E0D" w:rsidP="007478A3">
      <w:pPr>
        <w:pStyle w:val="Normlndobloku"/>
      </w:pPr>
      <w:r w:rsidRPr="00681040">
        <w:t>Neznáme (z</w:t>
      </w:r>
      <w:r>
        <w:t> </w:t>
      </w:r>
      <w:r w:rsidRPr="00681040">
        <w:t>dostupných údajov)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772"/>
        <w:gridCol w:w="4772"/>
      </w:tblGrid>
      <w:tr w:rsidR="00D80E0D" w:rsidRPr="00681040" w:rsidTr="00003B60">
        <w:tc>
          <w:tcPr>
            <w:tcW w:w="9544" w:type="dxa"/>
            <w:gridSpan w:val="2"/>
            <w:shd w:val="clear" w:color="000000" w:fill="auto"/>
          </w:tcPr>
          <w:p w:rsidR="00D80E0D" w:rsidRPr="00D80E0D" w:rsidRDefault="00D80E0D" w:rsidP="00AE5E07">
            <w:pPr>
              <w:pStyle w:val="Styl4"/>
            </w:pPr>
            <w:r w:rsidRPr="00D80E0D">
              <w:t>Infekcie a nákazy</w:t>
            </w:r>
          </w:p>
        </w:tc>
      </w:tr>
      <w:tr w:rsidR="00D80E0D" w:rsidRPr="00681040" w:rsidTr="00003B60">
        <w:tc>
          <w:tcPr>
            <w:tcW w:w="4772" w:type="dxa"/>
            <w:shd w:val="clear" w:color="000000" w:fill="auto"/>
          </w:tcPr>
          <w:p w:rsidR="00D80E0D" w:rsidRPr="00E024DB" w:rsidRDefault="00D80E0D" w:rsidP="007478A3">
            <w:pPr>
              <w:pStyle w:val="Normlndobloku"/>
            </w:pPr>
            <w:r w:rsidRPr="00E024DB">
              <w:t>Slizničná a kožná kandidóza</w:t>
            </w:r>
          </w:p>
        </w:tc>
        <w:tc>
          <w:tcPr>
            <w:tcW w:w="4772" w:type="dxa"/>
            <w:shd w:val="clear" w:color="000000" w:fill="auto"/>
          </w:tcPr>
          <w:p w:rsidR="00D80E0D" w:rsidRPr="00E024DB" w:rsidRDefault="00D80E0D" w:rsidP="007478A3">
            <w:pPr>
              <w:pStyle w:val="Normlndobloku"/>
            </w:pPr>
            <w:r w:rsidRPr="00E024DB">
              <w:t>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Pomnoženie necitlivých mikroorganizmov</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t>Poruchy krvi a lymfatického systému</w:t>
            </w:r>
          </w:p>
        </w:tc>
      </w:tr>
      <w:tr w:rsidR="00D80E0D" w:rsidRPr="00681040" w:rsidTr="00003B60">
        <w:tc>
          <w:tcPr>
            <w:tcW w:w="4772" w:type="dxa"/>
            <w:shd w:val="clear" w:color="000000" w:fill="auto"/>
          </w:tcPr>
          <w:p w:rsidR="00D80E0D" w:rsidRPr="00E024DB" w:rsidRDefault="00D80E0D" w:rsidP="007478A3">
            <w:pPr>
              <w:pStyle w:val="Normlndobloku"/>
            </w:pPr>
            <w:r w:rsidRPr="00E024DB">
              <w:t>Reverzibilná leukopénia (vrátane neutropénie)</w:t>
            </w:r>
          </w:p>
        </w:tc>
        <w:tc>
          <w:tcPr>
            <w:tcW w:w="4772" w:type="dxa"/>
            <w:shd w:val="clear" w:color="000000" w:fill="auto"/>
          </w:tcPr>
          <w:p w:rsidR="00D80E0D" w:rsidRPr="00E024DB" w:rsidRDefault="00D80E0D" w:rsidP="007478A3">
            <w:pPr>
              <w:pStyle w:val="Normlndobloku"/>
            </w:pPr>
            <w:r w:rsidRPr="00E024DB">
              <w:t>Zriedkavé</w:t>
            </w:r>
          </w:p>
        </w:tc>
      </w:tr>
      <w:tr w:rsidR="00D80E0D" w:rsidRPr="00681040" w:rsidTr="00003B60">
        <w:tc>
          <w:tcPr>
            <w:tcW w:w="4772" w:type="dxa"/>
            <w:shd w:val="clear" w:color="000000" w:fill="auto"/>
          </w:tcPr>
          <w:p w:rsidR="00D80E0D" w:rsidRPr="00E024DB" w:rsidRDefault="00D80E0D" w:rsidP="007478A3">
            <w:pPr>
              <w:pStyle w:val="Normlndobloku"/>
            </w:pPr>
            <w:r w:rsidRPr="00E024DB">
              <w:t>Trombocytopénia</w:t>
            </w:r>
          </w:p>
        </w:tc>
        <w:tc>
          <w:tcPr>
            <w:tcW w:w="4772" w:type="dxa"/>
            <w:shd w:val="clear" w:color="000000" w:fill="auto"/>
          </w:tcPr>
          <w:p w:rsidR="00D80E0D" w:rsidRPr="00E024DB" w:rsidRDefault="00D80E0D" w:rsidP="007478A3">
            <w:pPr>
              <w:pStyle w:val="Normlndobloku"/>
            </w:pPr>
            <w:r w:rsidRPr="00E024DB">
              <w:t>Zriedkavé</w:t>
            </w:r>
          </w:p>
        </w:tc>
      </w:tr>
      <w:tr w:rsidR="00D80E0D" w:rsidRPr="00681040" w:rsidTr="00003B60">
        <w:tc>
          <w:tcPr>
            <w:tcW w:w="4772" w:type="dxa"/>
            <w:shd w:val="clear" w:color="000000" w:fill="auto"/>
          </w:tcPr>
          <w:p w:rsidR="00D80E0D" w:rsidRPr="00E024DB" w:rsidRDefault="00D80E0D" w:rsidP="007478A3">
            <w:pPr>
              <w:pStyle w:val="Normlndobloku"/>
            </w:pPr>
            <w:r w:rsidRPr="00E024DB">
              <w:t>Reverzibilná agranulocytóza</w:t>
            </w:r>
          </w:p>
        </w:tc>
        <w:tc>
          <w:tcPr>
            <w:tcW w:w="4772" w:type="dxa"/>
            <w:shd w:val="clear" w:color="000000" w:fill="auto"/>
          </w:tcPr>
          <w:p w:rsidR="00D80E0D" w:rsidRPr="00E024DB" w:rsidRDefault="00D80E0D" w:rsidP="007478A3">
            <w:pPr>
              <w:pStyle w:val="Normlndobloku"/>
            </w:pPr>
            <w:r w:rsidRPr="00E024DB">
              <w:t xml:space="preserve">Neznáme </w:t>
            </w:r>
          </w:p>
        </w:tc>
      </w:tr>
      <w:tr w:rsidR="00D80E0D" w:rsidRPr="00681040" w:rsidTr="00003B60">
        <w:tc>
          <w:tcPr>
            <w:tcW w:w="4772" w:type="dxa"/>
            <w:shd w:val="clear" w:color="000000" w:fill="auto"/>
          </w:tcPr>
          <w:p w:rsidR="00D80E0D" w:rsidRPr="00E024DB" w:rsidRDefault="00D80E0D" w:rsidP="007478A3">
            <w:pPr>
              <w:pStyle w:val="Normlndobloku"/>
            </w:pPr>
            <w:r w:rsidRPr="00E024DB">
              <w:t>Hemolytická anémia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Predĺženie času krvácania a protrombínového času</w:t>
            </w:r>
            <w:r w:rsidRPr="00E024DB">
              <w:rPr>
                <w:vertAlign w:val="superscript"/>
              </w:rPr>
              <w:t>1</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t>Poruchy imunitného systému</w:t>
            </w:r>
            <w:r w:rsidRPr="00D80E0D">
              <w:rPr>
                <w:szCs w:val="14"/>
                <w:vertAlign w:val="superscript"/>
              </w:rPr>
              <w:t>10</w:t>
            </w:r>
          </w:p>
        </w:tc>
      </w:tr>
      <w:tr w:rsidR="00D80E0D" w:rsidRPr="00681040" w:rsidTr="00003B60">
        <w:tc>
          <w:tcPr>
            <w:tcW w:w="4772" w:type="dxa"/>
            <w:shd w:val="clear" w:color="000000" w:fill="auto"/>
          </w:tcPr>
          <w:p w:rsidR="00D80E0D" w:rsidRPr="00E024DB" w:rsidRDefault="00D80E0D" w:rsidP="007478A3">
            <w:pPr>
              <w:pStyle w:val="Normlndobloku"/>
            </w:pPr>
            <w:r w:rsidRPr="00E024DB">
              <w:t>Angioneurotický edém</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Anafylaxia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Syndróm podobný sérovej chorobe</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Alergická vaskulitída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t>Poruchy nervového systému</w:t>
            </w:r>
          </w:p>
        </w:tc>
      </w:tr>
      <w:tr w:rsidR="00D80E0D" w:rsidRPr="00681040" w:rsidTr="00003B60">
        <w:tc>
          <w:tcPr>
            <w:tcW w:w="4772" w:type="dxa"/>
            <w:shd w:val="clear" w:color="000000" w:fill="auto"/>
          </w:tcPr>
          <w:p w:rsidR="00D80E0D" w:rsidRPr="00E024DB" w:rsidRDefault="00D80E0D" w:rsidP="007478A3">
            <w:pPr>
              <w:pStyle w:val="Normlndobloku"/>
            </w:pPr>
            <w:r w:rsidRPr="00E024DB">
              <w:t>Závraty</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Bolesť hlavy</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Reverzibilná hyperaktivita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Kŕče</w:t>
            </w:r>
            <w:r w:rsidRPr="00E024DB">
              <w:rPr>
                <w:vertAlign w:val="superscript"/>
              </w:rPr>
              <w:t>2</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t>Poruchy gastrointestinálneho traktu</w:t>
            </w:r>
          </w:p>
        </w:tc>
      </w:tr>
      <w:tr w:rsidR="00D80E0D" w:rsidRPr="00681040" w:rsidTr="00003B60">
        <w:trPr>
          <w:trHeight w:val="299"/>
        </w:trPr>
        <w:tc>
          <w:tcPr>
            <w:tcW w:w="4772" w:type="dxa"/>
            <w:shd w:val="clear" w:color="000000" w:fill="auto"/>
          </w:tcPr>
          <w:p w:rsidR="00D80E0D" w:rsidRPr="00E024DB" w:rsidRDefault="00D80E0D" w:rsidP="007478A3">
            <w:pPr>
              <w:pStyle w:val="Normlndobloku"/>
            </w:pPr>
            <w:r w:rsidRPr="00E024DB">
              <w:t>Hnačka</w:t>
            </w:r>
          </w:p>
        </w:tc>
        <w:tc>
          <w:tcPr>
            <w:tcW w:w="4772" w:type="dxa"/>
            <w:shd w:val="clear" w:color="000000" w:fill="auto"/>
          </w:tcPr>
          <w:p w:rsidR="00D80E0D" w:rsidRPr="00E024DB" w:rsidRDefault="00D80E0D" w:rsidP="007478A3">
            <w:pPr>
              <w:pStyle w:val="Normlndobloku"/>
            </w:pPr>
            <w:r w:rsidRPr="00E024DB">
              <w:t>Veľmi časté</w:t>
            </w:r>
          </w:p>
        </w:tc>
      </w:tr>
      <w:tr w:rsidR="00D80E0D" w:rsidRPr="00681040" w:rsidTr="00003B60">
        <w:trPr>
          <w:trHeight w:val="395"/>
        </w:trPr>
        <w:tc>
          <w:tcPr>
            <w:tcW w:w="4772" w:type="dxa"/>
            <w:shd w:val="clear" w:color="000000" w:fill="auto"/>
          </w:tcPr>
          <w:p w:rsidR="00D80E0D" w:rsidRPr="00E024DB" w:rsidRDefault="00D80E0D" w:rsidP="007478A3">
            <w:pPr>
              <w:pStyle w:val="Normlndobloku"/>
            </w:pPr>
            <w:r w:rsidRPr="00E024DB">
              <w:t>Nauzea</w:t>
            </w:r>
            <w:r w:rsidRPr="00E024DB">
              <w:rPr>
                <w:vertAlign w:val="superscript"/>
              </w:rPr>
              <w:t>3</w:t>
            </w:r>
          </w:p>
        </w:tc>
        <w:tc>
          <w:tcPr>
            <w:tcW w:w="4772" w:type="dxa"/>
            <w:shd w:val="clear" w:color="000000" w:fill="auto"/>
          </w:tcPr>
          <w:p w:rsidR="00D80E0D" w:rsidRPr="00E024DB" w:rsidRDefault="00D80E0D" w:rsidP="007478A3">
            <w:pPr>
              <w:pStyle w:val="Normlndobloku"/>
            </w:pPr>
            <w:r w:rsidRPr="00E024DB">
              <w:t>Časté</w:t>
            </w:r>
          </w:p>
        </w:tc>
      </w:tr>
      <w:tr w:rsidR="00D80E0D" w:rsidRPr="00681040" w:rsidTr="00003B60">
        <w:trPr>
          <w:trHeight w:val="336"/>
        </w:trPr>
        <w:tc>
          <w:tcPr>
            <w:tcW w:w="4772" w:type="dxa"/>
            <w:shd w:val="clear" w:color="000000" w:fill="auto"/>
          </w:tcPr>
          <w:p w:rsidR="00D80E0D" w:rsidRPr="00E024DB" w:rsidRDefault="00D80E0D" w:rsidP="007478A3">
            <w:pPr>
              <w:pStyle w:val="Normlndobloku"/>
            </w:pPr>
            <w:r w:rsidRPr="00E024DB">
              <w:t>Vracanie</w:t>
            </w:r>
          </w:p>
        </w:tc>
        <w:tc>
          <w:tcPr>
            <w:tcW w:w="4772" w:type="dxa"/>
            <w:shd w:val="clear" w:color="000000" w:fill="auto"/>
          </w:tcPr>
          <w:p w:rsidR="00D80E0D" w:rsidRPr="00E024DB" w:rsidRDefault="00D80E0D" w:rsidP="007478A3">
            <w:pPr>
              <w:pStyle w:val="Normlndobloku"/>
            </w:pPr>
            <w:r w:rsidRPr="00E024DB">
              <w:t>Časté</w:t>
            </w:r>
          </w:p>
        </w:tc>
      </w:tr>
      <w:tr w:rsidR="00D80E0D" w:rsidRPr="00681040" w:rsidTr="00003B60">
        <w:trPr>
          <w:trHeight w:val="431"/>
        </w:trPr>
        <w:tc>
          <w:tcPr>
            <w:tcW w:w="4772" w:type="dxa"/>
            <w:shd w:val="clear" w:color="000000" w:fill="auto"/>
          </w:tcPr>
          <w:p w:rsidR="00D80E0D" w:rsidRPr="00E024DB" w:rsidRDefault="00D80E0D" w:rsidP="007478A3">
            <w:pPr>
              <w:pStyle w:val="Normlndobloku"/>
            </w:pPr>
            <w:r w:rsidRPr="00E024DB">
              <w:t>Indigescia</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Kolitída súvisiaca s podávaním antibiotík</w:t>
            </w:r>
            <w:r w:rsidRPr="00E024DB">
              <w:rPr>
                <w:vertAlign w:val="superscript"/>
              </w:rPr>
              <w:t>4</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Čierny chlpatý jazyk</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lastRenderedPageBreak/>
              <w:t>Poruchy pečene a žlčových ciest</w:t>
            </w:r>
          </w:p>
        </w:tc>
      </w:tr>
      <w:tr w:rsidR="00D80E0D" w:rsidRPr="00681040" w:rsidTr="00003B60">
        <w:tc>
          <w:tcPr>
            <w:tcW w:w="4772" w:type="dxa"/>
            <w:shd w:val="clear" w:color="000000" w:fill="auto"/>
          </w:tcPr>
          <w:p w:rsidR="00D80E0D" w:rsidRPr="00E024DB" w:rsidRDefault="00D80E0D" w:rsidP="007478A3">
            <w:pPr>
              <w:pStyle w:val="Normlndobloku"/>
            </w:pPr>
            <w:r w:rsidRPr="00E024DB">
              <w:t>Vzostup hodnôt AST a/alebo ALT</w:t>
            </w:r>
            <w:r w:rsidRPr="00E024DB">
              <w:rPr>
                <w:vertAlign w:val="superscript"/>
              </w:rPr>
              <w:t>5</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Hepatitída</w:t>
            </w:r>
            <w:r w:rsidRPr="00E024DB">
              <w:rPr>
                <w:vertAlign w:val="superscript"/>
              </w:rPr>
              <w:t>6</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Cholestatická žltačka</w:t>
            </w:r>
            <w:r w:rsidRPr="00E024DB">
              <w:rPr>
                <w:vertAlign w:val="superscript"/>
              </w:rPr>
              <w:t>6</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t>Poruchy kože a podkožného tkaniva</w:t>
            </w:r>
            <w:r w:rsidRPr="00D80E0D">
              <w:rPr>
                <w:szCs w:val="14"/>
                <w:vertAlign w:val="superscript"/>
              </w:rPr>
              <w:t>7</w:t>
            </w:r>
          </w:p>
        </w:tc>
      </w:tr>
      <w:tr w:rsidR="00D80E0D" w:rsidRPr="00681040" w:rsidTr="00003B60">
        <w:tc>
          <w:tcPr>
            <w:tcW w:w="4772" w:type="dxa"/>
            <w:shd w:val="clear" w:color="000000" w:fill="auto"/>
          </w:tcPr>
          <w:p w:rsidR="00D80E0D" w:rsidRPr="00E024DB" w:rsidRDefault="00D80E0D" w:rsidP="007478A3">
            <w:pPr>
              <w:pStyle w:val="Normlndobloku"/>
            </w:pPr>
            <w:r w:rsidRPr="00E024DB">
              <w:t>Kožná vyrážka</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Pruritus</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Urtikária</w:t>
            </w:r>
          </w:p>
        </w:tc>
        <w:tc>
          <w:tcPr>
            <w:tcW w:w="4772" w:type="dxa"/>
            <w:shd w:val="clear" w:color="000000" w:fill="auto"/>
          </w:tcPr>
          <w:p w:rsidR="00D80E0D" w:rsidRPr="00E024DB" w:rsidRDefault="00D80E0D" w:rsidP="007478A3">
            <w:pPr>
              <w:pStyle w:val="Normlndobloku"/>
            </w:pPr>
            <w:r w:rsidRPr="00E024DB">
              <w:t>Menej časté</w:t>
            </w:r>
          </w:p>
        </w:tc>
      </w:tr>
      <w:tr w:rsidR="00D80E0D" w:rsidRPr="00681040" w:rsidTr="00003B60">
        <w:tc>
          <w:tcPr>
            <w:tcW w:w="4772" w:type="dxa"/>
            <w:shd w:val="clear" w:color="000000" w:fill="auto"/>
          </w:tcPr>
          <w:p w:rsidR="00D80E0D" w:rsidRPr="00E024DB" w:rsidRDefault="00D80E0D" w:rsidP="007478A3">
            <w:pPr>
              <w:pStyle w:val="Normlndobloku"/>
            </w:pPr>
            <w:r w:rsidRPr="00E024DB">
              <w:t>Multiformný erytém</w:t>
            </w:r>
          </w:p>
        </w:tc>
        <w:tc>
          <w:tcPr>
            <w:tcW w:w="4772" w:type="dxa"/>
            <w:shd w:val="clear" w:color="000000" w:fill="auto"/>
          </w:tcPr>
          <w:p w:rsidR="00D80E0D" w:rsidRPr="00E024DB" w:rsidRDefault="00D80E0D" w:rsidP="007478A3">
            <w:pPr>
              <w:pStyle w:val="Normlndobloku"/>
            </w:pPr>
            <w:r w:rsidRPr="00E024DB">
              <w:t>Zriedkavé</w:t>
            </w:r>
          </w:p>
        </w:tc>
      </w:tr>
      <w:tr w:rsidR="00D80E0D" w:rsidRPr="00681040" w:rsidTr="00003B60">
        <w:tc>
          <w:tcPr>
            <w:tcW w:w="4772" w:type="dxa"/>
            <w:shd w:val="clear" w:color="000000" w:fill="auto"/>
          </w:tcPr>
          <w:p w:rsidR="00D80E0D" w:rsidRPr="00E024DB" w:rsidRDefault="00D80E0D" w:rsidP="007478A3">
            <w:pPr>
              <w:pStyle w:val="Normlndobloku"/>
            </w:pPr>
            <w:r w:rsidRPr="00E024DB">
              <w:t>Stevensov-Johnsonov syndróm</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Toxická epidermálna nekrolýza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Bulózna exfoliatívna dermatitída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rPr>
                <w:sz w:val="14"/>
                <w:szCs w:val="14"/>
                <w:vertAlign w:val="superscript"/>
              </w:rPr>
            </w:pPr>
            <w:r w:rsidRPr="00E024DB">
              <w:t>Akútna generalizovaná exant</w:t>
            </w:r>
            <w:r w:rsidR="008707BE">
              <w:t>é</w:t>
            </w:r>
            <w:r w:rsidRPr="00E024DB">
              <w:t>m</w:t>
            </w:r>
            <w:r w:rsidR="008707BE">
              <w:t>ová</w:t>
            </w:r>
            <w:r w:rsidRPr="00E024DB">
              <w:t xml:space="preserve"> pustulóza (AGEP)</w:t>
            </w:r>
            <w:r w:rsidRPr="00E024DB">
              <w:rPr>
                <w:vertAlign w:val="superscript"/>
              </w:rPr>
              <w:t>9</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Lieková reakcia s</w:t>
            </w:r>
            <w:r w:rsidRPr="006151A2">
              <w:t> </w:t>
            </w:r>
            <w:r w:rsidRPr="00E024DB">
              <w:t>eozinofíliou a</w:t>
            </w:r>
            <w:r w:rsidRPr="006151A2">
              <w:t> </w:t>
            </w:r>
            <w:r w:rsidRPr="00E024DB">
              <w:t>systémovými príznakmi (DRESS</w:t>
            </w:r>
            <w:r w:rsidR="004D501A">
              <w:t xml:space="preserve">, </w:t>
            </w:r>
            <w:r w:rsidR="001922EF" w:rsidRPr="001922EF">
              <w:rPr>
                <w:szCs w:val="22"/>
              </w:rPr>
              <w:t>Drug reaction with eosinophilia and systemic symptoms</w:t>
            </w:r>
            <w:r w:rsidRPr="004D501A">
              <w:rPr>
                <w:szCs w:val="22"/>
              </w:rPr>
              <w:t>)</w:t>
            </w:r>
          </w:p>
        </w:tc>
        <w:tc>
          <w:tcPr>
            <w:tcW w:w="4772" w:type="dxa"/>
            <w:shd w:val="clear" w:color="000000" w:fill="auto"/>
          </w:tcPr>
          <w:p w:rsidR="00D80E0D" w:rsidRPr="00E024DB" w:rsidRDefault="00562B3D" w:rsidP="007478A3">
            <w:pPr>
              <w:pStyle w:val="Normlndobloku"/>
            </w:pPr>
            <w:r>
              <w:t>Neznáme</w:t>
            </w:r>
          </w:p>
        </w:tc>
      </w:tr>
      <w:tr w:rsidR="00D80E0D" w:rsidRPr="00681040" w:rsidTr="00003B60">
        <w:tc>
          <w:tcPr>
            <w:tcW w:w="9544" w:type="dxa"/>
            <w:gridSpan w:val="2"/>
            <w:shd w:val="clear" w:color="000000" w:fill="auto"/>
          </w:tcPr>
          <w:p w:rsidR="00D80E0D" w:rsidRPr="00D80E0D" w:rsidRDefault="00D80E0D" w:rsidP="00AE5E07">
            <w:pPr>
              <w:pStyle w:val="Styl4"/>
            </w:pPr>
            <w:r w:rsidRPr="00D80E0D">
              <w:t>Poruchy obličiek a močových ciest</w:t>
            </w:r>
          </w:p>
        </w:tc>
      </w:tr>
      <w:tr w:rsidR="00D80E0D" w:rsidRPr="00681040" w:rsidTr="00003B60">
        <w:tc>
          <w:tcPr>
            <w:tcW w:w="4772" w:type="dxa"/>
            <w:shd w:val="clear" w:color="000000" w:fill="auto"/>
          </w:tcPr>
          <w:p w:rsidR="00D80E0D" w:rsidRPr="00E024DB" w:rsidRDefault="00D80E0D" w:rsidP="007478A3">
            <w:pPr>
              <w:pStyle w:val="Normlndobloku"/>
            </w:pPr>
            <w:r w:rsidRPr="00E024DB">
              <w:t>Intersticiálna nefritída</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4772" w:type="dxa"/>
            <w:shd w:val="clear" w:color="000000" w:fill="auto"/>
          </w:tcPr>
          <w:p w:rsidR="00D80E0D" w:rsidRPr="00E024DB" w:rsidRDefault="00D80E0D" w:rsidP="007478A3">
            <w:pPr>
              <w:pStyle w:val="Normlndobloku"/>
            </w:pPr>
            <w:r w:rsidRPr="00E024DB">
              <w:t>Kryštalúria</w:t>
            </w:r>
            <w:r w:rsidRPr="00E024DB">
              <w:rPr>
                <w:vertAlign w:val="superscript"/>
              </w:rPr>
              <w:t>8</w:t>
            </w:r>
          </w:p>
        </w:tc>
        <w:tc>
          <w:tcPr>
            <w:tcW w:w="4772" w:type="dxa"/>
            <w:shd w:val="clear" w:color="000000" w:fill="auto"/>
          </w:tcPr>
          <w:p w:rsidR="00D80E0D" w:rsidRPr="00E024DB" w:rsidRDefault="00D80E0D" w:rsidP="007478A3">
            <w:pPr>
              <w:pStyle w:val="Normlndobloku"/>
            </w:pPr>
            <w:r w:rsidRPr="00E024DB">
              <w:t>Neznáme</w:t>
            </w:r>
          </w:p>
        </w:tc>
      </w:tr>
      <w:tr w:rsidR="00D80E0D" w:rsidRPr="00681040" w:rsidTr="00003B60">
        <w:tc>
          <w:tcPr>
            <w:tcW w:w="9544" w:type="dxa"/>
            <w:gridSpan w:val="2"/>
            <w:shd w:val="clear" w:color="000000" w:fill="auto"/>
          </w:tcPr>
          <w:p w:rsidR="00D80E0D" w:rsidRPr="00E024DB" w:rsidRDefault="00D80E0D" w:rsidP="007478A3">
            <w:pPr>
              <w:pStyle w:val="Normlndobloku"/>
            </w:pPr>
            <w:r w:rsidRPr="00E024DB">
              <w:rPr>
                <w:vertAlign w:val="superscript"/>
              </w:rPr>
              <w:t xml:space="preserve">1 </w:t>
            </w:r>
            <w:r w:rsidRPr="00E024DB">
              <w:t>Pozri časť 4.4</w:t>
            </w:r>
          </w:p>
          <w:p w:rsidR="00D80E0D" w:rsidRPr="00E024DB" w:rsidRDefault="00D80E0D" w:rsidP="007478A3">
            <w:pPr>
              <w:pStyle w:val="Normlndobloku"/>
            </w:pPr>
            <w:r w:rsidRPr="00E024DB">
              <w:rPr>
                <w:vertAlign w:val="superscript"/>
              </w:rPr>
              <w:t xml:space="preserve">2 </w:t>
            </w:r>
            <w:r w:rsidRPr="00E024DB">
              <w:t>Pozri časť 4.4</w:t>
            </w:r>
          </w:p>
          <w:p w:rsidR="00D80E0D" w:rsidRPr="00E024DB" w:rsidRDefault="00D80E0D" w:rsidP="007478A3">
            <w:pPr>
              <w:pStyle w:val="Normlndobloku"/>
            </w:pPr>
            <w:r w:rsidRPr="00E024DB">
              <w:rPr>
                <w:vertAlign w:val="superscript"/>
              </w:rPr>
              <w:t xml:space="preserve">3 </w:t>
            </w:r>
            <w:r w:rsidRPr="00E024DB">
              <w:t>Nauzea je častejšie spojená s užívaním vyšších perorálnych dávok. Ak sa objavia gastrointestinálne reakcie, môže ich zmierniť užívanie na začiatku jedla.</w:t>
            </w:r>
          </w:p>
          <w:p w:rsidR="00D80E0D" w:rsidRPr="00E024DB" w:rsidRDefault="00D80E0D" w:rsidP="007478A3">
            <w:pPr>
              <w:pStyle w:val="Normlndobloku"/>
            </w:pPr>
            <w:r w:rsidRPr="00E024DB">
              <w:rPr>
                <w:vertAlign w:val="superscript"/>
              </w:rPr>
              <w:t xml:space="preserve">4 </w:t>
            </w:r>
            <w:r w:rsidRPr="00E024DB">
              <w:t>Vrátane pseudomembranóznej kolitídy a hemoragickej kolitídy (pozri časť 4.4)</w:t>
            </w:r>
          </w:p>
          <w:p w:rsidR="00D80E0D" w:rsidRPr="00E024DB" w:rsidRDefault="00D80E0D" w:rsidP="007478A3">
            <w:pPr>
              <w:pStyle w:val="Normlndobloku"/>
            </w:pPr>
            <w:r w:rsidRPr="00E024DB">
              <w:rPr>
                <w:vertAlign w:val="superscript"/>
              </w:rPr>
              <w:t xml:space="preserve">5 </w:t>
            </w:r>
            <w:r w:rsidRPr="00E024DB">
              <w:t>Stredne závažný vzostup hodnôt AST a/alebo ALT sa zaznamenal u pacientov liečených betalaktámovými antibiotikami, ale význam týchto zistení nie je známy.</w:t>
            </w:r>
          </w:p>
          <w:p w:rsidR="00D80E0D" w:rsidRPr="00E024DB" w:rsidRDefault="00D80E0D" w:rsidP="007478A3">
            <w:pPr>
              <w:pStyle w:val="Normlndobloku"/>
            </w:pPr>
            <w:r w:rsidRPr="00E024DB">
              <w:rPr>
                <w:vertAlign w:val="superscript"/>
              </w:rPr>
              <w:t xml:space="preserve">6 </w:t>
            </w:r>
            <w:r w:rsidRPr="00E024DB">
              <w:t>Tieto nežiaduce účinky sa zaznamenali pri užívaní iných penicilínov a cefalosporínov (pozri časť 4.4).</w:t>
            </w:r>
          </w:p>
          <w:p w:rsidR="00D80E0D" w:rsidRPr="00E024DB" w:rsidRDefault="00D80E0D" w:rsidP="007478A3">
            <w:pPr>
              <w:pStyle w:val="Normlndobloku"/>
            </w:pPr>
            <w:r w:rsidRPr="00E024DB">
              <w:rPr>
                <w:vertAlign w:val="superscript"/>
              </w:rPr>
              <w:t xml:space="preserve">7 </w:t>
            </w:r>
            <w:r w:rsidRPr="00E024DB">
              <w:t>Ak sa vyskytne alergická dermatitída, musí sa liečba ukončiť (pozri časť 4.4).</w:t>
            </w:r>
          </w:p>
          <w:p w:rsidR="00D80E0D" w:rsidRPr="00E024DB" w:rsidRDefault="00D80E0D" w:rsidP="007478A3">
            <w:pPr>
              <w:pStyle w:val="Normlndobloku"/>
            </w:pPr>
            <w:r w:rsidRPr="00E024DB">
              <w:rPr>
                <w:vertAlign w:val="superscript"/>
              </w:rPr>
              <w:t xml:space="preserve">8 </w:t>
            </w:r>
            <w:r w:rsidRPr="00E024DB">
              <w:t>Pozri časť 4.9</w:t>
            </w:r>
          </w:p>
          <w:p w:rsidR="00D80E0D" w:rsidRPr="00E024DB" w:rsidRDefault="00D80E0D" w:rsidP="007478A3">
            <w:pPr>
              <w:pStyle w:val="Normlndobloku"/>
            </w:pPr>
            <w:r w:rsidRPr="00E024DB">
              <w:rPr>
                <w:vertAlign w:val="superscript"/>
              </w:rPr>
              <w:t xml:space="preserve">9 </w:t>
            </w:r>
            <w:r w:rsidRPr="00E024DB">
              <w:t>Pozri časť 4.4</w:t>
            </w:r>
          </w:p>
          <w:p w:rsidR="00D80E0D" w:rsidRPr="00E024DB" w:rsidRDefault="00D80E0D" w:rsidP="007478A3">
            <w:pPr>
              <w:pStyle w:val="Normlndobloku"/>
              <w:rPr>
                <w:rFonts w:ascii="TimesNewRoman" w:hAnsi="TimesNewRoman"/>
                <w:sz w:val="20"/>
                <w:lang w:eastAsia="sk-SK"/>
              </w:rPr>
            </w:pPr>
            <w:r w:rsidRPr="00E024DB">
              <w:rPr>
                <w:vertAlign w:val="superscript"/>
              </w:rPr>
              <w:t xml:space="preserve">10 </w:t>
            </w:r>
            <w:r w:rsidRPr="00E024DB">
              <w:t xml:space="preserve">Pozri časti </w:t>
            </w:r>
            <w:smartTag w:uri="urn:schemas-microsoft-com:office:smarttags" w:element="metricconverter">
              <w:smartTagPr>
                <w:attr w:name="ProductID" w:val="4.3 a"/>
              </w:smartTagPr>
              <w:r w:rsidRPr="00E024DB">
                <w:t>4.3 a </w:t>
              </w:r>
            </w:smartTag>
            <w:r w:rsidRPr="00E024DB">
              <w:t>4.4</w:t>
            </w:r>
          </w:p>
        </w:tc>
      </w:tr>
    </w:tbl>
    <w:p w:rsidR="00D80E0D" w:rsidRDefault="00D80E0D" w:rsidP="007478A3">
      <w:pPr>
        <w:pStyle w:val="Normlndobloku"/>
      </w:pPr>
    </w:p>
    <w:p w:rsidR="00D80E0D" w:rsidRPr="00674AD7" w:rsidRDefault="00D80E0D" w:rsidP="00AE5E07">
      <w:pPr>
        <w:pStyle w:val="Styl4"/>
      </w:pPr>
      <w:bookmarkStart w:id="1" w:name="_Hlk499714645"/>
      <w:r w:rsidRPr="00674AD7">
        <w:lastRenderedPageBreak/>
        <w:t>Hlásenie podozrení na nežiaduce reakcie</w:t>
      </w:r>
    </w:p>
    <w:p w:rsidR="00D80E0D" w:rsidRPr="0047158E" w:rsidRDefault="00D80E0D" w:rsidP="007478A3">
      <w:pPr>
        <w:pStyle w:val="Normlndobloku"/>
      </w:pPr>
      <w:r w:rsidRPr="00674AD7">
        <w:t>Hlásenie podozrení na nežiaduce reakcie po registrácii lieku je dôležité. Umožňuje priebežné monitorovanie pomeru prínosu a</w:t>
      </w:r>
      <w:r w:rsidRPr="00291EAB">
        <w:t> </w:t>
      </w:r>
      <w:r w:rsidRPr="00674AD7">
        <w:t xml:space="preserve">rizika lieku. Od zdravotníckych pracovníkov sa vyžaduje, aby hlásili akékoľvek podozrenia na nežiaduce reakcie na </w:t>
      </w:r>
      <w:r w:rsidRPr="00674AD7">
        <w:rPr>
          <w:highlight w:val="lightGray"/>
        </w:rPr>
        <w:t>národné centrum hlásenia uvedené v</w:t>
      </w:r>
      <w:r w:rsidRPr="00291EAB">
        <w:rPr>
          <w:highlight w:val="lightGray"/>
        </w:rPr>
        <w:t> </w:t>
      </w:r>
      <w:hyperlink r:id="rId7" w:history="1">
        <w:r w:rsidRPr="00674AD7">
          <w:rPr>
            <w:rStyle w:val="Hypertextovprepojenie"/>
            <w:highlight w:val="lightGray"/>
          </w:rPr>
          <w:t>Prílohe V</w:t>
        </w:r>
      </w:hyperlink>
      <w:r w:rsidRPr="00D80E0D">
        <w:rPr>
          <w:rFonts w:cs="TimesNewRoman"/>
          <w:highlight w:val="lightGray"/>
        </w:rPr>
        <w:t>.</w:t>
      </w:r>
    </w:p>
    <w:bookmarkEnd w:id="1"/>
    <w:p w:rsidR="00D80E0D" w:rsidRPr="00681040" w:rsidRDefault="00D80E0D" w:rsidP="00C50E86">
      <w:pPr>
        <w:pStyle w:val="Styl2"/>
      </w:pPr>
      <w:r w:rsidRPr="00681040">
        <w:t>Predávkovanie</w:t>
      </w:r>
    </w:p>
    <w:p w:rsidR="00D80E0D" w:rsidRPr="00681040" w:rsidRDefault="00D80E0D" w:rsidP="00AE5E07">
      <w:pPr>
        <w:pStyle w:val="Styl3"/>
      </w:pPr>
      <w:r w:rsidRPr="00681040">
        <w:t>Príznaky a</w:t>
      </w:r>
      <w:r>
        <w:t> </w:t>
      </w:r>
      <w:r w:rsidRPr="00681040">
        <w:t>prejavy predávkovania</w:t>
      </w:r>
    </w:p>
    <w:p w:rsidR="00D80E0D" w:rsidRPr="00681040" w:rsidRDefault="00D80E0D" w:rsidP="007478A3">
      <w:pPr>
        <w:pStyle w:val="Normlndobloku"/>
      </w:pPr>
      <w:r w:rsidRPr="00681040">
        <w:t>Môžu sa objaviť gastrointestinálne príznaky a</w:t>
      </w:r>
      <w:r>
        <w:t> </w:t>
      </w:r>
      <w:r w:rsidRPr="00681040">
        <w:t>porucha rovnováhy tekutín a</w:t>
      </w:r>
      <w:r>
        <w:t> </w:t>
      </w:r>
      <w:r w:rsidRPr="00681040">
        <w:t>elektrolytov. Pozorovala sa kryštalúria vyvolaná amoxicilínom, ktorá v niektorých prípadoch viedla k zlyhaniu obličiek (pozri časť 4.4).</w:t>
      </w:r>
    </w:p>
    <w:p w:rsidR="00D80E0D" w:rsidRPr="00681040" w:rsidRDefault="00D80E0D" w:rsidP="007478A3">
      <w:pPr>
        <w:pStyle w:val="Normlndobloku"/>
      </w:pPr>
      <w:r w:rsidRPr="00681040">
        <w:t>U</w:t>
      </w:r>
      <w:r>
        <w:t> </w:t>
      </w:r>
      <w:r w:rsidRPr="00681040">
        <w:t>pacientov s</w:t>
      </w:r>
      <w:r>
        <w:t> </w:t>
      </w:r>
      <w:r w:rsidRPr="00681040">
        <w:t>poruchou funkcie obličiek, alebo u</w:t>
      </w:r>
      <w:r>
        <w:t> </w:t>
      </w:r>
      <w:r w:rsidRPr="00681040">
        <w:t>tých, ktorí sú liečení vysokými dávkami, sa môžu vyskytnúť kŕče.</w:t>
      </w:r>
    </w:p>
    <w:p w:rsidR="00D80E0D" w:rsidRPr="00681040" w:rsidRDefault="00D80E0D" w:rsidP="007478A3">
      <w:pPr>
        <w:pStyle w:val="Normlndobloku"/>
      </w:pPr>
      <w:r w:rsidRPr="00681040">
        <w:t>Hlásilo sa, že amoxicilín sa môže vyzrážať v</w:t>
      </w:r>
      <w:r>
        <w:t> </w:t>
      </w:r>
      <w:r w:rsidRPr="00681040">
        <w:t>močovom katétri, a</w:t>
      </w:r>
      <w:r>
        <w:t> </w:t>
      </w:r>
      <w:r w:rsidRPr="00681040">
        <w:t>to predovšetkým po intravenóznom podaní veľkých dávok. Priechodnosť katétra je potrebné pravidelne kontrolovať (pozri časť 4.4).</w:t>
      </w:r>
    </w:p>
    <w:p w:rsidR="00D80E0D" w:rsidRPr="00681040" w:rsidRDefault="00D80E0D" w:rsidP="00AE5E07">
      <w:pPr>
        <w:pStyle w:val="Styl3"/>
      </w:pPr>
      <w:r w:rsidRPr="00681040">
        <w:t>Liečba intoxikácie</w:t>
      </w:r>
    </w:p>
    <w:p w:rsidR="00D80E0D" w:rsidRPr="00681040" w:rsidRDefault="00D80E0D" w:rsidP="007478A3">
      <w:pPr>
        <w:pStyle w:val="Normlndobloku"/>
      </w:pPr>
      <w:r w:rsidRPr="00681040">
        <w:t>Gastrointestinálne príznaky možno liečiť symptomaticky a</w:t>
      </w:r>
      <w:r>
        <w:t> </w:t>
      </w:r>
      <w:r w:rsidRPr="00681040">
        <w:t>zároveň treba dávať pozor na rovnováhu vody/elektrolytov.</w:t>
      </w:r>
    </w:p>
    <w:p w:rsidR="00D80E0D" w:rsidRPr="00681040" w:rsidRDefault="00D80E0D" w:rsidP="007478A3">
      <w:pPr>
        <w:pStyle w:val="Normlndobloku"/>
      </w:pPr>
      <w:r w:rsidRPr="00681040">
        <w:t>Amoxicilín/kyselinu klavul</w:t>
      </w:r>
      <w:r>
        <w:t>á</w:t>
      </w:r>
      <w:r w:rsidRPr="00681040">
        <w:t>novú možno odstrániť z</w:t>
      </w:r>
      <w:r>
        <w:t> </w:t>
      </w:r>
      <w:r w:rsidRPr="00681040">
        <w:t>krvného obehu hemodialýzou.</w:t>
      </w:r>
    </w:p>
    <w:p w:rsidR="00D80E0D" w:rsidRPr="00681040" w:rsidRDefault="00D80E0D" w:rsidP="000966A7">
      <w:pPr>
        <w:pStyle w:val="Styl1"/>
      </w:pPr>
      <w:r w:rsidRPr="00681040">
        <w:t>FARMAKOLOGICKÉ VLASTNOSTI</w:t>
      </w:r>
    </w:p>
    <w:p w:rsidR="00D80E0D" w:rsidRPr="00681040" w:rsidRDefault="00D80E0D" w:rsidP="00C50E86">
      <w:pPr>
        <w:pStyle w:val="Styl2"/>
      </w:pPr>
      <w:r w:rsidRPr="00681040">
        <w:t>Farmakodynamické vlastnosti</w:t>
      </w:r>
    </w:p>
    <w:p w:rsidR="00D80E0D" w:rsidRPr="00681040" w:rsidRDefault="00D80E0D" w:rsidP="007478A3">
      <w:pPr>
        <w:pStyle w:val="Normlndobloku"/>
      </w:pPr>
      <w:r w:rsidRPr="00681040">
        <w:t>Farmakoterapeutická skupina: Kombinácie penicilínov, vrátane inhibítorov betalaktamáz; ATC kód: J01CR02.</w:t>
      </w:r>
    </w:p>
    <w:p w:rsidR="00D80E0D" w:rsidRPr="00681040" w:rsidRDefault="00D80E0D" w:rsidP="00AE5E07">
      <w:pPr>
        <w:pStyle w:val="Styl3"/>
      </w:pPr>
      <w:r>
        <w:t>Mechanizmus</w:t>
      </w:r>
      <w:r w:rsidRPr="00681040">
        <w:t xml:space="preserve"> účinku</w:t>
      </w:r>
    </w:p>
    <w:p w:rsidR="00D80E0D" w:rsidRPr="00681040" w:rsidRDefault="00D80E0D" w:rsidP="007478A3">
      <w:pPr>
        <w:pStyle w:val="Normlndobloku"/>
        <w:rPr>
          <w:szCs w:val="22"/>
          <w:lang w:eastAsia="sk-SK"/>
        </w:rPr>
      </w:pPr>
      <w:r w:rsidRPr="00681040">
        <w:t xml:space="preserve">Amoxicilín je polosyntetický penicilín (betalaktámové antibiotikum), ktorý inhibuje jeden alebo viaceré enzýmy (často označované ako penicilín viažuce proteíny, PBP) biosyntetickej dráhy bakteriálneho peptidoglykánu, ktorý je integrálnou štrukturálnou zložkou bakteriálnej bunkovej steny. </w:t>
      </w:r>
      <w:r w:rsidRPr="00681040">
        <w:rPr>
          <w:szCs w:val="22"/>
          <w:lang w:eastAsia="sk-SK"/>
        </w:rPr>
        <w:t>Inhibícia syntézy peptidoglykánu vedie k</w:t>
      </w:r>
      <w:r>
        <w:rPr>
          <w:szCs w:val="22"/>
          <w:lang w:eastAsia="sk-SK"/>
        </w:rPr>
        <w:t> </w:t>
      </w:r>
      <w:r w:rsidRPr="00681040">
        <w:rPr>
          <w:szCs w:val="22"/>
          <w:lang w:eastAsia="sk-SK"/>
        </w:rPr>
        <w:t>oslabeniu bunkovej steny, po ktorom zvyčajne dochádza k</w:t>
      </w:r>
      <w:r>
        <w:rPr>
          <w:szCs w:val="22"/>
          <w:lang w:eastAsia="sk-SK"/>
        </w:rPr>
        <w:t> </w:t>
      </w:r>
      <w:r w:rsidRPr="00681040">
        <w:rPr>
          <w:szCs w:val="22"/>
          <w:lang w:eastAsia="sk-SK"/>
        </w:rPr>
        <w:t>lýze a</w:t>
      </w:r>
      <w:r>
        <w:rPr>
          <w:szCs w:val="22"/>
          <w:lang w:eastAsia="sk-SK"/>
        </w:rPr>
        <w:t> </w:t>
      </w:r>
      <w:r w:rsidRPr="00681040">
        <w:rPr>
          <w:szCs w:val="22"/>
          <w:lang w:eastAsia="sk-SK"/>
        </w:rPr>
        <w:t>smrti bunky.</w:t>
      </w:r>
    </w:p>
    <w:p w:rsidR="00D80E0D" w:rsidRDefault="00D80E0D" w:rsidP="007478A3">
      <w:pPr>
        <w:pStyle w:val="Normlndobloku"/>
      </w:pPr>
      <w:r w:rsidRPr="00681040">
        <w:t>Amoxicilín je náchylný na rozklad betalaktamázami produkovanými rezistentnými baktériami, a preto spektrum účinnosti samotného amoxicilínu nezahŕňa mikroorganizmy, ktoré produkujú tieto enzýmy.</w:t>
      </w:r>
    </w:p>
    <w:p w:rsidR="00D80E0D" w:rsidRDefault="00D80E0D" w:rsidP="007478A3">
      <w:pPr>
        <w:pStyle w:val="Normlndobloku"/>
      </w:pPr>
      <w:r w:rsidRPr="00681040">
        <w:t>Kyselina klavul</w:t>
      </w:r>
      <w:r>
        <w:t>á</w:t>
      </w:r>
      <w:r w:rsidRPr="00681040">
        <w:t>nová je betalaktám, ktorý je štrukturálne príbuzný penicilínom. Inaktivuje niektoré betalaktamázové enzýmy, a</w:t>
      </w:r>
      <w:r>
        <w:t> </w:t>
      </w:r>
      <w:r w:rsidRPr="00681040">
        <w:t>tým zabraňuje inaktivácii amoxicilínu. Kyselina klavul</w:t>
      </w:r>
      <w:r>
        <w:t>á</w:t>
      </w:r>
      <w:r w:rsidRPr="00681040">
        <w:t>nová sama o sebe nevykazuje klinicky prospešný antibakteriálny účinok.</w:t>
      </w:r>
    </w:p>
    <w:p w:rsidR="00D80E0D" w:rsidRPr="00681040" w:rsidRDefault="00D80E0D" w:rsidP="00AE5E07">
      <w:pPr>
        <w:pStyle w:val="Styl3"/>
      </w:pPr>
      <w:r w:rsidRPr="00681040">
        <w:t>Vzťah medzi farmakokinetikou (FK) a</w:t>
      </w:r>
      <w:r>
        <w:t> </w:t>
      </w:r>
      <w:r w:rsidRPr="00681040">
        <w:t>farmakodynamikou (FD)</w:t>
      </w:r>
    </w:p>
    <w:p w:rsidR="00D80E0D" w:rsidRPr="00681040" w:rsidRDefault="00D80E0D" w:rsidP="007478A3">
      <w:pPr>
        <w:pStyle w:val="Normlndobloku"/>
        <w:rPr>
          <w:szCs w:val="22"/>
          <w:lang w:eastAsia="sk-SK"/>
        </w:rPr>
      </w:pPr>
      <w:r w:rsidRPr="00681040">
        <w:t>Čas, počas ktorého je hladina amoxicilínu nad minimálnou inhibičnou koncentráciou (</w:t>
      </w:r>
      <w:r>
        <w:t>T&gt;MIC</w:t>
      </w:r>
      <w:r w:rsidRPr="00681040">
        <w:t xml:space="preserve">) sa </w:t>
      </w:r>
      <w:r w:rsidRPr="00681040">
        <w:rPr>
          <w:szCs w:val="22"/>
          <w:lang w:eastAsia="sk-SK"/>
        </w:rPr>
        <w:t>považuje za hlavný determinant účinnosti amoxicilínu.</w:t>
      </w:r>
    </w:p>
    <w:p w:rsidR="00D80E0D" w:rsidRPr="00681040" w:rsidRDefault="00D80E0D" w:rsidP="00AE5E07">
      <w:pPr>
        <w:pStyle w:val="Styl3"/>
      </w:pPr>
      <w:r w:rsidRPr="00681040">
        <w:t>Mechanizmus rezistencie</w:t>
      </w:r>
    </w:p>
    <w:p w:rsidR="00D80E0D" w:rsidRPr="00681040" w:rsidRDefault="00D80E0D" w:rsidP="007478A3">
      <w:pPr>
        <w:pStyle w:val="Normlndobloku"/>
      </w:pPr>
      <w:r w:rsidRPr="00681040">
        <w:t>Dva hlavné mechanizmy rezistencie na amoxicilín/kyselinu klavul</w:t>
      </w:r>
      <w:r>
        <w:t>á</w:t>
      </w:r>
      <w:r w:rsidRPr="00681040">
        <w:t>novú sú:</w:t>
      </w:r>
    </w:p>
    <w:p w:rsidR="00D80E0D" w:rsidRPr="00681040" w:rsidRDefault="00D80E0D" w:rsidP="00E94DE5">
      <w:pPr>
        <w:numPr>
          <w:ilvl w:val="0"/>
          <w:numId w:val="12"/>
        </w:numPr>
        <w:rPr>
          <w:lang w:val="sk-SK"/>
        </w:rPr>
      </w:pPr>
      <w:r w:rsidRPr="00681040">
        <w:rPr>
          <w:lang w:val="sk-SK"/>
        </w:rPr>
        <w:t>Inaktivácia tými bakteriálnymi betalaktamázami, ktoré sami o</w:t>
      </w:r>
      <w:r>
        <w:rPr>
          <w:lang w:val="sk-SK"/>
        </w:rPr>
        <w:t> </w:t>
      </w:r>
      <w:r w:rsidRPr="00681040">
        <w:rPr>
          <w:lang w:val="sk-SK"/>
        </w:rPr>
        <w:t>sebe nie sú inhibované kyselinou klavul</w:t>
      </w:r>
      <w:r>
        <w:rPr>
          <w:lang w:val="sk-SK"/>
        </w:rPr>
        <w:t>á</w:t>
      </w:r>
      <w:r w:rsidRPr="00681040">
        <w:rPr>
          <w:lang w:val="sk-SK"/>
        </w:rPr>
        <w:t>novou, vrátane tých zo skupiny B, C a</w:t>
      </w:r>
      <w:r>
        <w:rPr>
          <w:lang w:val="sk-SK"/>
        </w:rPr>
        <w:t> </w:t>
      </w:r>
      <w:r w:rsidRPr="00681040">
        <w:rPr>
          <w:lang w:val="sk-SK"/>
        </w:rPr>
        <w:t>D.</w:t>
      </w:r>
    </w:p>
    <w:p w:rsidR="00D80E0D" w:rsidRDefault="00D80E0D" w:rsidP="00E94DE5">
      <w:pPr>
        <w:numPr>
          <w:ilvl w:val="0"/>
          <w:numId w:val="13"/>
        </w:numPr>
        <w:rPr>
          <w:lang w:val="sk-SK"/>
        </w:rPr>
      </w:pPr>
      <w:r w:rsidRPr="00681040">
        <w:rPr>
          <w:lang w:val="sk-SK"/>
        </w:rPr>
        <w:t>Zmena PBP, ktorá znižuje afinitu antibakteriálnej látky k cieľovému patogénu.</w:t>
      </w:r>
    </w:p>
    <w:p w:rsidR="00D80E0D" w:rsidRPr="00681040" w:rsidRDefault="00D80E0D" w:rsidP="007478A3">
      <w:pPr>
        <w:pStyle w:val="Normlndobloku"/>
      </w:pPr>
      <w:r w:rsidRPr="00681040">
        <w:lastRenderedPageBreak/>
        <w:t>Nepriepustnosť baktérií alebo mechanizmus efluxných púmp môže vyvolať alebo prispieť k</w:t>
      </w:r>
      <w:r>
        <w:t> </w:t>
      </w:r>
      <w:r w:rsidRPr="00681040">
        <w:t>bakteriálnej rezistencii, najmä pri gramnegatívnych baktériách.</w:t>
      </w:r>
    </w:p>
    <w:p w:rsidR="00D80E0D" w:rsidRPr="00681040" w:rsidRDefault="00D80E0D" w:rsidP="00AE5E07">
      <w:pPr>
        <w:pStyle w:val="Styl3"/>
      </w:pPr>
      <w:r w:rsidRPr="00681040">
        <w:t>Hraničné hodnoty</w:t>
      </w:r>
    </w:p>
    <w:p w:rsidR="00D80E0D" w:rsidRDefault="00D80E0D" w:rsidP="007478A3">
      <w:pPr>
        <w:pStyle w:val="Normlndobloku"/>
      </w:pPr>
      <w:r w:rsidRPr="00681040">
        <w:t>Hraničné hodnoty MIC amoxicilínu/kyseliny klavul</w:t>
      </w:r>
      <w:r>
        <w:t>á</w:t>
      </w:r>
      <w:r w:rsidRPr="00681040">
        <w:t>novej pochádzajú od Európskej komisie pre</w:t>
      </w:r>
      <w:r w:rsidRPr="00681040">
        <w:rPr>
          <w:vertAlign w:val="superscript"/>
        </w:rPr>
        <w:t xml:space="preserve"> </w:t>
      </w:r>
      <w:r w:rsidRPr="00681040">
        <w:t xml:space="preserve">testovanie antimikrobiálnej citlivosti (European Committee on Antimicrobial Susceptibility Testing, </w:t>
      </w:r>
      <w:r w:rsidRPr="00681040">
        <w:rPr>
          <w:szCs w:val="22"/>
          <w:lang w:eastAsia="sk-SK"/>
        </w:rPr>
        <w:t>EUCAST).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227"/>
        <w:gridCol w:w="2126"/>
        <w:gridCol w:w="2268"/>
        <w:gridCol w:w="1923"/>
      </w:tblGrid>
      <w:tr w:rsidR="00D80E0D" w:rsidRPr="00681040" w:rsidTr="00003B60">
        <w:tc>
          <w:tcPr>
            <w:tcW w:w="3227" w:type="dxa"/>
            <w:shd w:val="clear" w:color="000000" w:fill="auto"/>
          </w:tcPr>
          <w:p w:rsidR="00D80E0D" w:rsidRPr="00E024DB" w:rsidRDefault="00D80E0D" w:rsidP="007478A3">
            <w:pPr>
              <w:pStyle w:val="Normlndobloku"/>
            </w:pPr>
            <w:r w:rsidRPr="00E024DB">
              <w:t>Mikroorganizmus</w:t>
            </w:r>
          </w:p>
        </w:tc>
        <w:tc>
          <w:tcPr>
            <w:tcW w:w="6317" w:type="dxa"/>
            <w:gridSpan w:val="3"/>
            <w:shd w:val="clear" w:color="000000" w:fill="auto"/>
          </w:tcPr>
          <w:p w:rsidR="00D80E0D" w:rsidRPr="00E024DB" w:rsidRDefault="00D80E0D" w:rsidP="007478A3">
            <w:pPr>
              <w:pStyle w:val="Normlndobloku"/>
            </w:pPr>
            <w:r w:rsidRPr="00E024DB">
              <w:t>Hraničné hodnoty citlivosti (</w:t>
            </w:r>
            <w:r w:rsidRPr="00E024DB">
              <w:rPr>
                <w:szCs w:val="22"/>
              </w:rPr>
              <w:sym w:font="Symbol" w:char="F06D"/>
            </w:r>
            <w:r w:rsidRPr="00E024DB">
              <w:t>g/ml)</w:t>
            </w:r>
          </w:p>
        </w:tc>
      </w:tr>
      <w:tr w:rsidR="00D80E0D" w:rsidRPr="00681040" w:rsidTr="00003B60">
        <w:tc>
          <w:tcPr>
            <w:tcW w:w="3227" w:type="dxa"/>
            <w:shd w:val="clear" w:color="000000" w:fill="auto"/>
          </w:tcPr>
          <w:p w:rsidR="00D80E0D" w:rsidRPr="00E024DB" w:rsidRDefault="00D80E0D" w:rsidP="007478A3">
            <w:pPr>
              <w:pStyle w:val="Normlndobloku"/>
            </w:pPr>
          </w:p>
        </w:tc>
        <w:tc>
          <w:tcPr>
            <w:tcW w:w="2126" w:type="dxa"/>
            <w:shd w:val="clear" w:color="000000" w:fill="auto"/>
          </w:tcPr>
          <w:p w:rsidR="00D80E0D" w:rsidRPr="00E024DB" w:rsidRDefault="00D80E0D" w:rsidP="007478A3">
            <w:pPr>
              <w:pStyle w:val="Normlndobloku"/>
            </w:pPr>
            <w:r w:rsidRPr="00E024DB">
              <w:t>Citlivé</w:t>
            </w:r>
          </w:p>
        </w:tc>
        <w:tc>
          <w:tcPr>
            <w:tcW w:w="2268" w:type="dxa"/>
            <w:shd w:val="clear" w:color="000000" w:fill="auto"/>
          </w:tcPr>
          <w:p w:rsidR="00D80E0D" w:rsidRPr="00E024DB" w:rsidRDefault="00D80E0D" w:rsidP="007478A3">
            <w:pPr>
              <w:pStyle w:val="Normlndobloku"/>
            </w:pPr>
            <w:r w:rsidRPr="00E024DB">
              <w:t>Intermediárne citlivé</w:t>
            </w:r>
          </w:p>
        </w:tc>
        <w:tc>
          <w:tcPr>
            <w:tcW w:w="1923" w:type="dxa"/>
            <w:shd w:val="clear" w:color="000000" w:fill="auto"/>
          </w:tcPr>
          <w:p w:rsidR="00D80E0D" w:rsidRPr="00E024DB" w:rsidRDefault="00D80E0D" w:rsidP="007478A3">
            <w:pPr>
              <w:pStyle w:val="Normlndobloku"/>
            </w:pPr>
            <w:r w:rsidRPr="00E024DB">
              <w:t>Rezistentné</w:t>
            </w:r>
          </w:p>
        </w:tc>
      </w:tr>
      <w:tr w:rsidR="00D80E0D" w:rsidRPr="00681040" w:rsidTr="00003B60">
        <w:tc>
          <w:tcPr>
            <w:tcW w:w="3227" w:type="dxa"/>
            <w:shd w:val="clear" w:color="000000" w:fill="auto"/>
          </w:tcPr>
          <w:p w:rsidR="00D80E0D" w:rsidRPr="00E024DB" w:rsidRDefault="00D80E0D" w:rsidP="007478A3">
            <w:pPr>
              <w:pStyle w:val="Bacil"/>
            </w:pPr>
            <w:r w:rsidRPr="00E024DB">
              <w:t>Haemophilus influenzae</w:t>
            </w:r>
            <w:r w:rsidRPr="00E024DB">
              <w:rPr>
                <w:vertAlign w:val="superscript"/>
              </w:rPr>
              <w:t>1</w:t>
            </w:r>
          </w:p>
        </w:tc>
        <w:tc>
          <w:tcPr>
            <w:tcW w:w="2126" w:type="dxa"/>
            <w:shd w:val="clear" w:color="000000" w:fill="auto"/>
          </w:tcPr>
          <w:p w:rsidR="00D80E0D" w:rsidRPr="00E024DB" w:rsidRDefault="00D80E0D" w:rsidP="007478A3">
            <w:pPr>
              <w:pStyle w:val="Normlndobloku"/>
            </w:pPr>
            <w:r w:rsidRPr="00E024DB">
              <w:t>≤ 1</w:t>
            </w:r>
          </w:p>
        </w:tc>
        <w:tc>
          <w:tcPr>
            <w:tcW w:w="2268" w:type="dxa"/>
            <w:shd w:val="clear" w:color="000000" w:fill="auto"/>
          </w:tcPr>
          <w:p w:rsidR="00D80E0D" w:rsidRPr="00E024DB" w:rsidRDefault="00D80E0D" w:rsidP="007478A3">
            <w:pPr>
              <w:pStyle w:val="Normlndobloku"/>
            </w:pPr>
            <w:r w:rsidRPr="00E024DB">
              <w:t>-</w:t>
            </w:r>
          </w:p>
        </w:tc>
        <w:tc>
          <w:tcPr>
            <w:tcW w:w="1923" w:type="dxa"/>
            <w:shd w:val="clear" w:color="000000" w:fill="auto"/>
          </w:tcPr>
          <w:p w:rsidR="00D80E0D" w:rsidRPr="00E024DB" w:rsidRDefault="00D80E0D" w:rsidP="007478A3">
            <w:pPr>
              <w:pStyle w:val="Normlndobloku"/>
            </w:pPr>
            <w:r w:rsidRPr="00E024DB">
              <w:t>&gt; 1</w:t>
            </w:r>
          </w:p>
        </w:tc>
      </w:tr>
      <w:tr w:rsidR="00D80E0D" w:rsidRPr="00681040" w:rsidTr="00003B60">
        <w:tc>
          <w:tcPr>
            <w:tcW w:w="3227" w:type="dxa"/>
            <w:shd w:val="clear" w:color="000000" w:fill="auto"/>
          </w:tcPr>
          <w:p w:rsidR="00D80E0D" w:rsidRPr="00E024DB" w:rsidRDefault="00D80E0D" w:rsidP="007478A3">
            <w:pPr>
              <w:pStyle w:val="Bacil"/>
            </w:pPr>
            <w:r w:rsidRPr="00E024DB">
              <w:t>Moraxella catarrhalis</w:t>
            </w:r>
            <w:r w:rsidRPr="00E024DB">
              <w:rPr>
                <w:vertAlign w:val="superscript"/>
              </w:rPr>
              <w:t>1</w:t>
            </w:r>
          </w:p>
        </w:tc>
        <w:tc>
          <w:tcPr>
            <w:tcW w:w="2126" w:type="dxa"/>
            <w:shd w:val="clear" w:color="000000" w:fill="auto"/>
          </w:tcPr>
          <w:p w:rsidR="00D80E0D" w:rsidRPr="00E024DB" w:rsidRDefault="00D80E0D" w:rsidP="007478A3">
            <w:pPr>
              <w:pStyle w:val="Normlndobloku"/>
            </w:pPr>
            <w:r w:rsidRPr="00E024DB">
              <w:t>≤ 1</w:t>
            </w:r>
          </w:p>
        </w:tc>
        <w:tc>
          <w:tcPr>
            <w:tcW w:w="2268" w:type="dxa"/>
            <w:shd w:val="clear" w:color="000000" w:fill="auto"/>
          </w:tcPr>
          <w:p w:rsidR="00D80E0D" w:rsidRPr="00E024DB" w:rsidRDefault="00D80E0D" w:rsidP="007478A3">
            <w:pPr>
              <w:pStyle w:val="Normlndobloku"/>
            </w:pPr>
            <w:r w:rsidRPr="00E024DB">
              <w:t>-</w:t>
            </w:r>
          </w:p>
        </w:tc>
        <w:tc>
          <w:tcPr>
            <w:tcW w:w="1923" w:type="dxa"/>
            <w:shd w:val="clear" w:color="000000" w:fill="auto"/>
          </w:tcPr>
          <w:p w:rsidR="00D80E0D" w:rsidRPr="00E024DB" w:rsidRDefault="00D80E0D" w:rsidP="007478A3">
            <w:pPr>
              <w:pStyle w:val="Normlndobloku"/>
            </w:pPr>
            <w:r w:rsidRPr="00E024DB">
              <w:t>&gt; 1</w:t>
            </w:r>
          </w:p>
        </w:tc>
      </w:tr>
      <w:tr w:rsidR="00D80E0D" w:rsidRPr="00681040" w:rsidTr="00003B60">
        <w:tc>
          <w:tcPr>
            <w:tcW w:w="3227" w:type="dxa"/>
            <w:shd w:val="clear" w:color="000000" w:fill="auto"/>
          </w:tcPr>
          <w:p w:rsidR="00D80E0D" w:rsidRPr="00E024DB" w:rsidRDefault="00D80E0D" w:rsidP="007478A3">
            <w:pPr>
              <w:pStyle w:val="Bacil"/>
            </w:pPr>
            <w:r w:rsidRPr="00E024DB">
              <w:t>Staphylococcus aureus</w:t>
            </w:r>
            <w:r w:rsidRPr="00E024DB">
              <w:rPr>
                <w:vertAlign w:val="superscript"/>
              </w:rPr>
              <w:t>2</w:t>
            </w:r>
          </w:p>
        </w:tc>
        <w:tc>
          <w:tcPr>
            <w:tcW w:w="2126" w:type="dxa"/>
            <w:shd w:val="clear" w:color="000000" w:fill="auto"/>
          </w:tcPr>
          <w:p w:rsidR="00D80E0D" w:rsidRPr="00E024DB" w:rsidRDefault="00D80E0D" w:rsidP="007478A3">
            <w:pPr>
              <w:pStyle w:val="Normlndobloku"/>
            </w:pPr>
            <w:r w:rsidRPr="00E024DB">
              <w:t>≤ 2</w:t>
            </w:r>
          </w:p>
        </w:tc>
        <w:tc>
          <w:tcPr>
            <w:tcW w:w="2268" w:type="dxa"/>
            <w:shd w:val="clear" w:color="000000" w:fill="auto"/>
          </w:tcPr>
          <w:p w:rsidR="00D80E0D" w:rsidRPr="00E024DB" w:rsidRDefault="00D80E0D" w:rsidP="007478A3">
            <w:pPr>
              <w:pStyle w:val="Normlndobloku"/>
            </w:pPr>
            <w:r w:rsidRPr="00E024DB">
              <w:t>-</w:t>
            </w:r>
          </w:p>
        </w:tc>
        <w:tc>
          <w:tcPr>
            <w:tcW w:w="1923" w:type="dxa"/>
            <w:shd w:val="clear" w:color="000000" w:fill="auto"/>
          </w:tcPr>
          <w:p w:rsidR="00D80E0D" w:rsidRPr="00E024DB" w:rsidRDefault="00D80E0D" w:rsidP="007478A3">
            <w:pPr>
              <w:pStyle w:val="Normlndobloku"/>
            </w:pPr>
            <w:r w:rsidRPr="00E024DB">
              <w:t>&gt; 2</w:t>
            </w:r>
          </w:p>
        </w:tc>
      </w:tr>
      <w:tr w:rsidR="00D80E0D" w:rsidRPr="00681040" w:rsidTr="00003B60">
        <w:tc>
          <w:tcPr>
            <w:tcW w:w="3227" w:type="dxa"/>
            <w:shd w:val="clear" w:color="000000" w:fill="auto"/>
          </w:tcPr>
          <w:p w:rsidR="00D80E0D" w:rsidRPr="00E024DB" w:rsidRDefault="00D80E0D" w:rsidP="007478A3">
            <w:pPr>
              <w:pStyle w:val="Normlndobloku"/>
            </w:pPr>
            <w:r w:rsidRPr="00E024DB">
              <w:t>Koaguláza negatívne stafylokoky</w:t>
            </w:r>
            <w:r w:rsidRPr="00E024DB">
              <w:rPr>
                <w:vertAlign w:val="superscript"/>
              </w:rPr>
              <w:t>2</w:t>
            </w:r>
          </w:p>
        </w:tc>
        <w:tc>
          <w:tcPr>
            <w:tcW w:w="2126" w:type="dxa"/>
            <w:shd w:val="clear" w:color="000000" w:fill="auto"/>
          </w:tcPr>
          <w:p w:rsidR="00D80E0D" w:rsidRPr="00E024DB" w:rsidRDefault="00D80E0D" w:rsidP="007478A3">
            <w:pPr>
              <w:pStyle w:val="Normlndobloku"/>
            </w:pPr>
            <w:r w:rsidRPr="00E024DB">
              <w:t>≤ 0,25</w:t>
            </w:r>
          </w:p>
        </w:tc>
        <w:tc>
          <w:tcPr>
            <w:tcW w:w="2268" w:type="dxa"/>
            <w:shd w:val="clear" w:color="000000" w:fill="auto"/>
          </w:tcPr>
          <w:p w:rsidR="00D80E0D" w:rsidRPr="00E024DB" w:rsidRDefault="00D80E0D" w:rsidP="007478A3">
            <w:pPr>
              <w:pStyle w:val="Normlndobloku"/>
            </w:pPr>
          </w:p>
        </w:tc>
        <w:tc>
          <w:tcPr>
            <w:tcW w:w="1923" w:type="dxa"/>
            <w:shd w:val="clear" w:color="000000" w:fill="auto"/>
          </w:tcPr>
          <w:p w:rsidR="00D80E0D" w:rsidRPr="00E024DB" w:rsidRDefault="00D80E0D" w:rsidP="007478A3">
            <w:pPr>
              <w:pStyle w:val="Normlndobloku"/>
            </w:pPr>
            <w:r w:rsidRPr="00E024DB">
              <w:t>&gt; 0,25</w:t>
            </w:r>
          </w:p>
        </w:tc>
      </w:tr>
      <w:tr w:rsidR="00D80E0D" w:rsidRPr="00681040" w:rsidTr="00003B60">
        <w:tc>
          <w:tcPr>
            <w:tcW w:w="3227" w:type="dxa"/>
            <w:shd w:val="clear" w:color="000000" w:fill="auto"/>
          </w:tcPr>
          <w:p w:rsidR="00D80E0D" w:rsidRPr="00E024DB" w:rsidRDefault="00D80E0D" w:rsidP="007478A3">
            <w:pPr>
              <w:pStyle w:val="Bacil"/>
            </w:pPr>
            <w:r w:rsidRPr="00E024DB">
              <w:t>Enterokokus</w:t>
            </w:r>
            <w:r w:rsidRPr="00E024DB">
              <w:rPr>
                <w:vertAlign w:val="superscript"/>
              </w:rPr>
              <w:t>1</w:t>
            </w:r>
          </w:p>
        </w:tc>
        <w:tc>
          <w:tcPr>
            <w:tcW w:w="2126" w:type="dxa"/>
            <w:shd w:val="clear" w:color="000000" w:fill="auto"/>
          </w:tcPr>
          <w:p w:rsidR="00D80E0D" w:rsidRPr="00E024DB" w:rsidRDefault="00D80E0D" w:rsidP="007478A3">
            <w:pPr>
              <w:pStyle w:val="Normlndobloku"/>
            </w:pPr>
            <w:r w:rsidRPr="00E024DB">
              <w:t>≤ 4</w:t>
            </w:r>
          </w:p>
        </w:tc>
        <w:tc>
          <w:tcPr>
            <w:tcW w:w="2268" w:type="dxa"/>
            <w:shd w:val="clear" w:color="000000" w:fill="auto"/>
          </w:tcPr>
          <w:p w:rsidR="00D80E0D" w:rsidRPr="00E024DB" w:rsidRDefault="00D80E0D" w:rsidP="007478A3">
            <w:pPr>
              <w:pStyle w:val="Normlndobloku"/>
            </w:pPr>
            <w:r w:rsidRPr="00E024DB">
              <w:t>8</w:t>
            </w:r>
          </w:p>
        </w:tc>
        <w:tc>
          <w:tcPr>
            <w:tcW w:w="1923" w:type="dxa"/>
            <w:shd w:val="clear" w:color="000000" w:fill="auto"/>
          </w:tcPr>
          <w:p w:rsidR="00D80E0D" w:rsidRPr="00E024DB" w:rsidRDefault="00D80E0D" w:rsidP="007478A3">
            <w:pPr>
              <w:pStyle w:val="Normlndobloku"/>
            </w:pPr>
            <w:r w:rsidRPr="00E024DB">
              <w:t>&gt; 8</w:t>
            </w:r>
          </w:p>
        </w:tc>
      </w:tr>
      <w:tr w:rsidR="00D80E0D" w:rsidRPr="00681040" w:rsidTr="00003B60">
        <w:tc>
          <w:tcPr>
            <w:tcW w:w="3227" w:type="dxa"/>
            <w:shd w:val="clear" w:color="000000" w:fill="auto"/>
          </w:tcPr>
          <w:p w:rsidR="00D80E0D" w:rsidRPr="00E024DB" w:rsidRDefault="00D80E0D" w:rsidP="007478A3">
            <w:pPr>
              <w:pStyle w:val="Bacil"/>
            </w:pPr>
            <w:r w:rsidRPr="00E024DB">
              <w:t>Streptokokus A, B, C, G</w:t>
            </w:r>
            <w:r w:rsidRPr="00E024DB">
              <w:rPr>
                <w:vertAlign w:val="superscript"/>
              </w:rPr>
              <w:t>5</w:t>
            </w:r>
          </w:p>
        </w:tc>
        <w:tc>
          <w:tcPr>
            <w:tcW w:w="2126" w:type="dxa"/>
            <w:shd w:val="clear" w:color="000000" w:fill="auto"/>
          </w:tcPr>
          <w:p w:rsidR="00D80E0D" w:rsidRPr="00E024DB" w:rsidRDefault="00D80E0D" w:rsidP="007478A3">
            <w:pPr>
              <w:pStyle w:val="Normlndobloku"/>
            </w:pPr>
            <w:r w:rsidRPr="00E024DB">
              <w:t>≤ 0,25</w:t>
            </w:r>
          </w:p>
        </w:tc>
        <w:tc>
          <w:tcPr>
            <w:tcW w:w="2268" w:type="dxa"/>
            <w:shd w:val="clear" w:color="000000" w:fill="auto"/>
          </w:tcPr>
          <w:p w:rsidR="00D80E0D" w:rsidRPr="00E024DB" w:rsidRDefault="00D80E0D" w:rsidP="007478A3">
            <w:pPr>
              <w:pStyle w:val="Normlndobloku"/>
            </w:pPr>
            <w:r w:rsidRPr="00E024DB">
              <w:t>-</w:t>
            </w:r>
          </w:p>
        </w:tc>
        <w:tc>
          <w:tcPr>
            <w:tcW w:w="1923" w:type="dxa"/>
            <w:shd w:val="clear" w:color="000000" w:fill="auto"/>
          </w:tcPr>
          <w:p w:rsidR="00D80E0D" w:rsidRPr="00E024DB" w:rsidRDefault="00D80E0D" w:rsidP="007478A3">
            <w:pPr>
              <w:pStyle w:val="Normlndobloku"/>
            </w:pPr>
            <w:r w:rsidRPr="00E024DB">
              <w:t>&gt; 0,25</w:t>
            </w:r>
          </w:p>
        </w:tc>
      </w:tr>
      <w:tr w:rsidR="00D80E0D" w:rsidRPr="00681040" w:rsidTr="00003B60">
        <w:tc>
          <w:tcPr>
            <w:tcW w:w="3227" w:type="dxa"/>
            <w:shd w:val="clear" w:color="000000" w:fill="auto"/>
          </w:tcPr>
          <w:p w:rsidR="00D80E0D" w:rsidRPr="00E024DB" w:rsidRDefault="00D80E0D" w:rsidP="007478A3">
            <w:pPr>
              <w:pStyle w:val="Bacil"/>
            </w:pPr>
            <w:r w:rsidRPr="00E024DB">
              <w:t>Streptococcus pneumoniae</w:t>
            </w:r>
            <w:r w:rsidRPr="00E024DB">
              <w:rPr>
                <w:vertAlign w:val="superscript"/>
              </w:rPr>
              <w:t>3</w:t>
            </w:r>
          </w:p>
        </w:tc>
        <w:tc>
          <w:tcPr>
            <w:tcW w:w="2126" w:type="dxa"/>
            <w:shd w:val="clear" w:color="000000" w:fill="auto"/>
          </w:tcPr>
          <w:p w:rsidR="00D80E0D" w:rsidRPr="00E024DB" w:rsidRDefault="00D80E0D" w:rsidP="007478A3">
            <w:pPr>
              <w:pStyle w:val="Normlndobloku"/>
            </w:pPr>
            <w:r w:rsidRPr="00E024DB">
              <w:t>≤ 0,5</w:t>
            </w:r>
          </w:p>
        </w:tc>
        <w:tc>
          <w:tcPr>
            <w:tcW w:w="2268" w:type="dxa"/>
            <w:shd w:val="clear" w:color="000000" w:fill="auto"/>
          </w:tcPr>
          <w:p w:rsidR="00D80E0D" w:rsidRPr="00E024DB" w:rsidRDefault="00D80E0D" w:rsidP="007478A3">
            <w:pPr>
              <w:pStyle w:val="Normlndobloku"/>
            </w:pPr>
            <w:r w:rsidRPr="00E024DB">
              <w:t>1 – 2</w:t>
            </w:r>
          </w:p>
        </w:tc>
        <w:tc>
          <w:tcPr>
            <w:tcW w:w="1923" w:type="dxa"/>
            <w:shd w:val="clear" w:color="000000" w:fill="auto"/>
          </w:tcPr>
          <w:p w:rsidR="00D80E0D" w:rsidRPr="00E024DB" w:rsidRDefault="00D80E0D" w:rsidP="007478A3">
            <w:pPr>
              <w:pStyle w:val="Normlndobloku"/>
            </w:pPr>
            <w:r w:rsidRPr="00E024DB">
              <w:t>&gt; 2</w:t>
            </w:r>
          </w:p>
        </w:tc>
      </w:tr>
      <w:tr w:rsidR="00D80E0D" w:rsidRPr="00681040" w:rsidTr="00003B60">
        <w:tc>
          <w:tcPr>
            <w:tcW w:w="3227" w:type="dxa"/>
            <w:shd w:val="clear" w:color="000000" w:fill="auto"/>
          </w:tcPr>
          <w:p w:rsidR="00D80E0D" w:rsidRPr="00E024DB" w:rsidRDefault="00D80E0D" w:rsidP="007478A3">
            <w:pPr>
              <w:pStyle w:val="Normlndobloku"/>
            </w:pPr>
            <w:r w:rsidRPr="00E024DB">
              <w:t>Enterobaktérie</w:t>
            </w:r>
            <w:r w:rsidRPr="00E024DB">
              <w:rPr>
                <w:vertAlign w:val="superscript"/>
              </w:rPr>
              <w:t>1,4</w:t>
            </w:r>
          </w:p>
        </w:tc>
        <w:tc>
          <w:tcPr>
            <w:tcW w:w="2126" w:type="dxa"/>
            <w:shd w:val="clear" w:color="000000" w:fill="auto"/>
          </w:tcPr>
          <w:p w:rsidR="00D80E0D" w:rsidRPr="00E024DB" w:rsidRDefault="00D80E0D" w:rsidP="007478A3">
            <w:pPr>
              <w:pStyle w:val="Normlndobloku"/>
            </w:pPr>
            <w:r w:rsidRPr="00E024DB">
              <w:t>-</w:t>
            </w:r>
          </w:p>
        </w:tc>
        <w:tc>
          <w:tcPr>
            <w:tcW w:w="2268" w:type="dxa"/>
            <w:shd w:val="clear" w:color="000000" w:fill="auto"/>
          </w:tcPr>
          <w:p w:rsidR="00D80E0D" w:rsidRPr="00E024DB" w:rsidRDefault="00D80E0D" w:rsidP="007478A3">
            <w:pPr>
              <w:pStyle w:val="Normlndobloku"/>
            </w:pPr>
            <w:r w:rsidRPr="00E024DB">
              <w:t>-</w:t>
            </w:r>
          </w:p>
        </w:tc>
        <w:tc>
          <w:tcPr>
            <w:tcW w:w="1923" w:type="dxa"/>
            <w:shd w:val="clear" w:color="000000" w:fill="auto"/>
          </w:tcPr>
          <w:p w:rsidR="00D80E0D" w:rsidRPr="00E024DB" w:rsidRDefault="00D80E0D" w:rsidP="007478A3">
            <w:pPr>
              <w:pStyle w:val="Normlndobloku"/>
            </w:pPr>
            <w:r w:rsidRPr="00E024DB">
              <w:t>&gt; 8</w:t>
            </w:r>
          </w:p>
        </w:tc>
      </w:tr>
      <w:tr w:rsidR="00D80E0D" w:rsidRPr="00681040" w:rsidTr="00003B60">
        <w:tc>
          <w:tcPr>
            <w:tcW w:w="3227" w:type="dxa"/>
            <w:shd w:val="clear" w:color="000000" w:fill="auto"/>
          </w:tcPr>
          <w:p w:rsidR="00D80E0D" w:rsidRPr="00E024DB" w:rsidRDefault="00D80E0D" w:rsidP="007478A3">
            <w:pPr>
              <w:pStyle w:val="Normlndobloku"/>
            </w:pPr>
            <w:r w:rsidRPr="00E024DB">
              <w:t>Gramnegatívne anaeróby</w:t>
            </w:r>
            <w:r w:rsidRPr="00E024DB">
              <w:rPr>
                <w:vertAlign w:val="superscript"/>
              </w:rPr>
              <w:t>1</w:t>
            </w:r>
          </w:p>
        </w:tc>
        <w:tc>
          <w:tcPr>
            <w:tcW w:w="2126" w:type="dxa"/>
            <w:shd w:val="clear" w:color="000000" w:fill="auto"/>
          </w:tcPr>
          <w:p w:rsidR="00D80E0D" w:rsidRPr="00E024DB" w:rsidRDefault="00D80E0D" w:rsidP="007478A3">
            <w:pPr>
              <w:pStyle w:val="Normlndobloku"/>
            </w:pPr>
            <w:r w:rsidRPr="00E024DB">
              <w:t>≤ 4</w:t>
            </w:r>
          </w:p>
        </w:tc>
        <w:tc>
          <w:tcPr>
            <w:tcW w:w="2268" w:type="dxa"/>
            <w:shd w:val="clear" w:color="000000" w:fill="auto"/>
          </w:tcPr>
          <w:p w:rsidR="00D80E0D" w:rsidRPr="00E024DB" w:rsidRDefault="00D80E0D" w:rsidP="007478A3">
            <w:pPr>
              <w:pStyle w:val="Normlndobloku"/>
            </w:pPr>
            <w:r w:rsidRPr="00E024DB">
              <w:t>8</w:t>
            </w:r>
          </w:p>
        </w:tc>
        <w:tc>
          <w:tcPr>
            <w:tcW w:w="1923" w:type="dxa"/>
            <w:shd w:val="clear" w:color="000000" w:fill="auto"/>
          </w:tcPr>
          <w:p w:rsidR="00D80E0D" w:rsidRPr="00E024DB" w:rsidRDefault="00D80E0D" w:rsidP="007478A3">
            <w:pPr>
              <w:pStyle w:val="Normlndobloku"/>
            </w:pPr>
            <w:r w:rsidRPr="00E024DB">
              <w:t>&gt; 8</w:t>
            </w:r>
          </w:p>
        </w:tc>
      </w:tr>
      <w:tr w:rsidR="00D80E0D" w:rsidRPr="00681040" w:rsidTr="00003B60">
        <w:tc>
          <w:tcPr>
            <w:tcW w:w="3227" w:type="dxa"/>
            <w:shd w:val="clear" w:color="000000" w:fill="auto"/>
          </w:tcPr>
          <w:p w:rsidR="00D80E0D" w:rsidRPr="00E024DB" w:rsidRDefault="00D80E0D" w:rsidP="007478A3">
            <w:pPr>
              <w:pStyle w:val="Normlndobloku"/>
            </w:pPr>
            <w:r w:rsidRPr="00E024DB">
              <w:t>Grampozitívne anaeróby</w:t>
            </w:r>
            <w:r w:rsidRPr="00E024DB">
              <w:rPr>
                <w:vertAlign w:val="superscript"/>
              </w:rPr>
              <w:t>1</w:t>
            </w:r>
          </w:p>
        </w:tc>
        <w:tc>
          <w:tcPr>
            <w:tcW w:w="2126" w:type="dxa"/>
            <w:shd w:val="clear" w:color="000000" w:fill="auto"/>
          </w:tcPr>
          <w:p w:rsidR="00D80E0D" w:rsidRPr="00E024DB" w:rsidRDefault="00D80E0D" w:rsidP="007478A3">
            <w:pPr>
              <w:pStyle w:val="Normlndobloku"/>
            </w:pPr>
            <w:r w:rsidRPr="00E024DB">
              <w:t>≤ 4</w:t>
            </w:r>
          </w:p>
        </w:tc>
        <w:tc>
          <w:tcPr>
            <w:tcW w:w="2268" w:type="dxa"/>
            <w:shd w:val="clear" w:color="000000" w:fill="auto"/>
          </w:tcPr>
          <w:p w:rsidR="00D80E0D" w:rsidRPr="00E024DB" w:rsidRDefault="00D80E0D" w:rsidP="007478A3">
            <w:pPr>
              <w:pStyle w:val="Normlndobloku"/>
            </w:pPr>
            <w:r w:rsidRPr="00E024DB">
              <w:t>8</w:t>
            </w:r>
          </w:p>
        </w:tc>
        <w:tc>
          <w:tcPr>
            <w:tcW w:w="1923" w:type="dxa"/>
            <w:shd w:val="clear" w:color="000000" w:fill="auto"/>
          </w:tcPr>
          <w:p w:rsidR="00D80E0D" w:rsidRPr="00E024DB" w:rsidRDefault="00D80E0D" w:rsidP="007478A3">
            <w:pPr>
              <w:pStyle w:val="Normlndobloku"/>
            </w:pPr>
            <w:r w:rsidRPr="00E024DB">
              <w:t>&gt; 8</w:t>
            </w:r>
          </w:p>
        </w:tc>
      </w:tr>
      <w:tr w:rsidR="00D80E0D" w:rsidRPr="00681040" w:rsidTr="00003B60">
        <w:tc>
          <w:tcPr>
            <w:tcW w:w="3227" w:type="dxa"/>
            <w:shd w:val="clear" w:color="000000" w:fill="auto"/>
          </w:tcPr>
          <w:p w:rsidR="00D80E0D" w:rsidRPr="00E024DB" w:rsidRDefault="00D80E0D" w:rsidP="007478A3">
            <w:pPr>
              <w:pStyle w:val="Normlndobloku"/>
            </w:pPr>
            <w:r w:rsidRPr="00E024DB">
              <w:t>Hraničné hodnoty nezávislé od bakteriálnych druhov</w:t>
            </w:r>
            <w:r w:rsidRPr="00E024DB">
              <w:rPr>
                <w:vertAlign w:val="superscript"/>
              </w:rPr>
              <w:t>1</w:t>
            </w:r>
          </w:p>
        </w:tc>
        <w:tc>
          <w:tcPr>
            <w:tcW w:w="2126" w:type="dxa"/>
            <w:shd w:val="clear" w:color="000000" w:fill="auto"/>
          </w:tcPr>
          <w:p w:rsidR="00D80E0D" w:rsidRPr="00E024DB" w:rsidRDefault="00D80E0D" w:rsidP="007478A3">
            <w:pPr>
              <w:pStyle w:val="Normlndobloku"/>
            </w:pPr>
            <w:r w:rsidRPr="00E024DB">
              <w:t>≤ 2</w:t>
            </w:r>
          </w:p>
        </w:tc>
        <w:tc>
          <w:tcPr>
            <w:tcW w:w="2268" w:type="dxa"/>
            <w:shd w:val="clear" w:color="000000" w:fill="auto"/>
          </w:tcPr>
          <w:p w:rsidR="00D80E0D" w:rsidRPr="00E024DB" w:rsidRDefault="00D80E0D" w:rsidP="007478A3">
            <w:pPr>
              <w:pStyle w:val="Normlndobloku"/>
            </w:pPr>
            <w:r w:rsidRPr="00E024DB">
              <w:t>4</w:t>
            </w:r>
            <w:r w:rsidR="00AE5E07">
              <w:t> </w:t>
            </w:r>
            <w:r w:rsidRPr="00E024DB">
              <w:t>–</w:t>
            </w:r>
            <w:r w:rsidR="00AE5E07">
              <w:t> </w:t>
            </w:r>
            <w:r w:rsidRPr="00E024DB">
              <w:t>8</w:t>
            </w:r>
          </w:p>
        </w:tc>
        <w:tc>
          <w:tcPr>
            <w:tcW w:w="1923" w:type="dxa"/>
            <w:shd w:val="clear" w:color="000000" w:fill="auto"/>
          </w:tcPr>
          <w:p w:rsidR="00D80E0D" w:rsidRPr="00E024DB" w:rsidRDefault="00D80E0D" w:rsidP="007478A3">
            <w:pPr>
              <w:pStyle w:val="Normlndobloku"/>
            </w:pPr>
            <w:r w:rsidRPr="00E024DB">
              <w:t>&gt; 8</w:t>
            </w:r>
          </w:p>
        </w:tc>
      </w:tr>
      <w:tr w:rsidR="00D80E0D" w:rsidRPr="00681040" w:rsidTr="00003B60">
        <w:tc>
          <w:tcPr>
            <w:tcW w:w="9544" w:type="dxa"/>
            <w:gridSpan w:val="4"/>
            <w:shd w:val="clear" w:color="000000" w:fill="auto"/>
          </w:tcPr>
          <w:p w:rsidR="00D80E0D" w:rsidRPr="00E024DB" w:rsidRDefault="00D80E0D" w:rsidP="007478A3">
            <w:pPr>
              <w:pStyle w:val="Normlndobloku"/>
            </w:pPr>
            <w:r w:rsidRPr="00E024DB">
              <w:rPr>
                <w:vertAlign w:val="superscript"/>
              </w:rPr>
              <w:t xml:space="preserve">1 </w:t>
            </w:r>
            <w:r w:rsidRPr="00E024DB">
              <w:t>Hlásené hodnoty sa týkajú koncentrácií amoxicilínu. Pre účely testovania citlivosti je koncentrácia kyseliny klavulánovej pevne stanovená na 2 mg/l.</w:t>
            </w:r>
          </w:p>
          <w:p w:rsidR="00D80E0D" w:rsidRPr="00E024DB" w:rsidRDefault="00D80E0D" w:rsidP="007478A3">
            <w:pPr>
              <w:pStyle w:val="Normlndobloku"/>
            </w:pPr>
            <w:r w:rsidRPr="00E024DB">
              <w:rPr>
                <w:vertAlign w:val="superscript"/>
              </w:rPr>
              <w:t xml:space="preserve">2 </w:t>
            </w:r>
            <w:r w:rsidRPr="00E024DB">
              <w:t>Hlásené hodnoty sa týkajú koncentrácií oxacilínu.</w:t>
            </w:r>
          </w:p>
          <w:p w:rsidR="00D80E0D" w:rsidRPr="00E024DB" w:rsidRDefault="00D80E0D" w:rsidP="007478A3">
            <w:pPr>
              <w:pStyle w:val="Normlndobloku"/>
            </w:pPr>
            <w:r w:rsidRPr="00E024DB">
              <w:rPr>
                <w:vertAlign w:val="superscript"/>
              </w:rPr>
              <w:t xml:space="preserve">3 </w:t>
            </w:r>
            <w:r w:rsidRPr="00E024DB">
              <w:t>Hraničné hodnoty v tabuľke vychádzajú z hraničných hodnôt ampicilínu.</w:t>
            </w:r>
          </w:p>
          <w:p w:rsidR="00D80E0D" w:rsidRPr="00E024DB" w:rsidRDefault="00D80E0D" w:rsidP="007478A3">
            <w:pPr>
              <w:pStyle w:val="Normlndobloku"/>
            </w:pPr>
            <w:r w:rsidRPr="00E024DB">
              <w:rPr>
                <w:vertAlign w:val="superscript"/>
              </w:rPr>
              <w:t xml:space="preserve">4 </w:t>
            </w:r>
            <w:r w:rsidRPr="00E024DB">
              <w:t>Hraničná hodnota rezistencie rovnajúca sa R &gt; 8 mg/l zaisťuje, že všetky izoláty s mechanizmom rezistencie sú hlásené ako rezistentné.</w:t>
            </w:r>
          </w:p>
          <w:p w:rsidR="00D80E0D" w:rsidRPr="00E024DB" w:rsidRDefault="00D80E0D" w:rsidP="007478A3">
            <w:pPr>
              <w:pStyle w:val="Normlndobloku"/>
            </w:pPr>
            <w:r w:rsidRPr="00E024DB">
              <w:rPr>
                <w:vertAlign w:val="superscript"/>
              </w:rPr>
              <w:t xml:space="preserve">5 </w:t>
            </w:r>
            <w:r w:rsidRPr="00E024DB">
              <w:t>Hraničné hodnoty v tabuľke vychádzajú z hraničných hodnôt benzylpenicilínu.</w:t>
            </w:r>
          </w:p>
        </w:tc>
      </w:tr>
    </w:tbl>
    <w:p w:rsidR="00D80E0D" w:rsidRPr="00681040" w:rsidRDefault="00D80E0D" w:rsidP="007478A3">
      <w:pPr>
        <w:pStyle w:val="Normlndobloku"/>
      </w:pPr>
    </w:p>
    <w:p w:rsidR="00D80E0D" w:rsidRPr="00681040" w:rsidRDefault="00D80E0D" w:rsidP="007478A3">
      <w:pPr>
        <w:pStyle w:val="Normlndobloku"/>
      </w:pPr>
      <w:r w:rsidRPr="00681040">
        <w:t>Prevalencia rezistencie sa môže pri vybraných druhoch geograficky a</w:t>
      </w:r>
      <w:r>
        <w:t> </w:t>
      </w:r>
      <w:r w:rsidRPr="00681040">
        <w:t>časovo meniť a</w:t>
      </w:r>
      <w:r>
        <w:t> </w:t>
      </w:r>
      <w:r w:rsidRPr="00681040">
        <w:t>je potrebné získať lokálne informácie o</w:t>
      </w:r>
      <w:r>
        <w:t> </w:t>
      </w:r>
      <w:r w:rsidRPr="00681040">
        <w:t>rezistencii, najmä pri liečbe ťažkých infekcií. V</w:t>
      </w:r>
      <w:r>
        <w:t> </w:t>
      </w:r>
      <w:r w:rsidRPr="00681040">
        <w:t>prípade potreby sa má vyhľadať rada odborníka, keď je lokálna prevalencia rezistencie taká, že užitočnosť liečiva je minimálne pri niektorých typoch infekcie sporná.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181"/>
        <w:gridCol w:w="3181"/>
        <w:gridCol w:w="3182"/>
      </w:tblGrid>
      <w:tr w:rsidR="00D80E0D" w:rsidRPr="00681040" w:rsidTr="00003B60">
        <w:trPr>
          <w:trHeight w:val="637"/>
        </w:trPr>
        <w:tc>
          <w:tcPr>
            <w:tcW w:w="9544" w:type="dxa"/>
            <w:gridSpan w:val="3"/>
            <w:shd w:val="clear" w:color="000000" w:fill="auto"/>
          </w:tcPr>
          <w:p w:rsidR="00D80E0D" w:rsidRPr="00D80E0D" w:rsidRDefault="00D80E0D" w:rsidP="00AE5E07">
            <w:pPr>
              <w:pStyle w:val="Styl4"/>
            </w:pPr>
            <w:r w:rsidRPr="00D80E0D">
              <w:lastRenderedPageBreak/>
              <w:t>Obvykle citlivé druhy</w:t>
            </w:r>
          </w:p>
        </w:tc>
      </w:tr>
      <w:tr w:rsidR="00D80E0D" w:rsidRPr="00681040" w:rsidTr="00003B60">
        <w:tc>
          <w:tcPr>
            <w:tcW w:w="9544" w:type="dxa"/>
            <w:gridSpan w:val="3"/>
            <w:shd w:val="clear" w:color="000000" w:fill="auto"/>
          </w:tcPr>
          <w:p w:rsidR="00D80E0D" w:rsidRPr="00E024DB" w:rsidRDefault="00D80E0D" w:rsidP="00AE5E07">
            <w:pPr>
              <w:pStyle w:val="Styl3"/>
            </w:pPr>
            <w:r w:rsidRPr="00E024DB">
              <w:t>Aeróbne grampozitívne mikroorganizmy</w:t>
            </w:r>
          </w:p>
        </w:tc>
      </w:tr>
      <w:tr w:rsidR="00D80E0D" w:rsidRPr="00681040" w:rsidTr="00003B60">
        <w:tc>
          <w:tcPr>
            <w:tcW w:w="3181" w:type="dxa"/>
            <w:shd w:val="clear" w:color="000000" w:fill="auto"/>
          </w:tcPr>
          <w:p w:rsidR="00D80E0D" w:rsidRPr="00D80E0D" w:rsidRDefault="00D80E0D" w:rsidP="00AE5E07">
            <w:pPr>
              <w:pStyle w:val="Styl4"/>
              <w:rPr>
                <w:sz w:val="20"/>
              </w:rPr>
            </w:pPr>
            <w:r w:rsidRPr="00D80E0D">
              <w:t>MEDOCLAV 375 mg</w:t>
            </w:r>
          </w:p>
        </w:tc>
        <w:tc>
          <w:tcPr>
            <w:tcW w:w="3181" w:type="dxa"/>
            <w:shd w:val="clear" w:color="000000" w:fill="auto"/>
          </w:tcPr>
          <w:p w:rsidR="00D80E0D" w:rsidRPr="00D80E0D" w:rsidRDefault="00D80E0D" w:rsidP="00AE5E07">
            <w:pPr>
              <w:pStyle w:val="Styl4"/>
              <w:rPr>
                <w:sz w:val="20"/>
                <w:lang w:eastAsia="sk-SK"/>
              </w:rPr>
            </w:pPr>
            <w:r w:rsidRPr="00D80E0D">
              <w:t>MEDOCLAV 625 mg</w:t>
            </w:r>
          </w:p>
        </w:tc>
        <w:tc>
          <w:tcPr>
            <w:tcW w:w="3182" w:type="dxa"/>
            <w:shd w:val="clear" w:color="000000" w:fill="auto"/>
          </w:tcPr>
          <w:p w:rsidR="00D80E0D" w:rsidRPr="00D80E0D" w:rsidRDefault="00D80E0D" w:rsidP="00AE5E07">
            <w:pPr>
              <w:pStyle w:val="Styl4"/>
            </w:pPr>
            <w:r w:rsidRPr="00D80E0D">
              <w:t>MEDOCLAV 1 g</w:t>
            </w:r>
          </w:p>
        </w:tc>
      </w:tr>
      <w:tr w:rsidR="00D80E0D" w:rsidRPr="00681040" w:rsidTr="00003B60">
        <w:tc>
          <w:tcPr>
            <w:tcW w:w="3181" w:type="dxa"/>
            <w:shd w:val="clear" w:color="000000" w:fill="auto"/>
          </w:tcPr>
          <w:p w:rsidR="00D80E0D" w:rsidRPr="00E024DB" w:rsidRDefault="00D80E0D" w:rsidP="007478A3">
            <w:pPr>
              <w:pStyle w:val="Bacil"/>
            </w:pPr>
            <w:r w:rsidRPr="00E024DB">
              <w:t>Enterococcus faecalis</w:t>
            </w:r>
          </w:p>
          <w:p w:rsidR="00D80E0D" w:rsidRPr="00E024DB" w:rsidRDefault="00D80E0D" w:rsidP="007478A3">
            <w:pPr>
              <w:pStyle w:val="Bacil"/>
            </w:pPr>
            <w:r w:rsidRPr="00E024DB">
              <w:t>Staphylococcus aureus (citlivý na meticilín)£</w:t>
            </w:r>
          </w:p>
          <w:p w:rsidR="00D80E0D" w:rsidRPr="00E024DB" w:rsidRDefault="00D80E0D" w:rsidP="007478A3">
            <w:pPr>
              <w:pStyle w:val="Bacil"/>
            </w:pPr>
            <w:r w:rsidRPr="00E024DB">
              <w:t>Streptococcus agalactiae</w:t>
            </w:r>
          </w:p>
          <w:p w:rsidR="00D80E0D" w:rsidRPr="00E024DB" w:rsidRDefault="00D80E0D" w:rsidP="007478A3">
            <w:pPr>
              <w:pStyle w:val="Bacil"/>
              <w:rPr>
                <w:vertAlign w:val="superscript"/>
              </w:rPr>
            </w:pPr>
            <w:r w:rsidRPr="00E024DB">
              <w:t>Streptococcus pneumoniae</w:t>
            </w:r>
            <w:r w:rsidRPr="00E024DB">
              <w:rPr>
                <w:vertAlign w:val="superscript"/>
              </w:rPr>
              <w:t>1</w:t>
            </w:r>
          </w:p>
          <w:p w:rsidR="00D80E0D" w:rsidRPr="00E024DB" w:rsidRDefault="00D80E0D" w:rsidP="007478A3">
            <w:pPr>
              <w:pStyle w:val="Bacil"/>
            </w:pPr>
            <w:r w:rsidRPr="00E024DB">
              <w:t>Streptococcus pyogenes a iné betahemolytické streptokoky</w:t>
            </w:r>
          </w:p>
          <w:p w:rsidR="00D80E0D" w:rsidRPr="00E024DB" w:rsidRDefault="00D80E0D" w:rsidP="007478A3">
            <w:pPr>
              <w:pStyle w:val="Bacil"/>
            </w:pPr>
            <w:r w:rsidRPr="00E024DB">
              <w:rPr>
                <w:color w:val="auto"/>
              </w:rPr>
              <w:t>skupina</w:t>
            </w:r>
            <w:r w:rsidRPr="00E024DB">
              <w:t xml:space="preserve"> Streptococcus viridans</w:t>
            </w:r>
          </w:p>
          <w:p w:rsidR="00D80E0D" w:rsidRPr="00E024DB" w:rsidRDefault="00D80E0D" w:rsidP="007478A3">
            <w:pPr>
              <w:pStyle w:val="Bacil"/>
            </w:pPr>
          </w:p>
        </w:tc>
        <w:tc>
          <w:tcPr>
            <w:tcW w:w="3181" w:type="dxa"/>
            <w:shd w:val="clear" w:color="000000" w:fill="auto"/>
          </w:tcPr>
          <w:p w:rsidR="00D80E0D" w:rsidRPr="00E024DB" w:rsidRDefault="00D80E0D" w:rsidP="007478A3">
            <w:pPr>
              <w:pStyle w:val="Bacil"/>
            </w:pPr>
            <w:r w:rsidRPr="00E024DB">
              <w:t>Enterococcus faecalis</w:t>
            </w:r>
          </w:p>
          <w:p w:rsidR="00D80E0D" w:rsidRPr="00E024DB" w:rsidRDefault="00D80E0D" w:rsidP="007478A3">
            <w:pPr>
              <w:pStyle w:val="Bacil"/>
            </w:pPr>
            <w:r w:rsidRPr="00E024DB">
              <w:rPr>
                <w:lang w:eastAsia="sk-SK"/>
              </w:rPr>
              <w:t>Gardnerella vaginalis</w:t>
            </w:r>
          </w:p>
          <w:p w:rsidR="00D80E0D" w:rsidRPr="00E024DB" w:rsidRDefault="00D80E0D" w:rsidP="007478A3">
            <w:pPr>
              <w:pStyle w:val="Bacil"/>
            </w:pPr>
            <w:r w:rsidRPr="00E024DB">
              <w:t xml:space="preserve">Staphylococcus aureus </w:t>
            </w:r>
            <w:r w:rsidRPr="00E024DB">
              <w:rPr>
                <w:color w:val="auto"/>
              </w:rPr>
              <w:t>(citlivý na meticilín)£</w:t>
            </w:r>
          </w:p>
          <w:p w:rsidR="00D80E0D" w:rsidRPr="00E024DB" w:rsidRDefault="00D80E0D" w:rsidP="007478A3">
            <w:pPr>
              <w:pStyle w:val="Bacil"/>
            </w:pPr>
            <w:r w:rsidRPr="00E024DB">
              <w:t xml:space="preserve">Koaguláza negatívne stafylokoky </w:t>
            </w:r>
            <w:r w:rsidRPr="00E024DB">
              <w:rPr>
                <w:color w:val="auto"/>
              </w:rPr>
              <w:t>(citlivé na meticilín)</w:t>
            </w:r>
          </w:p>
          <w:p w:rsidR="00D80E0D" w:rsidRPr="00E024DB" w:rsidRDefault="00D80E0D" w:rsidP="007478A3">
            <w:pPr>
              <w:pStyle w:val="Bacil"/>
            </w:pPr>
            <w:r w:rsidRPr="00E024DB">
              <w:t>Streptococcus agalactiae</w:t>
            </w:r>
          </w:p>
          <w:p w:rsidR="00D80E0D" w:rsidRPr="00E024DB" w:rsidRDefault="00D80E0D" w:rsidP="007478A3">
            <w:pPr>
              <w:pStyle w:val="Bacil"/>
              <w:rPr>
                <w:vertAlign w:val="superscript"/>
              </w:rPr>
            </w:pPr>
            <w:r w:rsidRPr="00E024DB">
              <w:t>Streptococcus pneumoniae</w:t>
            </w:r>
            <w:r w:rsidRPr="00E024DB">
              <w:rPr>
                <w:vertAlign w:val="superscript"/>
              </w:rPr>
              <w:t>1</w:t>
            </w:r>
          </w:p>
          <w:p w:rsidR="00D80E0D" w:rsidRPr="00E024DB" w:rsidRDefault="00D80E0D" w:rsidP="007478A3">
            <w:pPr>
              <w:pStyle w:val="Bacil"/>
            </w:pPr>
            <w:r w:rsidRPr="00E024DB">
              <w:t>Streptococcus pyogenes a iné betahemolytické streptokoky</w:t>
            </w:r>
          </w:p>
          <w:p w:rsidR="00D80E0D" w:rsidRPr="00E024DB" w:rsidRDefault="00D80E0D" w:rsidP="007478A3">
            <w:pPr>
              <w:pStyle w:val="Bacil"/>
            </w:pPr>
            <w:r w:rsidRPr="00E024DB">
              <w:rPr>
                <w:color w:val="auto"/>
              </w:rPr>
              <w:t>skupina</w:t>
            </w:r>
            <w:r w:rsidRPr="00E024DB">
              <w:t xml:space="preserve"> Streptococcus viridans</w:t>
            </w:r>
          </w:p>
        </w:tc>
        <w:tc>
          <w:tcPr>
            <w:tcW w:w="3182" w:type="dxa"/>
            <w:shd w:val="clear" w:color="000000" w:fill="auto"/>
          </w:tcPr>
          <w:p w:rsidR="00D80E0D" w:rsidRPr="00E024DB" w:rsidRDefault="00D80E0D" w:rsidP="007478A3">
            <w:pPr>
              <w:pStyle w:val="Bacil"/>
            </w:pPr>
            <w:r w:rsidRPr="00E024DB">
              <w:t>Enterococcus faecalis</w:t>
            </w:r>
          </w:p>
          <w:p w:rsidR="00D80E0D" w:rsidRPr="00E024DB" w:rsidRDefault="00D80E0D" w:rsidP="007478A3">
            <w:pPr>
              <w:pStyle w:val="Bacil"/>
            </w:pPr>
            <w:r w:rsidRPr="00E024DB">
              <w:rPr>
                <w:lang w:eastAsia="sk-SK"/>
              </w:rPr>
              <w:t>Gardnerella vaginalis</w:t>
            </w:r>
          </w:p>
          <w:p w:rsidR="00D80E0D" w:rsidRPr="00E024DB" w:rsidRDefault="00D80E0D" w:rsidP="007478A3">
            <w:pPr>
              <w:pStyle w:val="Bacil"/>
            </w:pPr>
            <w:r w:rsidRPr="00E024DB">
              <w:t xml:space="preserve">Staphylococcus aureus </w:t>
            </w:r>
            <w:r w:rsidRPr="00E024DB">
              <w:rPr>
                <w:color w:val="auto"/>
              </w:rPr>
              <w:t>(citlivý na meticilín)£</w:t>
            </w:r>
          </w:p>
          <w:p w:rsidR="00D80E0D" w:rsidRPr="00E024DB" w:rsidRDefault="00D80E0D" w:rsidP="007478A3">
            <w:pPr>
              <w:pStyle w:val="Bacil"/>
            </w:pPr>
            <w:r w:rsidRPr="00E024DB">
              <w:t>Streptococcus agalactiae</w:t>
            </w:r>
          </w:p>
          <w:p w:rsidR="00D80E0D" w:rsidRPr="00E024DB" w:rsidRDefault="00D80E0D" w:rsidP="007478A3">
            <w:pPr>
              <w:pStyle w:val="Bacil"/>
              <w:rPr>
                <w:vertAlign w:val="superscript"/>
              </w:rPr>
            </w:pPr>
            <w:r w:rsidRPr="00E024DB">
              <w:t>Streptococcus pneumoniae</w:t>
            </w:r>
            <w:r w:rsidRPr="00E024DB">
              <w:rPr>
                <w:vertAlign w:val="superscript"/>
              </w:rPr>
              <w:t>1</w:t>
            </w:r>
          </w:p>
          <w:p w:rsidR="00D80E0D" w:rsidRPr="00E024DB" w:rsidRDefault="00D80E0D" w:rsidP="007478A3">
            <w:pPr>
              <w:pStyle w:val="Bacil"/>
            </w:pPr>
            <w:r w:rsidRPr="00E024DB">
              <w:t xml:space="preserve">Streptococcus pyogenes </w:t>
            </w:r>
            <w:r w:rsidRPr="00E024DB">
              <w:rPr>
                <w:color w:val="auto"/>
              </w:rPr>
              <w:t>a iné betahemolytické streptokoky</w:t>
            </w:r>
            <w:r w:rsidRPr="00E024DB">
              <w:t xml:space="preserve"> </w:t>
            </w:r>
            <w:r w:rsidRPr="00E024DB">
              <w:rPr>
                <w:color w:val="auto"/>
              </w:rPr>
              <w:t xml:space="preserve">skupina </w:t>
            </w:r>
            <w:r w:rsidRPr="00E024DB">
              <w:t>Streptococcus viridans</w:t>
            </w:r>
          </w:p>
        </w:tc>
      </w:tr>
      <w:tr w:rsidR="00D80E0D" w:rsidRPr="00681040" w:rsidTr="00003B60">
        <w:tc>
          <w:tcPr>
            <w:tcW w:w="9544" w:type="dxa"/>
            <w:gridSpan w:val="3"/>
            <w:shd w:val="clear" w:color="000000" w:fill="auto"/>
          </w:tcPr>
          <w:p w:rsidR="00D80E0D" w:rsidRPr="00E024DB" w:rsidRDefault="00D80E0D" w:rsidP="00AE5E07">
            <w:pPr>
              <w:pStyle w:val="Styl3"/>
            </w:pPr>
            <w:r w:rsidRPr="00E024DB">
              <w:lastRenderedPageBreak/>
              <w:t>Aeróbne gramnegatívne mikroorganizmy</w:t>
            </w:r>
          </w:p>
          <w:p w:rsidR="00D80E0D" w:rsidRPr="00E024DB" w:rsidRDefault="00D80E0D" w:rsidP="007478A3">
            <w:pPr>
              <w:pStyle w:val="Bacil"/>
            </w:pPr>
            <w:r w:rsidRPr="00E024DB">
              <w:t>Capnocytophaga sp.</w:t>
            </w:r>
          </w:p>
          <w:p w:rsidR="00D80E0D" w:rsidRPr="00E024DB" w:rsidRDefault="00D80E0D" w:rsidP="007478A3">
            <w:pPr>
              <w:pStyle w:val="Bacil"/>
            </w:pPr>
            <w:r w:rsidRPr="00E024DB">
              <w:t>Eikenella corrodens</w:t>
            </w:r>
          </w:p>
          <w:p w:rsidR="00D80E0D" w:rsidRPr="00E024DB" w:rsidRDefault="00D80E0D" w:rsidP="007478A3">
            <w:pPr>
              <w:pStyle w:val="Bacil"/>
              <w:rPr>
                <w:vertAlign w:val="superscript"/>
              </w:rPr>
            </w:pPr>
            <w:r w:rsidRPr="00E024DB">
              <w:t>Haemophilus influenzae</w:t>
            </w:r>
            <w:r w:rsidRPr="00E024DB">
              <w:rPr>
                <w:vertAlign w:val="superscript"/>
              </w:rPr>
              <w:t>2</w:t>
            </w:r>
          </w:p>
          <w:p w:rsidR="00D80E0D" w:rsidRPr="00E024DB" w:rsidRDefault="00D80E0D" w:rsidP="007478A3">
            <w:pPr>
              <w:pStyle w:val="Bacil"/>
            </w:pPr>
            <w:r w:rsidRPr="00E024DB">
              <w:t>Moraxella catarrhalis</w:t>
            </w:r>
          </w:p>
          <w:p w:rsidR="00D80E0D" w:rsidRPr="00E024DB" w:rsidRDefault="00D80E0D" w:rsidP="007478A3">
            <w:pPr>
              <w:pStyle w:val="Bacil"/>
            </w:pPr>
            <w:r w:rsidRPr="00E024DB">
              <w:t>Pasteurella multocida</w:t>
            </w:r>
          </w:p>
        </w:tc>
      </w:tr>
      <w:tr w:rsidR="00D80E0D" w:rsidRPr="00681040" w:rsidTr="00003B60">
        <w:tc>
          <w:tcPr>
            <w:tcW w:w="9544" w:type="dxa"/>
            <w:gridSpan w:val="3"/>
            <w:shd w:val="clear" w:color="000000" w:fill="auto"/>
          </w:tcPr>
          <w:p w:rsidR="00D80E0D" w:rsidRPr="00E024DB" w:rsidRDefault="00D80E0D" w:rsidP="00AE5E07">
            <w:pPr>
              <w:pStyle w:val="Styl3"/>
            </w:pPr>
            <w:r w:rsidRPr="00E024DB">
              <w:t>Anaeróbne mikroorganizmy</w:t>
            </w:r>
          </w:p>
          <w:p w:rsidR="00D80E0D" w:rsidRPr="00E024DB" w:rsidRDefault="00D80E0D" w:rsidP="007478A3">
            <w:pPr>
              <w:pStyle w:val="Bacil"/>
            </w:pPr>
            <w:r w:rsidRPr="00E024DB">
              <w:t>Bacteroides fragilis</w:t>
            </w:r>
          </w:p>
          <w:p w:rsidR="00D80E0D" w:rsidRPr="00E024DB" w:rsidRDefault="00D80E0D" w:rsidP="007478A3">
            <w:pPr>
              <w:pStyle w:val="Bacil"/>
            </w:pPr>
            <w:r w:rsidRPr="00E024DB">
              <w:t>Fusobacterium nucleatum</w:t>
            </w:r>
          </w:p>
          <w:p w:rsidR="00D80E0D" w:rsidRPr="00E024DB" w:rsidRDefault="00D80E0D" w:rsidP="007478A3">
            <w:pPr>
              <w:pStyle w:val="Bacil"/>
            </w:pPr>
            <w:r w:rsidRPr="00E024DB">
              <w:t>Prevotella sp.</w:t>
            </w:r>
          </w:p>
        </w:tc>
      </w:tr>
      <w:tr w:rsidR="00D80E0D" w:rsidRPr="00681040" w:rsidTr="00003B60">
        <w:tc>
          <w:tcPr>
            <w:tcW w:w="9544" w:type="dxa"/>
            <w:gridSpan w:val="3"/>
            <w:shd w:val="clear" w:color="000000" w:fill="auto"/>
          </w:tcPr>
          <w:p w:rsidR="00D80E0D" w:rsidRPr="00D80E0D" w:rsidRDefault="00D80E0D" w:rsidP="00AE5E07">
            <w:pPr>
              <w:pStyle w:val="Styl4"/>
            </w:pPr>
            <w:r w:rsidRPr="00D80E0D">
              <w:t>Druhy, pri ktorých môže byť problémom získaná rezistencia</w:t>
            </w:r>
          </w:p>
        </w:tc>
      </w:tr>
      <w:tr w:rsidR="00D80E0D" w:rsidRPr="00681040" w:rsidTr="00003B60">
        <w:tc>
          <w:tcPr>
            <w:tcW w:w="9544" w:type="dxa"/>
            <w:gridSpan w:val="3"/>
            <w:shd w:val="clear" w:color="000000" w:fill="auto"/>
          </w:tcPr>
          <w:p w:rsidR="00D80E0D" w:rsidRPr="00E024DB" w:rsidRDefault="00D80E0D" w:rsidP="00AE5E07">
            <w:pPr>
              <w:pStyle w:val="Styl3"/>
            </w:pPr>
            <w:r w:rsidRPr="00E024DB">
              <w:t>Aeróbne grampozitívne mikroorganizmy</w:t>
            </w:r>
          </w:p>
          <w:p w:rsidR="00D80E0D" w:rsidRPr="00E024DB" w:rsidRDefault="00D80E0D" w:rsidP="007478A3">
            <w:pPr>
              <w:pStyle w:val="Bacil"/>
            </w:pPr>
            <w:r w:rsidRPr="00E024DB">
              <w:t>Enterococcus faecium $</w:t>
            </w:r>
          </w:p>
          <w:p w:rsidR="00D80E0D" w:rsidRPr="00E024DB" w:rsidRDefault="00D80E0D" w:rsidP="00AE5E07">
            <w:pPr>
              <w:pStyle w:val="Styl3"/>
            </w:pPr>
            <w:r w:rsidRPr="00E024DB">
              <w:t>Aeróbne gramnegatívne mikroorganizmy</w:t>
            </w:r>
          </w:p>
          <w:p w:rsidR="00D80E0D" w:rsidRPr="00E024DB" w:rsidRDefault="00D80E0D" w:rsidP="007478A3">
            <w:pPr>
              <w:pStyle w:val="Bacil"/>
            </w:pPr>
            <w:r w:rsidRPr="00E024DB">
              <w:t>Escherichia coli</w:t>
            </w:r>
          </w:p>
          <w:p w:rsidR="00D80E0D" w:rsidRPr="00E024DB" w:rsidRDefault="00D80E0D" w:rsidP="007478A3">
            <w:pPr>
              <w:pStyle w:val="Bacil"/>
            </w:pPr>
            <w:r w:rsidRPr="00E024DB">
              <w:t>Klebsiella oxytoca</w:t>
            </w:r>
          </w:p>
          <w:p w:rsidR="00D80E0D" w:rsidRPr="00E024DB" w:rsidRDefault="00D80E0D" w:rsidP="007478A3">
            <w:pPr>
              <w:pStyle w:val="Bacil"/>
            </w:pPr>
            <w:r w:rsidRPr="00E024DB">
              <w:t>Klebsiella pneumoniae</w:t>
            </w:r>
          </w:p>
          <w:p w:rsidR="00D80E0D" w:rsidRPr="00E024DB" w:rsidRDefault="00D80E0D" w:rsidP="007478A3">
            <w:pPr>
              <w:pStyle w:val="Bacil"/>
            </w:pPr>
            <w:r w:rsidRPr="00E024DB">
              <w:t>Proteus mirabilis</w:t>
            </w:r>
          </w:p>
          <w:p w:rsidR="00D80E0D" w:rsidRPr="00E024DB" w:rsidRDefault="00D80E0D" w:rsidP="007478A3">
            <w:pPr>
              <w:pStyle w:val="Bacil"/>
            </w:pPr>
            <w:r w:rsidRPr="00E024DB">
              <w:t>Proteus vulgaris</w:t>
            </w:r>
          </w:p>
        </w:tc>
      </w:tr>
      <w:tr w:rsidR="00D80E0D" w:rsidRPr="00681040" w:rsidTr="00003B60">
        <w:tc>
          <w:tcPr>
            <w:tcW w:w="9544" w:type="dxa"/>
            <w:gridSpan w:val="3"/>
            <w:shd w:val="clear" w:color="000000" w:fill="auto"/>
          </w:tcPr>
          <w:p w:rsidR="00D80E0D" w:rsidRPr="00D80E0D" w:rsidRDefault="00D80E0D" w:rsidP="00AE5E07">
            <w:pPr>
              <w:pStyle w:val="Styl4"/>
            </w:pPr>
            <w:r w:rsidRPr="00D80E0D">
              <w:t xml:space="preserve">Inherentne rezistentné mikroorganizmy </w:t>
            </w:r>
          </w:p>
        </w:tc>
      </w:tr>
      <w:tr w:rsidR="00D80E0D" w:rsidRPr="00681040" w:rsidTr="00003B60">
        <w:tc>
          <w:tcPr>
            <w:tcW w:w="9544" w:type="dxa"/>
            <w:gridSpan w:val="3"/>
            <w:shd w:val="clear" w:color="000000" w:fill="auto"/>
          </w:tcPr>
          <w:p w:rsidR="00D80E0D" w:rsidRPr="00E024DB" w:rsidRDefault="00D80E0D" w:rsidP="00AE5E07">
            <w:pPr>
              <w:pStyle w:val="Styl3"/>
            </w:pPr>
            <w:r w:rsidRPr="00E024DB">
              <w:t>Aeróbne gramnegatívne mikroorganizmy</w:t>
            </w:r>
          </w:p>
        </w:tc>
      </w:tr>
      <w:tr w:rsidR="00D80E0D" w:rsidRPr="00681040" w:rsidTr="00003B60">
        <w:tc>
          <w:tcPr>
            <w:tcW w:w="3181" w:type="dxa"/>
            <w:shd w:val="clear" w:color="000000" w:fill="auto"/>
          </w:tcPr>
          <w:p w:rsidR="00D80E0D" w:rsidRPr="00D80E0D" w:rsidRDefault="00D80E0D" w:rsidP="00AE5E07">
            <w:pPr>
              <w:pStyle w:val="Styl4"/>
              <w:rPr>
                <w:sz w:val="20"/>
              </w:rPr>
            </w:pPr>
            <w:r w:rsidRPr="00D80E0D">
              <w:t>MEDOCLAV 375 mg</w:t>
            </w:r>
          </w:p>
        </w:tc>
        <w:tc>
          <w:tcPr>
            <w:tcW w:w="3181" w:type="dxa"/>
            <w:shd w:val="clear" w:color="000000" w:fill="auto"/>
          </w:tcPr>
          <w:p w:rsidR="00D80E0D" w:rsidRPr="00D80E0D" w:rsidRDefault="00D80E0D" w:rsidP="00AE5E07">
            <w:pPr>
              <w:pStyle w:val="Styl4"/>
            </w:pPr>
            <w:r w:rsidRPr="00D80E0D">
              <w:t>MEDOCLAV 625 mg</w:t>
            </w:r>
          </w:p>
        </w:tc>
        <w:tc>
          <w:tcPr>
            <w:tcW w:w="3182" w:type="dxa"/>
            <w:shd w:val="clear" w:color="000000" w:fill="auto"/>
          </w:tcPr>
          <w:p w:rsidR="00D80E0D" w:rsidRPr="00D80E0D" w:rsidRDefault="00D80E0D" w:rsidP="00AE5E07">
            <w:pPr>
              <w:pStyle w:val="Styl4"/>
            </w:pPr>
            <w:r w:rsidRPr="00D80E0D">
              <w:t>MEDOCLAV 1 g</w:t>
            </w:r>
          </w:p>
        </w:tc>
      </w:tr>
      <w:tr w:rsidR="00D80E0D" w:rsidRPr="00681040" w:rsidTr="00003B60">
        <w:tc>
          <w:tcPr>
            <w:tcW w:w="3181" w:type="dxa"/>
            <w:shd w:val="clear" w:color="000000" w:fill="auto"/>
          </w:tcPr>
          <w:p w:rsidR="00D80E0D" w:rsidRPr="00E024DB" w:rsidRDefault="00D80E0D" w:rsidP="007478A3">
            <w:pPr>
              <w:pStyle w:val="Bacil"/>
            </w:pPr>
            <w:r w:rsidRPr="00E024DB">
              <w:t>Acinetobacter sp.</w:t>
            </w:r>
          </w:p>
          <w:p w:rsidR="00D80E0D" w:rsidRPr="00E024DB" w:rsidRDefault="00D80E0D" w:rsidP="007478A3">
            <w:pPr>
              <w:pStyle w:val="Bacil"/>
            </w:pPr>
            <w:r w:rsidRPr="00E024DB">
              <w:t>Citrobacter freundii</w:t>
            </w:r>
          </w:p>
          <w:p w:rsidR="00D80E0D" w:rsidRPr="00E024DB" w:rsidRDefault="00D80E0D" w:rsidP="007478A3">
            <w:pPr>
              <w:pStyle w:val="Bacil"/>
            </w:pPr>
            <w:r w:rsidRPr="00E024DB">
              <w:t>Enterobacter sp.</w:t>
            </w:r>
          </w:p>
          <w:p w:rsidR="00D80E0D" w:rsidRPr="00E024DB" w:rsidRDefault="00D80E0D" w:rsidP="007478A3">
            <w:pPr>
              <w:pStyle w:val="Bacil"/>
            </w:pPr>
            <w:r w:rsidRPr="00E024DB">
              <w:t>Morganella morganii</w:t>
            </w:r>
          </w:p>
          <w:p w:rsidR="00D80E0D" w:rsidRPr="00E024DB" w:rsidRDefault="00D80E0D" w:rsidP="007478A3">
            <w:pPr>
              <w:pStyle w:val="Bacil"/>
            </w:pPr>
            <w:r w:rsidRPr="00E024DB">
              <w:t>Providencia sp.</w:t>
            </w:r>
          </w:p>
          <w:p w:rsidR="00D80E0D" w:rsidRPr="00E024DB" w:rsidRDefault="00D80E0D" w:rsidP="007478A3">
            <w:pPr>
              <w:pStyle w:val="Bacil"/>
            </w:pPr>
            <w:r w:rsidRPr="00E024DB">
              <w:t>Pseudomonas sp.</w:t>
            </w:r>
          </w:p>
          <w:p w:rsidR="00D80E0D" w:rsidRPr="00E024DB" w:rsidRDefault="00D80E0D" w:rsidP="007478A3">
            <w:pPr>
              <w:pStyle w:val="Bacil"/>
            </w:pPr>
            <w:r w:rsidRPr="00E024DB">
              <w:t>Serratia sp.</w:t>
            </w:r>
          </w:p>
          <w:p w:rsidR="00D80E0D" w:rsidRPr="00E024DB" w:rsidRDefault="00D80E0D" w:rsidP="007478A3">
            <w:pPr>
              <w:pStyle w:val="Bacil"/>
            </w:pPr>
            <w:r w:rsidRPr="00E024DB">
              <w:t>Stenotrophomonas maltophilia</w:t>
            </w:r>
          </w:p>
        </w:tc>
        <w:tc>
          <w:tcPr>
            <w:tcW w:w="3181" w:type="dxa"/>
            <w:shd w:val="clear" w:color="000000" w:fill="auto"/>
          </w:tcPr>
          <w:p w:rsidR="00D80E0D" w:rsidRPr="00E024DB" w:rsidRDefault="00D80E0D" w:rsidP="007478A3">
            <w:pPr>
              <w:pStyle w:val="Bacil"/>
            </w:pPr>
            <w:r w:rsidRPr="00E024DB">
              <w:t>Acinetobacter sp.</w:t>
            </w:r>
          </w:p>
          <w:p w:rsidR="00D80E0D" w:rsidRPr="00E024DB" w:rsidRDefault="00D80E0D" w:rsidP="007478A3">
            <w:pPr>
              <w:pStyle w:val="Bacil"/>
            </w:pPr>
            <w:r w:rsidRPr="00E024DB">
              <w:t>Citrobacter freundii</w:t>
            </w:r>
          </w:p>
          <w:p w:rsidR="00D80E0D" w:rsidRPr="00E024DB" w:rsidRDefault="00D80E0D" w:rsidP="007478A3">
            <w:pPr>
              <w:pStyle w:val="Bacil"/>
            </w:pPr>
            <w:r w:rsidRPr="00E024DB">
              <w:t>Enterobacter sp.</w:t>
            </w:r>
          </w:p>
          <w:p w:rsidR="00D80E0D" w:rsidRPr="00E024DB" w:rsidRDefault="00D80E0D" w:rsidP="007478A3">
            <w:pPr>
              <w:pStyle w:val="Bacil"/>
            </w:pPr>
            <w:r w:rsidRPr="00E024DB">
              <w:t>Legionella pneumophila</w:t>
            </w:r>
          </w:p>
          <w:p w:rsidR="00D80E0D" w:rsidRPr="00E024DB" w:rsidRDefault="00D80E0D" w:rsidP="007478A3">
            <w:pPr>
              <w:pStyle w:val="Bacil"/>
            </w:pPr>
            <w:r w:rsidRPr="00E024DB">
              <w:t>Morganella morganii</w:t>
            </w:r>
          </w:p>
          <w:p w:rsidR="00D80E0D" w:rsidRPr="00E024DB" w:rsidRDefault="00D80E0D" w:rsidP="007478A3">
            <w:pPr>
              <w:pStyle w:val="Bacil"/>
            </w:pPr>
            <w:r w:rsidRPr="00E024DB">
              <w:t>Providencia sp.</w:t>
            </w:r>
          </w:p>
          <w:p w:rsidR="00D80E0D" w:rsidRPr="00E024DB" w:rsidRDefault="00D80E0D" w:rsidP="007478A3">
            <w:pPr>
              <w:pStyle w:val="Bacil"/>
            </w:pPr>
            <w:r w:rsidRPr="00E024DB">
              <w:t>Pseudomonas sp.</w:t>
            </w:r>
          </w:p>
          <w:p w:rsidR="00D80E0D" w:rsidRPr="00E024DB" w:rsidRDefault="00D80E0D" w:rsidP="007478A3">
            <w:pPr>
              <w:pStyle w:val="Bacil"/>
            </w:pPr>
            <w:r w:rsidRPr="00E024DB">
              <w:t>Serratia sp.</w:t>
            </w:r>
          </w:p>
          <w:p w:rsidR="00D80E0D" w:rsidRPr="00E024DB" w:rsidRDefault="00D80E0D" w:rsidP="007478A3">
            <w:pPr>
              <w:pStyle w:val="Bacil"/>
            </w:pPr>
            <w:r w:rsidRPr="00E024DB">
              <w:t>Stenotrophomonas maltophilia</w:t>
            </w:r>
          </w:p>
        </w:tc>
        <w:tc>
          <w:tcPr>
            <w:tcW w:w="3182" w:type="dxa"/>
            <w:shd w:val="clear" w:color="000000" w:fill="auto"/>
          </w:tcPr>
          <w:p w:rsidR="00D80E0D" w:rsidRPr="00E024DB" w:rsidRDefault="00D80E0D" w:rsidP="007478A3">
            <w:pPr>
              <w:pStyle w:val="Bacil"/>
            </w:pPr>
            <w:r w:rsidRPr="00E024DB">
              <w:t>Acinetobacter sp.</w:t>
            </w:r>
          </w:p>
          <w:p w:rsidR="00D80E0D" w:rsidRPr="00E024DB" w:rsidRDefault="00D80E0D" w:rsidP="007478A3">
            <w:pPr>
              <w:pStyle w:val="Bacil"/>
            </w:pPr>
            <w:r w:rsidRPr="00E024DB">
              <w:t>Citrobacter freundii</w:t>
            </w:r>
          </w:p>
          <w:p w:rsidR="00D80E0D" w:rsidRPr="00E024DB" w:rsidRDefault="00D80E0D" w:rsidP="007478A3">
            <w:pPr>
              <w:pStyle w:val="Bacil"/>
            </w:pPr>
            <w:r w:rsidRPr="00E024DB">
              <w:t>Enterobacter sp.</w:t>
            </w:r>
          </w:p>
          <w:p w:rsidR="00D80E0D" w:rsidRPr="00E024DB" w:rsidRDefault="00D80E0D" w:rsidP="007478A3">
            <w:pPr>
              <w:pStyle w:val="Bacil"/>
            </w:pPr>
            <w:r w:rsidRPr="00E024DB">
              <w:t>Legionella pneumophila</w:t>
            </w:r>
          </w:p>
          <w:p w:rsidR="00D80E0D" w:rsidRPr="00E024DB" w:rsidRDefault="00D80E0D" w:rsidP="007478A3">
            <w:pPr>
              <w:pStyle w:val="Bacil"/>
            </w:pPr>
            <w:r w:rsidRPr="00E024DB">
              <w:t>Morganella morganii</w:t>
            </w:r>
          </w:p>
          <w:p w:rsidR="00D80E0D" w:rsidRPr="00E024DB" w:rsidRDefault="00D80E0D" w:rsidP="007478A3">
            <w:pPr>
              <w:pStyle w:val="Bacil"/>
            </w:pPr>
            <w:r w:rsidRPr="00E024DB">
              <w:t>Providencia sp.</w:t>
            </w:r>
          </w:p>
          <w:p w:rsidR="00D80E0D" w:rsidRPr="00E024DB" w:rsidRDefault="00D80E0D" w:rsidP="007478A3">
            <w:pPr>
              <w:pStyle w:val="Bacil"/>
            </w:pPr>
            <w:r w:rsidRPr="00E024DB">
              <w:t>Pseudomonas sp.</w:t>
            </w:r>
          </w:p>
          <w:p w:rsidR="00D80E0D" w:rsidRPr="00E024DB" w:rsidRDefault="00D80E0D" w:rsidP="007478A3">
            <w:pPr>
              <w:pStyle w:val="Bacil"/>
            </w:pPr>
            <w:r w:rsidRPr="00E024DB">
              <w:t>Serratia sp.</w:t>
            </w:r>
          </w:p>
          <w:p w:rsidR="00D80E0D" w:rsidRPr="00E024DB" w:rsidRDefault="00D80E0D" w:rsidP="007478A3">
            <w:pPr>
              <w:pStyle w:val="Bacil"/>
            </w:pPr>
            <w:r w:rsidRPr="00E024DB">
              <w:t>Stenotrophomonas maltophilia</w:t>
            </w:r>
          </w:p>
        </w:tc>
      </w:tr>
      <w:tr w:rsidR="00D80E0D" w:rsidRPr="00681040" w:rsidTr="00003B60">
        <w:tc>
          <w:tcPr>
            <w:tcW w:w="9544" w:type="dxa"/>
            <w:gridSpan w:val="3"/>
            <w:shd w:val="clear" w:color="000000" w:fill="auto"/>
          </w:tcPr>
          <w:p w:rsidR="00D80E0D" w:rsidRPr="00D80E0D" w:rsidRDefault="00D80E0D" w:rsidP="00AE5E07">
            <w:pPr>
              <w:pStyle w:val="Styl4"/>
            </w:pPr>
            <w:r w:rsidRPr="00D80E0D">
              <w:lastRenderedPageBreak/>
              <w:t>Iné mikroorganizmy</w:t>
            </w:r>
          </w:p>
        </w:tc>
      </w:tr>
      <w:tr w:rsidR="00D80E0D" w:rsidRPr="00681040" w:rsidTr="00003B60">
        <w:tc>
          <w:tcPr>
            <w:tcW w:w="3181" w:type="dxa"/>
            <w:shd w:val="clear" w:color="000000" w:fill="auto"/>
          </w:tcPr>
          <w:p w:rsidR="00D80E0D" w:rsidRPr="00D80E0D" w:rsidRDefault="00D80E0D" w:rsidP="00AE5E07">
            <w:pPr>
              <w:pStyle w:val="Styl4"/>
              <w:rPr>
                <w:sz w:val="20"/>
              </w:rPr>
            </w:pPr>
            <w:r w:rsidRPr="00D80E0D">
              <w:t>MEDOCLAV 375 mg</w:t>
            </w:r>
          </w:p>
        </w:tc>
        <w:tc>
          <w:tcPr>
            <w:tcW w:w="3181" w:type="dxa"/>
            <w:shd w:val="clear" w:color="000000" w:fill="auto"/>
          </w:tcPr>
          <w:p w:rsidR="00D80E0D" w:rsidRPr="00D80E0D" w:rsidRDefault="00D80E0D" w:rsidP="00AE5E07">
            <w:pPr>
              <w:pStyle w:val="Styl4"/>
            </w:pPr>
            <w:r w:rsidRPr="00D80E0D">
              <w:t>MEDOCLAV 625 mg</w:t>
            </w:r>
          </w:p>
        </w:tc>
        <w:tc>
          <w:tcPr>
            <w:tcW w:w="3182" w:type="dxa"/>
            <w:shd w:val="clear" w:color="000000" w:fill="auto"/>
          </w:tcPr>
          <w:p w:rsidR="00D80E0D" w:rsidRPr="00D80E0D" w:rsidRDefault="00D80E0D" w:rsidP="00AE5E07">
            <w:pPr>
              <w:pStyle w:val="Styl4"/>
            </w:pPr>
            <w:r w:rsidRPr="00D80E0D">
              <w:t>MEDOCLAV 1 g</w:t>
            </w:r>
          </w:p>
        </w:tc>
      </w:tr>
      <w:tr w:rsidR="00D80E0D" w:rsidRPr="00681040" w:rsidTr="00003B60">
        <w:tc>
          <w:tcPr>
            <w:tcW w:w="3181" w:type="dxa"/>
            <w:shd w:val="clear" w:color="000000" w:fill="auto"/>
          </w:tcPr>
          <w:p w:rsidR="00D80E0D" w:rsidRPr="00E024DB" w:rsidRDefault="00D80E0D" w:rsidP="007478A3">
            <w:pPr>
              <w:pStyle w:val="Normlndobloku"/>
            </w:pPr>
          </w:p>
        </w:tc>
        <w:tc>
          <w:tcPr>
            <w:tcW w:w="3181" w:type="dxa"/>
            <w:shd w:val="clear" w:color="000000" w:fill="auto"/>
          </w:tcPr>
          <w:p w:rsidR="00D80E0D" w:rsidRPr="00E024DB" w:rsidRDefault="00D80E0D" w:rsidP="007478A3">
            <w:pPr>
              <w:pStyle w:val="Bacil"/>
              <w:rPr>
                <w:lang w:eastAsia="sk-SK"/>
              </w:rPr>
            </w:pPr>
            <w:r w:rsidRPr="00E024DB">
              <w:rPr>
                <w:lang w:eastAsia="sk-SK"/>
              </w:rPr>
              <w:t>Chlamydophila pneumoniae</w:t>
            </w:r>
          </w:p>
          <w:p w:rsidR="00D80E0D" w:rsidRPr="00E024DB" w:rsidRDefault="00D80E0D" w:rsidP="007478A3">
            <w:pPr>
              <w:pStyle w:val="Bacil"/>
              <w:rPr>
                <w:lang w:eastAsia="sk-SK"/>
              </w:rPr>
            </w:pPr>
            <w:r w:rsidRPr="00E024DB">
              <w:rPr>
                <w:lang w:eastAsia="sk-SK"/>
              </w:rPr>
              <w:t>Chlamydophila psittaci</w:t>
            </w:r>
          </w:p>
          <w:p w:rsidR="00D80E0D" w:rsidRPr="00E024DB" w:rsidRDefault="00D80E0D" w:rsidP="007478A3">
            <w:pPr>
              <w:pStyle w:val="Bacil"/>
              <w:rPr>
                <w:lang w:eastAsia="sk-SK"/>
              </w:rPr>
            </w:pPr>
            <w:r w:rsidRPr="00E024DB">
              <w:rPr>
                <w:lang w:eastAsia="sk-SK"/>
              </w:rPr>
              <w:t>Coxiella burnetti</w:t>
            </w:r>
          </w:p>
          <w:p w:rsidR="00D80E0D" w:rsidRPr="00E024DB" w:rsidRDefault="00D80E0D" w:rsidP="007478A3">
            <w:pPr>
              <w:pStyle w:val="Bacil"/>
            </w:pPr>
            <w:r w:rsidRPr="00E024DB">
              <w:rPr>
                <w:lang w:eastAsia="sk-SK"/>
              </w:rPr>
              <w:t>Mycoplasma pneumoniae</w:t>
            </w:r>
          </w:p>
        </w:tc>
        <w:tc>
          <w:tcPr>
            <w:tcW w:w="3182" w:type="dxa"/>
            <w:shd w:val="clear" w:color="000000" w:fill="auto"/>
          </w:tcPr>
          <w:p w:rsidR="00D80E0D" w:rsidRPr="00E024DB" w:rsidRDefault="00D80E0D" w:rsidP="007478A3">
            <w:pPr>
              <w:pStyle w:val="Bacil"/>
              <w:rPr>
                <w:lang w:eastAsia="sk-SK"/>
              </w:rPr>
            </w:pPr>
            <w:r w:rsidRPr="00E024DB">
              <w:rPr>
                <w:lang w:eastAsia="sk-SK"/>
              </w:rPr>
              <w:t>Chlamydophila pneumoniae</w:t>
            </w:r>
          </w:p>
          <w:p w:rsidR="00D80E0D" w:rsidRPr="00E024DB" w:rsidRDefault="00D80E0D" w:rsidP="007478A3">
            <w:pPr>
              <w:pStyle w:val="Bacil"/>
              <w:rPr>
                <w:lang w:eastAsia="sk-SK"/>
              </w:rPr>
            </w:pPr>
            <w:r w:rsidRPr="00E024DB">
              <w:rPr>
                <w:lang w:eastAsia="sk-SK"/>
              </w:rPr>
              <w:t>Chlamydophila psittaci</w:t>
            </w:r>
          </w:p>
          <w:p w:rsidR="00D80E0D" w:rsidRPr="00E024DB" w:rsidRDefault="00D80E0D" w:rsidP="007478A3">
            <w:pPr>
              <w:pStyle w:val="Bacil"/>
              <w:rPr>
                <w:lang w:eastAsia="sk-SK"/>
              </w:rPr>
            </w:pPr>
            <w:r w:rsidRPr="00E024DB">
              <w:rPr>
                <w:lang w:eastAsia="sk-SK"/>
              </w:rPr>
              <w:t>Coxiella burnetti</w:t>
            </w:r>
          </w:p>
          <w:p w:rsidR="00D80E0D" w:rsidRPr="00E024DB" w:rsidRDefault="00D80E0D" w:rsidP="007478A3">
            <w:pPr>
              <w:pStyle w:val="Bacil"/>
            </w:pPr>
            <w:r w:rsidRPr="00E024DB">
              <w:rPr>
                <w:lang w:eastAsia="sk-SK"/>
              </w:rPr>
              <w:t>Mycoplasma pneumoniae</w:t>
            </w:r>
          </w:p>
        </w:tc>
      </w:tr>
      <w:tr w:rsidR="00D80E0D" w:rsidRPr="00681040" w:rsidTr="00003B60">
        <w:tc>
          <w:tcPr>
            <w:tcW w:w="9544" w:type="dxa"/>
            <w:gridSpan w:val="3"/>
            <w:shd w:val="clear" w:color="000000" w:fill="auto"/>
          </w:tcPr>
          <w:p w:rsidR="00D80E0D" w:rsidRPr="00E024DB" w:rsidRDefault="00D80E0D" w:rsidP="007478A3">
            <w:pPr>
              <w:pStyle w:val="Normlndobloku"/>
            </w:pPr>
            <w:r w:rsidRPr="00E024DB">
              <w:t>$ Prirodzená intermediárna citlivosť pri neprítomnosti získaného mechanizmu rezistencie.</w:t>
            </w:r>
          </w:p>
          <w:p w:rsidR="00D80E0D" w:rsidRPr="00E024DB" w:rsidRDefault="00D80E0D" w:rsidP="007478A3">
            <w:pPr>
              <w:pStyle w:val="Normlndobloku"/>
            </w:pPr>
            <w:r w:rsidRPr="00E024DB">
              <w:t>£ Všetky stafylokoky rezistentné na meticilín sú rezistentné na amoxicilín/kyselinu klavulánovú.</w:t>
            </w:r>
          </w:p>
          <w:p w:rsidR="00D80E0D" w:rsidRPr="00E024DB" w:rsidRDefault="00D80E0D" w:rsidP="007478A3">
            <w:pPr>
              <w:pStyle w:val="Normlndobloku"/>
            </w:pPr>
            <w:r w:rsidRPr="00E024DB">
              <w:rPr>
                <w:vertAlign w:val="superscript"/>
              </w:rPr>
              <w:t>1</w:t>
            </w:r>
            <w:r w:rsidRPr="00E024DB">
              <w:rPr>
                <w:rFonts w:ascii="TimesNewRoman" w:hAnsi="TimesNewRoman"/>
                <w:i/>
                <w:iCs/>
              </w:rPr>
              <w:t>Streptococcus pneumoniae</w:t>
            </w:r>
            <w:r w:rsidRPr="00E024DB">
              <w:t xml:space="preserve">, ktorý je plne citlivý na penicilín, je možné liečiť touto formou amoxicilínu/kyseliny klavulánovej. Mikroorganizmy, ktoré vykazujú akýkoľvek stupeň zníženej citlivosti na penicilín, sa touto formou lieku nemajú liečiť (pozri časti </w:t>
            </w:r>
            <w:smartTag w:uri="urn:schemas-microsoft-com:office:smarttags" w:element="metricconverter">
              <w:smartTagPr>
                <w:attr w:name="ProductID" w:val="4.2 a"/>
              </w:smartTagPr>
              <w:r w:rsidRPr="00E024DB">
                <w:t>4.2 a </w:t>
              </w:r>
            </w:smartTag>
            <w:r w:rsidRPr="00E024DB">
              <w:t>4.4).</w:t>
            </w:r>
          </w:p>
          <w:p w:rsidR="00D80E0D" w:rsidRPr="00E024DB" w:rsidRDefault="00D80E0D" w:rsidP="007478A3">
            <w:pPr>
              <w:pStyle w:val="Normlndobloku"/>
            </w:pPr>
            <w:r w:rsidRPr="00E024DB">
              <w:rPr>
                <w:vertAlign w:val="superscript"/>
              </w:rPr>
              <w:t xml:space="preserve">2 </w:t>
            </w:r>
            <w:r w:rsidRPr="00E024DB">
              <w:t>Kmene so zníženou citlivosťou boli v niektorých krajinách EÚ hlásené s frekvenciou vyššou ako 10 %.</w:t>
            </w:r>
          </w:p>
        </w:tc>
      </w:tr>
    </w:tbl>
    <w:p w:rsidR="00D80E0D" w:rsidRPr="00681040" w:rsidRDefault="00D80E0D" w:rsidP="00C50E86">
      <w:pPr>
        <w:pStyle w:val="Styl2"/>
      </w:pPr>
      <w:r w:rsidRPr="00681040">
        <w:t>Farmakokinetické vlastnosti</w:t>
      </w:r>
    </w:p>
    <w:p w:rsidR="00D80E0D" w:rsidRPr="00681040" w:rsidRDefault="00D80E0D" w:rsidP="00AE5E07">
      <w:pPr>
        <w:pStyle w:val="Styl3"/>
      </w:pPr>
      <w:r w:rsidRPr="00681040">
        <w:t>Absorpcia</w:t>
      </w:r>
    </w:p>
    <w:p w:rsidR="00D80E0D" w:rsidRPr="00681040" w:rsidRDefault="00D80E0D" w:rsidP="007478A3">
      <w:pPr>
        <w:pStyle w:val="Normlndobloku"/>
        <w:rPr>
          <w:szCs w:val="22"/>
          <w:lang w:eastAsia="sk-SK"/>
        </w:rPr>
      </w:pPr>
      <w:r w:rsidRPr="00681040">
        <w:t>Amoxicilín a</w:t>
      </w:r>
      <w:r>
        <w:t> </w:t>
      </w:r>
      <w:r w:rsidRPr="00681040">
        <w:t>kyselina klavul</w:t>
      </w:r>
      <w:r>
        <w:t>á</w:t>
      </w:r>
      <w:r w:rsidRPr="00681040">
        <w:t>nová sú pri fyziologickom pH plne rozpustné vo vodnom roztoku. Po perorálnom podaní sa obe zložky rýchlo a</w:t>
      </w:r>
      <w:r>
        <w:t> </w:t>
      </w:r>
      <w:r w:rsidRPr="00681040">
        <w:t>dobre absorbujú. Optimálna absorpcia amoxicilínu/kyseliny klavul</w:t>
      </w:r>
      <w:r>
        <w:t>á</w:t>
      </w:r>
      <w:r w:rsidRPr="00681040">
        <w:t xml:space="preserve">novej sa dosiahne, keď sa liek užije na začiatku jedla. Po perorálnom </w:t>
      </w:r>
      <w:r w:rsidRPr="00681040">
        <w:rPr>
          <w:szCs w:val="22"/>
          <w:lang w:eastAsia="sk-SK"/>
        </w:rPr>
        <w:t>podaní je biologická dostupnosť amoxicilínu a</w:t>
      </w:r>
      <w:r>
        <w:rPr>
          <w:szCs w:val="22"/>
          <w:lang w:eastAsia="sk-SK"/>
        </w:rPr>
        <w:t> </w:t>
      </w:r>
      <w:r w:rsidRPr="00681040">
        <w:rPr>
          <w:szCs w:val="22"/>
          <w:lang w:eastAsia="sk-SK"/>
        </w:rPr>
        <w:t>kyseliny klavul</w:t>
      </w:r>
      <w:r>
        <w:rPr>
          <w:szCs w:val="22"/>
          <w:lang w:eastAsia="sk-SK"/>
        </w:rPr>
        <w:t>á</w:t>
      </w:r>
      <w:r w:rsidRPr="00681040">
        <w:rPr>
          <w:szCs w:val="22"/>
          <w:lang w:eastAsia="sk-SK"/>
        </w:rPr>
        <w:t>novej približne 70</w:t>
      </w:r>
      <w:r>
        <w:rPr>
          <w:szCs w:val="22"/>
          <w:lang w:eastAsia="sk-SK"/>
        </w:rPr>
        <w:t> %</w:t>
      </w:r>
      <w:r w:rsidRPr="00681040">
        <w:rPr>
          <w:szCs w:val="22"/>
          <w:lang w:eastAsia="sk-SK"/>
        </w:rPr>
        <w:t>. Plazmatický profil oboch zložiek je podobný a</w:t>
      </w:r>
      <w:r>
        <w:rPr>
          <w:szCs w:val="22"/>
          <w:lang w:eastAsia="sk-SK"/>
        </w:rPr>
        <w:t> </w:t>
      </w:r>
      <w:r w:rsidRPr="00681040">
        <w:rPr>
          <w:szCs w:val="22"/>
          <w:lang w:eastAsia="sk-SK"/>
        </w:rPr>
        <w:t>čas do dosiahnutia maximálnej plazmatickej koncentrácie (T</w:t>
      </w:r>
      <w:r w:rsidRPr="00681040">
        <w:rPr>
          <w:vertAlign w:val="subscript"/>
          <w:lang w:eastAsia="cs-CZ"/>
        </w:rPr>
        <w:t>max</w:t>
      </w:r>
      <w:r w:rsidRPr="00681040">
        <w:rPr>
          <w:szCs w:val="22"/>
          <w:lang w:eastAsia="sk-SK"/>
        </w:rPr>
        <w:t>) je v</w:t>
      </w:r>
      <w:r>
        <w:rPr>
          <w:szCs w:val="22"/>
          <w:lang w:eastAsia="sk-SK"/>
        </w:rPr>
        <w:t> </w:t>
      </w:r>
      <w:r w:rsidRPr="00681040">
        <w:rPr>
          <w:szCs w:val="22"/>
          <w:lang w:eastAsia="sk-SK"/>
        </w:rPr>
        <w:t>oboch prípadoch približne jedna hodina.</w:t>
      </w:r>
    </w:p>
    <w:p w:rsidR="00D80E0D" w:rsidRPr="00681040" w:rsidRDefault="00D80E0D" w:rsidP="007478A3">
      <w:pPr>
        <w:pStyle w:val="Normlndobloku"/>
      </w:pPr>
      <w:r w:rsidRPr="00681040">
        <w:t>Nižšie sú uvedené farmakokinetické výsledky získané v</w:t>
      </w:r>
      <w:r>
        <w:t> </w:t>
      </w:r>
      <w:r w:rsidRPr="00681040">
        <w:t>štúdii, v</w:t>
      </w:r>
      <w:r>
        <w:t> </w:t>
      </w:r>
      <w:r w:rsidRPr="00681040">
        <w:t>ktorej sa amoxicilín/kyselina klavul</w:t>
      </w:r>
      <w:r>
        <w:t>á</w:t>
      </w:r>
      <w:r w:rsidRPr="00681040">
        <w:t>nová (250</w:t>
      </w:r>
      <w:r>
        <w:t> </w:t>
      </w:r>
      <w:r w:rsidRPr="00681040">
        <w:t>mg/125</w:t>
      </w:r>
      <w:r>
        <w:t> </w:t>
      </w:r>
      <w:r w:rsidRPr="00681040">
        <w:t>mg, 500</w:t>
      </w:r>
      <w:r>
        <w:t> </w:t>
      </w:r>
      <w:r w:rsidRPr="00681040">
        <w:t>mg/125</w:t>
      </w:r>
      <w:r>
        <w:t> </w:t>
      </w:r>
      <w:r w:rsidRPr="00681040">
        <w:t xml:space="preserve">mg tablety trikrát denne) podávali nalačno skupinám zdravých </w:t>
      </w:r>
      <w:r w:rsidRPr="00681040">
        <w:rPr>
          <w:szCs w:val="22"/>
          <w:lang w:eastAsia="sk-SK"/>
        </w:rPr>
        <w:t>dobrovoľníkov.</w:t>
      </w:r>
      <w:r>
        <w:rPr>
          <w:szCs w:val="22"/>
          <w:lang w:eastAsia="sk-SK"/>
        </w:rPr>
        <w:t xml:space="preserve"> </w:t>
      </w:r>
    </w:p>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802"/>
        <w:gridCol w:w="1134"/>
        <w:gridCol w:w="1134"/>
        <w:gridCol w:w="1275"/>
        <w:gridCol w:w="1591"/>
        <w:gridCol w:w="1591"/>
      </w:tblGrid>
      <w:tr w:rsidR="00D80E0D" w:rsidRPr="00681040" w:rsidTr="00003B60">
        <w:tc>
          <w:tcPr>
            <w:tcW w:w="9527" w:type="dxa"/>
            <w:gridSpan w:val="6"/>
            <w:shd w:val="clear" w:color="000000" w:fill="auto"/>
          </w:tcPr>
          <w:p w:rsidR="00D80E0D" w:rsidRPr="00E024DB" w:rsidRDefault="00D80E0D" w:rsidP="007478A3">
            <w:pPr>
              <w:pStyle w:val="Normlndobloku"/>
            </w:pPr>
            <w:r w:rsidRPr="00E024DB">
              <w:t>Priemerné (± SD) hodnoty farmakokinetické parametrov</w:t>
            </w:r>
          </w:p>
        </w:tc>
      </w:tr>
      <w:tr w:rsidR="00D80E0D" w:rsidRPr="00681040" w:rsidTr="00003B60">
        <w:tc>
          <w:tcPr>
            <w:tcW w:w="2802" w:type="dxa"/>
            <w:shd w:val="clear" w:color="000000" w:fill="auto"/>
          </w:tcPr>
          <w:p w:rsidR="00D80E0D" w:rsidRPr="00E024DB" w:rsidRDefault="00D80E0D" w:rsidP="007478A3">
            <w:pPr>
              <w:pStyle w:val="Normlndobloku"/>
            </w:pPr>
            <w:r w:rsidRPr="00E024DB">
              <w:t>Podané liečivo (liečivá)</w:t>
            </w:r>
          </w:p>
        </w:tc>
        <w:tc>
          <w:tcPr>
            <w:tcW w:w="1134" w:type="dxa"/>
            <w:shd w:val="clear" w:color="000000" w:fill="auto"/>
          </w:tcPr>
          <w:p w:rsidR="00D80E0D" w:rsidRPr="00E024DB" w:rsidRDefault="00D80E0D" w:rsidP="007478A3">
            <w:pPr>
              <w:pStyle w:val="Normlndobloku"/>
            </w:pPr>
            <w:r w:rsidRPr="00E024DB">
              <w:t>Dávka</w:t>
            </w:r>
          </w:p>
        </w:tc>
        <w:tc>
          <w:tcPr>
            <w:tcW w:w="1134" w:type="dxa"/>
            <w:shd w:val="clear" w:color="000000" w:fill="auto"/>
          </w:tcPr>
          <w:p w:rsidR="00D80E0D" w:rsidRPr="00E024DB" w:rsidRDefault="00D80E0D" w:rsidP="007478A3">
            <w:pPr>
              <w:pStyle w:val="Normlndobloku"/>
            </w:pPr>
            <w:r w:rsidRPr="00E024DB">
              <w:t>C</w:t>
            </w:r>
            <w:r w:rsidRPr="00E024DB">
              <w:rPr>
                <w:vertAlign w:val="subscript"/>
              </w:rPr>
              <w:t>max</w:t>
            </w:r>
          </w:p>
        </w:tc>
        <w:tc>
          <w:tcPr>
            <w:tcW w:w="1275" w:type="dxa"/>
            <w:shd w:val="clear" w:color="000000" w:fill="auto"/>
          </w:tcPr>
          <w:p w:rsidR="00D80E0D" w:rsidRPr="00E024DB" w:rsidRDefault="00D80E0D" w:rsidP="007478A3">
            <w:pPr>
              <w:pStyle w:val="Normlndobloku"/>
            </w:pPr>
            <w:r w:rsidRPr="00E024DB">
              <w:t>T</w:t>
            </w:r>
            <w:r w:rsidRPr="00E024DB">
              <w:rPr>
                <w:vertAlign w:val="subscript"/>
              </w:rPr>
              <w:t>max</w:t>
            </w:r>
            <w:r w:rsidRPr="00E024DB">
              <w:t>*</w:t>
            </w:r>
          </w:p>
        </w:tc>
        <w:tc>
          <w:tcPr>
            <w:tcW w:w="1591" w:type="dxa"/>
            <w:shd w:val="clear" w:color="000000" w:fill="auto"/>
          </w:tcPr>
          <w:p w:rsidR="00D80E0D" w:rsidRPr="00E024DB" w:rsidRDefault="00D80E0D" w:rsidP="007478A3">
            <w:pPr>
              <w:pStyle w:val="Normlndobloku"/>
            </w:pPr>
            <w:r w:rsidRPr="00E024DB">
              <w:t xml:space="preserve">AUC </w:t>
            </w:r>
            <w:r w:rsidRPr="00E024DB">
              <w:rPr>
                <w:vertAlign w:val="subscript"/>
              </w:rPr>
              <w:t>(0–24 h)</w:t>
            </w:r>
          </w:p>
        </w:tc>
        <w:tc>
          <w:tcPr>
            <w:tcW w:w="1591" w:type="dxa"/>
            <w:shd w:val="clear" w:color="000000" w:fill="auto"/>
          </w:tcPr>
          <w:p w:rsidR="00D80E0D" w:rsidRPr="00E024DB" w:rsidRDefault="00D80E0D" w:rsidP="007478A3">
            <w:pPr>
              <w:pStyle w:val="Normlndobloku"/>
            </w:pPr>
            <w:r w:rsidRPr="00E024DB">
              <w:t>T 1/2</w:t>
            </w:r>
          </w:p>
        </w:tc>
      </w:tr>
      <w:tr w:rsidR="00D80E0D" w:rsidRPr="00681040" w:rsidTr="00003B60">
        <w:tc>
          <w:tcPr>
            <w:tcW w:w="2802" w:type="dxa"/>
            <w:shd w:val="clear" w:color="000000" w:fill="auto"/>
          </w:tcPr>
          <w:p w:rsidR="00D80E0D" w:rsidRPr="00681040" w:rsidRDefault="00D80E0D" w:rsidP="00003B60">
            <w:pPr>
              <w:autoSpaceDE w:val="0"/>
              <w:autoSpaceDN w:val="0"/>
              <w:adjustRightInd w:val="0"/>
              <w:rPr>
                <w:lang w:val="sk-SK"/>
              </w:rPr>
            </w:pPr>
          </w:p>
        </w:tc>
        <w:tc>
          <w:tcPr>
            <w:tcW w:w="1134" w:type="dxa"/>
            <w:shd w:val="clear" w:color="000000" w:fill="auto"/>
          </w:tcPr>
          <w:p w:rsidR="00D80E0D" w:rsidRPr="00E024DB" w:rsidRDefault="00D80E0D" w:rsidP="007478A3">
            <w:pPr>
              <w:pStyle w:val="Normlndobloku"/>
            </w:pPr>
            <w:r w:rsidRPr="00E024DB">
              <w:t>(mg)</w:t>
            </w:r>
          </w:p>
        </w:tc>
        <w:tc>
          <w:tcPr>
            <w:tcW w:w="1134" w:type="dxa"/>
            <w:shd w:val="clear" w:color="000000" w:fill="auto"/>
          </w:tcPr>
          <w:p w:rsidR="00D80E0D" w:rsidRPr="00E024DB" w:rsidRDefault="00D80E0D" w:rsidP="007478A3">
            <w:pPr>
              <w:pStyle w:val="Normlndobloku"/>
            </w:pPr>
            <w:r w:rsidRPr="00E024DB">
              <w:t>(</w:t>
            </w:r>
            <w:r w:rsidRPr="00E024DB">
              <w:rPr>
                <w:szCs w:val="22"/>
              </w:rPr>
              <w:sym w:font="Symbol" w:char="F06D"/>
            </w:r>
            <w:r w:rsidRPr="00E024DB">
              <w:t>g/ml)</w:t>
            </w:r>
          </w:p>
        </w:tc>
        <w:tc>
          <w:tcPr>
            <w:tcW w:w="1275" w:type="dxa"/>
            <w:shd w:val="clear" w:color="000000" w:fill="auto"/>
          </w:tcPr>
          <w:p w:rsidR="00D80E0D" w:rsidRPr="00E024DB" w:rsidRDefault="00D80E0D" w:rsidP="007478A3">
            <w:pPr>
              <w:pStyle w:val="Normlndobloku"/>
            </w:pPr>
            <w:r w:rsidRPr="00E024DB">
              <w:t>(h)</w:t>
            </w:r>
          </w:p>
        </w:tc>
        <w:tc>
          <w:tcPr>
            <w:tcW w:w="1591" w:type="dxa"/>
            <w:shd w:val="clear" w:color="000000" w:fill="auto"/>
          </w:tcPr>
          <w:p w:rsidR="00D80E0D" w:rsidRPr="00E024DB" w:rsidRDefault="00D80E0D" w:rsidP="007478A3">
            <w:pPr>
              <w:pStyle w:val="Normlndobloku"/>
            </w:pPr>
            <w:r w:rsidRPr="00E024DB">
              <w:t>(</w:t>
            </w:r>
            <w:r w:rsidRPr="00E024DB">
              <w:rPr>
                <w:szCs w:val="22"/>
              </w:rPr>
              <w:sym w:font="Symbol" w:char="F06D"/>
            </w:r>
            <w:r w:rsidRPr="00E024DB">
              <w:t>g.h/ml)</w:t>
            </w:r>
          </w:p>
        </w:tc>
        <w:tc>
          <w:tcPr>
            <w:tcW w:w="1591" w:type="dxa"/>
            <w:shd w:val="clear" w:color="000000" w:fill="auto"/>
          </w:tcPr>
          <w:p w:rsidR="00D80E0D" w:rsidRPr="00E024DB" w:rsidRDefault="00D80E0D" w:rsidP="007478A3">
            <w:pPr>
              <w:pStyle w:val="Normlndobloku"/>
            </w:pPr>
            <w:r w:rsidRPr="00E024DB">
              <w:t>(h)</w:t>
            </w:r>
          </w:p>
        </w:tc>
      </w:tr>
      <w:tr w:rsidR="00D80E0D" w:rsidRPr="00681040" w:rsidTr="00003B60">
        <w:tc>
          <w:tcPr>
            <w:tcW w:w="9527" w:type="dxa"/>
            <w:gridSpan w:val="6"/>
            <w:shd w:val="clear" w:color="000000" w:fill="auto"/>
          </w:tcPr>
          <w:p w:rsidR="00D80E0D" w:rsidRPr="00E024DB" w:rsidRDefault="00D80E0D" w:rsidP="007478A3">
            <w:pPr>
              <w:pStyle w:val="Normlndobloku"/>
            </w:pPr>
            <w:r w:rsidRPr="00E024DB">
              <w:t>Amoxicilín</w:t>
            </w:r>
          </w:p>
        </w:tc>
      </w:tr>
      <w:tr w:rsidR="00D80E0D" w:rsidRPr="00681040" w:rsidTr="00003B60">
        <w:tc>
          <w:tcPr>
            <w:tcW w:w="2802" w:type="dxa"/>
            <w:shd w:val="clear" w:color="000000" w:fill="auto"/>
          </w:tcPr>
          <w:p w:rsidR="00D80E0D" w:rsidRPr="00E024DB" w:rsidRDefault="00D80E0D" w:rsidP="007478A3">
            <w:pPr>
              <w:pStyle w:val="Normlndobloku"/>
            </w:pPr>
            <w:r w:rsidRPr="00E024DB">
              <w:t>AMX/CA 250 mg/125 mg</w:t>
            </w:r>
          </w:p>
          <w:p w:rsidR="00D80E0D" w:rsidRPr="00E024DB" w:rsidRDefault="00D80E0D" w:rsidP="007478A3">
            <w:pPr>
              <w:pStyle w:val="Normlndobloku"/>
            </w:pPr>
          </w:p>
        </w:tc>
        <w:tc>
          <w:tcPr>
            <w:tcW w:w="1134" w:type="dxa"/>
            <w:shd w:val="clear" w:color="000000" w:fill="auto"/>
          </w:tcPr>
          <w:p w:rsidR="00D80E0D" w:rsidRPr="00E024DB" w:rsidRDefault="00D80E0D" w:rsidP="007478A3">
            <w:pPr>
              <w:pStyle w:val="Normlndobloku"/>
            </w:pPr>
            <w:r w:rsidRPr="00E024DB">
              <w:t>250</w:t>
            </w:r>
          </w:p>
          <w:p w:rsidR="00D80E0D" w:rsidRPr="00E024DB" w:rsidRDefault="00D80E0D" w:rsidP="007478A3">
            <w:pPr>
              <w:pStyle w:val="Normlndobloku"/>
            </w:pPr>
          </w:p>
        </w:tc>
        <w:tc>
          <w:tcPr>
            <w:tcW w:w="1134" w:type="dxa"/>
            <w:shd w:val="clear" w:color="000000" w:fill="auto"/>
          </w:tcPr>
          <w:p w:rsidR="00D80E0D" w:rsidRPr="00681040" w:rsidRDefault="00D80E0D" w:rsidP="003A53A7">
            <w:pPr>
              <w:rPr>
                <w:lang w:val="sk-SK" w:eastAsia="sk-SK"/>
              </w:rPr>
            </w:pPr>
            <w:r w:rsidRPr="00681040">
              <w:rPr>
                <w:lang w:val="sk-SK" w:eastAsia="sk-SK"/>
              </w:rPr>
              <w:t>3,3</w:t>
            </w:r>
          </w:p>
          <w:p w:rsidR="00D80E0D" w:rsidRPr="00E024DB" w:rsidRDefault="00D80E0D" w:rsidP="007478A3">
            <w:pPr>
              <w:pStyle w:val="Normlndobloku"/>
            </w:pPr>
            <w:r w:rsidRPr="00E024DB">
              <w:t xml:space="preserve">± 1,12 </w:t>
            </w:r>
          </w:p>
        </w:tc>
        <w:tc>
          <w:tcPr>
            <w:tcW w:w="1275" w:type="dxa"/>
            <w:shd w:val="clear" w:color="000000" w:fill="auto"/>
          </w:tcPr>
          <w:p w:rsidR="00D80E0D" w:rsidRPr="00681040" w:rsidRDefault="00D80E0D" w:rsidP="003A53A7">
            <w:pPr>
              <w:rPr>
                <w:lang w:val="sk-SK" w:eastAsia="sk-SK"/>
              </w:rPr>
            </w:pPr>
            <w:r w:rsidRPr="00681040">
              <w:rPr>
                <w:lang w:val="sk-SK" w:eastAsia="sk-SK"/>
              </w:rPr>
              <w:t>1,5</w:t>
            </w:r>
          </w:p>
          <w:p w:rsidR="00D80E0D" w:rsidRPr="00E024DB" w:rsidRDefault="00D80E0D" w:rsidP="007478A3">
            <w:pPr>
              <w:pStyle w:val="Normlndobloku"/>
            </w:pPr>
            <w:r w:rsidRPr="00E024DB">
              <w:t>(1,0 – 2,0)</w:t>
            </w:r>
          </w:p>
        </w:tc>
        <w:tc>
          <w:tcPr>
            <w:tcW w:w="1591" w:type="dxa"/>
            <w:shd w:val="clear" w:color="000000" w:fill="auto"/>
          </w:tcPr>
          <w:p w:rsidR="00D80E0D" w:rsidRDefault="00D80E0D" w:rsidP="003A53A7">
            <w:pPr>
              <w:rPr>
                <w:lang w:val="sk-SK" w:eastAsia="sk-SK"/>
              </w:rPr>
            </w:pPr>
            <w:r w:rsidRPr="00681040">
              <w:rPr>
                <w:lang w:val="sk-SK" w:eastAsia="sk-SK"/>
              </w:rPr>
              <w:t>26,7</w:t>
            </w:r>
          </w:p>
          <w:p w:rsidR="00D80E0D" w:rsidRPr="00E024DB" w:rsidRDefault="00D80E0D" w:rsidP="007478A3">
            <w:pPr>
              <w:pStyle w:val="Normlndobloku"/>
            </w:pPr>
            <w:r w:rsidRPr="00E024DB">
              <w:t>± 4,56</w:t>
            </w:r>
          </w:p>
        </w:tc>
        <w:tc>
          <w:tcPr>
            <w:tcW w:w="1591" w:type="dxa"/>
            <w:shd w:val="clear" w:color="000000" w:fill="auto"/>
          </w:tcPr>
          <w:p w:rsidR="00D80E0D" w:rsidRPr="00681040" w:rsidRDefault="00D80E0D" w:rsidP="003A53A7">
            <w:pPr>
              <w:rPr>
                <w:lang w:val="sk-SK" w:eastAsia="sk-SK"/>
              </w:rPr>
            </w:pPr>
            <w:r w:rsidRPr="00681040">
              <w:rPr>
                <w:lang w:val="sk-SK" w:eastAsia="sk-SK"/>
              </w:rPr>
              <w:t>1,36</w:t>
            </w:r>
          </w:p>
          <w:p w:rsidR="00D80E0D" w:rsidRPr="00E024DB" w:rsidRDefault="00D80E0D" w:rsidP="007478A3">
            <w:pPr>
              <w:pStyle w:val="Normlndobloku"/>
            </w:pPr>
            <w:r w:rsidRPr="00E024DB">
              <w:t>± 0,56</w:t>
            </w:r>
          </w:p>
        </w:tc>
      </w:tr>
      <w:tr w:rsidR="00D80E0D" w:rsidRPr="00681040" w:rsidTr="00003B60">
        <w:tc>
          <w:tcPr>
            <w:tcW w:w="2802" w:type="dxa"/>
            <w:shd w:val="clear" w:color="000000" w:fill="auto"/>
          </w:tcPr>
          <w:p w:rsidR="00D80E0D" w:rsidRPr="00E024DB" w:rsidRDefault="00D80E0D" w:rsidP="007478A3">
            <w:pPr>
              <w:pStyle w:val="Normlndobloku"/>
            </w:pPr>
            <w:r w:rsidRPr="00E024DB">
              <w:t>AMX/CA 500 mg/125 mg</w:t>
            </w:r>
          </w:p>
        </w:tc>
        <w:tc>
          <w:tcPr>
            <w:tcW w:w="1134" w:type="dxa"/>
            <w:shd w:val="clear" w:color="000000" w:fill="auto"/>
          </w:tcPr>
          <w:p w:rsidR="00D80E0D" w:rsidRPr="00E024DB" w:rsidRDefault="00D80E0D" w:rsidP="007478A3">
            <w:pPr>
              <w:pStyle w:val="Normlndobloku"/>
            </w:pPr>
            <w:r w:rsidRPr="00E024DB">
              <w:t>500</w:t>
            </w:r>
          </w:p>
        </w:tc>
        <w:tc>
          <w:tcPr>
            <w:tcW w:w="1134" w:type="dxa"/>
            <w:shd w:val="clear" w:color="000000" w:fill="auto"/>
          </w:tcPr>
          <w:p w:rsidR="00D80E0D" w:rsidRPr="00E024DB" w:rsidRDefault="00D80E0D" w:rsidP="007478A3">
            <w:pPr>
              <w:pStyle w:val="Normlndobloku"/>
            </w:pPr>
            <w:r w:rsidRPr="00E024DB">
              <w:t>7,19</w:t>
            </w:r>
          </w:p>
          <w:p w:rsidR="00D80E0D" w:rsidRPr="00E024DB" w:rsidRDefault="00D80E0D" w:rsidP="007478A3">
            <w:pPr>
              <w:pStyle w:val="Normlndobloku"/>
            </w:pPr>
            <w:r w:rsidRPr="00E024DB">
              <w:t>± 2,26</w:t>
            </w:r>
          </w:p>
        </w:tc>
        <w:tc>
          <w:tcPr>
            <w:tcW w:w="1275" w:type="dxa"/>
            <w:shd w:val="clear" w:color="000000" w:fill="auto"/>
          </w:tcPr>
          <w:p w:rsidR="00D80E0D" w:rsidRPr="00E024DB" w:rsidRDefault="00D80E0D" w:rsidP="007478A3">
            <w:pPr>
              <w:pStyle w:val="Normlndobloku"/>
            </w:pPr>
            <w:r w:rsidRPr="00E024DB">
              <w:t>1,5</w:t>
            </w:r>
          </w:p>
          <w:p w:rsidR="00D80E0D" w:rsidRPr="00E024DB" w:rsidRDefault="00D80E0D" w:rsidP="007478A3">
            <w:pPr>
              <w:pStyle w:val="Normlndobloku"/>
            </w:pPr>
            <w:r w:rsidRPr="00E024DB">
              <w:t>(1,0 – 2,5)</w:t>
            </w:r>
          </w:p>
        </w:tc>
        <w:tc>
          <w:tcPr>
            <w:tcW w:w="1591" w:type="dxa"/>
            <w:shd w:val="clear" w:color="000000" w:fill="auto"/>
          </w:tcPr>
          <w:p w:rsidR="00D80E0D" w:rsidRPr="00E024DB" w:rsidRDefault="00D80E0D" w:rsidP="007478A3">
            <w:pPr>
              <w:pStyle w:val="Normlndobloku"/>
            </w:pPr>
            <w:r w:rsidRPr="00E024DB">
              <w:t>53,5</w:t>
            </w:r>
          </w:p>
          <w:p w:rsidR="00D80E0D" w:rsidRPr="00E024DB" w:rsidRDefault="00D80E0D" w:rsidP="007478A3">
            <w:pPr>
              <w:pStyle w:val="Normlndobloku"/>
            </w:pPr>
            <w:r w:rsidRPr="00E024DB">
              <w:t>± 8,87</w:t>
            </w:r>
          </w:p>
        </w:tc>
        <w:tc>
          <w:tcPr>
            <w:tcW w:w="1591" w:type="dxa"/>
            <w:shd w:val="clear" w:color="000000" w:fill="auto"/>
          </w:tcPr>
          <w:p w:rsidR="00D80E0D" w:rsidRPr="00E024DB" w:rsidRDefault="00D80E0D" w:rsidP="007478A3">
            <w:pPr>
              <w:pStyle w:val="Normlndobloku"/>
            </w:pPr>
            <w:r w:rsidRPr="00E024DB">
              <w:t>1,15</w:t>
            </w:r>
          </w:p>
          <w:p w:rsidR="00D80E0D" w:rsidRPr="00E024DB" w:rsidRDefault="00D80E0D" w:rsidP="007478A3">
            <w:pPr>
              <w:pStyle w:val="Normlndobloku"/>
            </w:pPr>
            <w:r w:rsidRPr="00E024DB">
              <w:t>± 0,20</w:t>
            </w:r>
          </w:p>
        </w:tc>
      </w:tr>
      <w:tr w:rsidR="00D80E0D" w:rsidRPr="00681040" w:rsidTr="00003B60">
        <w:tc>
          <w:tcPr>
            <w:tcW w:w="2802" w:type="dxa"/>
            <w:shd w:val="clear" w:color="000000" w:fill="auto"/>
          </w:tcPr>
          <w:p w:rsidR="00D80E0D" w:rsidRPr="00E024DB" w:rsidRDefault="00D80E0D" w:rsidP="007478A3">
            <w:pPr>
              <w:pStyle w:val="Normlndobloku"/>
              <w:rPr>
                <w:rFonts w:ascii="TimesNewRoman" w:hAnsi="TimesNewRoman"/>
                <w:sz w:val="20"/>
                <w:lang w:eastAsia="sk-SK"/>
              </w:rPr>
            </w:pPr>
            <w:r w:rsidRPr="00E024DB">
              <w:t xml:space="preserve">AMX/CA </w:t>
            </w:r>
            <w:r w:rsidRPr="00E024DB">
              <w:rPr>
                <w:lang w:eastAsia="sk-SK"/>
              </w:rPr>
              <w:t>875 mg/125 mg</w:t>
            </w:r>
          </w:p>
        </w:tc>
        <w:tc>
          <w:tcPr>
            <w:tcW w:w="1134"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875</w:t>
            </w:r>
          </w:p>
        </w:tc>
        <w:tc>
          <w:tcPr>
            <w:tcW w:w="1134" w:type="dxa"/>
            <w:shd w:val="clear" w:color="000000" w:fill="auto"/>
          </w:tcPr>
          <w:p w:rsidR="00D80E0D" w:rsidRPr="00681040" w:rsidRDefault="00D80E0D" w:rsidP="003A53A7">
            <w:pPr>
              <w:rPr>
                <w:lang w:val="sk-SK" w:eastAsia="sk-SK"/>
              </w:rPr>
            </w:pPr>
            <w:r w:rsidRPr="00681040">
              <w:rPr>
                <w:lang w:val="sk-SK" w:eastAsia="sk-SK"/>
              </w:rPr>
              <w:t>11,64</w:t>
            </w:r>
          </w:p>
          <w:p w:rsidR="00D80E0D" w:rsidRPr="00E024DB" w:rsidRDefault="00D80E0D" w:rsidP="007478A3">
            <w:pPr>
              <w:pStyle w:val="Normlndobloku"/>
              <w:rPr>
                <w:rFonts w:ascii="TimesNewRoman" w:hAnsi="TimesNewRoman"/>
                <w:sz w:val="20"/>
                <w:lang w:eastAsia="sk-SK"/>
              </w:rPr>
            </w:pPr>
            <w:r w:rsidRPr="00E024DB">
              <w:rPr>
                <w:lang w:eastAsia="sk-SK"/>
              </w:rPr>
              <w:t>± 2,78</w:t>
            </w:r>
          </w:p>
        </w:tc>
        <w:tc>
          <w:tcPr>
            <w:tcW w:w="1275" w:type="dxa"/>
            <w:shd w:val="clear" w:color="000000" w:fill="auto"/>
          </w:tcPr>
          <w:p w:rsidR="00D80E0D" w:rsidRPr="00681040" w:rsidRDefault="00D80E0D" w:rsidP="003A53A7">
            <w:pPr>
              <w:rPr>
                <w:lang w:val="sk-SK" w:eastAsia="sk-SK"/>
              </w:rPr>
            </w:pPr>
            <w:r w:rsidRPr="00681040">
              <w:rPr>
                <w:lang w:val="sk-SK" w:eastAsia="sk-SK"/>
              </w:rPr>
              <w:t>1,5</w:t>
            </w:r>
          </w:p>
          <w:p w:rsidR="00D80E0D" w:rsidRPr="00E024DB" w:rsidRDefault="00D80E0D" w:rsidP="007478A3">
            <w:pPr>
              <w:pStyle w:val="Normlndobloku"/>
              <w:rPr>
                <w:rFonts w:ascii="TimesNewRoman" w:hAnsi="TimesNewRoman"/>
                <w:sz w:val="20"/>
                <w:lang w:eastAsia="sk-SK"/>
              </w:rPr>
            </w:pPr>
            <w:r w:rsidRPr="00E024DB">
              <w:rPr>
                <w:lang w:eastAsia="sk-SK"/>
              </w:rPr>
              <w:t>(1,0 – 2,5)</w:t>
            </w:r>
          </w:p>
        </w:tc>
        <w:tc>
          <w:tcPr>
            <w:tcW w:w="1591" w:type="dxa"/>
            <w:shd w:val="clear" w:color="000000" w:fill="auto"/>
          </w:tcPr>
          <w:p w:rsidR="00D80E0D" w:rsidRPr="00681040" w:rsidRDefault="00D80E0D" w:rsidP="003A53A7">
            <w:pPr>
              <w:rPr>
                <w:lang w:val="sk-SK" w:eastAsia="sk-SK"/>
              </w:rPr>
            </w:pPr>
            <w:r w:rsidRPr="00681040">
              <w:rPr>
                <w:lang w:val="sk-SK" w:eastAsia="sk-SK"/>
              </w:rPr>
              <w:t>53,52</w:t>
            </w:r>
          </w:p>
          <w:p w:rsidR="00D80E0D" w:rsidRPr="00E024DB" w:rsidRDefault="00D80E0D" w:rsidP="007478A3">
            <w:pPr>
              <w:pStyle w:val="Normlndobloku"/>
              <w:rPr>
                <w:rFonts w:ascii="TimesNewRoman" w:hAnsi="TimesNewRoman"/>
                <w:sz w:val="20"/>
                <w:lang w:eastAsia="sk-SK"/>
              </w:rPr>
            </w:pPr>
            <w:r w:rsidRPr="00E024DB">
              <w:rPr>
                <w:lang w:eastAsia="sk-SK"/>
              </w:rPr>
              <w:t>± 12,31</w:t>
            </w:r>
          </w:p>
        </w:tc>
        <w:tc>
          <w:tcPr>
            <w:tcW w:w="1591" w:type="dxa"/>
            <w:shd w:val="clear" w:color="000000" w:fill="auto"/>
          </w:tcPr>
          <w:p w:rsidR="00D80E0D" w:rsidRPr="00681040" w:rsidRDefault="00D80E0D" w:rsidP="003A53A7">
            <w:pPr>
              <w:rPr>
                <w:lang w:val="sk-SK" w:eastAsia="sk-SK"/>
              </w:rPr>
            </w:pPr>
            <w:r w:rsidRPr="00681040">
              <w:rPr>
                <w:lang w:val="sk-SK" w:eastAsia="sk-SK"/>
              </w:rPr>
              <w:t>1,19</w:t>
            </w:r>
          </w:p>
          <w:p w:rsidR="00D80E0D" w:rsidRPr="00E024DB" w:rsidRDefault="00D80E0D" w:rsidP="007478A3">
            <w:pPr>
              <w:pStyle w:val="Normlndobloku"/>
              <w:rPr>
                <w:rFonts w:ascii="TimesNewRoman" w:hAnsi="TimesNewRoman"/>
                <w:sz w:val="20"/>
                <w:lang w:eastAsia="sk-SK"/>
              </w:rPr>
            </w:pPr>
            <w:r w:rsidRPr="00E024DB">
              <w:rPr>
                <w:lang w:eastAsia="sk-SK"/>
              </w:rPr>
              <w:t>± 0,21</w:t>
            </w:r>
          </w:p>
        </w:tc>
      </w:tr>
      <w:tr w:rsidR="00D80E0D" w:rsidRPr="00681040" w:rsidTr="00003B60">
        <w:tc>
          <w:tcPr>
            <w:tcW w:w="9527" w:type="dxa"/>
            <w:gridSpan w:val="6"/>
            <w:shd w:val="clear" w:color="000000" w:fill="auto"/>
          </w:tcPr>
          <w:p w:rsidR="00D80E0D" w:rsidRPr="00E024DB" w:rsidRDefault="00D80E0D" w:rsidP="007478A3">
            <w:pPr>
              <w:pStyle w:val="Normlndobloku"/>
            </w:pPr>
            <w:r w:rsidRPr="00E024DB">
              <w:t>Kyselina klavulánová</w:t>
            </w:r>
          </w:p>
        </w:tc>
      </w:tr>
      <w:tr w:rsidR="00D80E0D" w:rsidRPr="00681040" w:rsidTr="00003B60">
        <w:tc>
          <w:tcPr>
            <w:tcW w:w="2802" w:type="dxa"/>
            <w:shd w:val="clear" w:color="000000" w:fill="auto"/>
          </w:tcPr>
          <w:p w:rsidR="00D80E0D" w:rsidRPr="00E024DB" w:rsidRDefault="00D80E0D" w:rsidP="007478A3">
            <w:pPr>
              <w:pStyle w:val="Normlndobloku"/>
            </w:pPr>
            <w:r w:rsidRPr="00E024DB">
              <w:t>AMX/CA 250 mg/125 mg</w:t>
            </w:r>
          </w:p>
          <w:p w:rsidR="00D80E0D" w:rsidRPr="00E024DB" w:rsidRDefault="00D80E0D" w:rsidP="007478A3">
            <w:pPr>
              <w:pStyle w:val="Normlndobloku"/>
            </w:pPr>
          </w:p>
        </w:tc>
        <w:tc>
          <w:tcPr>
            <w:tcW w:w="1134" w:type="dxa"/>
            <w:shd w:val="clear" w:color="000000" w:fill="auto"/>
          </w:tcPr>
          <w:p w:rsidR="00D80E0D" w:rsidRPr="00E024DB" w:rsidRDefault="00D80E0D" w:rsidP="007478A3">
            <w:pPr>
              <w:pStyle w:val="Normlndobloku"/>
            </w:pPr>
            <w:r w:rsidRPr="00E024DB">
              <w:t>125</w:t>
            </w:r>
          </w:p>
          <w:p w:rsidR="00D80E0D" w:rsidRPr="00E024DB" w:rsidRDefault="00D80E0D" w:rsidP="007478A3">
            <w:pPr>
              <w:pStyle w:val="Normlndobloku"/>
            </w:pPr>
          </w:p>
        </w:tc>
        <w:tc>
          <w:tcPr>
            <w:tcW w:w="1134" w:type="dxa"/>
            <w:shd w:val="clear" w:color="000000" w:fill="auto"/>
          </w:tcPr>
          <w:p w:rsidR="00D80E0D" w:rsidRPr="00681040" w:rsidRDefault="00D80E0D" w:rsidP="003A53A7">
            <w:pPr>
              <w:rPr>
                <w:lang w:val="sk-SK" w:eastAsia="sk-SK"/>
              </w:rPr>
            </w:pPr>
            <w:r w:rsidRPr="00681040">
              <w:rPr>
                <w:lang w:val="sk-SK" w:eastAsia="sk-SK"/>
              </w:rPr>
              <w:t>1,5</w:t>
            </w:r>
          </w:p>
          <w:p w:rsidR="00D80E0D" w:rsidRPr="00E024DB" w:rsidRDefault="00D80E0D" w:rsidP="007478A3">
            <w:pPr>
              <w:pStyle w:val="Normlndobloku"/>
            </w:pPr>
            <w:r w:rsidRPr="00E024DB">
              <w:t>± 0,70</w:t>
            </w:r>
          </w:p>
        </w:tc>
        <w:tc>
          <w:tcPr>
            <w:tcW w:w="1275" w:type="dxa"/>
            <w:shd w:val="clear" w:color="000000" w:fill="auto"/>
          </w:tcPr>
          <w:p w:rsidR="00D80E0D" w:rsidRPr="00681040" w:rsidRDefault="00D80E0D" w:rsidP="003A53A7">
            <w:pPr>
              <w:rPr>
                <w:lang w:val="sk-SK" w:eastAsia="sk-SK"/>
              </w:rPr>
            </w:pPr>
            <w:r w:rsidRPr="00681040">
              <w:rPr>
                <w:lang w:val="sk-SK" w:eastAsia="sk-SK"/>
              </w:rPr>
              <w:t>1,2</w:t>
            </w:r>
          </w:p>
          <w:p w:rsidR="00D80E0D" w:rsidRPr="00E024DB" w:rsidRDefault="00D80E0D" w:rsidP="007478A3">
            <w:pPr>
              <w:pStyle w:val="Normlndobloku"/>
              <w:rPr>
                <w:rFonts w:ascii="TimesNewRoman" w:hAnsi="TimesNewRoman"/>
                <w:sz w:val="20"/>
                <w:lang w:eastAsia="sk-SK"/>
              </w:rPr>
            </w:pPr>
            <w:r w:rsidRPr="00E024DB">
              <w:rPr>
                <w:lang w:eastAsia="sk-SK"/>
              </w:rPr>
              <w:t>(1,0 – 2,0)</w:t>
            </w:r>
          </w:p>
        </w:tc>
        <w:tc>
          <w:tcPr>
            <w:tcW w:w="1591" w:type="dxa"/>
            <w:shd w:val="clear" w:color="000000" w:fill="auto"/>
          </w:tcPr>
          <w:p w:rsidR="00D80E0D" w:rsidRPr="00681040" w:rsidRDefault="00D80E0D" w:rsidP="003A53A7">
            <w:pPr>
              <w:rPr>
                <w:lang w:val="sk-SK" w:eastAsia="sk-SK"/>
              </w:rPr>
            </w:pPr>
            <w:r w:rsidRPr="00681040">
              <w:rPr>
                <w:lang w:val="sk-SK" w:eastAsia="sk-SK"/>
              </w:rPr>
              <w:t>12,6</w:t>
            </w:r>
          </w:p>
          <w:p w:rsidR="00D80E0D" w:rsidRPr="00E024DB" w:rsidRDefault="00D80E0D" w:rsidP="007478A3">
            <w:pPr>
              <w:pStyle w:val="Normlndobloku"/>
            </w:pPr>
            <w:r w:rsidRPr="00E024DB">
              <w:t>± 3,25</w:t>
            </w:r>
          </w:p>
        </w:tc>
        <w:tc>
          <w:tcPr>
            <w:tcW w:w="1591" w:type="dxa"/>
            <w:shd w:val="clear" w:color="000000" w:fill="auto"/>
          </w:tcPr>
          <w:p w:rsidR="00D80E0D" w:rsidRPr="00681040" w:rsidRDefault="00D80E0D" w:rsidP="003A53A7">
            <w:pPr>
              <w:rPr>
                <w:lang w:val="sk-SK" w:eastAsia="sk-SK"/>
              </w:rPr>
            </w:pPr>
            <w:r w:rsidRPr="00681040">
              <w:rPr>
                <w:lang w:val="sk-SK" w:eastAsia="sk-SK"/>
              </w:rPr>
              <w:t>1,01</w:t>
            </w:r>
          </w:p>
          <w:p w:rsidR="00D80E0D" w:rsidRPr="00E024DB" w:rsidRDefault="00D80E0D" w:rsidP="007478A3">
            <w:pPr>
              <w:pStyle w:val="Normlndobloku"/>
            </w:pPr>
            <w:r w:rsidRPr="00E024DB">
              <w:t>± 0,11</w:t>
            </w:r>
          </w:p>
        </w:tc>
      </w:tr>
      <w:tr w:rsidR="00D80E0D" w:rsidRPr="00681040" w:rsidTr="00003B60">
        <w:tc>
          <w:tcPr>
            <w:tcW w:w="2802" w:type="dxa"/>
            <w:shd w:val="clear" w:color="000000" w:fill="auto"/>
          </w:tcPr>
          <w:p w:rsidR="00D80E0D" w:rsidRPr="00E024DB" w:rsidRDefault="00D80E0D" w:rsidP="007478A3">
            <w:pPr>
              <w:pStyle w:val="Normlndobloku"/>
            </w:pPr>
            <w:r w:rsidRPr="00E024DB">
              <w:lastRenderedPageBreak/>
              <w:t>AMX/CA 500 mg/125 mg</w:t>
            </w:r>
          </w:p>
        </w:tc>
        <w:tc>
          <w:tcPr>
            <w:tcW w:w="1134" w:type="dxa"/>
            <w:shd w:val="clear" w:color="000000" w:fill="auto"/>
          </w:tcPr>
          <w:p w:rsidR="00D80E0D" w:rsidRPr="00E024DB" w:rsidRDefault="00D80E0D" w:rsidP="007478A3">
            <w:pPr>
              <w:pStyle w:val="Normlndobloku"/>
            </w:pPr>
            <w:r w:rsidRPr="00E024DB">
              <w:t>125</w:t>
            </w:r>
          </w:p>
        </w:tc>
        <w:tc>
          <w:tcPr>
            <w:tcW w:w="1134" w:type="dxa"/>
            <w:shd w:val="clear" w:color="000000" w:fill="auto"/>
          </w:tcPr>
          <w:p w:rsidR="00D80E0D" w:rsidRPr="00E024DB" w:rsidRDefault="00D80E0D" w:rsidP="007478A3">
            <w:pPr>
              <w:pStyle w:val="Normlndobloku"/>
            </w:pPr>
            <w:r w:rsidRPr="00E024DB">
              <w:t>2,40</w:t>
            </w:r>
          </w:p>
          <w:p w:rsidR="00D80E0D" w:rsidRPr="00E024DB" w:rsidRDefault="00D80E0D" w:rsidP="007478A3">
            <w:pPr>
              <w:pStyle w:val="Normlndobloku"/>
            </w:pPr>
            <w:r w:rsidRPr="00E024DB">
              <w:t>± 0,83</w:t>
            </w:r>
          </w:p>
        </w:tc>
        <w:tc>
          <w:tcPr>
            <w:tcW w:w="1275" w:type="dxa"/>
            <w:shd w:val="clear" w:color="000000" w:fill="auto"/>
          </w:tcPr>
          <w:p w:rsidR="00D80E0D" w:rsidRPr="00E024DB" w:rsidRDefault="00D80E0D" w:rsidP="007478A3">
            <w:pPr>
              <w:pStyle w:val="Normlndobloku"/>
            </w:pPr>
            <w:r w:rsidRPr="00E024DB">
              <w:t>1,5</w:t>
            </w:r>
          </w:p>
          <w:p w:rsidR="00D80E0D" w:rsidRPr="00E024DB" w:rsidRDefault="00D80E0D" w:rsidP="007478A3">
            <w:pPr>
              <w:pStyle w:val="Normlndobloku"/>
            </w:pPr>
            <w:r w:rsidRPr="00E024DB">
              <w:t>(1,0 – 2,0)</w:t>
            </w:r>
          </w:p>
        </w:tc>
        <w:tc>
          <w:tcPr>
            <w:tcW w:w="1591" w:type="dxa"/>
            <w:shd w:val="clear" w:color="000000" w:fill="auto"/>
          </w:tcPr>
          <w:p w:rsidR="00D80E0D" w:rsidRPr="00E024DB" w:rsidRDefault="00D80E0D" w:rsidP="007478A3">
            <w:pPr>
              <w:pStyle w:val="Normlndobloku"/>
            </w:pPr>
            <w:r w:rsidRPr="00E024DB">
              <w:t>15,72</w:t>
            </w:r>
          </w:p>
          <w:p w:rsidR="00D80E0D" w:rsidRPr="00E024DB" w:rsidRDefault="00D80E0D" w:rsidP="007478A3">
            <w:pPr>
              <w:pStyle w:val="Normlndobloku"/>
            </w:pPr>
            <w:r w:rsidRPr="00E024DB">
              <w:t>± 3,86</w:t>
            </w:r>
          </w:p>
        </w:tc>
        <w:tc>
          <w:tcPr>
            <w:tcW w:w="1591" w:type="dxa"/>
            <w:shd w:val="clear" w:color="000000" w:fill="auto"/>
          </w:tcPr>
          <w:p w:rsidR="00D80E0D" w:rsidRPr="00E024DB" w:rsidRDefault="00D80E0D" w:rsidP="007478A3">
            <w:pPr>
              <w:pStyle w:val="Normlndobloku"/>
            </w:pPr>
            <w:r w:rsidRPr="00E024DB">
              <w:t>0,98</w:t>
            </w:r>
          </w:p>
          <w:p w:rsidR="00D80E0D" w:rsidRPr="00E024DB" w:rsidRDefault="00D80E0D" w:rsidP="007478A3">
            <w:pPr>
              <w:pStyle w:val="Normlndobloku"/>
            </w:pPr>
            <w:r w:rsidRPr="00E024DB">
              <w:t>± 0,12</w:t>
            </w:r>
          </w:p>
        </w:tc>
      </w:tr>
      <w:tr w:rsidR="00D80E0D" w:rsidRPr="00681040" w:rsidTr="00003B60">
        <w:tc>
          <w:tcPr>
            <w:tcW w:w="2802" w:type="dxa"/>
            <w:shd w:val="clear" w:color="000000" w:fill="auto"/>
          </w:tcPr>
          <w:p w:rsidR="00D80E0D" w:rsidRPr="00E024DB" w:rsidRDefault="00D80E0D" w:rsidP="007478A3">
            <w:pPr>
              <w:pStyle w:val="Normlndobloku"/>
            </w:pPr>
            <w:r w:rsidRPr="00E024DB">
              <w:t>AMX/CA 875 mg/125 mg</w:t>
            </w:r>
          </w:p>
        </w:tc>
        <w:tc>
          <w:tcPr>
            <w:tcW w:w="1134" w:type="dxa"/>
            <w:shd w:val="clear" w:color="000000" w:fill="auto"/>
          </w:tcPr>
          <w:p w:rsidR="00D80E0D" w:rsidRPr="00E024DB" w:rsidRDefault="00D80E0D" w:rsidP="007478A3">
            <w:pPr>
              <w:pStyle w:val="Normlndobloku"/>
              <w:rPr>
                <w:rFonts w:ascii="TimesNewRoman" w:hAnsi="TimesNewRoman"/>
                <w:sz w:val="20"/>
                <w:lang w:eastAsia="sk-SK"/>
              </w:rPr>
            </w:pPr>
            <w:r w:rsidRPr="00E024DB">
              <w:rPr>
                <w:lang w:eastAsia="sk-SK"/>
              </w:rPr>
              <w:t>125</w:t>
            </w:r>
          </w:p>
        </w:tc>
        <w:tc>
          <w:tcPr>
            <w:tcW w:w="1134" w:type="dxa"/>
            <w:shd w:val="clear" w:color="000000" w:fill="auto"/>
          </w:tcPr>
          <w:p w:rsidR="00D80E0D" w:rsidRPr="00681040" w:rsidRDefault="00D80E0D" w:rsidP="003A53A7">
            <w:pPr>
              <w:rPr>
                <w:lang w:val="sk-SK" w:eastAsia="sk-SK"/>
              </w:rPr>
            </w:pPr>
            <w:r w:rsidRPr="00681040">
              <w:rPr>
                <w:lang w:val="sk-SK" w:eastAsia="sk-SK"/>
              </w:rPr>
              <w:t>2,18</w:t>
            </w:r>
          </w:p>
          <w:p w:rsidR="00D80E0D" w:rsidRPr="00E024DB" w:rsidRDefault="00D80E0D" w:rsidP="007478A3">
            <w:pPr>
              <w:pStyle w:val="Normlndobloku"/>
            </w:pPr>
            <w:r w:rsidRPr="00E024DB">
              <w:t>± 0,99</w:t>
            </w:r>
          </w:p>
        </w:tc>
        <w:tc>
          <w:tcPr>
            <w:tcW w:w="1275" w:type="dxa"/>
            <w:shd w:val="clear" w:color="000000" w:fill="auto"/>
          </w:tcPr>
          <w:p w:rsidR="00D80E0D" w:rsidRPr="00681040" w:rsidRDefault="00D80E0D" w:rsidP="003A53A7">
            <w:pPr>
              <w:rPr>
                <w:lang w:val="sk-SK" w:eastAsia="sk-SK"/>
              </w:rPr>
            </w:pPr>
            <w:r w:rsidRPr="00681040">
              <w:rPr>
                <w:lang w:val="sk-SK" w:eastAsia="sk-SK"/>
              </w:rPr>
              <w:t>1,25</w:t>
            </w:r>
          </w:p>
          <w:p w:rsidR="00D80E0D" w:rsidRPr="00E024DB" w:rsidRDefault="00D80E0D" w:rsidP="007478A3">
            <w:pPr>
              <w:pStyle w:val="Normlndobloku"/>
            </w:pPr>
            <w:r w:rsidRPr="00E024DB">
              <w:t>(1,0 – 2,0)</w:t>
            </w:r>
          </w:p>
        </w:tc>
        <w:tc>
          <w:tcPr>
            <w:tcW w:w="1591" w:type="dxa"/>
            <w:shd w:val="clear" w:color="000000" w:fill="auto"/>
          </w:tcPr>
          <w:p w:rsidR="00D80E0D" w:rsidRPr="00681040" w:rsidRDefault="00D80E0D" w:rsidP="003A53A7">
            <w:pPr>
              <w:rPr>
                <w:lang w:val="sk-SK" w:eastAsia="sk-SK"/>
              </w:rPr>
            </w:pPr>
            <w:r w:rsidRPr="00681040">
              <w:rPr>
                <w:lang w:val="sk-SK" w:eastAsia="sk-SK"/>
              </w:rPr>
              <w:t>10,16</w:t>
            </w:r>
          </w:p>
          <w:p w:rsidR="00D80E0D" w:rsidRPr="00E024DB" w:rsidRDefault="00D80E0D" w:rsidP="007478A3">
            <w:pPr>
              <w:pStyle w:val="Normlndobloku"/>
            </w:pPr>
            <w:r w:rsidRPr="00E024DB">
              <w:t>± 3,04</w:t>
            </w:r>
          </w:p>
        </w:tc>
        <w:tc>
          <w:tcPr>
            <w:tcW w:w="1591" w:type="dxa"/>
            <w:shd w:val="clear" w:color="000000" w:fill="auto"/>
          </w:tcPr>
          <w:p w:rsidR="00D80E0D" w:rsidRPr="00681040" w:rsidRDefault="00D80E0D" w:rsidP="003A53A7">
            <w:pPr>
              <w:rPr>
                <w:lang w:val="sk-SK" w:eastAsia="sk-SK"/>
              </w:rPr>
            </w:pPr>
            <w:r w:rsidRPr="00681040">
              <w:rPr>
                <w:lang w:val="sk-SK" w:eastAsia="sk-SK"/>
              </w:rPr>
              <w:t>0,96</w:t>
            </w:r>
          </w:p>
          <w:p w:rsidR="00D80E0D" w:rsidRPr="00E024DB" w:rsidRDefault="00D80E0D" w:rsidP="007478A3">
            <w:pPr>
              <w:pStyle w:val="Normlndobloku"/>
            </w:pPr>
            <w:r w:rsidRPr="00E024DB">
              <w:t>± 0,12</w:t>
            </w:r>
          </w:p>
        </w:tc>
      </w:tr>
      <w:tr w:rsidR="00D80E0D" w:rsidRPr="00681040" w:rsidTr="00003B60">
        <w:tc>
          <w:tcPr>
            <w:tcW w:w="9527" w:type="dxa"/>
            <w:gridSpan w:val="6"/>
            <w:shd w:val="clear" w:color="000000" w:fill="auto"/>
          </w:tcPr>
          <w:p w:rsidR="00D80E0D" w:rsidRPr="00E024DB" w:rsidRDefault="00D80E0D" w:rsidP="007478A3">
            <w:pPr>
              <w:pStyle w:val="Normlndobloku"/>
            </w:pPr>
            <w:r w:rsidRPr="00E024DB">
              <w:t>AMX - amoxicilín, CA - kyselina klavulánová</w:t>
            </w:r>
          </w:p>
          <w:p w:rsidR="00D80E0D" w:rsidRPr="00E024DB" w:rsidRDefault="00D80E0D" w:rsidP="007478A3">
            <w:pPr>
              <w:pStyle w:val="Normlndobloku"/>
            </w:pPr>
            <w:r w:rsidRPr="00E024DB">
              <w:t>* Medián (rozmedzie)</w:t>
            </w:r>
          </w:p>
        </w:tc>
      </w:tr>
    </w:tbl>
    <w:p w:rsidR="00D80E0D" w:rsidRDefault="00D80E0D" w:rsidP="007478A3">
      <w:pPr>
        <w:pStyle w:val="Normlndobloku"/>
      </w:pPr>
    </w:p>
    <w:p w:rsidR="00D80E0D" w:rsidRPr="00681040" w:rsidRDefault="00D80E0D" w:rsidP="007478A3">
      <w:pPr>
        <w:pStyle w:val="Normlndobloku"/>
      </w:pPr>
      <w:r w:rsidRPr="00681040">
        <w:t>Koncentrácie amoxicilínu a</w:t>
      </w:r>
      <w:r>
        <w:t> </w:t>
      </w:r>
      <w:r w:rsidRPr="00681040">
        <w:t>kyseliny klavul</w:t>
      </w:r>
      <w:r>
        <w:t>á</w:t>
      </w:r>
      <w:r w:rsidRPr="00681040">
        <w:t>novej v</w:t>
      </w:r>
      <w:r>
        <w:t> </w:t>
      </w:r>
      <w:r w:rsidRPr="00681040">
        <w:t>sére dosiahnuté po podaní amoxicilínu/kyseliny klavul</w:t>
      </w:r>
      <w:r>
        <w:t>á</w:t>
      </w:r>
      <w:r w:rsidRPr="00681040">
        <w:t>novej sú podobné koncentráciám dosiahnutým po perorálnom podaní rovnakých dávok samotného amoxicilínu alebo samotnej kyseliny klavul</w:t>
      </w:r>
      <w:r>
        <w:t>á</w:t>
      </w:r>
      <w:r w:rsidRPr="00681040">
        <w:t>novej.</w:t>
      </w:r>
    </w:p>
    <w:p w:rsidR="00D80E0D" w:rsidRPr="00681040" w:rsidRDefault="00D80E0D" w:rsidP="00AE5E07">
      <w:pPr>
        <w:pStyle w:val="Styl3"/>
      </w:pPr>
      <w:r w:rsidRPr="00681040">
        <w:t>Distribúcia</w:t>
      </w:r>
    </w:p>
    <w:p w:rsidR="00D80E0D" w:rsidRPr="00681040" w:rsidRDefault="00D80E0D" w:rsidP="007478A3">
      <w:pPr>
        <w:pStyle w:val="Normlndobloku"/>
        <w:rPr>
          <w:szCs w:val="22"/>
          <w:lang w:eastAsia="sk-SK"/>
        </w:rPr>
      </w:pPr>
      <w:r w:rsidRPr="00681040">
        <w:t>Asi 25</w:t>
      </w:r>
      <w:r>
        <w:t> %</w:t>
      </w:r>
      <w:r w:rsidRPr="00681040">
        <w:t xml:space="preserve"> z</w:t>
      </w:r>
      <w:r>
        <w:t> </w:t>
      </w:r>
      <w:r w:rsidRPr="00681040">
        <w:t>celkového množstva kyseliny klavul</w:t>
      </w:r>
      <w:r>
        <w:t>á</w:t>
      </w:r>
      <w:r w:rsidRPr="00681040">
        <w:t>novej v</w:t>
      </w:r>
      <w:r>
        <w:t> </w:t>
      </w:r>
      <w:r w:rsidRPr="00681040">
        <w:t>plazme a</w:t>
      </w:r>
      <w:r>
        <w:t> </w:t>
      </w:r>
      <w:r w:rsidRPr="00681040">
        <w:t>18</w:t>
      </w:r>
      <w:r>
        <w:t> %</w:t>
      </w:r>
      <w:r w:rsidRPr="00681040">
        <w:t xml:space="preserve"> z</w:t>
      </w:r>
      <w:r>
        <w:t> </w:t>
      </w:r>
      <w:r w:rsidRPr="00681040">
        <w:t>celkového množstva amoxicilínu v</w:t>
      </w:r>
      <w:r>
        <w:t> </w:t>
      </w:r>
      <w:r w:rsidRPr="00681040">
        <w:t>plazme sa viaže na bielkoviny. Zdanlivý distribučný objem je asi 0,3</w:t>
      </w:r>
      <w:r>
        <w:t> – </w:t>
      </w:r>
      <w:r w:rsidRPr="00681040">
        <w:t>0,4</w:t>
      </w:r>
      <w:r>
        <w:t> </w:t>
      </w:r>
      <w:r w:rsidRPr="00681040">
        <w:t xml:space="preserve">l/kg </w:t>
      </w:r>
      <w:r w:rsidRPr="00681040">
        <w:rPr>
          <w:szCs w:val="22"/>
          <w:lang w:eastAsia="sk-SK"/>
        </w:rPr>
        <w:t>pri amoxicilíne a</w:t>
      </w:r>
      <w:r>
        <w:rPr>
          <w:szCs w:val="22"/>
          <w:lang w:eastAsia="sk-SK"/>
        </w:rPr>
        <w:t> </w:t>
      </w:r>
      <w:r w:rsidRPr="00681040">
        <w:rPr>
          <w:szCs w:val="22"/>
          <w:lang w:eastAsia="sk-SK"/>
        </w:rPr>
        <w:t>asi 0,2</w:t>
      </w:r>
      <w:r>
        <w:rPr>
          <w:szCs w:val="22"/>
          <w:lang w:eastAsia="sk-SK"/>
        </w:rPr>
        <w:t> </w:t>
      </w:r>
      <w:r w:rsidRPr="00681040">
        <w:rPr>
          <w:szCs w:val="22"/>
          <w:lang w:eastAsia="sk-SK"/>
        </w:rPr>
        <w:t>l/kg pri kyseline klavul</w:t>
      </w:r>
      <w:r>
        <w:rPr>
          <w:szCs w:val="22"/>
          <w:lang w:eastAsia="sk-SK"/>
        </w:rPr>
        <w:t>á</w:t>
      </w:r>
      <w:r w:rsidRPr="00681040">
        <w:rPr>
          <w:szCs w:val="22"/>
          <w:lang w:eastAsia="sk-SK"/>
        </w:rPr>
        <w:t>novej.</w:t>
      </w:r>
    </w:p>
    <w:p w:rsidR="00D80E0D" w:rsidRPr="00681040" w:rsidRDefault="00D80E0D" w:rsidP="007478A3">
      <w:pPr>
        <w:pStyle w:val="Normlndobloku"/>
        <w:rPr>
          <w:szCs w:val="22"/>
          <w:lang w:eastAsia="sk-SK"/>
        </w:rPr>
      </w:pPr>
      <w:r w:rsidRPr="00681040">
        <w:t>Po intravenóznom podaní sa amoxicilín aj kyselina klavul</w:t>
      </w:r>
      <w:r>
        <w:t>á</w:t>
      </w:r>
      <w:r w:rsidRPr="00681040">
        <w:t>nová zistili v</w:t>
      </w:r>
      <w:r>
        <w:t> </w:t>
      </w:r>
      <w:r w:rsidRPr="00681040">
        <w:t>žlčníku, brušnom tkanive, koži, tukovom a</w:t>
      </w:r>
      <w:r>
        <w:t> </w:t>
      </w:r>
      <w:r w:rsidRPr="00681040">
        <w:t>svalovom tkanive, v</w:t>
      </w:r>
      <w:r>
        <w:t> </w:t>
      </w:r>
      <w:r w:rsidRPr="00681040">
        <w:t>synoviálnej a</w:t>
      </w:r>
      <w:r>
        <w:t> </w:t>
      </w:r>
      <w:r w:rsidRPr="00681040">
        <w:t>peritoneálnej tekutine, v</w:t>
      </w:r>
      <w:r>
        <w:t> </w:t>
      </w:r>
      <w:r w:rsidRPr="00681040">
        <w:t>žlči a</w:t>
      </w:r>
      <w:r>
        <w:t> </w:t>
      </w:r>
      <w:r w:rsidRPr="00681040">
        <w:t xml:space="preserve">hnise. Amoxicilín sa </w:t>
      </w:r>
      <w:r w:rsidRPr="00681040">
        <w:rPr>
          <w:szCs w:val="22"/>
          <w:lang w:eastAsia="sk-SK"/>
        </w:rPr>
        <w:t>v</w:t>
      </w:r>
      <w:r>
        <w:rPr>
          <w:szCs w:val="22"/>
          <w:lang w:eastAsia="sk-SK"/>
        </w:rPr>
        <w:t> </w:t>
      </w:r>
      <w:r w:rsidRPr="00681040">
        <w:rPr>
          <w:szCs w:val="22"/>
          <w:lang w:eastAsia="sk-SK"/>
        </w:rPr>
        <w:t>dostatočnej miere nedistribuuje do mozgovomiechovej tekutiny.</w:t>
      </w:r>
    </w:p>
    <w:p w:rsidR="00D80E0D" w:rsidRPr="00681040" w:rsidRDefault="00D80E0D" w:rsidP="007478A3">
      <w:pPr>
        <w:pStyle w:val="Normlndobloku"/>
      </w:pPr>
      <w:r w:rsidRPr="00681040">
        <w:t>Štúdie na zvieratách nepreukázali ani pri jednej zo zložiek významné zadržiavanie látok súvisiacich s</w:t>
      </w:r>
      <w:r>
        <w:t> </w:t>
      </w:r>
      <w:r w:rsidRPr="00681040">
        <w:t>liečivom v</w:t>
      </w:r>
      <w:r>
        <w:t> </w:t>
      </w:r>
      <w:r w:rsidRPr="00681040">
        <w:t>tkanivách. Amoxicilín, ako väčšina penicilínov, je možné zistiť v</w:t>
      </w:r>
      <w:r>
        <w:t> </w:t>
      </w:r>
      <w:r w:rsidRPr="00681040">
        <w:t>materskom mlieku. V</w:t>
      </w:r>
      <w:r>
        <w:t> </w:t>
      </w:r>
      <w:r w:rsidRPr="00681040">
        <w:t>materskom mlieku môžu byť zistené aj stopové množstvá kyseliny klavul</w:t>
      </w:r>
      <w:r>
        <w:t>á</w:t>
      </w:r>
      <w:r w:rsidRPr="00681040">
        <w:t>novej (pozri časť 4.6).</w:t>
      </w:r>
    </w:p>
    <w:p w:rsidR="00D80E0D" w:rsidRPr="00681040" w:rsidRDefault="00D80E0D" w:rsidP="007478A3">
      <w:pPr>
        <w:pStyle w:val="Normlndobloku"/>
        <w:rPr>
          <w:szCs w:val="22"/>
          <w:lang w:eastAsia="sk-SK"/>
        </w:rPr>
      </w:pPr>
      <w:r w:rsidRPr="00681040">
        <w:t>Preukázalo sa, že amoxicilín aj kyselina klavul</w:t>
      </w:r>
      <w:r>
        <w:t>á</w:t>
      </w:r>
      <w:r w:rsidRPr="00681040">
        <w:t xml:space="preserve">nová prechádzajú placentárnou bariérou (pozri časť </w:t>
      </w:r>
      <w:r w:rsidRPr="00681040">
        <w:rPr>
          <w:szCs w:val="22"/>
          <w:lang w:eastAsia="sk-SK"/>
        </w:rPr>
        <w:t>4.6).</w:t>
      </w:r>
    </w:p>
    <w:p w:rsidR="00D80E0D" w:rsidRPr="00681040" w:rsidRDefault="00D80E0D" w:rsidP="00AE5E07">
      <w:pPr>
        <w:pStyle w:val="Styl3"/>
      </w:pPr>
      <w:r w:rsidRPr="00681040">
        <w:t>Biotransformácia</w:t>
      </w:r>
    </w:p>
    <w:p w:rsidR="00D80E0D" w:rsidRDefault="00D80E0D" w:rsidP="007478A3">
      <w:pPr>
        <w:pStyle w:val="Normlndobloku"/>
        <w:rPr>
          <w:szCs w:val="22"/>
          <w:lang w:eastAsia="sk-SK"/>
        </w:rPr>
      </w:pPr>
      <w:r w:rsidRPr="00681040">
        <w:t>Amoxicilín sa čiastočne vylučuje močom vo forme inaktívnej kyseliny penicilínovej v množstve zodpovedajúcom 10 až 25</w:t>
      </w:r>
      <w:r>
        <w:t> %</w:t>
      </w:r>
      <w:r w:rsidRPr="00681040">
        <w:t xml:space="preserve"> úvodnej dávky. Kyselina klavul</w:t>
      </w:r>
      <w:r>
        <w:t>á</w:t>
      </w:r>
      <w:r w:rsidRPr="00681040">
        <w:t>nová sa u</w:t>
      </w:r>
      <w:r>
        <w:t> </w:t>
      </w:r>
      <w:r w:rsidRPr="00681040">
        <w:t>človeka intenzívne metabolizuje a</w:t>
      </w:r>
      <w:r>
        <w:t> </w:t>
      </w:r>
      <w:r w:rsidRPr="00681040">
        <w:t>vylučuje sa močom a</w:t>
      </w:r>
      <w:r>
        <w:t> </w:t>
      </w:r>
      <w:r w:rsidRPr="00681040">
        <w:t xml:space="preserve">stolicou a vo forme oxidu uhličitého sa vylučuje pľúcnou </w:t>
      </w:r>
      <w:r w:rsidRPr="00681040">
        <w:rPr>
          <w:szCs w:val="22"/>
          <w:lang w:eastAsia="sk-SK"/>
        </w:rPr>
        <w:t>ventiláciou.</w:t>
      </w:r>
    </w:p>
    <w:p w:rsidR="00D80E0D" w:rsidRPr="00681040" w:rsidRDefault="00D80E0D" w:rsidP="00AE5E07">
      <w:pPr>
        <w:pStyle w:val="Styl3"/>
      </w:pPr>
      <w:r w:rsidRPr="00681040">
        <w:t>Eliminácia</w:t>
      </w:r>
    </w:p>
    <w:p w:rsidR="00D80E0D" w:rsidRPr="00681040" w:rsidRDefault="00D80E0D" w:rsidP="007478A3">
      <w:pPr>
        <w:pStyle w:val="Normlndobloku"/>
        <w:rPr>
          <w:szCs w:val="22"/>
          <w:lang w:eastAsia="sk-SK"/>
        </w:rPr>
      </w:pPr>
      <w:r w:rsidRPr="00681040">
        <w:t>Amoxicilín sa vylučuje hlavne obličkami, zatiaľ čo kyselina klavul</w:t>
      </w:r>
      <w:r>
        <w:t>á</w:t>
      </w:r>
      <w:r w:rsidRPr="00681040">
        <w:t xml:space="preserve">nová sa vylučuje obličkami </w:t>
      </w:r>
      <w:r w:rsidRPr="00681040">
        <w:rPr>
          <w:szCs w:val="22"/>
          <w:lang w:eastAsia="sk-SK"/>
        </w:rPr>
        <w:t>i</w:t>
      </w:r>
      <w:r>
        <w:rPr>
          <w:szCs w:val="22"/>
          <w:lang w:eastAsia="sk-SK"/>
        </w:rPr>
        <w:t> </w:t>
      </w:r>
      <w:r w:rsidRPr="00681040">
        <w:rPr>
          <w:szCs w:val="22"/>
          <w:lang w:eastAsia="sk-SK"/>
        </w:rPr>
        <w:t>mimoobličkovou cestou.</w:t>
      </w:r>
    </w:p>
    <w:p w:rsidR="00D80E0D" w:rsidRPr="00681040" w:rsidRDefault="00D80E0D" w:rsidP="007478A3">
      <w:pPr>
        <w:pStyle w:val="Normlndobloku"/>
        <w:rPr>
          <w:szCs w:val="22"/>
          <w:lang w:eastAsia="sk-SK"/>
        </w:rPr>
      </w:pPr>
      <w:r w:rsidRPr="00681040">
        <w:t>U</w:t>
      </w:r>
      <w:r>
        <w:t> </w:t>
      </w:r>
      <w:r w:rsidRPr="00681040">
        <w:t>zdravých jedincov je priemerný eliminačný polčas amoxicilínu/kyseliny klavul</w:t>
      </w:r>
      <w:r>
        <w:t>á</w:t>
      </w:r>
      <w:r w:rsidRPr="00681040">
        <w:t>novej približne jedna hodina a</w:t>
      </w:r>
      <w:r>
        <w:t> </w:t>
      </w:r>
      <w:r w:rsidRPr="00681040">
        <w:t>priemerný celkový klírens je približne 25</w:t>
      </w:r>
      <w:r>
        <w:t> </w:t>
      </w:r>
      <w:r w:rsidRPr="00681040">
        <w:t>l/h. Približne 60 až 70</w:t>
      </w:r>
      <w:r>
        <w:t> %</w:t>
      </w:r>
      <w:r w:rsidRPr="00681040">
        <w:t xml:space="preserve"> amoxicilínu a</w:t>
      </w:r>
      <w:r>
        <w:t> </w:t>
      </w:r>
      <w:r w:rsidRPr="00681040">
        <w:rPr>
          <w:szCs w:val="22"/>
          <w:lang w:eastAsia="sk-SK"/>
        </w:rPr>
        <w:t>približne 40 až 65</w:t>
      </w:r>
      <w:r>
        <w:rPr>
          <w:szCs w:val="22"/>
          <w:lang w:eastAsia="sk-SK"/>
        </w:rPr>
        <w:t> %</w:t>
      </w:r>
      <w:r w:rsidRPr="00681040">
        <w:rPr>
          <w:szCs w:val="22"/>
          <w:lang w:eastAsia="sk-SK"/>
        </w:rPr>
        <w:t xml:space="preserve"> kyseliny klavul</w:t>
      </w:r>
      <w:r>
        <w:rPr>
          <w:szCs w:val="22"/>
          <w:lang w:eastAsia="sk-SK"/>
        </w:rPr>
        <w:t>á</w:t>
      </w:r>
      <w:r w:rsidRPr="00681040">
        <w:rPr>
          <w:szCs w:val="22"/>
          <w:lang w:eastAsia="sk-SK"/>
        </w:rPr>
        <w:t>novej sa vylúči v</w:t>
      </w:r>
      <w:r>
        <w:rPr>
          <w:szCs w:val="22"/>
          <w:lang w:eastAsia="sk-SK"/>
        </w:rPr>
        <w:t> </w:t>
      </w:r>
      <w:r w:rsidRPr="00681040">
        <w:rPr>
          <w:szCs w:val="22"/>
          <w:lang w:eastAsia="sk-SK"/>
        </w:rPr>
        <w:t>nezmenenej forme močom v</w:t>
      </w:r>
      <w:r>
        <w:rPr>
          <w:szCs w:val="22"/>
          <w:lang w:eastAsia="sk-SK"/>
        </w:rPr>
        <w:t> </w:t>
      </w:r>
      <w:r w:rsidRPr="00681040">
        <w:rPr>
          <w:szCs w:val="22"/>
          <w:lang w:eastAsia="sk-SK"/>
        </w:rPr>
        <w:t>priebehu prvých 6</w:t>
      </w:r>
      <w:r>
        <w:rPr>
          <w:szCs w:val="22"/>
          <w:lang w:eastAsia="sk-SK"/>
        </w:rPr>
        <w:t> </w:t>
      </w:r>
      <w:r w:rsidRPr="00681040">
        <w:rPr>
          <w:szCs w:val="22"/>
          <w:lang w:eastAsia="sk-SK"/>
        </w:rPr>
        <w:t>h po podaní jednorazovej dávky</w:t>
      </w:r>
      <w:r>
        <w:rPr>
          <w:szCs w:val="22"/>
          <w:lang w:eastAsia="sk-SK"/>
        </w:rPr>
        <w:t xml:space="preserve"> amoxicilínu/kyseliny klavulánovej</w:t>
      </w:r>
      <w:r w:rsidRPr="00681040">
        <w:rPr>
          <w:szCs w:val="22"/>
          <w:lang w:eastAsia="sk-SK"/>
        </w:rPr>
        <w:t xml:space="preserve"> 250</w:t>
      </w:r>
      <w:r>
        <w:rPr>
          <w:szCs w:val="22"/>
          <w:lang w:eastAsia="sk-SK"/>
        </w:rPr>
        <w:t> </w:t>
      </w:r>
      <w:r w:rsidRPr="00681040">
        <w:rPr>
          <w:szCs w:val="22"/>
          <w:lang w:eastAsia="sk-SK"/>
        </w:rPr>
        <w:t>mg/125</w:t>
      </w:r>
      <w:r>
        <w:rPr>
          <w:szCs w:val="22"/>
          <w:lang w:eastAsia="sk-SK"/>
        </w:rPr>
        <w:t> </w:t>
      </w:r>
      <w:r w:rsidRPr="00681040">
        <w:rPr>
          <w:szCs w:val="22"/>
          <w:lang w:eastAsia="sk-SK"/>
        </w:rPr>
        <w:t>mg alebo 500</w:t>
      </w:r>
      <w:r>
        <w:rPr>
          <w:szCs w:val="22"/>
          <w:lang w:eastAsia="sk-SK"/>
        </w:rPr>
        <w:t> </w:t>
      </w:r>
      <w:r w:rsidRPr="00681040">
        <w:rPr>
          <w:szCs w:val="22"/>
          <w:lang w:eastAsia="sk-SK"/>
        </w:rPr>
        <w:t>mg/125</w:t>
      </w:r>
      <w:r>
        <w:rPr>
          <w:szCs w:val="22"/>
          <w:lang w:eastAsia="sk-SK"/>
        </w:rPr>
        <w:t> </w:t>
      </w:r>
      <w:r w:rsidRPr="00681040">
        <w:rPr>
          <w:szCs w:val="22"/>
          <w:lang w:eastAsia="sk-SK"/>
        </w:rPr>
        <w:t>mg tabliet. Rôzne štúdie zistili, že v</w:t>
      </w:r>
      <w:r>
        <w:rPr>
          <w:szCs w:val="22"/>
          <w:lang w:eastAsia="sk-SK"/>
        </w:rPr>
        <w:t> </w:t>
      </w:r>
      <w:r w:rsidRPr="00681040">
        <w:rPr>
          <w:szCs w:val="22"/>
          <w:lang w:eastAsia="sk-SK"/>
        </w:rPr>
        <w:t>priebehu 24 hodín sa močom vylúči 50 až 85</w:t>
      </w:r>
      <w:r>
        <w:rPr>
          <w:szCs w:val="22"/>
          <w:lang w:eastAsia="sk-SK"/>
        </w:rPr>
        <w:t> %</w:t>
      </w:r>
      <w:r w:rsidRPr="00681040">
        <w:rPr>
          <w:szCs w:val="22"/>
          <w:lang w:eastAsia="sk-SK"/>
        </w:rPr>
        <w:t xml:space="preserve"> amoxicilínu a</w:t>
      </w:r>
      <w:r>
        <w:rPr>
          <w:szCs w:val="22"/>
          <w:lang w:eastAsia="sk-SK"/>
        </w:rPr>
        <w:t> </w:t>
      </w:r>
      <w:r w:rsidRPr="00681040">
        <w:rPr>
          <w:szCs w:val="22"/>
          <w:lang w:eastAsia="sk-SK"/>
        </w:rPr>
        <w:t>27 až 60</w:t>
      </w:r>
      <w:r>
        <w:rPr>
          <w:szCs w:val="22"/>
          <w:lang w:eastAsia="sk-SK"/>
        </w:rPr>
        <w:t> %</w:t>
      </w:r>
      <w:r w:rsidRPr="00681040">
        <w:rPr>
          <w:szCs w:val="22"/>
          <w:lang w:eastAsia="sk-SK"/>
        </w:rPr>
        <w:t xml:space="preserve"> kyseliny klavul</w:t>
      </w:r>
      <w:r>
        <w:rPr>
          <w:szCs w:val="22"/>
          <w:lang w:eastAsia="sk-SK"/>
        </w:rPr>
        <w:t>á</w:t>
      </w:r>
      <w:r w:rsidRPr="00681040">
        <w:rPr>
          <w:szCs w:val="22"/>
          <w:lang w:eastAsia="sk-SK"/>
        </w:rPr>
        <w:t>novej. V</w:t>
      </w:r>
      <w:r>
        <w:rPr>
          <w:szCs w:val="22"/>
          <w:lang w:eastAsia="sk-SK"/>
        </w:rPr>
        <w:t> </w:t>
      </w:r>
      <w:r w:rsidRPr="00681040">
        <w:rPr>
          <w:szCs w:val="22"/>
          <w:lang w:eastAsia="sk-SK"/>
        </w:rPr>
        <w:t>prípade kyseliny klavul</w:t>
      </w:r>
      <w:r>
        <w:rPr>
          <w:szCs w:val="22"/>
          <w:lang w:eastAsia="sk-SK"/>
        </w:rPr>
        <w:t>á</w:t>
      </w:r>
      <w:r w:rsidRPr="00681040">
        <w:rPr>
          <w:szCs w:val="22"/>
          <w:lang w:eastAsia="sk-SK"/>
        </w:rPr>
        <w:t>novej sa najväčšie množstvo liečiva vylúči v</w:t>
      </w:r>
      <w:r>
        <w:rPr>
          <w:szCs w:val="22"/>
          <w:lang w:eastAsia="sk-SK"/>
        </w:rPr>
        <w:t> </w:t>
      </w:r>
      <w:r w:rsidRPr="00681040">
        <w:rPr>
          <w:szCs w:val="22"/>
          <w:lang w:eastAsia="sk-SK"/>
        </w:rPr>
        <w:t>priebehu prvých 2 hodín po podaní.</w:t>
      </w:r>
    </w:p>
    <w:p w:rsidR="00D80E0D" w:rsidRPr="00681040" w:rsidRDefault="00D80E0D" w:rsidP="007478A3">
      <w:pPr>
        <w:pStyle w:val="Normlndobloku"/>
        <w:rPr>
          <w:szCs w:val="22"/>
          <w:lang w:eastAsia="sk-SK"/>
        </w:rPr>
      </w:pPr>
      <w:r w:rsidRPr="00681040">
        <w:t xml:space="preserve">Súbežné podanie probenecidu spomaľuje vylučovanie amoxicilínu, ale nespomaľuje vylučovanie </w:t>
      </w:r>
      <w:r w:rsidRPr="00681040">
        <w:rPr>
          <w:szCs w:val="22"/>
          <w:lang w:eastAsia="sk-SK"/>
        </w:rPr>
        <w:t>kyseliny klavul</w:t>
      </w:r>
      <w:r>
        <w:rPr>
          <w:szCs w:val="22"/>
          <w:lang w:eastAsia="sk-SK"/>
        </w:rPr>
        <w:t>á</w:t>
      </w:r>
      <w:r w:rsidRPr="00681040">
        <w:rPr>
          <w:szCs w:val="22"/>
          <w:lang w:eastAsia="sk-SK"/>
        </w:rPr>
        <w:t>novej obličkami (pozri časť 4.5).</w:t>
      </w:r>
    </w:p>
    <w:p w:rsidR="00D80E0D" w:rsidRPr="00681040" w:rsidRDefault="00D80E0D" w:rsidP="00AE5E07">
      <w:pPr>
        <w:pStyle w:val="Styl3"/>
      </w:pPr>
      <w:r w:rsidRPr="00681040">
        <w:t>Vek</w:t>
      </w:r>
    </w:p>
    <w:p w:rsidR="00D80E0D" w:rsidRPr="00681040" w:rsidRDefault="00D80E0D" w:rsidP="007478A3">
      <w:pPr>
        <w:pStyle w:val="Normlndobloku"/>
        <w:rPr>
          <w:szCs w:val="22"/>
          <w:lang w:eastAsia="sk-SK"/>
        </w:rPr>
      </w:pPr>
      <w:r w:rsidRPr="00681040">
        <w:t>Eliminačný polčas amoxicilínu u</w:t>
      </w:r>
      <w:r>
        <w:t> </w:t>
      </w:r>
      <w:r w:rsidRPr="00681040">
        <w:t>malých detí vo veku okolo 3 mesiacov až 2 rokov a</w:t>
      </w:r>
      <w:r>
        <w:t> </w:t>
      </w:r>
      <w:r w:rsidRPr="00681040">
        <w:t>u</w:t>
      </w:r>
      <w:r>
        <w:t> </w:t>
      </w:r>
      <w:r w:rsidRPr="00681040">
        <w:t>starších detí a</w:t>
      </w:r>
      <w:r>
        <w:t> </w:t>
      </w:r>
      <w:r w:rsidRPr="00681040">
        <w:t>dospelých je podobný. U</w:t>
      </w:r>
      <w:r>
        <w:t> </w:t>
      </w:r>
      <w:r w:rsidRPr="00681040">
        <w:t xml:space="preserve">veľmi malých detí (vrátane predčasne narodených novorodencov) v prvom týždni života nemá interval podávania prekročiť podávanie dvakrát denne, vzhľadom na nezrelosť </w:t>
      </w:r>
      <w:r w:rsidRPr="00681040">
        <w:rPr>
          <w:szCs w:val="22"/>
          <w:lang w:eastAsia="sk-SK"/>
        </w:rPr>
        <w:lastRenderedPageBreak/>
        <w:t>renálnej cesty vylučovania. Keďže u</w:t>
      </w:r>
      <w:r>
        <w:rPr>
          <w:szCs w:val="22"/>
          <w:lang w:eastAsia="sk-SK"/>
        </w:rPr>
        <w:t> </w:t>
      </w:r>
      <w:r w:rsidRPr="00681040">
        <w:rPr>
          <w:szCs w:val="22"/>
          <w:lang w:eastAsia="sk-SK"/>
        </w:rPr>
        <w:t>starších pacientov existuje vyššia pravdepodobnosť zníženej funkcie obličiek, dávka sa má zvoliť opatrne a</w:t>
      </w:r>
      <w:r>
        <w:rPr>
          <w:szCs w:val="22"/>
          <w:lang w:eastAsia="sk-SK"/>
        </w:rPr>
        <w:t> </w:t>
      </w:r>
      <w:r w:rsidRPr="00681040">
        <w:rPr>
          <w:szCs w:val="22"/>
          <w:lang w:eastAsia="sk-SK"/>
        </w:rPr>
        <w:t>môže byť užitočné sledovať funkciu obličiek.</w:t>
      </w:r>
    </w:p>
    <w:p w:rsidR="00D80E0D" w:rsidRPr="00681040" w:rsidRDefault="00D80E0D" w:rsidP="00AE5E07">
      <w:pPr>
        <w:pStyle w:val="Styl3"/>
      </w:pPr>
      <w:r w:rsidRPr="00681040">
        <w:t>Pohlavie</w:t>
      </w:r>
    </w:p>
    <w:p w:rsidR="00D80E0D" w:rsidRPr="00681040" w:rsidRDefault="00D80E0D" w:rsidP="007478A3">
      <w:pPr>
        <w:pStyle w:val="Normlndobloku"/>
        <w:rPr>
          <w:szCs w:val="22"/>
          <w:lang w:eastAsia="sk-SK"/>
        </w:rPr>
      </w:pPr>
      <w:r w:rsidRPr="00681040">
        <w:t>Po perorálnom podaní amoxicilínu/kyseliny klavul</w:t>
      </w:r>
      <w:r>
        <w:t>á</w:t>
      </w:r>
      <w:r w:rsidRPr="00681040">
        <w:t>novej zdravým mužom a</w:t>
      </w:r>
      <w:r>
        <w:t> </w:t>
      </w:r>
      <w:r w:rsidRPr="00681040">
        <w:t xml:space="preserve">ženám nemalo pohlavie </w:t>
      </w:r>
      <w:r w:rsidRPr="00681040">
        <w:rPr>
          <w:szCs w:val="22"/>
          <w:lang w:eastAsia="sk-SK"/>
        </w:rPr>
        <w:t>významný vplyv na farmakokinetiku amoxicilínu ani kyseliny klavul</w:t>
      </w:r>
      <w:r>
        <w:rPr>
          <w:szCs w:val="22"/>
          <w:lang w:eastAsia="sk-SK"/>
        </w:rPr>
        <w:t>á</w:t>
      </w:r>
      <w:r w:rsidRPr="00681040">
        <w:rPr>
          <w:szCs w:val="22"/>
          <w:lang w:eastAsia="sk-SK"/>
        </w:rPr>
        <w:t>novej.</w:t>
      </w:r>
    </w:p>
    <w:p w:rsidR="00D80E0D" w:rsidRPr="00681040" w:rsidRDefault="00D80E0D" w:rsidP="00AE5E07">
      <w:pPr>
        <w:pStyle w:val="Styl3"/>
      </w:pPr>
      <w:r w:rsidRPr="00681040">
        <w:t>Porucha funkcie obličiek</w:t>
      </w:r>
    </w:p>
    <w:p w:rsidR="00D80E0D" w:rsidRPr="00681040" w:rsidRDefault="00D80E0D" w:rsidP="007478A3">
      <w:pPr>
        <w:pStyle w:val="Normlndobloku"/>
        <w:rPr>
          <w:szCs w:val="22"/>
          <w:lang w:eastAsia="sk-SK"/>
        </w:rPr>
      </w:pPr>
      <w:r w:rsidRPr="00681040">
        <w:t>Celkový sérový klírens amoxicilínu/kyseliny klavul</w:t>
      </w:r>
      <w:r>
        <w:t>á</w:t>
      </w:r>
      <w:r w:rsidRPr="00681040">
        <w:t>novej sa znižuje úmerne znižujúcej sa funkcii obličiek. Znížený klírens liečiva je výraznejší pri amoxicilíne než pri kyseline klavul</w:t>
      </w:r>
      <w:r>
        <w:t>á</w:t>
      </w:r>
      <w:r w:rsidRPr="00681040">
        <w:t xml:space="preserve">novej, nakoľko </w:t>
      </w:r>
      <w:r w:rsidRPr="00681040">
        <w:rPr>
          <w:szCs w:val="22"/>
          <w:lang w:eastAsia="sk-SK"/>
        </w:rPr>
        <w:t>amoxicilín sa obličkami vylučuje vo vyššej miere. Pri poruche funkcie obličiek sa preto musia zvoliť také dávky, pri ktorých sa zabráni nadmernej kumulácii amoxicilínu, ale zároveň sa zachovajú dostatočné hladiny kyseliny klavul</w:t>
      </w:r>
      <w:r>
        <w:rPr>
          <w:szCs w:val="22"/>
          <w:lang w:eastAsia="sk-SK"/>
        </w:rPr>
        <w:t>á</w:t>
      </w:r>
      <w:r w:rsidRPr="00681040">
        <w:rPr>
          <w:szCs w:val="22"/>
          <w:lang w:eastAsia="sk-SK"/>
        </w:rPr>
        <w:t>novej (pozri časť 4.2).</w:t>
      </w:r>
    </w:p>
    <w:p w:rsidR="00D80E0D" w:rsidRPr="00681040" w:rsidRDefault="00D80E0D" w:rsidP="00AE5E07">
      <w:pPr>
        <w:pStyle w:val="Styl3"/>
      </w:pPr>
      <w:r w:rsidRPr="00681040">
        <w:t>Porucha funkcie pečene</w:t>
      </w:r>
    </w:p>
    <w:p w:rsidR="00D80E0D" w:rsidRDefault="00D80E0D" w:rsidP="007478A3">
      <w:pPr>
        <w:pStyle w:val="Normlndobloku"/>
        <w:rPr>
          <w:szCs w:val="22"/>
          <w:lang w:eastAsia="sk-SK"/>
        </w:rPr>
      </w:pPr>
      <w:r w:rsidRPr="00681040">
        <w:t>Pacientom s</w:t>
      </w:r>
      <w:r>
        <w:t> </w:t>
      </w:r>
      <w:r w:rsidRPr="00681040">
        <w:t>poruchou funkcie pečene sa má liek podávať opatrne a</w:t>
      </w:r>
      <w:r>
        <w:t> </w:t>
      </w:r>
      <w:r w:rsidRPr="00681040">
        <w:t>v</w:t>
      </w:r>
      <w:r>
        <w:t> </w:t>
      </w:r>
      <w:r w:rsidRPr="00681040">
        <w:t xml:space="preserve">pravidelných intervaloch sa má </w:t>
      </w:r>
      <w:r w:rsidRPr="00681040">
        <w:rPr>
          <w:szCs w:val="22"/>
          <w:lang w:eastAsia="sk-SK"/>
        </w:rPr>
        <w:t>sledovať funkcia pečene.</w:t>
      </w:r>
    </w:p>
    <w:p w:rsidR="00D80E0D" w:rsidRPr="00681040" w:rsidRDefault="00D80E0D" w:rsidP="00C50E86">
      <w:pPr>
        <w:pStyle w:val="Styl2"/>
      </w:pPr>
      <w:r w:rsidRPr="00681040">
        <w:t>Predklinické údaje o</w:t>
      </w:r>
      <w:r>
        <w:t> </w:t>
      </w:r>
      <w:r w:rsidRPr="00681040">
        <w:t>bezpečnosti</w:t>
      </w:r>
    </w:p>
    <w:p w:rsidR="00D80E0D" w:rsidRPr="00681040" w:rsidRDefault="00D80E0D" w:rsidP="007478A3">
      <w:pPr>
        <w:pStyle w:val="Normlndobloku"/>
      </w:pPr>
      <w:r w:rsidRPr="00681040">
        <w:t>Predklinické údaje získané na základe obvyklých farmakologických štúdií bezpečnosti, genotoxicity a</w:t>
      </w:r>
      <w:r>
        <w:t> </w:t>
      </w:r>
      <w:r w:rsidRPr="00681040">
        <w:t>reprodukčnej toxicity neodhalili žiadne osobitné riziko pre ľudí.</w:t>
      </w:r>
    </w:p>
    <w:p w:rsidR="00D80E0D" w:rsidRPr="00681040" w:rsidRDefault="00D80E0D" w:rsidP="007478A3">
      <w:pPr>
        <w:pStyle w:val="Normlndobloku"/>
        <w:rPr>
          <w:szCs w:val="22"/>
          <w:lang w:eastAsia="sk-SK"/>
        </w:rPr>
      </w:pPr>
      <w:r w:rsidRPr="00681040">
        <w:t>Štúdie toxicity po opakovanom podávaní amoxicilínu/kyseliny klavul</w:t>
      </w:r>
      <w:r>
        <w:t>á</w:t>
      </w:r>
      <w:r w:rsidRPr="00681040">
        <w:t xml:space="preserve">novej vykonané na psoch </w:t>
      </w:r>
      <w:r w:rsidRPr="00681040">
        <w:rPr>
          <w:szCs w:val="22"/>
          <w:lang w:eastAsia="sk-SK"/>
        </w:rPr>
        <w:t>preukázali podráždenie žalúdka a</w:t>
      </w:r>
      <w:r>
        <w:rPr>
          <w:szCs w:val="22"/>
          <w:lang w:eastAsia="sk-SK"/>
        </w:rPr>
        <w:t> </w:t>
      </w:r>
      <w:r w:rsidRPr="00681040">
        <w:rPr>
          <w:szCs w:val="22"/>
          <w:lang w:eastAsia="sk-SK"/>
        </w:rPr>
        <w:t>vracanie a</w:t>
      </w:r>
      <w:r>
        <w:rPr>
          <w:szCs w:val="22"/>
          <w:lang w:eastAsia="sk-SK"/>
        </w:rPr>
        <w:t> </w:t>
      </w:r>
      <w:r w:rsidRPr="00681040">
        <w:rPr>
          <w:szCs w:val="22"/>
          <w:lang w:eastAsia="sk-SK"/>
        </w:rPr>
        <w:t>zafarbený jazyk.</w:t>
      </w:r>
    </w:p>
    <w:p w:rsidR="00D80E0D" w:rsidRPr="00681040" w:rsidRDefault="00D80E0D" w:rsidP="007478A3">
      <w:pPr>
        <w:pStyle w:val="Normlndobloku"/>
      </w:pPr>
      <w:r w:rsidRPr="00681040">
        <w:t>Štúdie karcinogenity sa s</w:t>
      </w:r>
      <w:r>
        <w:t> </w:t>
      </w:r>
      <w:r w:rsidRPr="00681040">
        <w:t>amoxicilínom/kyselinou klavul</w:t>
      </w:r>
      <w:r>
        <w:t>á</w:t>
      </w:r>
      <w:r w:rsidRPr="00681040">
        <w:t>novou alebo s</w:t>
      </w:r>
      <w:r>
        <w:t> </w:t>
      </w:r>
      <w:r w:rsidRPr="00681040">
        <w:t xml:space="preserve">jednotlivými zložkami </w:t>
      </w:r>
      <w:r w:rsidRPr="00681040">
        <w:rPr>
          <w:szCs w:val="22"/>
          <w:lang w:eastAsia="sk-SK"/>
        </w:rPr>
        <w:t>neuskutočnili.</w:t>
      </w:r>
    </w:p>
    <w:p w:rsidR="00D80E0D" w:rsidRPr="00681040" w:rsidRDefault="00D80E0D" w:rsidP="00E02173">
      <w:pPr>
        <w:pStyle w:val="Styl1"/>
      </w:pPr>
      <w:r w:rsidRPr="00681040">
        <w:t>FARMACEUTICKÉ INFORMÁCIE</w:t>
      </w:r>
    </w:p>
    <w:p w:rsidR="00D80E0D" w:rsidRPr="00681040" w:rsidRDefault="00D80E0D" w:rsidP="00C50E86">
      <w:pPr>
        <w:pStyle w:val="Styl2"/>
      </w:pPr>
      <w:r w:rsidRPr="00681040">
        <w:t>Zoznam pomocných látok</w:t>
      </w:r>
    </w:p>
    <w:p w:rsidR="00D80E0D" w:rsidRPr="00681040" w:rsidRDefault="00D80E0D" w:rsidP="00AE5E07">
      <w:pPr>
        <w:pStyle w:val="Styl3"/>
      </w:pPr>
      <w:r w:rsidRPr="00681040">
        <w:t>Jadro</w:t>
      </w:r>
      <w:r>
        <w:t xml:space="preserve"> tablety</w:t>
      </w:r>
    </w:p>
    <w:p w:rsidR="00D80E0D" w:rsidRPr="00681040" w:rsidRDefault="00BF417C" w:rsidP="007478A3">
      <w:pPr>
        <w:pStyle w:val="Normlndobloku"/>
      </w:pPr>
      <w:r>
        <w:t>m</w:t>
      </w:r>
      <w:r w:rsidR="00D80E0D" w:rsidRPr="00681040">
        <w:t>ikrokryštalická celulóza</w:t>
      </w:r>
    </w:p>
    <w:p w:rsidR="00D80E0D" w:rsidRPr="00681040" w:rsidRDefault="00BF417C" w:rsidP="007478A3">
      <w:pPr>
        <w:pStyle w:val="Normlndobloku"/>
      </w:pPr>
      <w:r>
        <w:t>s</w:t>
      </w:r>
      <w:r w:rsidR="00D80E0D" w:rsidRPr="00681040">
        <w:t>odná soľ karboxymetylškrobu</w:t>
      </w:r>
    </w:p>
    <w:p w:rsidR="00D80E0D" w:rsidRPr="00681040" w:rsidRDefault="00BF417C" w:rsidP="007478A3">
      <w:pPr>
        <w:pStyle w:val="Normlndobloku"/>
      </w:pPr>
      <w:r>
        <w:t>k</w:t>
      </w:r>
      <w:r w:rsidR="00D80E0D" w:rsidRPr="00681040">
        <w:t>oloidný oxid kremičitý bezvodý</w:t>
      </w:r>
    </w:p>
    <w:p w:rsidR="00D80E0D" w:rsidRPr="009F6C65" w:rsidRDefault="00BF417C" w:rsidP="007478A3">
      <w:pPr>
        <w:pStyle w:val="Normlndobloku"/>
      </w:pPr>
      <w:r>
        <w:t>s</w:t>
      </w:r>
      <w:r w:rsidR="0061514F">
        <w:t>tearan horečnatý</w:t>
      </w:r>
    </w:p>
    <w:p w:rsidR="00D80E0D" w:rsidRDefault="00D80E0D" w:rsidP="00AE5E07">
      <w:pPr>
        <w:pStyle w:val="Styl3"/>
      </w:pPr>
      <w:r w:rsidRPr="00681040">
        <w:t>Poťah</w:t>
      </w:r>
      <w:r>
        <w:t xml:space="preserve"> tablety</w:t>
      </w:r>
    </w:p>
    <w:p w:rsidR="00352196" w:rsidRPr="00681040" w:rsidRDefault="00352196" w:rsidP="00AE5E07">
      <w:pPr>
        <w:pStyle w:val="Styl3"/>
        <w:rPr>
          <w:noProof w:val="0"/>
        </w:rPr>
      </w:pPr>
      <w:r w:rsidRPr="00D80E0D">
        <w:t>MEDOCLAV 375 mg</w:t>
      </w:r>
      <w:r>
        <w:t xml:space="preserve">, </w:t>
      </w:r>
      <w:r w:rsidRPr="00D80E0D">
        <w:t>MEDOCLAV 625 mg</w:t>
      </w:r>
    </w:p>
    <w:p w:rsidR="00A3032A" w:rsidRPr="003A4F31" w:rsidRDefault="00BF417C" w:rsidP="007478A3">
      <w:pPr>
        <w:pStyle w:val="Normlndobloku"/>
      </w:pPr>
      <w:r>
        <w:t>h</w:t>
      </w:r>
      <w:r w:rsidR="00A3032A" w:rsidRPr="003A4F31">
        <w:t>ydroxypropylmetylcelulóza</w:t>
      </w:r>
    </w:p>
    <w:p w:rsidR="00A3032A" w:rsidRPr="003A4F31" w:rsidRDefault="00BF417C" w:rsidP="007478A3">
      <w:pPr>
        <w:pStyle w:val="Normlndobloku"/>
      </w:pPr>
      <w:r>
        <w:t>p</w:t>
      </w:r>
      <w:r w:rsidR="00A3032A" w:rsidRPr="003A4F31">
        <w:t>ropylénglykol</w:t>
      </w:r>
    </w:p>
    <w:p w:rsidR="00A3032A" w:rsidRPr="003A4F31" w:rsidRDefault="00BF417C" w:rsidP="007478A3">
      <w:pPr>
        <w:pStyle w:val="Normlndobloku"/>
      </w:pPr>
      <w:r>
        <w:t>p</w:t>
      </w:r>
      <w:r w:rsidR="00A3032A" w:rsidRPr="003A4F31">
        <w:t>olyetylénglykol 6000</w:t>
      </w:r>
    </w:p>
    <w:p w:rsidR="00A3032A" w:rsidRPr="003A4F31" w:rsidRDefault="00BF417C" w:rsidP="007478A3">
      <w:pPr>
        <w:pStyle w:val="Normlndobloku"/>
      </w:pPr>
      <w:r>
        <w:t>m</w:t>
      </w:r>
      <w:r w:rsidR="00A3032A" w:rsidRPr="003A4F31">
        <w:t>astenec</w:t>
      </w:r>
    </w:p>
    <w:p w:rsidR="00A3032A" w:rsidRPr="003A4F31" w:rsidRDefault="00BF417C" w:rsidP="007478A3">
      <w:pPr>
        <w:pStyle w:val="Normlndobloku"/>
      </w:pPr>
      <w:r>
        <w:t>o</w:t>
      </w:r>
      <w:r w:rsidR="00A3032A" w:rsidRPr="003A4F31">
        <w:t>xid titaničitý</w:t>
      </w:r>
    </w:p>
    <w:p w:rsidR="00A3032A" w:rsidRPr="003A4F31" w:rsidRDefault="00BF417C" w:rsidP="007478A3">
      <w:pPr>
        <w:pStyle w:val="Normlndobloku"/>
      </w:pPr>
      <w:r>
        <w:t>m</w:t>
      </w:r>
      <w:r w:rsidR="00A3032A" w:rsidRPr="003A4F31">
        <w:t>etylénchlorid</w:t>
      </w:r>
    </w:p>
    <w:p w:rsidR="00F64C77" w:rsidRDefault="00BF417C" w:rsidP="007478A3">
      <w:pPr>
        <w:pStyle w:val="Normlndobloku"/>
        <w:rPr>
          <w:lang w:eastAsia="cs-CZ"/>
        </w:rPr>
      </w:pPr>
      <w:r>
        <w:t>i</w:t>
      </w:r>
      <w:r w:rsidR="00A3032A" w:rsidRPr="003A4F31">
        <w:t>zopropylalkohol</w:t>
      </w:r>
      <w:r w:rsidR="00A3032A" w:rsidRPr="00681040" w:rsidDel="002D6AB4">
        <w:t xml:space="preserve"> </w:t>
      </w:r>
    </w:p>
    <w:p w:rsidR="00352196" w:rsidRPr="003A4F31" w:rsidRDefault="00352196" w:rsidP="00AE5E07">
      <w:pPr>
        <w:pStyle w:val="Styl3"/>
      </w:pPr>
      <w:r w:rsidRPr="003A4F31">
        <w:lastRenderedPageBreak/>
        <w:t>MEDOCLAV 1 g</w:t>
      </w:r>
    </w:p>
    <w:p w:rsidR="007A2AD1" w:rsidRPr="00681040" w:rsidRDefault="00BF417C" w:rsidP="007478A3">
      <w:pPr>
        <w:pStyle w:val="Normlndobloku"/>
      </w:pPr>
      <w:r>
        <w:t>p</w:t>
      </w:r>
      <w:r w:rsidR="007A2AD1">
        <w:t>olyvinylalkohol čiastočne hydrolyzovaný</w:t>
      </w:r>
    </w:p>
    <w:p w:rsidR="00C4339F" w:rsidRDefault="00BF417C" w:rsidP="007478A3">
      <w:pPr>
        <w:pStyle w:val="Normlndobloku"/>
      </w:pPr>
      <w:r>
        <w:t>o</w:t>
      </w:r>
      <w:r w:rsidR="00C4339F" w:rsidRPr="00681040">
        <w:t>xid titaničitý</w:t>
      </w:r>
    </w:p>
    <w:p w:rsidR="00C4339F" w:rsidRPr="00681040" w:rsidRDefault="00BF417C" w:rsidP="007478A3">
      <w:pPr>
        <w:pStyle w:val="Normlndobloku"/>
      </w:pPr>
      <w:r>
        <w:t>m</w:t>
      </w:r>
      <w:r w:rsidR="00C4339F" w:rsidRPr="00681040">
        <w:t>astenec</w:t>
      </w:r>
    </w:p>
    <w:p w:rsidR="007A2AD1" w:rsidRPr="00681040" w:rsidRDefault="00BF417C" w:rsidP="007478A3">
      <w:pPr>
        <w:pStyle w:val="Normlndobloku"/>
      </w:pPr>
      <w:r>
        <w:t>m</w:t>
      </w:r>
      <w:r w:rsidR="007A2AD1" w:rsidRPr="00681040">
        <w:t xml:space="preserve">akrogol </w:t>
      </w:r>
      <w:r w:rsidR="007A2AD1">
        <w:t>4</w:t>
      </w:r>
      <w:r w:rsidR="007A2AD1" w:rsidRPr="00681040">
        <w:t>000</w:t>
      </w:r>
    </w:p>
    <w:p w:rsidR="007A2AD1" w:rsidRDefault="00BF417C" w:rsidP="007478A3">
      <w:pPr>
        <w:pStyle w:val="Normlndobloku"/>
      </w:pPr>
      <w:r>
        <w:t>l</w:t>
      </w:r>
      <w:r w:rsidR="007A2AD1">
        <w:t>ecitín</w:t>
      </w:r>
    </w:p>
    <w:p w:rsidR="007A2AD1" w:rsidRPr="009F6C65" w:rsidRDefault="007A2AD1" w:rsidP="007478A3">
      <w:pPr>
        <w:pStyle w:val="Normlndobloku"/>
      </w:pPr>
    </w:p>
    <w:p w:rsidR="00D80E0D" w:rsidRPr="00681040" w:rsidRDefault="00D80E0D" w:rsidP="00C50E86">
      <w:pPr>
        <w:pStyle w:val="Styl2"/>
      </w:pPr>
      <w:r w:rsidRPr="00681040">
        <w:t>Inkompatibility</w:t>
      </w:r>
    </w:p>
    <w:p w:rsidR="00D80E0D" w:rsidRPr="00681040" w:rsidRDefault="00D80E0D" w:rsidP="007478A3">
      <w:pPr>
        <w:pStyle w:val="Normlndobloku"/>
      </w:pPr>
      <w:r>
        <w:t>Neaplikovateľné.</w:t>
      </w:r>
    </w:p>
    <w:p w:rsidR="00D80E0D" w:rsidRPr="00681040" w:rsidRDefault="00D80E0D" w:rsidP="00C50E86">
      <w:pPr>
        <w:pStyle w:val="Styl2"/>
      </w:pPr>
      <w:r w:rsidRPr="00681040">
        <w:t>Čas použiteľnosti</w:t>
      </w:r>
    </w:p>
    <w:p w:rsidR="00D80E0D" w:rsidRPr="00681040" w:rsidRDefault="00D80E0D" w:rsidP="007478A3">
      <w:pPr>
        <w:pStyle w:val="Normlndobloku"/>
      </w:pPr>
      <w:r w:rsidRPr="00681040">
        <w:t>2</w:t>
      </w:r>
      <w:r>
        <w:t xml:space="preserve"> roky</w:t>
      </w:r>
    </w:p>
    <w:p w:rsidR="00D80E0D" w:rsidRPr="00681040" w:rsidRDefault="00D80E0D" w:rsidP="00C50E86">
      <w:pPr>
        <w:pStyle w:val="Styl2"/>
      </w:pPr>
      <w:r w:rsidRPr="00681040">
        <w:t>Špeciálne upozornenia na uchovávanie</w:t>
      </w:r>
    </w:p>
    <w:p w:rsidR="00D80E0D" w:rsidRPr="00681040" w:rsidRDefault="00D80E0D" w:rsidP="007478A3">
      <w:pPr>
        <w:pStyle w:val="Normlndobloku"/>
      </w:pPr>
      <w:r w:rsidRPr="00681040">
        <w:t>Uchovávajte pri teplote do 25</w:t>
      </w:r>
      <w:r>
        <w:t> </w:t>
      </w:r>
      <w:r w:rsidRPr="00681040">
        <w:t xml:space="preserve">°C. </w:t>
      </w:r>
      <w:r w:rsidR="00062310">
        <w:t xml:space="preserve">Uchovávajte v pôvodnom obale na ochranu </w:t>
      </w:r>
      <w:r w:rsidRPr="00681040">
        <w:t>pred svetlom.</w:t>
      </w:r>
    </w:p>
    <w:p w:rsidR="00D80E0D" w:rsidRPr="00681040" w:rsidRDefault="00D80E0D" w:rsidP="00C50E86">
      <w:pPr>
        <w:pStyle w:val="Styl2"/>
      </w:pPr>
      <w:r w:rsidRPr="00681040">
        <w:t>Druh obalu a obsah balenia</w:t>
      </w:r>
    </w:p>
    <w:p w:rsidR="00D80E0D" w:rsidRPr="00681040" w:rsidRDefault="00D80E0D" w:rsidP="00AE5E07">
      <w:pPr>
        <w:pStyle w:val="Styl4"/>
      </w:pPr>
      <w:r>
        <w:t>MEDOCLAV</w:t>
      </w:r>
      <w:r w:rsidRPr="00681040">
        <w:t xml:space="preserve"> 375</w:t>
      </w:r>
      <w:r>
        <w:t> </w:t>
      </w:r>
      <w:r w:rsidRPr="00681040">
        <w:t xml:space="preserve">mg, </w:t>
      </w:r>
      <w:r>
        <w:t>MEDOCLAV</w:t>
      </w:r>
      <w:r w:rsidRPr="00681040">
        <w:t xml:space="preserve"> 625</w:t>
      </w:r>
      <w:r>
        <w:t> </w:t>
      </w:r>
      <w:r w:rsidRPr="00681040">
        <w:t>mg</w:t>
      </w:r>
    </w:p>
    <w:p w:rsidR="00D80E0D" w:rsidRPr="00681040" w:rsidRDefault="00D80E0D" w:rsidP="007478A3">
      <w:pPr>
        <w:pStyle w:val="Normlndobloku"/>
      </w:pPr>
      <w:r w:rsidRPr="00681040">
        <w:t>Al/PVC blister, písomná informácia pre používateľ</w:t>
      </w:r>
      <w:r>
        <w:t>a</w:t>
      </w:r>
      <w:r w:rsidRPr="00681040">
        <w:t>, papierová škatuľka.</w:t>
      </w:r>
    </w:p>
    <w:p w:rsidR="00D80E0D" w:rsidRPr="00681040" w:rsidRDefault="00D80E0D" w:rsidP="007478A3">
      <w:pPr>
        <w:pStyle w:val="Normlndobloku"/>
      </w:pPr>
      <w:r w:rsidRPr="00681040">
        <w:t xml:space="preserve">Veľkosť balenia: 16, </w:t>
      </w:r>
      <w:smartTag w:uri="urn:schemas-microsoft-com:office:smarttags" w:element="metricconverter">
        <w:smartTagPr>
          <w:attr w:name="ProductID" w:val="20 a"/>
        </w:smartTagPr>
        <w:r w:rsidRPr="00681040">
          <w:t>20 a</w:t>
        </w:r>
        <w:r>
          <w:t> </w:t>
        </w:r>
      </w:smartTag>
      <w:r w:rsidRPr="00681040">
        <w:t>21 filmom obalených tabliet</w:t>
      </w:r>
    </w:p>
    <w:p w:rsidR="00D80E0D" w:rsidRPr="00681040" w:rsidRDefault="00D80E0D" w:rsidP="00AE5E07">
      <w:pPr>
        <w:pStyle w:val="Styl4"/>
      </w:pPr>
      <w:r>
        <w:t>MEDOCLAV</w:t>
      </w:r>
      <w:r w:rsidRPr="00681040">
        <w:t xml:space="preserve"> 1</w:t>
      </w:r>
      <w:r>
        <w:t> </w:t>
      </w:r>
      <w:r w:rsidRPr="00681040">
        <w:t>g</w:t>
      </w:r>
    </w:p>
    <w:p w:rsidR="00D80E0D" w:rsidRPr="00681040" w:rsidRDefault="00D80E0D" w:rsidP="007478A3">
      <w:pPr>
        <w:pStyle w:val="Normlndobloku"/>
      </w:pPr>
      <w:r w:rsidRPr="00681040">
        <w:t>Al/PVC blister, písomná informácia pre používateľ</w:t>
      </w:r>
      <w:r>
        <w:t>a</w:t>
      </w:r>
      <w:r w:rsidRPr="00681040">
        <w:t>, papierová škatuľka.</w:t>
      </w:r>
    </w:p>
    <w:p w:rsidR="00D80E0D" w:rsidRDefault="00D80E0D" w:rsidP="007478A3">
      <w:pPr>
        <w:pStyle w:val="Normlndobloku"/>
      </w:pPr>
      <w:r w:rsidRPr="00681040">
        <w:t xml:space="preserve">Veľkosť balenia: 8, 10, 14, </w:t>
      </w:r>
      <w:smartTag w:uri="urn:schemas-microsoft-com:office:smarttags" w:element="metricconverter">
        <w:smartTagPr>
          <w:attr w:name="ProductID" w:val="16 a"/>
        </w:smartTagPr>
        <w:r w:rsidRPr="00681040">
          <w:t>16 a</w:t>
        </w:r>
        <w:r>
          <w:t> </w:t>
        </w:r>
      </w:smartTag>
      <w:r w:rsidRPr="00681040">
        <w:t>20 filmom obalených tabliet</w:t>
      </w:r>
    </w:p>
    <w:p w:rsidR="00D80E0D" w:rsidRPr="00681040" w:rsidRDefault="00D80E0D" w:rsidP="007478A3">
      <w:pPr>
        <w:pStyle w:val="Normlndobloku"/>
      </w:pPr>
      <w:r>
        <w:t>Na trh nemusia byť uvedené všetky veľkosti balenia.</w:t>
      </w:r>
    </w:p>
    <w:p w:rsidR="00D80E0D" w:rsidRPr="00681040" w:rsidRDefault="00D80E0D" w:rsidP="00C50E86">
      <w:pPr>
        <w:pStyle w:val="Styl2"/>
      </w:pPr>
      <w:r w:rsidRPr="00681040">
        <w:t>Špeciálne opatrenia na likvidáciu a</w:t>
      </w:r>
      <w:r>
        <w:t> </w:t>
      </w:r>
      <w:r w:rsidRPr="00681040">
        <w:t>iné zaobchádzanie s</w:t>
      </w:r>
      <w:r>
        <w:t> </w:t>
      </w:r>
      <w:r w:rsidRPr="00681040">
        <w:t>liekom</w:t>
      </w:r>
    </w:p>
    <w:p w:rsidR="00D80E0D" w:rsidRDefault="00D80E0D" w:rsidP="007478A3">
      <w:pPr>
        <w:pStyle w:val="Normlndobloku"/>
      </w:pPr>
      <w:r w:rsidRPr="00681040">
        <w:t>Žiadne zvláštne požiadavky.</w:t>
      </w:r>
    </w:p>
    <w:p w:rsidR="00D80E0D" w:rsidRPr="00681040" w:rsidRDefault="00D80E0D" w:rsidP="00E02173">
      <w:pPr>
        <w:pStyle w:val="Styl1"/>
      </w:pPr>
      <w:r w:rsidRPr="00681040">
        <w:t>DRŽITEĽ ROZHODNUTIA O REGISTRÁCII</w:t>
      </w:r>
    </w:p>
    <w:p w:rsidR="00D80E0D" w:rsidRPr="00681040" w:rsidRDefault="00D80E0D" w:rsidP="007478A3">
      <w:pPr>
        <w:pStyle w:val="Normlndobloku"/>
      </w:pPr>
      <w:r w:rsidRPr="00681040">
        <w:t xml:space="preserve">Medochemie Ltd., </w:t>
      </w:r>
      <w:r>
        <w:t xml:space="preserve">1-10 Constantinoupoleos Street, 3011 </w:t>
      </w:r>
      <w:r w:rsidRPr="00681040">
        <w:t>Limassol, Cyprus</w:t>
      </w:r>
    </w:p>
    <w:p w:rsidR="00D80E0D" w:rsidRPr="00681040" w:rsidRDefault="00D80E0D" w:rsidP="00092984">
      <w:pPr>
        <w:pStyle w:val="Styl1"/>
      </w:pPr>
      <w:r w:rsidRPr="00681040">
        <w:t>REGISTRAČNÉ ČÍSLA</w:t>
      </w:r>
    </w:p>
    <w:p w:rsidR="00D80E0D" w:rsidRPr="00681040" w:rsidRDefault="00D80E0D" w:rsidP="007478A3">
      <w:pPr>
        <w:pStyle w:val="Normlndobloku"/>
      </w:pPr>
      <w:r>
        <w:t>MEDOCLAV</w:t>
      </w:r>
      <w:r w:rsidRPr="00681040">
        <w:t xml:space="preserve"> 375</w:t>
      </w:r>
      <w:r>
        <w:t> </w:t>
      </w:r>
      <w:r w:rsidRPr="00681040">
        <w:t>mg:</w:t>
      </w:r>
      <w:r>
        <w:t xml:space="preserve"> </w:t>
      </w:r>
      <w:r w:rsidRPr="00681040">
        <w:t>15/0019/03-S</w:t>
      </w:r>
    </w:p>
    <w:p w:rsidR="00D80E0D" w:rsidRPr="00681040" w:rsidRDefault="00D80E0D" w:rsidP="007478A3">
      <w:pPr>
        <w:pStyle w:val="Normlndobloku"/>
      </w:pPr>
      <w:r>
        <w:t>MEDOCLAV</w:t>
      </w:r>
      <w:r w:rsidRPr="00681040">
        <w:t xml:space="preserve"> 625</w:t>
      </w:r>
      <w:r>
        <w:t> </w:t>
      </w:r>
      <w:r w:rsidRPr="00681040">
        <w:t>mg:</w:t>
      </w:r>
      <w:r>
        <w:t xml:space="preserve"> </w:t>
      </w:r>
      <w:r w:rsidRPr="00681040">
        <w:t>15/0020/03-S</w:t>
      </w:r>
    </w:p>
    <w:p w:rsidR="00D80E0D" w:rsidRPr="00681040" w:rsidRDefault="00D80E0D" w:rsidP="007478A3">
      <w:pPr>
        <w:pStyle w:val="Normlndobloku"/>
      </w:pPr>
      <w:r>
        <w:t>MEDOCLAV</w:t>
      </w:r>
      <w:r w:rsidRPr="00681040">
        <w:t xml:space="preserve"> 1</w:t>
      </w:r>
      <w:r>
        <w:t> </w:t>
      </w:r>
      <w:r w:rsidRPr="00681040">
        <w:t>g: 15/0093/07-S</w:t>
      </w:r>
    </w:p>
    <w:p w:rsidR="00D80E0D" w:rsidRPr="00681040" w:rsidRDefault="00D80E0D" w:rsidP="00E02173">
      <w:pPr>
        <w:pStyle w:val="Styl1"/>
      </w:pPr>
      <w:r w:rsidRPr="00681040">
        <w:t xml:space="preserve">DÁTUM </w:t>
      </w:r>
      <w:r>
        <w:t xml:space="preserve">PRVEJ </w:t>
      </w:r>
      <w:r w:rsidRPr="00681040">
        <w:t>REGISTRÁCIE/ PREDĹŽENIA REGISTRÁCIE</w:t>
      </w:r>
    </w:p>
    <w:p w:rsidR="00D80E0D" w:rsidRDefault="00D80E0D" w:rsidP="007478A3">
      <w:pPr>
        <w:pStyle w:val="Normlndobloku"/>
      </w:pPr>
      <w:r>
        <w:t>MEDOCLAV</w:t>
      </w:r>
      <w:r w:rsidRPr="00681040">
        <w:t xml:space="preserve"> 375</w:t>
      </w:r>
      <w:r>
        <w:t> </w:t>
      </w:r>
      <w:r w:rsidRPr="00681040">
        <w:t>mg</w:t>
      </w:r>
      <w:r>
        <w:t>, MEDOCLAV</w:t>
      </w:r>
      <w:r w:rsidRPr="00681040">
        <w:t xml:space="preserve"> 625</w:t>
      </w:r>
      <w:r>
        <w:t> </w:t>
      </w:r>
      <w:r w:rsidRPr="00681040">
        <w:t>mg</w:t>
      </w:r>
    </w:p>
    <w:p w:rsidR="00D80E0D" w:rsidRDefault="00D80E0D" w:rsidP="007478A3">
      <w:pPr>
        <w:pStyle w:val="Normlndobloku"/>
      </w:pPr>
      <w:r>
        <w:lastRenderedPageBreak/>
        <w:t xml:space="preserve">Dátum prvej registrácie: </w:t>
      </w:r>
      <w:r w:rsidRPr="00681040">
        <w:t>2.</w:t>
      </w:r>
      <w:r w:rsidR="00AA1CB9">
        <w:t xml:space="preserve"> </w:t>
      </w:r>
      <w:r>
        <w:t xml:space="preserve">apríl </w:t>
      </w:r>
      <w:r w:rsidRPr="00681040">
        <w:t>2003</w:t>
      </w:r>
    </w:p>
    <w:p w:rsidR="00D80E0D" w:rsidRPr="00681040" w:rsidRDefault="00D80E0D" w:rsidP="007478A3">
      <w:pPr>
        <w:pStyle w:val="Normlndobloku"/>
      </w:pPr>
      <w:r>
        <w:t>Dátum posledného predĺženia registrácie: 15.</w:t>
      </w:r>
      <w:r w:rsidR="00AA1CB9">
        <w:t xml:space="preserve"> </w:t>
      </w:r>
      <w:r>
        <w:t xml:space="preserve">apríl </w:t>
      </w:r>
      <w:r w:rsidRPr="00681040">
        <w:t>200</w:t>
      </w:r>
      <w:r>
        <w:t>9</w:t>
      </w:r>
    </w:p>
    <w:p w:rsidR="00D80E0D" w:rsidRDefault="00D80E0D" w:rsidP="007478A3">
      <w:pPr>
        <w:pStyle w:val="Normlndobloku"/>
      </w:pPr>
      <w:r>
        <w:t>MEDOCLAV</w:t>
      </w:r>
      <w:r w:rsidRPr="00681040">
        <w:t xml:space="preserve"> 1</w:t>
      </w:r>
      <w:r>
        <w:t> </w:t>
      </w:r>
      <w:r w:rsidRPr="00681040">
        <w:t>g</w:t>
      </w:r>
    </w:p>
    <w:p w:rsidR="00D80E0D" w:rsidRDefault="00D80E0D" w:rsidP="007478A3">
      <w:pPr>
        <w:pStyle w:val="Normlndobloku"/>
      </w:pPr>
      <w:r>
        <w:t>Dátum prvej registrácie: 30.</w:t>
      </w:r>
      <w:r w:rsidR="00AA1CB9">
        <w:t xml:space="preserve"> </w:t>
      </w:r>
      <w:r>
        <w:t>marec 2007</w:t>
      </w:r>
    </w:p>
    <w:p w:rsidR="00D80E0D" w:rsidRPr="00681040" w:rsidRDefault="00D80E0D" w:rsidP="007478A3">
      <w:pPr>
        <w:pStyle w:val="Normlndobloku"/>
      </w:pPr>
      <w:r>
        <w:t>Dátum posledného predĺženia registrácie: 30. jún 2012</w:t>
      </w:r>
    </w:p>
    <w:p w:rsidR="00D80E0D" w:rsidRPr="00681040" w:rsidRDefault="00D80E0D" w:rsidP="00E02173">
      <w:pPr>
        <w:pStyle w:val="Styl1"/>
      </w:pPr>
      <w:r w:rsidRPr="00681040">
        <w:t>DÁTUM REVÍZIE TEXTU</w:t>
      </w:r>
    </w:p>
    <w:p w:rsidR="00D80E0D" w:rsidRPr="00681040" w:rsidRDefault="00D80E0D" w:rsidP="007478A3">
      <w:pPr>
        <w:pStyle w:val="Normlndobloku"/>
      </w:pPr>
      <w:r>
        <w:t xml:space="preserve"> </w:t>
      </w:r>
      <w:r w:rsidR="00BF417C">
        <w:t xml:space="preserve">Júl </w:t>
      </w:r>
      <w:r>
        <w:t>201</w:t>
      </w:r>
      <w:r w:rsidR="00C4339F">
        <w:t>8</w:t>
      </w:r>
    </w:p>
    <w:sectPr w:rsidR="00D80E0D" w:rsidRPr="00681040" w:rsidSect="00892C0E">
      <w:headerReference w:type="default" r:id="rId8"/>
      <w:footerReference w:type="even" r:id="rId9"/>
      <w:footerReference w:type="default" r:id="rId10"/>
      <w:headerReference w:type="first" r:id="rId11"/>
      <w:footerReference w:type="first" r:id="rId12"/>
      <w:pgSz w:w="12240" w:h="15840" w:code="1"/>
      <w:pgMar w:top="1134"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CE3" w:rsidRDefault="00E73CE3">
      <w:r>
        <w:separator/>
      </w:r>
    </w:p>
  </w:endnote>
  <w:endnote w:type="continuationSeparator" w:id="0">
    <w:p w:rsidR="00E73CE3" w:rsidRDefault="00E73C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Helvetica">
    <w:panose1 w:val="020B0604020202030204"/>
    <w:charset w:val="EE"/>
    <w:family w:val="swiss"/>
    <w:pitch w:val="variable"/>
    <w:sig w:usb0="00000007" w:usb1="00000000" w:usb2="00000000" w:usb3="00000000" w:csb0="00000093"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ahoma">
    <w:panose1 w:val="020B0604030504040204"/>
    <w:charset w:val="EE"/>
    <w:family w:val="swiss"/>
    <w:pitch w:val="variable"/>
    <w:sig w:usb0="61002A87" w:usb1="80000000" w:usb2="00000008" w:usb3="00000000" w:csb0="000101FF" w:csb1="00000000"/>
  </w:font>
  <w:font w:name="Calibri Light">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54" w:rsidRDefault="00B92FCF">
    <w:pPr>
      <w:pStyle w:val="Pta"/>
      <w:framePr w:wrap="around" w:vAnchor="text" w:hAnchor="margin" w:xAlign="center" w:y="1"/>
      <w:rPr>
        <w:rStyle w:val="slostrany"/>
      </w:rPr>
    </w:pPr>
    <w:r>
      <w:rPr>
        <w:rStyle w:val="slostrany"/>
      </w:rPr>
      <w:fldChar w:fldCharType="begin"/>
    </w:r>
    <w:r w:rsidR="00D52F54">
      <w:rPr>
        <w:rStyle w:val="slostrany"/>
      </w:rPr>
      <w:instrText xml:space="preserve">PAGE  </w:instrText>
    </w:r>
    <w:r>
      <w:rPr>
        <w:rStyle w:val="slostrany"/>
      </w:rPr>
      <w:fldChar w:fldCharType="separate"/>
    </w:r>
    <w:r w:rsidR="00D52F54">
      <w:rPr>
        <w:rStyle w:val="slostrany"/>
        <w:noProof/>
      </w:rPr>
      <w:t>7</w:t>
    </w:r>
    <w:r>
      <w:rPr>
        <w:rStyle w:val="slostrany"/>
      </w:rPr>
      <w:fldChar w:fldCharType="end"/>
    </w:r>
  </w:p>
  <w:p w:rsidR="00D52F54" w:rsidRDefault="00D52F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54" w:rsidRPr="00DA1D0A" w:rsidRDefault="00B92FCF" w:rsidP="008129D6">
    <w:pPr>
      <w:pStyle w:val="Pta"/>
      <w:jc w:val="center"/>
      <w:rPr>
        <w:rFonts w:ascii="Times New Roman" w:hAnsi="Times New Roman"/>
        <w:sz w:val="20"/>
      </w:rPr>
    </w:pPr>
    <w:r w:rsidRPr="00DA1D0A">
      <w:rPr>
        <w:rFonts w:ascii="Times New Roman" w:hAnsi="Times New Roman"/>
        <w:sz w:val="20"/>
      </w:rPr>
      <w:fldChar w:fldCharType="begin"/>
    </w:r>
    <w:r w:rsidR="00D52F54" w:rsidRPr="00DA1D0A">
      <w:rPr>
        <w:rFonts w:ascii="Times New Roman" w:hAnsi="Times New Roman"/>
        <w:sz w:val="20"/>
      </w:rPr>
      <w:instrText>PAGE</w:instrText>
    </w:r>
    <w:r w:rsidRPr="00DA1D0A">
      <w:rPr>
        <w:rFonts w:ascii="Times New Roman" w:hAnsi="Times New Roman"/>
        <w:sz w:val="20"/>
      </w:rPr>
      <w:fldChar w:fldCharType="separate"/>
    </w:r>
    <w:r w:rsidR="00A02DEF">
      <w:rPr>
        <w:rFonts w:ascii="Times New Roman" w:hAnsi="Times New Roman"/>
        <w:noProof/>
        <w:sz w:val="20"/>
      </w:rPr>
      <w:t>1</w:t>
    </w:r>
    <w:r w:rsidRPr="00DA1D0A">
      <w:rPr>
        <w:rFonts w:ascii="Times New Roman" w:hAnsi="Times New Roman"/>
        <w:sz w:val="20"/>
      </w:rPr>
      <w:fldChar w:fldCharType="end"/>
    </w:r>
    <w:r w:rsidR="00D52F54" w:rsidRPr="00DA1D0A">
      <w:rPr>
        <w:rFonts w:ascii="Times New Roman" w:hAnsi="Times New Roman"/>
        <w:sz w:val="20"/>
      </w:rPr>
      <w:t>/</w:t>
    </w:r>
    <w:r w:rsidRPr="00DA1D0A">
      <w:rPr>
        <w:rFonts w:ascii="Times New Roman" w:hAnsi="Times New Roman"/>
        <w:sz w:val="20"/>
      </w:rPr>
      <w:fldChar w:fldCharType="begin"/>
    </w:r>
    <w:r w:rsidR="00D52F54" w:rsidRPr="00DA1D0A">
      <w:rPr>
        <w:rFonts w:ascii="Times New Roman" w:hAnsi="Times New Roman"/>
        <w:sz w:val="20"/>
      </w:rPr>
      <w:instrText>NUMPAGES</w:instrText>
    </w:r>
    <w:r w:rsidRPr="00DA1D0A">
      <w:rPr>
        <w:rFonts w:ascii="Times New Roman" w:hAnsi="Times New Roman"/>
        <w:sz w:val="20"/>
      </w:rPr>
      <w:fldChar w:fldCharType="separate"/>
    </w:r>
    <w:r w:rsidR="00A02DEF">
      <w:rPr>
        <w:rFonts w:ascii="Times New Roman" w:hAnsi="Times New Roman"/>
        <w:noProof/>
        <w:sz w:val="20"/>
      </w:rPr>
      <w:t>18</w:t>
    </w:r>
    <w:r w:rsidRPr="00DA1D0A">
      <w:rPr>
        <w:rFonts w:ascii="Times New Roman" w:hAnsi="Times New Roman"/>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54" w:rsidRDefault="00B92FCF" w:rsidP="00DA1D0A">
    <w:pPr>
      <w:jc w:val="center"/>
    </w:pPr>
    <w:r w:rsidRPr="00DA1D0A">
      <w:rPr>
        <w:sz w:val="20"/>
      </w:rPr>
      <w:fldChar w:fldCharType="begin"/>
    </w:r>
    <w:r w:rsidR="00D52F54" w:rsidRPr="00DA1D0A">
      <w:rPr>
        <w:sz w:val="20"/>
      </w:rPr>
      <w:instrText>PAGE</w:instrText>
    </w:r>
    <w:r w:rsidRPr="00DA1D0A">
      <w:rPr>
        <w:sz w:val="20"/>
      </w:rPr>
      <w:fldChar w:fldCharType="separate"/>
    </w:r>
    <w:r w:rsidR="00D52F54">
      <w:rPr>
        <w:noProof/>
        <w:sz w:val="20"/>
      </w:rPr>
      <w:t>1</w:t>
    </w:r>
    <w:r w:rsidRPr="00DA1D0A">
      <w:rPr>
        <w:sz w:val="20"/>
      </w:rPr>
      <w:fldChar w:fldCharType="end"/>
    </w:r>
    <w:r w:rsidR="00D52F54" w:rsidRPr="00DA1D0A">
      <w:rPr>
        <w:sz w:val="20"/>
      </w:rPr>
      <w:t>/</w:t>
    </w:r>
    <w:r w:rsidRPr="00DA1D0A">
      <w:rPr>
        <w:sz w:val="20"/>
      </w:rPr>
      <w:fldChar w:fldCharType="begin"/>
    </w:r>
    <w:r w:rsidR="00D52F54" w:rsidRPr="00DA1D0A">
      <w:rPr>
        <w:sz w:val="20"/>
      </w:rPr>
      <w:instrText>NUMPAGES</w:instrText>
    </w:r>
    <w:r w:rsidRPr="00DA1D0A">
      <w:rPr>
        <w:sz w:val="20"/>
      </w:rPr>
      <w:fldChar w:fldCharType="separate"/>
    </w:r>
    <w:r w:rsidR="00D52F54">
      <w:rPr>
        <w:noProof/>
        <w:sz w:val="20"/>
      </w:rPr>
      <w:t>17</w:t>
    </w:r>
    <w:r w:rsidRPr="00DA1D0A">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CE3" w:rsidRDefault="00E73CE3">
      <w:r>
        <w:separator/>
      </w:r>
    </w:p>
  </w:footnote>
  <w:footnote w:type="continuationSeparator" w:id="0">
    <w:p w:rsidR="00E73CE3" w:rsidRDefault="00E73C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54" w:rsidRDefault="00D52F54" w:rsidP="00892C0E">
    <w:pPr>
      <w:rPr>
        <w:sz w:val="18"/>
        <w:szCs w:val="18"/>
      </w:rPr>
    </w:pPr>
    <w:r>
      <w:rPr>
        <w:sz w:val="18"/>
        <w:szCs w:val="18"/>
      </w:rPr>
      <w:t xml:space="preserve">Schválený text k rozhodnutiu o zmene, ev. č.: 2017/04534-ZME </w:t>
    </w:r>
  </w:p>
  <w:p w:rsidR="00D52F54" w:rsidRPr="00D80E0D" w:rsidRDefault="00D52F54" w:rsidP="00892C0E">
    <w:pPr>
      <w:rPr>
        <w:sz w:val="18"/>
        <w:szCs w:val="18"/>
      </w:rPr>
    </w:pPr>
    <w:r>
      <w:rPr>
        <w:sz w:val="18"/>
        <w:szCs w:val="18"/>
      </w:rPr>
      <w:t>Príloha č. 1 k notifikácii o zmene, ev. č.: 2017/05255-Z1A</w:t>
    </w:r>
  </w:p>
  <w:p w:rsidR="00D52F54" w:rsidRDefault="00D52F54">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F54" w:rsidRDefault="00D52F54" w:rsidP="00913874">
    <w:pPr>
      <w:rPr>
        <w:sz w:val="18"/>
        <w:szCs w:val="18"/>
      </w:rPr>
    </w:pPr>
    <w:r>
      <w:rPr>
        <w:sz w:val="18"/>
        <w:szCs w:val="18"/>
      </w:rPr>
      <w:t xml:space="preserve">Schválený text k rozhodnutiu o zmene, ev. č.: 2017/04534-ZME </w:t>
    </w:r>
  </w:p>
  <w:p w:rsidR="00D52F54" w:rsidRPr="00D80E0D" w:rsidRDefault="00D52F54" w:rsidP="00913874">
    <w:pPr>
      <w:rPr>
        <w:sz w:val="18"/>
        <w:szCs w:val="18"/>
      </w:rPr>
    </w:pPr>
    <w:r>
      <w:rPr>
        <w:sz w:val="18"/>
        <w:szCs w:val="18"/>
      </w:rPr>
      <w:t>Príloha č. 1 k notifikácii o zmene, ev. č.: 2017/05255-Z1A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D0E2FC"/>
    <w:lvl w:ilvl="0">
      <w:start w:val="1"/>
      <w:numFmt w:val="decimal"/>
      <w:lvlText w:val="%1."/>
      <w:lvlJc w:val="left"/>
      <w:pPr>
        <w:tabs>
          <w:tab w:val="num" w:pos="1492"/>
        </w:tabs>
        <w:ind w:left="1492" w:hanging="360"/>
      </w:pPr>
    </w:lvl>
  </w:abstractNum>
  <w:abstractNum w:abstractNumId="1">
    <w:nsid w:val="FFFFFF7D"/>
    <w:multiLevelType w:val="singleLevel"/>
    <w:tmpl w:val="2B92DBAC"/>
    <w:lvl w:ilvl="0">
      <w:start w:val="1"/>
      <w:numFmt w:val="decimal"/>
      <w:lvlText w:val="%1."/>
      <w:lvlJc w:val="left"/>
      <w:pPr>
        <w:tabs>
          <w:tab w:val="num" w:pos="1209"/>
        </w:tabs>
        <w:ind w:left="1209" w:hanging="360"/>
      </w:pPr>
    </w:lvl>
  </w:abstractNum>
  <w:abstractNum w:abstractNumId="2">
    <w:nsid w:val="FFFFFF7E"/>
    <w:multiLevelType w:val="singleLevel"/>
    <w:tmpl w:val="7C762D42"/>
    <w:lvl w:ilvl="0">
      <w:start w:val="1"/>
      <w:numFmt w:val="decimal"/>
      <w:lvlText w:val="%1."/>
      <w:lvlJc w:val="left"/>
      <w:pPr>
        <w:tabs>
          <w:tab w:val="num" w:pos="926"/>
        </w:tabs>
        <w:ind w:left="926" w:hanging="360"/>
      </w:pPr>
    </w:lvl>
  </w:abstractNum>
  <w:abstractNum w:abstractNumId="3">
    <w:nsid w:val="FFFFFF7F"/>
    <w:multiLevelType w:val="singleLevel"/>
    <w:tmpl w:val="FA16AB48"/>
    <w:lvl w:ilvl="0">
      <w:start w:val="1"/>
      <w:numFmt w:val="decimal"/>
      <w:lvlText w:val="%1."/>
      <w:lvlJc w:val="left"/>
      <w:pPr>
        <w:tabs>
          <w:tab w:val="num" w:pos="643"/>
        </w:tabs>
        <w:ind w:left="643" w:hanging="360"/>
      </w:pPr>
    </w:lvl>
  </w:abstractNum>
  <w:abstractNum w:abstractNumId="4">
    <w:nsid w:val="FFFFFF80"/>
    <w:multiLevelType w:val="singleLevel"/>
    <w:tmpl w:val="259AC8A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0964B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783C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DBCE5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2077AA"/>
    <w:lvl w:ilvl="0">
      <w:start w:val="1"/>
      <w:numFmt w:val="decimal"/>
      <w:lvlText w:val="%1."/>
      <w:lvlJc w:val="left"/>
      <w:pPr>
        <w:tabs>
          <w:tab w:val="num" w:pos="360"/>
        </w:tabs>
        <w:ind w:left="360" w:hanging="360"/>
      </w:pPr>
    </w:lvl>
  </w:abstractNum>
  <w:abstractNum w:abstractNumId="9">
    <w:nsid w:val="FFFFFF89"/>
    <w:multiLevelType w:val="singleLevel"/>
    <w:tmpl w:val="8218689A"/>
    <w:lvl w:ilvl="0">
      <w:start w:val="1"/>
      <w:numFmt w:val="bullet"/>
      <w:lvlText w:val=""/>
      <w:lvlJc w:val="left"/>
      <w:pPr>
        <w:tabs>
          <w:tab w:val="num" w:pos="360"/>
        </w:tabs>
        <w:ind w:left="360" w:hanging="360"/>
      </w:pPr>
      <w:rPr>
        <w:rFonts w:ascii="Symbol" w:hAnsi="Symbol" w:hint="default"/>
      </w:rPr>
    </w:lvl>
  </w:abstractNum>
  <w:abstractNum w:abstractNumId="10">
    <w:nsid w:val="02552083"/>
    <w:multiLevelType w:val="multilevel"/>
    <w:tmpl w:val="998CFF7A"/>
    <w:styleLink w:val="tlSodrkami"/>
    <w:lvl w:ilvl="0">
      <w:start w:val="1"/>
      <w:numFmt w:val="bullet"/>
      <w:lvlText w:val=""/>
      <w:lvlJc w:val="left"/>
      <w:pPr>
        <w:tabs>
          <w:tab w:val="num" w:pos="1077"/>
        </w:tabs>
        <w:ind w:left="1077"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2CC6FF0"/>
    <w:multiLevelType w:val="multilevel"/>
    <w:tmpl w:val="998CFF7A"/>
    <w:numStyleLink w:val="tlSodrkami"/>
  </w:abstractNum>
  <w:abstractNum w:abstractNumId="12">
    <w:nsid w:val="0FC405BA"/>
    <w:multiLevelType w:val="multilevel"/>
    <w:tmpl w:val="998CFF7A"/>
    <w:numStyleLink w:val="tlSodrkami"/>
  </w:abstractNum>
  <w:abstractNum w:abstractNumId="13">
    <w:nsid w:val="113F6121"/>
    <w:multiLevelType w:val="hybridMultilevel"/>
    <w:tmpl w:val="033A3F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74C7DB5"/>
    <w:multiLevelType w:val="hybridMultilevel"/>
    <w:tmpl w:val="2C761DC6"/>
    <w:lvl w:ilvl="0" w:tplc="9E1884CC">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C24436F"/>
    <w:multiLevelType w:val="multilevel"/>
    <w:tmpl w:val="998CFF7A"/>
    <w:numStyleLink w:val="tlSodrkami"/>
  </w:abstractNum>
  <w:abstractNum w:abstractNumId="16">
    <w:nsid w:val="1FC041E6"/>
    <w:multiLevelType w:val="multilevel"/>
    <w:tmpl w:val="998CFF7A"/>
    <w:numStyleLink w:val="tlSodrkami"/>
  </w:abstractNum>
  <w:abstractNum w:abstractNumId="17">
    <w:nsid w:val="2E901873"/>
    <w:multiLevelType w:val="multilevel"/>
    <w:tmpl w:val="998CFF7A"/>
    <w:numStyleLink w:val="tlSodrkami"/>
  </w:abstractNum>
  <w:abstractNum w:abstractNumId="18">
    <w:nsid w:val="36052C68"/>
    <w:multiLevelType w:val="multilevel"/>
    <w:tmpl w:val="998CFF7A"/>
    <w:numStyleLink w:val="tlSodrkami"/>
  </w:abstractNum>
  <w:abstractNum w:abstractNumId="19">
    <w:nsid w:val="40345DE8"/>
    <w:multiLevelType w:val="multilevel"/>
    <w:tmpl w:val="998CFF7A"/>
    <w:numStyleLink w:val="tlSodrkami"/>
  </w:abstractNum>
  <w:abstractNum w:abstractNumId="20">
    <w:nsid w:val="41121CFC"/>
    <w:multiLevelType w:val="multilevel"/>
    <w:tmpl w:val="998CFF7A"/>
    <w:numStyleLink w:val="tlSodrkami"/>
  </w:abstractNum>
  <w:abstractNum w:abstractNumId="21">
    <w:nsid w:val="61540C50"/>
    <w:multiLevelType w:val="multilevel"/>
    <w:tmpl w:val="998CFF7A"/>
    <w:numStyleLink w:val="tlSodrkami"/>
  </w:abstractNum>
  <w:abstractNum w:abstractNumId="22">
    <w:nsid w:val="6AAD4AA7"/>
    <w:multiLevelType w:val="multilevel"/>
    <w:tmpl w:val="DC982D12"/>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74680A2C"/>
    <w:multiLevelType w:val="hybridMultilevel"/>
    <w:tmpl w:val="DD8CDBB8"/>
    <w:lvl w:ilvl="0" w:tplc="AE30D20E">
      <w:start w:val="1"/>
      <w:numFmt w:val="bullet"/>
      <w:pStyle w:val="tlPodaokraja"/>
      <w:lvlText w:val=""/>
      <w:lvlJc w:val="left"/>
      <w:pPr>
        <w:tabs>
          <w:tab w:val="num" w:pos="1077"/>
        </w:tabs>
        <w:ind w:left="1077"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4"/>
  </w:num>
  <w:num w:numId="3">
    <w:abstractNumId w:val="23"/>
  </w:num>
  <w:num w:numId="4">
    <w:abstractNumId w:val="10"/>
  </w:num>
  <w:num w:numId="5">
    <w:abstractNumId w:val="11"/>
  </w:num>
  <w:num w:numId="6">
    <w:abstractNumId w:val="12"/>
  </w:num>
  <w:num w:numId="7">
    <w:abstractNumId w:val="21"/>
  </w:num>
  <w:num w:numId="8">
    <w:abstractNumId w:val="15"/>
  </w:num>
  <w:num w:numId="9">
    <w:abstractNumId w:val="20"/>
  </w:num>
  <w:num w:numId="10">
    <w:abstractNumId w:val="18"/>
  </w:num>
  <w:num w:numId="11">
    <w:abstractNumId w:val="19"/>
  </w:num>
  <w:num w:numId="12">
    <w:abstractNumId w:val="17"/>
  </w:num>
  <w:num w:numId="13">
    <w:abstractNumId w:val="16"/>
  </w:num>
  <w:num w:numId="14">
    <w:abstractNumId w:val="22"/>
  </w:num>
  <w:num w:numId="15">
    <w:abstractNumId w:val="22"/>
  </w:num>
  <w:num w:numId="16">
    <w:abstractNumId w:val="1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4"/>
  <w:trackRevisions/>
  <w:defaultTabStop w:val="720"/>
  <w:hyphenationZone w:val="425"/>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F3978"/>
    <w:rsid w:val="00000C6E"/>
    <w:rsid w:val="00003AE8"/>
    <w:rsid w:val="00003B60"/>
    <w:rsid w:val="000055B3"/>
    <w:rsid w:val="000075EF"/>
    <w:rsid w:val="0001038E"/>
    <w:rsid w:val="000155C4"/>
    <w:rsid w:val="000216F5"/>
    <w:rsid w:val="00034F38"/>
    <w:rsid w:val="00035C9A"/>
    <w:rsid w:val="00042F8D"/>
    <w:rsid w:val="00052DB3"/>
    <w:rsid w:val="00056827"/>
    <w:rsid w:val="00062310"/>
    <w:rsid w:val="00064893"/>
    <w:rsid w:val="0006494E"/>
    <w:rsid w:val="00066A18"/>
    <w:rsid w:val="00071F0D"/>
    <w:rsid w:val="00074D8A"/>
    <w:rsid w:val="000758F1"/>
    <w:rsid w:val="00080692"/>
    <w:rsid w:val="00082757"/>
    <w:rsid w:val="00085B79"/>
    <w:rsid w:val="00092984"/>
    <w:rsid w:val="00094079"/>
    <w:rsid w:val="0009628C"/>
    <w:rsid w:val="000966A7"/>
    <w:rsid w:val="000A0D4E"/>
    <w:rsid w:val="000A0D64"/>
    <w:rsid w:val="000A1E9C"/>
    <w:rsid w:val="000A30C4"/>
    <w:rsid w:val="000B4828"/>
    <w:rsid w:val="000B6162"/>
    <w:rsid w:val="000C1D91"/>
    <w:rsid w:val="000C493C"/>
    <w:rsid w:val="000C66BE"/>
    <w:rsid w:val="000D7ABC"/>
    <w:rsid w:val="000E1334"/>
    <w:rsid w:val="000E2D4E"/>
    <w:rsid w:val="000E7E51"/>
    <w:rsid w:val="000F308D"/>
    <w:rsid w:val="00102D26"/>
    <w:rsid w:val="0013259F"/>
    <w:rsid w:val="00132FDC"/>
    <w:rsid w:val="0013414B"/>
    <w:rsid w:val="0014333F"/>
    <w:rsid w:val="0014444E"/>
    <w:rsid w:val="001567D7"/>
    <w:rsid w:val="001603EB"/>
    <w:rsid w:val="001635D3"/>
    <w:rsid w:val="00175A3F"/>
    <w:rsid w:val="00185FB0"/>
    <w:rsid w:val="001922EF"/>
    <w:rsid w:val="00194FD6"/>
    <w:rsid w:val="001960C1"/>
    <w:rsid w:val="00196C96"/>
    <w:rsid w:val="001A0282"/>
    <w:rsid w:val="001A0F82"/>
    <w:rsid w:val="001A107A"/>
    <w:rsid w:val="001B0AF8"/>
    <w:rsid w:val="001B1D14"/>
    <w:rsid w:val="001B40D8"/>
    <w:rsid w:val="001C3911"/>
    <w:rsid w:val="001C6D86"/>
    <w:rsid w:val="001C7415"/>
    <w:rsid w:val="001C7C89"/>
    <w:rsid w:val="001D60AB"/>
    <w:rsid w:val="001E6556"/>
    <w:rsid w:val="002159FE"/>
    <w:rsid w:val="00224D4B"/>
    <w:rsid w:val="00237516"/>
    <w:rsid w:val="00243D2F"/>
    <w:rsid w:val="00243DDA"/>
    <w:rsid w:val="00256EF8"/>
    <w:rsid w:val="002579D5"/>
    <w:rsid w:val="00263C34"/>
    <w:rsid w:val="00270343"/>
    <w:rsid w:val="00282008"/>
    <w:rsid w:val="00291EAB"/>
    <w:rsid w:val="002959F3"/>
    <w:rsid w:val="00297354"/>
    <w:rsid w:val="002A38D0"/>
    <w:rsid w:val="002B5A61"/>
    <w:rsid w:val="002B6238"/>
    <w:rsid w:val="002C062C"/>
    <w:rsid w:val="002C381C"/>
    <w:rsid w:val="002C59DB"/>
    <w:rsid w:val="002C7B37"/>
    <w:rsid w:val="002D43C8"/>
    <w:rsid w:val="002D6AB4"/>
    <w:rsid w:val="002E0B0F"/>
    <w:rsid w:val="002E0CC9"/>
    <w:rsid w:val="002E6FB5"/>
    <w:rsid w:val="002F3ADF"/>
    <w:rsid w:val="00300496"/>
    <w:rsid w:val="003029DA"/>
    <w:rsid w:val="003050A9"/>
    <w:rsid w:val="00310409"/>
    <w:rsid w:val="00313C3A"/>
    <w:rsid w:val="00313FD2"/>
    <w:rsid w:val="0031610D"/>
    <w:rsid w:val="00321C9F"/>
    <w:rsid w:val="00326450"/>
    <w:rsid w:val="00330462"/>
    <w:rsid w:val="00331C7A"/>
    <w:rsid w:val="003327AF"/>
    <w:rsid w:val="00333708"/>
    <w:rsid w:val="00333F54"/>
    <w:rsid w:val="0033455A"/>
    <w:rsid w:val="00337532"/>
    <w:rsid w:val="00341854"/>
    <w:rsid w:val="00347E18"/>
    <w:rsid w:val="00351F2F"/>
    <w:rsid w:val="00352196"/>
    <w:rsid w:val="0035741B"/>
    <w:rsid w:val="00366EBF"/>
    <w:rsid w:val="00366F88"/>
    <w:rsid w:val="00375664"/>
    <w:rsid w:val="00375EA5"/>
    <w:rsid w:val="003774EC"/>
    <w:rsid w:val="00385015"/>
    <w:rsid w:val="0038575C"/>
    <w:rsid w:val="003904FF"/>
    <w:rsid w:val="00393454"/>
    <w:rsid w:val="003972F5"/>
    <w:rsid w:val="003A04FA"/>
    <w:rsid w:val="003A4313"/>
    <w:rsid w:val="003A4F31"/>
    <w:rsid w:val="003A53A7"/>
    <w:rsid w:val="003B419A"/>
    <w:rsid w:val="003B5D3C"/>
    <w:rsid w:val="003B5F7B"/>
    <w:rsid w:val="003C69C6"/>
    <w:rsid w:val="003D4ABB"/>
    <w:rsid w:val="003D55E3"/>
    <w:rsid w:val="003E1C2A"/>
    <w:rsid w:val="003E221B"/>
    <w:rsid w:val="003E7B61"/>
    <w:rsid w:val="003F183F"/>
    <w:rsid w:val="003F3978"/>
    <w:rsid w:val="003F47BA"/>
    <w:rsid w:val="003F74F9"/>
    <w:rsid w:val="00401036"/>
    <w:rsid w:val="00410288"/>
    <w:rsid w:val="0042086A"/>
    <w:rsid w:val="00425E80"/>
    <w:rsid w:val="00436A54"/>
    <w:rsid w:val="00442C74"/>
    <w:rsid w:val="00450189"/>
    <w:rsid w:val="00452CD4"/>
    <w:rsid w:val="00452DB5"/>
    <w:rsid w:val="0045313A"/>
    <w:rsid w:val="0046182C"/>
    <w:rsid w:val="00470662"/>
    <w:rsid w:val="0047158E"/>
    <w:rsid w:val="00471D11"/>
    <w:rsid w:val="00474A10"/>
    <w:rsid w:val="00484A5A"/>
    <w:rsid w:val="00490283"/>
    <w:rsid w:val="004A6BFB"/>
    <w:rsid w:val="004B63A7"/>
    <w:rsid w:val="004C303A"/>
    <w:rsid w:val="004C7823"/>
    <w:rsid w:val="004C7E04"/>
    <w:rsid w:val="004D4FD0"/>
    <w:rsid w:val="004D501A"/>
    <w:rsid w:val="004D72B8"/>
    <w:rsid w:val="004E2427"/>
    <w:rsid w:val="004F45AD"/>
    <w:rsid w:val="00510BB8"/>
    <w:rsid w:val="00515162"/>
    <w:rsid w:val="005243CA"/>
    <w:rsid w:val="00526BC3"/>
    <w:rsid w:val="0053514E"/>
    <w:rsid w:val="00550BF5"/>
    <w:rsid w:val="00552C2E"/>
    <w:rsid w:val="00556AAE"/>
    <w:rsid w:val="005603A1"/>
    <w:rsid w:val="00562B3D"/>
    <w:rsid w:val="00580686"/>
    <w:rsid w:val="00580729"/>
    <w:rsid w:val="005823B6"/>
    <w:rsid w:val="005835F8"/>
    <w:rsid w:val="005845C6"/>
    <w:rsid w:val="005868B7"/>
    <w:rsid w:val="0058734F"/>
    <w:rsid w:val="00597C42"/>
    <w:rsid w:val="005A1B2D"/>
    <w:rsid w:val="005A1DAC"/>
    <w:rsid w:val="005B531E"/>
    <w:rsid w:val="005B6388"/>
    <w:rsid w:val="005B7112"/>
    <w:rsid w:val="005C1671"/>
    <w:rsid w:val="005C2921"/>
    <w:rsid w:val="005C4837"/>
    <w:rsid w:val="005D3A75"/>
    <w:rsid w:val="005D57AF"/>
    <w:rsid w:val="005D7F4A"/>
    <w:rsid w:val="005E0E1C"/>
    <w:rsid w:val="005E1C20"/>
    <w:rsid w:val="005E1D9E"/>
    <w:rsid w:val="0060405C"/>
    <w:rsid w:val="0061514F"/>
    <w:rsid w:val="006151A2"/>
    <w:rsid w:val="006161E8"/>
    <w:rsid w:val="00617D58"/>
    <w:rsid w:val="006200C6"/>
    <w:rsid w:val="00620F7C"/>
    <w:rsid w:val="0063313C"/>
    <w:rsid w:val="0063346A"/>
    <w:rsid w:val="00636D58"/>
    <w:rsid w:val="0064442D"/>
    <w:rsid w:val="0064576C"/>
    <w:rsid w:val="0065724C"/>
    <w:rsid w:val="00662C7C"/>
    <w:rsid w:val="00663B8B"/>
    <w:rsid w:val="00674834"/>
    <w:rsid w:val="00674AD7"/>
    <w:rsid w:val="00681040"/>
    <w:rsid w:val="006914D4"/>
    <w:rsid w:val="0069610F"/>
    <w:rsid w:val="006B261D"/>
    <w:rsid w:val="006C50E9"/>
    <w:rsid w:val="006C575D"/>
    <w:rsid w:val="006D4C95"/>
    <w:rsid w:val="006D6FCD"/>
    <w:rsid w:val="006E668B"/>
    <w:rsid w:val="006F7CAD"/>
    <w:rsid w:val="00704EFC"/>
    <w:rsid w:val="00710A5C"/>
    <w:rsid w:val="00714B4D"/>
    <w:rsid w:val="00717A57"/>
    <w:rsid w:val="007303F7"/>
    <w:rsid w:val="00730495"/>
    <w:rsid w:val="00731D8B"/>
    <w:rsid w:val="00735785"/>
    <w:rsid w:val="00740594"/>
    <w:rsid w:val="00742687"/>
    <w:rsid w:val="00743560"/>
    <w:rsid w:val="007478A3"/>
    <w:rsid w:val="0075276F"/>
    <w:rsid w:val="007564DD"/>
    <w:rsid w:val="00762A76"/>
    <w:rsid w:val="00766117"/>
    <w:rsid w:val="00772890"/>
    <w:rsid w:val="00781807"/>
    <w:rsid w:val="00782D56"/>
    <w:rsid w:val="0078318D"/>
    <w:rsid w:val="0078626F"/>
    <w:rsid w:val="00797358"/>
    <w:rsid w:val="007978C3"/>
    <w:rsid w:val="007A2AD1"/>
    <w:rsid w:val="007A624F"/>
    <w:rsid w:val="007A6594"/>
    <w:rsid w:val="007C1D47"/>
    <w:rsid w:val="007C22A9"/>
    <w:rsid w:val="007C4EF7"/>
    <w:rsid w:val="007C56A3"/>
    <w:rsid w:val="007C66E9"/>
    <w:rsid w:val="007D20F3"/>
    <w:rsid w:val="007D5958"/>
    <w:rsid w:val="007D7760"/>
    <w:rsid w:val="007E2204"/>
    <w:rsid w:val="007F2522"/>
    <w:rsid w:val="007F75CB"/>
    <w:rsid w:val="008048C5"/>
    <w:rsid w:val="0080760B"/>
    <w:rsid w:val="00810086"/>
    <w:rsid w:val="008129D6"/>
    <w:rsid w:val="00816F97"/>
    <w:rsid w:val="00821CB7"/>
    <w:rsid w:val="00823706"/>
    <w:rsid w:val="00837BD7"/>
    <w:rsid w:val="0084564C"/>
    <w:rsid w:val="008505D5"/>
    <w:rsid w:val="00862FCA"/>
    <w:rsid w:val="008649A0"/>
    <w:rsid w:val="00864BD8"/>
    <w:rsid w:val="008707BE"/>
    <w:rsid w:val="00877A94"/>
    <w:rsid w:val="00892C0E"/>
    <w:rsid w:val="0089650D"/>
    <w:rsid w:val="00897D93"/>
    <w:rsid w:val="008B2AAE"/>
    <w:rsid w:val="008B66BD"/>
    <w:rsid w:val="008D6469"/>
    <w:rsid w:val="008E4292"/>
    <w:rsid w:val="008E73C5"/>
    <w:rsid w:val="008F7546"/>
    <w:rsid w:val="00904248"/>
    <w:rsid w:val="009046A6"/>
    <w:rsid w:val="00913874"/>
    <w:rsid w:val="00915769"/>
    <w:rsid w:val="00915B77"/>
    <w:rsid w:val="00917886"/>
    <w:rsid w:val="009235D2"/>
    <w:rsid w:val="00930037"/>
    <w:rsid w:val="00940851"/>
    <w:rsid w:val="00942B94"/>
    <w:rsid w:val="00951032"/>
    <w:rsid w:val="00956170"/>
    <w:rsid w:val="009605A4"/>
    <w:rsid w:val="00966EC4"/>
    <w:rsid w:val="00967BCE"/>
    <w:rsid w:val="00971607"/>
    <w:rsid w:val="00972A2E"/>
    <w:rsid w:val="00976F6C"/>
    <w:rsid w:val="009804C7"/>
    <w:rsid w:val="00981F0E"/>
    <w:rsid w:val="00985A69"/>
    <w:rsid w:val="009909D7"/>
    <w:rsid w:val="0099719A"/>
    <w:rsid w:val="009A413A"/>
    <w:rsid w:val="009A6424"/>
    <w:rsid w:val="009B13D3"/>
    <w:rsid w:val="009B35DA"/>
    <w:rsid w:val="009B5340"/>
    <w:rsid w:val="009C093A"/>
    <w:rsid w:val="009D4F42"/>
    <w:rsid w:val="009D6B61"/>
    <w:rsid w:val="009E066F"/>
    <w:rsid w:val="009E45EC"/>
    <w:rsid w:val="009F3AEA"/>
    <w:rsid w:val="009F62D2"/>
    <w:rsid w:val="009F6C65"/>
    <w:rsid w:val="00A02DEF"/>
    <w:rsid w:val="00A035B2"/>
    <w:rsid w:val="00A1065C"/>
    <w:rsid w:val="00A12C75"/>
    <w:rsid w:val="00A1306E"/>
    <w:rsid w:val="00A14EE3"/>
    <w:rsid w:val="00A20291"/>
    <w:rsid w:val="00A3032A"/>
    <w:rsid w:val="00A30519"/>
    <w:rsid w:val="00A32417"/>
    <w:rsid w:val="00A32941"/>
    <w:rsid w:val="00A3309B"/>
    <w:rsid w:val="00A40FE2"/>
    <w:rsid w:val="00A41270"/>
    <w:rsid w:val="00A463FA"/>
    <w:rsid w:val="00A529F4"/>
    <w:rsid w:val="00A70811"/>
    <w:rsid w:val="00A72DDE"/>
    <w:rsid w:val="00A83315"/>
    <w:rsid w:val="00A91788"/>
    <w:rsid w:val="00A92FE0"/>
    <w:rsid w:val="00A96DA6"/>
    <w:rsid w:val="00AA1CB9"/>
    <w:rsid w:val="00AA214B"/>
    <w:rsid w:val="00AA6C3F"/>
    <w:rsid w:val="00AB1010"/>
    <w:rsid w:val="00AB69E3"/>
    <w:rsid w:val="00AC476C"/>
    <w:rsid w:val="00AC650F"/>
    <w:rsid w:val="00AD5D96"/>
    <w:rsid w:val="00AD71DD"/>
    <w:rsid w:val="00AE3AAE"/>
    <w:rsid w:val="00AE4A71"/>
    <w:rsid w:val="00AE4B90"/>
    <w:rsid w:val="00AE5E07"/>
    <w:rsid w:val="00AF33B3"/>
    <w:rsid w:val="00AF45FE"/>
    <w:rsid w:val="00B0029E"/>
    <w:rsid w:val="00B02071"/>
    <w:rsid w:val="00B12AFF"/>
    <w:rsid w:val="00B13643"/>
    <w:rsid w:val="00B2391E"/>
    <w:rsid w:val="00B32AA5"/>
    <w:rsid w:val="00B331D8"/>
    <w:rsid w:val="00B362A0"/>
    <w:rsid w:val="00B53DBA"/>
    <w:rsid w:val="00B57E8A"/>
    <w:rsid w:val="00B70565"/>
    <w:rsid w:val="00B73A97"/>
    <w:rsid w:val="00B74FB1"/>
    <w:rsid w:val="00B77C2A"/>
    <w:rsid w:val="00B858EA"/>
    <w:rsid w:val="00B92FCF"/>
    <w:rsid w:val="00BA25B8"/>
    <w:rsid w:val="00BA5780"/>
    <w:rsid w:val="00BA61CF"/>
    <w:rsid w:val="00BB1536"/>
    <w:rsid w:val="00BB2370"/>
    <w:rsid w:val="00BB6BBD"/>
    <w:rsid w:val="00BC34DD"/>
    <w:rsid w:val="00BE66E3"/>
    <w:rsid w:val="00BF2AAA"/>
    <w:rsid w:val="00BF417C"/>
    <w:rsid w:val="00C044F1"/>
    <w:rsid w:val="00C15EB7"/>
    <w:rsid w:val="00C27C35"/>
    <w:rsid w:val="00C36221"/>
    <w:rsid w:val="00C4339F"/>
    <w:rsid w:val="00C45828"/>
    <w:rsid w:val="00C50296"/>
    <w:rsid w:val="00C50E86"/>
    <w:rsid w:val="00C71A3E"/>
    <w:rsid w:val="00C72A51"/>
    <w:rsid w:val="00C76F4B"/>
    <w:rsid w:val="00C8443A"/>
    <w:rsid w:val="00C85834"/>
    <w:rsid w:val="00C91995"/>
    <w:rsid w:val="00C93873"/>
    <w:rsid w:val="00C96C86"/>
    <w:rsid w:val="00CA4810"/>
    <w:rsid w:val="00CB6E20"/>
    <w:rsid w:val="00CB7DAA"/>
    <w:rsid w:val="00CC0841"/>
    <w:rsid w:val="00CC3353"/>
    <w:rsid w:val="00CC5377"/>
    <w:rsid w:val="00CD2485"/>
    <w:rsid w:val="00CD3053"/>
    <w:rsid w:val="00CF127D"/>
    <w:rsid w:val="00D02BB4"/>
    <w:rsid w:val="00D02EB2"/>
    <w:rsid w:val="00D0402E"/>
    <w:rsid w:val="00D0518C"/>
    <w:rsid w:val="00D07AEE"/>
    <w:rsid w:val="00D16536"/>
    <w:rsid w:val="00D16756"/>
    <w:rsid w:val="00D20201"/>
    <w:rsid w:val="00D25F26"/>
    <w:rsid w:val="00D272A9"/>
    <w:rsid w:val="00D302B6"/>
    <w:rsid w:val="00D373E9"/>
    <w:rsid w:val="00D375D9"/>
    <w:rsid w:val="00D4168B"/>
    <w:rsid w:val="00D52F54"/>
    <w:rsid w:val="00D60229"/>
    <w:rsid w:val="00D80E0D"/>
    <w:rsid w:val="00D83809"/>
    <w:rsid w:val="00D87D1F"/>
    <w:rsid w:val="00D946E2"/>
    <w:rsid w:val="00DA0EF3"/>
    <w:rsid w:val="00DA1D0A"/>
    <w:rsid w:val="00DA7CCA"/>
    <w:rsid w:val="00DB6677"/>
    <w:rsid w:val="00DC470E"/>
    <w:rsid w:val="00DC7300"/>
    <w:rsid w:val="00DE01BF"/>
    <w:rsid w:val="00DE25C6"/>
    <w:rsid w:val="00DF55B1"/>
    <w:rsid w:val="00DF6944"/>
    <w:rsid w:val="00DF7F96"/>
    <w:rsid w:val="00E01E79"/>
    <w:rsid w:val="00E02173"/>
    <w:rsid w:val="00E024DB"/>
    <w:rsid w:val="00E047AF"/>
    <w:rsid w:val="00E073DF"/>
    <w:rsid w:val="00E1739C"/>
    <w:rsid w:val="00E35495"/>
    <w:rsid w:val="00E35B99"/>
    <w:rsid w:val="00E36B40"/>
    <w:rsid w:val="00E4085E"/>
    <w:rsid w:val="00E46827"/>
    <w:rsid w:val="00E469BD"/>
    <w:rsid w:val="00E529CE"/>
    <w:rsid w:val="00E53C52"/>
    <w:rsid w:val="00E544A6"/>
    <w:rsid w:val="00E55A49"/>
    <w:rsid w:val="00E66FF5"/>
    <w:rsid w:val="00E7376A"/>
    <w:rsid w:val="00E73CE3"/>
    <w:rsid w:val="00E73ED4"/>
    <w:rsid w:val="00E77BB0"/>
    <w:rsid w:val="00E80715"/>
    <w:rsid w:val="00E81C71"/>
    <w:rsid w:val="00E81F0D"/>
    <w:rsid w:val="00E85C7F"/>
    <w:rsid w:val="00E87C63"/>
    <w:rsid w:val="00E90909"/>
    <w:rsid w:val="00E90D12"/>
    <w:rsid w:val="00E92015"/>
    <w:rsid w:val="00E94DE5"/>
    <w:rsid w:val="00E96A62"/>
    <w:rsid w:val="00EB150A"/>
    <w:rsid w:val="00EC16AB"/>
    <w:rsid w:val="00EC33B3"/>
    <w:rsid w:val="00EC623E"/>
    <w:rsid w:val="00ED25F4"/>
    <w:rsid w:val="00ED38B3"/>
    <w:rsid w:val="00ED3F31"/>
    <w:rsid w:val="00EE70FF"/>
    <w:rsid w:val="00EF0185"/>
    <w:rsid w:val="00EF0D7C"/>
    <w:rsid w:val="00EF3C46"/>
    <w:rsid w:val="00EF49DC"/>
    <w:rsid w:val="00EF59B9"/>
    <w:rsid w:val="00EF5A7E"/>
    <w:rsid w:val="00EF5AF8"/>
    <w:rsid w:val="00F039EA"/>
    <w:rsid w:val="00F042FB"/>
    <w:rsid w:val="00F05F0D"/>
    <w:rsid w:val="00F14D53"/>
    <w:rsid w:val="00F22EBE"/>
    <w:rsid w:val="00F23206"/>
    <w:rsid w:val="00F32516"/>
    <w:rsid w:val="00F33B9C"/>
    <w:rsid w:val="00F35F27"/>
    <w:rsid w:val="00F3668F"/>
    <w:rsid w:val="00F45F9E"/>
    <w:rsid w:val="00F47FDC"/>
    <w:rsid w:val="00F54A9E"/>
    <w:rsid w:val="00F64C77"/>
    <w:rsid w:val="00F7466A"/>
    <w:rsid w:val="00F82B26"/>
    <w:rsid w:val="00F8556C"/>
    <w:rsid w:val="00F956B9"/>
    <w:rsid w:val="00F97A16"/>
    <w:rsid w:val="00FA61AD"/>
    <w:rsid w:val="00FA78BB"/>
    <w:rsid w:val="00FB20E5"/>
    <w:rsid w:val="00FB421E"/>
    <w:rsid w:val="00FC3144"/>
    <w:rsid w:val="00FE7FA3"/>
    <w:rsid w:val="00FF1054"/>
    <w:rsid w:val="00FF21BF"/>
    <w:rsid w:val="00FF5C56"/>
    <w:rsid w:val="00FF69C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52F54"/>
    <w:rPr>
      <w:sz w:val="22"/>
      <w:lang w:val="cs-CZ" w:eastAsia="en-US"/>
    </w:rPr>
  </w:style>
  <w:style w:type="paragraph" w:styleId="Nadpis1">
    <w:name w:val="heading 1"/>
    <w:basedOn w:val="Normlny"/>
    <w:next w:val="Normlny"/>
    <w:link w:val="Nadpis1Char"/>
    <w:uiPriority w:val="9"/>
    <w:qFormat/>
    <w:rsid w:val="00347E18"/>
    <w:pPr>
      <w:spacing w:before="240" w:after="120"/>
      <w:ind w:left="357" w:hanging="357"/>
      <w:outlineLvl w:val="0"/>
    </w:pPr>
    <w:rPr>
      <w:rFonts w:ascii="Cambria" w:hAnsi="Cambria"/>
      <w:b/>
      <w:kern w:val="32"/>
      <w:sz w:val="32"/>
    </w:rPr>
  </w:style>
  <w:style w:type="paragraph" w:styleId="Nadpis2">
    <w:name w:val="heading 2"/>
    <w:basedOn w:val="Normlny"/>
    <w:next w:val="Normlny"/>
    <w:link w:val="Nadpis2Char"/>
    <w:uiPriority w:val="9"/>
    <w:qFormat/>
    <w:rsid w:val="00347E18"/>
    <w:pPr>
      <w:keepNext/>
      <w:spacing w:before="240" w:after="60"/>
      <w:outlineLvl w:val="1"/>
    </w:pPr>
    <w:rPr>
      <w:rFonts w:ascii="Cambria" w:hAnsi="Cambria"/>
      <w:b/>
      <w:i/>
      <w:sz w:val="28"/>
    </w:rPr>
  </w:style>
  <w:style w:type="paragraph" w:styleId="Nadpis3">
    <w:name w:val="heading 3"/>
    <w:basedOn w:val="Normlny"/>
    <w:next w:val="Normlny"/>
    <w:link w:val="Nadpis3Char"/>
    <w:uiPriority w:val="9"/>
    <w:qFormat/>
    <w:rsid w:val="00347E18"/>
    <w:pPr>
      <w:keepNext/>
      <w:keepLines/>
      <w:spacing w:before="120" w:after="80"/>
      <w:outlineLvl w:val="2"/>
    </w:pPr>
    <w:rPr>
      <w:rFonts w:ascii="Cambria" w:hAnsi="Cambria"/>
      <w:b/>
      <w:sz w:val="26"/>
    </w:rPr>
  </w:style>
  <w:style w:type="paragraph" w:styleId="Nadpis4">
    <w:name w:val="heading 4"/>
    <w:basedOn w:val="Normlny"/>
    <w:next w:val="Normlny"/>
    <w:link w:val="Nadpis4Char"/>
    <w:uiPriority w:val="9"/>
    <w:qFormat/>
    <w:rsid w:val="00347E18"/>
    <w:pPr>
      <w:keepNext/>
      <w:jc w:val="both"/>
      <w:outlineLvl w:val="3"/>
    </w:pPr>
    <w:rPr>
      <w:rFonts w:ascii="Calibri" w:hAnsi="Calibri"/>
      <w:b/>
      <w:sz w:val="28"/>
    </w:rPr>
  </w:style>
  <w:style w:type="paragraph" w:styleId="Nadpis5">
    <w:name w:val="heading 5"/>
    <w:basedOn w:val="Normlny"/>
    <w:next w:val="Normlny"/>
    <w:link w:val="Nadpis5Char"/>
    <w:uiPriority w:val="9"/>
    <w:qFormat/>
    <w:rsid w:val="00347E18"/>
    <w:pPr>
      <w:keepNext/>
      <w:jc w:val="both"/>
      <w:outlineLvl w:val="4"/>
    </w:pPr>
    <w:rPr>
      <w:rFonts w:ascii="Calibri" w:hAnsi="Calibri"/>
      <w:b/>
      <w:i/>
      <w:sz w:val="26"/>
    </w:rPr>
  </w:style>
  <w:style w:type="paragraph" w:styleId="Nadpis6">
    <w:name w:val="heading 6"/>
    <w:basedOn w:val="Normlny"/>
    <w:next w:val="Normlny"/>
    <w:link w:val="Nadpis6Char"/>
    <w:uiPriority w:val="9"/>
    <w:qFormat/>
    <w:rsid w:val="00347E18"/>
    <w:pPr>
      <w:keepNext/>
      <w:tabs>
        <w:tab w:val="left" w:pos="-720"/>
        <w:tab w:val="left" w:pos="4536"/>
      </w:tabs>
      <w:suppressAutoHyphens/>
      <w:outlineLvl w:val="5"/>
    </w:pPr>
    <w:rPr>
      <w:rFonts w:ascii="Calibri" w:hAnsi="Calibri"/>
      <w:b/>
    </w:rPr>
  </w:style>
  <w:style w:type="paragraph" w:styleId="Nadpis7">
    <w:name w:val="heading 7"/>
    <w:basedOn w:val="Normlny"/>
    <w:next w:val="Normlny"/>
    <w:link w:val="Nadpis7Char"/>
    <w:uiPriority w:val="9"/>
    <w:qFormat/>
    <w:rsid w:val="00347E18"/>
    <w:pPr>
      <w:keepNext/>
      <w:tabs>
        <w:tab w:val="left" w:pos="-720"/>
        <w:tab w:val="left" w:pos="4536"/>
      </w:tabs>
      <w:suppressAutoHyphens/>
      <w:jc w:val="both"/>
      <w:outlineLvl w:val="6"/>
    </w:pPr>
    <w:rPr>
      <w:rFonts w:ascii="Calibri" w:hAnsi="Calibri"/>
      <w:sz w:val="24"/>
    </w:rPr>
  </w:style>
  <w:style w:type="paragraph" w:styleId="Nadpis8">
    <w:name w:val="heading 8"/>
    <w:basedOn w:val="Normlny"/>
    <w:next w:val="Normlny"/>
    <w:link w:val="Nadpis8Char"/>
    <w:uiPriority w:val="9"/>
    <w:qFormat/>
    <w:rsid w:val="00347E18"/>
    <w:pPr>
      <w:keepNext/>
      <w:jc w:val="both"/>
      <w:outlineLvl w:val="7"/>
    </w:pPr>
    <w:rPr>
      <w:rFonts w:ascii="Calibri" w:hAnsi="Calibri"/>
      <w:i/>
      <w:sz w:val="24"/>
    </w:rPr>
  </w:style>
  <w:style w:type="paragraph" w:styleId="Nadpis9">
    <w:name w:val="heading 9"/>
    <w:basedOn w:val="Normlny"/>
    <w:next w:val="Normlny"/>
    <w:link w:val="Nadpis9Char"/>
    <w:uiPriority w:val="9"/>
    <w:qFormat/>
    <w:rsid w:val="00347E18"/>
    <w:pPr>
      <w:keepNext/>
      <w:jc w:val="both"/>
      <w:outlineLvl w:val="8"/>
    </w:pPr>
    <w:rPr>
      <w:rFonts w:ascii="Cambria" w:hAnsi="Cambri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291EAB"/>
    <w:rPr>
      <w:rFonts w:ascii="Cambria" w:hAnsi="Cambria"/>
      <w:b/>
      <w:kern w:val="32"/>
      <w:sz w:val="32"/>
      <w:lang w:val="cs-CZ" w:eastAsia="en-US"/>
    </w:rPr>
  </w:style>
  <w:style w:type="character" w:customStyle="1" w:styleId="Nadpis2Char">
    <w:name w:val="Nadpis 2 Char"/>
    <w:link w:val="Nadpis2"/>
    <w:uiPriority w:val="9"/>
    <w:semiHidden/>
    <w:locked/>
    <w:rsid w:val="00291EAB"/>
    <w:rPr>
      <w:rFonts w:ascii="Cambria" w:hAnsi="Cambria"/>
      <w:b/>
      <w:i/>
      <w:sz w:val="28"/>
      <w:lang w:val="cs-CZ" w:eastAsia="en-US"/>
    </w:rPr>
  </w:style>
  <w:style w:type="character" w:customStyle="1" w:styleId="Nadpis3Char">
    <w:name w:val="Nadpis 3 Char"/>
    <w:link w:val="Nadpis3"/>
    <w:uiPriority w:val="9"/>
    <w:semiHidden/>
    <w:locked/>
    <w:rsid w:val="00291EAB"/>
    <w:rPr>
      <w:rFonts w:ascii="Cambria" w:hAnsi="Cambria"/>
      <w:b/>
      <w:sz w:val="26"/>
      <w:lang w:val="cs-CZ" w:eastAsia="en-US"/>
    </w:rPr>
  </w:style>
  <w:style w:type="character" w:customStyle="1" w:styleId="Nadpis4Char">
    <w:name w:val="Nadpis 4 Char"/>
    <w:link w:val="Nadpis4"/>
    <w:uiPriority w:val="9"/>
    <w:semiHidden/>
    <w:locked/>
    <w:rsid w:val="00291EAB"/>
    <w:rPr>
      <w:rFonts w:ascii="Calibri" w:hAnsi="Calibri"/>
      <w:b/>
      <w:sz w:val="28"/>
      <w:lang w:val="cs-CZ" w:eastAsia="en-US"/>
    </w:rPr>
  </w:style>
  <w:style w:type="character" w:customStyle="1" w:styleId="Nadpis5Char">
    <w:name w:val="Nadpis 5 Char"/>
    <w:link w:val="Nadpis5"/>
    <w:uiPriority w:val="9"/>
    <w:semiHidden/>
    <w:locked/>
    <w:rsid w:val="00291EAB"/>
    <w:rPr>
      <w:rFonts w:ascii="Calibri" w:hAnsi="Calibri"/>
      <w:b/>
      <w:i/>
      <w:sz w:val="26"/>
      <w:lang w:val="cs-CZ" w:eastAsia="en-US"/>
    </w:rPr>
  </w:style>
  <w:style w:type="character" w:customStyle="1" w:styleId="Nadpis6Char">
    <w:name w:val="Nadpis 6 Char"/>
    <w:link w:val="Nadpis6"/>
    <w:uiPriority w:val="9"/>
    <w:semiHidden/>
    <w:locked/>
    <w:rsid w:val="00291EAB"/>
    <w:rPr>
      <w:rFonts w:ascii="Calibri" w:hAnsi="Calibri"/>
      <w:b/>
      <w:sz w:val="22"/>
      <w:lang w:val="cs-CZ" w:eastAsia="en-US"/>
    </w:rPr>
  </w:style>
  <w:style w:type="character" w:customStyle="1" w:styleId="Nadpis7Char">
    <w:name w:val="Nadpis 7 Char"/>
    <w:link w:val="Nadpis7"/>
    <w:uiPriority w:val="9"/>
    <w:semiHidden/>
    <w:locked/>
    <w:rsid w:val="00291EAB"/>
    <w:rPr>
      <w:rFonts w:ascii="Calibri" w:hAnsi="Calibri"/>
      <w:sz w:val="24"/>
      <w:lang w:val="cs-CZ" w:eastAsia="en-US"/>
    </w:rPr>
  </w:style>
  <w:style w:type="character" w:customStyle="1" w:styleId="Nadpis8Char">
    <w:name w:val="Nadpis 8 Char"/>
    <w:link w:val="Nadpis8"/>
    <w:uiPriority w:val="9"/>
    <w:semiHidden/>
    <w:locked/>
    <w:rsid w:val="00291EAB"/>
    <w:rPr>
      <w:rFonts w:ascii="Calibri" w:hAnsi="Calibri"/>
      <w:i/>
      <w:sz w:val="24"/>
      <w:lang w:val="cs-CZ" w:eastAsia="en-US"/>
    </w:rPr>
  </w:style>
  <w:style w:type="character" w:customStyle="1" w:styleId="Nadpis9Char">
    <w:name w:val="Nadpis 9 Char"/>
    <w:link w:val="Nadpis9"/>
    <w:uiPriority w:val="9"/>
    <w:semiHidden/>
    <w:locked/>
    <w:rsid w:val="00291EAB"/>
    <w:rPr>
      <w:rFonts w:ascii="Cambria" w:hAnsi="Cambria"/>
      <w:sz w:val="22"/>
      <w:lang w:val="cs-CZ" w:eastAsia="en-US"/>
    </w:rPr>
  </w:style>
  <w:style w:type="paragraph" w:styleId="Zkladntext">
    <w:name w:val="Body Text"/>
    <w:basedOn w:val="Normlny"/>
    <w:link w:val="ZkladntextChar"/>
    <w:uiPriority w:val="99"/>
    <w:rsid w:val="00347E18"/>
  </w:style>
  <w:style w:type="character" w:customStyle="1" w:styleId="ZkladntextChar">
    <w:name w:val="Základný text Char"/>
    <w:link w:val="Zkladntext"/>
    <w:uiPriority w:val="99"/>
    <w:semiHidden/>
    <w:locked/>
    <w:rsid w:val="00291EAB"/>
    <w:rPr>
      <w:sz w:val="22"/>
      <w:lang w:val="cs-CZ" w:eastAsia="en-US"/>
    </w:rPr>
  </w:style>
  <w:style w:type="paragraph" w:styleId="Zkladntext2">
    <w:name w:val="Body Text 2"/>
    <w:basedOn w:val="Normlny"/>
    <w:link w:val="Zkladntext2Char"/>
    <w:uiPriority w:val="99"/>
    <w:semiHidden/>
    <w:rsid w:val="0013414B"/>
    <w:pPr>
      <w:jc w:val="both"/>
    </w:pPr>
  </w:style>
  <w:style w:type="character" w:customStyle="1" w:styleId="Zkladntext2Char">
    <w:name w:val="Základný text 2 Char"/>
    <w:link w:val="Zkladntext2"/>
    <w:uiPriority w:val="99"/>
    <w:semiHidden/>
    <w:locked/>
    <w:rsid w:val="00291EAB"/>
    <w:rPr>
      <w:sz w:val="22"/>
      <w:lang w:val="cs-CZ" w:eastAsia="en-US"/>
    </w:rPr>
  </w:style>
  <w:style w:type="paragraph" w:styleId="Hlavika">
    <w:name w:val="header"/>
    <w:basedOn w:val="Normlny"/>
    <w:link w:val="HlavikaChar"/>
    <w:uiPriority w:val="99"/>
    <w:rsid w:val="00347E18"/>
    <w:pPr>
      <w:tabs>
        <w:tab w:val="center" w:pos="4153"/>
        <w:tab w:val="right" w:pos="8306"/>
      </w:tabs>
    </w:pPr>
  </w:style>
  <w:style w:type="character" w:customStyle="1" w:styleId="HlavikaChar">
    <w:name w:val="Hlavička Char"/>
    <w:link w:val="Hlavika"/>
    <w:uiPriority w:val="99"/>
    <w:semiHidden/>
    <w:locked/>
    <w:rsid w:val="00291EAB"/>
    <w:rPr>
      <w:sz w:val="22"/>
      <w:lang w:val="cs-CZ" w:eastAsia="en-US"/>
    </w:rPr>
  </w:style>
  <w:style w:type="paragraph" w:styleId="Pta">
    <w:name w:val="footer"/>
    <w:basedOn w:val="Normlny"/>
    <w:link w:val="PtaChar"/>
    <w:uiPriority w:val="99"/>
    <w:rsid w:val="00347E18"/>
    <w:pPr>
      <w:tabs>
        <w:tab w:val="center" w:pos="4536"/>
        <w:tab w:val="center" w:pos="8930"/>
      </w:tabs>
    </w:pPr>
    <w:rPr>
      <w:rFonts w:ascii="Helvetica" w:hAnsi="Helvetica"/>
      <w:sz w:val="16"/>
    </w:rPr>
  </w:style>
  <w:style w:type="character" w:customStyle="1" w:styleId="PtaChar">
    <w:name w:val="Päta Char"/>
    <w:link w:val="Pta"/>
    <w:uiPriority w:val="99"/>
    <w:locked/>
    <w:rsid w:val="00580729"/>
    <w:rPr>
      <w:rFonts w:ascii="Helvetica" w:hAnsi="Helvetica"/>
      <w:sz w:val="16"/>
      <w:lang w:eastAsia="en-US"/>
    </w:rPr>
  </w:style>
  <w:style w:type="character" w:styleId="slostrany">
    <w:name w:val="page number"/>
    <w:basedOn w:val="Predvolenpsmoodseku"/>
    <w:uiPriority w:val="99"/>
    <w:rsid w:val="00347E18"/>
  </w:style>
  <w:style w:type="paragraph" w:styleId="Zkladntext3">
    <w:name w:val="Body Text 3"/>
    <w:basedOn w:val="Normlny"/>
    <w:link w:val="Zkladntext3Char"/>
    <w:uiPriority w:val="99"/>
    <w:semiHidden/>
    <w:rsid w:val="0013414B"/>
    <w:rPr>
      <w:sz w:val="16"/>
    </w:rPr>
  </w:style>
  <w:style w:type="character" w:customStyle="1" w:styleId="Zkladntext3Char">
    <w:name w:val="Základný text 3 Char"/>
    <w:link w:val="Zkladntext3"/>
    <w:uiPriority w:val="99"/>
    <w:semiHidden/>
    <w:locked/>
    <w:rsid w:val="00291EAB"/>
    <w:rPr>
      <w:sz w:val="16"/>
      <w:lang w:val="cs-CZ" w:eastAsia="en-US"/>
    </w:rPr>
  </w:style>
  <w:style w:type="paragraph" w:styleId="Textbubliny">
    <w:name w:val="Balloon Text"/>
    <w:basedOn w:val="Normlny"/>
    <w:link w:val="TextbublinyChar"/>
    <w:uiPriority w:val="99"/>
    <w:semiHidden/>
    <w:rsid w:val="00D52F54"/>
    <w:rPr>
      <w:sz w:val="20"/>
    </w:rPr>
  </w:style>
  <w:style w:type="character" w:customStyle="1" w:styleId="TextbublinyChar">
    <w:name w:val="Text bubliny Char"/>
    <w:link w:val="Textbubliny"/>
    <w:uiPriority w:val="99"/>
    <w:semiHidden/>
    <w:locked/>
    <w:rsid w:val="00D52F54"/>
    <w:rPr>
      <w:lang w:val="cs-CZ" w:eastAsia="en-US"/>
    </w:rPr>
  </w:style>
  <w:style w:type="paragraph" w:customStyle="1" w:styleId="Styl1">
    <w:name w:val="Styl1"/>
    <w:basedOn w:val="Normlny"/>
    <w:autoRedefine/>
    <w:rsid w:val="004C7823"/>
    <w:pPr>
      <w:keepNext/>
      <w:numPr>
        <w:numId w:val="15"/>
      </w:numPr>
      <w:tabs>
        <w:tab w:val="left" w:pos="567"/>
      </w:tabs>
      <w:spacing w:before="360" w:after="120"/>
    </w:pPr>
    <w:rPr>
      <w:b/>
      <w:bCs/>
      <w:caps/>
      <w:noProof/>
      <w:szCs w:val="24"/>
    </w:rPr>
  </w:style>
  <w:style w:type="paragraph" w:customStyle="1" w:styleId="Styl2">
    <w:name w:val="Styl2"/>
    <w:basedOn w:val="Normlny"/>
    <w:link w:val="Styl2Char"/>
    <w:autoRedefine/>
    <w:qFormat/>
    <w:rsid w:val="00C50E86"/>
    <w:pPr>
      <w:keepNext/>
      <w:numPr>
        <w:ilvl w:val="1"/>
        <w:numId w:val="15"/>
      </w:numPr>
      <w:suppressAutoHyphens/>
      <w:spacing w:before="240" w:after="120"/>
      <w:ind w:left="0" w:firstLine="0"/>
    </w:pPr>
    <w:rPr>
      <w:b/>
      <w:bCs/>
      <w:noProof/>
      <w:szCs w:val="22"/>
    </w:rPr>
  </w:style>
  <w:style w:type="paragraph" w:customStyle="1" w:styleId="Styl3">
    <w:name w:val="Styl3"/>
    <w:basedOn w:val="Normlny"/>
    <w:link w:val="Styl3Char"/>
    <w:autoRedefine/>
    <w:rsid w:val="00AE5E07"/>
    <w:pPr>
      <w:keepNext/>
      <w:suppressAutoHyphens/>
      <w:spacing w:before="120" w:after="120"/>
      <w:jc w:val="both"/>
    </w:pPr>
    <w:rPr>
      <w:rFonts w:ascii="TimesNewRoman" w:hAnsi="TimesNewRoman"/>
      <w:noProof/>
      <w:szCs w:val="22"/>
      <w:u w:val="single"/>
    </w:rPr>
  </w:style>
  <w:style w:type="paragraph" w:customStyle="1" w:styleId="Normlndobloku">
    <w:name w:val="Normální do bloku"/>
    <w:basedOn w:val="Normlny"/>
    <w:link w:val="NormlndoblokuChar"/>
    <w:autoRedefine/>
    <w:qFormat/>
    <w:rsid w:val="007478A3"/>
    <w:pPr>
      <w:tabs>
        <w:tab w:val="left" w:pos="960"/>
      </w:tabs>
      <w:suppressAutoHyphens/>
      <w:spacing w:after="120"/>
      <w:jc w:val="both"/>
    </w:pPr>
    <w:rPr>
      <w:color w:val="000000"/>
      <w:szCs w:val="24"/>
      <w:lang w:val="sk-SK"/>
    </w:rPr>
  </w:style>
  <w:style w:type="character" w:styleId="Odkaznakomentr">
    <w:name w:val="annotation reference"/>
    <w:uiPriority w:val="99"/>
    <w:semiHidden/>
    <w:rsid w:val="00347E18"/>
    <w:rPr>
      <w:sz w:val="16"/>
    </w:rPr>
  </w:style>
  <w:style w:type="paragraph" w:styleId="Textkomentra">
    <w:name w:val="annotation text"/>
    <w:basedOn w:val="Normlny"/>
    <w:link w:val="TextkomentraChar"/>
    <w:uiPriority w:val="99"/>
    <w:semiHidden/>
    <w:rsid w:val="00347E18"/>
    <w:rPr>
      <w:sz w:val="20"/>
    </w:rPr>
  </w:style>
  <w:style w:type="character" w:customStyle="1" w:styleId="TextkomentraChar">
    <w:name w:val="Text komentára Char"/>
    <w:link w:val="Textkomentra"/>
    <w:uiPriority w:val="99"/>
    <w:semiHidden/>
    <w:locked/>
    <w:rsid w:val="00291EAB"/>
    <w:rPr>
      <w:lang w:val="cs-CZ" w:eastAsia="en-US"/>
    </w:rPr>
  </w:style>
  <w:style w:type="paragraph" w:styleId="Predmetkomentra">
    <w:name w:val="annotation subject"/>
    <w:basedOn w:val="Textkomentra"/>
    <w:next w:val="Textkomentra"/>
    <w:link w:val="PredmetkomentraChar"/>
    <w:uiPriority w:val="99"/>
    <w:semiHidden/>
    <w:rsid w:val="00347E18"/>
    <w:rPr>
      <w:b/>
    </w:rPr>
  </w:style>
  <w:style w:type="character" w:customStyle="1" w:styleId="PredmetkomentraChar">
    <w:name w:val="Predmet komentára Char"/>
    <w:link w:val="Predmetkomentra"/>
    <w:uiPriority w:val="99"/>
    <w:semiHidden/>
    <w:locked/>
    <w:rsid w:val="00291EAB"/>
    <w:rPr>
      <w:b/>
      <w:lang w:val="cs-CZ" w:eastAsia="en-US"/>
    </w:rPr>
  </w:style>
  <w:style w:type="character" w:customStyle="1" w:styleId="NormlndoblokuChar">
    <w:name w:val="Normální do bloku Char"/>
    <w:link w:val="Normlndobloku"/>
    <w:locked/>
    <w:rsid w:val="007478A3"/>
    <w:rPr>
      <w:color w:val="000000"/>
      <w:sz w:val="22"/>
      <w:szCs w:val="24"/>
      <w:lang w:eastAsia="en-US"/>
    </w:rPr>
  </w:style>
  <w:style w:type="table" w:styleId="Mriekatabuky">
    <w:name w:val="Table Grid"/>
    <w:basedOn w:val="Normlnatabuka"/>
    <w:uiPriority w:val="59"/>
    <w:rsid w:val="00347E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MEAEnBodyText">
    <w:name w:val="EMEA En Body Text"/>
    <w:basedOn w:val="Normlny"/>
    <w:rsid w:val="00347E18"/>
    <w:pPr>
      <w:spacing w:before="120" w:after="120"/>
      <w:jc w:val="both"/>
    </w:pPr>
    <w:rPr>
      <w:lang w:val="en-US"/>
    </w:rPr>
  </w:style>
  <w:style w:type="character" w:styleId="Hypertextovprepojenie">
    <w:name w:val="Hyperlink"/>
    <w:uiPriority w:val="99"/>
    <w:rsid w:val="00347E18"/>
    <w:rPr>
      <w:color w:val="0000FF"/>
      <w:u w:val="single"/>
    </w:rPr>
  </w:style>
  <w:style w:type="paragraph" w:styleId="Nzov">
    <w:name w:val="Title"/>
    <w:basedOn w:val="Normlny"/>
    <w:link w:val="NzovChar"/>
    <w:uiPriority w:val="10"/>
    <w:qFormat/>
    <w:rsid w:val="00347E18"/>
    <w:pPr>
      <w:jc w:val="center"/>
    </w:pPr>
    <w:rPr>
      <w:b/>
      <w:lang w:val="en-GB"/>
    </w:rPr>
  </w:style>
  <w:style w:type="character" w:customStyle="1" w:styleId="NzovChar">
    <w:name w:val="Názov Char"/>
    <w:link w:val="Nzov"/>
    <w:uiPriority w:val="10"/>
    <w:locked/>
    <w:rsid w:val="00347E18"/>
    <w:rPr>
      <w:b/>
      <w:sz w:val="22"/>
      <w:lang w:val="en-GB" w:eastAsia="en-US"/>
    </w:rPr>
  </w:style>
  <w:style w:type="paragraph" w:styleId="Normlnywebov">
    <w:name w:val="Normal (Web)"/>
    <w:basedOn w:val="Normlny"/>
    <w:uiPriority w:val="99"/>
    <w:unhideWhenUsed/>
    <w:rsid w:val="00347E18"/>
    <w:pPr>
      <w:spacing w:before="96" w:after="96"/>
    </w:pPr>
    <w:rPr>
      <w:sz w:val="24"/>
      <w:szCs w:val="24"/>
      <w:lang w:eastAsia="cs-CZ"/>
    </w:rPr>
  </w:style>
  <w:style w:type="paragraph" w:customStyle="1" w:styleId="Normlndoblokusodrkami">
    <w:name w:val="Normální do bloku s odrážkami"/>
    <w:basedOn w:val="Normlndobloku"/>
    <w:next w:val="Normlndobloku"/>
    <w:autoRedefine/>
    <w:qFormat/>
    <w:rsid w:val="00D02BB4"/>
    <w:pPr>
      <w:numPr>
        <w:numId w:val="2"/>
      </w:numPr>
    </w:pPr>
    <w:rPr>
      <w:noProof/>
    </w:rPr>
  </w:style>
  <w:style w:type="paragraph" w:styleId="truktradokumentu">
    <w:name w:val="Document Map"/>
    <w:basedOn w:val="Normlny"/>
    <w:link w:val="truktradokumentuChar"/>
    <w:uiPriority w:val="99"/>
    <w:rsid w:val="00347E18"/>
    <w:rPr>
      <w:rFonts w:ascii="Tahoma" w:hAnsi="Tahoma"/>
      <w:sz w:val="16"/>
    </w:rPr>
  </w:style>
  <w:style w:type="character" w:customStyle="1" w:styleId="truktradokumentuChar">
    <w:name w:val="Štruktúra dokumentu Char"/>
    <w:link w:val="truktradokumentu"/>
    <w:uiPriority w:val="99"/>
    <w:locked/>
    <w:rsid w:val="00347E18"/>
    <w:rPr>
      <w:rFonts w:ascii="Tahoma" w:hAnsi="Tahoma"/>
      <w:sz w:val="16"/>
      <w:lang w:eastAsia="en-US"/>
    </w:rPr>
  </w:style>
  <w:style w:type="character" w:styleId="PouitHypertextovPrepojenie">
    <w:name w:val="FollowedHyperlink"/>
    <w:uiPriority w:val="99"/>
    <w:rsid w:val="00347E18"/>
    <w:rPr>
      <w:color w:val="800080"/>
      <w:u w:val="single"/>
    </w:rPr>
  </w:style>
  <w:style w:type="paragraph" w:customStyle="1" w:styleId="Textkoncovejpoznmky1">
    <w:name w:val="Text koncovej poznámky1"/>
    <w:basedOn w:val="Normlny"/>
    <w:link w:val="TextkoncovejpoznmkyChar"/>
    <w:uiPriority w:val="99"/>
    <w:semiHidden/>
    <w:rsid w:val="00347E18"/>
    <w:pPr>
      <w:tabs>
        <w:tab w:val="left" w:pos="567"/>
      </w:tabs>
    </w:pPr>
    <w:rPr>
      <w:lang w:val="en-GB"/>
    </w:rPr>
  </w:style>
  <w:style w:type="character" w:customStyle="1" w:styleId="TextkoncovejpoznmkyChar">
    <w:name w:val="Text koncovej poznámky Char"/>
    <w:link w:val="Textkoncovejpoznmky1"/>
    <w:uiPriority w:val="99"/>
    <w:semiHidden/>
    <w:locked/>
    <w:rsid w:val="00347E18"/>
    <w:rPr>
      <w:sz w:val="22"/>
      <w:lang w:val="en-GB" w:eastAsia="en-US"/>
    </w:rPr>
  </w:style>
  <w:style w:type="paragraph" w:customStyle="1" w:styleId="SPCaPILhlavika">
    <w:name w:val="SPC a PIL hlavička"/>
    <w:basedOn w:val="Normlny"/>
    <w:qFormat/>
    <w:rsid w:val="000966A7"/>
    <w:pPr>
      <w:jc w:val="center"/>
    </w:pPr>
    <w:rPr>
      <w:b/>
    </w:rPr>
  </w:style>
  <w:style w:type="paragraph" w:customStyle="1" w:styleId="tlPodaokraja">
    <w:name w:val="Štýl Podľa okraja"/>
    <w:basedOn w:val="Normlny"/>
    <w:rsid w:val="00877A94"/>
    <w:pPr>
      <w:numPr>
        <w:numId w:val="3"/>
      </w:numPr>
    </w:pPr>
  </w:style>
  <w:style w:type="paragraph" w:customStyle="1" w:styleId="tlNormlndobloku">
    <w:name w:val="Štýl Normální do bloku +"/>
    <w:basedOn w:val="Normlny"/>
    <w:next w:val="Normlndobloku"/>
    <w:rsid w:val="00CC3353"/>
  </w:style>
  <w:style w:type="character" w:customStyle="1" w:styleId="Styl3Char">
    <w:name w:val="Styl3 Char"/>
    <w:link w:val="Styl3"/>
    <w:locked/>
    <w:rsid w:val="00AE5E07"/>
    <w:rPr>
      <w:rFonts w:ascii="TimesNewRoman" w:hAnsi="TimesNewRoman"/>
      <w:noProof/>
      <w:sz w:val="22"/>
      <w:szCs w:val="22"/>
      <w:u w:val="single"/>
    </w:rPr>
  </w:style>
  <w:style w:type="paragraph" w:customStyle="1" w:styleId="Styl4">
    <w:name w:val="Styl4"/>
    <w:basedOn w:val="Styl3"/>
    <w:autoRedefine/>
    <w:rsid w:val="00D373E9"/>
    <w:pPr>
      <w:jc w:val="left"/>
    </w:pPr>
    <w:rPr>
      <w:b/>
      <w:bCs/>
      <w:noProof w:val="0"/>
      <w:u w:val="none"/>
      <w:lang w:val="sk-SK"/>
    </w:rPr>
  </w:style>
  <w:style w:type="character" w:styleId="Zvraznenie">
    <w:name w:val="Emphasis"/>
    <w:uiPriority w:val="20"/>
    <w:qFormat/>
    <w:rsid w:val="00F3668F"/>
    <w:rPr>
      <w:b/>
    </w:rPr>
  </w:style>
  <w:style w:type="paragraph" w:customStyle="1" w:styleId="Bacil">
    <w:name w:val="Bacil"/>
    <w:basedOn w:val="Normlndobloku"/>
    <w:qFormat/>
    <w:rsid w:val="00AF33B3"/>
    <w:rPr>
      <w:i/>
    </w:rPr>
  </w:style>
  <w:style w:type="numbering" w:customStyle="1" w:styleId="tlSodrkami">
    <w:name w:val="Štýl S odrážkami"/>
    <w:rsid w:val="00481D81"/>
    <w:pPr>
      <w:numPr>
        <w:numId w:val="4"/>
      </w:numPr>
    </w:pPr>
  </w:style>
  <w:style w:type="paragraph" w:styleId="Revzia">
    <w:name w:val="Revision"/>
    <w:hidden/>
    <w:uiPriority w:val="99"/>
    <w:semiHidden/>
    <w:rsid w:val="00E90909"/>
    <w:rPr>
      <w:sz w:val="22"/>
      <w:lang w:val="cs-CZ" w:eastAsia="en-US"/>
    </w:rPr>
  </w:style>
  <w:style w:type="character" w:customStyle="1" w:styleId="Styl2Char">
    <w:name w:val="Styl2 Char"/>
    <w:link w:val="Styl2"/>
    <w:locked/>
    <w:rsid w:val="00C50E86"/>
    <w:rPr>
      <w:b/>
      <w:bCs/>
      <w:noProof/>
      <w:sz w:val="22"/>
      <w:szCs w:val="22"/>
      <w:lang w:val="cs-CZ" w:eastAsia="en-US"/>
    </w:rPr>
  </w:style>
  <w:style w:type="paragraph" w:styleId="Textkoncovejpoznmky">
    <w:name w:val="endnote text"/>
    <w:basedOn w:val="Normlny"/>
    <w:link w:val="TextkoncovejpoznmkyChar1"/>
    <w:unhideWhenUsed/>
    <w:rsid w:val="0084564C"/>
  </w:style>
  <w:style w:type="character" w:customStyle="1" w:styleId="TextkoncovejpoznmkyChar1">
    <w:name w:val="Text koncovej poznámky Char1"/>
    <w:basedOn w:val="Predvolenpsmoodseku"/>
    <w:link w:val="Textkoncovejpoznmky"/>
    <w:rsid w:val="0084564C"/>
    <w:rPr>
      <w:sz w:val="22"/>
      <w:lang w:val="cs-CZ" w:eastAsia="en-US"/>
    </w:rPr>
  </w:style>
  <w:style w:type="character" w:styleId="Intenzvnyodkaz">
    <w:name w:val="Intense Reference"/>
    <w:basedOn w:val="Predvolenpsmoodseku"/>
    <w:uiPriority w:val="32"/>
    <w:qFormat/>
    <w:rsid w:val="00B2391E"/>
    <w:rPr>
      <w:b/>
      <w:bCs/>
      <w:smallCaps/>
      <w:color w:val="4472C4" w:themeColor="accent1"/>
      <w:spacing w:val="5"/>
    </w:rPr>
  </w:style>
</w:styles>
</file>

<file path=word/webSettings.xml><?xml version="1.0" encoding="utf-8"?>
<w:webSettings xmlns:r="http://schemas.openxmlformats.org/officeDocument/2006/relationships" xmlns:w="http://schemas.openxmlformats.org/wordprocessingml/2006/main">
  <w:divs>
    <w:div w:id="579487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18</Pages>
  <Words>4746</Words>
  <Characters>30045</Characters>
  <Application>Microsoft Office Word</Application>
  <DocSecurity>0</DocSecurity>
  <Lines>250</Lines>
  <Paragraphs>69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Súhrn údajov o prípravku</vt:lpstr>
      <vt:lpstr>Súhrn údajov o prípravku</vt:lpstr>
      <vt:lpstr>Súhrn údajov o prípravku</vt:lpstr>
    </vt:vector>
  </TitlesOfParts>
  <Company>Hewlett-Packard Company</Company>
  <LinksUpToDate>false</LinksUpToDate>
  <CharactersWithSpaces>34722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údajov o prípravku</dc:title>
  <dc:subject/>
  <dc:creator>A satisfied Microsoft Office User</dc:creator>
  <cp:keywords/>
  <dc:description/>
  <cp:lastModifiedBy> Jana Repiščáková</cp:lastModifiedBy>
  <cp:revision>37</cp:revision>
  <cp:lastPrinted>2017-11-10T08:32:00Z</cp:lastPrinted>
  <dcterms:created xsi:type="dcterms:W3CDTF">2018-03-26T08:59:00Z</dcterms:created>
  <dcterms:modified xsi:type="dcterms:W3CDTF">2018-07-24T08:31:00Z</dcterms:modified>
</cp:coreProperties>
</file>