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DA9055" w14:textId="77777777" w:rsidR="008B6A9D" w:rsidRPr="00FF70E0" w:rsidRDefault="008B6A9D" w:rsidP="00FF70E0">
      <w:pPr>
        <w:tabs>
          <w:tab w:val="left" w:pos="8505"/>
        </w:tabs>
        <w:spacing w:before="0"/>
        <w:ind w:right="566"/>
        <w:rPr>
          <w:sz w:val="22"/>
          <w:lang w:val="sk-SK"/>
        </w:rPr>
      </w:pPr>
    </w:p>
    <w:p w14:paraId="1ADFF8B4" w14:textId="77777777" w:rsidR="005D16E1" w:rsidRPr="00FF70E0" w:rsidRDefault="005D16E1" w:rsidP="00FF70E0">
      <w:pPr>
        <w:tabs>
          <w:tab w:val="left" w:pos="8505"/>
        </w:tabs>
        <w:spacing w:before="0"/>
        <w:ind w:right="566"/>
        <w:jc w:val="center"/>
        <w:rPr>
          <w:b/>
          <w:color w:val="000000"/>
          <w:sz w:val="22"/>
          <w:lang w:val="sk-SK"/>
        </w:rPr>
      </w:pPr>
      <w:r w:rsidRPr="00FF70E0">
        <w:rPr>
          <w:b/>
          <w:color w:val="000000"/>
          <w:sz w:val="22"/>
          <w:lang w:val="sk-SK"/>
        </w:rPr>
        <w:t>SÚHRN CHARAKTERISTICKÝCH VLASTNOSTÍ LIEKU</w:t>
      </w:r>
    </w:p>
    <w:p w14:paraId="1D54D37B" w14:textId="77777777" w:rsidR="005D16E1" w:rsidRDefault="005D16E1" w:rsidP="00FF70E0">
      <w:pPr>
        <w:tabs>
          <w:tab w:val="left" w:pos="8505"/>
        </w:tabs>
        <w:spacing w:before="0"/>
        <w:ind w:right="566"/>
        <w:rPr>
          <w:color w:val="000000"/>
          <w:sz w:val="22"/>
          <w:szCs w:val="22"/>
          <w:lang w:val="sk-SK"/>
        </w:rPr>
      </w:pPr>
    </w:p>
    <w:p w14:paraId="5A41D11A" w14:textId="77777777" w:rsidR="0052779C" w:rsidRPr="00D867B5" w:rsidRDefault="0052779C" w:rsidP="00923694">
      <w:pPr>
        <w:tabs>
          <w:tab w:val="left" w:pos="8505"/>
        </w:tabs>
        <w:spacing w:before="0"/>
        <w:ind w:right="566"/>
        <w:rPr>
          <w:color w:val="000000"/>
          <w:sz w:val="22"/>
          <w:szCs w:val="22"/>
          <w:lang w:val="sk-SK"/>
        </w:rPr>
      </w:pPr>
    </w:p>
    <w:p w14:paraId="29FFADDC" w14:textId="77777777" w:rsidR="005D16E1" w:rsidRPr="00CE5C2C" w:rsidRDefault="005D16E1" w:rsidP="00FF70E0">
      <w:pPr>
        <w:tabs>
          <w:tab w:val="left" w:pos="8505"/>
        </w:tabs>
        <w:spacing w:before="0"/>
        <w:ind w:right="566"/>
        <w:jc w:val="left"/>
        <w:rPr>
          <w:b/>
          <w:color w:val="000000"/>
          <w:sz w:val="22"/>
          <w:szCs w:val="22"/>
          <w:lang w:val="sk-SK"/>
        </w:rPr>
      </w:pPr>
      <w:r w:rsidRPr="00CE5C2C">
        <w:rPr>
          <w:b/>
          <w:color w:val="000000"/>
          <w:sz w:val="22"/>
          <w:szCs w:val="22"/>
          <w:lang w:val="sk-SK"/>
        </w:rPr>
        <w:t xml:space="preserve">1.    </w:t>
      </w:r>
      <w:r w:rsidR="003D585D" w:rsidRPr="00CE5C2C">
        <w:rPr>
          <w:b/>
          <w:color w:val="000000"/>
          <w:sz w:val="22"/>
          <w:szCs w:val="22"/>
          <w:lang w:val="sk-SK"/>
        </w:rPr>
        <w:t xml:space="preserve">   </w:t>
      </w:r>
      <w:r w:rsidRPr="00CE5C2C">
        <w:rPr>
          <w:b/>
          <w:color w:val="000000"/>
          <w:sz w:val="22"/>
          <w:szCs w:val="22"/>
          <w:lang w:val="sk-SK"/>
        </w:rPr>
        <w:t xml:space="preserve">NÁZOV LIEKU </w:t>
      </w:r>
    </w:p>
    <w:p w14:paraId="50BD9B7A" w14:textId="52B41427" w:rsidR="0092321E" w:rsidRPr="005E7891" w:rsidRDefault="0092321E" w:rsidP="00923694">
      <w:pPr>
        <w:tabs>
          <w:tab w:val="left" w:pos="8505"/>
        </w:tabs>
        <w:spacing w:before="0"/>
        <w:ind w:right="566"/>
        <w:jc w:val="left"/>
        <w:rPr>
          <w:b/>
          <w:color w:val="000000"/>
          <w:sz w:val="22"/>
          <w:szCs w:val="22"/>
          <w:lang w:val="sk-SK"/>
        </w:rPr>
      </w:pPr>
    </w:p>
    <w:p w14:paraId="150266E6" w14:textId="77777777" w:rsidR="005D16E1" w:rsidRPr="00FF70E0" w:rsidRDefault="00AC15AA" w:rsidP="00FF70E0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lang w:val="sk-SK"/>
        </w:rPr>
      </w:pPr>
      <w:r w:rsidRPr="00923694">
        <w:rPr>
          <w:color w:val="000000"/>
          <w:sz w:val="22"/>
          <w:szCs w:val="22"/>
          <w:lang w:val="sk-SK"/>
        </w:rPr>
        <w:t>Neurol</w:t>
      </w:r>
      <w:r w:rsidR="005D16E1" w:rsidRPr="00FF70E0">
        <w:rPr>
          <w:color w:val="000000"/>
          <w:sz w:val="22"/>
          <w:lang w:val="sk-SK"/>
        </w:rPr>
        <w:t xml:space="preserve"> 0,25</w:t>
      </w:r>
    </w:p>
    <w:p w14:paraId="18323549" w14:textId="5613A291" w:rsidR="00923694" w:rsidRDefault="00FF70E0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0,25 mg</w:t>
      </w:r>
      <w:r w:rsidR="00923694">
        <w:rPr>
          <w:color w:val="000000"/>
          <w:sz w:val="22"/>
          <w:szCs w:val="22"/>
          <w:lang w:val="sk-SK"/>
        </w:rPr>
        <w:t xml:space="preserve"> </w:t>
      </w:r>
      <w:r w:rsidR="00923694" w:rsidRPr="00AB6209">
        <w:rPr>
          <w:color w:val="000000"/>
          <w:sz w:val="22"/>
          <w:szCs w:val="22"/>
          <w:lang w:val="sk-SK"/>
        </w:rPr>
        <w:t>tablety</w:t>
      </w:r>
    </w:p>
    <w:p w14:paraId="5933000B" w14:textId="77777777" w:rsidR="00923694" w:rsidRPr="00923694" w:rsidRDefault="00923694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14958DA0" w14:textId="77777777" w:rsidR="0052779C" w:rsidRPr="00FF70E0" w:rsidRDefault="00AC15AA" w:rsidP="00FF70E0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lang w:val="sk-SK"/>
        </w:rPr>
      </w:pPr>
      <w:r w:rsidRPr="00923694">
        <w:rPr>
          <w:color w:val="000000"/>
          <w:sz w:val="22"/>
          <w:szCs w:val="22"/>
          <w:lang w:val="sk-SK"/>
        </w:rPr>
        <w:t>Neurol</w:t>
      </w:r>
      <w:r w:rsidR="005D16E1" w:rsidRPr="00FF70E0">
        <w:rPr>
          <w:color w:val="000000"/>
          <w:sz w:val="22"/>
          <w:lang w:val="sk-SK"/>
        </w:rPr>
        <w:t xml:space="preserve"> 1,0</w:t>
      </w:r>
    </w:p>
    <w:p w14:paraId="4866EE9E" w14:textId="0D50113D" w:rsidR="00AC15AA" w:rsidRPr="00AB6209" w:rsidRDefault="00FF70E0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1,0 mg</w:t>
      </w:r>
      <w:r w:rsidR="00AC15AA">
        <w:rPr>
          <w:color w:val="000000"/>
          <w:sz w:val="22"/>
          <w:szCs w:val="22"/>
          <w:lang w:val="sk-SK"/>
        </w:rPr>
        <w:t xml:space="preserve"> </w:t>
      </w:r>
      <w:r w:rsidR="00AC15AA" w:rsidRPr="00AB6209">
        <w:rPr>
          <w:color w:val="000000"/>
          <w:sz w:val="22"/>
          <w:szCs w:val="22"/>
          <w:lang w:val="sk-SK"/>
        </w:rPr>
        <w:t>tablety</w:t>
      </w:r>
    </w:p>
    <w:p w14:paraId="2FDD05C8" w14:textId="77777777" w:rsidR="00944F58" w:rsidRPr="008B6A9D" w:rsidRDefault="00944F58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4D339017" w14:textId="77777777" w:rsidR="0092321E" w:rsidRPr="00FF70E0" w:rsidRDefault="0092321E" w:rsidP="00FF70E0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lang w:val="sk-SK"/>
        </w:rPr>
      </w:pPr>
    </w:p>
    <w:p w14:paraId="4E2B924E" w14:textId="77777777" w:rsidR="004B412E" w:rsidRPr="00CE5C2C" w:rsidRDefault="005D16E1" w:rsidP="00FF70E0">
      <w:pPr>
        <w:tabs>
          <w:tab w:val="left" w:pos="8505"/>
        </w:tabs>
        <w:spacing w:before="0"/>
        <w:ind w:right="566"/>
        <w:jc w:val="left"/>
        <w:rPr>
          <w:b/>
          <w:color w:val="000000"/>
          <w:sz w:val="22"/>
          <w:szCs w:val="22"/>
          <w:lang w:val="sk-SK"/>
        </w:rPr>
      </w:pPr>
      <w:r w:rsidRPr="00CE5C2C">
        <w:rPr>
          <w:b/>
          <w:color w:val="000000"/>
          <w:sz w:val="22"/>
          <w:szCs w:val="22"/>
          <w:lang w:val="sk-SK"/>
        </w:rPr>
        <w:t xml:space="preserve">2.    </w:t>
      </w:r>
      <w:r w:rsidR="003D585D" w:rsidRPr="00CE5C2C">
        <w:rPr>
          <w:b/>
          <w:color w:val="000000"/>
          <w:sz w:val="22"/>
          <w:szCs w:val="22"/>
          <w:lang w:val="sk-SK"/>
        </w:rPr>
        <w:t xml:space="preserve">   </w:t>
      </w:r>
      <w:r w:rsidRPr="00CE5C2C">
        <w:rPr>
          <w:b/>
          <w:color w:val="000000"/>
          <w:sz w:val="22"/>
          <w:szCs w:val="22"/>
          <w:lang w:val="sk-SK"/>
        </w:rPr>
        <w:t>KVALITATÍVNE A KVANTITATÍVNE ZLOŽENIE</w:t>
      </w:r>
    </w:p>
    <w:p w14:paraId="78988CE7" w14:textId="07B02247" w:rsidR="0092321E" w:rsidRPr="005E7891" w:rsidRDefault="0092321E" w:rsidP="00923694">
      <w:pPr>
        <w:tabs>
          <w:tab w:val="left" w:pos="8505"/>
        </w:tabs>
        <w:spacing w:before="0"/>
        <w:ind w:right="566"/>
        <w:jc w:val="left"/>
        <w:rPr>
          <w:b/>
          <w:color w:val="000000"/>
          <w:sz w:val="22"/>
          <w:szCs w:val="22"/>
          <w:lang w:val="sk-SK"/>
        </w:rPr>
      </w:pPr>
    </w:p>
    <w:p w14:paraId="0F628091" w14:textId="6E948AF1" w:rsidR="005D16E1" w:rsidRPr="008B6A9D" w:rsidRDefault="00AC15AA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Každá tableta obsahuje</w:t>
      </w:r>
      <w:r w:rsidR="005D16E1" w:rsidRPr="00AB6209">
        <w:rPr>
          <w:color w:val="000000"/>
          <w:sz w:val="22"/>
          <w:szCs w:val="22"/>
          <w:lang w:val="sk-SK"/>
        </w:rPr>
        <w:t xml:space="preserve"> 0,25 </w:t>
      </w:r>
      <w:r>
        <w:rPr>
          <w:color w:val="000000"/>
          <w:sz w:val="22"/>
          <w:szCs w:val="22"/>
          <w:lang w:val="sk-SK"/>
        </w:rPr>
        <w:t xml:space="preserve">mg </w:t>
      </w:r>
      <w:r w:rsidR="005D16E1" w:rsidRPr="00AB6209">
        <w:rPr>
          <w:color w:val="000000"/>
          <w:sz w:val="22"/>
          <w:szCs w:val="22"/>
          <w:lang w:val="sk-SK"/>
        </w:rPr>
        <w:t>alebo 1,0 mg</w:t>
      </w:r>
      <w:r w:rsidR="00FF70E0">
        <w:rPr>
          <w:color w:val="000000"/>
          <w:sz w:val="22"/>
          <w:szCs w:val="22"/>
          <w:lang w:val="sk-SK"/>
        </w:rPr>
        <w:t xml:space="preserve"> </w:t>
      </w:r>
      <w:r w:rsidR="00FF70E0" w:rsidRPr="006B602A">
        <w:rPr>
          <w:color w:val="000000"/>
          <w:sz w:val="22"/>
          <w:szCs w:val="22"/>
          <w:lang w:val="sk-SK"/>
        </w:rPr>
        <w:t>alprazolamu.</w:t>
      </w:r>
    </w:p>
    <w:p w14:paraId="50EAFDE3" w14:textId="77777777" w:rsidR="00AC15AA" w:rsidRDefault="00AC15AA" w:rsidP="00923694">
      <w:pPr>
        <w:tabs>
          <w:tab w:val="left" w:pos="8505"/>
        </w:tabs>
        <w:spacing w:before="0"/>
        <w:ind w:right="566"/>
        <w:jc w:val="left"/>
        <w:rPr>
          <w:sz w:val="22"/>
          <w:szCs w:val="22"/>
          <w:lang w:val="sk-SK" w:eastAsia="sk-SK"/>
        </w:rPr>
      </w:pPr>
    </w:p>
    <w:p w14:paraId="621AC4AE" w14:textId="0B1FBC5D" w:rsidR="00193F71" w:rsidRPr="00E63AA1" w:rsidRDefault="00193F71" w:rsidP="00FF70E0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FF70E0">
        <w:rPr>
          <w:sz w:val="22"/>
          <w:szCs w:val="22"/>
          <w:u w:val="single"/>
          <w:lang w:val="sk-SK" w:eastAsia="sk-SK"/>
        </w:rPr>
        <w:t>Pomocná látka so známym účinkom</w:t>
      </w:r>
      <w:r w:rsidRPr="00E63AA1">
        <w:rPr>
          <w:sz w:val="22"/>
          <w:szCs w:val="22"/>
          <w:lang w:val="sk-SK" w:eastAsia="sk-SK"/>
        </w:rPr>
        <w:t xml:space="preserve">: </w:t>
      </w:r>
      <w:r w:rsidRPr="00E63AA1">
        <w:rPr>
          <w:sz w:val="22"/>
          <w:szCs w:val="22"/>
          <w:lang w:val="sk-SK"/>
        </w:rPr>
        <w:t>monohydrát</w:t>
      </w:r>
      <w:r w:rsidR="004953A7" w:rsidRPr="00E63AA1">
        <w:rPr>
          <w:sz w:val="22"/>
          <w:szCs w:val="22"/>
          <w:lang w:val="sk-SK"/>
        </w:rPr>
        <w:t xml:space="preserve"> laktózy</w:t>
      </w:r>
      <w:r w:rsidRPr="00E63AA1">
        <w:rPr>
          <w:sz w:val="22"/>
          <w:szCs w:val="22"/>
          <w:lang w:val="sk-SK"/>
        </w:rPr>
        <w:t xml:space="preserve"> 23,6 mg</w:t>
      </w:r>
      <w:r w:rsidRPr="00FF70E0">
        <w:rPr>
          <w:sz w:val="22"/>
          <w:lang w:val="sk-SK"/>
        </w:rPr>
        <w:t xml:space="preserve"> v</w:t>
      </w:r>
      <w:r w:rsidRPr="00E63AA1">
        <w:rPr>
          <w:sz w:val="22"/>
          <w:szCs w:val="22"/>
          <w:lang w:val="sk-SK"/>
        </w:rPr>
        <w:t> každej</w:t>
      </w:r>
      <w:r w:rsidRPr="00FF70E0">
        <w:rPr>
          <w:sz w:val="22"/>
          <w:lang w:val="sk-SK"/>
        </w:rPr>
        <w:t xml:space="preserve"> tablete.</w:t>
      </w:r>
    </w:p>
    <w:p w14:paraId="37F83189" w14:textId="77777777" w:rsidR="00944F58" w:rsidRPr="00AC15AA" w:rsidRDefault="00944F58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479124F1" w14:textId="5B89E299" w:rsidR="005D16E1" w:rsidRPr="00AC15AA" w:rsidRDefault="00727FF9" w:rsidP="00FF70E0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AC15AA">
        <w:rPr>
          <w:color w:val="000000"/>
          <w:sz w:val="22"/>
          <w:szCs w:val="22"/>
          <w:lang w:val="sk-SK"/>
        </w:rPr>
        <w:t>Úplný zoznam pomocných látok</w:t>
      </w:r>
      <w:r w:rsidR="00193F71" w:rsidRPr="00AC15AA">
        <w:rPr>
          <w:color w:val="000000"/>
          <w:sz w:val="22"/>
          <w:szCs w:val="22"/>
          <w:lang w:val="sk-SK"/>
        </w:rPr>
        <w:t>,</w:t>
      </w:r>
      <w:r w:rsidR="005D16E1" w:rsidRPr="00AC15AA">
        <w:rPr>
          <w:color w:val="000000"/>
          <w:sz w:val="22"/>
          <w:szCs w:val="22"/>
          <w:lang w:val="sk-SK"/>
        </w:rPr>
        <w:t xml:space="preserve"> pozri časť 6.1.</w:t>
      </w:r>
    </w:p>
    <w:p w14:paraId="26431907" w14:textId="77777777" w:rsidR="005D16E1" w:rsidRPr="00495823" w:rsidRDefault="005D16E1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7723F576" w14:textId="77777777" w:rsidR="0092321E" w:rsidRPr="0062071D" w:rsidRDefault="0092321E" w:rsidP="00FF70E0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398C9A7E" w14:textId="77777777" w:rsidR="005D16E1" w:rsidRPr="00923694" w:rsidRDefault="005D16E1" w:rsidP="00FF70E0">
      <w:pPr>
        <w:tabs>
          <w:tab w:val="left" w:pos="8505"/>
        </w:tabs>
        <w:spacing w:before="0"/>
        <w:ind w:right="566"/>
        <w:jc w:val="left"/>
        <w:rPr>
          <w:b/>
          <w:color w:val="000000"/>
          <w:sz w:val="22"/>
          <w:szCs w:val="22"/>
          <w:lang w:val="sk-SK"/>
        </w:rPr>
      </w:pPr>
      <w:r w:rsidRPr="0062071D">
        <w:rPr>
          <w:b/>
          <w:color w:val="000000"/>
          <w:sz w:val="22"/>
          <w:szCs w:val="22"/>
          <w:lang w:val="sk-SK"/>
        </w:rPr>
        <w:t xml:space="preserve">3.    </w:t>
      </w:r>
      <w:r w:rsidR="003D585D" w:rsidRPr="00923694">
        <w:rPr>
          <w:b/>
          <w:color w:val="000000"/>
          <w:sz w:val="22"/>
          <w:szCs w:val="22"/>
          <w:lang w:val="sk-SK"/>
        </w:rPr>
        <w:t xml:space="preserve">   </w:t>
      </w:r>
      <w:r w:rsidRPr="00923694">
        <w:rPr>
          <w:b/>
          <w:color w:val="000000"/>
          <w:sz w:val="22"/>
          <w:szCs w:val="22"/>
          <w:lang w:val="sk-SK"/>
        </w:rPr>
        <w:t>LIEKOVÁ FORMA</w:t>
      </w:r>
    </w:p>
    <w:p w14:paraId="620F9988" w14:textId="77777777" w:rsidR="0092321E" w:rsidRPr="00923694" w:rsidRDefault="0092321E" w:rsidP="00923694">
      <w:pPr>
        <w:tabs>
          <w:tab w:val="left" w:pos="8505"/>
        </w:tabs>
        <w:spacing w:before="0"/>
        <w:ind w:right="566"/>
        <w:jc w:val="left"/>
        <w:rPr>
          <w:b/>
          <w:color w:val="000000"/>
          <w:sz w:val="22"/>
          <w:szCs w:val="22"/>
          <w:lang w:val="sk-SK"/>
        </w:rPr>
      </w:pPr>
    </w:p>
    <w:p w14:paraId="0B81D45F" w14:textId="77777777" w:rsidR="005D16E1" w:rsidRPr="00923694" w:rsidRDefault="005D16E1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923694">
        <w:rPr>
          <w:color w:val="000000"/>
          <w:sz w:val="22"/>
          <w:szCs w:val="22"/>
          <w:lang w:val="sk-SK"/>
        </w:rPr>
        <w:t>Tablet</w:t>
      </w:r>
      <w:r w:rsidR="00193F71" w:rsidRPr="00923694">
        <w:rPr>
          <w:color w:val="000000"/>
          <w:sz w:val="22"/>
          <w:szCs w:val="22"/>
          <w:lang w:val="sk-SK"/>
        </w:rPr>
        <w:t>a</w:t>
      </w:r>
    </w:p>
    <w:p w14:paraId="0EBCEB73" w14:textId="77777777" w:rsidR="00193F71" w:rsidRPr="00923694" w:rsidRDefault="00193F71" w:rsidP="00923694">
      <w:pPr>
        <w:pStyle w:val="Oznaitext"/>
        <w:rPr>
          <w:rFonts w:ascii="Times New Roman" w:hAnsi="Times New Roman" w:cs="Times New Roman"/>
          <w:color w:val="000000"/>
          <w:sz w:val="22"/>
          <w:szCs w:val="22"/>
        </w:rPr>
      </w:pPr>
    </w:p>
    <w:p w14:paraId="00A15154" w14:textId="467D31F5" w:rsidR="005D16E1" w:rsidRPr="00495823" w:rsidRDefault="005D16E1" w:rsidP="00AC15AA">
      <w:pPr>
        <w:pStyle w:val="Oznaitex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FF70E0">
        <w:rPr>
          <w:rFonts w:ascii="Times New Roman" w:hAnsi="Times New Roman" w:cs="Times New Roman"/>
          <w:color w:val="000000"/>
          <w:sz w:val="22"/>
          <w:szCs w:val="22"/>
          <w:u w:val="single"/>
        </w:rPr>
        <w:t>Neurol 0,25</w:t>
      </w:r>
      <w:r w:rsidRPr="00AC15AA">
        <w:rPr>
          <w:rFonts w:ascii="Times New Roman" w:hAnsi="Times New Roman" w:cs="Times New Roman"/>
          <w:color w:val="000000"/>
          <w:sz w:val="22"/>
          <w:szCs w:val="22"/>
        </w:rPr>
        <w:t>: biele až takmer b</w:t>
      </w:r>
      <w:r w:rsidR="00FF70E0">
        <w:rPr>
          <w:rFonts w:ascii="Times New Roman" w:hAnsi="Times New Roman" w:cs="Times New Roman"/>
          <w:color w:val="000000"/>
          <w:sz w:val="22"/>
          <w:szCs w:val="22"/>
        </w:rPr>
        <w:t>iele ploché tablety bez deliacej</w:t>
      </w:r>
      <w:r w:rsidRPr="00AC15AA">
        <w:rPr>
          <w:rFonts w:ascii="Times New Roman" w:hAnsi="Times New Roman" w:cs="Times New Roman"/>
          <w:color w:val="000000"/>
          <w:sz w:val="22"/>
          <w:szCs w:val="22"/>
        </w:rPr>
        <w:t xml:space="preserve"> ryhy a bez označenia</w:t>
      </w:r>
      <w:r w:rsidR="00270957" w:rsidRPr="00AC15AA">
        <w:rPr>
          <w:rFonts w:ascii="Times New Roman" w:hAnsi="Times New Roman" w:cs="Times New Roman"/>
          <w:color w:val="000000"/>
          <w:sz w:val="22"/>
          <w:szCs w:val="22"/>
        </w:rPr>
        <w:t>.</w:t>
      </w:r>
      <w:r w:rsidRPr="0049582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14:paraId="47B9BFFC" w14:textId="1495E77E" w:rsidR="005D16E1" w:rsidRPr="0062071D" w:rsidRDefault="005D16E1" w:rsidP="00AC15AA">
      <w:pPr>
        <w:tabs>
          <w:tab w:val="left" w:pos="8505"/>
        </w:tabs>
        <w:ind w:left="993" w:right="566" w:hanging="993"/>
        <w:rPr>
          <w:color w:val="000000"/>
          <w:sz w:val="22"/>
          <w:szCs w:val="22"/>
          <w:lang w:val="sk-SK"/>
        </w:rPr>
      </w:pPr>
      <w:r w:rsidRPr="00FF70E0">
        <w:rPr>
          <w:color w:val="000000"/>
          <w:sz w:val="22"/>
          <w:szCs w:val="22"/>
          <w:u w:val="single"/>
          <w:lang w:val="sk-SK"/>
        </w:rPr>
        <w:t>Neurol 1,0</w:t>
      </w:r>
      <w:r w:rsidRPr="00AC15AA">
        <w:rPr>
          <w:color w:val="000000"/>
          <w:sz w:val="22"/>
          <w:szCs w:val="22"/>
          <w:lang w:val="sk-SK"/>
        </w:rPr>
        <w:t>: biele až takmer bi</w:t>
      </w:r>
      <w:r w:rsidR="00FF70E0">
        <w:rPr>
          <w:color w:val="000000"/>
          <w:sz w:val="22"/>
          <w:szCs w:val="22"/>
          <w:lang w:val="sk-SK"/>
        </w:rPr>
        <w:t>ele tablety s deliacou</w:t>
      </w:r>
      <w:r w:rsidRPr="00AC15AA">
        <w:rPr>
          <w:color w:val="000000"/>
          <w:sz w:val="22"/>
          <w:szCs w:val="22"/>
          <w:lang w:val="sk-SK"/>
        </w:rPr>
        <w:t xml:space="preserve"> ryhou typu karate.</w:t>
      </w:r>
      <w:r w:rsidR="00193F71" w:rsidRPr="00AC15AA">
        <w:rPr>
          <w:color w:val="000000"/>
          <w:sz w:val="22"/>
          <w:szCs w:val="22"/>
          <w:lang w:val="sk-SK"/>
        </w:rPr>
        <w:t xml:space="preserve"> Tableta sa </w:t>
      </w:r>
      <w:r w:rsidR="00193F71" w:rsidRPr="00495823">
        <w:rPr>
          <w:color w:val="000000"/>
          <w:sz w:val="22"/>
          <w:szCs w:val="22"/>
          <w:lang w:val="sk-SK"/>
        </w:rPr>
        <w:t>môže rozdeliť na rovnaké dávky.</w:t>
      </w:r>
    </w:p>
    <w:p w14:paraId="3C06F06E" w14:textId="77777777" w:rsidR="005D16E1" w:rsidRPr="0062071D" w:rsidRDefault="005D16E1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71426EA5" w14:textId="77777777" w:rsidR="0092321E" w:rsidRPr="0062071D" w:rsidRDefault="0092321E" w:rsidP="00FF70E0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1C9BA31C" w14:textId="77777777" w:rsidR="005D16E1" w:rsidRPr="00923694" w:rsidRDefault="005D16E1" w:rsidP="00FF70E0">
      <w:pPr>
        <w:tabs>
          <w:tab w:val="left" w:pos="8505"/>
        </w:tabs>
        <w:spacing w:before="0"/>
        <w:ind w:right="566"/>
        <w:jc w:val="left"/>
        <w:rPr>
          <w:b/>
          <w:color w:val="000000"/>
          <w:sz w:val="22"/>
          <w:szCs w:val="22"/>
          <w:lang w:val="sk-SK"/>
        </w:rPr>
      </w:pPr>
      <w:r w:rsidRPr="00923694">
        <w:rPr>
          <w:b/>
          <w:color w:val="000000"/>
          <w:sz w:val="22"/>
          <w:szCs w:val="22"/>
          <w:lang w:val="sk-SK"/>
        </w:rPr>
        <w:t xml:space="preserve">4.    </w:t>
      </w:r>
      <w:r w:rsidR="003D585D" w:rsidRPr="00923694">
        <w:rPr>
          <w:b/>
          <w:color w:val="000000"/>
          <w:sz w:val="22"/>
          <w:szCs w:val="22"/>
          <w:lang w:val="sk-SK"/>
        </w:rPr>
        <w:t xml:space="preserve">   </w:t>
      </w:r>
      <w:r w:rsidRPr="00923694">
        <w:rPr>
          <w:b/>
          <w:color w:val="000000"/>
          <w:sz w:val="22"/>
          <w:szCs w:val="22"/>
          <w:lang w:val="sk-SK"/>
        </w:rPr>
        <w:t>KLINICKÉ ÚDAJE</w:t>
      </w:r>
    </w:p>
    <w:p w14:paraId="19CD23B2" w14:textId="77777777" w:rsidR="0092321E" w:rsidRPr="00923694" w:rsidRDefault="0092321E" w:rsidP="00923694">
      <w:pPr>
        <w:tabs>
          <w:tab w:val="left" w:pos="8505"/>
        </w:tabs>
        <w:spacing w:before="0"/>
        <w:ind w:right="566"/>
        <w:jc w:val="left"/>
        <w:rPr>
          <w:b/>
          <w:color w:val="000000"/>
          <w:sz w:val="22"/>
          <w:szCs w:val="22"/>
          <w:lang w:val="sk-SK"/>
        </w:rPr>
      </w:pPr>
    </w:p>
    <w:p w14:paraId="6DDF11D1" w14:textId="0DA34DA5" w:rsidR="005D16E1" w:rsidRPr="00923694" w:rsidRDefault="005D16E1" w:rsidP="00FF70E0">
      <w:pPr>
        <w:tabs>
          <w:tab w:val="left" w:pos="8505"/>
        </w:tabs>
        <w:spacing w:before="0"/>
        <w:ind w:right="566"/>
        <w:jc w:val="left"/>
        <w:rPr>
          <w:b/>
          <w:color w:val="000000"/>
          <w:sz w:val="22"/>
          <w:szCs w:val="22"/>
          <w:lang w:val="sk-SK"/>
        </w:rPr>
      </w:pPr>
      <w:r w:rsidRPr="00923694">
        <w:rPr>
          <w:b/>
          <w:color w:val="000000"/>
          <w:sz w:val="22"/>
          <w:szCs w:val="22"/>
          <w:lang w:val="sk-SK"/>
        </w:rPr>
        <w:t>4.1</w:t>
      </w:r>
      <w:r w:rsidR="00727FF9" w:rsidRPr="00923694">
        <w:rPr>
          <w:b/>
          <w:color w:val="000000"/>
          <w:sz w:val="22"/>
          <w:szCs w:val="22"/>
          <w:lang w:val="sk-SK"/>
        </w:rPr>
        <w:t xml:space="preserve">     </w:t>
      </w:r>
      <w:r w:rsidRPr="00923694">
        <w:rPr>
          <w:b/>
          <w:color w:val="000000"/>
          <w:sz w:val="22"/>
          <w:szCs w:val="22"/>
          <w:lang w:val="sk-SK"/>
        </w:rPr>
        <w:t>Terapeutické indikácie</w:t>
      </w:r>
    </w:p>
    <w:p w14:paraId="21BB7AEF" w14:textId="77777777" w:rsidR="00A61DC4" w:rsidRPr="00923694" w:rsidRDefault="00A61DC4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3067EDFB" w14:textId="77777777" w:rsidR="00193F71" w:rsidRPr="00495823" w:rsidRDefault="00944F58" w:rsidP="00CE5C2C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923694">
        <w:rPr>
          <w:color w:val="000000"/>
          <w:sz w:val="22"/>
          <w:szCs w:val="22"/>
          <w:lang w:val="sk-SK"/>
        </w:rPr>
        <w:t>N</w:t>
      </w:r>
      <w:r w:rsidR="00495823">
        <w:rPr>
          <w:color w:val="000000"/>
          <w:sz w:val="22"/>
          <w:szCs w:val="22"/>
          <w:lang w:val="sk-SK"/>
        </w:rPr>
        <w:t>eurol</w:t>
      </w:r>
      <w:r w:rsidRPr="00495823">
        <w:rPr>
          <w:color w:val="000000"/>
          <w:sz w:val="22"/>
          <w:szCs w:val="22"/>
          <w:lang w:val="sk-SK"/>
        </w:rPr>
        <w:t xml:space="preserve"> je indikovaný k symptomatickej liečbe</w:t>
      </w:r>
    </w:p>
    <w:p w14:paraId="1E2170C8" w14:textId="77777777" w:rsidR="00944F58" w:rsidRPr="00495823" w:rsidRDefault="00944F58" w:rsidP="00923694">
      <w:pPr>
        <w:numPr>
          <w:ilvl w:val="0"/>
          <w:numId w:val="17"/>
        </w:num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495823">
        <w:rPr>
          <w:sz w:val="22"/>
          <w:szCs w:val="22"/>
          <w:lang w:val="sk-SK"/>
        </w:rPr>
        <w:t>úzkosti</w:t>
      </w:r>
    </w:p>
    <w:p w14:paraId="03F05DC9" w14:textId="77777777" w:rsidR="00193F71" w:rsidRPr="00923694" w:rsidRDefault="004953A7" w:rsidP="00CE5C2C">
      <w:pPr>
        <w:numPr>
          <w:ilvl w:val="0"/>
          <w:numId w:val="17"/>
        </w:numPr>
        <w:spacing w:before="0"/>
        <w:jc w:val="left"/>
        <w:rPr>
          <w:sz w:val="22"/>
          <w:szCs w:val="22"/>
          <w:lang w:val="sk-SK"/>
        </w:rPr>
      </w:pPr>
      <w:r w:rsidRPr="0062071D">
        <w:rPr>
          <w:sz w:val="22"/>
          <w:szCs w:val="22"/>
          <w:lang w:val="sk-SK"/>
        </w:rPr>
        <w:t>p</w:t>
      </w:r>
      <w:r w:rsidR="00193F71" w:rsidRPr="0062071D">
        <w:rPr>
          <w:sz w:val="22"/>
          <w:szCs w:val="22"/>
          <w:lang w:val="sk-SK"/>
        </w:rPr>
        <w:t>anick</w:t>
      </w:r>
      <w:r w:rsidR="00944F58" w:rsidRPr="0062071D">
        <w:rPr>
          <w:sz w:val="22"/>
          <w:szCs w:val="22"/>
          <w:lang w:val="sk-SK"/>
        </w:rPr>
        <w:t>ých</w:t>
      </w:r>
      <w:r w:rsidR="00193F71" w:rsidRPr="00923694">
        <w:rPr>
          <w:sz w:val="22"/>
          <w:szCs w:val="22"/>
          <w:lang w:val="sk-SK"/>
        </w:rPr>
        <w:t xml:space="preserve"> </w:t>
      </w:r>
      <w:r w:rsidR="00DF4EFE" w:rsidRPr="00923694">
        <w:rPr>
          <w:sz w:val="22"/>
          <w:szCs w:val="22"/>
          <w:lang w:val="sk-SK"/>
        </w:rPr>
        <w:t>porúch</w:t>
      </w:r>
      <w:r w:rsidR="00193F71" w:rsidRPr="00923694">
        <w:rPr>
          <w:sz w:val="22"/>
          <w:szCs w:val="22"/>
          <w:lang w:val="sk-SK"/>
        </w:rPr>
        <w:t xml:space="preserve"> s agorafóbiou alebo bez nej</w:t>
      </w:r>
      <w:r w:rsidR="00CE5C2C" w:rsidRPr="00923694">
        <w:rPr>
          <w:sz w:val="22"/>
          <w:szCs w:val="22"/>
          <w:lang w:val="sk-SK"/>
        </w:rPr>
        <w:t>.</w:t>
      </w:r>
    </w:p>
    <w:p w14:paraId="374A932E" w14:textId="77777777" w:rsidR="00193F71" w:rsidRPr="00923694" w:rsidRDefault="00193F71" w:rsidP="001E553E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42FD172A" w14:textId="77777777" w:rsidR="00193F71" w:rsidRPr="00CE5C2C" w:rsidRDefault="00CE5C2C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923694">
        <w:rPr>
          <w:color w:val="000000"/>
          <w:sz w:val="22"/>
          <w:szCs w:val="22"/>
          <w:lang w:val="sk-SK"/>
        </w:rPr>
        <w:t>N</w:t>
      </w:r>
      <w:r w:rsidR="00495823">
        <w:rPr>
          <w:color w:val="000000"/>
          <w:sz w:val="22"/>
          <w:szCs w:val="22"/>
          <w:lang w:val="sk-SK"/>
        </w:rPr>
        <w:t>eurol</w:t>
      </w:r>
      <w:r w:rsidR="00193F71" w:rsidRPr="00495823">
        <w:rPr>
          <w:color w:val="000000"/>
          <w:sz w:val="22"/>
          <w:szCs w:val="22"/>
          <w:lang w:val="sk-SK"/>
        </w:rPr>
        <w:t xml:space="preserve"> je indikovaný len v situáciách, v ktorých sú príznaky závažné, obmedzujúce alebo</w:t>
      </w:r>
      <w:r>
        <w:rPr>
          <w:color w:val="000000"/>
          <w:sz w:val="22"/>
          <w:szCs w:val="22"/>
          <w:lang w:val="sk-SK"/>
        </w:rPr>
        <w:t>,</w:t>
      </w:r>
      <w:r w:rsidR="00193F71" w:rsidRPr="00CE5C2C">
        <w:rPr>
          <w:color w:val="000000"/>
          <w:sz w:val="22"/>
          <w:szCs w:val="22"/>
          <w:lang w:val="sk-SK"/>
        </w:rPr>
        <w:t xml:space="preserve"> ak </w:t>
      </w:r>
      <w:r>
        <w:rPr>
          <w:color w:val="000000"/>
          <w:sz w:val="22"/>
          <w:szCs w:val="22"/>
          <w:lang w:val="sk-SK"/>
        </w:rPr>
        <w:t>spôsobujú</w:t>
      </w:r>
      <w:r w:rsidR="00193F71" w:rsidRPr="00CE5C2C">
        <w:rPr>
          <w:color w:val="000000"/>
          <w:sz w:val="22"/>
          <w:szCs w:val="22"/>
          <w:lang w:val="sk-SK"/>
        </w:rPr>
        <w:t xml:space="preserve"> pacient</w:t>
      </w:r>
      <w:r>
        <w:rPr>
          <w:color w:val="000000"/>
          <w:sz w:val="22"/>
          <w:szCs w:val="22"/>
          <w:lang w:val="sk-SK"/>
        </w:rPr>
        <w:t>ovi</w:t>
      </w:r>
      <w:r w:rsidR="00193F71" w:rsidRPr="00CE5C2C">
        <w:rPr>
          <w:color w:val="000000"/>
          <w:sz w:val="22"/>
          <w:szCs w:val="22"/>
          <w:lang w:val="sk-SK"/>
        </w:rPr>
        <w:t xml:space="preserve"> </w:t>
      </w:r>
      <w:r>
        <w:rPr>
          <w:color w:val="000000"/>
          <w:sz w:val="22"/>
          <w:szCs w:val="22"/>
          <w:lang w:val="sk-SK"/>
        </w:rPr>
        <w:t>neznesiteľné</w:t>
      </w:r>
      <w:r w:rsidR="00193F71" w:rsidRPr="00CE5C2C">
        <w:rPr>
          <w:color w:val="000000"/>
          <w:sz w:val="22"/>
          <w:szCs w:val="22"/>
          <w:lang w:val="sk-SK"/>
        </w:rPr>
        <w:t xml:space="preserve"> utrpenie.</w:t>
      </w:r>
    </w:p>
    <w:p w14:paraId="026E7CBB" w14:textId="77777777" w:rsidR="005D16E1" w:rsidRPr="00AB6209" w:rsidRDefault="005D16E1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63B3B692" w14:textId="3F8EF40C" w:rsidR="005D16E1" w:rsidRPr="008B6A9D" w:rsidRDefault="005D16E1" w:rsidP="00FF70E0">
      <w:pPr>
        <w:tabs>
          <w:tab w:val="left" w:pos="8505"/>
        </w:tabs>
        <w:spacing w:before="0"/>
        <w:ind w:right="566"/>
        <w:jc w:val="left"/>
        <w:rPr>
          <w:b/>
          <w:color w:val="000000"/>
          <w:sz w:val="22"/>
          <w:szCs w:val="22"/>
          <w:lang w:val="sk-SK"/>
        </w:rPr>
      </w:pPr>
      <w:r w:rsidRPr="00AB6209">
        <w:rPr>
          <w:b/>
          <w:color w:val="000000"/>
          <w:sz w:val="22"/>
          <w:szCs w:val="22"/>
          <w:lang w:val="sk-SK"/>
        </w:rPr>
        <w:t>4.2</w:t>
      </w:r>
      <w:r w:rsidR="00727FF9" w:rsidRPr="008B6A9D">
        <w:rPr>
          <w:b/>
          <w:color w:val="000000"/>
          <w:sz w:val="22"/>
          <w:szCs w:val="22"/>
          <w:lang w:val="sk-SK"/>
        </w:rPr>
        <w:t xml:space="preserve">     </w:t>
      </w:r>
      <w:r w:rsidRPr="008B6A9D">
        <w:rPr>
          <w:b/>
          <w:color w:val="000000"/>
          <w:sz w:val="22"/>
          <w:szCs w:val="22"/>
          <w:lang w:val="sk-SK"/>
        </w:rPr>
        <w:t>Dávkovanie a spôsob podávania</w:t>
      </w:r>
    </w:p>
    <w:p w14:paraId="006FF86E" w14:textId="77777777" w:rsidR="00270957" w:rsidRPr="00E63AA1" w:rsidRDefault="00270957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629A41F7" w14:textId="1889426B" w:rsidR="00193F71" w:rsidRDefault="00CE5C2C" w:rsidP="00CE5C2C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u w:val="single"/>
          <w:lang w:val="sk-SK"/>
        </w:rPr>
      </w:pPr>
      <w:r w:rsidRPr="00FF70E0">
        <w:rPr>
          <w:color w:val="000000"/>
          <w:sz w:val="22"/>
          <w:u w:val="single"/>
          <w:lang w:val="sk-SK"/>
        </w:rPr>
        <w:t>Dávkovanie</w:t>
      </w:r>
    </w:p>
    <w:p w14:paraId="52E18ECD" w14:textId="77777777" w:rsidR="00495823" w:rsidRPr="00CE5C2C" w:rsidRDefault="00495823" w:rsidP="00CE5C2C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u w:val="single"/>
          <w:lang w:val="sk-SK"/>
        </w:rPr>
      </w:pPr>
    </w:p>
    <w:p w14:paraId="32302D42" w14:textId="62EDF12F" w:rsidR="00193F71" w:rsidRDefault="00193F71" w:rsidP="00CE5C2C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CE5C2C">
        <w:rPr>
          <w:color w:val="000000"/>
          <w:sz w:val="22"/>
          <w:szCs w:val="22"/>
          <w:lang w:val="sk-SK"/>
        </w:rPr>
        <w:t xml:space="preserve">Optimálnu dávku je </w:t>
      </w:r>
      <w:r w:rsidR="00CE5C2C">
        <w:rPr>
          <w:color w:val="000000"/>
          <w:sz w:val="22"/>
          <w:szCs w:val="22"/>
          <w:lang w:val="sk-SK"/>
        </w:rPr>
        <w:t>potrebné</w:t>
      </w:r>
      <w:r w:rsidRPr="00CE5C2C">
        <w:rPr>
          <w:color w:val="000000"/>
          <w:sz w:val="22"/>
          <w:szCs w:val="22"/>
          <w:lang w:val="sk-SK"/>
        </w:rPr>
        <w:t xml:space="preserve"> </w:t>
      </w:r>
      <w:r w:rsidR="00CE5C2C">
        <w:rPr>
          <w:color w:val="000000"/>
          <w:sz w:val="22"/>
          <w:szCs w:val="22"/>
          <w:lang w:val="sk-SK"/>
        </w:rPr>
        <w:t>stanoviť individuálne, na základe</w:t>
      </w:r>
      <w:r w:rsidR="00CE5C2C" w:rsidRPr="00CE5C2C">
        <w:rPr>
          <w:color w:val="000000"/>
          <w:sz w:val="22"/>
          <w:szCs w:val="22"/>
          <w:lang w:val="sk-SK"/>
        </w:rPr>
        <w:t xml:space="preserve"> </w:t>
      </w:r>
      <w:r w:rsidRPr="00CE5C2C">
        <w:rPr>
          <w:color w:val="000000"/>
          <w:sz w:val="22"/>
          <w:szCs w:val="22"/>
          <w:lang w:val="sk-SK"/>
        </w:rPr>
        <w:t>závažnosti príznakov a reakcie jednotlivého pacienta na liečbu.</w:t>
      </w:r>
    </w:p>
    <w:p w14:paraId="7D450E32" w14:textId="77777777" w:rsidR="00495823" w:rsidRDefault="00495823" w:rsidP="00CE5C2C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5D3E9078" w14:textId="5D4A749C" w:rsidR="008B6A9D" w:rsidRDefault="00CE5C2C" w:rsidP="00CE5C2C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Pacientom, ktorí vyžadujú zvýšené dávky, má byť dávkovanie zvyšované postupne, aby sa zabránilo nežiaducim účinkom. </w:t>
      </w:r>
      <w:r w:rsidR="00495823">
        <w:rPr>
          <w:color w:val="000000"/>
          <w:sz w:val="22"/>
          <w:szCs w:val="22"/>
          <w:lang w:val="sk-SK"/>
        </w:rPr>
        <w:t>Všeo</w:t>
      </w:r>
      <w:r>
        <w:rPr>
          <w:color w:val="000000"/>
          <w:sz w:val="22"/>
          <w:szCs w:val="22"/>
          <w:lang w:val="sk-SK"/>
        </w:rPr>
        <w:t xml:space="preserve">becne platí, že pacienti, ktorí predtým neužívali psychotropné lieky, vyžadujú nižšiu dávku než pacienti, ktorí užívali trankvilizéry, antidepresíva alebo hypnotiká. </w:t>
      </w:r>
    </w:p>
    <w:p w14:paraId="4439329F" w14:textId="77777777" w:rsidR="00CE5C2C" w:rsidRDefault="00CE5C2C" w:rsidP="00CE5C2C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lastRenderedPageBreak/>
        <w:t>Je odporúčané užiť najnižšiu účinnú dávku, aby sa predišlo vzniku ataxie alebo zvýšenej sedácii; toto je zvlášť dôležité u starších alebo oslabených pacientov.</w:t>
      </w:r>
    </w:p>
    <w:p w14:paraId="6157CE3C" w14:textId="77777777" w:rsidR="0062071D" w:rsidRPr="008603B0" w:rsidRDefault="0062071D" w:rsidP="0062071D">
      <w:pPr>
        <w:tabs>
          <w:tab w:val="left" w:pos="8505"/>
        </w:tabs>
        <w:spacing w:before="0"/>
        <w:ind w:right="566"/>
        <w:jc w:val="left"/>
        <w:rPr>
          <w:sz w:val="22"/>
          <w:szCs w:val="22"/>
          <w:lang w:val="sk-SK"/>
        </w:rPr>
      </w:pPr>
      <w:r w:rsidRPr="008603B0">
        <w:rPr>
          <w:sz w:val="22"/>
          <w:szCs w:val="22"/>
          <w:lang w:val="sk-SK"/>
        </w:rPr>
        <w:t xml:space="preserve">Najvyššia odporúčaná dávka sa nesmie prekročiť. </w:t>
      </w:r>
    </w:p>
    <w:p w14:paraId="008FB0C9" w14:textId="77777777" w:rsidR="00495823" w:rsidRPr="00CE5C2C" w:rsidRDefault="0062071D" w:rsidP="0062071D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8603B0">
        <w:rPr>
          <w:sz w:val="22"/>
          <w:szCs w:val="22"/>
          <w:lang w:val="sk-SK"/>
        </w:rPr>
        <w:t>Ak je potrebné zvýšiť dávku, má sa zvýšiť najprv večerná dávka pred denným dávkovaním.</w:t>
      </w:r>
    </w:p>
    <w:p w14:paraId="237DD275" w14:textId="77777777" w:rsidR="00193F71" w:rsidRPr="00AC15AA" w:rsidRDefault="00193F71" w:rsidP="00AB6209">
      <w:pPr>
        <w:tabs>
          <w:tab w:val="left" w:pos="8505"/>
        </w:tabs>
        <w:spacing w:before="0"/>
        <w:ind w:right="566"/>
        <w:jc w:val="left"/>
        <w:rPr>
          <w:i/>
          <w:color w:val="000000"/>
          <w:sz w:val="22"/>
          <w:szCs w:val="22"/>
          <w:lang w:val="sk-SK"/>
        </w:rPr>
      </w:pPr>
    </w:p>
    <w:p w14:paraId="2CFF9844" w14:textId="0C686B07" w:rsidR="00193F71" w:rsidRPr="00CE5C2C" w:rsidRDefault="00CE5C2C" w:rsidP="00AB6209">
      <w:pPr>
        <w:tabs>
          <w:tab w:val="left" w:pos="8505"/>
        </w:tabs>
        <w:spacing w:before="0"/>
        <w:ind w:right="566"/>
        <w:jc w:val="left"/>
        <w:rPr>
          <w:i/>
          <w:color w:val="000000"/>
          <w:sz w:val="22"/>
          <w:szCs w:val="22"/>
          <w:lang w:val="sk-SK"/>
        </w:rPr>
      </w:pPr>
      <w:r>
        <w:rPr>
          <w:i/>
          <w:color w:val="000000"/>
          <w:sz w:val="22"/>
          <w:szCs w:val="22"/>
          <w:lang w:val="sk-SK"/>
        </w:rPr>
        <w:t>Symptomatická liečba</w:t>
      </w:r>
      <w:r w:rsidRPr="00FF70E0">
        <w:rPr>
          <w:i/>
          <w:color w:val="000000"/>
          <w:sz w:val="22"/>
          <w:lang w:val="sk-SK"/>
        </w:rPr>
        <w:t xml:space="preserve"> úzkosti</w:t>
      </w:r>
    </w:p>
    <w:p w14:paraId="64812BCD" w14:textId="1CDEA3AB" w:rsidR="00193F71" w:rsidRDefault="00CE5C2C" w:rsidP="008B6A9D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Odporúčaná </w:t>
      </w:r>
      <w:r w:rsidR="0062071D">
        <w:rPr>
          <w:color w:val="000000"/>
          <w:sz w:val="22"/>
          <w:szCs w:val="22"/>
          <w:lang w:val="sk-SK"/>
        </w:rPr>
        <w:t>úvodná</w:t>
      </w:r>
      <w:r w:rsidR="00193F71" w:rsidRPr="00CE5C2C">
        <w:rPr>
          <w:color w:val="000000"/>
          <w:sz w:val="22"/>
          <w:szCs w:val="22"/>
          <w:lang w:val="sk-SK"/>
        </w:rPr>
        <w:t xml:space="preserve"> dávka: </w:t>
      </w:r>
      <w:r>
        <w:rPr>
          <w:color w:val="000000"/>
          <w:sz w:val="22"/>
          <w:szCs w:val="22"/>
          <w:lang w:val="sk-SK"/>
        </w:rPr>
        <w:t xml:space="preserve">v rozmedzí </w:t>
      </w:r>
      <w:r w:rsidR="00193F71" w:rsidRPr="00CE5C2C">
        <w:rPr>
          <w:color w:val="000000"/>
          <w:sz w:val="22"/>
          <w:szCs w:val="22"/>
          <w:lang w:val="sk-SK"/>
        </w:rPr>
        <w:t>0,25 až 0,5 mg 3-krát denne.</w:t>
      </w:r>
    </w:p>
    <w:p w14:paraId="4A7A376B" w14:textId="77777777" w:rsidR="00CE5C2C" w:rsidRPr="00CE5C2C" w:rsidRDefault="00CE5C2C" w:rsidP="00E63AA1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Odporúčaná dávka: dávku je možné zvyšovať podľa potrieb pacienta až na maximálnu dennú dávku 4 mg, rozdelenú </w:t>
      </w:r>
      <w:r w:rsidRPr="006F2B1F">
        <w:rPr>
          <w:color w:val="000000"/>
          <w:sz w:val="22"/>
          <w:szCs w:val="22"/>
          <w:lang w:val="sk-SK"/>
        </w:rPr>
        <w:t>v priebehu dňa do niekoľkých</w:t>
      </w:r>
      <w:r w:rsidRPr="00D739E3">
        <w:rPr>
          <w:color w:val="000000"/>
          <w:sz w:val="22"/>
          <w:szCs w:val="22"/>
          <w:lang w:val="sk-SK"/>
        </w:rPr>
        <w:t xml:space="preserve"> dávok</w:t>
      </w:r>
      <w:r w:rsidRPr="00002F7C">
        <w:rPr>
          <w:color w:val="000000"/>
          <w:sz w:val="22"/>
          <w:szCs w:val="22"/>
          <w:lang w:val="sk-SK"/>
        </w:rPr>
        <w:t>.</w:t>
      </w:r>
    </w:p>
    <w:p w14:paraId="4DACE13B" w14:textId="77777777" w:rsidR="00193F71" w:rsidRPr="005E7891" w:rsidRDefault="00193F71" w:rsidP="00AC15AA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7C497AB5" w14:textId="77777777" w:rsidR="00193F71" w:rsidRPr="00CE5C2C" w:rsidRDefault="00CE5C2C" w:rsidP="00495823">
      <w:pPr>
        <w:tabs>
          <w:tab w:val="left" w:pos="8505"/>
        </w:tabs>
        <w:spacing w:before="0"/>
        <w:ind w:right="566"/>
        <w:jc w:val="left"/>
        <w:rPr>
          <w:i/>
          <w:color w:val="000000"/>
          <w:sz w:val="22"/>
          <w:szCs w:val="22"/>
          <w:lang w:val="sk-SK"/>
        </w:rPr>
      </w:pPr>
      <w:r>
        <w:rPr>
          <w:i/>
          <w:color w:val="000000"/>
          <w:sz w:val="22"/>
          <w:szCs w:val="22"/>
          <w:lang w:val="sk-SK"/>
        </w:rPr>
        <w:t>Symptomatická liečba panických porúch</w:t>
      </w:r>
    </w:p>
    <w:p w14:paraId="29F56FA3" w14:textId="77777777" w:rsidR="00193F71" w:rsidRPr="00CE5C2C" w:rsidRDefault="00CE5C2C" w:rsidP="0062071D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Odporúčaná</w:t>
      </w:r>
      <w:r w:rsidRPr="00CE5C2C">
        <w:rPr>
          <w:color w:val="000000"/>
          <w:sz w:val="22"/>
          <w:szCs w:val="22"/>
          <w:lang w:val="sk-SK"/>
        </w:rPr>
        <w:t xml:space="preserve"> </w:t>
      </w:r>
      <w:r w:rsidR="0062071D">
        <w:rPr>
          <w:color w:val="000000"/>
          <w:sz w:val="22"/>
          <w:szCs w:val="22"/>
          <w:lang w:val="sk-SK"/>
        </w:rPr>
        <w:t>úvodná</w:t>
      </w:r>
      <w:r w:rsidR="00193F71" w:rsidRPr="00CE5C2C">
        <w:rPr>
          <w:color w:val="000000"/>
          <w:sz w:val="22"/>
          <w:szCs w:val="22"/>
          <w:lang w:val="sk-SK"/>
        </w:rPr>
        <w:t xml:space="preserve"> dávka: 0,5 až 1 mg pred spaním</w:t>
      </w:r>
      <w:r w:rsidR="0062071D">
        <w:rPr>
          <w:color w:val="000000"/>
          <w:sz w:val="22"/>
          <w:szCs w:val="22"/>
          <w:lang w:val="sk-SK"/>
        </w:rPr>
        <w:t xml:space="preserve"> alebo 0,5 </w:t>
      </w:r>
      <w:r w:rsidR="0062071D" w:rsidRPr="007E2FE2">
        <w:rPr>
          <w:color w:val="000000"/>
          <w:sz w:val="22"/>
          <w:szCs w:val="22"/>
          <w:lang w:val="sk-SK"/>
        </w:rPr>
        <w:t xml:space="preserve">mg </w:t>
      </w:r>
      <w:r w:rsidR="0062071D" w:rsidRPr="00923694">
        <w:rPr>
          <w:color w:val="000000"/>
          <w:sz w:val="22"/>
          <w:szCs w:val="22"/>
          <w:lang w:val="sk-SK"/>
        </w:rPr>
        <w:t>3-krát</w:t>
      </w:r>
      <w:r w:rsidR="0062071D">
        <w:rPr>
          <w:color w:val="000000"/>
          <w:sz w:val="22"/>
          <w:szCs w:val="22"/>
          <w:lang w:val="sk-SK"/>
        </w:rPr>
        <w:t xml:space="preserve"> denne</w:t>
      </w:r>
      <w:r w:rsidR="00193F71" w:rsidRPr="00CE5C2C">
        <w:rPr>
          <w:color w:val="000000"/>
          <w:sz w:val="22"/>
          <w:szCs w:val="22"/>
          <w:lang w:val="sk-SK"/>
        </w:rPr>
        <w:t>.</w:t>
      </w:r>
    </w:p>
    <w:p w14:paraId="47C879AF" w14:textId="39C1F63D" w:rsidR="00193F71" w:rsidRPr="00CE5C2C" w:rsidRDefault="00CE5C2C" w:rsidP="00FF70E0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Odporúčaná</w:t>
      </w:r>
      <w:r w:rsidRPr="00CE5C2C">
        <w:rPr>
          <w:color w:val="000000"/>
          <w:sz w:val="22"/>
          <w:szCs w:val="22"/>
          <w:lang w:val="sk-SK"/>
        </w:rPr>
        <w:t xml:space="preserve"> </w:t>
      </w:r>
      <w:r>
        <w:rPr>
          <w:color w:val="000000"/>
          <w:sz w:val="22"/>
          <w:szCs w:val="22"/>
          <w:lang w:val="sk-SK"/>
        </w:rPr>
        <w:t>d</w:t>
      </w:r>
      <w:r w:rsidR="00193F71" w:rsidRPr="00CE5C2C">
        <w:rPr>
          <w:color w:val="000000"/>
          <w:sz w:val="22"/>
          <w:szCs w:val="22"/>
          <w:lang w:val="sk-SK"/>
        </w:rPr>
        <w:t>ávka</w:t>
      </w:r>
      <w:r>
        <w:rPr>
          <w:color w:val="000000"/>
          <w:sz w:val="22"/>
          <w:szCs w:val="22"/>
          <w:lang w:val="sk-SK"/>
        </w:rPr>
        <w:t>: dávku je potrebné upraviť podľa odpovede pacienta na liečbu. Dávku je možné zvyšovať najviac</w:t>
      </w:r>
      <w:r w:rsidR="00193F71" w:rsidRPr="00CE5C2C">
        <w:rPr>
          <w:color w:val="000000"/>
          <w:sz w:val="22"/>
          <w:szCs w:val="22"/>
          <w:lang w:val="sk-SK"/>
        </w:rPr>
        <w:t xml:space="preserve"> o 1 mg </w:t>
      </w:r>
      <w:r>
        <w:rPr>
          <w:color w:val="000000"/>
          <w:sz w:val="22"/>
          <w:szCs w:val="22"/>
          <w:lang w:val="sk-SK"/>
        </w:rPr>
        <w:t xml:space="preserve">každé </w:t>
      </w:r>
      <w:r w:rsidR="00193F71" w:rsidRPr="00CE5C2C">
        <w:rPr>
          <w:color w:val="000000"/>
          <w:sz w:val="22"/>
          <w:szCs w:val="22"/>
          <w:lang w:val="sk-SK"/>
        </w:rPr>
        <w:t xml:space="preserve">3 až 4 dni. Ďalšie dávky je možné pridávať </w:t>
      </w:r>
      <w:r w:rsidR="0060426F">
        <w:rPr>
          <w:color w:val="000000"/>
          <w:sz w:val="22"/>
          <w:szCs w:val="22"/>
          <w:lang w:val="sk-SK"/>
        </w:rPr>
        <w:t>až do dosiahnutia dávkovania</w:t>
      </w:r>
      <w:r w:rsidR="00193F71" w:rsidRPr="00CE5C2C">
        <w:rPr>
          <w:color w:val="000000"/>
          <w:sz w:val="22"/>
          <w:szCs w:val="22"/>
          <w:lang w:val="sk-SK"/>
        </w:rPr>
        <w:t xml:space="preserve"> 3 až 4</w:t>
      </w:r>
      <w:r w:rsidR="0060426F">
        <w:rPr>
          <w:color w:val="000000"/>
          <w:sz w:val="22"/>
          <w:szCs w:val="22"/>
          <w:lang w:val="sk-SK"/>
        </w:rPr>
        <w:t>-krát</w:t>
      </w:r>
      <w:r w:rsidR="00193F71" w:rsidRPr="00CE5C2C">
        <w:rPr>
          <w:color w:val="000000"/>
          <w:sz w:val="22"/>
          <w:szCs w:val="22"/>
          <w:lang w:val="sk-SK"/>
        </w:rPr>
        <w:t xml:space="preserve"> denne.</w:t>
      </w:r>
    </w:p>
    <w:p w14:paraId="70F114A0" w14:textId="77777777" w:rsidR="00193F71" w:rsidRPr="005E7891" w:rsidRDefault="00193F71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6BB12719" w14:textId="77777777" w:rsidR="00193F71" w:rsidRPr="0060426F" w:rsidRDefault="00193F71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1E553E">
        <w:rPr>
          <w:color w:val="000000"/>
          <w:sz w:val="22"/>
          <w:szCs w:val="22"/>
          <w:lang w:val="sk-SK"/>
        </w:rPr>
        <w:t xml:space="preserve">V klinických štúdiách bola </w:t>
      </w:r>
      <w:r w:rsidR="0060426F">
        <w:rPr>
          <w:color w:val="000000"/>
          <w:sz w:val="22"/>
          <w:szCs w:val="22"/>
          <w:lang w:val="sk-SK"/>
        </w:rPr>
        <w:t xml:space="preserve">priemerne podaná </w:t>
      </w:r>
      <w:r w:rsidRPr="0060426F">
        <w:rPr>
          <w:color w:val="000000"/>
          <w:sz w:val="22"/>
          <w:szCs w:val="22"/>
          <w:lang w:val="sk-SK"/>
        </w:rPr>
        <w:t xml:space="preserve">dávka </w:t>
      </w:r>
      <w:r w:rsidR="007E2FE2" w:rsidRPr="008603B0">
        <w:rPr>
          <w:sz w:val="22"/>
          <w:szCs w:val="22"/>
        </w:rPr>
        <w:t>5,7</w:t>
      </w:r>
      <w:r w:rsidR="007E2FE2" w:rsidRPr="00FD74F6">
        <w:rPr>
          <w:sz w:val="22"/>
          <w:szCs w:val="22"/>
        </w:rPr>
        <w:t>±2</w:t>
      </w:r>
      <w:r w:rsidR="007E2FE2" w:rsidRPr="008603B0">
        <w:rPr>
          <w:sz w:val="22"/>
          <w:szCs w:val="22"/>
        </w:rPr>
        <w:t>,3</w:t>
      </w:r>
      <w:r w:rsidR="007E2FE2" w:rsidRPr="00FD74F6">
        <w:rPr>
          <w:sz w:val="22"/>
          <w:szCs w:val="22"/>
        </w:rPr>
        <w:t> </w:t>
      </w:r>
      <w:r w:rsidR="007E2FE2" w:rsidRPr="00FD74F6">
        <w:rPr>
          <w:sz w:val="22"/>
          <w:szCs w:val="22"/>
          <w:lang w:val="sk-SK"/>
        </w:rPr>
        <w:t>mg</w:t>
      </w:r>
      <w:r w:rsidRPr="0060426F">
        <w:rPr>
          <w:color w:val="000000"/>
          <w:sz w:val="22"/>
          <w:szCs w:val="22"/>
          <w:lang w:val="sk-SK"/>
        </w:rPr>
        <w:t>. Výnimočne</w:t>
      </w:r>
      <w:r w:rsidR="0060426F">
        <w:rPr>
          <w:color w:val="000000"/>
          <w:sz w:val="22"/>
          <w:szCs w:val="22"/>
          <w:lang w:val="sk-SK"/>
        </w:rPr>
        <w:t xml:space="preserve"> bola u niekoľkých pacientov nutná dávka</w:t>
      </w:r>
      <w:r w:rsidRPr="0060426F">
        <w:rPr>
          <w:color w:val="000000"/>
          <w:sz w:val="22"/>
          <w:szCs w:val="22"/>
          <w:lang w:val="sk-SK"/>
        </w:rPr>
        <w:t xml:space="preserve"> 10 mg</w:t>
      </w:r>
      <w:r w:rsidR="0060426F">
        <w:rPr>
          <w:color w:val="000000"/>
          <w:sz w:val="22"/>
          <w:szCs w:val="22"/>
          <w:lang w:val="sk-SK"/>
        </w:rPr>
        <w:t xml:space="preserve"> denne</w:t>
      </w:r>
      <w:r w:rsidRPr="0060426F">
        <w:rPr>
          <w:color w:val="000000"/>
          <w:sz w:val="22"/>
          <w:szCs w:val="22"/>
          <w:lang w:val="sk-SK"/>
        </w:rPr>
        <w:t>.</w:t>
      </w:r>
    </w:p>
    <w:p w14:paraId="0635D65B" w14:textId="77777777" w:rsidR="00193F71" w:rsidRPr="005E7891" w:rsidRDefault="00193F71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5A6D26AA" w14:textId="77777777" w:rsidR="00193F71" w:rsidRPr="008B6A9D" w:rsidRDefault="00193F71" w:rsidP="00923694">
      <w:pPr>
        <w:tabs>
          <w:tab w:val="left" w:pos="8505"/>
        </w:tabs>
        <w:spacing w:before="0"/>
        <w:ind w:right="566"/>
        <w:jc w:val="left"/>
        <w:rPr>
          <w:i/>
          <w:color w:val="000000"/>
          <w:sz w:val="22"/>
          <w:szCs w:val="22"/>
          <w:lang w:val="sk-SK"/>
        </w:rPr>
      </w:pPr>
      <w:r w:rsidRPr="00AC15AA">
        <w:rPr>
          <w:i/>
          <w:color w:val="000000"/>
          <w:sz w:val="22"/>
          <w:szCs w:val="22"/>
          <w:lang w:val="sk-SK"/>
        </w:rPr>
        <w:t>Starší pacienti (&gt;</w:t>
      </w:r>
      <w:r w:rsidR="008B6A9D">
        <w:rPr>
          <w:i/>
          <w:color w:val="000000"/>
          <w:sz w:val="22"/>
          <w:szCs w:val="22"/>
          <w:lang w:val="sk-SK"/>
        </w:rPr>
        <w:t xml:space="preserve"> </w:t>
      </w:r>
      <w:r w:rsidRPr="008B6A9D">
        <w:rPr>
          <w:i/>
          <w:color w:val="000000"/>
          <w:sz w:val="22"/>
          <w:szCs w:val="22"/>
          <w:lang w:val="sk-SK"/>
        </w:rPr>
        <w:t>65 rokov) a oslabení pacienti</w:t>
      </w:r>
    </w:p>
    <w:p w14:paraId="28713E25" w14:textId="77777777" w:rsidR="0060426F" w:rsidRDefault="0060426F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Odporúčaná</w:t>
      </w:r>
      <w:r w:rsidRPr="0060426F">
        <w:rPr>
          <w:color w:val="000000"/>
          <w:sz w:val="22"/>
          <w:szCs w:val="22"/>
          <w:lang w:val="sk-SK"/>
        </w:rPr>
        <w:t xml:space="preserve"> </w:t>
      </w:r>
      <w:r w:rsidR="007E2FE2">
        <w:rPr>
          <w:color w:val="000000"/>
          <w:sz w:val="22"/>
          <w:szCs w:val="22"/>
          <w:lang w:val="sk-SK"/>
        </w:rPr>
        <w:t>úvodná</w:t>
      </w:r>
      <w:r w:rsidR="00193F71" w:rsidRPr="0060426F">
        <w:rPr>
          <w:color w:val="000000"/>
          <w:sz w:val="22"/>
          <w:szCs w:val="22"/>
          <w:lang w:val="sk-SK"/>
        </w:rPr>
        <w:t xml:space="preserve"> dávka 0,25 mg 2 - 3-krát denne</w:t>
      </w:r>
      <w:r>
        <w:rPr>
          <w:color w:val="000000"/>
          <w:sz w:val="22"/>
          <w:szCs w:val="22"/>
          <w:lang w:val="sk-SK"/>
        </w:rPr>
        <w:t>.</w:t>
      </w:r>
    </w:p>
    <w:p w14:paraId="17C855F1" w14:textId="77777777" w:rsidR="00FF70E0" w:rsidRDefault="0060426F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Odporúčaná dávka: dávku je možné postupne upraviť v závislosti na tolerancii pacienta</w:t>
      </w:r>
      <w:r w:rsidR="007E2FE2">
        <w:rPr>
          <w:color w:val="000000"/>
          <w:sz w:val="22"/>
          <w:szCs w:val="22"/>
          <w:lang w:val="sk-SK"/>
        </w:rPr>
        <w:t xml:space="preserve"> na </w:t>
      </w:r>
    </w:p>
    <w:p w14:paraId="1B69EAFC" w14:textId="7B95B23F" w:rsidR="00193F71" w:rsidRDefault="007E2FE2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0,5 – 0,75 mg denne, rozdelenú na niekoľko denných dávok.</w:t>
      </w:r>
      <w:r w:rsidR="00193F71" w:rsidRPr="0060426F">
        <w:rPr>
          <w:color w:val="000000"/>
          <w:sz w:val="22"/>
          <w:szCs w:val="22"/>
          <w:lang w:val="sk-SK"/>
        </w:rPr>
        <w:t>.</w:t>
      </w:r>
    </w:p>
    <w:p w14:paraId="49687B58" w14:textId="77777777" w:rsidR="0060426F" w:rsidRDefault="0060426F" w:rsidP="00FF70E0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4850C8D8" w14:textId="77E7769B" w:rsidR="0060426F" w:rsidRDefault="0060426F" w:rsidP="0060426F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Ak sa objavia nežiaduce účinky, je nutné </w:t>
      </w:r>
      <w:r w:rsidR="008903EA">
        <w:rPr>
          <w:color w:val="000000"/>
          <w:sz w:val="22"/>
          <w:szCs w:val="22"/>
          <w:lang w:val="sk-SK"/>
        </w:rPr>
        <w:t>úvodnú</w:t>
      </w:r>
      <w:r>
        <w:rPr>
          <w:color w:val="000000"/>
          <w:sz w:val="22"/>
          <w:szCs w:val="22"/>
          <w:lang w:val="sk-SK"/>
        </w:rPr>
        <w:t xml:space="preserve"> dávku znížiť.</w:t>
      </w:r>
    </w:p>
    <w:p w14:paraId="5E35D332" w14:textId="77777777" w:rsidR="0060426F" w:rsidRDefault="0060426F" w:rsidP="0060426F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51F3FF01" w14:textId="77777777" w:rsidR="008903EA" w:rsidRPr="00FF70E0" w:rsidRDefault="008903EA" w:rsidP="008903EA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u w:val="single"/>
          <w:lang w:val="sk-SK"/>
        </w:rPr>
      </w:pPr>
      <w:r w:rsidRPr="00FF70E0">
        <w:rPr>
          <w:color w:val="000000"/>
          <w:sz w:val="22"/>
          <w:szCs w:val="22"/>
          <w:u w:val="single"/>
          <w:lang w:val="sk-SK"/>
        </w:rPr>
        <w:t>Dĺžka liečby</w:t>
      </w:r>
    </w:p>
    <w:p w14:paraId="188A9B0A" w14:textId="77777777" w:rsidR="008903EA" w:rsidRPr="00FF70E0" w:rsidRDefault="008903EA" w:rsidP="008903EA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FF70E0">
        <w:rPr>
          <w:color w:val="000000"/>
          <w:sz w:val="22"/>
          <w:szCs w:val="22"/>
          <w:lang w:val="sk-SK"/>
        </w:rPr>
        <w:t>Liečba má byť, v závislosti na indikácii, čo najkratšia (pozri časť 4.2) a nemá prekročiť 8 až 12 týždňov, vrátane obdobia znižovania dávky. Prípadnému predĺženiu liečby má predchádzať vyhodnotenie súčasného stavu pacienta.</w:t>
      </w:r>
    </w:p>
    <w:p w14:paraId="186A81A9" w14:textId="77777777" w:rsidR="008903EA" w:rsidRPr="00FF70E0" w:rsidRDefault="008903EA" w:rsidP="0060426F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48FCFE9F" w14:textId="77777777" w:rsidR="0060426F" w:rsidRPr="00FF70E0" w:rsidRDefault="0060426F" w:rsidP="0060426F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u w:val="single"/>
          <w:lang w:val="sk-SK"/>
        </w:rPr>
      </w:pPr>
      <w:r w:rsidRPr="00FF70E0">
        <w:rPr>
          <w:color w:val="000000"/>
          <w:sz w:val="22"/>
          <w:szCs w:val="22"/>
          <w:u w:val="single"/>
          <w:lang w:val="sk-SK"/>
        </w:rPr>
        <w:t>Ukončenie liečby</w:t>
      </w:r>
    </w:p>
    <w:p w14:paraId="2CC0E584" w14:textId="77777777" w:rsidR="0060426F" w:rsidRDefault="0060426F" w:rsidP="0060426F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FF70E0">
        <w:rPr>
          <w:color w:val="000000"/>
          <w:sz w:val="22"/>
          <w:szCs w:val="22"/>
          <w:lang w:val="sk-SK"/>
        </w:rPr>
        <w:t xml:space="preserve">Dávku je nutné znižovať </w:t>
      </w:r>
      <w:r w:rsidR="008903EA" w:rsidRPr="00FF70E0">
        <w:rPr>
          <w:color w:val="000000"/>
          <w:sz w:val="22"/>
          <w:szCs w:val="22"/>
          <w:lang w:val="sk-SK"/>
        </w:rPr>
        <w:t>postupne</w:t>
      </w:r>
      <w:r w:rsidRPr="00FF70E0">
        <w:rPr>
          <w:color w:val="000000"/>
          <w:sz w:val="22"/>
          <w:szCs w:val="22"/>
          <w:lang w:val="sk-SK"/>
        </w:rPr>
        <w:t>. Odporúča sa znižovať dennú dávku alprazolamu najviac o 0,5 mg každé 3 dni. U niektorých pacientov musí byť znižovanie dávky ešte pomalšie (pozri časť 4.4).</w:t>
      </w:r>
    </w:p>
    <w:p w14:paraId="38E427D4" w14:textId="77777777" w:rsidR="00FF70E0" w:rsidRPr="00FF70E0" w:rsidRDefault="00FF70E0" w:rsidP="0060426F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7F31C4ED" w14:textId="77777777" w:rsidR="008903EA" w:rsidRPr="00FF70E0" w:rsidRDefault="008903EA" w:rsidP="008903EA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FF70E0">
        <w:rPr>
          <w:color w:val="000000"/>
          <w:sz w:val="22"/>
          <w:szCs w:val="22"/>
          <w:lang w:val="sk-SK"/>
        </w:rPr>
        <w:t xml:space="preserve">Pacienta je vhodné informovať už na začiatku liečby o jej obmedzenej dĺžke a presne vysvetliť, ako bude dávka postupne znižovaná. Ďalej je nutné pacienta informovať o možnosti vzniku rebound fenoménu a tým minimalizovať obavy pacienta, pokiaľ by sa v priebehu ukončovania liečby tieto príznaky vyskytli (pozri časť 4.4). </w:t>
      </w:r>
    </w:p>
    <w:p w14:paraId="335CBF58" w14:textId="77777777" w:rsidR="00193F71" w:rsidRPr="00FF70E0" w:rsidRDefault="00193F71" w:rsidP="005E7891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08256791" w14:textId="77777777" w:rsidR="00193F71" w:rsidRPr="00FF70E0" w:rsidRDefault="00193F71" w:rsidP="001E553E">
      <w:pPr>
        <w:tabs>
          <w:tab w:val="left" w:pos="8505"/>
        </w:tabs>
        <w:spacing w:before="0"/>
        <w:ind w:right="566"/>
        <w:jc w:val="left"/>
        <w:rPr>
          <w:i/>
          <w:color w:val="000000"/>
          <w:sz w:val="22"/>
          <w:szCs w:val="22"/>
          <w:lang w:val="sk-SK"/>
        </w:rPr>
      </w:pPr>
      <w:r w:rsidRPr="00FF70E0">
        <w:rPr>
          <w:i/>
          <w:color w:val="000000"/>
          <w:sz w:val="22"/>
          <w:szCs w:val="22"/>
          <w:lang w:val="sk-SK"/>
        </w:rPr>
        <w:t>Pediatrická populácia</w:t>
      </w:r>
    </w:p>
    <w:p w14:paraId="1E02DBED" w14:textId="77777777" w:rsidR="00193F71" w:rsidRPr="00FF70E0" w:rsidRDefault="00193F71" w:rsidP="00AB6209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FF70E0">
        <w:rPr>
          <w:color w:val="000000"/>
          <w:sz w:val="22"/>
          <w:szCs w:val="22"/>
          <w:lang w:val="sk-SK"/>
        </w:rPr>
        <w:t>Bezpečnosť a účinnosť používania alprazolamu u detí a dospievajúcich mladších ako 18 rokov</w:t>
      </w:r>
      <w:r w:rsidR="0060426F" w:rsidRPr="00FF70E0">
        <w:rPr>
          <w:color w:val="000000"/>
          <w:sz w:val="22"/>
          <w:szCs w:val="22"/>
          <w:lang w:val="sk-SK"/>
        </w:rPr>
        <w:t xml:space="preserve"> nebola stanovená</w:t>
      </w:r>
      <w:r w:rsidR="00FC27E0" w:rsidRPr="00FF70E0">
        <w:rPr>
          <w:color w:val="000000"/>
          <w:sz w:val="22"/>
          <w:szCs w:val="22"/>
          <w:lang w:val="sk-SK"/>
        </w:rPr>
        <w:t>,</w:t>
      </w:r>
      <w:r w:rsidRPr="00FF70E0">
        <w:rPr>
          <w:color w:val="000000"/>
          <w:sz w:val="22"/>
          <w:szCs w:val="22"/>
          <w:lang w:val="sk-SK"/>
        </w:rPr>
        <w:t xml:space="preserve"> a preto sa používanie alprazolamu pre túto vekovú kategóriu neodporúča.</w:t>
      </w:r>
    </w:p>
    <w:p w14:paraId="6EBBDA0D" w14:textId="77777777" w:rsidR="0060426F" w:rsidRPr="00FF70E0" w:rsidRDefault="0060426F" w:rsidP="00AB6209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37A92573" w14:textId="77777777" w:rsidR="0060426F" w:rsidRPr="00FF70E0" w:rsidRDefault="0060426F" w:rsidP="0060426F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u w:val="single"/>
          <w:lang w:val="sk-SK"/>
        </w:rPr>
      </w:pPr>
      <w:r w:rsidRPr="00FF70E0">
        <w:rPr>
          <w:color w:val="000000"/>
          <w:sz w:val="22"/>
          <w:szCs w:val="22"/>
          <w:u w:val="single"/>
          <w:lang w:val="sk-SK"/>
        </w:rPr>
        <w:t>Spôsob podávania</w:t>
      </w:r>
    </w:p>
    <w:p w14:paraId="6F0E8903" w14:textId="77777777" w:rsidR="0060426F" w:rsidRPr="0060426F" w:rsidRDefault="0060426F" w:rsidP="0060426F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FF70E0">
        <w:rPr>
          <w:color w:val="000000"/>
          <w:sz w:val="22"/>
          <w:szCs w:val="22"/>
          <w:lang w:val="sk-SK"/>
        </w:rPr>
        <w:t>N</w:t>
      </w:r>
      <w:r w:rsidR="008903EA" w:rsidRPr="00FF70E0">
        <w:rPr>
          <w:color w:val="000000"/>
          <w:sz w:val="22"/>
          <w:szCs w:val="22"/>
          <w:lang w:val="sk-SK"/>
        </w:rPr>
        <w:t>eurol</w:t>
      </w:r>
      <w:r w:rsidRPr="00FF70E0">
        <w:rPr>
          <w:color w:val="000000"/>
          <w:sz w:val="22"/>
          <w:szCs w:val="22"/>
          <w:lang w:val="sk-SK"/>
        </w:rPr>
        <w:t xml:space="preserve"> sa môže užívať s jedlom alebo</w:t>
      </w:r>
      <w:r w:rsidRPr="006F2B1F">
        <w:rPr>
          <w:color w:val="000000"/>
          <w:sz w:val="22"/>
          <w:szCs w:val="22"/>
          <w:lang w:val="sk-SK"/>
        </w:rPr>
        <w:t xml:space="preserve"> bez jedla a zapíja sa malým množstvom tekutiny.</w:t>
      </w:r>
    </w:p>
    <w:p w14:paraId="1BAB28EF" w14:textId="77777777" w:rsidR="005D16E1" w:rsidRPr="00923694" w:rsidRDefault="005D16E1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104E2195" w14:textId="77777777" w:rsidR="005D16E1" w:rsidRPr="00923694" w:rsidRDefault="005D16E1" w:rsidP="00FF70E0">
      <w:pPr>
        <w:tabs>
          <w:tab w:val="left" w:pos="8505"/>
        </w:tabs>
        <w:spacing w:before="0"/>
        <w:ind w:right="566"/>
        <w:jc w:val="left"/>
        <w:rPr>
          <w:b/>
          <w:color w:val="000000"/>
          <w:sz w:val="22"/>
          <w:szCs w:val="22"/>
          <w:lang w:val="sk-SK"/>
        </w:rPr>
      </w:pPr>
      <w:r w:rsidRPr="00923694">
        <w:rPr>
          <w:b/>
          <w:color w:val="000000"/>
          <w:sz w:val="22"/>
          <w:szCs w:val="22"/>
          <w:lang w:val="sk-SK"/>
        </w:rPr>
        <w:t>4.3</w:t>
      </w:r>
      <w:r w:rsidR="00727FF9" w:rsidRPr="00923694">
        <w:rPr>
          <w:b/>
          <w:color w:val="000000"/>
          <w:sz w:val="22"/>
          <w:szCs w:val="22"/>
          <w:lang w:val="sk-SK"/>
        </w:rPr>
        <w:t xml:space="preserve">     </w:t>
      </w:r>
      <w:r w:rsidRPr="00923694">
        <w:rPr>
          <w:b/>
          <w:color w:val="000000"/>
          <w:sz w:val="22"/>
          <w:szCs w:val="22"/>
          <w:lang w:val="sk-SK"/>
        </w:rPr>
        <w:t>Kontraindikácie</w:t>
      </w:r>
    </w:p>
    <w:p w14:paraId="206B12EB" w14:textId="77777777" w:rsidR="00270957" w:rsidRPr="00923694" w:rsidRDefault="00270957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46C18747" w14:textId="652474EC" w:rsidR="00D038E5" w:rsidRPr="001E553E" w:rsidRDefault="005D16E1" w:rsidP="00923694">
      <w:pPr>
        <w:numPr>
          <w:ilvl w:val="0"/>
          <w:numId w:val="17"/>
        </w:num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923694">
        <w:rPr>
          <w:color w:val="000000"/>
          <w:sz w:val="22"/>
          <w:szCs w:val="22"/>
          <w:lang w:val="sk-SK"/>
        </w:rPr>
        <w:t xml:space="preserve">Precitlivenosť na </w:t>
      </w:r>
      <w:r w:rsidR="00270957" w:rsidRPr="0060426F">
        <w:rPr>
          <w:color w:val="000000"/>
          <w:sz w:val="22"/>
          <w:szCs w:val="22"/>
          <w:lang w:val="sk-SK"/>
        </w:rPr>
        <w:t>alprazolam,</w:t>
      </w:r>
      <w:r w:rsidR="008903EA">
        <w:rPr>
          <w:color w:val="000000"/>
          <w:sz w:val="22"/>
          <w:szCs w:val="22"/>
          <w:lang w:val="sk-SK"/>
        </w:rPr>
        <w:t xml:space="preserve"> </w:t>
      </w:r>
      <w:r w:rsidR="008903EA" w:rsidRPr="005E7891">
        <w:rPr>
          <w:color w:val="000000"/>
          <w:sz w:val="22"/>
          <w:szCs w:val="22"/>
          <w:lang w:val="sk-SK"/>
        </w:rPr>
        <w:t>iné benzodiazepíny</w:t>
      </w:r>
      <w:r w:rsidR="00270957" w:rsidRPr="0060426F">
        <w:rPr>
          <w:color w:val="000000"/>
          <w:sz w:val="22"/>
          <w:szCs w:val="22"/>
          <w:lang w:val="sk-SK"/>
        </w:rPr>
        <w:t xml:space="preserve"> </w:t>
      </w:r>
      <w:r w:rsidR="00707E26" w:rsidRPr="0060426F">
        <w:rPr>
          <w:color w:val="000000"/>
          <w:sz w:val="22"/>
          <w:szCs w:val="22"/>
          <w:lang w:val="sk-SK"/>
        </w:rPr>
        <w:t>alebo na ktorúkoľvek z pomocných látok uvedených v časti 6.1</w:t>
      </w:r>
      <w:r w:rsidR="008903EA">
        <w:rPr>
          <w:color w:val="000000"/>
          <w:sz w:val="22"/>
          <w:szCs w:val="22"/>
          <w:lang w:val="sk-SK"/>
        </w:rPr>
        <w:t>;</w:t>
      </w:r>
      <w:r w:rsidRPr="005E7891">
        <w:rPr>
          <w:color w:val="000000"/>
          <w:sz w:val="22"/>
          <w:szCs w:val="22"/>
          <w:lang w:val="sk-SK"/>
        </w:rPr>
        <w:t xml:space="preserve"> </w:t>
      </w:r>
    </w:p>
    <w:p w14:paraId="096F9AB2" w14:textId="07DF50DB" w:rsidR="00D038E5" w:rsidRPr="00AB6209" w:rsidRDefault="00D867B5" w:rsidP="00923694">
      <w:pPr>
        <w:numPr>
          <w:ilvl w:val="0"/>
          <w:numId w:val="17"/>
        </w:num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1E553E">
        <w:rPr>
          <w:color w:val="000000"/>
          <w:sz w:val="22"/>
          <w:szCs w:val="22"/>
          <w:lang w:val="sk-SK"/>
        </w:rPr>
        <w:t>myast</w:t>
      </w:r>
      <w:r w:rsidRPr="00AB6209">
        <w:rPr>
          <w:color w:val="000000"/>
          <w:sz w:val="22"/>
          <w:szCs w:val="22"/>
          <w:lang w:val="sk-SK"/>
        </w:rPr>
        <w:t xml:space="preserve">énia </w:t>
      </w:r>
      <w:r w:rsidR="005D16E1" w:rsidRPr="00AB6209">
        <w:rPr>
          <w:color w:val="000000"/>
          <w:sz w:val="22"/>
          <w:szCs w:val="22"/>
          <w:lang w:val="sk-SK"/>
        </w:rPr>
        <w:t>gravis</w:t>
      </w:r>
      <w:r w:rsidR="008903EA">
        <w:rPr>
          <w:color w:val="000000"/>
          <w:sz w:val="22"/>
          <w:szCs w:val="22"/>
          <w:lang w:val="sk-SK"/>
        </w:rPr>
        <w:t>;</w:t>
      </w:r>
      <w:r w:rsidR="005D16E1" w:rsidRPr="00AB6209">
        <w:rPr>
          <w:color w:val="000000"/>
          <w:sz w:val="22"/>
          <w:szCs w:val="22"/>
          <w:lang w:val="sk-SK"/>
        </w:rPr>
        <w:t xml:space="preserve"> </w:t>
      </w:r>
    </w:p>
    <w:p w14:paraId="198E415C" w14:textId="77777777" w:rsidR="00D038E5" w:rsidRPr="00495823" w:rsidRDefault="00D038E5" w:rsidP="00923694">
      <w:pPr>
        <w:numPr>
          <w:ilvl w:val="0"/>
          <w:numId w:val="17"/>
        </w:num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AC15AA">
        <w:rPr>
          <w:color w:val="000000"/>
          <w:sz w:val="22"/>
          <w:szCs w:val="22"/>
          <w:lang w:val="sk-SK"/>
        </w:rPr>
        <w:t>závažná</w:t>
      </w:r>
      <w:r w:rsidR="005D16E1" w:rsidRPr="00AC15AA">
        <w:rPr>
          <w:color w:val="000000"/>
          <w:sz w:val="22"/>
          <w:szCs w:val="22"/>
          <w:lang w:val="sk-SK"/>
        </w:rPr>
        <w:t xml:space="preserve"> respiračn</w:t>
      </w:r>
      <w:r w:rsidRPr="00AC15AA">
        <w:rPr>
          <w:color w:val="000000"/>
          <w:sz w:val="22"/>
          <w:szCs w:val="22"/>
          <w:lang w:val="sk-SK"/>
        </w:rPr>
        <w:t>á</w:t>
      </w:r>
      <w:r w:rsidR="005D16E1" w:rsidRPr="00AC15AA">
        <w:rPr>
          <w:color w:val="000000"/>
          <w:sz w:val="22"/>
          <w:szCs w:val="22"/>
          <w:lang w:val="sk-SK"/>
        </w:rPr>
        <w:t xml:space="preserve"> insuficienci</w:t>
      </w:r>
      <w:r w:rsidRPr="00AC15AA">
        <w:rPr>
          <w:color w:val="000000"/>
          <w:sz w:val="22"/>
          <w:szCs w:val="22"/>
          <w:lang w:val="sk-SK"/>
        </w:rPr>
        <w:t>a</w:t>
      </w:r>
      <w:r w:rsidR="008903EA">
        <w:rPr>
          <w:color w:val="000000"/>
          <w:sz w:val="22"/>
          <w:szCs w:val="22"/>
          <w:lang w:val="sk-SK"/>
        </w:rPr>
        <w:t>;</w:t>
      </w:r>
      <w:r w:rsidR="005D16E1" w:rsidRPr="00AC15AA">
        <w:rPr>
          <w:color w:val="000000"/>
          <w:sz w:val="22"/>
          <w:szCs w:val="22"/>
          <w:lang w:val="sk-SK"/>
        </w:rPr>
        <w:t xml:space="preserve"> </w:t>
      </w:r>
    </w:p>
    <w:p w14:paraId="016E1DB9" w14:textId="1D2D999B" w:rsidR="00D038E5" w:rsidRPr="0060426F" w:rsidRDefault="0060426F" w:rsidP="00FF70E0">
      <w:pPr>
        <w:numPr>
          <w:ilvl w:val="0"/>
          <w:numId w:val="17"/>
        </w:num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lastRenderedPageBreak/>
        <w:t xml:space="preserve">syndróm </w:t>
      </w:r>
      <w:r w:rsidR="005D16E1" w:rsidRPr="0060426F">
        <w:rPr>
          <w:color w:val="000000"/>
          <w:sz w:val="22"/>
          <w:szCs w:val="22"/>
          <w:lang w:val="sk-SK"/>
        </w:rPr>
        <w:t>spánkové</w:t>
      </w:r>
      <w:r>
        <w:rPr>
          <w:color w:val="000000"/>
          <w:sz w:val="22"/>
          <w:szCs w:val="22"/>
          <w:lang w:val="sk-SK"/>
        </w:rPr>
        <w:t>ho</w:t>
      </w:r>
      <w:r w:rsidR="005D16E1" w:rsidRPr="0060426F">
        <w:rPr>
          <w:color w:val="000000"/>
          <w:sz w:val="22"/>
          <w:szCs w:val="22"/>
          <w:lang w:val="sk-SK"/>
        </w:rPr>
        <w:t xml:space="preserve"> apnoe</w:t>
      </w:r>
      <w:r w:rsidR="008903EA">
        <w:rPr>
          <w:color w:val="000000"/>
          <w:sz w:val="22"/>
          <w:szCs w:val="22"/>
          <w:lang w:val="sk-SK"/>
        </w:rPr>
        <w:t>;</w:t>
      </w:r>
    </w:p>
    <w:p w14:paraId="7876F7A1" w14:textId="77777777" w:rsidR="005D16E1" w:rsidRPr="001E553E" w:rsidRDefault="00D038E5" w:rsidP="00923694">
      <w:pPr>
        <w:numPr>
          <w:ilvl w:val="0"/>
          <w:numId w:val="17"/>
        </w:num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5E7891">
        <w:rPr>
          <w:color w:val="000000"/>
          <w:sz w:val="22"/>
          <w:szCs w:val="22"/>
          <w:lang w:val="sk-SK"/>
        </w:rPr>
        <w:t>závažná pečeňová insuficiencia</w:t>
      </w:r>
      <w:r w:rsidR="005D16E1" w:rsidRPr="001E553E">
        <w:rPr>
          <w:color w:val="000000"/>
          <w:sz w:val="22"/>
          <w:szCs w:val="22"/>
          <w:lang w:val="sk-SK"/>
        </w:rPr>
        <w:t>.</w:t>
      </w:r>
    </w:p>
    <w:p w14:paraId="0706C8E3" w14:textId="77777777" w:rsidR="005D16E1" w:rsidRPr="005E7891" w:rsidRDefault="005D16E1" w:rsidP="00923694">
      <w:pPr>
        <w:tabs>
          <w:tab w:val="left" w:pos="8505"/>
        </w:tabs>
        <w:spacing w:before="0"/>
        <w:ind w:right="566"/>
        <w:jc w:val="left"/>
        <w:rPr>
          <w:b/>
          <w:color w:val="000000"/>
          <w:sz w:val="22"/>
          <w:szCs w:val="22"/>
          <w:lang w:val="sk-SK"/>
        </w:rPr>
      </w:pPr>
    </w:p>
    <w:p w14:paraId="2A5572F9" w14:textId="0B247146" w:rsidR="005D16E1" w:rsidRPr="00FF70E0" w:rsidRDefault="005D16E1" w:rsidP="00FF70E0">
      <w:pPr>
        <w:tabs>
          <w:tab w:val="left" w:pos="8505"/>
        </w:tabs>
        <w:spacing w:before="0"/>
        <w:ind w:right="566"/>
        <w:jc w:val="left"/>
        <w:rPr>
          <w:b/>
          <w:sz w:val="22"/>
          <w:lang w:val="sk-SK"/>
        </w:rPr>
      </w:pPr>
      <w:r w:rsidRPr="001E553E">
        <w:rPr>
          <w:b/>
          <w:color w:val="000000"/>
          <w:sz w:val="22"/>
          <w:szCs w:val="22"/>
          <w:lang w:val="sk-SK"/>
        </w:rPr>
        <w:t>4.4</w:t>
      </w:r>
      <w:r w:rsidR="00727FF9" w:rsidRPr="001E553E">
        <w:rPr>
          <w:b/>
          <w:color w:val="000000"/>
          <w:sz w:val="22"/>
          <w:szCs w:val="22"/>
          <w:lang w:val="sk-SK"/>
        </w:rPr>
        <w:t xml:space="preserve">     </w:t>
      </w:r>
      <w:r w:rsidR="00727FF9" w:rsidRPr="00AB6209">
        <w:rPr>
          <w:b/>
          <w:sz w:val="22"/>
          <w:szCs w:val="22"/>
          <w:lang w:val="sk-SK"/>
        </w:rPr>
        <w:t>Osobitné upozornenia a opatrenia pri používaní</w:t>
      </w:r>
    </w:p>
    <w:p w14:paraId="2B289160" w14:textId="77777777" w:rsidR="009A1714" w:rsidRDefault="009A1714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4E5DDE53" w14:textId="77777777" w:rsidR="0060426F" w:rsidRDefault="0060426F" w:rsidP="0060426F">
      <w:pPr>
        <w:tabs>
          <w:tab w:val="left" w:pos="8505"/>
        </w:tabs>
        <w:spacing w:before="0"/>
        <w:ind w:right="566"/>
        <w:jc w:val="left"/>
        <w:outlineLvl w:val="0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Pri liečbe pacientov s poruchou funkcie obličiek alebo s miernou až stredne ťažkou poruchou funkcie pečene je nutná opatrnosť.</w:t>
      </w:r>
    </w:p>
    <w:p w14:paraId="0226F6D0" w14:textId="77777777" w:rsidR="0060426F" w:rsidRDefault="0060426F" w:rsidP="0060426F">
      <w:pPr>
        <w:tabs>
          <w:tab w:val="left" w:pos="8505"/>
        </w:tabs>
        <w:spacing w:before="0"/>
        <w:ind w:right="566"/>
        <w:jc w:val="left"/>
        <w:outlineLvl w:val="0"/>
        <w:rPr>
          <w:color w:val="000000"/>
          <w:sz w:val="22"/>
          <w:szCs w:val="22"/>
          <w:lang w:val="sk-SK"/>
        </w:rPr>
      </w:pPr>
    </w:p>
    <w:p w14:paraId="2BD7492E" w14:textId="101A494C" w:rsidR="0060426F" w:rsidRDefault="0060426F" w:rsidP="0060426F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Panické poruchy boli u neliečených pacientov spojené s veľkými primárnymi alebo sekundárnymi depresiami a so zvýšeným počtom samovrážd. Preto pri podávaní vyšších dávok N</w:t>
      </w:r>
      <w:r w:rsidR="00623471">
        <w:rPr>
          <w:color w:val="000000"/>
          <w:sz w:val="22"/>
          <w:szCs w:val="22"/>
          <w:lang w:val="sk-SK"/>
        </w:rPr>
        <w:t>eurolu</w:t>
      </w:r>
      <w:r>
        <w:rPr>
          <w:color w:val="000000"/>
          <w:sz w:val="22"/>
          <w:szCs w:val="22"/>
          <w:lang w:val="sk-SK"/>
        </w:rPr>
        <w:t xml:space="preserve"> sú nutné tie isté opatrenia, ako pri liečbe inými psychotropnými liekmi používanými k liečbe pacientov s depresiami alebo pacientov s myšlienkami na samovraždu alebo plánujúcich samovraždu.</w:t>
      </w:r>
    </w:p>
    <w:p w14:paraId="7D1F255A" w14:textId="77777777" w:rsidR="0060426F" w:rsidRDefault="0060426F" w:rsidP="0060426F">
      <w:pPr>
        <w:tabs>
          <w:tab w:val="left" w:pos="8505"/>
        </w:tabs>
        <w:spacing w:before="0"/>
        <w:ind w:right="566"/>
        <w:jc w:val="left"/>
        <w:outlineLvl w:val="0"/>
        <w:rPr>
          <w:color w:val="000000"/>
          <w:sz w:val="22"/>
          <w:szCs w:val="22"/>
          <w:lang w:val="sk-SK"/>
        </w:rPr>
      </w:pPr>
    </w:p>
    <w:p w14:paraId="2EE8F504" w14:textId="77777777" w:rsidR="0060426F" w:rsidRDefault="0060426F" w:rsidP="0060426F">
      <w:pPr>
        <w:tabs>
          <w:tab w:val="left" w:pos="8505"/>
        </w:tabs>
        <w:spacing w:before="0"/>
        <w:ind w:right="566"/>
        <w:jc w:val="left"/>
        <w:outlineLvl w:val="0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U pacientov s depresívnou poruchou alebo s úzkosťou sprevádzanou depresiou, nesmú byť k liečbe depresie samostatne predpísané benzodiazepíny alebo lieky pôsobiace tak isto, ako benzodiazepíny, pretože môžu urýchliť alebo zvýšiť riziko samovraždy. Preto musí byť alprazolam užívaný s opatrnosťou a rozsah jeho predpisovania u pacientov s príznakmi depresívnej poruchy alebo so samovražednými sklonmi má byť minimálny.</w:t>
      </w:r>
    </w:p>
    <w:p w14:paraId="3A0C7617" w14:textId="77777777" w:rsidR="00623471" w:rsidRDefault="00623471" w:rsidP="0060426F">
      <w:pPr>
        <w:tabs>
          <w:tab w:val="left" w:pos="8505"/>
        </w:tabs>
        <w:spacing w:before="0"/>
        <w:ind w:right="566"/>
        <w:jc w:val="left"/>
        <w:outlineLvl w:val="0"/>
        <w:rPr>
          <w:color w:val="000000"/>
          <w:sz w:val="22"/>
          <w:szCs w:val="22"/>
          <w:lang w:val="sk-SK"/>
        </w:rPr>
      </w:pPr>
    </w:p>
    <w:p w14:paraId="0B1B2FD1" w14:textId="77777777" w:rsidR="00623471" w:rsidRDefault="00623471" w:rsidP="00623471">
      <w:pPr>
        <w:tabs>
          <w:tab w:val="left" w:pos="8505"/>
        </w:tabs>
        <w:spacing w:before="0"/>
        <w:ind w:right="566"/>
        <w:jc w:val="left"/>
        <w:outlineLvl w:val="0"/>
        <w:rPr>
          <w:color w:val="000000"/>
          <w:sz w:val="22"/>
          <w:szCs w:val="22"/>
          <w:lang w:val="sk-SK"/>
        </w:rPr>
      </w:pPr>
      <w:r w:rsidRPr="00B70F9C">
        <w:rPr>
          <w:color w:val="000000"/>
          <w:sz w:val="22"/>
          <w:szCs w:val="22"/>
          <w:lang w:val="sk-SK"/>
        </w:rPr>
        <w:t>Zvláštna opatrnosť je potrebná pri predpisovaní benzodiazepínov pacientom s</w:t>
      </w:r>
      <w:r w:rsidRPr="006C1F11">
        <w:rPr>
          <w:color w:val="000000"/>
          <w:sz w:val="22"/>
          <w:szCs w:val="22"/>
          <w:lang w:val="sk-SK"/>
        </w:rPr>
        <w:t> </w:t>
      </w:r>
      <w:r w:rsidRPr="00B70F9C">
        <w:rPr>
          <w:color w:val="000000"/>
          <w:sz w:val="22"/>
          <w:szCs w:val="22"/>
          <w:lang w:val="sk-SK"/>
        </w:rPr>
        <w:t>alkohol</w:t>
      </w:r>
      <w:r w:rsidRPr="006C1F11">
        <w:rPr>
          <w:color w:val="000000"/>
          <w:sz w:val="22"/>
          <w:szCs w:val="22"/>
          <w:lang w:val="sk-SK"/>
        </w:rPr>
        <w:t xml:space="preserve">ovou </w:t>
      </w:r>
      <w:r w:rsidRPr="00B70F9C">
        <w:rPr>
          <w:color w:val="000000"/>
          <w:sz w:val="22"/>
          <w:szCs w:val="22"/>
          <w:lang w:val="sk-SK"/>
        </w:rPr>
        <w:t xml:space="preserve"> alebo </w:t>
      </w:r>
      <w:r w:rsidRPr="006C1F11">
        <w:rPr>
          <w:color w:val="000000"/>
          <w:sz w:val="22"/>
          <w:szCs w:val="22"/>
          <w:lang w:val="sk-SK"/>
        </w:rPr>
        <w:t>drogovou závislosťou v anamnéze</w:t>
      </w:r>
      <w:r w:rsidRPr="00B70F9C">
        <w:rPr>
          <w:color w:val="000000"/>
          <w:sz w:val="22"/>
          <w:szCs w:val="22"/>
          <w:lang w:val="sk-SK"/>
        </w:rPr>
        <w:t xml:space="preserve"> (pozri časť 4.5).</w:t>
      </w:r>
    </w:p>
    <w:p w14:paraId="2D062823" w14:textId="77777777" w:rsidR="00623471" w:rsidRDefault="00623471" w:rsidP="00623471">
      <w:pPr>
        <w:tabs>
          <w:tab w:val="left" w:pos="8505"/>
        </w:tabs>
        <w:spacing w:before="0"/>
        <w:ind w:right="566"/>
        <w:jc w:val="left"/>
        <w:outlineLvl w:val="0"/>
        <w:rPr>
          <w:color w:val="000000"/>
          <w:sz w:val="22"/>
          <w:szCs w:val="22"/>
          <w:lang w:val="sk-SK"/>
        </w:rPr>
      </w:pPr>
    </w:p>
    <w:p w14:paraId="603E9DEE" w14:textId="77777777" w:rsidR="00623471" w:rsidRPr="0058719F" w:rsidRDefault="00623471" w:rsidP="00623471">
      <w:pPr>
        <w:tabs>
          <w:tab w:val="left" w:pos="8505"/>
        </w:tabs>
        <w:spacing w:before="0"/>
        <w:ind w:right="566"/>
        <w:jc w:val="left"/>
        <w:rPr>
          <w:i/>
          <w:color w:val="000000"/>
          <w:sz w:val="22"/>
          <w:szCs w:val="22"/>
          <w:lang w:val="sk-SK"/>
        </w:rPr>
      </w:pPr>
      <w:r w:rsidRPr="0058719F">
        <w:rPr>
          <w:i/>
          <w:color w:val="000000"/>
          <w:sz w:val="22"/>
          <w:szCs w:val="22"/>
          <w:lang w:val="sk-SK"/>
        </w:rPr>
        <w:t>Tolerancia</w:t>
      </w:r>
    </w:p>
    <w:p w14:paraId="5D3D9DC8" w14:textId="77777777" w:rsidR="00623471" w:rsidRDefault="00623471" w:rsidP="0060426F">
      <w:pPr>
        <w:tabs>
          <w:tab w:val="left" w:pos="8505"/>
        </w:tabs>
        <w:spacing w:before="0"/>
        <w:ind w:right="566"/>
        <w:jc w:val="left"/>
        <w:outlineLvl w:val="0"/>
        <w:rPr>
          <w:color w:val="000000"/>
          <w:sz w:val="22"/>
          <w:szCs w:val="22"/>
          <w:lang w:val="sk-SK"/>
        </w:rPr>
      </w:pPr>
      <w:r w:rsidRPr="0058719F">
        <w:rPr>
          <w:color w:val="000000"/>
          <w:sz w:val="22"/>
          <w:szCs w:val="22"/>
          <w:lang w:val="sk-SK"/>
        </w:rPr>
        <w:t>Po opakovanom užívaní počas niekoľkých týždňov môže dôjsť k určitému oslabeniu účinnosti hypnotického pôsobenia benzodiazepínov.</w:t>
      </w:r>
    </w:p>
    <w:p w14:paraId="26D112B7" w14:textId="77777777" w:rsidR="0060426F" w:rsidRPr="00923694" w:rsidRDefault="0060426F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3DC7BABE" w14:textId="77777777" w:rsidR="00D038E5" w:rsidRPr="001E553E" w:rsidRDefault="00D038E5" w:rsidP="0060426F">
      <w:pPr>
        <w:tabs>
          <w:tab w:val="left" w:pos="8505"/>
        </w:tabs>
        <w:spacing w:before="0"/>
        <w:ind w:right="566"/>
        <w:jc w:val="left"/>
        <w:rPr>
          <w:i/>
          <w:color w:val="000000"/>
          <w:sz w:val="22"/>
          <w:szCs w:val="22"/>
          <w:lang w:val="sk-SK"/>
        </w:rPr>
      </w:pPr>
      <w:r w:rsidRPr="001E553E">
        <w:rPr>
          <w:i/>
          <w:color w:val="000000"/>
          <w:sz w:val="22"/>
          <w:szCs w:val="22"/>
          <w:lang w:val="sk-SK"/>
        </w:rPr>
        <w:t xml:space="preserve">Závislosť </w:t>
      </w:r>
    </w:p>
    <w:p w14:paraId="3253D0B5" w14:textId="2EB46769" w:rsidR="00AA4D76" w:rsidRDefault="00D038E5" w:rsidP="005E7891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AB6209">
        <w:rPr>
          <w:color w:val="000000"/>
          <w:sz w:val="22"/>
          <w:szCs w:val="22"/>
          <w:lang w:val="sk-SK"/>
        </w:rPr>
        <w:t>Užívanie</w:t>
      </w:r>
      <w:r w:rsidR="00FC27E0" w:rsidRPr="00AB6209">
        <w:rPr>
          <w:color w:val="000000"/>
          <w:sz w:val="22"/>
          <w:szCs w:val="22"/>
          <w:lang w:val="sk-SK"/>
        </w:rPr>
        <w:t xml:space="preserve"> benzodiazepínov</w:t>
      </w:r>
      <w:r w:rsidRPr="00AB6209">
        <w:rPr>
          <w:color w:val="000000"/>
          <w:sz w:val="22"/>
          <w:szCs w:val="22"/>
          <w:lang w:val="sk-SK"/>
        </w:rPr>
        <w:t xml:space="preserve"> môže vyvolať fyzickú a psychickú závislosť na týchto liekoch. Riziko závislosti sa zvyšuje s dávkou a trvaním liečby</w:t>
      </w:r>
      <w:r w:rsidR="0060426F">
        <w:rPr>
          <w:color w:val="000000"/>
          <w:sz w:val="22"/>
          <w:szCs w:val="22"/>
          <w:lang w:val="sk-SK"/>
        </w:rPr>
        <w:t>;</w:t>
      </w:r>
      <w:r w:rsidRPr="0060426F">
        <w:rPr>
          <w:color w:val="000000"/>
          <w:sz w:val="22"/>
          <w:szCs w:val="22"/>
          <w:lang w:val="sk-SK"/>
        </w:rPr>
        <w:t xml:space="preserve"> je vyšši</w:t>
      </w:r>
      <w:r w:rsidR="00AA4D76">
        <w:rPr>
          <w:color w:val="000000"/>
          <w:sz w:val="22"/>
          <w:szCs w:val="22"/>
          <w:lang w:val="sk-SK"/>
        </w:rPr>
        <w:t>a</w:t>
      </w:r>
      <w:r w:rsidRPr="0060426F">
        <w:rPr>
          <w:color w:val="000000"/>
          <w:sz w:val="22"/>
          <w:szCs w:val="22"/>
          <w:lang w:val="sk-SK"/>
        </w:rPr>
        <w:t xml:space="preserve"> u pacientov s drogovou závislosťou a alkoholizmom v anamnéze. </w:t>
      </w:r>
    </w:p>
    <w:p w14:paraId="547A86BF" w14:textId="77777777" w:rsidR="00D038E5" w:rsidRDefault="00D038E5" w:rsidP="005E7891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60426F">
        <w:rPr>
          <w:color w:val="000000"/>
          <w:sz w:val="22"/>
          <w:szCs w:val="22"/>
          <w:lang w:val="sk-SK"/>
        </w:rPr>
        <w:t xml:space="preserve">Lieková závislosť môže vzniknúť </w:t>
      </w:r>
      <w:r w:rsidR="0060426F">
        <w:rPr>
          <w:color w:val="000000"/>
          <w:sz w:val="22"/>
          <w:szCs w:val="22"/>
          <w:lang w:val="sk-SK"/>
        </w:rPr>
        <w:t xml:space="preserve">i </w:t>
      </w:r>
      <w:r w:rsidRPr="0060426F">
        <w:rPr>
          <w:color w:val="000000"/>
          <w:sz w:val="22"/>
          <w:szCs w:val="22"/>
          <w:lang w:val="sk-SK"/>
        </w:rPr>
        <w:t xml:space="preserve">pri </w:t>
      </w:r>
      <w:r w:rsidR="0060426F">
        <w:rPr>
          <w:color w:val="000000"/>
          <w:sz w:val="22"/>
          <w:szCs w:val="22"/>
          <w:lang w:val="sk-SK"/>
        </w:rPr>
        <w:t>odporúčaných</w:t>
      </w:r>
      <w:r w:rsidRPr="0060426F">
        <w:rPr>
          <w:color w:val="000000"/>
          <w:sz w:val="22"/>
          <w:szCs w:val="22"/>
          <w:lang w:val="sk-SK"/>
        </w:rPr>
        <w:t xml:space="preserve"> dávkach a/alebo u pacientov bez rizikových faktorov. Zvýšené riziko </w:t>
      </w:r>
      <w:r w:rsidRPr="005E7891">
        <w:rPr>
          <w:color w:val="000000"/>
          <w:sz w:val="22"/>
          <w:szCs w:val="22"/>
          <w:lang w:val="sk-SK"/>
        </w:rPr>
        <w:t>liekovej závislosti</w:t>
      </w:r>
      <w:r w:rsidR="005E7891" w:rsidRPr="005E7891">
        <w:rPr>
          <w:color w:val="000000"/>
          <w:sz w:val="22"/>
          <w:szCs w:val="22"/>
          <w:lang w:val="sk-SK"/>
        </w:rPr>
        <w:t xml:space="preserve"> </w:t>
      </w:r>
      <w:r w:rsidR="005E7891">
        <w:rPr>
          <w:color w:val="000000"/>
          <w:sz w:val="22"/>
          <w:szCs w:val="22"/>
          <w:lang w:val="sk-SK"/>
        </w:rPr>
        <w:t>sa prejavuje i</w:t>
      </w:r>
      <w:r w:rsidRPr="005E7891">
        <w:rPr>
          <w:color w:val="000000"/>
          <w:sz w:val="22"/>
          <w:szCs w:val="22"/>
          <w:lang w:val="sk-SK"/>
        </w:rPr>
        <w:t xml:space="preserve"> pri kombinovan</w:t>
      </w:r>
      <w:r w:rsidR="005E7891">
        <w:rPr>
          <w:color w:val="000000"/>
          <w:sz w:val="22"/>
          <w:szCs w:val="22"/>
          <w:lang w:val="sk-SK"/>
        </w:rPr>
        <w:t>ej liečbe</w:t>
      </w:r>
      <w:r w:rsidRPr="005E7891">
        <w:rPr>
          <w:color w:val="000000"/>
          <w:sz w:val="22"/>
          <w:szCs w:val="22"/>
          <w:lang w:val="sk-SK"/>
        </w:rPr>
        <w:t xml:space="preserve"> </w:t>
      </w:r>
      <w:r w:rsidR="005E7891">
        <w:rPr>
          <w:color w:val="000000"/>
          <w:sz w:val="22"/>
          <w:szCs w:val="22"/>
          <w:lang w:val="sk-SK"/>
        </w:rPr>
        <w:t>viacerými</w:t>
      </w:r>
      <w:r w:rsidRPr="005E7891">
        <w:rPr>
          <w:color w:val="000000"/>
          <w:sz w:val="22"/>
          <w:szCs w:val="22"/>
          <w:lang w:val="sk-SK"/>
        </w:rPr>
        <w:t xml:space="preserve"> benzodiazepín</w:t>
      </w:r>
      <w:r w:rsidR="005E7891">
        <w:rPr>
          <w:color w:val="000000"/>
          <w:sz w:val="22"/>
          <w:szCs w:val="22"/>
          <w:lang w:val="sk-SK"/>
        </w:rPr>
        <w:t>mi</w:t>
      </w:r>
      <w:r w:rsidRPr="005E7891">
        <w:rPr>
          <w:color w:val="000000"/>
          <w:sz w:val="22"/>
          <w:szCs w:val="22"/>
          <w:lang w:val="sk-SK"/>
        </w:rPr>
        <w:t xml:space="preserve"> bez ohľadu na anxiolytickú alebo hypnotickú indikáciu. Boli hlásené taktiež prípady zneužívania.</w:t>
      </w:r>
    </w:p>
    <w:p w14:paraId="7B9022CD" w14:textId="77777777" w:rsidR="005E7891" w:rsidRDefault="005E7891" w:rsidP="00FF70E0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6394155F" w14:textId="02954FF5" w:rsidR="005E7891" w:rsidRPr="005E7891" w:rsidRDefault="005E7891" w:rsidP="005E7891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FF70E0">
        <w:rPr>
          <w:i/>
          <w:color w:val="000000"/>
          <w:sz w:val="22"/>
          <w:lang w:val="sk-SK"/>
        </w:rPr>
        <w:t xml:space="preserve">Príznaky </w:t>
      </w:r>
      <w:r>
        <w:rPr>
          <w:i/>
          <w:color w:val="000000"/>
          <w:sz w:val="22"/>
          <w:szCs w:val="22"/>
          <w:lang w:val="sk-SK"/>
        </w:rPr>
        <w:t>z vysadenia</w:t>
      </w:r>
    </w:p>
    <w:p w14:paraId="4304C3F0" w14:textId="77777777" w:rsidR="00D038E5" w:rsidRDefault="00D038E5" w:rsidP="005E7891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5E7891">
        <w:rPr>
          <w:color w:val="000000"/>
          <w:sz w:val="22"/>
          <w:szCs w:val="22"/>
          <w:lang w:val="sk-SK"/>
        </w:rPr>
        <w:t xml:space="preserve">Ak vznikne fyzická závislosť, náhle ukončenie liečby </w:t>
      </w:r>
      <w:r w:rsidR="005E7891">
        <w:rPr>
          <w:color w:val="000000"/>
          <w:sz w:val="22"/>
          <w:szCs w:val="22"/>
          <w:lang w:val="sk-SK"/>
        </w:rPr>
        <w:t>môže vyvolať</w:t>
      </w:r>
      <w:r w:rsidRPr="005E7891">
        <w:rPr>
          <w:color w:val="000000"/>
          <w:sz w:val="22"/>
          <w:szCs w:val="22"/>
          <w:lang w:val="sk-SK"/>
        </w:rPr>
        <w:t xml:space="preserve"> abstinenčn</w:t>
      </w:r>
      <w:r w:rsidR="005E7891">
        <w:rPr>
          <w:color w:val="000000"/>
          <w:sz w:val="22"/>
          <w:szCs w:val="22"/>
          <w:lang w:val="sk-SK"/>
        </w:rPr>
        <w:t>é</w:t>
      </w:r>
      <w:r w:rsidRPr="005E7891">
        <w:rPr>
          <w:color w:val="000000"/>
          <w:sz w:val="22"/>
          <w:szCs w:val="22"/>
          <w:lang w:val="sk-SK"/>
        </w:rPr>
        <w:t xml:space="preserve"> príznak</w:t>
      </w:r>
      <w:r w:rsidR="005E7891">
        <w:rPr>
          <w:color w:val="000000"/>
          <w:sz w:val="22"/>
          <w:szCs w:val="22"/>
          <w:lang w:val="sk-SK"/>
        </w:rPr>
        <w:t>y</w:t>
      </w:r>
      <w:r w:rsidRPr="005E7891">
        <w:rPr>
          <w:color w:val="000000"/>
          <w:sz w:val="22"/>
          <w:szCs w:val="22"/>
          <w:lang w:val="sk-SK"/>
        </w:rPr>
        <w:t>. Tie sa môžu prejaviť bolesťami hlavy, bolesťami svalov, extrémnou úzkosťou, napätím, nepokojom, zmätenosťou a podráždenosťou. V závažných prípadoch sa môžu vyskytnúť</w:t>
      </w:r>
      <w:r w:rsidR="005E7891">
        <w:rPr>
          <w:color w:val="000000"/>
          <w:sz w:val="22"/>
          <w:szCs w:val="22"/>
          <w:lang w:val="sk-SK"/>
        </w:rPr>
        <w:t xml:space="preserve"> i</w:t>
      </w:r>
      <w:r w:rsidRPr="005E7891">
        <w:rPr>
          <w:color w:val="000000"/>
          <w:sz w:val="22"/>
          <w:szCs w:val="22"/>
          <w:lang w:val="sk-SK"/>
        </w:rPr>
        <w:t xml:space="preserve"> nasledujúce príznaky: derealizácia, depersonalizácia, hyperakúzia, necitlivosť a brnenie končatín, precitlivenosť na svetlo, hluk a fyzický kontakt, halucinácie alebo epileptick</w:t>
      </w:r>
      <w:r w:rsidR="005E7891">
        <w:rPr>
          <w:color w:val="000000"/>
          <w:sz w:val="22"/>
          <w:szCs w:val="22"/>
          <w:lang w:val="sk-SK"/>
        </w:rPr>
        <w:t>ý</w:t>
      </w:r>
      <w:r w:rsidRPr="005E7891">
        <w:rPr>
          <w:color w:val="000000"/>
          <w:sz w:val="22"/>
          <w:szCs w:val="22"/>
          <w:lang w:val="sk-SK"/>
        </w:rPr>
        <w:t xml:space="preserve"> záchvat.</w:t>
      </w:r>
    </w:p>
    <w:p w14:paraId="28DDB3A4" w14:textId="77777777" w:rsidR="005E7891" w:rsidRDefault="005E7891" w:rsidP="005E7891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5C41722B" w14:textId="77777777" w:rsidR="00AA4D76" w:rsidRPr="00FF70E0" w:rsidRDefault="00AA4D76" w:rsidP="00AA4D76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FF70E0">
        <w:rPr>
          <w:color w:val="000000"/>
          <w:sz w:val="22"/>
          <w:szCs w:val="22"/>
          <w:lang w:val="sk-SK"/>
        </w:rPr>
        <w:t xml:space="preserve">Zdá sa, že v prípade benzodiazepínov s okamžitým účinkom, sa môžu príznaky z vysadenia prejaviť v rámci dávkovacieho intervalu, zvlášť pri vysokom dávkovaní. </w:t>
      </w:r>
    </w:p>
    <w:p w14:paraId="55C5C26C" w14:textId="77777777" w:rsidR="00AA4D76" w:rsidRPr="00FF70E0" w:rsidRDefault="00AA4D76" w:rsidP="00AA4D76">
      <w:pPr>
        <w:tabs>
          <w:tab w:val="left" w:pos="8505"/>
        </w:tabs>
        <w:spacing w:before="0"/>
        <w:ind w:right="566" w:firstLine="709"/>
        <w:jc w:val="left"/>
        <w:rPr>
          <w:color w:val="000000"/>
          <w:sz w:val="22"/>
          <w:szCs w:val="22"/>
          <w:lang w:val="sk-SK"/>
        </w:rPr>
      </w:pPr>
    </w:p>
    <w:p w14:paraId="1EC08B2B" w14:textId="03855E92" w:rsidR="00AA4D76" w:rsidRPr="00FF70E0" w:rsidRDefault="00AA4D76" w:rsidP="00AA4D76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FF70E0">
        <w:rPr>
          <w:color w:val="000000"/>
          <w:sz w:val="22"/>
          <w:szCs w:val="22"/>
          <w:lang w:val="sk-SK"/>
        </w:rPr>
        <w:t>Pri použití benzodiazepínov s predĺženým uvoľňovaním</w:t>
      </w:r>
      <w:r w:rsidRPr="00FF70E0">
        <w:rPr>
          <w:color w:val="000000"/>
          <w:sz w:val="22"/>
          <w:lang w:val="sk-SK"/>
        </w:rPr>
        <w:t xml:space="preserve"> je nutné </w:t>
      </w:r>
      <w:r w:rsidRPr="00FF70E0">
        <w:rPr>
          <w:color w:val="000000"/>
          <w:sz w:val="22"/>
          <w:szCs w:val="22"/>
          <w:lang w:val="sk-SK"/>
        </w:rPr>
        <w:t>vyvarovať sa výmeny za benzodiazepíny s okamžitým uvoľňovaním</w:t>
      </w:r>
      <w:r w:rsidRPr="00FF70E0">
        <w:rPr>
          <w:color w:val="000000"/>
          <w:sz w:val="22"/>
          <w:lang w:val="sk-SK"/>
        </w:rPr>
        <w:t xml:space="preserve">, pretože </w:t>
      </w:r>
      <w:r w:rsidRPr="00FF70E0">
        <w:rPr>
          <w:color w:val="000000"/>
          <w:sz w:val="22"/>
          <w:szCs w:val="22"/>
          <w:lang w:val="sk-SK"/>
        </w:rPr>
        <w:t>sa môžu vyskytnúť príznaky z vysadenia.</w:t>
      </w:r>
    </w:p>
    <w:p w14:paraId="5BA7B39B" w14:textId="77777777" w:rsidR="00AA4D76" w:rsidRPr="00FF70E0" w:rsidRDefault="00AA4D76" w:rsidP="005E7891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4BA229FC" w14:textId="28AA95B6" w:rsidR="005E7891" w:rsidRDefault="005E7891" w:rsidP="005E7891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FF70E0">
        <w:rPr>
          <w:i/>
          <w:color w:val="000000"/>
          <w:sz w:val="22"/>
          <w:szCs w:val="22"/>
          <w:lang w:val="sk-SK"/>
        </w:rPr>
        <w:t>Rebound</w:t>
      </w:r>
      <w:r w:rsidR="00AA4D76" w:rsidRPr="00FF70E0">
        <w:rPr>
          <w:i/>
          <w:color w:val="000000"/>
          <w:sz w:val="22"/>
          <w:szCs w:val="22"/>
          <w:lang w:val="sk-SK"/>
        </w:rPr>
        <w:t xml:space="preserve"> fenomén</w:t>
      </w:r>
    </w:p>
    <w:p w14:paraId="273178DF" w14:textId="2E89C262" w:rsidR="00D038E5" w:rsidRDefault="00AA4D76" w:rsidP="005E7891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Ide</w:t>
      </w:r>
      <w:r w:rsidR="005E7891">
        <w:rPr>
          <w:color w:val="000000"/>
          <w:sz w:val="22"/>
          <w:szCs w:val="22"/>
          <w:lang w:val="sk-SK"/>
        </w:rPr>
        <w:t xml:space="preserve"> o</w:t>
      </w:r>
      <w:r>
        <w:rPr>
          <w:color w:val="000000"/>
          <w:sz w:val="22"/>
          <w:szCs w:val="22"/>
          <w:lang w:val="sk-SK"/>
        </w:rPr>
        <w:t xml:space="preserve"> </w:t>
      </w:r>
      <w:r w:rsidR="00D038E5" w:rsidRPr="005E7891">
        <w:rPr>
          <w:color w:val="000000"/>
          <w:sz w:val="22"/>
          <w:szCs w:val="22"/>
          <w:lang w:val="sk-SK"/>
        </w:rPr>
        <w:t>prechodný syndróm</w:t>
      </w:r>
      <w:r w:rsidR="005E7891">
        <w:rPr>
          <w:color w:val="000000"/>
          <w:sz w:val="22"/>
          <w:szCs w:val="22"/>
          <w:lang w:val="sk-SK"/>
        </w:rPr>
        <w:t xml:space="preserve"> po ukončení liečby</w:t>
      </w:r>
      <w:r w:rsidR="00D038E5" w:rsidRPr="005E7891">
        <w:rPr>
          <w:color w:val="000000"/>
          <w:sz w:val="22"/>
          <w:szCs w:val="22"/>
          <w:lang w:val="sk-SK"/>
        </w:rPr>
        <w:t xml:space="preserve">, kedy sa symptómy, ktoré boli dôvodom na liečbu benzodiazepínmi, </w:t>
      </w:r>
      <w:r w:rsidR="005E7891">
        <w:rPr>
          <w:color w:val="000000"/>
          <w:sz w:val="22"/>
          <w:szCs w:val="22"/>
          <w:lang w:val="sk-SK"/>
        </w:rPr>
        <w:t xml:space="preserve">môžu </w:t>
      </w:r>
      <w:r w:rsidR="00D038E5" w:rsidRPr="005E7891">
        <w:rPr>
          <w:color w:val="000000"/>
          <w:sz w:val="22"/>
          <w:szCs w:val="22"/>
          <w:lang w:val="sk-SK"/>
        </w:rPr>
        <w:t>objav</w:t>
      </w:r>
      <w:r w:rsidR="005E7891">
        <w:rPr>
          <w:color w:val="000000"/>
          <w:sz w:val="22"/>
          <w:szCs w:val="22"/>
          <w:lang w:val="sk-SK"/>
        </w:rPr>
        <w:t>iť v závažnej podobe</w:t>
      </w:r>
      <w:r w:rsidR="00D038E5" w:rsidRPr="005E7891">
        <w:rPr>
          <w:color w:val="000000"/>
          <w:sz w:val="22"/>
          <w:szCs w:val="22"/>
          <w:lang w:val="sk-SK"/>
        </w:rPr>
        <w:t>. Môž</w:t>
      </w:r>
      <w:r w:rsidR="005E7891">
        <w:rPr>
          <w:color w:val="000000"/>
          <w:sz w:val="22"/>
          <w:szCs w:val="22"/>
          <w:lang w:val="sk-SK"/>
        </w:rPr>
        <w:t>u</w:t>
      </w:r>
      <w:r w:rsidR="00D038E5" w:rsidRPr="005E7891">
        <w:rPr>
          <w:color w:val="000000"/>
          <w:sz w:val="22"/>
          <w:szCs w:val="22"/>
          <w:lang w:val="sk-SK"/>
        </w:rPr>
        <w:t xml:space="preserve"> byť sprevádzan</w:t>
      </w:r>
      <w:r w:rsidR="005E7891">
        <w:rPr>
          <w:color w:val="000000"/>
          <w:sz w:val="22"/>
          <w:szCs w:val="22"/>
          <w:lang w:val="sk-SK"/>
        </w:rPr>
        <w:t>é inými</w:t>
      </w:r>
      <w:r w:rsidR="00D038E5" w:rsidRPr="005E7891">
        <w:rPr>
          <w:color w:val="000000"/>
          <w:sz w:val="22"/>
          <w:szCs w:val="22"/>
          <w:lang w:val="sk-SK"/>
        </w:rPr>
        <w:t xml:space="preserve"> reakciami </w:t>
      </w:r>
      <w:r w:rsidR="005E7891">
        <w:rPr>
          <w:color w:val="000000"/>
          <w:sz w:val="22"/>
          <w:szCs w:val="22"/>
          <w:lang w:val="sk-SK"/>
        </w:rPr>
        <w:t>zahŕňajúcimi</w:t>
      </w:r>
      <w:r w:rsidR="00D038E5" w:rsidRPr="005E7891">
        <w:rPr>
          <w:color w:val="000000"/>
          <w:sz w:val="22"/>
          <w:szCs w:val="22"/>
          <w:lang w:val="sk-SK"/>
        </w:rPr>
        <w:t xml:space="preserve"> zmeny nálad, úzkos</w:t>
      </w:r>
      <w:r w:rsidR="005E7891">
        <w:rPr>
          <w:color w:val="000000"/>
          <w:sz w:val="22"/>
          <w:szCs w:val="22"/>
          <w:lang w:val="sk-SK"/>
        </w:rPr>
        <w:t>ť</w:t>
      </w:r>
      <w:r w:rsidR="00D038E5" w:rsidRPr="005E7891">
        <w:rPr>
          <w:color w:val="000000"/>
          <w:sz w:val="22"/>
          <w:szCs w:val="22"/>
          <w:lang w:val="sk-SK"/>
        </w:rPr>
        <w:t xml:space="preserve"> alebo poruchy spánku a nepokoj. Vzhľadom k tomu, že </w:t>
      </w:r>
      <w:r w:rsidR="00D038E5" w:rsidRPr="005E7891">
        <w:rPr>
          <w:color w:val="000000"/>
          <w:sz w:val="22"/>
          <w:szCs w:val="22"/>
          <w:lang w:val="sk-SK"/>
        </w:rPr>
        <w:lastRenderedPageBreak/>
        <w:t>riziko abstinenčných príznakov/rebound fenoménu je väčšie po náhlom prerušení liečby, odporúča sa, aby sa dávkovanie znižovalo postupne.</w:t>
      </w:r>
    </w:p>
    <w:p w14:paraId="2FF6D210" w14:textId="77777777" w:rsidR="005E7891" w:rsidRPr="005E7891" w:rsidRDefault="005E7891" w:rsidP="005E7891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2AE57B7E" w14:textId="77777777" w:rsidR="00D038E5" w:rsidRPr="001E553E" w:rsidRDefault="00D038E5" w:rsidP="001E553E">
      <w:pPr>
        <w:tabs>
          <w:tab w:val="left" w:pos="8505"/>
        </w:tabs>
        <w:spacing w:before="0"/>
        <w:ind w:right="566"/>
        <w:jc w:val="left"/>
        <w:rPr>
          <w:i/>
          <w:color w:val="000000"/>
          <w:sz w:val="22"/>
          <w:szCs w:val="22"/>
          <w:lang w:val="sk-SK"/>
        </w:rPr>
      </w:pPr>
      <w:r w:rsidRPr="001E553E">
        <w:rPr>
          <w:i/>
          <w:color w:val="000000"/>
          <w:sz w:val="22"/>
          <w:szCs w:val="22"/>
          <w:lang w:val="sk-SK"/>
        </w:rPr>
        <w:t>Amnézia</w:t>
      </w:r>
    </w:p>
    <w:p w14:paraId="40BF55C8" w14:textId="77777777" w:rsidR="00D038E5" w:rsidRPr="00AB6209" w:rsidRDefault="00D038E5" w:rsidP="00AB6209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AB6209">
        <w:rPr>
          <w:color w:val="000000"/>
          <w:sz w:val="22"/>
          <w:szCs w:val="22"/>
          <w:lang w:val="sk-SK"/>
        </w:rPr>
        <w:t>Benzodiazepíny môžu vyvolať anterográdnu amnéziu. Najčastejšie k nej dochádza niekoľko hodín po užití lieku.</w:t>
      </w:r>
    </w:p>
    <w:p w14:paraId="074ABEAA" w14:textId="77777777" w:rsidR="00D038E5" w:rsidRPr="00AB6209" w:rsidRDefault="00D038E5" w:rsidP="00AB6209">
      <w:pPr>
        <w:tabs>
          <w:tab w:val="left" w:pos="8505"/>
        </w:tabs>
        <w:spacing w:before="0"/>
        <w:ind w:right="566"/>
        <w:jc w:val="left"/>
        <w:outlineLvl w:val="0"/>
        <w:rPr>
          <w:color w:val="000000"/>
          <w:sz w:val="22"/>
          <w:szCs w:val="22"/>
          <w:lang w:val="sk-SK"/>
        </w:rPr>
      </w:pPr>
    </w:p>
    <w:p w14:paraId="59812D8A" w14:textId="77777777" w:rsidR="00D038E5" w:rsidRPr="008B6A9D" w:rsidRDefault="00D038E5" w:rsidP="00AB6209">
      <w:pPr>
        <w:tabs>
          <w:tab w:val="left" w:pos="8505"/>
        </w:tabs>
        <w:spacing w:before="0"/>
        <w:ind w:right="566"/>
        <w:jc w:val="left"/>
        <w:rPr>
          <w:i/>
          <w:color w:val="000000"/>
          <w:sz w:val="22"/>
          <w:szCs w:val="22"/>
          <w:lang w:val="sk-SK"/>
        </w:rPr>
      </w:pPr>
      <w:r w:rsidRPr="00AB6209">
        <w:rPr>
          <w:i/>
          <w:color w:val="000000"/>
          <w:sz w:val="22"/>
          <w:szCs w:val="22"/>
          <w:lang w:val="sk-SK"/>
        </w:rPr>
        <w:t>Psychické a paradoxné reak</w:t>
      </w:r>
      <w:r w:rsidRPr="008B6A9D">
        <w:rPr>
          <w:i/>
          <w:color w:val="000000"/>
          <w:sz w:val="22"/>
          <w:szCs w:val="22"/>
          <w:lang w:val="sk-SK"/>
        </w:rPr>
        <w:t>cie</w:t>
      </w:r>
    </w:p>
    <w:p w14:paraId="4BBCE04C" w14:textId="77777777" w:rsidR="00D038E5" w:rsidRPr="005E7891" w:rsidRDefault="00D038E5" w:rsidP="008B6A9D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8B6A9D">
        <w:rPr>
          <w:color w:val="000000"/>
          <w:sz w:val="22"/>
          <w:szCs w:val="22"/>
          <w:lang w:val="sk-SK"/>
        </w:rPr>
        <w:t>Pri užívaní benzodiazepínov</w:t>
      </w:r>
      <w:r w:rsidR="005E7891" w:rsidRPr="005E7891">
        <w:rPr>
          <w:color w:val="000000"/>
          <w:sz w:val="22"/>
          <w:szCs w:val="22"/>
          <w:lang w:val="sk-SK"/>
        </w:rPr>
        <w:t xml:space="preserve"> </w:t>
      </w:r>
      <w:r w:rsidR="005E7891">
        <w:rPr>
          <w:color w:val="000000"/>
          <w:sz w:val="22"/>
          <w:szCs w:val="22"/>
          <w:lang w:val="sk-SK"/>
        </w:rPr>
        <w:t>boli zaznamenané nežiaduce účinky:</w:t>
      </w:r>
      <w:r w:rsidRPr="005E7891">
        <w:rPr>
          <w:color w:val="000000"/>
          <w:sz w:val="22"/>
          <w:szCs w:val="22"/>
          <w:lang w:val="sk-SK"/>
        </w:rPr>
        <w:t xml:space="preserve"> nepokoj, </w:t>
      </w:r>
      <w:r w:rsidR="005E7891">
        <w:rPr>
          <w:color w:val="000000"/>
          <w:sz w:val="22"/>
          <w:szCs w:val="22"/>
          <w:lang w:val="sk-SK"/>
        </w:rPr>
        <w:t>vzrušenosť</w:t>
      </w:r>
      <w:r w:rsidRPr="005E7891">
        <w:rPr>
          <w:color w:val="000000"/>
          <w:sz w:val="22"/>
          <w:szCs w:val="22"/>
          <w:lang w:val="sk-SK"/>
        </w:rPr>
        <w:t xml:space="preserve">, podráždenosť, agresivita, bludy, zúrivosť, nočné mory, halucinácie, psychózy, neprimerané správanie a ďalšie poruchy správania. Ak sa vyskytnú, užívanie lieku sa má </w:t>
      </w:r>
      <w:r w:rsidR="005E7891">
        <w:rPr>
          <w:color w:val="000000"/>
          <w:sz w:val="22"/>
          <w:szCs w:val="22"/>
          <w:lang w:val="sk-SK"/>
        </w:rPr>
        <w:t>ukončiť</w:t>
      </w:r>
      <w:r w:rsidRPr="005E7891">
        <w:rPr>
          <w:color w:val="000000"/>
          <w:sz w:val="22"/>
          <w:szCs w:val="22"/>
          <w:lang w:val="sk-SK"/>
        </w:rPr>
        <w:t xml:space="preserve">. </w:t>
      </w:r>
    </w:p>
    <w:p w14:paraId="27F5A34B" w14:textId="75F2FE0B" w:rsidR="00D038E5" w:rsidRDefault="00D038E5" w:rsidP="00E63AA1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1E553E">
        <w:rPr>
          <w:color w:val="000000"/>
          <w:sz w:val="22"/>
          <w:szCs w:val="22"/>
          <w:lang w:val="sk-SK"/>
        </w:rPr>
        <w:t>Ich výskyt je pravdepodobnejší u detí a starších osôb.</w:t>
      </w:r>
    </w:p>
    <w:p w14:paraId="15864C5D" w14:textId="77777777" w:rsidR="00623471" w:rsidRDefault="00623471" w:rsidP="00E63AA1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5C2C56A3" w14:textId="77777777" w:rsidR="00623471" w:rsidRPr="006F2B1F" w:rsidRDefault="00623471" w:rsidP="00623471">
      <w:pPr>
        <w:tabs>
          <w:tab w:val="left" w:pos="8505"/>
        </w:tabs>
        <w:spacing w:before="0"/>
        <w:ind w:right="566"/>
        <w:jc w:val="left"/>
        <w:outlineLvl w:val="0"/>
        <w:rPr>
          <w:i/>
          <w:color w:val="000000"/>
          <w:sz w:val="22"/>
          <w:szCs w:val="22"/>
          <w:lang w:val="sk-SK"/>
        </w:rPr>
      </w:pPr>
      <w:r w:rsidRPr="00D739E3">
        <w:rPr>
          <w:i/>
          <w:color w:val="000000"/>
          <w:sz w:val="22"/>
          <w:szCs w:val="22"/>
          <w:lang w:val="sk-SK"/>
        </w:rPr>
        <w:t>Pediatrická populácia</w:t>
      </w:r>
    </w:p>
    <w:p w14:paraId="2C0496AA" w14:textId="77777777" w:rsidR="00623471" w:rsidRDefault="00623471" w:rsidP="00623471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0F5919">
        <w:rPr>
          <w:color w:val="000000"/>
          <w:sz w:val="22"/>
          <w:szCs w:val="22"/>
          <w:lang w:val="sk-SK"/>
        </w:rPr>
        <w:t xml:space="preserve">Bezpečnosť a účinnosť alprazolamu nebola </w:t>
      </w:r>
      <w:r>
        <w:rPr>
          <w:color w:val="000000"/>
          <w:sz w:val="22"/>
          <w:szCs w:val="22"/>
          <w:lang w:val="sk-SK"/>
        </w:rPr>
        <w:t>zisťovaná</w:t>
      </w:r>
      <w:r w:rsidRPr="000F5919">
        <w:rPr>
          <w:color w:val="000000"/>
          <w:sz w:val="22"/>
          <w:szCs w:val="22"/>
          <w:lang w:val="sk-SK"/>
        </w:rPr>
        <w:t xml:space="preserve"> u detí a dospi</w:t>
      </w:r>
      <w:r w:rsidRPr="00A72559">
        <w:rPr>
          <w:color w:val="000000"/>
          <w:sz w:val="22"/>
          <w:szCs w:val="22"/>
          <w:lang w:val="sk-SK"/>
        </w:rPr>
        <w:t>evajúcich mladších ako 18 rokov</w:t>
      </w:r>
      <w:r>
        <w:rPr>
          <w:color w:val="000000"/>
          <w:sz w:val="22"/>
          <w:szCs w:val="22"/>
          <w:lang w:val="sk-SK"/>
        </w:rPr>
        <w:t>,</w:t>
      </w:r>
      <w:r w:rsidRPr="000F5919">
        <w:rPr>
          <w:color w:val="000000"/>
          <w:sz w:val="22"/>
          <w:szCs w:val="22"/>
          <w:lang w:val="sk-SK"/>
        </w:rPr>
        <w:t xml:space="preserve"> a preto sa užívanie alprazolamu pre túto vekovú kategóriu neodporúča.</w:t>
      </w:r>
    </w:p>
    <w:p w14:paraId="4714BD5E" w14:textId="77777777" w:rsidR="00623471" w:rsidRDefault="00623471" w:rsidP="00623471">
      <w:pPr>
        <w:tabs>
          <w:tab w:val="left" w:pos="8505"/>
        </w:tabs>
        <w:spacing w:before="0"/>
        <w:ind w:right="566"/>
        <w:jc w:val="left"/>
        <w:outlineLvl w:val="0"/>
        <w:rPr>
          <w:color w:val="000000"/>
          <w:sz w:val="22"/>
          <w:szCs w:val="22"/>
          <w:lang w:val="sk-SK"/>
        </w:rPr>
      </w:pPr>
    </w:p>
    <w:p w14:paraId="01B18F2D" w14:textId="77777777" w:rsidR="00623471" w:rsidRPr="006F2B1F" w:rsidRDefault="00623471" w:rsidP="00623471">
      <w:pPr>
        <w:tabs>
          <w:tab w:val="left" w:pos="8505"/>
        </w:tabs>
        <w:spacing w:before="0"/>
        <w:ind w:right="566"/>
        <w:jc w:val="left"/>
        <w:rPr>
          <w:i/>
          <w:color w:val="000000"/>
          <w:sz w:val="22"/>
          <w:szCs w:val="22"/>
          <w:lang w:val="sk-SK"/>
        </w:rPr>
      </w:pPr>
      <w:r w:rsidRPr="006F2B1F">
        <w:rPr>
          <w:i/>
          <w:color w:val="000000"/>
          <w:sz w:val="22"/>
          <w:szCs w:val="22"/>
          <w:lang w:val="sk-SK"/>
        </w:rPr>
        <w:t>Starší pacienti</w:t>
      </w:r>
    </w:p>
    <w:p w14:paraId="13CE6487" w14:textId="77777777" w:rsidR="00623471" w:rsidRPr="000E16B0" w:rsidRDefault="00623471" w:rsidP="00623471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D739E3">
        <w:rPr>
          <w:color w:val="000000"/>
          <w:sz w:val="22"/>
          <w:szCs w:val="22"/>
          <w:lang w:val="sk-SK"/>
        </w:rPr>
        <w:t>Benzodiazepíny a podobné lieky sa majú u starších osôb užívať s opatrnosťou z dôvodu rizika sedácie a/alebo muskuloskeletárnej slabosti, ktorá sa môže prejaviť pádmi, čo má pre túto populáciu často závažné následky.</w:t>
      </w:r>
    </w:p>
    <w:p w14:paraId="6FF344D7" w14:textId="1DADE59F" w:rsidR="00623471" w:rsidRPr="001E553E" w:rsidRDefault="00623471" w:rsidP="00FF70E0">
      <w:pPr>
        <w:tabs>
          <w:tab w:val="left" w:pos="8505"/>
        </w:tabs>
        <w:spacing w:before="0"/>
        <w:ind w:right="566"/>
        <w:jc w:val="left"/>
        <w:outlineLvl w:val="0"/>
        <w:rPr>
          <w:color w:val="000000"/>
          <w:sz w:val="22"/>
          <w:szCs w:val="22"/>
          <w:lang w:val="sk-SK"/>
        </w:rPr>
      </w:pPr>
      <w:r w:rsidRPr="00002F7C">
        <w:rPr>
          <w:color w:val="000000"/>
          <w:sz w:val="22"/>
          <w:szCs w:val="22"/>
          <w:lang w:val="sk-SK"/>
        </w:rPr>
        <w:t>Odporúča sa, aby bolo dodržiavané užívanie najnižšej účinnej dávky, najmä u starších a</w:t>
      </w:r>
      <w:r>
        <w:rPr>
          <w:color w:val="000000"/>
          <w:sz w:val="22"/>
          <w:szCs w:val="22"/>
          <w:lang w:val="sk-SK"/>
        </w:rPr>
        <w:t>/alebo</w:t>
      </w:r>
      <w:r w:rsidRPr="00002F7C">
        <w:rPr>
          <w:color w:val="000000"/>
          <w:sz w:val="22"/>
          <w:szCs w:val="22"/>
          <w:lang w:val="sk-SK"/>
        </w:rPr>
        <w:t xml:space="preserve"> oslabených paci</w:t>
      </w:r>
      <w:r w:rsidRPr="0084240E">
        <w:rPr>
          <w:color w:val="000000"/>
          <w:sz w:val="22"/>
          <w:szCs w:val="22"/>
          <w:lang w:val="sk-SK"/>
        </w:rPr>
        <w:t>entov, aby sa zabránilo vzniku</w:t>
      </w:r>
      <w:r w:rsidRPr="006F2B1F">
        <w:rPr>
          <w:color w:val="000000"/>
          <w:sz w:val="22"/>
          <w:szCs w:val="22"/>
          <w:lang w:val="sk-SK"/>
        </w:rPr>
        <w:t xml:space="preserve"> ataxie alebo nadmernej sedácie.</w:t>
      </w:r>
    </w:p>
    <w:p w14:paraId="62A4ECFB" w14:textId="334EC5F3" w:rsidR="00AA4D76" w:rsidRPr="00FD74F6" w:rsidRDefault="00AA4D76" w:rsidP="00AA4D76">
      <w:pPr>
        <w:tabs>
          <w:tab w:val="left" w:pos="8505"/>
        </w:tabs>
        <w:spacing w:before="0"/>
        <w:ind w:right="566"/>
        <w:jc w:val="left"/>
        <w:outlineLvl w:val="0"/>
        <w:rPr>
          <w:color w:val="000000"/>
          <w:sz w:val="22"/>
          <w:szCs w:val="22"/>
          <w:lang w:val="sk-SK"/>
        </w:rPr>
      </w:pPr>
      <w:r w:rsidRPr="008603B0">
        <w:rPr>
          <w:iCs/>
          <w:sz w:val="22"/>
          <w:szCs w:val="22"/>
          <w:lang w:val="sk-SK"/>
        </w:rPr>
        <w:t>U pacientov s chronickým respiračným poškodením sa kvôli riziku útlmu dýchania takisto odporúčajú nižšie dávky. Benzodiazepíny sa nesmú podávať pacientom s</w:t>
      </w:r>
      <w:r>
        <w:rPr>
          <w:iCs/>
          <w:sz w:val="22"/>
          <w:szCs w:val="22"/>
          <w:lang w:val="sk-SK"/>
        </w:rPr>
        <w:t> </w:t>
      </w:r>
      <w:r w:rsidRPr="008603B0">
        <w:rPr>
          <w:iCs/>
          <w:sz w:val="22"/>
          <w:szCs w:val="22"/>
          <w:lang w:val="sk-SK"/>
        </w:rPr>
        <w:t>ťažk</w:t>
      </w:r>
      <w:r>
        <w:rPr>
          <w:iCs/>
          <w:sz w:val="22"/>
          <w:szCs w:val="22"/>
          <w:lang w:val="sk-SK"/>
        </w:rPr>
        <w:t xml:space="preserve">ou poruchou </w:t>
      </w:r>
      <w:r w:rsidRPr="008603B0">
        <w:rPr>
          <w:iCs/>
          <w:sz w:val="22"/>
          <w:szCs w:val="22"/>
          <w:lang w:val="sk-SK"/>
        </w:rPr>
        <w:t xml:space="preserve"> funkcie pečene, pretože môžu vyvolať encefalopatiu. Ak sa Neurol podáva pacientom s</w:t>
      </w:r>
      <w:r>
        <w:rPr>
          <w:iCs/>
          <w:sz w:val="22"/>
          <w:szCs w:val="22"/>
          <w:lang w:val="sk-SK"/>
        </w:rPr>
        <w:t> </w:t>
      </w:r>
      <w:r w:rsidRPr="008603B0">
        <w:rPr>
          <w:iCs/>
          <w:sz w:val="22"/>
          <w:szCs w:val="22"/>
          <w:lang w:val="sk-SK"/>
        </w:rPr>
        <w:t>po</w:t>
      </w:r>
      <w:r>
        <w:rPr>
          <w:iCs/>
          <w:sz w:val="22"/>
          <w:szCs w:val="22"/>
          <w:lang w:val="sk-SK"/>
        </w:rPr>
        <w:t xml:space="preserve">ruchou </w:t>
      </w:r>
      <w:r w:rsidRPr="008603B0">
        <w:rPr>
          <w:iCs/>
          <w:sz w:val="22"/>
          <w:szCs w:val="22"/>
          <w:lang w:val="sk-SK"/>
        </w:rPr>
        <w:t xml:space="preserve"> funkci</w:t>
      </w:r>
      <w:r>
        <w:rPr>
          <w:iCs/>
          <w:sz w:val="22"/>
          <w:szCs w:val="22"/>
          <w:lang w:val="sk-SK"/>
        </w:rPr>
        <w:t>e</w:t>
      </w:r>
      <w:r w:rsidRPr="008603B0">
        <w:rPr>
          <w:iCs/>
          <w:sz w:val="22"/>
          <w:szCs w:val="22"/>
          <w:lang w:val="sk-SK"/>
        </w:rPr>
        <w:t xml:space="preserve"> obličiek, musia sa dodržať zvyčajné opatrenia.</w:t>
      </w:r>
    </w:p>
    <w:p w14:paraId="6C244334" w14:textId="77777777" w:rsidR="00AA4D76" w:rsidRPr="00FD74F6" w:rsidRDefault="00AA4D76" w:rsidP="00AA4D76">
      <w:pPr>
        <w:tabs>
          <w:tab w:val="left" w:pos="8505"/>
        </w:tabs>
        <w:spacing w:before="0"/>
        <w:ind w:right="566"/>
        <w:jc w:val="left"/>
        <w:outlineLvl w:val="0"/>
        <w:rPr>
          <w:color w:val="000000"/>
          <w:sz w:val="22"/>
          <w:szCs w:val="22"/>
          <w:lang w:val="sk-SK"/>
        </w:rPr>
      </w:pPr>
    </w:p>
    <w:p w14:paraId="463322EB" w14:textId="77777777" w:rsidR="00AA4D76" w:rsidRDefault="00AA4D76" w:rsidP="00AA4D76">
      <w:pPr>
        <w:tabs>
          <w:tab w:val="left" w:pos="8505"/>
        </w:tabs>
        <w:spacing w:before="0"/>
        <w:ind w:right="566"/>
        <w:jc w:val="left"/>
        <w:outlineLvl w:val="0"/>
        <w:rPr>
          <w:iCs/>
          <w:sz w:val="22"/>
          <w:szCs w:val="22"/>
          <w:lang w:val="sk-SK"/>
        </w:rPr>
      </w:pPr>
      <w:r w:rsidRPr="008603B0">
        <w:rPr>
          <w:iCs/>
          <w:sz w:val="22"/>
          <w:szCs w:val="22"/>
          <w:lang w:val="sk-SK"/>
        </w:rPr>
        <w:t>Benzodiazepíny sa neodporúčajú ako liek prvej voľby pre psychotické ochorenia.</w:t>
      </w:r>
    </w:p>
    <w:p w14:paraId="6B9E9EC0" w14:textId="77777777" w:rsidR="00FF70E0" w:rsidRPr="008603B0" w:rsidRDefault="00FF70E0" w:rsidP="00AA4D76">
      <w:pPr>
        <w:tabs>
          <w:tab w:val="left" w:pos="8505"/>
        </w:tabs>
        <w:spacing w:before="0"/>
        <w:ind w:right="566"/>
        <w:jc w:val="left"/>
        <w:outlineLvl w:val="0"/>
        <w:rPr>
          <w:iCs/>
          <w:sz w:val="22"/>
          <w:szCs w:val="22"/>
          <w:lang w:val="sk-SK"/>
        </w:rPr>
      </w:pPr>
    </w:p>
    <w:p w14:paraId="10FC2208" w14:textId="77777777" w:rsidR="00FF70E0" w:rsidRDefault="00497F19" w:rsidP="00FF70E0">
      <w:pPr>
        <w:tabs>
          <w:tab w:val="left" w:pos="8505"/>
        </w:tabs>
        <w:ind w:right="567"/>
        <w:contextualSpacing/>
        <w:jc w:val="left"/>
        <w:rPr>
          <w:color w:val="000000"/>
          <w:sz w:val="22"/>
          <w:szCs w:val="22"/>
          <w:u w:val="single"/>
          <w:lang w:val="sk-SK"/>
        </w:rPr>
      </w:pPr>
      <w:r w:rsidRPr="00FF70E0">
        <w:rPr>
          <w:color w:val="000000"/>
          <w:sz w:val="22"/>
          <w:szCs w:val="22"/>
          <w:u w:val="single"/>
          <w:lang w:val="sk-SK"/>
        </w:rPr>
        <w:t>N</w:t>
      </w:r>
      <w:r w:rsidR="00AA4D76" w:rsidRPr="00FF70E0">
        <w:rPr>
          <w:color w:val="000000"/>
          <w:sz w:val="22"/>
          <w:szCs w:val="22"/>
          <w:u w:val="single"/>
          <w:lang w:val="sk-SK"/>
        </w:rPr>
        <w:t>eurol</w:t>
      </w:r>
      <w:r w:rsidR="00D038E5" w:rsidRPr="00FF70E0">
        <w:rPr>
          <w:color w:val="000000"/>
          <w:sz w:val="22"/>
          <w:szCs w:val="22"/>
          <w:u w:val="single"/>
          <w:lang w:val="sk-SK"/>
        </w:rPr>
        <w:t xml:space="preserve"> obsahuje monohydrát laktózy.</w:t>
      </w:r>
      <w:r w:rsidR="00C57A6D" w:rsidRPr="00FF70E0">
        <w:rPr>
          <w:color w:val="000000"/>
          <w:sz w:val="22"/>
          <w:szCs w:val="22"/>
          <w:u w:val="single"/>
          <w:lang w:val="sk-SK"/>
        </w:rPr>
        <w:t xml:space="preserve"> </w:t>
      </w:r>
    </w:p>
    <w:p w14:paraId="626BEC14" w14:textId="33B24794" w:rsidR="004D77A2" w:rsidRPr="00497F19" w:rsidRDefault="00F22409" w:rsidP="00FF70E0">
      <w:pPr>
        <w:tabs>
          <w:tab w:val="left" w:pos="8505"/>
        </w:tabs>
        <w:ind w:right="567"/>
        <w:contextualSpacing/>
        <w:jc w:val="left"/>
        <w:rPr>
          <w:color w:val="000000"/>
          <w:sz w:val="22"/>
          <w:szCs w:val="22"/>
          <w:lang w:val="sk-SK"/>
        </w:rPr>
      </w:pPr>
      <w:r w:rsidRPr="00497F19">
        <w:rPr>
          <w:color w:val="000000"/>
          <w:sz w:val="22"/>
          <w:szCs w:val="22"/>
          <w:lang w:val="sk-SK"/>
        </w:rPr>
        <w:t>Pacienti so zriedkavými dedičnými problémami galaktózovej intoleranc</w:t>
      </w:r>
      <w:r w:rsidR="00497F19">
        <w:rPr>
          <w:color w:val="000000"/>
          <w:sz w:val="22"/>
          <w:szCs w:val="22"/>
          <w:lang w:val="sk-SK"/>
        </w:rPr>
        <w:t>i</w:t>
      </w:r>
      <w:r w:rsidRPr="00497F19">
        <w:rPr>
          <w:color w:val="000000"/>
          <w:sz w:val="22"/>
          <w:szCs w:val="22"/>
          <w:lang w:val="sk-SK"/>
        </w:rPr>
        <w:t xml:space="preserve">e, </w:t>
      </w:r>
      <w:r w:rsidR="00955B80" w:rsidRPr="008603B0">
        <w:rPr>
          <w:sz w:val="22"/>
          <w:szCs w:val="22"/>
        </w:rPr>
        <w:t xml:space="preserve">celkovým deficitom </w:t>
      </w:r>
      <w:r w:rsidR="00D038E5" w:rsidRPr="00497F19">
        <w:rPr>
          <w:color w:val="000000"/>
          <w:sz w:val="22"/>
          <w:szCs w:val="22"/>
          <w:lang w:val="sk-SK"/>
        </w:rPr>
        <w:t xml:space="preserve"> laktázy</w:t>
      </w:r>
      <w:r w:rsidRPr="00497F19">
        <w:rPr>
          <w:color w:val="000000"/>
          <w:sz w:val="22"/>
          <w:szCs w:val="22"/>
          <w:lang w:val="sk-SK"/>
        </w:rPr>
        <w:t xml:space="preserve"> alebo glukózo-galaktózov</w:t>
      </w:r>
      <w:r w:rsidR="00955B80">
        <w:rPr>
          <w:color w:val="000000"/>
          <w:sz w:val="22"/>
          <w:szCs w:val="22"/>
          <w:lang w:val="sk-SK"/>
        </w:rPr>
        <w:t>ou</w:t>
      </w:r>
      <w:r w:rsidRPr="00497F19">
        <w:rPr>
          <w:color w:val="000000"/>
          <w:sz w:val="22"/>
          <w:szCs w:val="22"/>
          <w:lang w:val="sk-SK"/>
        </w:rPr>
        <w:t xml:space="preserve"> malabsorpci</w:t>
      </w:r>
      <w:r w:rsidR="00955B80">
        <w:rPr>
          <w:color w:val="000000"/>
          <w:sz w:val="22"/>
          <w:szCs w:val="22"/>
          <w:lang w:val="sk-SK"/>
        </w:rPr>
        <w:t>ou</w:t>
      </w:r>
      <w:r w:rsidRPr="00497F19">
        <w:rPr>
          <w:color w:val="000000"/>
          <w:sz w:val="22"/>
          <w:szCs w:val="22"/>
          <w:lang w:val="sk-SK"/>
        </w:rPr>
        <w:t xml:space="preserve"> nesmú užívať tento liek.</w:t>
      </w:r>
    </w:p>
    <w:p w14:paraId="614CADC1" w14:textId="77777777" w:rsidR="005D16E1" w:rsidRPr="00497F19" w:rsidRDefault="005D16E1" w:rsidP="00FF70E0">
      <w:pPr>
        <w:tabs>
          <w:tab w:val="left" w:pos="8505"/>
        </w:tabs>
        <w:spacing w:before="0"/>
        <w:ind w:right="567"/>
        <w:contextualSpacing/>
        <w:jc w:val="left"/>
        <w:rPr>
          <w:color w:val="000000"/>
          <w:sz w:val="22"/>
          <w:szCs w:val="22"/>
          <w:lang w:val="sk-SK"/>
        </w:rPr>
      </w:pPr>
    </w:p>
    <w:p w14:paraId="55B2B3EE" w14:textId="24231C2C" w:rsidR="005D16E1" w:rsidRPr="008B6A9D" w:rsidRDefault="005D16E1" w:rsidP="00FF70E0">
      <w:pPr>
        <w:tabs>
          <w:tab w:val="left" w:pos="8505"/>
        </w:tabs>
        <w:spacing w:before="0"/>
        <w:ind w:right="566"/>
        <w:jc w:val="left"/>
        <w:rPr>
          <w:b/>
          <w:color w:val="000000"/>
          <w:sz w:val="22"/>
          <w:szCs w:val="22"/>
          <w:lang w:val="sk-SK"/>
        </w:rPr>
      </w:pPr>
      <w:r w:rsidRPr="001E553E">
        <w:rPr>
          <w:b/>
          <w:color w:val="000000"/>
          <w:sz w:val="22"/>
          <w:szCs w:val="22"/>
          <w:lang w:val="sk-SK"/>
        </w:rPr>
        <w:t>4.5</w:t>
      </w:r>
      <w:r w:rsidR="00727FF9" w:rsidRPr="00AB6209">
        <w:rPr>
          <w:b/>
          <w:color w:val="000000"/>
          <w:sz w:val="22"/>
          <w:szCs w:val="22"/>
          <w:lang w:val="sk-SK"/>
        </w:rPr>
        <w:t xml:space="preserve">    </w:t>
      </w:r>
      <w:r w:rsidR="00F22409" w:rsidRPr="00AB6209">
        <w:rPr>
          <w:b/>
          <w:color w:val="000000"/>
          <w:sz w:val="22"/>
          <w:szCs w:val="22"/>
          <w:lang w:val="sk-SK"/>
        </w:rPr>
        <w:t xml:space="preserve"> </w:t>
      </w:r>
      <w:r w:rsidRPr="008B6A9D">
        <w:rPr>
          <w:b/>
          <w:color w:val="000000"/>
          <w:sz w:val="22"/>
          <w:szCs w:val="22"/>
          <w:lang w:val="sk-SK"/>
        </w:rPr>
        <w:t>Liekové a iné interakcie</w:t>
      </w:r>
    </w:p>
    <w:p w14:paraId="43ADA41A" w14:textId="77777777" w:rsidR="00C57A6D" w:rsidRDefault="00C57A6D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777D4FD6" w14:textId="77777777" w:rsidR="00497F19" w:rsidRDefault="00497F19" w:rsidP="00497F19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6F2B1F">
        <w:rPr>
          <w:color w:val="000000"/>
          <w:sz w:val="22"/>
          <w:szCs w:val="22"/>
          <w:lang w:val="sk-SK"/>
        </w:rPr>
        <w:t xml:space="preserve">Benzodiazepíny majú aditívny účinok, ak </w:t>
      </w:r>
      <w:r>
        <w:rPr>
          <w:color w:val="000000"/>
          <w:sz w:val="22"/>
          <w:szCs w:val="22"/>
          <w:lang w:val="sk-SK"/>
        </w:rPr>
        <w:t xml:space="preserve">sú užívané </w:t>
      </w:r>
      <w:bookmarkStart w:id="0" w:name="_GoBack"/>
      <w:r>
        <w:rPr>
          <w:color w:val="000000"/>
          <w:sz w:val="22"/>
          <w:szCs w:val="22"/>
          <w:lang w:val="sk-SK"/>
        </w:rPr>
        <w:t>súčas</w:t>
      </w:r>
      <w:bookmarkEnd w:id="0"/>
      <w:r>
        <w:rPr>
          <w:color w:val="000000"/>
          <w:sz w:val="22"/>
          <w:szCs w:val="22"/>
          <w:lang w:val="sk-SK"/>
        </w:rPr>
        <w:t xml:space="preserve">ne s alkoholom a ďalšími látkami s účinkom na CNS. </w:t>
      </w:r>
    </w:p>
    <w:p w14:paraId="1D6CAF25" w14:textId="77777777" w:rsidR="00497F19" w:rsidRPr="00923694" w:rsidRDefault="00497F19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Súčasné užívanie s alkoholom sa neodporúča.</w:t>
      </w:r>
    </w:p>
    <w:p w14:paraId="6D87CF38" w14:textId="77777777" w:rsidR="00497F19" w:rsidRDefault="005D16E1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497F19">
        <w:rPr>
          <w:color w:val="000000"/>
          <w:sz w:val="22"/>
          <w:szCs w:val="22"/>
          <w:lang w:val="sk-SK"/>
        </w:rPr>
        <w:t xml:space="preserve">Alprazolam </w:t>
      </w:r>
      <w:r w:rsidR="00497F19">
        <w:rPr>
          <w:color w:val="000000"/>
          <w:sz w:val="22"/>
          <w:szCs w:val="22"/>
          <w:lang w:val="sk-SK"/>
        </w:rPr>
        <w:t>je nutné používať s opatrnosťou pri kombinácii s inými látkami</w:t>
      </w:r>
      <w:r w:rsidRPr="00497F19">
        <w:rPr>
          <w:color w:val="000000"/>
          <w:sz w:val="22"/>
          <w:szCs w:val="22"/>
          <w:lang w:val="sk-SK"/>
        </w:rPr>
        <w:t>, ktoré tlmia CNS</w:t>
      </w:r>
      <w:r w:rsidR="00497F19">
        <w:rPr>
          <w:color w:val="000000"/>
          <w:sz w:val="22"/>
          <w:szCs w:val="22"/>
          <w:lang w:val="sk-SK"/>
        </w:rPr>
        <w:t>.</w:t>
      </w:r>
    </w:p>
    <w:p w14:paraId="0E257AB4" w14:textId="0F73063B" w:rsidR="001E553E" w:rsidRDefault="00497F19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V prípade sú</w:t>
      </w:r>
      <w:r w:rsidR="008704E0">
        <w:rPr>
          <w:color w:val="000000"/>
          <w:sz w:val="22"/>
          <w:szCs w:val="22"/>
          <w:lang w:val="sk-SK"/>
        </w:rPr>
        <w:t>bež</w:t>
      </w:r>
      <w:r>
        <w:rPr>
          <w:color w:val="000000"/>
          <w:sz w:val="22"/>
          <w:szCs w:val="22"/>
          <w:lang w:val="sk-SK"/>
        </w:rPr>
        <w:t>ného podávania s antipsychotikami</w:t>
      </w:r>
      <w:r w:rsidR="005D16E1" w:rsidRPr="00497F19">
        <w:rPr>
          <w:color w:val="000000"/>
          <w:sz w:val="22"/>
          <w:szCs w:val="22"/>
          <w:lang w:val="sk-SK"/>
        </w:rPr>
        <w:t xml:space="preserve"> </w:t>
      </w:r>
      <w:r>
        <w:rPr>
          <w:color w:val="000000"/>
          <w:sz w:val="22"/>
          <w:szCs w:val="22"/>
          <w:lang w:val="sk-SK"/>
        </w:rPr>
        <w:t>(</w:t>
      </w:r>
      <w:r w:rsidR="005D16E1" w:rsidRPr="00497F19">
        <w:rPr>
          <w:color w:val="000000"/>
          <w:sz w:val="22"/>
          <w:szCs w:val="22"/>
          <w:lang w:val="sk-SK"/>
        </w:rPr>
        <w:t>neuroleptik</w:t>
      </w:r>
      <w:r>
        <w:rPr>
          <w:color w:val="000000"/>
          <w:sz w:val="22"/>
          <w:szCs w:val="22"/>
          <w:lang w:val="sk-SK"/>
        </w:rPr>
        <w:t>ami)</w:t>
      </w:r>
      <w:r w:rsidR="005D16E1" w:rsidRPr="00497F19">
        <w:rPr>
          <w:color w:val="000000"/>
          <w:sz w:val="22"/>
          <w:szCs w:val="22"/>
          <w:lang w:val="sk-SK"/>
        </w:rPr>
        <w:t>, hypnotik</w:t>
      </w:r>
      <w:r>
        <w:rPr>
          <w:color w:val="000000"/>
          <w:sz w:val="22"/>
          <w:szCs w:val="22"/>
          <w:lang w:val="sk-SK"/>
        </w:rPr>
        <w:t>ami</w:t>
      </w:r>
      <w:r w:rsidR="005D16E1" w:rsidRPr="00497F19">
        <w:rPr>
          <w:color w:val="000000"/>
          <w:sz w:val="22"/>
          <w:szCs w:val="22"/>
          <w:lang w:val="sk-SK"/>
        </w:rPr>
        <w:t xml:space="preserve">, </w:t>
      </w:r>
      <w:r w:rsidR="00C57A6D" w:rsidRPr="00497F19">
        <w:rPr>
          <w:color w:val="000000"/>
          <w:sz w:val="22"/>
          <w:szCs w:val="22"/>
          <w:lang w:val="sk-SK"/>
        </w:rPr>
        <w:t>anxiolytik</w:t>
      </w:r>
      <w:r>
        <w:rPr>
          <w:color w:val="000000"/>
          <w:sz w:val="22"/>
          <w:szCs w:val="22"/>
          <w:lang w:val="sk-SK"/>
        </w:rPr>
        <w:t>ami</w:t>
      </w:r>
      <w:r w:rsidR="00C57A6D" w:rsidRPr="00497F19">
        <w:rPr>
          <w:color w:val="000000"/>
          <w:sz w:val="22"/>
          <w:szCs w:val="22"/>
          <w:lang w:val="sk-SK"/>
        </w:rPr>
        <w:t>/</w:t>
      </w:r>
      <w:r w:rsidR="005D16E1" w:rsidRPr="00497F19">
        <w:rPr>
          <w:color w:val="000000"/>
          <w:sz w:val="22"/>
          <w:szCs w:val="22"/>
          <w:lang w:val="sk-SK"/>
        </w:rPr>
        <w:t>sedatíva</w:t>
      </w:r>
      <w:r>
        <w:rPr>
          <w:color w:val="000000"/>
          <w:sz w:val="22"/>
          <w:szCs w:val="22"/>
          <w:lang w:val="sk-SK"/>
        </w:rPr>
        <w:t>mi</w:t>
      </w:r>
      <w:r w:rsidR="005D16E1" w:rsidRPr="00497F19">
        <w:rPr>
          <w:color w:val="000000"/>
          <w:sz w:val="22"/>
          <w:szCs w:val="22"/>
          <w:lang w:val="sk-SK"/>
        </w:rPr>
        <w:t xml:space="preserve">, </w:t>
      </w:r>
      <w:r>
        <w:rPr>
          <w:color w:val="000000"/>
          <w:sz w:val="22"/>
          <w:szCs w:val="22"/>
          <w:lang w:val="sk-SK"/>
        </w:rPr>
        <w:t xml:space="preserve">niektorými </w:t>
      </w:r>
      <w:r w:rsidR="005D16E1" w:rsidRPr="00497F19">
        <w:rPr>
          <w:color w:val="000000"/>
          <w:sz w:val="22"/>
          <w:szCs w:val="22"/>
          <w:lang w:val="sk-SK"/>
        </w:rPr>
        <w:t>antidepresíva</w:t>
      </w:r>
      <w:r>
        <w:rPr>
          <w:color w:val="000000"/>
          <w:sz w:val="22"/>
          <w:szCs w:val="22"/>
          <w:lang w:val="sk-SK"/>
        </w:rPr>
        <w:t>mi</w:t>
      </w:r>
      <w:r w:rsidR="005D16E1" w:rsidRPr="00497F19">
        <w:rPr>
          <w:color w:val="000000"/>
          <w:sz w:val="22"/>
          <w:szCs w:val="22"/>
          <w:lang w:val="sk-SK"/>
        </w:rPr>
        <w:t>,</w:t>
      </w:r>
      <w:r w:rsidRPr="00497F19">
        <w:rPr>
          <w:color w:val="000000"/>
          <w:sz w:val="22"/>
          <w:szCs w:val="22"/>
          <w:lang w:val="sk-SK"/>
        </w:rPr>
        <w:t xml:space="preserve"> </w:t>
      </w:r>
      <w:r>
        <w:rPr>
          <w:color w:val="000000"/>
          <w:sz w:val="22"/>
          <w:szCs w:val="22"/>
          <w:lang w:val="sk-SK"/>
        </w:rPr>
        <w:t>opioidnými analgetikami, antiepileptikami,</w:t>
      </w:r>
      <w:r w:rsidR="005D16E1" w:rsidRPr="00497F19">
        <w:rPr>
          <w:color w:val="000000"/>
          <w:sz w:val="22"/>
          <w:szCs w:val="22"/>
          <w:lang w:val="sk-SK"/>
        </w:rPr>
        <w:t xml:space="preserve"> </w:t>
      </w:r>
      <w:r w:rsidR="00C57A6D" w:rsidRPr="00497F19">
        <w:rPr>
          <w:color w:val="000000"/>
          <w:sz w:val="22"/>
          <w:szCs w:val="22"/>
          <w:lang w:val="sk-SK"/>
        </w:rPr>
        <w:t>anestetik</w:t>
      </w:r>
      <w:r>
        <w:rPr>
          <w:color w:val="000000"/>
          <w:sz w:val="22"/>
          <w:szCs w:val="22"/>
          <w:lang w:val="sk-SK"/>
        </w:rPr>
        <w:t>ami</w:t>
      </w:r>
      <w:r w:rsidR="00C57A6D" w:rsidRPr="00497F19">
        <w:rPr>
          <w:color w:val="000000"/>
          <w:sz w:val="22"/>
          <w:szCs w:val="22"/>
          <w:lang w:val="sk-SK"/>
        </w:rPr>
        <w:t xml:space="preserve"> </w:t>
      </w:r>
      <w:r w:rsidR="008B6A9D">
        <w:rPr>
          <w:color w:val="000000"/>
          <w:sz w:val="22"/>
          <w:szCs w:val="22"/>
          <w:lang w:val="sk-SK"/>
        </w:rPr>
        <w:t>a</w:t>
      </w:r>
      <w:r w:rsidR="00C57A6D" w:rsidRPr="00497F19">
        <w:rPr>
          <w:color w:val="000000"/>
          <w:sz w:val="22"/>
          <w:szCs w:val="22"/>
          <w:lang w:val="sk-SK"/>
        </w:rPr>
        <w:t xml:space="preserve"> </w:t>
      </w:r>
      <w:r w:rsidR="00C57A6D" w:rsidRPr="001E553E">
        <w:rPr>
          <w:color w:val="000000"/>
          <w:sz w:val="22"/>
          <w:szCs w:val="22"/>
          <w:lang w:val="sk-SK"/>
        </w:rPr>
        <w:t xml:space="preserve">  </w:t>
      </w:r>
      <w:r w:rsidR="005D16E1" w:rsidRPr="001E553E">
        <w:rPr>
          <w:color w:val="000000"/>
          <w:sz w:val="22"/>
          <w:szCs w:val="22"/>
          <w:lang w:val="sk-SK"/>
        </w:rPr>
        <w:t>sedatívn</w:t>
      </w:r>
      <w:r w:rsidR="001E553E">
        <w:rPr>
          <w:color w:val="000000"/>
          <w:sz w:val="22"/>
          <w:szCs w:val="22"/>
          <w:lang w:val="sk-SK"/>
        </w:rPr>
        <w:t>ymi H1-</w:t>
      </w:r>
      <w:r w:rsidR="005D16E1" w:rsidRPr="001E553E">
        <w:rPr>
          <w:color w:val="000000"/>
          <w:sz w:val="22"/>
          <w:szCs w:val="22"/>
          <w:lang w:val="sk-SK"/>
        </w:rPr>
        <w:t xml:space="preserve"> antihistaminik</w:t>
      </w:r>
      <w:r w:rsidR="001E553E">
        <w:rPr>
          <w:color w:val="000000"/>
          <w:sz w:val="22"/>
          <w:szCs w:val="22"/>
          <w:lang w:val="sk-SK"/>
        </w:rPr>
        <w:t>ami môže dôjsť k zvýšeniu depresívneho účinku.</w:t>
      </w:r>
    </w:p>
    <w:p w14:paraId="4EE0F979" w14:textId="77777777" w:rsidR="001E553E" w:rsidRDefault="001E553E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Zvláštnu pozornosť je nutné venovať liekom s tlmivým účinkom na respiračnú funkciu, ako sú</w:t>
      </w:r>
      <w:r w:rsidR="005D16E1" w:rsidRPr="001E553E">
        <w:rPr>
          <w:color w:val="000000"/>
          <w:sz w:val="22"/>
          <w:szCs w:val="22"/>
          <w:lang w:val="sk-SK"/>
        </w:rPr>
        <w:t xml:space="preserve"> opioid</w:t>
      </w:r>
      <w:r>
        <w:rPr>
          <w:color w:val="000000"/>
          <w:sz w:val="22"/>
          <w:szCs w:val="22"/>
          <w:lang w:val="sk-SK"/>
        </w:rPr>
        <w:t>y</w:t>
      </w:r>
      <w:r w:rsidR="00C57A6D" w:rsidRPr="001E553E">
        <w:rPr>
          <w:color w:val="000000"/>
          <w:sz w:val="22"/>
          <w:szCs w:val="22"/>
          <w:lang w:val="sk-SK"/>
        </w:rPr>
        <w:t xml:space="preserve"> (analgetiká, antitusiká, substitučná liečba)</w:t>
      </w:r>
      <w:r w:rsidR="005D16E1" w:rsidRPr="001E553E">
        <w:rPr>
          <w:color w:val="000000"/>
          <w:sz w:val="22"/>
          <w:szCs w:val="22"/>
          <w:lang w:val="sk-SK"/>
        </w:rPr>
        <w:t>,</w:t>
      </w:r>
      <w:r w:rsidR="00C57A6D" w:rsidRPr="001E553E">
        <w:rPr>
          <w:color w:val="000000"/>
          <w:sz w:val="22"/>
          <w:szCs w:val="22"/>
          <w:lang w:val="sk-SK"/>
        </w:rPr>
        <w:t xml:space="preserve"> najmä u starších ľudí. V prípade </w:t>
      </w:r>
      <w:r>
        <w:rPr>
          <w:color w:val="000000"/>
          <w:sz w:val="22"/>
          <w:szCs w:val="22"/>
          <w:lang w:val="sk-SK"/>
        </w:rPr>
        <w:t>opioidných</w:t>
      </w:r>
      <w:r w:rsidR="00C57A6D" w:rsidRPr="001E553E">
        <w:rPr>
          <w:color w:val="000000"/>
          <w:sz w:val="22"/>
          <w:szCs w:val="22"/>
          <w:lang w:val="sk-SK"/>
        </w:rPr>
        <w:t xml:space="preserve"> analgetík môže dôjsť</w:t>
      </w:r>
      <w:r>
        <w:rPr>
          <w:color w:val="000000"/>
          <w:sz w:val="22"/>
          <w:szCs w:val="22"/>
          <w:lang w:val="sk-SK"/>
        </w:rPr>
        <w:t xml:space="preserve"> i</w:t>
      </w:r>
      <w:r w:rsidR="00C57A6D" w:rsidRPr="001E553E">
        <w:rPr>
          <w:color w:val="000000"/>
          <w:sz w:val="22"/>
          <w:szCs w:val="22"/>
          <w:lang w:val="sk-SK"/>
        </w:rPr>
        <w:t xml:space="preserve"> k </w:t>
      </w:r>
      <w:r>
        <w:rPr>
          <w:color w:val="000000"/>
          <w:sz w:val="22"/>
          <w:szCs w:val="22"/>
          <w:lang w:val="sk-SK"/>
        </w:rPr>
        <w:t>zvýšeniu</w:t>
      </w:r>
      <w:r w:rsidR="00C57A6D" w:rsidRPr="001E553E">
        <w:rPr>
          <w:color w:val="000000"/>
          <w:sz w:val="22"/>
          <w:szCs w:val="22"/>
          <w:lang w:val="sk-SK"/>
        </w:rPr>
        <w:t xml:space="preserve"> eufórie, ktorá môže viesť </w:t>
      </w:r>
      <w:r>
        <w:rPr>
          <w:color w:val="000000"/>
          <w:sz w:val="22"/>
          <w:szCs w:val="22"/>
          <w:lang w:val="sk-SK"/>
        </w:rPr>
        <w:t xml:space="preserve">až </w:t>
      </w:r>
      <w:r w:rsidR="00C57A6D" w:rsidRPr="001E553E">
        <w:rPr>
          <w:color w:val="000000"/>
          <w:sz w:val="22"/>
          <w:szCs w:val="22"/>
          <w:lang w:val="sk-SK"/>
        </w:rPr>
        <w:t>k psychickej závislosti</w:t>
      </w:r>
      <w:r w:rsidR="005D16E1" w:rsidRPr="001E553E">
        <w:rPr>
          <w:color w:val="000000"/>
          <w:sz w:val="22"/>
          <w:szCs w:val="22"/>
          <w:lang w:val="sk-SK"/>
        </w:rPr>
        <w:t xml:space="preserve">. </w:t>
      </w:r>
    </w:p>
    <w:p w14:paraId="27CF65A2" w14:textId="77777777" w:rsidR="001E553E" w:rsidRDefault="001E553E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5A7AC70D" w14:textId="38D8CF89" w:rsidR="001E553E" w:rsidRDefault="001E553E" w:rsidP="001E553E">
      <w:pPr>
        <w:tabs>
          <w:tab w:val="left" w:pos="8505"/>
        </w:tabs>
        <w:spacing w:before="0"/>
        <w:ind w:right="566"/>
        <w:jc w:val="left"/>
        <w:rPr>
          <w:snapToGrid w:val="0"/>
          <w:sz w:val="22"/>
          <w:szCs w:val="22"/>
          <w:lang w:val="sk-SK"/>
        </w:rPr>
      </w:pPr>
      <w:r w:rsidRPr="0056305E">
        <w:rPr>
          <w:snapToGrid w:val="0"/>
          <w:sz w:val="22"/>
          <w:szCs w:val="22"/>
          <w:lang w:val="sk-SK"/>
        </w:rPr>
        <w:t>Farmakokinetické interakc</w:t>
      </w:r>
      <w:r>
        <w:rPr>
          <w:snapToGrid w:val="0"/>
          <w:sz w:val="22"/>
          <w:szCs w:val="22"/>
          <w:lang w:val="sk-SK"/>
        </w:rPr>
        <w:t>i</w:t>
      </w:r>
      <w:r w:rsidRPr="0056305E">
        <w:rPr>
          <w:snapToGrid w:val="0"/>
          <w:sz w:val="22"/>
          <w:szCs w:val="22"/>
          <w:lang w:val="sk-SK"/>
        </w:rPr>
        <w:t>e m</w:t>
      </w:r>
      <w:r>
        <w:rPr>
          <w:snapToGrid w:val="0"/>
          <w:sz w:val="22"/>
          <w:szCs w:val="22"/>
          <w:lang w:val="sk-SK"/>
        </w:rPr>
        <w:t>ôžu</w:t>
      </w:r>
      <w:r w:rsidRPr="0056305E">
        <w:rPr>
          <w:snapToGrid w:val="0"/>
          <w:sz w:val="22"/>
          <w:szCs w:val="22"/>
          <w:lang w:val="sk-SK"/>
        </w:rPr>
        <w:t xml:space="preserve"> vznikn</w:t>
      </w:r>
      <w:r>
        <w:rPr>
          <w:snapToGrid w:val="0"/>
          <w:sz w:val="22"/>
          <w:szCs w:val="22"/>
          <w:lang w:val="sk-SK"/>
        </w:rPr>
        <w:t>úť</w:t>
      </w:r>
      <w:r w:rsidRPr="0056305E">
        <w:rPr>
          <w:snapToGrid w:val="0"/>
          <w:sz w:val="22"/>
          <w:szCs w:val="22"/>
          <w:lang w:val="sk-SK"/>
        </w:rPr>
        <w:t>, pok</w:t>
      </w:r>
      <w:r>
        <w:rPr>
          <w:snapToGrid w:val="0"/>
          <w:sz w:val="22"/>
          <w:szCs w:val="22"/>
          <w:lang w:val="sk-SK"/>
        </w:rPr>
        <w:t>iaľ</w:t>
      </w:r>
      <w:r w:rsidRPr="00A50BA4">
        <w:rPr>
          <w:snapToGrid w:val="0"/>
          <w:sz w:val="22"/>
          <w:szCs w:val="22"/>
          <w:lang w:val="sk-SK"/>
        </w:rPr>
        <w:t xml:space="preserve"> </w:t>
      </w:r>
      <w:r>
        <w:rPr>
          <w:snapToGrid w:val="0"/>
          <w:sz w:val="22"/>
          <w:szCs w:val="22"/>
          <w:lang w:val="sk-SK"/>
        </w:rPr>
        <w:t>sa</w:t>
      </w:r>
      <w:r w:rsidRPr="0056305E">
        <w:rPr>
          <w:snapToGrid w:val="0"/>
          <w:sz w:val="22"/>
          <w:szCs w:val="22"/>
          <w:lang w:val="sk-SK"/>
        </w:rPr>
        <w:t xml:space="preserve"> alprazolam </w:t>
      </w:r>
      <w:r>
        <w:rPr>
          <w:snapToGrid w:val="0"/>
          <w:sz w:val="22"/>
          <w:szCs w:val="22"/>
          <w:lang w:val="sk-SK"/>
        </w:rPr>
        <w:t>užíva</w:t>
      </w:r>
      <w:r w:rsidRPr="0056305E">
        <w:rPr>
          <w:snapToGrid w:val="0"/>
          <w:sz w:val="22"/>
          <w:szCs w:val="22"/>
          <w:lang w:val="sk-SK"/>
        </w:rPr>
        <w:t xml:space="preserve"> s</w:t>
      </w:r>
      <w:r>
        <w:rPr>
          <w:snapToGrid w:val="0"/>
          <w:sz w:val="22"/>
          <w:szCs w:val="22"/>
          <w:lang w:val="sk-SK"/>
        </w:rPr>
        <w:t>ú</w:t>
      </w:r>
      <w:r w:rsidR="008704E0">
        <w:rPr>
          <w:snapToGrid w:val="0"/>
          <w:sz w:val="22"/>
          <w:szCs w:val="22"/>
          <w:lang w:val="sk-SK"/>
        </w:rPr>
        <w:t>bež</w:t>
      </w:r>
      <w:r w:rsidRPr="0056305E">
        <w:rPr>
          <w:snapToGrid w:val="0"/>
          <w:sz w:val="22"/>
          <w:szCs w:val="22"/>
          <w:lang w:val="sk-SK"/>
        </w:rPr>
        <w:t>n</w:t>
      </w:r>
      <w:r>
        <w:rPr>
          <w:snapToGrid w:val="0"/>
          <w:sz w:val="22"/>
          <w:szCs w:val="22"/>
          <w:lang w:val="sk-SK"/>
        </w:rPr>
        <w:t>e</w:t>
      </w:r>
      <w:r w:rsidRPr="0056305E">
        <w:rPr>
          <w:snapToGrid w:val="0"/>
          <w:sz w:val="22"/>
          <w:szCs w:val="22"/>
          <w:lang w:val="sk-SK"/>
        </w:rPr>
        <w:t xml:space="preserve"> s l</w:t>
      </w:r>
      <w:r>
        <w:rPr>
          <w:snapToGrid w:val="0"/>
          <w:sz w:val="22"/>
          <w:szCs w:val="22"/>
          <w:lang w:val="sk-SK"/>
        </w:rPr>
        <w:t>iečivami</w:t>
      </w:r>
      <w:r w:rsidRPr="0056305E">
        <w:rPr>
          <w:snapToGrid w:val="0"/>
          <w:sz w:val="22"/>
          <w:szCs w:val="22"/>
          <w:lang w:val="sk-SK"/>
        </w:rPr>
        <w:t xml:space="preserve">, </w:t>
      </w:r>
    </w:p>
    <w:p w14:paraId="33331757" w14:textId="77777777" w:rsidR="001E553E" w:rsidRDefault="001E553E" w:rsidP="001E553E">
      <w:pPr>
        <w:tabs>
          <w:tab w:val="left" w:pos="8505"/>
        </w:tabs>
        <w:spacing w:before="0"/>
        <w:ind w:right="566"/>
        <w:jc w:val="left"/>
        <w:rPr>
          <w:snapToGrid w:val="0"/>
          <w:sz w:val="22"/>
          <w:szCs w:val="22"/>
          <w:lang w:val="sk-SK"/>
        </w:rPr>
      </w:pPr>
      <w:r w:rsidRPr="0056305E">
        <w:rPr>
          <w:snapToGrid w:val="0"/>
          <w:sz w:val="22"/>
          <w:szCs w:val="22"/>
          <w:lang w:val="sk-SK"/>
        </w:rPr>
        <w:t>kt</w:t>
      </w:r>
      <w:r>
        <w:rPr>
          <w:snapToGrid w:val="0"/>
          <w:sz w:val="22"/>
          <w:szCs w:val="22"/>
          <w:lang w:val="sk-SK"/>
        </w:rPr>
        <w:t>oré</w:t>
      </w:r>
      <w:r w:rsidRPr="00A50BA4">
        <w:rPr>
          <w:snapToGrid w:val="0"/>
          <w:sz w:val="22"/>
          <w:szCs w:val="22"/>
          <w:lang w:val="sk-SK"/>
        </w:rPr>
        <w:t xml:space="preserve"> ov</w:t>
      </w:r>
      <w:r>
        <w:rPr>
          <w:snapToGrid w:val="0"/>
          <w:sz w:val="22"/>
          <w:szCs w:val="22"/>
          <w:lang w:val="sk-SK"/>
        </w:rPr>
        <w:t>p</w:t>
      </w:r>
      <w:r w:rsidRPr="00A50BA4">
        <w:rPr>
          <w:snapToGrid w:val="0"/>
          <w:sz w:val="22"/>
          <w:szCs w:val="22"/>
          <w:lang w:val="sk-SK"/>
        </w:rPr>
        <w:t>l</w:t>
      </w:r>
      <w:r>
        <w:rPr>
          <w:snapToGrid w:val="0"/>
          <w:sz w:val="22"/>
          <w:szCs w:val="22"/>
          <w:lang w:val="sk-SK"/>
        </w:rPr>
        <w:t>y</w:t>
      </w:r>
      <w:r w:rsidRPr="0056305E">
        <w:rPr>
          <w:snapToGrid w:val="0"/>
          <w:sz w:val="22"/>
          <w:szCs w:val="22"/>
          <w:lang w:val="sk-SK"/>
        </w:rPr>
        <w:t>vňuj</w:t>
      </w:r>
      <w:r>
        <w:rPr>
          <w:snapToGrid w:val="0"/>
          <w:sz w:val="22"/>
          <w:szCs w:val="22"/>
          <w:lang w:val="sk-SK"/>
        </w:rPr>
        <w:t>ú</w:t>
      </w:r>
      <w:r w:rsidRPr="0056305E">
        <w:rPr>
          <w:snapToGrid w:val="0"/>
          <w:sz w:val="22"/>
          <w:szCs w:val="22"/>
          <w:lang w:val="sk-SK"/>
        </w:rPr>
        <w:t xml:space="preserve"> jeho metabolizmus</w:t>
      </w:r>
      <w:r>
        <w:rPr>
          <w:snapToGrid w:val="0"/>
          <w:sz w:val="22"/>
          <w:szCs w:val="22"/>
          <w:lang w:val="sk-SK"/>
        </w:rPr>
        <w:t>.</w:t>
      </w:r>
    </w:p>
    <w:p w14:paraId="4A13215F" w14:textId="77777777" w:rsidR="001E553E" w:rsidRDefault="001E553E" w:rsidP="001E553E">
      <w:pPr>
        <w:tabs>
          <w:tab w:val="left" w:pos="8505"/>
        </w:tabs>
        <w:spacing w:before="0"/>
        <w:ind w:right="566"/>
        <w:jc w:val="left"/>
        <w:rPr>
          <w:snapToGrid w:val="0"/>
          <w:sz w:val="22"/>
          <w:szCs w:val="22"/>
          <w:lang w:val="sk-SK"/>
        </w:rPr>
      </w:pPr>
    </w:p>
    <w:p w14:paraId="5AF41F43" w14:textId="77777777" w:rsidR="001E553E" w:rsidRDefault="001E553E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>
        <w:rPr>
          <w:snapToGrid w:val="0"/>
          <w:sz w:val="22"/>
          <w:szCs w:val="22"/>
          <w:u w:val="single"/>
          <w:lang w:val="sk-SK"/>
        </w:rPr>
        <w:t>Inhibítory CYP3A</w:t>
      </w:r>
    </w:p>
    <w:p w14:paraId="626040CD" w14:textId="77777777" w:rsidR="00C57A6D" w:rsidRPr="001E553E" w:rsidRDefault="001E553E" w:rsidP="00CE5C2C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Lieky</w:t>
      </w:r>
      <w:r w:rsidR="00C57A6D" w:rsidRPr="001E553E">
        <w:rPr>
          <w:color w:val="000000"/>
          <w:sz w:val="22"/>
          <w:szCs w:val="22"/>
          <w:lang w:val="sk-SK"/>
        </w:rPr>
        <w:t xml:space="preserve">, ktoré inhibujú určité pečeňové enzýmy (najmä cytochróm P450 3A4), môžu </w:t>
      </w:r>
    </w:p>
    <w:p w14:paraId="21A2F528" w14:textId="77777777" w:rsidR="00C57A6D" w:rsidRPr="001E553E" w:rsidRDefault="00C57A6D" w:rsidP="00CE5C2C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1E553E">
        <w:rPr>
          <w:color w:val="000000"/>
          <w:sz w:val="22"/>
          <w:szCs w:val="22"/>
          <w:lang w:val="sk-SK"/>
        </w:rPr>
        <w:lastRenderedPageBreak/>
        <w:t>zvyšovať koncentráciu alprazolamu a</w:t>
      </w:r>
      <w:r w:rsidR="001E553E">
        <w:rPr>
          <w:color w:val="000000"/>
          <w:sz w:val="22"/>
          <w:szCs w:val="22"/>
          <w:lang w:val="sk-SK"/>
        </w:rPr>
        <w:t xml:space="preserve"> tak </w:t>
      </w:r>
      <w:r w:rsidRPr="001E553E">
        <w:rPr>
          <w:color w:val="000000"/>
          <w:sz w:val="22"/>
          <w:szCs w:val="22"/>
          <w:lang w:val="sk-SK"/>
        </w:rPr>
        <w:t>posilniť jeho účinok.</w:t>
      </w:r>
      <w:r w:rsidR="001E553E">
        <w:rPr>
          <w:color w:val="000000"/>
          <w:sz w:val="22"/>
          <w:szCs w:val="22"/>
          <w:lang w:val="sk-SK"/>
        </w:rPr>
        <w:t xml:space="preserve"> Výsledky niekoľkých klinických štúdií s alprazolamom, </w:t>
      </w:r>
      <w:r w:rsidR="001E553E">
        <w:rPr>
          <w:i/>
          <w:color w:val="000000"/>
          <w:sz w:val="22"/>
          <w:szCs w:val="22"/>
          <w:lang w:val="sk-SK"/>
        </w:rPr>
        <w:t>in vitro</w:t>
      </w:r>
      <w:r w:rsidR="001E553E">
        <w:rPr>
          <w:color w:val="000000"/>
          <w:sz w:val="22"/>
          <w:szCs w:val="22"/>
          <w:lang w:val="sk-SK"/>
        </w:rPr>
        <w:t xml:space="preserve"> štúdií s alprazolamom a klinických štúdií látok metabolizovaných podobne, ako alprazolam, poskytujú dôkaz o rôznych stupňoch interakcie a možných interakcií alprazolamu a ďalších látok. Podľa stupňa interakcie a typu dostupných údajov boli vytvorené nasledujúce odporúčania:</w:t>
      </w:r>
    </w:p>
    <w:p w14:paraId="03A3BC9A" w14:textId="0114E755" w:rsidR="00C57A6D" w:rsidRPr="0062071D" w:rsidRDefault="008704E0" w:rsidP="00AB6209">
      <w:pPr>
        <w:pStyle w:val="H3-text1"/>
        <w:numPr>
          <w:ilvl w:val="0"/>
          <w:numId w:val="18"/>
        </w:numPr>
        <w:ind w:left="567" w:hanging="567"/>
        <w:jc w:val="left"/>
        <w:rPr>
          <w:snapToGrid w:val="0"/>
          <w:sz w:val="22"/>
          <w:szCs w:val="22"/>
          <w:lang w:val="sk-SK"/>
        </w:rPr>
      </w:pPr>
      <w:r>
        <w:rPr>
          <w:snapToGrid w:val="0"/>
          <w:sz w:val="22"/>
          <w:szCs w:val="22"/>
          <w:lang w:val="sk-SK"/>
        </w:rPr>
        <w:t>Súbež</w:t>
      </w:r>
      <w:r w:rsidR="00C57A6D" w:rsidRPr="0062071D">
        <w:rPr>
          <w:snapToGrid w:val="0"/>
          <w:sz w:val="22"/>
          <w:szCs w:val="22"/>
          <w:lang w:val="sk-SK"/>
        </w:rPr>
        <w:t>né užívanie alprazolamu a ketokonazolu, itrakonazolu alebo iných azolových antimykotík sa neodporúča.</w:t>
      </w:r>
    </w:p>
    <w:p w14:paraId="3B8714D8" w14:textId="0BCB9E29" w:rsidR="00C57A6D" w:rsidRDefault="00FF70E0" w:rsidP="008B6A9D">
      <w:pPr>
        <w:pStyle w:val="H3-text1"/>
        <w:numPr>
          <w:ilvl w:val="0"/>
          <w:numId w:val="18"/>
        </w:numPr>
        <w:ind w:left="567" w:hanging="567"/>
        <w:jc w:val="left"/>
        <w:rPr>
          <w:snapToGrid w:val="0"/>
          <w:sz w:val="22"/>
          <w:szCs w:val="22"/>
          <w:lang w:val="sk-SK"/>
        </w:rPr>
      </w:pPr>
      <w:r>
        <w:rPr>
          <w:snapToGrid w:val="0"/>
          <w:sz w:val="22"/>
          <w:szCs w:val="22"/>
          <w:lang w:val="sk-SK"/>
        </w:rPr>
        <w:t>Súbežné</w:t>
      </w:r>
      <w:r w:rsidR="00AB6209">
        <w:rPr>
          <w:snapToGrid w:val="0"/>
          <w:sz w:val="22"/>
          <w:szCs w:val="22"/>
          <w:lang w:val="sk-SK"/>
        </w:rPr>
        <w:t xml:space="preserve"> podávanie nefazodonu alebo </w:t>
      </w:r>
      <w:r w:rsidR="00AB6209" w:rsidRPr="0056305E">
        <w:rPr>
          <w:snapToGrid w:val="0"/>
          <w:sz w:val="22"/>
          <w:szCs w:val="22"/>
          <w:lang w:val="sk-SK"/>
        </w:rPr>
        <w:t>fluvoxa</w:t>
      </w:r>
      <w:r w:rsidR="00AB6209">
        <w:rPr>
          <w:snapToGrid w:val="0"/>
          <w:sz w:val="22"/>
          <w:szCs w:val="22"/>
          <w:lang w:val="sk-SK"/>
        </w:rPr>
        <w:t>mí</w:t>
      </w:r>
      <w:r w:rsidR="00AB6209" w:rsidRPr="0056305E">
        <w:rPr>
          <w:snapToGrid w:val="0"/>
          <w:sz w:val="22"/>
          <w:szCs w:val="22"/>
          <w:lang w:val="sk-SK"/>
        </w:rPr>
        <w:t>n</w:t>
      </w:r>
      <w:r w:rsidR="00AB6209">
        <w:rPr>
          <w:snapToGrid w:val="0"/>
          <w:sz w:val="22"/>
          <w:szCs w:val="22"/>
          <w:lang w:val="sk-SK"/>
        </w:rPr>
        <w:t xml:space="preserve">u zvyšuje AUC alprazolamu približne 2-krát. </w:t>
      </w:r>
      <w:r w:rsidR="00C57A6D" w:rsidRPr="00AB6209">
        <w:rPr>
          <w:snapToGrid w:val="0"/>
          <w:sz w:val="22"/>
          <w:szCs w:val="22"/>
          <w:lang w:val="sk-SK"/>
        </w:rPr>
        <w:t xml:space="preserve">Pokiaľ je alprazolam </w:t>
      </w:r>
      <w:r w:rsidR="00AB6209">
        <w:rPr>
          <w:snapToGrid w:val="0"/>
          <w:sz w:val="22"/>
          <w:szCs w:val="22"/>
          <w:lang w:val="sk-SK"/>
        </w:rPr>
        <w:t>podávaný</w:t>
      </w:r>
      <w:r w:rsidR="00C57A6D" w:rsidRPr="00AB6209">
        <w:rPr>
          <w:snapToGrid w:val="0"/>
          <w:sz w:val="22"/>
          <w:szCs w:val="22"/>
          <w:lang w:val="sk-SK"/>
        </w:rPr>
        <w:t xml:space="preserve"> spolu s nefazodonom, fluvoxamínom a cimetidínom, je </w:t>
      </w:r>
      <w:r w:rsidR="00AB6209">
        <w:rPr>
          <w:snapToGrid w:val="0"/>
          <w:sz w:val="22"/>
          <w:szCs w:val="22"/>
          <w:lang w:val="sk-SK"/>
        </w:rPr>
        <w:t>odporúčaná opatrnosť</w:t>
      </w:r>
      <w:r w:rsidR="00C57A6D" w:rsidRPr="00AB6209">
        <w:rPr>
          <w:snapToGrid w:val="0"/>
          <w:sz w:val="22"/>
          <w:szCs w:val="22"/>
          <w:lang w:val="sk-SK"/>
        </w:rPr>
        <w:t xml:space="preserve"> a prípadne redukovať dávky.</w:t>
      </w:r>
    </w:p>
    <w:p w14:paraId="48378573" w14:textId="59ADE28A" w:rsidR="00C57A6D" w:rsidRPr="00923694" w:rsidRDefault="00C57A6D" w:rsidP="00923694">
      <w:pPr>
        <w:pStyle w:val="H3-text1"/>
        <w:numPr>
          <w:ilvl w:val="0"/>
          <w:numId w:val="18"/>
        </w:numPr>
        <w:ind w:left="567" w:hanging="567"/>
        <w:jc w:val="left"/>
        <w:rPr>
          <w:sz w:val="22"/>
          <w:szCs w:val="22"/>
          <w:lang w:val="sk-SK"/>
        </w:rPr>
      </w:pPr>
      <w:r w:rsidRPr="00923694">
        <w:rPr>
          <w:snapToGrid w:val="0"/>
          <w:sz w:val="22"/>
          <w:szCs w:val="22"/>
          <w:lang w:val="sk-SK"/>
        </w:rPr>
        <w:t xml:space="preserve">Opatrnosť je potrebná pri </w:t>
      </w:r>
      <w:r w:rsidR="00AB6209">
        <w:rPr>
          <w:snapToGrid w:val="0"/>
          <w:sz w:val="22"/>
          <w:szCs w:val="22"/>
          <w:lang w:val="sk-SK"/>
        </w:rPr>
        <w:t>podávaní</w:t>
      </w:r>
      <w:r w:rsidR="00FF70E0">
        <w:rPr>
          <w:snapToGrid w:val="0"/>
          <w:sz w:val="22"/>
          <w:szCs w:val="22"/>
          <w:lang w:val="sk-SK"/>
        </w:rPr>
        <w:t xml:space="preserve"> alprazolamu súbežne</w:t>
      </w:r>
      <w:r w:rsidRPr="00923694">
        <w:rPr>
          <w:snapToGrid w:val="0"/>
          <w:sz w:val="22"/>
          <w:szCs w:val="22"/>
          <w:lang w:val="sk-SK"/>
        </w:rPr>
        <w:t xml:space="preserve"> s fluoxetínom, propoxyfenom, perorálnou antikoncepciou, diltiazemom al</w:t>
      </w:r>
      <w:r w:rsidR="00FC27E0" w:rsidRPr="00923694">
        <w:rPr>
          <w:snapToGrid w:val="0"/>
          <w:sz w:val="22"/>
          <w:szCs w:val="22"/>
          <w:lang w:val="sk-SK"/>
        </w:rPr>
        <w:t>ebo makrolidovými antibiotikami</w:t>
      </w:r>
      <w:r w:rsidRPr="00923694">
        <w:rPr>
          <w:snapToGrid w:val="0"/>
          <w:sz w:val="22"/>
          <w:szCs w:val="22"/>
          <w:lang w:val="sk-SK"/>
        </w:rPr>
        <w:t xml:space="preserve"> ako je erytromycín</w:t>
      </w:r>
      <w:r w:rsidR="00AB6209">
        <w:rPr>
          <w:snapToGrid w:val="0"/>
          <w:sz w:val="22"/>
          <w:szCs w:val="22"/>
          <w:lang w:val="sk-SK"/>
        </w:rPr>
        <w:t xml:space="preserve">, </w:t>
      </w:r>
      <w:r w:rsidR="00AB6209">
        <w:rPr>
          <w:snapToGrid w:val="0"/>
          <w:color w:val="auto"/>
          <w:sz w:val="22"/>
          <w:szCs w:val="22"/>
          <w:lang w:val="sk-SK"/>
        </w:rPr>
        <w:t>klaritromycín,</w:t>
      </w:r>
      <w:r w:rsidRPr="00923694">
        <w:rPr>
          <w:snapToGrid w:val="0"/>
          <w:sz w:val="22"/>
          <w:szCs w:val="22"/>
          <w:lang w:val="sk-SK"/>
        </w:rPr>
        <w:t xml:space="preserve"> </w:t>
      </w:r>
      <w:r w:rsidR="00AB6209">
        <w:rPr>
          <w:snapToGrid w:val="0"/>
          <w:sz w:val="22"/>
          <w:szCs w:val="22"/>
          <w:lang w:val="sk-SK"/>
        </w:rPr>
        <w:t> </w:t>
      </w:r>
      <w:r w:rsidRPr="00923694">
        <w:rPr>
          <w:snapToGrid w:val="0"/>
          <w:sz w:val="22"/>
          <w:szCs w:val="22"/>
          <w:lang w:val="sk-SK"/>
        </w:rPr>
        <w:t>troleandomycín</w:t>
      </w:r>
      <w:r w:rsidR="00AB6209">
        <w:rPr>
          <w:snapToGrid w:val="0"/>
          <w:sz w:val="22"/>
          <w:szCs w:val="22"/>
          <w:lang w:val="sk-SK"/>
        </w:rPr>
        <w:t xml:space="preserve"> </w:t>
      </w:r>
      <w:r w:rsidR="00AB6209">
        <w:rPr>
          <w:snapToGrid w:val="0"/>
          <w:color w:val="auto"/>
          <w:sz w:val="22"/>
          <w:szCs w:val="22"/>
          <w:lang w:val="sk-SK"/>
        </w:rPr>
        <w:t>a telithromycín</w:t>
      </w:r>
      <w:r w:rsidRPr="00923694">
        <w:rPr>
          <w:snapToGrid w:val="0"/>
          <w:sz w:val="22"/>
          <w:szCs w:val="22"/>
          <w:lang w:val="sk-SK"/>
        </w:rPr>
        <w:t>.</w:t>
      </w:r>
    </w:p>
    <w:p w14:paraId="15076499" w14:textId="77777777" w:rsidR="00AB6209" w:rsidRPr="00923694" w:rsidRDefault="00AB6209" w:rsidP="00923694">
      <w:pPr>
        <w:pStyle w:val="H3-text1"/>
        <w:numPr>
          <w:ilvl w:val="0"/>
          <w:numId w:val="18"/>
        </w:numPr>
        <w:ind w:left="567" w:hanging="567"/>
        <w:jc w:val="left"/>
        <w:rPr>
          <w:sz w:val="22"/>
          <w:szCs w:val="22"/>
          <w:lang w:val="sk-SK"/>
        </w:rPr>
      </w:pPr>
      <w:r>
        <w:rPr>
          <w:snapToGrid w:val="0"/>
          <w:color w:val="auto"/>
          <w:sz w:val="22"/>
          <w:szCs w:val="22"/>
          <w:lang w:val="sk-SK"/>
        </w:rPr>
        <w:t>Pri podávaní alprazolamu sú</w:t>
      </w:r>
      <w:r w:rsidR="00955B80">
        <w:rPr>
          <w:snapToGrid w:val="0"/>
          <w:color w:val="auto"/>
          <w:sz w:val="22"/>
          <w:szCs w:val="22"/>
          <w:lang w:val="sk-SK"/>
        </w:rPr>
        <w:t>bežne</w:t>
      </w:r>
      <w:r>
        <w:rPr>
          <w:snapToGrid w:val="0"/>
          <w:color w:val="auto"/>
          <w:sz w:val="22"/>
          <w:szCs w:val="22"/>
          <w:lang w:val="sk-SK"/>
        </w:rPr>
        <w:t xml:space="preserve"> s digoxínom boli hlásené zvýšené koncentrácie digoxínu, najmä u starších pacientov (starších ako 65 rokov). Pacienti užívajúci alprazolam a digoxín musia byť preto sledovaní pre možné príznaky </w:t>
      </w:r>
      <w:r w:rsidR="00955B80">
        <w:rPr>
          <w:snapToGrid w:val="0"/>
          <w:color w:val="auto"/>
          <w:sz w:val="22"/>
          <w:szCs w:val="22"/>
          <w:lang w:val="sk-SK"/>
        </w:rPr>
        <w:t>intoxikácie</w:t>
      </w:r>
      <w:r>
        <w:rPr>
          <w:snapToGrid w:val="0"/>
          <w:color w:val="auto"/>
          <w:sz w:val="22"/>
          <w:szCs w:val="22"/>
          <w:lang w:val="sk-SK"/>
        </w:rPr>
        <w:t xml:space="preserve"> digoxínom.</w:t>
      </w:r>
    </w:p>
    <w:p w14:paraId="57AAF090" w14:textId="77777777" w:rsidR="005D16E1" w:rsidRDefault="005D16E1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53DB99E1" w14:textId="77777777" w:rsidR="00AB6209" w:rsidRDefault="00AB6209" w:rsidP="00AB6209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>
        <w:rPr>
          <w:snapToGrid w:val="0"/>
          <w:sz w:val="22"/>
          <w:szCs w:val="22"/>
          <w:u w:val="single"/>
          <w:lang w:val="sk-SK"/>
        </w:rPr>
        <w:t>Induktory CYP3A</w:t>
      </w:r>
    </w:p>
    <w:p w14:paraId="2AAB3737" w14:textId="77777777" w:rsidR="00AB6209" w:rsidRDefault="00AB6209" w:rsidP="00AB6209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Vzhľadom na to, že je alprazolam metabolizovaný cez CYP3A4, induktory tohto enzýmu môžu zvýšiť metabolizmus alprazolamu.</w:t>
      </w:r>
    </w:p>
    <w:p w14:paraId="0571F0BB" w14:textId="77777777" w:rsidR="00AB6209" w:rsidRDefault="00AB6209" w:rsidP="00AB6209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7F2CEECD" w14:textId="77777777" w:rsidR="00AB6209" w:rsidRDefault="00AB6209" w:rsidP="00AB6209">
      <w:pPr>
        <w:tabs>
          <w:tab w:val="left" w:pos="8505"/>
        </w:tabs>
        <w:spacing w:before="0"/>
        <w:ind w:right="566"/>
        <w:jc w:val="left"/>
        <w:rPr>
          <w:snapToGrid w:val="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Interakcie </w:t>
      </w:r>
      <w:r w:rsidRPr="0056305E">
        <w:rPr>
          <w:snapToGrid w:val="0"/>
          <w:sz w:val="22"/>
          <w:szCs w:val="22"/>
          <w:lang w:val="sk-SK"/>
        </w:rPr>
        <w:t>me</w:t>
      </w:r>
      <w:r>
        <w:rPr>
          <w:snapToGrid w:val="0"/>
          <w:sz w:val="22"/>
          <w:szCs w:val="22"/>
          <w:lang w:val="sk-SK"/>
        </w:rPr>
        <w:t>d</w:t>
      </w:r>
      <w:r w:rsidRPr="0056305E">
        <w:rPr>
          <w:snapToGrid w:val="0"/>
          <w:sz w:val="22"/>
          <w:szCs w:val="22"/>
          <w:lang w:val="sk-SK"/>
        </w:rPr>
        <w:t>zi inhib</w:t>
      </w:r>
      <w:r>
        <w:rPr>
          <w:snapToGrid w:val="0"/>
          <w:sz w:val="22"/>
          <w:szCs w:val="22"/>
          <w:lang w:val="sk-SK"/>
        </w:rPr>
        <w:t>í</w:t>
      </w:r>
      <w:r w:rsidRPr="0056305E">
        <w:rPr>
          <w:snapToGrid w:val="0"/>
          <w:sz w:val="22"/>
          <w:szCs w:val="22"/>
          <w:lang w:val="sk-SK"/>
        </w:rPr>
        <w:t>tor</w:t>
      </w:r>
      <w:r>
        <w:rPr>
          <w:snapToGrid w:val="0"/>
          <w:sz w:val="22"/>
          <w:szCs w:val="22"/>
          <w:lang w:val="sk-SK"/>
        </w:rPr>
        <w:t>mi</w:t>
      </w:r>
      <w:r w:rsidRPr="0056305E">
        <w:rPr>
          <w:snapToGrid w:val="0"/>
          <w:sz w:val="22"/>
          <w:szCs w:val="22"/>
          <w:lang w:val="sk-SK"/>
        </w:rPr>
        <w:t xml:space="preserve"> HIV proteázy (nap</w:t>
      </w:r>
      <w:r>
        <w:rPr>
          <w:snapToGrid w:val="0"/>
          <w:sz w:val="22"/>
          <w:szCs w:val="22"/>
          <w:lang w:val="sk-SK"/>
        </w:rPr>
        <w:t>r</w:t>
      </w:r>
      <w:r w:rsidRPr="00946F1F">
        <w:rPr>
          <w:snapToGrid w:val="0"/>
          <w:sz w:val="22"/>
          <w:szCs w:val="22"/>
          <w:lang w:val="sk-SK"/>
        </w:rPr>
        <w:t>. ritonavir) a alprazolam</w:t>
      </w:r>
      <w:r>
        <w:rPr>
          <w:snapToGrid w:val="0"/>
          <w:sz w:val="22"/>
          <w:szCs w:val="22"/>
          <w:lang w:val="sk-SK"/>
        </w:rPr>
        <w:t>o</w:t>
      </w:r>
      <w:r w:rsidRPr="00946F1F">
        <w:rPr>
          <w:snapToGrid w:val="0"/>
          <w:sz w:val="22"/>
          <w:szCs w:val="22"/>
          <w:lang w:val="sk-SK"/>
        </w:rPr>
        <w:t xml:space="preserve">m </w:t>
      </w:r>
      <w:r w:rsidRPr="0056305E">
        <w:rPr>
          <w:snapToGrid w:val="0"/>
          <w:sz w:val="22"/>
          <w:szCs w:val="22"/>
          <w:lang w:val="sk-SK"/>
        </w:rPr>
        <w:t>s</w:t>
      </w:r>
      <w:r>
        <w:rPr>
          <w:snapToGrid w:val="0"/>
          <w:sz w:val="22"/>
          <w:szCs w:val="22"/>
          <w:lang w:val="sk-SK"/>
        </w:rPr>
        <w:t>ú</w:t>
      </w:r>
      <w:r w:rsidRPr="00946F1F">
        <w:rPr>
          <w:snapToGrid w:val="0"/>
          <w:sz w:val="22"/>
          <w:szCs w:val="22"/>
          <w:lang w:val="sk-SK"/>
        </w:rPr>
        <w:t xml:space="preserve"> </w:t>
      </w:r>
      <w:r>
        <w:rPr>
          <w:snapToGrid w:val="0"/>
          <w:sz w:val="22"/>
          <w:szCs w:val="22"/>
          <w:lang w:val="sk-SK"/>
        </w:rPr>
        <w:t>z</w:t>
      </w:r>
      <w:r w:rsidRPr="0056305E">
        <w:rPr>
          <w:snapToGrid w:val="0"/>
          <w:sz w:val="22"/>
          <w:szCs w:val="22"/>
          <w:lang w:val="sk-SK"/>
        </w:rPr>
        <w:t xml:space="preserve">ložité a </w:t>
      </w:r>
    </w:p>
    <w:p w14:paraId="79D22980" w14:textId="77777777" w:rsidR="00AB6209" w:rsidRDefault="00AB6209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>
        <w:rPr>
          <w:snapToGrid w:val="0"/>
          <w:sz w:val="22"/>
          <w:szCs w:val="22"/>
          <w:lang w:val="sk-SK"/>
        </w:rPr>
        <w:t>z</w:t>
      </w:r>
      <w:r w:rsidRPr="0056305E">
        <w:rPr>
          <w:snapToGrid w:val="0"/>
          <w:sz w:val="22"/>
          <w:szCs w:val="22"/>
          <w:lang w:val="sk-SK"/>
        </w:rPr>
        <w:t>ávislé</w:t>
      </w:r>
      <w:r>
        <w:rPr>
          <w:snapToGrid w:val="0"/>
          <w:sz w:val="22"/>
          <w:szCs w:val="22"/>
          <w:lang w:val="sk-SK"/>
        </w:rPr>
        <w:t xml:space="preserve"> na trvaní interakcie</w:t>
      </w:r>
      <w:r w:rsidRPr="0056305E">
        <w:rPr>
          <w:snapToGrid w:val="0"/>
          <w:sz w:val="22"/>
          <w:szCs w:val="22"/>
          <w:lang w:val="sk-SK"/>
        </w:rPr>
        <w:t xml:space="preserve">. </w:t>
      </w:r>
      <w:r>
        <w:rPr>
          <w:snapToGrid w:val="0"/>
          <w:sz w:val="22"/>
          <w:szCs w:val="22"/>
          <w:lang w:val="sk-SK"/>
        </w:rPr>
        <w:t>Krátkodobé n</w:t>
      </w:r>
      <w:r w:rsidRPr="0056305E">
        <w:rPr>
          <w:snapToGrid w:val="0"/>
          <w:sz w:val="22"/>
          <w:szCs w:val="22"/>
          <w:lang w:val="sk-SK"/>
        </w:rPr>
        <w:t>ízk</w:t>
      </w:r>
      <w:r>
        <w:rPr>
          <w:snapToGrid w:val="0"/>
          <w:sz w:val="22"/>
          <w:szCs w:val="22"/>
          <w:lang w:val="sk-SK"/>
        </w:rPr>
        <w:t>e</w:t>
      </w:r>
      <w:r w:rsidRPr="0056305E">
        <w:rPr>
          <w:snapToGrid w:val="0"/>
          <w:sz w:val="22"/>
          <w:szCs w:val="22"/>
          <w:lang w:val="sk-SK"/>
        </w:rPr>
        <w:t xml:space="preserve"> dávky ritonaviru </w:t>
      </w:r>
      <w:r>
        <w:rPr>
          <w:snapToGrid w:val="0"/>
          <w:sz w:val="22"/>
          <w:szCs w:val="22"/>
          <w:lang w:val="sk-SK"/>
        </w:rPr>
        <w:t>spôsobili významné</w:t>
      </w:r>
      <w:r w:rsidRPr="00BB23DE">
        <w:rPr>
          <w:snapToGrid w:val="0"/>
          <w:sz w:val="22"/>
          <w:szCs w:val="22"/>
          <w:lang w:val="sk-SK"/>
        </w:rPr>
        <w:t xml:space="preserve"> </w:t>
      </w:r>
      <w:r>
        <w:rPr>
          <w:snapToGrid w:val="0"/>
          <w:sz w:val="22"/>
          <w:szCs w:val="22"/>
          <w:lang w:val="sk-SK"/>
        </w:rPr>
        <w:t>z</w:t>
      </w:r>
      <w:r w:rsidRPr="0056305E">
        <w:rPr>
          <w:snapToGrid w:val="0"/>
          <w:sz w:val="22"/>
          <w:szCs w:val="22"/>
          <w:lang w:val="sk-SK"/>
        </w:rPr>
        <w:t>nížen</w:t>
      </w:r>
      <w:r>
        <w:rPr>
          <w:snapToGrid w:val="0"/>
          <w:sz w:val="22"/>
          <w:szCs w:val="22"/>
          <w:lang w:val="sk-SK"/>
        </w:rPr>
        <w:t>ie klírens alprazolamu, pre</w:t>
      </w:r>
      <w:r w:rsidRPr="00BB23DE">
        <w:rPr>
          <w:snapToGrid w:val="0"/>
          <w:sz w:val="22"/>
          <w:szCs w:val="22"/>
          <w:lang w:val="sk-SK"/>
        </w:rPr>
        <w:t>d</w:t>
      </w:r>
      <w:r>
        <w:rPr>
          <w:snapToGrid w:val="0"/>
          <w:sz w:val="22"/>
          <w:szCs w:val="22"/>
          <w:lang w:val="sk-SK"/>
        </w:rPr>
        <w:t>ĺ</w:t>
      </w:r>
      <w:r w:rsidRPr="00BB23DE">
        <w:rPr>
          <w:snapToGrid w:val="0"/>
          <w:sz w:val="22"/>
          <w:szCs w:val="22"/>
          <w:lang w:val="sk-SK"/>
        </w:rPr>
        <w:t>ž</w:t>
      </w:r>
      <w:r w:rsidRPr="0056305E">
        <w:rPr>
          <w:snapToGrid w:val="0"/>
          <w:sz w:val="22"/>
          <w:szCs w:val="22"/>
          <w:lang w:val="sk-SK"/>
        </w:rPr>
        <w:t>e</w:t>
      </w:r>
      <w:r>
        <w:rPr>
          <w:snapToGrid w:val="0"/>
          <w:sz w:val="22"/>
          <w:szCs w:val="22"/>
          <w:lang w:val="sk-SK"/>
        </w:rPr>
        <w:t>nie</w:t>
      </w:r>
      <w:r w:rsidRPr="0056305E">
        <w:rPr>
          <w:snapToGrid w:val="0"/>
          <w:sz w:val="22"/>
          <w:szCs w:val="22"/>
          <w:lang w:val="sk-SK"/>
        </w:rPr>
        <w:t xml:space="preserve"> polčas</w:t>
      </w:r>
      <w:r>
        <w:rPr>
          <w:snapToGrid w:val="0"/>
          <w:sz w:val="22"/>
          <w:szCs w:val="22"/>
          <w:lang w:val="sk-SK"/>
        </w:rPr>
        <w:t>u</w:t>
      </w:r>
      <w:r w:rsidRPr="0056305E">
        <w:rPr>
          <w:snapToGrid w:val="0"/>
          <w:sz w:val="22"/>
          <w:szCs w:val="22"/>
          <w:lang w:val="sk-SK"/>
        </w:rPr>
        <w:t xml:space="preserve"> vylučov</w:t>
      </w:r>
      <w:r>
        <w:rPr>
          <w:snapToGrid w:val="0"/>
          <w:sz w:val="22"/>
          <w:szCs w:val="22"/>
          <w:lang w:val="sk-SK"/>
        </w:rPr>
        <w:t>ania</w:t>
      </w:r>
      <w:r w:rsidRPr="0056305E">
        <w:rPr>
          <w:snapToGrid w:val="0"/>
          <w:sz w:val="22"/>
          <w:szCs w:val="22"/>
          <w:lang w:val="sk-SK"/>
        </w:rPr>
        <w:t xml:space="preserve"> a zv</w:t>
      </w:r>
      <w:r>
        <w:rPr>
          <w:snapToGrid w:val="0"/>
          <w:sz w:val="22"/>
          <w:szCs w:val="22"/>
          <w:lang w:val="sk-SK"/>
        </w:rPr>
        <w:t>ýšený</w:t>
      </w:r>
      <w:r w:rsidRPr="0056305E">
        <w:rPr>
          <w:snapToGrid w:val="0"/>
          <w:sz w:val="22"/>
          <w:szCs w:val="22"/>
          <w:lang w:val="sk-SK"/>
        </w:rPr>
        <w:t xml:space="preserve"> klinick</w:t>
      </w:r>
      <w:r>
        <w:rPr>
          <w:snapToGrid w:val="0"/>
          <w:sz w:val="22"/>
          <w:szCs w:val="22"/>
          <w:lang w:val="sk-SK"/>
        </w:rPr>
        <w:t>ý</w:t>
      </w:r>
      <w:r w:rsidRPr="0056305E">
        <w:rPr>
          <w:snapToGrid w:val="0"/>
          <w:sz w:val="22"/>
          <w:szCs w:val="22"/>
          <w:lang w:val="sk-SK"/>
        </w:rPr>
        <w:t xml:space="preserve"> účin</w:t>
      </w:r>
      <w:r>
        <w:rPr>
          <w:snapToGrid w:val="0"/>
          <w:sz w:val="22"/>
          <w:szCs w:val="22"/>
          <w:lang w:val="sk-SK"/>
        </w:rPr>
        <w:t>o</w:t>
      </w:r>
      <w:r w:rsidRPr="0056305E">
        <w:rPr>
          <w:snapToGrid w:val="0"/>
          <w:sz w:val="22"/>
          <w:szCs w:val="22"/>
          <w:lang w:val="sk-SK"/>
        </w:rPr>
        <w:t>k. Avšak p</w:t>
      </w:r>
      <w:r>
        <w:rPr>
          <w:snapToGrid w:val="0"/>
          <w:sz w:val="22"/>
          <w:szCs w:val="22"/>
          <w:lang w:val="sk-SK"/>
        </w:rPr>
        <w:t>r</w:t>
      </w:r>
      <w:r w:rsidRPr="0056305E">
        <w:rPr>
          <w:snapToGrid w:val="0"/>
          <w:sz w:val="22"/>
          <w:szCs w:val="22"/>
          <w:lang w:val="sk-SK"/>
        </w:rPr>
        <w:t>i dl</w:t>
      </w:r>
      <w:r>
        <w:rPr>
          <w:snapToGrid w:val="0"/>
          <w:sz w:val="22"/>
          <w:szCs w:val="22"/>
          <w:lang w:val="sk-SK"/>
        </w:rPr>
        <w:t>h</w:t>
      </w:r>
      <w:r w:rsidRPr="0056305E">
        <w:rPr>
          <w:snapToGrid w:val="0"/>
          <w:sz w:val="22"/>
          <w:szCs w:val="22"/>
          <w:lang w:val="sk-SK"/>
        </w:rPr>
        <w:t>š</w:t>
      </w:r>
      <w:r>
        <w:rPr>
          <w:snapToGrid w:val="0"/>
          <w:sz w:val="22"/>
          <w:szCs w:val="22"/>
          <w:lang w:val="sk-SK"/>
        </w:rPr>
        <w:t>ej</w:t>
      </w:r>
      <w:r w:rsidRPr="00BB23DE">
        <w:rPr>
          <w:snapToGrid w:val="0"/>
          <w:sz w:val="22"/>
          <w:szCs w:val="22"/>
          <w:lang w:val="sk-SK"/>
        </w:rPr>
        <w:t xml:space="preserve"> expoz</w:t>
      </w:r>
      <w:r>
        <w:rPr>
          <w:snapToGrid w:val="0"/>
          <w:sz w:val="22"/>
          <w:szCs w:val="22"/>
          <w:lang w:val="sk-SK"/>
        </w:rPr>
        <w:t>í</w:t>
      </w:r>
      <w:r w:rsidRPr="0056305E">
        <w:rPr>
          <w:snapToGrid w:val="0"/>
          <w:sz w:val="22"/>
          <w:szCs w:val="22"/>
          <w:lang w:val="sk-SK"/>
        </w:rPr>
        <w:t>ci</w:t>
      </w:r>
      <w:r>
        <w:rPr>
          <w:snapToGrid w:val="0"/>
          <w:sz w:val="22"/>
          <w:szCs w:val="22"/>
          <w:lang w:val="sk-SK"/>
        </w:rPr>
        <w:t>i</w:t>
      </w:r>
      <w:r w:rsidRPr="0056305E">
        <w:rPr>
          <w:snapToGrid w:val="0"/>
          <w:sz w:val="22"/>
          <w:szCs w:val="22"/>
          <w:lang w:val="sk-SK"/>
        </w:rPr>
        <w:t xml:space="preserve"> ritonaviru je t</w:t>
      </w:r>
      <w:r>
        <w:rPr>
          <w:snapToGrid w:val="0"/>
          <w:sz w:val="22"/>
          <w:szCs w:val="22"/>
          <w:lang w:val="sk-SK"/>
        </w:rPr>
        <w:t>á</w:t>
      </w:r>
      <w:r w:rsidRPr="0056305E">
        <w:rPr>
          <w:snapToGrid w:val="0"/>
          <w:sz w:val="22"/>
          <w:szCs w:val="22"/>
          <w:lang w:val="sk-SK"/>
        </w:rPr>
        <w:t>to inhib</w:t>
      </w:r>
      <w:r>
        <w:rPr>
          <w:snapToGrid w:val="0"/>
          <w:sz w:val="22"/>
          <w:szCs w:val="22"/>
          <w:lang w:val="sk-SK"/>
        </w:rPr>
        <w:t>ícia</w:t>
      </w:r>
      <w:r w:rsidRPr="00BB23DE">
        <w:rPr>
          <w:snapToGrid w:val="0"/>
          <w:sz w:val="22"/>
          <w:szCs w:val="22"/>
          <w:lang w:val="sk-SK"/>
        </w:rPr>
        <w:t xml:space="preserve"> </w:t>
      </w:r>
      <w:r>
        <w:rPr>
          <w:snapToGrid w:val="0"/>
          <w:sz w:val="22"/>
          <w:szCs w:val="22"/>
          <w:lang w:val="sk-SK"/>
        </w:rPr>
        <w:t>rušená</w:t>
      </w:r>
      <w:r w:rsidRPr="0056305E">
        <w:rPr>
          <w:snapToGrid w:val="0"/>
          <w:sz w:val="22"/>
          <w:szCs w:val="22"/>
          <w:lang w:val="sk-SK"/>
        </w:rPr>
        <w:t xml:space="preserve"> indukc</w:t>
      </w:r>
      <w:r>
        <w:rPr>
          <w:snapToGrid w:val="0"/>
          <w:sz w:val="22"/>
          <w:szCs w:val="22"/>
          <w:lang w:val="sk-SK"/>
        </w:rPr>
        <w:t>iou</w:t>
      </w:r>
      <w:r w:rsidRPr="0056305E">
        <w:rPr>
          <w:snapToGrid w:val="0"/>
          <w:sz w:val="22"/>
          <w:szCs w:val="22"/>
          <w:lang w:val="sk-SK"/>
        </w:rPr>
        <w:t xml:space="preserve"> CYP3A. </w:t>
      </w:r>
      <w:r>
        <w:rPr>
          <w:snapToGrid w:val="0"/>
          <w:sz w:val="22"/>
          <w:szCs w:val="22"/>
          <w:lang w:val="sk-SK"/>
        </w:rPr>
        <w:t>T</w:t>
      </w:r>
      <w:r w:rsidRPr="0056305E">
        <w:rPr>
          <w:snapToGrid w:val="0"/>
          <w:sz w:val="22"/>
          <w:szCs w:val="22"/>
          <w:lang w:val="sk-SK"/>
        </w:rPr>
        <w:t>á</w:t>
      </w:r>
      <w:r>
        <w:rPr>
          <w:snapToGrid w:val="0"/>
          <w:sz w:val="22"/>
          <w:szCs w:val="22"/>
          <w:lang w:val="sk-SK"/>
        </w:rPr>
        <w:t>to</w:t>
      </w:r>
      <w:r w:rsidRPr="0056305E">
        <w:rPr>
          <w:snapToGrid w:val="0"/>
          <w:sz w:val="22"/>
          <w:szCs w:val="22"/>
          <w:lang w:val="sk-SK"/>
        </w:rPr>
        <w:t xml:space="preserve"> interakc</w:t>
      </w:r>
      <w:r>
        <w:rPr>
          <w:snapToGrid w:val="0"/>
          <w:sz w:val="22"/>
          <w:szCs w:val="22"/>
          <w:lang w:val="sk-SK"/>
        </w:rPr>
        <w:t>ia</w:t>
      </w:r>
      <w:r w:rsidRPr="0056305E">
        <w:rPr>
          <w:snapToGrid w:val="0"/>
          <w:sz w:val="22"/>
          <w:szCs w:val="22"/>
          <w:lang w:val="sk-SK"/>
        </w:rPr>
        <w:t xml:space="preserve"> vyžad</w:t>
      </w:r>
      <w:r>
        <w:rPr>
          <w:snapToGrid w:val="0"/>
          <w:sz w:val="22"/>
          <w:szCs w:val="22"/>
          <w:lang w:val="sk-SK"/>
        </w:rPr>
        <w:t>uje</w:t>
      </w:r>
      <w:r w:rsidRPr="0056305E">
        <w:rPr>
          <w:snapToGrid w:val="0"/>
          <w:sz w:val="22"/>
          <w:szCs w:val="22"/>
          <w:lang w:val="sk-SK"/>
        </w:rPr>
        <w:t xml:space="preserve"> úpravu dávk</w:t>
      </w:r>
      <w:r>
        <w:rPr>
          <w:snapToGrid w:val="0"/>
          <w:sz w:val="22"/>
          <w:szCs w:val="22"/>
          <w:lang w:val="sk-SK"/>
        </w:rPr>
        <w:t>y</w:t>
      </w:r>
      <w:r w:rsidRPr="0056305E">
        <w:rPr>
          <w:snapToGrid w:val="0"/>
          <w:sz w:val="22"/>
          <w:szCs w:val="22"/>
          <w:lang w:val="sk-SK"/>
        </w:rPr>
        <w:t xml:space="preserve"> </w:t>
      </w:r>
      <w:r>
        <w:rPr>
          <w:snapToGrid w:val="0"/>
          <w:sz w:val="22"/>
          <w:szCs w:val="22"/>
          <w:lang w:val="sk-SK"/>
        </w:rPr>
        <w:t>al</w:t>
      </w:r>
      <w:r w:rsidRPr="0056305E">
        <w:rPr>
          <w:snapToGrid w:val="0"/>
          <w:sz w:val="22"/>
          <w:szCs w:val="22"/>
          <w:lang w:val="sk-SK"/>
        </w:rPr>
        <w:t>ebo u</w:t>
      </w:r>
      <w:r>
        <w:rPr>
          <w:snapToGrid w:val="0"/>
          <w:sz w:val="22"/>
          <w:szCs w:val="22"/>
          <w:lang w:val="sk-SK"/>
        </w:rPr>
        <w:t>konč</w:t>
      </w:r>
      <w:r w:rsidRPr="0056305E">
        <w:rPr>
          <w:snapToGrid w:val="0"/>
          <w:sz w:val="22"/>
          <w:szCs w:val="22"/>
          <w:lang w:val="sk-SK"/>
        </w:rPr>
        <w:t>en</w:t>
      </w:r>
      <w:r>
        <w:rPr>
          <w:snapToGrid w:val="0"/>
          <w:sz w:val="22"/>
          <w:szCs w:val="22"/>
          <w:lang w:val="sk-SK"/>
        </w:rPr>
        <w:t>ie</w:t>
      </w:r>
      <w:r w:rsidRPr="0056305E">
        <w:rPr>
          <w:snapToGrid w:val="0"/>
          <w:sz w:val="22"/>
          <w:szCs w:val="22"/>
          <w:lang w:val="sk-SK"/>
        </w:rPr>
        <w:t xml:space="preserve"> l</w:t>
      </w:r>
      <w:r>
        <w:rPr>
          <w:snapToGrid w:val="0"/>
          <w:sz w:val="22"/>
          <w:szCs w:val="22"/>
          <w:lang w:val="sk-SK"/>
        </w:rPr>
        <w:t>ie</w:t>
      </w:r>
      <w:r w:rsidRPr="0056305E">
        <w:rPr>
          <w:snapToGrid w:val="0"/>
          <w:sz w:val="22"/>
          <w:szCs w:val="22"/>
          <w:lang w:val="sk-SK"/>
        </w:rPr>
        <w:t>čby alprazolam</w:t>
      </w:r>
      <w:r>
        <w:rPr>
          <w:snapToGrid w:val="0"/>
          <w:sz w:val="22"/>
          <w:szCs w:val="22"/>
          <w:lang w:val="sk-SK"/>
        </w:rPr>
        <w:t>o</w:t>
      </w:r>
      <w:r w:rsidRPr="0056305E">
        <w:rPr>
          <w:snapToGrid w:val="0"/>
          <w:sz w:val="22"/>
          <w:szCs w:val="22"/>
          <w:lang w:val="sk-SK"/>
        </w:rPr>
        <w:t>m</w:t>
      </w:r>
      <w:r>
        <w:rPr>
          <w:snapToGrid w:val="0"/>
          <w:sz w:val="22"/>
          <w:szCs w:val="22"/>
          <w:lang w:val="sk-SK"/>
        </w:rPr>
        <w:t>.</w:t>
      </w:r>
    </w:p>
    <w:p w14:paraId="0E8F1D99" w14:textId="77777777" w:rsidR="00AB6209" w:rsidRPr="00AB6209" w:rsidRDefault="00AB6209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236F2112" w14:textId="77777777" w:rsidR="005D16E1" w:rsidRPr="00AB6209" w:rsidRDefault="005D16E1" w:rsidP="00923694">
      <w:pPr>
        <w:tabs>
          <w:tab w:val="left" w:pos="8505"/>
        </w:tabs>
        <w:spacing w:before="0"/>
        <w:ind w:right="566"/>
        <w:jc w:val="left"/>
        <w:rPr>
          <w:b/>
          <w:sz w:val="22"/>
          <w:szCs w:val="22"/>
          <w:lang w:val="sk-SK"/>
        </w:rPr>
      </w:pPr>
      <w:r w:rsidRPr="00AB6209">
        <w:rPr>
          <w:b/>
          <w:color w:val="000000"/>
          <w:sz w:val="22"/>
          <w:szCs w:val="22"/>
          <w:lang w:val="sk-SK"/>
        </w:rPr>
        <w:t>4.6</w:t>
      </w:r>
      <w:r w:rsidR="00727FF9" w:rsidRPr="00AB6209">
        <w:rPr>
          <w:b/>
          <w:sz w:val="22"/>
          <w:szCs w:val="22"/>
          <w:lang w:val="sk-SK"/>
        </w:rPr>
        <w:t xml:space="preserve">     </w:t>
      </w:r>
      <w:r w:rsidR="00C57A6D" w:rsidRPr="00AB6209">
        <w:rPr>
          <w:b/>
          <w:sz w:val="22"/>
          <w:szCs w:val="22"/>
          <w:lang w:val="sk-SK"/>
        </w:rPr>
        <w:t>Fertilita, g</w:t>
      </w:r>
      <w:r w:rsidR="00727FF9" w:rsidRPr="00AB6209">
        <w:rPr>
          <w:b/>
          <w:sz w:val="22"/>
          <w:szCs w:val="22"/>
          <w:lang w:val="sk-SK"/>
        </w:rPr>
        <w:t>ravidita a</w:t>
      </w:r>
      <w:r w:rsidR="00C57A6D" w:rsidRPr="00AB6209">
        <w:rPr>
          <w:b/>
          <w:sz w:val="22"/>
          <w:szCs w:val="22"/>
          <w:lang w:val="sk-SK"/>
        </w:rPr>
        <w:t> </w:t>
      </w:r>
      <w:r w:rsidR="00727FF9" w:rsidRPr="00AB6209">
        <w:rPr>
          <w:b/>
          <w:sz w:val="22"/>
          <w:szCs w:val="22"/>
          <w:lang w:val="sk-SK"/>
        </w:rPr>
        <w:t>laktácia</w:t>
      </w:r>
    </w:p>
    <w:p w14:paraId="795462A3" w14:textId="77777777" w:rsidR="00C57A6D" w:rsidRPr="00AB6209" w:rsidRDefault="00C57A6D" w:rsidP="00923694">
      <w:pPr>
        <w:tabs>
          <w:tab w:val="left" w:pos="8505"/>
        </w:tabs>
        <w:spacing w:before="0"/>
        <w:ind w:right="566"/>
        <w:jc w:val="left"/>
        <w:rPr>
          <w:b/>
          <w:color w:val="000000"/>
          <w:sz w:val="22"/>
          <w:szCs w:val="22"/>
          <w:lang w:val="sk-SK"/>
        </w:rPr>
      </w:pPr>
    </w:p>
    <w:p w14:paraId="355902C6" w14:textId="7042F9B7" w:rsidR="001C681A" w:rsidRPr="00AB6209" w:rsidRDefault="001C681A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u w:val="single"/>
          <w:lang w:val="sk-SK"/>
        </w:rPr>
      </w:pPr>
      <w:r w:rsidRPr="00FF70E0">
        <w:rPr>
          <w:color w:val="000000"/>
          <w:sz w:val="22"/>
          <w:u w:val="single"/>
          <w:lang w:val="sk-SK"/>
        </w:rPr>
        <w:t xml:space="preserve">Gravidita </w:t>
      </w:r>
    </w:p>
    <w:p w14:paraId="32CC2DA3" w14:textId="3D5226E7" w:rsidR="007051A7" w:rsidRDefault="00353EC2" w:rsidP="00CE5C2C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Údaje o teratogenite a účinkoch na postnatálny vývoj a </w:t>
      </w:r>
      <w:r w:rsidR="00C54B57">
        <w:rPr>
          <w:color w:val="000000"/>
          <w:sz w:val="22"/>
          <w:szCs w:val="22"/>
          <w:lang w:val="sk-SK"/>
        </w:rPr>
        <w:t>správanie</w:t>
      </w:r>
      <w:r>
        <w:rPr>
          <w:color w:val="000000"/>
          <w:sz w:val="22"/>
          <w:szCs w:val="22"/>
          <w:lang w:val="sk-SK"/>
        </w:rPr>
        <w:t xml:space="preserve"> po užití lieku nie sú konzistentné. </w:t>
      </w:r>
      <w:r w:rsidR="007051A7" w:rsidRPr="00AB6209">
        <w:rPr>
          <w:color w:val="000000"/>
          <w:sz w:val="22"/>
          <w:szCs w:val="22"/>
          <w:lang w:val="sk-SK"/>
        </w:rPr>
        <w:t xml:space="preserve">Veľké množstvo dát na základe kohortných štúdií </w:t>
      </w:r>
      <w:r>
        <w:rPr>
          <w:color w:val="000000"/>
          <w:sz w:val="22"/>
          <w:szCs w:val="22"/>
          <w:lang w:val="sk-SK"/>
        </w:rPr>
        <w:t>indikuje</w:t>
      </w:r>
      <w:r w:rsidR="007051A7" w:rsidRPr="00353EC2">
        <w:rPr>
          <w:color w:val="000000"/>
          <w:sz w:val="22"/>
          <w:szCs w:val="22"/>
          <w:lang w:val="sk-SK"/>
        </w:rPr>
        <w:t>, že expozícia benzodiazepíno</w:t>
      </w:r>
      <w:r w:rsidR="00FC27E0" w:rsidRPr="00353EC2">
        <w:rPr>
          <w:color w:val="000000"/>
          <w:sz w:val="22"/>
          <w:szCs w:val="22"/>
          <w:lang w:val="sk-SK"/>
        </w:rPr>
        <w:t>m</w:t>
      </w:r>
      <w:r w:rsidR="007051A7" w:rsidRPr="00353EC2">
        <w:rPr>
          <w:color w:val="000000"/>
          <w:sz w:val="22"/>
          <w:szCs w:val="22"/>
          <w:lang w:val="sk-SK"/>
        </w:rPr>
        <w:t xml:space="preserve"> v prvom trimestri </w:t>
      </w:r>
      <w:r>
        <w:rPr>
          <w:color w:val="000000"/>
          <w:sz w:val="22"/>
          <w:szCs w:val="22"/>
          <w:lang w:val="sk-SK"/>
        </w:rPr>
        <w:t>nemá za následok</w:t>
      </w:r>
      <w:r w:rsidR="007051A7" w:rsidRPr="00353EC2">
        <w:rPr>
          <w:color w:val="000000"/>
          <w:sz w:val="22"/>
          <w:szCs w:val="22"/>
          <w:lang w:val="sk-SK"/>
        </w:rPr>
        <w:t xml:space="preserve"> zvýšen</w:t>
      </w:r>
      <w:r>
        <w:rPr>
          <w:color w:val="000000"/>
          <w:sz w:val="22"/>
          <w:szCs w:val="22"/>
          <w:lang w:val="sk-SK"/>
        </w:rPr>
        <w:t>é</w:t>
      </w:r>
      <w:r w:rsidR="007051A7" w:rsidRPr="00353EC2">
        <w:rPr>
          <w:color w:val="000000"/>
          <w:sz w:val="22"/>
          <w:szCs w:val="22"/>
          <w:lang w:val="sk-SK"/>
        </w:rPr>
        <w:t xml:space="preserve"> rizik</w:t>
      </w:r>
      <w:r>
        <w:rPr>
          <w:color w:val="000000"/>
          <w:sz w:val="22"/>
          <w:szCs w:val="22"/>
          <w:lang w:val="sk-SK"/>
        </w:rPr>
        <w:t>o</w:t>
      </w:r>
      <w:r w:rsidR="007051A7" w:rsidRPr="00353EC2">
        <w:rPr>
          <w:color w:val="000000"/>
          <w:sz w:val="22"/>
          <w:szCs w:val="22"/>
          <w:lang w:val="sk-SK"/>
        </w:rPr>
        <w:t xml:space="preserve"> </w:t>
      </w:r>
      <w:r>
        <w:rPr>
          <w:color w:val="000000"/>
          <w:sz w:val="22"/>
          <w:szCs w:val="22"/>
          <w:lang w:val="sk-SK"/>
        </w:rPr>
        <w:t>významných</w:t>
      </w:r>
      <w:r w:rsidR="007051A7" w:rsidRPr="00353EC2">
        <w:rPr>
          <w:color w:val="000000"/>
          <w:sz w:val="22"/>
          <w:szCs w:val="22"/>
          <w:lang w:val="sk-SK"/>
        </w:rPr>
        <w:t xml:space="preserve"> malformáci</w:t>
      </w:r>
      <w:r>
        <w:rPr>
          <w:color w:val="000000"/>
          <w:sz w:val="22"/>
          <w:szCs w:val="22"/>
          <w:lang w:val="sk-SK"/>
        </w:rPr>
        <w:t>í</w:t>
      </w:r>
      <w:r w:rsidR="007051A7" w:rsidRPr="00353EC2">
        <w:rPr>
          <w:color w:val="000000"/>
          <w:sz w:val="22"/>
          <w:szCs w:val="22"/>
          <w:lang w:val="sk-SK"/>
        </w:rPr>
        <w:t xml:space="preserve">. Avšak </w:t>
      </w:r>
      <w:r>
        <w:rPr>
          <w:color w:val="000000"/>
          <w:sz w:val="22"/>
          <w:szCs w:val="22"/>
          <w:lang w:val="sk-SK"/>
        </w:rPr>
        <w:t xml:space="preserve">z </w:t>
      </w:r>
      <w:r w:rsidR="007051A7" w:rsidRPr="00353EC2">
        <w:rPr>
          <w:color w:val="000000"/>
          <w:sz w:val="22"/>
          <w:szCs w:val="22"/>
          <w:lang w:val="sk-SK"/>
        </w:rPr>
        <w:t>niektor</w:t>
      </w:r>
      <w:r>
        <w:rPr>
          <w:color w:val="000000"/>
          <w:sz w:val="22"/>
          <w:szCs w:val="22"/>
          <w:lang w:val="sk-SK"/>
        </w:rPr>
        <w:t>ých</w:t>
      </w:r>
      <w:r w:rsidR="007051A7" w:rsidRPr="00353EC2">
        <w:rPr>
          <w:color w:val="000000"/>
          <w:sz w:val="22"/>
          <w:szCs w:val="22"/>
          <w:lang w:val="sk-SK"/>
        </w:rPr>
        <w:t xml:space="preserve"> epidemiologick</w:t>
      </w:r>
      <w:r>
        <w:rPr>
          <w:color w:val="000000"/>
          <w:sz w:val="22"/>
          <w:szCs w:val="22"/>
          <w:lang w:val="sk-SK"/>
        </w:rPr>
        <w:t>ých</w:t>
      </w:r>
      <w:r w:rsidR="007051A7" w:rsidRPr="00353EC2">
        <w:rPr>
          <w:color w:val="000000"/>
          <w:sz w:val="22"/>
          <w:szCs w:val="22"/>
          <w:lang w:val="sk-SK"/>
        </w:rPr>
        <w:t xml:space="preserve"> štúdi</w:t>
      </w:r>
      <w:r>
        <w:rPr>
          <w:color w:val="000000"/>
          <w:sz w:val="22"/>
          <w:szCs w:val="22"/>
          <w:lang w:val="sk-SK"/>
        </w:rPr>
        <w:t>í</w:t>
      </w:r>
      <w:r w:rsidR="007051A7" w:rsidRPr="00353EC2">
        <w:rPr>
          <w:color w:val="000000"/>
          <w:sz w:val="22"/>
          <w:szCs w:val="22"/>
          <w:lang w:val="sk-SK"/>
        </w:rPr>
        <w:t xml:space="preserve"> </w:t>
      </w:r>
      <w:r>
        <w:rPr>
          <w:color w:val="000000"/>
          <w:sz w:val="22"/>
          <w:szCs w:val="22"/>
          <w:lang w:val="sk-SK"/>
        </w:rPr>
        <w:t>vyplýva</w:t>
      </w:r>
      <w:r w:rsidR="007051A7" w:rsidRPr="00353EC2">
        <w:rPr>
          <w:color w:val="000000"/>
          <w:sz w:val="22"/>
          <w:szCs w:val="22"/>
          <w:lang w:val="sk-SK"/>
        </w:rPr>
        <w:t xml:space="preserve"> </w:t>
      </w:r>
      <w:r>
        <w:rPr>
          <w:color w:val="000000"/>
          <w:sz w:val="22"/>
          <w:szCs w:val="22"/>
          <w:lang w:val="sk-SK"/>
        </w:rPr>
        <w:t xml:space="preserve">dvojnásobné </w:t>
      </w:r>
      <w:r w:rsidR="007051A7" w:rsidRPr="00353EC2">
        <w:rPr>
          <w:color w:val="000000"/>
          <w:sz w:val="22"/>
          <w:szCs w:val="22"/>
          <w:lang w:val="sk-SK"/>
        </w:rPr>
        <w:t>riziko rázštepov</w:t>
      </w:r>
      <w:r>
        <w:rPr>
          <w:color w:val="000000"/>
          <w:sz w:val="22"/>
          <w:szCs w:val="22"/>
          <w:lang w:val="sk-SK"/>
        </w:rPr>
        <w:t xml:space="preserve"> pier</w:t>
      </w:r>
      <w:r w:rsidR="007051A7" w:rsidRPr="00353EC2">
        <w:rPr>
          <w:color w:val="000000"/>
          <w:sz w:val="22"/>
          <w:szCs w:val="22"/>
          <w:lang w:val="sk-SK"/>
        </w:rPr>
        <w:t xml:space="preserve"> </w:t>
      </w:r>
      <w:r>
        <w:rPr>
          <w:color w:val="000000"/>
          <w:sz w:val="22"/>
          <w:szCs w:val="22"/>
          <w:lang w:val="sk-SK"/>
        </w:rPr>
        <w:t>(</w:t>
      </w:r>
      <w:r w:rsidR="007051A7" w:rsidRPr="00353EC2">
        <w:rPr>
          <w:color w:val="000000"/>
          <w:sz w:val="22"/>
          <w:szCs w:val="22"/>
          <w:lang w:val="sk-SK"/>
        </w:rPr>
        <w:t>menej než 2/1 000</w:t>
      </w:r>
      <w:r>
        <w:rPr>
          <w:color w:val="000000"/>
          <w:sz w:val="22"/>
          <w:szCs w:val="22"/>
          <w:lang w:val="sk-SK"/>
        </w:rPr>
        <w:t xml:space="preserve"> novorodencov)</w:t>
      </w:r>
      <w:r w:rsidR="00FF70E0">
        <w:rPr>
          <w:color w:val="000000"/>
          <w:sz w:val="22"/>
          <w:szCs w:val="22"/>
          <w:lang w:val="sk-SK"/>
        </w:rPr>
        <w:t>.</w:t>
      </w:r>
    </w:p>
    <w:p w14:paraId="5DFF9989" w14:textId="77777777" w:rsidR="00353EC2" w:rsidRPr="00353EC2" w:rsidRDefault="00353EC2" w:rsidP="00CE5C2C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31B1F603" w14:textId="77777777" w:rsidR="007051A7" w:rsidRDefault="00353EC2" w:rsidP="00CE5C2C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Pri podaní</w:t>
      </w:r>
      <w:r w:rsidR="007051A7" w:rsidRPr="00353EC2">
        <w:rPr>
          <w:color w:val="000000"/>
          <w:sz w:val="22"/>
          <w:szCs w:val="22"/>
          <w:lang w:val="sk-SK"/>
        </w:rPr>
        <w:t xml:space="preserve"> benzodiazepínov </w:t>
      </w:r>
      <w:r>
        <w:rPr>
          <w:color w:val="000000"/>
          <w:sz w:val="22"/>
          <w:szCs w:val="22"/>
          <w:lang w:val="sk-SK"/>
        </w:rPr>
        <w:t xml:space="preserve">vo vysokých dávkach </w:t>
      </w:r>
      <w:r w:rsidR="007051A7" w:rsidRPr="00353EC2">
        <w:rPr>
          <w:color w:val="000000"/>
          <w:sz w:val="22"/>
          <w:szCs w:val="22"/>
          <w:lang w:val="sk-SK"/>
        </w:rPr>
        <w:t xml:space="preserve">v priebehu druhého a/alebo tretieho trimestra gravidity </w:t>
      </w:r>
      <w:r>
        <w:rPr>
          <w:color w:val="000000"/>
          <w:sz w:val="22"/>
          <w:szCs w:val="22"/>
          <w:lang w:val="sk-SK"/>
        </w:rPr>
        <w:t>došlo k zníženiu</w:t>
      </w:r>
      <w:r w:rsidR="007051A7" w:rsidRPr="00353EC2">
        <w:rPr>
          <w:color w:val="000000"/>
          <w:sz w:val="22"/>
          <w:szCs w:val="22"/>
          <w:lang w:val="sk-SK"/>
        </w:rPr>
        <w:t xml:space="preserve"> aktívnych pohybov plodu a </w:t>
      </w:r>
      <w:r>
        <w:rPr>
          <w:color w:val="000000"/>
          <w:sz w:val="22"/>
          <w:szCs w:val="22"/>
          <w:lang w:val="sk-SK"/>
        </w:rPr>
        <w:t>kolísavosti</w:t>
      </w:r>
      <w:r w:rsidR="007051A7" w:rsidRPr="00353EC2">
        <w:rPr>
          <w:color w:val="000000"/>
          <w:sz w:val="22"/>
          <w:szCs w:val="22"/>
          <w:lang w:val="sk-SK"/>
        </w:rPr>
        <w:t xml:space="preserve"> </w:t>
      </w:r>
      <w:r w:rsidR="00FC27E0" w:rsidRPr="00353EC2">
        <w:rPr>
          <w:color w:val="000000"/>
          <w:sz w:val="22"/>
          <w:szCs w:val="22"/>
          <w:lang w:val="sk-SK"/>
        </w:rPr>
        <w:t>srdcov</w:t>
      </w:r>
      <w:r w:rsidR="007051A7" w:rsidRPr="00353EC2">
        <w:rPr>
          <w:color w:val="000000"/>
          <w:sz w:val="22"/>
          <w:szCs w:val="22"/>
          <w:lang w:val="sk-SK"/>
        </w:rPr>
        <w:t xml:space="preserve">ého rytmu plodu. </w:t>
      </w:r>
    </w:p>
    <w:p w14:paraId="13379162" w14:textId="77777777" w:rsidR="00353EC2" w:rsidRPr="00353EC2" w:rsidRDefault="00353EC2" w:rsidP="00CE5C2C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55D10A3B" w14:textId="77777777" w:rsidR="007051A7" w:rsidRPr="00B205BE" w:rsidRDefault="007051A7" w:rsidP="005E7891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353EC2">
        <w:rPr>
          <w:color w:val="000000"/>
          <w:sz w:val="22"/>
          <w:szCs w:val="22"/>
          <w:lang w:val="sk-SK"/>
        </w:rPr>
        <w:t>Pokiaľ je z </w:t>
      </w:r>
      <w:r w:rsidR="00353EC2">
        <w:rPr>
          <w:color w:val="000000"/>
          <w:sz w:val="22"/>
          <w:szCs w:val="22"/>
          <w:lang w:val="sk-SK"/>
        </w:rPr>
        <w:t>klinickýc</w:t>
      </w:r>
      <w:r w:rsidR="00B205BE">
        <w:rPr>
          <w:color w:val="000000"/>
          <w:sz w:val="22"/>
          <w:szCs w:val="22"/>
          <w:lang w:val="sk-SK"/>
        </w:rPr>
        <w:t>h</w:t>
      </w:r>
      <w:r w:rsidRPr="00353EC2">
        <w:rPr>
          <w:color w:val="000000"/>
          <w:sz w:val="22"/>
          <w:szCs w:val="22"/>
          <w:lang w:val="sk-SK"/>
        </w:rPr>
        <w:t xml:space="preserve"> dôvodov nutn</w:t>
      </w:r>
      <w:r w:rsidR="00B205BE">
        <w:rPr>
          <w:color w:val="000000"/>
          <w:sz w:val="22"/>
          <w:szCs w:val="22"/>
          <w:lang w:val="sk-SK"/>
        </w:rPr>
        <w:t>á liečba</w:t>
      </w:r>
      <w:r w:rsidRPr="00353EC2">
        <w:rPr>
          <w:color w:val="000000"/>
          <w:sz w:val="22"/>
          <w:szCs w:val="22"/>
          <w:lang w:val="sk-SK"/>
        </w:rPr>
        <w:t xml:space="preserve"> v priebehu posledn</w:t>
      </w:r>
      <w:r w:rsidR="00B205BE">
        <w:rPr>
          <w:color w:val="000000"/>
          <w:sz w:val="22"/>
          <w:szCs w:val="22"/>
          <w:lang w:val="sk-SK"/>
        </w:rPr>
        <w:t>ého</w:t>
      </w:r>
      <w:r w:rsidR="00C54B57">
        <w:rPr>
          <w:color w:val="000000"/>
          <w:sz w:val="22"/>
          <w:szCs w:val="22"/>
          <w:lang w:val="sk-SK"/>
        </w:rPr>
        <w:t xml:space="preserve"> </w:t>
      </w:r>
      <w:r w:rsidR="00B205BE">
        <w:rPr>
          <w:color w:val="000000"/>
          <w:sz w:val="22"/>
          <w:szCs w:val="22"/>
          <w:lang w:val="sk-SK"/>
        </w:rPr>
        <w:t>trimestra</w:t>
      </w:r>
      <w:r w:rsidRPr="00B205BE">
        <w:rPr>
          <w:color w:val="000000"/>
          <w:sz w:val="22"/>
          <w:szCs w:val="22"/>
          <w:lang w:val="sk-SK"/>
        </w:rPr>
        <w:t xml:space="preserve"> i </w:t>
      </w:r>
      <w:r w:rsidR="00C54B57">
        <w:rPr>
          <w:color w:val="000000"/>
          <w:sz w:val="22"/>
          <w:szCs w:val="22"/>
          <w:lang w:val="sk-SK"/>
        </w:rPr>
        <w:t>pri</w:t>
      </w:r>
      <w:r w:rsidRPr="00B205BE">
        <w:rPr>
          <w:color w:val="000000"/>
          <w:sz w:val="22"/>
          <w:szCs w:val="22"/>
          <w:lang w:val="sk-SK"/>
        </w:rPr>
        <w:t> nízkych dávkach,</w:t>
      </w:r>
      <w:r w:rsidR="00B205BE">
        <w:rPr>
          <w:color w:val="000000"/>
          <w:sz w:val="22"/>
          <w:szCs w:val="22"/>
          <w:lang w:val="sk-SK"/>
        </w:rPr>
        <w:t xml:space="preserve"> je možné pozorovať „</w:t>
      </w:r>
      <w:r w:rsidRPr="00B205BE">
        <w:rPr>
          <w:color w:val="000000"/>
          <w:sz w:val="22"/>
          <w:szCs w:val="22"/>
          <w:lang w:val="sk-SK"/>
        </w:rPr>
        <w:t>floppy infant syndróm</w:t>
      </w:r>
      <w:r w:rsidR="00B205BE">
        <w:rPr>
          <w:color w:val="000000"/>
          <w:sz w:val="22"/>
          <w:szCs w:val="22"/>
          <w:lang w:val="sk-SK"/>
        </w:rPr>
        <w:t>“, ako</w:t>
      </w:r>
      <w:r w:rsidRPr="00B205BE">
        <w:rPr>
          <w:color w:val="000000"/>
          <w:sz w:val="22"/>
          <w:szCs w:val="22"/>
          <w:lang w:val="sk-SK"/>
        </w:rPr>
        <w:t xml:space="preserve"> axiálna hypotónia </w:t>
      </w:r>
      <w:r w:rsidR="00B205BE">
        <w:rPr>
          <w:color w:val="000000"/>
          <w:sz w:val="22"/>
          <w:szCs w:val="22"/>
          <w:lang w:val="sk-SK"/>
        </w:rPr>
        <w:t xml:space="preserve">alebo </w:t>
      </w:r>
      <w:r w:rsidRPr="00B205BE">
        <w:rPr>
          <w:color w:val="000000"/>
          <w:sz w:val="22"/>
          <w:szCs w:val="22"/>
          <w:lang w:val="sk-SK"/>
        </w:rPr>
        <w:t>sacie problémy vedúce k </w:t>
      </w:r>
      <w:r w:rsidR="00B205BE">
        <w:rPr>
          <w:color w:val="000000"/>
          <w:sz w:val="22"/>
          <w:szCs w:val="22"/>
          <w:lang w:val="sk-SK"/>
        </w:rPr>
        <w:t>nízkej hmotnosti</w:t>
      </w:r>
      <w:r w:rsidRPr="00B205BE">
        <w:rPr>
          <w:color w:val="000000"/>
          <w:sz w:val="22"/>
          <w:szCs w:val="22"/>
          <w:lang w:val="sk-SK"/>
        </w:rPr>
        <w:t xml:space="preserve">. Tieto príznaky sú reverzibilné, ale môžu trvať 1 </w:t>
      </w:r>
      <w:r w:rsidR="00B205BE">
        <w:rPr>
          <w:color w:val="000000"/>
          <w:sz w:val="22"/>
          <w:szCs w:val="22"/>
          <w:lang w:val="sk-SK"/>
        </w:rPr>
        <w:t>až</w:t>
      </w:r>
      <w:r w:rsidRPr="00B205BE">
        <w:rPr>
          <w:color w:val="000000"/>
          <w:sz w:val="22"/>
          <w:szCs w:val="22"/>
          <w:lang w:val="sk-SK"/>
        </w:rPr>
        <w:t xml:space="preserve"> 3 týžd</w:t>
      </w:r>
      <w:r w:rsidR="00B205BE">
        <w:rPr>
          <w:color w:val="000000"/>
          <w:sz w:val="22"/>
          <w:szCs w:val="22"/>
          <w:lang w:val="sk-SK"/>
        </w:rPr>
        <w:t>ne</w:t>
      </w:r>
      <w:r w:rsidRPr="00B205BE">
        <w:rPr>
          <w:color w:val="000000"/>
          <w:sz w:val="22"/>
          <w:szCs w:val="22"/>
          <w:lang w:val="sk-SK"/>
        </w:rPr>
        <w:t xml:space="preserve">, v závislosti na polčase lieku. Pri vysokých dávkach </w:t>
      </w:r>
      <w:r w:rsidR="00B205BE">
        <w:rPr>
          <w:color w:val="000000"/>
          <w:sz w:val="22"/>
          <w:szCs w:val="22"/>
          <w:lang w:val="sk-SK"/>
        </w:rPr>
        <w:t xml:space="preserve">sa </w:t>
      </w:r>
      <w:r w:rsidRPr="00B205BE">
        <w:rPr>
          <w:color w:val="000000"/>
          <w:sz w:val="22"/>
          <w:szCs w:val="22"/>
          <w:lang w:val="sk-SK"/>
        </w:rPr>
        <w:t xml:space="preserve">môže </w:t>
      </w:r>
      <w:r w:rsidR="00B205BE">
        <w:rPr>
          <w:color w:val="000000"/>
          <w:sz w:val="22"/>
          <w:szCs w:val="22"/>
          <w:lang w:val="sk-SK"/>
        </w:rPr>
        <w:t>u novorodencov objaviť</w:t>
      </w:r>
      <w:r w:rsidRPr="00B205BE">
        <w:rPr>
          <w:color w:val="000000"/>
          <w:sz w:val="22"/>
          <w:szCs w:val="22"/>
          <w:lang w:val="sk-SK"/>
        </w:rPr>
        <w:t xml:space="preserve"> respiračná depresia alebo apnoe a hypotermia. Okrem toho môžu byť niekoľko dní po narodení pozorované abstinenčné príznaky s hyperexcitabilitou, agitácia a trasenie, i keď nie sú pozorované žiadne príznaky </w:t>
      </w:r>
      <w:r w:rsidR="00B205BE">
        <w:rPr>
          <w:color w:val="000000"/>
          <w:sz w:val="22"/>
          <w:szCs w:val="22"/>
          <w:lang w:val="sk-SK"/>
        </w:rPr>
        <w:t>„</w:t>
      </w:r>
      <w:r w:rsidRPr="00B205BE">
        <w:rPr>
          <w:color w:val="000000"/>
          <w:sz w:val="22"/>
          <w:szCs w:val="22"/>
          <w:lang w:val="sk-SK"/>
        </w:rPr>
        <w:t>floppy infant syndrómu</w:t>
      </w:r>
      <w:r w:rsidR="00B205BE">
        <w:rPr>
          <w:color w:val="000000"/>
          <w:sz w:val="22"/>
          <w:szCs w:val="22"/>
          <w:lang w:val="sk-SK"/>
        </w:rPr>
        <w:t>“</w:t>
      </w:r>
      <w:r w:rsidRPr="00B205BE">
        <w:rPr>
          <w:color w:val="000000"/>
          <w:sz w:val="22"/>
          <w:szCs w:val="22"/>
          <w:lang w:val="sk-SK"/>
        </w:rPr>
        <w:t>. Prejavenie sa abstinenčných príznakov po pôrode závisí od polčasu látky.</w:t>
      </w:r>
    </w:p>
    <w:p w14:paraId="4F826B06" w14:textId="77777777" w:rsidR="007051A7" w:rsidRDefault="007051A7" w:rsidP="005E7891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5950AD1B" w14:textId="62D29192" w:rsidR="00B205BE" w:rsidRPr="00B205BE" w:rsidRDefault="00B205BE" w:rsidP="00FF70E0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Alprazolam nesmie byť počas tehotenstva užívaný, ak to nie je vzhľadom k stavu pacientky nevyhnutné. Ak je alprazolam užívaný v priebehu tehotenstva, alebo pacientka v priebehu liečby otehotnie, musí byť poučená o rizikách pre plod.</w:t>
      </w:r>
    </w:p>
    <w:p w14:paraId="070DBC2E" w14:textId="77777777" w:rsidR="007051A7" w:rsidRPr="00E63AA1" w:rsidRDefault="007051A7" w:rsidP="001E553E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34F8DC3F" w14:textId="77777777" w:rsidR="007051A7" w:rsidRPr="00B205BE" w:rsidRDefault="007051A7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AC15AA">
        <w:rPr>
          <w:color w:val="000000"/>
          <w:sz w:val="22"/>
          <w:szCs w:val="22"/>
          <w:lang w:val="sk-SK"/>
        </w:rPr>
        <w:lastRenderedPageBreak/>
        <w:t xml:space="preserve">Ak je </w:t>
      </w:r>
      <w:r w:rsidR="00B205BE">
        <w:rPr>
          <w:color w:val="000000"/>
          <w:sz w:val="22"/>
          <w:szCs w:val="22"/>
          <w:lang w:val="sk-SK"/>
        </w:rPr>
        <w:t>liek podávaný</w:t>
      </w:r>
      <w:r w:rsidRPr="00B205BE">
        <w:rPr>
          <w:color w:val="000000"/>
          <w:sz w:val="22"/>
          <w:szCs w:val="22"/>
          <w:lang w:val="sk-SK"/>
        </w:rPr>
        <w:t xml:space="preserve"> v poslednej </w:t>
      </w:r>
      <w:r w:rsidR="00B205BE">
        <w:rPr>
          <w:color w:val="000000"/>
          <w:sz w:val="22"/>
          <w:szCs w:val="22"/>
          <w:lang w:val="sk-SK"/>
        </w:rPr>
        <w:t>fáze</w:t>
      </w:r>
      <w:r w:rsidRPr="00B205BE">
        <w:rPr>
          <w:color w:val="000000"/>
          <w:sz w:val="22"/>
          <w:szCs w:val="22"/>
          <w:lang w:val="sk-SK"/>
        </w:rPr>
        <w:t xml:space="preserve"> tehotenstva, je </w:t>
      </w:r>
      <w:r w:rsidR="00B205BE">
        <w:rPr>
          <w:color w:val="000000"/>
          <w:sz w:val="22"/>
          <w:szCs w:val="22"/>
          <w:lang w:val="sk-SK"/>
        </w:rPr>
        <w:t>nutné</w:t>
      </w:r>
      <w:r w:rsidRPr="00B205BE">
        <w:rPr>
          <w:color w:val="000000"/>
          <w:sz w:val="22"/>
          <w:szCs w:val="22"/>
          <w:lang w:val="sk-SK"/>
        </w:rPr>
        <w:t xml:space="preserve"> vyhnúť sa </w:t>
      </w:r>
      <w:r w:rsidR="00B205BE">
        <w:rPr>
          <w:color w:val="000000"/>
          <w:sz w:val="22"/>
          <w:szCs w:val="22"/>
          <w:lang w:val="sk-SK"/>
        </w:rPr>
        <w:t xml:space="preserve">podaniu </w:t>
      </w:r>
      <w:r w:rsidRPr="00B205BE">
        <w:rPr>
          <w:color w:val="000000"/>
          <w:sz w:val="22"/>
          <w:szCs w:val="22"/>
          <w:lang w:val="sk-SK"/>
        </w:rPr>
        <w:t>vysoký</w:t>
      </w:r>
      <w:r w:rsidR="00B205BE">
        <w:rPr>
          <w:color w:val="000000"/>
          <w:sz w:val="22"/>
          <w:szCs w:val="22"/>
          <w:lang w:val="sk-SK"/>
        </w:rPr>
        <w:t>ch</w:t>
      </w:r>
      <w:r w:rsidRPr="00B205BE">
        <w:rPr>
          <w:color w:val="000000"/>
          <w:sz w:val="22"/>
          <w:szCs w:val="22"/>
          <w:lang w:val="sk-SK"/>
        </w:rPr>
        <w:t xml:space="preserve"> dáv</w:t>
      </w:r>
      <w:r w:rsidR="00B205BE">
        <w:rPr>
          <w:color w:val="000000"/>
          <w:sz w:val="22"/>
          <w:szCs w:val="22"/>
          <w:lang w:val="sk-SK"/>
        </w:rPr>
        <w:t>o</w:t>
      </w:r>
      <w:r w:rsidRPr="00B205BE">
        <w:rPr>
          <w:color w:val="000000"/>
          <w:sz w:val="22"/>
          <w:szCs w:val="22"/>
          <w:lang w:val="sk-SK"/>
        </w:rPr>
        <w:t>k a u</w:t>
      </w:r>
      <w:r w:rsidR="00B205BE">
        <w:rPr>
          <w:color w:val="000000"/>
          <w:sz w:val="22"/>
          <w:szCs w:val="22"/>
          <w:lang w:val="sk-SK"/>
        </w:rPr>
        <w:t> </w:t>
      </w:r>
      <w:r w:rsidRPr="00B205BE">
        <w:rPr>
          <w:color w:val="000000"/>
          <w:sz w:val="22"/>
          <w:szCs w:val="22"/>
          <w:lang w:val="sk-SK"/>
        </w:rPr>
        <w:t>novorodencov</w:t>
      </w:r>
      <w:r w:rsidR="00B205BE">
        <w:rPr>
          <w:color w:val="000000"/>
          <w:sz w:val="22"/>
          <w:szCs w:val="22"/>
          <w:lang w:val="sk-SK"/>
        </w:rPr>
        <w:t xml:space="preserve"> je nutné monitorovať prípadný</w:t>
      </w:r>
      <w:r w:rsidRPr="00B205BE">
        <w:rPr>
          <w:color w:val="000000"/>
          <w:sz w:val="22"/>
          <w:szCs w:val="22"/>
          <w:lang w:val="sk-SK"/>
        </w:rPr>
        <w:t xml:space="preserve"> </w:t>
      </w:r>
      <w:r w:rsidR="00B205BE">
        <w:rPr>
          <w:color w:val="000000"/>
          <w:sz w:val="22"/>
          <w:szCs w:val="22"/>
          <w:lang w:val="sk-SK"/>
        </w:rPr>
        <w:t>„</w:t>
      </w:r>
      <w:r w:rsidRPr="00B205BE">
        <w:rPr>
          <w:color w:val="000000"/>
          <w:sz w:val="22"/>
          <w:szCs w:val="22"/>
          <w:lang w:val="sk-SK"/>
        </w:rPr>
        <w:t>floppy infant syndróm</w:t>
      </w:r>
      <w:r w:rsidR="00B205BE">
        <w:rPr>
          <w:color w:val="000000"/>
          <w:sz w:val="22"/>
          <w:szCs w:val="22"/>
          <w:lang w:val="sk-SK"/>
        </w:rPr>
        <w:t>“ či abstinenčný syndróm</w:t>
      </w:r>
      <w:r w:rsidRPr="00B205BE">
        <w:rPr>
          <w:color w:val="000000"/>
          <w:sz w:val="22"/>
          <w:szCs w:val="22"/>
          <w:lang w:val="sk-SK"/>
        </w:rPr>
        <w:t>.</w:t>
      </w:r>
    </w:p>
    <w:p w14:paraId="4A2624D1" w14:textId="77777777" w:rsidR="005D16E1" w:rsidRPr="00AC15AA" w:rsidRDefault="005D16E1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345F4E27" w14:textId="77777777" w:rsidR="00C6738C" w:rsidRPr="00923694" w:rsidRDefault="00B205BE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u w:val="single"/>
          <w:lang w:val="sk-SK"/>
        </w:rPr>
      </w:pPr>
      <w:r>
        <w:rPr>
          <w:color w:val="000000"/>
          <w:sz w:val="22"/>
          <w:szCs w:val="22"/>
          <w:u w:val="single"/>
          <w:lang w:val="sk-SK"/>
        </w:rPr>
        <w:t>Dojčenie</w:t>
      </w:r>
      <w:r w:rsidR="00C6738C" w:rsidRPr="00B205BE">
        <w:rPr>
          <w:color w:val="000000"/>
          <w:sz w:val="22"/>
          <w:szCs w:val="22"/>
          <w:u w:val="single"/>
          <w:lang w:val="sk-SK"/>
        </w:rPr>
        <w:t xml:space="preserve"> </w:t>
      </w:r>
    </w:p>
    <w:p w14:paraId="4745FB0B" w14:textId="77777777" w:rsidR="005D16E1" w:rsidRPr="0060426F" w:rsidRDefault="00B205BE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Hladiny a</w:t>
      </w:r>
      <w:r w:rsidR="005D16E1" w:rsidRPr="00CE5C2C">
        <w:rPr>
          <w:color w:val="000000"/>
          <w:sz w:val="22"/>
          <w:szCs w:val="22"/>
          <w:lang w:val="sk-SK"/>
        </w:rPr>
        <w:t>lprazolam</w:t>
      </w:r>
      <w:r>
        <w:rPr>
          <w:color w:val="000000"/>
          <w:sz w:val="22"/>
          <w:szCs w:val="22"/>
          <w:lang w:val="sk-SK"/>
        </w:rPr>
        <w:t>u</w:t>
      </w:r>
      <w:r w:rsidR="005D16E1" w:rsidRPr="00CE5C2C">
        <w:rPr>
          <w:color w:val="000000"/>
          <w:sz w:val="22"/>
          <w:szCs w:val="22"/>
          <w:lang w:val="sk-SK"/>
        </w:rPr>
        <w:t xml:space="preserve"> vyluč</w:t>
      </w:r>
      <w:r>
        <w:rPr>
          <w:color w:val="000000"/>
          <w:sz w:val="22"/>
          <w:szCs w:val="22"/>
          <w:lang w:val="sk-SK"/>
        </w:rPr>
        <w:t>ované</w:t>
      </w:r>
      <w:r w:rsidR="005D16E1" w:rsidRPr="00CE5C2C">
        <w:rPr>
          <w:color w:val="000000"/>
          <w:sz w:val="22"/>
          <w:szCs w:val="22"/>
          <w:lang w:val="sk-SK"/>
        </w:rPr>
        <w:t xml:space="preserve"> do materského mlieka</w:t>
      </w:r>
      <w:r w:rsidR="00C6738C" w:rsidRPr="00CE5C2C">
        <w:rPr>
          <w:color w:val="000000"/>
          <w:sz w:val="22"/>
          <w:szCs w:val="22"/>
          <w:lang w:val="sk-SK"/>
        </w:rPr>
        <w:t xml:space="preserve"> </w:t>
      </w:r>
      <w:r>
        <w:rPr>
          <w:color w:val="000000"/>
          <w:sz w:val="22"/>
          <w:szCs w:val="22"/>
          <w:lang w:val="sk-SK"/>
        </w:rPr>
        <w:t>sú nízke</w:t>
      </w:r>
      <w:r w:rsidR="005D16E1" w:rsidRPr="0060426F">
        <w:rPr>
          <w:color w:val="000000"/>
          <w:sz w:val="22"/>
          <w:szCs w:val="22"/>
          <w:lang w:val="sk-SK"/>
        </w:rPr>
        <w:t>.</w:t>
      </w:r>
      <w:r>
        <w:rPr>
          <w:color w:val="000000"/>
          <w:sz w:val="22"/>
          <w:szCs w:val="22"/>
          <w:lang w:val="sk-SK"/>
        </w:rPr>
        <w:t xml:space="preserve"> Avšak dojčenie nie je v priebehu liečby alprazolamom odporúčané.</w:t>
      </w:r>
    </w:p>
    <w:p w14:paraId="62BCBCC5" w14:textId="77777777" w:rsidR="005D16E1" w:rsidRPr="001E553E" w:rsidRDefault="005D16E1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7DA2C15B" w14:textId="59F03E29" w:rsidR="005D16E1" w:rsidRPr="00AB6209" w:rsidRDefault="005D16E1" w:rsidP="00FF70E0">
      <w:pPr>
        <w:tabs>
          <w:tab w:val="left" w:pos="8505"/>
        </w:tabs>
        <w:spacing w:before="0"/>
        <w:ind w:right="566"/>
        <w:jc w:val="left"/>
        <w:rPr>
          <w:b/>
          <w:color w:val="000000"/>
          <w:sz w:val="22"/>
          <w:szCs w:val="22"/>
          <w:lang w:val="sk-SK"/>
        </w:rPr>
      </w:pPr>
      <w:r w:rsidRPr="00AB6209">
        <w:rPr>
          <w:b/>
          <w:color w:val="000000"/>
          <w:sz w:val="22"/>
          <w:szCs w:val="22"/>
          <w:lang w:val="sk-SK"/>
        </w:rPr>
        <w:t>4.7</w:t>
      </w:r>
      <w:r w:rsidR="00727FF9" w:rsidRPr="00AB6209">
        <w:rPr>
          <w:b/>
          <w:color w:val="000000"/>
          <w:sz w:val="22"/>
          <w:szCs w:val="22"/>
          <w:lang w:val="sk-SK"/>
        </w:rPr>
        <w:t xml:space="preserve">     </w:t>
      </w:r>
      <w:r w:rsidRPr="00AB6209">
        <w:rPr>
          <w:b/>
          <w:color w:val="000000"/>
          <w:sz w:val="22"/>
          <w:szCs w:val="22"/>
          <w:lang w:val="sk-SK"/>
        </w:rPr>
        <w:t>Ovplyvnenie schopnosti viesť vozidlá a obsluhovať stroje</w:t>
      </w:r>
    </w:p>
    <w:p w14:paraId="67E0C08F" w14:textId="77777777" w:rsidR="007051A7" w:rsidRPr="00AB6209" w:rsidRDefault="007051A7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34481B92" w14:textId="77777777" w:rsidR="00C54B57" w:rsidRPr="008603B0" w:rsidRDefault="00C54B57" w:rsidP="00C54B57">
      <w:pPr>
        <w:rPr>
          <w:iCs/>
          <w:sz w:val="22"/>
          <w:szCs w:val="22"/>
          <w:lang w:val="sk-SK"/>
        </w:rPr>
      </w:pPr>
      <w:r w:rsidRPr="008603B0">
        <w:rPr>
          <w:iCs/>
          <w:sz w:val="22"/>
          <w:szCs w:val="22"/>
          <w:lang w:val="sk-SK"/>
        </w:rPr>
        <w:t xml:space="preserve">Tak ako aj pri iných liekoch s vplyvom na centrálny nervový systém, pacienti liečení Neurolom musia byť poučení, že nemajú viesť vozidlá a obsluhovať nebezpečné stroje, pokiaľ si nebudú istí, </w:t>
      </w:r>
    </w:p>
    <w:p w14:paraId="4D567FEA" w14:textId="77777777" w:rsidR="00C54B57" w:rsidRDefault="00C54B57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8603B0">
        <w:rPr>
          <w:iCs/>
          <w:sz w:val="22"/>
          <w:szCs w:val="22"/>
          <w:lang w:val="sk-SK"/>
        </w:rPr>
        <w:t>že užívanie tohto lieku u nich nevyvoláva ospalosť či závraty.</w:t>
      </w:r>
    </w:p>
    <w:p w14:paraId="0A75FF9D" w14:textId="77777777" w:rsidR="00C54B57" w:rsidRDefault="00C54B57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6BDBE813" w14:textId="77777777" w:rsidR="005D16E1" w:rsidRPr="008B6A9D" w:rsidRDefault="00B205BE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Schopnosť viesť vozidlá a obsluhovať stroje môže byť negatívne ovplyvnená </w:t>
      </w:r>
      <w:r w:rsidR="007051A7" w:rsidRPr="00AB6209">
        <w:rPr>
          <w:color w:val="000000"/>
          <w:sz w:val="22"/>
          <w:szCs w:val="22"/>
          <w:lang w:val="sk-SK"/>
        </w:rPr>
        <w:t>sedáci</w:t>
      </w:r>
      <w:r>
        <w:rPr>
          <w:color w:val="000000"/>
          <w:sz w:val="22"/>
          <w:szCs w:val="22"/>
          <w:lang w:val="sk-SK"/>
        </w:rPr>
        <w:t>ou</w:t>
      </w:r>
      <w:r w:rsidR="007051A7" w:rsidRPr="00AB6209">
        <w:rPr>
          <w:color w:val="000000"/>
          <w:sz w:val="22"/>
          <w:szCs w:val="22"/>
          <w:lang w:val="sk-SK"/>
        </w:rPr>
        <w:t>, amnézi</w:t>
      </w:r>
      <w:r>
        <w:rPr>
          <w:color w:val="000000"/>
          <w:sz w:val="22"/>
          <w:szCs w:val="22"/>
          <w:lang w:val="sk-SK"/>
        </w:rPr>
        <w:t>ou</w:t>
      </w:r>
      <w:r w:rsidR="007051A7" w:rsidRPr="00AB6209">
        <w:rPr>
          <w:color w:val="000000"/>
          <w:sz w:val="22"/>
          <w:szCs w:val="22"/>
          <w:lang w:val="sk-SK"/>
        </w:rPr>
        <w:t xml:space="preserve">, </w:t>
      </w:r>
      <w:r>
        <w:rPr>
          <w:color w:val="000000"/>
          <w:sz w:val="22"/>
          <w:szCs w:val="22"/>
          <w:lang w:val="sk-SK"/>
        </w:rPr>
        <w:t>poruchou</w:t>
      </w:r>
      <w:r w:rsidR="007051A7" w:rsidRPr="00AB6209">
        <w:rPr>
          <w:color w:val="000000"/>
          <w:sz w:val="22"/>
          <w:szCs w:val="22"/>
          <w:lang w:val="sk-SK"/>
        </w:rPr>
        <w:t xml:space="preserve"> koncentráci</w:t>
      </w:r>
      <w:r>
        <w:rPr>
          <w:color w:val="000000"/>
          <w:sz w:val="22"/>
          <w:szCs w:val="22"/>
          <w:lang w:val="sk-SK"/>
        </w:rPr>
        <w:t>e</w:t>
      </w:r>
      <w:r w:rsidR="007051A7" w:rsidRPr="00AB6209">
        <w:rPr>
          <w:color w:val="000000"/>
          <w:sz w:val="22"/>
          <w:szCs w:val="22"/>
          <w:lang w:val="sk-SK"/>
        </w:rPr>
        <w:t xml:space="preserve"> a </w:t>
      </w:r>
      <w:r>
        <w:rPr>
          <w:color w:val="000000"/>
          <w:sz w:val="22"/>
          <w:szCs w:val="22"/>
          <w:lang w:val="sk-SK"/>
        </w:rPr>
        <w:t>poruchou</w:t>
      </w:r>
      <w:r w:rsidR="007051A7" w:rsidRPr="00AB6209">
        <w:rPr>
          <w:color w:val="000000"/>
          <w:sz w:val="22"/>
          <w:szCs w:val="22"/>
          <w:lang w:val="sk-SK"/>
        </w:rPr>
        <w:t xml:space="preserve"> funkcie svalov</w:t>
      </w:r>
      <w:r w:rsidR="005D16E1" w:rsidRPr="00B205BE">
        <w:rPr>
          <w:color w:val="000000"/>
          <w:sz w:val="22"/>
          <w:szCs w:val="22"/>
          <w:lang w:val="sk-SK"/>
        </w:rPr>
        <w:t>.</w:t>
      </w:r>
      <w:r w:rsidR="0001298E" w:rsidRPr="0062507F">
        <w:rPr>
          <w:color w:val="000000"/>
          <w:sz w:val="22"/>
          <w:szCs w:val="22"/>
          <w:lang w:val="sk-SK"/>
        </w:rPr>
        <w:t xml:space="preserve"> </w:t>
      </w:r>
      <w:r w:rsidR="00F72635" w:rsidRPr="0062507F">
        <w:rPr>
          <w:color w:val="000000"/>
          <w:sz w:val="22"/>
          <w:szCs w:val="22"/>
          <w:lang w:val="sk-SK"/>
        </w:rPr>
        <w:t>V</w:t>
      </w:r>
      <w:r w:rsidR="0001298E" w:rsidRPr="0062507F">
        <w:rPr>
          <w:color w:val="000000"/>
          <w:sz w:val="22"/>
          <w:szCs w:val="22"/>
          <w:lang w:val="sk-SK"/>
        </w:rPr>
        <w:t xml:space="preserve"> prípade nedostatočnej dĺžky spánku sa </w:t>
      </w:r>
      <w:r w:rsidR="007051A7" w:rsidRPr="0062507F">
        <w:rPr>
          <w:color w:val="000000"/>
          <w:sz w:val="22"/>
          <w:szCs w:val="22"/>
          <w:lang w:val="sk-SK"/>
        </w:rPr>
        <w:t xml:space="preserve">môže zvýšiť </w:t>
      </w:r>
      <w:r w:rsidR="0001298E" w:rsidRPr="0062507F">
        <w:rPr>
          <w:color w:val="000000"/>
          <w:sz w:val="22"/>
          <w:szCs w:val="22"/>
          <w:lang w:val="sk-SK"/>
        </w:rPr>
        <w:t xml:space="preserve">pravdepodobnosť zhoršenia pozornosti </w:t>
      </w:r>
      <w:r w:rsidR="00F72635" w:rsidRPr="0062507F">
        <w:rPr>
          <w:color w:val="000000"/>
          <w:sz w:val="22"/>
          <w:szCs w:val="22"/>
          <w:lang w:val="sk-SK"/>
        </w:rPr>
        <w:t xml:space="preserve">(pozri časť </w:t>
      </w:r>
      <w:r w:rsidR="007051A7" w:rsidRPr="0062507F">
        <w:rPr>
          <w:color w:val="000000"/>
          <w:sz w:val="22"/>
          <w:szCs w:val="22"/>
          <w:lang w:val="sk-SK"/>
        </w:rPr>
        <w:t>4.5)</w:t>
      </w:r>
      <w:r w:rsidR="0001298E" w:rsidRPr="0062507F">
        <w:rPr>
          <w:color w:val="000000"/>
          <w:sz w:val="22"/>
          <w:szCs w:val="22"/>
          <w:lang w:val="sk-SK"/>
        </w:rPr>
        <w:t>.</w:t>
      </w:r>
      <w:r w:rsidR="007051A7" w:rsidRPr="0062507F">
        <w:rPr>
          <w:color w:val="000000"/>
          <w:sz w:val="22"/>
          <w:szCs w:val="22"/>
          <w:lang w:val="sk-SK"/>
        </w:rPr>
        <w:t xml:space="preserve"> </w:t>
      </w:r>
    </w:p>
    <w:p w14:paraId="6E630A06" w14:textId="77777777" w:rsidR="005D16E1" w:rsidRPr="00E63AA1" w:rsidRDefault="005D16E1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68848263" w14:textId="77777777" w:rsidR="005D16E1" w:rsidRPr="00AC15AA" w:rsidRDefault="005D16E1" w:rsidP="00923694">
      <w:pPr>
        <w:tabs>
          <w:tab w:val="left" w:pos="8505"/>
        </w:tabs>
        <w:spacing w:before="0"/>
        <w:ind w:right="566"/>
        <w:jc w:val="left"/>
        <w:rPr>
          <w:b/>
          <w:color w:val="000000"/>
          <w:sz w:val="22"/>
          <w:szCs w:val="22"/>
          <w:lang w:val="sk-SK"/>
        </w:rPr>
      </w:pPr>
      <w:r w:rsidRPr="00AC15AA">
        <w:rPr>
          <w:b/>
          <w:color w:val="000000"/>
          <w:sz w:val="22"/>
          <w:szCs w:val="22"/>
          <w:lang w:val="sk-SK"/>
        </w:rPr>
        <w:t>4.8</w:t>
      </w:r>
      <w:r w:rsidR="00727FF9" w:rsidRPr="00AC15AA">
        <w:rPr>
          <w:b/>
          <w:color w:val="000000"/>
          <w:sz w:val="22"/>
          <w:szCs w:val="22"/>
          <w:lang w:val="sk-SK"/>
        </w:rPr>
        <w:t xml:space="preserve">     </w:t>
      </w:r>
      <w:r w:rsidRPr="00AC15AA">
        <w:rPr>
          <w:b/>
          <w:color w:val="000000"/>
          <w:sz w:val="22"/>
          <w:szCs w:val="22"/>
          <w:lang w:val="sk-SK"/>
        </w:rPr>
        <w:t>Nežiaduce účinky</w:t>
      </w:r>
    </w:p>
    <w:p w14:paraId="3E8AF3B2" w14:textId="77777777" w:rsidR="00CA0BB2" w:rsidRPr="00495823" w:rsidRDefault="00CA0BB2" w:rsidP="00923694">
      <w:pPr>
        <w:tabs>
          <w:tab w:val="left" w:pos="8505"/>
        </w:tabs>
        <w:spacing w:before="0"/>
        <w:ind w:right="566"/>
        <w:jc w:val="left"/>
        <w:rPr>
          <w:b/>
          <w:color w:val="000000"/>
          <w:sz w:val="22"/>
          <w:szCs w:val="22"/>
          <w:lang w:val="sk-SK"/>
        </w:rPr>
      </w:pPr>
    </w:p>
    <w:p w14:paraId="2AB74B23" w14:textId="77777777" w:rsidR="00FF70E0" w:rsidRDefault="00F90892" w:rsidP="00CE5C2C">
      <w:pPr>
        <w:pStyle w:val="Zkladntext"/>
        <w:jc w:val="left"/>
        <w:rPr>
          <w:spacing w:val="-3"/>
          <w:sz w:val="22"/>
          <w:szCs w:val="22"/>
          <w:lang w:val="sk-SK"/>
        </w:rPr>
      </w:pPr>
      <w:r w:rsidRPr="001B7F4C">
        <w:rPr>
          <w:spacing w:val="-3"/>
          <w:sz w:val="22"/>
          <w:szCs w:val="22"/>
          <w:lang w:val="sk-SK"/>
        </w:rPr>
        <w:t>Nežiaduce účinky, ak sa vyskytnú, vo všeobecnosti sa spozorujú na začiatku liečby a zvyčajne vymiznú pri pokračovaní liečby alebo po znížení dávky.</w:t>
      </w:r>
      <w:r>
        <w:rPr>
          <w:spacing w:val="-3"/>
          <w:sz w:val="22"/>
          <w:szCs w:val="22"/>
          <w:lang w:val="sk-SK"/>
        </w:rPr>
        <w:t xml:space="preserve"> </w:t>
      </w:r>
    </w:p>
    <w:p w14:paraId="73B3C46F" w14:textId="54CA3AC8" w:rsidR="00CA0BB2" w:rsidRPr="005E7891" w:rsidRDefault="0062507F" w:rsidP="00CE5C2C">
      <w:pPr>
        <w:pStyle w:val="Zkladntext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Nasledujúce</w:t>
      </w:r>
      <w:r w:rsidR="00CA0BB2" w:rsidRPr="0062507F">
        <w:rPr>
          <w:sz w:val="22"/>
          <w:szCs w:val="22"/>
          <w:lang w:val="sk-SK"/>
        </w:rPr>
        <w:t xml:space="preserve"> nežiaduce účinky </w:t>
      </w:r>
      <w:r>
        <w:rPr>
          <w:sz w:val="22"/>
          <w:szCs w:val="22"/>
          <w:lang w:val="sk-SK"/>
        </w:rPr>
        <w:t xml:space="preserve">boli pozorované a hlásené u pacientov užívajúcich </w:t>
      </w:r>
      <w:r w:rsidR="00CA0BB2" w:rsidRPr="0062507F">
        <w:rPr>
          <w:sz w:val="22"/>
          <w:szCs w:val="22"/>
          <w:lang w:val="sk-SK"/>
        </w:rPr>
        <w:t>alprazolam</w:t>
      </w:r>
      <w:r w:rsidRPr="0062507F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v kontrolovaných klinických štúdiách a na základe skúseností po uvedení na trh s frekvenciou</w:t>
      </w:r>
      <w:r w:rsidR="00CA0BB2" w:rsidRPr="0062507F">
        <w:rPr>
          <w:sz w:val="22"/>
          <w:szCs w:val="22"/>
          <w:lang w:val="sk-SK"/>
        </w:rPr>
        <w:t xml:space="preserve">: </w:t>
      </w:r>
      <w:r>
        <w:rPr>
          <w:sz w:val="22"/>
          <w:szCs w:val="22"/>
          <w:lang w:val="sk-SK"/>
        </w:rPr>
        <w:t>v</w:t>
      </w:r>
      <w:r w:rsidR="00CA0BB2" w:rsidRPr="0062507F">
        <w:rPr>
          <w:sz w:val="22"/>
          <w:szCs w:val="22"/>
          <w:lang w:val="sk-SK"/>
        </w:rPr>
        <w:t>eľmi časté (≥</w:t>
      </w:r>
      <w:r>
        <w:rPr>
          <w:sz w:val="22"/>
          <w:szCs w:val="22"/>
          <w:lang w:val="sk-SK"/>
        </w:rPr>
        <w:t xml:space="preserve"> </w:t>
      </w:r>
      <w:r w:rsidR="00CA0BB2" w:rsidRPr="0062507F">
        <w:rPr>
          <w:sz w:val="22"/>
          <w:szCs w:val="22"/>
          <w:lang w:val="sk-SK"/>
        </w:rPr>
        <w:t xml:space="preserve">1/10); </w:t>
      </w:r>
      <w:r>
        <w:rPr>
          <w:sz w:val="22"/>
          <w:szCs w:val="22"/>
          <w:lang w:val="sk-SK"/>
        </w:rPr>
        <w:t>č</w:t>
      </w:r>
      <w:r w:rsidR="00CA0BB2" w:rsidRPr="0062507F">
        <w:rPr>
          <w:sz w:val="22"/>
          <w:szCs w:val="22"/>
          <w:lang w:val="sk-SK"/>
        </w:rPr>
        <w:t>asté (</w:t>
      </w:r>
      <w:r w:rsidR="00CA0BB2" w:rsidRPr="00CE5C2C">
        <w:rPr>
          <w:sz w:val="22"/>
          <w:szCs w:val="22"/>
          <w:lang w:val="sk-SK"/>
        </w:rPr>
        <w:sym w:font="Symbol" w:char="F0B3"/>
      </w:r>
      <w:r>
        <w:rPr>
          <w:sz w:val="22"/>
          <w:szCs w:val="22"/>
          <w:lang w:val="sk-SK"/>
        </w:rPr>
        <w:t xml:space="preserve"> </w:t>
      </w:r>
      <w:r w:rsidR="00CA0BB2" w:rsidRPr="00CE5C2C">
        <w:rPr>
          <w:sz w:val="22"/>
          <w:szCs w:val="22"/>
          <w:lang w:val="sk-SK"/>
        </w:rPr>
        <w:t>1/100 až &lt;</w:t>
      </w:r>
      <w:r>
        <w:rPr>
          <w:sz w:val="22"/>
          <w:szCs w:val="22"/>
          <w:lang w:val="sk-SK"/>
        </w:rPr>
        <w:t xml:space="preserve"> </w:t>
      </w:r>
      <w:r w:rsidR="00CA0BB2" w:rsidRPr="00CE5C2C">
        <w:rPr>
          <w:sz w:val="22"/>
          <w:szCs w:val="22"/>
          <w:lang w:val="sk-SK"/>
        </w:rPr>
        <w:t xml:space="preserve">1/10); </w:t>
      </w:r>
      <w:r>
        <w:rPr>
          <w:sz w:val="22"/>
          <w:szCs w:val="22"/>
          <w:lang w:val="sk-SK"/>
        </w:rPr>
        <w:t>m</w:t>
      </w:r>
      <w:r w:rsidR="00CA0BB2" w:rsidRPr="00CE5C2C">
        <w:rPr>
          <w:sz w:val="22"/>
          <w:szCs w:val="22"/>
          <w:lang w:val="sk-SK"/>
        </w:rPr>
        <w:t>enej časté (</w:t>
      </w:r>
      <w:r w:rsidR="00CA0BB2" w:rsidRPr="00CE5C2C">
        <w:rPr>
          <w:sz w:val="22"/>
          <w:szCs w:val="22"/>
          <w:lang w:val="sk-SK"/>
        </w:rPr>
        <w:sym w:font="Symbol" w:char="F0B3"/>
      </w:r>
      <w:r>
        <w:rPr>
          <w:sz w:val="22"/>
          <w:szCs w:val="22"/>
          <w:lang w:val="sk-SK"/>
        </w:rPr>
        <w:t xml:space="preserve"> </w:t>
      </w:r>
      <w:r w:rsidR="00CA0BB2" w:rsidRPr="00CE5C2C">
        <w:rPr>
          <w:sz w:val="22"/>
          <w:szCs w:val="22"/>
          <w:lang w:val="sk-SK"/>
        </w:rPr>
        <w:t>1/1 000 až &lt;</w:t>
      </w:r>
      <w:r>
        <w:rPr>
          <w:sz w:val="22"/>
          <w:szCs w:val="22"/>
          <w:lang w:val="sk-SK"/>
        </w:rPr>
        <w:t xml:space="preserve"> </w:t>
      </w:r>
      <w:r w:rsidR="00CA0BB2" w:rsidRPr="00CE5C2C">
        <w:rPr>
          <w:sz w:val="22"/>
          <w:szCs w:val="22"/>
          <w:lang w:val="sk-SK"/>
        </w:rPr>
        <w:t xml:space="preserve">1/100); </w:t>
      </w:r>
      <w:r>
        <w:rPr>
          <w:sz w:val="22"/>
          <w:szCs w:val="22"/>
          <w:lang w:val="sk-SK"/>
        </w:rPr>
        <w:t>z</w:t>
      </w:r>
      <w:r w:rsidR="00CA0BB2" w:rsidRPr="00CE5C2C">
        <w:rPr>
          <w:sz w:val="22"/>
          <w:szCs w:val="22"/>
          <w:lang w:val="sk-SK"/>
        </w:rPr>
        <w:t>riedkavé (</w:t>
      </w:r>
      <w:r w:rsidR="00CA0BB2" w:rsidRPr="00CE5C2C">
        <w:rPr>
          <w:sz w:val="22"/>
          <w:szCs w:val="22"/>
          <w:lang w:val="sk-SK"/>
        </w:rPr>
        <w:sym w:font="Symbol" w:char="F0B3"/>
      </w:r>
      <w:r>
        <w:rPr>
          <w:sz w:val="22"/>
          <w:szCs w:val="22"/>
          <w:lang w:val="sk-SK"/>
        </w:rPr>
        <w:t xml:space="preserve"> </w:t>
      </w:r>
      <w:r w:rsidR="00CA0BB2" w:rsidRPr="00CE5C2C">
        <w:rPr>
          <w:sz w:val="22"/>
          <w:szCs w:val="22"/>
          <w:lang w:val="sk-SK"/>
        </w:rPr>
        <w:t xml:space="preserve">1/10 000 až &lt; 1/1 000); </w:t>
      </w:r>
      <w:r>
        <w:rPr>
          <w:sz w:val="22"/>
          <w:szCs w:val="22"/>
          <w:lang w:val="sk-SK"/>
        </w:rPr>
        <w:t>v</w:t>
      </w:r>
      <w:r w:rsidR="00CA0BB2" w:rsidRPr="00CE5C2C">
        <w:rPr>
          <w:sz w:val="22"/>
          <w:szCs w:val="22"/>
          <w:lang w:val="sk-SK"/>
        </w:rPr>
        <w:t>eľmi zriedkavé (&lt;</w:t>
      </w:r>
      <w:r>
        <w:rPr>
          <w:sz w:val="22"/>
          <w:szCs w:val="22"/>
          <w:lang w:val="sk-SK"/>
        </w:rPr>
        <w:t xml:space="preserve"> </w:t>
      </w:r>
      <w:r w:rsidR="00CA0BB2" w:rsidRPr="00CE5C2C">
        <w:rPr>
          <w:sz w:val="22"/>
          <w:szCs w:val="22"/>
          <w:lang w:val="sk-SK"/>
        </w:rPr>
        <w:t xml:space="preserve">1/10 000); </w:t>
      </w:r>
      <w:r>
        <w:rPr>
          <w:sz w:val="22"/>
          <w:szCs w:val="22"/>
          <w:lang w:val="sk-SK"/>
        </w:rPr>
        <w:t>n</w:t>
      </w:r>
      <w:r w:rsidR="00CA0BB2" w:rsidRPr="005E7891">
        <w:rPr>
          <w:sz w:val="22"/>
          <w:szCs w:val="22"/>
          <w:lang w:val="sk-SK"/>
        </w:rPr>
        <w:t>eznáme (z dostupných údajov)</w:t>
      </w:r>
      <w:r>
        <w:rPr>
          <w:sz w:val="22"/>
          <w:szCs w:val="22"/>
          <w:lang w:val="sk-SK"/>
        </w:rPr>
        <w:t>:</w:t>
      </w:r>
    </w:p>
    <w:p w14:paraId="5283CF2F" w14:textId="77777777" w:rsidR="00CA0BB2" w:rsidRPr="001E553E" w:rsidRDefault="00CA0BB2" w:rsidP="00CE5C2C">
      <w:pPr>
        <w:pStyle w:val="Zkladntext"/>
        <w:jc w:val="left"/>
        <w:rPr>
          <w:sz w:val="22"/>
          <w:szCs w:val="22"/>
          <w:lang w:val="sk-SK"/>
        </w:rPr>
      </w:pPr>
    </w:p>
    <w:tbl>
      <w:tblPr>
        <w:tblW w:w="47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55"/>
        <w:gridCol w:w="1582"/>
        <w:gridCol w:w="3263"/>
      </w:tblGrid>
      <w:tr w:rsidR="00CA0BB2" w:rsidRPr="00923694" w14:paraId="3F60A207" w14:textId="77777777" w:rsidTr="00E23A5B">
        <w:tc>
          <w:tcPr>
            <w:tcW w:w="2278" w:type="pct"/>
          </w:tcPr>
          <w:p w14:paraId="25B01777" w14:textId="77777777" w:rsidR="00CA0BB2" w:rsidRPr="00923694" w:rsidRDefault="00CA0BB2" w:rsidP="00FF70E0">
            <w:pPr>
              <w:pStyle w:val="Hlavika"/>
              <w:contextualSpacing/>
              <w:jc w:val="left"/>
              <w:rPr>
                <w:b/>
                <w:noProof/>
                <w:sz w:val="22"/>
                <w:szCs w:val="22"/>
                <w:lang w:val="sk-SK"/>
              </w:rPr>
            </w:pPr>
            <w:r w:rsidRPr="00923694">
              <w:rPr>
                <w:b/>
                <w:noProof/>
                <w:sz w:val="22"/>
                <w:szCs w:val="22"/>
                <w:lang w:val="sk-SK"/>
              </w:rPr>
              <w:t>Trieda orgánových systémov podľa databázy MedDRA</w:t>
            </w:r>
          </w:p>
        </w:tc>
        <w:tc>
          <w:tcPr>
            <w:tcW w:w="889" w:type="pct"/>
          </w:tcPr>
          <w:p w14:paraId="6F80FE74" w14:textId="77777777" w:rsidR="00CA0BB2" w:rsidRPr="00923694" w:rsidRDefault="00CA0BB2" w:rsidP="00FF70E0">
            <w:pPr>
              <w:pStyle w:val="Hlavika"/>
              <w:contextualSpacing/>
              <w:jc w:val="left"/>
              <w:rPr>
                <w:b/>
                <w:noProof/>
                <w:sz w:val="22"/>
                <w:szCs w:val="22"/>
                <w:lang w:val="sk-SK"/>
              </w:rPr>
            </w:pPr>
            <w:r w:rsidRPr="00923694">
              <w:rPr>
                <w:b/>
                <w:noProof/>
                <w:sz w:val="22"/>
                <w:szCs w:val="22"/>
                <w:lang w:val="sk-SK"/>
              </w:rPr>
              <w:t xml:space="preserve">Frekvencia </w:t>
            </w:r>
          </w:p>
        </w:tc>
        <w:tc>
          <w:tcPr>
            <w:tcW w:w="1833" w:type="pct"/>
          </w:tcPr>
          <w:p w14:paraId="42AE9A42" w14:textId="77777777" w:rsidR="00CA0BB2" w:rsidRPr="00923694" w:rsidRDefault="00CA0BB2" w:rsidP="00FF70E0">
            <w:pPr>
              <w:pStyle w:val="Hlavika"/>
              <w:contextualSpacing/>
              <w:jc w:val="left"/>
              <w:rPr>
                <w:b/>
                <w:noProof/>
                <w:sz w:val="22"/>
                <w:szCs w:val="22"/>
                <w:lang w:val="sk-SK"/>
              </w:rPr>
            </w:pPr>
            <w:r w:rsidRPr="00923694">
              <w:rPr>
                <w:b/>
                <w:noProof/>
                <w:sz w:val="22"/>
                <w:szCs w:val="22"/>
                <w:lang w:val="sk-SK"/>
              </w:rPr>
              <w:t>Nežiaduci účinok</w:t>
            </w:r>
          </w:p>
        </w:tc>
      </w:tr>
      <w:tr w:rsidR="0025779A" w:rsidRPr="00923694" w14:paraId="7C090360" w14:textId="77777777" w:rsidTr="00E23A5B">
        <w:tc>
          <w:tcPr>
            <w:tcW w:w="2278" w:type="pct"/>
          </w:tcPr>
          <w:p w14:paraId="7934CE64" w14:textId="77777777" w:rsidR="0025779A" w:rsidRPr="00923694" w:rsidRDefault="0025779A" w:rsidP="00FF70E0">
            <w:pPr>
              <w:pStyle w:val="Hlavika"/>
              <w:contextualSpacing/>
              <w:jc w:val="left"/>
              <w:rPr>
                <w:b/>
                <w:noProof/>
                <w:sz w:val="22"/>
                <w:szCs w:val="22"/>
                <w:lang w:val="sk-SK"/>
              </w:rPr>
            </w:pPr>
            <w:r w:rsidRPr="00923694">
              <w:rPr>
                <w:bCs/>
                <w:snapToGrid w:val="0"/>
                <w:sz w:val="22"/>
                <w:szCs w:val="22"/>
                <w:lang w:val="sk-SK"/>
              </w:rPr>
              <w:t>Poruchy endokrinného systému</w:t>
            </w:r>
          </w:p>
        </w:tc>
        <w:tc>
          <w:tcPr>
            <w:tcW w:w="889" w:type="pct"/>
          </w:tcPr>
          <w:p w14:paraId="79DEC916" w14:textId="77777777" w:rsidR="0025779A" w:rsidRPr="00923694" w:rsidRDefault="0062507F" w:rsidP="00FF70E0">
            <w:pPr>
              <w:pStyle w:val="Hlavika"/>
              <w:contextualSpacing/>
              <w:jc w:val="left"/>
              <w:rPr>
                <w:b/>
                <w:noProof/>
                <w:sz w:val="22"/>
                <w:szCs w:val="22"/>
                <w:lang w:val="sk-SK"/>
              </w:rPr>
            </w:pPr>
            <w:r>
              <w:rPr>
                <w:bCs/>
                <w:snapToGrid w:val="0"/>
                <w:sz w:val="22"/>
                <w:szCs w:val="22"/>
                <w:lang w:val="sk-SK"/>
              </w:rPr>
              <w:t>neznáme</w:t>
            </w:r>
          </w:p>
        </w:tc>
        <w:tc>
          <w:tcPr>
            <w:tcW w:w="1833" w:type="pct"/>
          </w:tcPr>
          <w:p w14:paraId="72D54D72" w14:textId="77777777" w:rsidR="0025779A" w:rsidRPr="00923694" w:rsidRDefault="0025779A" w:rsidP="00FF70E0">
            <w:pPr>
              <w:pStyle w:val="Hlavika"/>
              <w:contextualSpacing/>
              <w:jc w:val="left"/>
              <w:rPr>
                <w:b/>
                <w:noProof/>
                <w:sz w:val="22"/>
                <w:szCs w:val="22"/>
                <w:lang w:val="sk-SK"/>
              </w:rPr>
            </w:pPr>
            <w:r w:rsidRPr="00923694">
              <w:rPr>
                <w:bCs/>
                <w:snapToGrid w:val="0"/>
                <w:sz w:val="22"/>
                <w:szCs w:val="22"/>
                <w:lang w:val="sk-SK"/>
              </w:rPr>
              <w:t>hyperprolaktinémia</w:t>
            </w:r>
            <w:r w:rsidR="0062507F">
              <w:rPr>
                <w:bCs/>
                <w:snapToGrid w:val="0"/>
                <w:sz w:val="22"/>
                <w:szCs w:val="22"/>
                <w:lang w:val="sk-SK"/>
              </w:rPr>
              <w:t>*</w:t>
            </w:r>
          </w:p>
        </w:tc>
      </w:tr>
      <w:tr w:rsidR="0025779A" w:rsidRPr="00923694" w14:paraId="0AAF63E7" w14:textId="77777777" w:rsidTr="00E23A5B">
        <w:tc>
          <w:tcPr>
            <w:tcW w:w="2278" w:type="pct"/>
          </w:tcPr>
          <w:p w14:paraId="00D3688C" w14:textId="77777777" w:rsidR="0025779A" w:rsidRPr="00923694" w:rsidRDefault="0025779A" w:rsidP="00FF70E0">
            <w:pPr>
              <w:pStyle w:val="Hlavika"/>
              <w:contextualSpacing/>
              <w:jc w:val="left"/>
              <w:rPr>
                <w:b/>
                <w:noProof/>
                <w:sz w:val="22"/>
                <w:szCs w:val="22"/>
                <w:lang w:val="sk-SK"/>
              </w:rPr>
            </w:pPr>
            <w:r w:rsidRPr="00923694">
              <w:rPr>
                <w:bCs/>
                <w:snapToGrid w:val="0"/>
                <w:sz w:val="22"/>
                <w:szCs w:val="22"/>
                <w:lang w:val="sk-SK"/>
              </w:rPr>
              <w:t xml:space="preserve">Poruchy metabolizmu a výživy </w:t>
            </w:r>
          </w:p>
        </w:tc>
        <w:tc>
          <w:tcPr>
            <w:tcW w:w="889" w:type="pct"/>
          </w:tcPr>
          <w:p w14:paraId="495E8146" w14:textId="77777777" w:rsidR="0025779A" w:rsidRPr="00923694" w:rsidRDefault="0062507F" w:rsidP="00FF70E0">
            <w:pPr>
              <w:pStyle w:val="Hlavika"/>
              <w:contextualSpacing/>
              <w:jc w:val="left"/>
              <w:rPr>
                <w:b/>
                <w:noProof/>
                <w:sz w:val="22"/>
                <w:szCs w:val="22"/>
                <w:lang w:val="sk-SK"/>
              </w:rPr>
            </w:pPr>
            <w:r>
              <w:rPr>
                <w:bCs/>
                <w:snapToGrid w:val="0"/>
                <w:sz w:val="22"/>
                <w:szCs w:val="22"/>
                <w:lang w:val="sk-SK"/>
              </w:rPr>
              <w:t>č</w:t>
            </w:r>
            <w:r w:rsidR="0025779A" w:rsidRPr="00923694">
              <w:rPr>
                <w:bCs/>
                <w:snapToGrid w:val="0"/>
                <w:sz w:val="22"/>
                <w:szCs w:val="22"/>
                <w:lang w:val="sk-SK"/>
              </w:rPr>
              <w:t>asté</w:t>
            </w:r>
          </w:p>
        </w:tc>
        <w:tc>
          <w:tcPr>
            <w:tcW w:w="1833" w:type="pct"/>
          </w:tcPr>
          <w:p w14:paraId="49924009" w14:textId="77777777" w:rsidR="0025779A" w:rsidRPr="00923694" w:rsidRDefault="00B61F93" w:rsidP="00FF70E0">
            <w:pPr>
              <w:pStyle w:val="Hlavika"/>
              <w:contextualSpacing/>
              <w:jc w:val="left"/>
              <w:rPr>
                <w:b/>
                <w:noProof/>
                <w:sz w:val="22"/>
                <w:szCs w:val="22"/>
                <w:lang w:val="sk-SK"/>
              </w:rPr>
            </w:pPr>
            <w:r w:rsidRPr="00923694">
              <w:rPr>
                <w:bCs/>
                <w:snapToGrid w:val="0"/>
                <w:sz w:val="22"/>
                <w:szCs w:val="22"/>
                <w:lang w:val="sk-SK"/>
              </w:rPr>
              <w:t>znížená chuť do jedla</w:t>
            </w:r>
          </w:p>
        </w:tc>
      </w:tr>
      <w:tr w:rsidR="00B61F93" w:rsidRPr="00923694" w14:paraId="40D6C4A7" w14:textId="77777777" w:rsidTr="00E23A5B">
        <w:trPr>
          <w:trHeight w:val="157"/>
        </w:trPr>
        <w:tc>
          <w:tcPr>
            <w:tcW w:w="2278" w:type="pct"/>
            <w:vMerge w:val="restart"/>
          </w:tcPr>
          <w:p w14:paraId="0598451A" w14:textId="77777777" w:rsidR="00B61F93" w:rsidRPr="00923694" w:rsidRDefault="00B61F93" w:rsidP="00FF70E0">
            <w:pPr>
              <w:contextualSpacing/>
              <w:jc w:val="left"/>
              <w:rPr>
                <w:noProof/>
                <w:sz w:val="22"/>
                <w:szCs w:val="22"/>
                <w:lang w:val="sk-SK"/>
              </w:rPr>
            </w:pPr>
            <w:r w:rsidRPr="00923694">
              <w:rPr>
                <w:noProof/>
                <w:sz w:val="22"/>
                <w:szCs w:val="22"/>
                <w:lang w:val="sk-SK"/>
              </w:rPr>
              <w:t>Psychické poruchy</w:t>
            </w:r>
          </w:p>
        </w:tc>
        <w:tc>
          <w:tcPr>
            <w:tcW w:w="889" w:type="pct"/>
          </w:tcPr>
          <w:p w14:paraId="3D9FA20E" w14:textId="77777777" w:rsidR="00B61F93" w:rsidRPr="00923694" w:rsidRDefault="0062507F" w:rsidP="00FF70E0">
            <w:pPr>
              <w:contextualSpacing/>
              <w:jc w:val="left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veľmi č</w:t>
            </w:r>
            <w:r w:rsidR="00B61F93" w:rsidRPr="00923694">
              <w:rPr>
                <w:sz w:val="22"/>
                <w:szCs w:val="22"/>
                <w:lang w:val="sk-SK"/>
              </w:rPr>
              <w:t xml:space="preserve">asté </w:t>
            </w:r>
          </w:p>
        </w:tc>
        <w:tc>
          <w:tcPr>
            <w:tcW w:w="1833" w:type="pct"/>
          </w:tcPr>
          <w:p w14:paraId="3018C1FD" w14:textId="77777777" w:rsidR="00B61F93" w:rsidRPr="00923694" w:rsidRDefault="00B61F93" w:rsidP="00FF70E0">
            <w:pPr>
              <w:contextualSpacing/>
              <w:jc w:val="left"/>
              <w:rPr>
                <w:noProof/>
                <w:sz w:val="22"/>
                <w:szCs w:val="22"/>
                <w:lang w:val="sk-SK"/>
              </w:rPr>
            </w:pPr>
            <w:r w:rsidRPr="00923694">
              <w:rPr>
                <w:noProof/>
                <w:sz w:val="22"/>
                <w:szCs w:val="22"/>
                <w:lang w:val="sk-SK"/>
              </w:rPr>
              <w:t>depresia</w:t>
            </w:r>
          </w:p>
        </w:tc>
      </w:tr>
      <w:tr w:rsidR="00B61F93" w:rsidRPr="00923694" w14:paraId="46939013" w14:textId="77777777" w:rsidTr="00E23A5B">
        <w:trPr>
          <w:trHeight w:val="156"/>
        </w:trPr>
        <w:tc>
          <w:tcPr>
            <w:tcW w:w="2278" w:type="pct"/>
            <w:vMerge/>
          </w:tcPr>
          <w:p w14:paraId="0A4307EC" w14:textId="77777777" w:rsidR="00B61F93" w:rsidRPr="00923694" w:rsidRDefault="00B61F93" w:rsidP="00FF70E0">
            <w:pPr>
              <w:contextualSpacing/>
              <w:jc w:val="left"/>
              <w:rPr>
                <w:noProof/>
                <w:sz w:val="22"/>
                <w:szCs w:val="22"/>
                <w:highlight w:val="green"/>
                <w:lang w:val="sk-SK"/>
              </w:rPr>
            </w:pPr>
          </w:p>
        </w:tc>
        <w:tc>
          <w:tcPr>
            <w:tcW w:w="889" w:type="pct"/>
          </w:tcPr>
          <w:p w14:paraId="4893A6A0" w14:textId="77777777" w:rsidR="00B61F93" w:rsidRPr="00923694" w:rsidRDefault="00B61F93" w:rsidP="00FF70E0">
            <w:pPr>
              <w:contextualSpacing/>
              <w:jc w:val="left"/>
              <w:rPr>
                <w:sz w:val="22"/>
                <w:szCs w:val="22"/>
                <w:lang w:val="sk-SK"/>
              </w:rPr>
            </w:pPr>
            <w:r w:rsidRPr="00923694">
              <w:rPr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1833" w:type="pct"/>
          </w:tcPr>
          <w:p w14:paraId="636C2350" w14:textId="77777777" w:rsidR="00B61F93" w:rsidRPr="00923694" w:rsidRDefault="0062507F" w:rsidP="00FF70E0">
            <w:pPr>
              <w:contextualSpacing/>
              <w:jc w:val="left"/>
              <w:rPr>
                <w:noProof/>
                <w:sz w:val="22"/>
                <w:szCs w:val="22"/>
                <w:lang w:val="sk-SK"/>
              </w:rPr>
            </w:pPr>
            <w:r>
              <w:rPr>
                <w:bCs/>
                <w:snapToGrid w:val="0"/>
                <w:sz w:val="22"/>
                <w:szCs w:val="22"/>
                <w:lang w:val="pl-PL"/>
              </w:rPr>
              <w:t xml:space="preserve">zmätenosť, dezorientácia, zníženie libida, </w:t>
            </w:r>
            <w:r w:rsidR="00B61F93" w:rsidRPr="00923694">
              <w:rPr>
                <w:noProof/>
                <w:sz w:val="22"/>
                <w:szCs w:val="22"/>
                <w:lang w:val="sk-SK"/>
              </w:rPr>
              <w:t xml:space="preserve">úzkosť, nespavosť, nervozita, </w:t>
            </w:r>
            <w:r>
              <w:rPr>
                <w:noProof/>
                <w:sz w:val="22"/>
                <w:szCs w:val="22"/>
                <w:lang w:val="sk-SK"/>
              </w:rPr>
              <w:t>zvýšenie libida</w:t>
            </w:r>
            <w:r w:rsidR="00F90892">
              <w:rPr>
                <w:noProof/>
                <w:sz w:val="22"/>
                <w:szCs w:val="22"/>
                <w:lang w:val="sk-SK"/>
              </w:rPr>
              <w:t>*</w:t>
            </w:r>
          </w:p>
        </w:tc>
      </w:tr>
      <w:tr w:rsidR="00B61F93" w:rsidRPr="00923694" w14:paraId="357B7EFD" w14:textId="77777777" w:rsidTr="00E23A5B">
        <w:trPr>
          <w:trHeight w:val="156"/>
        </w:trPr>
        <w:tc>
          <w:tcPr>
            <w:tcW w:w="2278" w:type="pct"/>
            <w:vMerge/>
          </w:tcPr>
          <w:p w14:paraId="260B04D7" w14:textId="77777777" w:rsidR="00B61F93" w:rsidRPr="00923694" w:rsidRDefault="00B61F93" w:rsidP="00FF70E0">
            <w:pPr>
              <w:contextualSpacing/>
              <w:jc w:val="left"/>
              <w:rPr>
                <w:noProof/>
                <w:sz w:val="22"/>
                <w:szCs w:val="22"/>
                <w:highlight w:val="green"/>
                <w:lang w:val="sk-SK"/>
              </w:rPr>
            </w:pPr>
          </w:p>
        </w:tc>
        <w:tc>
          <w:tcPr>
            <w:tcW w:w="889" w:type="pct"/>
          </w:tcPr>
          <w:p w14:paraId="0FC58114" w14:textId="77777777" w:rsidR="00B61F93" w:rsidRPr="00923694" w:rsidRDefault="0062507F" w:rsidP="00FF70E0">
            <w:pPr>
              <w:contextualSpacing/>
              <w:jc w:val="left"/>
              <w:rPr>
                <w:sz w:val="22"/>
                <w:szCs w:val="22"/>
                <w:lang w:val="sk-SK"/>
              </w:rPr>
            </w:pPr>
            <w:r>
              <w:rPr>
                <w:bCs/>
                <w:snapToGrid w:val="0"/>
                <w:sz w:val="22"/>
                <w:szCs w:val="22"/>
                <w:lang w:val="sk-SK"/>
              </w:rPr>
              <w:t>menej časté</w:t>
            </w:r>
          </w:p>
        </w:tc>
        <w:tc>
          <w:tcPr>
            <w:tcW w:w="1833" w:type="pct"/>
          </w:tcPr>
          <w:p w14:paraId="26F58EFE" w14:textId="77777777" w:rsidR="00B61F93" w:rsidRPr="00923694" w:rsidRDefault="0062507F" w:rsidP="00FF70E0">
            <w:pPr>
              <w:contextualSpacing/>
              <w:jc w:val="left"/>
              <w:rPr>
                <w:noProof/>
                <w:sz w:val="22"/>
                <w:szCs w:val="22"/>
                <w:lang w:val="sk-SK"/>
              </w:rPr>
            </w:pPr>
            <w:r>
              <w:rPr>
                <w:bCs/>
                <w:snapToGrid w:val="0"/>
                <w:sz w:val="22"/>
                <w:szCs w:val="22"/>
                <w:lang w:val="pl-PL"/>
              </w:rPr>
              <w:t>mánia* (pozri časť 4.4), halucinácie</w:t>
            </w:r>
            <w:r w:rsidR="008474E1">
              <w:rPr>
                <w:bCs/>
                <w:snapToGrid w:val="0"/>
                <w:sz w:val="22"/>
                <w:szCs w:val="22"/>
                <w:lang w:val="pl-PL"/>
              </w:rPr>
              <w:t>*</w:t>
            </w:r>
            <w:r>
              <w:rPr>
                <w:bCs/>
                <w:snapToGrid w:val="0"/>
                <w:sz w:val="22"/>
                <w:szCs w:val="22"/>
                <w:lang w:val="pl-PL"/>
              </w:rPr>
              <w:t>, zúrivosť*, agitovanosť*</w:t>
            </w:r>
          </w:p>
        </w:tc>
      </w:tr>
      <w:tr w:rsidR="00B61F93" w:rsidRPr="00923694" w14:paraId="6166F2D6" w14:textId="77777777" w:rsidTr="00E23A5B">
        <w:trPr>
          <w:trHeight w:val="156"/>
        </w:trPr>
        <w:tc>
          <w:tcPr>
            <w:tcW w:w="2278" w:type="pct"/>
            <w:vMerge/>
          </w:tcPr>
          <w:p w14:paraId="5DC38C25" w14:textId="77777777" w:rsidR="00B61F93" w:rsidRPr="00923694" w:rsidRDefault="00B61F93" w:rsidP="00FF70E0">
            <w:pPr>
              <w:contextualSpacing/>
              <w:jc w:val="left"/>
              <w:rPr>
                <w:noProof/>
                <w:sz w:val="22"/>
                <w:szCs w:val="22"/>
                <w:highlight w:val="green"/>
                <w:lang w:val="sk-SK"/>
              </w:rPr>
            </w:pPr>
          </w:p>
        </w:tc>
        <w:tc>
          <w:tcPr>
            <w:tcW w:w="889" w:type="pct"/>
          </w:tcPr>
          <w:p w14:paraId="31E45849" w14:textId="77777777" w:rsidR="00B61F93" w:rsidRPr="00923694" w:rsidRDefault="001E4C29" w:rsidP="00FF70E0">
            <w:pPr>
              <w:contextualSpacing/>
              <w:jc w:val="left"/>
              <w:rPr>
                <w:sz w:val="22"/>
                <w:szCs w:val="22"/>
                <w:lang w:val="sk-SK"/>
              </w:rPr>
            </w:pPr>
            <w:r>
              <w:rPr>
                <w:bCs/>
                <w:snapToGrid w:val="0"/>
                <w:sz w:val="22"/>
                <w:szCs w:val="22"/>
                <w:lang w:val="sk-SK"/>
              </w:rPr>
              <w:t>n</w:t>
            </w:r>
            <w:r w:rsidR="00B61F93" w:rsidRPr="00923694">
              <w:rPr>
                <w:bCs/>
                <w:snapToGrid w:val="0"/>
                <w:sz w:val="22"/>
                <w:szCs w:val="22"/>
                <w:lang w:val="sk-SK"/>
              </w:rPr>
              <w:t xml:space="preserve">eznáme </w:t>
            </w:r>
          </w:p>
        </w:tc>
        <w:tc>
          <w:tcPr>
            <w:tcW w:w="1833" w:type="pct"/>
          </w:tcPr>
          <w:p w14:paraId="201BB121" w14:textId="77777777" w:rsidR="00B61F93" w:rsidRPr="00923694" w:rsidRDefault="001E4C29" w:rsidP="00FF70E0">
            <w:pPr>
              <w:contextualSpacing/>
              <w:jc w:val="left"/>
              <w:rPr>
                <w:noProof/>
                <w:sz w:val="22"/>
                <w:szCs w:val="22"/>
                <w:lang w:val="sk-SK"/>
              </w:rPr>
            </w:pPr>
            <w:r>
              <w:rPr>
                <w:bCs/>
                <w:snapToGrid w:val="0"/>
                <w:sz w:val="22"/>
                <w:szCs w:val="22"/>
                <w:lang w:val="pl-PL"/>
              </w:rPr>
              <w:t>hypománia*, agresia</w:t>
            </w:r>
            <w:r w:rsidR="008474E1">
              <w:rPr>
                <w:bCs/>
                <w:snapToGrid w:val="0"/>
                <w:sz w:val="22"/>
                <w:szCs w:val="22"/>
                <w:lang w:val="pl-PL"/>
              </w:rPr>
              <w:t>*</w:t>
            </w:r>
            <w:r>
              <w:rPr>
                <w:bCs/>
                <w:snapToGrid w:val="0"/>
                <w:sz w:val="22"/>
                <w:szCs w:val="22"/>
                <w:lang w:val="pl-PL"/>
              </w:rPr>
              <w:t>, nepriateľské chovanie*, abnormálne myslenie*, psychomotorická hyperaktivita*</w:t>
            </w:r>
          </w:p>
        </w:tc>
      </w:tr>
      <w:tr w:rsidR="00B61F93" w:rsidRPr="00923694" w14:paraId="647257B1" w14:textId="77777777" w:rsidTr="00E23A5B">
        <w:trPr>
          <w:trHeight w:val="133"/>
        </w:trPr>
        <w:tc>
          <w:tcPr>
            <w:tcW w:w="2278" w:type="pct"/>
            <w:vMerge w:val="restart"/>
          </w:tcPr>
          <w:p w14:paraId="457EF041" w14:textId="77777777" w:rsidR="00B61F93" w:rsidRPr="00923694" w:rsidRDefault="00B61F93" w:rsidP="00FF70E0">
            <w:pPr>
              <w:contextualSpacing/>
              <w:jc w:val="left"/>
              <w:rPr>
                <w:noProof/>
                <w:sz w:val="22"/>
                <w:szCs w:val="22"/>
                <w:lang w:val="sk-SK"/>
              </w:rPr>
            </w:pPr>
            <w:r w:rsidRPr="00923694">
              <w:rPr>
                <w:noProof/>
                <w:sz w:val="22"/>
                <w:szCs w:val="22"/>
                <w:lang w:val="sk-SK"/>
              </w:rPr>
              <w:t xml:space="preserve">Poruchy nervového systému </w:t>
            </w:r>
          </w:p>
        </w:tc>
        <w:tc>
          <w:tcPr>
            <w:tcW w:w="889" w:type="pct"/>
          </w:tcPr>
          <w:p w14:paraId="31D3D8C3" w14:textId="77777777" w:rsidR="00B61F93" w:rsidRPr="00923694" w:rsidRDefault="001E4C29" w:rsidP="00FF70E0">
            <w:pPr>
              <w:contextualSpacing/>
              <w:jc w:val="left"/>
              <w:rPr>
                <w:noProof/>
                <w:sz w:val="22"/>
                <w:szCs w:val="22"/>
                <w:lang w:val="sk-SK"/>
              </w:rPr>
            </w:pPr>
            <w:r>
              <w:rPr>
                <w:noProof/>
                <w:sz w:val="22"/>
                <w:szCs w:val="22"/>
                <w:lang w:val="sk-SK"/>
              </w:rPr>
              <w:t>v</w:t>
            </w:r>
            <w:r w:rsidR="00B61F93" w:rsidRPr="00923694">
              <w:rPr>
                <w:noProof/>
                <w:sz w:val="22"/>
                <w:szCs w:val="22"/>
                <w:lang w:val="sk-SK"/>
              </w:rPr>
              <w:t>eľmi časté</w:t>
            </w:r>
          </w:p>
        </w:tc>
        <w:tc>
          <w:tcPr>
            <w:tcW w:w="1833" w:type="pct"/>
          </w:tcPr>
          <w:p w14:paraId="272F80F1" w14:textId="77777777" w:rsidR="00B61F93" w:rsidRPr="00923694" w:rsidRDefault="00B61F93" w:rsidP="00FF70E0">
            <w:pPr>
              <w:contextualSpacing/>
              <w:jc w:val="left"/>
              <w:rPr>
                <w:noProof/>
                <w:sz w:val="22"/>
                <w:szCs w:val="22"/>
                <w:lang w:val="sk-SK"/>
              </w:rPr>
            </w:pPr>
            <w:r w:rsidRPr="00923694">
              <w:rPr>
                <w:noProof/>
                <w:sz w:val="22"/>
                <w:szCs w:val="22"/>
                <w:lang w:val="sk-SK"/>
              </w:rPr>
              <w:t>sedácia, ospalosť</w:t>
            </w:r>
            <w:r w:rsidR="001E4C29">
              <w:rPr>
                <w:noProof/>
                <w:sz w:val="22"/>
                <w:szCs w:val="22"/>
                <w:lang w:val="sk-SK"/>
              </w:rPr>
              <w:t xml:space="preserve">, </w:t>
            </w:r>
            <w:r w:rsidR="001E4C29">
              <w:rPr>
                <w:bCs/>
                <w:snapToGrid w:val="0"/>
                <w:sz w:val="22"/>
                <w:szCs w:val="22"/>
                <w:lang w:val="pl-PL"/>
              </w:rPr>
              <w:t>, ataxia, porucha pamäti, nezretelná reč, závrat, bolesť hlavy</w:t>
            </w:r>
          </w:p>
        </w:tc>
      </w:tr>
      <w:tr w:rsidR="00B61F93" w:rsidRPr="00923694" w14:paraId="3A8D2641" w14:textId="77777777" w:rsidTr="00E23A5B">
        <w:trPr>
          <w:trHeight w:val="131"/>
        </w:trPr>
        <w:tc>
          <w:tcPr>
            <w:tcW w:w="2278" w:type="pct"/>
            <w:vMerge/>
          </w:tcPr>
          <w:p w14:paraId="119B1FB5" w14:textId="77777777" w:rsidR="00B61F93" w:rsidRPr="00923694" w:rsidRDefault="00B61F93" w:rsidP="00FF70E0">
            <w:pPr>
              <w:contextualSpacing/>
              <w:jc w:val="left"/>
              <w:rPr>
                <w:noProof/>
                <w:sz w:val="22"/>
                <w:szCs w:val="22"/>
                <w:lang w:val="sk-SK"/>
              </w:rPr>
            </w:pPr>
          </w:p>
        </w:tc>
        <w:tc>
          <w:tcPr>
            <w:tcW w:w="889" w:type="pct"/>
          </w:tcPr>
          <w:p w14:paraId="071C26A5" w14:textId="77777777" w:rsidR="00B61F93" w:rsidRPr="00923694" w:rsidRDefault="001E4C29" w:rsidP="00FF70E0">
            <w:pPr>
              <w:contextualSpacing/>
              <w:jc w:val="left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č</w:t>
            </w:r>
            <w:r w:rsidR="00B61F93" w:rsidRPr="00923694">
              <w:rPr>
                <w:sz w:val="22"/>
                <w:szCs w:val="22"/>
                <w:lang w:val="sk-SK"/>
              </w:rPr>
              <w:t xml:space="preserve">asté </w:t>
            </w:r>
          </w:p>
        </w:tc>
        <w:tc>
          <w:tcPr>
            <w:tcW w:w="1833" w:type="pct"/>
          </w:tcPr>
          <w:p w14:paraId="5E032AC8" w14:textId="77324675" w:rsidR="00B61F93" w:rsidRPr="00923694" w:rsidRDefault="001E4C29" w:rsidP="00FF70E0">
            <w:pPr>
              <w:contextualSpacing/>
              <w:jc w:val="left"/>
              <w:rPr>
                <w:noProof/>
                <w:sz w:val="22"/>
                <w:szCs w:val="22"/>
                <w:lang w:val="sk-SK"/>
              </w:rPr>
            </w:pPr>
            <w:r>
              <w:rPr>
                <w:bCs/>
                <w:snapToGrid w:val="0"/>
                <w:sz w:val="22"/>
                <w:szCs w:val="22"/>
                <w:lang w:val="pl-PL"/>
              </w:rPr>
              <w:t xml:space="preserve">porucha rovnováhy, </w:t>
            </w:r>
            <w:r w:rsidR="00B61F93" w:rsidRPr="00923694">
              <w:rPr>
                <w:noProof/>
                <w:sz w:val="22"/>
                <w:szCs w:val="22"/>
                <w:lang w:val="sk-SK"/>
              </w:rPr>
              <w:t>poruch</w:t>
            </w:r>
            <w:r>
              <w:rPr>
                <w:noProof/>
                <w:sz w:val="22"/>
                <w:szCs w:val="22"/>
                <w:lang w:val="sk-SK"/>
              </w:rPr>
              <w:t>a</w:t>
            </w:r>
            <w:r w:rsidR="00B61F93" w:rsidRPr="00923694">
              <w:rPr>
                <w:noProof/>
                <w:sz w:val="22"/>
                <w:szCs w:val="22"/>
                <w:lang w:val="sk-SK"/>
              </w:rPr>
              <w:t xml:space="preserve"> koordinácie, </w:t>
            </w:r>
            <w:r w:rsidR="005E0436">
              <w:rPr>
                <w:bCs/>
                <w:snapToGrid w:val="0"/>
                <w:sz w:val="22"/>
                <w:szCs w:val="22"/>
                <w:lang w:val="pl-PL"/>
              </w:rPr>
              <w:t>porucha sústredenia,</w:t>
            </w:r>
            <w:r w:rsidR="00B61F93" w:rsidRPr="00923694">
              <w:rPr>
                <w:noProof/>
                <w:sz w:val="22"/>
                <w:szCs w:val="22"/>
                <w:lang w:val="sk-SK"/>
              </w:rPr>
              <w:t xml:space="preserve"> </w:t>
            </w:r>
            <w:r>
              <w:rPr>
                <w:bCs/>
                <w:snapToGrid w:val="0"/>
                <w:sz w:val="22"/>
                <w:szCs w:val="22"/>
                <w:lang w:val="pl-PL"/>
              </w:rPr>
              <w:t>hypersomnia, letargia, tras</w:t>
            </w:r>
          </w:p>
        </w:tc>
      </w:tr>
      <w:tr w:rsidR="00B61F93" w:rsidRPr="00923694" w14:paraId="0B0885D6" w14:textId="77777777" w:rsidTr="00E23A5B">
        <w:trPr>
          <w:trHeight w:val="131"/>
        </w:trPr>
        <w:tc>
          <w:tcPr>
            <w:tcW w:w="2278" w:type="pct"/>
            <w:vMerge/>
          </w:tcPr>
          <w:p w14:paraId="54015F28" w14:textId="77777777" w:rsidR="00B61F93" w:rsidRPr="00923694" w:rsidRDefault="00B61F93" w:rsidP="00FF70E0">
            <w:pPr>
              <w:contextualSpacing/>
              <w:jc w:val="left"/>
              <w:rPr>
                <w:noProof/>
                <w:sz w:val="22"/>
                <w:szCs w:val="22"/>
                <w:lang w:val="sk-SK"/>
              </w:rPr>
            </w:pPr>
          </w:p>
        </w:tc>
        <w:tc>
          <w:tcPr>
            <w:tcW w:w="889" w:type="pct"/>
          </w:tcPr>
          <w:p w14:paraId="53AC6FAD" w14:textId="77777777" w:rsidR="00B61F93" w:rsidRPr="00923694" w:rsidRDefault="001E4C29" w:rsidP="00FF70E0">
            <w:pPr>
              <w:contextualSpacing/>
              <w:jc w:val="left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m</w:t>
            </w:r>
            <w:r w:rsidR="00B61F93" w:rsidRPr="00923694">
              <w:rPr>
                <w:sz w:val="22"/>
                <w:szCs w:val="22"/>
                <w:lang w:val="sk-SK"/>
              </w:rPr>
              <w:t>enej časté</w:t>
            </w:r>
          </w:p>
        </w:tc>
        <w:tc>
          <w:tcPr>
            <w:tcW w:w="1833" w:type="pct"/>
          </w:tcPr>
          <w:p w14:paraId="19451A24" w14:textId="77777777" w:rsidR="00B61F93" w:rsidRPr="00923694" w:rsidRDefault="009425E9" w:rsidP="00FF70E0">
            <w:pPr>
              <w:contextualSpacing/>
              <w:jc w:val="left"/>
              <w:rPr>
                <w:noProof/>
                <w:sz w:val="22"/>
                <w:szCs w:val="22"/>
                <w:lang w:val="sk-SK"/>
              </w:rPr>
            </w:pPr>
            <w:r w:rsidRPr="00923694">
              <w:rPr>
                <w:noProof/>
                <w:sz w:val="22"/>
                <w:szCs w:val="22"/>
                <w:lang w:val="sk-SK"/>
              </w:rPr>
              <w:t>a</w:t>
            </w:r>
            <w:r w:rsidR="00B61F93" w:rsidRPr="00923694">
              <w:rPr>
                <w:noProof/>
                <w:sz w:val="22"/>
                <w:szCs w:val="22"/>
                <w:lang w:val="sk-SK"/>
              </w:rPr>
              <w:t>mnézia</w:t>
            </w:r>
          </w:p>
        </w:tc>
      </w:tr>
      <w:tr w:rsidR="00B61F93" w:rsidRPr="00923694" w14:paraId="59378E61" w14:textId="77777777" w:rsidTr="00E23A5B">
        <w:trPr>
          <w:trHeight w:val="131"/>
        </w:trPr>
        <w:tc>
          <w:tcPr>
            <w:tcW w:w="2278" w:type="pct"/>
            <w:vMerge/>
          </w:tcPr>
          <w:p w14:paraId="61032367" w14:textId="77777777" w:rsidR="00B61F93" w:rsidRPr="00923694" w:rsidRDefault="00B61F93" w:rsidP="00FF70E0">
            <w:pPr>
              <w:contextualSpacing/>
              <w:jc w:val="left"/>
              <w:rPr>
                <w:noProof/>
                <w:sz w:val="22"/>
                <w:szCs w:val="22"/>
                <w:lang w:val="sk-SK"/>
              </w:rPr>
            </w:pPr>
          </w:p>
        </w:tc>
        <w:tc>
          <w:tcPr>
            <w:tcW w:w="889" w:type="pct"/>
          </w:tcPr>
          <w:p w14:paraId="50721D41" w14:textId="77777777" w:rsidR="00B61F93" w:rsidRPr="00923694" w:rsidRDefault="001E4C29" w:rsidP="00FF70E0">
            <w:pPr>
              <w:contextualSpacing/>
              <w:jc w:val="left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n</w:t>
            </w:r>
            <w:r w:rsidR="00B61F93" w:rsidRPr="00923694">
              <w:rPr>
                <w:sz w:val="22"/>
                <w:szCs w:val="22"/>
                <w:lang w:val="sk-SK"/>
              </w:rPr>
              <w:t>eznáme</w:t>
            </w:r>
          </w:p>
        </w:tc>
        <w:tc>
          <w:tcPr>
            <w:tcW w:w="1833" w:type="pct"/>
          </w:tcPr>
          <w:p w14:paraId="44D92399" w14:textId="77777777" w:rsidR="00B61F93" w:rsidRPr="00923694" w:rsidRDefault="001E4C29" w:rsidP="00FF70E0">
            <w:pPr>
              <w:contextualSpacing/>
              <w:jc w:val="left"/>
              <w:rPr>
                <w:noProof/>
                <w:sz w:val="22"/>
                <w:szCs w:val="22"/>
                <w:lang w:val="sk-SK"/>
              </w:rPr>
            </w:pPr>
            <w:r>
              <w:rPr>
                <w:noProof/>
                <w:sz w:val="22"/>
                <w:szCs w:val="22"/>
                <w:lang w:val="sk-SK"/>
              </w:rPr>
              <w:t>nerovnováha</w:t>
            </w:r>
            <w:r w:rsidR="008474E1">
              <w:rPr>
                <w:noProof/>
                <w:sz w:val="22"/>
                <w:szCs w:val="22"/>
                <w:lang w:val="sk-SK"/>
              </w:rPr>
              <w:t xml:space="preserve"> autonómneho</w:t>
            </w:r>
            <w:r>
              <w:rPr>
                <w:noProof/>
                <w:sz w:val="22"/>
                <w:szCs w:val="22"/>
                <w:lang w:val="sk-SK"/>
              </w:rPr>
              <w:t xml:space="preserve"> </w:t>
            </w:r>
            <w:r>
              <w:rPr>
                <w:noProof/>
                <w:sz w:val="22"/>
                <w:szCs w:val="22"/>
                <w:lang w:val="pt-PT"/>
              </w:rPr>
              <w:t>nervového systému*, dystónia*</w:t>
            </w:r>
          </w:p>
        </w:tc>
      </w:tr>
      <w:tr w:rsidR="00B61F93" w:rsidRPr="00923694" w14:paraId="71D32A77" w14:textId="77777777" w:rsidTr="00E23A5B">
        <w:tc>
          <w:tcPr>
            <w:tcW w:w="2278" w:type="pct"/>
          </w:tcPr>
          <w:p w14:paraId="435E0B5C" w14:textId="77777777" w:rsidR="00B61F93" w:rsidRPr="00923694" w:rsidRDefault="00B61F93" w:rsidP="00FF70E0">
            <w:pPr>
              <w:contextualSpacing/>
              <w:jc w:val="left"/>
              <w:rPr>
                <w:noProof/>
                <w:sz w:val="22"/>
                <w:szCs w:val="22"/>
                <w:lang w:val="sk-SK"/>
              </w:rPr>
            </w:pPr>
            <w:r w:rsidRPr="00923694">
              <w:rPr>
                <w:noProof/>
                <w:sz w:val="22"/>
                <w:szCs w:val="22"/>
                <w:lang w:val="sk-SK"/>
              </w:rPr>
              <w:t>Poruchy oka</w:t>
            </w:r>
          </w:p>
        </w:tc>
        <w:tc>
          <w:tcPr>
            <w:tcW w:w="889" w:type="pct"/>
          </w:tcPr>
          <w:p w14:paraId="09E6A663" w14:textId="77777777" w:rsidR="00B61F93" w:rsidRPr="00923694" w:rsidRDefault="001E4C29" w:rsidP="00FF70E0">
            <w:pPr>
              <w:contextualSpacing/>
              <w:jc w:val="left"/>
              <w:rPr>
                <w:noProof/>
                <w:sz w:val="22"/>
                <w:szCs w:val="22"/>
                <w:lang w:val="sk-SK"/>
              </w:rPr>
            </w:pPr>
            <w:r>
              <w:rPr>
                <w:noProof/>
                <w:sz w:val="22"/>
                <w:szCs w:val="22"/>
                <w:lang w:val="sk-SK"/>
              </w:rPr>
              <w:t>č</w:t>
            </w:r>
            <w:r w:rsidR="00B61F93" w:rsidRPr="00923694">
              <w:rPr>
                <w:noProof/>
                <w:sz w:val="22"/>
                <w:szCs w:val="22"/>
                <w:lang w:val="sk-SK"/>
              </w:rPr>
              <w:t>asté</w:t>
            </w:r>
          </w:p>
        </w:tc>
        <w:tc>
          <w:tcPr>
            <w:tcW w:w="1833" w:type="pct"/>
          </w:tcPr>
          <w:p w14:paraId="7089CEE5" w14:textId="77777777" w:rsidR="00B61F93" w:rsidRPr="00923694" w:rsidRDefault="009425E9" w:rsidP="00FF70E0">
            <w:pPr>
              <w:contextualSpacing/>
              <w:jc w:val="left"/>
              <w:rPr>
                <w:noProof/>
                <w:sz w:val="22"/>
                <w:szCs w:val="22"/>
                <w:lang w:val="sk-SK"/>
              </w:rPr>
            </w:pPr>
            <w:r w:rsidRPr="00923694">
              <w:rPr>
                <w:noProof/>
                <w:sz w:val="22"/>
                <w:szCs w:val="22"/>
                <w:lang w:val="sk-SK"/>
              </w:rPr>
              <w:t>r</w:t>
            </w:r>
            <w:r w:rsidR="00B61F93" w:rsidRPr="00923694">
              <w:rPr>
                <w:noProof/>
                <w:sz w:val="22"/>
                <w:szCs w:val="22"/>
                <w:lang w:val="sk-SK"/>
              </w:rPr>
              <w:t>ozmazané videnie</w:t>
            </w:r>
          </w:p>
        </w:tc>
      </w:tr>
      <w:tr w:rsidR="009425E9" w:rsidRPr="00923694" w14:paraId="17BA032D" w14:textId="77777777" w:rsidTr="00E23A5B">
        <w:trPr>
          <w:trHeight w:val="157"/>
        </w:trPr>
        <w:tc>
          <w:tcPr>
            <w:tcW w:w="2278" w:type="pct"/>
            <w:vMerge w:val="restart"/>
          </w:tcPr>
          <w:p w14:paraId="4D10FA0F" w14:textId="77777777" w:rsidR="009425E9" w:rsidRPr="00923694" w:rsidRDefault="009425E9" w:rsidP="00FF70E0">
            <w:pPr>
              <w:contextualSpacing/>
              <w:jc w:val="left"/>
              <w:rPr>
                <w:noProof/>
                <w:sz w:val="22"/>
                <w:szCs w:val="22"/>
                <w:lang w:val="sk-SK"/>
              </w:rPr>
            </w:pPr>
            <w:r w:rsidRPr="00923694">
              <w:rPr>
                <w:noProof/>
                <w:sz w:val="22"/>
                <w:szCs w:val="22"/>
                <w:lang w:val="sk-SK"/>
              </w:rPr>
              <w:t>Poruchy gastrointestinálneho traktu</w:t>
            </w:r>
          </w:p>
        </w:tc>
        <w:tc>
          <w:tcPr>
            <w:tcW w:w="889" w:type="pct"/>
          </w:tcPr>
          <w:p w14:paraId="1F5601C5" w14:textId="77777777" w:rsidR="009425E9" w:rsidRPr="00923694" w:rsidRDefault="001E4C29" w:rsidP="00FF70E0">
            <w:pPr>
              <w:contextualSpacing/>
              <w:jc w:val="left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veľmi č</w:t>
            </w:r>
            <w:r w:rsidR="009425E9" w:rsidRPr="00923694">
              <w:rPr>
                <w:sz w:val="22"/>
                <w:szCs w:val="22"/>
                <w:lang w:val="sk-SK"/>
              </w:rPr>
              <w:t>asté</w:t>
            </w:r>
          </w:p>
        </w:tc>
        <w:tc>
          <w:tcPr>
            <w:tcW w:w="1833" w:type="pct"/>
          </w:tcPr>
          <w:p w14:paraId="418EA0C2" w14:textId="77777777" w:rsidR="009425E9" w:rsidRPr="00923694" w:rsidRDefault="009425E9" w:rsidP="00FF70E0">
            <w:pPr>
              <w:contextualSpacing/>
              <w:jc w:val="left"/>
              <w:rPr>
                <w:noProof/>
                <w:sz w:val="22"/>
                <w:szCs w:val="22"/>
                <w:lang w:val="sk-SK"/>
              </w:rPr>
            </w:pPr>
            <w:r w:rsidRPr="00923694">
              <w:rPr>
                <w:bCs/>
                <w:snapToGrid w:val="0"/>
                <w:sz w:val="22"/>
                <w:szCs w:val="22"/>
                <w:lang w:val="sk-SK"/>
              </w:rPr>
              <w:t>z</w:t>
            </w:r>
            <w:r w:rsidRPr="00923694">
              <w:rPr>
                <w:noProof/>
                <w:sz w:val="22"/>
                <w:szCs w:val="22"/>
                <w:lang w:val="sk-SK"/>
              </w:rPr>
              <w:t xml:space="preserve">ápcha, </w:t>
            </w:r>
            <w:r w:rsidR="001E4C29">
              <w:rPr>
                <w:bCs/>
                <w:snapToGrid w:val="0"/>
                <w:sz w:val="22"/>
                <w:szCs w:val="22"/>
                <w:lang w:val="pl-PL"/>
              </w:rPr>
              <w:t>sucho v ústach</w:t>
            </w:r>
          </w:p>
        </w:tc>
      </w:tr>
      <w:tr w:rsidR="009425E9" w:rsidRPr="00923694" w14:paraId="7C2650CE" w14:textId="77777777" w:rsidTr="00E23A5B">
        <w:trPr>
          <w:trHeight w:val="156"/>
        </w:trPr>
        <w:tc>
          <w:tcPr>
            <w:tcW w:w="2278" w:type="pct"/>
            <w:vMerge/>
          </w:tcPr>
          <w:p w14:paraId="5618A0E0" w14:textId="77777777" w:rsidR="009425E9" w:rsidRPr="00923694" w:rsidRDefault="009425E9" w:rsidP="00FF70E0">
            <w:pPr>
              <w:contextualSpacing/>
              <w:jc w:val="left"/>
              <w:rPr>
                <w:noProof/>
                <w:sz w:val="22"/>
                <w:szCs w:val="22"/>
                <w:highlight w:val="green"/>
                <w:lang w:val="sk-SK"/>
              </w:rPr>
            </w:pPr>
          </w:p>
        </w:tc>
        <w:tc>
          <w:tcPr>
            <w:tcW w:w="889" w:type="pct"/>
          </w:tcPr>
          <w:p w14:paraId="09E08ED0" w14:textId="77777777" w:rsidR="009425E9" w:rsidRPr="00923694" w:rsidRDefault="009425E9" w:rsidP="00FF70E0">
            <w:pPr>
              <w:contextualSpacing/>
              <w:jc w:val="left"/>
              <w:rPr>
                <w:sz w:val="22"/>
                <w:szCs w:val="22"/>
                <w:lang w:val="sk-SK"/>
              </w:rPr>
            </w:pPr>
            <w:r w:rsidRPr="00923694">
              <w:rPr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1833" w:type="pct"/>
          </w:tcPr>
          <w:p w14:paraId="06D38873" w14:textId="77777777" w:rsidR="009425E9" w:rsidRPr="00923694" w:rsidRDefault="008474E1" w:rsidP="00FF70E0">
            <w:pPr>
              <w:contextualSpacing/>
              <w:jc w:val="left"/>
              <w:rPr>
                <w:noProof/>
                <w:sz w:val="22"/>
                <w:szCs w:val="22"/>
                <w:lang w:val="sk-SK"/>
              </w:rPr>
            </w:pPr>
            <w:r>
              <w:rPr>
                <w:bCs/>
                <w:snapToGrid w:val="0"/>
                <w:sz w:val="22"/>
                <w:szCs w:val="22"/>
                <w:lang w:val="sk-SK"/>
              </w:rPr>
              <w:t>nevoľnosť</w:t>
            </w:r>
          </w:p>
        </w:tc>
      </w:tr>
      <w:tr w:rsidR="009425E9" w:rsidRPr="00923694" w14:paraId="4F54582E" w14:textId="77777777" w:rsidTr="00E23A5B">
        <w:trPr>
          <w:trHeight w:val="156"/>
        </w:trPr>
        <w:tc>
          <w:tcPr>
            <w:tcW w:w="2278" w:type="pct"/>
            <w:vMerge/>
          </w:tcPr>
          <w:p w14:paraId="64F6F568" w14:textId="77777777" w:rsidR="009425E9" w:rsidRPr="00923694" w:rsidRDefault="009425E9" w:rsidP="00FF70E0">
            <w:pPr>
              <w:contextualSpacing/>
              <w:jc w:val="left"/>
              <w:rPr>
                <w:noProof/>
                <w:sz w:val="22"/>
                <w:szCs w:val="22"/>
                <w:highlight w:val="green"/>
                <w:lang w:val="sk-SK"/>
              </w:rPr>
            </w:pPr>
          </w:p>
        </w:tc>
        <w:tc>
          <w:tcPr>
            <w:tcW w:w="889" w:type="pct"/>
          </w:tcPr>
          <w:p w14:paraId="7131794F" w14:textId="77777777" w:rsidR="009425E9" w:rsidRPr="00923694" w:rsidRDefault="008474E1" w:rsidP="00FF70E0">
            <w:pPr>
              <w:contextualSpacing/>
              <w:jc w:val="left"/>
              <w:rPr>
                <w:sz w:val="22"/>
                <w:szCs w:val="22"/>
                <w:lang w:val="sk-SK"/>
              </w:rPr>
            </w:pPr>
            <w:r>
              <w:rPr>
                <w:bCs/>
                <w:snapToGrid w:val="0"/>
                <w:sz w:val="22"/>
                <w:szCs w:val="22"/>
                <w:lang w:val="sk-SK"/>
              </w:rPr>
              <w:t>neznáme</w:t>
            </w:r>
          </w:p>
        </w:tc>
        <w:tc>
          <w:tcPr>
            <w:tcW w:w="1833" w:type="pct"/>
          </w:tcPr>
          <w:p w14:paraId="1207C66F" w14:textId="77777777" w:rsidR="009425E9" w:rsidRPr="00923694" w:rsidRDefault="008474E1" w:rsidP="00FF70E0">
            <w:pPr>
              <w:contextualSpacing/>
              <w:jc w:val="left"/>
              <w:rPr>
                <w:noProof/>
                <w:sz w:val="22"/>
                <w:szCs w:val="22"/>
                <w:lang w:val="sk-SK"/>
              </w:rPr>
            </w:pPr>
            <w:r w:rsidRPr="007D0B4A">
              <w:rPr>
                <w:sz w:val="22"/>
                <w:szCs w:val="22"/>
                <w:lang w:val="sk-SK"/>
              </w:rPr>
              <w:t xml:space="preserve"> gastrointestinálne ťažkosti*</w:t>
            </w:r>
          </w:p>
        </w:tc>
      </w:tr>
      <w:tr w:rsidR="001E4C29" w:rsidRPr="00923694" w14:paraId="2D6CC63C" w14:textId="77777777" w:rsidTr="00BB3959">
        <w:trPr>
          <w:trHeight w:val="1009"/>
        </w:trPr>
        <w:tc>
          <w:tcPr>
            <w:tcW w:w="2278" w:type="pct"/>
          </w:tcPr>
          <w:p w14:paraId="71C7BDF7" w14:textId="77777777" w:rsidR="001E4C29" w:rsidRPr="00923694" w:rsidRDefault="001E4C29" w:rsidP="00FF70E0">
            <w:pPr>
              <w:contextualSpacing/>
              <w:jc w:val="left"/>
              <w:rPr>
                <w:noProof/>
                <w:sz w:val="22"/>
                <w:szCs w:val="22"/>
                <w:lang w:val="sk-SK"/>
              </w:rPr>
            </w:pPr>
            <w:r w:rsidRPr="00923694">
              <w:rPr>
                <w:noProof/>
                <w:sz w:val="22"/>
                <w:szCs w:val="22"/>
                <w:lang w:val="sk-SK"/>
              </w:rPr>
              <w:t>Poruchy pečene a žlčových ciest</w:t>
            </w:r>
          </w:p>
        </w:tc>
        <w:tc>
          <w:tcPr>
            <w:tcW w:w="889" w:type="pct"/>
          </w:tcPr>
          <w:p w14:paraId="16CFA418" w14:textId="77777777" w:rsidR="001E4C29" w:rsidRPr="00923694" w:rsidRDefault="001E4C29" w:rsidP="00FF70E0">
            <w:pPr>
              <w:contextualSpacing/>
              <w:jc w:val="left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n</w:t>
            </w:r>
            <w:r w:rsidRPr="00923694">
              <w:rPr>
                <w:sz w:val="22"/>
                <w:szCs w:val="22"/>
                <w:lang w:val="sk-SK"/>
              </w:rPr>
              <w:t xml:space="preserve">eznáme </w:t>
            </w:r>
          </w:p>
        </w:tc>
        <w:tc>
          <w:tcPr>
            <w:tcW w:w="1833" w:type="pct"/>
          </w:tcPr>
          <w:p w14:paraId="36D6EDD5" w14:textId="77777777" w:rsidR="001E4C29" w:rsidRPr="001E4C29" w:rsidRDefault="001E4C29" w:rsidP="00FF70E0">
            <w:pPr>
              <w:contextualSpacing/>
              <w:jc w:val="left"/>
              <w:rPr>
                <w:noProof/>
                <w:sz w:val="22"/>
                <w:szCs w:val="22"/>
                <w:lang w:val="sk-SK"/>
              </w:rPr>
            </w:pPr>
            <w:r>
              <w:rPr>
                <w:noProof/>
                <w:sz w:val="22"/>
                <w:szCs w:val="22"/>
                <w:lang w:val="sk-SK"/>
              </w:rPr>
              <w:t>h</w:t>
            </w:r>
            <w:r w:rsidRPr="00C47E0E">
              <w:rPr>
                <w:noProof/>
                <w:sz w:val="22"/>
                <w:szCs w:val="22"/>
                <w:lang w:val="sk-SK"/>
              </w:rPr>
              <w:t>epatitída</w:t>
            </w:r>
            <w:r>
              <w:rPr>
                <w:noProof/>
                <w:sz w:val="22"/>
                <w:szCs w:val="22"/>
                <w:lang w:val="sk-SK"/>
              </w:rPr>
              <w:t xml:space="preserve">*, </w:t>
            </w:r>
            <w:r w:rsidRPr="00923694">
              <w:rPr>
                <w:noProof/>
                <w:sz w:val="22"/>
                <w:szCs w:val="22"/>
                <w:lang w:val="sk-SK"/>
              </w:rPr>
              <w:t>abnormálna funkcia pečene</w:t>
            </w:r>
            <w:r w:rsidR="008474E1">
              <w:rPr>
                <w:noProof/>
                <w:sz w:val="22"/>
                <w:szCs w:val="22"/>
                <w:lang w:val="sk-SK"/>
              </w:rPr>
              <w:t>*</w:t>
            </w:r>
            <w:r w:rsidRPr="00923694">
              <w:rPr>
                <w:noProof/>
                <w:sz w:val="22"/>
                <w:szCs w:val="22"/>
                <w:lang w:val="sk-SK"/>
              </w:rPr>
              <w:t xml:space="preserve">, </w:t>
            </w:r>
            <w:r w:rsidRPr="00CE5C2C">
              <w:rPr>
                <w:noProof/>
                <w:sz w:val="22"/>
                <w:szCs w:val="22"/>
                <w:lang w:val="sk-SK"/>
              </w:rPr>
              <w:t>žltačka</w:t>
            </w:r>
            <w:r>
              <w:rPr>
                <w:noProof/>
                <w:sz w:val="22"/>
                <w:szCs w:val="22"/>
                <w:lang w:val="sk-SK"/>
              </w:rPr>
              <w:t>*</w:t>
            </w:r>
          </w:p>
          <w:p w14:paraId="6E6ED84C" w14:textId="77777777" w:rsidR="001E4C29" w:rsidRPr="00923694" w:rsidRDefault="001E4C29" w:rsidP="00FF70E0">
            <w:pPr>
              <w:contextualSpacing/>
              <w:jc w:val="left"/>
              <w:rPr>
                <w:noProof/>
                <w:sz w:val="22"/>
                <w:szCs w:val="22"/>
                <w:lang w:val="sk-SK"/>
              </w:rPr>
            </w:pPr>
          </w:p>
        </w:tc>
      </w:tr>
      <w:tr w:rsidR="009425E9" w:rsidRPr="00923694" w14:paraId="72FE7971" w14:textId="77777777" w:rsidTr="00E23A5B">
        <w:trPr>
          <w:trHeight w:val="157"/>
        </w:trPr>
        <w:tc>
          <w:tcPr>
            <w:tcW w:w="2278" w:type="pct"/>
            <w:vMerge w:val="restart"/>
          </w:tcPr>
          <w:p w14:paraId="40FDB18E" w14:textId="77777777" w:rsidR="009425E9" w:rsidRPr="00923694" w:rsidRDefault="009425E9" w:rsidP="00FF70E0">
            <w:pPr>
              <w:contextualSpacing/>
              <w:jc w:val="left"/>
              <w:rPr>
                <w:noProof/>
                <w:sz w:val="22"/>
                <w:szCs w:val="22"/>
                <w:lang w:val="sk-SK"/>
              </w:rPr>
            </w:pPr>
            <w:r w:rsidRPr="00923694">
              <w:rPr>
                <w:noProof/>
                <w:sz w:val="22"/>
                <w:szCs w:val="22"/>
                <w:lang w:val="sk-SK"/>
              </w:rPr>
              <w:t>Poruchy kože a podkožného tkaniva</w:t>
            </w:r>
          </w:p>
        </w:tc>
        <w:tc>
          <w:tcPr>
            <w:tcW w:w="889" w:type="pct"/>
          </w:tcPr>
          <w:p w14:paraId="5F91728B" w14:textId="77777777" w:rsidR="009425E9" w:rsidRPr="00923694" w:rsidRDefault="001E4C29" w:rsidP="00FF70E0">
            <w:pPr>
              <w:contextualSpacing/>
              <w:jc w:val="left"/>
              <w:rPr>
                <w:sz w:val="22"/>
                <w:szCs w:val="22"/>
                <w:lang w:val="sk-SK"/>
              </w:rPr>
            </w:pPr>
            <w:r>
              <w:rPr>
                <w:bCs/>
                <w:snapToGrid w:val="0"/>
                <w:sz w:val="22"/>
                <w:szCs w:val="22"/>
                <w:lang w:val="sk-SK"/>
              </w:rPr>
              <w:t>č</w:t>
            </w:r>
            <w:r w:rsidR="009425E9" w:rsidRPr="00923694">
              <w:rPr>
                <w:bCs/>
                <w:snapToGrid w:val="0"/>
                <w:sz w:val="22"/>
                <w:szCs w:val="22"/>
                <w:lang w:val="sk-SK"/>
              </w:rPr>
              <w:t>asté</w:t>
            </w:r>
          </w:p>
        </w:tc>
        <w:tc>
          <w:tcPr>
            <w:tcW w:w="1833" w:type="pct"/>
          </w:tcPr>
          <w:p w14:paraId="69E43628" w14:textId="77777777" w:rsidR="009425E9" w:rsidRPr="00923694" w:rsidRDefault="001E4C29" w:rsidP="00FF70E0">
            <w:pPr>
              <w:contextualSpacing/>
              <w:jc w:val="left"/>
              <w:rPr>
                <w:noProof/>
                <w:sz w:val="22"/>
                <w:szCs w:val="22"/>
                <w:lang w:val="sk-SK"/>
              </w:rPr>
            </w:pPr>
            <w:r>
              <w:rPr>
                <w:bCs/>
                <w:snapToGrid w:val="0"/>
                <w:sz w:val="22"/>
                <w:szCs w:val="22"/>
                <w:lang w:val="pl-PL"/>
              </w:rPr>
              <w:t>dermatitída*</w:t>
            </w:r>
          </w:p>
        </w:tc>
      </w:tr>
      <w:tr w:rsidR="001E4C29" w:rsidRPr="00923694" w14:paraId="451C1347" w14:textId="77777777" w:rsidTr="00BB3959">
        <w:trPr>
          <w:trHeight w:val="889"/>
        </w:trPr>
        <w:tc>
          <w:tcPr>
            <w:tcW w:w="2278" w:type="pct"/>
            <w:vMerge/>
          </w:tcPr>
          <w:p w14:paraId="2785C6E2" w14:textId="77777777" w:rsidR="001E4C29" w:rsidRPr="00923694" w:rsidRDefault="001E4C29" w:rsidP="00FF70E0">
            <w:pPr>
              <w:contextualSpacing/>
              <w:jc w:val="left"/>
              <w:rPr>
                <w:noProof/>
                <w:sz w:val="22"/>
                <w:szCs w:val="22"/>
                <w:lang w:val="sk-SK"/>
              </w:rPr>
            </w:pPr>
          </w:p>
        </w:tc>
        <w:tc>
          <w:tcPr>
            <w:tcW w:w="889" w:type="pct"/>
          </w:tcPr>
          <w:p w14:paraId="522B960E" w14:textId="77777777" w:rsidR="001E4C29" w:rsidRPr="00923694" w:rsidRDefault="001E4C29" w:rsidP="00FF70E0">
            <w:pPr>
              <w:contextualSpacing/>
              <w:jc w:val="left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n</w:t>
            </w:r>
            <w:r w:rsidRPr="00923694">
              <w:rPr>
                <w:sz w:val="22"/>
                <w:szCs w:val="22"/>
                <w:lang w:val="sk-SK"/>
              </w:rPr>
              <w:t>eznáme</w:t>
            </w:r>
          </w:p>
        </w:tc>
        <w:tc>
          <w:tcPr>
            <w:tcW w:w="1833" w:type="pct"/>
          </w:tcPr>
          <w:p w14:paraId="6D287BA3" w14:textId="77777777" w:rsidR="001E4C29" w:rsidRPr="00923694" w:rsidRDefault="001E4C29" w:rsidP="00FF70E0">
            <w:pPr>
              <w:contextualSpacing/>
              <w:jc w:val="left"/>
              <w:rPr>
                <w:noProof/>
                <w:sz w:val="22"/>
                <w:szCs w:val="22"/>
                <w:lang w:val="sk-SK"/>
              </w:rPr>
            </w:pPr>
            <w:r w:rsidRPr="00923694">
              <w:rPr>
                <w:noProof/>
                <w:sz w:val="22"/>
                <w:szCs w:val="22"/>
                <w:lang w:val="sk-SK"/>
              </w:rPr>
              <w:t>angioedém</w:t>
            </w:r>
            <w:r>
              <w:rPr>
                <w:noProof/>
                <w:sz w:val="22"/>
                <w:szCs w:val="22"/>
                <w:lang w:val="en-US"/>
              </w:rPr>
              <w:t>*, fotosenzitívne reakcie*</w:t>
            </w:r>
            <w:r w:rsidRPr="00923694">
              <w:rPr>
                <w:noProof/>
                <w:sz w:val="22"/>
                <w:szCs w:val="22"/>
                <w:lang w:val="sk-SK"/>
              </w:rPr>
              <w:t xml:space="preserve"> </w:t>
            </w:r>
          </w:p>
        </w:tc>
      </w:tr>
      <w:tr w:rsidR="009425E9" w:rsidRPr="00923694" w14:paraId="013C3C3E" w14:textId="77777777" w:rsidTr="00E23A5B">
        <w:tc>
          <w:tcPr>
            <w:tcW w:w="2278" w:type="pct"/>
          </w:tcPr>
          <w:p w14:paraId="611C5665" w14:textId="77777777" w:rsidR="009425E9" w:rsidRPr="00923694" w:rsidRDefault="009425E9" w:rsidP="00FF70E0">
            <w:pPr>
              <w:contextualSpacing/>
              <w:jc w:val="left"/>
              <w:rPr>
                <w:noProof/>
                <w:sz w:val="22"/>
                <w:szCs w:val="22"/>
                <w:lang w:val="sk-SK"/>
              </w:rPr>
            </w:pPr>
            <w:r w:rsidRPr="00923694">
              <w:rPr>
                <w:noProof/>
                <w:sz w:val="22"/>
                <w:szCs w:val="22"/>
                <w:lang w:val="sk-SK"/>
              </w:rPr>
              <w:t>Poruchy kostrovej a svalovej sústavy a spojivového tkaniva</w:t>
            </w:r>
          </w:p>
        </w:tc>
        <w:tc>
          <w:tcPr>
            <w:tcW w:w="889" w:type="pct"/>
          </w:tcPr>
          <w:p w14:paraId="172B4519" w14:textId="77777777" w:rsidR="009425E9" w:rsidRPr="00923694" w:rsidRDefault="001510E5" w:rsidP="00FF70E0">
            <w:pPr>
              <w:contextualSpacing/>
              <w:jc w:val="left"/>
              <w:rPr>
                <w:sz w:val="22"/>
                <w:szCs w:val="22"/>
                <w:lang w:val="sk-SK"/>
              </w:rPr>
            </w:pPr>
            <w:r>
              <w:rPr>
                <w:sz w:val="22"/>
                <w:szCs w:val="22"/>
                <w:lang w:val="sk-SK"/>
              </w:rPr>
              <w:t>m</w:t>
            </w:r>
            <w:r w:rsidR="009425E9" w:rsidRPr="00923694">
              <w:rPr>
                <w:sz w:val="22"/>
                <w:szCs w:val="22"/>
                <w:lang w:val="sk-SK"/>
              </w:rPr>
              <w:t>enej časté</w:t>
            </w:r>
          </w:p>
        </w:tc>
        <w:tc>
          <w:tcPr>
            <w:tcW w:w="1833" w:type="pct"/>
          </w:tcPr>
          <w:p w14:paraId="720692D7" w14:textId="77777777" w:rsidR="009425E9" w:rsidRPr="00923694" w:rsidRDefault="009425E9" w:rsidP="00FF70E0">
            <w:pPr>
              <w:contextualSpacing/>
              <w:jc w:val="left"/>
              <w:rPr>
                <w:noProof/>
                <w:sz w:val="22"/>
                <w:szCs w:val="22"/>
                <w:lang w:val="sk-SK"/>
              </w:rPr>
            </w:pPr>
            <w:r w:rsidRPr="00923694">
              <w:rPr>
                <w:noProof/>
                <w:sz w:val="22"/>
                <w:szCs w:val="22"/>
                <w:lang w:val="sk-SK"/>
              </w:rPr>
              <w:t>muskuloskeletálna slabosť</w:t>
            </w:r>
          </w:p>
        </w:tc>
      </w:tr>
      <w:tr w:rsidR="00D779B4" w:rsidRPr="00923694" w14:paraId="2A0361DF" w14:textId="77777777" w:rsidTr="00D779B4">
        <w:trPr>
          <w:trHeight w:val="242"/>
        </w:trPr>
        <w:tc>
          <w:tcPr>
            <w:tcW w:w="2278" w:type="pct"/>
            <w:vMerge w:val="restart"/>
          </w:tcPr>
          <w:p w14:paraId="7EDFCCFE" w14:textId="77777777" w:rsidR="00D779B4" w:rsidRPr="00923694" w:rsidRDefault="00D779B4" w:rsidP="00FF70E0">
            <w:pPr>
              <w:contextualSpacing/>
              <w:jc w:val="left"/>
              <w:rPr>
                <w:noProof/>
                <w:sz w:val="22"/>
                <w:szCs w:val="22"/>
                <w:lang w:val="sk-SK"/>
              </w:rPr>
            </w:pPr>
            <w:r w:rsidRPr="00923694">
              <w:rPr>
                <w:noProof/>
                <w:sz w:val="22"/>
                <w:szCs w:val="22"/>
                <w:lang w:val="sk-SK"/>
              </w:rPr>
              <w:t>Poruchy obličiek a močových ciest</w:t>
            </w:r>
          </w:p>
        </w:tc>
        <w:tc>
          <w:tcPr>
            <w:tcW w:w="889" w:type="pct"/>
          </w:tcPr>
          <w:p w14:paraId="6AC82E7F" w14:textId="77777777" w:rsidR="00D779B4" w:rsidRPr="00923694" w:rsidRDefault="00D779B4" w:rsidP="00FF70E0">
            <w:pPr>
              <w:contextualSpacing/>
              <w:jc w:val="left"/>
              <w:rPr>
                <w:sz w:val="22"/>
                <w:szCs w:val="22"/>
                <w:lang w:val="sk-SK"/>
              </w:rPr>
            </w:pPr>
            <w:r>
              <w:rPr>
                <w:bCs/>
                <w:snapToGrid w:val="0"/>
                <w:sz w:val="22"/>
                <w:szCs w:val="22"/>
                <w:lang w:val="pl-PL"/>
              </w:rPr>
              <w:t>menej časté</w:t>
            </w:r>
          </w:p>
        </w:tc>
        <w:tc>
          <w:tcPr>
            <w:tcW w:w="1833" w:type="pct"/>
          </w:tcPr>
          <w:p w14:paraId="1CACBE0B" w14:textId="77777777" w:rsidR="00D779B4" w:rsidRPr="00923694" w:rsidRDefault="00D779B4" w:rsidP="00FF70E0">
            <w:pPr>
              <w:contextualSpacing/>
              <w:jc w:val="left"/>
              <w:rPr>
                <w:noProof/>
                <w:sz w:val="22"/>
                <w:szCs w:val="22"/>
                <w:lang w:val="sk-SK"/>
              </w:rPr>
            </w:pPr>
            <w:r w:rsidRPr="00923694">
              <w:rPr>
                <w:noProof/>
                <w:sz w:val="22"/>
                <w:szCs w:val="22"/>
                <w:lang w:val="sk-SK"/>
              </w:rPr>
              <w:t>inkontinencia</w:t>
            </w:r>
            <w:r>
              <w:rPr>
                <w:noProof/>
                <w:sz w:val="22"/>
                <w:szCs w:val="22"/>
                <w:lang w:val="sk-SK"/>
              </w:rPr>
              <w:t>*</w:t>
            </w:r>
          </w:p>
        </w:tc>
      </w:tr>
      <w:tr w:rsidR="00D779B4" w:rsidRPr="00923694" w14:paraId="2039DB4B" w14:textId="77777777" w:rsidTr="00E23A5B">
        <w:trPr>
          <w:trHeight w:val="242"/>
        </w:trPr>
        <w:tc>
          <w:tcPr>
            <w:tcW w:w="2278" w:type="pct"/>
            <w:vMerge/>
          </w:tcPr>
          <w:p w14:paraId="5ECE727D" w14:textId="77777777" w:rsidR="00D779B4" w:rsidRPr="00923694" w:rsidRDefault="00D779B4" w:rsidP="00FF70E0">
            <w:pPr>
              <w:contextualSpacing/>
              <w:jc w:val="left"/>
              <w:rPr>
                <w:noProof/>
                <w:sz w:val="22"/>
                <w:szCs w:val="22"/>
                <w:lang w:val="sk-SK"/>
              </w:rPr>
            </w:pPr>
          </w:p>
        </w:tc>
        <w:tc>
          <w:tcPr>
            <w:tcW w:w="889" w:type="pct"/>
          </w:tcPr>
          <w:p w14:paraId="310B1461" w14:textId="77777777" w:rsidR="00D779B4" w:rsidRDefault="00D779B4" w:rsidP="00FF70E0">
            <w:pPr>
              <w:contextualSpacing/>
              <w:jc w:val="left"/>
              <w:rPr>
                <w:bCs/>
                <w:snapToGrid w:val="0"/>
                <w:sz w:val="22"/>
                <w:szCs w:val="22"/>
                <w:lang w:val="pl-PL"/>
              </w:rPr>
            </w:pPr>
            <w:r>
              <w:rPr>
                <w:bCs/>
                <w:snapToGrid w:val="0"/>
                <w:sz w:val="22"/>
                <w:szCs w:val="22"/>
                <w:lang w:val="pl-PL"/>
              </w:rPr>
              <w:t>neznáme</w:t>
            </w:r>
          </w:p>
        </w:tc>
        <w:tc>
          <w:tcPr>
            <w:tcW w:w="1833" w:type="pct"/>
          </w:tcPr>
          <w:p w14:paraId="1119A775" w14:textId="77777777" w:rsidR="00D779B4" w:rsidRPr="00D779B4" w:rsidDel="001510E5" w:rsidRDefault="00D779B4" w:rsidP="00FF70E0">
            <w:pPr>
              <w:contextualSpacing/>
              <w:jc w:val="left"/>
              <w:rPr>
                <w:noProof/>
                <w:sz w:val="22"/>
                <w:szCs w:val="22"/>
                <w:lang w:val="sk-SK"/>
              </w:rPr>
            </w:pPr>
            <w:r>
              <w:rPr>
                <w:noProof/>
                <w:sz w:val="22"/>
                <w:szCs w:val="22"/>
                <w:lang w:val="en-US"/>
              </w:rPr>
              <w:t>retencia moču*</w:t>
            </w:r>
          </w:p>
        </w:tc>
      </w:tr>
      <w:tr w:rsidR="001510E5" w:rsidRPr="00923694" w14:paraId="1665A10E" w14:textId="77777777" w:rsidTr="001510E5">
        <w:trPr>
          <w:trHeight w:val="242"/>
        </w:trPr>
        <w:tc>
          <w:tcPr>
            <w:tcW w:w="2278" w:type="pct"/>
            <w:vMerge w:val="restart"/>
          </w:tcPr>
          <w:p w14:paraId="669E9107" w14:textId="77777777" w:rsidR="001510E5" w:rsidRPr="00923694" w:rsidRDefault="001510E5" w:rsidP="00FF70E0">
            <w:pPr>
              <w:contextualSpacing/>
              <w:jc w:val="left"/>
              <w:rPr>
                <w:noProof/>
                <w:sz w:val="22"/>
                <w:szCs w:val="22"/>
                <w:lang w:val="sk-SK"/>
              </w:rPr>
            </w:pPr>
            <w:r w:rsidRPr="00923694">
              <w:rPr>
                <w:noProof/>
                <w:sz w:val="22"/>
                <w:szCs w:val="22"/>
                <w:lang w:val="sk-SK"/>
              </w:rPr>
              <w:t>Poruchy reprodukčného systému a prsníkov</w:t>
            </w:r>
          </w:p>
        </w:tc>
        <w:tc>
          <w:tcPr>
            <w:tcW w:w="889" w:type="pct"/>
          </w:tcPr>
          <w:p w14:paraId="6C2EB001" w14:textId="77777777" w:rsidR="001510E5" w:rsidRPr="00923694" w:rsidRDefault="001510E5" w:rsidP="00FF70E0">
            <w:pPr>
              <w:contextualSpacing/>
              <w:jc w:val="left"/>
              <w:rPr>
                <w:sz w:val="22"/>
                <w:szCs w:val="22"/>
                <w:lang w:val="sk-SK"/>
              </w:rPr>
            </w:pPr>
            <w:r w:rsidRPr="00923694">
              <w:rPr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1833" w:type="pct"/>
          </w:tcPr>
          <w:p w14:paraId="5622F6DF" w14:textId="77777777" w:rsidR="001510E5" w:rsidRPr="00923694" w:rsidRDefault="001510E5" w:rsidP="00FF70E0">
            <w:pPr>
              <w:contextualSpacing/>
              <w:jc w:val="left"/>
              <w:rPr>
                <w:noProof/>
                <w:sz w:val="22"/>
                <w:szCs w:val="22"/>
                <w:lang w:val="sk-SK"/>
              </w:rPr>
            </w:pPr>
            <w:r w:rsidRPr="00923694">
              <w:rPr>
                <w:noProof/>
                <w:sz w:val="22"/>
                <w:szCs w:val="22"/>
                <w:lang w:val="sk-SK"/>
              </w:rPr>
              <w:t>sexuálna dysfunkcia</w:t>
            </w:r>
            <w:r>
              <w:rPr>
                <w:noProof/>
                <w:sz w:val="22"/>
                <w:szCs w:val="22"/>
                <w:lang w:val="sk-SK"/>
              </w:rPr>
              <w:t>*</w:t>
            </w:r>
          </w:p>
        </w:tc>
      </w:tr>
      <w:tr w:rsidR="001510E5" w:rsidRPr="00923694" w14:paraId="66FFC7D1" w14:textId="77777777" w:rsidTr="00E23A5B">
        <w:trPr>
          <w:trHeight w:val="242"/>
        </w:trPr>
        <w:tc>
          <w:tcPr>
            <w:tcW w:w="2278" w:type="pct"/>
            <w:vMerge/>
          </w:tcPr>
          <w:p w14:paraId="53E059F8" w14:textId="77777777" w:rsidR="001510E5" w:rsidRPr="00923694" w:rsidRDefault="001510E5" w:rsidP="00FF70E0">
            <w:pPr>
              <w:contextualSpacing/>
              <w:jc w:val="left"/>
              <w:rPr>
                <w:noProof/>
                <w:sz w:val="22"/>
                <w:szCs w:val="22"/>
                <w:lang w:val="sk-SK"/>
              </w:rPr>
            </w:pPr>
          </w:p>
        </w:tc>
        <w:tc>
          <w:tcPr>
            <w:tcW w:w="889" w:type="pct"/>
          </w:tcPr>
          <w:p w14:paraId="60E86EA9" w14:textId="77777777" w:rsidR="001510E5" w:rsidRPr="001510E5" w:rsidDel="001510E5" w:rsidRDefault="001510E5" w:rsidP="00FF70E0">
            <w:pPr>
              <w:contextualSpacing/>
              <w:jc w:val="left"/>
              <w:rPr>
                <w:sz w:val="22"/>
                <w:szCs w:val="22"/>
                <w:lang w:val="sk-SK"/>
              </w:rPr>
            </w:pPr>
            <w:r>
              <w:rPr>
                <w:bCs/>
                <w:snapToGrid w:val="0"/>
                <w:sz w:val="22"/>
                <w:szCs w:val="22"/>
                <w:lang w:val="it-IT"/>
              </w:rPr>
              <w:t>menej časté</w:t>
            </w:r>
          </w:p>
        </w:tc>
        <w:tc>
          <w:tcPr>
            <w:tcW w:w="1833" w:type="pct"/>
          </w:tcPr>
          <w:p w14:paraId="4FEA34FE" w14:textId="77777777" w:rsidR="001510E5" w:rsidRPr="001510E5" w:rsidRDefault="001510E5" w:rsidP="00FF70E0">
            <w:pPr>
              <w:contextualSpacing/>
              <w:jc w:val="left"/>
              <w:rPr>
                <w:noProof/>
                <w:sz w:val="22"/>
                <w:szCs w:val="22"/>
                <w:lang w:val="sk-SK"/>
              </w:rPr>
            </w:pPr>
            <w:r w:rsidRPr="00BF7CC3">
              <w:rPr>
                <w:noProof/>
                <w:sz w:val="22"/>
                <w:szCs w:val="22"/>
                <w:lang w:val="sk-SK"/>
              </w:rPr>
              <w:t>nepravidelná menštruácia</w:t>
            </w:r>
            <w:r>
              <w:rPr>
                <w:noProof/>
                <w:sz w:val="22"/>
                <w:szCs w:val="22"/>
                <w:lang w:val="sk-SK"/>
              </w:rPr>
              <w:t>*</w:t>
            </w:r>
          </w:p>
        </w:tc>
      </w:tr>
      <w:tr w:rsidR="001510E5" w:rsidRPr="00923694" w14:paraId="00757441" w14:textId="77777777" w:rsidTr="00BB3959">
        <w:trPr>
          <w:trHeight w:val="756"/>
        </w:trPr>
        <w:tc>
          <w:tcPr>
            <w:tcW w:w="2278" w:type="pct"/>
            <w:vMerge w:val="restart"/>
          </w:tcPr>
          <w:p w14:paraId="7DA18B11" w14:textId="77777777" w:rsidR="001510E5" w:rsidRPr="00923694" w:rsidRDefault="001510E5" w:rsidP="00FF70E0">
            <w:pPr>
              <w:contextualSpacing/>
              <w:jc w:val="left"/>
              <w:rPr>
                <w:noProof/>
                <w:sz w:val="22"/>
                <w:szCs w:val="22"/>
                <w:lang w:val="sk-SK"/>
              </w:rPr>
            </w:pPr>
            <w:r w:rsidRPr="00923694">
              <w:rPr>
                <w:noProof/>
                <w:sz w:val="22"/>
                <w:szCs w:val="22"/>
                <w:lang w:val="sk-SK"/>
              </w:rPr>
              <w:t>Celkové poruchy a reakcie v mieste podania</w:t>
            </w:r>
          </w:p>
        </w:tc>
        <w:tc>
          <w:tcPr>
            <w:tcW w:w="889" w:type="pct"/>
          </w:tcPr>
          <w:p w14:paraId="39610BD4" w14:textId="77777777" w:rsidR="001510E5" w:rsidRPr="00923694" w:rsidRDefault="001510E5" w:rsidP="00FF70E0">
            <w:pPr>
              <w:contextualSpacing/>
              <w:jc w:val="left"/>
              <w:rPr>
                <w:noProof/>
                <w:sz w:val="22"/>
                <w:szCs w:val="22"/>
                <w:lang w:val="sk-SK"/>
              </w:rPr>
            </w:pPr>
            <w:r>
              <w:rPr>
                <w:bCs/>
                <w:snapToGrid w:val="0"/>
                <w:sz w:val="22"/>
                <w:szCs w:val="22"/>
                <w:lang w:val="sk-SK"/>
              </w:rPr>
              <w:t>v</w:t>
            </w:r>
            <w:r w:rsidRPr="00923694">
              <w:rPr>
                <w:bCs/>
                <w:snapToGrid w:val="0"/>
                <w:sz w:val="22"/>
                <w:szCs w:val="22"/>
                <w:lang w:val="sk-SK"/>
              </w:rPr>
              <w:t>eľmi časté</w:t>
            </w:r>
          </w:p>
        </w:tc>
        <w:tc>
          <w:tcPr>
            <w:tcW w:w="1833" w:type="pct"/>
          </w:tcPr>
          <w:p w14:paraId="5B0F9935" w14:textId="77777777" w:rsidR="001510E5" w:rsidRPr="00923694" w:rsidRDefault="001510E5" w:rsidP="00FF70E0">
            <w:pPr>
              <w:contextualSpacing/>
              <w:jc w:val="left"/>
              <w:rPr>
                <w:noProof/>
                <w:sz w:val="22"/>
                <w:szCs w:val="22"/>
                <w:lang w:val="sk-SK"/>
              </w:rPr>
            </w:pPr>
            <w:r w:rsidRPr="00923694">
              <w:rPr>
                <w:bCs/>
                <w:snapToGrid w:val="0"/>
                <w:sz w:val="22"/>
                <w:szCs w:val="22"/>
                <w:lang w:val="sk-SK"/>
              </w:rPr>
              <w:t>únava</w:t>
            </w:r>
            <w:r>
              <w:rPr>
                <w:bCs/>
                <w:snapToGrid w:val="0"/>
                <w:sz w:val="22"/>
                <w:szCs w:val="22"/>
                <w:lang w:val="sk-SK"/>
              </w:rPr>
              <w:t xml:space="preserve">, </w:t>
            </w:r>
            <w:r w:rsidRPr="00923694">
              <w:rPr>
                <w:noProof/>
                <w:sz w:val="22"/>
                <w:szCs w:val="22"/>
                <w:lang w:val="sk-SK"/>
              </w:rPr>
              <w:t>podráždenosť</w:t>
            </w:r>
          </w:p>
        </w:tc>
      </w:tr>
      <w:tr w:rsidR="009425E9" w:rsidRPr="00923694" w14:paraId="018CF4BE" w14:textId="77777777" w:rsidTr="00E23A5B">
        <w:trPr>
          <w:trHeight w:val="263"/>
        </w:trPr>
        <w:tc>
          <w:tcPr>
            <w:tcW w:w="2278" w:type="pct"/>
            <w:vMerge/>
          </w:tcPr>
          <w:p w14:paraId="34F9879A" w14:textId="77777777" w:rsidR="009425E9" w:rsidRPr="00923694" w:rsidRDefault="009425E9" w:rsidP="00FF70E0">
            <w:pPr>
              <w:contextualSpacing/>
              <w:jc w:val="left"/>
              <w:rPr>
                <w:noProof/>
                <w:sz w:val="22"/>
                <w:szCs w:val="22"/>
                <w:highlight w:val="green"/>
                <w:lang w:val="sk-SK"/>
              </w:rPr>
            </w:pPr>
          </w:p>
        </w:tc>
        <w:tc>
          <w:tcPr>
            <w:tcW w:w="889" w:type="pct"/>
          </w:tcPr>
          <w:p w14:paraId="63D3FC4E" w14:textId="77777777" w:rsidR="009425E9" w:rsidRPr="00923694" w:rsidRDefault="001510E5" w:rsidP="00FF70E0">
            <w:pPr>
              <w:contextualSpacing/>
              <w:jc w:val="left"/>
              <w:rPr>
                <w:noProof/>
                <w:sz w:val="22"/>
                <w:szCs w:val="22"/>
                <w:lang w:val="sk-SK"/>
              </w:rPr>
            </w:pPr>
            <w:r>
              <w:rPr>
                <w:noProof/>
                <w:sz w:val="22"/>
                <w:szCs w:val="22"/>
                <w:lang w:val="sk-SK"/>
              </w:rPr>
              <w:t>n</w:t>
            </w:r>
            <w:r w:rsidR="009425E9" w:rsidRPr="00923694">
              <w:rPr>
                <w:noProof/>
                <w:sz w:val="22"/>
                <w:szCs w:val="22"/>
                <w:lang w:val="sk-SK"/>
              </w:rPr>
              <w:t xml:space="preserve">eznáme </w:t>
            </w:r>
          </w:p>
        </w:tc>
        <w:tc>
          <w:tcPr>
            <w:tcW w:w="1833" w:type="pct"/>
          </w:tcPr>
          <w:p w14:paraId="56832E1D" w14:textId="77777777" w:rsidR="009425E9" w:rsidRPr="00923694" w:rsidRDefault="008D2F13" w:rsidP="00FF70E0">
            <w:pPr>
              <w:contextualSpacing/>
              <w:jc w:val="left"/>
              <w:rPr>
                <w:noProof/>
                <w:sz w:val="22"/>
                <w:szCs w:val="22"/>
                <w:lang w:val="sk-SK"/>
              </w:rPr>
            </w:pPr>
            <w:r w:rsidRPr="00923694">
              <w:rPr>
                <w:bCs/>
                <w:snapToGrid w:val="0"/>
                <w:sz w:val="22"/>
                <w:szCs w:val="22"/>
                <w:lang w:val="sk-SK"/>
              </w:rPr>
              <w:t>p</w:t>
            </w:r>
            <w:r w:rsidR="009425E9" w:rsidRPr="00923694">
              <w:rPr>
                <w:noProof/>
                <w:sz w:val="22"/>
                <w:szCs w:val="22"/>
                <w:lang w:val="sk-SK"/>
              </w:rPr>
              <w:t>eriférny edém</w:t>
            </w:r>
            <w:r w:rsidR="001510E5">
              <w:rPr>
                <w:noProof/>
                <w:sz w:val="22"/>
                <w:szCs w:val="22"/>
                <w:lang w:val="sk-SK"/>
              </w:rPr>
              <w:t>*</w:t>
            </w:r>
          </w:p>
        </w:tc>
      </w:tr>
      <w:tr w:rsidR="001510E5" w:rsidRPr="00923694" w14:paraId="1940B125" w14:textId="77777777" w:rsidTr="001510E5">
        <w:trPr>
          <w:trHeight w:val="288"/>
        </w:trPr>
        <w:tc>
          <w:tcPr>
            <w:tcW w:w="2278" w:type="pct"/>
            <w:vMerge w:val="restart"/>
          </w:tcPr>
          <w:p w14:paraId="1795C736" w14:textId="77777777" w:rsidR="001510E5" w:rsidRPr="00923694" w:rsidRDefault="001510E5" w:rsidP="00FF70E0">
            <w:pPr>
              <w:contextualSpacing/>
              <w:jc w:val="left"/>
              <w:rPr>
                <w:noProof/>
                <w:sz w:val="22"/>
                <w:szCs w:val="22"/>
                <w:lang w:val="sk-SK"/>
              </w:rPr>
            </w:pPr>
            <w:r w:rsidRPr="00923694">
              <w:rPr>
                <w:noProof/>
                <w:sz w:val="22"/>
                <w:szCs w:val="22"/>
                <w:lang w:val="sk-SK"/>
              </w:rPr>
              <w:t>Laboratórne a funkčné vyšetrenia</w:t>
            </w:r>
          </w:p>
        </w:tc>
        <w:tc>
          <w:tcPr>
            <w:tcW w:w="889" w:type="pct"/>
          </w:tcPr>
          <w:p w14:paraId="68082035" w14:textId="77777777" w:rsidR="001510E5" w:rsidRPr="00923694" w:rsidRDefault="001510E5" w:rsidP="00FF70E0">
            <w:pPr>
              <w:contextualSpacing/>
              <w:jc w:val="left"/>
              <w:rPr>
                <w:noProof/>
                <w:sz w:val="22"/>
                <w:szCs w:val="22"/>
                <w:lang w:val="sk-SK"/>
              </w:rPr>
            </w:pPr>
            <w:r w:rsidRPr="00923694">
              <w:rPr>
                <w:noProof/>
                <w:sz w:val="22"/>
                <w:szCs w:val="22"/>
                <w:lang w:val="sk-SK"/>
              </w:rPr>
              <w:t>časté</w:t>
            </w:r>
          </w:p>
        </w:tc>
        <w:tc>
          <w:tcPr>
            <w:tcW w:w="1833" w:type="pct"/>
          </w:tcPr>
          <w:p w14:paraId="1AC88270" w14:textId="77777777" w:rsidR="001510E5" w:rsidRPr="00923694" w:rsidRDefault="001510E5" w:rsidP="00FF70E0">
            <w:pPr>
              <w:contextualSpacing/>
              <w:jc w:val="left"/>
              <w:rPr>
                <w:noProof/>
                <w:sz w:val="22"/>
                <w:szCs w:val="22"/>
                <w:lang w:val="sk-SK"/>
              </w:rPr>
            </w:pPr>
            <w:r>
              <w:rPr>
                <w:noProof/>
                <w:sz w:val="22"/>
                <w:szCs w:val="22"/>
                <w:lang w:val="sk-SK"/>
              </w:rPr>
              <w:t>zníženie telesnej</w:t>
            </w:r>
            <w:r w:rsidRPr="00923694">
              <w:rPr>
                <w:noProof/>
                <w:sz w:val="22"/>
                <w:szCs w:val="22"/>
                <w:lang w:val="sk-SK"/>
              </w:rPr>
              <w:t xml:space="preserve"> hmotnosti, </w:t>
            </w:r>
            <w:r>
              <w:rPr>
                <w:noProof/>
                <w:sz w:val="22"/>
                <w:szCs w:val="22"/>
                <w:lang w:val="sk-SK"/>
              </w:rPr>
              <w:t>zvýšenie telesnej hmotnosti</w:t>
            </w:r>
          </w:p>
        </w:tc>
      </w:tr>
      <w:tr w:rsidR="001510E5" w:rsidRPr="00923694" w14:paraId="559B8F43" w14:textId="77777777" w:rsidTr="00E23A5B">
        <w:trPr>
          <w:trHeight w:val="288"/>
        </w:trPr>
        <w:tc>
          <w:tcPr>
            <w:tcW w:w="2278" w:type="pct"/>
            <w:vMerge/>
          </w:tcPr>
          <w:p w14:paraId="61D8A398" w14:textId="77777777" w:rsidR="001510E5" w:rsidRPr="00923694" w:rsidRDefault="001510E5" w:rsidP="00FF70E0">
            <w:pPr>
              <w:contextualSpacing/>
              <w:jc w:val="left"/>
              <w:rPr>
                <w:noProof/>
                <w:sz w:val="22"/>
                <w:szCs w:val="22"/>
                <w:lang w:val="sk-SK"/>
              </w:rPr>
            </w:pPr>
          </w:p>
        </w:tc>
        <w:tc>
          <w:tcPr>
            <w:tcW w:w="889" w:type="pct"/>
          </w:tcPr>
          <w:p w14:paraId="4F08DF2D" w14:textId="77777777" w:rsidR="001510E5" w:rsidRPr="001510E5" w:rsidRDefault="001510E5" w:rsidP="00FF70E0">
            <w:pPr>
              <w:contextualSpacing/>
              <w:jc w:val="left"/>
              <w:rPr>
                <w:noProof/>
                <w:sz w:val="22"/>
                <w:szCs w:val="22"/>
                <w:lang w:val="sk-SK"/>
              </w:rPr>
            </w:pPr>
            <w:r>
              <w:rPr>
                <w:bCs/>
                <w:snapToGrid w:val="0"/>
                <w:sz w:val="22"/>
                <w:szCs w:val="22"/>
                <w:lang w:val="it-IT"/>
              </w:rPr>
              <w:t>neznáme</w:t>
            </w:r>
          </w:p>
        </w:tc>
        <w:tc>
          <w:tcPr>
            <w:tcW w:w="1833" w:type="pct"/>
          </w:tcPr>
          <w:p w14:paraId="22669CD6" w14:textId="77777777" w:rsidR="001510E5" w:rsidRPr="001510E5" w:rsidRDefault="001510E5" w:rsidP="00FF70E0">
            <w:pPr>
              <w:contextualSpacing/>
              <w:jc w:val="left"/>
              <w:rPr>
                <w:noProof/>
                <w:sz w:val="22"/>
                <w:szCs w:val="22"/>
                <w:lang w:val="sk-SK"/>
              </w:rPr>
            </w:pPr>
            <w:r w:rsidRPr="00BF7CC3">
              <w:rPr>
                <w:noProof/>
                <w:sz w:val="22"/>
                <w:szCs w:val="22"/>
                <w:lang w:val="sk-SK"/>
              </w:rPr>
              <w:t>zvýšen</w:t>
            </w:r>
            <w:r>
              <w:rPr>
                <w:noProof/>
                <w:sz w:val="22"/>
                <w:szCs w:val="22"/>
                <w:lang w:val="sk-SK"/>
              </w:rPr>
              <w:t>ie</w:t>
            </w:r>
            <w:r w:rsidRPr="00BF7CC3">
              <w:rPr>
                <w:noProof/>
                <w:sz w:val="22"/>
                <w:szCs w:val="22"/>
                <w:lang w:val="sk-SK"/>
              </w:rPr>
              <w:t xml:space="preserve"> vnútroočn</w:t>
            </w:r>
            <w:r>
              <w:rPr>
                <w:noProof/>
                <w:sz w:val="22"/>
                <w:szCs w:val="22"/>
                <w:lang w:val="sk-SK"/>
              </w:rPr>
              <w:t>ého</w:t>
            </w:r>
            <w:r w:rsidRPr="00BF7CC3">
              <w:rPr>
                <w:noProof/>
                <w:sz w:val="22"/>
                <w:szCs w:val="22"/>
                <w:lang w:val="sk-SK"/>
              </w:rPr>
              <w:t xml:space="preserve"> tlak</w:t>
            </w:r>
            <w:r>
              <w:rPr>
                <w:noProof/>
                <w:sz w:val="22"/>
                <w:szCs w:val="22"/>
                <w:lang w:val="sk-SK"/>
              </w:rPr>
              <w:t>u*</w:t>
            </w:r>
          </w:p>
        </w:tc>
      </w:tr>
    </w:tbl>
    <w:p w14:paraId="4BD3EF28" w14:textId="77777777" w:rsidR="001510E5" w:rsidRDefault="001510E5" w:rsidP="001510E5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*nežiaduce účinky pozorované po uvedení na trh</w:t>
      </w:r>
    </w:p>
    <w:p w14:paraId="1C8AA800" w14:textId="77777777" w:rsidR="00CA0BB2" w:rsidRPr="00923694" w:rsidRDefault="00CA0BB2" w:rsidP="00CE5C2C">
      <w:pPr>
        <w:pStyle w:val="Zkladntext"/>
        <w:jc w:val="left"/>
        <w:rPr>
          <w:sz w:val="22"/>
          <w:szCs w:val="22"/>
          <w:lang w:val="sk-SK"/>
        </w:rPr>
      </w:pPr>
    </w:p>
    <w:p w14:paraId="0E5BD302" w14:textId="77777777" w:rsidR="001510E5" w:rsidRDefault="008D2F13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CE5C2C">
        <w:rPr>
          <w:color w:val="000000"/>
          <w:sz w:val="22"/>
          <w:szCs w:val="22"/>
          <w:lang w:val="sk-SK"/>
        </w:rPr>
        <w:t xml:space="preserve">Užívanie </w:t>
      </w:r>
      <w:r w:rsidR="001510E5">
        <w:rPr>
          <w:color w:val="000000"/>
          <w:sz w:val="22"/>
          <w:szCs w:val="22"/>
          <w:lang w:val="sk-SK"/>
        </w:rPr>
        <w:t>lieku</w:t>
      </w:r>
      <w:r w:rsidRPr="00CE5C2C">
        <w:rPr>
          <w:color w:val="000000"/>
          <w:sz w:val="22"/>
          <w:szCs w:val="22"/>
          <w:lang w:val="sk-SK"/>
        </w:rPr>
        <w:t>(</w:t>
      </w:r>
      <w:r w:rsidR="001510E5">
        <w:rPr>
          <w:color w:val="000000"/>
          <w:sz w:val="22"/>
          <w:szCs w:val="22"/>
          <w:lang w:val="sk-SK"/>
        </w:rPr>
        <w:t>i v</w:t>
      </w:r>
      <w:r w:rsidRPr="00CE5C2C">
        <w:rPr>
          <w:color w:val="000000"/>
          <w:sz w:val="22"/>
          <w:szCs w:val="22"/>
          <w:lang w:val="sk-SK"/>
        </w:rPr>
        <w:t xml:space="preserve"> terapeutických dávk</w:t>
      </w:r>
      <w:r w:rsidR="001510E5">
        <w:rPr>
          <w:color w:val="000000"/>
          <w:sz w:val="22"/>
          <w:szCs w:val="22"/>
          <w:lang w:val="sk-SK"/>
        </w:rPr>
        <w:t>ach</w:t>
      </w:r>
      <w:r w:rsidRPr="00CE5C2C">
        <w:rPr>
          <w:color w:val="000000"/>
          <w:sz w:val="22"/>
          <w:szCs w:val="22"/>
          <w:lang w:val="sk-SK"/>
        </w:rPr>
        <w:t>) môže viesť k rozvoju fyzickej závislosti</w:t>
      </w:r>
      <w:r w:rsidR="001510E5">
        <w:rPr>
          <w:color w:val="000000"/>
          <w:sz w:val="22"/>
          <w:szCs w:val="22"/>
          <w:lang w:val="sk-SK"/>
        </w:rPr>
        <w:t>:</w:t>
      </w:r>
      <w:r w:rsidRPr="00CE5C2C">
        <w:rPr>
          <w:color w:val="000000"/>
          <w:sz w:val="22"/>
          <w:szCs w:val="22"/>
          <w:lang w:val="sk-SK"/>
        </w:rPr>
        <w:t xml:space="preserve"> </w:t>
      </w:r>
      <w:r w:rsidR="001510E5">
        <w:rPr>
          <w:color w:val="000000"/>
          <w:sz w:val="22"/>
          <w:szCs w:val="22"/>
          <w:lang w:val="sk-SK"/>
        </w:rPr>
        <w:t>ukončenie</w:t>
      </w:r>
      <w:r w:rsidRPr="00CE5C2C">
        <w:rPr>
          <w:color w:val="000000"/>
          <w:sz w:val="22"/>
          <w:szCs w:val="22"/>
          <w:lang w:val="sk-SK"/>
        </w:rPr>
        <w:t xml:space="preserve"> liečby môže viesť k</w:t>
      </w:r>
      <w:r w:rsidR="001510E5">
        <w:rPr>
          <w:color w:val="000000"/>
          <w:sz w:val="22"/>
          <w:szCs w:val="22"/>
          <w:lang w:val="sk-SK"/>
        </w:rPr>
        <w:t xml:space="preserve"> vzniku </w:t>
      </w:r>
      <w:r w:rsidRPr="00CE5C2C">
        <w:rPr>
          <w:color w:val="000000"/>
          <w:sz w:val="22"/>
          <w:szCs w:val="22"/>
          <w:lang w:val="sk-SK"/>
        </w:rPr>
        <w:t>abstinenčný</w:t>
      </w:r>
      <w:r w:rsidR="001510E5">
        <w:rPr>
          <w:color w:val="000000"/>
          <w:sz w:val="22"/>
          <w:szCs w:val="22"/>
          <w:lang w:val="sk-SK"/>
        </w:rPr>
        <w:t>ch</w:t>
      </w:r>
      <w:r w:rsidRPr="00CE5C2C">
        <w:rPr>
          <w:color w:val="000000"/>
          <w:sz w:val="22"/>
          <w:szCs w:val="22"/>
          <w:lang w:val="sk-SK"/>
        </w:rPr>
        <w:t xml:space="preserve"> p</w:t>
      </w:r>
      <w:r w:rsidRPr="005E7891">
        <w:rPr>
          <w:color w:val="000000"/>
          <w:sz w:val="22"/>
          <w:szCs w:val="22"/>
          <w:lang w:val="sk-SK"/>
        </w:rPr>
        <w:t>ríznako</w:t>
      </w:r>
      <w:r w:rsidR="001510E5">
        <w:rPr>
          <w:color w:val="000000"/>
          <w:sz w:val="22"/>
          <w:szCs w:val="22"/>
          <w:lang w:val="sk-SK"/>
        </w:rPr>
        <w:t>v</w:t>
      </w:r>
      <w:r w:rsidRPr="005E7891">
        <w:rPr>
          <w:color w:val="000000"/>
          <w:sz w:val="22"/>
          <w:szCs w:val="22"/>
          <w:lang w:val="sk-SK"/>
        </w:rPr>
        <w:t xml:space="preserve"> alebo rebound fenoménu. </w:t>
      </w:r>
    </w:p>
    <w:p w14:paraId="73BAA062" w14:textId="77777777" w:rsidR="00CA0BB2" w:rsidRDefault="008D2F13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5E7891">
        <w:rPr>
          <w:color w:val="000000"/>
          <w:sz w:val="22"/>
          <w:szCs w:val="22"/>
          <w:lang w:val="sk-SK"/>
        </w:rPr>
        <w:t>Môže sa objaviť i psychická závislosť. Bolo</w:t>
      </w:r>
      <w:r w:rsidR="001510E5">
        <w:rPr>
          <w:color w:val="000000"/>
          <w:sz w:val="22"/>
          <w:szCs w:val="22"/>
          <w:lang w:val="sk-SK"/>
        </w:rPr>
        <w:t xml:space="preserve"> taktiež</w:t>
      </w:r>
      <w:r w:rsidRPr="005E7891">
        <w:rPr>
          <w:color w:val="000000"/>
          <w:sz w:val="22"/>
          <w:szCs w:val="22"/>
          <w:lang w:val="sk-SK"/>
        </w:rPr>
        <w:t xml:space="preserve"> hlásené zneužívanie benzodiazepínov (pozri časť 4.4).</w:t>
      </w:r>
    </w:p>
    <w:p w14:paraId="59A7B354" w14:textId="77777777" w:rsidR="008474E1" w:rsidRDefault="008474E1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119794BB" w14:textId="32EB12C7" w:rsidR="008474E1" w:rsidRPr="005E7891" w:rsidRDefault="008474E1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8603B0">
        <w:rPr>
          <w:sz w:val="22"/>
          <w:szCs w:val="22"/>
          <w:lang w:val="sk-SK"/>
        </w:rPr>
        <w:t>V mnohých spontánnych hláseniach nežiaducich účinkov na prejavy správani</w:t>
      </w:r>
      <w:r w:rsidR="008704E0">
        <w:rPr>
          <w:sz w:val="22"/>
          <w:szCs w:val="22"/>
          <w:lang w:val="sk-SK"/>
        </w:rPr>
        <w:t>a, pacienti súbež</w:t>
      </w:r>
      <w:r w:rsidRPr="008603B0">
        <w:rPr>
          <w:sz w:val="22"/>
          <w:szCs w:val="22"/>
          <w:lang w:val="sk-SK"/>
        </w:rPr>
        <w:t xml:space="preserve">ne užívali iné CNS lieky a/alebo boli popísané so sprievodnými psychiatrickými chorobami. </w:t>
      </w:r>
      <w:r w:rsidRPr="008603B0">
        <w:rPr>
          <w:iCs/>
          <w:sz w:val="22"/>
          <w:szCs w:val="22"/>
          <w:lang w:val="sk-SK"/>
        </w:rPr>
        <w:t>Pacienti s hraničnými poruchami osobnosti, s údajom o násilníckom alebo agresívnom správaní v anamnéze, s abúzom alkoholu alebo iných látok, majú vyššie riziko vzniku takýchto príhod. P</w:t>
      </w:r>
      <w:r w:rsidRPr="008603B0">
        <w:rPr>
          <w:sz w:val="22"/>
          <w:szCs w:val="22"/>
          <w:lang w:val="sk-SK"/>
        </w:rPr>
        <w:t>o ukončení liečby alprazolamom b</w:t>
      </w:r>
      <w:r w:rsidRPr="008603B0">
        <w:rPr>
          <w:iCs/>
          <w:sz w:val="22"/>
          <w:szCs w:val="22"/>
          <w:lang w:val="sk-SK"/>
        </w:rPr>
        <w:t xml:space="preserve">oli </w:t>
      </w:r>
      <w:r w:rsidRPr="008603B0">
        <w:rPr>
          <w:sz w:val="22"/>
          <w:szCs w:val="22"/>
          <w:lang w:val="sk-SK"/>
        </w:rPr>
        <w:t>u</w:t>
      </w:r>
      <w:r w:rsidRPr="008603B0">
        <w:rPr>
          <w:iCs/>
          <w:sz w:val="22"/>
          <w:szCs w:val="22"/>
          <w:lang w:val="sk-SK"/>
        </w:rPr>
        <w:t> </w:t>
      </w:r>
      <w:r w:rsidRPr="008603B0">
        <w:rPr>
          <w:sz w:val="22"/>
          <w:szCs w:val="22"/>
          <w:lang w:val="sk-SK"/>
        </w:rPr>
        <w:t xml:space="preserve">pacientov, ktorí trpeli posttraumatickou stresovou poruchou, </w:t>
      </w:r>
      <w:r w:rsidRPr="008603B0">
        <w:rPr>
          <w:iCs/>
          <w:sz w:val="22"/>
          <w:szCs w:val="22"/>
          <w:lang w:val="sk-SK"/>
        </w:rPr>
        <w:t xml:space="preserve">hlásené prípady podráždenosti, </w:t>
      </w:r>
      <w:r w:rsidRPr="008603B0">
        <w:rPr>
          <w:sz w:val="22"/>
          <w:szCs w:val="22"/>
          <w:lang w:val="sk-SK"/>
        </w:rPr>
        <w:t>nevraživosti a dotieravých myšlienok.</w:t>
      </w:r>
    </w:p>
    <w:p w14:paraId="7F317D08" w14:textId="77777777" w:rsidR="008D2F13" w:rsidRPr="00495823" w:rsidRDefault="008D2F13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28969777" w14:textId="77777777" w:rsidR="008D2F13" w:rsidRPr="00923694" w:rsidRDefault="008D2F13" w:rsidP="00CE5C2C">
      <w:pPr>
        <w:spacing w:before="0"/>
        <w:jc w:val="left"/>
        <w:rPr>
          <w:sz w:val="22"/>
          <w:szCs w:val="22"/>
          <w:u w:val="single"/>
          <w:lang w:val="sk-SK"/>
        </w:rPr>
      </w:pPr>
      <w:r w:rsidRPr="00923694">
        <w:rPr>
          <w:noProof/>
          <w:sz w:val="22"/>
          <w:szCs w:val="22"/>
          <w:u w:val="single"/>
          <w:lang w:val="sk-SK"/>
        </w:rPr>
        <w:t>Hlásenie podozrení na nežiaduce reakcie</w:t>
      </w:r>
    </w:p>
    <w:p w14:paraId="343D77F0" w14:textId="77777777" w:rsidR="008D2F13" w:rsidRPr="00CE5C2C" w:rsidRDefault="008D2F13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923694">
        <w:rPr>
          <w:noProof/>
          <w:sz w:val="22"/>
          <w:szCs w:val="22"/>
          <w:lang w:val="sk-SK"/>
        </w:rPr>
        <w:t>Hlásenie podozrení na nežiaduce reakcie po registrácii lieku je dôležité.</w:t>
      </w:r>
      <w:r w:rsidRPr="00923694">
        <w:rPr>
          <w:sz w:val="22"/>
          <w:szCs w:val="22"/>
          <w:lang w:val="sk-SK"/>
        </w:rPr>
        <w:t xml:space="preserve"> </w:t>
      </w:r>
      <w:r w:rsidRPr="00923694">
        <w:rPr>
          <w:noProof/>
          <w:sz w:val="22"/>
          <w:szCs w:val="22"/>
          <w:lang w:val="sk-SK"/>
        </w:rPr>
        <w:t>Umožňuje priebežné monitorovanie pomeru prínosu a rizika lieku.</w:t>
      </w:r>
      <w:r w:rsidRPr="00923694">
        <w:rPr>
          <w:sz w:val="22"/>
          <w:szCs w:val="22"/>
          <w:lang w:val="sk-SK"/>
        </w:rPr>
        <w:t xml:space="preserve"> Od </w:t>
      </w:r>
      <w:r w:rsidRPr="00923694">
        <w:rPr>
          <w:noProof/>
          <w:sz w:val="22"/>
          <w:szCs w:val="22"/>
          <w:lang w:val="sk-SK"/>
        </w:rPr>
        <w:t xml:space="preserve">zdravotníckych pracovníkov sa vyžaduje, aby </w:t>
      </w:r>
      <w:r w:rsidRPr="00923694">
        <w:rPr>
          <w:noProof/>
          <w:sz w:val="22"/>
          <w:szCs w:val="22"/>
          <w:lang w:val="sk-SK"/>
        </w:rPr>
        <w:lastRenderedPageBreak/>
        <w:t xml:space="preserve">hlásili akékoľvek podozrenia na nežiaduce reakcie </w:t>
      </w:r>
      <w:r w:rsidR="008474E1" w:rsidRPr="00923694">
        <w:rPr>
          <w:noProof/>
          <w:sz w:val="22"/>
          <w:szCs w:val="22"/>
          <w:highlight w:val="lightGray"/>
          <w:lang w:val="sk-SK"/>
        </w:rPr>
        <w:t>na</w:t>
      </w:r>
      <w:r w:rsidRPr="00923694">
        <w:rPr>
          <w:noProof/>
          <w:sz w:val="22"/>
          <w:szCs w:val="22"/>
          <w:highlight w:val="lightGray"/>
          <w:lang w:val="sk-SK"/>
        </w:rPr>
        <w:t xml:space="preserve"> národné </w:t>
      </w:r>
      <w:r w:rsidR="008474E1" w:rsidRPr="00923694">
        <w:rPr>
          <w:noProof/>
          <w:sz w:val="22"/>
          <w:szCs w:val="22"/>
          <w:highlight w:val="lightGray"/>
          <w:lang w:val="sk-SK"/>
        </w:rPr>
        <w:t>centrum</w:t>
      </w:r>
      <w:r w:rsidRPr="00923694">
        <w:rPr>
          <w:noProof/>
          <w:sz w:val="22"/>
          <w:szCs w:val="22"/>
          <w:highlight w:val="lightGray"/>
          <w:lang w:val="sk-SK"/>
        </w:rPr>
        <w:t xml:space="preserve"> hlásenia uvedené v </w:t>
      </w:r>
      <w:hyperlink r:id="rId8" w:history="1">
        <w:r w:rsidRPr="00923694">
          <w:rPr>
            <w:rStyle w:val="Hypertextovprepojenie"/>
            <w:noProof/>
            <w:sz w:val="22"/>
            <w:szCs w:val="22"/>
            <w:highlight w:val="lightGray"/>
            <w:lang w:val="sk-SK"/>
          </w:rPr>
          <w:t>Prílohe V</w:t>
        </w:r>
      </w:hyperlink>
      <w:r w:rsidRPr="00923694">
        <w:rPr>
          <w:noProof/>
          <w:sz w:val="22"/>
          <w:szCs w:val="22"/>
          <w:highlight w:val="lightGray"/>
          <w:lang w:val="sk-SK"/>
        </w:rPr>
        <w:t>.</w:t>
      </w:r>
    </w:p>
    <w:p w14:paraId="352F0582" w14:textId="77777777" w:rsidR="005D16E1" w:rsidRPr="0060426F" w:rsidRDefault="005D16E1" w:rsidP="00FF70E0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67F32577" w14:textId="77777777" w:rsidR="005D16E1" w:rsidRPr="00497F19" w:rsidRDefault="005D16E1" w:rsidP="00923694">
      <w:pPr>
        <w:tabs>
          <w:tab w:val="left" w:pos="8505"/>
        </w:tabs>
        <w:spacing w:before="0"/>
        <w:ind w:right="566"/>
        <w:jc w:val="left"/>
        <w:rPr>
          <w:b/>
          <w:color w:val="000000"/>
          <w:sz w:val="22"/>
          <w:szCs w:val="22"/>
          <w:lang w:val="sk-SK"/>
        </w:rPr>
      </w:pPr>
      <w:r w:rsidRPr="005E7891">
        <w:rPr>
          <w:b/>
          <w:color w:val="000000"/>
          <w:sz w:val="22"/>
          <w:szCs w:val="22"/>
          <w:lang w:val="sk-SK"/>
        </w:rPr>
        <w:t>4.9</w:t>
      </w:r>
      <w:r w:rsidR="00727FF9" w:rsidRPr="005E7891">
        <w:rPr>
          <w:b/>
          <w:color w:val="000000"/>
          <w:sz w:val="22"/>
          <w:szCs w:val="22"/>
          <w:lang w:val="sk-SK"/>
        </w:rPr>
        <w:t xml:space="preserve">     </w:t>
      </w:r>
      <w:r w:rsidRPr="00497F19">
        <w:rPr>
          <w:b/>
          <w:color w:val="000000"/>
          <w:sz w:val="22"/>
          <w:szCs w:val="22"/>
          <w:lang w:val="sk-SK"/>
        </w:rPr>
        <w:t>Predávkovanie</w:t>
      </w:r>
    </w:p>
    <w:p w14:paraId="75F12CE1" w14:textId="77777777" w:rsidR="008D2F13" w:rsidRPr="001E553E" w:rsidRDefault="008D2F13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4053AE19" w14:textId="77777777" w:rsidR="008D2F13" w:rsidRDefault="003F1923" w:rsidP="00CE5C2C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P</w:t>
      </w:r>
      <w:r w:rsidR="008D2F13" w:rsidRPr="00AB6209">
        <w:rPr>
          <w:color w:val="000000"/>
          <w:sz w:val="22"/>
          <w:szCs w:val="22"/>
          <w:lang w:val="sk-SK"/>
        </w:rPr>
        <w:t xml:space="preserve">okiaľ </w:t>
      </w:r>
      <w:r>
        <w:rPr>
          <w:color w:val="000000"/>
          <w:sz w:val="22"/>
          <w:szCs w:val="22"/>
          <w:lang w:val="sk-SK"/>
        </w:rPr>
        <w:t>nie je</w:t>
      </w:r>
      <w:r w:rsidR="008D2F13" w:rsidRPr="00AB6209">
        <w:rPr>
          <w:color w:val="000000"/>
          <w:sz w:val="22"/>
          <w:szCs w:val="22"/>
          <w:lang w:val="sk-SK"/>
        </w:rPr>
        <w:t xml:space="preserve"> alprazolam </w:t>
      </w:r>
      <w:r>
        <w:rPr>
          <w:color w:val="000000"/>
          <w:sz w:val="22"/>
          <w:szCs w:val="22"/>
          <w:lang w:val="sk-SK"/>
        </w:rPr>
        <w:t>kombinovaný</w:t>
      </w:r>
      <w:r w:rsidR="008D2F13" w:rsidRPr="00AB6209">
        <w:rPr>
          <w:color w:val="000000"/>
          <w:sz w:val="22"/>
          <w:szCs w:val="22"/>
          <w:lang w:val="sk-SK"/>
        </w:rPr>
        <w:t xml:space="preserve"> s inými látkami s tlmivým účinkom na CNS (vrátane alkoholu)</w:t>
      </w:r>
      <w:r>
        <w:rPr>
          <w:color w:val="000000"/>
          <w:sz w:val="22"/>
          <w:szCs w:val="22"/>
          <w:lang w:val="sk-SK"/>
        </w:rPr>
        <w:t>, nepredstavuje predávkovanie, podobne ako pri iných benzodiazepínoch, hrozbu</w:t>
      </w:r>
      <w:r w:rsidR="008D2F13" w:rsidRPr="00AB6209">
        <w:rPr>
          <w:color w:val="000000"/>
          <w:sz w:val="22"/>
          <w:szCs w:val="22"/>
          <w:lang w:val="sk-SK"/>
        </w:rPr>
        <w:t>.</w:t>
      </w:r>
    </w:p>
    <w:p w14:paraId="654AC062" w14:textId="77777777" w:rsidR="003F1923" w:rsidRPr="00AB6209" w:rsidRDefault="003F1923" w:rsidP="00CE5C2C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7FC35E7E" w14:textId="77777777" w:rsidR="008D2F13" w:rsidRDefault="008D2F13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353EC2">
        <w:rPr>
          <w:color w:val="000000"/>
          <w:sz w:val="22"/>
          <w:szCs w:val="22"/>
          <w:lang w:val="sk-SK"/>
        </w:rPr>
        <w:t xml:space="preserve">Pri liečbe </w:t>
      </w:r>
      <w:r w:rsidR="003F1923">
        <w:rPr>
          <w:color w:val="000000"/>
          <w:sz w:val="22"/>
          <w:szCs w:val="22"/>
          <w:lang w:val="sk-SK"/>
        </w:rPr>
        <w:t>predávkovania u ktoréhokoľvek lieku</w:t>
      </w:r>
      <w:r w:rsidRPr="00353EC2">
        <w:rPr>
          <w:color w:val="000000"/>
          <w:sz w:val="22"/>
          <w:szCs w:val="22"/>
          <w:lang w:val="sk-SK"/>
        </w:rPr>
        <w:t xml:space="preserve"> sa musí mať na zreteli, že pacient mohol užiť </w:t>
      </w:r>
      <w:r w:rsidR="003F1923">
        <w:rPr>
          <w:color w:val="000000"/>
          <w:sz w:val="22"/>
          <w:szCs w:val="22"/>
          <w:lang w:val="sk-SK"/>
        </w:rPr>
        <w:t>i ďalšie</w:t>
      </w:r>
      <w:r w:rsidRPr="00353EC2">
        <w:rPr>
          <w:color w:val="000000"/>
          <w:sz w:val="22"/>
          <w:szCs w:val="22"/>
          <w:lang w:val="sk-SK"/>
        </w:rPr>
        <w:t xml:space="preserve"> liek</w:t>
      </w:r>
      <w:r w:rsidR="003F1923">
        <w:rPr>
          <w:color w:val="000000"/>
          <w:sz w:val="22"/>
          <w:szCs w:val="22"/>
          <w:lang w:val="sk-SK"/>
        </w:rPr>
        <w:t>y</w:t>
      </w:r>
      <w:r w:rsidRPr="00353EC2">
        <w:rPr>
          <w:color w:val="000000"/>
          <w:sz w:val="22"/>
          <w:szCs w:val="22"/>
          <w:lang w:val="sk-SK"/>
        </w:rPr>
        <w:t>.</w:t>
      </w:r>
    </w:p>
    <w:p w14:paraId="050D0163" w14:textId="77777777" w:rsidR="003F1923" w:rsidRPr="00353EC2" w:rsidRDefault="003F1923" w:rsidP="00FF70E0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5EFADEF2" w14:textId="56926F07" w:rsidR="005D16E1" w:rsidRDefault="003F1923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Pri predávkovaní perorálnymi benzodiazepínmi je v prípade,</w:t>
      </w:r>
      <w:r w:rsidRPr="00274951">
        <w:rPr>
          <w:color w:val="000000"/>
          <w:sz w:val="22"/>
          <w:szCs w:val="22"/>
          <w:lang w:val="sk-SK"/>
        </w:rPr>
        <w:t xml:space="preserve"> </w:t>
      </w:r>
      <w:r>
        <w:rPr>
          <w:color w:val="000000"/>
          <w:sz w:val="22"/>
          <w:szCs w:val="22"/>
          <w:lang w:val="sk-SK"/>
        </w:rPr>
        <w:t>a</w:t>
      </w:r>
      <w:r w:rsidR="005D16E1" w:rsidRPr="003F1923">
        <w:rPr>
          <w:color w:val="000000"/>
          <w:sz w:val="22"/>
          <w:szCs w:val="22"/>
          <w:lang w:val="sk-SK"/>
        </w:rPr>
        <w:t>k je pacient pri vedomí</w:t>
      </w:r>
      <w:r>
        <w:rPr>
          <w:color w:val="000000"/>
          <w:sz w:val="22"/>
          <w:szCs w:val="22"/>
          <w:lang w:val="sk-SK"/>
        </w:rPr>
        <w:t>,</w:t>
      </w:r>
      <w:r w:rsidR="005D16E1" w:rsidRPr="003F1923">
        <w:rPr>
          <w:color w:val="000000"/>
          <w:sz w:val="22"/>
          <w:szCs w:val="22"/>
          <w:lang w:val="sk-SK"/>
        </w:rPr>
        <w:t xml:space="preserve"> vhodn</w:t>
      </w:r>
      <w:r>
        <w:rPr>
          <w:color w:val="000000"/>
          <w:sz w:val="22"/>
          <w:szCs w:val="22"/>
          <w:lang w:val="sk-SK"/>
        </w:rPr>
        <w:t>é vyvolať vracanie</w:t>
      </w:r>
      <w:r w:rsidR="005D16E1" w:rsidRPr="003F1923">
        <w:rPr>
          <w:color w:val="000000"/>
          <w:sz w:val="22"/>
          <w:szCs w:val="22"/>
          <w:lang w:val="sk-SK"/>
        </w:rPr>
        <w:t xml:space="preserve"> </w:t>
      </w:r>
      <w:r w:rsidR="00247945" w:rsidRPr="003F1923">
        <w:rPr>
          <w:color w:val="000000"/>
          <w:sz w:val="22"/>
          <w:szCs w:val="22"/>
          <w:lang w:val="sk-SK"/>
        </w:rPr>
        <w:t>(v priebehu 1 hodiny)</w:t>
      </w:r>
      <w:r>
        <w:rPr>
          <w:color w:val="000000"/>
          <w:sz w:val="22"/>
          <w:szCs w:val="22"/>
          <w:lang w:val="sk-SK"/>
        </w:rPr>
        <w:t>, v opačnom prípade sa odporúča</w:t>
      </w:r>
      <w:r w:rsidR="00247945" w:rsidRPr="003F1923">
        <w:rPr>
          <w:color w:val="000000"/>
          <w:sz w:val="22"/>
          <w:szCs w:val="22"/>
          <w:lang w:val="sk-SK"/>
        </w:rPr>
        <w:t xml:space="preserve"> </w:t>
      </w:r>
      <w:r w:rsidR="005D16E1" w:rsidRPr="003F1923">
        <w:rPr>
          <w:color w:val="000000"/>
          <w:sz w:val="22"/>
          <w:szCs w:val="22"/>
          <w:lang w:val="sk-SK"/>
        </w:rPr>
        <w:t>výplach žalúdka</w:t>
      </w:r>
      <w:r>
        <w:rPr>
          <w:color w:val="000000"/>
          <w:sz w:val="22"/>
          <w:szCs w:val="22"/>
          <w:lang w:val="sk-SK"/>
        </w:rPr>
        <w:t xml:space="preserve"> s kontrolou dýchacích ciest.</w:t>
      </w:r>
      <w:r w:rsidR="005D16E1" w:rsidRPr="003F1923">
        <w:rPr>
          <w:color w:val="000000"/>
          <w:sz w:val="22"/>
          <w:szCs w:val="22"/>
          <w:lang w:val="sk-SK"/>
        </w:rPr>
        <w:t xml:space="preserve"> </w:t>
      </w:r>
      <w:r w:rsidR="00700B7F" w:rsidRPr="00BE4935">
        <w:rPr>
          <w:color w:val="000000"/>
          <w:sz w:val="22"/>
          <w:szCs w:val="22"/>
          <w:lang w:val="sk-SK"/>
        </w:rPr>
        <w:t xml:space="preserve">Ak </w:t>
      </w:r>
      <w:r w:rsidR="00700B7F" w:rsidRPr="00F2191A">
        <w:rPr>
          <w:color w:val="000000"/>
          <w:sz w:val="22"/>
          <w:szCs w:val="22"/>
          <w:lang w:val="sk-SK"/>
        </w:rPr>
        <w:t xml:space="preserve">vyprázdnenie žalúdka </w:t>
      </w:r>
      <w:r w:rsidR="00700B7F" w:rsidRPr="008603B0">
        <w:rPr>
          <w:color w:val="000000"/>
          <w:sz w:val="22"/>
          <w:szCs w:val="22"/>
          <w:lang w:val="sk-SK"/>
        </w:rPr>
        <w:t>nezlepší stav pacienta</w:t>
      </w:r>
      <w:r w:rsidR="00700B7F" w:rsidRPr="00BE4935">
        <w:rPr>
          <w:color w:val="000000"/>
          <w:sz w:val="22"/>
          <w:szCs w:val="22"/>
          <w:lang w:val="sk-SK"/>
        </w:rPr>
        <w:t>, m</w:t>
      </w:r>
      <w:r w:rsidR="00700B7F" w:rsidRPr="008603B0">
        <w:rPr>
          <w:color w:val="000000"/>
          <w:sz w:val="22"/>
          <w:szCs w:val="22"/>
          <w:lang w:val="sk-SK"/>
        </w:rPr>
        <w:t xml:space="preserve">usí sa </w:t>
      </w:r>
      <w:r w:rsidR="00700B7F" w:rsidRPr="00BE4935">
        <w:rPr>
          <w:color w:val="000000"/>
          <w:sz w:val="22"/>
          <w:szCs w:val="22"/>
          <w:lang w:val="sk-SK"/>
        </w:rPr>
        <w:t xml:space="preserve">podať </w:t>
      </w:r>
      <w:r w:rsidR="00700B7F">
        <w:rPr>
          <w:color w:val="000000"/>
          <w:sz w:val="22"/>
          <w:szCs w:val="22"/>
          <w:lang w:val="sk-SK"/>
        </w:rPr>
        <w:t>aktívne</w:t>
      </w:r>
      <w:r w:rsidR="00700B7F" w:rsidRPr="00BE4935">
        <w:rPr>
          <w:color w:val="000000"/>
          <w:sz w:val="22"/>
          <w:szCs w:val="22"/>
          <w:lang w:val="sk-SK"/>
        </w:rPr>
        <w:t xml:space="preserve"> uhlie </w:t>
      </w:r>
      <w:r w:rsidR="00700B7F" w:rsidRPr="008603B0">
        <w:rPr>
          <w:color w:val="000000"/>
          <w:sz w:val="22"/>
          <w:szCs w:val="22"/>
          <w:lang w:val="sk-SK"/>
        </w:rPr>
        <w:t>aby sa redukovala</w:t>
      </w:r>
      <w:r w:rsidR="00700B7F" w:rsidRPr="00BE4935">
        <w:rPr>
          <w:color w:val="000000"/>
          <w:sz w:val="22"/>
          <w:szCs w:val="22"/>
          <w:lang w:val="sk-SK"/>
        </w:rPr>
        <w:t xml:space="preserve"> absorpci</w:t>
      </w:r>
      <w:r w:rsidR="00700B7F" w:rsidRPr="008603B0">
        <w:rPr>
          <w:color w:val="000000"/>
          <w:sz w:val="22"/>
          <w:szCs w:val="22"/>
          <w:lang w:val="sk-SK"/>
        </w:rPr>
        <w:t>a</w:t>
      </w:r>
      <w:r w:rsidR="00D779B4">
        <w:rPr>
          <w:color w:val="000000"/>
          <w:sz w:val="22"/>
          <w:szCs w:val="22"/>
          <w:lang w:val="sk-SK"/>
        </w:rPr>
        <w:t>.</w:t>
      </w:r>
      <w:r>
        <w:rPr>
          <w:color w:val="000000"/>
          <w:sz w:val="22"/>
          <w:szCs w:val="22"/>
          <w:lang w:val="sk-SK"/>
        </w:rPr>
        <w:t xml:space="preserve"> Zvláštnu pozornosť je potrebné venovať respiračným a kardiovaskulárnym funkciám</w:t>
      </w:r>
      <w:r w:rsidR="00700B7F">
        <w:rPr>
          <w:color w:val="000000"/>
          <w:sz w:val="22"/>
          <w:szCs w:val="22"/>
          <w:lang w:val="sk-SK"/>
        </w:rPr>
        <w:t xml:space="preserve"> </w:t>
      </w:r>
      <w:r w:rsidR="00700B7F" w:rsidRPr="008603B0">
        <w:rPr>
          <w:iCs/>
          <w:sz w:val="22"/>
          <w:szCs w:val="22"/>
          <w:lang w:val="sk-SK"/>
        </w:rPr>
        <w:t>na jednotke intenzívnej starostlivosti</w:t>
      </w:r>
      <w:r>
        <w:rPr>
          <w:color w:val="000000"/>
          <w:sz w:val="22"/>
          <w:szCs w:val="22"/>
          <w:lang w:val="sk-SK"/>
        </w:rPr>
        <w:t>.</w:t>
      </w:r>
    </w:p>
    <w:p w14:paraId="5947DBA7" w14:textId="77777777" w:rsidR="003F1923" w:rsidRDefault="003F1923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34C28B88" w14:textId="77777777" w:rsidR="003F1923" w:rsidRPr="00274951" w:rsidRDefault="003F1923" w:rsidP="003F1923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Predávkovanie benzodiazepínmi je zvyčajne sprevádzané niekoľkými stupňami depresie CNS, od ospalosti po kómu. U ľahších prípadov zahŕňajú symptómy </w:t>
      </w:r>
      <w:r w:rsidRPr="00274951">
        <w:rPr>
          <w:color w:val="000000"/>
          <w:sz w:val="22"/>
          <w:szCs w:val="22"/>
          <w:lang w:val="sk-SK"/>
        </w:rPr>
        <w:t>ospalosť</w:t>
      </w:r>
      <w:r>
        <w:rPr>
          <w:color w:val="000000"/>
          <w:sz w:val="22"/>
          <w:szCs w:val="22"/>
          <w:lang w:val="sk-SK"/>
        </w:rPr>
        <w:t>, mentálnu</w:t>
      </w:r>
      <w:r w:rsidRPr="00274951">
        <w:rPr>
          <w:color w:val="000000"/>
          <w:sz w:val="22"/>
          <w:szCs w:val="22"/>
          <w:lang w:val="sk-SK"/>
        </w:rPr>
        <w:t xml:space="preserve"> zmätenosť</w:t>
      </w:r>
      <w:r>
        <w:rPr>
          <w:color w:val="000000"/>
          <w:sz w:val="22"/>
          <w:szCs w:val="22"/>
          <w:lang w:val="sk-SK"/>
        </w:rPr>
        <w:t xml:space="preserve"> a</w:t>
      </w:r>
      <w:r w:rsidRPr="00274951">
        <w:rPr>
          <w:color w:val="000000"/>
          <w:sz w:val="22"/>
          <w:szCs w:val="22"/>
          <w:lang w:val="sk-SK"/>
        </w:rPr>
        <w:t xml:space="preserve"> </w:t>
      </w:r>
      <w:r>
        <w:rPr>
          <w:color w:val="000000"/>
          <w:sz w:val="22"/>
          <w:szCs w:val="22"/>
          <w:lang w:val="sk-SK"/>
        </w:rPr>
        <w:t>letargiu, u vážnejších prípadov až ataxiu, hypotóniu, hypotenziu, dychovú depresiu, zriedkavo kómu a veľmi zriedkavo smrť</w:t>
      </w:r>
      <w:r w:rsidRPr="00274951">
        <w:rPr>
          <w:color w:val="000000"/>
          <w:sz w:val="22"/>
          <w:szCs w:val="22"/>
          <w:lang w:val="sk-SK"/>
        </w:rPr>
        <w:t xml:space="preserve">. </w:t>
      </w:r>
    </w:p>
    <w:p w14:paraId="266FAF88" w14:textId="77777777" w:rsidR="003F1923" w:rsidRDefault="003F1923" w:rsidP="003F1923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25ADC70E" w14:textId="77777777" w:rsidR="003F1923" w:rsidRPr="003F1923" w:rsidRDefault="003F1923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Ako </w:t>
      </w:r>
      <w:r w:rsidRPr="00274951">
        <w:rPr>
          <w:color w:val="000000"/>
          <w:sz w:val="22"/>
          <w:szCs w:val="22"/>
          <w:lang w:val="sk-SK"/>
        </w:rPr>
        <w:t xml:space="preserve">antidotum </w:t>
      </w:r>
      <w:r>
        <w:rPr>
          <w:color w:val="000000"/>
          <w:sz w:val="22"/>
          <w:szCs w:val="22"/>
          <w:lang w:val="sk-SK"/>
        </w:rPr>
        <w:t>je možné použiť</w:t>
      </w:r>
      <w:r w:rsidRPr="00274951">
        <w:rPr>
          <w:color w:val="000000"/>
          <w:sz w:val="22"/>
          <w:szCs w:val="22"/>
          <w:lang w:val="sk-SK"/>
        </w:rPr>
        <w:t xml:space="preserve"> flumazenil</w:t>
      </w:r>
      <w:r>
        <w:rPr>
          <w:color w:val="000000"/>
          <w:sz w:val="22"/>
          <w:szCs w:val="22"/>
          <w:lang w:val="sk-SK"/>
        </w:rPr>
        <w:t>.</w:t>
      </w:r>
    </w:p>
    <w:p w14:paraId="16BA24FA" w14:textId="77777777" w:rsidR="00247945" w:rsidRPr="008B6A9D" w:rsidRDefault="00247945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7E2949D5" w14:textId="77777777" w:rsidR="005D16E1" w:rsidRPr="00D779B4" w:rsidRDefault="005D16E1" w:rsidP="00923694">
      <w:pPr>
        <w:tabs>
          <w:tab w:val="left" w:pos="8505"/>
        </w:tabs>
        <w:spacing w:before="0"/>
        <w:ind w:right="566"/>
        <w:jc w:val="left"/>
        <w:rPr>
          <w:b/>
          <w:color w:val="000000"/>
          <w:sz w:val="22"/>
          <w:szCs w:val="22"/>
          <w:lang w:val="sk-SK"/>
        </w:rPr>
      </w:pPr>
    </w:p>
    <w:p w14:paraId="1102675E" w14:textId="620FDAE4" w:rsidR="005D16E1" w:rsidRPr="00AC15AA" w:rsidRDefault="005D16E1" w:rsidP="00FF70E0">
      <w:pPr>
        <w:tabs>
          <w:tab w:val="left" w:pos="8505"/>
        </w:tabs>
        <w:spacing w:before="0"/>
        <w:ind w:right="566"/>
        <w:jc w:val="left"/>
        <w:rPr>
          <w:b/>
          <w:color w:val="000000"/>
          <w:sz w:val="22"/>
          <w:szCs w:val="22"/>
          <w:lang w:val="sk-SK"/>
        </w:rPr>
      </w:pPr>
      <w:r w:rsidRPr="00E63AA1">
        <w:rPr>
          <w:b/>
          <w:color w:val="000000"/>
          <w:sz w:val="22"/>
          <w:szCs w:val="22"/>
          <w:lang w:val="sk-SK"/>
        </w:rPr>
        <w:t xml:space="preserve">5.    </w:t>
      </w:r>
      <w:r w:rsidR="003D585D" w:rsidRPr="00AC15AA">
        <w:rPr>
          <w:b/>
          <w:color w:val="000000"/>
          <w:sz w:val="22"/>
          <w:szCs w:val="22"/>
          <w:lang w:val="sk-SK"/>
        </w:rPr>
        <w:t xml:space="preserve">   </w:t>
      </w:r>
      <w:r w:rsidRPr="00AC15AA">
        <w:rPr>
          <w:b/>
          <w:color w:val="000000"/>
          <w:sz w:val="22"/>
          <w:szCs w:val="22"/>
          <w:lang w:val="sk-SK"/>
        </w:rPr>
        <w:t>FARMAKOLOGICKÉ VLASTNOSTI</w:t>
      </w:r>
    </w:p>
    <w:p w14:paraId="244445B6" w14:textId="77777777" w:rsidR="00247945" w:rsidRPr="00495823" w:rsidRDefault="00247945" w:rsidP="00923694">
      <w:pPr>
        <w:tabs>
          <w:tab w:val="left" w:pos="8505"/>
        </w:tabs>
        <w:spacing w:before="0"/>
        <w:ind w:right="566"/>
        <w:jc w:val="left"/>
        <w:rPr>
          <w:b/>
          <w:color w:val="000000"/>
          <w:sz w:val="22"/>
          <w:szCs w:val="22"/>
          <w:lang w:val="sk-SK"/>
        </w:rPr>
      </w:pPr>
    </w:p>
    <w:p w14:paraId="6A33124F" w14:textId="4E25D091" w:rsidR="005D16E1" w:rsidRPr="00623471" w:rsidRDefault="005D16E1" w:rsidP="00FF70E0">
      <w:pPr>
        <w:tabs>
          <w:tab w:val="left" w:pos="8505"/>
        </w:tabs>
        <w:spacing w:before="0"/>
        <w:ind w:right="566"/>
        <w:jc w:val="left"/>
        <w:rPr>
          <w:b/>
          <w:color w:val="000000"/>
          <w:sz w:val="22"/>
          <w:szCs w:val="22"/>
          <w:lang w:val="sk-SK"/>
        </w:rPr>
      </w:pPr>
      <w:r w:rsidRPr="0062071D">
        <w:rPr>
          <w:b/>
          <w:color w:val="000000"/>
          <w:sz w:val="22"/>
          <w:szCs w:val="22"/>
          <w:lang w:val="sk-SK"/>
        </w:rPr>
        <w:t>5.1</w:t>
      </w:r>
      <w:r w:rsidR="00727FF9" w:rsidRPr="0062071D">
        <w:rPr>
          <w:b/>
          <w:color w:val="000000"/>
          <w:sz w:val="22"/>
          <w:szCs w:val="22"/>
          <w:lang w:val="sk-SK"/>
        </w:rPr>
        <w:t xml:space="preserve">   </w:t>
      </w:r>
      <w:r w:rsidR="00F22409" w:rsidRPr="0062071D">
        <w:rPr>
          <w:b/>
          <w:color w:val="000000"/>
          <w:sz w:val="22"/>
          <w:szCs w:val="22"/>
          <w:lang w:val="sk-SK"/>
        </w:rPr>
        <w:t xml:space="preserve">  </w:t>
      </w:r>
      <w:r w:rsidRPr="00623471">
        <w:rPr>
          <w:b/>
          <w:color w:val="000000"/>
          <w:sz w:val="22"/>
          <w:szCs w:val="22"/>
          <w:lang w:val="sk-SK"/>
        </w:rPr>
        <w:t>Farmakodynamické vlastnosti</w:t>
      </w:r>
    </w:p>
    <w:p w14:paraId="44524D92" w14:textId="77777777" w:rsidR="00247945" w:rsidRPr="00923694" w:rsidRDefault="00247945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2476B0F5" w14:textId="77777777" w:rsidR="005D16E1" w:rsidRPr="003F1923" w:rsidRDefault="005D16E1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923694">
        <w:rPr>
          <w:color w:val="000000"/>
          <w:sz w:val="22"/>
          <w:szCs w:val="22"/>
          <w:lang w:val="sk-SK"/>
        </w:rPr>
        <w:t>F</w:t>
      </w:r>
      <w:r w:rsidR="00247945" w:rsidRPr="00923694">
        <w:rPr>
          <w:color w:val="000000"/>
          <w:sz w:val="22"/>
          <w:szCs w:val="22"/>
          <w:lang w:val="sk-SK"/>
        </w:rPr>
        <w:t>armakoterapeutická skupina</w:t>
      </w:r>
      <w:r w:rsidRPr="00923694">
        <w:rPr>
          <w:color w:val="000000"/>
          <w:sz w:val="22"/>
          <w:szCs w:val="22"/>
          <w:lang w:val="sk-SK"/>
        </w:rPr>
        <w:t>:</w:t>
      </w:r>
      <w:r w:rsidR="003F1923" w:rsidRPr="003F1923">
        <w:rPr>
          <w:color w:val="000000"/>
          <w:sz w:val="22"/>
          <w:szCs w:val="22"/>
          <w:lang w:val="sk-SK"/>
        </w:rPr>
        <w:t xml:space="preserve"> </w:t>
      </w:r>
      <w:r w:rsidR="003F1923">
        <w:rPr>
          <w:color w:val="000000"/>
          <w:sz w:val="22"/>
          <w:szCs w:val="22"/>
          <w:lang w:val="sk-SK"/>
        </w:rPr>
        <w:t>psycholeptik</w:t>
      </w:r>
      <w:r w:rsidR="00700B7F">
        <w:rPr>
          <w:color w:val="000000"/>
          <w:sz w:val="22"/>
          <w:szCs w:val="22"/>
          <w:lang w:val="sk-SK"/>
        </w:rPr>
        <w:t>á</w:t>
      </w:r>
      <w:r w:rsidR="003F1923">
        <w:rPr>
          <w:color w:val="000000"/>
          <w:sz w:val="22"/>
          <w:szCs w:val="22"/>
          <w:lang w:val="sk-SK"/>
        </w:rPr>
        <w:t xml:space="preserve">, </w:t>
      </w:r>
      <w:r w:rsidR="00700B7F" w:rsidRPr="001B7F4C">
        <w:rPr>
          <w:bCs/>
          <w:iCs/>
          <w:sz w:val="22"/>
          <w:szCs w:val="22"/>
        </w:rPr>
        <w:t>anxiolytik</w:t>
      </w:r>
      <w:r w:rsidR="00700B7F">
        <w:rPr>
          <w:bCs/>
          <w:iCs/>
          <w:sz w:val="22"/>
          <w:szCs w:val="22"/>
        </w:rPr>
        <w:t xml:space="preserve">á, </w:t>
      </w:r>
      <w:r w:rsidR="003F1923">
        <w:rPr>
          <w:color w:val="000000"/>
          <w:sz w:val="22"/>
          <w:szCs w:val="22"/>
          <w:lang w:val="sk-SK"/>
        </w:rPr>
        <w:t>deriváty benzodiazepínu</w:t>
      </w:r>
    </w:p>
    <w:p w14:paraId="786F7573" w14:textId="77777777" w:rsidR="005D16E1" w:rsidRPr="008B6A9D" w:rsidRDefault="005D16E1" w:rsidP="00FF70E0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8B6A9D">
        <w:rPr>
          <w:color w:val="000000"/>
          <w:sz w:val="22"/>
          <w:szCs w:val="22"/>
          <w:lang w:val="sk-SK"/>
        </w:rPr>
        <w:t xml:space="preserve">ATC kód: N05BA12 </w:t>
      </w:r>
    </w:p>
    <w:p w14:paraId="66F9C3CC" w14:textId="77777777" w:rsidR="005D16E1" w:rsidRPr="00D779B4" w:rsidRDefault="005D16E1" w:rsidP="00FF70E0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16D94F3D" w14:textId="2B86F1F0" w:rsidR="003F1923" w:rsidRDefault="005D16E1" w:rsidP="00FF70E0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E63AA1">
        <w:rPr>
          <w:color w:val="000000"/>
          <w:sz w:val="22"/>
          <w:szCs w:val="22"/>
          <w:lang w:val="sk-SK"/>
        </w:rPr>
        <w:t xml:space="preserve">Alprazolam </w:t>
      </w:r>
      <w:r w:rsidR="003F1923">
        <w:rPr>
          <w:color w:val="000000"/>
          <w:sz w:val="22"/>
          <w:szCs w:val="22"/>
          <w:lang w:val="sk-SK"/>
        </w:rPr>
        <w:t>obsahuje triazolobenzodiazepín. Benzodiazepíny majú kvalitatívne podobné vlastnosti: a</w:t>
      </w:r>
      <w:r w:rsidR="003F1923" w:rsidRPr="00274951">
        <w:rPr>
          <w:color w:val="000000"/>
          <w:sz w:val="22"/>
          <w:szCs w:val="22"/>
          <w:lang w:val="sk-SK"/>
        </w:rPr>
        <w:t>nxiolytick</w:t>
      </w:r>
      <w:r w:rsidR="003F1923">
        <w:rPr>
          <w:color w:val="000000"/>
          <w:sz w:val="22"/>
          <w:szCs w:val="22"/>
          <w:lang w:val="sk-SK"/>
        </w:rPr>
        <w:t xml:space="preserve">é, hypnosedatívne, </w:t>
      </w:r>
      <w:r w:rsidR="003F1923" w:rsidRPr="00274951">
        <w:rPr>
          <w:color w:val="000000"/>
          <w:sz w:val="22"/>
          <w:szCs w:val="22"/>
          <w:lang w:val="sk-SK"/>
        </w:rPr>
        <w:t>myorelaxačné</w:t>
      </w:r>
      <w:r w:rsidR="003F1923">
        <w:rPr>
          <w:color w:val="000000"/>
          <w:sz w:val="22"/>
          <w:szCs w:val="22"/>
          <w:lang w:val="sk-SK"/>
        </w:rPr>
        <w:t xml:space="preserve"> a </w:t>
      </w:r>
      <w:r w:rsidR="003F1923" w:rsidRPr="00274951">
        <w:rPr>
          <w:color w:val="000000"/>
          <w:sz w:val="22"/>
          <w:szCs w:val="22"/>
          <w:lang w:val="sk-SK"/>
        </w:rPr>
        <w:t>antikonvulzívne</w:t>
      </w:r>
      <w:r w:rsidR="003F1923">
        <w:rPr>
          <w:color w:val="000000"/>
          <w:sz w:val="22"/>
          <w:szCs w:val="22"/>
          <w:lang w:val="sk-SK"/>
        </w:rPr>
        <w:t xml:space="preserve"> účinky. V ich farmakodynamických vlastnostiach však existujú kvantitatívne rozdiely, ktoré tieto látky predurčujú k rôznym typom terapeutických použití.</w:t>
      </w:r>
    </w:p>
    <w:p w14:paraId="29C1A0BE" w14:textId="77777777" w:rsidR="003F1923" w:rsidRDefault="003F1923" w:rsidP="003F1923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04405ABD" w14:textId="77777777" w:rsidR="003F1923" w:rsidRDefault="00700B7F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Predpokladá sa</w:t>
      </w:r>
      <w:r w:rsidR="003F1923">
        <w:rPr>
          <w:color w:val="000000"/>
          <w:sz w:val="22"/>
          <w:szCs w:val="22"/>
          <w:lang w:val="sk-SK"/>
        </w:rPr>
        <w:t>, že účinok benzodiazepínov je výsledkom potenciácie nervovej inhibície sprostredkovanej kyselinou gama-aminomaslovou (GABA).</w:t>
      </w:r>
    </w:p>
    <w:p w14:paraId="33E5C39A" w14:textId="77777777" w:rsidR="005D16E1" w:rsidRPr="00E63AA1" w:rsidRDefault="005D16E1" w:rsidP="00FF70E0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108DB49A" w14:textId="550F4DF8" w:rsidR="005D16E1" w:rsidRPr="00AC15AA" w:rsidRDefault="005D16E1" w:rsidP="00FF70E0">
      <w:pPr>
        <w:tabs>
          <w:tab w:val="left" w:pos="8505"/>
        </w:tabs>
        <w:spacing w:before="0"/>
        <w:ind w:right="566"/>
        <w:jc w:val="left"/>
        <w:rPr>
          <w:b/>
          <w:color w:val="000000"/>
          <w:sz w:val="22"/>
          <w:szCs w:val="22"/>
          <w:lang w:val="sk-SK"/>
        </w:rPr>
      </w:pPr>
      <w:r w:rsidRPr="00AC15AA">
        <w:rPr>
          <w:b/>
          <w:color w:val="000000"/>
          <w:sz w:val="22"/>
          <w:szCs w:val="22"/>
          <w:lang w:val="sk-SK"/>
        </w:rPr>
        <w:t>5.2</w:t>
      </w:r>
      <w:r w:rsidR="00727FF9" w:rsidRPr="00AC15AA">
        <w:rPr>
          <w:b/>
          <w:color w:val="000000"/>
          <w:sz w:val="22"/>
          <w:szCs w:val="22"/>
          <w:lang w:val="sk-SK"/>
        </w:rPr>
        <w:t xml:space="preserve">     </w:t>
      </w:r>
      <w:r w:rsidRPr="00AC15AA">
        <w:rPr>
          <w:b/>
          <w:color w:val="000000"/>
          <w:sz w:val="22"/>
          <w:szCs w:val="22"/>
          <w:lang w:val="sk-SK"/>
        </w:rPr>
        <w:t>Farmakokinetické vlastnosti</w:t>
      </w:r>
    </w:p>
    <w:p w14:paraId="69227F01" w14:textId="77777777" w:rsidR="00FF70E0" w:rsidRDefault="00FF70E0" w:rsidP="003F1923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u w:val="single"/>
          <w:lang w:val="sk-SK"/>
        </w:rPr>
      </w:pPr>
    </w:p>
    <w:p w14:paraId="275640A1" w14:textId="506FF470" w:rsidR="00700B7F" w:rsidRDefault="00700B7F" w:rsidP="003F1923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8603B0">
        <w:rPr>
          <w:color w:val="000000"/>
          <w:sz w:val="22"/>
          <w:szCs w:val="22"/>
          <w:u w:val="single"/>
          <w:lang w:val="sk-SK"/>
        </w:rPr>
        <w:t>Absorpcia</w:t>
      </w:r>
    </w:p>
    <w:p w14:paraId="32FA1B4F" w14:textId="77777777" w:rsidR="003F1923" w:rsidRDefault="003F1923" w:rsidP="003F1923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Maximálna plazmatická koncentrácia je dosiahnutá za 1 až 2 hodiny po perorálnom podaní.</w:t>
      </w:r>
    </w:p>
    <w:p w14:paraId="3FF66FBB" w14:textId="77777777" w:rsidR="003F1923" w:rsidRPr="00FF70E0" w:rsidRDefault="003F1923" w:rsidP="003F1923">
      <w:pPr>
        <w:tabs>
          <w:tab w:val="left" w:pos="8505"/>
        </w:tabs>
        <w:spacing w:before="0"/>
        <w:ind w:right="566"/>
        <w:jc w:val="left"/>
        <w:rPr>
          <w:sz w:val="22"/>
          <w:szCs w:val="22"/>
          <w:lang w:val="sk-SK"/>
        </w:rPr>
      </w:pPr>
    </w:p>
    <w:p w14:paraId="6C291E17" w14:textId="77777777" w:rsidR="00700B7F" w:rsidRPr="00FF70E0" w:rsidRDefault="00700B7F" w:rsidP="00700B7F">
      <w:pPr>
        <w:tabs>
          <w:tab w:val="left" w:pos="8505"/>
        </w:tabs>
        <w:spacing w:before="0"/>
        <w:ind w:right="566"/>
        <w:jc w:val="left"/>
        <w:rPr>
          <w:sz w:val="22"/>
          <w:szCs w:val="22"/>
          <w:u w:val="single"/>
          <w:lang w:val="sk-SK"/>
        </w:rPr>
      </w:pPr>
      <w:r w:rsidRPr="00FF70E0">
        <w:rPr>
          <w:sz w:val="22"/>
          <w:szCs w:val="22"/>
          <w:u w:val="single"/>
          <w:lang w:val="sk-SK"/>
        </w:rPr>
        <w:t xml:space="preserve">Distribúcia </w:t>
      </w:r>
    </w:p>
    <w:p w14:paraId="00744B4D" w14:textId="77777777" w:rsidR="00700B7F" w:rsidRPr="00FF70E0" w:rsidRDefault="00700B7F" w:rsidP="00700B7F">
      <w:pPr>
        <w:tabs>
          <w:tab w:val="left" w:pos="8505"/>
        </w:tabs>
        <w:spacing w:before="0"/>
        <w:ind w:right="566"/>
        <w:jc w:val="left"/>
        <w:rPr>
          <w:sz w:val="22"/>
          <w:szCs w:val="22"/>
          <w:lang w:val="sk-SK"/>
        </w:rPr>
      </w:pPr>
      <w:r w:rsidRPr="00FF70E0">
        <w:rPr>
          <w:i/>
          <w:sz w:val="22"/>
          <w:szCs w:val="22"/>
          <w:lang w:val="sk-SK"/>
        </w:rPr>
        <w:t>In vitro</w:t>
      </w:r>
      <w:r w:rsidRPr="00FF70E0">
        <w:rPr>
          <w:sz w:val="22"/>
          <w:szCs w:val="22"/>
          <w:lang w:val="sk-SK"/>
        </w:rPr>
        <w:t xml:space="preserve"> je 80 % alprazolamu viazaného na sérové proteíny.</w:t>
      </w:r>
    </w:p>
    <w:p w14:paraId="08796EAA" w14:textId="77777777" w:rsidR="00700B7F" w:rsidRPr="00FF70E0" w:rsidRDefault="00700B7F" w:rsidP="00700B7F">
      <w:pPr>
        <w:tabs>
          <w:tab w:val="left" w:pos="8505"/>
        </w:tabs>
        <w:spacing w:before="0"/>
        <w:ind w:right="566"/>
        <w:jc w:val="left"/>
        <w:rPr>
          <w:sz w:val="22"/>
          <w:szCs w:val="22"/>
          <w:lang w:val="sk-SK"/>
        </w:rPr>
      </w:pPr>
    </w:p>
    <w:p w14:paraId="3597313F" w14:textId="77777777" w:rsidR="00700B7F" w:rsidRPr="00FF70E0" w:rsidRDefault="00700B7F" w:rsidP="00700B7F">
      <w:pPr>
        <w:tabs>
          <w:tab w:val="left" w:pos="8505"/>
        </w:tabs>
        <w:spacing w:before="0"/>
        <w:ind w:right="566"/>
        <w:jc w:val="left"/>
        <w:rPr>
          <w:sz w:val="22"/>
          <w:szCs w:val="22"/>
          <w:lang w:val="sk-SK"/>
        </w:rPr>
      </w:pPr>
      <w:r w:rsidRPr="00FF70E0">
        <w:rPr>
          <w:sz w:val="22"/>
          <w:szCs w:val="22"/>
          <w:u w:val="single"/>
          <w:lang w:val="sk-SK"/>
        </w:rPr>
        <w:t>Biotransformácia</w:t>
      </w:r>
    </w:p>
    <w:p w14:paraId="044919CA" w14:textId="77777777" w:rsidR="003F1923" w:rsidRDefault="003F1923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FF70E0">
        <w:rPr>
          <w:sz w:val="22"/>
          <w:szCs w:val="22"/>
          <w:lang w:val="sk-SK"/>
        </w:rPr>
        <w:t xml:space="preserve">Alprazolam je metabolizovaný </w:t>
      </w:r>
      <w:r w:rsidRPr="009F09FE">
        <w:rPr>
          <w:color w:val="000000"/>
          <w:sz w:val="22"/>
          <w:szCs w:val="22"/>
          <w:lang w:val="sk-SK"/>
        </w:rPr>
        <w:t>hlavne oxid</w:t>
      </w:r>
      <w:r w:rsidRPr="0084240E">
        <w:rPr>
          <w:color w:val="000000"/>
          <w:sz w:val="22"/>
          <w:szCs w:val="22"/>
          <w:lang w:val="sk-SK"/>
        </w:rPr>
        <w:t>áciou</w:t>
      </w:r>
      <w:r w:rsidRPr="00122398">
        <w:rPr>
          <w:color w:val="000000"/>
          <w:sz w:val="22"/>
          <w:szCs w:val="22"/>
          <w:lang w:val="sk-SK"/>
        </w:rPr>
        <w:t>.</w:t>
      </w:r>
      <w:r>
        <w:rPr>
          <w:color w:val="000000"/>
          <w:sz w:val="22"/>
          <w:szCs w:val="22"/>
          <w:lang w:val="sk-SK"/>
        </w:rPr>
        <w:t xml:space="preserve"> Hlavnými metabolitmi alprazolamu sú alfa-hydroxy-alprazolam a benzofenonový derivát alprazolamu. Plazmatické hladiny týchto metabolitov sú extrémne nízke. Biologická aktivita alfa-hydroxy-alprazolamu je asi polovičná oproti alprazolamu. Ich polčasy rozpadu sa zdanlivo pohybujú rádovo ako polčas rozpadu alprazolamu. Benzofenonový metabolit je takmer inaktívny. </w:t>
      </w:r>
    </w:p>
    <w:p w14:paraId="036F18BA" w14:textId="77777777" w:rsidR="00700B7F" w:rsidRDefault="00700B7F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58144FD7" w14:textId="77777777" w:rsidR="00700B7F" w:rsidRPr="008603B0" w:rsidRDefault="00700B7F" w:rsidP="00700B7F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u w:val="single"/>
          <w:lang w:val="sk-SK"/>
        </w:rPr>
      </w:pPr>
      <w:r w:rsidRPr="008603B0">
        <w:rPr>
          <w:color w:val="000000"/>
          <w:sz w:val="22"/>
          <w:szCs w:val="22"/>
          <w:u w:val="single"/>
          <w:lang w:val="sk-SK"/>
        </w:rPr>
        <w:t xml:space="preserve">Eliminácia </w:t>
      </w:r>
    </w:p>
    <w:p w14:paraId="1E47D4C2" w14:textId="77777777" w:rsidR="00700B7F" w:rsidRPr="008603B0" w:rsidRDefault="00700B7F" w:rsidP="00700B7F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8603B0">
        <w:rPr>
          <w:color w:val="000000"/>
          <w:sz w:val="22"/>
          <w:szCs w:val="22"/>
          <w:lang w:val="sk-SK"/>
        </w:rPr>
        <w:t>Eliminačný polčas alprazolamu je medzi 12 až 15 hodinami a je priemerne 16 hodín u starších pacientov.</w:t>
      </w:r>
    </w:p>
    <w:p w14:paraId="44B9CE4C" w14:textId="77777777" w:rsidR="00700B7F" w:rsidRDefault="00700B7F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9A373B">
        <w:rPr>
          <w:color w:val="000000"/>
          <w:sz w:val="22"/>
          <w:szCs w:val="22"/>
          <w:lang w:val="sk-SK"/>
        </w:rPr>
        <w:t>Alprazolam a jeho metabolity sa</w:t>
      </w:r>
      <w:r w:rsidRPr="00182335">
        <w:rPr>
          <w:color w:val="000000"/>
          <w:sz w:val="22"/>
          <w:szCs w:val="22"/>
          <w:lang w:val="sk-SK"/>
        </w:rPr>
        <w:t xml:space="preserve"> vylučujú prevažne v moči.</w:t>
      </w:r>
    </w:p>
    <w:p w14:paraId="272C1FD0" w14:textId="77777777" w:rsidR="005D16E1" w:rsidRPr="00923694" w:rsidRDefault="005D16E1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62CD3F1C" w14:textId="6BBBF9B6" w:rsidR="005D16E1" w:rsidRPr="00923694" w:rsidRDefault="005D16E1" w:rsidP="00FF70E0">
      <w:pPr>
        <w:tabs>
          <w:tab w:val="left" w:pos="8505"/>
        </w:tabs>
        <w:spacing w:before="0"/>
        <w:ind w:right="566"/>
        <w:jc w:val="left"/>
        <w:rPr>
          <w:b/>
          <w:color w:val="000000"/>
          <w:sz w:val="22"/>
          <w:szCs w:val="22"/>
          <w:lang w:val="sk-SK"/>
        </w:rPr>
      </w:pPr>
      <w:r w:rsidRPr="00923694">
        <w:rPr>
          <w:b/>
          <w:color w:val="000000"/>
          <w:sz w:val="22"/>
          <w:szCs w:val="22"/>
          <w:lang w:val="sk-SK"/>
        </w:rPr>
        <w:t>5.3</w:t>
      </w:r>
      <w:r w:rsidR="00727FF9" w:rsidRPr="00923694">
        <w:rPr>
          <w:b/>
          <w:color w:val="000000"/>
          <w:sz w:val="22"/>
          <w:szCs w:val="22"/>
          <w:lang w:val="sk-SK"/>
        </w:rPr>
        <w:t xml:space="preserve">     </w:t>
      </w:r>
      <w:r w:rsidRPr="00923694">
        <w:rPr>
          <w:b/>
          <w:color w:val="000000"/>
          <w:sz w:val="22"/>
          <w:szCs w:val="22"/>
          <w:lang w:val="sk-SK"/>
        </w:rPr>
        <w:t>Predklinické údaje o bezpečnosti</w:t>
      </w:r>
    </w:p>
    <w:p w14:paraId="76FAF920" w14:textId="77777777" w:rsidR="005A6D15" w:rsidRPr="00923694" w:rsidRDefault="005A6D15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1534264E" w14:textId="77777777" w:rsidR="003F1923" w:rsidRPr="00BF7CC3" w:rsidRDefault="003F1923" w:rsidP="003F1923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u w:val="single"/>
          <w:lang w:val="sk-SK"/>
        </w:rPr>
      </w:pPr>
      <w:r>
        <w:rPr>
          <w:color w:val="000000"/>
          <w:sz w:val="22"/>
          <w:szCs w:val="22"/>
          <w:u w:val="single"/>
          <w:lang w:val="sk-SK"/>
        </w:rPr>
        <w:t>Mutagen</w:t>
      </w:r>
      <w:r w:rsidR="00EC6207">
        <w:rPr>
          <w:color w:val="000000"/>
          <w:sz w:val="22"/>
          <w:szCs w:val="22"/>
          <w:u w:val="single"/>
          <w:lang w:val="sk-SK"/>
        </w:rPr>
        <w:t>ita</w:t>
      </w:r>
      <w:r>
        <w:rPr>
          <w:color w:val="000000"/>
          <w:sz w:val="22"/>
          <w:szCs w:val="22"/>
          <w:u w:val="single"/>
          <w:lang w:val="sk-SK"/>
        </w:rPr>
        <w:t xml:space="preserve">, </w:t>
      </w:r>
      <w:r w:rsidR="00EC6207">
        <w:rPr>
          <w:color w:val="000000"/>
          <w:sz w:val="22"/>
          <w:szCs w:val="22"/>
          <w:u w:val="single"/>
          <w:lang w:val="sk-SK"/>
        </w:rPr>
        <w:t>karcinogenita</w:t>
      </w:r>
      <w:r>
        <w:rPr>
          <w:color w:val="000000"/>
          <w:sz w:val="22"/>
          <w:szCs w:val="22"/>
          <w:u w:val="single"/>
          <w:lang w:val="sk-SK"/>
        </w:rPr>
        <w:t xml:space="preserve">, </w:t>
      </w:r>
      <w:r w:rsidR="00EC6207">
        <w:rPr>
          <w:color w:val="000000"/>
          <w:sz w:val="22"/>
          <w:szCs w:val="22"/>
          <w:u w:val="single"/>
          <w:lang w:val="sk-SK"/>
        </w:rPr>
        <w:t xml:space="preserve">vplyv na </w:t>
      </w:r>
      <w:r>
        <w:rPr>
          <w:color w:val="000000"/>
          <w:sz w:val="22"/>
          <w:szCs w:val="22"/>
          <w:u w:val="single"/>
          <w:lang w:val="sk-SK"/>
        </w:rPr>
        <w:t>fertilit</w:t>
      </w:r>
      <w:r w:rsidR="00EC6207">
        <w:rPr>
          <w:color w:val="000000"/>
          <w:sz w:val="22"/>
          <w:szCs w:val="22"/>
          <w:u w:val="single"/>
          <w:lang w:val="sk-SK"/>
        </w:rPr>
        <w:t>u</w:t>
      </w:r>
      <w:r>
        <w:rPr>
          <w:color w:val="000000"/>
          <w:sz w:val="22"/>
          <w:szCs w:val="22"/>
          <w:u w:val="single"/>
          <w:lang w:val="sk-SK"/>
        </w:rPr>
        <w:t xml:space="preserve"> a účinky na oko</w:t>
      </w:r>
    </w:p>
    <w:p w14:paraId="0CAE448C" w14:textId="77777777" w:rsidR="003F1923" w:rsidRDefault="003F1923" w:rsidP="003F1923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148869E8" w14:textId="77777777" w:rsidR="003F1923" w:rsidRDefault="003F1923" w:rsidP="003F1923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741CF6">
        <w:rPr>
          <w:color w:val="000000"/>
          <w:sz w:val="22"/>
          <w:szCs w:val="22"/>
          <w:lang w:val="sk-SK"/>
        </w:rPr>
        <w:t>Alprazola</w:t>
      </w:r>
      <w:r w:rsidRPr="000B00F1">
        <w:rPr>
          <w:color w:val="000000"/>
          <w:sz w:val="22"/>
          <w:szCs w:val="22"/>
          <w:lang w:val="sk-SK"/>
        </w:rPr>
        <w:t>m</w:t>
      </w:r>
      <w:r>
        <w:rPr>
          <w:color w:val="000000"/>
          <w:sz w:val="22"/>
          <w:szCs w:val="22"/>
          <w:lang w:val="sk-SK"/>
        </w:rPr>
        <w:t xml:space="preserve"> nebol v </w:t>
      </w:r>
      <w:r w:rsidRPr="00BF7CC3">
        <w:rPr>
          <w:i/>
          <w:color w:val="000000"/>
          <w:sz w:val="22"/>
          <w:szCs w:val="22"/>
          <w:lang w:val="sk-SK"/>
        </w:rPr>
        <w:t>in vitro</w:t>
      </w:r>
      <w:r>
        <w:rPr>
          <w:color w:val="000000"/>
          <w:sz w:val="22"/>
          <w:szCs w:val="22"/>
          <w:lang w:val="sk-SK"/>
        </w:rPr>
        <w:t xml:space="preserve"> Amesovom teste mutagénny. </w:t>
      </w:r>
      <w:r w:rsidRPr="00741CF6">
        <w:rPr>
          <w:color w:val="000000"/>
          <w:sz w:val="22"/>
          <w:szCs w:val="22"/>
          <w:lang w:val="sk-SK"/>
        </w:rPr>
        <w:t>Alprazola</w:t>
      </w:r>
      <w:r w:rsidRPr="000B00F1">
        <w:rPr>
          <w:color w:val="000000"/>
          <w:sz w:val="22"/>
          <w:szCs w:val="22"/>
          <w:lang w:val="sk-SK"/>
        </w:rPr>
        <w:t>m</w:t>
      </w:r>
      <w:r>
        <w:rPr>
          <w:color w:val="000000"/>
          <w:sz w:val="22"/>
          <w:szCs w:val="22"/>
          <w:lang w:val="sk-SK"/>
        </w:rPr>
        <w:t xml:space="preserve"> nevyvolal chromozomálnu aberáciu v </w:t>
      </w:r>
      <w:r w:rsidRPr="00BF7CC3">
        <w:rPr>
          <w:i/>
          <w:color w:val="000000"/>
          <w:sz w:val="22"/>
          <w:szCs w:val="22"/>
          <w:lang w:val="sk-SK"/>
        </w:rPr>
        <w:t>in vivo</w:t>
      </w:r>
      <w:r>
        <w:rPr>
          <w:color w:val="000000"/>
          <w:sz w:val="22"/>
          <w:szCs w:val="22"/>
          <w:lang w:val="sk-SK"/>
        </w:rPr>
        <w:t xml:space="preserve"> </w:t>
      </w:r>
      <w:r w:rsidRPr="009F09FE">
        <w:rPr>
          <w:color w:val="000000"/>
          <w:sz w:val="22"/>
          <w:szCs w:val="22"/>
          <w:lang w:val="sk-SK"/>
        </w:rPr>
        <w:t>mikrojad</w:t>
      </w:r>
      <w:r w:rsidRPr="0084240E">
        <w:rPr>
          <w:color w:val="000000"/>
          <w:sz w:val="22"/>
          <w:szCs w:val="22"/>
          <w:lang w:val="sk-SK"/>
        </w:rPr>
        <w:t>rovom</w:t>
      </w:r>
      <w:r w:rsidRPr="00122398">
        <w:rPr>
          <w:color w:val="000000"/>
          <w:sz w:val="22"/>
          <w:szCs w:val="22"/>
          <w:lang w:val="sk-SK"/>
        </w:rPr>
        <w:t xml:space="preserve"> </w:t>
      </w:r>
      <w:r w:rsidRPr="000F20A4">
        <w:rPr>
          <w:color w:val="000000"/>
          <w:sz w:val="22"/>
          <w:szCs w:val="22"/>
          <w:lang w:val="sk-SK"/>
        </w:rPr>
        <w:t>teste</w:t>
      </w:r>
      <w:r>
        <w:rPr>
          <w:color w:val="000000"/>
          <w:sz w:val="22"/>
          <w:szCs w:val="22"/>
          <w:lang w:val="sk-SK"/>
        </w:rPr>
        <w:t xml:space="preserve"> u potkanov v najvyššej dávke až 100 mg/kg, čo je 500-krát viac ako maximálna odporúčaná dávka u človeka (10 mg/deň).</w:t>
      </w:r>
    </w:p>
    <w:p w14:paraId="5053A1DA" w14:textId="77777777" w:rsidR="003F1923" w:rsidRDefault="003F1923" w:rsidP="003F1923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3375075B" w14:textId="77777777" w:rsidR="003F1923" w:rsidRDefault="003F1923" w:rsidP="003F1923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2-ročné </w:t>
      </w:r>
      <w:r w:rsidRPr="009F09FE">
        <w:rPr>
          <w:color w:val="000000"/>
          <w:sz w:val="22"/>
          <w:szCs w:val="22"/>
          <w:lang w:val="sk-SK"/>
        </w:rPr>
        <w:t xml:space="preserve">biologické </w:t>
      </w:r>
      <w:r>
        <w:rPr>
          <w:color w:val="000000"/>
          <w:sz w:val="22"/>
          <w:szCs w:val="22"/>
          <w:lang w:val="sk-SK"/>
        </w:rPr>
        <w:t>skúšky alprazolamu u potkanov v dávkach až 30 mg/kg/deň (150-krát viac ako maximálna odporúčaná dávka u človeka - 10 mg/deň) a myší v dávkach až 10 mg/kg/deň (50-krát viac ako maximálna odporúčaná dávka u človeka - 10 mg/deň) nepriniesli dôkaz o </w:t>
      </w:r>
      <w:r w:rsidR="00EC6207">
        <w:rPr>
          <w:color w:val="000000"/>
          <w:sz w:val="22"/>
          <w:szCs w:val="22"/>
          <w:lang w:val="sk-SK"/>
        </w:rPr>
        <w:t>karcinogénnych</w:t>
      </w:r>
      <w:r>
        <w:rPr>
          <w:color w:val="000000"/>
          <w:sz w:val="22"/>
          <w:szCs w:val="22"/>
          <w:lang w:val="sk-SK"/>
        </w:rPr>
        <w:t xml:space="preserve"> účinkoch.</w:t>
      </w:r>
    </w:p>
    <w:p w14:paraId="2BA7FBC3" w14:textId="77777777" w:rsidR="003F1923" w:rsidRDefault="003F1923" w:rsidP="003F1923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6672292D" w14:textId="77777777" w:rsidR="003F1923" w:rsidRDefault="003F1923" w:rsidP="003F1923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Alprazolam nepoškodzoval fertilitu u potkanov až do najvyššej dávky 5 mg/kg/deň (25-krát viac ako maximálna odporúčaná dávka u človeka - 10 mg/deň).</w:t>
      </w:r>
    </w:p>
    <w:p w14:paraId="44A28C2C" w14:textId="77777777" w:rsidR="003F1923" w:rsidRDefault="003F1923" w:rsidP="003F1923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2AE8523F" w14:textId="77777777" w:rsidR="003F1923" w:rsidRDefault="003F1923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Podávanie alprazolamu potkanom počas 2 rokov v dávkach 3, 10 a 30 mg/kg/deň (15 až 150-krát viac ako maximálna odporúčaná dávka u človeka - 10 mg/deň) malo za následok trend zvýšenia incidencie katarakty (u samíc) a vaskularizácie rohovky (u samcov), ktoré boli závislé na dávke. Lézie neboli až do 11. mesiaca liečby zjavné.</w:t>
      </w:r>
    </w:p>
    <w:p w14:paraId="2DA801B2" w14:textId="77777777" w:rsidR="005D16E1" w:rsidRPr="00AB6209" w:rsidRDefault="005D16E1" w:rsidP="00923694">
      <w:pPr>
        <w:tabs>
          <w:tab w:val="left" w:pos="8505"/>
        </w:tabs>
        <w:spacing w:before="0"/>
        <w:ind w:right="566"/>
        <w:jc w:val="left"/>
        <w:rPr>
          <w:b/>
          <w:color w:val="000000"/>
          <w:sz w:val="22"/>
          <w:szCs w:val="22"/>
          <w:lang w:val="sk-SK"/>
        </w:rPr>
      </w:pPr>
    </w:p>
    <w:p w14:paraId="2155D618" w14:textId="77777777" w:rsidR="005A6D15" w:rsidRPr="00AB6209" w:rsidRDefault="005A6D15" w:rsidP="00923694">
      <w:pPr>
        <w:tabs>
          <w:tab w:val="left" w:pos="8505"/>
        </w:tabs>
        <w:spacing w:before="0"/>
        <w:ind w:right="566"/>
        <w:jc w:val="left"/>
        <w:rPr>
          <w:b/>
          <w:color w:val="000000"/>
          <w:sz w:val="22"/>
          <w:szCs w:val="22"/>
          <w:lang w:val="sk-SK"/>
        </w:rPr>
      </w:pPr>
    </w:p>
    <w:p w14:paraId="750314AE" w14:textId="77777777" w:rsidR="005D16E1" w:rsidRPr="00AB6209" w:rsidRDefault="005D16E1" w:rsidP="00FF70E0">
      <w:pPr>
        <w:tabs>
          <w:tab w:val="left" w:pos="8505"/>
        </w:tabs>
        <w:spacing w:before="0"/>
        <w:ind w:right="566"/>
        <w:jc w:val="left"/>
        <w:rPr>
          <w:b/>
          <w:color w:val="000000"/>
          <w:sz w:val="22"/>
          <w:szCs w:val="22"/>
          <w:lang w:val="sk-SK"/>
        </w:rPr>
      </w:pPr>
      <w:r w:rsidRPr="00AB6209">
        <w:rPr>
          <w:b/>
          <w:color w:val="000000"/>
          <w:sz w:val="22"/>
          <w:szCs w:val="22"/>
          <w:lang w:val="sk-SK"/>
        </w:rPr>
        <w:t xml:space="preserve">6.    </w:t>
      </w:r>
      <w:r w:rsidR="003D585D" w:rsidRPr="00AB6209">
        <w:rPr>
          <w:b/>
          <w:color w:val="000000"/>
          <w:sz w:val="22"/>
          <w:szCs w:val="22"/>
          <w:lang w:val="sk-SK"/>
        </w:rPr>
        <w:t xml:space="preserve">   </w:t>
      </w:r>
      <w:r w:rsidRPr="00AB6209">
        <w:rPr>
          <w:b/>
          <w:color w:val="000000"/>
          <w:sz w:val="22"/>
          <w:szCs w:val="22"/>
          <w:lang w:val="sk-SK"/>
        </w:rPr>
        <w:t>FARMACEUTICKÉ INFORMÁCIE</w:t>
      </w:r>
    </w:p>
    <w:p w14:paraId="123D5FBC" w14:textId="77777777" w:rsidR="005A6D15" w:rsidRPr="00353EC2" w:rsidRDefault="005A6D15" w:rsidP="00923694">
      <w:pPr>
        <w:tabs>
          <w:tab w:val="left" w:pos="8505"/>
        </w:tabs>
        <w:spacing w:before="0"/>
        <w:ind w:right="566"/>
        <w:jc w:val="left"/>
        <w:rPr>
          <w:b/>
          <w:color w:val="000000"/>
          <w:sz w:val="22"/>
          <w:szCs w:val="22"/>
          <w:lang w:val="sk-SK"/>
        </w:rPr>
      </w:pPr>
    </w:p>
    <w:p w14:paraId="578E60F9" w14:textId="50BDBD3C" w:rsidR="005D16E1" w:rsidRPr="00D779B4" w:rsidRDefault="005D16E1" w:rsidP="00FF70E0">
      <w:pPr>
        <w:tabs>
          <w:tab w:val="left" w:pos="8505"/>
        </w:tabs>
        <w:spacing w:before="0"/>
        <w:ind w:right="566"/>
        <w:jc w:val="left"/>
        <w:rPr>
          <w:b/>
          <w:color w:val="000000"/>
          <w:sz w:val="22"/>
          <w:szCs w:val="22"/>
          <w:lang w:val="sk-SK"/>
        </w:rPr>
      </w:pPr>
      <w:r w:rsidRPr="008B6A9D">
        <w:rPr>
          <w:b/>
          <w:color w:val="000000"/>
          <w:sz w:val="22"/>
          <w:szCs w:val="22"/>
          <w:lang w:val="sk-SK"/>
        </w:rPr>
        <w:t>6.1</w:t>
      </w:r>
      <w:r w:rsidR="00727FF9" w:rsidRPr="00D779B4">
        <w:rPr>
          <w:b/>
          <w:color w:val="000000"/>
          <w:sz w:val="22"/>
          <w:szCs w:val="22"/>
          <w:lang w:val="sk-SK"/>
        </w:rPr>
        <w:t xml:space="preserve">     </w:t>
      </w:r>
      <w:r w:rsidRPr="00D779B4">
        <w:rPr>
          <w:b/>
          <w:color w:val="000000"/>
          <w:sz w:val="22"/>
          <w:szCs w:val="22"/>
          <w:lang w:val="sk-SK"/>
        </w:rPr>
        <w:t xml:space="preserve">Zoznam pomocných látok </w:t>
      </w:r>
    </w:p>
    <w:p w14:paraId="0C2B1AB5" w14:textId="77777777" w:rsidR="005A6D15" w:rsidRPr="00E63AA1" w:rsidRDefault="005A6D15" w:rsidP="00923694">
      <w:pPr>
        <w:spacing w:before="0"/>
        <w:jc w:val="left"/>
        <w:rPr>
          <w:snapToGrid w:val="0"/>
          <w:color w:val="000000"/>
          <w:sz w:val="22"/>
          <w:szCs w:val="22"/>
          <w:lang w:val="sk-SK"/>
        </w:rPr>
      </w:pPr>
    </w:p>
    <w:p w14:paraId="6CAC5AF5" w14:textId="77777777" w:rsidR="003F1923" w:rsidRDefault="003F1923" w:rsidP="00923694">
      <w:pPr>
        <w:spacing w:before="0"/>
        <w:jc w:val="left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</w:t>
      </w:r>
      <w:r w:rsidR="005A6D15" w:rsidRPr="00923694">
        <w:rPr>
          <w:sz w:val="22"/>
          <w:szCs w:val="22"/>
          <w:lang w:val="sk-SK"/>
        </w:rPr>
        <w:t>onohydrát laktózy</w:t>
      </w:r>
    </w:p>
    <w:p w14:paraId="2B2A549A" w14:textId="77777777" w:rsidR="003F1923" w:rsidRDefault="005A6D15" w:rsidP="00923694">
      <w:pPr>
        <w:spacing w:before="0"/>
        <w:jc w:val="left"/>
        <w:rPr>
          <w:sz w:val="22"/>
          <w:szCs w:val="22"/>
          <w:lang w:val="sk-SK"/>
        </w:rPr>
      </w:pPr>
      <w:r w:rsidRPr="00923694">
        <w:rPr>
          <w:sz w:val="22"/>
          <w:szCs w:val="22"/>
          <w:lang w:val="sk-SK"/>
        </w:rPr>
        <w:t>kukuričný škrob</w:t>
      </w:r>
    </w:p>
    <w:p w14:paraId="11FC6B7E" w14:textId="77777777" w:rsidR="003F1923" w:rsidRDefault="005A6D15" w:rsidP="00923694">
      <w:pPr>
        <w:spacing w:before="0"/>
        <w:jc w:val="left"/>
        <w:rPr>
          <w:sz w:val="22"/>
          <w:szCs w:val="22"/>
          <w:lang w:val="sk-SK"/>
        </w:rPr>
      </w:pPr>
      <w:r w:rsidRPr="00923694">
        <w:rPr>
          <w:sz w:val="22"/>
          <w:szCs w:val="22"/>
          <w:lang w:val="sk-SK"/>
        </w:rPr>
        <w:t>mikrokryštalická celulóza</w:t>
      </w:r>
    </w:p>
    <w:p w14:paraId="1BB4888F" w14:textId="77777777" w:rsidR="003F1923" w:rsidRDefault="005A6D15" w:rsidP="00923694">
      <w:pPr>
        <w:spacing w:before="0"/>
        <w:jc w:val="left"/>
        <w:rPr>
          <w:sz w:val="22"/>
          <w:szCs w:val="22"/>
          <w:lang w:val="sk-SK"/>
        </w:rPr>
      </w:pPr>
      <w:r w:rsidRPr="00923694">
        <w:rPr>
          <w:sz w:val="22"/>
          <w:szCs w:val="22"/>
          <w:lang w:val="sk-SK"/>
        </w:rPr>
        <w:t>kalciumstearát</w:t>
      </w:r>
    </w:p>
    <w:p w14:paraId="77E789DF" w14:textId="77777777" w:rsidR="005D16E1" w:rsidRPr="005E7891" w:rsidRDefault="003F1923" w:rsidP="00923694">
      <w:pPr>
        <w:spacing w:before="0"/>
        <w:jc w:val="left"/>
        <w:rPr>
          <w:snapToGrid w:val="0"/>
          <w:color w:val="000000"/>
          <w:sz w:val="22"/>
          <w:szCs w:val="22"/>
          <w:lang w:val="sk-SK"/>
        </w:rPr>
      </w:pPr>
      <w:r w:rsidRPr="00BF7CC3">
        <w:rPr>
          <w:sz w:val="22"/>
          <w:szCs w:val="22"/>
          <w:lang w:val="sk-SK"/>
        </w:rPr>
        <w:t>bezvodý</w:t>
      </w:r>
      <w:r w:rsidRPr="003F1923">
        <w:rPr>
          <w:sz w:val="22"/>
          <w:szCs w:val="22"/>
          <w:lang w:val="sk-SK"/>
        </w:rPr>
        <w:t xml:space="preserve"> </w:t>
      </w:r>
      <w:r w:rsidR="005A6D15" w:rsidRPr="00923694">
        <w:rPr>
          <w:sz w:val="22"/>
          <w:szCs w:val="22"/>
          <w:lang w:val="sk-SK"/>
        </w:rPr>
        <w:t>koloidný oxid kremičitý</w:t>
      </w:r>
    </w:p>
    <w:p w14:paraId="08A12B7F" w14:textId="77777777" w:rsidR="005D16E1" w:rsidRPr="001E553E" w:rsidRDefault="005D16E1" w:rsidP="00923694">
      <w:pPr>
        <w:tabs>
          <w:tab w:val="left" w:pos="8505"/>
        </w:tabs>
        <w:spacing w:before="0"/>
        <w:ind w:right="566"/>
        <w:jc w:val="left"/>
        <w:rPr>
          <w:b/>
          <w:color w:val="000000"/>
          <w:sz w:val="22"/>
          <w:szCs w:val="22"/>
          <w:lang w:val="sk-SK"/>
        </w:rPr>
      </w:pPr>
    </w:p>
    <w:p w14:paraId="2A0E67CD" w14:textId="30B59085" w:rsidR="005D16E1" w:rsidRPr="00AB6209" w:rsidRDefault="005D16E1" w:rsidP="00FF70E0">
      <w:pPr>
        <w:tabs>
          <w:tab w:val="left" w:pos="8505"/>
        </w:tabs>
        <w:spacing w:before="0"/>
        <w:ind w:right="566"/>
        <w:jc w:val="left"/>
        <w:rPr>
          <w:b/>
          <w:color w:val="000000"/>
          <w:sz w:val="22"/>
          <w:szCs w:val="22"/>
          <w:lang w:val="sk-SK"/>
        </w:rPr>
      </w:pPr>
      <w:r w:rsidRPr="00AB6209">
        <w:rPr>
          <w:b/>
          <w:color w:val="000000"/>
          <w:sz w:val="22"/>
          <w:szCs w:val="22"/>
          <w:lang w:val="sk-SK"/>
        </w:rPr>
        <w:t>6.2</w:t>
      </w:r>
      <w:r w:rsidR="00727FF9" w:rsidRPr="00AB6209">
        <w:rPr>
          <w:b/>
          <w:color w:val="000000"/>
          <w:sz w:val="22"/>
          <w:szCs w:val="22"/>
          <w:lang w:val="sk-SK"/>
        </w:rPr>
        <w:t xml:space="preserve">     </w:t>
      </w:r>
      <w:r w:rsidRPr="00AB6209">
        <w:rPr>
          <w:b/>
          <w:color w:val="000000"/>
          <w:sz w:val="22"/>
          <w:szCs w:val="22"/>
          <w:lang w:val="sk-SK"/>
        </w:rPr>
        <w:t>Inkompatibility</w:t>
      </w:r>
    </w:p>
    <w:p w14:paraId="05B0F3F3" w14:textId="77777777" w:rsidR="005A6D15" w:rsidRPr="008B6A9D" w:rsidRDefault="005A6D15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708B67E6" w14:textId="77777777" w:rsidR="005D16E1" w:rsidRPr="00AC15AA" w:rsidRDefault="005A6D15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AC15AA">
        <w:rPr>
          <w:color w:val="000000"/>
          <w:sz w:val="22"/>
          <w:szCs w:val="22"/>
          <w:lang w:val="sk-SK"/>
        </w:rPr>
        <w:t>Neaplikovateľné</w:t>
      </w:r>
      <w:r w:rsidR="005D16E1" w:rsidRPr="00AC15AA">
        <w:rPr>
          <w:color w:val="000000"/>
          <w:sz w:val="22"/>
          <w:szCs w:val="22"/>
          <w:lang w:val="sk-SK"/>
        </w:rPr>
        <w:t>.</w:t>
      </w:r>
    </w:p>
    <w:p w14:paraId="2F1DCC5B" w14:textId="77777777" w:rsidR="005D16E1" w:rsidRPr="00495823" w:rsidRDefault="005D16E1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253584D2" w14:textId="0C6A1524" w:rsidR="005D16E1" w:rsidRPr="00623471" w:rsidRDefault="005D16E1" w:rsidP="00FF70E0">
      <w:pPr>
        <w:tabs>
          <w:tab w:val="left" w:pos="8505"/>
        </w:tabs>
        <w:spacing w:before="0"/>
        <w:ind w:right="566"/>
        <w:jc w:val="left"/>
        <w:rPr>
          <w:b/>
          <w:color w:val="000000"/>
          <w:sz w:val="22"/>
          <w:szCs w:val="22"/>
          <w:lang w:val="sk-SK"/>
        </w:rPr>
      </w:pPr>
      <w:r w:rsidRPr="00495823">
        <w:rPr>
          <w:b/>
          <w:color w:val="000000"/>
          <w:sz w:val="22"/>
          <w:szCs w:val="22"/>
          <w:lang w:val="sk-SK"/>
        </w:rPr>
        <w:t>6.3</w:t>
      </w:r>
      <w:r w:rsidR="00727FF9" w:rsidRPr="0062071D">
        <w:rPr>
          <w:b/>
          <w:color w:val="000000"/>
          <w:sz w:val="22"/>
          <w:szCs w:val="22"/>
          <w:lang w:val="sk-SK"/>
        </w:rPr>
        <w:t xml:space="preserve">    </w:t>
      </w:r>
      <w:r w:rsidR="00F22409" w:rsidRPr="0062071D">
        <w:rPr>
          <w:b/>
          <w:color w:val="000000"/>
          <w:sz w:val="22"/>
          <w:szCs w:val="22"/>
          <w:lang w:val="sk-SK"/>
        </w:rPr>
        <w:t xml:space="preserve"> </w:t>
      </w:r>
      <w:r w:rsidRPr="00623471">
        <w:rPr>
          <w:b/>
          <w:color w:val="000000"/>
          <w:sz w:val="22"/>
          <w:szCs w:val="22"/>
          <w:lang w:val="sk-SK"/>
        </w:rPr>
        <w:t>Čas použiteľnosti</w:t>
      </w:r>
    </w:p>
    <w:p w14:paraId="113523E4" w14:textId="77777777" w:rsidR="001E65C0" w:rsidRPr="00923694" w:rsidRDefault="001E65C0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3EAE8CC3" w14:textId="77777777" w:rsidR="005D16E1" w:rsidRPr="00923694" w:rsidRDefault="005D16E1" w:rsidP="00FF70E0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923694">
        <w:rPr>
          <w:color w:val="000000"/>
          <w:sz w:val="22"/>
          <w:szCs w:val="22"/>
          <w:lang w:val="sk-SK"/>
        </w:rPr>
        <w:t>2 roky</w:t>
      </w:r>
    </w:p>
    <w:p w14:paraId="495AF1C0" w14:textId="77777777" w:rsidR="005D16E1" w:rsidRPr="00923694" w:rsidRDefault="005D16E1" w:rsidP="00FF70E0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40F93595" w14:textId="5A83A01A" w:rsidR="005D16E1" w:rsidRPr="00923694" w:rsidRDefault="005D16E1" w:rsidP="00FF70E0">
      <w:pPr>
        <w:tabs>
          <w:tab w:val="left" w:pos="8505"/>
        </w:tabs>
        <w:spacing w:before="0"/>
        <w:ind w:right="566"/>
        <w:jc w:val="left"/>
        <w:rPr>
          <w:b/>
          <w:color w:val="000000"/>
          <w:sz w:val="22"/>
          <w:szCs w:val="22"/>
          <w:lang w:val="sk-SK"/>
        </w:rPr>
      </w:pPr>
      <w:r w:rsidRPr="00923694">
        <w:rPr>
          <w:b/>
          <w:color w:val="000000"/>
          <w:sz w:val="22"/>
          <w:szCs w:val="22"/>
          <w:lang w:val="sk-SK"/>
        </w:rPr>
        <w:t>6.4</w:t>
      </w:r>
      <w:r w:rsidR="00727FF9" w:rsidRPr="00923694">
        <w:rPr>
          <w:b/>
          <w:color w:val="000000"/>
          <w:sz w:val="22"/>
          <w:szCs w:val="22"/>
          <w:lang w:val="sk-SK"/>
        </w:rPr>
        <w:t xml:space="preserve">     </w:t>
      </w:r>
      <w:r w:rsidR="00727FF9" w:rsidRPr="00923694">
        <w:rPr>
          <w:b/>
          <w:sz w:val="22"/>
          <w:szCs w:val="22"/>
          <w:lang w:val="sk-SK"/>
        </w:rPr>
        <w:t>Špeciálne upozornenia na uchovávanie</w:t>
      </w:r>
    </w:p>
    <w:p w14:paraId="33895F02" w14:textId="77777777" w:rsidR="001E65C0" w:rsidRPr="00923694" w:rsidRDefault="001E65C0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380EAD50" w14:textId="43A8D4B5" w:rsidR="00EC6207" w:rsidRPr="00FF70E0" w:rsidRDefault="005D16E1" w:rsidP="00FF70E0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FF70E0">
        <w:rPr>
          <w:color w:val="000000"/>
          <w:sz w:val="22"/>
          <w:szCs w:val="22"/>
          <w:lang w:val="sk-SK"/>
        </w:rPr>
        <w:t xml:space="preserve">Uchovávajte v suchu pri teplote </w:t>
      </w:r>
      <w:r w:rsidR="001E65C0" w:rsidRPr="00FF70E0">
        <w:rPr>
          <w:color w:val="000000"/>
          <w:sz w:val="22"/>
          <w:szCs w:val="22"/>
          <w:lang w:val="sk-SK"/>
        </w:rPr>
        <w:t xml:space="preserve">do </w:t>
      </w:r>
      <w:r w:rsidRPr="00FF70E0">
        <w:rPr>
          <w:color w:val="000000"/>
          <w:sz w:val="22"/>
          <w:lang w:val="sk-SK"/>
        </w:rPr>
        <w:t>25</w:t>
      </w:r>
      <w:r w:rsidR="00BA1648" w:rsidRPr="00FF70E0">
        <w:rPr>
          <w:color w:val="000000"/>
          <w:sz w:val="22"/>
          <w:lang w:val="sk-SK"/>
        </w:rPr>
        <w:t xml:space="preserve"> </w:t>
      </w:r>
      <w:r w:rsidRPr="00FF70E0">
        <w:rPr>
          <w:color w:val="000000"/>
          <w:sz w:val="22"/>
          <w:lang w:val="sk-SK"/>
        </w:rPr>
        <w:sym w:font="Symbol" w:char="F0B0"/>
      </w:r>
      <w:r w:rsidRPr="00FF70E0">
        <w:rPr>
          <w:color w:val="000000"/>
          <w:sz w:val="22"/>
          <w:lang w:val="sk-SK"/>
        </w:rPr>
        <w:t>C</w:t>
      </w:r>
      <w:r w:rsidR="00EC6207" w:rsidRPr="00FF70E0">
        <w:rPr>
          <w:color w:val="000000"/>
          <w:sz w:val="22"/>
          <w:szCs w:val="22"/>
          <w:lang w:val="sk-SK"/>
        </w:rPr>
        <w:t>.</w:t>
      </w:r>
    </w:p>
    <w:p w14:paraId="261BAAE2" w14:textId="564FF1CC" w:rsidR="00FF065F" w:rsidRPr="00CE5C2C" w:rsidRDefault="00EC6207" w:rsidP="00FF70E0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FF70E0">
        <w:rPr>
          <w:color w:val="000000"/>
          <w:sz w:val="22"/>
          <w:szCs w:val="22"/>
          <w:lang w:val="sk-SK"/>
        </w:rPr>
        <w:t>Uchováv</w:t>
      </w:r>
      <w:r w:rsidR="00921C5E" w:rsidRPr="00FF70E0">
        <w:rPr>
          <w:color w:val="000000"/>
          <w:sz w:val="22"/>
          <w:szCs w:val="22"/>
          <w:lang w:val="sk-SK"/>
        </w:rPr>
        <w:t>a</w:t>
      </w:r>
      <w:r w:rsidRPr="00FF70E0">
        <w:rPr>
          <w:color w:val="000000"/>
          <w:sz w:val="22"/>
          <w:szCs w:val="22"/>
          <w:lang w:val="sk-SK"/>
        </w:rPr>
        <w:t>jte</w:t>
      </w:r>
      <w:r w:rsidR="001E65C0" w:rsidRPr="00FF70E0">
        <w:rPr>
          <w:color w:val="000000"/>
          <w:sz w:val="22"/>
          <w:szCs w:val="22"/>
          <w:lang w:val="sk-SK"/>
        </w:rPr>
        <w:t xml:space="preserve"> vo vnútornom obale (blistri)</w:t>
      </w:r>
      <w:r w:rsidR="005D16E1" w:rsidRPr="00FF70E0">
        <w:rPr>
          <w:color w:val="000000"/>
          <w:sz w:val="22"/>
          <w:szCs w:val="22"/>
          <w:lang w:val="sk-SK"/>
        </w:rPr>
        <w:t>.</w:t>
      </w:r>
      <w:r w:rsidR="005D16E1" w:rsidRPr="00CE5C2C">
        <w:rPr>
          <w:color w:val="000000"/>
          <w:sz w:val="22"/>
          <w:szCs w:val="22"/>
          <w:lang w:val="sk-SK"/>
        </w:rPr>
        <w:t xml:space="preserve"> </w:t>
      </w:r>
    </w:p>
    <w:p w14:paraId="0E776B42" w14:textId="77777777" w:rsidR="005D16E1" w:rsidRPr="001E553E" w:rsidRDefault="005D16E1" w:rsidP="00FF70E0">
      <w:pPr>
        <w:tabs>
          <w:tab w:val="left" w:pos="8505"/>
        </w:tabs>
        <w:spacing w:before="0"/>
        <w:ind w:right="566"/>
        <w:jc w:val="left"/>
        <w:rPr>
          <w:b/>
          <w:color w:val="000000"/>
          <w:sz w:val="22"/>
          <w:szCs w:val="22"/>
          <w:lang w:val="sk-SK"/>
        </w:rPr>
      </w:pPr>
    </w:p>
    <w:p w14:paraId="165A7D93" w14:textId="28180568" w:rsidR="005D16E1" w:rsidRPr="00AB6209" w:rsidRDefault="005D16E1" w:rsidP="00FF70E0">
      <w:pPr>
        <w:keepNext/>
        <w:tabs>
          <w:tab w:val="left" w:pos="8505"/>
        </w:tabs>
        <w:spacing w:before="0"/>
        <w:ind w:right="567"/>
        <w:jc w:val="left"/>
        <w:rPr>
          <w:b/>
          <w:sz w:val="22"/>
          <w:szCs w:val="22"/>
          <w:lang w:val="sk-SK"/>
        </w:rPr>
      </w:pPr>
      <w:r w:rsidRPr="00AB6209">
        <w:rPr>
          <w:b/>
          <w:sz w:val="22"/>
          <w:szCs w:val="22"/>
          <w:lang w:val="sk-SK"/>
        </w:rPr>
        <w:lastRenderedPageBreak/>
        <w:t>6.5</w:t>
      </w:r>
      <w:r w:rsidR="00727FF9" w:rsidRPr="00AB6209">
        <w:rPr>
          <w:b/>
          <w:sz w:val="22"/>
          <w:szCs w:val="22"/>
          <w:lang w:val="sk-SK"/>
        </w:rPr>
        <w:t xml:space="preserve">     Druh obalu a obsah balenia</w:t>
      </w:r>
    </w:p>
    <w:p w14:paraId="28902587" w14:textId="77777777" w:rsidR="001E65C0" w:rsidRPr="001E4C29" w:rsidRDefault="001E65C0" w:rsidP="00FF70E0">
      <w:pPr>
        <w:keepNext/>
        <w:tabs>
          <w:tab w:val="left" w:pos="8505"/>
        </w:tabs>
        <w:spacing w:before="0"/>
        <w:ind w:right="567"/>
        <w:jc w:val="left"/>
        <w:rPr>
          <w:sz w:val="22"/>
          <w:szCs w:val="22"/>
          <w:lang w:val="sk-SK"/>
        </w:rPr>
      </w:pPr>
    </w:p>
    <w:p w14:paraId="3CFC7D91" w14:textId="206AD26D" w:rsidR="005D16E1" w:rsidRPr="00AC15AA" w:rsidRDefault="005D16E1" w:rsidP="00FF70E0">
      <w:pPr>
        <w:keepNext/>
        <w:tabs>
          <w:tab w:val="left" w:pos="8505"/>
        </w:tabs>
        <w:spacing w:before="0"/>
        <w:ind w:right="567"/>
        <w:jc w:val="left"/>
        <w:rPr>
          <w:sz w:val="22"/>
          <w:szCs w:val="22"/>
          <w:lang w:val="sk-SK"/>
        </w:rPr>
      </w:pPr>
      <w:r w:rsidRPr="008B6A9D">
        <w:rPr>
          <w:sz w:val="22"/>
          <w:szCs w:val="22"/>
          <w:lang w:val="sk-SK"/>
        </w:rPr>
        <w:t xml:space="preserve">Druh obalu: </w:t>
      </w:r>
      <w:r w:rsidR="002E7D9A" w:rsidRPr="00D779B4">
        <w:rPr>
          <w:sz w:val="22"/>
          <w:szCs w:val="22"/>
          <w:lang w:val="sk-SK" w:eastAsia="sk-SK"/>
        </w:rPr>
        <w:t>PVC/PVDC/Al blister (Neurol 0,2</w:t>
      </w:r>
      <w:r w:rsidR="002E7D9A" w:rsidRPr="00E63AA1">
        <w:rPr>
          <w:sz w:val="22"/>
          <w:szCs w:val="22"/>
          <w:lang w:val="sk-SK" w:eastAsia="sk-SK"/>
        </w:rPr>
        <w:t>5) alebo PVC/Al blister (Neurol 1,0)</w:t>
      </w:r>
      <w:r w:rsidRPr="00AC15AA">
        <w:rPr>
          <w:sz w:val="22"/>
          <w:szCs w:val="22"/>
          <w:lang w:val="sk-SK"/>
        </w:rPr>
        <w:t>,</w:t>
      </w:r>
      <w:r w:rsidR="001E65C0" w:rsidRPr="00AC15AA">
        <w:rPr>
          <w:sz w:val="22"/>
          <w:szCs w:val="22"/>
          <w:lang w:val="sk-SK"/>
        </w:rPr>
        <w:t xml:space="preserve"> papierová škatuľka</w:t>
      </w:r>
      <w:r w:rsidRPr="00AC15AA">
        <w:rPr>
          <w:sz w:val="22"/>
          <w:szCs w:val="22"/>
          <w:lang w:val="sk-SK"/>
        </w:rPr>
        <w:t>.</w:t>
      </w:r>
    </w:p>
    <w:p w14:paraId="3D69EF21" w14:textId="3D17704C" w:rsidR="001E65C0" w:rsidRPr="00495823" w:rsidRDefault="001E65C0" w:rsidP="00923694">
      <w:pPr>
        <w:tabs>
          <w:tab w:val="left" w:pos="8505"/>
        </w:tabs>
        <w:spacing w:before="0"/>
        <w:ind w:right="566"/>
        <w:jc w:val="left"/>
        <w:rPr>
          <w:sz w:val="22"/>
          <w:szCs w:val="22"/>
          <w:lang w:val="sk-SK"/>
        </w:rPr>
      </w:pPr>
    </w:p>
    <w:p w14:paraId="24079B75" w14:textId="77777777" w:rsidR="005D16E1" w:rsidRPr="00AA4D76" w:rsidRDefault="001E65C0" w:rsidP="00FF70E0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62071D">
        <w:rPr>
          <w:sz w:val="22"/>
          <w:szCs w:val="22"/>
          <w:lang w:val="sk-SK"/>
        </w:rPr>
        <w:t xml:space="preserve">Obsah </w:t>
      </w:r>
      <w:r w:rsidRPr="00623471">
        <w:rPr>
          <w:sz w:val="22"/>
          <w:szCs w:val="22"/>
          <w:lang w:val="sk-SK"/>
        </w:rPr>
        <w:t>b</w:t>
      </w:r>
      <w:r w:rsidR="005D16E1" w:rsidRPr="00623471">
        <w:rPr>
          <w:sz w:val="22"/>
          <w:szCs w:val="22"/>
          <w:lang w:val="sk-SK"/>
        </w:rPr>
        <w:t>aleni</w:t>
      </w:r>
      <w:r w:rsidRPr="00623471">
        <w:rPr>
          <w:sz w:val="22"/>
          <w:szCs w:val="22"/>
          <w:lang w:val="sk-SK"/>
        </w:rPr>
        <w:t>a</w:t>
      </w:r>
      <w:r w:rsidR="005D16E1" w:rsidRPr="00AA4D76">
        <w:rPr>
          <w:color w:val="000000"/>
          <w:sz w:val="22"/>
          <w:szCs w:val="22"/>
          <w:lang w:val="sk-SK"/>
        </w:rPr>
        <w:t>: 30 tabliet</w:t>
      </w:r>
    </w:p>
    <w:p w14:paraId="52E3A282" w14:textId="77777777" w:rsidR="005D16E1" w:rsidRPr="00923694" w:rsidRDefault="005D16E1" w:rsidP="00FF70E0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01DE2840" w14:textId="5EEC1F26" w:rsidR="00727FF9" w:rsidRPr="00923694" w:rsidRDefault="005D16E1" w:rsidP="00FF70E0">
      <w:pPr>
        <w:spacing w:before="0"/>
        <w:jc w:val="left"/>
        <w:rPr>
          <w:b/>
          <w:bCs/>
          <w:sz w:val="22"/>
          <w:szCs w:val="22"/>
          <w:lang w:val="sk-SK"/>
        </w:rPr>
      </w:pPr>
      <w:r w:rsidRPr="00923694">
        <w:rPr>
          <w:b/>
          <w:color w:val="000000"/>
          <w:sz w:val="22"/>
          <w:szCs w:val="22"/>
          <w:lang w:val="sk-SK"/>
        </w:rPr>
        <w:t>6.6</w:t>
      </w:r>
      <w:r w:rsidR="00727FF9" w:rsidRPr="00923694">
        <w:rPr>
          <w:b/>
          <w:color w:val="000000"/>
          <w:sz w:val="22"/>
          <w:szCs w:val="22"/>
          <w:lang w:val="sk-SK"/>
        </w:rPr>
        <w:t xml:space="preserve">     </w:t>
      </w:r>
      <w:r w:rsidR="00727FF9" w:rsidRPr="00923694">
        <w:rPr>
          <w:b/>
          <w:bCs/>
          <w:sz w:val="22"/>
          <w:szCs w:val="22"/>
          <w:lang w:val="sk-SK"/>
        </w:rPr>
        <w:t>Špeciálne opatrenia na likvidáciu</w:t>
      </w:r>
      <w:r w:rsidR="00727FF9" w:rsidRPr="00923694">
        <w:rPr>
          <w:b/>
          <w:sz w:val="22"/>
          <w:szCs w:val="22"/>
          <w:lang w:val="sk-SK"/>
        </w:rPr>
        <w:t xml:space="preserve"> </w:t>
      </w:r>
      <w:r w:rsidR="00727FF9" w:rsidRPr="00923694">
        <w:rPr>
          <w:b/>
          <w:bCs/>
          <w:sz w:val="22"/>
          <w:szCs w:val="22"/>
          <w:lang w:val="sk-SK"/>
        </w:rPr>
        <w:t>a iné zaobchádzanie s liekom</w:t>
      </w:r>
    </w:p>
    <w:p w14:paraId="42BADC9E" w14:textId="2373E20D" w:rsidR="00C30A8C" w:rsidRPr="00923694" w:rsidRDefault="00C30A8C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15AE6A2D" w14:textId="77777777" w:rsidR="00C30A8C" w:rsidRPr="00223C51" w:rsidRDefault="00223C51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Všetok n</w:t>
      </w:r>
      <w:r w:rsidR="00C30A8C" w:rsidRPr="00223C51">
        <w:rPr>
          <w:color w:val="000000"/>
          <w:sz w:val="22"/>
          <w:szCs w:val="22"/>
          <w:lang w:val="sk-SK"/>
        </w:rPr>
        <w:t xml:space="preserve">epoužitý liek alebo odpad vzniknutý z lieku </w:t>
      </w:r>
      <w:r>
        <w:rPr>
          <w:color w:val="000000"/>
          <w:sz w:val="22"/>
          <w:szCs w:val="22"/>
          <w:lang w:val="sk-SK"/>
        </w:rPr>
        <w:t>sa má zlikvidovať v súlade s národnými požiadavkami</w:t>
      </w:r>
      <w:r w:rsidR="00C30A8C" w:rsidRPr="00223C51">
        <w:rPr>
          <w:color w:val="000000"/>
          <w:sz w:val="22"/>
          <w:szCs w:val="22"/>
          <w:lang w:val="sk-SK"/>
        </w:rPr>
        <w:t>.</w:t>
      </w:r>
    </w:p>
    <w:p w14:paraId="5F2C037B" w14:textId="77777777" w:rsidR="00C30A8C" w:rsidRPr="008B6A9D" w:rsidRDefault="00C30A8C" w:rsidP="00FF70E0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368E7C4C" w14:textId="77777777" w:rsidR="00C30A8C" w:rsidRPr="00E63AA1" w:rsidRDefault="00C30A8C" w:rsidP="00FF70E0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134337B2" w14:textId="77777777" w:rsidR="005D16E1" w:rsidRPr="00AC15AA" w:rsidRDefault="005D16E1" w:rsidP="00FF70E0">
      <w:pPr>
        <w:tabs>
          <w:tab w:val="left" w:pos="8505"/>
        </w:tabs>
        <w:spacing w:before="0"/>
        <w:ind w:right="566"/>
        <w:jc w:val="left"/>
        <w:rPr>
          <w:b/>
          <w:color w:val="000000"/>
          <w:sz w:val="22"/>
          <w:szCs w:val="22"/>
          <w:lang w:val="sk-SK"/>
        </w:rPr>
      </w:pPr>
      <w:r w:rsidRPr="00AC15AA">
        <w:rPr>
          <w:b/>
          <w:color w:val="000000"/>
          <w:sz w:val="22"/>
          <w:szCs w:val="22"/>
          <w:lang w:val="sk-SK"/>
        </w:rPr>
        <w:t xml:space="preserve">7.    </w:t>
      </w:r>
      <w:r w:rsidR="00CE3CFD" w:rsidRPr="00AC15AA">
        <w:rPr>
          <w:b/>
          <w:color w:val="000000"/>
          <w:sz w:val="22"/>
          <w:szCs w:val="22"/>
          <w:lang w:val="sk-SK"/>
        </w:rPr>
        <w:t xml:space="preserve">   </w:t>
      </w:r>
      <w:r w:rsidRPr="00AC15AA">
        <w:rPr>
          <w:b/>
          <w:color w:val="000000"/>
          <w:sz w:val="22"/>
          <w:szCs w:val="22"/>
          <w:lang w:val="sk-SK"/>
        </w:rPr>
        <w:t>DRŽITEĽ ROZHODNUTIA O REGISTRÁCII</w:t>
      </w:r>
    </w:p>
    <w:p w14:paraId="14BC511A" w14:textId="77777777" w:rsidR="00C30A8C" w:rsidRPr="00495823" w:rsidRDefault="00C30A8C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17801715" w14:textId="2FB3E01F" w:rsidR="00C30A8C" w:rsidRPr="00AA4D76" w:rsidRDefault="005D16E1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62071D">
        <w:rPr>
          <w:color w:val="000000"/>
          <w:sz w:val="22"/>
          <w:szCs w:val="22"/>
          <w:lang w:val="sk-SK"/>
        </w:rPr>
        <w:t>Zentiva</w:t>
      </w:r>
      <w:r w:rsidR="007D7167" w:rsidRPr="0062071D">
        <w:rPr>
          <w:color w:val="000000"/>
          <w:sz w:val="22"/>
          <w:szCs w:val="22"/>
          <w:lang w:val="sk-SK"/>
        </w:rPr>
        <w:t>,</w:t>
      </w:r>
      <w:r w:rsidRPr="00623471">
        <w:rPr>
          <w:color w:val="000000"/>
          <w:sz w:val="22"/>
          <w:szCs w:val="22"/>
          <w:lang w:val="sk-SK"/>
        </w:rPr>
        <w:t xml:space="preserve"> </w:t>
      </w:r>
      <w:r w:rsidR="00727FF9" w:rsidRPr="00623471">
        <w:rPr>
          <w:color w:val="000000"/>
          <w:sz w:val="22"/>
          <w:szCs w:val="22"/>
          <w:lang w:val="sk-SK"/>
        </w:rPr>
        <w:t>k</w:t>
      </w:r>
      <w:r w:rsidRPr="00623471">
        <w:rPr>
          <w:color w:val="000000"/>
          <w:sz w:val="22"/>
          <w:szCs w:val="22"/>
          <w:lang w:val="sk-SK"/>
        </w:rPr>
        <w:t>.s.</w:t>
      </w:r>
    </w:p>
    <w:p w14:paraId="280242CB" w14:textId="77777777" w:rsidR="00C30A8C" w:rsidRPr="00923694" w:rsidRDefault="00C30A8C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923694">
        <w:rPr>
          <w:color w:val="000000"/>
          <w:sz w:val="22"/>
          <w:szCs w:val="22"/>
          <w:lang w:val="sk-SK"/>
        </w:rPr>
        <w:t>U kabelovny 130</w:t>
      </w:r>
    </w:p>
    <w:p w14:paraId="79C92821" w14:textId="22A9BF1C" w:rsidR="00C30A8C" w:rsidRPr="00223C51" w:rsidRDefault="00C30A8C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923694">
        <w:rPr>
          <w:color w:val="000000"/>
          <w:sz w:val="22"/>
          <w:szCs w:val="22"/>
          <w:lang w:val="sk-SK"/>
        </w:rPr>
        <w:t xml:space="preserve">102 37 </w:t>
      </w:r>
      <w:r w:rsidR="005D16E1" w:rsidRPr="00923694">
        <w:rPr>
          <w:color w:val="000000"/>
          <w:sz w:val="22"/>
          <w:szCs w:val="22"/>
          <w:lang w:val="sk-SK"/>
        </w:rPr>
        <w:t>Praha</w:t>
      </w:r>
      <w:r w:rsidR="00223C51">
        <w:rPr>
          <w:color w:val="000000"/>
          <w:sz w:val="22"/>
          <w:szCs w:val="22"/>
          <w:lang w:val="sk-SK"/>
        </w:rPr>
        <w:t xml:space="preserve"> 10</w:t>
      </w:r>
      <w:r w:rsidR="00921C5E">
        <w:rPr>
          <w:color w:val="000000"/>
          <w:sz w:val="22"/>
          <w:szCs w:val="22"/>
          <w:lang w:val="sk-SK"/>
        </w:rPr>
        <w:t xml:space="preserve"> - Dolní Měcholupy</w:t>
      </w:r>
    </w:p>
    <w:p w14:paraId="351577A5" w14:textId="77777777" w:rsidR="005D16E1" w:rsidRPr="00D779B4" w:rsidRDefault="005D16E1" w:rsidP="00FF70E0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8B6A9D">
        <w:rPr>
          <w:color w:val="000000"/>
          <w:sz w:val="22"/>
          <w:szCs w:val="22"/>
          <w:lang w:val="sk-SK"/>
        </w:rPr>
        <w:t>Česká republika</w:t>
      </w:r>
    </w:p>
    <w:p w14:paraId="139BBFF3" w14:textId="77777777" w:rsidR="00C30A8C" w:rsidRPr="00E63AA1" w:rsidRDefault="00C30A8C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591F79EF" w14:textId="77777777" w:rsidR="005D16E1" w:rsidRPr="00AC15AA" w:rsidRDefault="005D16E1" w:rsidP="00FF70E0">
      <w:pPr>
        <w:tabs>
          <w:tab w:val="left" w:pos="8505"/>
        </w:tabs>
        <w:spacing w:before="0"/>
        <w:ind w:right="566"/>
        <w:jc w:val="left"/>
        <w:rPr>
          <w:b/>
          <w:color w:val="000000"/>
          <w:sz w:val="22"/>
          <w:szCs w:val="22"/>
          <w:lang w:val="sk-SK"/>
        </w:rPr>
      </w:pPr>
    </w:p>
    <w:p w14:paraId="2795A98E" w14:textId="65155156" w:rsidR="005D16E1" w:rsidRPr="00AC15AA" w:rsidRDefault="005D16E1" w:rsidP="00FF70E0">
      <w:pPr>
        <w:tabs>
          <w:tab w:val="left" w:pos="8505"/>
        </w:tabs>
        <w:spacing w:before="0"/>
        <w:ind w:right="566"/>
        <w:jc w:val="left"/>
        <w:rPr>
          <w:b/>
          <w:color w:val="000000"/>
          <w:sz w:val="22"/>
          <w:szCs w:val="22"/>
          <w:lang w:val="sk-SK"/>
        </w:rPr>
      </w:pPr>
      <w:r w:rsidRPr="00AC15AA">
        <w:rPr>
          <w:b/>
          <w:color w:val="000000"/>
          <w:sz w:val="22"/>
          <w:szCs w:val="22"/>
          <w:lang w:val="sk-SK"/>
        </w:rPr>
        <w:t xml:space="preserve">8.   </w:t>
      </w:r>
      <w:r w:rsidR="00CE3CFD" w:rsidRPr="00AC15AA">
        <w:rPr>
          <w:b/>
          <w:color w:val="000000"/>
          <w:sz w:val="22"/>
          <w:szCs w:val="22"/>
          <w:lang w:val="sk-SK"/>
        </w:rPr>
        <w:t xml:space="preserve">    </w:t>
      </w:r>
      <w:r w:rsidRPr="00AC15AA">
        <w:rPr>
          <w:b/>
          <w:color w:val="000000"/>
          <w:sz w:val="22"/>
          <w:szCs w:val="22"/>
          <w:lang w:val="sk-SK"/>
        </w:rPr>
        <w:t>REGISTRAČNÉ ČÍSL</w:t>
      </w:r>
      <w:r w:rsidR="00CE3CFD" w:rsidRPr="00AC15AA">
        <w:rPr>
          <w:b/>
          <w:color w:val="000000"/>
          <w:sz w:val="22"/>
          <w:szCs w:val="22"/>
          <w:lang w:val="sk-SK"/>
        </w:rPr>
        <w:t>A</w:t>
      </w:r>
      <w:r w:rsidRPr="00AC15AA">
        <w:rPr>
          <w:b/>
          <w:color w:val="000000"/>
          <w:sz w:val="22"/>
          <w:szCs w:val="22"/>
          <w:lang w:val="sk-SK"/>
        </w:rPr>
        <w:t xml:space="preserve"> </w:t>
      </w:r>
    </w:p>
    <w:p w14:paraId="33967D5C" w14:textId="7DDE4AF9" w:rsidR="00C30A8C" w:rsidRPr="00495823" w:rsidRDefault="00C30A8C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2F5404EB" w14:textId="77777777" w:rsidR="00CE3CFD" w:rsidRPr="0062071D" w:rsidRDefault="00CE3CFD" w:rsidP="00FF70E0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177091">
        <w:rPr>
          <w:color w:val="000000"/>
          <w:sz w:val="22"/>
          <w:szCs w:val="22"/>
          <w:u w:val="single"/>
          <w:lang w:val="sk-SK"/>
        </w:rPr>
        <w:t>N</w:t>
      </w:r>
      <w:r w:rsidR="00921C5E" w:rsidRPr="00177091">
        <w:rPr>
          <w:color w:val="000000"/>
          <w:sz w:val="22"/>
          <w:szCs w:val="22"/>
          <w:u w:val="single"/>
          <w:lang w:val="sk-SK"/>
        </w:rPr>
        <w:t>eurol</w:t>
      </w:r>
      <w:r w:rsidRPr="00177091">
        <w:rPr>
          <w:color w:val="000000"/>
          <w:sz w:val="22"/>
          <w:szCs w:val="22"/>
          <w:u w:val="single"/>
          <w:lang w:val="sk-SK"/>
        </w:rPr>
        <w:t xml:space="preserve"> 0,25</w:t>
      </w:r>
      <w:r w:rsidRPr="0062071D">
        <w:rPr>
          <w:color w:val="000000"/>
          <w:sz w:val="22"/>
          <w:szCs w:val="22"/>
          <w:lang w:val="sk-SK"/>
        </w:rPr>
        <w:t>: 70/0201/89-CS</w:t>
      </w:r>
    </w:p>
    <w:p w14:paraId="454D84B0" w14:textId="17BFAE71" w:rsidR="00CE3CFD" w:rsidRPr="00921C5E" w:rsidRDefault="00CE3CFD" w:rsidP="00FF70E0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177091">
        <w:rPr>
          <w:color w:val="000000"/>
          <w:sz w:val="22"/>
          <w:szCs w:val="22"/>
          <w:u w:val="single"/>
          <w:lang w:val="sk-SK"/>
        </w:rPr>
        <w:t>N</w:t>
      </w:r>
      <w:r w:rsidR="00921C5E" w:rsidRPr="00177091">
        <w:rPr>
          <w:color w:val="000000"/>
          <w:sz w:val="22"/>
          <w:szCs w:val="22"/>
          <w:u w:val="single"/>
          <w:lang w:val="sk-SK"/>
        </w:rPr>
        <w:t>eurol</w:t>
      </w:r>
      <w:r w:rsidRPr="00177091">
        <w:rPr>
          <w:color w:val="000000"/>
          <w:sz w:val="22"/>
          <w:szCs w:val="22"/>
          <w:u w:val="single"/>
          <w:lang w:val="sk-SK"/>
        </w:rPr>
        <w:t xml:space="preserve"> 1,0</w:t>
      </w:r>
      <w:r w:rsidRPr="00921C5E">
        <w:rPr>
          <w:color w:val="000000"/>
          <w:sz w:val="22"/>
          <w:szCs w:val="22"/>
          <w:lang w:val="sk-SK"/>
        </w:rPr>
        <w:t>:   70/0340/12-S</w:t>
      </w:r>
    </w:p>
    <w:p w14:paraId="49E81B32" w14:textId="77777777" w:rsidR="005D16E1" w:rsidRPr="00923694" w:rsidRDefault="005D16E1" w:rsidP="00923694">
      <w:pPr>
        <w:tabs>
          <w:tab w:val="left" w:pos="8505"/>
        </w:tabs>
        <w:spacing w:before="0"/>
        <w:ind w:right="566"/>
        <w:jc w:val="left"/>
        <w:rPr>
          <w:b/>
          <w:color w:val="000000"/>
          <w:sz w:val="22"/>
          <w:szCs w:val="22"/>
          <w:lang w:val="sk-SK"/>
        </w:rPr>
      </w:pPr>
    </w:p>
    <w:p w14:paraId="68681D09" w14:textId="77777777" w:rsidR="00C30A8C" w:rsidRPr="00923694" w:rsidRDefault="00C30A8C" w:rsidP="00FF70E0">
      <w:pPr>
        <w:tabs>
          <w:tab w:val="left" w:pos="8505"/>
        </w:tabs>
        <w:spacing w:before="0"/>
        <w:ind w:right="566"/>
        <w:jc w:val="left"/>
        <w:rPr>
          <w:b/>
          <w:color w:val="000000"/>
          <w:sz w:val="22"/>
          <w:szCs w:val="22"/>
          <w:lang w:val="sk-SK"/>
        </w:rPr>
      </w:pPr>
    </w:p>
    <w:p w14:paraId="7D2ED43B" w14:textId="2F93DEE6" w:rsidR="005D16E1" w:rsidRPr="00923694" w:rsidRDefault="005D16E1" w:rsidP="00FF70E0">
      <w:pPr>
        <w:tabs>
          <w:tab w:val="left" w:pos="8505"/>
        </w:tabs>
        <w:spacing w:before="0"/>
        <w:ind w:right="566"/>
        <w:jc w:val="left"/>
        <w:rPr>
          <w:b/>
          <w:color w:val="000000"/>
          <w:sz w:val="22"/>
          <w:szCs w:val="22"/>
          <w:lang w:val="sk-SK"/>
        </w:rPr>
      </w:pPr>
      <w:r w:rsidRPr="00923694">
        <w:rPr>
          <w:b/>
          <w:color w:val="000000"/>
          <w:sz w:val="22"/>
          <w:szCs w:val="22"/>
          <w:lang w:val="sk-SK"/>
        </w:rPr>
        <w:t xml:space="preserve">9.    </w:t>
      </w:r>
      <w:r w:rsidR="00CE3CFD" w:rsidRPr="00923694">
        <w:rPr>
          <w:b/>
          <w:color w:val="000000"/>
          <w:sz w:val="22"/>
          <w:szCs w:val="22"/>
          <w:lang w:val="sk-SK"/>
        </w:rPr>
        <w:t xml:space="preserve">   </w:t>
      </w:r>
      <w:r w:rsidRPr="00923694">
        <w:rPr>
          <w:b/>
          <w:color w:val="000000"/>
          <w:sz w:val="22"/>
          <w:szCs w:val="22"/>
          <w:lang w:val="sk-SK"/>
        </w:rPr>
        <w:t xml:space="preserve">DÁTUM </w:t>
      </w:r>
      <w:r w:rsidR="00C30A8C" w:rsidRPr="00923694">
        <w:rPr>
          <w:b/>
          <w:color w:val="000000"/>
          <w:sz w:val="22"/>
          <w:szCs w:val="22"/>
          <w:lang w:val="sk-SK"/>
        </w:rPr>
        <w:t xml:space="preserve">PRVEJ </w:t>
      </w:r>
      <w:r w:rsidRPr="00923694">
        <w:rPr>
          <w:b/>
          <w:color w:val="000000"/>
          <w:sz w:val="22"/>
          <w:szCs w:val="22"/>
          <w:lang w:val="sk-SK"/>
        </w:rPr>
        <w:t xml:space="preserve">REGISTRÁCIE/PREDĹŽENIA REGISTRÁCIE </w:t>
      </w:r>
    </w:p>
    <w:p w14:paraId="0890E634" w14:textId="77777777" w:rsidR="00C30A8C" w:rsidRPr="00923694" w:rsidRDefault="00C30A8C" w:rsidP="00923694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</w:p>
    <w:p w14:paraId="39DC1BA7" w14:textId="24DF6294" w:rsidR="00CA1245" w:rsidRPr="00223C51" w:rsidRDefault="00CA1245" w:rsidP="00FF70E0">
      <w:pPr>
        <w:tabs>
          <w:tab w:val="left" w:pos="8505"/>
        </w:tabs>
        <w:spacing w:before="0"/>
        <w:ind w:right="566"/>
        <w:jc w:val="left"/>
        <w:rPr>
          <w:color w:val="000000"/>
          <w:sz w:val="22"/>
          <w:szCs w:val="22"/>
          <w:lang w:val="sk-SK"/>
        </w:rPr>
      </w:pPr>
      <w:r w:rsidRPr="00FF70E0">
        <w:rPr>
          <w:color w:val="000000"/>
          <w:sz w:val="22"/>
          <w:lang w:val="sk-SK"/>
        </w:rPr>
        <w:t xml:space="preserve">Dátum </w:t>
      </w:r>
      <w:r w:rsidR="00C30A8C" w:rsidRPr="00FF70E0">
        <w:rPr>
          <w:color w:val="000000"/>
          <w:sz w:val="22"/>
          <w:lang w:val="sk-SK"/>
        </w:rPr>
        <w:t xml:space="preserve">prvej </w:t>
      </w:r>
      <w:r w:rsidRPr="00FF70E0">
        <w:rPr>
          <w:color w:val="000000"/>
          <w:sz w:val="22"/>
          <w:lang w:val="sk-SK"/>
        </w:rPr>
        <w:t xml:space="preserve">registrácie: </w:t>
      </w:r>
      <w:r w:rsidR="005D16E1" w:rsidRPr="00923694">
        <w:rPr>
          <w:color w:val="000000"/>
          <w:sz w:val="22"/>
          <w:szCs w:val="22"/>
          <w:lang w:val="sk-SK"/>
        </w:rPr>
        <w:t>15.</w:t>
      </w:r>
      <w:r w:rsidR="00223C51">
        <w:rPr>
          <w:color w:val="000000"/>
          <w:sz w:val="22"/>
          <w:szCs w:val="22"/>
          <w:lang w:val="sk-SK"/>
        </w:rPr>
        <w:t xml:space="preserve"> septembra </w:t>
      </w:r>
      <w:r w:rsidR="005D16E1" w:rsidRPr="00223C51">
        <w:rPr>
          <w:color w:val="000000"/>
          <w:sz w:val="22"/>
          <w:szCs w:val="22"/>
          <w:lang w:val="sk-SK"/>
        </w:rPr>
        <w:t>1989</w:t>
      </w:r>
    </w:p>
    <w:p w14:paraId="4C1DA970" w14:textId="6137AA8E" w:rsidR="005D16E1" w:rsidRPr="00FF70E0" w:rsidRDefault="00CA1245" w:rsidP="00FF70E0">
      <w:pPr>
        <w:tabs>
          <w:tab w:val="left" w:pos="8505"/>
        </w:tabs>
        <w:spacing w:before="0"/>
        <w:ind w:right="566"/>
        <w:jc w:val="left"/>
        <w:rPr>
          <w:b/>
          <w:color w:val="000000"/>
          <w:sz w:val="22"/>
          <w:lang w:val="sk-SK"/>
        </w:rPr>
      </w:pPr>
      <w:r w:rsidRPr="00FF70E0">
        <w:rPr>
          <w:color w:val="000000"/>
          <w:sz w:val="22"/>
          <w:lang w:val="sk-SK"/>
        </w:rPr>
        <w:t xml:space="preserve">Dátum </w:t>
      </w:r>
      <w:r w:rsidR="00C30A8C" w:rsidRPr="00223C51">
        <w:rPr>
          <w:color w:val="000000"/>
          <w:sz w:val="22"/>
          <w:szCs w:val="22"/>
          <w:lang w:val="sk-SK"/>
        </w:rPr>
        <w:t xml:space="preserve">posledného </w:t>
      </w:r>
      <w:r w:rsidRPr="00FF70E0">
        <w:rPr>
          <w:color w:val="000000"/>
          <w:sz w:val="22"/>
          <w:lang w:val="sk-SK"/>
        </w:rPr>
        <w:t xml:space="preserve">predĺženia registrácie: </w:t>
      </w:r>
      <w:r w:rsidR="00304248" w:rsidRPr="00223C51">
        <w:rPr>
          <w:color w:val="000000"/>
          <w:sz w:val="22"/>
          <w:szCs w:val="22"/>
          <w:lang w:val="sk-SK"/>
        </w:rPr>
        <w:t>14.</w:t>
      </w:r>
      <w:r w:rsidR="00223C51">
        <w:rPr>
          <w:color w:val="000000"/>
          <w:sz w:val="22"/>
          <w:szCs w:val="22"/>
          <w:lang w:val="sk-SK"/>
        </w:rPr>
        <w:t xml:space="preserve"> septembra </w:t>
      </w:r>
      <w:r w:rsidR="00304248" w:rsidRPr="00223C51">
        <w:rPr>
          <w:color w:val="000000"/>
          <w:sz w:val="22"/>
          <w:szCs w:val="22"/>
          <w:lang w:val="sk-SK"/>
        </w:rPr>
        <w:t>2006</w:t>
      </w:r>
    </w:p>
    <w:p w14:paraId="28FA0A60" w14:textId="77777777" w:rsidR="00C30A8C" w:rsidRDefault="00C30A8C" w:rsidP="00FF70E0">
      <w:pPr>
        <w:tabs>
          <w:tab w:val="left" w:pos="8505"/>
        </w:tabs>
        <w:spacing w:before="0"/>
        <w:ind w:right="566"/>
        <w:jc w:val="left"/>
        <w:rPr>
          <w:b/>
          <w:color w:val="000000"/>
          <w:sz w:val="22"/>
          <w:lang w:val="sk-SK"/>
        </w:rPr>
      </w:pPr>
    </w:p>
    <w:p w14:paraId="2FC614E0" w14:textId="77777777" w:rsidR="00177091" w:rsidRPr="00FF70E0" w:rsidRDefault="00177091" w:rsidP="00FF70E0">
      <w:pPr>
        <w:tabs>
          <w:tab w:val="left" w:pos="8505"/>
        </w:tabs>
        <w:spacing w:before="0"/>
        <w:ind w:right="566"/>
        <w:jc w:val="left"/>
        <w:rPr>
          <w:b/>
          <w:color w:val="000000"/>
          <w:sz w:val="22"/>
          <w:lang w:val="sk-SK"/>
        </w:rPr>
      </w:pPr>
    </w:p>
    <w:p w14:paraId="1B6CD2CE" w14:textId="4F84E5E2" w:rsidR="005D16E1" w:rsidRPr="00AC15AA" w:rsidRDefault="005D16E1" w:rsidP="00FF70E0">
      <w:pPr>
        <w:numPr>
          <w:ilvl w:val="0"/>
          <w:numId w:val="14"/>
        </w:numPr>
        <w:tabs>
          <w:tab w:val="left" w:pos="8505"/>
        </w:tabs>
        <w:spacing w:before="0"/>
        <w:ind w:right="567"/>
        <w:jc w:val="left"/>
        <w:rPr>
          <w:color w:val="000000"/>
          <w:sz w:val="22"/>
          <w:szCs w:val="22"/>
          <w:lang w:val="sk-SK"/>
        </w:rPr>
      </w:pPr>
      <w:r w:rsidRPr="00AC15AA">
        <w:rPr>
          <w:b/>
          <w:color w:val="000000"/>
          <w:sz w:val="22"/>
          <w:szCs w:val="22"/>
          <w:lang w:val="sk-SK"/>
        </w:rPr>
        <w:t>DÁTUM REVÍZIE TEXTU</w:t>
      </w:r>
    </w:p>
    <w:p w14:paraId="38DFD8B7" w14:textId="77777777" w:rsidR="00C30A8C" w:rsidRPr="00AC15AA" w:rsidRDefault="00C30A8C" w:rsidP="00FF70E0">
      <w:pPr>
        <w:tabs>
          <w:tab w:val="left" w:pos="8505"/>
        </w:tabs>
        <w:spacing w:before="0"/>
        <w:ind w:right="567"/>
        <w:jc w:val="left"/>
        <w:rPr>
          <w:color w:val="000000"/>
          <w:sz w:val="22"/>
          <w:szCs w:val="22"/>
          <w:lang w:val="sk-SK"/>
        </w:rPr>
      </w:pPr>
    </w:p>
    <w:p w14:paraId="7E89C0F0" w14:textId="5D1B9BE2" w:rsidR="007C098A" w:rsidRPr="0062071D" w:rsidRDefault="00177091" w:rsidP="00FF70E0">
      <w:pPr>
        <w:spacing w:before="0"/>
        <w:jc w:val="left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Júl 2018</w:t>
      </w:r>
    </w:p>
    <w:sectPr w:rsidR="007C098A" w:rsidRPr="0062071D" w:rsidSect="00FF70E0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B490C2" w14:textId="77777777" w:rsidR="00FF70E0" w:rsidRDefault="00FF70E0">
      <w:r>
        <w:separator/>
      </w:r>
    </w:p>
  </w:endnote>
  <w:endnote w:type="continuationSeparator" w:id="0">
    <w:p w14:paraId="4F09F3CB" w14:textId="77777777" w:rsidR="00FF70E0" w:rsidRDefault="00FF70E0">
      <w:r>
        <w:continuationSeparator/>
      </w:r>
    </w:p>
  </w:endnote>
  <w:endnote w:type="continuationNotice" w:id="1">
    <w:p w14:paraId="0C7A6557" w14:textId="77777777" w:rsidR="00FF70E0" w:rsidRDefault="00FF70E0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A5B08" w14:textId="77777777" w:rsidR="00E369AA" w:rsidRDefault="00E369AA" w:rsidP="0013147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1382FF5A" w14:textId="77777777" w:rsidR="00E369AA" w:rsidRDefault="00E369AA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39448" w14:textId="77777777" w:rsidR="00E369AA" w:rsidRDefault="00E369AA" w:rsidP="0013147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8704E0">
      <w:rPr>
        <w:rStyle w:val="slostrany"/>
        <w:noProof/>
      </w:rPr>
      <w:t>4</w:t>
    </w:r>
    <w:r>
      <w:rPr>
        <w:rStyle w:val="slostrany"/>
      </w:rPr>
      <w:fldChar w:fldCharType="end"/>
    </w:r>
  </w:p>
  <w:p w14:paraId="15DC417C" w14:textId="77777777" w:rsidR="00E369AA" w:rsidRPr="00D5765A" w:rsidRDefault="00E369AA" w:rsidP="00727FF9">
    <w:pPr>
      <w:pStyle w:val="Pta"/>
      <w:rPr>
        <w:lang w:val="sk-SK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978C8C" w14:textId="77777777" w:rsidR="00FF70E0" w:rsidRDefault="00FF70E0">
      <w:r>
        <w:separator/>
      </w:r>
    </w:p>
  </w:footnote>
  <w:footnote w:type="continuationSeparator" w:id="0">
    <w:p w14:paraId="0B40375D" w14:textId="77777777" w:rsidR="00FF70E0" w:rsidRDefault="00FF70E0">
      <w:r>
        <w:continuationSeparator/>
      </w:r>
    </w:p>
  </w:footnote>
  <w:footnote w:type="continuationNotice" w:id="1">
    <w:p w14:paraId="48B42918" w14:textId="77777777" w:rsidR="00FF70E0" w:rsidRDefault="00FF70E0">
      <w:pPr>
        <w:spacing w:before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BBBCF0" w14:textId="77777777" w:rsidR="00AC15AA" w:rsidRDefault="00AC15AA" w:rsidP="00AC15AA">
    <w:pPr>
      <w:tabs>
        <w:tab w:val="left" w:pos="8505"/>
      </w:tabs>
      <w:spacing w:before="0"/>
      <w:ind w:right="567"/>
      <w:jc w:val="left"/>
      <w:outlineLvl w:val="0"/>
      <w:rPr>
        <w:sz w:val="18"/>
        <w:szCs w:val="18"/>
        <w:lang w:val="sk-SK"/>
      </w:rPr>
    </w:pPr>
    <w:r w:rsidRPr="005636FE">
      <w:rPr>
        <w:sz w:val="18"/>
        <w:szCs w:val="18"/>
        <w:lang w:val="sk-SK"/>
      </w:rPr>
      <w:t>Príloha č. 1 k notifikácii o zmene, ev. č.: 2012/04149</w:t>
    </w:r>
    <w:r w:rsidRPr="00C754B6">
      <w:rPr>
        <w:sz w:val="18"/>
        <w:szCs w:val="18"/>
        <w:lang w:val="sk-SK"/>
      </w:rPr>
      <w:t>-Z1B</w:t>
    </w:r>
  </w:p>
  <w:p w14:paraId="0E4BFF82" w14:textId="77777777" w:rsidR="00AC15AA" w:rsidRDefault="00AC15AA" w:rsidP="00AC15AA">
    <w:pPr>
      <w:tabs>
        <w:tab w:val="left" w:pos="8505"/>
      </w:tabs>
      <w:spacing w:before="0"/>
      <w:ind w:right="567"/>
      <w:jc w:val="left"/>
      <w:outlineLvl w:val="0"/>
      <w:rPr>
        <w:sz w:val="18"/>
        <w:szCs w:val="18"/>
        <w:lang w:val="sk-SK"/>
      </w:rPr>
    </w:pPr>
    <w:r w:rsidRPr="00406C0A">
      <w:rPr>
        <w:sz w:val="18"/>
        <w:szCs w:val="18"/>
        <w:lang w:val="sk-SK"/>
      </w:rPr>
      <w:t>Príloha č. 1 k notifikácii o</w:t>
    </w:r>
    <w:r>
      <w:rPr>
        <w:sz w:val="18"/>
        <w:szCs w:val="18"/>
        <w:lang w:val="sk-SK"/>
      </w:rPr>
      <w:t> </w:t>
    </w:r>
    <w:r w:rsidRPr="00406C0A">
      <w:rPr>
        <w:sz w:val="18"/>
        <w:szCs w:val="18"/>
        <w:lang w:val="sk-SK"/>
      </w:rPr>
      <w:t>zmene</w:t>
    </w:r>
    <w:r>
      <w:rPr>
        <w:sz w:val="18"/>
        <w:szCs w:val="18"/>
        <w:lang w:val="sk-SK"/>
      </w:rPr>
      <w:t xml:space="preserve">, ev. č.: </w:t>
    </w:r>
    <w:r w:rsidRPr="00C754B6">
      <w:rPr>
        <w:sz w:val="18"/>
        <w:szCs w:val="18"/>
        <w:lang w:val="sk-SK"/>
      </w:rPr>
      <w:t>2013/06132-Z1B</w:t>
    </w:r>
  </w:p>
  <w:p w14:paraId="1495DA2C" w14:textId="77777777" w:rsidR="00AC15AA" w:rsidRDefault="00AC15AA" w:rsidP="00AC15AA">
    <w:pPr>
      <w:tabs>
        <w:tab w:val="left" w:pos="8505"/>
      </w:tabs>
      <w:spacing w:before="0"/>
      <w:ind w:right="567"/>
      <w:jc w:val="left"/>
      <w:outlineLvl w:val="0"/>
      <w:rPr>
        <w:sz w:val="18"/>
        <w:szCs w:val="18"/>
        <w:lang w:val="sk-SK"/>
      </w:rPr>
    </w:pPr>
    <w:r w:rsidRPr="00406C0A">
      <w:rPr>
        <w:sz w:val="18"/>
        <w:szCs w:val="18"/>
        <w:lang w:val="sk-SK"/>
      </w:rPr>
      <w:t>Príloha č. 1 k notifikácii o</w:t>
    </w:r>
    <w:r>
      <w:rPr>
        <w:sz w:val="18"/>
        <w:szCs w:val="18"/>
        <w:lang w:val="sk-SK"/>
      </w:rPr>
      <w:t> </w:t>
    </w:r>
    <w:r w:rsidRPr="00406C0A">
      <w:rPr>
        <w:sz w:val="18"/>
        <w:szCs w:val="18"/>
        <w:lang w:val="sk-SK"/>
      </w:rPr>
      <w:t>zmene</w:t>
    </w:r>
    <w:r>
      <w:rPr>
        <w:sz w:val="18"/>
        <w:szCs w:val="18"/>
        <w:lang w:val="sk-SK"/>
      </w:rPr>
      <w:t>, ev. č.: 2016/02523</w:t>
    </w:r>
    <w:r w:rsidRPr="00C754B6">
      <w:rPr>
        <w:sz w:val="18"/>
        <w:szCs w:val="18"/>
        <w:lang w:val="sk-SK"/>
      </w:rPr>
      <w:t>-Z1B</w:t>
    </w:r>
  </w:p>
  <w:p w14:paraId="53DF8973" w14:textId="77777777" w:rsidR="00AC15AA" w:rsidRDefault="00AC15A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4BF54B5"/>
    <w:multiLevelType w:val="multilevel"/>
    <w:tmpl w:val="F7D65268"/>
    <w:lvl w:ilvl="0">
      <w:start w:val="1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D2838C1"/>
    <w:multiLevelType w:val="singleLevel"/>
    <w:tmpl w:val="E91EA796"/>
    <w:lvl w:ilvl="0">
      <w:start w:val="10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  <w:sz w:val="20"/>
        <w:szCs w:val="20"/>
      </w:rPr>
    </w:lvl>
  </w:abstractNum>
  <w:abstractNum w:abstractNumId="3">
    <w:nsid w:val="2FDC5718"/>
    <w:multiLevelType w:val="singleLevel"/>
    <w:tmpl w:val="2CC8612C"/>
    <w:lvl w:ilvl="0">
      <w:start w:val="1"/>
      <w:numFmt w:val="decimal"/>
      <w:pStyle w:val="Nadpisgrafu"/>
      <w:lvlText w:val="Graf č. %1.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 w:val="0"/>
        <w:i/>
        <w:sz w:val="24"/>
      </w:rPr>
    </w:lvl>
  </w:abstractNum>
  <w:abstractNum w:abstractNumId="4">
    <w:nsid w:val="32F81E3E"/>
    <w:multiLevelType w:val="singleLevel"/>
    <w:tmpl w:val="7C764A7C"/>
    <w:lvl w:ilvl="0">
      <w:start w:val="1"/>
      <w:numFmt w:val="decimal"/>
      <w:pStyle w:val="Nadpisobrzku"/>
      <w:lvlText w:val="Obrázek č. %1.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 w:val="0"/>
        <w:i/>
        <w:sz w:val="24"/>
      </w:rPr>
    </w:lvl>
  </w:abstractNum>
  <w:abstractNum w:abstractNumId="5">
    <w:nsid w:val="398973BC"/>
    <w:multiLevelType w:val="multilevel"/>
    <w:tmpl w:val="CD2246A0"/>
    <w:lvl w:ilvl="0">
      <w:start w:val="2"/>
      <w:numFmt w:val="decimal"/>
      <w:lvlText w:val="1.%1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caps w:val="0"/>
        <w:outline w:val="0"/>
        <w:shadow w:val="0"/>
        <w:emboss w:val="0"/>
        <w:imprint w:val="0"/>
        <w:vanish w:val="0"/>
        <w:color w:val="auto"/>
        <w:sz w:val="28"/>
        <w:u w:val="none"/>
        <w:vertAlign w:val="baseline"/>
      </w:rPr>
    </w:lvl>
    <w:lvl w:ilvl="1">
      <w:start w:val="1"/>
      <w:numFmt w:val="decimal"/>
      <w:lvlText w:val="1.%1.%2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caps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lvlText w:val="1.%1.%2.%3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caps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lvlText w:val="1.%1.%2.%3.%4"/>
      <w:lvlJc w:val="left"/>
      <w:pPr>
        <w:tabs>
          <w:tab w:val="num" w:pos="1247"/>
        </w:tabs>
        <w:ind w:left="1247" w:hanging="1247"/>
      </w:pPr>
      <w:rPr>
        <w:rFonts w:ascii="Times New Roman" w:hAnsi="Times New Roman" w:hint="default"/>
        <w:b/>
        <w:i w:val="0"/>
        <w:caps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lvlText w:val="1.%1.%2.%3.%4.%5"/>
      <w:lvlJc w:val="left"/>
      <w:pPr>
        <w:tabs>
          <w:tab w:val="num" w:pos="1361"/>
        </w:tabs>
        <w:ind w:left="1361" w:hanging="1361"/>
      </w:pPr>
      <w:rPr>
        <w:rFonts w:ascii="Times New Roman" w:hAnsi="Times New Roman" w:hint="default"/>
        <w:b/>
        <w:i w:val="0"/>
        <w:caps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5">
      <w:start w:val="1"/>
      <w:numFmt w:val="decimal"/>
      <w:lvlText w:val="1.%1.%2.%3.%4.%5.%6"/>
      <w:lvlJc w:val="left"/>
      <w:pPr>
        <w:tabs>
          <w:tab w:val="num" w:pos="1588"/>
        </w:tabs>
        <w:ind w:left="1588" w:hanging="1588"/>
      </w:pPr>
      <w:rPr>
        <w:rFonts w:ascii="Times New Roman" w:hAnsi="Times New Roman" w:hint="default"/>
        <w:b/>
        <w:i w:val="0"/>
        <w:caps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Text w:val="1.%1.%2.%3.%4.%5.%6.%7"/>
      <w:lvlJc w:val="left"/>
      <w:pPr>
        <w:tabs>
          <w:tab w:val="num" w:pos="1701"/>
        </w:tabs>
        <w:ind w:left="1701" w:hanging="1701"/>
      </w:pPr>
      <w:rPr>
        <w:rFonts w:ascii="Times New Roman" w:hAnsi="Times New Roman" w:hint="default"/>
        <w:b w:val="0"/>
        <w:i w:val="0"/>
        <w:caps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7">
      <w:start w:val="1"/>
      <w:numFmt w:val="decimal"/>
      <w:lvlText w:val="1.%1.%2.%3.%4.%5.%6.%7.%8"/>
      <w:lvlJc w:val="left"/>
      <w:pPr>
        <w:tabs>
          <w:tab w:val="num" w:pos="1871"/>
        </w:tabs>
        <w:ind w:left="1871" w:hanging="1871"/>
      </w:pPr>
      <w:rPr>
        <w:rFonts w:ascii="Times New Roman" w:hAnsi="Times New Roman" w:hint="default"/>
        <w:b w:val="0"/>
        <w:i w:val="0"/>
        <w:caps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8">
      <w:start w:val="1"/>
      <w:numFmt w:val="decimal"/>
      <w:lvlText w:val="1.%1.%2.%3.%4.%5.%6.%7.%8.%9"/>
      <w:lvlJc w:val="left"/>
      <w:pPr>
        <w:tabs>
          <w:tab w:val="num" w:pos="2041"/>
        </w:tabs>
        <w:ind w:left="2041" w:hanging="2041"/>
      </w:pPr>
      <w:rPr>
        <w:rFonts w:ascii="Times New Roman" w:hAnsi="Times New Roman" w:hint="default"/>
        <w:b w:val="0"/>
        <w:i w:val="0"/>
        <w:caps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</w:abstractNum>
  <w:abstractNum w:abstractNumId="6">
    <w:nsid w:val="453E2228"/>
    <w:multiLevelType w:val="multilevel"/>
    <w:tmpl w:val="EF3C68B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aps/>
        <w:sz w:val="32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709" w:hanging="425"/>
      </w:pPr>
      <w:rPr>
        <w:rFonts w:ascii="Arial" w:hAnsi="Arial" w:hint="default"/>
        <w:b/>
        <w:i/>
        <w:sz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457B4D9A"/>
    <w:multiLevelType w:val="multilevel"/>
    <w:tmpl w:val="6E54F360"/>
    <w:lvl w:ilvl="0">
      <w:start w:val="3"/>
      <w:numFmt w:val="decimal"/>
      <w:lvlText w:val="2.%1"/>
      <w:lvlJc w:val="left"/>
      <w:pPr>
        <w:tabs>
          <w:tab w:val="num" w:pos="1134"/>
        </w:tabs>
        <w:ind w:left="1134" w:hanging="1134"/>
      </w:pPr>
      <w:rPr>
        <w:rFonts w:ascii="Times New Roman" w:hAnsi="Times New Roman"/>
        <w:b/>
        <w:i w:val="0"/>
        <w:caps w:val="0"/>
        <w:outline w:val="0"/>
        <w:shadow w:val="0"/>
        <w:emboss w:val="0"/>
        <w:imprint w:val="0"/>
        <w:vanish w:val="0"/>
        <w:color w:val="auto"/>
        <w:sz w:val="28"/>
        <w:u w:val="none"/>
        <w:vertAlign w:val="baseline"/>
      </w:rPr>
    </w:lvl>
    <w:lvl w:ilvl="1">
      <w:start w:val="19"/>
      <w:numFmt w:val="upperLetter"/>
      <w:lvlText w:val="2.%1.%2"/>
      <w:lvlJc w:val="left"/>
      <w:pPr>
        <w:tabs>
          <w:tab w:val="num" w:pos="737"/>
        </w:tabs>
        <w:ind w:left="737" w:hanging="737"/>
      </w:pPr>
      <w:rPr>
        <w:rFonts w:ascii="Times New Roman" w:hAnsi="Times New Roman"/>
        <w:b/>
        <w:i w:val="0"/>
        <w:caps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2">
      <w:start w:val="5"/>
      <w:numFmt w:val="decimal"/>
      <w:lvlText w:val="2.%1.%2.%3"/>
      <w:lvlJc w:val="left"/>
      <w:pPr>
        <w:tabs>
          <w:tab w:val="num" w:pos="794"/>
        </w:tabs>
        <w:ind w:left="794" w:hanging="794"/>
      </w:pPr>
      <w:rPr>
        <w:rFonts w:ascii="Times New Roman" w:hAnsi="Times New Roman"/>
        <w:b/>
        <w:i w:val="0"/>
        <w:caps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lvlText w:val="2.%1.%2.%3.%4"/>
      <w:lvlJc w:val="left"/>
      <w:pPr>
        <w:tabs>
          <w:tab w:val="num" w:pos="862"/>
        </w:tabs>
        <w:ind w:left="862" w:hanging="862"/>
      </w:pPr>
      <w:rPr>
        <w:rFonts w:ascii="Times New Roman" w:hAnsi="Times New Roman"/>
        <w:b/>
        <w:i w:val="0"/>
        <w:caps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lvlText w:val="2.%1.%2.%3.%4.%5"/>
      <w:lvlJc w:val="left"/>
      <w:pPr>
        <w:tabs>
          <w:tab w:val="num" w:pos="1009"/>
        </w:tabs>
        <w:ind w:left="1009" w:hanging="1009"/>
      </w:pPr>
      <w:rPr>
        <w:rFonts w:ascii="Times New Roman" w:hAnsi="Times New Roman"/>
        <w:b/>
        <w:i w:val="0"/>
        <w:caps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5">
      <w:start w:val="1"/>
      <w:numFmt w:val="decimal"/>
      <w:lvlText w:val="2.%1.%2.%3.%4.%5.%6"/>
      <w:lvlJc w:val="left"/>
      <w:pPr>
        <w:tabs>
          <w:tab w:val="num" w:pos="1151"/>
        </w:tabs>
        <w:ind w:left="1151" w:hanging="1151"/>
      </w:pPr>
      <w:rPr>
        <w:rFonts w:ascii="Times New Roman" w:hAnsi="Times New Roman"/>
        <w:b/>
        <w:i w:val="0"/>
        <w:caps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Text w:val="2.%1.%2.%3.%4.%5.%6.%7"/>
      <w:lvlJc w:val="left"/>
      <w:pPr>
        <w:tabs>
          <w:tab w:val="num" w:pos="1298"/>
        </w:tabs>
        <w:ind w:left="1298" w:hanging="1298"/>
      </w:pPr>
      <w:rPr>
        <w:rFonts w:ascii="Times New Roman" w:hAnsi="Times New Roman"/>
        <w:b w:val="0"/>
        <w:i w:val="0"/>
        <w:caps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7">
      <w:start w:val="1"/>
      <w:numFmt w:val="decimal"/>
      <w:lvlText w:val="2.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/>
        <w:b w:val="0"/>
        <w:i w:val="0"/>
        <w:caps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8">
      <w:start w:val="1"/>
      <w:numFmt w:val="decimal"/>
      <w:lvlText w:val="2.%1.%2.%3.%4.%5.%6.%7.%8.%9"/>
      <w:lvlJc w:val="left"/>
      <w:pPr>
        <w:tabs>
          <w:tab w:val="num" w:pos="1582"/>
        </w:tabs>
        <w:ind w:left="1582" w:hanging="1582"/>
      </w:pPr>
      <w:rPr>
        <w:rFonts w:ascii="Times New Roman" w:hAnsi="Times New Roman"/>
        <w:b w:val="0"/>
        <w:i w:val="0"/>
        <w:caps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</w:abstractNum>
  <w:abstractNum w:abstractNumId="8">
    <w:nsid w:val="467D78C0"/>
    <w:multiLevelType w:val="multilevel"/>
    <w:tmpl w:val="5D1A13B8"/>
    <w:lvl w:ilvl="0">
      <w:start w:val="3"/>
      <w:numFmt w:val="decimal"/>
      <w:lvlText w:val="2.%1"/>
      <w:lvlJc w:val="left"/>
      <w:pPr>
        <w:tabs>
          <w:tab w:val="num" w:pos="1134"/>
        </w:tabs>
        <w:ind w:left="1134" w:hanging="1134"/>
      </w:pPr>
      <w:rPr>
        <w:rFonts w:ascii="Times New Roman" w:hAnsi="Times New Roman"/>
        <w:b/>
        <w:i w:val="0"/>
        <w:caps w:val="0"/>
        <w:outline w:val="0"/>
        <w:shadow w:val="0"/>
        <w:emboss w:val="0"/>
        <w:imprint w:val="0"/>
        <w:vanish w:val="0"/>
        <w:color w:val="auto"/>
        <w:sz w:val="28"/>
        <w:u w:val="none"/>
        <w:vertAlign w:val="baseline"/>
      </w:rPr>
    </w:lvl>
    <w:lvl w:ilvl="1">
      <w:start w:val="1"/>
      <w:numFmt w:val="upperLetter"/>
      <w:lvlText w:val="2.%1.%2"/>
      <w:lvlJc w:val="left"/>
      <w:pPr>
        <w:tabs>
          <w:tab w:val="num" w:pos="737"/>
        </w:tabs>
        <w:ind w:left="737" w:hanging="737"/>
      </w:pPr>
      <w:rPr>
        <w:rFonts w:ascii="Times New Roman" w:hAnsi="Times New Roman"/>
        <w:b/>
        <w:i w:val="0"/>
        <w:caps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2">
      <w:start w:val="2"/>
      <w:numFmt w:val="decimal"/>
      <w:lvlText w:val="2.%1.%2.%3"/>
      <w:lvlJc w:val="left"/>
      <w:pPr>
        <w:tabs>
          <w:tab w:val="num" w:pos="794"/>
        </w:tabs>
        <w:ind w:left="794" w:hanging="794"/>
      </w:pPr>
      <w:rPr>
        <w:rFonts w:ascii="Times New Roman" w:hAnsi="Times New Roman"/>
        <w:b/>
        <w:i w:val="0"/>
        <w:caps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lvlText w:val="2.%1.%2.%3.%4"/>
      <w:lvlJc w:val="left"/>
      <w:pPr>
        <w:tabs>
          <w:tab w:val="num" w:pos="862"/>
        </w:tabs>
        <w:ind w:left="862" w:hanging="862"/>
      </w:pPr>
      <w:rPr>
        <w:rFonts w:ascii="Times New Roman" w:hAnsi="Times New Roman"/>
        <w:b/>
        <w:i w:val="0"/>
        <w:caps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lvlText w:val="2.%1.%2.%3.%4.%5"/>
      <w:lvlJc w:val="left"/>
      <w:pPr>
        <w:tabs>
          <w:tab w:val="num" w:pos="1009"/>
        </w:tabs>
        <w:ind w:left="1009" w:hanging="1009"/>
      </w:pPr>
      <w:rPr>
        <w:rFonts w:ascii="Times New Roman" w:hAnsi="Times New Roman"/>
        <w:b/>
        <w:i w:val="0"/>
        <w:caps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5">
      <w:start w:val="1"/>
      <w:numFmt w:val="decimal"/>
      <w:lvlText w:val="2.%1.%2.%3.%4.%5.%6"/>
      <w:lvlJc w:val="left"/>
      <w:pPr>
        <w:tabs>
          <w:tab w:val="num" w:pos="1151"/>
        </w:tabs>
        <w:ind w:left="1151" w:hanging="1151"/>
      </w:pPr>
      <w:rPr>
        <w:rFonts w:ascii="Times New Roman" w:hAnsi="Times New Roman"/>
        <w:b/>
        <w:i w:val="0"/>
        <w:caps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Text w:val="2.%1.%2.%3.%4.%5.%6.%7"/>
      <w:lvlJc w:val="left"/>
      <w:pPr>
        <w:tabs>
          <w:tab w:val="num" w:pos="1298"/>
        </w:tabs>
        <w:ind w:left="1298" w:hanging="1298"/>
      </w:pPr>
      <w:rPr>
        <w:rFonts w:ascii="Times New Roman" w:hAnsi="Times New Roman"/>
        <w:b w:val="0"/>
        <w:i w:val="0"/>
        <w:caps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7">
      <w:start w:val="1"/>
      <w:numFmt w:val="decimal"/>
      <w:lvlText w:val="2.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/>
        <w:b w:val="0"/>
        <w:i w:val="0"/>
        <w:caps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8">
      <w:start w:val="1"/>
      <w:numFmt w:val="decimal"/>
      <w:lvlText w:val="2.%1.%2.%3.%4.%5.%6.%7.%8.%9"/>
      <w:lvlJc w:val="left"/>
      <w:pPr>
        <w:tabs>
          <w:tab w:val="num" w:pos="1582"/>
        </w:tabs>
        <w:ind w:left="1582" w:hanging="1582"/>
      </w:pPr>
      <w:rPr>
        <w:rFonts w:ascii="Times New Roman" w:hAnsi="Times New Roman"/>
        <w:b w:val="0"/>
        <w:i w:val="0"/>
        <w:caps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</w:abstractNum>
  <w:abstractNum w:abstractNumId="9">
    <w:nsid w:val="52C93758"/>
    <w:multiLevelType w:val="multilevel"/>
    <w:tmpl w:val="7542EAEA"/>
    <w:lvl w:ilvl="0">
      <w:start w:val="3"/>
      <w:numFmt w:val="decimal"/>
      <w:lvlText w:val="2.%1"/>
      <w:lvlJc w:val="left"/>
      <w:pPr>
        <w:tabs>
          <w:tab w:val="num" w:pos="1134"/>
        </w:tabs>
        <w:ind w:left="1134" w:hanging="1134"/>
      </w:pPr>
      <w:rPr>
        <w:rFonts w:ascii="Times New Roman" w:hAnsi="Times New Roman"/>
        <w:b/>
        <w:i w:val="0"/>
        <w:caps w:val="0"/>
        <w:outline w:val="0"/>
        <w:shadow w:val="0"/>
        <w:emboss w:val="0"/>
        <w:imprint w:val="0"/>
        <w:vanish w:val="0"/>
        <w:color w:val="auto"/>
        <w:sz w:val="28"/>
        <w:u w:val="none"/>
        <w:vertAlign w:val="baseline"/>
      </w:rPr>
    </w:lvl>
    <w:lvl w:ilvl="1">
      <w:start w:val="1"/>
      <w:numFmt w:val="upperLetter"/>
      <w:lvlText w:val="2.%1.%2"/>
      <w:lvlJc w:val="left"/>
      <w:pPr>
        <w:tabs>
          <w:tab w:val="num" w:pos="737"/>
        </w:tabs>
        <w:ind w:left="737" w:hanging="737"/>
      </w:pPr>
      <w:rPr>
        <w:rFonts w:ascii="Times New Roman" w:hAnsi="Times New Roman"/>
        <w:b/>
        <w:i w:val="0"/>
        <w:caps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2">
      <w:start w:val="3"/>
      <w:numFmt w:val="decimal"/>
      <w:lvlText w:val="2.%1.%2.%3"/>
      <w:lvlJc w:val="left"/>
      <w:pPr>
        <w:tabs>
          <w:tab w:val="num" w:pos="794"/>
        </w:tabs>
        <w:ind w:left="794" w:hanging="794"/>
      </w:pPr>
      <w:rPr>
        <w:rFonts w:ascii="Times New Roman" w:hAnsi="Times New Roman"/>
        <w:b/>
        <w:i w:val="0"/>
        <w:caps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3">
      <w:start w:val="1"/>
      <w:numFmt w:val="decimal"/>
      <w:lvlText w:val="2.%1.%2.%3.%4"/>
      <w:lvlJc w:val="left"/>
      <w:pPr>
        <w:tabs>
          <w:tab w:val="num" w:pos="862"/>
        </w:tabs>
        <w:ind w:left="862" w:hanging="862"/>
      </w:pPr>
      <w:rPr>
        <w:rFonts w:ascii="Times New Roman" w:hAnsi="Times New Roman"/>
        <w:b/>
        <w:i w:val="0"/>
        <w:caps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lvlText w:val="2.%1.%2.%3.%4.%5"/>
      <w:lvlJc w:val="left"/>
      <w:pPr>
        <w:tabs>
          <w:tab w:val="num" w:pos="1009"/>
        </w:tabs>
        <w:ind w:left="1009" w:hanging="1009"/>
      </w:pPr>
      <w:rPr>
        <w:rFonts w:ascii="Times New Roman" w:hAnsi="Times New Roman"/>
        <w:b/>
        <w:i w:val="0"/>
        <w:caps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5">
      <w:start w:val="1"/>
      <w:numFmt w:val="decimal"/>
      <w:lvlText w:val="2.%1.%2.%3.%4.%5.%6"/>
      <w:lvlJc w:val="left"/>
      <w:pPr>
        <w:tabs>
          <w:tab w:val="num" w:pos="1151"/>
        </w:tabs>
        <w:ind w:left="1151" w:hanging="1151"/>
      </w:pPr>
      <w:rPr>
        <w:rFonts w:ascii="Times New Roman" w:hAnsi="Times New Roman"/>
        <w:b/>
        <w:i w:val="0"/>
        <w:caps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lvlText w:val="2.%1.%2.%3.%4.%5.%6.%7"/>
      <w:lvlJc w:val="left"/>
      <w:pPr>
        <w:tabs>
          <w:tab w:val="num" w:pos="1298"/>
        </w:tabs>
        <w:ind w:left="1298" w:hanging="1298"/>
      </w:pPr>
      <w:rPr>
        <w:rFonts w:ascii="Times New Roman" w:hAnsi="Times New Roman"/>
        <w:b w:val="0"/>
        <w:i w:val="0"/>
        <w:caps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7">
      <w:start w:val="1"/>
      <w:numFmt w:val="decimal"/>
      <w:lvlText w:val="2.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/>
        <w:b w:val="0"/>
        <w:i w:val="0"/>
        <w:caps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  <w:lvl w:ilvl="8">
      <w:start w:val="1"/>
      <w:numFmt w:val="decimal"/>
      <w:lvlText w:val="2.%1.%2.%3.%4.%5.%6.%7.%8.%9"/>
      <w:lvlJc w:val="left"/>
      <w:pPr>
        <w:tabs>
          <w:tab w:val="num" w:pos="1582"/>
        </w:tabs>
        <w:ind w:left="1582" w:hanging="1582"/>
      </w:pPr>
      <w:rPr>
        <w:rFonts w:ascii="Times New Roman" w:hAnsi="Times New Roman"/>
        <w:b w:val="0"/>
        <w:i w:val="0"/>
        <w:caps w:val="0"/>
        <w:outline w:val="0"/>
        <w:shadow w:val="0"/>
        <w:emboss w:val="0"/>
        <w:imprint w:val="0"/>
        <w:vanish w:val="0"/>
        <w:color w:val="auto"/>
        <w:sz w:val="24"/>
        <w:u w:val="none"/>
        <w:vertAlign w:val="baseline"/>
      </w:rPr>
    </w:lvl>
  </w:abstractNum>
  <w:abstractNum w:abstractNumId="10">
    <w:nsid w:val="62354882"/>
    <w:multiLevelType w:val="hybridMultilevel"/>
    <w:tmpl w:val="E4E2312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5B4648E"/>
    <w:multiLevelType w:val="multilevel"/>
    <w:tmpl w:val="C624C804"/>
    <w:lvl w:ilvl="0">
      <w:start w:val="1"/>
      <w:numFmt w:val="decimal"/>
      <w:isLgl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isLgl/>
      <w:lvlText w:val=" %1.%2.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lvlRestart w:val="0"/>
      <w:isLgl/>
      <w:lvlText w:val="%1.%2.%3."/>
      <w:lvlJc w:val="left"/>
      <w:pPr>
        <w:tabs>
          <w:tab w:val="num" w:pos="1418"/>
        </w:tabs>
        <w:ind w:left="1418" w:hanging="851"/>
      </w:pPr>
      <w:rPr>
        <w:rFonts w:ascii="Arial" w:hAnsi="Arial" w:hint="default"/>
        <w:b w:val="0"/>
        <w:i/>
        <w:sz w:val="24"/>
        <w:u w:val="single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851"/>
      </w:pPr>
      <w:rPr>
        <w:rFonts w:ascii="Times New Roman" w:hAnsi="Times New Roman" w:hint="default"/>
        <w:b w:val="0"/>
        <w:i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134" w:hanging="1134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134" w:hanging="1134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701"/>
        </w:tabs>
        <w:ind w:left="1701" w:hanging="1701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1701" w:hanging="1701"/>
      </w:pPr>
    </w:lvl>
  </w:abstractNum>
  <w:abstractNum w:abstractNumId="12">
    <w:nsid w:val="6C112983"/>
    <w:multiLevelType w:val="hybridMultilevel"/>
    <w:tmpl w:val="A02C38A2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769D33ED"/>
    <w:multiLevelType w:val="multilevel"/>
    <w:tmpl w:val="244AAAD0"/>
    <w:lvl w:ilvl="0">
      <w:start w:val="1"/>
      <w:numFmt w:val="decimal"/>
      <w:pStyle w:val="Nadpis1"/>
      <w:lvlText w:val="%1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567" w:hanging="567"/>
      </w:pPr>
      <w:rPr>
        <w:b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37"/>
        </w:tabs>
        <w:ind w:left="737" w:hanging="737"/>
      </w:pPr>
      <w:rPr>
        <w:b/>
        <w:i w:val="0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964"/>
        </w:tabs>
        <w:ind w:left="964" w:hanging="964"/>
      </w:pPr>
      <w:rPr>
        <w:b/>
        <w:i w:val="0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134"/>
        </w:tabs>
        <w:ind w:left="1134" w:hanging="1134"/>
      </w:pPr>
      <w:rPr>
        <w:b/>
        <w:i w:val="0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304"/>
        </w:tabs>
        <w:ind w:left="1304" w:hanging="1304"/>
      </w:pPr>
      <w:rPr>
        <w:b/>
        <w:i w:val="0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474"/>
        </w:tabs>
        <w:ind w:left="1474" w:hanging="1474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644"/>
        </w:tabs>
        <w:ind w:left="1644" w:hanging="1644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814"/>
        </w:tabs>
        <w:ind w:left="1814" w:hanging="1814"/>
      </w:pPr>
    </w:lvl>
  </w:abstractNum>
  <w:abstractNum w:abstractNumId="14">
    <w:nsid w:val="78F52B36"/>
    <w:multiLevelType w:val="singleLevel"/>
    <w:tmpl w:val="26EEBAB6"/>
    <w:lvl w:ilvl="0">
      <w:start w:val="1"/>
      <w:numFmt w:val="decimal"/>
      <w:pStyle w:val="Nadpistabulky"/>
      <w:lvlText w:val="Tabulka č. %1."/>
      <w:lvlJc w:val="left"/>
      <w:pPr>
        <w:tabs>
          <w:tab w:val="num" w:pos="1418"/>
        </w:tabs>
        <w:ind w:left="1418" w:hanging="1418"/>
      </w:pPr>
      <w:rPr>
        <w:rFonts w:ascii="Times New Roman" w:hAnsi="Times New Roman" w:hint="default"/>
        <w:b w:val="0"/>
        <w:i/>
        <w:sz w:val="24"/>
      </w:rPr>
    </w:lvl>
  </w:abstractNum>
  <w:abstractNum w:abstractNumId="15">
    <w:nsid w:val="7BE9739E"/>
    <w:multiLevelType w:val="multilevel"/>
    <w:tmpl w:val="3586C8C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caps/>
        <w:sz w:val="3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ascii="Arial" w:hAnsi="Arial" w:hint="default"/>
        <w:b/>
        <w:i/>
        <w:sz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5"/>
  </w:num>
  <w:num w:numId="2">
    <w:abstractNumId w:val="6"/>
  </w:num>
  <w:num w:numId="3">
    <w:abstractNumId w:val="8"/>
  </w:num>
  <w:num w:numId="4">
    <w:abstractNumId w:val="4"/>
  </w:num>
  <w:num w:numId="5">
    <w:abstractNumId w:val="14"/>
  </w:num>
  <w:num w:numId="6">
    <w:abstractNumId w:val="3"/>
  </w:num>
  <w:num w:numId="7">
    <w:abstractNumId w:val="11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7"/>
  </w:num>
  <w:num w:numId="11">
    <w:abstractNumId w:val="5"/>
  </w:num>
  <w:num w:numId="12">
    <w:abstractNumId w:val="13"/>
  </w:num>
  <w:num w:numId="13">
    <w:abstractNumId w:val="1"/>
  </w:num>
  <w:num w:numId="14">
    <w:abstractNumId w:val="2"/>
  </w:num>
  <w:num w:numId="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7">
    <w:abstractNumId w:val="10"/>
  </w:num>
  <w:num w:numId="1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1417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098A"/>
    <w:rsid w:val="0001298E"/>
    <w:rsid w:val="00012E46"/>
    <w:rsid w:val="00023FFD"/>
    <w:rsid w:val="00051D22"/>
    <w:rsid w:val="00054AF6"/>
    <w:rsid w:val="000668BC"/>
    <w:rsid w:val="00084DA4"/>
    <w:rsid w:val="00092A44"/>
    <w:rsid w:val="00095190"/>
    <w:rsid w:val="000B3125"/>
    <w:rsid w:val="000B4115"/>
    <w:rsid w:val="000F7F41"/>
    <w:rsid w:val="00117CFB"/>
    <w:rsid w:val="00127139"/>
    <w:rsid w:val="0013147D"/>
    <w:rsid w:val="001510E5"/>
    <w:rsid w:val="00177091"/>
    <w:rsid w:val="00193F71"/>
    <w:rsid w:val="001B6A8E"/>
    <w:rsid w:val="001C681A"/>
    <w:rsid w:val="001E4C29"/>
    <w:rsid w:val="001E553E"/>
    <w:rsid w:val="001E65C0"/>
    <w:rsid w:val="00215255"/>
    <w:rsid w:val="00223C51"/>
    <w:rsid w:val="00247945"/>
    <w:rsid w:val="00253E79"/>
    <w:rsid w:val="0025779A"/>
    <w:rsid w:val="00270957"/>
    <w:rsid w:val="00273F15"/>
    <w:rsid w:val="002969E9"/>
    <w:rsid w:val="002A1F2E"/>
    <w:rsid w:val="002B226C"/>
    <w:rsid w:val="002B4BA0"/>
    <w:rsid w:val="002C0406"/>
    <w:rsid w:val="002E3840"/>
    <w:rsid w:val="002E7D9A"/>
    <w:rsid w:val="00304248"/>
    <w:rsid w:val="0031418D"/>
    <w:rsid w:val="00353EC2"/>
    <w:rsid w:val="00362BE7"/>
    <w:rsid w:val="00392681"/>
    <w:rsid w:val="00394AC0"/>
    <w:rsid w:val="003964A6"/>
    <w:rsid w:val="003C77CB"/>
    <w:rsid w:val="003D585D"/>
    <w:rsid w:val="003E7450"/>
    <w:rsid w:val="003F1923"/>
    <w:rsid w:val="004054D2"/>
    <w:rsid w:val="00417854"/>
    <w:rsid w:val="00417AFE"/>
    <w:rsid w:val="00435E45"/>
    <w:rsid w:val="0044623C"/>
    <w:rsid w:val="00462DC1"/>
    <w:rsid w:val="004720B6"/>
    <w:rsid w:val="004953A7"/>
    <w:rsid w:val="00495823"/>
    <w:rsid w:val="00497F19"/>
    <w:rsid w:val="004A1CDC"/>
    <w:rsid w:val="004A28B2"/>
    <w:rsid w:val="004B412E"/>
    <w:rsid w:val="004C12F7"/>
    <w:rsid w:val="004D56D2"/>
    <w:rsid w:val="004D77A2"/>
    <w:rsid w:val="00504EF8"/>
    <w:rsid w:val="005173F7"/>
    <w:rsid w:val="00524B11"/>
    <w:rsid w:val="0052779C"/>
    <w:rsid w:val="00566800"/>
    <w:rsid w:val="00566F37"/>
    <w:rsid w:val="005926D9"/>
    <w:rsid w:val="00593C12"/>
    <w:rsid w:val="005A6D15"/>
    <w:rsid w:val="005D16E1"/>
    <w:rsid w:val="005E0436"/>
    <w:rsid w:val="005E7891"/>
    <w:rsid w:val="0060426F"/>
    <w:rsid w:val="00605D4A"/>
    <w:rsid w:val="00616A3F"/>
    <w:rsid w:val="0062071D"/>
    <w:rsid w:val="00623471"/>
    <w:rsid w:val="00624ABC"/>
    <w:rsid w:val="0062507F"/>
    <w:rsid w:val="006467E2"/>
    <w:rsid w:val="0066409A"/>
    <w:rsid w:val="00670733"/>
    <w:rsid w:val="006B2145"/>
    <w:rsid w:val="006F77A1"/>
    <w:rsid w:val="0070079B"/>
    <w:rsid w:val="00700B7F"/>
    <w:rsid w:val="007051A7"/>
    <w:rsid w:val="00707E26"/>
    <w:rsid w:val="00727FF9"/>
    <w:rsid w:val="00740FA6"/>
    <w:rsid w:val="00744E1D"/>
    <w:rsid w:val="00745BB1"/>
    <w:rsid w:val="00763439"/>
    <w:rsid w:val="00773B4C"/>
    <w:rsid w:val="00781FC6"/>
    <w:rsid w:val="007C098A"/>
    <w:rsid w:val="007D434F"/>
    <w:rsid w:val="007D52B1"/>
    <w:rsid w:val="007D7167"/>
    <w:rsid w:val="007E2FE2"/>
    <w:rsid w:val="008005B8"/>
    <w:rsid w:val="0083608B"/>
    <w:rsid w:val="008442E4"/>
    <w:rsid w:val="008474E1"/>
    <w:rsid w:val="00850AF1"/>
    <w:rsid w:val="008631C2"/>
    <w:rsid w:val="008704E0"/>
    <w:rsid w:val="00870787"/>
    <w:rsid w:val="008735F6"/>
    <w:rsid w:val="00873E21"/>
    <w:rsid w:val="008903EA"/>
    <w:rsid w:val="008B4FEE"/>
    <w:rsid w:val="008B6A9D"/>
    <w:rsid w:val="008B7F33"/>
    <w:rsid w:val="008D20E5"/>
    <w:rsid w:val="008D2778"/>
    <w:rsid w:val="008D2F13"/>
    <w:rsid w:val="008E27AF"/>
    <w:rsid w:val="008F2327"/>
    <w:rsid w:val="008F58F6"/>
    <w:rsid w:val="00921C5E"/>
    <w:rsid w:val="0092321E"/>
    <w:rsid w:val="00923694"/>
    <w:rsid w:val="009425E9"/>
    <w:rsid w:val="00944F58"/>
    <w:rsid w:val="00945B9C"/>
    <w:rsid w:val="00946F1F"/>
    <w:rsid w:val="00955B80"/>
    <w:rsid w:val="00956A8E"/>
    <w:rsid w:val="009951C0"/>
    <w:rsid w:val="00997E8E"/>
    <w:rsid w:val="009A1714"/>
    <w:rsid w:val="009A60F3"/>
    <w:rsid w:val="009B4900"/>
    <w:rsid w:val="009D0824"/>
    <w:rsid w:val="009E78BD"/>
    <w:rsid w:val="009F1314"/>
    <w:rsid w:val="009F4370"/>
    <w:rsid w:val="00A37656"/>
    <w:rsid w:val="00A50BA4"/>
    <w:rsid w:val="00A56128"/>
    <w:rsid w:val="00A61DC4"/>
    <w:rsid w:val="00A72063"/>
    <w:rsid w:val="00A76FEB"/>
    <w:rsid w:val="00A84BDA"/>
    <w:rsid w:val="00A95DA6"/>
    <w:rsid w:val="00AA4D76"/>
    <w:rsid w:val="00AB08F9"/>
    <w:rsid w:val="00AB14D6"/>
    <w:rsid w:val="00AB6209"/>
    <w:rsid w:val="00AC15AA"/>
    <w:rsid w:val="00AC65B0"/>
    <w:rsid w:val="00AF770E"/>
    <w:rsid w:val="00B205BE"/>
    <w:rsid w:val="00B42411"/>
    <w:rsid w:val="00B503F1"/>
    <w:rsid w:val="00B61008"/>
    <w:rsid w:val="00B61F93"/>
    <w:rsid w:val="00B6479A"/>
    <w:rsid w:val="00B949A2"/>
    <w:rsid w:val="00BA1648"/>
    <w:rsid w:val="00BA79E0"/>
    <w:rsid w:val="00BB149F"/>
    <w:rsid w:val="00BB1A13"/>
    <w:rsid w:val="00BB23DE"/>
    <w:rsid w:val="00BB3959"/>
    <w:rsid w:val="00BE43FA"/>
    <w:rsid w:val="00BE61DA"/>
    <w:rsid w:val="00C0652B"/>
    <w:rsid w:val="00C12D87"/>
    <w:rsid w:val="00C30A8C"/>
    <w:rsid w:val="00C54B57"/>
    <w:rsid w:val="00C57A6D"/>
    <w:rsid w:val="00C6738C"/>
    <w:rsid w:val="00C71F8A"/>
    <w:rsid w:val="00CA0BB2"/>
    <w:rsid w:val="00CA1245"/>
    <w:rsid w:val="00CA7FCB"/>
    <w:rsid w:val="00CC625F"/>
    <w:rsid w:val="00CD6792"/>
    <w:rsid w:val="00CE3CFD"/>
    <w:rsid w:val="00CE5C2C"/>
    <w:rsid w:val="00D038E5"/>
    <w:rsid w:val="00D14B67"/>
    <w:rsid w:val="00D25018"/>
    <w:rsid w:val="00D5765A"/>
    <w:rsid w:val="00D779B4"/>
    <w:rsid w:val="00D867B5"/>
    <w:rsid w:val="00D86991"/>
    <w:rsid w:val="00D9036F"/>
    <w:rsid w:val="00DB1411"/>
    <w:rsid w:val="00DB2026"/>
    <w:rsid w:val="00DB6388"/>
    <w:rsid w:val="00DF4EFE"/>
    <w:rsid w:val="00DF54E0"/>
    <w:rsid w:val="00E03E04"/>
    <w:rsid w:val="00E15BA3"/>
    <w:rsid w:val="00E22831"/>
    <w:rsid w:val="00E23A5B"/>
    <w:rsid w:val="00E369AA"/>
    <w:rsid w:val="00E45869"/>
    <w:rsid w:val="00E63AA1"/>
    <w:rsid w:val="00E916CE"/>
    <w:rsid w:val="00EC6207"/>
    <w:rsid w:val="00ED62C0"/>
    <w:rsid w:val="00ED65BD"/>
    <w:rsid w:val="00EF3D87"/>
    <w:rsid w:val="00EF491D"/>
    <w:rsid w:val="00EF76FA"/>
    <w:rsid w:val="00F22409"/>
    <w:rsid w:val="00F422FF"/>
    <w:rsid w:val="00F72635"/>
    <w:rsid w:val="00F90892"/>
    <w:rsid w:val="00FA7FBC"/>
    <w:rsid w:val="00FC27E0"/>
    <w:rsid w:val="00FD1709"/>
    <w:rsid w:val="00FE0C29"/>
    <w:rsid w:val="00FF065F"/>
    <w:rsid w:val="00FF368C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spacing w:before="120"/>
      <w:jc w:val="both"/>
    </w:pPr>
    <w:rPr>
      <w:sz w:val="24"/>
      <w:lang w:val="cs-CZ" w:eastAsia="cs-CZ"/>
    </w:rPr>
  </w:style>
  <w:style w:type="paragraph" w:styleId="Nadpis1">
    <w:name w:val="heading 1"/>
    <w:next w:val="Normlny"/>
    <w:qFormat/>
    <w:pPr>
      <w:keepNext/>
      <w:numPr>
        <w:numId w:val="12"/>
      </w:numPr>
      <w:spacing w:before="240" w:after="60"/>
      <w:outlineLvl w:val="0"/>
    </w:pPr>
    <w:rPr>
      <w:b/>
      <w:kern w:val="28"/>
      <w:sz w:val="24"/>
      <w:lang w:val="cs-CZ" w:eastAsia="cs-CZ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2"/>
      </w:numPr>
      <w:spacing w:before="240" w:after="60"/>
      <w:outlineLvl w:val="1"/>
    </w:pPr>
    <w:rPr>
      <w:b/>
    </w:rPr>
  </w:style>
  <w:style w:type="paragraph" w:styleId="Nadpis3">
    <w:name w:val="heading 3"/>
    <w:basedOn w:val="Normlny"/>
    <w:next w:val="Normlny"/>
    <w:qFormat/>
    <w:pPr>
      <w:keepNext/>
      <w:numPr>
        <w:ilvl w:val="2"/>
        <w:numId w:val="12"/>
      </w:numPr>
      <w:spacing w:before="240" w:after="60"/>
      <w:outlineLvl w:val="2"/>
    </w:pPr>
    <w:rPr>
      <w:b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2"/>
      </w:numPr>
      <w:spacing w:before="240" w:after="60"/>
      <w:outlineLvl w:val="3"/>
    </w:pPr>
    <w:rPr>
      <w:b/>
      <w:bCs/>
      <w:iCs/>
    </w:rPr>
  </w:style>
  <w:style w:type="paragraph" w:styleId="Nadpis5">
    <w:name w:val="heading 5"/>
    <w:basedOn w:val="Normlny"/>
    <w:next w:val="Normlny"/>
    <w:qFormat/>
    <w:pPr>
      <w:numPr>
        <w:ilvl w:val="4"/>
        <w:numId w:val="12"/>
      </w:numPr>
      <w:spacing w:before="240" w:after="60"/>
      <w:outlineLvl w:val="4"/>
    </w:pPr>
    <w:rPr>
      <w:b/>
      <w:iCs/>
    </w:rPr>
  </w:style>
  <w:style w:type="paragraph" w:styleId="Nadpis6">
    <w:name w:val="heading 6"/>
    <w:basedOn w:val="Normlny"/>
    <w:next w:val="Normlny"/>
    <w:qFormat/>
    <w:pPr>
      <w:keepNext/>
      <w:numPr>
        <w:ilvl w:val="5"/>
        <w:numId w:val="12"/>
      </w:numPr>
      <w:tabs>
        <w:tab w:val="left" w:pos="1418"/>
      </w:tabs>
      <w:spacing w:before="240" w:after="60"/>
      <w:jc w:val="left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numPr>
        <w:ilvl w:val="6"/>
        <w:numId w:val="12"/>
      </w:numPr>
      <w:spacing w:before="240" w:after="60"/>
      <w:outlineLvl w:val="6"/>
    </w:pPr>
    <w:rPr>
      <w:szCs w:val="24"/>
    </w:rPr>
  </w:style>
  <w:style w:type="paragraph" w:styleId="Nadpis8">
    <w:name w:val="heading 8"/>
    <w:basedOn w:val="Normlny"/>
    <w:next w:val="Normlny"/>
    <w:qFormat/>
    <w:pPr>
      <w:numPr>
        <w:ilvl w:val="7"/>
        <w:numId w:val="12"/>
      </w:numPr>
      <w:spacing w:before="240" w:after="60"/>
      <w:outlineLvl w:val="7"/>
    </w:pPr>
    <w:rPr>
      <w:szCs w:val="24"/>
    </w:rPr>
  </w:style>
  <w:style w:type="paragraph" w:styleId="Nadpis9">
    <w:name w:val="heading 9"/>
    <w:basedOn w:val="Normlny"/>
    <w:next w:val="Normlny"/>
    <w:qFormat/>
    <w:pPr>
      <w:numPr>
        <w:ilvl w:val="8"/>
        <w:numId w:val="12"/>
      </w:numPr>
      <w:spacing w:before="240" w:after="60"/>
      <w:outlineLvl w:val="8"/>
    </w:pPr>
    <w:rPr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sz w:val="20"/>
    </w:rPr>
  </w:style>
  <w:style w:type="paragraph" w:styleId="Hlavika">
    <w:name w:val="header"/>
    <w:basedOn w:val="Normlny"/>
    <w:link w:val="HlavikaChar"/>
    <w:pPr>
      <w:tabs>
        <w:tab w:val="center" w:pos="4536"/>
        <w:tab w:val="right" w:pos="9072"/>
      </w:tabs>
    </w:pPr>
    <w:rPr>
      <w:sz w:val="20"/>
    </w:rPr>
  </w:style>
  <w:style w:type="paragraph" w:customStyle="1" w:styleId="Nadpistabulky">
    <w:name w:val="Nadpis tabulky"/>
    <w:basedOn w:val="Normlny"/>
    <w:pPr>
      <w:keepLines/>
      <w:numPr>
        <w:numId w:val="5"/>
      </w:numPr>
      <w:spacing w:after="120"/>
    </w:pPr>
  </w:style>
  <w:style w:type="paragraph" w:customStyle="1" w:styleId="Normlnodsazen1">
    <w:name w:val="Normální odsazený 1"/>
    <w:basedOn w:val="Normlny"/>
    <w:pPr>
      <w:ind w:firstLine="284"/>
    </w:pPr>
  </w:style>
  <w:style w:type="paragraph" w:customStyle="1" w:styleId="Normlnodsazen2">
    <w:name w:val="Normální odsazený 2"/>
    <w:basedOn w:val="Normlny"/>
    <w:pPr>
      <w:ind w:firstLine="567"/>
    </w:pPr>
  </w:style>
  <w:style w:type="paragraph" w:customStyle="1" w:styleId="Nadpisgrafu">
    <w:name w:val="Nadpis grafu"/>
    <w:basedOn w:val="Normlny"/>
    <w:pPr>
      <w:keepLines/>
      <w:numPr>
        <w:numId w:val="6"/>
      </w:numPr>
    </w:pPr>
  </w:style>
  <w:style w:type="paragraph" w:customStyle="1" w:styleId="Nadpisobrzku">
    <w:name w:val="Nadpis obrázku"/>
    <w:basedOn w:val="Normlny"/>
    <w:pPr>
      <w:keepLines/>
      <w:numPr>
        <w:numId w:val="4"/>
      </w:numPr>
    </w:pPr>
  </w:style>
  <w:style w:type="paragraph" w:styleId="Register1">
    <w:name w:val="index 1"/>
    <w:basedOn w:val="Normlny"/>
    <w:next w:val="Normlny"/>
    <w:semiHidden/>
    <w:pPr>
      <w:tabs>
        <w:tab w:val="left" w:pos="1134"/>
        <w:tab w:val="left" w:leader="dot" w:pos="9808"/>
      </w:tabs>
      <w:ind w:hanging="240"/>
    </w:pPr>
    <w:rPr>
      <w:b/>
    </w:rPr>
  </w:style>
  <w:style w:type="paragraph" w:customStyle="1" w:styleId="Textzhlavtabulky">
    <w:name w:val="Text záhlaví tabulky"/>
    <w:basedOn w:val="Normlny"/>
    <w:pPr>
      <w:spacing w:before="60" w:after="60"/>
      <w:jc w:val="center"/>
    </w:pPr>
    <w:rPr>
      <w:b/>
      <w:sz w:val="22"/>
    </w:rPr>
  </w:style>
  <w:style w:type="paragraph" w:styleId="Obsah1">
    <w:name w:val="toc 1"/>
    <w:basedOn w:val="Normlny"/>
    <w:next w:val="Normlny"/>
    <w:autoRedefine/>
    <w:semiHidden/>
    <w:rPr>
      <w:b/>
      <w:caps/>
      <w:sz w:val="20"/>
    </w:rPr>
  </w:style>
  <w:style w:type="paragraph" w:styleId="Obsah2">
    <w:name w:val="toc 2"/>
    <w:basedOn w:val="Normlny"/>
    <w:next w:val="Normlny"/>
    <w:autoRedefine/>
    <w:semiHidden/>
    <w:pPr>
      <w:spacing w:before="60"/>
      <w:ind w:left="284"/>
    </w:pPr>
    <w:rPr>
      <w:smallCaps/>
      <w:sz w:val="20"/>
    </w:rPr>
  </w:style>
  <w:style w:type="paragraph" w:styleId="Obsah3">
    <w:name w:val="toc 3"/>
    <w:basedOn w:val="Normlny"/>
    <w:next w:val="Normlny"/>
    <w:autoRedefine/>
    <w:semiHidden/>
    <w:pPr>
      <w:spacing w:before="40"/>
      <w:ind w:left="567"/>
    </w:pPr>
    <w:rPr>
      <w:sz w:val="18"/>
    </w:rPr>
  </w:style>
  <w:style w:type="paragraph" w:styleId="Register2">
    <w:name w:val="index 2"/>
    <w:basedOn w:val="Normlny"/>
    <w:next w:val="Normlny"/>
    <w:semiHidden/>
    <w:pPr>
      <w:tabs>
        <w:tab w:val="left" w:pos="1247"/>
        <w:tab w:val="left" w:leader="dot" w:pos="9808"/>
      </w:tabs>
      <w:ind w:left="454" w:hanging="240"/>
    </w:pPr>
    <w:rPr>
      <w:sz w:val="18"/>
    </w:rPr>
  </w:style>
  <w:style w:type="paragraph" w:styleId="Register3">
    <w:name w:val="index 3"/>
    <w:basedOn w:val="Normlny"/>
    <w:next w:val="Normlny"/>
    <w:semiHidden/>
    <w:pPr>
      <w:tabs>
        <w:tab w:val="left" w:pos="1417"/>
        <w:tab w:val="left" w:leader="dot" w:pos="9808"/>
      </w:tabs>
      <w:ind w:left="567" w:hanging="240"/>
    </w:pPr>
    <w:rPr>
      <w:sz w:val="18"/>
    </w:rPr>
  </w:style>
  <w:style w:type="paragraph" w:styleId="Register4">
    <w:name w:val="index 4"/>
    <w:basedOn w:val="Normlny"/>
    <w:next w:val="Normlny"/>
    <w:semiHidden/>
    <w:pPr>
      <w:tabs>
        <w:tab w:val="left" w:pos="1587"/>
        <w:tab w:val="left" w:leader="dot" w:pos="9808"/>
      </w:tabs>
      <w:ind w:hanging="240"/>
    </w:pPr>
    <w:rPr>
      <w:sz w:val="18"/>
    </w:rPr>
  </w:style>
  <w:style w:type="paragraph" w:styleId="Register5">
    <w:name w:val="index 5"/>
    <w:basedOn w:val="Normlny"/>
    <w:next w:val="Normlny"/>
    <w:semiHidden/>
    <w:pPr>
      <w:tabs>
        <w:tab w:val="left" w:pos="1757"/>
        <w:tab w:val="left" w:leader="dot" w:pos="9808"/>
      </w:tabs>
      <w:ind w:left="794" w:hanging="240"/>
    </w:pPr>
    <w:rPr>
      <w:sz w:val="20"/>
    </w:rPr>
  </w:style>
  <w:style w:type="paragraph" w:styleId="Zkladntext">
    <w:name w:val="Body Text"/>
    <w:basedOn w:val="Normlny"/>
    <w:pPr>
      <w:spacing w:before="0"/>
    </w:pPr>
    <w:rPr>
      <w:snapToGrid w:val="0"/>
      <w:color w:val="000000"/>
    </w:rPr>
  </w:style>
  <w:style w:type="paragraph" w:styleId="Oznaitext">
    <w:name w:val="Block Text"/>
    <w:basedOn w:val="Normlny"/>
    <w:rsid w:val="007C098A"/>
    <w:pPr>
      <w:tabs>
        <w:tab w:val="left" w:pos="8505"/>
      </w:tabs>
      <w:spacing w:before="0"/>
      <w:ind w:left="993" w:right="566" w:hanging="993"/>
      <w:jc w:val="left"/>
    </w:pPr>
    <w:rPr>
      <w:rFonts w:ascii="Arial" w:hAnsi="Arial" w:cs="Arial"/>
      <w:sz w:val="20"/>
      <w:lang w:val="sk-SK" w:eastAsia="sk-SK"/>
    </w:rPr>
  </w:style>
  <w:style w:type="paragraph" w:styleId="truktradokumentu">
    <w:name w:val="Document Map"/>
    <w:basedOn w:val="Normlny"/>
    <w:semiHidden/>
    <w:rsid w:val="005D16E1"/>
    <w:pPr>
      <w:shd w:val="clear" w:color="auto" w:fill="000080"/>
    </w:pPr>
    <w:rPr>
      <w:rFonts w:ascii="Tahoma" w:hAnsi="Tahoma" w:cs="Tahoma"/>
      <w:sz w:val="20"/>
    </w:rPr>
  </w:style>
  <w:style w:type="paragraph" w:customStyle="1" w:styleId="04Tekst">
    <w:name w:val="04 Tekst"/>
    <w:basedOn w:val="Normlny"/>
    <w:rsid w:val="00417854"/>
    <w:pPr>
      <w:spacing w:before="0" w:line="360" w:lineRule="atLeast"/>
      <w:jc w:val="left"/>
    </w:pPr>
    <w:rPr>
      <w:rFonts w:ascii="Helvetica" w:hAnsi="Helvetica"/>
      <w:noProof/>
      <w:sz w:val="20"/>
      <w:lang w:val="en-US" w:eastAsia="en-US"/>
    </w:rPr>
  </w:style>
  <w:style w:type="character" w:styleId="slostrany">
    <w:name w:val="page number"/>
    <w:basedOn w:val="Predvolenpsmoodseku"/>
    <w:rsid w:val="00D5765A"/>
  </w:style>
  <w:style w:type="paragraph" w:styleId="Textbubliny">
    <w:name w:val="Balloon Text"/>
    <w:basedOn w:val="Normlny"/>
    <w:link w:val="TextbublinyChar"/>
    <w:rsid w:val="00D867B5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67B5"/>
    <w:rPr>
      <w:rFonts w:ascii="Tahoma" w:hAnsi="Tahoma" w:cs="Tahoma"/>
      <w:sz w:val="16"/>
      <w:szCs w:val="16"/>
      <w:lang w:val="cs-CZ" w:eastAsia="cs-CZ"/>
    </w:rPr>
  </w:style>
  <w:style w:type="paragraph" w:customStyle="1" w:styleId="H3-text1">
    <w:name w:val="H3 - text 1"/>
    <w:basedOn w:val="Normlny"/>
    <w:rsid w:val="00A50BA4"/>
    <w:pPr>
      <w:spacing w:before="0"/>
    </w:pPr>
    <w:rPr>
      <w:color w:val="000000"/>
    </w:rPr>
  </w:style>
  <w:style w:type="character" w:styleId="Hypertextovprepojenie">
    <w:name w:val="Hyperlink"/>
    <w:rsid w:val="008D2F13"/>
    <w:rPr>
      <w:color w:val="0000FF"/>
      <w:u w:val="single"/>
    </w:rPr>
  </w:style>
  <w:style w:type="character" w:styleId="Odkaznakomentr">
    <w:name w:val="annotation reference"/>
    <w:rsid w:val="003964A6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3964A6"/>
    <w:rPr>
      <w:sz w:val="20"/>
    </w:rPr>
  </w:style>
  <w:style w:type="character" w:customStyle="1" w:styleId="TextkomentraChar">
    <w:name w:val="Text komentára Char"/>
    <w:link w:val="Textkomentra"/>
    <w:rsid w:val="003964A6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3964A6"/>
    <w:rPr>
      <w:b/>
      <w:bCs/>
    </w:rPr>
  </w:style>
  <w:style w:type="character" w:customStyle="1" w:styleId="PredmetkomentraChar">
    <w:name w:val="Predmet komentára Char"/>
    <w:link w:val="Predmetkomentra"/>
    <w:rsid w:val="003964A6"/>
    <w:rPr>
      <w:b/>
      <w:bCs/>
      <w:lang w:val="cs-CZ" w:eastAsia="cs-CZ"/>
    </w:rPr>
  </w:style>
  <w:style w:type="paragraph" w:styleId="Odsekzoznamu">
    <w:name w:val="List Paragraph"/>
    <w:basedOn w:val="Normlny"/>
    <w:uiPriority w:val="34"/>
    <w:qFormat/>
    <w:rsid w:val="00AB6209"/>
    <w:pPr>
      <w:ind w:left="708"/>
    </w:pPr>
  </w:style>
  <w:style w:type="character" w:customStyle="1" w:styleId="HlavikaChar">
    <w:name w:val="Hlavička Char"/>
    <w:link w:val="Hlavika"/>
    <w:uiPriority w:val="99"/>
    <w:rsid w:val="00AC15AA"/>
    <w:rPr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pPr>
      <w:spacing w:before="120"/>
      <w:jc w:val="both"/>
    </w:pPr>
    <w:rPr>
      <w:sz w:val="24"/>
      <w:lang w:val="cs-CZ" w:eastAsia="cs-CZ"/>
    </w:rPr>
  </w:style>
  <w:style w:type="paragraph" w:styleId="Nadpis1">
    <w:name w:val="heading 1"/>
    <w:next w:val="Normlny"/>
    <w:qFormat/>
    <w:pPr>
      <w:keepNext/>
      <w:numPr>
        <w:numId w:val="12"/>
      </w:numPr>
      <w:spacing w:before="240" w:after="60"/>
      <w:outlineLvl w:val="0"/>
    </w:pPr>
    <w:rPr>
      <w:b/>
      <w:kern w:val="28"/>
      <w:sz w:val="24"/>
      <w:lang w:val="cs-CZ" w:eastAsia="cs-CZ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2"/>
      </w:numPr>
      <w:spacing w:before="240" w:after="60"/>
      <w:outlineLvl w:val="1"/>
    </w:pPr>
    <w:rPr>
      <w:b/>
    </w:rPr>
  </w:style>
  <w:style w:type="paragraph" w:styleId="Nadpis3">
    <w:name w:val="heading 3"/>
    <w:basedOn w:val="Normlny"/>
    <w:next w:val="Normlny"/>
    <w:qFormat/>
    <w:pPr>
      <w:keepNext/>
      <w:numPr>
        <w:ilvl w:val="2"/>
        <w:numId w:val="12"/>
      </w:numPr>
      <w:spacing w:before="240" w:after="60"/>
      <w:outlineLvl w:val="2"/>
    </w:pPr>
    <w:rPr>
      <w:b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2"/>
      </w:numPr>
      <w:spacing w:before="240" w:after="60"/>
      <w:outlineLvl w:val="3"/>
    </w:pPr>
    <w:rPr>
      <w:b/>
      <w:bCs/>
      <w:iCs/>
    </w:rPr>
  </w:style>
  <w:style w:type="paragraph" w:styleId="Nadpis5">
    <w:name w:val="heading 5"/>
    <w:basedOn w:val="Normlny"/>
    <w:next w:val="Normlny"/>
    <w:qFormat/>
    <w:pPr>
      <w:numPr>
        <w:ilvl w:val="4"/>
        <w:numId w:val="12"/>
      </w:numPr>
      <w:spacing w:before="240" w:after="60"/>
      <w:outlineLvl w:val="4"/>
    </w:pPr>
    <w:rPr>
      <w:b/>
      <w:iCs/>
    </w:rPr>
  </w:style>
  <w:style w:type="paragraph" w:styleId="Nadpis6">
    <w:name w:val="heading 6"/>
    <w:basedOn w:val="Normlny"/>
    <w:next w:val="Normlny"/>
    <w:qFormat/>
    <w:pPr>
      <w:keepNext/>
      <w:numPr>
        <w:ilvl w:val="5"/>
        <w:numId w:val="12"/>
      </w:numPr>
      <w:tabs>
        <w:tab w:val="left" w:pos="1418"/>
      </w:tabs>
      <w:spacing w:before="240" w:after="60"/>
      <w:jc w:val="left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numPr>
        <w:ilvl w:val="6"/>
        <w:numId w:val="12"/>
      </w:numPr>
      <w:spacing w:before="240" w:after="60"/>
      <w:outlineLvl w:val="6"/>
    </w:pPr>
    <w:rPr>
      <w:szCs w:val="24"/>
    </w:rPr>
  </w:style>
  <w:style w:type="paragraph" w:styleId="Nadpis8">
    <w:name w:val="heading 8"/>
    <w:basedOn w:val="Normlny"/>
    <w:next w:val="Normlny"/>
    <w:qFormat/>
    <w:pPr>
      <w:numPr>
        <w:ilvl w:val="7"/>
        <w:numId w:val="12"/>
      </w:numPr>
      <w:spacing w:before="240" w:after="60"/>
      <w:outlineLvl w:val="7"/>
    </w:pPr>
    <w:rPr>
      <w:szCs w:val="24"/>
    </w:rPr>
  </w:style>
  <w:style w:type="paragraph" w:styleId="Nadpis9">
    <w:name w:val="heading 9"/>
    <w:basedOn w:val="Normlny"/>
    <w:next w:val="Normlny"/>
    <w:qFormat/>
    <w:pPr>
      <w:numPr>
        <w:ilvl w:val="8"/>
        <w:numId w:val="12"/>
      </w:numPr>
      <w:spacing w:before="240" w:after="60"/>
      <w:outlineLvl w:val="8"/>
    </w:pPr>
    <w:rPr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sz w:val="20"/>
    </w:rPr>
  </w:style>
  <w:style w:type="paragraph" w:styleId="Hlavika">
    <w:name w:val="header"/>
    <w:basedOn w:val="Normlny"/>
    <w:link w:val="HlavikaChar"/>
    <w:pPr>
      <w:tabs>
        <w:tab w:val="center" w:pos="4536"/>
        <w:tab w:val="right" w:pos="9072"/>
      </w:tabs>
    </w:pPr>
    <w:rPr>
      <w:sz w:val="20"/>
    </w:rPr>
  </w:style>
  <w:style w:type="paragraph" w:customStyle="1" w:styleId="Nadpistabulky">
    <w:name w:val="Nadpis tabulky"/>
    <w:basedOn w:val="Normlny"/>
    <w:pPr>
      <w:keepLines/>
      <w:numPr>
        <w:numId w:val="5"/>
      </w:numPr>
      <w:spacing w:after="120"/>
    </w:pPr>
  </w:style>
  <w:style w:type="paragraph" w:customStyle="1" w:styleId="Normlnodsazen1">
    <w:name w:val="Normální odsazený 1"/>
    <w:basedOn w:val="Normlny"/>
    <w:pPr>
      <w:ind w:firstLine="284"/>
    </w:pPr>
  </w:style>
  <w:style w:type="paragraph" w:customStyle="1" w:styleId="Normlnodsazen2">
    <w:name w:val="Normální odsazený 2"/>
    <w:basedOn w:val="Normlny"/>
    <w:pPr>
      <w:ind w:firstLine="567"/>
    </w:pPr>
  </w:style>
  <w:style w:type="paragraph" w:customStyle="1" w:styleId="Nadpisgrafu">
    <w:name w:val="Nadpis grafu"/>
    <w:basedOn w:val="Normlny"/>
    <w:pPr>
      <w:keepLines/>
      <w:numPr>
        <w:numId w:val="6"/>
      </w:numPr>
    </w:pPr>
  </w:style>
  <w:style w:type="paragraph" w:customStyle="1" w:styleId="Nadpisobrzku">
    <w:name w:val="Nadpis obrázku"/>
    <w:basedOn w:val="Normlny"/>
    <w:pPr>
      <w:keepLines/>
      <w:numPr>
        <w:numId w:val="4"/>
      </w:numPr>
    </w:pPr>
  </w:style>
  <w:style w:type="paragraph" w:styleId="Register1">
    <w:name w:val="index 1"/>
    <w:basedOn w:val="Normlny"/>
    <w:next w:val="Normlny"/>
    <w:semiHidden/>
    <w:pPr>
      <w:tabs>
        <w:tab w:val="left" w:pos="1134"/>
        <w:tab w:val="left" w:leader="dot" w:pos="9808"/>
      </w:tabs>
      <w:ind w:hanging="240"/>
    </w:pPr>
    <w:rPr>
      <w:b/>
    </w:rPr>
  </w:style>
  <w:style w:type="paragraph" w:customStyle="1" w:styleId="Textzhlavtabulky">
    <w:name w:val="Text záhlaví tabulky"/>
    <w:basedOn w:val="Normlny"/>
    <w:pPr>
      <w:spacing w:before="60" w:after="60"/>
      <w:jc w:val="center"/>
    </w:pPr>
    <w:rPr>
      <w:b/>
      <w:sz w:val="22"/>
    </w:rPr>
  </w:style>
  <w:style w:type="paragraph" w:styleId="Obsah1">
    <w:name w:val="toc 1"/>
    <w:basedOn w:val="Normlny"/>
    <w:next w:val="Normlny"/>
    <w:autoRedefine/>
    <w:semiHidden/>
    <w:rPr>
      <w:b/>
      <w:caps/>
      <w:sz w:val="20"/>
    </w:rPr>
  </w:style>
  <w:style w:type="paragraph" w:styleId="Obsah2">
    <w:name w:val="toc 2"/>
    <w:basedOn w:val="Normlny"/>
    <w:next w:val="Normlny"/>
    <w:autoRedefine/>
    <w:semiHidden/>
    <w:pPr>
      <w:spacing w:before="60"/>
      <w:ind w:left="284"/>
    </w:pPr>
    <w:rPr>
      <w:smallCaps/>
      <w:sz w:val="20"/>
    </w:rPr>
  </w:style>
  <w:style w:type="paragraph" w:styleId="Obsah3">
    <w:name w:val="toc 3"/>
    <w:basedOn w:val="Normlny"/>
    <w:next w:val="Normlny"/>
    <w:autoRedefine/>
    <w:semiHidden/>
    <w:pPr>
      <w:spacing w:before="40"/>
      <w:ind w:left="567"/>
    </w:pPr>
    <w:rPr>
      <w:sz w:val="18"/>
    </w:rPr>
  </w:style>
  <w:style w:type="paragraph" w:styleId="Register2">
    <w:name w:val="index 2"/>
    <w:basedOn w:val="Normlny"/>
    <w:next w:val="Normlny"/>
    <w:semiHidden/>
    <w:pPr>
      <w:tabs>
        <w:tab w:val="left" w:pos="1247"/>
        <w:tab w:val="left" w:leader="dot" w:pos="9808"/>
      </w:tabs>
      <w:ind w:left="454" w:hanging="240"/>
    </w:pPr>
    <w:rPr>
      <w:sz w:val="18"/>
    </w:rPr>
  </w:style>
  <w:style w:type="paragraph" w:styleId="Register3">
    <w:name w:val="index 3"/>
    <w:basedOn w:val="Normlny"/>
    <w:next w:val="Normlny"/>
    <w:semiHidden/>
    <w:pPr>
      <w:tabs>
        <w:tab w:val="left" w:pos="1417"/>
        <w:tab w:val="left" w:leader="dot" w:pos="9808"/>
      </w:tabs>
      <w:ind w:left="567" w:hanging="240"/>
    </w:pPr>
    <w:rPr>
      <w:sz w:val="18"/>
    </w:rPr>
  </w:style>
  <w:style w:type="paragraph" w:styleId="Register4">
    <w:name w:val="index 4"/>
    <w:basedOn w:val="Normlny"/>
    <w:next w:val="Normlny"/>
    <w:semiHidden/>
    <w:pPr>
      <w:tabs>
        <w:tab w:val="left" w:pos="1587"/>
        <w:tab w:val="left" w:leader="dot" w:pos="9808"/>
      </w:tabs>
      <w:ind w:hanging="240"/>
    </w:pPr>
    <w:rPr>
      <w:sz w:val="18"/>
    </w:rPr>
  </w:style>
  <w:style w:type="paragraph" w:styleId="Register5">
    <w:name w:val="index 5"/>
    <w:basedOn w:val="Normlny"/>
    <w:next w:val="Normlny"/>
    <w:semiHidden/>
    <w:pPr>
      <w:tabs>
        <w:tab w:val="left" w:pos="1757"/>
        <w:tab w:val="left" w:leader="dot" w:pos="9808"/>
      </w:tabs>
      <w:ind w:left="794" w:hanging="240"/>
    </w:pPr>
    <w:rPr>
      <w:sz w:val="20"/>
    </w:rPr>
  </w:style>
  <w:style w:type="paragraph" w:styleId="Zkladntext">
    <w:name w:val="Body Text"/>
    <w:basedOn w:val="Normlny"/>
    <w:pPr>
      <w:spacing w:before="0"/>
    </w:pPr>
    <w:rPr>
      <w:snapToGrid w:val="0"/>
      <w:color w:val="000000"/>
    </w:rPr>
  </w:style>
  <w:style w:type="paragraph" w:styleId="Oznaitext">
    <w:name w:val="Block Text"/>
    <w:basedOn w:val="Normlny"/>
    <w:rsid w:val="007C098A"/>
    <w:pPr>
      <w:tabs>
        <w:tab w:val="left" w:pos="8505"/>
      </w:tabs>
      <w:spacing w:before="0"/>
      <w:ind w:left="993" w:right="566" w:hanging="993"/>
      <w:jc w:val="left"/>
    </w:pPr>
    <w:rPr>
      <w:rFonts w:ascii="Arial" w:hAnsi="Arial" w:cs="Arial"/>
      <w:sz w:val="20"/>
      <w:lang w:val="sk-SK" w:eastAsia="sk-SK"/>
    </w:rPr>
  </w:style>
  <w:style w:type="paragraph" w:styleId="truktradokumentu">
    <w:name w:val="Document Map"/>
    <w:basedOn w:val="Normlny"/>
    <w:semiHidden/>
    <w:rsid w:val="005D16E1"/>
    <w:pPr>
      <w:shd w:val="clear" w:color="auto" w:fill="000080"/>
    </w:pPr>
    <w:rPr>
      <w:rFonts w:ascii="Tahoma" w:hAnsi="Tahoma" w:cs="Tahoma"/>
      <w:sz w:val="20"/>
    </w:rPr>
  </w:style>
  <w:style w:type="paragraph" w:customStyle="1" w:styleId="04Tekst">
    <w:name w:val="04 Tekst"/>
    <w:basedOn w:val="Normlny"/>
    <w:rsid w:val="00417854"/>
    <w:pPr>
      <w:spacing w:before="0" w:line="360" w:lineRule="atLeast"/>
      <w:jc w:val="left"/>
    </w:pPr>
    <w:rPr>
      <w:rFonts w:ascii="Helvetica" w:hAnsi="Helvetica"/>
      <w:noProof/>
      <w:sz w:val="20"/>
      <w:lang w:val="en-US" w:eastAsia="en-US"/>
    </w:rPr>
  </w:style>
  <w:style w:type="character" w:styleId="slostrany">
    <w:name w:val="page number"/>
    <w:basedOn w:val="Predvolenpsmoodseku"/>
    <w:rsid w:val="00D5765A"/>
  </w:style>
  <w:style w:type="paragraph" w:styleId="Textbubliny">
    <w:name w:val="Balloon Text"/>
    <w:basedOn w:val="Normlny"/>
    <w:link w:val="TextbublinyChar"/>
    <w:rsid w:val="00D867B5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67B5"/>
    <w:rPr>
      <w:rFonts w:ascii="Tahoma" w:hAnsi="Tahoma" w:cs="Tahoma"/>
      <w:sz w:val="16"/>
      <w:szCs w:val="16"/>
      <w:lang w:val="cs-CZ" w:eastAsia="cs-CZ"/>
    </w:rPr>
  </w:style>
  <w:style w:type="paragraph" w:customStyle="1" w:styleId="H3-text1">
    <w:name w:val="H3 - text 1"/>
    <w:basedOn w:val="Normlny"/>
    <w:rsid w:val="00A50BA4"/>
    <w:pPr>
      <w:spacing w:before="0"/>
    </w:pPr>
    <w:rPr>
      <w:color w:val="000000"/>
    </w:rPr>
  </w:style>
  <w:style w:type="character" w:styleId="Hypertextovprepojenie">
    <w:name w:val="Hyperlink"/>
    <w:rsid w:val="008D2F13"/>
    <w:rPr>
      <w:color w:val="0000FF"/>
      <w:u w:val="single"/>
    </w:rPr>
  </w:style>
  <w:style w:type="character" w:styleId="Odkaznakomentr">
    <w:name w:val="annotation reference"/>
    <w:rsid w:val="003964A6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3964A6"/>
    <w:rPr>
      <w:sz w:val="20"/>
    </w:rPr>
  </w:style>
  <w:style w:type="character" w:customStyle="1" w:styleId="TextkomentraChar">
    <w:name w:val="Text komentára Char"/>
    <w:link w:val="Textkomentra"/>
    <w:rsid w:val="003964A6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rsid w:val="003964A6"/>
    <w:rPr>
      <w:b/>
      <w:bCs/>
    </w:rPr>
  </w:style>
  <w:style w:type="character" w:customStyle="1" w:styleId="PredmetkomentraChar">
    <w:name w:val="Predmet komentára Char"/>
    <w:link w:val="Predmetkomentra"/>
    <w:rsid w:val="003964A6"/>
    <w:rPr>
      <w:b/>
      <w:bCs/>
      <w:lang w:val="cs-CZ" w:eastAsia="cs-CZ"/>
    </w:rPr>
  </w:style>
  <w:style w:type="paragraph" w:styleId="Odsekzoznamu">
    <w:name w:val="List Paragraph"/>
    <w:basedOn w:val="Normlny"/>
    <w:uiPriority w:val="34"/>
    <w:qFormat/>
    <w:rsid w:val="00AB6209"/>
    <w:pPr>
      <w:ind w:left="708"/>
    </w:pPr>
  </w:style>
  <w:style w:type="character" w:customStyle="1" w:styleId="HlavikaChar">
    <w:name w:val="Hlavička Char"/>
    <w:link w:val="Hlavika"/>
    <w:uiPriority w:val="99"/>
    <w:rsid w:val="00AC15AA"/>
    <w:rPr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template_new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template_new.dot</Template>
  <TotalTime>252</TotalTime>
  <Pages>10</Pages>
  <Words>2930</Words>
  <Characters>19286</Characters>
  <Application>Microsoft Office Word</Application>
  <DocSecurity>0</DocSecurity>
  <Lines>160</Lines>
  <Paragraphs>44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SÚHRN CHARAKTERISTICKÝCH VLASTNOSTÍ LIEKU</vt:lpstr>
      <vt:lpstr>SÚHRN CHARAKTERISTICKÝCH VLASTNOSTÍ LIEKU</vt:lpstr>
    </vt:vector>
  </TitlesOfParts>
  <Company>Léčiva a.s.</Company>
  <LinksUpToDate>false</LinksUpToDate>
  <CharactersWithSpaces>22172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CHARAKTERISTICKÝCH VLASTNOSTÍ LIEKU</dc:title>
  <dc:creator>outside</dc:creator>
  <cp:lastModifiedBy>Natalia </cp:lastModifiedBy>
  <cp:revision>3</cp:revision>
  <cp:lastPrinted>2016-05-09T11:28:00Z</cp:lastPrinted>
  <dcterms:created xsi:type="dcterms:W3CDTF">2013-09-19T09:48:00Z</dcterms:created>
  <dcterms:modified xsi:type="dcterms:W3CDTF">2018-07-26T11:58:00Z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1268150822</vt:i4>
  </property>
  <property fmtid="{D5CDD505-2E9C-101B-9397-08002B2CF9AE}" pid="3" name="_NewReviewCycle">
    <vt:lpwstr/>
  </property>
  <property fmtid="{D5CDD505-2E9C-101B-9397-08002B2CF9AE}" pid="4" name="_EmailSubject">
    <vt:lpwstr> RE:  RE:  RE: Neuroly 0,5/ 0,25/1,0 - ukončenie zmien ev.č.: 2012/04149-Z1B, 2013/06132-Z1B, 2016/02522-Z1B a 2016/02523-Z1B</vt:lpwstr>
  </property>
  <property fmtid="{D5CDD505-2E9C-101B-9397-08002B2CF9AE}" pid="5" name="_AuthorEmail">
    <vt:lpwstr>Tatiana.Hlavienkova@zentiva.com</vt:lpwstr>
  </property>
  <property fmtid="{D5CDD505-2E9C-101B-9397-08002B2CF9AE}" pid="6" name="_AuthorEmailDisplayName">
    <vt:lpwstr>Hlavienkova, Tatiana /SK</vt:lpwstr>
  </property>
  <property fmtid="{D5CDD505-2E9C-101B-9397-08002B2CF9AE}" pid="7" name="_PreviousAdHocReviewCycleID">
    <vt:i4>-1291040925</vt:i4>
  </property>
  <property fmtid="{D5CDD505-2E9C-101B-9397-08002B2CF9AE}" pid="8" name="_ReviewingToolsShownOnce">
    <vt:lpwstr/>
  </property>
</Properties>
</file>