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EF4" w:rsidRPr="00252091" w:rsidRDefault="00F05EF4" w:rsidP="00F05EF4">
      <w:pPr>
        <w:jc w:val="center"/>
        <w:rPr>
          <w:b/>
        </w:rPr>
      </w:pPr>
      <w:bookmarkStart w:id="0" w:name="_GoBack"/>
      <w:bookmarkEnd w:id="0"/>
    </w:p>
    <w:p w:rsidR="00F05EF4" w:rsidRPr="00252091" w:rsidRDefault="00F05EF4" w:rsidP="00F05EF4">
      <w:pPr>
        <w:jc w:val="center"/>
        <w:rPr>
          <w:b/>
        </w:rPr>
      </w:pPr>
      <w:r w:rsidRPr="00252091">
        <w:rPr>
          <w:b/>
        </w:rPr>
        <w:t>SÚHRN CHARAKTERISTICKÝCH VLASTNOSTÍ LIEKU</w:t>
      </w:r>
    </w:p>
    <w:p w:rsidR="00F05EF4" w:rsidRPr="00252091" w:rsidRDefault="00F05EF4" w:rsidP="00F05EF4">
      <w:pPr>
        <w:jc w:val="center"/>
        <w:rPr>
          <w:b/>
        </w:rPr>
      </w:pPr>
    </w:p>
    <w:p w:rsidR="00F05EF4" w:rsidRPr="00252091" w:rsidRDefault="00F05EF4" w:rsidP="00F05EF4">
      <w:pPr>
        <w:jc w:val="center"/>
        <w:rPr>
          <w:b/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1.</w:t>
      </w:r>
      <w:r w:rsidRPr="00252091">
        <w:rPr>
          <w:b/>
          <w:szCs w:val="22"/>
        </w:rPr>
        <w:tab/>
        <w:t>NÁZOV LIEKU</w:t>
      </w:r>
    </w:p>
    <w:p w:rsidR="00F05EF4" w:rsidRPr="00252091" w:rsidRDefault="00F05EF4" w:rsidP="009E729A">
      <w:pPr>
        <w:keepNext/>
        <w:rPr>
          <w:szCs w:val="22"/>
        </w:rPr>
      </w:pPr>
    </w:p>
    <w:p w:rsidR="00F05EF4" w:rsidRPr="00996AE3" w:rsidRDefault="00F05EF4" w:rsidP="00F05EF4">
      <w:pPr>
        <w:rPr>
          <w:szCs w:val="22"/>
        </w:rPr>
      </w:pPr>
      <w:r w:rsidRPr="00996AE3">
        <w:rPr>
          <w:szCs w:val="22"/>
        </w:rPr>
        <w:t>Metopr</w:t>
      </w:r>
      <w:smartTag w:uri="urn:schemas-microsoft-com:office:smarttags" w:element="PersonName">
        <w:r w:rsidRPr="00996AE3">
          <w:rPr>
            <w:szCs w:val="22"/>
          </w:rPr>
          <w:t>olo</w:t>
        </w:r>
      </w:smartTag>
      <w:r w:rsidRPr="00996AE3">
        <w:rPr>
          <w:szCs w:val="22"/>
        </w:rPr>
        <w:t>l Mylan 23,75 mg</w:t>
      </w:r>
    </w:p>
    <w:p w:rsidR="00F05EF4" w:rsidRPr="00996AE3" w:rsidRDefault="00F05EF4" w:rsidP="00F05EF4">
      <w:pPr>
        <w:rPr>
          <w:szCs w:val="22"/>
        </w:rPr>
      </w:pPr>
      <w:r w:rsidRPr="00996AE3">
        <w:rPr>
          <w:szCs w:val="22"/>
        </w:rPr>
        <w:t>Metopr</w:t>
      </w:r>
      <w:smartTag w:uri="urn:schemas-microsoft-com:office:smarttags" w:element="PersonName">
        <w:r w:rsidRPr="00996AE3">
          <w:rPr>
            <w:szCs w:val="22"/>
          </w:rPr>
          <w:t>olo</w:t>
        </w:r>
      </w:smartTag>
      <w:r w:rsidRPr="00996AE3">
        <w:rPr>
          <w:szCs w:val="22"/>
        </w:rPr>
        <w:t>l Mylan 47,5 mg</w:t>
      </w:r>
    </w:p>
    <w:p w:rsidR="00F05EF4" w:rsidRPr="00996AE3" w:rsidRDefault="00F05EF4" w:rsidP="00F05EF4">
      <w:pPr>
        <w:rPr>
          <w:szCs w:val="22"/>
        </w:rPr>
      </w:pPr>
      <w:r w:rsidRPr="00996AE3">
        <w:rPr>
          <w:szCs w:val="22"/>
        </w:rPr>
        <w:t>Metopr</w:t>
      </w:r>
      <w:smartTag w:uri="urn:schemas-microsoft-com:office:smarttags" w:element="PersonName">
        <w:r w:rsidRPr="00996AE3">
          <w:rPr>
            <w:szCs w:val="22"/>
          </w:rPr>
          <w:t>olo</w:t>
        </w:r>
      </w:smartTag>
      <w:r w:rsidRPr="00996AE3">
        <w:rPr>
          <w:szCs w:val="22"/>
        </w:rPr>
        <w:t>l Mylan 95 mg</w:t>
      </w:r>
    </w:p>
    <w:p w:rsidR="00F05EF4" w:rsidRPr="00996AE3" w:rsidRDefault="00F05EF4" w:rsidP="00F05EF4">
      <w:pPr>
        <w:rPr>
          <w:szCs w:val="22"/>
        </w:rPr>
      </w:pPr>
      <w:r w:rsidRPr="00996AE3">
        <w:rPr>
          <w:szCs w:val="22"/>
        </w:rPr>
        <w:t>Metopr</w:t>
      </w:r>
      <w:smartTag w:uri="urn:schemas-microsoft-com:office:smarttags" w:element="PersonName">
        <w:r w:rsidRPr="00996AE3">
          <w:rPr>
            <w:szCs w:val="22"/>
          </w:rPr>
          <w:t>olo</w:t>
        </w:r>
      </w:smartTag>
      <w:r w:rsidRPr="00996AE3">
        <w:rPr>
          <w:szCs w:val="22"/>
        </w:rPr>
        <w:t>l Mylan 190 mg</w:t>
      </w:r>
    </w:p>
    <w:p w:rsidR="00F05EF4" w:rsidRPr="00996AE3" w:rsidRDefault="00D96330" w:rsidP="00F05EF4">
      <w:pPr>
        <w:rPr>
          <w:szCs w:val="22"/>
        </w:rPr>
      </w:pPr>
      <w:r>
        <w:t>t</w:t>
      </w:r>
      <w:r w:rsidRPr="00213CF8">
        <w:t xml:space="preserve">ablety </w:t>
      </w:r>
      <w:r w:rsidR="00F05EF4" w:rsidRPr="00213CF8">
        <w:t>s</w:t>
      </w:r>
      <w:r w:rsidR="009515D4">
        <w:t> </w:t>
      </w:r>
      <w:r w:rsidR="00F05EF4" w:rsidRPr="00213CF8">
        <w:t>predĺženým uvoľňovaním</w:t>
      </w:r>
    </w:p>
    <w:p w:rsidR="00F05EF4" w:rsidRPr="00252091" w:rsidRDefault="00F05EF4" w:rsidP="00F05EF4">
      <w:pPr>
        <w:rPr>
          <w:iCs/>
        </w:rPr>
      </w:pP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2.</w:t>
      </w:r>
      <w:r w:rsidRPr="00252091">
        <w:rPr>
          <w:b/>
          <w:szCs w:val="22"/>
        </w:rPr>
        <w:tab/>
        <w:t>KVALITATÍVNE A</w:t>
      </w:r>
      <w:r w:rsidR="009515D4">
        <w:rPr>
          <w:b/>
          <w:szCs w:val="22"/>
        </w:rPr>
        <w:t> </w:t>
      </w:r>
      <w:r w:rsidRPr="00252091">
        <w:rPr>
          <w:b/>
          <w:szCs w:val="22"/>
        </w:rPr>
        <w:t>KVANTITATÍVNE ZLOŽENIE</w:t>
      </w:r>
    </w:p>
    <w:p w:rsidR="00F05EF4" w:rsidRPr="00252091" w:rsidRDefault="00F05EF4" w:rsidP="009E729A">
      <w:pPr>
        <w:keepNext/>
      </w:pPr>
    </w:p>
    <w:p w:rsidR="00F05EF4" w:rsidRPr="00996AE3" w:rsidRDefault="00F05EF4" w:rsidP="009E729A">
      <w:pPr>
        <w:keepNext/>
      </w:pPr>
      <w:r w:rsidRPr="00996AE3">
        <w:t>Metopr</w:t>
      </w:r>
      <w:smartTag w:uri="urn:schemas-microsoft-com:office:smarttags" w:element="PersonName">
        <w:r w:rsidRPr="00996AE3">
          <w:t>olo</w:t>
        </w:r>
      </w:smartTag>
      <w:r w:rsidRPr="00996AE3">
        <w:t>l Mylan 23,75 mg:</w:t>
      </w:r>
    </w:p>
    <w:p w:rsidR="00F05EF4" w:rsidRPr="00252091" w:rsidRDefault="009515D4" w:rsidP="00F05EF4">
      <w:pPr>
        <w:ind w:left="0" w:firstLine="0"/>
      </w:pPr>
      <w:r>
        <w:t>j</w:t>
      </w:r>
      <w:r w:rsidR="00F05EF4" w:rsidRPr="00252091">
        <w:t>edna tableta s</w:t>
      </w:r>
      <w:r>
        <w:t> </w:t>
      </w:r>
      <w:r w:rsidR="00F05EF4" w:rsidRPr="00252091">
        <w:t>predĺženým uvoľňovaním obsahuje 23,75 mg metoprololiumsukcinátu, čo zodpovedá 25 mg metoprololiumtartarátu.</w:t>
      </w:r>
    </w:p>
    <w:p w:rsidR="009515D4" w:rsidRDefault="00F05EF4" w:rsidP="00F05EF4">
      <w:pPr>
        <w:ind w:left="0" w:firstLine="0"/>
      </w:pPr>
      <w:r w:rsidRPr="00252091">
        <w:t>Pomocné látky</w:t>
      </w:r>
      <w:r w:rsidR="00CF2767">
        <w:t xml:space="preserve"> so známym účinkom</w:t>
      </w:r>
      <w:r w:rsidRPr="00252091">
        <w:t>:</w:t>
      </w:r>
    </w:p>
    <w:p w:rsidR="00F05EF4" w:rsidRPr="00252091" w:rsidRDefault="009515D4" w:rsidP="00F05EF4">
      <w:pPr>
        <w:ind w:left="0" w:firstLine="0"/>
      </w:pPr>
      <w:r>
        <w:t>j</w:t>
      </w:r>
      <w:r w:rsidR="00F05EF4" w:rsidRPr="00252091">
        <w:t>edna tableta s</w:t>
      </w:r>
      <w:r>
        <w:t> </w:t>
      </w:r>
      <w:r w:rsidR="00F05EF4" w:rsidRPr="00252091">
        <w:t>predĺženým uvoľňovaním obsahuje maximálne 0,1 mg D-glukózy a</w:t>
      </w:r>
      <w:r w:rsidR="006626B8">
        <w:t xml:space="preserve"> maximálne </w:t>
      </w:r>
      <w:r w:rsidR="00F05EF4" w:rsidRPr="00252091">
        <w:t>1,84 mg sacharózy.</w:t>
      </w:r>
    </w:p>
    <w:p w:rsidR="00F05EF4" w:rsidRPr="00252091" w:rsidRDefault="00F05EF4" w:rsidP="00F05EF4">
      <w:pPr>
        <w:ind w:left="0" w:firstLine="0"/>
      </w:pPr>
    </w:p>
    <w:p w:rsidR="00F05EF4" w:rsidRPr="00996AE3" w:rsidRDefault="00F05EF4" w:rsidP="009E729A">
      <w:pPr>
        <w:keepNext/>
      </w:pPr>
      <w:r w:rsidRPr="00996AE3">
        <w:t>Metopr</w:t>
      </w:r>
      <w:smartTag w:uri="urn:schemas-microsoft-com:office:smarttags" w:element="PersonName">
        <w:r w:rsidRPr="00996AE3">
          <w:t>olo</w:t>
        </w:r>
      </w:smartTag>
      <w:r w:rsidRPr="00996AE3">
        <w:t>l Mylan 47,5 mg:</w:t>
      </w:r>
    </w:p>
    <w:p w:rsidR="00F05EF4" w:rsidRPr="006934F5" w:rsidRDefault="009515D4" w:rsidP="00F05EF4">
      <w:pPr>
        <w:ind w:left="0" w:firstLine="0"/>
      </w:pPr>
      <w:r>
        <w:t>j</w:t>
      </w:r>
      <w:r w:rsidR="00F05EF4" w:rsidRPr="006934F5">
        <w:t>edna tableta s</w:t>
      </w:r>
      <w:r>
        <w:t> </w:t>
      </w:r>
      <w:r w:rsidR="00F05EF4" w:rsidRPr="006934F5">
        <w:t>predĺženým uvoľňovaním obsahuje 47,5 mg metoprololiumsukcinátu, čo zodpovedá 50 mg metoprololiumtartarátu.</w:t>
      </w:r>
    </w:p>
    <w:p w:rsidR="009515D4" w:rsidRDefault="00F05EF4" w:rsidP="00F05EF4">
      <w:pPr>
        <w:ind w:left="0" w:firstLine="0"/>
      </w:pPr>
      <w:r w:rsidRPr="006934F5">
        <w:t>Pomocné látky</w:t>
      </w:r>
      <w:r w:rsidR="00CF2767">
        <w:t xml:space="preserve"> so známym účinkom</w:t>
      </w:r>
      <w:r w:rsidRPr="006934F5">
        <w:t>:</w:t>
      </w:r>
    </w:p>
    <w:p w:rsidR="00F05EF4" w:rsidRPr="006934F5" w:rsidRDefault="009515D4" w:rsidP="00F05EF4">
      <w:pPr>
        <w:ind w:left="0" w:firstLine="0"/>
      </w:pPr>
      <w:r>
        <w:t>j</w:t>
      </w:r>
      <w:r w:rsidR="00F05EF4" w:rsidRPr="006934F5">
        <w:t>edna tableta s</w:t>
      </w:r>
      <w:r>
        <w:t> </w:t>
      </w:r>
      <w:r w:rsidR="00F05EF4" w:rsidRPr="006934F5">
        <w:t>predĺženým uvoľňovaním obsahuje maximálne 0,2 mg D-glukózy a</w:t>
      </w:r>
      <w:r w:rsidR="006626B8">
        <w:t xml:space="preserve"> maximálne </w:t>
      </w:r>
      <w:r w:rsidR="00F05EF4" w:rsidRPr="006934F5">
        <w:t>3,68 mg sacharózy.</w:t>
      </w:r>
    </w:p>
    <w:p w:rsidR="00F05EF4" w:rsidRPr="006934F5" w:rsidRDefault="00F05EF4" w:rsidP="00F05EF4">
      <w:pPr>
        <w:ind w:left="0" w:firstLine="0"/>
      </w:pPr>
    </w:p>
    <w:p w:rsidR="009515D4" w:rsidRDefault="00F05EF4" w:rsidP="009E729A">
      <w:pPr>
        <w:keepNext/>
      </w:pPr>
      <w:r w:rsidRPr="00996AE3">
        <w:t>Metoprolol Mylan 95 mg:</w:t>
      </w:r>
    </w:p>
    <w:p w:rsidR="00F05EF4" w:rsidRPr="006934F5" w:rsidRDefault="009515D4" w:rsidP="00F05EF4">
      <w:pPr>
        <w:ind w:left="0" w:firstLine="0"/>
      </w:pPr>
      <w:r>
        <w:t>j</w:t>
      </w:r>
      <w:r w:rsidR="00F05EF4" w:rsidRPr="006934F5">
        <w:t>edna tableta s</w:t>
      </w:r>
      <w:r>
        <w:t> </w:t>
      </w:r>
      <w:r w:rsidR="00F05EF4" w:rsidRPr="006934F5">
        <w:t>predĺženým uvoľňovaním obsahuje 95 mg metoprololiumsukcinátu, čo zodpovedá 100 mg metoprololiumtartarátu.</w:t>
      </w:r>
    </w:p>
    <w:p w:rsidR="009515D4" w:rsidRDefault="00F05EF4" w:rsidP="00F05EF4">
      <w:pPr>
        <w:ind w:left="0" w:firstLine="0"/>
      </w:pPr>
      <w:r w:rsidRPr="006934F5">
        <w:t>Pomocné látky</w:t>
      </w:r>
      <w:r w:rsidR="00CF2767">
        <w:t xml:space="preserve"> so známym účinkom</w:t>
      </w:r>
      <w:r w:rsidRPr="006934F5">
        <w:t>:</w:t>
      </w:r>
    </w:p>
    <w:p w:rsidR="00F05EF4" w:rsidRPr="006934F5" w:rsidRDefault="009515D4" w:rsidP="00F05EF4">
      <w:pPr>
        <w:ind w:left="0" w:firstLine="0"/>
      </w:pPr>
      <w:r>
        <w:t>j</w:t>
      </w:r>
      <w:r w:rsidR="00F05EF4" w:rsidRPr="006934F5">
        <w:t>edna tableta s</w:t>
      </w:r>
      <w:r>
        <w:t> </w:t>
      </w:r>
      <w:r w:rsidR="00F05EF4" w:rsidRPr="006934F5">
        <w:t>predĺženým uvoľňovaním obsahuje maximálne 0,4 mg D-glukózy a</w:t>
      </w:r>
      <w:r w:rsidR="006626B8">
        <w:t xml:space="preserve"> maximálne </w:t>
      </w:r>
      <w:r w:rsidR="00F05EF4" w:rsidRPr="006934F5">
        <w:t>7,36 mg sacharózy.</w:t>
      </w:r>
    </w:p>
    <w:p w:rsidR="00F05EF4" w:rsidRPr="006934F5" w:rsidRDefault="00F05EF4" w:rsidP="00F05EF4">
      <w:pPr>
        <w:ind w:left="0" w:firstLine="0"/>
      </w:pPr>
    </w:p>
    <w:p w:rsidR="009515D4" w:rsidRDefault="00F05EF4" w:rsidP="009E729A">
      <w:pPr>
        <w:keepNext/>
      </w:pPr>
      <w:r w:rsidRPr="00996AE3">
        <w:t>Metoprolol Mylan 190 mg:</w:t>
      </w:r>
    </w:p>
    <w:p w:rsidR="00F05EF4" w:rsidRPr="006934F5" w:rsidRDefault="009515D4" w:rsidP="00F05EF4">
      <w:pPr>
        <w:ind w:left="0" w:firstLine="0"/>
      </w:pPr>
      <w:r>
        <w:t>j</w:t>
      </w:r>
      <w:r w:rsidR="00F05EF4" w:rsidRPr="006934F5">
        <w:t>edna tableta s</w:t>
      </w:r>
      <w:r>
        <w:t> </w:t>
      </w:r>
      <w:r w:rsidR="00F05EF4" w:rsidRPr="006934F5">
        <w:t>predĺženým uvoľňovaním obsahuje 190 mg metoprololiumsukcinátu, čo zodpovedá 200 mg metoprololiumtartarátu.</w:t>
      </w:r>
    </w:p>
    <w:p w:rsidR="009515D4" w:rsidRDefault="00F05EF4" w:rsidP="00F05EF4">
      <w:pPr>
        <w:ind w:left="0" w:firstLine="0"/>
      </w:pPr>
      <w:r w:rsidRPr="006934F5">
        <w:t>Pomocné látky</w:t>
      </w:r>
      <w:r w:rsidR="00CF2767">
        <w:t xml:space="preserve"> so známym účinkom</w:t>
      </w:r>
      <w:r w:rsidRPr="006934F5">
        <w:t>:</w:t>
      </w:r>
    </w:p>
    <w:p w:rsidR="00F05EF4" w:rsidRPr="00252091" w:rsidRDefault="009515D4" w:rsidP="00F05EF4">
      <w:pPr>
        <w:ind w:left="0" w:firstLine="0"/>
      </w:pPr>
      <w:r>
        <w:t>j</w:t>
      </w:r>
      <w:r w:rsidR="00F05EF4" w:rsidRPr="006934F5">
        <w:t>edna tableta s</w:t>
      </w:r>
      <w:r>
        <w:t> </w:t>
      </w:r>
      <w:r w:rsidR="00F05EF4" w:rsidRPr="006934F5">
        <w:t>predĺženým uvoľňovaním obsahuje maximálne 0,8 mg D-glukózy a</w:t>
      </w:r>
      <w:r w:rsidR="006626B8">
        <w:t xml:space="preserve"> maximálne </w:t>
      </w:r>
      <w:r w:rsidR="00F05EF4" w:rsidRPr="006934F5">
        <w:t>14,72 mg sacharózy.</w:t>
      </w:r>
    </w:p>
    <w:p w:rsidR="00F05EF4" w:rsidRPr="00252091" w:rsidRDefault="00F05EF4" w:rsidP="00F05EF4">
      <w:pPr>
        <w:ind w:left="0" w:firstLine="0"/>
      </w:pPr>
    </w:p>
    <w:p w:rsidR="00F05EF4" w:rsidRPr="00252091" w:rsidRDefault="00F05EF4" w:rsidP="00F05EF4">
      <w:pPr>
        <w:tabs>
          <w:tab w:val="left" w:pos="567"/>
        </w:tabs>
        <w:spacing w:line="260" w:lineRule="exact"/>
        <w:ind w:left="0" w:firstLine="0"/>
        <w:rPr>
          <w:szCs w:val="20"/>
          <w:lang w:eastAsia="en-US"/>
        </w:rPr>
      </w:pPr>
      <w:r w:rsidRPr="00252091">
        <w:rPr>
          <w:szCs w:val="20"/>
          <w:lang w:eastAsia="en-US"/>
        </w:rPr>
        <w:t>Úplný zoznam pomocných látok, pozri časť 6.1.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caps/>
          <w:szCs w:val="22"/>
        </w:rPr>
      </w:pPr>
      <w:r w:rsidRPr="00252091">
        <w:rPr>
          <w:b/>
          <w:szCs w:val="22"/>
        </w:rPr>
        <w:t>3.</w:t>
      </w:r>
      <w:r w:rsidRPr="00252091">
        <w:rPr>
          <w:b/>
          <w:szCs w:val="22"/>
        </w:rPr>
        <w:tab/>
        <w:t>LIEKOVÁ FORMA</w:t>
      </w:r>
    </w:p>
    <w:p w:rsidR="00F05EF4" w:rsidRPr="00252091" w:rsidRDefault="00F05EF4" w:rsidP="009E729A">
      <w:pPr>
        <w:keepNext/>
      </w:pPr>
    </w:p>
    <w:p w:rsidR="00F05EF4" w:rsidRPr="00252091" w:rsidRDefault="00F05EF4" w:rsidP="00F05EF4">
      <w:r w:rsidRPr="00252091">
        <w:t>Tableta s</w:t>
      </w:r>
      <w:r w:rsidR="009515D4">
        <w:t> </w:t>
      </w:r>
      <w:r w:rsidRPr="00252091">
        <w:t>predĺženým uvoľňovaním.</w:t>
      </w:r>
    </w:p>
    <w:p w:rsidR="00F05EF4" w:rsidRPr="00252091" w:rsidRDefault="00F05EF4" w:rsidP="00F05EF4">
      <w:r w:rsidRPr="00252091">
        <w:t>Biela podlhovastá bikonvexná tableta s</w:t>
      </w:r>
      <w:r w:rsidR="009515D4">
        <w:t> </w:t>
      </w:r>
      <w:r w:rsidRPr="00252091">
        <w:t>deliacou ryhou na obidvoch stranách.</w:t>
      </w:r>
    </w:p>
    <w:p w:rsidR="00F05EF4" w:rsidRPr="00252091" w:rsidRDefault="00F05EF4" w:rsidP="00F05EF4">
      <w:pPr>
        <w:rPr>
          <w:noProof/>
        </w:rPr>
      </w:pPr>
    </w:p>
    <w:p w:rsidR="00F05EF4" w:rsidRPr="00252091" w:rsidRDefault="00F05EF4" w:rsidP="00F05EF4">
      <w:pPr>
        <w:rPr>
          <w:noProof/>
        </w:rPr>
      </w:pPr>
      <w:r w:rsidRPr="00252091">
        <w:rPr>
          <w:noProof/>
        </w:rPr>
        <w:t xml:space="preserve">Tableta sa môže rozdeliť na rovnaké </w:t>
      </w:r>
      <w:r w:rsidR="00CF2767">
        <w:rPr>
          <w:noProof/>
        </w:rPr>
        <w:t>dávky</w:t>
      </w:r>
      <w:r w:rsidRPr="00252091">
        <w:rPr>
          <w:noProof/>
        </w:rPr>
        <w:t>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caps/>
          <w:szCs w:val="22"/>
        </w:rPr>
      </w:pPr>
      <w:r w:rsidRPr="00252091">
        <w:rPr>
          <w:b/>
          <w:caps/>
          <w:szCs w:val="22"/>
        </w:rPr>
        <w:lastRenderedPageBreak/>
        <w:t>4.</w:t>
      </w:r>
      <w:r w:rsidRPr="00252091">
        <w:rPr>
          <w:b/>
          <w:caps/>
          <w:szCs w:val="22"/>
        </w:rPr>
        <w:tab/>
        <w:t>KLINICKÉ ÚDAJE</w:t>
      </w:r>
    </w:p>
    <w:p w:rsidR="00F05EF4" w:rsidRPr="00252091" w:rsidRDefault="00F05EF4" w:rsidP="009E729A">
      <w:pPr>
        <w:keepNext/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4.1</w:t>
      </w:r>
      <w:r w:rsidRPr="00252091">
        <w:rPr>
          <w:b/>
          <w:szCs w:val="22"/>
        </w:rPr>
        <w:tab/>
        <w:t>Terapeutické indikácie</w:t>
      </w:r>
    </w:p>
    <w:p w:rsidR="00F05EF4" w:rsidRPr="00252091" w:rsidRDefault="00F05EF4" w:rsidP="009E729A">
      <w:pPr>
        <w:keepNext/>
        <w:rPr>
          <w:szCs w:val="22"/>
        </w:rPr>
      </w:pPr>
    </w:p>
    <w:p w:rsidR="00F05EF4" w:rsidRPr="009E729A" w:rsidRDefault="00F05EF4" w:rsidP="00C349D4">
      <w:pPr>
        <w:pStyle w:val="Texttelo"/>
        <w:numPr>
          <w:ilvl w:val="0"/>
          <w:numId w:val="12"/>
        </w:numPr>
        <w:tabs>
          <w:tab w:val="clear" w:pos="0"/>
          <w:tab w:val="clear" w:pos="170"/>
          <w:tab w:val="num" w:pos="540"/>
        </w:tabs>
        <w:jc w:val="left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Stabilné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chronické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mierne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až stredne ťažké srdcové zlyhanie so zhoršenou funkciou ľavej komory (ejekčná frakcia ≤ 40</w:t>
      </w:r>
      <w:r w:rsidR="009515D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%) – ako doplnenie obvyklej štandardnej liečby ACE inhibítormi a diuretikami a v prípade nutnosti srdcovými glykozidmi (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ďalšie podrobnosti</w:t>
      </w:r>
      <w:r w:rsidR="00C349D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pozri časť 5.1)</w:t>
      </w:r>
    </w:p>
    <w:p w:rsidR="00F05EF4" w:rsidRPr="006934F5" w:rsidRDefault="00F05EF4" w:rsidP="00F05EF4">
      <w:pPr>
        <w:pStyle w:val="Texttelo"/>
        <w:numPr>
          <w:ilvl w:val="0"/>
          <w:numId w:val="12"/>
        </w:numPr>
        <w:tabs>
          <w:tab w:val="clear" w:pos="0"/>
          <w:tab w:val="clear" w:pos="170"/>
          <w:tab w:val="num" w:pos="540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Hypertenzia</w:t>
      </w:r>
    </w:p>
    <w:p w:rsidR="00F05EF4" w:rsidRPr="006934F5" w:rsidRDefault="00F05EF4" w:rsidP="00F05EF4">
      <w:pPr>
        <w:pStyle w:val="Texttelo"/>
        <w:numPr>
          <w:ilvl w:val="0"/>
          <w:numId w:val="12"/>
        </w:numPr>
        <w:tabs>
          <w:tab w:val="clear" w:pos="0"/>
          <w:tab w:val="clear" w:pos="170"/>
          <w:tab w:val="num" w:pos="540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Angína pektoris</w:t>
      </w:r>
    </w:p>
    <w:p w:rsidR="00F05EF4" w:rsidRPr="006934F5" w:rsidRDefault="00F05EF4" w:rsidP="00F05EF4">
      <w:pPr>
        <w:pStyle w:val="Texttelo"/>
        <w:numPr>
          <w:ilvl w:val="0"/>
          <w:numId w:val="12"/>
        </w:numPr>
        <w:tabs>
          <w:tab w:val="clear" w:pos="0"/>
          <w:tab w:val="clear" w:pos="170"/>
          <w:tab w:val="num" w:pos="540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Tachyarytmia, najmä supraventrikulárna tachykardia</w:t>
      </w:r>
    </w:p>
    <w:p w:rsidR="00F05EF4" w:rsidRPr="006934F5" w:rsidRDefault="00F05EF4" w:rsidP="00F05EF4">
      <w:pPr>
        <w:pStyle w:val="Texttelo"/>
        <w:numPr>
          <w:ilvl w:val="0"/>
          <w:numId w:val="12"/>
        </w:numPr>
        <w:tabs>
          <w:tab w:val="clear" w:pos="0"/>
          <w:tab w:val="clear" w:pos="170"/>
          <w:tab w:val="num" w:pos="540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Udržiavacia liečba po infarkte myokardu</w:t>
      </w:r>
    </w:p>
    <w:p w:rsidR="00F05EF4" w:rsidRPr="006934F5" w:rsidRDefault="006626B8" w:rsidP="00F05EF4">
      <w:pPr>
        <w:pStyle w:val="Texttelo"/>
        <w:numPr>
          <w:ilvl w:val="0"/>
          <w:numId w:val="12"/>
        </w:numPr>
        <w:tabs>
          <w:tab w:val="clear" w:pos="0"/>
          <w:tab w:val="clear" w:pos="170"/>
          <w:tab w:val="num" w:pos="540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H</w:t>
      </w:r>
      <w:r w:rsidR="00F05EF4"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yperkinetický srdcový syndróm</w:t>
      </w:r>
    </w:p>
    <w:p w:rsidR="00F05EF4" w:rsidRPr="006934F5" w:rsidRDefault="00F05EF4" w:rsidP="00F05EF4">
      <w:pPr>
        <w:pStyle w:val="Texttelo"/>
        <w:numPr>
          <w:ilvl w:val="0"/>
          <w:numId w:val="12"/>
        </w:numPr>
        <w:tabs>
          <w:tab w:val="clear" w:pos="0"/>
          <w:tab w:val="clear" w:pos="170"/>
          <w:tab w:val="num" w:pos="540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Profylaxia migrény.</w:t>
      </w:r>
    </w:p>
    <w:p w:rsidR="00F05EF4" w:rsidRDefault="00F05EF4" w:rsidP="00F05EF4">
      <w:pPr>
        <w:rPr>
          <w:szCs w:val="22"/>
        </w:rPr>
      </w:pPr>
    </w:p>
    <w:p w:rsidR="00CF2767" w:rsidRDefault="00CF2767" w:rsidP="00F05EF4">
      <w:pPr>
        <w:rPr>
          <w:szCs w:val="22"/>
        </w:rPr>
      </w:pPr>
      <w:r>
        <w:rPr>
          <w:szCs w:val="22"/>
        </w:rPr>
        <w:t>Deti a dospievajúci vo veku 6 – 18</w:t>
      </w:r>
      <w:r w:rsidR="009515D4">
        <w:rPr>
          <w:szCs w:val="22"/>
        </w:rPr>
        <w:t> </w:t>
      </w:r>
      <w:r>
        <w:rPr>
          <w:szCs w:val="22"/>
        </w:rPr>
        <w:t>rokov</w:t>
      </w:r>
    </w:p>
    <w:p w:rsidR="00CF2767" w:rsidRDefault="00CF2767" w:rsidP="00C349D4">
      <w:pPr>
        <w:numPr>
          <w:ilvl w:val="0"/>
          <w:numId w:val="12"/>
        </w:numPr>
        <w:rPr>
          <w:szCs w:val="22"/>
        </w:rPr>
      </w:pPr>
      <w:r>
        <w:rPr>
          <w:szCs w:val="22"/>
        </w:rPr>
        <w:t>Liečba hypertenzie</w:t>
      </w:r>
      <w:r w:rsidR="009515D4">
        <w:rPr>
          <w:szCs w:val="22"/>
        </w:rPr>
        <w:t>.</w:t>
      </w:r>
    </w:p>
    <w:p w:rsidR="00CF2767" w:rsidRPr="00252091" w:rsidRDefault="00CF2767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b/>
          <w:szCs w:val="22"/>
        </w:rPr>
      </w:pPr>
      <w:r w:rsidRPr="00252091">
        <w:rPr>
          <w:b/>
          <w:szCs w:val="22"/>
        </w:rPr>
        <w:t>4.2</w:t>
      </w:r>
      <w:r w:rsidRPr="00252091">
        <w:rPr>
          <w:b/>
          <w:szCs w:val="22"/>
        </w:rPr>
        <w:tab/>
        <w:t>Dávkovanie a</w:t>
      </w:r>
      <w:r w:rsidR="009515D4">
        <w:rPr>
          <w:b/>
          <w:szCs w:val="22"/>
        </w:rPr>
        <w:t> </w:t>
      </w:r>
      <w:r w:rsidRPr="00252091">
        <w:rPr>
          <w:b/>
          <w:szCs w:val="22"/>
        </w:rPr>
        <w:t>spôsob pod</w:t>
      </w:r>
      <w:r w:rsidR="00D96330">
        <w:rPr>
          <w:b/>
          <w:szCs w:val="22"/>
        </w:rPr>
        <w:t>áv</w:t>
      </w:r>
      <w:r w:rsidR="004B7216">
        <w:rPr>
          <w:b/>
          <w:szCs w:val="22"/>
        </w:rPr>
        <w:t>ania</w:t>
      </w:r>
    </w:p>
    <w:p w:rsidR="00F05EF4" w:rsidRPr="00252091" w:rsidRDefault="00F05EF4" w:rsidP="009E729A">
      <w:pPr>
        <w:keepNext/>
        <w:rPr>
          <w:szCs w:val="22"/>
        </w:rPr>
      </w:pPr>
    </w:p>
    <w:p w:rsidR="00CF2767" w:rsidRPr="00C349D4" w:rsidRDefault="00CF2767" w:rsidP="009E729A">
      <w:pPr>
        <w:keepNext/>
        <w:rPr>
          <w:szCs w:val="22"/>
          <w:u w:val="single"/>
        </w:rPr>
      </w:pPr>
      <w:r w:rsidRPr="00C349D4">
        <w:rPr>
          <w:szCs w:val="22"/>
          <w:u w:val="single"/>
        </w:rPr>
        <w:t>Dávkovanie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Dávka sa má upraviť podľa nasledovných odporúčaní: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rPr>
          <w:szCs w:val="22"/>
          <w:u w:val="single"/>
        </w:rPr>
      </w:pPr>
      <w:r w:rsidRPr="00252091">
        <w:rPr>
          <w:szCs w:val="22"/>
          <w:u w:val="single"/>
        </w:rPr>
        <w:t>Stabilné</w:t>
      </w:r>
      <w:r>
        <w:rPr>
          <w:szCs w:val="22"/>
          <w:u w:val="single"/>
        </w:rPr>
        <w:t>,</w:t>
      </w:r>
      <w:r w:rsidRPr="00252091">
        <w:rPr>
          <w:szCs w:val="22"/>
          <w:u w:val="single"/>
        </w:rPr>
        <w:t xml:space="preserve"> chronické</w:t>
      </w:r>
      <w:r>
        <w:rPr>
          <w:szCs w:val="22"/>
          <w:u w:val="single"/>
        </w:rPr>
        <w:t>,</w:t>
      </w:r>
      <w:r w:rsidRPr="00252091">
        <w:rPr>
          <w:szCs w:val="22"/>
          <w:u w:val="single"/>
        </w:rPr>
        <w:t xml:space="preserve"> </w:t>
      </w:r>
      <w:r>
        <w:rPr>
          <w:szCs w:val="22"/>
          <w:u w:val="single"/>
        </w:rPr>
        <w:t>mierne</w:t>
      </w:r>
      <w:r w:rsidRPr="00252091">
        <w:rPr>
          <w:szCs w:val="22"/>
          <w:u w:val="single"/>
        </w:rPr>
        <w:t xml:space="preserve"> až stredne ťažké srdcové zlyhanie so zhoršenou funkciou ľavej komory</w:t>
      </w:r>
    </w:p>
    <w:p w:rsidR="004B7216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Dávk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ovanie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liumsukcinátu sa musí upraviť individuálne u pacientov so stabilným, symptomatickým srdcovým zlyhaním, ktor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í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užívajú aj ďalšiu liečbu na srdcové zlyhanie.</w:t>
      </w:r>
    </w:p>
    <w:p w:rsidR="004B7216" w:rsidRDefault="004B7216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Odporúčaná </w:t>
      </w:r>
      <w:r w:rsidR="009515D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začiatočná</w:t>
      </w:r>
      <w:r w:rsidR="009515D4" w:rsidDel="009515D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dávka pre pacientov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so srdcovým zlyhaním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v triede NYHA III je 11,88 mg metoprololiumsukcinátu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jedenkrát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denne počas prvého týždňa. Dávka sa môže zvýšiť na 23,75 mg 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liumsukcinátu denne počas druhého týždňa liečby.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4B7216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Odporúčaná </w:t>
      </w:r>
      <w:r w:rsidR="004B721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začiatočná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dávka pre pacientov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so srdcovým zlyhaním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v triede NYHA II je 23,75 mg 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liumsukcinátu jedenkrát denne počas prvých dvoch týždňov.</w:t>
      </w:r>
    </w:p>
    <w:p w:rsidR="004B7216" w:rsidRDefault="004B7216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4B7216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Po prvých dvoch týždňoch sa odporúča zdvojnásobiť dávku. Dávka sa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zdvojnásobuje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každý druhý týždeň až do 190 mg 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liumsukcinátu denne alebo po dosiahnutie maximálnej dávky tolerovanej pacientom.</w:t>
      </w:r>
      <w:r w:rsidR="004B721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Pre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dlhodobú liečbu sa má cieľová dávka ustáliť na 190 mg 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liumsukcinátu denne alebo na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maximálnej dávke tolerovanej pacientom.</w:t>
      </w:r>
    </w:p>
    <w:p w:rsidR="004B7216" w:rsidRDefault="004B7216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Ošetrujúci lekár má mať skúsenosti s liečbou stabilného symptomatického srdcového zlyhania. Po každom zvýšení dávky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je potrebné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starostlivo sledovať zdravotný stav pacienta. V prípade poklesu krvného tlaku môže byť nevyhnutné znížiť dávku súčasne podávaných liekov. Pokles krvného tlaku nie je nevyhnutne prekážkou dlhodob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ej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liečby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om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 ale dávka sa má znižov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ť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až pokiaľ sa zdravotný stav pacienta nestabilizuje.</w:t>
      </w:r>
    </w:p>
    <w:p w:rsidR="00F05EF4" w:rsidRPr="006934F5" w:rsidRDefault="00F05EF4" w:rsidP="00F05EF4">
      <w:pPr>
        <w:rPr>
          <w:szCs w:val="22"/>
          <w:u w:val="single"/>
        </w:rPr>
      </w:pPr>
    </w:p>
    <w:p w:rsidR="00F05EF4" w:rsidRPr="00C349D4" w:rsidRDefault="00F05EF4" w:rsidP="009E729A">
      <w:pPr>
        <w:keepNext/>
        <w:rPr>
          <w:szCs w:val="22"/>
          <w:u w:val="single"/>
        </w:rPr>
      </w:pPr>
      <w:r w:rsidRPr="00C349D4">
        <w:rPr>
          <w:szCs w:val="22"/>
          <w:u w:val="single"/>
        </w:rPr>
        <w:t>Hypertenzia</w:t>
      </w:r>
    </w:p>
    <w:p w:rsidR="00F05EF4" w:rsidRPr="006934F5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47,5 mg metopr</w:t>
      </w:r>
      <w:smartTag w:uri="urn:schemas-microsoft-com:office:smarttags" w:element="PersonName">
        <w:r w:rsidRPr="006934F5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liumsukcinátu jedenkrát denne u pacientov s miernou až stredne závažnou hypertenziou. V prípade potreby sa dávka môže zvýšiť na 95 až 190 mg denne alebo sa k liečbe môže pridať iné antihypertenzívum.</w:t>
      </w:r>
    </w:p>
    <w:p w:rsidR="00F05EF4" w:rsidRDefault="00F05EF4" w:rsidP="00F05EF4">
      <w:pPr>
        <w:rPr>
          <w:szCs w:val="22"/>
        </w:rPr>
      </w:pPr>
    </w:p>
    <w:p w:rsidR="00CF2767" w:rsidRPr="00C349D4" w:rsidRDefault="00CF2767" w:rsidP="00F05EF4">
      <w:pPr>
        <w:rPr>
          <w:i/>
          <w:szCs w:val="22"/>
        </w:rPr>
      </w:pPr>
      <w:r w:rsidRPr="00C349D4">
        <w:rPr>
          <w:i/>
          <w:szCs w:val="22"/>
        </w:rPr>
        <w:t>Deti a dospievajúci</w:t>
      </w:r>
    </w:p>
    <w:p w:rsidR="00B64AA8" w:rsidRDefault="00CF2767" w:rsidP="00C349D4">
      <w:pPr>
        <w:ind w:left="0" w:firstLine="0"/>
        <w:rPr>
          <w:szCs w:val="22"/>
        </w:rPr>
      </w:pPr>
      <w:r>
        <w:rPr>
          <w:szCs w:val="22"/>
        </w:rPr>
        <w:t xml:space="preserve">Odporúčaná začiatočná dávka u pacientov s hypertenziou </w:t>
      </w:r>
      <w:r w:rsidR="00A8517E">
        <w:rPr>
          <w:szCs w:val="22"/>
        </w:rPr>
        <w:t xml:space="preserve">vo veku </w:t>
      </w:r>
      <w:r w:rsidR="00A8517E" w:rsidRPr="00FF7B1B">
        <w:rPr>
          <w:iCs/>
          <w:szCs w:val="22"/>
        </w:rPr>
        <w:t>≥</w:t>
      </w:r>
      <w:r w:rsidR="00A8517E">
        <w:rPr>
          <w:iCs/>
          <w:szCs w:val="22"/>
        </w:rPr>
        <w:t xml:space="preserve"> </w:t>
      </w:r>
      <w:r>
        <w:rPr>
          <w:szCs w:val="22"/>
        </w:rPr>
        <w:t>6</w:t>
      </w:r>
      <w:r w:rsidR="00A8517E">
        <w:rPr>
          <w:szCs w:val="22"/>
        </w:rPr>
        <w:t> </w:t>
      </w:r>
      <w:r>
        <w:rPr>
          <w:szCs w:val="22"/>
        </w:rPr>
        <w:t xml:space="preserve">rokov je </w:t>
      </w:r>
      <w:r w:rsidRPr="00C349D4">
        <w:rPr>
          <w:b/>
          <w:szCs w:val="22"/>
        </w:rPr>
        <w:t>0,</w:t>
      </w:r>
      <w:r w:rsidR="006626B8" w:rsidRPr="00C349D4">
        <w:rPr>
          <w:b/>
          <w:szCs w:val="22"/>
        </w:rPr>
        <w:t>48</w:t>
      </w:r>
      <w:r w:rsidR="00A8517E">
        <w:rPr>
          <w:b/>
          <w:szCs w:val="22"/>
        </w:rPr>
        <w:t> </w:t>
      </w:r>
      <w:r w:rsidRPr="00C349D4">
        <w:rPr>
          <w:b/>
          <w:szCs w:val="22"/>
        </w:rPr>
        <w:t>mg/kg Metoprololu Mylan (0,48</w:t>
      </w:r>
      <w:r w:rsidR="00A8517E">
        <w:rPr>
          <w:b/>
          <w:szCs w:val="22"/>
        </w:rPr>
        <w:t> </w:t>
      </w:r>
      <w:r w:rsidRPr="00C349D4">
        <w:rPr>
          <w:b/>
          <w:szCs w:val="22"/>
        </w:rPr>
        <w:t xml:space="preserve">mg/kg </w:t>
      </w:r>
      <w:r w:rsidRPr="00C349D4">
        <w:rPr>
          <w:b/>
        </w:rPr>
        <w:t>metoprololiumsukcinátu</w:t>
      </w:r>
      <w:r w:rsidRPr="00C349D4">
        <w:rPr>
          <w:b/>
          <w:szCs w:val="22"/>
        </w:rPr>
        <w:t>)</w:t>
      </w:r>
      <w:r>
        <w:rPr>
          <w:szCs w:val="22"/>
        </w:rPr>
        <w:t xml:space="preserve"> jedenkrát denne. Výsledná dávka podaná v miligramoch sa má čo najviac priblížiť dávke prepočítanej podľa mg/kg. U pacientov, ktorí nereagujú na dávku </w:t>
      </w:r>
      <w:r w:rsidRPr="00C349D4">
        <w:rPr>
          <w:b/>
          <w:szCs w:val="22"/>
        </w:rPr>
        <w:t>0,</w:t>
      </w:r>
      <w:r w:rsidR="006626B8" w:rsidRPr="00C349D4">
        <w:rPr>
          <w:b/>
          <w:szCs w:val="22"/>
        </w:rPr>
        <w:t>48</w:t>
      </w:r>
      <w:r w:rsidR="00A8517E">
        <w:rPr>
          <w:b/>
          <w:szCs w:val="22"/>
        </w:rPr>
        <w:t> </w:t>
      </w:r>
      <w:r w:rsidRPr="00C349D4">
        <w:rPr>
          <w:b/>
          <w:szCs w:val="22"/>
        </w:rPr>
        <w:t>mg/kg</w:t>
      </w:r>
      <w:r>
        <w:rPr>
          <w:szCs w:val="22"/>
        </w:rPr>
        <w:t xml:space="preserve"> sa môže dávka zvýšiť na </w:t>
      </w:r>
      <w:r w:rsidRPr="00C349D4">
        <w:rPr>
          <w:b/>
          <w:szCs w:val="22"/>
        </w:rPr>
        <w:t>0</w:t>
      </w:r>
      <w:r w:rsidR="006626B8" w:rsidRPr="00C349D4">
        <w:rPr>
          <w:b/>
          <w:szCs w:val="22"/>
        </w:rPr>
        <w:t>,95</w:t>
      </w:r>
      <w:r w:rsidR="00A8517E">
        <w:rPr>
          <w:b/>
          <w:szCs w:val="22"/>
        </w:rPr>
        <w:t> </w:t>
      </w:r>
      <w:r w:rsidR="004B7216">
        <w:rPr>
          <w:b/>
          <w:szCs w:val="22"/>
        </w:rPr>
        <w:t>mg/kg</w:t>
      </w:r>
      <w:r w:rsidR="006626B8" w:rsidRPr="00C349D4">
        <w:rPr>
          <w:b/>
          <w:szCs w:val="22"/>
        </w:rPr>
        <w:t xml:space="preserve"> Metoprololu Mylan</w:t>
      </w:r>
      <w:r w:rsidRPr="00C349D4">
        <w:rPr>
          <w:b/>
          <w:szCs w:val="22"/>
        </w:rPr>
        <w:t xml:space="preserve"> </w:t>
      </w:r>
      <w:r w:rsidRPr="00C349D4">
        <w:rPr>
          <w:b/>
          <w:szCs w:val="22"/>
        </w:rPr>
        <w:lastRenderedPageBreak/>
        <w:t>(0,95</w:t>
      </w:r>
      <w:r w:rsidR="00A8517E">
        <w:rPr>
          <w:b/>
          <w:szCs w:val="22"/>
        </w:rPr>
        <w:t> </w:t>
      </w:r>
      <w:r w:rsidRPr="00C349D4">
        <w:rPr>
          <w:b/>
          <w:szCs w:val="22"/>
        </w:rPr>
        <w:t xml:space="preserve">mg/kg </w:t>
      </w:r>
      <w:r w:rsidRPr="00C349D4">
        <w:rPr>
          <w:b/>
        </w:rPr>
        <w:t>metoprololiumsukcinátu</w:t>
      </w:r>
      <w:r w:rsidRPr="00C349D4">
        <w:rPr>
          <w:b/>
          <w:szCs w:val="22"/>
        </w:rPr>
        <w:t>)</w:t>
      </w:r>
      <w:r>
        <w:rPr>
          <w:szCs w:val="22"/>
        </w:rPr>
        <w:t xml:space="preserve">, neprevyšujúc </w:t>
      </w:r>
      <w:r w:rsidR="006626B8" w:rsidRPr="00C349D4">
        <w:rPr>
          <w:b/>
          <w:szCs w:val="22"/>
        </w:rPr>
        <w:t>47,5</w:t>
      </w:r>
      <w:r w:rsidR="00A8517E">
        <w:rPr>
          <w:b/>
          <w:szCs w:val="22"/>
        </w:rPr>
        <w:t> </w:t>
      </w:r>
      <w:r w:rsidRPr="00C349D4">
        <w:rPr>
          <w:b/>
          <w:szCs w:val="22"/>
        </w:rPr>
        <w:t xml:space="preserve">mg </w:t>
      </w:r>
      <w:r w:rsidR="006626B8" w:rsidRPr="00C349D4">
        <w:rPr>
          <w:b/>
          <w:szCs w:val="22"/>
        </w:rPr>
        <w:t xml:space="preserve">Metoprololu Mylan </w:t>
      </w:r>
      <w:r w:rsidRPr="00C349D4">
        <w:rPr>
          <w:b/>
          <w:szCs w:val="22"/>
        </w:rPr>
        <w:t>(47,5</w:t>
      </w:r>
      <w:r w:rsidR="00A8517E">
        <w:rPr>
          <w:b/>
          <w:szCs w:val="22"/>
        </w:rPr>
        <w:t> </w:t>
      </w:r>
      <w:r w:rsidRPr="00C349D4">
        <w:rPr>
          <w:b/>
          <w:szCs w:val="22"/>
        </w:rPr>
        <w:t xml:space="preserve">mg </w:t>
      </w:r>
      <w:r w:rsidRPr="00C349D4">
        <w:rPr>
          <w:b/>
        </w:rPr>
        <w:t>metoprololiumsukcinátu</w:t>
      </w:r>
      <w:r w:rsidRPr="00C349D4">
        <w:rPr>
          <w:b/>
          <w:szCs w:val="22"/>
        </w:rPr>
        <w:t>)</w:t>
      </w:r>
      <w:r w:rsidR="00B64AA8">
        <w:rPr>
          <w:szCs w:val="22"/>
        </w:rPr>
        <w:t>. U</w:t>
      </w:r>
      <w:r w:rsidR="00A8517E">
        <w:rPr>
          <w:szCs w:val="22"/>
        </w:rPr>
        <w:t> </w:t>
      </w:r>
      <w:r w:rsidR="00B64AA8">
        <w:rPr>
          <w:szCs w:val="22"/>
        </w:rPr>
        <w:t>pacientov, ktorí nereagujú na dávku 0</w:t>
      </w:r>
      <w:r w:rsidR="006626B8">
        <w:rPr>
          <w:szCs w:val="22"/>
        </w:rPr>
        <w:t>,95</w:t>
      </w:r>
      <w:r w:rsidR="00A8517E">
        <w:rPr>
          <w:szCs w:val="22"/>
        </w:rPr>
        <w:t> </w:t>
      </w:r>
      <w:r w:rsidR="00B64AA8">
        <w:rPr>
          <w:szCs w:val="22"/>
        </w:rPr>
        <w:t xml:space="preserve">mg/kg, sa môže dávka zvýšiť na maximálnu dennú dávku </w:t>
      </w:r>
      <w:r w:rsidR="006626B8" w:rsidRPr="00C349D4">
        <w:rPr>
          <w:b/>
          <w:szCs w:val="22"/>
        </w:rPr>
        <w:t>1,9</w:t>
      </w:r>
      <w:r w:rsidR="00A8517E">
        <w:rPr>
          <w:b/>
          <w:szCs w:val="22"/>
        </w:rPr>
        <w:t> </w:t>
      </w:r>
      <w:r w:rsidR="00B64AA8" w:rsidRPr="00C349D4">
        <w:rPr>
          <w:b/>
          <w:szCs w:val="22"/>
        </w:rPr>
        <w:t xml:space="preserve">mg/kg </w:t>
      </w:r>
      <w:r w:rsidR="006626B8" w:rsidRPr="00C349D4">
        <w:rPr>
          <w:b/>
          <w:szCs w:val="22"/>
        </w:rPr>
        <w:t xml:space="preserve">Metoprololu Mylan </w:t>
      </w:r>
      <w:r w:rsidR="00B64AA8" w:rsidRPr="00C349D4">
        <w:rPr>
          <w:b/>
          <w:szCs w:val="22"/>
        </w:rPr>
        <w:t>(1,9</w:t>
      </w:r>
      <w:r w:rsidR="00A8517E">
        <w:rPr>
          <w:b/>
          <w:szCs w:val="22"/>
        </w:rPr>
        <w:t> </w:t>
      </w:r>
      <w:r w:rsidR="00B64AA8" w:rsidRPr="00C349D4">
        <w:rPr>
          <w:b/>
          <w:szCs w:val="22"/>
        </w:rPr>
        <w:t xml:space="preserve">mg/kg </w:t>
      </w:r>
      <w:r w:rsidR="00B64AA8" w:rsidRPr="00C349D4">
        <w:rPr>
          <w:b/>
        </w:rPr>
        <w:t>metoprololiumsukcinátu</w:t>
      </w:r>
      <w:r w:rsidR="00B64AA8" w:rsidRPr="00C349D4">
        <w:rPr>
          <w:b/>
          <w:szCs w:val="22"/>
        </w:rPr>
        <w:t>)</w:t>
      </w:r>
      <w:r w:rsidR="00B64AA8">
        <w:rPr>
          <w:szCs w:val="22"/>
        </w:rPr>
        <w:t xml:space="preserve">. Dávky </w:t>
      </w:r>
      <w:r w:rsidR="00A8517E">
        <w:rPr>
          <w:szCs w:val="22"/>
        </w:rPr>
        <w:t xml:space="preserve">vyššie ako </w:t>
      </w:r>
      <w:r w:rsidR="006626B8" w:rsidRPr="00C349D4">
        <w:rPr>
          <w:b/>
          <w:szCs w:val="22"/>
        </w:rPr>
        <w:t>190</w:t>
      </w:r>
      <w:r w:rsidR="00A8517E">
        <w:rPr>
          <w:b/>
          <w:szCs w:val="22"/>
        </w:rPr>
        <w:t> </w:t>
      </w:r>
      <w:r w:rsidR="00B64AA8" w:rsidRPr="00C349D4">
        <w:rPr>
          <w:b/>
          <w:szCs w:val="22"/>
        </w:rPr>
        <w:t>mg</w:t>
      </w:r>
      <w:r w:rsidR="006626B8" w:rsidRPr="00C349D4">
        <w:rPr>
          <w:b/>
          <w:szCs w:val="22"/>
        </w:rPr>
        <w:t xml:space="preserve"> Metoprololu Mylan</w:t>
      </w:r>
      <w:r w:rsidR="00B64AA8" w:rsidRPr="00C349D4">
        <w:rPr>
          <w:b/>
          <w:szCs w:val="22"/>
        </w:rPr>
        <w:t xml:space="preserve"> (190</w:t>
      </w:r>
      <w:r w:rsidR="00A8517E">
        <w:rPr>
          <w:b/>
          <w:szCs w:val="22"/>
        </w:rPr>
        <w:t> </w:t>
      </w:r>
      <w:r w:rsidR="00B64AA8" w:rsidRPr="00C349D4">
        <w:rPr>
          <w:b/>
          <w:szCs w:val="22"/>
        </w:rPr>
        <w:t xml:space="preserve">mg </w:t>
      </w:r>
      <w:r w:rsidR="00B64AA8" w:rsidRPr="00C349D4">
        <w:rPr>
          <w:b/>
        </w:rPr>
        <w:t>metoprololiumsukcinátu</w:t>
      </w:r>
      <w:r w:rsidR="00B64AA8" w:rsidRPr="00C349D4">
        <w:rPr>
          <w:b/>
          <w:szCs w:val="22"/>
        </w:rPr>
        <w:t>)</w:t>
      </w:r>
      <w:r w:rsidR="00B64AA8">
        <w:rPr>
          <w:szCs w:val="22"/>
        </w:rPr>
        <w:t xml:space="preserve"> jedenkrát denne sa u detí a dospievajúcich nesledovali.</w:t>
      </w:r>
    </w:p>
    <w:p w:rsidR="00B64AA8" w:rsidRDefault="00B64AA8" w:rsidP="00C349D4">
      <w:pPr>
        <w:ind w:left="0" w:firstLine="0"/>
        <w:rPr>
          <w:szCs w:val="22"/>
        </w:rPr>
      </w:pPr>
      <w:r>
        <w:rPr>
          <w:szCs w:val="22"/>
        </w:rPr>
        <w:t>Účinnosť a bezpečnosť používania u detí</w:t>
      </w:r>
      <w:r w:rsidR="000A3270" w:rsidRPr="00FF7B1B">
        <w:rPr>
          <w:iCs/>
          <w:szCs w:val="22"/>
        </w:rPr>
        <w:t xml:space="preserve"> &lt; </w:t>
      </w:r>
      <w:r>
        <w:rPr>
          <w:szCs w:val="22"/>
        </w:rPr>
        <w:t>6</w:t>
      </w:r>
      <w:r w:rsidR="00A8517E">
        <w:rPr>
          <w:szCs w:val="22"/>
        </w:rPr>
        <w:t> </w:t>
      </w:r>
      <w:r>
        <w:rPr>
          <w:szCs w:val="22"/>
        </w:rPr>
        <w:t>rokov sa nesledovala. Preto sa v tejto vekovej skupine Metoprolol Mylan neodporúča.</w:t>
      </w:r>
    </w:p>
    <w:p w:rsidR="00CF2767" w:rsidRPr="006934F5" w:rsidRDefault="00CF2767" w:rsidP="00F05EF4">
      <w:pPr>
        <w:rPr>
          <w:szCs w:val="22"/>
        </w:rPr>
      </w:pPr>
    </w:p>
    <w:p w:rsidR="00F05EF4" w:rsidRPr="00C349D4" w:rsidRDefault="00F05EF4" w:rsidP="009E729A">
      <w:pPr>
        <w:keepNext/>
        <w:rPr>
          <w:szCs w:val="22"/>
          <w:u w:val="single"/>
        </w:rPr>
      </w:pPr>
      <w:r w:rsidRPr="00C349D4">
        <w:rPr>
          <w:szCs w:val="22"/>
          <w:u w:val="single"/>
        </w:rPr>
        <w:t>Angína pektoris</w:t>
      </w:r>
    </w:p>
    <w:p w:rsidR="00F05EF4" w:rsidRPr="006934F5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47,5 až 190 mg metopr</w:t>
      </w:r>
      <w:smartTag w:uri="urn:schemas-microsoft-com:office:smarttags" w:element="PersonName">
        <w:r w:rsidRPr="006934F5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liumsukcinátu jedenkrát denne. V prípade potreby sa k liečbe môže pridať ďalší liek na liečbu koronárneho ochorenia srdca.</w:t>
      </w:r>
    </w:p>
    <w:p w:rsidR="00F05EF4" w:rsidRPr="006934F5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F05EF4" w:rsidRPr="00C349D4" w:rsidRDefault="00F05EF4" w:rsidP="009E729A">
      <w:pPr>
        <w:pStyle w:val="Texttelo"/>
        <w:keepNext/>
        <w:widowControl/>
        <w:ind w:left="567" w:hanging="567"/>
        <w:jc w:val="left"/>
        <w:rPr>
          <w:rFonts w:ascii="Times New Roman" w:hAnsi="Times New Roman"/>
          <w:color w:val="auto"/>
          <w:spacing w:val="0"/>
          <w:sz w:val="22"/>
          <w:szCs w:val="22"/>
          <w:u w:val="single"/>
          <w:lang w:val="sk-SK"/>
        </w:rPr>
      </w:pPr>
      <w:r w:rsidRPr="00C349D4">
        <w:rPr>
          <w:rFonts w:ascii="Times New Roman" w:hAnsi="Times New Roman"/>
          <w:color w:val="auto"/>
          <w:spacing w:val="0"/>
          <w:sz w:val="22"/>
          <w:szCs w:val="22"/>
          <w:u w:val="single"/>
          <w:lang w:val="sk-SK"/>
        </w:rPr>
        <w:t>Tachyarytmie</w:t>
      </w:r>
    </w:p>
    <w:p w:rsidR="00F05EF4" w:rsidRPr="006934F5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47,5 až 190 mg metopr</w:t>
      </w:r>
      <w:smartTag w:uri="urn:schemas-microsoft-com:office:smarttags" w:element="PersonName">
        <w:r w:rsidRPr="006934F5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liumsukcinátu jedenkrát denne.</w:t>
      </w:r>
    </w:p>
    <w:p w:rsidR="00F05EF4" w:rsidRPr="006934F5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F05EF4" w:rsidRPr="00C349D4" w:rsidRDefault="00F05EF4" w:rsidP="009E729A">
      <w:pPr>
        <w:keepNext/>
        <w:rPr>
          <w:szCs w:val="22"/>
          <w:u w:val="single"/>
        </w:rPr>
      </w:pPr>
      <w:r w:rsidRPr="00C349D4">
        <w:rPr>
          <w:szCs w:val="22"/>
          <w:u w:val="single"/>
        </w:rPr>
        <w:t xml:space="preserve">Udržiavacia liečba </w:t>
      </w:r>
      <w:r w:rsidR="00B64AA8" w:rsidRPr="00C349D4">
        <w:rPr>
          <w:szCs w:val="22"/>
          <w:u w:val="single"/>
        </w:rPr>
        <w:t xml:space="preserve">po </w:t>
      </w:r>
      <w:r w:rsidRPr="00C349D4">
        <w:rPr>
          <w:szCs w:val="22"/>
          <w:u w:val="single"/>
        </w:rPr>
        <w:t>infarkt</w:t>
      </w:r>
      <w:r w:rsidR="00B64AA8" w:rsidRPr="00C349D4">
        <w:rPr>
          <w:szCs w:val="22"/>
          <w:u w:val="single"/>
        </w:rPr>
        <w:t>e</w:t>
      </w:r>
      <w:r w:rsidRPr="00C349D4">
        <w:rPr>
          <w:szCs w:val="22"/>
          <w:u w:val="single"/>
        </w:rPr>
        <w:t xml:space="preserve"> myokardu</w:t>
      </w:r>
    </w:p>
    <w:p w:rsidR="00F05EF4" w:rsidRPr="006934F5" w:rsidRDefault="00F05EF4" w:rsidP="00F05EF4">
      <w:pPr>
        <w:rPr>
          <w:szCs w:val="22"/>
        </w:rPr>
      </w:pPr>
      <w:r w:rsidRPr="006934F5">
        <w:rPr>
          <w:szCs w:val="22"/>
        </w:rPr>
        <w:t>95 až 190 mg metopr</w:t>
      </w:r>
      <w:smartTag w:uri="urn:schemas-microsoft-com:office:smarttags" w:element="PersonName">
        <w:r w:rsidRPr="006934F5">
          <w:rPr>
            <w:szCs w:val="22"/>
          </w:rPr>
          <w:t>olo</w:t>
        </w:r>
      </w:smartTag>
      <w:r w:rsidRPr="006934F5">
        <w:rPr>
          <w:szCs w:val="22"/>
        </w:rPr>
        <w:t>liumsukcinátu jedenkrát denne.</w:t>
      </w:r>
    </w:p>
    <w:p w:rsidR="00F05EF4" w:rsidRPr="006934F5" w:rsidRDefault="00F05EF4" w:rsidP="00F05EF4">
      <w:pPr>
        <w:rPr>
          <w:szCs w:val="22"/>
        </w:rPr>
      </w:pPr>
    </w:p>
    <w:p w:rsidR="00F05EF4" w:rsidRPr="00C349D4" w:rsidRDefault="004C18B8" w:rsidP="009E729A">
      <w:pPr>
        <w:keepNext/>
        <w:rPr>
          <w:szCs w:val="22"/>
          <w:u w:val="single"/>
        </w:rPr>
      </w:pPr>
      <w:r w:rsidRPr="00C349D4">
        <w:rPr>
          <w:szCs w:val="22"/>
          <w:u w:val="single"/>
        </w:rPr>
        <w:t>H</w:t>
      </w:r>
      <w:r w:rsidR="00F05EF4" w:rsidRPr="00C349D4">
        <w:rPr>
          <w:szCs w:val="22"/>
          <w:u w:val="single"/>
        </w:rPr>
        <w:t>yperkinetický srdcový syndróm</w:t>
      </w:r>
    </w:p>
    <w:p w:rsidR="00F05EF4" w:rsidRPr="006934F5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47,5 až 190 mg metopr</w:t>
      </w:r>
      <w:smartTag w:uri="urn:schemas-microsoft-com:office:smarttags" w:element="PersonName">
        <w:r w:rsidRPr="006934F5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liumsukcinátu jedenkrát denne.</w:t>
      </w:r>
    </w:p>
    <w:p w:rsidR="00F05EF4" w:rsidRPr="006934F5" w:rsidRDefault="00F05EF4" w:rsidP="00F05EF4">
      <w:pPr>
        <w:rPr>
          <w:szCs w:val="22"/>
        </w:rPr>
      </w:pPr>
    </w:p>
    <w:p w:rsidR="00F05EF4" w:rsidRPr="00C349D4" w:rsidRDefault="00F05EF4" w:rsidP="009E729A">
      <w:pPr>
        <w:keepNext/>
        <w:rPr>
          <w:szCs w:val="22"/>
          <w:u w:val="single"/>
        </w:rPr>
      </w:pPr>
      <w:r w:rsidRPr="00C349D4">
        <w:rPr>
          <w:szCs w:val="22"/>
          <w:u w:val="single"/>
        </w:rPr>
        <w:t>Profylaxia migrény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95</w:t>
      </w:r>
      <w:r w:rsidR="00A8517E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mg metoprololiumsukcinátu jedenkrát denne. Obyčajne postačuje podanie 95 mg metopr</w:t>
      </w:r>
      <w:smartTag w:uri="urn:schemas-microsoft-com:office:smarttags" w:element="PersonName">
        <w:r w:rsidRPr="006934F5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liumsukcinátu jedenkrát denne.</w:t>
      </w:r>
    </w:p>
    <w:p w:rsidR="001A5640" w:rsidRPr="00252091" w:rsidRDefault="001A5640" w:rsidP="00F05EF4">
      <w:pPr>
        <w:rPr>
          <w:szCs w:val="22"/>
        </w:rPr>
      </w:pPr>
    </w:p>
    <w:p w:rsidR="00F05EF4" w:rsidRPr="00C349D4" w:rsidRDefault="00F05EF4" w:rsidP="009E729A">
      <w:pPr>
        <w:keepNext/>
        <w:rPr>
          <w:i/>
          <w:szCs w:val="22"/>
        </w:rPr>
      </w:pPr>
      <w:r w:rsidRPr="00C349D4">
        <w:rPr>
          <w:i/>
          <w:szCs w:val="22"/>
        </w:rPr>
        <w:t>Porucha funkcie obličiek</w:t>
      </w:r>
    </w:p>
    <w:p w:rsidR="00F05EF4" w:rsidRPr="00252091" w:rsidRDefault="00F05EF4" w:rsidP="00F05EF4">
      <w:pPr>
        <w:rPr>
          <w:szCs w:val="22"/>
        </w:rPr>
      </w:pPr>
      <w:r w:rsidRPr="00252091">
        <w:rPr>
          <w:szCs w:val="22"/>
        </w:rPr>
        <w:t xml:space="preserve">Úprava dávky </w:t>
      </w:r>
      <w:r>
        <w:rPr>
          <w:szCs w:val="22"/>
        </w:rPr>
        <w:t>nie je potrebná</w:t>
      </w:r>
      <w:r w:rsidRPr="00252091">
        <w:rPr>
          <w:szCs w:val="22"/>
        </w:rPr>
        <w:t>.</w:t>
      </w:r>
    </w:p>
    <w:p w:rsidR="00F05EF4" w:rsidRDefault="00F05EF4" w:rsidP="00F05EF4">
      <w:pPr>
        <w:rPr>
          <w:szCs w:val="22"/>
        </w:rPr>
      </w:pPr>
    </w:p>
    <w:p w:rsidR="00F05EF4" w:rsidRPr="00C349D4" w:rsidRDefault="00F05EF4" w:rsidP="009E729A">
      <w:pPr>
        <w:keepNext/>
        <w:rPr>
          <w:i/>
          <w:szCs w:val="22"/>
        </w:rPr>
      </w:pPr>
      <w:r w:rsidRPr="00C349D4">
        <w:rPr>
          <w:i/>
          <w:szCs w:val="22"/>
        </w:rPr>
        <w:t>Porucha funkcie pečene</w:t>
      </w: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U</w:t>
      </w:r>
      <w:r w:rsidR="00A8517E">
        <w:rPr>
          <w:szCs w:val="22"/>
        </w:rPr>
        <w:t> </w:t>
      </w:r>
      <w:r w:rsidRPr="00252091">
        <w:rPr>
          <w:szCs w:val="22"/>
        </w:rPr>
        <w:t xml:space="preserve">pacientov so závažným zlyhaním pečene, napr. </w:t>
      </w:r>
      <w:r>
        <w:rPr>
          <w:szCs w:val="22"/>
        </w:rPr>
        <w:t>pri liečbe</w:t>
      </w:r>
      <w:r w:rsidRPr="00252091">
        <w:rPr>
          <w:szCs w:val="22"/>
        </w:rPr>
        <w:t xml:space="preserve"> pacientov s portokaválnym shuntom, sa má zvážiť zníženie dávky (pozri časť 5.2).</w:t>
      </w:r>
    </w:p>
    <w:p w:rsidR="00F05EF4" w:rsidRPr="00252091" w:rsidRDefault="00F05EF4" w:rsidP="00F05EF4">
      <w:pPr>
        <w:rPr>
          <w:szCs w:val="22"/>
        </w:rPr>
      </w:pPr>
    </w:p>
    <w:p w:rsidR="00F05EF4" w:rsidRPr="00C349D4" w:rsidRDefault="00F05EF4" w:rsidP="009E729A">
      <w:pPr>
        <w:keepNext/>
        <w:rPr>
          <w:i/>
          <w:szCs w:val="22"/>
        </w:rPr>
      </w:pPr>
      <w:r w:rsidRPr="00C349D4">
        <w:rPr>
          <w:i/>
          <w:szCs w:val="22"/>
        </w:rPr>
        <w:t xml:space="preserve">Starší </w:t>
      </w:r>
      <w:r w:rsidR="00132B2A" w:rsidRPr="00C349D4">
        <w:rPr>
          <w:i/>
          <w:szCs w:val="22"/>
        </w:rPr>
        <w:t>ľudia</w:t>
      </w: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Nie sú dostatočné údaje o</w:t>
      </w:r>
      <w:r w:rsidR="00A8517E">
        <w:rPr>
          <w:szCs w:val="22"/>
        </w:rPr>
        <w:t> </w:t>
      </w:r>
      <w:r w:rsidRPr="00252091">
        <w:rPr>
          <w:szCs w:val="22"/>
        </w:rPr>
        <w:t>použití u</w:t>
      </w:r>
      <w:r w:rsidR="00A8517E">
        <w:rPr>
          <w:szCs w:val="22"/>
        </w:rPr>
        <w:t> </w:t>
      </w:r>
      <w:r w:rsidRPr="00252091">
        <w:rPr>
          <w:szCs w:val="22"/>
        </w:rPr>
        <w:t xml:space="preserve">pacientov vo veku nad 80 rokov. Pri zvyšovaní dávky u týchto pacientov sa </w:t>
      </w:r>
      <w:r>
        <w:rPr>
          <w:szCs w:val="22"/>
        </w:rPr>
        <w:t xml:space="preserve">preto </w:t>
      </w:r>
      <w:r w:rsidRPr="00252091">
        <w:rPr>
          <w:szCs w:val="22"/>
        </w:rPr>
        <w:t>vyžaduje osobitná opatrnosť.</w:t>
      </w:r>
    </w:p>
    <w:p w:rsidR="00F05EF4" w:rsidRPr="00252091" w:rsidRDefault="00F05EF4" w:rsidP="00F05EF4">
      <w:pPr>
        <w:ind w:left="0" w:firstLine="0"/>
        <w:rPr>
          <w:szCs w:val="22"/>
        </w:rPr>
      </w:pPr>
    </w:p>
    <w:p w:rsidR="00F05EF4" w:rsidRPr="00C349D4" w:rsidRDefault="00132B2A" w:rsidP="009E729A">
      <w:pPr>
        <w:keepNext/>
        <w:rPr>
          <w:i/>
          <w:szCs w:val="22"/>
        </w:rPr>
      </w:pPr>
      <w:r w:rsidRPr="00C349D4">
        <w:rPr>
          <w:i/>
          <w:szCs w:val="22"/>
        </w:rPr>
        <w:t>Pediatrická populácia</w:t>
      </w: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noProof/>
        </w:rPr>
        <w:t>Skúsenosti s použitím u detí a</w:t>
      </w:r>
      <w:r w:rsidR="00A8517E">
        <w:rPr>
          <w:noProof/>
        </w:rPr>
        <w:t> </w:t>
      </w:r>
      <w:r w:rsidRPr="00252091">
        <w:rPr>
          <w:noProof/>
        </w:rPr>
        <w:t>dospievajúcich sú obmedzené</w:t>
      </w:r>
      <w:r w:rsidRPr="00252091">
        <w:rPr>
          <w:szCs w:val="22"/>
        </w:rPr>
        <w:t xml:space="preserve">. </w:t>
      </w:r>
      <w:r>
        <w:rPr>
          <w:szCs w:val="22"/>
        </w:rPr>
        <w:t>Metopr</w:t>
      </w:r>
      <w:smartTag w:uri="urn:schemas-microsoft-com:office:smarttags" w:element="PersonName">
        <w:r>
          <w:rPr>
            <w:szCs w:val="22"/>
          </w:rPr>
          <w:t>olo</w:t>
        </w:r>
      </w:smartTag>
      <w:r>
        <w:rPr>
          <w:szCs w:val="22"/>
        </w:rPr>
        <w:t>l Mylan</w:t>
      </w:r>
      <w:r w:rsidRPr="00252091">
        <w:rPr>
          <w:noProof/>
        </w:rPr>
        <w:t xml:space="preserve"> sa preto n</w:t>
      </w:r>
      <w:r w:rsidRPr="00252091">
        <w:rPr>
          <w:szCs w:val="22"/>
        </w:rPr>
        <w:t xml:space="preserve">eodporúča </w:t>
      </w:r>
      <w:r>
        <w:rPr>
          <w:szCs w:val="22"/>
        </w:rPr>
        <w:t>používať u detí a dospievajúcich</w:t>
      </w:r>
      <w:r w:rsidRPr="00252091">
        <w:rPr>
          <w:noProof/>
        </w:rPr>
        <w:t>.</w:t>
      </w:r>
    </w:p>
    <w:p w:rsidR="00F05EF4" w:rsidRPr="00252091" w:rsidRDefault="00F05EF4" w:rsidP="00F05EF4">
      <w:pPr>
        <w:rPr>
          <w:szCs w:val="22"/>
        </w:rPr>
      </w:pPr>
    </w:p>
    <w:p w:rsidR="00F05EF4" w:rsidRPr="00C349D4" w:rsidRDefault="00F05EF4" w:rsidP="009E729A">
      <w:pPr>
        <w:keepNext/>
        <w:rPr>
          <w:i/>
          <w:szCs w:val="22"/>
        </w:rPr>
      </w:pPr>
      <w:r w:rsidRPr="00C349D4">
        <w:rPr>
          <w:i/>
          <w:szCs w:val="22"/>
        </w:rPr>
        <w:t>Úprava dávky alebo ukončenie liečby</w:t>
      </w:r>
    </w:p>
    <w:p w:rsidR="00F05EF4" w:rsidRPr="00252091" w:rsidRDefault="00F05EF4" w:rsidP="00F05EF4">
      <w:pPr>
        <w:rPr>
          <w:szCs w:val="22"/>
        </w:rPr>
      </w:pPr>
      <w:r w:rsidRPr="00252091">
        <w:rPr>
          <w:szCs w:val="22"/>
        </w:rPr>
        <w:t xml:space="preserve">Akékoľvek ukončenie liečby alebo úprava dávky sa má </w:t>
      </w:r>
      <w:r>
        <w:rPr>
          <w:szCs w:val="22"/>
        </w:rPr>
        <w:t>uskutočni</w:t>
      </w:r>
      <w:r w:rsidRPr="00252091">
        <w:rPr>
          <w:szCs w:val="22"/>
        </w:rPr>
        <w:t>ť iba na odporúčanie lekára.</w:t>
      </w:r>
    </w:p>
    <w:p w:rsidR="00F05EF4" w:rsidRDefault="00F05EF4" w:rsidP="00F05EF4">
      <w:pPr>
        <w:rPr>
          <w:szCs w:val="22"/>
        </w:rPr>
      </w:pPr>
      <w:r w:rsidRPr="00252091">
        <w:rPr>
          <w:szCs w:val="22"/>
        </w:rPr>
        <w:t>Trvanie liečby je určené ošetrujúcim lekárom.</w:t>
      </w:r>
    </w:p>
    <w:p w:rsidR="00132B2A" w:rsidRPr="00252091" w:rsidRDefault="00132B2A" w:rsidP="00F05EF4">
      <w:pPr>
        <w:rPr>
          <w:szCs w:val="22"/>
        </w:rPr>
      </w:pPr>
    </w:p>
    <w:p w:rsidR="00F05EF4" w:rsidRDefault="00F05EF4" w:rsidP="00F05EF4">
      <w:pPr>
        <w:ind w:left="0" w:firstLine="0"/>
        <w:rPr>
          <w:szCs w:val="22"/>
        </w:rPr>
      </w:pPr>
      <w:r w:rsidRPr="00D77790">
        <w:rPr>
          <w:szCs w:val="22"/>
        </w:rPr>
        <w:t xml:space="preserve">Ak je potrebné liečbu metoprololom prerušiť alebo </w:t>
      </w:r>
      <w:r>
        <w:rPr>
          <w:szCs w:val="22"/>
        </w:rPr>
        <w:t>ukončiť</w:t>
      </w:r>
      <w:r w:rsidRPr="00D77790">
        <w:rPr>
          <w:szCs w:val="22"/>
        </w:rPr>
        <w:t xml:space="preserve"> (o</w:t>
      </w:r>
      <w:r>
        <w:rPr>
          <w:szCs w:val="22"/>
        </w:rPr>
        <w:t>bzvlášť</w:t>
      </w:r>
      <w:r w:rsidRPr="00D77790">
        <w:rPr>
          <w:szCs w:val="22"/>
        </w:rPr>
        <w:t xml:space="preserve"> u pacientov so zlyhaním srdca, </w:t>
      </w:r>
      <w:r>
        <w:rPr>
          <w:szCs w:val="22"/>
        </w:rPr>
        <w:t>koronárnym ochorením</w:t>
      </w:r>
      <w:r w:rsidRPr="00D77790">
        <w:rPr>
          <w:szCs w:val="22"/>
        </w:rPr>
        <w:t xml:space="preserve"> srdca alebo infarktom myokardu), </w:t>
      </w:r>
      <w:r>
        <w:rPr>
          <w:szCs w:val="22"/>
        </w:rPr>
        <w:t>vždy sa to má</w:t>
      </w:r>
      <w:r w:rsidRPr="00D77790">
        <w:rPr>
          <w:szCs w:val="22"/>
        </w:rPr>
        <w:t xml:space="preserve"> uskutočňovať pomaly a postupne počas doby minimálne dvoch týždňov, znižovaním dávky po krokoch na polovicu až do</w:t>
      </w:r>
      <w:r>
        <w:rPr>
          <w:szCs w:val="22"/>
        </w:rPr>
        <w:t> </w:t>
      </w:r>
      <w:r w:rsidRPr="00D77790">
        <w:rPr>
          <w:szCs w:val="22"/>
        </w:rPr>
        <w:t>dosiahnutia najnižšej dávky, ktorou je polovica 23,7</w:t>
      </w:r>
      <w:r>
        <w:rPr>
          <w:szCs w:val="22"/>
        </w:rPr>
        <w:t>5</w:t>
      </w:r>
      <w:r w:rsidRPr="00D77790">
        <w:rPr>
          <w:szCs w:val="22"/>
        </w:rPr>
        <w:t> </w:t>
      </w:r>
      <w:r w:rsidRPr="00D77790">
        <w:t>mg</w:t>
      </w:r>
      <w:r w:rsidRPr="00D77790">
        <w:rPr>
          <w:szCs w:val="22"/>
        </w:rPr>
        <w:t xml:space="preserve"> tablety</w:t>
      </w:r>
      <w:r w:rsidR="004C18B8">
        <w:rPr>
          <w:szCs w:val="22"/>
        </w:rPr>
        <w:t xml:space="preserve"> </w:t>
      </w:r>
      <w:r w:rsidR="004C18B8" w:rsidRPr="00252091">
        <w:t>metoprololiumsukcinátu</w:t>
      </w:r>
      <w:r w:rsidRPr="00D77790">
        <w:rPr>
          <w:szCs w:val="22"/>
        </w:rPr>
        <w:t>. Posledná dávka sa má užívať aspoň štyri dni pred ukončením liečby. Pri rozvinutí symptómov je potrebné proces spomaliť</w:t>
      </w:r>
      <w:r w:rsidR="004C18B8">
        <w:rPr>
          <w:szCs w:val="22"/>
        </w:rPr>
        <w:t xml:space="preserve"> (pozri časť 4.4)</w:t>
      </w:r>
      <w:r w:rsidRPr="00252091">
        <w:rPr>
          <w:szCs w:val="22"/>
        </w:rPr>
        <w:t>.</w:t>
      </w:r>
    </w:p>
    <w:p w:rsidR="00132B2A" w:rsidRDefault="00132B2A" w:rsidP="00F05EF4">
      <w:pPr>
        <w:ind w:left="0" w:firstLine="0"/>
        <w:rPr>
          <w:szCs w:val="22"/>
        </w:rPr>
      </w:pPr>
    </w:p>
    <w:p w:rsidR="00132B2A" w:rsidRDefault="00132B2A" w:rsidP="009E729A">
      <w:pPr>
        <w:keepNext/>
        <w:rPr>
          <w:szCs w:val="22"/>
          <w:u w:val="single"/>
        </w:rPr>
      </w:pPr>
      <w:r>
        <w:rPr>
          <w:szCs w:val="22"/>
          <w:u w:val="single"/>
        </w:rPr>
        <w:t>Spôsob pod</w:t>
      </w:r>
      <w:r w:rsidR="00C74977">
        <w:rPr>
          <w:szCs w:val="22"/>
          <w:u w:val="single"/>
        </w:rPr>
        <w:t>ania</w:t>
      </w:r>
    </w:p>
    <w:p w:rsidR="00132B2A" w:rsidRPr="00252091" w:rsidRDefault="00132B2A" w:rsidP="00132B2A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Metoprolol Mylan sa má užívať jedenkrát denne,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s</w:t>
      </w:r>
      <w:r w:rsidR="00C7497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 jedlom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alebo bez jedla, </w:t>
      </w:r>
      <w:r w:rsidR="00B5596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najlepšie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ráno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. Tablety sa majú prehltnúť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vcelku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alebo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sa majú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rozdel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iť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 ale nesmú sa žuvať ani drviť. Tablety sa majú zapiť vodou (minimálne pol pohára).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4.3</w:t>
      </w:r>
      <w:r w:rsidRPr="00252091">
        <w:rPr>
          <w:b/>
          <w:szCs w:val="22"/>
        </w:rPr>
        <w:tab/>
        <w:t xml:space="preserve">Kontraindikácie </w:t>
      </w:r>
    </w:p>
    <w:p w:rsidR="00F05EF4" w:rsidRPr="00252091" w:rsidRDefault="00F05EF4" w:rsidP="009E729A">
      <w:pPr>
        <w:keepNext/>
        <w:rPr>
          <w:szCs w:val="22"/>
        </w:rPr>
      </w:pPr>
    </w:p>
    <w:p w:rsidR="00F05EF4" w:rsidRPr="00252091" w:rsidRDefault="00F05EF4" w:rsidP="009E729A">
      <w:pPr>
        <w:keepNext/>
        <w:rPr>
          <w:szCs w:val="22"/>
        </w:rPr>
      </w:pPr>
      <w:r w:rsidRPr="00252091">
        <w:rPr>
          <w:szCs w:val="22"/>
        </w:rPr>
        <w:t>Metopr</w:t>
      </w:r>
      <w:smartTag w:uri="urn:schemas-microsoft-com:office:smarttags" w:element="PersonName">
        <w:r w:rsidRPr="00252091">
          <w:rPr>
            <w:szCs w:val="22"/>
          </w:rPr>
          <w:t>olo</w:t>
        </w:r>
      </w:smartTag>
      <w:r w:rsidRPr="00252091">
        <w:rPr>
          <w:szCs w:val="22"/>
        </w:rPr>
        <w:t>l je kontraindikovaný v prípade:</w:t>
      </w:r>
    </w:p>
    <w:p w:rsidR="00F05EF4" w:rsidRPr="00252091" w:rsidRDefault="00F05EF4" w:rsidP="00D96330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 xml:space="preserve">precitlivenosti na </w:t>
      </w:r>
      <w:r w:rsidR="00132B2A">
        <w:rPr>
          <w:szCs w:val="22"/>
        </w:rPr>
        <w:t>liečivo</w:t>
      </w:r>
      <w:r w:rsidRPr="00252091">
        <w:rPr>
          <w:szCs w:val="22"/>
        </w:rPr>
        <w:t>, iné betablokátory alebo na ktorúkoľvek z</w:t>
      </w:r>
      <w:r w:rsidR="00B55966">
        <w:rPr>
          <w:szCs w:val="22"/>
        </w:rPr>
        <w:t> </w:t>
      </w:r>
      <w:r w:rsidRPr="00252091">
        <w:rPr>
          <w:szCs w:val="22"/>
        </w:rPr>
        <w:t>pomocných látok</w:t>
      </w:r>
      <w:r w:rsidR="00132B2A">
        <w:rPr>
          <w:szCs w:val="22"/>
        </w:rPr>
        <w:t xml:space="preserve"> uvedených v časti 6.1</w:t>
      </w:r>
      <w:r w:rsidR="00B55966">
        <w:rPr>
          <w:szCs w:val="22"/>
        </w:rPr>
        <w:t>,</w:t>
      </w:r>
    </w:p>
    <w:p w:rsidR="00F05EF4" w:rsidRPr="00252091" w:rsidRDefault="00F05EF4" w:rsidP="00D96330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>atrioventrikulárnej</w:t>
      </w:r>
      <w:r w:rsidRPr="00252091" w:rsidDel="00A64F75">
        <w:rPr>
          <w:szCs w:val="22"/>
        </w:rPr>
        <w:t xml:space="preserve"> </w:t>
      </w:r>
      <w:r w:rsidRPr="00252091">
        <w:rPr>
          <w:szCs w:val="22"/>
        </w:rPr>
        <w:t>blokád</w:t>
      </w:r>
      <w:r>
        <w:rPr>
          <w:szCs w:val="22"/>
        </w:rPr>
        <w:t>y</w:t>
      </w:r>
      <w:r w:rsidRPr="00252091">
        <w:rPr>
          <w:szCs w:val="22"/>
        </w:rPr>
        <w:t xml:space="preserve"> druhého alebo tretieho stupňa</w:t>
      </w:r>
      <w:r w:rsidR="00B55966">
        <w:rPr>
          <w:szCs w:val="22"/>
        </w:rPr>
        <w:t>,</w:t>
      </w:r>
    </w:p>
    <w:p w:rsidR="00F05EF4" w:rsidRPr="00252091" w:rsidRDefault="00F05EF4" w:rsidP="00B55966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>sinoatri</w:t>
      </w:r>
      <w:r>
        <w:rPr>
          <w:szCs w:val="22"/>
        </w:rPr>
        <w:t>á</w:t>
      </w:r>
      <w:r w:rsidRPr="00252091">
        <w:rPr>
          <w:szCs w:val="22"/>
        </w:rPr>
        <w:t>lnej blokády vysokého stupňa</w:t>
      </w:r>
      <w:r w:rsidR="00B55966">
        <w:rPr>
          <w:szCs w:val="22"/>
        </w:rPr>
        <w:t>,</w:t>
      </w:r>
    </w:p>
    <w:p w:rsidR="00F05EF4" w:rsidRPr="00252091" w:rsidRDefault="00F05EF4" w:rsidP="00D96330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>zjavnej a</w:t>
      </w:r>
      <w:r w:rsidR="00B55966">
        <w:rPr>
          <w:szCs w:val="22"/>
        </w:rPr>
        <w:t> </w:t>
      </w:r>
      <w:r w:rsidRPr="00252091">
        <w:rPr>
          <w:szCs w:val="22"/>
        </w:rPr>
        <w:t>klinicky významn</w:t>
      </w:r>
      <w:r>
        <w:rPr>
          <w:szCs w:val="22"/>
        </w:rPr>
        <w:t>ej</w:t>
      </w:r>
      <w:r w:rsidRPr="00252091">
        <w:rPr>
          <w:szCs w:val="22"/>
        </w:rPr>
        <w:t xml:space="preserve"> sínusovej bradykardie (srdcová frekvencia &lt;</w:t>
      </w:r>
      <w:r w:rsidR="00772275">
        <w:rPr>
          <w:szCs w:val="22"/>
        </w:rPr>
        <w:t> </w:t>
      </w:r>
      <w:r w:rsidRPr="00252091">
        <w:rPr>
          <w:szCs w:val="22"/>
        </w:rPr>
        <w:t>50</w:t>
      </w:r>
      <w:r w:rsidR="00B55966">
        <w:rPr>
          <w:szCs w:val="22"/>
        </w:rPr>
        <w:t> </w:t>
      </w:r>
      <w:r w:rsidRPr="00252091">
        <w:rPr>
          <w:szCs w:val="22"/>
        </w:rPr>
        <w:t>úderov</w:t>
      </w:r>
      <w:r>
        <w:rPr>
          <w:szCs w:val="22"/>
        </w:rPr>
        <w:t>/min</w:t>
      </w:r>
      <w:r w:rsidR="00132B2A">
        <w:rPr>
          <w:szCs w:val="22"/>
        </w:rPr>
        <w:t xml:space="preserve"> v pokoji pred liečbou</w:t>
      </w:r>
      <w:r>
        <w:rPr>
          <w:szCs w:val="22"/>
        </w:rPr>
        <w:t>)</w:t>
      </w:r>
      <w:r w:rsidR="00B55966">
        <w:rPr>
          <w:szCs w:val="22"/>
        </w:rPr>
        <w:t>,</w:t>
      </w:r>
    </w:p>
    <w:p w:rsidR="00F05EF4" w:rsidRPr="00252091" w:rsidRDefault="00F05EF4" w:rsidP="00D96330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>syndrómu</w:t>
      </w:r>
      <w:r>
        <w:rPr>
          <w:szCs w:val="22"/>
        </w:rPr>
        <w:t xml:space="preserve"> chorého sínusového uzla</w:t>
      </w:r>
      <w:r w:rsidR="00B55966">
        <w:rPr>
          <w:szCs w:val="22"/>
        </w:rPr>
        <w:t>,</w:t>
      </w:r>
    </w:p>
    <w:p w:rsidR="00F05EF4" w:rsidRPr="00252091" w:rsidRDefault="00F05EF4" w:rsidP="00D96330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>kardiogénneho šoku</w:t>
      </w:r>
      <w:r w:rsidR="00B55966">
        <w:rPr>
          <w:szCs w:val="22"/>
        </w:rPr>
        <w:t>,</w:t>
      </w:r>
    </w:p>
    <w:p w:rsidR="00F05EF4" w:rsidRPr="00252091" w:rsidRDefault="00F05EF4" w:rsidP="00D96330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>závažných obehových p</w:t>
      </w:r>
      <w:r>
        <w:rPr>
          <w:szCs w:val="22"/>
        </w:rPr>
        <w:t>orú</w:t>
      </w:r>
      <w:r w:rsidRPr="00252091">
        <w:rPr>
          <w:szCs w:val="22"/>
        </w:rPr>
        <w:t>ch periférnych artérií</w:t>
      </w:r>
      <w:r w:rsidR="00B55966">
        <w:rPr>
          <w:szCs w:val="22"/>
        </w:rPr>
        <w:t>,</w:t>
      </w:r>
    </w:p>
    <w:p w:rsidR="00F05EF4" w:rsidRDefault="00F05EF4" w:rsidP="00D96330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>hypotenzi</w:t>
      </w:r>
      <w:r>
        <w:rPr>
          <w:szCs w:val="22"/>
        </w:rPr>
        <w:t>e</w:t>
      </w:r>
      <w:r w:rsidRPr="00252091">
        <w:rPr>
          <w:szCs w:val="22"/>
        </w:rPr>
        <w:t xml:space="preserve"> (systolický tlak &lt; 90</w:t>
      </w:r>
      <w:r w:rsidR="00B55966">
        <w:rPr>
          <w:szCs w:val="22"/>
        </w:rPr>
        <w:t> </w:t>
      </w:r>
      <w:r w:rsidRPr="00252091">
        <w:rPr>
          <w:szCs w:val="22"/>
        </w:rPr>
        <w:t>mmHg)</w:t>
      </w:r>
      <w:r w:rsidR="00B55966">
        <w:rPr>
          <w:szCs w:val="22"/>
        </w:rPr>
        <w:t>,</w:t>
      </w:r>
    </w:p>
    <w:p w:rsidR="00F05EF4" w:rsidRPr="008F7074" w:rsidRDefault="00F05EF4" w:rsidP="00D96330">
      <w:pPr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neliečeného </w:t>
      </w:r>
      <w:r w:rsidRPr="008F7074">
        <w:rPr>
          <w:szCs w:val="22"/>
        </w:rPr>
        <w:t>feochromocytóm</w:t>
      </w:r>
      <w:r>
        <w:rPr>
          <w:szCs w:val="22"/>
        </w:rPr>
        <w:t>u</w:t>
      </w:r>
      <w:r w:rsidR="00B55966">
        <w:rPr>
          <w:szCs w:val="22"/>
        </w:rPr>
        <w:t>,</w:t>
      </w:r>
    </w:p>
    <w:p w:rsidR="00F05EF4" w:rsidRPr="00252091" w:rsidRDefault="00F05EF4" w:rsidP="00D96330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>metabolickej acidózy</w:t>
      </w:r>
      <w:r w:rsidR="00B55966">
        <w:rPr>
          <w:szCs w:val="22"/>
        </w:rPr>
        <w:t>,</w:t>
      </w:r>
    </w:p>
    <w:p w:rsidR="00F05EF4" w:rsidRPr="00252091" w:rsidRDefault="00F05EF4" w:rsidP="00D96330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>závažnej formy bronchiálnej astmy alebo chronickej obštrukčnej choroby pľúc</w:t>
      </w:r>
      <w:r w:rsidR="00B55966">
        <w:rPr>
          <w:szCs w:val="22"/>
        </w:rPr>
        <w:t>,</w:t>
      </w:r>
    </w:p>
    <w:p w:rsidR="00F05EF4" w:rsidRPr="00252091" w:rsidRDefault="00F05EF4" w:rsidP="00D96330">
      <w:pPr>
        <w:rPr>
          <w:szCs w:val="22"/>
        </w:rPr>
      </w:pPr>
      <w:r w:rsidRPr="00252091">
        <w:rPr>
          <w:szCs w:val="22"/>
        </w:rPr>
        <w:t>-</w:t>
      </w:r>
      <w:r w:rsidRPr="00252091">
        <w:rPr>
          <w:szCs w:val="22"/>
        </w:rPr>
        <w:tab/>
        <w:t xml:space="preserve">súbežného </w:t>
      </w:r>
      <w:r w:rsidR="00E576DB" w:rsidRPr="00252091">
        <w:rPr>
          <w:szCs w:val="22"/>
        </w:rPr>
        <w:t>po</w:t>
      </w:r>
      <w:r w:rsidR="00E576DB">
        <w:rPr>
          <w:szCs w:val="22"/>
        </w:rPr>
        <w:t>užívania</w:t>
      </w:r>
      <w:r w:rsidR="00E576DB" w:rsidRPr="00252091">
        <w:rPr>
          <w:szCs w:val="22"/>
        </w:rPr>
        <w:t xml:space="preserve"> </w:t>
      </w:r>
      <w:r w:rsidRPr="00252091">
        <w:rPr>
          <w:szCs w:val="22"/>
        </w:rPr>
        <w:t>inhibítorov MAO (výnimkou sú inhibítory MAO-B).</w:t>
      </w:r>
    </w:p>
    <w:p w:rsidR="00487FE3" w:rsidRDefault="00487FE3" w:rsidP="00487FE3">
      <w:pPr>
        <w:rPr>
          <w:szCs w:val="22"/>
        </w:rPr>
      </w:pPr>
    </w:p>
    <w:p w:rsidR="00487FE3" w:rsidRPr="009E729A" w:rsidRDefault="00487FE3" w:rsidP="009E729A">
      <w:pPr>
        <w:keepNext/>
        <w:rPr>
          <w:szCs w:val="22"/>
          <w:rPrChange w:id="1" w:author="Grančaiová, Zuzana" w:date="2018-08-01T10:40:00Z">
            <w:rPr>
              <w:szCs w:val="22"/>
              <w:lang w:val="en-US"/>
            </w:rPr>
          </w:rPrChange>
        </w:rPr>
      </w:pPr>
      <w:r w:rsidRPr="00487FE3">
        <w:rPr>
          <w:szCs w:val="22"/>
        </w:rPr>
        <w:t xml:space="preserve">Okrem toho, </w:t>
      </w:r>
      <w:r>
        <w:rPr>
          <w:szCs w:val="22"/>
        </w:rPr>
        <w:t xml:space="preserve">sa </w:t>
      </w:r>
      <w:r w:rsidRPr="00252091">
        <w:t>metoprololiumsukcinát</w:t>
      </w:r>
      <w:r w:rsidRPr="00487FE3">
        <w:rPr>
          <w:szCs w:val="22"/>
        </w:rPr>
        <w:t xml:space="preserve"> nesmie podávať pacientom s</w:t>
      </w:r>
      <w:r>
        <w:rPr>
          <w:szCs w:val="22"/>
        </w:rPr>
        <w:t> </w:t>
      </w:r>
      <w:r w:rsidRPr="00487FE3">
        <w:rPr>
          <w:szCs w:val="22"/>
        </w:rPr>
        <w:t>chronickou srdcovou</w:t>
      </w:r>
      <w:r w:rsidR="00E576DB">
        <w:rPr>
          <w:szCs w:val="22"/>
        </w:rPr>
        <w:t xml:space="preserve"> </w:t>
      </w:r>
      <w:r w:rsidRPr="00487FE3">
        <w:rPr>
          <w:szCs w:val="22"/>
        </w:rPr>
        <w:t>nedostatočnosťou</w:t>
      </w:r>
      <w:r>
        <w:rPr>
          <w:szCs w:val="22"/>
        </w:rPr>
        <w:t>:</w:t>
      </w:r>
    </w:p>
    <w:p w:rsidR="006250A7" w:rsidRDefault="00044894" w:rsidP="0079673B">
      <w:pPr>
        <w:pStyle w:val="Odsekzoznamu"/>
        <w:numPr>
          <w:ilvl w:val="0"/>
          <w:numId w:val="14"/>
        </w:numPr>
        <w:ind w:left="567" w:hanging="567"/>
        <w:rPr>
          <w:szCs w:val="22"/>
        </w:rPr>
      </w:pPr>
      <w:r>
        <w:rPr>
          <w:rStyle w:val="shorttext"/>
          <w:color w:val="222222"/>
        </w:rPr>
        <w:t>s</w:t>
      </w:r>
      <w:r w:rsidR="00B55966">
        <w:rPr>
          <w:rStyle w:val="shorttext"/>
          <w:color w:val="222222"/>
        </w:rPr>
        <w:t> </w:t>
      </w:r>
      <w:r w:rsidR="0079673B" w:rsidRPr="0079673B">
        <w:rPr>
          <w:rStyle w:val="shorttext"/>
          <w:color w:val="222222"/>
        </w:rPr>
        <w:t xml:space="preserve">nestabilnou, dekompenzovanou srdcovou </w:t>
      </w:r>
      <w:r w:rsidR="0079673B">
        <w:rPr>
          <w:rStyle w:val="shorttext"/>
          <w:color w:val="222222"/>
        </w:rPr>
        <w:t>insuficienciou</w:t>
      </w:r>
      <w:r w:rsidR="00487FE3" w:rsidRPr="0079673B">
        <w:rPr>
          <w:szCs w:val="22"/>
        </w:rPr>
        <w:t xml:space="preserve"> (pľúcny edém, </w:t>
      </w:r>
      <w:r w:rsidR="0079673B" w:rsidRPr="0079673B">
        <w:rPr>
          <w:szCs w:val="22"/>
        </w:rPr>
        <w:t>hypoperfúzia</w:t>
      </w:r>
      <w:r w:rsidR="006250A7">
        <w:rPr>
          <w:szCs w:val="22"/>
        </w:rPr>
        <w:t xml:space="preserve"> alebo hypotenzia)</w:t>
      </w:r>
      <w:r w:rsidR="00B55966">
        <w:rPr>
          <w:szCs w:val="22"/>
        </w:rPr>
        <w:t>,</w:t>
      </w:r>
    </w:p>
    <w:p w:rsidR="0079673B" w:rsidRDefault="006250A7" w:rsidP="0079673B">
      <w:pPr>
        <w:pStyle w:val="Odsekzoznamu"/>
        <w:numPr>
          <w:ilvl w:val="0"/>
          <w:numId w:val="14"/>
        </w:numPr>
        <w:ind w:left="567" w:hanging="567"/>
        <w:rPr>
          <w:szCs w:val="22"/>
        </w:rPr>
      </w:pPr>
      <w:r>
        <w:rPr>
          <w:szCs w:val="22"/>
        </w:rPr>
        <w:t>s</w:t>
      </w:r>
      <w:r w:rsidR="00487FE3" w:rsidRPr="0079673B">
        <w:rPr>
          <w:szCs w:val="22"/>
        </w:rPr>
        <w:t> kontinuáln</w:t>
      </w:r>
      <w:r w:rsidR="0079673B">
        <w:rPr>
          <w:szCs w:val="22"/>
        </w:rPr>
        <w:t>ou</w:t>
      </w:r>
      <w:r w:rsidR="00487FE3" w:rsidRPr="0079673B">
        <w:rPr>
          <w:szCs w:val="22"/>
        </w:rPr>
        <w:t xml:space="preserve"> alebo prerušovan</w:t>
      </w:r>
      <w:r w:rsidR="0079673B">
        <w:rPr>
          <w:szCs w:val="22"/>
        </w:rPr>
        <w:t>ou</w:t>
      </w:r>
      <w:r w:rsidR="00487FE3" w:rsidRPr="0079673B">
        <w:rPr>
          <w:szCs w:val="22"/>
        </w:rPr>
        <w:t xml:space="preserve"> liečb</w:t>
      </w:r>
      <w:r w:rsidR="0079673B">
        <w:rPr>
          <w:szCs w:val="22"/>
        </w:rPr>
        <w:t xml:space="preserve">ou </w:t>
      </w:r>
      <w:r>
        <w:rPr>
          <w:szCs w:val="22"/>
        </w:rPr>
        <w:t>pozitívnymi</w:t>
      </w:r>
      <w:r w:rsidR="00487FE3" w:rsidRPr="0079673B">
        <w:rPr>
          <w:szCs w:val="22"/>
        </w:rPr>
        <w:t xml:space="preserve"> </w:t>
      </w:r>
      <w:r w:rsidR="0079673B">
        <w:rPr>
          <w:szCs w:val="22"/>
        </w:rPr>
        <w:t>inotropnými beta–sympatomimetickými látkami</w:t>
      </w:r>
      <w:r w:rsidR="00B55966">
        <w:rPr>
          <w:szCs w:val="22"/>
        </w:rPr>
        <w:t>,</w:t>
      </w:r>
    </w:p>
    <w:p w:rsidR="0079673B" w:rsidRDefault="0079673B" w:rsidP="0079673B">
      <w:pPr>
        <w:pStyle w:val="Odsekzoznamu"/>
        <w:numPr>
          <w:ilvl w:val="0"/>
          <w:numId w:val="14"/>
        </w:numPr>
        <w:ind w:left="567" w:hanging="567"/>
        <w:rPr>
          <w:szCs w:val="22"/>
        </w:rPr>
      </w:pPr>
      <w:r>
        <w:rPr>
          <w:szCs w:val="22"/>
        </w:rPr>
        <w:t xml:space="preserve">so </w:t>
      </w:r>
      <w:r w:rsidR="00487FE3" w:rsidRPr="0079673B">
        <w:rPr>
          <w:szCs w:val="22"/>
        </w:rPr>
        <w:t>srdcovou frekvenciou menej ako 68</w:t>
      </w:r>
      <w:r>
        <w:rPr>
          <w:szCs w:val="22"/>
        </w:rPr>
        <w:t> </w:t>
      </w:r>
      <w:r w:rsidR="00487FE3" w:rsidRPr="0079673B">
        <w:rPr>
          <w:szCs w:val="22"/>
        </w:rPr>
        <w:t>úderov za minútu v pokoji pred liečbou</w:t>
      </w:r>
      <w:r w:rsidR="00B55966">
        <w:rPr>
          <w:szCs w:val="22"/>
        </w:rPr>
        <w:t>,</w:t>
      </w:r>
    </w:p>
    <w:p w:rsidR="00487FE3" w:rsidRPr="0079673B" w:rsidRDefault="0079673B" w:rsidP="0079673B">
      <w:pPr>
        <w:pStyle w:val="Odsekzoznamu"/>
        <w:numPr>
          <w:ilvl w:val="0"/>
          <w:numId w:val="14"/>
        </w:numPr>
        <w:ind w:left="567" w:hanging="567"/>
        <w:rPr>
          <w:szCs w:val="22"/>
        </w:rPr>
      </w:pPr>
      <w:r>
        <w:rPr>
          <w:szCs w:val="22"/>
        </w:rPr>
        <w:t xml:space="preserve">s opakovane zníženým tlakom </w:t>
      </w:r>
      <w:r w:rsidRPr="009E729A">
        <w:rPr>
          <w:szCs w:val="22"/>
        </w:rPr>
        <w:t xml:space="preserve">&lt; 100 mmHg </w:t>
      </w:r>
      <w:r w:rsidR="00487FE3" w:rsidRPr="0079673B">
        <w:rPr>
          <w:szCs w:val="22"/>
        </w:rPr>
        <w:t>(pred začatím liečby je potrebné vyšetrenie).</w:t>
      </w:r>
    </w:p>
    <w:p w:rsidR="00F05EF4" w:rsidRPr="00252091" w:rsidRDefault="00F05EF4" w:rsidP="00D96330">
      <w:pPr>
        <w:rPr>
          <w:szCs w:val="22"/>
        </w:rPr>
      </w:pP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Metoprolol sa nesmie podávať pacientom s podozrením na akútny infarkt myokardu a</w:t>
      </w:r>
      <w:r w:rsidR="00B55966">
        <w:rPr>
          <w:szCs w:val="22"/>
        </w:rPr>
        <w:t> </w:t>
      </w:r>
      <w:r w:rsidRPr="00252091">
        <w:rPr>
          <w:szCs w:val="22"/>
        </w:rPr>
        <w:t>s</w:t>
      </w:r>
      <w:r>
        <w:rPr>
          <w:szCs w:val="22"/>
        </w:rPr>
        <w:t> </w:t>
      </w:r>
      <w:r w:rsidRPr="00252091">
        <w:rPr>
          <w:szCs w:val="22"/>
        </w:rPr>
        <w:t>frekvenciou srdca menej ako 45</w:t>
      </w:r>
      <w:r w:rsidR="00B55966">
        <w:rPr>
          <w:szCs w:val="22"/>
        </w:rPr>
        <w:t> </w:t>
      </w:r>
      <w:r w:rsidRPr="00252091">
        <w:rPr>
          <w:szCs w:val="22"/>
        </w:rPr>
        <w:t>úderov za minútu, intervalom PQ dlhším než 0,24</w:t>
      </w:r>
      <w:r>
        <w:rPr>
          <w:szCs w:val="22"/>
        </w:rPr>
        <w:t> </w:t>
      </w:r>
      <w:r w:rsidRPr="00252091">
        <w:rPr>
          <w:szCs w:val="22"/>
        </w:rPr>
        <w:t>s</w:t>
      </w:r>
      <w:r w:rsidR="00C74977">
        <w:rPr>
          <w:szCs w:val="22"/>
        </w:rPr>
        <w:t>ekundy</w:t>
      </w:r>
      <w:r w:rsidRPr="00252091">
        <w:rPr>
          <w:szCs w:val="22"/>
        </w:rPr>
        <w:t xml:space="preserve"> a</w:t>
      </w:r>
      <w:r>
        <w:rPr>
          <w:szCs w:val="22"/>
        </w:rPr>
        <w:t>lebo</w:t>
      </w:r>
      <w:r w:rsidRPr="00252091">
        <w:rPr>
          <w:szCs w:val="22"/>
        </w:rPr>
        <w:t xml:space="preserve"> systolickým krvným tlakom nižším než 100</w:t>
      </w:r>
      <w:r w:rsidR="00A96145">
        <w:rPr>
          <w:szCs w:val="22"/>
        </w:rPr>
        <w:t> </w:t>
      </w:r>
      <w:r w:rsidRPr="00252091">
        <w:rPr>
          <w:szCs w:val="22"/>
        </w:rPr>
        <w:t>mmHg.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487FE3" w:rsidP="00F05EF4">
      <w:pPr>
        <w:ind w:left="0" w:firstLine="0"/>
        <w:rPr>
          <w:szCs w:val="22"/>
        </w:rPr>
      </w:pPr>
      <w:r>
        <w:rPr>
          <w:szCs w:val="22"/>
        </w:rPr>
        <w:t>U pacientov užívajúcich metoprolol je s</w:t>
      </w:r>
      <w:r w:rsidR="00F05EF4" w:rsidRPr="00252091">
        <w:rPr>
          <w:szCs w:val="22"/>
        </w:rPr>
        <w:t xml:space="preserve">úbežné intravenózne podávanie </w:t>
      </w:r>
      <w:r w:rsidR="00F74C35">
        <w:rPr>
          <w:szCs w:val="22"/>
        </w:rPr>
        <w:t>antagonistov</w:t>
      </w:r>
      <w:r w:rsidR="00F05EF4" w:rsidRPr="00252091">
        <w:rPr>
          <w:szCs w:val="22"/>
        </w:rPr>
        <w:t xml:space="preserve"> vápnika typu verapamilu alebo diltiazemu alebo iných antiarytmík (napríklad dizopyramidu) kontraindikované (výnimka: jednotka intenzívnej starostlivosti).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4.4</w:t>
      </w:r>
      <w:r w:rsidRPr="00252091">
        <w:rPr>
          <w:b/>
          <w:szCs w:val="22"/>
        </w:rPr>
        <w:tab/>
        <w:t>Osobitné upozornenia a opatrenia pri používaní</w:t>
      </w:r>
    </w:p>
    <w:p w:rsidR="00F05EF4" w:rsidRPr="00252091" w:rsidRDefault="00F05EF4" w:rsidP="009E729A">
      <w:pPr>
        <w:keepNext/>
        <w:rPr>
          <w:szCs w:val="22"/>
        </w:rPr>
      </w:pPr>
    </w:p>
    <w:p w:rsidR="00132B2A" w:rsidRPr="00C349D4" w:rsidRDefault="00132B2A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 w:rsidRPr="00C349D4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Astma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Betablokátory sa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pacientom s</w:t>
      </w:r>
      <w:r w:rsidR="00B5596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astmou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musia podávať s opatrnosťou. Ak astmatik pri začatí liečby 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lom užíva beta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vertAlign w:val="subscript"/>
          <w:lang w:val="sk-SK"/>
        </w:rPr>
        <w:t>2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-agonistu (vo forme tabliet alebo inhalačne), dávka beta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vertAlign w:val="subscript"/>
          <w:lang w:val="sk-SK"/>
        </w:rPr>
        <w:t>2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-agonistu sa musí znova posúdiť a 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v prípade potreby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zvýšiť. Tablety 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lu s predĺženým uvoľňovaním však z dôvodu konštantnej plazmatickej koncentrácie liečiva ovplyvňujú beta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vertAlign w:val="subscript"/>
          <w:lang w:val="sk-SK"/>
        </w:rPr>
        <w:t>2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-receptory v menšej miere než bežné formy tabliet selektívnych beta</w:t>
      </w:r>
      <w:r w:rsidRPr="00151D8A">
        <w:rPr>
          <w:rFonts w:ascii="Times New Roman" w:hAnsi="Times New Roman"/>
          <w:color w:val="auto"/>
          <w:spacing w:val="0"/>
          <w:sz w:val="22"/>
          <w:szCs w:val="22"/>
          <w:vertAlign w:val="subscript"/>
          <w:lang w:val="sk-SK"/>
        </w:rPr>
        <w:t>1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-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blokátorov.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132B2A" w:rsidRPr="00C349D4" w:rsidRDefault="00132B2A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 w:rsidRPr="00C349D4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Diabetes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l môže </w:t>
      </w:r>
      <w:r w:rsidR="004C18B8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ovplyvňovať kontrolovanú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liečb</w:t>
      </w:r>
      <w:r w:rsidR="004C18B8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diabet</w:t>
      </w:r>
      <w:r w:rsidR="0077227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mellitus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a maskovať symptómy hypoglykémie. Riziko vplyvu na metabolizmus sacharidov alebo maskovania symptómov hypoglykémie je pri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používaní tabliet metoprololu s predĺženým uvoľňovaním nižšie v</w:t>
      </w:r>
      <w:r w:rsidR="00B5596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porovnaní s</w:t>
      </w:r>
      <w:r w:rsidR="0077227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užívaním bežných foriem tabliet selektívnych beta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vertAlign w:val="subscript"/>
          <w:lang w:val="sk-SK"/>
        </w:rPr>
        <w:t>1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-blokátorov a podstatne nižšie než pri užívaní neselektívnych betablokátorov.</w:t>
      </w:r>
      <w:r w:rsidR="00487FE3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U diabetických pacientov s </w:t>
      </w:r>
      <w:r w:rsidR="00487FE3" w:rsidRPr="00487FE3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veľkým kolísaním hladiny cukru v</w:t>
      </w:r>
      <w:r w:rsidR="00487FE3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487FE3" w:rsidRPr="00487FE3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krvi</w:t>
      </w:r>
      <w:r w:rsidR="00487FE3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rovnako ako </w:t>
      </w:r>
      <w:r w:rsidR="00BE2B5E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aj </w:t>
      </w:r>
      <w:r w:rsidR="00487FE3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u pacientov na úplnej hladovke sa metoprolol musí </w:t>
      </w:r>
      <w:r w:rsidR="00BE2B5E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po</w:t>
      </w:r>
      <w:r w:rsidR="00487FE3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užívať s</w:t>
      </w:r>
      <w:r w:rsidR="006250A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487FE3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opatrnosťou</w:t>
      </w:r>
      <w:r w:rsidR="006250A7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.</w:t>
      </w:r>
    </w:p>
    <w:p w:rsidR="00F05EF4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132B2A" w:rsidRPr="00C349D4" w:rsidRDefault="00132B2A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Poruchy atrioventriku</w:t>
      </w:r>
      <w:r w:rsidR="00772275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l</w:t>
      </w: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árneho vedenia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Príležitostne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môže počas liečby 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lom dôjsť k zhoršeniu porúch atrioventrikulárneho vedenia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lastRenderedPageBreak/>
        <w:t>(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je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možná atrioventrikulárna blokáda).</w:t>
      </w:r>
    </w:p>
    <w:p w:rsidR="008E6E20" w:rsidRDefault="008E6E20" w:rsidP="00F05EF4">
      <w:pPr>
        <w:pStyle w:val="Texttelo"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</w:p>
    <w:p w:rsidR="00F05EF4" w:rsidRPr="00C349D4" w:rsidRDefault="009372D2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Poruchy</w:t>
      </w:r>
      <w:r w:rsidRPr="00C349D4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 xml:space="preserve"> </w:t>
      </w:r>
      <w:r w:rsidR="008E6E20" w:rsidRPr="00C349D4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srdca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 pacientov s Prinzmetalovou angínou sa majú beta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vertAlign w:val="subscript"/>
          <w:lang w:val="sk-SK"/>
        </w:rPr>
        <w:t>1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-selektívne látky používať s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opatrnosťou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.</w:t>
      </w:r>
    </w:p>
    <w:p w:rsidR="006250A7" w:rsidRDefault="006250A7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6250A7" w:rsidRDefault="006250A7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U pacientov </w:t>
      </w:r>
      <w:r w:rsidRP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s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akútnym infarktom myokardu existuje zvýšené riziko kardiogénneho šoku</w:t>
      </w:r>
      <w:r w:rsid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počas l</w:t>
      </w:r>
      <w:r w:rsidR="0045239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i</w:t>
      </w:r>
      <w:r w:rsid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ečby metoprololom</w:t>
      </w:r>
      <w:r w:rsidRP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. </w:t>
      </w:r>
      <w:r w:rsid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Pretože ovplyvnenie sa týkalo výslovne </w:t>
      </w:r>
      <w:r w:rsidRP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hemodynamicky nestabilných pacientov, môže byť metoprolol podávaný </w:t>
      </w:r>
      <w:r w:rsidR="00AC2000" w:rsidRPr="00AF041A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paciento</w:t>
      </w:r>
      <w:r w:rsidR="003132F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</w:t>
      </w:r>
      <w:r w:rsid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po</w:t>
      </w:r>
      <w:r w:rsidR="00AC2000" w:rsidRPr="00AF041A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infarkt</w:t>
      </w:r>
      <w:r w:rsid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e</w:t>
      </w:r>
      <w:r w:rsidR="00AC2000" w:rsidRPr="00AF041A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myokardu</w:t>
      </w:r>
      <w:r w:rsidR="00AC2000" w:rsidRP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 w:rsidRP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iba po hemodynamick</w:t>
      </w:r>
      <w:r w:rsid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ej</w:t>
      </w:r>
      <w:r w:rsidRP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stabilizácii.</w:t>
      </w:r>
    </w:p>
    <w:p w:rsidR="00452394" w:rsidRDefault="00452394" w:rsidP="00F05EF4">
      <w:pPr>
        <w:pStyle w:val="Texttelo"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</w:p>
    <w:p w:rsidR="008E6E20" w:rsidRPr="00C349D4" w:rsidRDefault="008E6E20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Periférne cievne ochorenia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 môže kvôli jeho antihypertenzn</w:t>
      </w:r>
      <w:r w:rsidR="006934F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é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mu účinku zosilniť symptómy periférneho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cievneho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ochorenia.</w:t>
      </w:r>
    </w:p>
    <w:p w:rsidR="00F05EF4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8E6E20" w:rsidRDefault="009372D2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 xml:space="preserve">Porucha funkcie </w:t>
      </w:r>
      <w:r w:rsidR="008E6E20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pečene</w:t>
      </w:r>
    </w:p>
    <w:p w:rsidR="008E6E20" w:rsidRPr="008E6E20" w:rsidRDefault="008E6E20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 pacientov s vážnym zlyhaním pečene sa má zvážiť zníženie dávky (pozri časť 4.2).</w:t>
      </w:r>
    </w:p>
    <w:p w:rsidR="008E6E20" w:rsidRPr="00252091" w:rsidRDefault="008E6E20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8E6E20" w:rsidRPr="00C349D4" w:rsidRDefault="008E6E20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 w:rsidRPr="00C349D4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Feochromocytóm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Ak sa predpisuje metoprolol pacientom s feochromocytómom, pred začiatkom liečby a počas liečby metoprololom sa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má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podať alfablokátor.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8E6E20" w:rsidRPr="00C349D4" w:rsidRDefault="008E6E20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 w:rsidRPr="00C349D4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Hypertyr</w:t>
      </w:r>
      <w:r w:rsidR="009372D2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e</w:t>
      </w:r>
      <w:r w:rsidRPr="00C349D4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oidizmus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Liečba metopr</w:t>
      </w:r>
      <w:smartTag w:uri="urn:schemas-microsoft-com:office:smarttags" w:element="PersonName">
        <w:r w:rsidRPr="00252091">
          <w:rPr>
            <w:rFonts w:ascii="Times New Roman" w:hAnsi="Times New Roman"/>
            <w:color w:val="auto"/>
            <w:spacing w:val="0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lom môže maskovať príznaky hypertyr</w:t>
      </w:r>
      <w:r w:rsidR="009372D2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e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oidizmu.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8E6E20" w:rsidRPr="00C349D4" w:rsidRDefault="008E6E20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Anestézia a chirurgický zákrok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Pred chirurgickým zákrokom musí byť anesteziológ informovaný o tom, že pacient užíva betablokátory.</w:t>
      </w:r>
    </w:p>
    <w:p w:rsidR="00F05EF4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A85E6C" w:rsidRPr="00252091" w:rsidRDefault="00E751B1" w:rsidP="00A85E6C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 </w:t>
      </w:r>
      <w:r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paciento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v</w:t>
      </w:r>
      <w:r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, ktorí podstupujú </w:t>
      </w:r>
      <w:r w:rsid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nekardiogénnu </w:t>
      </w:r>
      <w:r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operáci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</w:t>
      </w:r>
      <w:r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j</w:t>
      </w:r>
      <w:r w:rsidR="00A85E6C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e potrebné sa vyhnúť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náhlemu začatiu liečby s</w:t>
      </w:r>
      <w:r w:rsidR="00751CB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A85E6C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vysokou dávkou metoprololu, pretože </w:t>
      </w:r>
      <w:r w:rsidR="00751CB5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u</w:t>
      </w:r>
      <w:r w:rsidR="00751CB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751CB5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pacientov s</w:t>
      </w:r>
      <w:r w:rsidR="00751CB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751CB5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kardiovaskulárnymi rizikovými faktormi </w:t>
      </w:r>
      <w:r w:rsidR="00A85E6C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to bolo spojené s</w:t>
      </w:r>
      <w:r w:rsidR="00751CB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A85E6C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bradykardi</w:t>
      </w:r>
      <w:r w:rsidR="00751CB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ou</w:t>
      </w:r>
      <w:r w:rsidR="00A85E6C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 hypotenzi</w:t>
      </w:r>
      <w:r w:rsidR="00751CB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ou</w:t>
      </w:r>
      <w:r w:rsidR="00A85E6C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a</w:t>
      </w:r>
      <w:r w:rsidR="00751CB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A85E6C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mŕtvic</w:t>
      </w:r>
      <w:r w:rsidR="00751CB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ou</w:t>
      </w:r>
      <w:r w:rsidR="00A85E6C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(vrátane </w:t>
      </w:r>
      <w:r w:rsidR="00AC2000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smrt</w:t>
      </w:r>
      <w:r w:rsidR="00AC200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i</w:t>
      </w:r>
      <w:r w:rsidR="00A85E6C" w:rsidRPr="00A85E6C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).</w:t>
      </w:r>
    </w:p>
    <w:p w:rsidR="005D70BB" w:rsidRDefault="005D70BB" w:rsidP="00F05EF4">
      <w:pPr>
        <w:pStyle w:val="Texttelo"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</w:p>
    <w:p w:rsidR="005D70BB" w:rsidRDefault="005D70BB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Vysadenie betablokátor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počas chirurgického zákroku sa neodporúča.</w:t>
      </w:r>
    </w:p>
    <w:p w:rsidR="005D70BB" w:rsidRDefault="005D70BB" w:rsidP="00F05EF4">
      <w:pPr>
        <w:pStyle w:val="Texttelo"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</w:p>
    <w:p w:rsidR="00572289" w:rsidRPr="00C349D4" w:rsidRDefault="005D70BB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 xml:space="preserve">Ukončenie </w:t>
      </w:r>
      <w:r w:rsidR="006A6760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l</w:t>
      </w:r>
      <w:r w:rsidR="00572289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i</w:t>
      </w:r>
      <w:r w:rsidR="006A6760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e</w:t>
      </w:r>
      <w:r w:rsidR="00572289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čby</w:t>
      </w:r>
    </w:p>
    <w:p w:rsidR="00F05EF4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Liečba betablokátorom sa nesmie vysadiť náhle</w:t>
      </w:r>
      <w:r w:rsidR="001E1C4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.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 w:rsidR="001E1C4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Ak sa však liečba musí ukončiť, je lepšie ju ukončovať postupne v priebehu 2</w:t>
      </w:r>
      <w:r w:rsidR="005D70BB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1E1C4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týždňov</w:t>
      </w:r>
      <w:r w:rsidR="001E1C46"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(pozri časť 4.2). </w:t>
      </w:r>
      <w:r w:rsidR="001E1C4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Ak sa u pacienta objavia nejaké príznaky, dávka sa má znižovať pomalšie. Akékoľvek náhle ukončenie liečby môže viesť k zhoršeniu srdcového zlyh</w:t>
      </w:r>
      <w:r w:rsidR="00F74C3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an</w:t>
      </w:r>
      <w:r w:rsidR="001E1C4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ia so zvýšeným rizikom</w:t>
      </w:r>
      <w:r w:rsidR="006A676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náhlej</w:t>
      </w:r>
      <w:r w:rsidR="001E1C4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srdcovej smrti alebo srdcovej ischémie so zhoršením ang</w:t>
      </w:r>
      <w:r w:rsidR="00F74C3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í</w:t>
      </w:r>
      <w:r w:rsidR="001E1C4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ny pe</w:t>
      </w:r>
      <w:r w:rsidR="00F74C35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k</w:t>
      </w:r>
      <w:r w:rsidR="001E1C46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toris alebo infarktu myokardu alebo </w:t>
      </w:r>
      <w:r w:rsidR="006A6760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navráteniu hypertenzie.</w:t>
      </w:r>
    </w:p>
    <w:p w:rsidR="00572289" w:rsidRDefault="00572289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572289" w:rsidRPr="00C349D4" w:rsidRDefault="00572289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Citlivosť na alergény a liečba anafylaxie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bCs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Metoprolol môže zvyšovať citlivosť na alergény a</w:t>
      </w:r>
      <w:r w:rsidR="005D70BB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závažnosť anafylaktických reakcií. Liečba adrenalínom neposkytne vždy žiadaný terapeutický účinok u jednotlivých pacientov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liečených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betablokátor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mi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(pozri tiež časť 4.5</w:t>
      </w:r>
      <w:r w:rsidRPr="00252091">
        <w:rPr>
          <w:rFonts w:ascii="Times New Roman" w:hAnsi="Times New Roman"/>
          <w:bCs/>
          <w:spacing w:val="0"/>
          <w:sz w:val="22"/>
          <w:szCs w:val="22"/>
          <w:lang w:val="sk-SK"/>
        </w:rPr>
        <w:t>).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bCs/>
          <w:spacing w:val="0"/>
          <w:sz w:val="22"/>
          <w:szCs w:val="22"/>
          <w:lang w:val="sk-SK"/>
        </w:rPr>
      </w:pPr>
    </w:p>
    <w:p w:rsidR="00572289" w:rsidRPr="00C349D4" w:rsidRDefault="00572289" w:rsidP="009E729A">
      <w:pPr>
        <w:pStyle w:val="Texttelo"/>
        <w:keepNext/>
        <w:jc w:val="left"/>
        <w:rPr>
          <w:rFonts w:ascii="Times New Roman" w:hAnsi="Times New Roman"/>
          <w:bCs/>
          <w:i/>
          <w:spacing w:val="0"/>
          <w:sz w:val="22"/>
          <w:szCs w:val="22"/>
          <w:lang w:val="sk-SK"/>
        </w:rPr>
      </w:pPr>
      <w:r>
        <w:rPr>
          <w:rFonts w:ascii="Times New Roman" w:hAnsi="Times New Roman"/>
          <w:bCs/>
          <w:i/>
          <w:spacing w:val="0"/>
          <w:sz w:val="22"/>
          <w:szCs w:val="22"/>
          <w:lang w:val="sk-SK"/>
        </w:rPr>
        <w:t>Psoriáza</w:t>
      </w:r>
    </w:p>
    <w:p w:rsidR="00F05EF4" w:rsidRPr="000A0FCD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 w:rsidRPr="00252091">
        <w:rPr>
          <w:rFonts w:ascii="Times New Roman" w:hAnsi="Times New Roman"/>
          <w:bCs/>
          <w:spacing w:val="0"/>
          <w:sz w:val="22"/>
          <w:szCs w:val="22"/>
          <w:lang w:val="sk-SK"/>
        </w:rPr>
        <w:t xml:space="preserve">Betablokátory </w:t>
      </w:r>
      <w:r w:rsidR="000A0FCD">
        <w:rPr>
          <w:rFonts w:ascii="Times New Roman" w:hAnsi="Times New Roman"/>
          <w:bCs/>
          <w:spacing w:val="0"/>
          <w:sz w:val="22"/>
          <w:szCs w:val="22"/>
          <w:lang w:val="sk-SK"/>
        </w:rPr>
        <w:t xml:space="preserve">(napr.metoprolol) 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môžu zhoršiť alebo spôsobiť rozvoj psoriázy.</w:t>
      </w:r>
      <w:r w:rsidR="000A0FCD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U pacientov so psoriázou v anamnéze alebo </w:t>
      </w:r>
      <w:r w:rsidR="000A0FCD" w:rsidRPr="000A0FCD">
        <w:rPr>
          <w:rFonts w:ascii="Times New Roman" w:hAnsi="Times New Roman"/>
          <w:bCs/>
          <w:color w:val="auto"/>
          <w:spacing w:val="0"/>
          <w:sz w:val="22"/>
          <w:szCs w:val="22"/>
          <w:lang w:val="sk-SK"/>
        </w:rPr>
        <w:t>s</w:t>
      </w:r>
      <w:r w:rsidR="000A0FCD">
        <w:rPr>
          <w:rFonts w:ascii="Times New Roman" w:hAnsi="Times New Roman"/>
          <w:bCs/>
          <w:color w:val="auto"/>
          <w:spacing w:val="0"/>
          <w:sz w:val="22"/>
          <w:szCs w:val="22"/>
          <w:lang w:val="sk-SK"/>
        </w:rPr>
        <w:t> </w:t>
      </w:r>
      <w:r w:rsidR="000A0FCD" w:rsidRPr="000A0FCD">
        <w:rPr>
          <w:rFonts w:ascii="Times New Roman" w:hAnsi="Times New Roman"/>
          <w:bCs/>
          <w:color w:val="auto"/>
          <w:spacing w:val="0"/>
          <w:sz w:val="22"/>
          <w:szCs w:val="22"/>
          <w:lang w:val="sk-SK"/>
        </w:rPr>
        <w:t xml:space="preserve">rodinnou anamnézou tohto stavu, betablokátory </w:t>
      </w:r>
      <w:r w:rsidR="000A0FCD">
        <w:rPr>
          <w:rFonts w:ascii="Times New Roman" w:hAnsi="Times New Roman"/>
          <w:bCs/>
          <w:color w:val="auto"/>
          <w:spacing w:val="0"/>
          <w:sz w:val="22"/>
          <w:szCs w:val="22"/>
          <w:lang w:val="sk-SK"/>
        </w:rPr>
        <w:t>sa majú</w:t>
      </w:r>
      <w:r w:rsidR="000A0FCD" w:rsidRPr="000A0FCD">
        <w:rPr>
          <w:rFonts w:ascii="Times New Roman" w:hAnsi="Times New Roman"/>
          <w:bCs/>
          <w:color w:val="auto"/>
          <w:spacing w:val="0"/>
          <w:sz w:val="22"/>
          <w:szCs w:val="22"/>
          <w:lang w:val="sk-SK"/>
        </w:rPr>
        <w:t xml:space="preserve"> </w:t>
      </w:r>
      <w:r w:rsidR="000A0FCD">
        <w:rPr>
          <w:rFonts w:ascii="Times New Roman" w:hAnsi="Times New Roman"/>
          <w:bCs/>
          <w:color w:val="auto"/>
          <w:spacing w:val="0"/>
          <w:sz w:val="22"/>
          <w:szCs w:val="22"/>
          <w:lang w:val="sk-SK"/>
        </w:rPr>
        <w:t xml:space="preserve">predpisovať </w:t>
      </w:r>
      <w:r w:rsidR="000A0FCD" w:rsidRPr="000A0FCD">
        <w:rPr>
          <w:rFonts w:ascii="Times New Roman" w:hAnsi="Times New Roman"/>
          <w:bCs/>
          <w:color w:val="auto"/>
          <w:spacing w:val="0"/>
          <w:sz w:val="22"/>
          <w:szCs w:val="22"/>
          <w:lang w:val="sk-SK"/>
        </w:rPr>
        <w:t>iba</w:t>
      </w:r>
      <w:r w:rsidR="000A0FCD">
        <w:rPr>
          <w:rFonts w:ascii="Times New Roman" w:hAnsi="Times New Roman"/>
          <w:bCs/>
          <w:color w:val="auto"/>
          <w:spacing w:val="0"/>
          <w:sz w:val="22"/>
          <w:szCs w:val="22"/>
          <w:lang w:val="sk-SK"/>
        </w:rPr>
        <w:t xml:space="preserve"> po dôkladnom zvážení </w:t>
      </w:r>
      <w:r w:rsidR="00A85E6C">
        <w:rPr>
          <w:rFonts w:ascii="Times New Roman" w:hAnsi="Times New Roman"/>
          <w:bCs/>
          <w:color w:val="auto"/>
          <w:spacing w:val="0"/>
          <w:sz w:val="22"/>
          <w:szCs w:val="22"/>
          <w:lang w:val="sk-SK"/>
        </w:rPr>
        <w:t>rizika a prínosu.</w:t>
      </w:r>
    </w:p>
    <w:p w:rsidR="00F05EF4" w:rsidRPr="00252091" w:rsidRDefault="00F05EF4" w:rsidP="00F05EF4">
      <w:pPr>
        <w:pStyle w:val="Texttelo"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</w:p>
    <w:p w:rsidR="00572289" w:rsidRPr="00C349D4" w:rsidRDefault="001E7B65" w:rsidP="009E729A">
      <w:pPr>
        <w:pStyle w:val="Texttelo"/>
        <w:keepNext/>
        <w:jc w:val="left"/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Použitie pri s</w:t>
      </w:r>
      <w:r w:rsidR="00572289" w:rsidRPr="00C349D4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rdcov</w:t>
      </w: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om</w:t>
      </w:r>
      <w:r w:rsidR="00572289" w:rsidRPr="00C349D4"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 xml:space="preserve"> zlyhan</w:t>
      </w:r>
      <w:r>
        <w:rPr>
          <w:rFonts w:ascii="Times New Roman" w:hAnsi="Times New Roman"/>
          <w:i/>
          <w:color w:val="auto"/>
          <w:spacing w:val="0"/>
          <w:sz w:val="22"/>
          <w:szCs w:val="22"/>
          <w:lang w:val="sk-SK"/>
        </w:rPr>
        <w:t>í</w:t>
      </w:r>
    </w:p>
    <w:p w:rsidR="00F05EF4" w:rsidRPr="00252091" w:rsidRDefault="00F05EF4" w:rsidP="009E729A">
      <w:pPr>
        <w:pStyle w:val="Texttelo"/>
        <w:keepNext/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V súčasnosti nie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sú dostupné príslušné odporúčania o použití metoprololiumsukcinátu u pacientov so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srdcovým zlyhaním a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niektorým z</w:t>
      </w:r>
      <w:r w:rsidR="005D70BB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nasledovný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ch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súbežných faktorov</w:t>
      </w:r>
      <w:r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:</w:t>
      </w:r>
    </w:p>
    <w:p w:rsidR="000A0FCD" w:rsidRDefault="005D70BB" w:rsidP="000A0FCD">
      <w:pPr>
        <w:pStyle w:val="Texttelo"/>
        <w:numPr>
          <w:ilvl w:val="0"/>
          <w:numId w:val="13"/>
        </w:numPr>
        <w:tabs>
          <w:tab w:val="clear" w:pos="0"/>
          <w:tab w:val="clear" w:pos="170"/>
          <w:tab w:val="num" w:pos="567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n</w:t>
      </w:r>
      <w:r w:rsidR="000A0FCD" w:rsidRPr="000A0FCD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estabilná kardiálna insuficiencia triedy IV podľa </w:t>
      </w:r>
      <w:r w:rsidR="00F05EF4" w:rsidRPr="000A0FCD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NYHA </w:t>
      </w:r>
      <w:r w:rsidR="000A0FCD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(pacienti s hypoperfúziou, hypotenziou a/alebo pulmonármym edémom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</w:p>
    <w:p w:rsidR="00F05EF4" w:rsidRPr="000A0FCD" w:rsidRDefault="005D70BB" w:rsidP="000A0FCD">
      <w:pPr>
        <w:pStyle w:val="Texttelo"/>
        <w:numPr>
          <w:ilvl w:val="0"/>
          <w:numId w:val="13"/>
        </w:numPr>
        <w:tabs>
          <w:tab w:val="clear" w:pos="0"/>
          <w:tab w:val="clear" w:pos="170"/>
          <w:tab w:val="num" w:pos="567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lastRenderedPageBreak/>
        <w:t>a</w:t>
      </w:r>
      <w:r w:rsidR="00F05EF4" w:rsidRPr="000A0FCD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kútny infarkt myokardu alebo nestabilná angína pektoris počas predchádzajúcich 28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F05EF4" w:rsidRPr="000A0FCD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dní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</w:p>
    <w:p w:rsidR="00F05EF4" w:rsidRPr="00252091" w:rsidRDefault="005D70BB" w:rsidP="00D96330">
      <w:pPr>
        <w:pStyle w:val="Texttelo"/>
        <w:numPr>
          <w:ilvl w:val="0"/>
          <w:numId w:val="13"/>
        </w:numPr>
        <w:tabs>
          <w:tab w:val="clear" w:pos="0"/>
          <w:tab w:val="clear" w:pos="170"/>
          <w:tab w:val="num" w:pos="567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</w:t>
      </w:r>
      <w:r w:rsidR="00F05EF4"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orucha funkcie obličiek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</w:p>
    <w:p w:rsidR="00F05EF4" w:rsidRPr="00252091" w:rsidRDefault="005D70BB" w:rsidP="00D96330">
      <w:pPr>
        <w:pStyle w:val="Texttelo"/>
        <w:numPr>
          <w:ilvl w:val="0"/>
          <w:numId w:val="13"/>
        </w:numPr>
        <w:tabs>
          <w:tab w:val="clear" w:pos="0"/>
          <w:tab w:val="clear" w:pos="170"/>
          <w:tab w:val="num" w:pos="567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</w:t>
      </w:r>
      <w:r w:rsidR="00F05EF4"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orucha funkcie pečene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</w:p>
    <w:p w:rsidR="00F05EF4" w:rsidRPr="00252091" w:rsidRDefault="005D70BB" w:rsidP="00D96330">
      <w:pPr>
        <w:pStyle w:val="Texttelo"/>
        <w:numPr>
          <w:ilvl w:val="0"/>
          <w:numId w:val="13"/>
        </w:numPr>
        <w:tabs>
          <w:tab w:val="clear" w:pos="0"/>
          <w:tab w:val="clear" w:pos="170"/>
          <w:tab w:val="num" w:pos="567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</w:t>
      </w:r>
      <w:r w:rsidR="00F05EF4"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acienti starší ako 80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F05EF4"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rokov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</w:p>
    <w:p w:rsidR="00F05EF4" w:rsidRPr="00252091" w:rsidRDefault="005D70BB" w:rsidP="00D96330">
      <w:pPr>
        <w:pStyle w:val="Texttelo"/>
        <w:numPr>
          <w:ilvl w:val="0"/>
          <w:numId w:val="13"/>
        </w:numPr>
        <w:tabs>
          <w:tab w:val="clear" w:pos="0"/>
          <w:tab w:val="clear" w:pos="170"/>
          <w:tab w:val="num" w:pos="567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</w:t>
      </w:r>
      <w:r w:rsidR="00F05EF4"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acienti mladší ako 40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F05EF4"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rokov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</w:p>
    <w:p w:rsidR="00F05EF4" w:rsidRPr="00252091" w:rsidRDefault="005D70BB" w:rsidP="00D96330">
      <w:pPr>
        <w:pStyle w:val="Texttelo"/>
        <w:numPr>
          <w:ilvl w:val="0"/>
          <w:numId w:val="13"/>
        </w:numPr>
        <w:tabs>
          <w:tab w:val="clear" w:pos="0"/>
          <w:tab w:val="clear" w:pos="170"/>
          <w:tab w:val="num" w:pos="567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h</w:t>
      </w:r>
      <w:r w:rsidR="00F05EF4"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emodynamicky významné ochorenie srdcových chlopní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</w:p>
    <w:p w:rsidR="00F05EF4" w:rsidRPr="00252091" w:rsidRDefault="005D70BB" w:rsidP="00D96330">
      <w:pPr>
        <w:pStyle w:val="Texttelo"/>
        <w:numPr>
          <w:ilvl w:val="0"/>
          <w:numId w:val="13"/>
        </w:numPr>
        <w:tabs>
          <w:tab w:val="clear" w:pos="0"/>
          <w:tab w:val="clear" w:pos="170"/>
          <w:tab w:val="num" w:pos="567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h</w:t>
      </w:r>
      <w:r w:rsidR="00F05EF4" w:rsidRPr="00252091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ypertrofická obštrukčná kardiomyopatia</w:t>
      </w: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,</w:t>
      </w:r>
    </w:p>
    <w:p w:rsidR="00F05EF4" w:rsidRPr="00C721AB" w:rsidRDefault="005D70BB" w:rsidP="00D96330">
      <w:pPr>
        <w:pStyle w:val="Texttelo"/>
        <w:numPr>
          <w:ilvl w:val="0"/>
          <w:numId w:val="13"/>
        </w:numPr>
        <w:tabs>
          <w:tab w:val="clear" w:pos="170"/>
          <w:tab w:val="num" w:pos="567"/>
        </w:tabs>
        <w:jc w:val="left"/>
        <w:rPr>
          <w:rFonts w:ascii="Times New Roman" w:hAnsi="Times New Roman"/>
          <w:color w:val="auto"/>
          <w:spacing w:val="0"/>
          <w:sz w:val="22"/>
          <w:szCs w:val="22"/>
          <w:lang w:val="sk-SK"/>
        </w:rPr>
      </w:pPr>
      <w:r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p</w:t>
      </w:r>
      <w:r w:rsidR="00F05EF4" w:rsidRPr="00C721AB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očas alebo po </w:t>
      </w:r>
      <w:r w:rsidR="00F05EF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 xml:space="preserve">elektívnom </w:t>
      </w:r>
      <w:r w:rsidR="00F05EF4" w:rsidRPr="00C721AB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kardiochirurgickom zákroku v priebehu štyroch mesiacov pred</w:t>
      </w:r>
      <w:r w:rsidR="00F05EF4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 </w:t>
      </w:r>
      <w:r w:rsidR="00F05EF4" w:rsidRPr="00C721AB">
        <w:rPr>
          <w:rFonts w:ascii="Times New Roman" w:hAnsi="Times New Roman"/>
          <w:color w:val="auto"/>
          <w:spacing w:val="0"/>
          <w:sz w:val="22"/>
          <w:szCs w:val="22"/>
          <w:lang w:val="sk-SK"/>
        </w:rPr>
        <w:t>začatím liečby metoprololiumsukcinátom.</w:t>
      </w:r>
    </w:p>
    <w:p w:rsidR="007D0D9C" w:rsidRDefault="007D0D9C" w:rsidP="00F05EF4">
      <w:pPr>
        <w:rPr>
          <w:szCs w:val="22"/>
        </w:rPr>
      </w:pPr>
    </w:p>
    <w:p w:rsidR="00F05EF4" w:rsidRPr="007D0D9C" w:rsidRDefault="007D0D9C" w:rsidP="009E729A">
      <w:pPr>
        <w:keepNext/>
        <w:rPr>
          <w:i/>
          <w:szCs w:val="22"/>
        </w:rPr>
      </w:pPr>
      <w:r w:rsidRPr="007D0D9C">
        <w:rPr>
          <w:i/>
          <w:szCs w:val="22"/>
        </w:rPr>
        <w:t>Antidopingové testy</w:t>
      </w:r>
    </w:p>
    <w:p w:rsidR="007D0D9C" w:rsidRDefault="007237BA" w:rsidP="007D0D9C">
      <w:pPr>
        <w:tabs>
          <w:tab w:val="left" w:pos="0"/>
        </w:tabs>
        <w:rPr>
          <w:szCs w:val="22"/>
        </w:rPr>
      </w:pPr>
      <w:r>
        <w:rPr>
          <w:bCs/>
          <w:szCs w:val="22"/>
        </w:rPr>
        <w:t>Pou</w:t>
      </w:r>
      <w:r w:rsidR="007D0D9C">
        <w:rPr>
          <w:bCs/>
          <w:szCs w:val="22"/>
        </w:rPr>
        <w:t>žívanie metoprololu môže viesť k pozitívnym výsledkom v antidopingových testov.</w:t>
      </w:r>
    </w:p>
    <w:p w:rsidR="007D0D9C" w:rsidRDefault="007D0D9C" w:rsidP="00F05EF4">
      <w:pPr>
        <w:rPr>
          <w:szCs w:val="22"/>
        </w:rPr>
      </w:pPr>
    </w:p>
    <w:p w:rsidR="007D0D9C" w:rsidRPr="007D0D9C" w:rsidRDefault="007D0D9C" w:rsidP="009E729A">
      <w:pPr>
        <w:keepNext/>
        <w:rPr>
          <w:i/>
          <w:szCs w:val="22"/>
        </w:rPr>
      </w:pPr>
      <w:r w:rsidRPr="007D0D9C">
        <w:rPr>
          <w:i/>
          <w:szCs w:val="22"/>
        </w:rPr>
        <w:t>Liek</w:t>
      </w:r>
      <w:r w:rsidR="00823E4B">
        <w:rPr>
          <w:i/>
          <w:szCs w:val="22"/>
        </w:rPr>
        <w:t>y</w:t>
      </w:r>
      <w:r w:rsidRPr="007D0D9C">
        <w:rPr>
          <w:i/>
          <w:szCs w:val="22"/>
        </w:rPr>
        <w:t xml:space="preserve"> obsahuj</w:t>
      </w:r>
      <w:r w:rsidR="00823E4B">
        <w:rPr>
          <w:i/>
          <w:szCs w:val="22"/>
        </w:rPr>
        <w:t>úce</w:t>
      </w:r>
      <w:r w:rsidRPr="007D0D9C">
        <w:rPr>
          <w:i/>
          <w:szCs w:val="22"/>
        </w:rPr>
        <w:t xml:space="preserve"> glukózu a sacharózu</w:t>
      </w:r>
    </w:p>
    <w:p w:rsidR="00F05EF4" w:rsidRPr="009E729A" w:rsidRDefault="00F05EF4" w:rsidP="00823E4B">
      <w:pPr>
        <w:autoSpaceDE w:val="0"/>
        <w:autoSpaceDN w:val="0"/>
        <w:adjustRightInd w:val="0"/>
        <w:ind w:left="0" w:firstLine="0"/>
        <w:rPr>
          <w:szCs w:val="22"/>
          <w:lang w:eastAsia="en-US"/>
        </w:rPr>
      </w:pPr>
      <w:r w:rsidRPr="009E729A">
        <w:rPr>
          <w:szCs w:val="22"/>
        </w:rPr>
        <w:t>Pacienti so zriedkavými dedičnými problémami</w:t>
      </w:r>
      <w:r w:rsidR="00823E4B" w:rsidRPr="009E729A">
        <w:rPr>
          <w:szCs w:val="22"/>
          <w:lang w:eastAsia="en-US"/>
        </w:rPr>
        <w:t xml:space="preserve"> intolerancie fruktózy</w:t>
      </w:r>
      <w:r w:rsidRPr="009E729A">
        <w:rPr>
          <w:szCs w:val="22"/>
        </w:rPr>
        <w:t>, glukózo</w:t>
      </w:r>
      <w:r w:rsidR="007237BA">
        <w:rPr>
          <w:szCs w:val="22"/>
        </w:rPr>
        <w:t>-</w:t>
      </w:r>
      <w:r w:rsidRPr="009E729A">
        <w:rPr>
          <w:szCs w:val="22"/>
        </w:rPr>
        <w:t xml:space="preserve">galaktózovej malabsorpcie alebo </w:t>
      </w:r>
      <w:r w:rsidR="00823E4B" w:rsidRPr="009E729A">
        <w:rPr>
          <w:szCs w:val="22"/>
          <w:lang w:eastAsia="en-US"/>
        </w:rPr>
        <w:t xml:space="preserve">deficitu </w:t>
      </w:r>
      <w:r w:rsidR="00823E4B" w:rsidRPr="00823E4B">
        <w:rPr>
          <w:szCs w:val="22"/>
          <w:lang w:eastAsia="en-US"/>
        </w:rPr>
        <w:t>sacharázy a </w:t>
      </w:r>
      <w:r w:rsidR="00823E4B" w:rsidRPr="009E729A">
        <w:rPr>
          <w:szCs w:val="22"/>
          <w:lang w:eastAsia="en-US"/>
        </w:rPr>
        <w:t xml:space="preserve">izomaltázy nesmú </w:t>
      </w:r>
      <w:r w:rsidRPr="009E729A">
        <w:rPr>
          <w:szCs w:val="22"/>
        </w:rPr>
        <w:t>užívať tento liek.</w:t>
      </w:r>
    </w:p>
    <w:p w:rsidR="00823E4B" w:rsidRDefault="00823E4B" w:rsidP="00823E4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b/>
          <w:szCs w:val="22"/>
        </w:rPr>
      </w:pPr>
      <w:r w:rsidRPr="00252091">
        <w:rPr>
          <w:b/>
          <w:szCs w:val="22"/>
        </w:rPr>
        <w:t>4.5</w:t>
      </w:r>
      <w:r w:rsidRPr="00252091">
        <w:rPr>
          <w:b/>
          <w:szCs w:val="22"/>
        </w:rPr>
        <w:tab/>
        <w:t>Liekové a</w:t>
      </w:r>
      <w:r w:rsidR="009B09C9">
        <w:rPr>
          <w:b/>
          <w:szCs w:val="22"/>
        </w:rPr>
        <w:t> </w:t>
      </w:r>
      <w:r w:rsidRPr="00252091">
        <w:rPr>
          <w:b/>
          <w:szCs w:val="22"/>
        </w:rPr>
        <w:t>iné interakcie</w:t>
      </w:r>
    </w:p>
    <w:p w:rsidR="00F05EF4" w:rsidRPr="00252091" w:rsidRDefault="00F05EF4" w:rsidP="009E729A">
      <w:pPr>
        <w:keepNext/>
        <w:rPr>
          <w:szCs w:val="22"/>
        </w:rPr>
      </w:pPr>
    </w:p>
    <w:p w:rsidR="00F05EF4" w:rsidRPr="00252091" w:rsidRDefault="00F05EF4" w:rsidP="009E729A">
      <w:pPr>
        <w:pStyle w:val="Text"/>
        <w:keepNext/>
        <w:spacing w:line="240" w:lineRule="auto"/>
        <w:ind w:left="0"/>
        <w:rPr>
          <w:rFonts w:ascii="Times New Roman" w:hAnsi="Times New Roman"/>
          <w:sz w:val="22"/>
          <w:szCs w:val="22"/>
          <w:u w:val="single"/>
          <w:lang w:val="sk-SK"/>
        </w:rPr>
      </w:pPr>
      <w:r w:rsidRPr="00DE5599">
        <w:rPr>
          <w:rFonts w:ascii="Times New Roman" w:hAnsi="Times New Roman"/>
          <w:sz w:val="22"/>
          <w:szCs w:val="22"/>
          <w:u w:val="single"/>
          <w:lang w:val="sk-SK"/>
        </w:rPr>
        <w:t>Farmakodynamické interakcie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Ak sa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 podáva súbežne s blokátormi vápnika verapamil</w:t>
      </w:r>
      <w:r>
        <w:rPr>
          <w:rFonts w:ascii="Times New Roman" w:hAnsi="Times New Roman"/>
          <w:sz w:val="22"/>
          <w:szCs w:val="22"/>
          <w:lang w:val="sk-SK"/>
        </w:rPr>
        <w:t>ového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alebo diltiazem</w:t>
      </w:r>
      <w:r>
        <w:rPr>
          <w:rFonts w:ascii="Times New Roman" w:hAnsi="Times New Roman"/>
          <w:sz w:val="22"/>
          <w:szCs w:val="22"/>
          <w:lang w:val="sk-SK"/>
        </w:rPr>
        <w:t>ového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typu alebo s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antiarytmikami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pacienta treba sledovať na prejavy negatívne inotropného a chronotropného účinku. Blokátory vápnika verapamil</w:t>
      </w:r>
      <w:r>
        <w:rPr>
          <w:rFonts w:ascii="Times New Roman" w:hAnsi="Times New Roman"/>
          <w:sz w:val="22"/>
          <w:szCs w:val="22"/>
          <w:lang w:val="sk-SK"/>
        </w:rPr>
        <w:t>ového</w:t>
      </w:r>
      <w:r w:rsidR="00572289">
        <w:rPr>
          <w:rFonts w:ascii="Times New Roman" w:hAnsi="Times New Roman"/>
          <w:sz w:val="22"/>
          <w:szCs w:val="22"/>
          <w:lang w:val="sk-SK"/>
        </w:rPr>
        <w:t xml:space="preserve"> alebo diltiazemového</w:t>
      </w:r>
      <w:r w:rsidR="009372D2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52091">
        <w:rPr>
          <w:rFonts w:ascii="Times New Roman" w:hAnsi="Times New Roman"/>
          <w:sz w:val="22"/>
          <w:szCs w:val="22"/>
          <w:lang w:val="sk-SK"/>
        </w:rPr>
        <w:t>typu</w:t>
      </w:r>
      <w:r w:rsidR="00572289">
        <w:rPr>
          <w:rFonts w:ascii="Times New Roman" w:hAnsi="Times New Roman"/>
          <w:sz w:val="22"/>
          <w:szCs w:val="22"/>
          <w:lang w:val="sk-SK"/>
        </w:rPr>
        <w:t xml:space="preserve"> alebo iné antiarytmiká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sa pacientom, ktorí dostávajú betablokátory, nemajú podávať intravenózne</w:t>
      </w:r>
      <w:r w:rsidR="00572289">
        <w:rPr>
          <w:rFonts w:ascii="Times New Roman" w:hAnsi="Times New Roman"/>
          <w:sz w:val="22"/>
          <w:szCs w:val="22"/>
          <w:lang w:val="sk-SK"/>
        </w:rPr>
        <w:t xml:space="preserve"> (pozri časť 4.3)</w:t>
      </w:r>
      <w:r w:rsidRPr="00252091">
        <w:rPr>
          <w:rFonts w:ascii="Times New Roman" w:hAnsi="Times New Roman"/>
          <w:sz w:val="22"/>
          <w:szCs w:val="22"/>
          <w:lang w:val="sk-SK"/>
        </w:rPr>
        <w:t>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i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Antiarytmiká triedy</w:t>
      </w:r>
      <w:r>
        <w:rPr>
          <w:rFonts w:ascii="Times New Roman" w:hAnsi="Times New Roman"/>
          <w:sz w:val="22"/>
          <w:szCs w:val="22"/>
          <w:lang w:val="sk-SK"/>
        </w:rPr>
        <w:t xml:space="preserve"> I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: </w:t>
      </w:r>
      <w:r w:rsidR="00823E4B">
        <w:rPr>
          <w:rFonts w:ascii="Times New Roman" w:hAnsi="Times New Roman"/>
          <w:sz w:val="22"/>
          <w:szCs w:val="22"/>
          <w:lang w:val="sk-SK"/>
        </w:rPr>
        <w:t>a</w:t>
      </w:r>
      <w:r w:rsidRPr="00252091">
        <w:rPr>
          <w:rFonts w:ascii="Times New Roman" w:hAnsi="Times New Roman"/>
          <w:sz w:val="22"/>
          <w:szCs w:val="22"/>
          <w:lang w:val="sk-SK"/>
        </w:rPr>
        <w:t>ntiarytmiká triedy</w:t>
      </w:r>
      <w:r>
        <w:rPr>
          <w:rFonts w:ascii="Times New Roman" w:hAnsi="Times New Roman"/>
          <w:sz w:val="22"/>
          <w:szCs w:val="22"/>
          <w:lang w:val="sk-SK"/>
        </w:rPr>
        <w:t xml:space="preserve"> I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a blokátory </w:t>
      </w:r>
      <w:r w:rsidRPr="00006121">
        <w:rPr>
          <w:rFonts w:ascii="Times New Roman" w:hAnsi="Times New Roman"/>
          <w:sz w:val="22"/>
          <w:szCs w:val="22"/>
          <w:lang w:val="sk-SK"/>
        </w:rPr>
        <w:t>betareceptorov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majú aditívny negatívne inotropný účinok, ktorý môže vyvolať závažné hemodynamické nežiaduce účinky u pacientov so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zníženou funkciou ľavej komory. </w:t>
      </w:r>
      <w:r w:rsidR="006A6760">
        <w:rPr>
          <w:rFonts w:ascii="Times New Roman" w:hAnsi="Times New Roman"/>
          <w:sz w:val="22"/>
          <w:szCs w:val="22"/>
          <w:lang w:val="sk-SK"/>
        </w:rPr>
        <w:t xml:space="preserve">U pacientov so syndrómom chorého sínusového uzla a s ochorením atrioventrikulárneho vedenia 2. a 3. stupňa sa nemá používať kombinácia týchto liečiv. 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Takáto interakcia bola pozorovaná </w:t>
      </w:r>
      <w:r w:rsidR="009372D2">
        <w:rPr>
          <w:rFonts w:ascii="Times New Roman" w:hAnsi="Times New Roman"/>
          <w:sz w:val="22"/>
          <w:szCs w:val="22"/>
          <w:lang w:val="sk-SK"/>
        </w:rPr>
        <w:t>n</w:t>
      </w:r>
      <w:r w:rsidRPr="00252091">
        <w:rPr>
          <w:rFonts w:ascii="Times New Roman" w:hAnsi="Times New Roman"/>
          <w:sz w:val="22"/>
          <w:szCs w:val="22"/>
          <w:lang w:val="sk-SK"/>
        </w:rPr>
        <w:t>ajmä s</w:t>
      </w:r>
      <w:r w:rsidR="00823E4B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di</w:t>
      </w:r>
      <w:r>
        <w:rPr>
          <w:rFonts w:ascii="Times New Roman" w:hAnsi="Times New Roman"/>
          <w:sz w:val="22"/>
          <w:szCs w:val="22"/>
          <w:lang w:val="sk-SK"/>
        </w:rPr>
        <w:t>z</w:t>
      </w:r>
      <w:r w:rsidRPr="00252091">
        <w:rPr>
          <w:rFonts w:ascii="Times New Roman" w:hAnsi="Times New Roman"/>
          <w:sz w:val="22"/>
          <w:szCs w:val="22"/>
          <w:lang w:val="sk-SK"/>
        </w:rPr>
        <w:t>opyramidom.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 xml:space="preserve">Súbežné </w:t>
      </w:r>
      <w:r w:rsidR="007237BA">
        <w:rPr>
          <w:rFonts w:ascii="Times New Roman" w:hAnsi="Times New Roman"/>
          <w:sz w:val="22"/>
          <w:szCs w:val="22"/>
          <w:lang w:val="sk-SK"/>
        </w:rPr>
        <w:t>po</w:t>
      </w:r>
      <w:r w:rsidRPr="00252091">
        <w:rPr>
          <w:rFonts w:ascii="Times New Roman" w:hAnsi="Times New Roman"/>
          <w:sz w:val="22"/>
          <w:szCs w:val="22"/>
          <w:lang w:val="sk-SK"/>
        </w:rPr>
        <w:t>užívanie indometacínu alebo iných inhibítorov syntézy prostaglandínov môže znížiť antihypertenzn</w:t>
      </w:r>
      <w:r w:rsidR="006934F5">
        <w:rPr>
          <w:rFonts w:ascii="Times New Roman" w:hAnsi="Times New Roman"/>
          <w:sz w:val="22"/>
          <w:szCs w:val="22"/>
          <w:lang w:val="sk-SK"/>
        </w:rPr>
        <w:t>ý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účinok betablokátorov.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 xml:space="preserve">Keď sa za určitých okolností podáva adrenalín pacientom liečeným betablokátormi, kardioselektívne </w:t>
      </w:r>
      <w:r w:rsidRPr="003D5839">
        <w:rPr>
          <w:rFonts w:ascii="Times New Roman" w:hAnsi="Times New Roman"/>
          <w:sz w:val="22"/>
          <w:szCs w:val="22"/>
          <w:lang w:val="sk-SK"/>
        </w:rPr>
        <w:t xml:space="preserve">blokátory </w:t>
      </w:r>
      <w:r w:rsidR="00AA24B2">
        <w:rPr>
          <w:rFonts w:ascii="Times New Roman" w:hAnsi="Times New Roman"/>
          <w:sz w:val="22"/>
          <w:szCs w:val="22"/>
          <w:lang w:val="sk-SK"/>
        </w:rPr>
        <w:t xml:space="preserve">betareceptorov </w:t>
      </w:r>
      <w:r w:rsidRPr="003D5839">
        <w:rPr>
          <w:rFonts w:ascii="Times New Roman" w:hAnsi="Times New Roman"/>
          <w:sz w:val="22"/>
          <w:szCs w:val="22"/>
          <w:lang w:val="sk-SK"/>
        </w:rPr>
        <w:t>ovplyvňujú reguláciu krvného tlaku významne menej ako neselektívne betablokátory, hypertenzia</w:t>
      </w:r>
      <w:r>
        <w:rPr>
          <w:rFonts w:ascii="Times New Roman" w:hAnsi="Times New Roman"/>
          <w:sz w:val="22"/>
          <w:szCs w:val="22"/>
          <w:lang w:val="sk-SK"/>
        </w:rPr>
        <w:t xml:space="preserve"> sa však </w:t>
      </w:r>
      <w:r w:rsidR="00AA24B2">
        <w:rPr>
          <w:rFonts w:ascii="Times New Roman" w:hAnsi="Times New Roman"/>
          <w:sz w:val="22"/>
          <w:szCs w:val="22"/>
          <w:lang w:val="sk-SK"/>
        </w:rPr>
        <w:t xml:space="preserve">stále </w:t>
      </w:r>
      <w:r>
        <w:rPr>
          <w:rFonts w:ascii="Times New Roman" w:hAnsi="Times New Roman"/>
          <w:sz w:val="22"/>
          <w:szCs w:val="22"/>
          <w:lang w:val="sk-SK"/>
        </w:rPr>
        <w:t>môže vyskytnúť</w:t>
      </w:r>
      <w:r w:rsidRPr="003D5839">
        <w:rPr>
          <w:rFonts w:ascii="Times New Roman" w:hAnsi="Times New Roman"/>
          <w:sz w:val="22"/>
          <w:szCs w:val="22"/>
          <w:lang w:val="sk-SK"/>
        </w:rPr>
        <w:t>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U pacientov, ktorí užívajú betablokátory, zvyšujú inhalačné anestetiká bradykardický účinok betablokátorov.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i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Inhibítory MAO (s</w:t>
      </w:r>
      <w:r w:rsidR="00AA24B2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výnimkou inhibítorov MAO-B) sa nemajú podávať súbežne s metoprololom (pozri časť 4.3). Ak pacient užíva </w:t>
      </w:r>
      <w:r w:rsidR="006A6760">
        <w:rPr>
          <w:rFonts w:ascii="Times New Roman" w:hAnsi="Times New Roman"/>
          <w:sz w:val="22"/>
          <w:szCs w:val="22"/>
          <w:lang w:val="sk-SK"/>
        </w:rPr>
        <w:t xml:space="preserve">blokátor </w:t>
      </w:r>
      <w:r w:rsidR="000B6C26">
        <w:rPr>
          <w:rFonts w:ascii="Times New Roman" w:hAnsi="Times New Roman"/>
          <w:sz w:val="22"/>
          <w:szCs w:val="22"/>
          <w:lang w:val="sk-SK"/>
        </w:rPr>
        <w:t xml:space="preserve">sympatikového </w:t>
      </w:r>
      <w:r w:rsidR="006A6760">
        <w:rPr>
          <w:rFonts w:ascii="Times New Roman" w:hAnsi="Times New Roman"/>
          <w:sz w:val="22"/>
          <w:szCs w:val="22"/>
          <w:lang w:val="sk-SK"/>
        </w:rPr>
        <w:t>ganglia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v kombinácii s</w:t>
      </w:r>
      <w:r w:rsidR="006A6760">
        <w:rPr>
          <w:rFonts w:ascii="Times New Roman" w:hAnsi="Times New Roman"/>
          <w:sz w:val="22"/>
          <w:szCs w:val="22"/>
          <w:lang w:val="sk-SK"/>
        </w:rPr>
        <w:t xml:space="preserve"> inými betablokátormi (napr. očné kvapky) alebo 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MAO-B inhibítormi, </w:t>
      </w:r>
      <w:r>
        <w:rPr>
          <w:rFonts w:ascii="Times New Roman" w:hAnsi="Times New Roman"/>
          <w:sz w:val="22"/>
          <w:szCs w:val="22"/>
          <w:lang w:val="sk-SK"/>
        </w:rPr>
        <w:t>klinický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stav pacienta sa má starostlivo sledovať.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 xml:space="preserve">Ak sa </w:t>
      </w:r>
      <w:r>
        <w:rPr>
          <w:rFonts w:ascii="Times New Roman" w:hAnsi="Times New Roman"/>
          <w:sz w:val="22"/>
          <w:szCs w:val="22"/>
          <w:lang w:val="sk-SK"/>
        </w:rPr>
        <w:t>musí ukončiť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súbežná liečba klonidínom, liečba betablokátorom sa musí vysadiť niekoľko dní predtým.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 xml:space="preserve">Metoprolol môže </w:t>
      </w:r>
      <w:r w:rsidR="00DE5599">
        <w:rPr>
          <w:rFonts w:ascii="Times New Roman" w:hAnsi="Times New Roman"/>
          <w:sz w:val="22"/>
          <w:szCs w:val="22"/>
          <w:lang w:val="sk-SK"/>
        </w:rPr>
        <w:t>zosilňovať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účinok súbežne podávaných liekov na znižovanie krvného tlaku</w:t>
      </w:r>
      <w:r w:rsidR="00572289">
        <w:rPr>
          <w:rFonts w:ascii="Times New Roman" w:hAnsi="Times New Roman"/>
          <w:sz w:val="22"/>
          <w:szCs w:val="22"/>
          <w:lang w:val="sk-SK"/>
        </w:rPr>
        <w:t xml:space="preserve">, napríklad antagonisty vápnika </w:t>
      </w:r>
      <w:r w:rsidR="0029462D">
        <w:rPr>
          <w:rFonts w:ascii="Times New Roman" w:hAnsi="Times New Roman"/>
          <w:sz w:val="22"/>
          <w:szCs w:val="22"/>
          <w:lang w:val="sk-SK"/>
        </w:rPr>
        <w:t>nifedipínového typu a</w:t>
      </w:r>
      <w:r w:rsidR="00905626">
        <w:rPr>
          <w:rFonts w:ascii="Times New Roman" w:hAnsi="Times New Roman"/>
          <w:sz w:val="22"/>
          <w:szCs w:val="22"/>
          <w:lang w:val="sk-SK"/>
        </w:rPr>
        <w:t> </w:t>
      </w:r>
      <w:r w:rsidR="0029462D">
        <w:rPr>
          <w:rFonts w:ascii="Times New Roman" w:hAnsi="Times New Roman"/>
          <w:sz w:val="22"/>
          <w:szCs w:val="22"/>
          <w:lang w:val="sk-SK"/>
        </w:rPr>
        <w:t>prazosín</w:t>
      </w:r>
      <w:r w:rsidRPr="00252091">
        <w:rPr>
          <w:rFonts w:ascii="Times New Roman" w:hAnsi="Times New Roman"/>
          <w:sz w:val="22"/>
          <w:szCs w:val="22"/>
          <w:lang w:val="sk-SK"/>
        </w:rPr>
        <w:t>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Pri súbežnom podaní 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lu s noradrenalínom, adrenalínom alebo inými sympatomimetikami</w:t>
      </w:r>
      <w:r w:rsidR="00572289">
        <w:rPr>
          <w:rFonts w:ascii="Times New Roman" w:hAnsi="Times New Roman"/>
          <w:sz w:val="22"/>
          <w:szCs w:val="22"/>
          <w:lang w:val="sk-SK"/>
        </w:rPr>
        <w:t xml:space="preserve"> (napr. lieky na kašeľ, nosné a očné kvapky)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môže dôjsť k</w:t>
      </w:r>
      <w:r w:rsidR="00905626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významnému vzostupu krvného tlaku. V prípade súbežného podávania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lu a rezerpínu, alfa-metyldopy, klonidínu, guanfacínu </w:t>
      </w:r>
      <w:r w:rsidRPr="00252091">
        <w:rPr>
          <w:rFonts w:ascii="Times New Roman" w:hAnsi="Times New Roman"/>
          <w:sz w:val="22"/>
          <w:szCs w:val="22"/>
          <w:lang w:val="sk-SK"/>
        </w:rPr>
        <w:lastRenderedPageBreak/>
        <w:t xml:space="preserve">a srdcových glykozidov môže dôjsť k výraznému </w:t>
      </w:r>
      <w:r w:rsidRPr="001A354A">
        <w:rPr>
          <w:rFonts w:ascii="Times New Roman" w:hAnsi="Times New Roman"/>
          <w:sz w:val="22"/>
          <w:szCs w:val="22"/>
          <w:lang w:val="sk-SK"/>
        </w:rPr>
        <w:t xml:space="preserve">poklesu </w:t>
      </w:r>
      <w:r>
        <w:rPr>
          <w:rFonts w:ascii="Times New Roman" w:hAnsi="Times New Roman"/>
          <w:sz w:val="22"/>
          <w:szCs w:val="22"/>
          <w:lang w:val="sk-SK"/>
        </w:rPr>
        <w:t xml:space="preserve">srdcovej </w:t>
      </w:r>
      <w:r w:rsidRPr="001A354A">
        <w:rPr>
          <w:rFonts w:ascii="Times New Roman" w:hAnsi="Times New Roman"/>
          <w:sz w:val="22"/>
          <w:szCs w:val="22"/>
          <w:lang w:val="sk-SK"/>
        </w:rPr>
        <w:t xml:space="preserve">frekvencie </w:t>
      </w:r>
      <w:r w:rsidRPr="00B5213B">
        <w:rPr>
          <w:rFonts w:ascii="Times New Roman" w:hAnsi="Times New Roman"/>
          <w:sz w:val="22"/>
          <w:szCs w:val="22"/>
          <w:lang w:val="sk-SK"/>
        </w:rPr>
        <w:t>a</w:t>
      </w:r>
      <w:r>
        <w:rPr>
          <w:rFonts w:ascii="Times New Roman" w:hAnsi="Times New Roman"/>
          <w:sz w:val="22"/>
          <w:szCs w:val="22"/>
          <w:lang w:val="sk-SK"/>
        </w:rPr>
        <w:t xml:space="preserve"> k spomaleniu </w:t>
      </w:r>
      <w:r w:rsidRPr="00B5213B">
        <w:rPr>
          <w:rFonts w:ascii="Times New Roman" w:hAnsi="Times New Roman"/>
          <w:sz w:val="22"/>
          <w:szCs w:val="22"/>
          <w:lang w:val="sk-SK"/>
        </w:rPr>
        <w:t>vodivosti srdca.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U</w:t>
      </w:r>
      <w:r w:rsidR="00905626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p</w:t>
      </w:r>
      <w:r w:rsidRPr="00252091">
        <w:rPr>
          <w:rFonts w:ascii="Times New Roman" w:hAnsi="Times New Roman"/>
          <w:sz w:val="22"/>
          <w:szCs w:val="22"/>
          <w:lang w:val="sk-SK"/>
        </w:rPr>
        <w:t>acient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so súbežnou liečbou inými beta</w:t>
      </w:r>
      <w:r>
        <w:rPr>
          <w:rFonts w:ascii="Times New Roman" w:hAnsi="Times New Roman"/>
          <w:sz w:val="22"/>
          <w:szCs w:val="22"/>
          <w:lang w:val="sk-SK"/>
        </w:rPr>
        <w:t>blokátormi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(napr. očnými kvapkami obsahujúcimi tim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l) </w:t>
      </w:r>
      <w:r>
        <w:rPr>
          <w:rFonts w:ascii="Times New Roman" w:hAnsi="Times New Roman"/>
          <w:sz w:val="22"/>
          <w:szCs w:val="22"/>
          <w:lang w:val="sk-SK"/>
        </w:rPr>
        <w:t>je potrebné dôkladné lekárske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sledovanie</w:t>
      </w:r>
      <w:r w:rsidRPr="00252091">
        <w:rPr>
          <w:rFonts w:ascii="Times New Roman" w:hAnsi="Times New Roman"/>
          <w:sz w:val="22"/>
          <w:szCs w:val="22"/>
          <w:lang w:val="sk-SK"/>
        </w:rPr>
        <w:t>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liumsukcinát môže </w:t>
      </w:r>
      <w:r w:rsidR="00572289">
        <w:rPr>
          <w:rFonts w:ascii="Times New Roman" w:hAnsi="Times New Roman"/>
          <w:sz w:val="22"/>
          <w:szCs w:val="22"/>
          <w:lang w:val="sk-SK"/>
        </w:rPr>
        <w:t>zosilniť účinky inzulínu alebo perorálnych hypoglykemických liekov ale</w:t>
      </w:r>
      <w:r w:rsidR="00E44B7B">
        <w:rPr>
          <w:rFonts w:ascii="Times New Roman" w:hAnsi="Times New Roman"/>
          <w:sz w:val="22"/>
          <w:szCs w:val="22"/>
          <w:lang w:val="sk-SK"/>
        </w:rPr>
        <w:t>b</w:t>
      </w:r>
      <w:r w:rsidR="00572289">
        <w:rPr>
          <w:rFonts w:ascii="Times New Roman" w:hAnsi="Times New Roman"/>
          <w:sz w:val="22"/>
          <w:szCs w:val="22"/>
          <w:lang w:val="sk-SK"/>
        </w:rPr>
        <w:t xml:space="preserve">o </w:t>
      </w:r>
      <w:r w:rsidRPr="00252091">
        <w:rPr>
          <w:rFonts w:ascii="Times New Roman" w:hAnsi="Times New Roman"/>
          <w:sz w:val="22"/>
          <w:szCs w:val="22"/>
          <w:lang w:val="sk-SK"/>
        </w:rPr>
        <w:t>zmierniť symptómy hypoglykémie, najmä tachykardiu. Blokátory betareceptorov môžu inhibovať uvoľňovanie inzulínu u </w:t>
      </w:r>
      <w:r>
        <w:rPr>
          <w:rFonts w:ascii="Times New Roman" w:hAnsi="Times New Roman"/>
          <w:sz w:val="22"/>
          <w:szCs w:val="22"/>
          <w:lang w:val="sk-SK"/>
        </w:rPr>
        <w:t>pacientov s</w:t>
      </w:r>
      <w:r w:rsidR="00905626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diabetom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II. typu. Hladina cukru v krvi sa má pravidelne </w:t>
      </w:r>
      <w:r>
        <w:rPr>
          <w:rFonts w:ascii="Times New Roman" w:hAnsi="Times New Roman"/>
          <w:sz w:val="22"/>
          <w:szCs w:val="22"/>
          <w:lang w:val="sk-SK"/>
        </w:rPr>
        <w:t>kontr</w:t>
      </w:r>
      <w:smartTag w:uri="urn:schemas-microsoft-com:office:smarttags" w:element="PersonName">
        <w:r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>
        <w:rPr>
          <w:rFonts w:ascii="Times New Roman" w:hAnsi="Times New Roman"/>
          <w:sz w:val="22"/>
          <w:szCs w:val="22"/>
          <w:lang w:val="sk-SK"/>
        </w:rPr>
        <w:t>vať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a podľa </w:t>
      </w:r>
      <w:r>
        <w:rPr>
          <w:rFonts w:ascii="Times New Roman" w:hAnsi="Times New Roman"/>
          <w:sz w:val="22"/>
          <w:szCs w:val="22"/>
          <w:lang w:val="sk-SK"/>
        </w:rPr>
        <w:t>týchto výsledkov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sa má upraviť liečba znižujúca hladinu cukru v krvi (inzulín a</w:t>
      </w:r>
      <w:r w:rsidR="00572289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perorálne</w:t>
      </w:r>
      <w:r w:rsidR="00572289">
        <w:rPr>
          <w:rFonts w:ascii="Times New Roman" w:hAnsi="Times New Roman"/>
          <w:sz w:val="22"/>
          <w:szCs w:val="22"/>
          <w:lang w:val="sk-SK"/>
        </w:rPr>
        <w:t xml:space="preserve"> hypoglykemiká</w:t>
      </w:r>
      <w:r w:rsidRPr="00252091">
        <w:rPr>
          <w:rFonts w:ascii="Times New Roman" w:hAnsi="Times New Roman"/>
          <w:sz w:val="22"/>
          <w:szCs w:val="22"/>
          <w:lang w:val="sk-SK"/>
        </w:rPr>
        <w:t>).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ind w:left="0" w:firstLine="0"/>
        <w:rPr>
          <w:bCs/>
          <w:szCs w:val="22"/>
        </w:rPr>
      </w:pPr>
      <w:r w:rsidRPr="00252091">
        <w:rPr>
          <w:szCs w:val="22"/>
        </w:rPr>
        <w:t>Účinok adrenalínu v liečbe anafylaktických reakcií môže byť u pacientov užívajúcich betablokátory oslabený (pozri tiež časť 4.4</w:t>
      </w:r>
      <w:r w:rsidRPr="00252091">
        <w:rPr>
          <w:bCs/>
          <w:szCs w:val="22"/>
        </w:rPr>
        <w:t>).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9E729A">
      <w:pPr>
        <w:pStyle w:val="Text"/>
        <w:keepNext/>
        <w:spacing w:line="240" w:lineRule="auto"/>
        <w:ind w:left="0"/>
        <w:rPr>
          <w:rFonts w:ascii="Times New Roman" w:hAnsi="Times New Roman"/>
          <w:sz w:val="22"/>
          <w:szCs w:val="22"/>
          <w:u w:val="single"/>
          <w:lang w:val="sk-SK"/>
        </w:rPr>
      </w:pPr>
      <w:r w:rsidRPr="00252091">
        <w:rPr>
          <w:rFonts w:ascii="Times New Roman" w:hAnsi="Times New Roman"/>
          <w:sz w:val="22"/>
          <w:szCs w:val="22"/>
          <w:u w:val="single"/>
          <w:lang w:val="sk-SK"/>
        </w:rPr>
        <w:t>Farmakokinetické interakcie: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Meto</w:t>
      </w:r>
      <w:r>
        <w:rPr>
          <w:rFonts w:ascii="Times New Roman" w:hAnsi="Times New Roman"/>
          <w:sz w:val="22"/>
          <w:szCs w:val="22"/>
          <w:lang w:val="sk-SK"/>
        </w:rPr>
        <w:t>p</w:t>
      </w:r>
      <w:r w:rsidRPr="00252091">
        <w:rPr>
          <w:rFonts w:ascii="Times New Roman" w:hAnsi="Times New Roman"/>
          <w:sz w:val="22"/>
          <w:szCs w:val="22"/>
          <w:lang w:val="sk-SK"/>
        </w:rPr>
        <w:t>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 je substrátom pre CYP 2D6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čo je izoenzým cytochrómu P 450.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 xml:space="preserve">Liečivá indukujúce </w:t>
      </w:r>
      <w:r>
        <w:rPr>
          <w:rFonts w:ascii="Times New Roman" w:hAnsi="Times New Roman"/>
          <w:sz w:val="22"/>
          <w:szCs w:val="22"/>
          <w:lang w:val="sk-SK"/>
        </w:rPr>
        <w:t>alebo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inhibujúce enzýmy môžu ovplyvniť plazmatickú koncentráciu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lu. Rifampicín </w:t>
      </w:r>
      <w:r w:rsidR="003A2303">
        <w:rPr>
          <w:rFonts w:ascii="Times New Roman" w:hAnsi="Times New Roman"/>
          <w:sz w:val="22"/>
          <w:szCs w:val="22"/>
          <w:lang w:val="sk-SK"/>
        </w:rPr>
        <w:t xml:space="preserve">a deriváty kyseliny barbiturovej indukujú metabolizmus metoprololu </w:t>
      </w:r>
      <w:r w:rsidR="0060138D">
        <w:rPr>
          <w:rFonts w:ascii="Times New Roman" w:hAnsi="Times New Roman"/>
          <w:sz w:val="22"/>
          <w:szCs w:val="22"/>
          <w:lang w:val="sk-SK"/>
        </w:rPr>
        <w:t>prostredníctvom</w:t>
      </w:r>
      <w:r w:rsidR="003A2303">
        <w:rPr>
          <w:rFonts w:ascii="Times New Roman" w:hAnsi="Times New Roman"/>
          <w:sz w:val="22"/>
          <w:szCs w:val="22"/>
          <w:lang w:val="sk-SK"/>
        </w:rPr>
        <w:t xml:space="preserve"> indukci</w:t>
      </w:r>
      <w:r w:rsidR="0060138D">
        <w:rPr>
          <w:rFonts w:ascii="Times New Roman" w:hAnsi="Times New Roman"/>
          <w:sz w:val="22"/>
          <w:szCs w:val="22"/>
          <w:lang w:val="sk-SK"/>
        </w:rPr>
        <w:t>e</w:t>
      </w:r>
      <w:r w:rsidR="003A2303">
        <w:rPr>
          <w:rFonts w:ascii="Times New Roman" w:hAnsi="Times New Roman"/>
          <w:sz w:val="22"/>
          <w:szCs w:val="22"/>
          <w:lang w:val="sk-SK"/>
        </w:rPr>
        <w:t xml:space="preserve"> enzýmu a</w:t>
      </w:r>
      <w:r w:rsidR="00905626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znižuj</w:t>
      </w:r>
      <w:r w:rsidR="003A2303">
        <w:rPr>
          <w:rFonts w:ascii="Times New Roman" w:hAnsi="Times New Roman"/>
          <w:sz w:val="22"/>
          <w:szCs w:val="22"/>
          <w:lang w:val="sk-SK"/>
        </w:rPr>
        <w:t>ú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hladinu metoprololu v </w:t>
      </w:r>
      <w:r>
        <w:rPr>
          <w:rFonts w:ascii="Times New Roman" w:hAnsi="Times New Roman"/>
          <w:sz w:val="22"/>
          <w:szCs w:val="22"/>
          <w:lang w:val="sk-SK"/>
        </w:rPr>
        <w:t>plazme</w:t>
      </w:r>
      <w:r w:rsidRPr="00252091">
        <w:rPr>
          <w:rFonts w:ascii="Times New Roman" w:hAnsi="Times New Roman"/>
          <w:sz w:val="22"/>
          <w:szCs w:val="22"/>
          <w:lang w:val="sk-SK"/>
        </w:rPr>
        <w:t>. Cimetidín, alkohol a hydralazín môžu plazmatickú koncentráciu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lu zvýšiť.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 sa metabolizuje </w:t>
      </w:r>
      <w:r>
        <w:rPr>
          <w:rFonts w:ascii="Times New Roman" w:hAnsi="Times New Roman"/>
          <w:sz w:val="22"/>
          <w:szCs w:val="22"/>
          <w:lang w:val="sk-SK"/>
        </w:rPr>
        <w:t>hlavne</w:t>
      </w:r>
      <w:r w:rsidRPr="00252091">
        <w:rPr>
          <w:rFonts w:ascii="Times New Roman" w:hAnsi="Times New Roman"/>
          <w:sz w:val="22"/>
          <w:szCs w:val="22"/>
          <w:lang w:val="sk-SK"/>
        </w:rPr>
        <w:t>, ale nie výlučne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pečeňovým enzýmom – cytochrómom CYP 2D6 (pozri tiež časť 5.2). Látky s inhibičným účinkom na CYP 2D6, napr. selektívne inhibítory spätného vychytávania serotonínu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ako paroxetín, fluoxetín a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sertralín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rovnako </w:t>
      </w:r>
      <w:r w:rsidRPr="00252091">
        <w:rPr>
          <w:rFonts w:ascii="Times New Roman" w:hAnsi="Times New Roman"/>
          <w:sz w:val="22"/>
          <w:szCs w:val="22"/>
          <w:lang w:val="sk-SK"/>
        </w:rPr>
        <w:t>ako aj difenhydramín, hydroxychlorochín, celekoxib, terbinafín, neuroleptiká (napr. chlórpromazín, triflupromazín, chlórprotixén) a pravdepodobne aj propafenón môžu zvýšiť plazmatickú koncentráciu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lu.</w:t>
      </w:r>
      <w:r w:rsidR="003A2303">
        <w:rPr>
          <w:rFonts w:ascii="Times New Roman" w:hAnsi="Times New Roman"/>
          <w:sz w:val="22"/>
          <w:szCs w:val="22"/>
          <w:lang w:val="sk-SK"/>
        </w:rPr>
        <w:t xml:space="preserve"> Na začiatku liečby liekmi, ktoré inhibujú CYP2D6 u pacientov liečených metoprololom, môže byť potrebné znížiť dávku metoprololu.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Inhibičný účinok na CYP 2D6 bol zaznamenaný aj u amiodarónu a chinidínu (antiarytmiká).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 môže znižovať elimináciu iných liekov (napr. lidokaínu).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b/>
          <w:szCs w:val="22"/>
        </w:rPr>
      </w:pPr>
      <w:r w:rsidRPr="00252091">
        <w:rPr>
          <w:b/>
          <w:szCs w:val="22"/>
        </w:rPr>
        <w:t>4.6</w:t>
      </w:r>
      <w:r w:rsidRPr="00252091">
        <w:rPr>
          <w:b/>
          <w:szCs w:val="22"/>
        </w:rPr>
        <w:tab/>
      </w:r>
      <w:r w:rsidR="0029462D">
        <w:rPr>
          <w:b/>
          <w:szCs w:val="22"/>
        </w:rPr>
        <w:t>Fertilita, g</w:t>
      </w:r>
      <w:r w:rsidRPr="00252091">
        <w:rPr>
          <w:b/>
          <w:szCs w:val="22"/>
        </w:rPr>
        <w:t>ravidita a</w:t>
      </w:r>
      <w:r w:rsidR="00905626">
        <w:rPr>
          <w:b/>
          <w:szCs w:val="22"/>
        </w:rPr>
        <w:t> </w:t>
      </w:r>
      <w:r w:rsidRPr="00252091">
        <w:rPr>
          <w:b/>
          <w:szCs w:val="22"/>
        </w:rPr>
        <w:t>laktácia</w:t>
      </w:r>
    </w:p>
    <w:p w:rsidR="00F05EF4" w:rsidRPr="00252091" w:rsidRDefault="00F05EF4" w:rsidP="009E729A">
      <w:pPr>
        <w:keepNext/>
        <w:rPr>
          <w:szCs w:val="22"/>
        </w:rPr>
      </w:pPr>
    </w:p>
    <w:p w:rsidR="00F05EF4" w:rsidRPr="00C349D4" w:rsidRDefault="00F05EF4" w:rsidP="009E729A">
      <w:pPr>
        <w:keepNext/>
        <w:rPr>
          <w:szCs w:val="22"/>
          <w:u w:val="single"/>
        </w:rPr>
      </w:pPr>
      <w:r w:rsidRPr="00C349D4">
        <w:rPr>
          <w:szCs w:val="22"/>
          <w:u w:val="single"/>
        </w:rPr>
        <w:t>Gravidita</w:t>
      </w: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 xml:space="preserve">Keďže </w:t>
      </w:r>
      <w:r>
        <w:rPr>
          <w:szCs w:val="22"/>
        </w:rPr>
        <w:t>chýba</w:t>
      </w:r>
      <w:r w:rsidRPr="00252091">
        <w:rPr>
          <w:szCs w:val="22"/>
        </w:rPr>
        <w:t>jú dobre kontr</w:t>
      </w:r>
      <w:smartTag w:uri="urn:schemas-microsoft-com:office:smarttags" w:element="PersonName">
        <w:r w:rsidRPr="00252091">
          <w:rPr>
            <w:szCs w:val="22"/>
          </w:rPr>
          <w:t>olo</w:t>
        </w:r>
      </w:smartTag>
      <w:r w:rsidRPr="00252091">
        <w:rPr>
          <w:szCs w:val="22"/>
        </w:rPr>
        <w:t>vané štúdie o používaní metopr</w:t>
      </w:r>
      <w:smartTag w:uri="urn:schemas-microsoft-com:office:smarttags" w:element="PersonName">
        <w:r w:rsidRPr="00252091">
          <w:rPr>
            <w:szCs w:val="22"/>
          </w:rPr>
          <w:t>olo</w:t>
        </w:r>
      </w:smartTag>
      <w:r w:rsidRPr="00252091">
        <w:rPr>
          <w:szCs w:val="22"/>
        </w:rPr>
        <w:t>lu u </w:t>
      </w:r>
      <w:r w:rsidR="0060138D">
        <w:rPr>
          <w:szCs w:val="22"/>
        </w:rPr>
        <w:t>gravidných</w:t>
      </w:r>
      <w:r w:rsidRPr="00252091">
        <w:rPr>
          <w:szCs w:val="22"/>
        </w:rPr>
        <w:t xml:space="preserve"> žien, metopr</w:t>
      </w:r>
      <w:smartTag w:uri="urn:schemas-microsoft-com:office:smarttags" w:element="PersonName">
        <w:r w:rsidRPr="00252091">
          <w:rPr>
            <w:szCs w:val="22"/>
          </w:rPr>
          <w:t>olo</w:t>
        </w:r>
      </w:smartTag>
      <w:r w:rsidRPr="00252091">
        <w:rPr>
          <w:szCs w:val="22"/>
        </w:rPr>
        <w:t>l sa môže používať počas tehotenstva len vtedy, ak prínos pre matku prevyšuje riziko pre embryo/</w:t>
      </w:r>
      <w:r>
        <w:rPr>
          <w:szCs w:val="22"/>
        </w:rPr>
        <w:t>plod</w:t>
      </w:r>
      <w:r w:rsidR="0029462D">
        <w:rPr>
          <w:szCs w:val="22"/>
        </w:rPr>
        <w:t xml:space="preserve"> (obzvlášť počas prvých troch mesiacov)</w:t>
      </w:r>
      <w:r w:rsidRPr="00252091">
        <w:rPr>
          <w:szCs w:val="22"/>
        </w:rPr>
        <w:t>.</w:t>
      </w:r>
    </w:p>
    <w:p w:rsidR="00F05EF4" w:rsidRPr="00252091" w:rsidRDefault="00F05EF4" w:rsidP="00F05EF4">
      <w:pPr>
        <w:ind w:left="0" w:firstLine="0"/>
        <w:rPr>
          <w:szCs w:val="22"/>
        </w:rPr>
      </w:pPr>
    </w:p>
    <w:p w:rsidR="00F05EF4" w:rsidRPr="00252091" w:rsidRDefault="00F05EF4" w:rsidP="00F05EF4">
      <w:pPr>
        <w:ind w:left="0" w:firstLine="0"/>
        <w:rPr>
          <w:szCs w:val="22"/>
        </w:rPr>
      </w:pPr>
      <w:r w:rsidRPr="00905626">
        <w:rPr>
          <w:szCs w:val="22"/>
        </w:rPr>
        <w:t>Betablokátory</w:t>
      </w:r>
      <w:r w:rsidRPr="00252091">
        <w:rPr>
          <w:szCs w:val="22"/>
        </w:rPr>
        <w:t xml:space="preserve"> znižujú perfúziu placenty a môžu spôsobiť úmrtie plodu a</w:t>
      </w:r>
      <w:r w:rsidR="00905626">
        <w:rPr>
          <w:szCs w:val="22"/>
        </w:rPr>
        <w:t> </w:t>
      </w:r>
      <w:r w:rsidRPr="00252091">
        <w:rPr>
          <w:szCs w:val="22"/>
        </w:rPr>
        <w:t>predčasn</w:t>
      </w:r>
      <w:r>
        <w:rPr>
          <w:szCs w:val="22"/>
        </w:rPr>
        <w:t>ý</w:t>
      </w:r>
      <w:r w:rsidRPr="00252091">
        <w:rPr>
          <w:szCs w:val="22"/>
        </w:rPr>
        <w:t xml:space="preserve"> </w:t>
      </w:r>
      <w:r>
        <w:rPr>
          <w:szCs w:val="22"/>
        </w:rPr>
        <w:t>pôrod</w:t>
      </w:r>
      <w:r w:rsidRPr="00252091">
        <w:rPr>
          <w:szCs w:val="22"/>
        </w:rPr>
        <w:t>. Po</w:t>
      </w:r>
      <w:r>
        <w:rPr>
          <w:szCs w:val="22"/>
        </w:rPr>
        <w:t> </w:t>
      </w:r>
      <w:r w:rsidRPr="00252091">
        <w:rPr>
          <w:szCs w:val="22"/>
        </w:rPr>
        <w:t xml:space="preserve">dlhodobej liečbe tehotných žien s miernou až stredne závažnou hypertenziou sa pozorovalo spomalenie vnútromaternicového rastu. </w:t>
      </w:r>
      <w:r>
        <w:rPr>
          <w:szCs w:val="22"/>
        </w:rPr>
        <w:t>Z</w:t>
      </w:r>
      <w:r w:rsidRPr="00252091">
        <w:rPr>
          <w:szCs w:val="22"/>
        </w:rPr>
        <w:t>aznamena</w:t>
      </w:r>
      <w:r>
        <w:rPr>
          <w:szCs w:val="22"/>
        </w:rPr>
        <w:t>lo sa</w:t>
      </w:r>
      <w:r w:rsidRPr="00252091">
        <w:rPr>
          <w:szCs w:val="22"/>
        </w:rPr>
        <w:t>, že betablokátory spôsobujú predĺžený pôrod a bradykardiu plodu a novorodenca. Tiež boli hlásené hypoglykémia, hypotenzia, zvýšen</w:t>
      </w:r>
      <w:r>
        <w:rPr>
          <w:szCs w:val="22"/>
        </w:rPr>
        <w:t>á</w:t>
      </w:r>
      <w:r w:rsidRPr="00252091">
        <w:rPr>
          <w:szCs w:val="22"/>
        </w:rPr>
        <w:t xml:space="preserve"> bilirub</w:t>
      </w:r>
      <w:r>
        <w:rPr>
          <w:szCs w:val="22"/>
        </w:rPr>
        <w:t>i</w:t>
      </w:r>
      <w:r w:rsidRPr="00252091">
        <w:rPr>
          <w:szCs w:val="22"/>
        </w:rPr>
        <w:t>n</w:t>
      </w:r>
      <w:r>
        <w:rPr>
          <w:szCs w:val="22"/>
        </w:rPr>
        <w:t>émia</w:t>
      </w:r>
      <w:r w:rsidRPr="00252091">
        <w:rPr>
          <w:szCs w:val="22"/>
        </w:rPr>
        <w:t xml:space="preserve"> a obmedzená odpoveď na anoxiu u novorodencov. Liečba metoprololom sa má vysadiť 48 – 72</w:t>
      </w:r>
      <w:r w:rsidR="00905626">
        <w:rPr>
          <w:szCs w:val="22"/>
        </w:rPr>
        <w:t> </w:t>
      </w:r>
      <w:r w:rsidRPr="00252091">
        <w:rPr>
          <w:szCs w:val="22"/>
        </w:rPr>
        <w:t xml:space="preserve">hodín pred vypočítaným dátumom </w:t>
      </w:r>
      <w:r w:rsidR="0060138D">
        <w:rPr>
          <w:szCs w:val="22"/>
        </w:rPr>
        <w:t>pôrodu</w:t>
      </w:r>
      <w:r w:rsidRPr="00252091">
        <w:rPr>
          <w:szCs w:val="22"/>
        </w:rPr>
        <w:t>. Ak to nie je možné, novorodenec sa má sledovať počas 48 – 72</w:t>
      </w:r>
      <w:r w:rsidR="00905626">
        <w:rPr>
          <w:szCs w:val="22"/>
        </w:rPr>
        <w:t> </w:t>
      </w:r>
      <w:r w:rsidRPr="00252091">
        <w:rPr>
          <w:szCs w:val="22"/>
        </w:rPr>
        <w:t xml:space="preserve">hodín po pôrode pre </w:t>
      </w:r>
      <w:r w:rsidR="00905626">
        <w:rPr>
          <w:szCs w:val="22"/>
        </w:rPr>
        <w:t xml:space="preserve">prejavy </w:t>
      </w:r>
      <w:r w:rsidRPr="00252091">
        <w:rPr>
          <w:szCs w:val="22"/>
        </w:rPr>
        <w:t>a príznaky betablokády (napr. srdcové a pľúcne komplikácie).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 xml:space="preserve">Betablokátory nepreukázali teratogénny potenciál u zvierat, ale </w:t>
      </w:r>
      <w:r>
        <w:rPr>
          <w:szCs w:val="22"/>
        </w:rPr>
        <w:t>pozoroval</w:t>
      </w:r>
      <w:r w:rsidRPr="00252091">
        <w:rPr>
          <w:szCs w:val="22"/>
        </w:rPr>
        <w:t xml:space="preserve"> sa znížený prietok krvi pupočnou šnúrou, spomalenie rastu, znížená osifikácia a zvýšený výskyt fetálnych a postnatálnych úmrtí.</w:t>
      </w:r>
    </w:p>
    <w:p w:rsidR="00F05EF4" w:rsidRPr="00252091" w:rsidRDefault="00F05EF4" w:rsidP="00F05EF4">
      <w:pPr>
        <w:rPr>
          <w:szCs w:val="22"/>
        </w:rPr>
      </w:pPr>
    </w:p>
    <w:p w:rsidR="00905626" w:rsidRDefault="00905626" w:rsidP="009E729A">
      <w:pPr>
        <w:keepNext/>
        <w:ind w:left="0" w:firstLine="0"/>
        <w:rPr>
          <w:szCs w:val="22"/>
          <w:u w:val="single"/>
        </w:rPr>
      </w:pPr>
      <w:r>
        <w:rPr>
          <w:szCs w:val="22"/>
          <w:u w:val="single"/>
        </w:rPr>
        <w:lastRenderedPageBreak/>
        <w:t>Dojčenie</w:t>
      </w: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Koncentrácia metopr</w:t>
      </w:r>
      <w:smartTag w:uri="urn:schemas-microsoft-com:office:smarttags" w:element="PersonName">
        <w:r w:rsidRPr="00252091">
          <w:rPr>
            <w:szCs w:val="22"/>
          </w:rPr>
          <w:t>olo</w:t>
        </w:r>
      </w:smartTag>
      <w:r w:rsidRPr="00252091">
        <w:rPr>
          <w:szCs w:val="22"/>
        </w:rPr>
        <w:t>lu v materskom mlieku je približne trikrát vyššia ako je koncentrácia v plazme matky. Aj keď sa zdá byť riziko nežiaducich účinkov u dojčeného dieťaťa po podaní terapeutických dávok lieku nízke (</w:t>
      </w:r>
      <w:r>
        <w:rPr>
          <w:szCs w:val="22"/>
        </w:rPr>
        <w:t>s</w:t>
      </w:r>
      <w:r w:rsidR="00905626">
        <w:rPr>
          <w:szCs w:val="22"/>
        </w:rPr>
        <w:t> </w:t>
      </w:r>
      <w:r>
        <w:rPr>
          <w:szCs w:val="22"/>
        </w:rPr>
        <w:t>výnimkou pomalých metaboliz</w:t>
      </w:r>
      <w:r w:rsidR="0060138D">
        <w:rPr>
          <w:szCs w:val="22"/>
        </w:rPr>
        <w:t>érov</w:t>
      </w:r>
      <w:r w:rsidRPr="00252091">
        <w:rPr>
          <w:szCs w:val="22"/>
        </w:rPr>
        <w:t>), dojčené dieťa sa m</w:t>
      </w:r>
      <w:r>
        <w:rPr>
          <w:szCs w:val="22"/>
        </w:rPr>
        <w:t>á</w:t>
      </w:r>
      <w:r w:rsidRPr="00252091">
        <w:rPr>
          <w:szCs w:val="22"/>
        </w:rPr>
        <w:t xml:space="preserve"> sledovať pre</w:t>
      </w:r>
      <w:r>
        <w:rPr>
          <w:szCs w:val="22"/>
        </w:rPr>
        <w:t> </w:t>
      </w:r>
      <w:r w:rsidR="00905626">
        <w:rPr>
          <w:szCs w:val="22"/>
        </w:rPr>
        <w:t>prejavy</w:t>
      </w:r>
      <w:r w:rsidRPr="00252091">
        <w:rPr>
          <w:szCs w:val="22"/>
        </w:rPr>
        <w:t xml:space="preserve"> betablokády.</w:t>
      </w:r>
    </w:p>
    <w:p w:rsidR="00F05EF4" w:rsidRPr="00252091" w:rsidRDefault="00F05EF4" w:rsidP="00F05EF4">
      <w:pPr>
        <w:ind w:left="0" w:firstLine="0"/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4.7</w:t>
      </w:r>
      <w:r w:rsidRPr="00252091">
        <w:rPr>
          <w:b/>
          <w:szCs w:val="22"/>
        </w:rPr>
        <w:tab/>
        <w:t>Ovplyvnenie schopnosti viesť vozidlá a</w:t>
      </w:r>
      <w:r w:rsidR="00905626">
        <w:rPr>
          <w:b/>
          <w:szCs w:val="22"/>
        </w:rPr>
        <w:t> </w:t>
      </w:r>
      <w:r w:rsidRPr="00252091">
        <w:rPr>
          <w:b/>
          <w:szCs w:val="22"/>
        </w:rPr>
        <w:t>obsluhovať stroje</w:t>
      </w:r>
    </w:p>
    <w:p w:rsidR="00F05EF4" w:rsidRPr="00252091" w:rsidRDefault="00F05EF4" w:rsidP="009E729A">
      <w:pPr>
        <w:keepNext/>
        <w:ind w:left="0" w:firstLine="0"/>
        <w:rPr>
          <w:szCs w:val="22"/>
        </w:rPr>
      </w:pP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Je potrebné</w:t>
      </w:r>
      <w:r>
        <w:rPr>
          <w:szCs w:val="22"/>
        </w:rPr>
        <w:t>,</w:t>
      </w:r>
      <w:r w:rsidRPr="00252091">
        <w:rPr>
          <w:szCs w:val="22"/>
        </w:rPr>
        <w:t xml:space="preserve"> aby si pacienti pred vedením vozidla alebo pred obsluho</w:t>
      </w:r>
      <w:r>
        <w:rPr>
          <w:szCs w:val="22"/>
        </w:rPr>
        <w:t>u</w:t>
      </w:r>
      <w:r w:rsidRPr="00252091">
        <w:rPr>
          <w:szCs w:val="22"/>
        </w:rPr>
        <w:t xml:space="preserve"> strojov boli vedomí toho</w:t>
      </w:r>
      <w:r>
        <w:rPr>
          <w:szCs w:val="22"/>
        </w:rPr>
        <w:t>,</w:t>
      </w:r>
      <w:r w:rsidRPr="00252091">
        <w:rPr>
          <w:szCs w:val="22"/>
        </w:rPr>
        <w:t xml:space="preserve"> že počas liečby metopr</w:t>
      </w:r>
      <w:smartTag w:uri="urn:schemas-microsoft-com:office:smarttags" w:element="PersonName">
        <w:r w:rsidRPr="00252091">
          <w:rPr>
            <w:szCs w:val="22"/>
          </w:rPr>
          <w:t>olo</w:t>
        </w:r>
      </w:smartTag>
      <w:r w:rsidRPr="00252091">
        <w:rPr>
          <w:szCs w:val="22"/>
        </w:rPr>
        <w:t xml:space="preserve">lom sa môžu vyskytnúť závraty a únava. Platí to hlavne pri </w:t>
      </w:r>
      <w:r>
        <w:rPr>
          <w:szCs w:val="22"/>
        </w:rPr>
        <w:t>kombinácii s</w:t>
      </w:r>
      <w:r w:rsidR="0029462D">
        <w:rPr>
          <w:szCs w:val="22"/>
        </w:rPr>
        <w:t> </w:t>
      </w:r>
      <w:r w:rsidRPr="00252091">
        <w:rPr>
          <w:szCs w:val="22"/>
        </w:rPr>
        <w:t>alkoh</w:t>
      </w:r>
      <w:smartTag w:uri="urn:schemas-microsoft-com:office:smarttags" w:element="PersonName">
        <w:r w:rsidRPr="00252091">
          <w:rPr>
            <w:szCs w:val="22"/>
          </w:rPr>
          <w:t>ol</w:t>
        </w:r>
        <w:r>
          <w:rPr>
            <w:szCs w:val="22"/>
          </w:rPr>
          <w:t>o</w:t>
        </w:r>
      </w:smartTag>
      <w:r>
        <w:rPr>
          <w:szCs w:val="22"/>
        </w:rPr>
        <w:t>m</w:t>
      </w:r>
      <w:r w:rsidR="0029462D">
        <w:rPr>
          <w:szCs w:val="22"/>
        </w:rPr>
        <w:t xml:space="preserve"> na začiatku liečby</w:t>
      </w:r>
      <w:r w:rsidRPr="00252091">
        <w:rPr>
          <w:szCs w:val="22"/>
        </w:rPr>
        <w:t xml:space="preserve"> alebo ak bola dávka metopr</w:t>
      </w:r>
      <w:smartTag w:uri="urn:schemas-microsoft-com:office:smarttags" w:element="PersonName">
        <w:r w:rsidRPr="00252091">
          <w:rPr>
            <w:szCs w:val="22"/>
          </w:rPr>
          <w:t>olo</w:t>
        </w:r>
      </w:smartTag>
      <w:r w:rsidRPr="00252091">
        <w:rPr>
          <w:szCs w:val="22"/>
        </w:rPr>
        <w:t>lu zvýšená.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b/>
          <w:szCs w:val="22"/>
        </w:rPr>
      </w:pPr>
      <w:r w:rsidRPr="00252091">
        <w:rPr>
          <w:b/>
          <w:szCs w:val="22"/>
        </w:rPr>
        <w:t>4.8</w:t>
      </w:r>
      <w:r w:rsidRPr="00252091">
        <w:rPr>
          <w:b/>
          <w:szCs w:val="22"/>
        </w:rPr>
        <w:tab/>
        <w:t>Nežiaduce účinky</w:t>
      </w:r>
    </w:p>
    <w:p w:rsidR="00F05EF4" w:rsidRPr="00252091" w:rsidRDefault="00F05EF4" w:rsidP="009E729A">
      <w:pPr>
        <w:keepNext/>
        <w:ind w:left="0" w:firstLine="0"/>
        <w:rPr>
          <w:color w:val="000000"/>
        </w:rPr>
      </w:pPr>
    </w:p>
    <w:p w:rsidR="00F05EF4" w:rsidRPr="00252091" w:rsidRDefault="00F05EF4" w:rsidP="00F05EF4">
      <w:pPr>
        <w:rPr>
          <w:color w:val="000000"/>
        </w:rPr>
      </w:pPr>
      <w:r>
        <w:rPr>
          <w:color w:val="000000"/>
        </w:rPr>
        <w:t xml:space="preserve">Stanovenie </w:t>
      </w:r>
      <w:r w:rsidRPr="00252091">
        <w:rPr>
          <w:color w:val="000000"/>
        </w:rPr>
        <w:t>nežiaducich reakcií je založené na nasledujúcich frekvenciách výskytu:</w:t>
      </w:r>
    </w:p>
    <w:p w:rsidR="00F05EF4" w:rsidRPr="00252091" w:rsidRDefault="00F05EF4" w:rsidP="00F05EF4">
      <w:r w:rsidRPr="00252091">
        <w:t>Veľmi časté (</w:t>
      </w:r>
      <w:r w:rsidRPr="00252091">
        <w:sym w:font="Symbol" w:char="F0B3"/>
      </w:r>
      <w:r>
        <w:t> </w:t>
      </w:r>
      <w:r w:rsidRPr="00252091">
        <w:t>1/10)</w:t>
      </w:r>
    </w:p>
    <w:p w:rsidR="00F05EF4" w:rsidRPr="00252091" w:rsidRDefault="00F05EF4" w:rsidP="00F05EF4">
      <w:r w:rsidRPr="00252091">
        <w:t>Časté (</w:t>
      </w:r>
      <w:r w:rsidRPr="00252091">
        <w:sym w:font="Symbol" w:char="F0B3"/>
      </w:r>
      <w:r>
        <w:t> </w:t>
      </w:r>
      <w:r w:rsidRPr="00252091">
        <w:t>1/100 až &lt;</w:t>
      </w:r>
      <w:r>
        <w:t> </w:t>
      </w:r>
      <w:r w:rsidRPr="00252091">
        <w:t>1/10)</w:t>
      </w:r>
    </w:p>
    <w:p w:rsidR="00F05EF4" w:rsidRPr="00252091" w:rsidRDefault="00F05EF4" w:rsidP="00F05EF4">
      <w:r w:rsidRPr="00252091">
        <w:t>Menej časté (</w:t>
      </w:r>
      <w:r w:rsidRPr="00252091">
        <w:sym w:font="Symbol" w:char="F0B3"/>
      </w:r>
      <w:r>
        <w:t> </w:t>
      </w:r>
      <w:r w:rsidRPr="00252091">
        <w:t>1/1</w:t>
      </w:r>
      <w:r>
        <w:t> </w:t>
      </w:r>
      <w:r w:rsidRPr="00252091">
        <w:t>000 až &lt;</w:t>
      </w:r>
      <w:r>
        <w:t> </w:t>
      </w:r>
      <w:r w:rsidRPr="00252091">
        <w:t>1/100)</w:t>
      </w:r>
    </w:p>
    <w:p w:rsidR="00F05EF4" w:rsidRPr="00252091" w:rsidRDefault="00F05EF4" w:rsidP="00F05EF4">
      <w:r w:rsidRPr="00252091">
        <w:t>Zriedkavé (</w:t>
      </w:r>
      <w:r w:rsidRPr="00252091">
        <w:sym w:font="Symbol" w:char="F0B3"/>
      </w:r>
      <w:r>
        <w:t> </w:t>
      </w:r>
      <w:r w:rsidRPr="00252091">
        <w:t>1/10</w:t>
      </w:r>
      <w:r>
        <w:t> </w:t>
      </w:r>
      <w:r w:rsidRPr="00252091">
        <w:t>000 až &lt;</w:t>
      </w:r>
      <w:r>
        <w:t> </w:t>
      </w:r>
      <w:r w:rsidRPr="00252091">
        <w:t>1/1</w:t>
      </w:r>
      <w:r>
        <w:t> </w:t>
      </w:r>
      <w:r w:rsidRPr="00252091">
        <w:t>000)</w:t>
      </w:r>
    </w:p>
    <w:p w:rsidR="00F05EF4" w:rsidRPr="00252091" w:rsidRDefault="00F05EF4" w:rsidP="00F05EF4">
      <w:r w:rsidRPr="00252091">
        <w:t>Veľmi zriedkavé (≤</w:t>
      </w:r>
      <w:r>
        <w:t> </w:t>
      </w:r>
      <w:r w:rsidRPr="00252091">
        <w:t>1/10</w:t>
      </w:r>
      <w:r>
        <w:t> </w:t>
      </w:r>
      <w:r w:rsidRPr="00252091">
        <w:t>000)</w:t>
      </w:r>
    </w:p>
    <w:p w:rsidR="00F05EF4" w:rsidRPr="00252091" w:rsidRDefault="00F05EF4" w:rsidP="00F05EF4">
      <w:pPr>
        <w:rPr>
          <w:color w:val="000000"/>
        </w:rPr>
      </w:pPr>
      <w:r w:rsidRPr="00252091">
        <w:t>Neznáme (z</w:t>
      </w:r>
      <w:r w:rsidR="00BA1EB9">
        <w:t> </w:t>
      </w:r>
      <w:r w:rsidRPr="00252091">
        <w:t>dostupných údajov)</w:t>
      </w:r>
    </w:p>
    <w:p w:rsidR="00F05EF4" w:rsidRPr="00252091" w:rsidRDefault="00F05EF4" w:rsidP="00F05EF4">
      <w:pPr>
        <w:rPr>
          <w:i/>
          <w:color w:val="000000"/>
        </w:rPr>
      </w:pPr>
    </w:p>
    <w:p w:rsidR="0029462D" w:rsidRPr="00C349D4" w:rsidRDefault="0029462D" w:rsidP="009E729A">
      <w:pPr>
        <w:keepNext/>
        <w:ind w:left="0" w:firstLine="0"/>
        <w:rPr>
          <w:i/>
          <w:szCs w:val="22"/>
        </w:rPr>
      </w:pPr>
      <w:r w:rsidRPr="00C349D4">
        <w:rPr>
          <w:i/>
          <w:szCs w:val="22"/>
        </w:rPr>
        <w:t>Poruchy krvi a</w:t>
      </w:r>
      <w:r w:rsidR="00BA1EB9">
        <w:rPr>
          <w:i/>
          <w:szCs w:val="22"/>
        </w:rPr>
        <w:t> </w:t>
      </w:r>
      <w:r w:rsidRPr="00C349D4">
        <w:rPr>
          <w:i/>
          <w:szCs w:val="22"/>
        </w:rPr>
        <w:t>lymfatického systému</w:t>
      </w:r>
    </w:p>
    <w:p w:rsidR="0029462D" w:rsidRPr="00C349D4" w:rsidRDefault="0029462D" w:rsidP="0029462D">
      <w:pPr>
        <w:rPr>
          <w:szCs w:val="22"/>
        </w:rPr>
      </w:pPr>
      <w:r w:rsidRPr="00E43389">
        <w:t>Veľmi zriedkavé:</w:t>
      </w:r>
      <w:r w:rsidRPr="00E43389">
        <w:tab/>
      </w:r>
      <w:r w:rsidRPr="00E43389">
        <w:rPr>
          <w:szCs w:val="22"/>
        </w:rPr>
        <w:t>trombocytopénia, leukopénia</w:t>
      </w:r>
      <w:r w:rsidR="00BA1EB9">
        <w:rPr>
          <w:szCs w:val="22"/>
        </w:rPr>
        <w:t>.</w:t>
      </w:r>
    </w:p>
    <w:p w:rsidR="0029462D" w:rsidRPr="00C349D4" w:rsidRDefault="0029462D" w:rsidP="0029462D">
      <w:pPr>
        <w:rPr>
          <w:szCs w:val="22"/>
        </w:rPr>
      </w:pPr>
    </w:p>
    <w:p w:rsidR="0029462D" w:rsidRPr="00C349D4" w:rsidRDefault="0029462D" w:rsidP="009E729A">
      <w:pPr>
        <w:keepNext/>
        <w:ind w:left="0" w:firstLine="0"/>
        <w:rPr>
          <w:i/>
          <w:color w:val="000000"/>
        </w:rPr>
      </w:pPr>
      <w:r w:rsidRPr="00C349D4">
        <w:rPr>
          <w:i/>
          <w:szCs w:val="22"/>
        </w:rPr>
        <w:t>Poruchy endokrinného systému</w:t>
      </w:r>
    </w:p>
    <w:p w:rsidR="0029462D" w:rsidRPr="00E43389" w:rsidRDefault="0029462D" w:rsidP="0029462D">
      <w:pPr>
        <w:rPr>
          <w:szCs w:val="22"/>
        </w:rPr>
      </w:pPr>
      <w:r w:rsidRPr="00E43389">
        <w:t>Zriedkavé:</w:t>
      </w:r>
      <w:r w:rsidRPr="00E43389">
        <w:tab/>
      </w:r>
      <w:r w:rsidRPr="00E43389">
        <w:tab/>
      </w:r>
      <w:r w:rsidRPr="00E43389">
        <w:rPr>
          <w:szCs w:val="22"/>
        </w:rPr>
        <w:t>zhoršenie latentného diabet</w:t>
      </w:r>
      <w:r w:rsidR="00A61A91">
        <w:rPr>
          <w:szCs w:val="22"/>
        </w:rPr>
        <w:t>u</w:t>
      </w:r>
      <w:r w:rsidRPr="00E43389">
        <w:rPr>
          <w:szCs w:val="22"/>
        </w:rPr>
        <w:t xml:space="preserve"> mellitus</w:t>
      </w:r>
      <w:r w:rsidR="00BA1EB9">
        <w:rPr>
          <w:szCs w:val="22"/>
        </w:rPr>
        <w:t>,</w:t>
      </w:r>
    </w:p>
    <w:p w:rsidR="0029462D" w:rsidRPr="00C349D4" w:rsidRDefault="0029462D" w:rsidP="0029462D">
      <w:pPr>
        <w:rPr>
          <w:szCs w:val="22"/>
        </w:rPr>
      </w:pPr>
      <w:r w:rsidRPr="00C349D4">
        <w:rPr>
          <w:szCs w:val="22"/>
        </w:rPr>
        <w:t>Neznáme:</w:t>
      </w:r>
      <w:r w:rsidRPr="00C349D4">
        <w:rPr>
          <w:szCs w:val="22"/>
        </w:rPr>
        <w:tab/>
      </w:r>
      <w:r w:rsidRPr="00C349D4">
        <w:rPr>
          <w:szCs w:val="22"/>
        </w:rPr>
        <w:tab/>
        <w:t>maskovanie príznakov a symptómov hypoglykémie (napr. tachykardia)</w:t>
      </w:r>
      <w:r w:rsidR="00BA1EB9">
        <w:rPr>
          <w:szCs w:val="22"/>
        </w:rPr>
        <w:t>.</w:t>
      </w:r>
    </w:p>
    <w:p w:rsidR="0029462D" w:rsidRPr="00C349D4" w:rsidRDefault="0029462D" w:rsidP="0029462D">
      <w:pPr>
        <w:rPr>
          <w:i/>
          <w:szCs w:val="22"/>
        </w:rPr>
      </w:pPr>
    </w:p>
    <w:p w:rsidR="0029462D" w:rsidRPr="00C349D4" w:rsidRDefault="0029462D" w:rsidP="009E729A">
      <w:pPr>
        <w:keepNext/>
        <w:ind w:left="0" w:firstLine="0"/>
        <w:rPr>
          <w:i/>
          <w:color w:val="000000"/>
        </w:rPr>
      </w:pPr>
      <w:r w:rsidRPr="00C349D4">
        <w:rPr>
          <w:i/>
          <w:szCs w:val="22"/>
        </w:rPr>
        <w:t>Poruchy metabolizmu a</w:t>
      </w:r>
      <w:r w:rsidR="00BA1EB9">
        <w:rPr>
          <w:i/>
          <w:szCs w:val="22"/>
        </w:rPr>
        <w:t> </w:t>
      </w:r>
      <w:r w:rsidRPr="00C349D4">
        <w:rPr>
          <w:i/>
          <w:szCs w:val="22"/>
        </w:rPr>
        <w:t>výživy</w:t>
      </w:r>
    </w:p>
    <w:p w:rsidR="0029462D" w:rsidRPr="00E43389" w:rsidRDefault="0029462D" w:rsidP="0029462D">
      <w:pPr>
        <w:rPr>
          <w:color w:val="000000"/>
        </w:rPr>
      </w:pPr>
      <w:r w:rsidRPr="00E43389">
        <w:t>Menej časté:</w:t>
      </w:r>
      <w:r w:rsidRPr="00E43389">
        <w:tab/>
      </w:r>
      <w:r w:rsidRPr="00E43389">
        <w:tab/>
        <w:t>zvýšenie telesnej hmotnosti</w:t>
      </w:r>
      <w:r w:rsidR="00BA1EB9">
        <w:t>.</w:t>
      </w:r>
    </w:p>
    <w:p w:rsidR="0029462D" w:rsidRPr="00C349D4" w:rsidRDefault="0029462D" w:rsidP="00F05EF4">
      <w:pPr>
        <w:rPr>
          <w:i/>
          <w:szCs w:val="22"/>
        </w:rPr>
      </w:pPr>
    </w:p>
    <w:p w:rsidR="0029462D" w:rsidRPr="00C349D4" w:rsidRDefault="0029462D" w:rsidP="009E729A">
      <w:pPr>
        <w:keepNext/>
        <w:ind w:left="0" w:firstLine="0"/>
        <w:rPr>
          <w:i/>
          <w:color w:val="000000"/>
        </w:rPr>
      </w:pPr>
      <w:r w:rsidRPr="00C349D4">
        <w:rPr>
          <w:i/>
          <w:szCs w:val="22"/>
        </w:rPr>
        <w:t>Psychické poruchy</w:t>
      </w:r>
    </w:p>
    <w:p w:rsidR="0029462D" w:rsidRPr="00E43389" w:rsidRDefault="0029462D" w:rsidP="0029462D">
      <w:pPr>
        <w:rPr>
          <w:color w:val="000000"/>
        </w:rPr>
      </w:pPr>
      <w:r w:rsidRPr="00E43389">
        <w:t>Menej časté:</w:t>
      </w:r>
      <w:r w:rsidRPr="00E43389">
        <w:tab/>
      </w:r>
      <w:r w:rsidRPr="00E43389">
        <w:tab/>
      </w:r>
      <w:r w:rsidRPr="00E43389">
        <w:rPr>
          <w:szCs w:val="22"/>
        </w:rPr>
        <w:t>depresia, poruchy koncentrácie, ospalosť alebo nespavosť, nočné mory</w:t>
      </w:r>
      <w:r w:rsidR="00BA1EB9">
        <w:rPr>
          <w:szCs w:val="22"/>
        </w:rPr>
        <w:t>,</w:t>
      </w:r>
    </w:p>
    <w:p w:rsidR="0029462D" w:rsidRPr="00C349D4" w:rsidRDefault="0029462D" w:rsidP="0029462D">
      <w:pPr>
        <w:rPr>
          <w:color w:val="000000"/>
        </w:rPr>
      </w:pPr>
      <w:r w:rsidRPr="00C349D4">
        <w:t>Zriedkavé:</w:t>
      </w:r>
      <w:r w:rsidRPr="00C349D4">
        <w:tab/>
      </w:r>
      <w:r w:rsidRPr="00C349D4">
        <w:tab/>
      </w:r>
      <w:r w:rsidRPr="00C349D4">
        <w:rPr>
          <w:szCs w:val="22"/>
        </w:rPr>
        <w:t>nervozita, úzkosť</w:t>
      </w:r>
      <w:r w:rsidR="00BA1EB9">
        <w:rPr>
          <w:szCs w:val="22"/>
        </w:rPr>
        <w:t>,</w:t>
      </w:r>
    </w:p>
    <w:p w:rsidR="0029462D" w:rsidRPr="00C349D4" w:rsidRDefault="0029462D" w:rsidP="0029462D">
      <w:pPr>
        <w:ind w:left="2124" w:hanging="2124"/>
        <w:rPr>
          <w:color w:val="000000"/>
        </w:rPr>
      </w:pPr>
      <w:r w:rsidRPr="00C349D4">
        <w:t>Veľmi zriedkavé:</w:t>
      </w:r>
      <w:r w:rsidRPr="00C349D4">
        <w:tab/>
      </w:r>
      <w:r w:rsidRPr="00C349D4">
        <w:rPr>
          <w:szCs w:val="22"/>
        </w:rPr>
        <w:t>zábudlivosť alebo poruchy pamäti, zmätenosť, halucinácie, zmeny osobnosti (napr. zmeny nálady).</w:t>
      </w:r>
    </w:p>
    <w:p w:rsidR="0029462D" w:rsidRPr="00C349D4" w:rsidRDefault="0029462D" w:rsidP="00F05EF4">
      <w:pPr>
        <w:rPr>
          <w:i/>
          <w:szCs w:val="22"/>
        </w:rPr>
      </w:pPr>
    </w:p>
    <w:p w:rsidR="0029462D" w:rsidRPr="00C349D4" w:rsidRDefault="0029462D" w:rsidP="009E729A">
      <w:pPr>
        <w:keepNext/>
        <w:ind w:left="0" w:firstLine="0"/>
        <w:rPr>
          <w:i/>
        </w:rPr>
      </w:pPr>
      <w:r w:rsidRPr="00C349D4">
        <w:rPr>
          <w:i/>
          <w:szCs w:val="22"/>
        </w:rPr>
        <w:t>Poruchy nervového systému</w:t>
      </w:r>
    </w:p>
    <w:p w:rsidR="0029462D" w:rsidRPr="00C349D4" w:rsidRDefault="0029462D" w:rsidP="0029462D">
      <w:pPr>
        <w:rPr>
          <w:color w:val="000000"/>
        </w:rPr>
      </w:pPr>
      <w:r w:rsidRPr="00E43389">
        <w:t>Časté:</w:t>
      </w:r>
      <w:r w:rsidRPr="00E43389">
        <w:tab/>
      </w:r>
      <w:r w:rsidRPr="00E43389">
        <w:tab/>
      </w:r>
      <w:r w:rsidRPr="00E43389">
        <w:tab/>
      </w:r>
      <w:r w:rsidRPr="00E43389">
        <w:tab/>
      </w:r>
      <w:r w:rsidRPr="00E43389">
        <w:rPr>
          <w:szCs w:val="22"/>
        </w:rPr>
        <w:t>závraty, bolesť</w:t>
      </w:r>
      <w:r w:rsidRPr="00C349D4">
        <w:rPr>
          <w:szCs w:val="22"/>
        </w:rPr>
        <w:t xml:space="preserve"> hlavy</w:t>
      </w:r>
      <w:r w:rsidR="00BA1EB9">
        <w:rPr>
          <w:szCs w:val="22"/>
        </w:rPr>
        <w:t>,</w:t>
      </w:r>
    </w:p>
    <w:p w:rsidR="0029462D" w:rsidRPr="00C349D4" w:rsidRDefault="0029462D" w:rsidP="0029462D">
      <w:pPr>
        <w:rPr>
          <w:color w:val="000000"/>
        </w:rPr>
      </w:pPr>
      <w:r w:rsidRPr="00C349D4">
        <w:t>Menej časté:</w:t>
      </w:r>
      <w:r w:rsidRPr="00C349D4">
        <w:tab/>
      </w:r>
      <w:r w:rsidRPr="00C349D4">
        <w:tab/>
      </w:r>
      <w:r w:rsidRPr="00C349D4">
        <w:rPr>
          <w:szCs w:val="22"/>
        </w:rPr>
        <w:t>parestézia</w:t>
      </w:r>
      <w:r w:rsidR="00BA1EB9">
        <w:rPr>
          <w:szCs w:val="22"/>
        </w:rPr>
        <w:t>.</w:t>
      </w:r>
    </w:p>
    <w:p w:rsidR="0029462D" w:rsidRPr="00C349D4" w:rsidRDefault="0029462D" w:rsidP="00F05EF4">
      <w:pPr>
        <w:rPr>
          <w:i/>
          <w:szCs w:val="22"/>
        </w:rPr>
      </w:pPr>
    </w:p>
    <w:p w:rsidR="0029462D" w:rsidRPr="00C349D4" w:rsidRDefault="0029462D" w:rsidP="009E729A">
      <w:pPr>
        <w:keepNext/>
        <w:ind w:left="0" w:firstLine="0"/>
        <w:rPr>
          <w:i/>
          <w:color w:val="000000"/>
        </w:rPr>
      </w:pPr>
      <w:r w:rsidRPr="00C349D4">
        <w:rPr>
          <w:i/>
          <w:szCs w:val="22"/>
        </w:rPr>
        <w:t>Poruchy oka</w:t>
      </w:r>
    </w:p>
    <w:p w:rsidR="0029462D" w:rsidRPr="00E43389" w:rsidRDefault="0029462D" w:rsidP="0029462D">
      <w:pPr>
        <w:rPr>
          <w:color w:val="000000"/>
        </w:rPr>
      </w:pPr>
      <w:r w:rsidRPr="00E43389">
        <w:t>Zriedkavé:</w:t>
      </w:r>
      <w:r w:rsidRPr="00E43389">
        <w:tab/>
      </w:r>
      <w:r w:rsidRPr="00E43389">
        <w:tab/>
      </w:r>
      <w:r w:rsidRPr="00E43389">
        <w:rPr>
          <w:szCs w:val="22"/>
        </w:rPr>
        <w:t>poruchy zraku, suché alebo podráždené oči, konjunktivitída</w:t>
      </w:r>
      <w:r w:rsidR="00BA1EB9">
        <w:rPr>
          <w:szCs w:val="22"/>
        </w:rPr>
        <w:t>.</w:t>
      </w:r>
    </w:p>
    <w:p w:rsidR="0029462D" w:rsidRPr="00C349D4" w:rsidRDefault="0029462D" w:rsidP="00F05EF4">
      <w:pPr>
        <w:rPr>
          <w:i/>
          <w:szCs w:val="22"/>
        </w:rPr>
      </w:pPr>
    </w:p>
    <w:p w:rsidR="0029462D" w:rsidRPr="00C349D4" w:rsidRDefault="0029462D" w:rsidP="009E729A">
      <w:pPr>
        <w:keepNext/>
        <w:rPr>
          <w:i/>
          <w:color w:val="000000"/>
        </w:rPr>
      </w:pPr>
      <w:r w:rsidRPr="00C349D4">
        <w:rPr>
          <w:i/>
          <w:szCs w:val="22"/>
        </w:rPr>
        <w:t>Poruchy ucha a</w:t>
      </w:r>
      <w:r w:rsidR="00BA1EB9">
        <w:rPr>
          <w:i/>
          <w:szCs w:val="22"/>
        </w:rPr>
        <w:t> </w:t>
      </w:r>
      <w:r w:rsidRPr="00C349D4">
        <w:rPr>
          <w:i/>
          <w:szCs w:val="22"/>
        </w:rPr>
        <w:t>labyrintu</w:t>
      </w:r>
    </w:p>
    <w:p w:rsidR="0029462D" w:rsidRPr="00E43389" w:rsidRDefault="0029462D" w:rsidP="0029462D">
      <w:pPr>
        <w:rPr>
          <w:color w:val="000000"/>
        </w:rPr>
      </w:pPr>
      <w:r w:rsidRPr="00E43389">
        <w:t>Veľmi zriedkavé:</w:t>
      </w:r>
      <w:r w:rsidRPr="00E43389">
        <w:tab/>
        <w:t>tin</w:t>
      </w:r>
      <w:r w:rsidR="00A61A91">
        <w:t>n</w:t>
      </w:r>
      <w:r w:rsidRPr="00E43389">
        <w:t>itus</w:t>
      </w:r>
      <w:r w:rsidRPr="00E43389">
        <w:rPr>
          <w:color w:val="000000"/>
        </w:rPr>
        <w:t>, poruchy sluchu</w:t>
      </w:r>
      <w:r w:rsidR="00BA1EB9">
        <w:rPr>
          <w:color w:val="000000"/>
        </w:rPr>
        <w:t>.</w:t>
      </w:r>
    </w:p>
    <w:p w:rsidR="0029462D" w:rsidRPr="00C349D4" w:rsidRDefault="0029462D" w:rsidP="00F05EF4">
      <w:pPr>
        <w:rPr>
          <w:i/>
          <w:szCs w:val="22"/>
        </w:rPr>
      </w:pPr>
    </w:p>
    <w:p w:rsidR="00F05EF4" w:rsidRPr="00C349D4" w:rsidRDefault="00F05EF4" w:rsidP="009E729A">
      <w:pPr>
        <w:keepNext/>
        <w:rPr>
          <w:i/>
          <w:color w:val="000000"/>
        </w:rPr>
      </w:pPr>
      <w:r w:rsidRPr="00C349D4">
        <w:rPr>
          <w:i/>
          <w:szCs w:val="22"/>
        </w:rPr>
        <w:t>Poruchy srdca a</w:t>
      </w:r>
      <w:r w:rsidR="00BA1EB9">
        <w:rPr>
          <w:i/>
          <w:szCs w:val="22"/>
        </w:rPr>
        <w:t> </w:t>
      </w:r>
      <w:r w:rsidRPr="00C349D4">
        <w:rPr>
          <w:i/>
          <w:szCs w:val="22"/>
        </w:rPr>
        <w:t>srdcovej činnosti</w:t>
      </w:r>
    </w:p>
    <w:p w:rsidR="00F05EF4" w:rsidRPr="00E43389" w:rsidRDefault="00F05EF4" w:rsidP="00F05EF4">
      <w:pPr>
        <w:ind w:left="2124" w:hanging="2124"/>
        <w:rPr>
          <w:szCs w:val="22"/>
        </w:rPr>
      </w:pPr>
      <w:r w:rsidRPr="00E43389">
        <w:t>Časté:</w:t>
      </w:r>
      <w:r w:rsidRPr="00E43389">
        <w:tab/>
      </w:r>
      <w:r w:rsidRPr="00E43389">
        <w:rPr>
          <w:szCs w:val="22"/>
        </w:rPr>
        <w:t>bradykardia, poruchy rovnováhy (veľmi zriedkavo spojené so synkopou), palpitácie</w:t>
      </w:r>
      <w:r w:rsidR="00BA1EB9">
        <w:rPr>
          <w:szCs w:val="22"/>
        </w:rPr>
        <w:t>,</w:t>
      </w:r>
    </w:p>
    <w:p w:rsidR="00F05EF4" w:rsidRPr="00C349D4" w:rsidRDefault="00F05EF4" w:rsidP="00F05EF4">
      <w:pPr>
        <w:ind w:left="2124" w:hanging="2124"/>
        <w:rPr>
          <w:szCs w:val="22"/>
        </w:rPr>
      </w:pPr>
      <w:r w:rsidRPr="00C349D4">
        <w:t>Menej časté:</w:t>
      </w:r>
      <w:r w:rsidRPr="00C349D4">
        <w:tab/>
      </w:r>
      <w:r w:rsidRPr="00C349D4">
        <w:rPr>
          <w:szCs w:val="22"/>
        </w:rPr>
        <w:t>dočasné zhoršenie symptómov srdcového zlyhania, atrioventrikulárna blokáda prvého stupňa,</w:t>
      </w:r>
      <w:r w:rsidR="0029462D" w:rsidRPr="00C349D4">
        <w:rPr>
          <w:szCs w:val="22"/>
        </w:rPr>
        <w:t xml:space="preserve"> kardiog</w:t>
      </w:r>
      <w:r w:rsidR="006355B2">
        <w:rPr>
          <w:szCs w:val="22"/>
        </w:rPr>
        <w:t>énny</w:t>
      </w:r>
      <w:r w:rsidR="0029462D" w:rsidRPr="00C349D4">
        <w:rPr>
          <w:szCs w:val="22"/>
        </w:rPr>
        <w:t xml:space="preserve"> šok (spojený s akútnym infarktom myokardu),</w:t>
      </w:r>
      <w:r w:rsidRPr="00C349D4">
        <w:rPr>
          <w:szCs w:val="22"/>
        </w:rPr>
        <w:t xml:space="preserve"> bolesť v</w:t>
      </w:r>
      <w:r w:rsidR="00BA1EB9">
        <w:rPr>
          <w:szCs w:val="22"/>
        </w:rPr>
        <w:t> </w:t>
      </w:r>
      <w:r w:rsidRPr="00C349D4">
        <w:rPr>
          <w:szCs w:val="22"/>
        </w:rPr>
        <w:t>prekordiu</w:t>
      </w:r>
      <w:r w:rsidR="00BA1EB9">
        <w:rPr>
          <w:szCs w:val="22"/>
        </w:rPr>
        <w:t>,</w:t>
      </w:r>
    </w:p>
    <w:p w:rsidR="00F05EF4" w:rsidRPr="00C349D4" w:rsidRDefault="00F05EF4" w:rsidP="00F05EF4">
      <w:r w:rsidRPr="00C349D4">
        <w:lastRenderedPageBreak/>
        <w:t>Zriedkavé:</w:t>
      </w:r>
      <w:r w:rsidRPr="00C349D4">
        <w:tab/>
      </w:r>
      <w:r w:rsidRPr="00C349D4">
        <w:tab/>
        <w:t>funkčné poruchy srdca, arytmie, poruchy vedenia vzruchu</w:t>
      </w:r>
      <w:r w:rsidR="00BA1EB9">
        <w:t>.</w:t>
      </w:r>
    </w:p>
    <w:p w:rsidR="0029462D" w:rsidRPr="00C349D4" w:rsidRDefault="0029462D" w:rsidP="0029462D">
      <w:pPr>
        <w:rPr>
          <w:i/>
          <w:szCs w:val="22"/>
        </w:rPr>
      </w:pPr>
    </w:p>
    <w:p w:rsidR="0029462D" w:rsidRPr="00C349D4" w:rsidRDefault="0029462D" w:rsidP="009E729A">
      <w:pPr>
        <w:keepNext/>
        <w:rPr>
          <w:i/>
          <w:color w:val="000000"/>
        </w:rPr>
      </w:pPr>
      <w:r w:rsidRPr="00C349D4">
        <w:rPr>
          <w:i/>
          <w:szCs w:val="22"/>
        </w:rPr>
        <w:t>Poruchy ciev</w:t>
      </w:r>
    </w:p>
    <w:p w:rsidR="0029462D" w:rsidRPr="00E43389" w:rsidRDefault="0029462D" w:rsidP="0029462D">
      <w:pPr>
        <w:ind w:left="2124" w:hanging="2124"/>
      </w:pPr>
      <w:r w:rsidRPr="00E43389">
        <w:t>Veľmi časté:</w:t>
      </w:r>
      <w:r w:rsidRPr="00E43389">
        <w:tab/>
        <w:t>výrazný pokles krvného tlaku a</w:t>
      </w:r>
      <w:r w:rsidR="00BA1EB9">
        <w:t> </w:t>
      </w:r>
      <w:r w:rsidRPr="00E43389">
        <w:t>ortostatická hypotenzia, veľmi zriedkavo so synkopou</w:t>
      </w:r>
      <w:r w:rsidR="00BA1EB9">
        <w:t>,</w:t>
      </w:r>
    </w:p>
    <w:p w:rsidR="0029462D" w:rsidRPr="00C349D4" w:rsidRDefault="0029462D" w:rsidP="0029462D">
      <w:pPr>
        <w:rPr>
          <w:color w:val="000000"/>
        </w:rPr>
      </w:pPr>
      <w:r w:rsidRPr="00C349D4">
        <w:t>Časté:</w:t>
      </w:r>
      <w:r w:rsidRPr="00C349D4">
        <w:tab/>
      </w:r>
      <w:r w:rsidRPr="00C349D4">
        <w:tab/>
      </w:r>
      <w:r w:rsidRPr="00C349D4">
        <w:tab/>
      </w:r>
      <w:r w:rsidRPr="00C349D4">
        <w:tab/>
      </w:r>
      <w:r w:rsidRPr="00C349D4">
        <w:rPr>
          <w:szCs w:val="22"/>
        </w:rPr>
        <w:t>studené ruky a</w:t>
      </w:r>
      <w:r w:rsidR="00BA1EB9">
        <w:rPr>
          <w:szCs w:val="22"/>
        </w:rPr>
        <w:t> </w:t>
      </w:r>
      <w:r w:rsidRPr="00C349D4">
        <w:rPr>
          <w:szCs w:val="22"/>
        </w:rPr>
        <w:t>nohy</w:t>
      </w:r>
      <w:r w:rsidR="00BA1EB9">
        <w:rPr>
          <w:szCs w:val="22"/>
        </w:rPr>
        <w:t>,</w:t>
      </w:r>
    </w:p>
    <w:p w:rsidR="0029462D" w:rsidRPr="00C349D4" w:rsidRDefault="0029462D" w:rsidP="0029462D">
      <w:pPr>
        <w:ind w:left="2124" w:hanging="2124"/>
        <w:rPr>
          <w:color w:val="000000"/>
        </w:rPr>
      </w:pPr>
      <w:r w:rsidRPr="00C349D4">
        <w:t>Veľmi zriedkavé:</w:t>
      </w:r>
      <w:r w:rsidRPr="00C349D4">
        <w:tab/>
      </w:r>
      <w:r w:rsidRPr="00C349D4">
        <w:rPr>
          <w:szCs w:val="22"/>
        </w:rPr>
        <w:t>nekróza u pacientov so závažnými poruchami periférnej cirkulácie pred liečbou, zhoršenie intermitentn</w:t>
      </w:r>
      <w:r w:rsidR="006355B2">
        <w:rPr>
          <w:szCs w:val="22"/>
        </w:rPr>
        <w:t>ej</w:t>
      </w:r>
      <w:r w:rsidRPr="00C349D4">
        <w:rPr>
          <w:szCs w:val="22"/>
        </w:rPr>
        <w:t xml:space="preserve"> klaudikáci</w:t>
      </w:r>
      <w:r w:rsidR="006355B2">
        <w:rPr>
          <w:szCs w:val="22"/>
        </w:rPr>
        <w:t>e</w:t>
      </w:r>
      <w:r w:rsidRPr="00C349D4">
        <w:rPr>
          <w:szCs w:val="22"/>
        </w:rPr>
        <w:t xml:space="preserve"> alebo Raynaudovho syndrómu</w:t>
      </w:r>
      <w:r w:rsidR="00BA1EB9">
        <w:rPr>
          <w:szCs w:val="22"/>
        </w:rPr>
        <w:t>.</w:t>
      </w:r>
    </w:p>
    <w:p w:rsidR="00F05EF4" w:rsidRPr="00C349D4" w:rsidRDefault="00F05EF4" w:rsidP="00F05EF4">
      <w:pPr>
        <w:rPr>
          <w:color w:val="000000"/>
        </w:rPr>
      </w:pPr>
    </w:p>
    <w:p w:rsidR="00F05EF4" w:rsidRPr="00C349D4" w:rsidRDefault="00F05EF4" w:rsidP="009E729A">
      <w:pPr>
        <w:keepNext/>
        <w:rPr>
          <w:i/>
          <w:color w:val="000000"/>
        </w:rPr>
      </w:pPr>
      <w:r w:rsidRPr="00C349D4">
        <w:rPr>
          <w:i/>
          <w:szCs w:val="22"/>
        </w:rPr>
        <w:t>Poruchy dýchacej sústavy, hrudníka a</w:t>
      </w:r>
      <w:r w:rsidR="00BA1EB9">
        <w:rPr>
          <w:i/>
          <w:szCs w:val="22"/>
        </w:rPr>
        <w:t> </w:t>
      </w:r>
      <w:r w:rsidRPr="00C349D4">
        <w:rPr>
          <w:i/>
          <w:szCs w:val="22"/>
        </w:rPr>
        <w:t>mediastína</w:t>
      </w:r>
    </w:p>
    <w:p w:rsidR="00F05EF4" w:rsidRPr="00E43389" w:rsidRDefault="00F05EF4" w:rsidP="00F05EF4">
      <w:pPr>
        <w:rPr>
          <w:szCs w:val="22"/>
        </w:rPr>
      </w:pPr>
      <w:r w:rsidRPr="00E43389">
        <w:t>Časté:</w:t>
      </w:r>
      <w:r w:rsidRPr="00E43389">
        <w:tab/>
      </w:r>
      <w:r w:rsidRPr="00E43389">
        <w:tab/>
      </w:r>
      <w:r w:rsidRPr="00E43389">
        <w:tab/>
      </w:r>
      <w:r w:rsidRPr="00E43389">
        <w:tab/>
      </w:r>
      <w:r w:rsidRPr="00E43389">
        <w:rPr>
          <w:szCs w:val="22"/>
        </w:rPr>
        <w:t>ponámahové dyspnoe</w:t>
      </w:r>
      <w:r w:rsidR="00BA1EB9">
        <w:rPr>
          <w:szCs w:val="22"/>
        </w:rPr>
        <w:t>,</w:t>
      </w:r>
    </w:p>
    <w:p w:rsidR="00F05EF4" w:rsidRPr="00E43389" w:rsidRDefault="00F05EF4" w:rsidP="00F05EF4">
      <w:pPr>
        <w:rPr>
          <w:szCs w:val="22"/>
        </w:rPr>
      </w:pPr>
      <w:r w:rsidRPr="00E43389">
        <w:t>Men</w:t>
      </w:r>
      <w:r w:rsidRPr="00C349D4">
        <w:t>ej časté:</w:t>
      </w:r>
      <w:r w:rsidRPr="00C349D4">
        <w:tab/>
      </w:r>
      <w:r w:rsidRPr="00C349D4">
        <w:tab/>
      </w:r>
      <w:r w:rsidRPr="00C349D4">
        <w:rPr>
          <w:szCs w:val="22"/>
        </w:rPr>
        <w:t>bronchospazm</w:t>
      </w:r>
      <w:r w:rsidR="009E3049">
        <w:rPr>
          <w:szCs w:val="22"/>
        </w:rPr>
        <w:t>y</w:t>
      </w:r>
      <w:r w:rsidR="00BA1EB9">
        <w:rPr>
          <w:szCs w:val="22"/>
        </w:rPr>
        <w:t>,</w:t>
      </w:r>
    </w:p>
    <w:p w:rsidR="00F05EF4" w:rsidRPr="00C349D4" w:rsidRDefault="00F05EF4" w:rsidP="00F05EF4">
      <w:pPr>
        <w:rPr>
          <w:color w:val="000000"/>
        </w:rPr>
      </w:pPr>
      <w:r w:rsidRPr="00C349D4">
        <w:t>Zriedkavé:</w:t>
      </w:r>
      <w:r w:rsidRPr="00C349D4">
        <w:tab/>
      </w:r>
      <w:r w:rsidRPr="00C349D4">
        <w:tab/>
      </w:r>
      <w:r w:rsidRPr="00C349D4">
        <w:rPr>
          <w:szCs w:val="22"/>
        </w:rPr>
        <w:t>rinitída</w:t>
      </w:r>
      <w:r w:rsidR="00BA1EB9">
        <w:rPr>
          <w:szCs w:val="22"/>
        </w:rPr>
        <w:t>.</w:t>
      </w:r>
    </w:p>
    <w:p w:rsidR="00F05EF4" w:rsidRPr="00C349D4" w:rsidRDefault="00F05EF4" w:rsidP="00F05EF4">
      <w:pPr>
        <w:rPr>
          <w:color w:val="000000"/>
        </w:rPr>
      </w:pPr>
    </w:p>
    <w:p w:rsidR="00F05EF4" w:rsidRPr="00C349D4" w:rsidRDefault="00F05EF4" w:rsidP="009E729A">
      <w:pPr>
        <w:keepNext/>
        <w:rPr>
          <w:i/>
          <w:szCs w:val="22"/>
        </w:rPr>
      </w:pPr>
      <w:r w:rsidRPr="00C349D4">
        <w:rPr>
          <w:i/>
          <w:szCs w:val="22"/>
        </w:rPr>
        <w:t>Poruchy gastrointestinálneho traktu</w:t>
      </w:r>
    </w:p>
    <w:p w:rsidR="00F05EF4" w:rsidRPr="00E43389" w:rsidRDefault="00F05EF4" w:rsidP="00F05EF4">
      <w:pPr>
        <w:rPr>
          <w:color w:val="000000"/>
        </w:rPr>
      </w:pPr>
      <w:r w:rsidRPr="00E43389">
        <w:t>Časté:</w:t>
      </w:r>
      <w:r w:rsidRPr="00E43389">
        <w:tab/>
      </w:r>
      <w:r w:rsidRPr="00E43389">
        <w:tab/>
      </w:r>
      <w:r w:rsidRPr="00E43389">
        <w:tab/>
      </w:r>
      <w:r w:rsidRPr="00E43389">
        <w:tab/>
      </w:r>
      <w:r w:rsidRPr="00E43389">
        <w:rPr>
          <w:szCs w:val="22"/>
        </w:rPr>
        <w:t>nauzea, abdominálna bolesť, hnačka, zápcha</w:t>
      </w:r>
      <w:r w:rsidR="00BA1EB9">
        <w:rPr>
          <w:szCs w:val="22"/>
        </w:rPr>
        <w:t>,</w:t>
      </w:r>
    </w:p>
    <w:p w:rsidR="00F05EF4" w:rsidRPr="00C349D4" w:rsidRDefault="00F05EF4" w:rsidP="00F05EF4">
      <w:pPr>
        <w:rPr>
          <w:color w:val="000000"/>
        </w:rPr>
      </w:pPr>
      <w:r w:rsidRPr="00C349D4">
        <w:t>Menej časté:</w:t>
      </w:r>
      <w:r w:rsidRPr="00C349D4">
        <w:tab/>
      </w:r>
      <w:r w:rsidRPr="00C349D4">
        <w:tab/>
      </w:r>
      <w:r w:rsidRPr="00C349D4">
        <w:rPr>
          <w:szCs w:val="22"/>
        </w:rPr>
        <w:t>vracanie</w:t>
      </w:r>
      <w:r w:rsidR="00BA1EB9">
        <w:rPr>
          <w:szCs w:val="22"/>
        </w:rPr>
        <w:t>,</w:t>
      </w:r>
    </w:p>
    <w:p w:rsidR="00F05EF4" w:rsidRPr="00C349D4" w:rsidRDefault="00F05EF4" w:rsidP="00F05EF4">
      <w:pPr>
        <w:rPr>
          <w:szCs w:val="22"/>
        </w:rPr>
      </w:pPr>
      <w:r w:rsidRPr="00C349D4">
        <w:t>Zriedkavé:</w:t>
      </w:r>
      <w:r w:rsidRPr="00C349D4">
        <w:tab/>
      </w:r>
      <w:r w:rsidRPr="00C349D4">
        <w:tab/>
      </w:r>
      <w:r w:rsidRPr="00C349D4">
        <w:rPr>
          <w:szCs w:val="22"/>
        </w:rPr>
        <w:t>sucho v</w:t>
      </w:r>
      <w:r w:rsidR="00BA1EB9">
        <w:rPr>
          <w:szCs w:val="22"/>
        </w:rPr>
        <w:t> </w:t>
      </w:r>
      <w:r w:rsidRPr="00C349D4">
        <w:rPr>
          <w:szCs w:val="22"/>
        </w:rPr>
        <w:t>ústach</w:t>
      </w:r>
      <w:r w:rsidR="00BA1EB9">
        <w:rPr>
          <w:szCs w:val="22"/>
        </w:rPr>
        <w:t>,</w:t>
      </w:r>
    </w:p>
    <w:p w:rsidR="00F05EF4" w:rsidRPr="00C349D4" w:rsidRDefault="00F05EF4" w:rsidP="00F05EF4">
      <w:pPr>
        <w:rPr>
          <w:color w:val="000000"/>
        </w:rPr>
      </w:pPr>
      <w:r w:rsidRPr="00C349D4">
        <w:t>Veľmi zriedkavé:</w:t>
      </w:r>
      <w:r w:rsidRPr="00C349D4">
        <w:tab/>
      </w:r>
      <w:r w:rsidRPr="00C349D4">
        <w:rPr>
          <w:szCs w:val="22"/>
        </w:rPr>
        <w:t>poruchy chuti</w:t>
      </w:r>
      <w:r w:rsidR="00BA1EB9">
        <w:rPr>
          <w:szCs w:val="22"/>
        </w:rPr>
        <w:t>.</w:t>
      </w:r>
    </w:p>
    <w:p w:rsidR="0029462D" w:rsidRPr="00C349D4" w:rsidRDefault="0029462D" w:rsidP="0029462D">
      <w:pPr>
        <w:rPr>
          <w:i/>
          <w:szCs w:val="22"/>
        </w:rPr>
      </w:pPr>
    </w:p>
    <w:p w:rsidR="0029462D" w:rsidRPr="00C349D4" w:rsidRDefault="0029462D" w:rsidP="009E729A">
      <w:pPr>
        <w:keepNext/>
        <w:rPr>
          <w:i/>
          <w:color w:val="000000"/>
        </w:rPr>
      </w:pPr>
      <w:r w:rsidRPr="00C349D4">
        <w:rPr>
          <w:i/>
          <w:szCs w:val="22"/>
        </w:rPr>
        <w:t>Poruchy pečene a žlčových ciest</w:t>
      </w:r>
    </w:p>
    <w:p w:rsidR="0029462D" w:rsidRPr="00C349D4" w:rsidRDefault="0029462D" w:rsidP="0029462D">
      <w:pPr>
        <w:rPr>
          <w:color w:val="000000"/>
        </w:rPr>
      </w:pPr>
      <w:r w:rsidRPr="00E43389">
        <w:t>Zriedkavé:</w:t>
      </w:r>
      <w:r w:rsidRPr="00E43389">
        <w:tab/>
      </w:r>
      <w:r w:rsidRPr="00E43389">
        <w:tab/>
      </w:r>
      <w:r w:rsidRPr="00E43389">
        <w:rPr>
          <w:szCs w:val="22"/>
        </w:rPr>
        <w:t>abnormálne hodnoty pečeňových funkčných testov</w:t>
      </w:r>
      <w:r w:rsidR="00BA1EB9">
        <w:rPr>
          <w:szCs w:val="22"/>
        </w:rPr>
        <w:t>,</w:t>
      </w:r>
    </w:p>
    <w:p w:rsidR="0029462D" w:rsidRPr="00C349D4" w:rsidRDefault="0029462D" w:rsidP="0029462D">
      <w:pPr>
        <w:rPr>
          <w:color w:val="000000"/>
        </w:rPr>
      </w:pPr>
      <w:r w:rsidRPr="00C349D4">
        <w:t>Veľmi zriedkavé:</w:t>
      </w:r>
      <w:r w:rsidRPr="00C349D4">
        <w:tab/>
      </w:r>
      <w:r w:rsidRPr="00C349D4">
        <w:rPr>
          <w:szCs w:val="22"/>
        </w:rPr>
        <w:t>hepatitída</w:t>
      </w:r>
      <w:r w:rsidR="00BA1EB9">
        <w:rPr>
          <w:szCs w:val="22"/>
        </w:rPr>
        <w:t>.</w:t>
      </w:r>
    </w:p>
    <w:p w:rsidR="00F05EF4" w:rsidRPr="00C349D4" w:rsidRDefault="00F05EF4" w:rsidP="00F05EF4">
      <w:pPr>
        <w:rPr>
          <w:color w:val="000000"/>
        </w:rPr>
      </w:pPr>
    </w:p>
    <w:p w:rsidR="00F05EF4" w:rsidRPr="00C349D4" w:rsidRDefault="00F05EF4" w:rsidP="009E729A">
      <w:pPr>
        <w:keepNext/>
        <w:rPr>
          <w:i/>
          <w:szCs w:val="22"/>
        </w:rPr>
      </w:pPr>
      <w:r w:rsidRPr="00C349D4">
        <w:rPr>
          <w:i/>
          <w:szCs w:val="22"/>
        </w:rPr>
        <w:t>Poruchy kože a</w:t>
      </w:r>
      <w:r w:rsidR="00BA1EB9">
        <w:rPr>
          <w:i/>
          <w:szCs w:val="22"/>
        </w:rPr>
        <w:t> </w:t>
      </w:r>
      <w:r w:rsidRPr="00C349D4">
        <w:rPr>
          <w:i/>
          <w:szCs w:val="22"/>
        </w:rPr>
        <w:t>podkožného tkaniva</w:t>
      </w:r>
    </w:p>
    <w:p w:rsidR="00F05EF4" w:rsidRPr="00C349D4" w:rsidRDefault="00F05EF4" w:rsidP="00F05EF4">
      <w:pPr>
        <w:ind w:left="2124" w:hanging="2124"/>
        <w:rPr>
          <w:color w:val="000000"/>
        </w:rPr>
      </w:pPr>
      <w:r w:rsidRPr="00E43389">
        <w:t>Menej časté:</w:t>
      </w:r>
      <w:r w:rsidRPr="00E43389">
        <w:tab/>
      </w:r>
      <w:r w:rsidRPr="00E43389">
        <w:rPr>
          <w:szCs w:val="22"/>
        </w:rPr>
        <w:t>vyrážka</w:t>
      </w:r>
      <w:r w:rsidRPr="00C349D4">
        <w:rPr>
          <w:szCs w:val="22"/>
        </w:rPr>
        <w:t xml:space="preserve"> (psoriáze podobná urtikária a</w:t>
      </w:r>
      <w:r w:rsidR="00BA1EB9">
        <w:rPr>
          <w:szCs w:val="22"/>
        </w:rPr>
        <w:t> </w:t>
      </w:r>
      <w:r w:rsidRPr="00C349D4">
        <w:rPr>
          <w:szCs w:val="22"/>
        </w:rPr>
        <w:t>dystrofické kožné lézie), zvýšené potenie</w:t>
      </w:r>
      <w:r w:rsidR="00BA1EB9">
        <w:rPr>
          <w:szCs w:val="22"/>
        </w:rPr>
        <w:t>,</w:t>
      </w:r>
    </w:p>
    <w:p w:rsidR="00F05EF4" w:rsidRPr="00C349D4" w:rsidRDefault="00F05EF4" w:rsidP="00F05EF4">
      <w:pPr>
        <w:rPr>
          <w:color w:val="000000"/>
        </w:rPr>
      </w:pPr>
      <w:r w:rsidRPr="00C349D4">
        <w:t>Zriedkavé:</w:t>
      </w:r>
      <w:r w:rsidRPr="00C349D4">
        <w:tab/>
      </w:r>
      <w:r w:rsidRPr="00C349D4">
        <w:tab/>
      </w:r>
      <w:r w:rsidRPr="00C349D4">
        <w:rPr>
          <w:szCs w:val="22"/>
        </w:rPr>
        <w:t>alopécia</w:t>
      </w:r>
      <w:r w:rsidR="00BA1EB9">
        <w:rPr>
          <w:szCs w:val="22"/>
        </w:rPr>
        <w:t>,</w:t>
      </w:r>
    </w:p>
    <w:p w:rsidR="00F05EF4" w:rsidRPr="00C349D4" w:rsidRDefault="00F05EF4" w:rsidP="00F05EF4">
      <w:pPr>
        <w:ind w:left="2124" w:hanging="2124"/>
        <w:rPr>
          <w:color w:val="000000"/>
        </w:rPr>
      </w:pPr>
      <w:r w:rsidRPr="00C349D4">
        <w:t>Veľmi zriedkavé:</w:t>
      </w:r>
      <w:r w:rsidRPr="00C349D4">
        <w:tab/>
      </w:r>
      <w:r w:rsidRPr="00C349D4">
        <w:rPr>
          <w:szCs w:val="22"/>
        </w:rPr>
        <w:t>fotosenzitivita, zhoršenie psoriázy, nový výskyt psoriázy, dermatologické zmeny podobné psoriáze</w:t>
      </w:r>
      <w:r w:rsidR="00BA1EB9">
        <w:rPr>
          <w:szCs w:val="22"/>
        </w:rPr>
        <w:t>.</w:t>
      </w:r>
    </w:p>
    <w:p w:rsidR="00F05EF4" w:rsidRPr="00C349D4" w:rsidRDefault="00F05EF4" w:rsidP="00F05EF4">
      <w:pPr>
        <w:rPr>
          <w:color w:val="000000"/>
        </w:rPr>
      </w:pPr>
    </w:p>
    <w:p w:rsidR="00F05EF4" w:rsidRPr="00C349D4" w:rsidRDefault="00F05EF4" w:rsidP="009E729A">
      <w:pPr>
        <w:keepNext/>
        <w:rPr>
          <w:i/>
          <w:color w:val="000000"/>
        </w:rPr>
      </w:pPr>
      <w:r w:rsidRPr="00C349D4">
        <w:rPr>
          <w:i/>
          <w:szCs w:val="22"/>
        </w:rPr>
        <w:t>Poruchy kostrovej a svalovej sústavy a spojivového tkaniva</w:t>
      </w:r>
    </w:p>
    <w:p w:rsidR="00F05EF4" w:rsidRPr="00E43389" w:rsidRDefault="00F05EF4" w:rsidP="00F05EF4">
      <w:pPr>
        <w:rPr>
          <w:color w:val="000000"/>
        </w:rPr>
      </w:pPr>
      <w:r w:rsidRPr="00E43389">
        <w:t>Menej časté:</w:t>
      </w:r>
      <w:r w:rsidRPr="00E43389">
        <w:tab/>
      </w:r>
      <w:r w:rsidRPr="00E43389">
        <w:tab/>
      </w:r>
      <w:r w:rsidRPr="00E43389">
        <w:rPr>
          <w:szCs w:val="22"/>
        </w:rPr>
        <w:t>svalové kŕče</w:t>
      </w:r>
      <w:r w:rsidR="00BA1EB9">
        <w:rPr>
          <w:szCs w:val="22"/>
        </w:rPr>
        <w:t>,</w:t>
      </w:r>
    </w:p>
    <w:p w:rsidR="00F05EF4" w:rsidRPr="00C349D4" w:rsidRDefault="00F05EF4" w:rsidP="00F05EF4">
      <w:pPr>
        <w:rPr>
          <w:color w:val="000000"/>
        </w:rPr>
      </w:pPr>
      <w:r w:rsidRPr="00C349D4">
        <w:t>Veľmi zriedkavé:</w:t>
      </w:r>
      <w:r w:rsidRPr="00C349D4">
        <w:tab/>
      </w:r>
      <w:r w:rsidRPr="00C349D4">
        <w:rPr>
          <w:szCs w:val="22"/>
        </w:rPr>
        <w:t>artralgia, svalová slabosť</w:t>
      </w:r>
      <w:r w:rsidR="00BA1EB9">
        <w:rPr>
          <w:szCs w:val="22"/>
        </w:rPr>
        <w:t>.</w:t>
      </w:r>
    </w:p>
    <w:p w:rsidR="00F05EF4" w:rsidRPr="00C349D4" w:rsidRDefault="00F05EF4" w:rsidP="00F05EF4">
      <w:pPr>
        <w:rPr>
          <w:color w:val="000000"/>
        </w:rPr>
      </w:pPr>
    </w:p>
    <w:p w:rsidR="0029462D" w:rsidRPr="00C349D4" w:rsidRDefault="0029462D" w:rsidP="009E729A">
      <w:pPr>
        <w:keepNext/>
        <w:rPr>
          <w:i/>
          <w:color w:val="000000"/>
        </w:rPr>
      </w:pPr>
      <w:r w:rsidRPr="00C349D4">
        <w:rPr>
          <w:i/>
          <w:szCs w:val="22"/>
        </w:rPr>
        <w:t>Poruchy reprodukčného systému a</w:t>
      </w:r>
      <w:r w:rsidR="00BA1EB9">
        <w:rPr>
          <w:i/>
          <w:szCs w:val="22"/>
        </w:rPr>
        <w:t> </w:t>
      </w:r>
      <w:r w:rsidRPr="00C349D4">
        <w:rPr>
          <w:i/>
          <w:szCs w:val="22"/>
        </w:rPr>
        <w:t>prsníkov</w:t>
      </w:r>
    </w:p>
    <w:p w:rsidR="0029462D" w:rsidRPr="00E43389" w:rsidRDefault="0029462D" w:rsidP="0029462D">
      <w:pPr>
        <w:ind w:left="2124" w:hanging="2124"/>
        <w:rPr>
          <w:szCs w:val="22"/>
        </w:rPr>
      </w:pPr>
      <w:r w:rsidRPr="00E43389">
        <w:t>Zriedkavé:</w:t>
      </w:r>
      <w:r w:rsidRPr="00E43389">
        <w:tab/>
      </w:r>
      <w:r w:rsidRPr="00E43389">
        <w:rPr>
          <w:szCs w:val="22"/>
        </w:rPr>
        <w:t>impotencia a iné sexuálne poruchy, plastická indurácia penisu (Peyronieov syndróm).</w:t>
      </w:r>
    </w:p>
    <w:p w:rsidR="00F05EF4" w:rsidRPr="00C349D4" w:rsidRDefault="00F05EF4" w:rsidP="00F05EF4">
      <w:pPr>
        <w:rPr>
          <w:color w:val="000000"/>
        </w:rPr>
      </w:pPr>
    </w:p>
    <w:p w:rsidR="00F05EF4" w:rsidRPr="00C349D4" w:rsidRDefault="00F05EF4" w:rsidP="009E729A">
      <w:pPr>
        <w:keepNext/>
        <w:rPr>
          <w:i/>
          <w:color w:val="000000"/>
        </w:rPr>
      </w:pPr>
      <w:r w:rsidRPr="00C349D4">
        <w:rPr>
          <w:i/>
          <w:szCs w:val="22"/>
        </w:rPr>
        <w:t>Celkové poruchy a reakcie v mieste podania</w:t>
      </w:r>
    </w:p>
    <w:p w:rsidR="00F05EF4" w:rsidRPr="00E43389" w:rsidRDefault="00F05EF4" w:rsidP="00F05EF4">
      <w:pPr>
        <w:rPr>
          <w:color w:val="000000"/>
        </w:rPr>
      </w:pPr>
      <w:r w:rsidRPr="00E43389">
        <w:t>Veľmi časté:</w:t>
      </w:r>
      <w:r w:rsidRPr="00E43389">
        <w:tab/>
      </w:r>
      <w:r w:rsidRPr="00E43389">
        <w:tab/>
      </w:r>
      <w:r w:rsidRPr="00E43389">
        <w:rPr>
          <w:szCs w:val="22"/>
        </w:rPr>
        <w:t>únava</w:t>
      </w:r>
      <w:r w:rsidR="00BA1EB9">
        <w:rPr>
          <w:szCs w:val="22"/>
        </w:rPr>
        <w:t>,</w:t>
      </w:r>
    </w:p>
    <w:p w:rsidR="00F05EF4" w:rsidRPr="00C349D4" w:rsidRDefault="00F05EF4" w:rsidP="00F05EF4">
      <w:pPr>
        <w:rPr>
          <w:color w:val="000000"/>
        </w:rPr>
      </w:pPr>
      <w:r w:rsidRPr="00C349D4">
        <w:t>Menej časté:</w:t>
      </w:r>
      <w:r w:rsidRPr="00C349D4">
        <w:tab/>
      </w:r>
      <w:r w:rsidRPr="00C349D4">
        <w:tab/>
      </w:r>
      <w:r w:rsidRPr="00C349D4">
        <w:rPr>
          <w:szCs w:val="22"/>
        </w:rPr>
        <w:t>edém</w:t>
      </w:r>
      <w:r w:rsidR="00BA1EB9">
        <w:rPr>
          <w:szCs w:val="22"/>
        </w:rPr>
        <w:t>.</w:t>
      </w:r>
    </w:p>
    <w:p w:rsidR="00F05EF4" w:rsidRDefault="00F05EF4" w:rsidP="00F05EF4">
      <w:pPr>
        <w:rPr>
          <w:szCs w:val="22"/>
        </w:rPr>
      </w:pPr>
    </w:p>
    <w:p w:rsidR="0029462D" w:rsidRPr="003021DE" w:rsidRDefault="0029462D" w:rsidP="0029462D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3021DE">
        <w:rPr>
          <w:noProof/>
          <w:szCs w:val="22"/>
          <w:u w:val="single"/>
        </w:rPr>
        <w:t>Hlásenie podozrení na nežiaduce reakcie</w:t>
      </w:r>
    </w:p>
    <w:p w:rsidR="0029462D" w:rsidRPr="003021DE" w:rsidRDefault="0029462D" w:rsidP="0029462D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3021DE">
        <w:rPr>
          <w:noProof/>
          <w:szCs w:val="22"/>
        </w:rPr>
        <w:t>Hlásenie podozrení na nežiaduce reakcie po registrácii lieku je dôležité.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Umožňuje priebežné monitorovanie pomeru prínosu a rizika lieku.</w:t>
      </w:r>
      <w:r w:rsidRPr="003021DE">
        <w:rPr>
          <w:szCs w:val="22"/>
        </w:rPr>
        <w:t xml:space="preserve"> Od </w:t>
      </w:r>
      <w:r w:rsidRPr="003021DE">
        <w:rPr>
          <w:noProof/>
          <w:szCs w:val="22"/>
        </w:rPr>
        <w:t xml:space="preserve">zdravotníckych pracovníkov sa vyžaduje, aby hlásili akékoľvek podozrenia na nežiaduce reakcie </w:t>
      </w:r>
      <w:r w:rsidR="00AC2000">
        <w:rPr>
          <w:noProof/>
          <w:szCs w:val="22"/>
        </w:rPr>
        <w:t>na</w:t>
      </w:r>
      <w:r w:rsidR="00AC2000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AC2000">
        <w:rPr>
          <w:noProof/>
          <w:szCs w:val="22"/>
          <w:highlight w:val="lightGray"/>
        </w:rPr>
        <w:t>centrum</w:t>
      </w:r>
      <w:r w:rsidR="00AC2000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8" w:history="1">
        <w:r w:rsidRPr="00B13F68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Pr="003021DE">
        <w:rPr>
          <w:noProof/>
          <w:szCs w:val="22"/>
        </w:rPr>
        <w:t>.</w:t>
      </w:r>
    </w:p>
    <w:p w:rsidR="0029462D" w:rsidRDefault="0029462D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4.9</w:t>
      </w:r>
      <w:r w:rsidRPr="00252091">
        <w:rPr>
          <w:b/>
          <w:szCs w:val="22"/>
        </w:rPr>
        <w:tab/>
        <w:t>Predávkovanie</w:t>
      </w:r>
    </w:p>
    <w:p w:rsidR="00F05EF4" w:rsidRPr="00252091" w:rsidRDefault="00F05EF4" w:rsidP="009E729A">
      <w:pPr>
        <w:keepNext/>
        <w:rPr>
          <w:szCs w:val="22"/>
        </w:rPr>
      </w:pPr>
    </w:p>
    <w:p w:rsidR="00F05EF4" w:rsidRPr="00252091" w:rsidRDefault="00F05EF4" w:rsidP="009E729A">
      <w:pPr>
        <w:keepNext/>
        <w:rPr>
          <w:szCs w:val="22"/>
          <w:u w:val="single"/>
        </w:rPr>
      </w:pPr>
      <w:r w:rsidRPr="00252091">
        <w:rPr>
          <w:szCs w:val="22"/>
          <w:u w:val="single"/>
        </w:rPr>
        <w:t>Symptómy</w:t>
      </w: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Predávkovanie metopr</w:t>
      </w:r>
      <w:smartTag w:uri="urn:schemas-microsoft-com:office:smarttags" w:element="PersonName">
        <w:r w:rsidRPr="00252091">
          <w:rPr>
            <w:szCs w:val="22"/>
          </w:rPr>
          <w:t>olo</w:t>
        </w:r>
      </w:smartTag>
      <w:r w:rsidRPr="00252091">
        <w:rPr>
          <w:szCs w:val="22"/>
        </w:rPr>
        <w:t>lom môže spôsobiť závažnú hypotenziu, sínusovú bradykardiu, atrioventrikulárnu blokádu, srdcové zlyhanie, kardiogénny šok, zástavu srdca,</w:t>
      </w:r>
      <w:r w:rsidR="00843FE3">
        <w:rPr>
          <w:szCs w:val="22"/>
        </w:rPr>
        <w:t xml:space="preserve"> sťažené dýchanie,</w:t>
      </w:r>
      <w:r w:rsidRPr="00252091">
        <w:rPr>
          <w:szCs w:val="22"/>
        </w:rPr>
        <w:t xml:space="preserve"> bronchospazmus, stratu vedomia (aj kómu), nauzeu, vracanie</w:t>
      </w:r>
      <w:r w:rsidR="00843FE3">
        <w:rPr>
          <w:szCs w:val="22"/>
        </w:rPr>
        <w:t>, </w:t>
      </w:r>
      <w:r w:rsidRPr="00252091">
        <w:rPr>
          <w:szCs w:val="22"/>
        </w:rPr>
        <w:t>cyanózu</w:t>
      </w:r>
      <w:r w:rsidR="00843FE3">
        <w:rPr>
          <w:szCs w:val="22"/>
        </w:rPr>
        <w:t xml:space="preserve"> a generalizované záchvaty</w:t>
      </w:r>
      <w:r w:rsidRPr="00252091">
        <w:rPr>
          <w:szCs w:val="22"/>
        </w:rPr>
        <w:t xml:space="preserve">. </w:t>
      </w:r>
      <w:r>
        <w:rPr>
          <w:szCs w:val="22"/>
        </w:rPr>
        <w:lastRenderedPageBreak/>
        <w:t>Tieto s</w:t>
      </w:r>
      <w:r w:rsidRPr="00252091">
        <w:rPr>
          <w:szCs w:val="22"/>
        </w:rPr>
        <w:t>ymptómy sa môžu zhoršiť súbežným požitím alkoholu, antihypertenzn</w:t>
      </w:r>
      <w:r w:rsidR="006934F5">
        <w:rPr>
          <w:szCs w:val="22"/>
        </w:rPr>
        <w:t>ý</w:t>
      </w:r>
      <w:r w:rsidRPr="00252091">
        <w:rPr>
          <w:szCs w:val="22"/>
        </w:rPr>
        <w:t>ch látok, chinidínu alebo barbiturátov.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  <w:r w:rsidRPr="00252091">
        <w:rPr>
          <w:szCs w:val="22"/>
        </w:rPr>
        <w:t xml:space="preserve">Prvé </w:t>
      </w:r>
      <w:r w:rsidR="000C0E95">
        <w:rPr>
          <w:szCs w:val="22"/>
        </w:rPr>
        <w:t xml:space="preserve">prejavy </w:t>
      </w:r>
      <w:r w:rsidRPr="00252091">
        <w:rPr>
          <w:szCs w:val="22"/>
        </w:rPr>
        <w:t>predávkovania sa objavujú v</w:t>
      </w:r>
      <w:r w:rsidR="000C0E95">
        <w:rPr>
          <w:szCs w:val="22"/>
        </w:rPr>
        <w:t> </w:t>
      </w:r>
      <w:r w:rsidRPr="00252091">
        <w:rPr>
          <w:szCs w:val="22"/>
        </w:rPr>
        <w:t>priebehu 20</w:t>
      </w:r>
      <w:r w:rsidR="000C0E95">
        <w:rPr>
          <w:szCs w:val="22"/>
        </w:rPr>
        <w:t> </w:t>
      </w:r>
      <w:r w:rsidRPr="00252091">
        <w:rPr>
          <w:szCs w:val="22"/>
        </w:rPr>
        <w:t>minút až 2</w:t>
      </w:r>
      <w:r w:rsidR="000C0E95">
        <w:rPr>
          <w:szCs w:val="22"/>
        </w:rPr>
        <w:t> </w:t>
      </w:r>
      <w:r w:rsidRPr="00252091">
        <w:rPr>
          <w:szCs w:val="22"/>
        </w:rPr>
        <w:t>hodín po užití lieku.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rPr>
          <w:szCs w:val="22"/>
          <w:u w:val="single"/>
        </w:rPr>
      </w:pPr>
      <w:r w:rsidRPr="00252091">
        <w:rPr>
          <w:szCs w:val="22"/>
          <w:u w:val="single"/>
        </w:rPr>
        <w:t>Liečba</w:t>
      </w:r>
    </w:p>
    <w:p w:rsidR="00843FE3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Aktívne uhlie a</w:t>
      </w:r>
      <w:r w:rsidR="000C0E95">
        <w:rPr>
          <w:szCs w:val="22"/>
        </w:rPr>
        <w:t> </w:t>
      </w:r>
      <w:r w:rsidRPr="00252091">
        <w:rPr>
          <w:szCs w:val="22"/>
        </w:rPr>
        <w:t>ak je to potrebné výplach žalúdka</w:t>
      </w:r>
      <w:r w:rsidR="00843FE3">
        <w:rPr>
          <w:szCs w:val="22"/>
        </w:rPr>
        <w:t xml:space="preserve"> na zníženie absorpcie v gastrointestinálnom trakte</w:t>
      </w:r>
      <w:r w:rsidRPr="00252091">
        <w:rPr>
          <w:szCs w:val="22"/>
        </w:rPr>
        <w:t>.</w:t>
      </w:r>
    </w:p>
    <w:p w:rsidR="00843FE3" w:rsidRDefault="00843FE3" w:rsidP="00F05EF4">
      <w:pPr>
        <w:ind w:left="0" w:firstLine="0"/>
        <w:rPr>
          <w:szCs w:val="22"/>
        </w:rPr>
      </w:pPr>
    </w:p>
    <w:p w:rsidR="00843FE3" w:rsidRDefault="00843FE3" w:rsidP="00F05EF4">
      <w:pPr>
        <w:ind w:left="0" w:firstLine="0"/>
        <w:rPr>
          <w:szCs w:val="22"/>
        </w:rPr>
      </w:pPr>
      <w:r>
        <w:rPr>
          <w:szCs w:val="22"/>
        </w:rPr>
        <w:t>V prípade šoku a hypotenzie sa môže podať plazma alebo náhrady plazmy.</w:t>
      </w:r>
    </w:p>
    <w:p w:rsidR="00843FE3" w:rsidRDefault="00843FE3" w:rsidP="00F05EF4">
      <w:pPr>
        <w:ind w:left="0" w:firstLine="0"/>
        <w:rPr>
          <w:szCs w:val="22"/>
        </w:rPr>
      </w:pP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V</w:t>
      </w:r>
      <w:r w:rsidR="000C0E95">
        <w:rPr>
          <w:szCs w:val="22"/>
        </w:rPr>
        <w:t> </w:t>
      </w:r>
      <w:r w:rsidRPr="00252091">
        <w:rPr>
          <w:szCs w:val="22"/>
        </w:rPr>
        <w:t>prípade závažnej hypotenzie, bradykardie alebo hroziaceho srdcového zlyhania sa má pacientovi intravenózne podať beta</w:t>
      </w:r>
      <w:r w:rsidRPr="00252091">
        <w:rPr>
          <w:szCs w:val="22"/>
          <w:vertAlign w:val="subscript"/>
        </w:rPr>
        <w:t>1</w:t>
      </w:r>
      <w:r w:rsidRPr="00252091">
        <w:rPr>
          <w:szCs w:val="22"/>
        </w:rPr>
        <w:t>-agonista (napr. prenalterol alebo dobutamín) v</w:t>
      </w:r>
      <w:r w:rsidR="000C0E95">
        <w:rPr>
          <w:szCs w:val="22"/>
        </w:rPr>
        <w:t> </w:t>
      </w:r>
      <w:r w:rsidRPr="00252091">
        <w:rPr>
          <w:szCs w:val="22"/>
        </w:rPr>
        <w:t>intervaloch 2 – 5 minút alebo v</w:t>
      </w:r>
      <w:r w:rsidR="000C0E95">
        <w:rPr>
          <w:szCs w:val="22"/>
        </w:rPr>
        <w:t> </w:t>
      </w:r>
      <w:r w:rsidRPr="00252091">
        <w:rPr>
          <w:szCs w:val="22"/>
        </w:rPr>
        <w:t>kontinuálnej infúzii, pokiaľ sa nedosiahne žiadaný účinok. Ak selektívny beta</w:t>
      </w:r>
      <w:r w:rsidRPr="00252091">
        <w:rPr>
          <w:szCs w:val="22"/>
          <w:vertAlign w:val="subscript"/>
        </w:rPr>
        <w:t>1</w:t>
      </w:r>
      <w:r w:rsidRPr="00252091">
        <w:rPr>
          <w:szCs w:val="22"/>
        </w:rPr>
        <w:t xml:space="preserve">-agonista nie je dostupný, môže sa použiť </w:t>
      </w:r>
      <w:r>
        <w:rPr>
          <w:szCs w:val="22"/>
        </w:rPr>
        <w:t xml:space="preserve">aj </w:t>
      </w:r>
      <w:r w:rsidRPr="00252091">
        <w:rPr>
          <w:szCs w:val="22"/>
        </w:rPr>
        <w:t>dopamín. Taktiež sa môže za</w:t>
      </w:r>
      <w:r>
        <w:t> </w:t>
      </w:r>
      <w:r w:rsidRPr="00252091">
        <w:rPr>
          <w:szCs w:val="22"/>
        </w:rPr>
        <w:t xml:space="preserve">účelom blokovania nervus vagus podať atropín sulfát (0,5 </w:t>
      </w:r>
      <w:r>
        <w:rPr>
          <w:szCs w:val="22"/>
        </w:rPr>
        <w:t>až</w:t>
      </w:r>
      <w:r w:rsidRPr="00252091">
        <w:rPr>
          <w:szCs w:val="22"/>
        </w:rPr>
        <w:t xml:space="preserve"> 2,0</w:t>
      </w:r>
      <w:r w:rsidR="000C0E95">
        <w:rPr>
          <w:szCs w:val="22"/>
        </w:rPr>
        <w:t> </w:t>
      </w:r>
      <w:r w:rsidRPr="00252091">
        <w:rPr>
          <w:szCs w:val="22"/>
        </w:rPr>
        <w:t>mg intravenózne</w:t>
      </w:r>
      <w:r w:rsidR="00843FE3">
        <w:rPr>
          <w:szCs w:val="22"/>
        </w:rPr>
        <w:t xml:space="preserve"> ako bolusová dávka</w:t>
      </w:r>
      <w:r w:rsidRPr="00252091">
        <w:rPr>
          <w:szCs w:val="22"/>
        </w:rPr>
        <w:t>).</w:t>
      </w:r>
    </w:p>
    <w:p w:rsidR="00E43389" w:rsidRDefault="00E43389" w:rsidP="00F05EF4">
      <w:pPr>
        <w:ind w:left="0" w:firstLine="0"/>
        <w:rPr>
          <w:szCs w:val="22"/>
        </w:rPr>
      </w:pP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Ak sa nedosiahne žiadaný účinok, môže sa použiť in</w:t>
      </w:r>
      <w:r>
        <w:rPr>
          <w:szCs w:val="22"/>
        </w:rPr>
        <w:t>é</w:t>
      </w:r>
      <w:r w:rsidRPr="00252091">
        <w:rPr>
          <w:szCs w:val="22"/>
        </w:rPr>
        <w:t xml:space="preserve"> sympat</w:t>
      </w:r>
      <w:r>
        <w:rPr>
          <w:szCs w:val="22"/>
        </w:rPr>
        <w:t>o</w:t>
      </w:r>
      <w:r w:rsidRPr="00252091">
        <w:rPr>
          <w:szCs w:val="22"/>
        </w:rPr>
        <w:t>mimeti</w:t>
      </w:r>
      <w:r>
        <w:rPr>
          <w:szCs w:val="22"/>
        </w:rPr>
        <w:t>kum</w:t>
      </w:r>
      <w:r w:rsidRPr="00252091">
        <w:rPr>
          <w:szCs w:val="22"/>
        </w:rPr>
        <w:t>, napr. adrenalín alebo noradrenalín.</w:t>
      </w:r>
    </w:p>
    <w:p w:rsidR="00F05EF4" w:rsidRPr="00252091" w:rsidRDefault="00F05EF4" w:rsidP="00F05EF4">
      <w:pPr>
        <w:rPr>
          <w:szCs w:val="22"/>
        </w:rPr>
      </w:pPr>
    </w:p>
    <w:p w:rsidR="00843FE3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Pacientovi sa môže podať aj 1 – 10</w:t>
      </w:r>
      <w:r w:rsidR="000C0E95">
        <w:rPr>
          <w:szCs w:val="22"/>
        </w:rPr>
        <w:t> </w:t>
      </w:r>
      <w:r w:rsidRPr="00252091">
        <w:rPr>
          <w:szCs w:val="22"/>
        </w:rPr>
        <w:t>mg glukagónu</w:t>
      </w:r>
      <w:r w:rsidR="00843FE3">
        <w:rPr>
          <w:szCs w:val="22"/>
        </w:rPr>
        <w:t xml:space="preserve"> intravenózne </w:t>
      </w:r>
      <w:r w:rsidR="002D7343">
        <w:rPr>
          <w:szCs w:val="22"/>
        </w:rPr>
        <w:t>a</w:t>
      </w:r>
      <w:r w:rsidR="00843FE3">
        <w:rPr>
          <w:szCs w:val="22"/>
        </w:rPr>
        <w:t> následn</w:t>
      </w:r>
      <w:r w:rsidR="002D7343">
        <w:rPr>
          <w:szCs w:val="22"/>
        </w:rPr>
        <w:t>e</w:t>
      </w:r>
      <w:r w:rsidR="00843FE3">
        <w:rPr>
          <w:szCs w:val="22"/>
        </w:rPr>
        <w:t xml:space="preserve"> </w:t>
      </w:r>
      <w:r w:rsidR="002D7343">
        <w:rPr>
          <w:szCs w:val="22"/>
        </w:rPr>
        <w:t>2 až 2,5</w:t>
      </w:r>
      <w:r w:rsidR="000C0E95">
        <w:rPr>
          <w:szCs w:val="22"/>
        </w:rPr>
        <w:t> </w:t>
      </w:r>
      <w:r w:rsidR="002D7343">
        <w:rPr>
          <w:szCs w:val="22"/>
        </w:rPr>
        <w:t xml:space="preserve">mg za hodinu </w:t>
      </w:r>
      <w:r w:rsidR="00843FE3">
        <w:rPr>
          <w:szCs w:val="22"/>
        </w:rPr>
        <w:t>kontinuálnou infúziou</w:t>
      </w:r>
      <w:r w:rsidR="002D7343">
        <w:rPr>
          <w:szCs w:val="22"/>
        </w:rPr>
        <w:t>.</w:t>
      </w:r>
    </w:p>
    <w:p w:rsidR="00843FE3" w:rsidRDefault="00843FE3" w:rsidP="00F05EF4">
      <w:pPr>
        <w:ind w:left="0" w:firstLine="0"/>
        <w:rPr>
          <w:szCs w:val="22"/>
        </w:rPr>
      </w:pPr>
      <w:r>
        <w:rPr>
          <w:szCs w:val="22"/>
        </w:rPr>
        <w:t>Pri refrakt</w:t>
      </w:r>
      <w:r w:rsidR="005F10C8">
        <w:rPr>
          <w:szCs w:val="22"/>
        </w:rPr>
        <w:t>érn</w:t>
      </w:r>
      <w:r>
        <w:rPr>
          <w:szCs w:val="22"/>
        </w:rPr>
        <w:t>ej bradykardii m</w:t>
      </w:r>
      <w:r w:rsidR="00F05EF4" w:rsidRPr="00252091">
        <w:rPr>
          <w:szCs w:val="22"/>
        </w:rPr>
        <w:t>ôže byť</w:t>
      </w:r>
      <w:r>
        <w:rPr>
          <w:szCs w:val="22"/>
        </w:rPr>
        <w:t xml:space="preserve"> dočasne</w:t>
      </w:r>
      <w:r w:rsidR="00F05EF4" w:rsidRPr="00252091">
        <w:rPr>
          <w:szCs w:val="22"/>
        </w:rPr>
        <w:t xml:space="preserve"> potrebn</w:t>
      </w:r>
      <w:r w:rsidR="00F05EF4">
        <w:rPr>
          <w:szCs w:val="22"/>
        </w:rPr>
        <w:t>á</w:t>
      </w:r>
      <w:r w:rsidR="00F05EF4" w:rsidRPr="00252091">
        <w:rPr>
          <w:szCs w:val="22"/>
        </w:rPr>
        <w:t xml:space="preserve"> </w:t>
      </w:r>
      <w:r w:rsidR="00F05EF4">
        <w:rPr>
          <w:szCs w:val="22"/>
        </w:rPr>
        <w:t>liečba</w:t>
      </w:r>
      <w:r w:rsidR="00F05EF4" w:rsidRPr="00252091">
        <w:rPr>
          <w:szCs w:val="22"/>
        </w:rPr>
        <w:t xml:space="preserve"> kardiostimulátor</w:t>
      </w:r>
      <w:r w:rsidR="00F05EF4">
        <w:rPr>
          <w:szCs w:val="22"/>
        </w:rPr>
        <w:t>om</w:t>
      </w:r>
      <w:r w:rsidR="00F05EF4" w:rsidRPr="00252091">
        <w:rPr>
          <w:szCs w:val="22"/>
        </w:rPr>
        <w:t>.</w:t>
      </w:r>
    </w:p>
    <w:p w:rsidR="00843FE3" w:rsidRDefault="00843FE3" w:rsidP="00F05EF4">
      <w:pPr>
        <w:ind w:left="0" w:firstLine="0"/>
        <w:rPr>
          <w:szCs w:val="22"/>
        </w:rPr>
      </w:pPr>
    </w:p>
    <w:p w:rsidR="00843FE3" w:rsidRDefault="00843FE3" w:rsidP="00F05EF4">
      <w:pPr>
        <w:ind w:left="0" w:firstLine="0"/>
        <w:rPr>
          <w:szCs w:val="22"/>
        </w:rPr>
      </w:pPr>
      <w:r>
        <w:rPr>
          <w:szCs w:val="22"/>
        </w:rPr>
        <w:t>Môže sa tiež zvážiť podanie vápenatých iónov.</w:t>
      </w:r>
    </w:p>
    <w:p w:rsidR="00843FE3" w:rsidRDefault="00843FE3" w:rsidP="00F05EF4">
      <w:pPr>
        <w:ind w:left="0" w:firstLine="0"/>
        <w:rPr>
          <w:szCs w:val="22"/>
        </w:rPr>
      </w:pPr>
    </w:p>
    <w:p w:rsidR="00F05EF4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Na</w:t>
      </w:r>
      <w:r>
        <w:rPr>
          <w:szCs w:val="22"/>
        </w:rPr>
        <w:t> </w:t>
      </w:r>
      <w:r w:rsidRPr="00252091">
        <w:rPr>
          <w:szCs w:val="22"/>
        </w:rPr>
        <w:t>prevenciu bronchospazmu sa môže pacientovi</w:t>
      </w:r>
      <w:r w:rsidR="00843FE3">
        <w:rPr>
          <w:szCs w:val="22"/>
        </w:rPr>
        <w:t xml:space="preserve"> podávať inhalačne alebo, ak nie je odozva na inhaláciu,</w:t>
      </w:r>
      <w:r w:rsidRPr="00252091">
        <w:rPr>
          <w:szCs w:val="22"/>
        </w:rPr>
        <w:t xml:space="preserve"> intravenózne beta</w:t>
      </w:r>
      <w:r w:rsidRPr="00252091">
        <w:rPr>
          <w:szCs w:val="22"/>
          <w:vertAlign w:val="subscript"/>
        </w:rPr>
        <w:t>2</w:t>
      </w:r>
      <w:r w:rsidRPr="00252091">
        <w:rPr>
          <w:szCs w:val="22"/>
        </w:rPr>
        <w:t>-agonista</w:t>
      </w:r>
      <w:r w:rsidR="00843FE3">
        <w:rPr>
          <w:szCs w:val="22"/>
        </w:rPr>
        <w:t xml:space="preserve"> alebo aminof</w:t>
      </w:r>
      <w:r w:rsidR="00F67233">
        <w:rPr>
          <w:szCs w:val="22"/>
        </w:rPr>
        <w:t>y</w:t>
      </w:r>
      <w:r w:rsidR="00843FE3">
        <w:rPr>
          <w:szCs w:val="22"/>
        </w:rPr>
        <w:t>lín</w:t>
      </w:r>
      <w:r w:rsidRPr="00252091">
        <w:rPr>
          <w:szCs w:val="22"/>
        </w:rPr>
        <w:t>.</w:t>
      </w:r>
    </w:p>
    <w:p w:rsidR="00843FE3" w:rsidRDefault="00843FE3" w:rsidP="00F05EF4">
      <w:pPr>
        <w:ind w:left="0" w:firstLine="0"/>
        <w:rPr>
          <w:szCs w:val="22"/>
        </w:rPr>
      </w:pPr>
    </w:p>
    <w:p w:rsidR="00843FE3" w:rsidRPr="00252091" w:rsidRDefault="00843FE3" w:rsidP="00F05EF4">
      <w:pPr>
        <w:ind w:left="0" w:firstLine="0"/>
        <w:rPr>
          <w:szCs w:val="22"/>
        </w:rPr>
      </w:pPr>
      <w:r>
        <w:rPr>
          <w:szCs w:val="22"/>
        </w:rPr>
        <w:t>V prípade generalizovaných záchvatov sa odporúča pomalé intravenózne podanie diazepamu.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rPr>
          <w:szCs w:val="22"/>
          <w:u w:val="single"/>
        </w:rPr>
      </w:pPr>
      <w:r w:rsidRPr="00252091">
        <w:rPr>
          <w:szCs w:val="22"/>
          <w:u w:val="single"/>
        </w:rPr>
        <w:t>Poznámka</w:t>
      </w:r>
    </w:p>
    <w:p w:rsidR="00F05EF4" w:rsidRPr="0025209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>Dávky potrebné na liečbu predávkovania sú oveľa vyššie</w:t>
      </w:r>
      <w:r>
        <w:rPr>
          <w:szCs w:val="22"/>
        </w:rPr>
        <w:t>,</w:t>
      </w:r>
      <w:r w:rsidRPr="00252091">
        <w:rPr>
          <w:szCs w:val="22"/>
        </w:rPr>
        <w:t xml:space="preserve"> ako sú zvyčajné terapeutické dávky, pretože betablokátor </w:t>
      </w:r>
      <w:r>
        <w:rPr>
          <w:szCs w:val="22"/>
        </w:rPr>
        <w:t>už blokuje</w:t>
      </w:r>
      <w:r w:rsidRPr="00252091">
        <w:rPr>
          <w:szCs w:val="22"/>
        </w:rPr>
        <w:t xml:space="preserve"> beta</w:t>
      </w:r>
      <w:r>
        <w:rPr>
          <w:szCs w:val="22"/>
        </w:rPr>
        <w:t xml:space="preserve"> </w:t>
      </w:r>
      <w:r w:rsidRPr="00252091">
        <w:rPr>
          <w:szCs w:val="22"/>
        </w:rPr>
        <w:t>receptory.</w:t>
      </w:r>
    </w:p>
    <w:p w:rsidR="00F05EF4" w:rsidRDefault="00F05EF4" w:rsidP="00F05EF4">
      <w:pPr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5.</w:t>
      </w:r>
      <w:r w:rsidRPr="00252091">
        <w:rPr>
          <w:b/>
          <w:szCs w:val="22"/>
        </w:rPr>
        <w:tab/>
        <w:t>FARMAKOLOGICKÉ VLASTNOSTI</w:t>
      </w:r>
    </w:p>
    <w:p w:rsidR="00F05EF4" w:rsidRPr="00252091" w:rsidRDefault="00F05EF4" w:rsidP="009E729A">
      <w:pPr>
        <w:keepNext/>
        <w:rPr>
          <w:bCs/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5.1</w:t>
      </w:r>
      <w:r w:rsidRPr="00252091">
        <w:rPr>
          <w:b/>
          <w:szCs w:val="22"/>
        </w:rPr>
        <w:tab/>
        <w:t>Farmakodynamické vlastnosti</w:t>
      </w:r>
    </w:p>
    <w:p w:rsidR="00F05EF4" w:rsidRPr="00252091" w:rsidRDefault="00F05EF4" w:rsidP="009E729A">
      <w:pPr>
        <w:keepNext/>
        <w:rPr>
          <w:szCs w:val="22"/>
        </w:rPr>
      </w:pPr>
    </w:p>
    <w:p w:rsidR="00F05EF4" w:rsidRPr="00213CF8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996AE3">
        <w:rPr>
          <w:rFonts w:ascii="Times New Roman" w:hAnsi="Times New Roman"/>
          <w:sz w:val="22"/>
          <w:szCs w:val="22"/>
          <w:lang w:val="sk-SK"/>
        </w:rPr>
        <w:t>Farmakoterapeutická skupina</w:t>
      </w:r>
      <w:r w:rsidRPr="009E729A">
        <w:rPr>
          <w:szCs w:val="22"/>
          <w:lang w:val="sk-SK"/>
        </w:rPr>
        <w:t>: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selektívne betablokátory</w:t>
      </w:r>
      <w:r w:rsidR="00D96330">
        <w:rPr>
          <w:rFonts w:ascii="Times New Roman" w:hAnsi="Times New Roman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996AE3">
        <w:rPr>
          <w:rFonts w:ascii="Times New Roman" w:hAnsi="Times New Roman"/>
          <w:sz w:val="22"/>
          <w:szCs w:val="22"/>
          <w:lang w:val="sk-SK"/>
        </w:rPr>
        <w:t>ATC kód:</w:t>
      </w:r>
      <w:r w:rsidRPr="00213CF8">
        <w:rPr>
          <w:rFonts w:ascii="Times New Roman" w:hAnsi="Times New Roman"/>
          <w:sz w:val="22"/>
          <w:szCs w:val="22"/>
          <w:lang w:val="sk-SK"/>
        </w:rPr>
        <w:t xml:space="preserve"> C07AB02.</w:t>
      </w:r>
    </w:p>
    <w:p w:rsidR="00F05EF4" w:rsidRPr="00996AE3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 je selektívny beta</w:t>
      </w:r>
      <w:r w:rsidRPr="00252091">
        <w:rPr>
          <w:rFonts w:ascii="Times New Roman" w:hAnsi="Times New Roman"/>
          <w:sz w:val="22"/>
          <w:szCs w:val="22"/>
          <w:vertAlign w:val="subscript"/>
          <w:lang w:val="sk-SK"/>
        </w:rPr>
        <w:t>1</w:t>
      </w:r>
      <w:r w:rsidRPr="00252091">
        <w:rPr>
          <w:rFonts w:ascii="Times New Roman" w:hAnsi="Times New Roman"/>
          <w:sz w:val="22"/>
          <w:szCs w:val="22"/>
          <w:lang w:val="sk-SK"/>
        </w:rPr>
        <w:t>-blokátor, t.j. blokuje beta</w:t>
      </w:r>
      <w:r w:rsidRPr="00252091">
        <w:rPr>
          <w:rFonts w:ascii="Times New Roman" w:hAnsi="Times New Roman"/>
          <w:sz w:val="22"/>
          <w:szCs w:val="22"/>
          <w:vertAlign w:val="subscript"/>
          <w:lang w:val="sk-SK"/>
        </w:rPr>
        <w:t>1</w:t>
      </w:r>
      <w:r w:rsidRPr="00252091">
        <w:rPr>
          <w:rFonts w:ascii="Times New Roman" w:hAnsi="Times New Roman"/>
          <w:sz w:val="22"/>
          <w:szCs w:val="22"/>
          <w:lang w:val="sk-SK"/>
        </w:rPr>
        <w:t>-receptory v srdci pri významne nižších dávkach, ako sú dávky potrebné na blokádu beta</w:t>
      </w:r>
      <w:r w:rsidRPr="00252091">
        <w:rPr>
          <w:rFonts w:ascii="Times New Roman" w:hAnsi="Times New Roman"/>
          <w:sz w:val="22"/>
          <w:szCs w:val="22"/>
          <w:vertAlign w:val="subscript"/>
          <w:lang w:val="sk-SK"/>
        </w:rPr>
        <w:t>2</w:t>
      </w:r>
      <w:r w:rsidRPr="00252091">
        <w:rPr>
          <w:rFonts w:ascii="Times New Roman" w:hAnsi="Times New Roman"/>
          <w:sz w:val="22"/>
          <w:szCs w:val="22"/>
          <w:lang w:val="sk-SK"/>
        </w:rPr>
        <w:t>-receptorov.</w:t>
      </w:r>
      <w:r w:rsidR="00843FE3">
        <w:rPr>
          <w:rFonts w:ascii="Times New Roman" w:hAnsi="Times New Roman"/>
          <w:sz w:val="22"/>
          <w:szCs w:val="22"/>
          <w:lang w:val="sk-SK"/>
        </w:rPr>
        <w:t xml:space="preserve"> Avšak pri vyšších </w:t>
      </w:r>
      <w:r w:rsidR="00114869">
        <w:rPr>
          <w:rFonts w:ascii="Times New Roman" w:hAnsi="Times New Roman"/>
          <w:sz w:val="22"/>
          <w:szCs w:val="22"/>
          <w:lang w:val="sk-SK"/>
        </w:rPr>
        <w:t xml:space="preserve">dávkach má metoprolol účinok na </w:t>
      </w:r>
      <w:r w:rsidR="00114869" w:rsidRPr="00252091">
        <w:rPr>
          <w:rFonts w:ascii="Times New Roman" w:hAnsi="Times New Roman"/>
          <w:sz w:val="22"/>
          <w:szCs w:val="22"/>
          <w:lang w:val="sk-SK"/>
        </w:rPr>
        <w:t>beta</w:t>
      </w:r>
      <w:r w:rsidR="00114869" w:rsidRPr="00252091">
        <w:rPr>
          <w:rFonts w:ascii="Times New Roman" w:hAnsi="Times New Roman"/>
          <w:sz w:val="22"/>
          <w:szCs w:val="22"/>
          <w:vertAlign w:val="subscript"/>
          <w:lang w:val="sk-SK"/>
        </w:rPr>
        <w:t>2</w:t>
      </w:r>
      <w:r w:rsidR="00114869" w:rsidRPr="00252091">
        <w:rPr>
          <w:rFonts w:ascii="Times New Roman" w:hAnsi="Times New Roman"/>
          <w:sz w:val="22"/>
          <w:szCs w:val="22"/>
          <w:lang w:val="sk-SK"/>
        </w:rPr>
        <w:t>-receptor</w:t>
      </w:r>
      <w:r w:rsidR="00114869">
        <w:rPr>
          <w:rFonts w:ascii="Times New Roman" w:hAnsi="Times New Roman"/>
          <w:sz w:val="22"/>
          <w:szCs w:val="22"/>
          <w:lang w:val="sk-SK"/>
        </w:rPr>
        <w:t>y, napríklad na priedušky a krvné cievy.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 má</w:t>
      </w:r>
      <w:r>
        <w:rPr>
          <w:rFonts w:ascii="Times New Roman" w:hAnsi="Times New Roman"/>
          <w:sz w:val="22"/>
          <w:szCs w:val="22"/>
          <w:lang w:val="sk-SK"/>
        </w:rPr>
        <w:t xml:space="preserve"> iba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nevýznamný účinok na stabilizáciu membrán a </w:t>
      </w:r>
      <w:r>
        <w:rPr>
          <w:rFonts w:ascii="Times New Roman" w:hAnsi="Times New Roman"/>
          <w:sz w:val="22"/>
          <w:szCs w:val="22"/>
          <w:lang w:val="sk-SK"/>
        </w:rPr>
        <w:t xml:space="preserve">nevykazuje žiadny </w:t>
      </w:r>
      <w:r w:rsidRPr="00252091">
        <w:rPr>
          <w:rFonts w:ascii="Times New Roman" w:hAnsi="Times New Roman"/>
          <w:sz w:val="22"/>
          <w:szCs w:val="22"/>
          <w:lang w:val="sk-SK"/>
        </w:rPr>
        <w:t>agonistický účinok.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 znižuje alebo blokuje stimulačný účinok katecholamínov na srdce (uvoľňovaných najmä počas </w:t>
      </w:r>
      <w:r>
        <w:rPr>
          <w:rFonts w:ascii="Times New Roman" w:hAnsi="Times New Roman"/>
          <w:sz w:val="22"/>
          <w:szCs w:val="22"/>
          <w:lang w:val="sk-SK"/>
        </w:rPr>
        <w:t>fyzického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alebo psychického stresu).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 </w:t>
      </w:r>
      <w:r>
        <w:rPr>
          <w:rFonts w:ascii="Times New Roman" w:hAnsi="Times New Roman"/>
          <w:sz w:val="22"/>
          <w:szCs w:val="22"/>
          <w:lang w:val="sk-SK"/>
        </w:rPr>
        <w:t>zmierňuje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tachykardiu, </w:t>
      </w:r>
      <w:r w:rsidRPr="00D159C7">
        <w:rPr>
          <w:rFonts w:ascii="Times New Roman" w:hAnsi="Times New Roman"/>
          <w:sz w:val="22"/>
          <w:szCs w:val="22"/>
          <w:lang w:val="sk-SK"/>
        </w:rPr>
        <w:t>zvýšený srdcový výdaj a zvýšenú kontraktilitu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 xml:space="preserve">srdca 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zvyčajne </w:t>
      </w:r>
      <w:r>
        <w:rPr>
          <w:rFonts w:ascii="Times New Roman" w:hAnsi="Times New Roman"/>
          <w:sz w:val="22"/>
          <w:szCs w:val="22"/>
          <w:lang w:val="sk-SK"/>
        </w:rPr>
        <w:t>zapríčinené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akútnym zvýšením hladiny katecholamínov a znižuje krvný tlak.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Plazmatické koncentrácie a účinok (beta</w:t>
      </w:r>
      <w:r w:rsidRPr="00252091">
        <w:rPr>
          <w:rFonts w:ascii="Times New Roman" w:hAnsi="Times New Roman"/>
          <w:sz w:val="22"/>
          <w:szCs w:val="22"/>
          <w:vertAlign w:val="subscript"/>
          <w:lang w:val="sk-SK"/>
        </w:rPr>
        <w:t>1</w:t>
      </w:r>
      <w:r>
        <w:rPr>
          <w:rFonts w:ascii="Times New Roman" w:hAnsi="Times New Roman"/>
          <w:sz w:val="22"/>
          <w:szCs w:val="22"/>
          <w:lang w:val="sk-SK"/>
        </w:rPr>
        <w:t>-b</w:t>
      </w:r>
      <w:r w:rsidRPr="00252091">
        <w:rPr>
          <w:rFonts w:ascii="Times New Roman" w:hAnsi="Times New Roman"/>
          <w:sz w:val="22"/>
          <w:szCs w:val="22"/>
          <w:lang w:val="sk-SK"/>
        </w:rPr>
        <w:t>lokáda) lieku Metoprolol Mylan, tabliet s predĺženým uvoľňovaním sú počas 24</w:t>
      </w:r>
      <w:r w:rsidR="005F10C8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hodín distribuované rovnomernejšie ako koncentrácie a účinok </w:t>
      </w:r>
      <w:r>
        <w:rPr>
          <w:rFonts w:ascii="Times New Roman" w:hAnsi="Times New Roman"/>
          <w:sz w:val="22"/>
          <w:szCs w:val="22"/>
          <w:lang w:val="sk-SK"/>
        </w:rPr>
        <w:t xml:space="preserve">bežných </w:t>
      </w:r>
      <w:r w:rsidRPr="00252091">
        <w:rPr>
          <w:rFonts w:ascii="Times New Roman" w:hAnsi="Times New Roman"/>
          <w:sz w:val="22"/>
          <w:szCs w:val="22"/>
          <w:lang w:val="sk-SK"/>
        </w:rPr>
        <w:t>tabletových foriem s beta</w:t>
      </w:r>
      <w:r w:rsidRPr="00252091">
        <w:rPr>
          <w:rFonts w:ascii="Times New Roman" w:hAnsi="Times New Roman"/>
          <w:sz w:val="22"/>
          <w:szCs w:val="22"/>
          <w:vertAlign w:val="subscript"/>
          <w:lang w:val="sk-SK"/>
        </w:rPr>
        <w:t>1</w:t>
      </w:r>
      <w:r w:rsidRPr="00252091">
        <w:rPr>
          <w:rFonts w:ascii="Times New Roman" w:hAnsi="Times New Roman"/>
          <w:sz w:val="22"/>
          <w:szCs w:val="22"/>
          <w:lang w:val="sk-SK"/>
        </w:rPr>
        <w:t>-selektívnymi blokátormi.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Keďže sú plazmatické koncentrácie stabilné, klinická beta</w:t>
      </w:r>
      <w:r w:rsidRPr="00252091">
        <w:rPr>
          <w:rFonts w:ascii="Times New Roman" w:hAnsi="Times New Roman"/>
          <w:sz w:val="22"/>
          <w:szCs w:val="22"/>
          <w:vertAlign w:val="subscript"/>
          <w:lang w:val="sk-SK"/>
        </w:rPr>
        <w:t>1</w:t>
      </w:r>
      <w:r w:rsidRPr="00252091">
        <w:rPr>
          <w:rFonts w:ascii="Times New Roman" w:hAnsi="Times New Roman"/>
          <w:sz w:val="22"/>
          <w:szCs w:val="22"/>
          <w:lang w:val="sk-SK"/>
        </w:rPr>
        <w:t>-selektivita je lepšia ako u tradičných tabletových foriem s beta</w:t>
      </w:r>
      <w:r w:rsidRPr="00252091">
        <w:rPr>
          <w:rFonts w:ascii="Times New Roman" w:hAnsi="Times New Roman"/>
          <w:sz w:val="22"/>
          <w:szCs w:val="22"/>
          <w:vertAlign w:val="subscript"/>
          <w:lang w:val="sk-SK"/>
        </w:rPr>
        <w:t>1</w:t>
      </w:r>
      <w:r w:rsidRPr="00252091">
        <w:rPr>
          <w:rFonts w:ascii="Times New Roman" w:hAnsi="Times New Roman"/>
          <w:sz w:val="22"/>
          <w:szCs w:val="22"/>
          <w:lang w:val="sk-SK"/>
        </w:rPr>
        <w:t>-selektívnymi betablokátormi. Riziko nežiaducich účinkov spojené s maximálnymi koncentráciami (napr. bradykardia alebo slabosť končatín)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52091">
        <w:rPr>
          <w:rFonts w:ascii="Times New Roman" w:hAnsi="Times New Roman"/>
          <w:sz w:val="22"/>
          <w:szCs w:val="22"/>
          <w:lang w:val="sk-SK"/>
        </w:rPr>
        <w:t>je taktiež minimálne.</w:t>
      </w:r>
      <w:r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252091">
        <w:rPr>
          <w:rFonts w:ascii="Times New Roman" w:hAnsi="Times New Roman"/>
          <w:sz w:val="22"/>
          <w:szCs w:val="22"/>
          <w:lang w:val="sk-SK"/>
        </w:rPr>
        <w:t>V prípade potreby sa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 môže podávať pacientom so symptómami obštrukčnej choroby pľúc </w:t>
      </w:r>
      <w:r>
        <w:rPr>
          <w:rFonts w:ascii="Times New Roman" w:hAnsi="Times New Roman"/>
          <w:sz w:val="22"/>
          <w:szCs w:val="22"/>
          <w:lang w:val="sk-SK"/>
        </w:rPr>
        <w:t>spolu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s beta</w:t>
      </w:r>
      <w:r w:rsidRPr="00252091">
        <w:rPr>
          <w:rFonts w:ascii="Times New Roman" w:hAnsi="Times New Roman"/>
          <w:sz w:val="22"/>
          <w:szCs w:val="22"/>
          <w:vertAlign w:val="subscript"/>
          <w:lang w:val="sk-SK"/>
        </w:rPr>
        <w:t>2</w:t>
      </w:r>
      <w:r w:rsidRPr="00252091">
        <w:rPr>
          <w:rFonts w:ascii="Times New Roman" w:hAnsi="Times New Roman"/>
          <w:sz w:val="22"/>
          <w:szCs w:val="22"/>
          <w:lang w:val="sk-SK"/>
        </w:rPr>
        <w:t>-agonistami.</w:t>
      </w:r>
    </w:p>
    <w:p w:rsidR="00F05EF4" w:rsidRPr="00252091" w:rsidRDefault="00F05EF4" w:rsidP="00F05EF4">
      <w:pPr>
        <w:pStyle w:val="Text"/>
        <w:spacing w:line="240" w:lineRule="auto"/>
        <w:ind w:left="0"/>
        <w:rPr>
          <w:rFonts w:ascii="Times New Roman" w:hAnsi="Times New Roman"/>
          <w:sz w:val="22"/>
          <w:szCs w:val="22"/>
          <w:lang w:val="sk-SK"/>
        </w:rPr>
      </w:pPr>
    </w:p>
    <w:p w:rsidR="00F05EF4" w:rsidRPr="00996AE3" w:rsidRDefault="00F05EF4" w:rsidP="009E729A">
      <w:pPr>
        <w:pStyle w:val="Text"/>
        <w:keepNext/>
        <w:spacing w:line="240" w:lineRule="auto"/>
        <w:ind w:left="567" w:hanging="567"/>
        <w:rPr>
          <w:rFonts w:ascii="Times New Roman" w:hAnsi="Times New Roman"/>
          <w:sz w:val="22"/>
          <w:szCs w:val="22"/>
          <w:u w:val="single"/>
          <w:lang w:val="sk-SK"/>
        </w:rPr>
      </w:pPr>
      <w:r w:rsidRPr="00996AE3">
        <w:rPr>
          <w:rFonts w:ascii="Times New Roman" w:hAnsi="Times New Roman"/>
          <w:sz w:val="22"/>
          <w:szCs w:val="22"/>
          <w:u w:val="single"/>
          <w:lang w:val="sk-SK"/>
        </w:rPr>
        <w:t>Účinok pri srdcovom zlyhaní</w:t>
      </w:r>
    </w:p>
    <w:p w:rsidR="00F05EF4" w:rsidRPr="00252091" w:rsidRDefault="00F05EF4" w:rsidP="00F05EF4">
      <w:pPr>
        <w:ind w:left="0" w:firstLine="0"/>
        <w:rPr>
          <w:szCs w:val="22"/>
        </w:rPr>
      </w:pPr>
      <w:r>
        <w:rPr>
          <w:szCs w:val="22"/>
        </w:rPr>
        <w:t>V</w:t>
      </w:r>
      <w:r w:rsidR="005F10C8">
        <w:rPr>
          <w:szCs w:val="22"/>
        </w:rPr>
        <w:t> </w:t>
      </w:r>
      <w:r>
        <w:rPr>
          <w:szCs w:val="22"/>
        </w:rPr>
        <w:t>š</w:t>
      </w:r>
      <w:r w:rsidRPr="00252091">
        <w:rPr>
          <w:szCs w:val="22"/>
        </w:rPr>
        <w:t>túdi</w:t>
      </w:r>
      <w:r>
        <w:rPr>
          <w:szCs w:val="22"/>
        </w:rPr>
        <w:t>i</w:t>
      </w:r>
      <w:r w:rsidRPr="00252091">
        <w:rPr>
          <w:szCs w:val="22"/>
        </w:rPr>
        <w:t xml:space="preserve"> MERIT-HF (3991</w:t>
      </w:r>
      <w:r w:rsidR="005F10C8">
        <w:rPr>
          <w:szCs w:val="22"/>
        </w:rPr>
        <w:t> </w:t>
      </w:r>
      <w:r w:rsidRPr="00252091">
        <w:rPr>
          <w:szCs w:val="22"/>
        </w:rPr>
        <w:t>pacientov s chronickým srdcovým zlyhaním, NYHA trieda II-IV a</w:t>
      </w:r>
      <w:r w:rsidR="005F10C8">
        <w:rPr>
          <w:szCs w:val="22"/>
        </w:rPr>
        <w:t> </w:t>
      </w:r>
      <w:r w:rsidRPr="00252091">
        <w:rPr>
          <w:szCs w:val="22"/>
        </w:rPr>
        <w:t>ejekčná frakcia ≤ 40</w:t>
      </w:r>
      <w:r w:rsidR="005F10C8">
        <w:rPr>
          <w:szCs w:val="22"/>
        </w:rPr>
        <w:t> </w:t>
      </w:r>
      <w:r w:rsidRPr="00252091">
        <w:rPr>
          <w:szCs w:val="22"/>
        </w:rPr>
        <w:t xml:space="preserve">%) </w:t>
      </w:r>
      <w:r>
        <w:rPr>
          <w:szCs w:val="22"/>
        </w:rPr>
        <w:t>sa</w:t>
      </w:r>
      <w:r w:rsidRPr="00252091">
        <w:rPr>
          <w:szCs w:val="22"/>
        </w:rPr>
        <w:t xml:space="preserve"> metoprolol</w:t>
      </w:r>
      <w:r>
        <w:rPr>
          <w:szCs w:val="22"/>
        </w:rPr>
        <w:t xml:space="preserve"> kombinoval</w:t>
      </w:r>
      <w:r w:rsidRPr="00252091">
        <w:rPr>
          <w:szCs w:val="22"/>
        </w:rPr>
        <w:t xml:space="preserve"> so štandardnou liečbou srdcového zlyhania, t.j. s</w:t>
      </w:r>
      <w:r>
        <w:rPr>
          <w:szCs w:val="22"/>
        </w:rPr>
        <w:t> </w:t>
      </w:r>
      <w:r w:rsidRPr="00252091">
        <w:rPr>
          <w:szCs w:val="22"/>
        </w:rPr>
        <w:t>diuretikom, ACE-inhibítorom alebo hydralazínom, ak pacient netoleroval ACE- inhibítory, dlhodobo účinkujúcim nitrátom alebo antagonistom receptorov angiotenzínu-II a</w:t>
      </w:r>
      <w:r w:rsidR="005F10C8">
        <w:rPr>
          <w:szCs w:val="22"/>
        </w:rPr>
        <w:t> </w:t>
      </w:r>
      <w:r w:rsidRPr="00252091">
        <w:rPr>
          <w:szCs w:val="22"/>
        </w:rPr>
        <w:t xml:space="preserve">podľa potreby srdcovým glykozidom. Okrem iných výsledkov štúdia ukázala pokles celkovej mortality </w:t>
      </w:r>
      <w:r>
        <w:rPr>
          <w:szCs w:val="22"/>
        </w:rPr>
        <w:t xml:space="preserve">v porovnaní s placebom </w:t>
      </w:r>
      <w:r w:rsidRPr="00252091">
        <w:rPr>
          <w:szCs w:val="22"/>
        </w:rPr>
        <w:t>o</w:t>
      </w:r>
      <w:r w:rsidR="005F10C8">
        <w:rPr>
          <w:szCs w:val="22"/>
        </w:rPr>
        <w:t> </w:t>
      </w:r>
      <w:r w:rsidRPr="00252091">
        <w:rPr>
          <w:szCs w:val="22"/>
        </w:rPr>
        <w:t>34</w:t>
      </w:r>
      <w:r w:rsidR="005F10C8">
        <w:rPr>
          <w:szCs w:val="22"/>
        </w:rPr>
        <w:t> </w:t>
      </w:r>
      <w:r w:rsidRPr="00252091">
        <w:rPr>
          <w:szCs w:val="22"/>
        </w:rPr>
        <w:t>% [p = 0,0062 (upravené); p = 0,00009 (nominálne)]. V skupine s</w:t>
      </w:r>
      <w:r w:rsidR="005F10C8">
        <w:rPr>
          <w:szCs w:val="22"/>
        </w:rPr>
        <w:t> </w:t>
      </w:r>
      <w:r w:rsidRPr="00252091">
        <w:rPr>
          <w:szCs w:val="22"/>
        </w:rPr>
        <w:t>metoprololom umrelo 145</w:t>
      </w:r>
      <w:r w:rsidR="005F10C8">
        <w:rPr>
          <w:szCs w:val="22"/>
        </w:rPr>
        <w:t> </w:t>
      </w:r>
      <w:r w:rsidRPr="00252091">
        <w:rPr>
          <w:szCs w:val="22"/>
        </w:rPr>
        <w:t>pacientov (miera mortality 7,2</w:t>
      </w:r>
      <w:r w:rsidR="005F10C8">
        <w:rPr>
          <w:szCs w:val="22"/>
        </w:rPr>
        <w:t> </w:t>
      </w:r>
      <w:r w:rsidRPr="00252091">
        <w:rPr>
          <w:szCs w:val="22"/>
        </w:rPr>
        <w:t xml:space="preserve">% </w:t>
      </w:r>
      <w:r>
        <w:rPr>
          <w:szCs w:val="22"/>
        </w:rPr>
        <w:t>na pacientorok</w:t>
      </w:r>
      <w:r w:rsidRPr="00252091">
        <w:rPr>
          <w:szCs w:val="22"/>
        </w:rPr>
        <w:t xml:space="preserve"> v sledovanom období) v porovnaní s</w:t>
      </w:r>
      <w:r w:rsidR="005F10C8">
        <w:rPr>
          <w:szCs w:val="22"/>
        </w:rPr>
        <w:t> </w:t>
      </w:r>
      <w:r w:rsidRPr="00252091">
        <w:rPr>
          <w:szCs w:val="22"/>
        </w:rPr>
        <w:t>217</w:t>
      </w:r>
      <w:r w:rsidR="005F10C8">
        <w:rPr>
          <w:szCs w:val="22"/>
        </w:rPr>
        <w:t> </w:t>
      </w:r>
      <w:r w:rsidRPr="00252091">
        <w:rPr>
          <w:szCs w:val="22"/>
        </w:rPr>
        <w:t>pacient</w:t>
      </w:r>
      <w:r>
        <w:rPr>
          <w:szCs w:val="22"/>
        </w:rPr>
        <w:t>m</w:t>
      </w:r>
      <w:r w:rsidRPr="00252091">
        <w:rPr>
          <w:szCs w:val="22"/>
        </w:rPr>
        <w:t>i (11,0</w:t>
      </w:r>
      <w:r w:rsidR="005F10C8">
        <w:rPr>
          <w:szCs w:val="22"/>
        </w:rPr>
        <w:t> </w:t>
      </w:r>
      <w:r w:rsidRPr="00252091">
        <w:rPr>
          <w:szCs w:val="22"/>
        </w:rPr>
        <w:t>%) v skupine užívajúcej placebo s</w:t>
      </w:r>
      <w:r w:rsidR="005F10C8">
        <w:rPr>
          <w:szCs w:val="22"/>
        </w:rPr>
        <w:t> </w:t>
      </w:r>
      <w:r w:rsidRPr="00252091">
        <w:rPr>
          <w:szCs w:val="22"/>
        </w:rPr>
        <w:t>relatívnym rizikom 0,66 [95</w:t>
      </w:r>
      <w:r w:rsidR="005F10C8">
        <w:rPr>
          <w:szCs w:val="22"/>
        </w:rPr>
        <w:t> </w:t>
      </w:r>
      <w:r w:rsidRPr="00252091">
        <w:rPr>
          <w:szCs w:val="22"/>
        </w:rPr>
        <w:t>% CI 0,53-0,81].</w:t>
      </w:r>
    </w:p>
    <w:p w:rsidR="00F05EF4" w:rsidRPr="00252091" w:rsidRDefault="00F05EF4" w:rsidP="00F05EF4">
      <w:pPr>
        <w:ind w:left="0" w:firstLine="0"/>
        <w:outlineLvl w:val="0"/>
        <w:rPr>
          <w:szCs w:val="22"/>
        </w:rPr>
      </w:pPr>
    </w:p>
    <w:p w:rsidR="00F05EF4" w:rsidRPr="00252091" w:rsidRDefault="00F05EF4" w:rsidP="00F05EF4">
      <w:pPr>
        <w:ind w:left="0" w:firstLine="0"/>
        <w:outlineLvl w:val="0"/>
        <w:rPr>
          <w:szCs w:val="22"/>
        </w:rPr>
      </w:pPr>
      <w:r w:rsidRPr="00252091">
        <w:rPr>
          <w:szCs w:val="22"/>
        </w:rPr>
        <w:t>V čínskej štúdii zahŕňajúcej 45</w:t>
      </w:r>
      <w:r w:rsidR="006355B2">
        <w:rPr>
          <w:szCs w:val="22"/>
        </w:rPr>
        <w:t> </w:t>
      </w:r>
      <w:r w:rsidRPr="00252091">
        <w:rPr>
          <w:szCs w:val="22"/>
        </w:rPr>
        <w:t>852 pacientov s akútnym infarktom myokardu (štúdia COMMIT) sa vyskytol kardiogénny šok podstatne častejšie (5</w:t>
      </w:r>
      <w:r w:rsidR="003A2303">
        <w:rPr>
          <w:szCs w:val="22"/>
        </w:rPr>
        <w:t>,0</w:t>
      </w:r>
      <w:r w:rsidR="005F10C8">
        <w:t> </w:t>
      </w:r>
      <w:r w:rsidRPr="00252091">
        <w:rPr>
          <w:szCs w:val="22"/>
        </w:rPr>
        <w:t>%) pri terapii metoprololom ako pri placebe (3,9</w:t>
      </w:r>
      <w:r w:rsidR="002D7343">
        <w:rPr>
          <w:szCs w:val="22"/>
        </w:rPr>
        <w:t> </w:t>
      </w:r>
      <w:r w:rsidRPr="00252091">
        <w:rPr>
          <w:szCs w:val="22"/>
        </w:rPr>
        <w:t>%). Tento efekt bol obzvlášť zreteľný v nasledujúcich skupinách pacientov:</w:t>
      </w:r>
    </w:p>
    <w:p w:rsidR="00F05EF4" w:rsidRPr="00252091" w:rsidRDefault="00F05EF4" w:rsidP="00F05EF4">
      <w:pPr>
        <w:ind w:left="0" w:firstLine="0"/>
        <w:outlineLvl w:val="0"/>
        <w:rPr>
          <w:szCs w:val="22"/>
        </w:rPr>
      </w:pPr>
    </w:p>
    <w:p w:rsidR="00F05EF4" w:rsidRPr="00252091" w:rsidRDefault="00F05EF4" w:rsidP="00F05EF4">
      <w:pPr>
        <w:ind w:left="0" w:firstLine="0"/>
        <w:outlineLvl w:val="0"/>
        <w:rPr>
          <w:szCs w:val="22"/>
        </w:rPr>
      </w:pPr>
      <w:r w:rsidRPr="00252091">
        <w:rPr>
          <w:szCs w:val="22"/>
        </w:rPr>
        <w:t>Relatívna frekvencia výskytu kardiogénneho šoku v jednotlivých skupinách pacientov v štúdii COMMIT:</w:t>
      </w:r>
    </w:p>
    <w:p w:rsidR="00F05EF4" w:rsidRPr="007D0D9C" w:rsidRDefault="00F05EF4" w:rsidP="00F05EF4">
      <w:pPr>
        <w:ind w:left="0" w:firstLine="0"/>
        <w:outlineLvl w:val="0"/>
        <w:rPr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1"/>
      </w:tblGrid>
      <w:tr w:rsidR="007D0D9C" w:rsidRPr="007D0D9C" w:rsidTr="007D0D9C">
        <w:trPr>
          <w:jc w:val="center"/>
        </w:trPr>
        <w:tc>
          <w:tcPr>
            <w:tcW w:w="3070" w:type="dxa"/>
            <w:vMerge w:val="restart"/>
            <w:shd w:val="clear" w:color="auto" w:fill="auto"/>
          </w:tcPr>
          <w:p w:rsidR="00F05EF4" w:rsidRPr="000A0FCD" w:rsidRDefault="00F05EF4" w:rsidP="00025039">
            <w:pPr>
              <w:ind w:left="0" w:firstLine="0"/>
              <w:outlineLvl w:val="0"/>
              <w:rPr>
                <w:szCs w:val="22"/>
              </w:rPr>
            </w:pPr>
            <w:r w:rsidRPr="000A0FCD">
              <w:rPr>
                <w:szCs w:val="22"/>
              </w:rPr>
              <w:t>Charakteristika pacienta</w:t>
            </w:r>
          </w:p>
        </w:tc>
        <w:tc>
          <w:tcPr>
            <w:tcW w:w="6141" w:type="dxa"/>
            <w:gridSpan w:val="2"/>
            <w:shd w:val="clear" w:color="auto" w:fill="auto"/>
          </w:tcPr>
          <w:p w:rsidR="00F05EF4" w:rsidRPr="00A85E6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A85E6C">
              <w:rPr>
                <w:szCs w:val="22"/>
              </w:rPr>
              <w:t>Terapeutická skupina</w:t>
            </w:r>
          </w:p>
        </w:tc>
      </w:tr>
      <w:tr w:rsidR="007D0D9C" w:rsidRPr="007D0D9C" w:rsidTr="007D0D9C">
        <w:trPr>
          <w:jc w:val="center"/>
        </w:trPr>
        <w:tc>
          <w:tcPr>
            <w:tcW w:w="3070" w:type="dxa"/>
            <w:vMerge/>
            <w:shd w:val="clear" w:color="auto" w:fill="auto"/>
          </w:tcPr>
          <w:p w:rsidR="00F05EF4" w:rsidRPr="007D0D9C" w:rsidRDefault="00F05EF4" w:rsidP="00025039">
            <w:pPr>
              <w:ind w:left="0" w:firstLine="0"/>
              <w:outlineLvl w:val="0"/>
              <w:rPr>
                <w:szCs w:val="22"/>
              </w:rPr>
            </w:pPr>
          </w:p>
        </w:tc>
        <w:tc>
          <w:tcPr>
            <w:tcW w:w="3070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metopr</w:t>
            </w:r>
            <w:smartTag w:uri="urn:schemas-microsoft-com:office:smarttags" w:element="PersonName">
              <w:r w:rsidRPr="007D0D9C">
                <w:rPr>
                  <w:szCs w:val="22"/>
                </w:rPr>
                <w:t>olo</w:t>
              </w:r>
            </w:smartTag>
            <w:r w:rsidRPr="007D0D9C">
              <w:rPr>
                <w:szCs w:val="22"/>
              </w:rPr>
              <w:t>l</w:t>
            </w:r>
          </w:p>
        </w:tc>
        <w:tc>
          <w:tcPr>
            <w:tcW w:w="3071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placebo</w:t>
            </w:r>
          </w:p>
        </w:tc>
      </w:tr>
      <w:tr w:rsidR="007D0D9C" w:rsidRPr="007D0D9C" w:rsidTr="007D0D9C">
        <w:trPr>
          <w:jc w:val="center"/>
        </w:trPr>
        <w:tc>
          <w:tcPr>
            <w:tcW w:w="3070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Vek ≥ 70</w:t>
            </w:r>
            <w:r w:rsidR="002A1391">
              <w:rPr>
                <w:szCs w:val="22"/>
              </w:rPr>
              <w:t> </w:t>
            </w:r>
            <w:r w:rsidRPr="007D0D9C">
              <w:rPr>
                <w:szCs w:val="22"/>
              </w:rPr>
              <w:t>rokov</w:t>
            </w:r>
          </w:p>
        </w:tc>
        <w:tc>
          <w:tcPr>
            <w:tcW w:w="3070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8,4</w:t>
            </w:r>
            <w:r w:rsidR="002A1391">
              <w:rPr>
                <w:szCs w:val="22"/>
              </w:rPr>
              <w:t> </w:t>
            </w:r>
            <w:r w:rsidRPr="007D0D9C">
              <w:rPr>
                <w:szCs w:val="22"/>
              </w:rPr>
              <w:t>%</w:t>
            </w:r>
          </w:p>
        </w:tc>
        <w:tc>
          <w:tcPr>
            <w:tcW w:w="3071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6,1</w:t>
            </w:r>
            <w:r w:rsidR="002A1391">
              <w:rPr>
                <w:szCs w:val="22"/>
              </w:rPr>
              <w:t> </w:t>
            </w:r>
            <w:r w:rsidRPr="007D0D9C">
              <w:rPr>
                <w:szCs w:val="22"/>
              </w:rPr>
              <w:t>%</w:t>
            </w:r>
          </w:p>
        </w:tc>
      </w:tr>
      <w:tr w:rsidR="007D0D9C" w:rsidRPr="007D0D9C" w:rsidTr="007D0D9C">
        <w:trPr>
          <w:jc w:val="center"/>
        </w:trPr>
        <w:tc>
          <w:tcPr>
            <w:tcW w:w="3070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Tlak krvi &lt; 120</w:t>
            </w:r>
            <w:r w:rsidR="002A1391">
              <w:rPr>
                <w:szCs w:val="22"/>
              </w:rPr>
              <w:t> </w:t>
            </w:r>
            <w:r w:rsidRPr="007D0D9C">
              <w:rPr>
                <w:szCs w:val="22"/>
              </w:rPr>
              <w:t>mmHg</w:t>
            </w:r>
          </w:p>
        </w:tc>
        <w:tc>
          <w:tcPr>
            <w:tcW w:w="3070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7,8</w:t>
            </w:r>
            <w:r w:rsidR="002A1391">
              <w:rPr>
                <w:szCs w:val="22"/>
              </w:rPr>
              <w:t> </w:t>
            </w:r>
            <w:r w:rsidRPr="007D0D9C">
              <w:rPr>
                <w:szCs w:val="22"/>
              </w:rPr>
              <w:t>%</w:t>
            </w:r>
          </w:p>
        </w:tc>
        <w:tc>
          <w:tcPr>
            <w:tcW w:w="3071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5,4</w:t>
            </w:r>
            <w:r w:rsidR="002A1391">
              <w:rPr>
                <w:szCs w:val="22"/>
              </w:rPr>
              <w:t> </w:t>
            </w:r>
            <w:r w:rsidRPr="007D0D9C">
              <w:rPr>
                <w:szCs w:val="22"/>
              </w:rPr>
              <w:t>%</w:t>
            </w:r>
          </w:p>
        </w:tc>
      </w:tr>
      <w:tr w:rsidR="007D0D9C" w:rsidRPr="007D0D9C" w:rsidTr="007D0D9C">
        <w:trPr>
          <w:jc w:val="center"/>
        </w:trPr>
        <w:tc>
          <w:tcPr>
            <w:tcW w:w="3070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Srdcová frekvencia ≥ 110/min</w:t>
            </w:r>
          </w:p>
        </w:tc>
        <w:tc>
          <w:tcPr>
            <w:tcW w:w="3070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14,4</w:t>
            </w:r>
            <w:r w:rsidR="002A1391">
              <w:rPr>
                <w:szCs w:val="22"/>
              </w:rPr>
              <w:t> </w:t>
            </w:r>
            <w:r w:rsidRPr="007D0D9C">
              <w:rPr>
                <w:szCs w:val="22"/>
              </w:rPr>
              <w:t>%</w:t>
            </w:r>
          </w:p>
        </w:tc>
        <w:tc>
          <w:tcPr>
            <w:tcW w:w="3071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11,0</w:t>
            </w:r>
            <w:r w:rsidR="002A1391">
              <w:rPr>
                <w:szCs w:val="22"/>
              </w:rPr>
              <w:t> </w:t>
            </w:r>
            <w:r w:rsidRPr="007D0D9C">
              <w:rPr>
                <w:szCs w:val="22"/>
              </w:rPr>
              <w:t>%</w:t>
            </w:r>
          </w:p>
        </w:tc>
      </w:tr>
      <w:tr w:rsidR="007D0D9C" w:rsidRPr="007D0D9C" w:rsidTr="007D0D9C">
        <w:trPr>
          <w:jc w:val="center"/>
        </w:trPr>
        <w:tc>
          <w:tcPr>
            <w:tcW w:w="3070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 xml:space="preserve">Killipova trieda III </w:t>
            </w:r>
          </w:p>
        </w:tc>
        <w:tc>
          <w:tcPr>
            <w:tcW w:w="3070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15,6</w:t>
            </w:r>
            <w:r w:rsidR="002A1391">
              <w:rPr>
                <w:szCs w:val="22"/>
              </w:rPr>
              <w:t> </w:t>
            </w:r>
            <w:r w:rsidRPr="007D0D9C">
              <w:rPr>
                <w:szCs w:val="22"/>
              </w:rPr>
              <w:t>%</w:t>
            </w:r>
          </w:p>
        </w:tc>
        <w:tc>
          <w:tcPr>
            <w:tcW w:w="3071" w:type="dxa"/>
            <w:shd w:val="clear" w:color="auto" w:fill="auto"/>
          </w:tcPr>
          <w:p w:rsidR="00F05EF4" w:rsidRPr="007D0D9C" w:rsidRDefault="00F05EF4" w:rsidP="00025039">
            <w:pPr>
              <w:ind w:left="0" w:firstLine="0"/>
              <w:jc w:val="center"/>
              <w:outlineLvl w:val="0"/>
              <w:rPr>
                <w:szCs w:val="22"/>
              </w:rPr>
            </w:pPr>
            <w:r w:rsidRPr="007D0D9C">
              <w:rPr>
                <w:szCs w:val="22"/>
              </w:rPr>
              <w:t>9,9</w:t>
            </w:r>
            <w:r w:rsidR="002A1391">
              <w:rPr>
                <w:szCs w:val="22"/>
              </w:rPr>
              <w:t> </w:t>
            </w:r>
            <w:r w:rsidRPr="007D0D9C">
              <w:rPr>
                <w:szCs w:val="22"/>
              </w:rPr>
              <w:t>%</w:t>
            </w:r>
          </w:p>
        </w:tc>
      </w:tr>
    </w:tbl>
    <w:p w:rsidR="00F05EF4" w:rsidRDefault="00F05EF4" w:rsidP="00F05EF4">
      <w:pPr>
        <w:ind w:left="0" w:firstLine="0"/>
        <w:outlineLvl w:val="0"/>
        <w:rPr>
          <w:szCs w:val="22"/>
        </w:rPr>
      </w:pPr>
    </w:p>
    <w:p w:rsidR="00114869" w:rsidRPr="00996AE3" w:rsidRDefault="00114869" w:rsidP="009E729A">
      <w:pPr>
        <w:keepNext/>
        <w:ind w:left="0" w:firstLine="0"/>
        <w:outlineLvl w:val="0"/>
        <w:rPr>
          <w:szCs w:val="22"/>
          <w:u w:val="single"/>
        </w:rPr>
      </w:pPr>
      <w:r w:rsidRPr="00996AE3">
        <w:rPr>
          <w:szCs w:val="22"/>
          <w:u w:val="single"/>
        </w:rPr>
        <w:t>Deti a dospievajúci</w:t>
      </w:r>
    </w:p>
    <w:p w:rsidR="00114869" w:rsidRDefault="00114869" w:rsidP="00F05EF4">
      <w:pPr>
        <w:ind w:left="0" w:firstLine="0"/>
        <w:outlineLvl w:val="0"/>
        <w:rPr>
          <w:szCs w:val="22"/>
        </w:rPr>
      </w:pPr>
      <w:r>
        <w:rPr>
          <w:szCs w:val="22"/>
        </w:rPr>
        <w:t>U</w:t>
      </w:r>
      <w:r w:rsidR="002A1391">
        <w:rPr>
          <w:szCs w:val="22"/>
        </w:rPr>
        <w:t> </w:t>
      </w:r>
      <w:r>
        <w:rPr>
          <w:szCs w:val="22"/>
        </w:rPr>
        <w:t>144</w:t>
      </w:r>
      <w:r w:rsidR="002A1391">
        <w:rPr>
          <w:szCs w:val="22"/>
        </w:rPr>
        <w:t> </w:t>
      </w:r>
      <w:r>
        <w:rPr>
          <w:szCs w:val="22"/>
        </w:rPr>
        <w:t>pediatrických pacientov (vo veku od 6 do 16</w:t>
      </w:r>
      <w:r w:rsidR="002A1391">
        <w:rPr>
          <w:szCs w:val="22"/>
        </w:rPr>
        <w:t> </w:t>
      </w:r>
      <w:r>
        <w:rPr>
          <w:szCs w:val="22"/>
        </w:rPr>
        <w:t>rokov) s primárnou esenciálnou hyp</w:t>
      </w:r>
      <w:r w:rsidR="002A1391">
        <w:rPr>
          <w:szCs w:val="22"/>
        </w:rPr>
        <w:t>er</w:t>
      </w:r>
      <w:r>
        <w:rPr>
          <w:szCs w:val="22"/>
        </w:rPr>
        <w:t>tenziou</w:t>
      </w:r>
      <w:r w:rsidR="00FB7CD4">
        <w:rPr>
          <w:szCs w:val="22"/>
        </w:rPr>
        <w:t xml:space="preserve"> sa v 4-týždňovej štúdii ukázalo, že Metoprolol Mylan znižuje systolický krvný tlak o 5,2</w:t>
      </w:r>
      <w:r w:rsidR="002A1391">
        <w:rPr>
          <w:szCs w:val="22"/>
        </w:rPr>
        <w:t> </w:t>
      </w:r>
      <w:r w:rsidR="00FB7CD4">
        <w:rPr>
          <w:szCs w:val="22"/>
        </w:rPr>
        <w:t>mmHg pri dávke 0,2</w:t>
      </w:r>
      <w:r w:rsidR="002A1391">
        <w:rPr>
          <w:szCs w:val="22"/>
        </w:rPr>
        <w:t> </w:t>
      </w:r>
      <w:r w:rsidR="00FB7CD4">
        <w:rPr>
          <w:szCs w:val="22"/>
        </w:rPr>
        <w:t xml:space="preserve">mg/kg (p=0,145), </w:t>
      </w:r>
      <w:r w:rsidR="00453E69">
        <w:rPr>
          <w:szCs w:val="22"/>
        </w:rPr>
        <w:t>o</w:t>
      </w:r>
      <w:r w:rsidR="002A1391">
        <w:rPr>
          <w:szCs w:val="22"/>
        </w:rPr>
        <w:t> </w:t>
      </w:r>
      <w:r w:rsidR="00FB7CD4">
        <w:rPr>
          <w:szCs w:val="22"/>
        </w:rPr>
        <w:t>7,7 mmHg pri dávke 1,0</w:t>
      </w:r>
      <w:r w:rsidR="002A1391">
        <w:rPr>
          <w:szCs w:val="22"/>
        </w:rPr>
        <w:t> </w:t>
      </w:r>
      <w:r w:rsidR="00FB7CD4">
        <w:rPr>
          <w:szCs w:val="22"/>
        </w:rPr>
        <w:t>mg/kg (p=0,027) a</w:t>
      </w:r>
      <w:r w:rsidR="00453E69">
        <w:rPr>
          <w:szCs w:val="22"/>
        </w:rPr>
        <w:t xml:space="preserve"> o </w:t>
      </w:r>
      <w:r w:rsidR="00FB7CD4">
        <w:rPr>
          <w:szCs w:val="22"/>
        </w:rPr>
        <w:t>6,3</w:t>
      </w:r>
      <w:r w:rsidR="002A1391">
        <w:rPr>
          <w:szCs w:val="22"/>
        </w:rPr>
        <w:t> </w:t>
      </w:r>
      <w:r w:rsidR="00FB7CD4">
        <w:rPr>
          <w:szCs w:val="22"/>
        </w:rPr>
        <w:t>mmHg pri dávke 2,0</w:t>
      </w:r>
      <w:r w:rsidR="002A1391">
        <w:rPr>
          <w:szCs w:val="22"/>
        </w:rPr>
        <w:t> </w:t>
      </w:r>
      <w:r w:rsidR="00FB7CD4">
        <w:rPr>
          <w:szCs w:val="22"/>
        </w:rPr>
        <w:t xml:space="preserve">mg/kg (p=0,049) </w:t>
      </w:r>
      <w:r w:rsidR="00453E69">
        <w:rPr>
          <w:szCs w:val="22"/>
        </w:rPr>
        <w:t>pri</w:t>
      </w:r>
      <w:r w:rsidR="00FB7CD4">
        <w:rPr>
          <w:szCs w:val="22"/>
        </w:rPr>
        <w:t> maximáln</w:t>
      </w:r>
      <w:r w:rsidR="00453E69">
        <w:rPr>
          <w:szCs w:val="22"/>
        </w:rPr>
        <w:t>ej</w:t>
      </w:r>
      <w:r w:rsidR="00FB7CD4">
        <w:rPr>
          <w:szCs w:val="22"/>
        </w:rPr>
        <w:t xml:space="preserve"> denn</w:t>
      </w:r>
      <w:r w:rsidR="00453E69">
        <w:rPr>
          <w:szCs w:val="22"/>
        </w:rPr>
        <w:t>ej</w:t>
      </w:r>
      <w:r w:rsidR="00FB7CD4">
        <w:rPr>
          <w:szCs w:val="22"/>
        </w:rPr>
        <w:t xml:space="preserve"> dávk</w:t>
      </w:r>
      <w:r w:rsidR="00453E69">
        <w:rPr>
          <w:szCs w:val="22"/>
        </w:rPr>
        <w:t>e</w:t>
      </w:r>
      <w:r w:rsidR="00FB7CD4">
        <w:rPr>
          <w:szCs w:val="22"/>
        </w:rPr>
        <w:t xml:space="preserve"> 200</w:t>
      </w:r>
      <w:r w:rsidR="002A1391">
        <w:rPr>
          <w:szCs w:val="22"/>
        </w:rPr>
        <w:t> </w:t>
      </w:r>
      <w:r w:rsidR="00FB7CD4">
        <w:rPr>
          <w:szCs w:val="22"/>
        </w:rPr>
        <w:t>mg v porovnaní s 1,9</w:t>
      </w:r>
      <w:r w:rsidR="002A1391">
        <w:rPr>
          <w:szCs w:val="22"/>
        </w:rPr>
        <w:t> </w:t>
      </w:r>
      <w:r w:rsidR="00FB7CD4">
        <w:rPr>
          <w:szCs w:val="22"/>
        </w:rPr>
        <w:t>mmHg pri placebe</w:t>
      </w:r>
      <w:r w:rsidR="00C15664">
        <w:rPr>
          <w:szCs w:val="22"/>
        </w:rPr>
        <w:t>. Zníženie diastolického krvného tlaku bolo 3,1 (p=0,655), 4,9 (p=0,280), 7,5 (p=0,017) a 2,1 mmHg</w:t>
      </w:r>
      <w:r w:rsidR="002A1391">
        <w:rPr>
          <w:szCs w:val="22"/>
        </w:rPr>
        <w:t>, v uvedenom poradí</w:t>
      </w:r>
      <w:r w:rsidR="00C15664">
        <w:rPr>
          <w:szCs w:val="22"/>
        </w:rPr>
        <w:t>. Neboli pozorované rozdiely v znížení krvného tlaku na základe veku, Tanneroveho štádia alebo rasy.</w:t>
      </w:r>
    </w:p>
    <w:p w:rsidR="008C3F72" w:rsidRPr="00252091" w:rsidRDefault="008C3F72" w:rsidP="00F05EF4">
      <w:pPr>
        <w:ind w:left="0" w:firstLine="0"/>
        <w:outlineLvl w:val="0"/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5.2</w:t>
      </w:r>
      <w:r w:rsidRPr="00252091">
        <w:rPr>
          <w:b/>
          <w:szCs w:val="22"/>
        </w:rPr>
        <w:tab/>
        <w:t>Farmakokinetické vlastnosti</w:t>
      </w:r>
    </w:p>
    <w:p w:rsidR="00F05EF4" w:rsidRPr="00252091" w:rsidRDefault="00F05EF4" w:rsidP="009E729A">
      <w:pPr>
        <w:keepNext/>
        <w:ind w:left="0" w:firstLine="0"/>
        <w:outlineLvl w:val="0"/>
        <w:rPr>
          <w:szCs w:val="22"/>
        </w:rPr>
      </w:pPr>
    </w:p>
    <w:p w:rsidR="00F05EF4" w:rsidRPr="00252091" w:rsidRDefault="00F05EF4" w:rsidP="009E729A">
      <w:pPr>
        <w:pStyle w:val="Text"/>
        <w:keepNext/>
        <w:spacing w:line="240" w:lineRule="auto"/>
        <w:ind w:left="0"/>
        <w:outlineLvl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252091">
        <w:rPr>
          <w:rFonts w:ascii="Times New Roman" w:hAnsi="Times New Roman"/>
          <w:sz w:val="22"/>
          <w:szCs w:val="22"/>
          <w:u w:val="single"/>
          <w:lang w:val="sk-SK"/>
        </w:rPr>
        <w:t>Absorpcia a distribúcia</w:t>
      </w: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 sa po perorálnom podaní </w:t>
      </w:r>
      <w:r w:rsidR="00C15664">
        <w:rPr>
          <w:rFonts w:ascii="Times New Roman" w:hAnsi="Times New Roman"/>
          <w:sz w:val="22"/>
          <w:szCs w:val="22"/>
          <w:lang w:val="sk-SK"/>
        </w:rPr>
        <w:t xml:space="preserve">takmer </w:t>
      </w:r>
      <w:r w:rsidRPr="00252091">
        <w:rPr>
          <w:rFonts w:ascii="Times New Roman" w:hAnsi="Times New Roman"/>
          <w:sz w:val="22"/>
          <w:szCs w:val="22"/>
          <w:lang w:val="sk-SK"/>
        </w:rPr>
        <w:t>kompletne absorbuje</w:t>
      </w:r>
      <w:r w:rsidR="00C15664">
        <w:rPr>
          <w:rFonts w:ascii="Times New Roman" w:hAnsi="Times New Roman"/>
          <w:sz w:val="22"/>
          <w:szCs w:val="22"/>
          <w:lang w:val="sk-SK"/>
        </w:rPr>
        <w:t xml:space="preserve"> (95 %)</w:t>
      </w:r>
      <w:r w:rsidRPr="00252091">
        <w:rPr>
          <w:rFonts w:ascii="Times New Roman" w:hAnsi="Times New Roman"/>
          <w:sz w:val="22"/>
          <w:szCs w:val="22"/>
          <w:lang w:val="sk-SK"/>
        </w:rPr>
        <w:t>. Kvôli výraznému metabolizmu</w:t>
      </w:r>
      <w:r>
        <w:rPr>
          <w:rFonts w:ascii="Times New Roman" w:hAnsi="Times New Roman"/>
          <w:sz w:val="22"/>
          <w:szCs w:val="22"/>
          <w:lang w:val="sk-SK"/>
        </w:rPr>
        <w:t xml:space="preserve"> po prvom prechode pečeňou (first pass)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je dostupnosť jednotlivej perorálnej dávky približne </w:t>
      </w:r>
      <w:r w:rsidR="00C15664">
        <w:rPr>
          <w:rFonts w:ascii="Times New Roman" w:hAnsi="Times New Roman"/>
          <w:sz w:val="22"/>
          <w:szCs w:val="22"/>
          <w:lang w:val="sk-SK"/>
        </w:rPr>
        <w:t>3</w:t>
      </w:r>
      <w:r w:rsidR="00E43389">
        <w:rPr>
          <w:rFonts w:ascii="Times New Roman" w:hAnsi="Times New Roman"/>
          <w:sz w:val="22"/>
          <w:szCs w:val="22"/>
          <w:lang w:val="sk-SK"/>
        </w:rPr>
        <w:t>5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%. Biologická dostupnosť tabliet s predĺženým uvoľňovaním je približne o 20 – 30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% nižšia ako u štandardných tabliet. Toto ale nemá významný klinický vplyv, pretože hodnoty AUC (pulz) sú rovnaké, ako u štandardných tabliet. Len malá časť metoprololu, približne 5 – 10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%, sa viaže na plazmatické bielkoviny.</w:t>
      </w: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Každá tableta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 Mylan s predĺženým uvoľňovaním obsahuje veľký počet peliet s kontr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vaným uvoľňovaním. Každá peleta je </w:t>
      </w:r>
      <w:r>
        <w:rPr>
          <w:rFonts w:ascii="Times New Roman" w:hAnsi="Times New Roman"/>
          <w:sz w:val="22"/>
          <w:szCs w:val="22"/>
          <w:lang w:val="sk-SK"/>
        </w:rPr>
        <w:t>obalená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polyméro</w:t>
      </w:r>
      <w:r>
        <w:rPr>
          <w:rFonts w:ascii="Times New Roman" w:hAnsi="Times New Roman"/>
          <w:sz w:val="22"/>
          <w:szCs w:val="22"/>
          <w:lang w:val="sk-SK"/>
        </w:rPr>
        <w:t>vým filmom,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ktorý reguluje rýchlosť uvoľňovania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lu.</w:t>
      </w: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lastRenderedPageBreak/>
        <w:t>Tableta s predĺženým uvoľňovaním sa rýchlo rozpadá a granuly sa rozptýlia v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gastrointestinálnom trakte, kde kontinuálne uvoľňujú metoprolol počas 20 hodín. Polčas eliminácie metoprololu je priemerne 3,5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hodiny (pozri časť „</w:t>
      </w:r>
      <w:r>
        <w:rPr>
          <w:rFonts w:ascii="Times New Roman" w:hAnsi="Times New Roman"/>
          <w:sz w:val="22"/>
          <w:szCs w:val="22"/>
          <w:lang w:val="sk-SK"/>
        </w:rPr>
        <w:t>Metabolizmus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a eliminácia“). Po užití jednej dávky denne dosahujú maximálne plazmatické koncentrácie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lu približne dvojnásobok minimálnych </w:t>
      </w:r>
      <w:r>
        <w:rPr>
          <w:rFonts w:ascii="Times New Roman" w:hAnsi="Times New Roman"/>
          <w:sz w:val="22"/>
          <w:szCs w:val="22"/>
          <w:lang w:val="sk-SK"/>
        </w:rPr>
        <w:t xml:space="preserve">plazmatických </w:t>
      </w:r>
      <w:r w:rsidRPr="00252091">
        <w:rPr>
          <w:rFonts w:ascii="Times New Roman" w:hAnsi="Times New Roman"/>
          <w:sz w:val="22"/>
          <w:szCs w:val="22"/>
          <w:lang w:val="sk-SK"/>
        </w:rPr>
        <w:t>hladín.</w:t>
      </w:r>
    </w:p>
    <w:p w:rsidR="008C3F72" w:rsidRPr="00252091" w:rsidRDefault="008C3F72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C15664" w:rsidP="009E729A">
      <w:pPr>
        <w:pStyle w:val="Style1"/>
        <w:keepNext/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sz w:val="22"/>
          <w:szCs w:val="22"/>
          <w:u w:val="single"/>
          <w:lang w:val="sk-SK"/>
        </w:rPr>
      </w:pPr>
      <w:r>
        <w:rPr>
          <w:rFonts w:ascii="Times New Roman" w:hAnsi="Times New Roman"/>
          <w:sz w:val="22"/>
          <w:szCs w:val="22"/>
          <w:u w:val="single"/>
          <w:lang w:val="sk-SK"/>
        </w:rPr>
        <w:t>Biotransformácia</w:t>
      </w:r>
      <w:r w:rsidR="00F05EF4" w:rsidRPr="00252091">
        <w:rPr>
          <w:rFonts w:ascii="Times New Roman" w:hAnsi="Times New Roman"/>
          <w:sz w:val="22"/>
          <w:szCs w:val="22"/>
          <w:u w:val="single"/>
          <w:lang w:val="sk-SK"/>
        </w:rPr>
        <w:t xml:space="preserve"> a eliminácia:</w:t>
      </w: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 sa metabolizuje oxidáciou v pečeni. Tri hlavné známe metabolity nepreukázali klinicky významný beta</w:t>
      </w:r>
      <w:r w:rsidR="00006121">
        <w:rPr>
          <w:rFonts w:ascii="Times New Roman" w:hAnsi="Times New Roman"/>
          <w:sz w:val="22"/>
          <w:szCs w:val="22"/>
          <w:lang w:val="sk-SK"/>
        </w:rPr>
        <w:t xml:space="preserve">receptor </w:t>
      </w:r>
      <w:r w:rsidRPr="00252091">
        <w:rPr>
          <w:rFonts w:ascii="Times New Roman" w:hAnsi="Times New Roman"/>
          <w:sz w:val="22"/>
          <w:szCs w:val="22"/>
          <w:lang w:val="sk-SK"/>
        </w:rPr>
        <w:t>blokujúci účinok.</w:t>
      </w: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 xml:space="preserve">l sa metabolizuje </w:t>
      </w:r>
      <w:r>
        <w:rPr>
          <w:rFonts w:ascii="Times New Roman" w:hAnsi="Times New Roman"/>
          <w:sz w:val="22"/>
          <w:szCs w:val="22"/>
          <w:lang w:val="sk-SK"/>
        </w:rPr>
        <w:t>hlavne</w:t>
      </w:r>
      <w:r w:rsidRPr="00252091">
        <w:rPr>
          <w:rFonts w:ascii="Times New Roman" w:hAnsi="Times New Roman"/>
          <w:sz w:val="22"/>
          <w:szCs w:val="22"/>
          <w:lang w:val="sk-SK"/>
        </w:rPr>
        <w:t>, ale nie výlučne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prostredníctvom pečeňového enzýmu cytochrómu CYP 2D6. </w:t>
      </w:r>
      <w:r>
        <w:rPr>
          <w:rFonts w:ascii="Times New Roman" w:hAnsi="Times New Roman"/>
          <w:sz w:val="22"/>
          <w:szCs w:val="22"/>
          <w:lang w:val="sk-SK"/>
        </w:rPr>
        <w:t>V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dôsledku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polymorfizmu génu pre CYP 2D6 </w:t>
      </w:r>
      <w:r>
        <w:rPr>
          <w:rFonts w:ascii="Times New Roman" w:hAnsi="Times New Roman"/>
          <w:sz w:val="22"/>
          <w:szCs w:val="22"/>
          <w:lang w:val="sk-SK"/>
        </w:rPr>
        <w:t>sú interindividuálne fluktuácie v rýchlosti metabolizmu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u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pomalých metabolizátorov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(približne 7 – 8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%)</w:t>
      </w:r>
      <w:r>
        <w:rPr>
          <w:rFonts w:ascii="Times New Roman" w:hAnsi="Times New Roman"/>
          <w:sz w:val="22"/>
          <w:szCs w:val="22"/>
          <w:lang w:val="sk-SK"/>
        </w:rPr>
        <w:t>,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u ktorých sa pozorujú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vyššie plazmatické koncentrácie a pomalši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elimináci</w:t>
      </w:r>
      <w:r>
        <w:rPr>
          <w:rFonts w:ascii="Times New Roman" w:hAnsi="Times New Roman"/>
          <w:sz w:val="22"/>
          <w:szCs w:val="22"/>
          <w:lang w:val="sk-SK"/>
        </w:rPr>
        <w:t>a</w:t>
      </w:r>
      <w:r w:rsidRPr="00252091">
        <w:rPr>
          <w:rFonts w:ascii="Times New Roman" w:hAnsi="Times New Roman"/>
          <w:sz w:val="22"/>
          <w:szCs w:val="22"/>
          <w:lang w:val="sk-SK"/>
        </w:rPr>
        <w:t>, než</w:t>
      </w:r>
      <w:r>
        <w:rPr>
          <w:rFonts w:ascii="Times New Roman" w:hAnsi="Times New Roman"/>
          <w:sz w:val="22"/>
          <w:szCs w:val="22"/>
          <w:lang w:val="sk-SK"/>
        </w:rPr>
        <w:t xml:space="preserve"> u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jedinc</w:t>
      </w:r>
      <w:r>
        <w:rPr>
          <w:rFonts w:ascii="Times New Roman" w:hAnsi="Times New Roman"/>
          <w:sz w:val="22"/>
          <w:szCs w:val="22"/>
          <w:lang w:val="sk-SK"/>
        </w:rPr>
        <w:t>ov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s rýchl</w:t>
      </w:r>
      <w:r>
        <w:rPr>
          <w:rFonts w:ascii="Times New Roman" w:hAnsi="Times New Roman"/>
          <w:sz w:val="22"/>
          <w:szCs w:val="22"/>
          <w:lang w:val="sk-SK"/>
        </w:rPr>
        <w:t>y</w:t>
      </w:r>
      <w:r w:rsidRPr="00252091">
        <w:rPr>
          <w:rFonts w:ascii="Times New Roman" w:hAnsi="Times New Roman"/>
          <w:sz w:val="22"/>
          <w:szCs w:val="22"/>
          <w:lang w:val="sk-SK"/>
        </w:rPr>
        <w:t>m metabolizmom. Plazmatické koncentrácie sú však u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jednotliv</w:t>
      </w:r>
      <w:r>
        <w:rPr>
          <w:rFonts w:ascii="Times New Roman" w:hAnsi="Times New Roman"/>
          <w:sz w:val="22"/>
          <w:szCs w:val="22"/>
          <w:lang w:val="sk-SK"/>
        </w:rPr>
        <w:t>ých pacientov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stabilné a opakovateľné.</w:t>
      </w: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Viac ako 95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% perorálnej dávky sa vylučuje močom. Približne 5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% dávky, v jednotlivých prípadoch až do 30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%, sa vylučuje v nezmenenej forme. Polčas eliminácie metoprololu v plazme je priemerne 3,5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hodiny (interval 1 – 9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hodín). Celkový klírens je približne 1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l</w:t>
      </w:r>
      <w:r w:rsidRPr="00252091">
        <w:rPr>
          <w:rFonts w:ascii="Times New Roman" w:hAnsi="Times New Roman"/>
          <w:sz w:val="22"/>
          <w:szCs w:val="22"/>
          <w:lang w:val="sk-SK"/>
        </w:rPr>
        <w:t>/min.</w:t>
      </w: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 xml:space="preserve">Farmakokinetika metoprololu u starších </w:t>
      </w:r>
      <w:r w:rsidR="00C15664">
        <w:rPr>
          <w:rFonts w:ascii="Times New Roman" w:hAnsi="Times New Roman"/>
          <w:sz w:val="22"/>
          <w:szCs w:val="22"/>
          <w:lang w:val="sk-SK"/>
        </w:rPr>
        <w:t>ľudí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sa významne nelíši od farmakokinetiky 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mladších pacientov. U pacientov s renálnym zlyhaním je systémová bi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gická dostupnosť a eliminácia metopr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olo</w:t>
        </w:r>
      </w:smartTag>
      <w:r w:rsidRPr="00252091">
        <w:rPr>
          <w:rFonts w:ascii="Times New Roman" w:hAnsi="Times New Roman"/>
          <w:sz w:val="22"/>
          <w:szCs w:val="22"/>
          <w:lang w:val="sk-SK"/>
        </w:rPr>
        <w:t>lu normálna. Eliminácia metabolitov je však pomalšia. Významná kumulácia metabolitov sa pozorovala u pacientov s rýchlosťou glomerulárnej filtrácie</w:t>
      </w:r>
      <w:r>
        <w:rPr>
          <w:rFonts w:ascii="Times New Roman" w:hAnsi="Times New Roman"/>
          <w:sz w:val="22"/>
          <w:szCs w:val="22"/>
          <w:lang w:val="sk-SK"/>
        </w:rPr>
        <w:t xml:space="preserve"> (GFR)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menej ako 5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ml/min. Toto však </w:t>
      </w:r>
      <w:r>
        <w:rPr>
          <w:rFonts w:ascii="Times New Roman" w:hAnsi="Times New Roman"/>
          <w:sz w:val="22"/>
          <w:szCs w:val="22"/>
          <w:lang w:val="sk-SK"/>
        </w:rPr>
        <w:t>nevedie k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zv</w:t>
      </w:r>
      <w:r>
        <w:rPr>
          <w:rFonts w:ascii="Times New Roman" w:hAnsi="Times New Roman"/>
          <w:sz w:val="22"/>
          <w:szCs w:val="22"/>
          <w:lang w:val="sk-SK"/>
        </w:rPr>
        <w:t>ý</w:t>
      </w:r>
      <w:r w:rsidRPr="00252091">
        <w:rPr>
          <w:rFonts w:ascii="Times New Roman" w:hAnsi="Times New Roman"/>
          <w:sz w:val="22"/>
          <w:szCs w:val="22"/>
          <w:lang w:val="sk-SK"/>
        </w:rPr>
        <w:t>š</w:t>
      </w:r>
      <w:r>
        <w:rPr>
          <w:rFonts w:ascii="Times New Roman" w:hAnsi="Times New Roman"/>
          <w:sz w:val="22"/>
          <w:szCs w:val="22"/>
          <w:lang w:val="sk-SK"/>
        </w:rPr>
        <w:t>eniu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beta</w:t>
      </w:r>
      <w:r w:rsidR="00006121">
        <w:rPr>
          <w:rFonts w:ascii="Times New Roman" w:hAnsi="Times New Roman"/>
          <w:sz w:val="22"/>
          <w:szCs w:val="22"/>
          <w:lang w:val="sk-SK"/>
        </w:rPr>
        <w:t xml:space="preserve">receptor </w:t>
      </w:r>
      <w:r w:rsidRPr="00252091">
        <w:rPr>
          <w:rFonts w:ascii="Times New Roman" w:hAnsi="Times New Roman"/>
          <w:sz w:val="22"/>
          <w:szCs w:val="22"/>
          <w:lang w:val="sk-SK"/>
        </w:rPr>
        <w:t>blokujúc</w:t>
      </w:r>
      <w:r>
        <w:rPr>
          <w:rFonts w:ascii="Times New Roman" w:hAnsi="Times New Roman"/>
          <w:sz w:val="22"/>
          <w:szCs w:val="22"/>
          <w:lang w:val="sk-SK"/>
        </w:rPr>
        <w:t>eho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účink</w:t>
      </w:r>
      <w:r>
        <w:rPr>
          <w:rFonts w:ascii="Times New Roman" w:hAnsi="Times New Roman"/>
          <w:sz w:val="22"/>
          <w:szCs w:val="22"/>
          <w:lang w:val="sk-SK"/>
        </w:rPr>
        <w:t>u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metoprololu.</w:t>
      </w:r>
    </w:p>
    <w:p w:rsidR="00F05EF4" w:rsidRPr="00252091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:rsidR="00F05EF4" w:rsidRDefault="00F05EF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252091">
        <w:rPr>
          <w:rFonts w:ascii="Times New Roman" w:hAnsi="Times New Roman"/>
          <w:sz w:val="22"/>
          <w:szCs w:val="22"/>
          <w:lang w:val="sk-SK"/>
        </w:rPr>
        <w:t>U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pacientov s cirhózou pečene môže biologick</w:t>
      </w:r>
      <w:r>
        <w:rPr>
          <w:rFonts w:ascii="Times New Roman" w:hAnsi="Times New Roman"/>
          <w:sz w:val="22"/>
          <w:szCs w:val="22"/>
          <w:lang w:val="sk-SK"/>
        </w:rPr>
        <w:t>á</w:t>
      </w:r>
      <w:r w:rsidRPr="00252091">
        <w:rPr>
          <w:rFonts w:ascii="Times New Roman" w:hAnsi="Times New Roman"/>
          <w:sz w:val="22"/>
          <w:szCs w:val="22"/>
          <w:lang w:val="sk-SK"/>
        </w:rPr>
        <w:t xml:space="preserve"> dostupnosť metoprololu stúpnuť a celkový klírens klesnúť. Zvýšenie bi</w:t>
      </w:r>
      <w:smartTag w:uri="urn:schemas-microsoft-com:office:smarttags" w:element="PersonName">
        <w:r w:rsidRPr="00252091">
          <w:rPr>
            <w:rFonts w:ascii="Times New Roman" w:hAnsi="Times New Roman"/>
            <w:sz w:val="22"/>
            <w:szCs w:val="22"/>
            <w:lang w:val="sk-SK"/>
          </w:rPr>
          <w:t>o</w:t>
        </w:r>
        <w:r>
          <w:rPr>
            <w:rFonts w:ascii="Times New Roman" w:hAnsi="Times New Roman"/>
            <w:sz w:val="22"/>
            <w:szCs w:val="22"/>
            <w:lang w:val="sk-SK"/>
          </w:rPr>
          <w:t>lo</w:t>
        </w:r>
      </w:smartTag>
      <w:r>
        <w:rPr>
          <w:rFonts w:ascii="Times New Roman" w:hAnsi="Times New Roman"/>
          <w:sz w:val="22"/>
          <w:szCs w:val="22"/>
          <w:lang w:val="sk-SK"/>
        </w:rPr>
        <w:t xml:space="preserve">gickej </w:t>
      </w:r>
      <w:r w:rsidRPr="00252091">
        <w:rPr>
          <w:rFonts w:ascii="Times New Roman" w:hAnsi="Times New Roman"/>
          <w:sz w:val="22"/>
          <w:szCs w:val="22"/>
          <w:lang w:val="sk-SK"/>
        </w:rPr>
        <w:t>dostupnosti sa však považuje za klinický významné len u pacientov so</w:t>
      </w:r>
      <w:r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závažnou poruchou funkcie pečene alebo portokaválnym shuntom. U pacientov s portokaválnym shuntom je celkový klírens približne 0,3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 w:rsidRPr="00252091">
        <w:rPr>
          <w:rFonts w:ascii="Times New Roman" w:hAnsi="Times New Roman"/>
          <w:sz w:val="22"/>
          <w:szCs w:val="22"/>
          <w:lang w:val="sk-SK"/>
        </w:rPr>
        <w:t>l/min a hodnoty AUC sú približne šesťkrát vyššie než u zdravých jedincov.</w:t>
      </w:r>
    </w:p>
    <w:p w:rsidR="00C15664" w:rsidRDefault="00C1566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:rsidR="00C15664" w:rsidRPr="00996AE3" w:rsidRDefault="00C15664" w:rsidP="009E729A">
      <w:pPr>
        <w:pStyle w:val="Style1"/>
        <w:keepNext/>
        <w:overflowPunct/>
        <w:autoSpaceDE/>
        <w:autoSpaceDN/>
        <w:adjustRightInd/>
        <w:textAlignment w:val="auto"/>
        <w:outlineLvl w:val="0"/>
        <w:rPr>
          <w:rFonts w:ascii="Times New Roman" w:hAnsi="Times New Roman"/>
          <w:sz w:val="22"/>
          <w:szCs w:val="22"/>
          <w:u w:val="single"/>
          <w:lang w:val="sk-SK"/>
        </w:rPr>
      </w:pPr>
      <w:r w:rsidRPr="00996AE3">
        <w:rPr>
          <w:rFonts w:ascii="Times New Roman" w:hAnsi="Times New Roman"/>
          <w:sz w:val="22"/>
          <w:szCs w:val="22"/>
          <w:u w:val="single"/>
          <w:lang w:val="sk-SK"/>
        </w:rPr>
        <w:t>Deti a</w:t>
      </w:r>
      <w:r w:rsidR="00006121">
        <w:rPr>
          <w:rFonts w:ascii="Times New Roman" w:hAnsi="Times New Roman"/>
          <w:sz w:val="22"/>
          <w:szCs w:val="22"/>
          <w:u w:val="single"/>
          <w:lang w:val="sk-SK"/>
        </w:rPr>
        <w:t> </w:t>
      </w:r>
      <w:r w:rsidRPr="00996AE3">
        <w:rPr>
          <w:rFonts w:ascii="Times New Roman" w:hAnsi="Times New Roman"/>
          <w:sz w:val="22"/>
          <w:szCs w:val="22"/>
          <w:u w:val="single"/>
          <w:lang w:val="sk-SK"/>
        </w:rPr>
        <w:t>dospievajúci</w:t>
      </w:r>
    </w:p>
    <w:p w:rsidR="00C15664" w:rsidRPr="00252091" w:rsidRDefault="00C15664" w:rsidP="00F05EF4">
      <w:pPr>
        <w:pStyle w:val="Style1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Farmakokinetický profil metoprololu je u hypertenzných pacientov vo veku 6 – 17</w:t>
      </w:r>
      <w:r w:rsidR="00006121">
        <w:rPr>
          <w:rFonts w:ascii="Times New Roman" w:hAnsi="Times New Roman"/>
          <w:sz w:val="22"/>
          <w:szCs w:val="22"/>
          <w:lang w:val="sk-SK"/>
        </w:rPr>
        <w:t> </w:t>
      </w:r>
      <w:r>
        <w:rPr>
          <w:rFonts w:ascii="Times New Roman" w:hAnsi="Times New Roman"/>
          <w:sz w:val="22"/>
          <w:szCs w:val="22"/>
          <w:lang w:val="sk-SK"/>
        </w:rPr>
        <w:t>rokov veľmi podobný farmakokinetike popísanej vyššie u dospelých. Zrejmý perorálny klírens metoprololu (CL/F) lineárne rastie s telesnou hmotnosťou.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5.3</w:t>
      </w:r>
      <w:r w:rsidRPr="00252091">
        <w:rPr>
          <w:b/>
          <w:szCs w:val="22"/>
        </w:rPr>
        <w:tab/>
        <w:t>Predklinické údaje o bezpečnosti</w:t>
      </w:r>
    </w:p>
    <w:p w:rsidR="00F05EF4" w:rsidRPr="00252091" w:rsidRDefault="00F05EF4" w:rsidP="009E729A">
      <w:pPr>
        <w:keepNext/>
        <w:ind w:left="0" w:firstLine="0"/>
        <w:outlineLvl w:val="0"/>
        <w:rPr>
          <w:szCs w:val="22"/>
        </w:rPr>
      </w:pPr>
    </w:p>
    <w:p w:rsidR="00BF0A81" w:rsidRDefault="00F05EF4" w:rsidP="00F05EF4">
      <w:pPr>
        <w:ind w:left="0" w:firstLine="0"/>
        <w:rPr>
          <w:szCs w:val="22"/>
        </w:rPr>
      </w:pPr>
      <w:r w:rsidRPr="00252091">
        <w:rPr>
          <w:szCs w:val="22"/>
        </w:rPr>
        <w:t xml:space="preserve">Predklinické údaje </w:t>
      </w:r>
      <w:r w:rsidRPr="00252091">
        <w:rPr>
          <w:noProof/>
          <w:szCs w:val="22"/>
        </w:rPr>
        <w:t xml:space="preserve">získané </w:t>
      </w:r>
      <w:r w:rsidRPr="00252091">
        <w:rPr>
          <w:szCs w:val="22"/>
        </w:rPr>
        <w:t xml:space="preserve">na základe obvyklých </w:t>
      </w:r>
      <w:r w:rsidRPr="00252091">
        <w:rPr>
          <w:noProof/>
          <w:szCs w:val="22"/>
        </w:rPr>
        <w:t>farmakologických</w:t>
      </w:r>
      <w:r w:rsidRPr="00252091">
        <w:rPr>
          <w:szCs w:val="22"/>
        </w:rPr>
        <w:t xml:space="preserve"> štúdií bezpečnosti, toxicity po</w:t>
      </w:r>
      <w:r>
        <w:rPr>
          <w:szCs w:val="22"/>
        </w:rPr>
        <w:t> </w:t>
      </w:r>
      <w:r w:rsidRPr="00252091">
        <w:rPr>
          <w:szCs w:val="22"/>
        </w:rPr>
        <w:t>opakovanom podaní, genotoxicity</w:t>
      </w:r>
      <w:r w:rsidR="00FD508F">
        <w:rPr>
          <w:szCs w:val="22"/>
        </w:rPr>
        <w:t xml:space="preserve"> a </w:t>
      </w:r>
      <w:r w:rsidRPr="00252091">
        <w:rPr>
          <w:szCs w:val="22"/>
        </w:rPr>
        <w:t>karcinogénneho potenciálu neodhalili žiadne osobitné riziko pre</w:t>
      </w:r>
      <w:r>
        <w:rPr>
          <w:szCs w:val="22"/>
        </w:rPr>
        <w:t> </w:t>
      </w:r>
      <w:r w:rsidRPr="00252091">
        <w:rPr>
          <w:szCs w:val="22"/>
        </w:rPr>
        <w:t>ľudí.</w:t>
      </w:r>
    </w:p>
    <w:p w:rsidR="00BF0A81" w:rsidRDefault="00BF0A81" w:rsidP="00F05EF4">
      <w:pPr>
        <w:ind w:left="0" w:firstLine="0"/>
        <w:rPr>
          <w:szCs w:val="22"/>
        </w:rPr>
      </w:pPr>
    </w:p>
    <w:p w:rsidR="00F05EF4" w:rsidRPr="00252091" w:rsidRDefault="00F05EF4" w:rsidP="00C349D4">
      <w:pPr>
        <w:ind w:left="0" w:firstLine="0"/>
        <w:rPr>
          <w:szCs w:val="22"/>
        </w:rPr>
      </w:pPr>
      <w:r w:rsidRPr="00252091">
        <w:rPr>
          <w:szCs w:val="22"/>
        </w:rPr>
        <w:t xml:space="preserve">Podobne ako iné betablokátory metoprolol pôsobil toxicky </w:t>
      </w:r>
      <w:r>
        <w:rPr>
          <w:szCs w:val="22"/>
        </w:rPr>
        <w:t>pre matku</w:t>
      </w:r>
      <w:r w:rsidRPr="00252091">
        <w:rPr>
          <w:szCs w:val="22"/>
        </w:rPr>
        <w:t xml:space="preserve"> (znížený príjem potravy a znížená telesná hmotnosť) a</w:t>
      </w:r>
      <w:r w:rsidR="00FD508F">
        <w:rPr>
          <w:szCs w:val="22"/>
        </w:rPr>
        <w:t> </w:t>
      </w:r>
      <w:r w:rsidRPr="00252091">
        <w:rPr>
          <w:szCs w:val="22"/>
        </w:rPr>
        <w:t xml:space="preserve">pri vysokých dávkach aj </w:t>
      </w:r>
      <w:r>
        <w:rPr>
          <w:szCs w:val="22"/>
        </w:rPr>
        <w:t>pre</w:t>
      </w:r>
      <w:r w:rsidRPr="00252091">
        <w:rPr>
          <w:szCs w:val="22"/>
        </w:rPr>
        <w:t xml:space="preserve"> embryo/</w:t>
      </w:r>
      <w:r>
        <w:rPr>
          <w:szCs w:val="22"/>
        </w:rPr>
        <w:t>plod</w:t>
      </w:r>
      <w:r w:rsidRPr="00252091">
        <w:rPr>
          <w:szCs w:val="22"/>
        </w:rPr>
        <w:t xml:space="preserve"> (zvýšený výskyt resorpcie, zníženej pôrodnej hmotnosti potomstva, spomalen</w:t>
      </w:r>
      <w:r>
        <w:rPr>
          <w:szCs w:val="22"/>
        </w:rPr>
        <w:t>ý</w:t>
      </w:r>
      <w:r w:rsidRPr="00252091">
        <w:rPr>
          <w:szCs w:val="22"/>
        </w:rPr>
        <w:t xml:space="preserve"> fyzick</w:t>
      </w:r>
      <w:r>
        <w:rPr>
          <w:szCs w:val="22"/>
        </w:rPr>
        <w:t>ý</w:t>
      </w:r>
      <w:r w:rsidRPr="00252091">
        <w:rPr>
          <w:szCs w:val="22"/>
        </w:rPr>
        <w:t xml:space="preserve"> vývoj)</w:t>
      </w:r>
      <w:r>
        <w:rPr>
          <w:szCs w:val="22"/>
        </w:rPr>
        <w:t>,</w:t>
      </w:r>
      <w:r w:rsidRPr="00252091">
        <w:rPr>
          <w:szCs w:val="22"/>
        </w:rPr>
        <w:t xml:space="preserve"> ale nemal teratog</w:t>
      </w:r>
      <w:r>
        <w:rPr>
          <w:szCs w:val="22"/>
        </w:rPr>
        <w:t>é</w:t>
      </w:r>
      <w:r w:rsidRPr="00252091">
        <w:rPr>
          <w:szCs w:val="22"/>
        </w:rPr>
        <w:t>n</w:t>
      </w:r>
      <w:r>
        <w:rPr>
          <w:szCs w:val="22"/>
        </w:rPr>
        <w:t>ny</w:t>
      </w:r>
      <w:r w:rsidRPr="00252091">
        <w:rPr>
          <w:szCs w:val="22"/>
        </w:rPr>
        <w:t xml:space="preserve"> účinok.</w:t>
      </w:r>
    </w:p>
    <w:p w:rsidR="00F05EF4" w:rsidRDefault="00F05EF4" w:rsidP="00F05EF4">
      <w:pPr>
        <w:rPr>
          <w:szCs w:val="22"/>
        </w:rPr>
      </w:pPr>
    </w:p>
    <w:p w:rsidR="00D96330" w:rsidRPr="00252091" w:rsidRDefault="00D96330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b/>
          <w:szCs w:val="22"/>
        </w:rPr>
      </w:pPr>
      <w:r w:rsidRPr="00252091">
        <w:rPr>
          <w:b/>
          <w:szCs w:val="22"/>
        </w:rPr>
        <w:t>6.</w:t>
      </w:r>
      <w:r w:rsidRPr="00252091">
        <w:rPr>
          <w:b/>
          <w:szCs w:val="22"/>
        </w:rPr>
        <w:tab/>
        <w:t>FARMACEUTICKÉ INFORMÁCIE</w:t>
      </w:r>
    </w:p>
    <w:p w:rsidR="00F05EF4" w:rsidRPr="00252091" w:rsidRDefault="00F05EF4" w:rsidP="009E729A">
      <w:pPr>
        <w:keepNext/>
        <w:ind w:left="0" w:firstLine="0"/>
        <w:outlineLvl w:val="0"/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6.1</w:t>
      </w:r>
      <w:r w:rsidRPr="00252091">
        <w:rPr>
          <w:b/>
          <w:szCs w:val="22"/>
        </w:rPr>
        <w:tab/>
        <w:t>Zoznam pomocných látok</w:t>
      </w:r>
    </w:p>
    <w:p w:rsidR="00F05EF4" w:rsidRPr="00213CF8" w:rsidRDefault="00F05EF4" w:rsidP="009E729A">
      <w:pPr>
        <w:keepNext/>
        <w:ind w:left="0" w:firstLine="0"/>
        <w:outlineLvl w:val="0"/>
      </w:pPr>
    </w:p>
    <w:p w:rsidR="00F05EF4" w:rsidRPr="00996AE3" w:rsidRDefault="00F05EF4" w:rsidP="009E729A">
      <w:pPr>
        <w:keepNext/>
        <w:ind w:left="0" w:firstLine="0"/>
        <w:outlineLvl w:val="0"/>
        <w:rPr>
          <w:i/>
          <w:szCs w:val="22"/>
        </w:rPr>
      </w:pPr>
      <w:r w:rsidRPr="00996AE3">
        <w:rPr>
          <w:i/>
          <w:szCs w:val="22"/>
        </w:rPr>
        <w:t>Jadro tablety:</w:t>
      </w:r>
    </w:p>
    <w:p w:rsidR="00F05EF4" w:rsidRPr="00252091" w:rsidRDefault="00D96330" w:rsidP="00F05EF4">
      <w:r>
        <w:t>s</w:t>
      </w:r>
      <w:r w:rsidRPr="00252091">
        <w:t>acharóza</w:t>
      </w:r>
    </w:p>
    <w:p w:rsidR="00F05EF4" w:rsidRPr="00252091" w:rsidRDefault="00D96330" w:rsidP="00F05EF4">
      <w:r>
        <w:t>k</w:t>
      </w:r>
      <w:r w:rsidRPr="00252091">
        <w:t xml:space="preserve">ukuričný </w:t>
      </w:r>
      <w:r w:rsidR="00F05EF4" w:rsidRPr="00252091">
        <w:t>škrob</w:t>
      </w:r>
    </w:p>
    <w:p w:rsidR="00F05EF4" w:rsidRPr="00252091" w:rsidRDefault="00D96330" w:rsidP="00F05EF4">
      <w:r>
        <w:lastRenderedPageBreak/>
        <w:t>m</w:t>
      </w:r>
      <w:r w:rsidRPr="00252091">
        <w:t xml:space="preserve">akrogol </w:t>
      </w:r>
      <w:r w:rsidR="00F05EF4" w:rsidRPr="00252091">
        <w:t>6000</w:t>
      </w:r>
    </w:p>
    <w:p w:rsidR="00F05EF4" w:rsidRPr="00252091" w:rsidRDefault="00D96330" w:rsidP="00F05EF4">
      <w:r>
        <w:t>p</w:t>
      </w:r>
      <w:r w:rsidR="00515745">
        <w:t>olyakrylát</w:t>
      </w:r>
    </w:p>
    <w:p w:rsidR="00F05EF4" w:rsidRPr="00252091" w:rsidRDefault="00D96330" w:rsidP="00F05EF4">
      <w:pPr>
        <w:rPr>
          <w:szCs w:val="22"/>
        </w:rPr>
      </w:pPr>
      <w:r>
        <w:rPr>
          <w:szCs w:val="22"/>
        </w:rPr>
        <w:t>m</w:t>
      </w:r>
      <w:r w:rsidR="00F05EF4" w:rsidRPr="00252091">
        <w:rPr>
          <w:szCs w:val="22"/>
        </w:rPr>
        <w:t>astenec</w:t>
      </w:r>
    </w:p>
    <w:p w:rsidR="00F05EF4" w:rsidRPr="00252091" w:rsidRDefault="00D96330" w:rsidP="00F05EF4">
      <w:pPr>
        <w:rPr>
          <w:szCs w:val="22"/>
        </w:rPr>
      </w:pPr>
      <w:r>
        <w:rPr>
          <w:szCs w:val="22"/>
        </w:rPr>
        <w:t>p</w:t>
      </w:r>
      <w:r w:rsidR="00F05EF4" w:rsidRPr="00252091">
        <w:rPr>
          <w:szCs w:val="22"/>
        </w:rPr>
        <w:t>ovidón K90</w:t>
      </w:r>
    </w:p>
    <w:p w:rsidR="00F05EF4" w:rsidRPr="00252091" w:rsidRDefault="00D96330" w:rsidP="00F05EF4">
      <w:pPr>
        <w:rPr>
          <w:szCs w:val="22"/>
        </w:rPr>
      </w:pPr>
      <w:r>
        <w:rPr>
          <w:szCs w:val="22"/>
        </w:rPr>
        <w:t>m</w:t>
      </w:r>
      <w:r w:rsidR="00F05EF4" w:rsidRPr="00252091">
        <w:rPr>
          <w:szCs w:val="22"/>
        </w:rPr>
        <w:t>ikrokryštalická celulóza</w:t>
      </w:r>
    </w:p>
    <w:p w:rsidR="00F05EF4" w:rsidRPr="00252091" w:rsidRDefault="00D96330" w:rsidP="00F05EF4">
      <w:pPr>
        <w:rPr>
          <w:szCs w:val="22"/>
        </w:rPr>
      </w:pPr>
      <w:r>
        <w:rPr>
          <w:szCs w:val="22"/>
        </w:rPr>
        <w:t>m</w:t>
      </w:r>
      <w:r w:rsidR="00F05EF4" w:rsidRPr="00252091">
        <w:rPr>
          <w:szCs w:val="22"/>
        </w:rPr>
        <w:t>agnéziumstearát</w:t>
      </w:r>
    </w:p>
    <w:p w:rsidR="00F05EF4" w:rsidRPr="00252091" w:rsidRDefault="00D96330" w:rsidP="00F05EF4">
      <w:pPr>
        <w:rPr>
          <w:szCs w:val="22"/>
        </w:rPr>
      </w:pPr>
      <w:r>
        <w:rPr>
          <w:szCs w:val="22"/>
        </w:rPr>
        <w:t>k</w:t>
      </w:r>
      <w:r w:rsidR="00F05EF4" w:rsidRPr="00252091">
        <w:rPr>
          <w:szCs w:val="22"/>
        </w:rPr>
        <w:t>oloidný oxid kremičitý</w:t>
      </w:r>
      <w:r w:rsidR="00515745">
        <w:rPr>
          <w:szCs w:val="22"/>
        </w:rPr>
        <w:t>, bezvodý</w:t>
      </w:r>
    </w:p>
    <w:p w:rsidR="00F05EF4" w:rsidRPr="00252091" w:rsidRDefault="00D96330" w:rsidP="00F05EF4">
      <w:pPr>
        <w:rPr>
          <w:szCs w:val="22"/>
        </w:rPr>
      </w:pPr>
      <w:r>
        <w:rPr>
          <w:szCs w:val="22"/>
        </w:rPr>
        <w:t>d</w:t>
      </w:r>
      <w:r w:rsidR="00F05EF4" w:rsidRPr="00252091">
        <w:rPr>
          <w:szCs w:val="22"/>
        </w:rPr>
        <w:t>-glukóza</w:t>
      </w:r>
      <w:r w:rsidR="00F05EF4">
        <w:rPr>
          <w:szCs w:val="22"/>
        </w:rPr>
        <w:t>.</w:t>
      </w:r>
    </w:p>
    <w:p w:rsidR="00F05EF4" w:rsidRPr="00252091" w:rsidRDefault="00F05EF4" w:rsidP="00F05EF4">
      <w:pPr>
        <w:rPr>
          <w:szCs w:val="22"/>
        </w:rPr>
      </w:pPr>
    </w:p>
    <w:p w:rsidR="00F05EF4" w:rsidRPr="00996AE3" w:rsidRDefault="00F05EF4" w:rsidP="009E729A">
      <w:pPr>
        <w:keepNext/>
        <w:ind w:left="0" w:firstLine="0"/>
        <w:outlineLvl w:val="0"/>
        <w:rPr>
          <w:i/>
          <w:szCs w:val="22"/>
        </w:rPr>
      </w:pPr>
      <w:r w:rsidRPr="00996AE3">
        <w:rPr>
          <w:i/>
          <w:szCs w:val="22"/>
        </w:rPr>
        <w:t>Obal tablety:</w:t>
      </w:r>
    </w:p>
    <w:p w:rsidR="00F05EF4" w:rsidRPr="00252091" w:rsidRDefault="00D96330" w:rsidP="00F05EF4">
      <w:pPr>
        <w:rPr>
          <w:szCs w:val="22"/>
        </w:rPr>
      </w:pPr>
      <w:r>
        <w:rPr>
          <w:szCs w:val="22"/>
        </w:rPr>
        <w:t>h</w:t>
      </w:r>
      <w:r w:rsidR="00F05EF4" w:rsidRPr="00252091">
        <w:rPr>
          <w:szCs w:val="22"/>
        </w:rPr>
        <w:t>ypromelóza</w:t>
      </w:r>
    </w:p>
    <w:p w:rsidR="00F05EF4" w:rsidRPr="00252091" w:rsidRDefault="00D96330" w:rsidP="00F05EF4">
      <w:pPr>
        <w:rPr>
          <w:szCs w:val="22"/>
        </w:rPr>
      </w:pPr>
      <w:r>
        <w:rPr>
          <w:szCs w:val="22"/>
        </w:rPr>
        <w:t>m</w:t>
      </w:r>
      <w:r w:rsidR="00F05EF4" w:rsidRPr="00252091">
        <w:rPr>
          <w:szCs w:val="22"/>
        </w:rPr>
        <w:t>astenec</w:t>
      </w:r>
    </w:p>
    <w:p w:rsidR="00F05EF4" w:rsidRPr="00252091" w:rsidRDefault="00D96330" w:rsidP="00F05EF4">
      <w:pPr>
        <w:rPr>
          <w:szCs w:val="22"/>
        </w:rPr>
      </w:pPr>
      <w:r>
        <w:rPr>
          <w:szCs w:val="22"/>
        </w:rPr>
        <w:t>m</w:t>
      </w:r>
      <w:r w:rsidR="00F05EF4" w:rsidRPr="00252091">
        <w:rPr>
          <w:szCs w:val="22"/>
        </w:rPr>
        <w:t>akrogol 6000</w:t>
      </w:r>
    </w:p>
    <w:p w:rsidR="00F05EF4" w:rsidRPr="00252091" w:rsidRDefault="00D96330" w:rsidP="00F05EF4">
      <w:pPr>
        <w:rPr>
          <w:szCs w:val="22"/>
        </w:rPr>
      </w:pPr>
      <w:r>
        <w:rPr>
          <w:szCs w:val="22"/>
        </w:rPr>
        <w:t>o</w:t>
      </w:r>
      <w:r w:rsidR="00F05EF4" w:rsidRPr="00252091">
        <w:rPr>
          <w:szCs w:val="22"/>
        </w:rPr>
        <w:t>xid titaničitý (E171).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6.2</w:t>
      </w:r>
      <w:r w:rsidRPr="00252091">
        <w:rPr>
          <w:b/>
          <w:szCs w:val="22"/>
        </w:rPr>
        <w:tab/>
        <w:t>Inkompatibility</w:t>
      </w:r>
    </w:p>
    <w:p w:rsidR="00F05EF4" w:rsidRPr="00252091" w:rsidRDefault="00F05EF4" w:rsidP="009E729A">
      <w:pPr>
        <w:keepNext/>
        <w:ind w:left="0" w:firstLine="0"/>
        <w:outlineLvl w:val="0"/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  <w:r w:rsidRPr="00252091">
        <w:t>Neaplikovateľné.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6.3</w:t>
      </w:r>
      <w:r w:rsidRPr="00252091">
        <w:rPr>
          <w:b/>
          <w:szCs w:val="22"/>
        </w:rPr>
        <w:tab/>
        <w:t>Čas použiteľnosti</w:t>
      </w:r>
    </w:p>
    <w:p w:rsidR="00F05EF4" w:rsidRPr="00252091" w:rsidRDefault="00F05EF4" w:rsidP="009E729A">
      <w:pPr>
        <w:keepNext/>
        <w:ind w:left="0" w:firstLine="0"/>
        <w:outlineLvl w:val="0"/>
        <w:rPr>
          <w:szCs w:val="22"/>
        </w:rPr>
      </w:pPr>
    </w:p>
    <w:p w:rsidR="00F05EF4" w:rsidRPr="00252091" w:rsidRDefault="0044241A" w:rsidP="00F05EF4">
      <w:pPr>
        <w:ind w:left="540" w:hanging="540"/>
        <w:rPr>
          <w:szCs w:val="22"/>
        </w:rPr>
      </w:pPr>
      <w:r>
        <w:rPr>
          <w:szCs w:val="22"/>
        </w:rPr>
        <w:t>3</w:t>
      </w:r>
      <w:r w:rsidR="00F05EF4" w:rsidRPr="00252091">
        <w:rPr>
          <w:szCs w:val="22"/>
        </w:rPr>
        <w:t> roky</w:t>
      </w:r>
    </w:p>
    <w:p w:rsidR="00F05EF4" w:rsidRPr="00252091" w:rsidRDefault="00F05EF4" w:rsidP="00F05EF4">
      <w:pPr>
        <w:ind w:left="540" w:hanging="540"/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6.4</w:t>
      </w:r>
      <w:r w:rsidRPr="00252091">
        <w:rPr>
          <w:b/>
          <w:szCs w:val="22"/>
        </w:rPr>
        <w:tab/>
        <w:t>Špeciálne upozornenia na uchovávanie</w:t>
      </w:r>
    </w:p>
    <w:p w:rsidR="00F05EF4" w:rsidRPr="00252091" w:rsidRDefault="00F05EF4" w:rsidP="009E729A">
      <w:pPr>
        <w:keepNext/>
        <w:ind w:left="0" w:firstLine="0"/>
        <w:outlineLvl w:val="0"/>
      </w:pPr>
    </w:p>
    <w:p w:rsidR="00F05EF4" w:rsidRPr="00252091" w:rsidRDefault="00F05EF4" w:rsidP="00F05EF4">
      <w:r w:rsidRPr="00252091">
        <w:t>Uchovávajte pri teplote do 25</w:t>
      </w:r>
      <w:r w:rsidR="006479F2">
        <w:t> </w:t>
      </w:r>
      <w:r w:rsidRPr="00252091">
        <w:t>°C.</w:t>
      </w:r>
    </w:p>
    <w:p w:rsidR="00F05EF4" w:rsidRPr="00252091" w:rsidRDefault="00F05EF4" w:rsidP="00F05EF4"/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szCs w:val="22"/>
        </w:rPr>
      </w:pPr>
      <w:r w:rsidRPr="00252091">
        <w:rPr>
          <w:b/>
          <w:szCs w:val="22"/>
        </w:rPr>
        <w:t>6.5</w:t>
      </w:r>
      <w:r w:rsidRPr="00252091">
        <w:rPr>
          <w:b/>
          <w:szCs w:val="22"/>
        </w:rPr>
        <w:tab/>
        <w:t>Druh obalu a</w:t>
      </w:r>
      <w:r w:rsidR="00FD508F">
        <w:rPr>
          <w:b/>
          <w:szCs w:val="22"/>
        </w:rPr>
        <w:t> </w:t>
      </w:r>
      <w:r w:rsidRPr="00252091">
        <w:rPr>
          <w:b/>
          <w:szCs w:val="22"/>
        </w:rPr>
        <w:t>obsah balenia</w:t>
      </w:r>
    </w:p>
    <w:p w:rsidR="00F05EF4" w:rsidRPr="00252091" w:rsidRDefault="00F05EF4" w:rsidP="009E729A">
      <w:pPr>
        <w:keepNext/>
        <w:ind w:left="0" w:firstLine="0"/>
        <w:outlineLvl w:val="0"/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  <w:r w:rsidRPr="00252091">
        <w:rPr>
          <w:szCs w:val="22"/>
        </w:rPr>
        <w:t>Al/Al blister</w:t>
      </w:r>
    </w:p>
    <w:p w:rsidR="00F05EF4" w:rsidRPr="00252091" w:rsidRDefault="00F05EF4" w:rsidP="00F05EF4">
      <w:pPr>
        <w:rPr>
          <w:szCs w:val="22"/>
        </w:rPr>
      </w:pPr>
      <w:r>
        <w:rPr>
          <w:szCs w:val="22"/>
        </w:rPr>
        <w:t>B</w:t>
      </w:r>
      <w:r w:rsidRPr="00252091">
        <w:rPr>
          <w:szCs w:val="22"/>
        </w:rPr>
        <w:t xml:space="preserve">alenia </w:t>
      </w:r>
      <w:r>
        <w:rPr>
          <w:szCs w:val="22"/>
        </w:rPr>
        <w:t>po</w:t>
      </w:r>
      <w:r w:rsidRPr="00252091">
        <w:rPr>
          <w:szCs w:val="22"/>
        </w:rPr>
        <w:t xml:space="preserve"> 10, 14, 20, 28, 30, 50, 60, </w:t>
      </w:r>
      <w:r w:rsidR="00D96330">
        <w:rPr>
          <w:szCs w:val="22"/>
        </w:rPr>
        <w:t xml:space="preserve">90, </w:t>
      </w:r>
      <w:r w:rsidRPr="00252091">
        <w:rPr>
          <w:szCs w:val="22"/>
        </w:rPr>
        <w:t xml:space="preserve">98 a 100 </w:t>
      </w:r>
      <w:r w:rsidRPr="00252091">
        <w:t>tabl</w:t>
      </w:r>
      <w:r>
        <w:t>iet</w:t>
      </w:r>
      <w:r w:rsidRPr="00252091">
        <w:t xml:space="preserve"> s</w:t>
      </w:r>
      <w:r w:rsidR="00FD508F">
        <w:t> </w:t>
      </w:r>
      <w:r w:rsidRPr="00252091">
        <w:t>predĺženým uvoľňovaním.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  <w:r w:rsidRPr="00252091">
        <w:rPr>
          <w:szCs w:val="22"/>
        </w:rPr>
        <w:t xml:space="preserve">HDPE </w:t>
      </w:r>
      <w:r>
        <w:rPr>
          <w:szCs w:val="22"/>
        </w:rPr>
        <w:t>fľaše</w:t>
      </w:r>
      <w:r w:rsidRPr="00252091">
        <w:rPr>
          <w:szCs w:val="22"/>
        </w:rPr>
        <w:t xml:space="preserve"> s polypropylénovým skrutkovacím uzáverom</w:t>
      </w:r>
    </w:p>
    <w:p w:rsidR="00F05EF4" w:rsidRPr="00252091" w:rsidRDefault="00F05EF4" w:rsidP="00F05EF4">
      <w:pPr>
        <w:rPr>
          <w:szCs w:val="22"/>
        </w:rPr>
      </w:pPr>
      <w:r w:rsidRPr="00252091">
        <w:rPr>
          <w:szCs w:val="22"/>
        </w:rPr>
        <w:t xml:space="preserve">Balenia </w:t>
      </w:r>
      <w:r>
        <w:rPr>
          <w:szCs w:val="22"/>
        </w:rPr>
        <w:t>po</w:t>
      </w:r>
      <w:r w:rsidRPr="00252091">
        <w:rPr>
          <w:szCs w:val="22"/>
        </w:rPr>
        <w:t xml:space="preserve"> 30, 60, 100, </w:t>
      </w:r>
      <w:smartTag w:uri="urn:schemas-microsoft-com:office:smarttags" w:element="metricconverter">
        <w:smartTagPr>
          <w:attr w:name="ProductID" w:val="250 a"/>
        </w:smartTagPr>
        <w:r w:rsidRPr="00252091">
          <w:rPr>
            <w:szCs w:val="22"/>
          </w:rPr>
          <w:t>250 a</w:t>
        </w:r>
        <w:r w:rsidR="00FD508F">
          <w:rPr>
            <w:szCs w:val="22"/>
          </w:rPr>
          <w:t> </w:t>
        </w:r>
      </w:smartTag>
      <w:r w:rsidRPr="00252091">
        <w:rPr>
          <w:szCs w:val="22"/>
        </w:rPr>
        <w:t xml:space="preserve">500 </w:t>
      </w:r>
      <w:r w:rsidRPr="00252091">
        <w:t>tabl</w:t>
      </w:r>
      <w:r>
        <w:t>iet</w:t>
      </w:r>
      <w:r w:rsidRPr="00252091">
        <w:t xml:space="preserve"> s</w:t>
      </w:r>
      <w:r w:rsidR="00FD508F">
        <w:t> </w:t>
      </w:r>
      <w:r w:rsidRPr="00252091">
        <w:t>predĺženým uvoľňovaním.</w:t>
      </w: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  <w:r w:rsidRPr="00252091">
        <w:rPr>
          <w:szCs w:val="22"/>
        </w:rPr>
        <w:t>N</w:t>
      </w:r>
      <w:r w:rsidR="007B53BB">
        <w:rPr>
          <w:szCs w:val="22"/>
        </w:rPr>
        <w:t>a trh nemusia byť uvedené</w:t>
      </w:r>
      <w:r w:rsidRPr="00252091">
        <w:rPr>
          <w:szCs w:val="22"/>
        </w:rPr>
        <w:t xml:space="preserve"> všetky veľkosti balenia</w:t>
      </w:r>
      <w:r w:rsidRPr="00252091">
        <w:rPr>
          <w:noProof/>
          <w:szCs w:val="22"/>
        </w:rPr>
        <w:t>.</w:t>
      </w:r>
    </w:p>
    <w:p w:rsidR="00F05EF4" w:rsidRPr="00252091" w:rsidRDefault="00F05EF4" w:rsidP="00F05EF4"/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b/>
          <w:bCs/>
          <w:noProof/>
        </w:rPr>
      </w:pPr>
      <w:r w:rsidRPr="00252091">
        <w:rPr>
          <w:b/>
          <w:szCs w:val="22"/>
        </w:rPr>
        <w:t>6.6</w:t>
      </w:r>
      <w:r w:rsidRPr="00252091">
        <w:rPr>
          <w:b/>
          <w:szCs w:val="22"/>
        </w:rPr>
        <w:tab/>
      </w:r>
      <w:r w:rsidRPr="00252091">
        <w:rPr>
          <w:b/>
          <w:bCs/>
          <w:noProof/>
        </w:rPr>
        <w:t>Špeciálne opatrenia na likvidáciu</w:t>
      </w:r>
      <w:r w:rsidRPr="00252091">
        <w:rPr>
          <w:b/>
          <w:szCs w:val="22"/>
        </w:rPr>
        <w:t xml:space="preserve"> </w:t>
      </w:r>
      <w:r w:rsidRPr="00252091">
        <w:rPr>
          <w:b/>
          <w:bCs/>
          <w:noProof/>
        </w:rPr>
        <w:t>a</w:t>
      </w:r>
      <w:r w:rsidR="00FD508F">
        <w:rPr>
          <w:b/>
          <w:bCs/>
          <w:noProof/>
        </w:rPr>
        <w:t> </w:t>
      </w:r>
      <w:r w:rsidRPr="00252091">
        <w:rPr>
          <w:b/>
          <w:bCs/>
          <w:noProof/>
        </w:rPr>
        <w:t>iné zaobchádzanie s</w:t>
      </w:r>
      <w:r w:rsidR="00FD508F">
        <w:rPr>
          <w:b/>
          <w:bCs/>
          <w:noProof/>
        </w:rPr>
        <w:t> </w:t>
      </w:r>
      <w:r w:rsidRPr="00252091">
        <w:rPr>
          <w:b/>
          <w:bCs/>
          <w:noProof/>
        </w:rPr>
        <w:t>liekom</w:t>
      </w:r>
    </w:p>
    <w:p w:rsidR="00F05EF4" w:rsidRPr="00252091" w:rsidRDefault="00F05EF4" w:rsidP="009E729A">
      <w:pPr>
        <w:keepNext/>
        <w:ind w:left="0" w:firstLine="0"/>
        <w:outlineLvl w:val="0"/>
        <w:rPr>
          <w:b/>
          <w:bCs/>
          <w:noProof/>
        </w:rPr>
      </w:pPr>
    </w:p>
    <w:p w:rsidR="00F05EF4" w:rsidRPr="00252091" w:rsidRDefault="00F05EF4" w:rsidP="00F05EF4">
      <w:pPr>
        <w:rPr>
          <w:szCs w:val="22"/>
        </w:rPr>
      </w:pPr>
      <w:r w:rsidRPr="00252091">
        <w:rPr>
          <w:szCs w:val="22"/>
        </w:rPr>
        <w:t>Žiadne zvláštne požiadavky.</w:t>
      </w:r>
    </w:p>
    <w:p w:rsidR="00F05EF4" w:rsidRDefault="00F05EF4" w:rsidP="00F05EF4">
      <w:pPr>
        <w:rPr>
          <w:b/>
          <w:szCs w:val="22"/>
        </w:rPr>
      </w:pPr>
    </w:p>
    <w:p w:rsidR="00F05EF4" w:rsidRPr="00252091" w:rsidRDefault="00F05EF4" w:rsidP="00F05EF4">
      <w:pPr>
        <w:rPr>
          <w:b/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b/>
          <w:szCs w:val="22"/>
        </w:rPr>
      </w:pPr>
      <w:r w:rsidRPr="00252091">
        <w:rPr>
          <w:b/>
          <w:szCs w:val="22"/>
        </w:rPr>
        <w:t>7.</w:t>
      </w:r>
      <w:r w:rsidRPr="00252091">
        <w:rPr>
          <w:b/>
          <w:szCs w:val="22"/>
        </w:rPr>
        <w:tab/>
        <w:t>DRŽITEĽ ROZHODNUTIA O</w:t>
      </w:r>
      <w:r w:rsidR="00FD508F">
        <w:rPr>
          <w:b/>
          <w:szCs w:val="22"/>
        </w:rPr>
        <w:t> </w:t>
      </w:r>
      <w:r w:rsidRPr="00252091">
        <w:rPr>
          <w:b/>
          <w:szCs w:val="22"/>
        </w:rPr>
        <w:t>REGISTRÁCII</w:t>
      </w:r>
    </w:p>
    <w:p w:rsidR="00F05EF4" w:rsidRPr="00252091" w:rsidRDefault="00F05EF4" w:rsidP="009E729A">
      <w:pPr>
        <w:keepNext/>
        <w:ind w:left="0" w:firstLine="0"/>
        <w:outlineLvl w:val="0"/>
        <w:rPr>
          <w:szCs w:val="22"/>
        </w:rPr>
      </w:pPr>
    </w:p>
    <w:p w:rsidR="004E303F" w:rsidRDefault="004E303F" w:rsidP="004E303F">
      <w:pPr>
        <w:keepNext/>
        <w:ind w:left="0" w:firstLine="0"/>
        <w:outlineLvl w:val="0"/>
      </w:pPr>
      <w:r>
        <w:t>Mylan Ireland Limited</w:t>
      </w:r>
    </w:p>
    <w:p w:rsidR="004E303F" w:rsidRDefault="004E303F" w:rsidP="004E303F">
      <w:pPr>
        <w:ind w:left="0" w:firstLine="0"/>
        <w:outlineLvl w:val="0"/>
      </w:pPr>
      <w:r>
        <w:t>Unit 35/36 Grange Parade, Baldoyle Industrial Estate</w:t>
      </w:r>
    </w:p>
    <w:p w:rsidR="004E303F" w:rsidRDefault="004E303F" w:rsidP="004E303F">
      <w:pPr>
        <w:ind w:left="0" w:firstLine="0"/>
        <w:outlineLvl w:val="0"/>
      </w:pPr>
      <w:r>
        <w:t>Dublin 13</w:t>
      </w:r>
    </w:p>
    <w:p w:rsidR="004E303F" w:rsidRDefault="004E303F" w:rsidP="004E303F">
      <w:pPr>
        <w:ind w:left="0" w:firstLine="0"/>
        <w:outlineLvl w:val="0"/>
      </w:pPr>
      <w:r>
        <w:t>Írsko</w:t>
      </w:r>
    </w:p>
    <w:p w:rsidR="004E303F" w:rsidRDefault="004E303F" w:rsidP="004E303F">
      <w:pPr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b/>
          <w:szCs w:val="22"/>
        </w:rPr>
      </w:pPr>
      <w:r w:rsidRPr="00252091">
        <w:rPr>
          <w:b/>
          <w:szCs w:val="22"/>
        </w:rPr>
        <w:t>8.</w:t>
      </w:r>
      <w:r w:rsidRPr="00252091">
        <w:rPr>
          <w:b/>
          <w:szCs w:val="22"/>
        </w:rPr>
        <w:tab/>
        <w:t>REGISTRAČNÉ ČÍSL</w:t>
      </w:r>
      <w:r>
        <w:rPr>
          <w:b/>
          <w:szCs w:val="22"/>
        </w:rPr>
        <w:t>A</w:t>
      </w:r>
    </w:p>
    <w:p w:rsidR="00F05EF4" w:rsidRPr="00213CF8" w:rsidRDefault="00F05EF4" w:rsidP="009E729A">
      <w:pPr>
        <w:keepNext/>
        <w:ind w:left="0" w:firstLine="0"/>
        <w:outlineLvl w:val="0"/>
        <w:rPr>
          <w:i/>
        </w:rPr>
      </w:pPr>
    </w:p>
    <w:p w:rsidR="00F05EF4" w:rsidRPr="00996AE3" w:rsidRDefault="00F05EF4" w:rsidP="00F05EF4">
      <w:pPr>
        <w:rPr>
          <w:szCs w:val="22"/>
        </w:rPr>
      </w:pPr>
      <w:r w:rsidRPr="00996AE3">
        <w:rPr>
          <w:szCs w:val="22"/>
        </w:rPr>
        <w:t>Metopr</w:t>
      </w:r>
      <w:smartTag w:uri="urn:schemas-microsoft-com:office:smarttags" w:element="PersonName">
        <w:r w:rsidRPr="00996AE3">
          <w:rPr>
            <w:szCs w:val="22"/>
          </w:rPr>
          <w:t>olo</w:t>
        </w:r>
      </w:smartTag>
      <w:r w:rsidRPr="00996AE3">
        <w:rPr>
          <w:szCs w:val="22"/>
        </w:rPr>
        <w:t>l Mylan 23,75 mg:</w:t>
      </w:r>
      <w:r w:rsidRPr="00996AE3">
        <w:rPr>
          <w:szCs w:val="22"/>
        </w:rPr>
        <w:tab/>
        <w:t>58/0709/09-S</w:t>
      </w:r>
    </w:p>
    <w:p w:rsidR="00F05EF4" w:rsidRPr="00996AE3" w:rsidRDefault="00F05EF4" w:rsidP="00F05EF4">
      <w:pPr>
        <w:rPr>
          <w:szCs w:val="22"/>
        </w:rPr>
      </w:pPr>
      <w:r w:rsidRPr="00996AE3">
        <w:rPr>
          <w:szCs w:val="22"/>
        </w:rPr>
        <w:t>Metopr</w:t>
      </w:r>
      <w:smartTag w:uri="urn:schemas-microsoft-com:office:smarttags" w:element="PersonName">
        <w:r w:rsidRPr="00996AE3">
          <w:rPr>
            <w:szCs w:val="22"/>
          </w:rPr>
          <w:t>olo</w:t>
        </w:r>
      </w:smartTag>
      <w:r w:rsidRPr="00996AE3">
        <w:rPr>
          <w:szCs w:val="22"/>
        </w:rPr>
        <w:t>l Mylan 47,5 mg:</w:t>
      </w:r>
      <w:r w:rsidRPr="00996AE3">
        <w:rPr>
          <w:szCs w:val="22"/>
        </w:rPr>
        <w:tab/>
        <w:t>58/0710/09-S</w:t>
      </w:r>
    </w:p>
    <w:p w:rsidR="00F05EF4" w:rsidRPr="00996AE3" w:rsidRDefault="00F05EF4" w:rsidP="00F05EF4">
      <w:pPr>
        <w:rPr>
          <w:szCs w:val="22"/>
        </w:rPr>
      </w:pPr>
      <w:r w:rsidRPr="00996AE3">
        <w:rPr>
          <w:szCs w:val="22"/>
        </w:rPr>
        <w:t>Metopr</w:t>
      </w:r>
      <w:smartTag w:uri="urn:schemas-microsoft-com:office:smarttags" w:element="PersonName">
        <w:r w:rsidRPr="00996AE3">
          <w:rPr>
            <w:szCs w:val="22"/>
          </w:rPr>
          <w:t>olo</w:t>
        </w:r>
      </w:smartTag>
      <w:r w:rsidRPr="00996AE3">
        <w:rPr>
          <w:szCs w:val="22"/>
        </w:rPr>
        <w:t>l Mylan 95 mg:</w:t>
      </w:r>
      <w:r w:rsidRPr="00996AE3">
        <w:rPr>
          <w:szCs w:val="22"/>
        </w:rPr>
        <w:tab/>
        <w:t>58/0711/09-S</w:t>
      </w:r>
    </w:p>
    <w:p w:rsidR="00F05EF4" w:rsidRPr="00996AE3" w:rsidRDefault="00F05EF4" w:rsidP="00F05EF4">
      <w:pPr>
        <w:rPr>
          <w:szCs w:val="22"/>
        </w:rPr>
      </w:pPr>
      <w:r w:rsidRPr="00996AE3">
        <w:rPr>
          <w:szCs w:val="22"/>
        </w:rPr>
        <w:lastRenderedPageBreak/>
        <w:t>Metopr</w:t>
      </w:r>
      <w:smartTag w:uri="urn:schemas-microsoft-com:office:smarttags" w:element="PersonName">
        <w:r w:rsidRPr="00996AE3">
          <w:rPr>
            <w:szCs w:val="22"/>
          </w:rPr>
          <w:t>olo</w:t>
        </w:r>
      </w:smartTag>
      <w:r w:rsidRPr="00996AE3">
        <w:rPr>
          <w:szCs w:val="22"/>
        </w:rPr>
        <w:t xml:space="preserve">l Mylan 190 mg: </w:t>
      </w:r>
      <w:r w:rsidRPr="00996AE3">
        <w:rPr>
          <w:szCs w:val="22"/>
        </w:rPr>
        <w:tab/>
        <w:t>58/0712/09-S</w:t>
      </w:r>
    </w:p>
    <w:p w:rsidR="00F05EF4" w:rsidRPr="00213CF8" w:rsidRDefault="00F05EF4" w:rsidP="00F05EF4">
      <w:pPr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b/>
          <w:szCs w:val="22"/>
        </w:rPr>
      </w:pPr>
      <w:r w:rsidRPr="00252091">
        <w:rPr>
          <w:b/>
          <w:szCs w:val="22"/>
        </w:rPr>
        <w:t>9.</w:t>
      </w:r>
      <w:r w:rsidRPr="00252091">
        <w:rPr>
          <w:b/>
          <w:szCs w:val="22"/>
        </w:rPr>
        <w:tab/>
        <w:t>DÁTUM PRVEJ REGISTRÁCIE/PREDĹŽENIA REGISTRÁCIE</w:t>
      </w:r>
    </w:p>
    <w:p w:rsidR="00F05EF4" w:rsidRPr="00252091" w:rsidRDefault="00F05EF4" w:rsidP="009E729A">
      <w:pPr>
        <w:keepNext/>
        <w:ind w:left="0" w:firstLine="0"/>
        <w:outlineLvl w:val="0"/>
        <w:rPr>
          <w:szCs w:val="22"/>
        </w:rPr>
      </w:pPr>
    </w:p>
    <w:p w:rsidR="00F05EF4" w:rsidRDefault="007B53BB" w:rsidP="00F05EF4">
      <w:pPr>
        <w:rPr>
          <w:szCs w:val="22"/>
        </w:rPr>
      </w:pPr>
      <w:r>
        <w:rPr>
          <w:szCs w:val="22"/>
        </w:rPr>
        <w:t>Dátum prvej registrácie:</w:t>
      </w:r>
      <w:r w:rsidR="0044241A">
        <w:rPr>
          <w:szCs w:val="22"/>
        </w:rPr>
        <w:t>10.</w:t>
      </w:r>
      <w:r w:rsidR="00D96330">
        <w:rPr>
          <w:szCs w:val="22"/>
        </w:rPr>
        <w:t xml:space="preserve"> novembra </w:t>
      </w:r>
      <w:r w:rsidR="0044241A">
        <w:rPr>
          <w:szCs w:val="22"/>
        </w:rPr>
        <w:t>2009</w:t>
      </w:r>
    </w:p>
    <w:p w:rsidR="00F05EF4" w:rsidRDefault="004E303F" w:rsidP="00F05EF4">
      <w:pPr>
        <w:rPr>
          <w:szCs w:val="22"/>
        </w:rPr>
      </w:pPr>
      <w:r>
        <w:rPr>
          <w:szCs w:val="22"/>
        </w:rPr>
        <w:t>Dátum posledného predĺženia registrácie:</w:t>
      </w:r>
    </w:p>
    <w:p w:rsidR="004E303F" w:rsidRPr="00252091" w:rsidRDefault="004E303F" w:rsidP="00F05EF4">
      <w:pPr>
        <w:rPr>
          <w:szCs w:val="22"/>
        </w:rPr>
      </w:pPr>
    </w:p>
    <w:p w:rsidR="00F05EF4" w:rsidRPr="00252091" w:rsidRDefault="00F05EF4" w:rsidP="00F05EF4">
      <w:pPr>
        <w:rPr>
          <w:szCs w:val="22"/>
        </w:rPr>
      </w:pPr>
    </w:p>
    <w:p w:rsidR="00F05EF4" w:rsidRPr="00252091" w:rsidRDefault="00F05EF4" w:rsidP="009E729A">
      <w:pPr>
        <w:keepNext/>
        <w:tabs>
          <w:tab w:val="left" w:pos="567"/>
        </w:tabs>
        <w:ind w:left="0" w:firstLine="0"/>
        <w:outlineLvl w:val="0"/>
        <w:rPr>
          <w:b/>
          <w:szCs w:val="22"/>
        </w:rPr>
      </w:pPr>
      <w:r w:rsidRPr="00252091">
        <w:rPr>
          <w:b/>
          <w:szCs w:val="22"/>
        </w:rPr>
        <w:t>10.</w:t>
      </w:r>
      <w:r w:rsidRPr="00252091">
        <w:rPr>
          <w:b/>
          <w:szCs w:val="22"/>
        </w:rPr>
        <w:tab/>
        <w:t>DÁTUM REVÍZIE TEXTU</w:t>
      </w:r>
    </w:p>
    <w:p w:rsidR="00F05EF4" w:rsidRPr="00252091" w:rsidRDefault="00F05EF4" w:rsidP="009E729A">
      <w:pPr>
        <w:keepNext/>
        <w:ind w:left="0" w:firstLine="0"/>
        <w:outlineLvl w:val="0"/>
        <w:rPr>
          <w:b/>
          <w:szCs w:val="22"/>
        </w:rPr>
      </w:pPr>
    </w:p>
    <w:p w:rsidR="00F05EF4" w:rsidRPr="00252091" w:rsidRDefault="004E303F" w:rsidP="00F05EF4">
      <w:pPr>
        <w:rPr>
          <w:i/>
          <w:iCs/>
        </w:rPr>
      </w:pPr>
      <w:r>
        <w:rPr>
          <w:iCs/>
        </w:rPr>
        <w:t>08/</w:t>
      </w:r>
      <w:r w:rsidR="00FD508F">
        <w:rPr>
          <w:iCs/>
        </w:rPr>
        <w:t>2018</w:t>
      </w:r>
    </w:p>
    <w:p w:rsidR="004F71F4" w:rsidRDefault="004F71F4"/>
    <w:sectPr w:rsidR="004F71F4" w:rsidSect="009E729A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2F7" w:rsidRDefault="006952F7">
      <w:r>
        <w:separator/>
      </w:r>
    </w:p>
  </w:endnote>
  <w:endnote w:type="continuationSeparator" w:id="0">
    <w:p w:rsidR="006952F7" w:rsidRDefault="00695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70" w:rsidRPr="00C349D4" w:rsidRDefault="000A3270" w:rsidP="00C349D4">
    <w:pPr>
      <w:pStyle w:val="Pta"/>
      <w:jc w:val="center"/>
      <w:rPr>
        <w:rFonts w:ascii="Times New Roman" w:hAnsi="Times New Roman"/>
        <w:sz w:val="18"/>
        <w:szCs w:val="18"/>
      </w:rPr>
    </w:pPr>
    <w:r w:rsidRPr="00C349D4">
      <w:rPr>
        <w:rFonts w:ascii="Times New Roman" w:hAnsi="Times New Roman"/>
        <w:sz w:val="18"/>
        <w:szCs w:val="18"/>
      </w:rPr>
      <w:fldChar w:fldCharType="begin"/>
    </w:r>
    <w:r w:rsidRPr="00C349D4">
      <w:rPr>
        <w:rFonts w:ascii="Times New Roman" w:hAnsi="Times New Roman"/>
        <w:sz w:val="18"/>
        <w:szCs w:val="18"/>
      </w:rPr>
      <w:instrText>PAGE   \* MERGEFORMAT</w:instrText>
    </w:r>
    <w:r w:rsidRPr="00C349D4">
      <w:rPr>
        <w:rFonts w:ascii="Times New Roman" w:hAnsi="Times New Roman"/>
        <w:sz w:val="18"/>
        <w:szCs w:val="18"/>
      </w:rPr>
      <w:fldChar w:fldCharType="separate"/>
    </w:r>
    <w:r w:rsidR="009E729A" w:rsidRPr="009E729A">
      <w:rPr>
        <w:rFonts w:ascii="Times New Roman" w:hAnsi="Times New Roman"/>
        <w:noProof/>
        <w:sz w:val="18"/>
        <w:szCs w:val="18"/>
        <w:lang w:val="sk-SK"/>
      </w:rPr>
      <w:t>1</w:t>
    </w:r>
    <w:r w:rsidRPr="00C349D4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70" w:rsidRPr="00C349D4" w:rsidRDefault="000A3270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C349D4">
      <w:rPr>
        <w:rStyle w:val="slostrany"/>
        <w:rFonts w:ascii="Times New Roman" w:hAnsi="Times New Roman"/>
        <w:sz w:val="18"/>
        <w:szCs w:val="18"/>
      </w:rPr>
      <w:fldChar w:fldCharType="begin"/>
    </w:r>
    <w:r w:rsidRPr="00C349D4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C349D4">
      <w:rPr>
        <w:rStyle w:val="slostrany"/>
        <w:rFonts w:ascii="Times New Roman" w:hAnsi="Times New Roman"/>
        <w:sz w:val="18"/>
        <w:szCs w:val="18"/>
      </w:rPr>
      <w:fldChar w:fldCharType="separate"/>
    </w:r>
    <w:r>
      <w:rPr>
        <w:rStyle w:val="slostrany"/>
        <w:rFonts w:ascii="Times New Roman" w:hAnsi="Times New Roman"/>
        <w:noProof/>
        <w:sz w:val="18"/>
        <w:szCs w:val="18"/>
      </w:rPr>
      <w:t>1</w:t>
    </w:r>
    <w:r w:rsidRPr="00C349D4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2F7" w:rsidRDefault="006952F7">
      <w:r>
        <w:separator/>
      </w:r>
    </w:p>
  </w:footnote>
  <w:footnote w:type="continuationSeparator" w:id="0">
    <w:p w:rsidR="006952F7" w:rsidRDefault="00695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70" w:rsidRDefault="000A3270" w:rsidP="000A3270">
    <w:pPr>
      <w:ind w:left="0" w:firstLine="0"/>
      <w:rPr>
        <w:noProof/>
        <w:sz w:val="18"/>
        <w:szCs w:val="18"/>
      </w:rPr>
    </w:pPr>
    <w:r>
      <w:rPr>
        <w:noProof/>
        <w:sz w:val="18"/>
        <w:szCs w:val="18"/>
      </w:rPr>
      <w:t>Schválený text k rozhodnutiu o predĺžení, ev. č.: 2013/03456-PRE, 2013/03457-PRE, 2013/03458-PRE, 2013/03459-PRE</w:t>
    </w:r>
  </w:p>
  <w:p w:rsidR="000A3270" w:rsidRDefault="000A3270" w:rsidP="000A3270">
    <w:pPr>
      <w:ind w:left="0" w:firstLine="0"/>
      <w:rPr>
        <w:noProof/>
        <w:sz w:val="18"/>
        <w:szCs w:val="18"/>
      </w:rPr>
    </w:pPr>
    <w:r>
      <w:rPr>
        <w:noProof/>
        <w:sz w:val="18"/>
        <w:szCs w:val="18"/>
      </w:rPr>
      <w:t>Schválený text k rozhodnutiu o zmene, ev. č.:</w:t>
    </w:r>
    <w:r w:rsidRPr="006250A7">
      <w:t xml:space="preserve"> </w:t>
    </w:r>
    <w:r w:rsidRPr="006250A7">
      <w:rPr>
        <w:noProof/>
        <w:sz w:val="18"/>
        <w:szCs w:val="18"/>
      </w:rPr>
      <w:t>2016/01867-ZME</w:t>
    </w:r>
  </w:p>
  <w:p w:rsidR="000A3270" w:rsidRDefault="000A3270" w:rsidP="000A3270">
    <w:pPr>
      <w:ind w:left="0" w:firstLine="0"/>
      <w:rPr>
        <w:noProof/>
        <w:sz w:val="18"/>
        <w:szCs w:val="18"/>
      </w:rPr>
    </w:pPr>
    <w:r w:rsidRPr="000B2F6C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 xml:space="preserve">2 k notifikácii o zmene, ev. č.: </w:t>
    </w:r>
    <w:r w:rsidRPr="0079673B">
      <w:rPr>
        <w:noProof/>
        <w:sz w:val="18"/>
        <w:szCs w:val="18"/>
      </w:rPr>
      <w:t>2016/01319-Z1A</w:t>
    </w:r>
  </w:p>
  <w:p w:rsidR="000A3270" w:rsidRDefault="000A3270">
    <w:pPr>
      <w:pStyle w:val="Hlavika"/>
      <w:rPr>
        <w:rFonts w:ascii="Times New Roman" w:hAnsi="Times New Roman"/>
        <w:sz w:val="18"/>
        <w:szCs w:val="18"/>
      </w:rPr>
    </w:pPr>
  </w:p>
  <w:p w:rsidR="000A3270" w:rsidRPr="009E729A" w:rsidRDefault="000A3270">
    <w:pPr>
      <w:pStyle w:val="Hlavika"/>
      <w:rPr>
        <w:rFonts w:ascii="Times New Roman" w:hAnsi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270" w:rsidRDefault="000A3270" w:rsidP="009E729A">
    <w:pPr>
      <w:ind w:left="0" w:firstLine="0"/>
      <w:rPr>
        <w:noProof/>
        <w:sz w:val="18"/>
        <w:szCs w:val="18"/>
      </w:rPr>
    </w:pPr>
    <w:r>
      <w:rPr>
        <w:noProof/>
        <w:sz w:val="18"/>
        <w:szCs w:val="18"/>
      </w:rPr>
      <w:t>Schválený text k rozhodnutiu o predĺžení, ev. č.: 2013/03456-PRE, 2013/03457-PRE, 2013/03458-PRE, 2013/03459-PRE</w:t>
    </w:r>
  </w:p>
  <w:p w:rsidR="000A3270" w:rsidRDefault="000A3270" w:rsidP="009E729A">
    <w:pPr>
      <w:ind w:left="0" w:firstLine="0"/>
      <w:rPr>
        <w:noProof/>
        <w:sz w:val="18"/>
        <w:szCs w:val="18"/>
      </w:rPr>
    </w:pPr>
    <w:r>
      <w:rPr>
        <w:noProof/>
        <w:sz w:val="18"/>
        <w:szCs w:val="18"/>
      </w:rPr>
      <w:t>Schválený text k rozhodnutiu o zmene, ev. č.:</w:t>
    </w:r>
    <w:r w:rsidRPr="006250A7">
      <w:t xml:space="preserve"> </w:t>
    </w:r>
    <w:r w:rsidRPr="006250A7">
      <w:rPr>
        <w:noProof/>
        <w:sz w:val="18"/>
        <w:szCs w:val="18"/>
      </w:rPr>
      <w:t>2016/01867-ZME</w:t>
    </w:r>
  </w:p>
  <w:p w:rsidR="000A3270" w:rsidRDefault="000A3270" w:rsidP="009E729A">
    <w:pPr>
      <w:ind w:left="0" w:firstLine="0"/>
      <w:rPr>
        <w:noProof/>
        <w:sz w:val="18"/>
        <w:szCs w:val="18"/>
      </w:rPr>
    </w:pPr>
    <w:r w:rsidRPr="000B2F6C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 xml:space="preserve">2 k notifikácii o zmene, ev. č.: </w:t>
    </w:r>
    <w:r w:rsidRPr="0079673B">
      <w:rPr>
        <w:noProof/>
        <w:sz w:val="18"/>
        <w:szCs w:val="18"/>
      </w:rPr>
      <w:t>2016/01319-Z1A</w:t>
    </w:r>
  </w:p>
  <w:p w:rsidR="000A3270" w:rsidRPr="00C349D4" w:rsidRDefault="000A3270" w:rsidP="000A3270">
    <w:pPr>
      <w:ind w:left="0"/>
      <w:rPr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457827"/>
    <w:multiLevelType w:val="hybridMultilevel"/>
    <w:tmpl w:val="41E4247A"/>
    <w:lvl w:ilvl="0" w:tplc="810060E8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89604E"/>
    <w:multiLevelType w:val="hybridMultilevel"/>
    <w:tmpl w:val="B21C5F3A"/>
    <w:lvl w:ilvl="0" w:tplc="372E292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5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>
    <w:nsid w:val="5416174F"/>
    <w:multiLevelType w:val="hybridMultilevel"/>
    <w:tmpl w:val="E0E4362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9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9"/>
  </w:num>
  <w:num w:numId="10">
    <w:abstractNumId w:val="10"/>
  </w:num>
  <w:num w:numId="11">
    <w:abstractNumId w:val="1"/>
  </w:num>
  <w:num w:numId="12">
    <w:abstractNumId w:val="2"/>
  </w:num>
  <w:num w:numId="13">
    <w:abstractNumId w:val="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Sulejova">
    <w15:presenceInfo w15:providerId="AD" w15:userId="S-1-5-21-1074136629-4081378027-2755238289-324382"/>
  </w15:person>
  <w15:person w15:author="Marcela Kulcsarová">
    <w15:presenceInfo w15:providerId="AD" w15:userId="S-1-5-21-1074136629-4081378027-2755238289-19230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6"/>
  <w:drawingGridVerticalSpacing w:val="7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F4"/>
    <w:rsid w:val="00000462"/>
    <w:rsid w:val="00000B93"/>
    <w:rsid w:val="00006121"/>
    <w:rsid w:val="000075AA"/>
    <w:rsid w:val="00007B41"/>
    <w:rsid w:val="000146D7"/>
    <w:rsid w:val="00016686"/>
    <w:rsid w:val="00025039"/>
    <w:rsid w:val="000252BA"/>
    <w:rsid w:val="00025F2E"/>
    <w:rsid w:val="00026C85"/>
    <w:rsid w:val="00026C90"/>
    <w:rsid w:val="00027E08"/>
    <w:rsid w:val="00030DC2"/>
    <w:rsid w:val="00032B53"/>
    <w:rsid w:val="00033EE6"/>
    <w:rsid w:val="00035944"/>
    <w:rsid w:val="000379EF"/>
    <w:rsid w:val="00043C83"/>
    <w:rsid w:val="000446CD"/>
    <w:rsid w:val="00044894"/>
    <w:rsid w:val="00045C02"/>
    <w:rsid w:val="00046884"/>
    <w:rsid w:val="00050B01"/>
    <w:rsid w:val="00054D85"/>
    <w:rsid w:val="00055DD6"/>
    <w:rsid w:val="00061E13"/>
    <w:rsid w:val="000657EC"/>
    <w:rsid w:val="00065F97"/>
    <w:rsid w:val="00067142"/>
    <w:rsid w:val="000704E1"/>
    <w:rsid w:val="0007098A"/>
    <w:rsid w:val="00070ED7"/>
    <w:rsid w:val="000720C1"/>
    <w:rsid w:val="00073A05"/>
    <w:rsid w:val="0007436B"/>
    <w:rsid w:val="00075BF7"/>
    <w:rsid w:val="00075C2A"/>
    <w:rsid w:val="00077C95"/>
    <w:rsid w:val="00080C3A"/>
    <w:rsid w:val="00081D20"/>
    <w:rsid w:val="0008664C"/>
    <w:rsid w:val="0009661A"/>
    <w:rsid w:val="0009678A"/>
    <w:rsid w:val="00096AD6"/>
    <w:rsid w:val="000A0FCD"/>
    <w:rsid w:val="000A3270"/>
    <w:rsid w:val="000A62D2"/>
    <w:rsid w:val="000B030B"/>
    <w:rsid w:val="000B077F"/>
    <w:rsid w:val="000B0971"/>
    <w:rsid w:val="000B12F2"/>
    <w:rsid w:val="000B168D"/>
    <w:rsid w:val="000B2F86"/>
    <w:rsid w:val="000B4A47"/>
    <w:rsid w:val="000B6C26"/>
    <w:rsid w:val="000C0E00"/>
    <w:rsid w:val="000C0E95"/>
    <w:rsid w:val="000C5290"/>
    <w:rsid w:val="000C6748"/>
    <w:rsid w:val="000C6B19"/>
    <w:rsid w:val="000C7527"/>
    <w:rsid w:val="000D2883"/>
    <w:rsid w:val="000D38CF"/>
    <w:rsid w:val="000E0F80"/>
    <w:rsid w:val="000E3BF5"/>
    <w:rsid w:val="000E7FC7"/>
    <w:rsid w:val="000F0A2B"/>
    <w:rsid w:val="000F2291"/>
    <w:rsid w:val="000F3DAD"/>
    <w:rsid w:val="000F46F0"/>
    <w:rsid w:val="000F79F4"/>
    <w:rsid w:val="00102FCE"/>
    <w:rsid w:val="00104FAC"/>
    <w:rsid w:val="00105C0D"/>
    <w:rsid w:val="001065FD"/>
    <w:rsid w:val="00107736"/>
    <w:rsid w:val="001078ED"/>
    <w:rsid w:val="00110CCE"/>
    <w:rsid w:val="00114869"/>
    <w:rsid w:val="0011664B"/>
    <w:rsid w:val="00117694"/>
    <w:rsid w:val="00117EFB"/>
    <w:rsid w:val="001205E7"/>
    <w:rsid w:val="00132B2A"/>
    <w:rsid w:val="001364DE"/>
    <w:rsid w:val="00137B06"/>
    <w:rsid w:val="00137EBB"/>
    <w:rsid w:val="0014444B"/>
    <w:rsid w:val="001458AD"/>
    <w:rsid w:val="0015202F"/>
    <w:rsid w:val="00152BB9"/>
    <w:rsid w:val="00152E3D"/>
    <w:rsid w:val="0015365A"/>
    <w:rsid w:val="001543DA"/>
    <w:rsid w:val="00154A5B"/>
    <w:rsid w:val="0016208F"/>
    <w:rsid w:val="00162598"/>
    <w:rsid w:val="00164AC6"/>
    <w:rsid w:val="00164C15"/>
    <w:rsid w:val="00165D3B"/>
    <w:rsid w:val="0016732B"/>
    <w:rsid w:val="00167DA9"/>
    <w:rsid w:val="00167F29"/>
    <w:rsid w:val="00170570"/>
    <w:rsid w:val="0017223A"/>
    <w:rsid w:val="00172983"/>
    <w:rsid w:val="00172A31"/>
    <w:rsid w:val="00172E45"/>
    <w:rsid w:val="00176686"/>
    <w:rsid w:val="00177D78"/>
    <w:rsid w:val="00183337"/>
    <w:rsid w:val="00193780"/>
    <w:rsid w:val="001A1BE8"/>
    <w:rsid w:val="001A2141"/>
    <w:rsid w:val="001A2F51"/>
    <w:rsid w:val="001A3541"/>
    <w:rsid w:val="001A3630"/>
    <w:rsid w:val="001A5640"/>
    <w:rsid w:val="001B445C"/>
    <w:rsid w:val="001B5CFC"/>
    <w:rsid w:val="001B660B"/>
    <w:rsid w:val="001C3CAA"/>
    <w:rsid w:val="001C6137"/>
    <w:rsid w:val="001C6EDA"/>
    <w:rsid w:val="001C79CB"/>
    <w:rsid w:val="001D0265"/>
    <w:rsid w:val="001D0CA7"/>
    <w:rsid w:val="001D342F"/>
    <w:rsid w:val="001D37DC"/>
    <w:rsid w:val="001E045F"/>
    <w:rsid w:val="001E08A7"/>
    <w:rsid w:val="001E1A56"/>
    <w:rsid w:val="001E1C46"/>
    <w:rsid w:val="001E22AF"/>
    <w:rsid w:val="001E2849"/>
    <w:rsid w:val="001E386C"/>
    <w:rsid w:val="001E41BE"/>
    <w:rsid w:val="001E4A85"/>
    <w:rsid w:val="001E6516"/>
    <w:rsid w:val="001E7B65"/>
    <w:rsid w:val="001F403C"/>
    <w:rsid w:val="001F5181"/>
    <w:rsid w:val="00201F3C"/>
    <w:rsid w:val="002037DC"/>
    <w:rsid w:val="00204705"/>
    <w:rsid w:val="00207552"/>
    <w:rsid w:val="0021062F"/>
    <w:rsid w:val="00210A45"/>
    <w:rsid w:val="00212196"/>
    <w:rsid w:val="00213A4E"/>
    <w:rsid w:val="00213AEE"/>
    <w:rsid w:val="00213CF8"/>
    <w:rsid w:val="00215432"/>
    <w:rsid w:val="00222E3A"/>
    <w:rsid w:val="00223093"/>
    <w:rsid w:val="002259D2"/>
    <w:rsid w:val="00225CE4"/>
    <w:rsid w:val="00230200"/>
    <w:rsid w:val="00230238"/>
    <w:rsid w:val="002338A6"/>
    <w:rsid w:val="002339D7"/>
    <w:rsid w:val="002346E1"/>
    <w:rsid w:val="00234849"/>
    <w:rsid w:val="00241FA3"/>
    <w:rsid w:val="00242327"/>
    <w:rsid w:val="00242E26"/>
    <w:rsid w:val="0024560B"/>
    <w:rsid w:val="00247854"/>
    <w:rsid w:val="002478FA"/>
    <w:rsid w:val="00247D67"/>
    <w:rsid w:val="002500CD"/>
    <w:rsid w:val="00252F3E"/>
    <w:rsid w:val="00253301"/>
    <w:rsid w:val="0025381C"/>
    <w:rsid w:val="0025503A"/>
    <w:rsid w:val="0025797C"/>
    <w:rsid w:val="00261E6D"/>
    <w:rsid w:val="00263F31"/>
    <w:rsid w:val="00264D54"/>
    <w:rsid w:val="00264FE7"/>
    <w:rsid w:val="00265803"/>
    <w:rsid w:val="002663A9"/>
    <w:rsid w:val="00266C1B"/>
    <w:rsid w:val="002674F6"/>
    <w:rsid w:val="0027117F"/>
    <w:rsid w:val="00271704"/>
    <w:rsid w:val="00272474"/>
    <w:rsid w:val="00274151"/>
    <w:rsid w:val="0027781A"/>
    <w:rsid w:val="002825CC"/>
    <w:rsid w:val="002826D1"/>
    <w:rsid w:val="002858E0"/>
    <w:rsid w:val="002864F9"/>
    <w:rsid w:val="00287D20"/>
    <w:rsid w:val="0029107C"/>
    <w:rsid w:val="002912FA"/>
    <w:rsid w:val="002939A4"/>
    <w:rsid w:val="0029462D"/>
    <w:rsid w:val="00294715"/>
    <w:rsid w:val="002A1391"/>
    <w:rsid w:val="002A6A1A"/>
    <w:rsid w:val="002B1D39"/>
    <w:rsid w:val="002B360E"/>
    <w:rsid w:val="002B4803"/>
    <w:rsid w:val="002B65D5"/>
    <w:rsid w:val="002C1F41"/>
    <w:rsid w:val="002C32D9"/>
    <w:rsid w:val="002C4180"/>
    <w:rsid w:val="002D0D21"/>
    <w:rsid w:val="002D7343"/>
    <w:rsid w:val="002D7EEA"/>
    <w:rsid w:val="002E5D85"/>
    <w:rsid w:val="002E5FC8"/>
    <w:rsid w:val="002E6A18"/>
    <w:rsid w:val="002E732C"/>
    <w:rsid w:val="002E77B7"/>
    <w:rsid w:val="002E7EC9"/>
    <w:rsid w:val="002F02DC"/>
    <w:rsid w:val="002F1CBF"/>
    <w:rsid w:val="002F1F79"/>
    <w:rsid w:val="002F3D84"/>
    <w:rsid w:val="002F5335"/>
    <w:rsid w:val="002F5F96"/>
    <w:rsid w:val="002F69EA"/>
    <w:rsid w:val="003026FC"/>
    <w:rsid w:val="00303569"/>
    <w:rsid w:val="00303941"/>
    <w:rsid w:val="0030523E"/>
    <w:rsid w:val="00305C48"/>
    <w:rsid w:val="00305C4B"/>
    <w:rsid w:val="00306D54"/>
    <w:rsid w:val="00312096"/>
    <w:rsid w:val="00312535"/>
    <w:rsid w:val="00312D71"/>
    <w:rsid w:val="003132F0"/>
    <w:rsid w:val="00315146"/>
    <w:rsid w:val="00317759"/>
    <w:rsid w:val="003218E5"/>
    <w:rsid w:val="0032245D"/>
    <w:rsid w:val="0032264B"/>
    <w:rsid w:val="0032499F"/>
    <w:rsid w:val="00325C16"/>
    <w:rsid w:val="00326130"/>
    <w:rsid w:val="003266A1"/>
    <w:rsid w:val="003276E0"/>
    <w:rsid w:val="003303EE"/>
    <w:rsid w:val="00330AF1"/>
    <w:rsid w:val="00332309"/>
    <w:rsid w:val="00335F98"/>
    <w:rsid w:val="00336ECF"/>
    <w:rsid w:val="00341B45"/>
    <w:rsid w:val="0034672F"/>
    <w:rsid w:val="00352012"/>
    <w:rsid w:val="00357AAE"/>
    <w:rsid w:val="00360506"/>
    <w:rsid w:val="0036349A"/>
    <w:rsid w:val="00363639"/>
    <w:rsid w:val="00363C97"/>
    <w:rsid w:val="003673BF"/>
    <w:rsid w:val="00373D03"/>
    <w:rsid w:val="003800FA"/>
    <w:rsid w:val="00380270"/>
    <w:rsid w:val="0038112D"/>
    <w:rsid w:val="00381252"/>
    <w:rsid w:val="003812D6"/>
    <w:rsid w:val="00381BDF"/>
    <w:rsid w:val="00384EEE"/>
    <w:rsid w:val="00392CE2"/>
    <w:rsid w:val="00394580"/>
    <w:rsid w:val="00395052"/>
    <w:rsid w:val="003956E9"/>
    <w:rsid w:val="003A0B65"/>
    <w:rsid w:val="003A1F00"/>
    <w:rsid w:val="003A2303"/>
    <w:rsid w:val="003A2460"/>
    <w:rsid w:val="003A371D"/>
    <w:rsid w:val="003A3A11"/>
    <w:rsid w:val="003A3AEA"/>
    <w:rsid w:val="003A3B1B"/>
    <w:rsid w:val="003B4B4B"/>
    <w:rsid w:val="003B732D"/>
    <w:rsid w:val="003C0758"/>
    <w:rsid w:val="003C325E"/>
    <w:rsid w:val="003C55A5"/>
    <w:rsid w:val="003C627C"/>
    <w:rsid w:val="003C7D7F"/>
    <w:rsid w:val="003D14FE"/>
    <w:rsid w:val="003D16EF"/>
    <w:rsid w:val="003D4C7D"/>
    <w:rsid w:val="003D6D22"/>
    <w:rsid w:val="003D7FE9"/>
    <w:rsid w:val="003E047F"/>
    <w:rsid w:val="003E076E"/>
    <w:rsid w:val="003E2882"/>
    <w:rsid w:val="003E4B24"/>
    <w:rsid w:val="003E4EB2"/>
    <w:rsid w:val="003E7D98"/>
    <w:rsid w:val="003F06AA"/>
    <w:rsid w:val="003F0E19"/>
    <w:rsid w:val="003F12FF"/>
    <w:rsid w:val="003F1904"/>
    <w:rsid w:val="003F2EF2"/>
    <w:rsid w:val="00400C72"/>
    <w:rsid w:val="00400DCA"/>
    <w:rsid w:val="00403C24"/>
    <w:rsid w:val="004069B1"/>
    <w:rsid w:val="0041327F"/>
    <w:rsid w:val="004137C4"/>
    <w:rsid w:val="00413835"/>
    <w:rsid w:val="004142E0"/>
    <w:rsid w:val="00420593"/>
    <w:rsid w:val="004234C6"/>
    <w:rsid w:val="00424044"/>
    <w:rsid w:val="00425ACD"/>
    <w:rsid w:val="00433EDB"/>
    <w:rsid w:val="0043768F"/>
    <w:rsid w:val="00440168"/>
    <w:rsid w:val="00441DCC"/>
    <w:rsid w:val="0044241A"/>
    <w:rsid w:val="00442D53"/>
    <w:rsid w:val="00443B2C"/>
    <w:rsid w:val="00452394"/>
    <w:rsid w:val="00453E69"/>
    <w:rsid w:val="00457E64"/>
    <w:rsid w:val="004613A1"/>
    <w:rsid w:val="00461464"/>
    <w:rsid w:val="0046499C"/>
    <w:rsid w:val="00465CA8"/>
    <w:rsid w:val="00466501"/>
    <w:rsid w:val="00470F43"/>
    <w:rsid w:val="00473518"/>
    <w:rsid w:val="00473587"/>
    <w:rsid w:val="00476047"/>
    <w:rsid w:val="0047610E"/>
    <w:rsid w:val="00477BA6"/>
    <w:rsid w:val="00480F55"/>
    <w:rsid w:val="00483CB5"/>
    <w:rsid w:val="0048466B"/>
    <w:rsid w:val="00487FE3"/>
    <w:rsid w:val="00493409"/>
    <w:rsid w:val="004953AA"/>
    <w:rsid w:val="00497706"/>
    <w:rsid w:val="004A0929"/>
    <w:rsid w:val="004A2524"/>
    <w:rsid w:val="004A2533"/>
    <w:rsid w:val="004A2E20"/>
    <w:rsid w:val="004A77D8"/>
    <w:rsid w:val="004B0223"/>
    <w:rsid w:val="004B0E14"/>
    <w:rsid w:val="004B1596"/>
    <w:rsid w:val="004B1DB4"/>
    <w:rsid w:val="004B511C"/>
    <w:rsid w:val="004B51A2"/>
    <w:rsid w:val="004B7216"/>
    <w:rsid w:val="004B7DA3"/>
    <w:rsid w:val="004C0C34"/>
    <w:rsid w:val="004C18B8"/>
    <w:rsid w:val="004C49F1"/>
    <w:rsid w:val="004C4BA7"/>
    <w:rsid w:val="004C70BB"/>
    <w:rsid w:val="004D175C"/>
    <w:rsid w:val="004D48B8"/>
    <w:rsid w:val="004D49FE"/>
    <w:rsid w:val="004D5232"/>
    <w:rsid w:val="004D74C1"/>
    <w:rsid w:val="004E094C"/>
    <w:rsid w:val="004E1C94"/>
    <w:rsid w:val="004E2367"/>
    <w:rsid w:val="004E2B57"/>
    <w:rsid w:val="004E303F"/>
    <w:rsid w:val="004E596A"/>
    <w:rsid w:val="004E7C62"/>
    <w:rsid w:val="004F2344"/>
    <w:rsid w:val="004F2E09"/>
    <w:rsid w:val="004F320A"/>
    <w:rsid w:val="004F6036"/>
    <w:rsid w:val="004F71F4"/>
    <w:rsid w:val="00511433"/>
    <w:rsid w:val="005125C2"/>
    <w:rsid w:val="005130DC"/>
    <w:rsid w:val="005140C1"/>
    <w:rsid w:val="00515745"/>
    <w:rsid w:val="0051591C"/>
    <w:rsid w:val="005171F1"/>
    <w:rsid w:val="0052315D"/>
    <w:rsid w:val="00531DEA"/>
    <w:rsid w:val="005362AF"/>
    <w:rsid w:val="00540B36"/>
    <w:rsid w:val="00541E5F"/>
    <w:rsid w:val="005421E6"/>
    <w:rsid w:val="00542E10"/>
    <w:rsid w:val="00544E50"/>
    <w:rsid w:val="00545638"/>
    <w:rsid w:val="00546F98"/>
    <w:rsid w:val="00551B0C"/>
    <w:rsid w:val="00563158"/>
    <w:rsid w:val="0057064B"/>
    <w:rsid w:val="00572289"/>
    <w:rsid w:val="005730B3"/>
    <w:rsid w:val="005742CD"/>
    <w:rsid w:val="00575DF3"/>
    <w:rsid w:val="00576F0B"/>
    <w:rsid w:val="0057755F"/>
    <w:rsid w:val="00582BE7"/>
    <w:rsid w:val="00583A2F"/>
    <w:rsid w:val="00584BE9"/>
    <w:rsid w:val="005851E1"/>
    <w:rsid w:val="00591525"/>
    <w:rsid w:val="00591FE1"/>
    <w:rsid w:val="00592FC4"/>
    <w:rsid w:val="005934EE"/>
    <w:rsid w:val="00593A80"/>
    <w:rsid w:val="005940B2"/>
    <w:rsid w:val="00595C7D"/>
    <w:rsid w:val="005A0A6A"/>
    <w:rsid w:val="005A2F3A"/>
    <w:rsid w:val="005A5966"/>
    <w:rsid w:val="005A5EB6"/>
    <w:rsid w:val="005A6486"/>
    <w:rsid w:val="005A6D85"/>
    <w:rsid w:val="005B27A9"/>
    <w:rsid w:val="005B63BC"/>
    <w:rsid w:val="005B75AD"/>
    <w:rsid w:val="005C3ABA"/>
    <w:rsid w:val="005C47B5"/>
    <w:rsid w:val="005C48CC"/>
    <w:rsid w:val="005C5B24"/>
    <w:rsid w:val="005C68F4"/>
    <w:rsid w:val="005D0486"/>
    <w:rsid w:val="005D245E"/>
    <w:rsid w:val="005D2550"/>
    <w:rsid w:val="005D4F1F"/>
    <w:rsid w:val="005D6953"/>
    <w:rsid w:val="005D70BB"/>
    <w:rsid w:val="005D718F"/>
    <w:rsid w:val="005E08FD"/>
    <w:rsid w:val="005E5526"/>
    <w:rsid w:val="005F10C8"/>
    <w:rsid w:val="005F1432"/>
    <w:rsid w:val="005F1F9E"/>
    <w:rsid w:val="005F482D"/>
    <w:rsid w:val="0060138D"/>
    <w:rsid w:val="006029B6"/>
    <w:rsid w:val="00605343"/>
    <w:rsid w:val="00613065"/>
    <w:rsid w:val="006130B7"/>
    <w:rsid w:val="0062441D"/>
    <w:rsid w:val="00624AC6"/>
    <w:rsid w:val="00624C88"/>
    <w:rsid w:val="00624E6E"/>
    <w:rsid w:val="006250A7"/>
    <w:rsid w:val="00625B24"/>
    <w:rsid w:val="006355B2"/>
    <w:rsid w:val="00637D38"/>
    <w:rsid w:val="00641384"/>
    <w:rsid w:val="0064221F"/>
    <w:rsid w:val="00642221"/>
    <w:rsid w:val="00642D78"/>
    <w:rsid w:val="006430A8"/>
    <w:rsid w:val="00646E6C"/>
    <w:rsid w:val="0064725D"/>
    <w:rsid w:val="006479F2"/>
    <w:rsid w:val="00650BA4"/>
    <w:rsid w:val="00654277"/>
    <w:rsid w:val="00655C05"/>
    <w:rsid w:val="00656B56"/>
    <w:rsid w:val="00657B3A"/>
    <w:rsid w:val="006626B8"/>
    <w:rsid w:val="00663348"/>
    <w:rsid w:val="00664EB8"/>
    <w:rsid w:val="00665691"/>
    <w:rsid w:val="0066656C"/>
    <w:rsid w:val="00667083"/>
    <w:rsid w:val="00667098"/>
    <w:rsid w:val="0067031C"/>
    <w:rsid w:val="00671B94"/>
    <w:rsid w:val="00672A0B"/>
    <w:rsid w:val="006750FD"/>
    <w:rsid w:val="00676C1C"/>
    <w:rsid w:val="00683843"/>
    <w:rsid w:val="00692D35"/>
    <w:rsid w:val="006934F5"/>
    <w:rsid w:val="00694C82"/>
    <w:rsid w:val="006952F7"/>
    <w:rsid w:val="006953C8"/>
    <w:rsid w:val="00697D7E"/>
    <w:rsid w:val="006A3A3A"/>
    <w:rsid w:val="006A4184"/>
    <w:rsid w:val="006A4283"/>
    <w:rsid w:val="006A6760"/>
    <w:rsid w:val="006B1BBB"/>
    <w:rsid w:val="006B30C4"/>
    <w:rsid w:val="006B40BB"/>
    <w:rsid w:val="006C3AF1"/>
    <w:rsid w:val="006C57C1"/>
    <w:rsid w:val="006C7F19"/>
    <w:rsid w:val="006D0A29"/>
    <w:rsid w:val="006D2230"/>
    <w:rsid w:val="006D34EC"/>
    <w:rsid w:val="006D5338"/>
    <w:rsid w:val="006D5486"/>
    <w:rsid w:val="006D743C"/>
    <w:rsid w:val="006D7D4B"/>
    <w:rsid w:val="006E7422"/>
    <w:rsid w:val="006F0215"/>
    <w:rsid w:val="006F210F"/>
    <w:rsid w:val="006F5C59"/>
    <w:rsid w:val="006F5EF9"/>
    <w:rsid w:val="006F6DBE"/>
    <w:rsid w:val="006F7150"/>
    <w:rsid w:val="006F79B0"/>
    <w:rsid w:val="00700C79"/>
    <w:rsid w:val="00700F79"/>
    <w:rsid w:val="00701901"/>
    <w:rsid w:val="007042E0"/>
    <w:rsid w:val="00704B2A"/>
    <w:rsid w:val="00705F66"/>
    <w:rsid w:val="00706548"/>
    <w:rsid w:val="0071140D"/>
    <w:rsid w:val="00711E47"/>
    <w:rsid w:val="00714028"/>
    <w:rsid w:val="007177F1"/>
    <w:rsid w:val="00717AB8"/>
    <w:rsid w:val="00720CF0"/>
    <w:rsid w:val="0072351B"/>
    <w:rsid w:val="007237BA"/>
    <w:rsid w:val="00723C23"/>
    <w:rsid w:val="00726CB4"/>
    <w:rsid w:val="00726CED"/>
    <w:rsid w:val="007315B7"/>
    <w:rsid w:val="007331C7"/>
    <w:rsid w:val="00736E95"/>
    <w:rsid w:val="00737F90"/>
    <w:rsid w:val="007421DD"/>
    <w:rsid w:val="00743D54"/>
    <w:rsid w:val="00744CE9"/>
    <w:rsid w:val="00745BC5"/>
    <w:rsid w:val="007461A2"/>
    <w:rsid w:val="007462F2"/>
    <w:rsid w:val="00746450"/>
    <w:rsid w:val="0074716A"/>
    <w:rsid w:val="00747E79"/>
    <w:rsid w:val="00750ECA"/>
    <w:rsid w:val="00751CB5"/>
    <w:rsid w:val="00752670"/>
    <w:rsid w:val="007555A4"/>
    <w:rsid w:val="007614CD"/>
    <w:rsid w:val="00764FD6"/>
    <w:rsid w:val="00765044"/>
    <w:rsid w:val="00766E18"/>
    <w:rsid w:val="007676CC"/>
    <w:rsid w:val="00767899"/>
    <w:rsid w:val="00772275"/>
    <w:rsid w:val="00776F42"/>
    <w:rsid w:val="00786291"/>
    <w:rsid w:val="00786B01"/>
    <w:rsid w:val="0079123A"/>
    <w:rsid w:val="00793728"/>
    <w:rsid w:val="0079673B"/>
    <w:rsid w:val="007A10FA"/>
    <w:rsid w:val="007A1FA2"/>
    <w:rsid w:val="007A6A88"/>
    <w:rsid w:val="007B18F4"/>
    <w:rsid w:val="007B45A3"/>
    <w:rsid w:val="007B53BB"/>
    <w:rsid w:val="007C04FB"/>
    <w:rsid w:val="007C0EE2"/>
    <w:rsid w:val="007C316B"/>
    <w:rsid w:val="007C4EB4"/>
    <w:rsid w:val="007C7AED"/>
    <w:rsid w:val="007D01AA"/>
    <w:rsid w:val="007D0D9C"/>
    <w:rsid w:val="007D124E"/>
    <w:rsid w:val="007D12CB"/>
    <w:rsid w:val="007D1C13"/>
    <w:rsid w:val="007D1CBC"/>
    <w:rsid w:val="007D20F1"/>
    <w:rsid w:val="007D2A45"/>
    <w:rsid w:val="007D5828"/>
    <w:rsid w:val="007D6695"/>
    <w:rsid w:val="007D782E"/>
    <w:rsid w:val="007E2AE6"/>
    <w:rsid w:val="007E35B9"/>
    <w:rsid w:val="007E3B3A"/>
    <w:rsid w:val="007E47B7"/>
    <w:rsid w:val="007E5073"/>
    <w:rsid w:val="007E712B"/>
    <w:rsid w:val="007F01E3"/>
    <w:rsid w:val="007F0DE5"/>
    <w:rsid w:val="0080004C"/>
    <w:rsid w:val="00801B4F"/>
    <w:rsid w:val="00802EDB"/>
    <w:rsid w:val="00803440"/>
    <w:rsid w:val="008043C4"/>
    <w:rsid w:val="008079E1"/>
    <w:rsid w:val="00810141"/>
    <w:rsid w:val="00811B82"/>
    <w:rsid w:val="0081550F"/>
    <w:rsid w:val="00815CA5"/>
    <w:rsid w:val="00817CAD"/>
    <w:rsid w:val="00823E4B"/>
    <w:rsid w:val="0082532F"/>
    <w:rsid w:val="008257C6"/>
    <w:rsid w:val="00825932"/>
    <w:rsid w:val="00833FF8"/>
    <w:rsid w:val="00840661"/>
    <w:rsid w:val="00843FE3"/>
    <w:rsid w:val="008446FB"/>
    <w:rsid w:val="008509BC"/>
    <w:rsid w:val="0085145E"/>
    <w:rsid w:val="00860DA8"/>
    <w:rsid w:val="008629F5"/>
    <w:rsid w:val="00867083"/>
    <w:rsid w:val="008744B7"/>
    <w:rsid w:val="00874A82"/>
    <w:rsid w:val="00874CAE"/>
    <w:rsid w:val="00877E17"/>
    <w:rsid w:val="0088096F"/>
    <w:rsid w:val="00882DE3"/>
    <w:rsid w:val="00883801"/>
    <w:rsid w:val="00884CE8"/>
    <w:rsid w:val="0088512A"/>
    <w:rsid w:val="00885D1A"/>
    <w:rsid w:val="008878E3"/>
    <w:rsid w:val="0089022B"/>
    <w:rsid w:val="00891ECA"/>
    <w:rsid w:val="00892DBF"/>
    <w:rsid w:val="00896B7B"/>
    <w:rsid w:val="00897629"/>
    <w:rsid w:val="008A0332"/>
    <w:rsid w:val="008A0B30"/>
    <w:rsid w:val="008A1AA0"/>
    <w:rsid w:val="008A297F"/>
    <w:rsid w:val="008A61BC"/>
    <w:rsid w:val="008A7747"/>
    <w:rsid w:val="008A7DD1"/>
    <w:rsid w:val="008A7E84"/>
    <w:rsid w:val="008B1EE6"/>
    <w:rsid w:val="008B50EA"/>
    <w:rsid w:val="008B5B27"/>
    <w:rsid w:val="008C04CE"/>
    <w:rsid w:val="008C100E"/>
    <w:rsid w:val="008C1F9D"/>
    <w:rsid w:val="008C2B2C"/>
    <w:rsid w:val="008C3F72"/>
    <w:rsid w:val="008C71AC"/>
    <w:rsid w:val="008C7D58"/>
    <w:rsid w:val="008D03C9"/>
    <w:rsid w:val="008D79F4"/>
    <w:rsid w:val="008D7A21"/>
    <w:rsid w:val="008E3FAA"/>
    <w:rsid w:val="008E6E20"/>
    <w:rsid w:val="008F0689"/>
    <w:rsid w:val="008F137D"/>
    <w:rsid w:val="008F406B"/>
    <w:rsid w:val="008F4D13"/>
    <w:rsid w:val="008F7A6D"/>
    <w:rsid w:val="009005D8"/>
    <w:rsid w:val="009025F6"/>
    <w:rsid w:val="009047C2"/>
    <w:rsid w:val="00905626"/>
    <w:rsid w:val="00906947"/>
    <w:rsid w:val="00914642"/>
    <w:rsid w:val="00915643"/>
    <w:rsid w:val="00917CC6"/>
    <w:rsid w:val="009207EC"/>
    <w:rsid w:val="00920F77"/>
    <w:rsid w:val="00923BFD"/>
    <w:rsid w:val="00925A62"/>
    <w:rsid w:val="00925C97"/>
    <w:rsid w:val="0093050F"/>
    <w:rsid w:val="009351BF"/>
    <w:rsid w:val="00936D4E"/>
    <w:rsid w:val="009372D2"/>
    <w:rsid w:val="009426DD"/>
    <w:rsid w:val="009443E0"/>
    <w:rsid w:val="009444FA"/>
    <w:rsid w:val="00945F31"/>
    <w:rsid w:val="009466FB"/>
    <w:rsid w:val="00950524"/>
    <w:rsid w:val="00950A71"/>
    <w:rsid w:val="009515D4"/>
    <w:rsid w:val="009526A5"/>
    <w:rsid w:val="009540EA"/>
    <w:rsid w:val="009553E1"/>
    <w:rsid w:val="00955634"/>
    <w:rsid w:val="009568F0"/>
    <w:rsid w:val="0096063B"/>
    <w:rsid w:val="00961D21"/>
    <w:rsid w:val="009625F8"/>
    <w:rsid w:val="00962D7D"/>
    <w:rsid w:val="00964DC8"/>
    <w:rsid w:val="00965E10"/>
    <w:rsid w:val="00966081"/>
    <w:rsid w:val="0096693C"/>
    <w:rsid w:val="00975C33"/>
    <w:rsid w:val="00980C6E"/>
    <w:rsid w:val="009821D1"/>
    <w:rsid w:val="00985622"/>
    <w:rsid w:val="00990F84"/>
    <w:rsid w:val="00994C84"/>
    <w:rsid w:val="00996AE3"/>
    <w:rsid w:val="00996C75"/>
    <w:rsid w:val="009A16E3"/>
    <w:rsid w:val="009A5246"/>
    <w:rsid w:val="009A6BDE"/>
    <w:rsid w:val="009B09C9"/>
    <w:rsid w:val="009B1292"/>
    <w:rsid w:val="009B1355"/>
    <w:rsid w:val="009B65D3"/>
    <w:rsid w:val="009B6F48"/>
    <w:rsid w:val="009C1CA3"/>
    <w:rsid w:val="009D3C83"/>
    <w:rsid w:val="009D4804"/>
    <w:rsid w:val="009D4FA4"/>
    <w:rsid w:val="009D5791"/>
    <w:rsid w:val="009D76BD"/>
    <w:rsid w:val="009E1543"/>
    <w:rsid w:val="009E1E44"/>
    <w:rsid w:val="009E3049"/>
    <w:rsid w:val="009E3454"/>
    <w:rsid w:val="009E4D08"/>
    <w:rsid w:val="009E5E07"/>
    <w:rsid w:val="009E729A"/>
    <w:rsid w:val="009F00A3"/>
    <w:rsid w:val="009F3D38"/>
    <w:rsid w:val="00A00222"/>
    <w:rsid w:val="00A0077B"/>
    <w:rsid w:val="00A01008"/>
    <w:rsid w:val="00A0121F"/>
    <w:rsid w:val="00A02FCE"/>
    <w:rsid w:val="00A04D4E"/>
    <w:rsid w:val="00A04E8E"/>
    <w:rsid w:val="00A10211"/>
    <w:rsid w:val="00A10C62"/>
    <w:rsid w:val="00A12579"/>
    <w:rsid w:val="00A12EBA"/>
    <w:rsid w:val="00A20F4B"/>
    <w:rsid w:val="00A23453"/>
    <w:rsid w:val="00A24E03"/>
    <w:rsid w:val="00A27C42"/>
    <w:rsid w:val="00A30DBE"/>
    <w:rsid w:val="00A36878"/>
    <w:rsid w:val="00A37B7C"/>
    <w:rsid w:val="00A42FD4"/>
    <w:rsid w:val="00A44562"/>
    <w:rsid w:val="00A44F7A"/>
    <w:rsid w:val="00A505D5"/>
    <w:rsid w:val="00A5452F"/>
    <w:rsid w:val="00A54F48"/>
    <w:rsid w:val="00A553E2"/>
    <w:rsid w:val="00A57946"/>
    <w:rsid w:val="00A60468"/>
    <w:rsid w:val="00A61948"/>
    <w:rsid w:val="00A61A91"/>
    <w:rsid w:val="00A65BF4"/>
    <w:rsid w:val="00A664DC"/>
    <w:rsid w:val="00A70E90"/>
    <w:rsid w:val="00A7133E"/>
    <w:rsid w:val="00A75F50"/>
    <w:rsid w:val="00A81E91"/>
    <w:rsid w:val="00A83592"/>
    <w:rsid w:val="00A850F2"/>
    <w:rsid w:val="00A8517E"/>
    <w:rsid w:val="00A85292"/>
    <w:rsid w:val="00A85E6C"/>
    <w:rsid w:val="00A90124"/>
    <w:rsid w:val="00A903EC"/>
    <w:rsid w:val="00A90B45"/>
    <w:rsid w:val="00A91A8D"/>
    <w:rsid w:val="00A92A0B"/>
    <w:rsid w:val="00A96145"/>
    <w:rsid w:val="00AA0760"/>
    <w:rsid w:val="00AA21C1"/>
    <w:rsid w:val="00AA24B2"/>
    <w:rsid w:val="00AA397A"/>
    <w:rsid w:val="00AA55ED"/>
    <w:rsid w:val="00AA66C3"/>
    <w:rsid w:val="00AB12D7"/>
    <w:rsid w:val="00AB178B"/>
    <w:rsid w:val="00AB54EE"/>
    <w:rsid w:val="00AB5752"/>
    <w:rsid w:val="00AB764D"/>
    <w:rsid w:val="00AC0B0E"/>
    <w:rsid w:val="00AC1C82"/>
    <w:rsid w:val="00AC2000"/>
    <w:rsid w:val="00AC28ED"/>
    <w:rsid w:val="00AC5BCF"/>
    <w:rsid w:val="00AD0DBA"/>
    <w:rsid w:val="00AD1E28"/>
    <w:rsid w:val="00AE08B2"/>
    <w:rsid w:val="00AE17D7"/>
    <w:rsid w:val="00AE236C"/>
    <w:rsid w:val="00AE39EA"/>
    <w:rsid w:val="00AE4466"/>
    <w:rsid w:val="00AE63D1"/>
    <w:rsid w:val="00AF0E57"/>
    <w:rsid w:val="00AF3BE2"/>
    <w:rsid w:val="00AF4D21"/>
    <w:rsid w:val="00AF74E4"/>
    <w:rsid w:val="00B01422"/>
    <w:rsid w:val="00B0462C"/>
    <w:rsid w:val="00B04728"/>
    <w:rsid w:val="00B04AFF"/>
    <w:rsid w:val="00B06C7E"/>
    <w:rsid w:val="00B102BE"/>
    <w:rsid w:val="00B12AD7"/>
    <w:rsid w:val="00B12BBE"/>
    <w:rsid w:val="00B1580D"/>
    <w:rsid w:val="00B1792D"/>
    <w:rsid w:val="00B2119C"/>
    <w:rsid w:val="00B2183D"/>
    <w:rsid w:val="00B245D0"/>
    <w:rsid w:val="00B24733"/>
    <w:rsid w:val="00B27ECA"/>
    <w:rsid w:val="00B30C65"/>
    <w:rsid w:val="00B32185"/>
    <w:rsid w:val="00B35473"/>
    <w:rsid w:val="00B35D4C"/>
    <w:rsid w:val="00B37750"/>
    <w:rsid w:val="00B40CF7"/>
    <w:rsid w:val="00B40DF1"/>
    <w:rsid w:val="00B413E2"/>
    <w:rsid w:val="00B43248"/>
    <w:rsid w:val="00B43634"/>
    <w:rsid w:val="00B547EE"/>
    <w:rsid w:val="00B55966"/>
    <w:rsid w:val="00B56D2A"/>
    <w:rsid w:val="00B605B9"/>
    <w:rsid w:val="00B64AA8"/>
    <w:rsid w:val="00B64B99"/>
    <w:rsid w:val="00B65F86"/>
    <w:rsid w:val="00B6698B"/>
    <w:rsid w:val="00B70BE2"/>
    <w:rsid w:val="00B7255A"/>
    <w:rsid w:val="00B72D78"/>
    <w:rsid w:val="00B73499"/>
    <w:rsid w:val="00B73D1C"/>
    <w:rsid w:val="00B74394"/>
    <w:rsid w:val="00B800AD"/>
    <w:rsid w:val="00B83A52"/>
    <w:rsid w:val="00B860DC"/>
    <w:rsid w:val="00B90A80"/>
    <w:rsid w:val="00B93D2A"/>
    <w:rsid w:val="00B940B5"/>
    <w:rsid w:val="00B94874"/>
    <w:rsid w:val="00B94919"/>
    <w:rsid w:val="00BA13F2"/>
    <w:rsid w:val="00BA1EB9"/>
    <w:rsid w:val="00BA405C"/>
    <w:rsid w:val="00BA4B17"/>
    <w:rsid w:val="00BA7816"/>
    <w:rsid w:val="00BB6531"/>
    <w:rsid w:val="00BC32AE"/>
    <w:rsid w:val="00BC49DC"/>
    <w:rsid w:val="00BC508A"/>
    <w:rsid w:val="00BD10BA"/>
    <w:rsid w:val="00BD14A3"/>
    <w:rsid w:val="00BD20D5"/>
    <w:rsid w:val="00BD2F0F"/>
    <w:rsid w:val="00BD5546"/>
    <w:rsid w:val="00BD728B"/>
    <w:rsid w:val="00BD72D5"/>
    <w:rsid w:val="00BE2B5E"/>
    <w:rsid w:val="00BE2FA3"/>
    <w:rsid w:val="00BE3550"/>
    <w:rsid w:val="00BE7ED3"/>
    <w:rsid w:val="00BF0A81"/>
    <w:rsid w:val="00BF202C"/>
    <w:rsid w:val="00BF2259"/>
    <w:rsid w:val="00BF4298"/>
    <w:rsid w:val="00BF4E86"/>
    <w:rsid w:val="00BF57D1"/>
    <w:rsid w:val="00BF5AA0"/>
    <w:rsid w:val="00BF6E8D"/>
    <w:rsid w:val="00C065F2"/>
    <w:rsid w:val="00C06C3D"/>
    <w:rsid w:val="00C07191"/>
    <w:rsid w:val="00C108A7"/>
    <w:rsid w:val="00C11329"/>
    <w:rsid w:val="00C1525E"/>
    <w:rsid w:val="00C15664"/>
    <w:rsid w:val="00C176A4"/>
    <w:rsid w:val="00C20523"/>
    <w:rsid w:val="00C2152D"/>
    <w:rsid w:val="00C26991"/>
    <w:rsid w:val="00C27882"/>
    <w:rsid w:val="00C3143C"/>
    <w:rsid w:val="00C349D4"/>
    <w:rsid w:val="00C358DB"/>
    <w:rsid w:val="00C370D9"/>
    <w:rsid w:val="00C37338"/>
    <w:rsid w:val="00C37702"/>
    <w:rsid w:val="00C40EBE"/>
    <w:rsid w:val="00C4181E"/>
    <w:rsid w:val="00C41AAE"/>
    <w:rsid w:val="00C41DCF"/>
    <w:rsid w:val="00C4303B"/>
    <w:rsid w:val="00C4467E"/>
    <w:rsid w:val="00C447C6"/>
    <w:rsid w:val="00C45871"/>
    <w:rsid w:val="00C47A10"/>
    <w:rsid w:val="00C47C63"/>
    <w:rsid w:val="00C5435D"/>
    <w:rsid w:val="00C546A5"/>
    <w:rsid w:val="00C55877"/>
    <w:rsid w:val="00C56C3B"/>
    <w:rsid w:val="00C61894"/>
    <w:rsid w:val="00C638E7"/>
    <w:rsid w:val="00C67F17"/>
    <w:rsid w:val="00C715A0"/>
    <w:rsid w:val="00C74977"/>
    <w:rsid w:val="00C7630A"/>
    <w:rsid w:val="00C813EB"/>
    <w:rsid w:val="00C81CC2"/>
    <w:rsid w:val="00C8301A"/>
    <w:rsid w:val="00C83884"/>
    <w:rsid w:val="00C85BCB"/>
    <w:rsid w:val="00C9293F"/>
    <w:rsid w:val="00C930B0"/>
    <w:rsid w:val="00C93BE3"/>
    <w:rsid w:val="00C96767"/>
    <w:rsid w:val="00C96B9A"/>
    <w:rsid w:val="00CB10F0"/>
    <w:rsid w:val="00CB1F3B"/>
    <w:rsid w:val="00CB5596"/>
    <w:rsid w:val="00CC1124"/>
    <w:rsid w:val="00CC468B"/>
    <w:rsid w:val="00CC5139"/>
    <w:rsid w:val="00CC7A78"/>
    <w:rsid w:val="00CD3E70"/>
    <w:rsid w:val="00CE2B08"/>
    <w:rsid w:val="00CE3408"/>
    <w:rsid w:val="00CE5DB4"/>
    <w:rsid w:val="00CE7761"/>
    <w:rsid w:val="00CF257F"/>
    <w:rsid w:val="00CF2767"/>
    <w:rsid w:val="00D005C3"/>
    <w:rsid w:val="00D01A7F"/>
    <w:rsid w:val="00D03C9C"/>
    <w:rsid w:val="00D10357"/>
    <w:rsid w:val="00D1077F"/>
    <w:rsid w:val="00D13CD8"/>
    <w:rsid w:val="00D15F74"/>
    <w:rsid w:val="00D22F48"/>
    <w:rsid w:val="00D252CB"/>
    <w:rsid w:val="00D26B6F"/>
    <w:rsid w:val="00D27FA5"/>
    <w:rsid w:val="00D32A2D"/>
    <w:rsid w:val="00D32FB4"/>
    <w:rsid w:val="00D37F23"/>
    <w:rsid w:val="00D37F3D"/>
    <w:rsid w:val="00D401A2"/>
    <w:rsid w:val="00D411A3"/>
    <w:rsid w:val="00D43EAA"/>
    <w:rsid w:val="00D47045"/>
    <w:rsid w:val="00D50D3E"/>
    <w:rsid w:val="00D53D74"/>
    <w:rsid w:val="00D5456B"/>
    <w:rsid w:val="00D54907"/>
    <w:rsid w:val="00D54C85"/>
    <w:rsid w:val="00D6040E"/>
    <w:rsid w:val="00D6184A"/>
    <w:rsid w:val="00D7110B"/>
    <w:rsid w:val="00D73FDD"/>
    <w:rsid w:val="00D76035"/>
    <w:rsid w:val="00D767F0"/>
    <w:rsid w:val="00D771B6"/>
    <w:rsid w:val="00D81B80"/>
    <w:rsid w:val="00D836B8"/>
    <w:rsid w:val="00D850BA"/>
    <w:rsid w:val="00D851C0"/>
    <w:rsid w:val="00D856C6"/>
    <w:rsid w:val="00D86511"/>
    <w:rsid w:val="00D875C0"/>
    <w:rsid w:val="00D90017"/>
    <w:rsid w:val="00D91357"/>
    <w:rsid w:val="00D9136B"/>
    <w:rsid w:val="00D92009"/>
    <w:rsid w:val="00D93F9B"/>
    <w:rsid w:val="00D943DB"/>
    <w:rsid w:val="00D94935"/>
    <w:rsid w:val="00D9544A"/>
    <w:rsid w:val="00D9591C"/>
    <w:rsid w:val="00D96330"/>
    <w:rsid w:val="00D97BE9"/>
    <w:rsid w:val="00DA1B6C"/>
    <w:rsid w:val="00DA2BE8"/>
    <w:rsid w:val="00DA3A65"/>
    <w:rsid w:val="00DA7ACE"/>
    <w:rsid w:val="00DC1258"/>
    <w:rsid w:val="00DC175D"/>
    <w:rsid w:val="00DC4D52"/>
    <w:rsid w:val="00DC52B3"/>
    <w:rsid w:val="00DC59E3"/>
    <w:rsid w:val="00DC5DB1"/>
    <w:rsid w:val="00DD0068"/>
    <w:rsid w:val="00DD1922"/>
    <w:rsid w:val="00DD25F6"/>
    <w:rsid w:val="00DD3A95"/>
    <w:rsid w:val="00DD5D1E"/>
    <w:rsid w:val="00DD7B47"/>
    <w:rsid w:val="00DE0911"/>
    <w:rsid w:val="00DE17C7"/>
    <w:rsid w:val="00DE4571"/>
    <w:rsid w:val="00DE5599"/>
    <w:rsid w:val="00DE6AB0"/>
    <w:rsid w:val="00DF1339"/>
    <w:rsid w:val="00DF1785"/>
    <w:rsid w:val="00DF1A1A"/>
    <w:rsid w:val="00DF2C04"/>
    <w:rsid w:val="00DF6104"/>
    <w:rsid w:val="00DF7E45"/>
    <w:rsid w:val="00E01FA7"/>
    <w:rsid w:val="00E032D2"/>
    <w:rsid w:val="00E03D11"/>
    <w:rsid w:val="00E1123F"/>
    <w:rsid w:val="00E1204F"/>
    <w:rsid w:val="00E2263E"/>
    <w:rsid w:val="00E2448B"/>
    <w:rsid w:val="00E25439"/>
    <w:rsid w:val="00E27737"/>
    <w:rsid w:val="00E312D1"/>
    <w:rsid w:val="00E35FCB"/>
    <w:rsid w:val="00E363F5"/>
    <w:rsid w:val="00E40BD3"/>
    <w:rsid w:val="00E422C6"/>
    <w:rsid w:val="00E42D0A"/>
    <w:rsid w:val="00E43389"/>
    <w:rsid w:val="00E43BEF"/>
    <w:rsid w:val="00E44B7B"/>
    <w:rsid w:val="00E51884"/>
    <w:rsid w:val="00E576DB"/>
    <w:rsid w:val="00E62AEC"/>
    <w:rsid w:val="00E63A7D"/>
    <w:rsid w:val="00E6543A"/>
    <w:rsid w:val="00E655FA"/>
    <w:rsid w:val="00E668A0"/>
    <w:rsid w:val="00E673AB"/>
    <w:rsid w:val="00E67DD1"/>
    <w:rsid w:val="00E71063"/>
    <w:rsid w:val="00E71217"/>
    <w:rsid w:val="00E72B07"/>
    <w:rsid w:val="00E739AD"/>
    <w:rsid w:val="00E751B1"/>
    <w:rsid w:val="00E7740D"/>
    <w:rsid w:val="00E77500"/>
    <w:rsid w:val="00E80722"/>
    <w:rsid w:val="00E869E7"/>
    <w:rsid w:val="00E8789E"/>
    <w:rsid w:val="00E91F47"/>
    <w:rsid w:val="00E920E0"/>
    <w:rsid w:val="00EA114C"/>
    <w:rsid w:val="00EA11F0"/>
    <w:rsid w:val="00EA3943"/>
    <w:rsid w:val="00EA39BB"/>
    <w:rsid w:val="00EA464E"/>
    <w:rsid w:val="00EA5D6C"/>
    <w:rsid w:val="00EA70BD"/>
    <w:rsid w:val="00EB0595"/>
    <w:rsid w:val="00EB5831"/>
    <w:rsid w:val="00EB615E"/>
    <w:rsid w:val="00EC3F78"/>
    <w:rsid w:val="00EC42EB"/>
    <w:rsid w:val="00EC5159"/>
    <w:rsid w:val="00EC5425"/>
    <w:rsid w:val="00EC6AEE"/>
    <w:rsid w:val="00EC6D7F"/>
    <w:rsid w:val="00ED097F"/>
    <w:rsid w:val="00ED2457"/>
    <w:rsid w:val="00ED6B03"/>
    <w:rsid w:val="00EE2CD2"/>
    <w:rsid w:val="00EE3E97"/>
    <w:rsid w:val="00EE4645"/>
    <w:rsid w:val="00EE51C4"/>
    <w:rsid w:val="00EE66E5"/>
    <w:rsid w:val="00EF0255"/>
    <w:rsid w:val="00EF0E13"/>
    <w:rsid w:val="00EF2E83"/>
    <w:rsid w:val="00F0204E"/>
    <w:rsid w:val="00F0231E"/>
    <w:rsid w:val="00F03AAD"/>
    <w:rsid w:val="00F049B4"/>
    <w:rsid w:val="00F05EF4"/>
    <w:rsid w:val="00F06EAC"/>
    <w:rsid w:val="00F112A8"/>
    <w:rsid w:val="00F11E6D"/>
    <w:rsid w:val="00F132A2"/>
    <w:rsid w:val="00F143DE"/>
    <w:rsid w:val="00F17A6C"/>
    <w:rsid w:val="00F20276"/>
    <w:rsid w:val="00F204F4"/>
    <w:rsid w:val="00F20564"/>
    <w:rsid w:val="00F2174C"/>
    <w:rsid w:val="00F265E3"/>
    <w:rsid w:val="00F26C24"/>
    <w:rsid w:val="00F26CF4"/>
    <w:rsid w:val="00F34A66"/>
    <w:rsid w:val="00F372B9"/>
    <w:rsid w:val="00F3741F"/>
    <w:rsid w:val="00F403A5"/>
    <w:rsid w:val="00F42454"/>
    <w:rsid w:val="00F4267C"/>
    <w:rsid w:val="00F54540"/>
    <w:rsid w:val="00F55180"/>
    <w:rsid w:val="00F55DD9"/>
    <w:rsid w:val="00F56EAA"/>
    <w:rsid w:val="00F60970"/>
    <w:rsid w:val="00F62F53"/>
    <w:rsid w:val="00F63819"/>
    <w:rsid w:val="00F6667B"/>
    <w:rsid w:val="00F67233"/>
    <w:rsid w:val="00F70B61"/>
    <w:rsid w:val="00F7228F"/>
    <w:rsid w:val="00F74C35"/>
    <w:rsid w:val="00F768C8"/>
    <w:rsid w:val="00F810FC"/>
    <w:rsid w:val="00F827B3"/>
    <w:rsid w:val="00F90C1E"/>
    <w:rsid w:val="00F90D3C"/>
    <w:rsid w:val="00F91EC6"/>
    <w:rsid w:val="00F9214D"/>
    <w:rsid w:val="00F93D9F"/>
    <w:rsid w:val="00F943D8"/>
    <w:rsid w:val="00F97D7E"/>
    <w:rsid w:val="00FA019B"/>
    <w:rsid w:val="00FA1973"/>
    <w:rsid w:val="00FA2ED3"/>
    <w:rsid w:val="00FA562E"/>
    <w:rsid w:val="00FA5D2E"/>
    <w:rsid w:val="00FA6F49"/>
    <w:rsid w:val="00FA7007"/>
    <w:rsid w:val="00FB0E8D"/>
    <w:rsid w:val="00FB2FC4"/>
    <w:rsid w:val="00FB3B8E"/>
    <w:rsid w:val="00FB723C"/>
    <w:rsid w:val="00FB7CD4"/>
    <w:rsid w:val="00FC56E1"/>
    <w:rsid w:val="00FC596B"/>
    <w:rsid w:val="00FC6315"/>
    <w:rsid w:val="00FC773D"/>
    <w:rsid w:val="00FD053E"/>
    <w:rsid w:val="00FD115C"/>
    <w:rsid w:val="00FD1852"/>
    <w:rsid w:val="00FD37E9"/>
    <w:rsid w:val="00FD508F"/>
    <w:rsid w:val="00FE0586"/>
    <w:rsid w:val="00FE09A9"/>
    <w:rsid w:val="00FE1B6F"/>
    <w:rsid w:val="00FE25BC"/>
    <w:rsid w:val="00FE4122"/>
    <w:rsid w:val="00FE52A2"/>
    <w:rsid w:val="00FE5C43"/>
    <w:rsid w:val="00FF2889"/>
    <w:rsid w:val="00FF3B11"/>
    <w:rsid w:val="00FF5078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05EF4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F05EF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F05EF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F05EF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F05EF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F05EF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F05EF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F05EF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F05EF4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F05EF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F05EF4"/>
  </w:style>
  <w:style w:type="paragraph" w:styleId="Pta">
    <w:name w:val="footer"/>
    <w:basedOn w:val="Normlny"/>
    <w:link w:val="PtaChar"/>
    <w:uiPriority w:val="99"/>
    <w:rsid w:val="00F05EF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F05EF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F05EF4"/>
    <w:rPr>
      <w:color w:val="0000FF"/>
      <w:u w:val="single"/>
    </w:rPr>
  </w:style>
  <w:style w:type="paragraph" w:customStyle="1" w:styleId="EMEAEnBodyText">
    <w:name w:val="EMEA En Body Text"/>
    <w:basedOn w:val="Normlny"/>
    <w:rsid w:val="00F05EF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F05EF4"/>
    <w:pPr>
      <w:ind w:left="0" w:firstLine="0"/>
    </w:pPr>
  </w:style>
  <w:style w:type="character" w:styleId="PouitHypertextovPrepojenie">
    <w:name w:val="FollowedHyperlink"/>
    <w:rsid w:val="00F05EF4"/>
    <w:rPr>
      <w:color w:val="800080"/>
      <w:u w:val="single"/>
    </w:rPr>
  </w:style>
  <w:style w:type="paragraph" w:customStyle="1" w:styleId="MGGTextLeft">
    <w:name w:val="MGG Text Left"/>
    <w:basedOn w:val="Zkladntext"/>
    <w:rsid w:val="00F05EF4"/>
    <w:rPr>
      <w:lang w:val="en-GB" w:eastAsia="en-US"/>
    </w:rPr>
  </w:style>
  <w:style w:type="paragraph" w:customStyle="1" w:styleId="Texttelo">
    <w:name w:val="Text telo"/>
    <w:rsid w:val="00F05EF4"/>
    <w:pPr>
      <w:widowControl w:val="0"/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eastAsia="cs-CZ"/>
    </w:rPr>
  </w:style>
  <w:style w:type="paragraph" w:customStyle="1" w:styleId="Text">
    <w:name w:val="Text"/>
    <w:link w:val="TextZchn"/>
    <w:rsid w:val="00F05EF4"/>
    <w:pPr>
      <w:spacing w:line="240" w:lineRule="atLeast"/>
      <w:ind w:left="568"/>
    </w:pPr>
    <w:rPr>
      <w:rFonts w:ascii="Arial" w:hAnsi="Arial"/>
      <w:lang w:val="de-DE" w:eastAsia="de-DE"/>
    </w:rPr>
  </w:style>
  <w:style w:type="character" w:customStyle="1" w:styleId="TextZchn">
    <w:name w:val="Text Zchn"/>
    <w:link w:val="Text"/>
    <w:rsid w:val="00F05EF4"/>
    <w:rPr>
      <w:rFonts w:ascii="Arial" w:hAnsi="Arial"/>
      <w:lang w:val="de-DE" w:eastAsia="de-DE" w:bidi="ar-SA"/>
    </w:rPr>
  </w:style>
  <w:style w:type="paragraph" w:customStyle="1" w:styleId="Style1">
    <w:name w:val="Style1"/>
    <w:basedOn w:val="Normlny"/>
    <w:rsid w:val="00F05EF4"/>
    <w:pPr>
      <w:overflowPunct w:val="0"/>
      <w:autoSpaceDE w:val="0"/>
      <w:autoSpaceDN w:val="0"/>
      <w:adjustRightInd w:val="0"/>
      <w:ind w:left="0" w:firstLine="0"/>
      <w:textAlignment w:val="baseline"/>
    </w:pPr>
    <w:rPr>
      <w:rFonts w:ascii="Arial" w:hAnsi="Arial"/>
      <w:sz w:val="20"/>
      <w:szCs w:val="20"/>
      <w:lang w:val="en-US" w:eastAsia="en-US"/>
    </w:rPr>
  </w:style>
  <w:style w:type="table" w:styleId="Mriekatabuky">
    <w:name w:val="Table Grid"/>
    <w:basedOn w:val="Normlnatabuka"/>
    <w:rsid w:val="00F05EF4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44241A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860DA8"/>
    <w:rPr>
      <w:rFonts w:ascii="Helvetica" w:hAnsi="Helvetica"/>
      <w:sz w:val="16"/>
      <w:lang w:val="cs-CZ"/>
    </w:rPr>
  </w:style>
  <w:style w:type="paragraph" w:styleId="Odsekzoznamu">
    <w:name w:val="List Paragraph"/>
    <w:basedOn w:val="Normlny"/>
    <w:uiPriority w:val="34"/>
    <w:qFormat/>
    <w:rsid w:val="00487FE3"/>
    <w:pPr>
      <w:ind w:left="720"/>
      <w:contextualSpacing/>
    </w:pPr>
  </w:style>
  <w:style w:type="character" w:customStyle="1" w:styleId="shorttext">
    <w:name w:val="short_text"/>
    <w:basedOn w:val="Predvolenpsmoodseku"/>
    <w:rsid w:val="0079673B"/>
  </w:style>
  <w:style w:type="paragraph" w:styleId="Revzia">
    <w:name w:val="Revision"/>
    <w:hidden/>
    <w:uiPriority w:val="99"/>
    <w:semiHidden/>
    <w:rsid w:val="002C1F41"/>
    <w:rPr>
      <w:sz w:val="22"/>
      <w:szCs w:val="24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05EF4"/>
    <w:pPr>
      <w:ind w:left="567" w:hanging="567"/>
    </w:pPr>
    <w:rPr>
      <w:sz w:val="22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F05EF4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rsid w:val="00F05EF4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rsid w:val="00F05EF4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rsid w:val="00F05EF4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rsid w:val="00F05EF4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rsid w:val="00F05EF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rsid w:val="00F05EF4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rsid w:val="00F05EF4"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rsid w:val="00F05EF4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F05EF4"/>
  </w:style>
  <w:style w:type="paragraph" w:styleId="Pta">
    <w:name w:val="footer"/>
    <w:basedOn w:val="Normlny"/>
    <w:link w:val="PtaChar"/>
    <w:uiPriority w:val="99"/>
    <w:rsid w:val="00F05EF4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rsid w:val="00F05EF4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rsid w:val="00F05EF4"/>
    <w:rPr>
      <w:color w:val="0000FF"/>
      <w:u w:val="single"/>
    </w:rPr>
  </w:style>
  <w:style w:type="paragraph" w:customStyle="1" w:styleId="EMEAEnBodyText">
    <w:name w:val="EMEA En Body Text"/>
    <w:basedOn w:val="Normlny"/>
    <w:rsid w:val="00F05EF4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rsid w:val="00F05EF4"/>
    <w:pPr>
      <w:ind w:left="0" w:firstLine="0"/>
    </w:pPr>
  </w:style>
  <w:style w:type="character" w:styleId="PouitHypertextovPrepojenie">
    <w:name w:val="FollowedHyperlink"/>
    <w:rsid w:val="00F05EF4"/>
    <w:rPr>
      <w:color w:val="800080"/>
      <w:u w:val="single"/>
    </w:rPr>
  </w:style>
  <w:style w:type="paragraph" w:customStyle="1" w:styleId="MGGTextLeft">
    <w:name w:val="MGG Text Left"/>
    <w:basedOn w:val="Zkladntext"/>
    <w:rsid w:val="00F05EF4"/>
    <w:rPr>
      <w:lang w:val="en-GB" w:eastAsia="en-US"/>
    </w:rPr>
  </w:style>
  <w:style w:type="paragraph" w:customStyle="1" w:styleId="Texttelo">
    <w:name w:val="Text telo"/>
    <w:rsid w:val="00F05EF4"/>
    <w:pPr>
      <w:widowControl w:val="0"/>
      <w:tabs>
        <w:tab w:val="left" w:pos="170"/>
      </w:tabs>
      <w:jc w:val="both"/>
    </w:pPr>
    <w:rPr>
      <w:rFonts w:ascii="TimesE" w:hAnsi="TimesE"/>
      <w:color w:val="000000"/>
      <w:spacing w:val="15"/>
      <w:sz w:val="16"/>
      <w:lang w:eastAsia="cs-CZ"/>
    </w:rPr>
  </w:style>
  <w:style w:type="paragraph" w:customStyle="1" w:styleId="Text">
    <w:name w:val="Text"/>
    <w:link w:val="TextZchn"/>
    <w:rsid w:val="00F05EF4"/>
    <w:pPr>
      <w:spacing w:line="240" w:lineRule="atLeast"/>
      <w:ind w:left="568"/>
    </w:pPr>
    <w:rPr>
      <w:rFonts w:ascii="Arial" w:hAnsi="Arial"/>
      <w:lang w:val="de-DE" w:eastAsia="de-DE"/>
    </w:rPr>
  </w:style>
  <w:style w:type="character" w:customStyle="1" w:styleId="TextZchn">
    <w:name w:val="Text Zchn"/>
    <w:link w:val="Text"/>
    <w:rsid w:val="00F05EF4"/>
    <w:rPr>
      <w:rFonts w:ascii="Arial" w:hAnsi="Arial"/>
      <w:lang w:val="de-DE" w:eastAsia="de-DE" w:bidi="ar-SA"/>
    </w:rPr>
  </w:style>
  <w:style w:type="paragraph" w:customStyle="1" w:styleId="Style1">
    <w:name w:val="Style1"/>
    <w:basedOn w:val="Normlny"/>
    <w:rsid w:val="00F05EF4"/>
    <w:pPr>
      <w:overflowPunct w:val="0"/>
      <w:autoSpaceDE w:val="0"/>
      <w:autoSpaceDN w:val="0"/>
      <w:adjustRightInd w:val="0"/>
      <w:ind w:left="0" w:firstLine="0"/>
      <w:textAlignment w:val="baseline"/>
    </w:pPr>
    <w:rPr>
      <w:rFonts w:ascii="Arial" w:hAnsi="Arial"/>
      <w:sz w:val="20"/>
      <w:szCs w:val="20"/>
      <w:lang w:val="en-US" w:eastAsia="en-US"/>
    </w:rPr>
  </w:style>
  <w:style w:type="table" w:styleId="Mriekatabuky">
    <w:name w:val="Table Grid"/>
    <w:basedOn w:val="Normlnatabuka"/>
    <w:rsid w:val="00F05EF4"/>
    <w:pPr>
      <w:ind w:left="567" w:hanging="56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44241A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860DA8"/>
    <w:rPr>
      <w:rFonts w:ascii="Helvetica" w:hAnsi="Helvetica"/>
      <w:sz w:val="16"/>
      <w:lang w:val="cs-CZ"/>
    </w:rPr>
  </w:style>
  <w:style w:type="paragraph" w:styleId="Odsekzoznamu">
    <w:name w:val="List Paragraph"/>
    <w:basedOn w:val="Normlny"/>
    <w:uiPriority w:val="34"/>
    <w:qFormat/>
    <w:rsid w:val="00487FE3"/>
    <w:pPr>
      <w:ind w:left="720"/>
      <w:contextualSpacing/>
    </w:pPr>
  </w:style>
  <w:style w:type="character" w:customStyle="1" w:styleId="shorttext">
    <w:name w:val="short_text"/>
    <w:basedOn w:val="Predvolenpsmoodseku"/>
    <w:rsid w:val="0079673B"/>
  </w:style>
  <w:style w:type="paragraph" w:styleId="Revzia">
    <w:name w:val="Revision"/>
    <w:hidden/>
    <w:uiPriority w:val="99"/>
    <w:semiHidden/>
    <w:rsid w:val="002C1F41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6394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995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dotted" w:sz="6" w:space="0" w:color="808080"/>
                <w:right w:val="dotted" w:sz="6" w:space="0" w:color="808080"/>
              </w:divBdr>
              <w:divsChild>
                <w:div w:id="196753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0" w:color="808080"/>
                  </w:divBdr>
                </w:div>
              </w:divsChild>
            </w:div>
          </w:divsChild>
        </w:div>
      </w:divsChild>
    </w:div>
    <w:div w:id="16115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86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2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34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0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53711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8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906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79240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825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5083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976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14205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23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14</Pages>
  <Words>4859</Words>
  <Characters>27700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charakteristických vlastností lieku</vt:lpstr>
    </vt:vector>
  </TitlesOfParts>
  <Company>MYLAN</Company>
  <LinksUpToDate>false</LinksUpToDate>
  <CharactersWithSpaces>32495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>Metoprolol Mylan</dc:subject>
  <dc:creator>Diana Molottova</dc:creator>
  <cp:keywords/>
  <cp:lastModifiedBy>Grančaiová, Zuzana</cp:lastModifiedBy>
  <cp:revision>12</cp:revision>
  <dcterms:created xsi:type="dcterms:W3CDTF">2016-04-01T09:03:00Z</dcterms:created>
  <dcterms:modified xsi:type="dcterms:W3CDTF">2018-08-01T08:40:00Z</dcterms:modified>
</cp:coreProperties>
</file>