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85D" w:rsidRPr="00FE2E97" w:rsidRDefault="0089585D" w:rsidP="00FE2E97">
      <w:pPr>
        <w:pStyle w:val="Nzov"/>
        <w:rPr>
          <w:rFonts w:ascii="Times New Roman" w:hAnsi="Times New Roman"/>
          <w:caps/>
          <w:sz w:val="22"/>
          <w:szCs w:val="22"/>
          <w:lang w:val="sk-SK"/>
        </w:rPr>
      </w:pPr>
      <w:r w:rsidRPr="00FE2E97">
        <w:rPr>
          <w:rFonts w:ascii="Times New Roman" w:hAnsi="Times New Roman"/>
          <w:caps/>
          <w:sz w:val="22"/>
          <w:szCs w:val="22"/>
          <w:lang w:val="sk-SK"/>
        </w:rPr>
        <w:t>Súhrn charakteristických vlastností lieku</w:t>
      </w:r>
    </w:p>
    <w:p w:rsidR="0089585D" w:rsidRPr="00FE2E97" w:rsidRDefault="0089585D" w:rsidP="00FE2E97">
      <w:pPr>
        <w:pStyle w:val="Nzov"/>
        <w:jc w:val="left"/>
        <w:rPr>
          <w:rFonts w:ascii="Times New Roman" w:hAnsi="Times New Roman"/>
          <w:b w:val="0"/>
          <w:caps/>
          <w:sz w:val="22"/>
          <w:szCs w:val="22"/>
          <w:lang w:val="sk-SK"/>
        </w:rPr>
      </w:pPr>
    </w:p>
    <w:p w:rsidR="0089585D" w:rsidRPr="00FE2E97" w:rsidRDefault="0089585D" w:rsidP="00FE2E97">
      <w:pPr>
        <w:rPr>
          <w:sz w:val="22"/>
          <w:szCs w:val="22"/>
          <w:lang w:val="sk-SK"/>
        </w:rPr>
      </w:pPr>
    </w:p>
    <w:p w:rsidR="0089585D" w:rsidRPr="00FE2E97" w:rsidRDefault="0089585D" w:rsidP="00FE2E97">
      <w:pPr>
        <w:numPr>
          <w:ilvl w:val="0"/>
          <w:numId w:val="7"/>
        </w:numPr>
        <w:tabs>
          <w:tab w:val="clear" w:pos="360"/>
          <w:tab w:val="num" w:pos="567"/>
        </w:tabs>
        <w:ind w:left="567" w:hanging="567"/>
        <w:rPr>
          <w:sz w:val="22"/>
          <w:szCs w:val="22"/>
          <w:lang w:val="sk-SK"/>
        </w:rPr>
      </w:pPr>
      <w:r w:rsidRPr="00FE2E97">
        <w:rPr>
          <w:b/>
          <w:sz w:val="22"/>
          <w:szCs w:val="22"/>
          <w:lang w:val="sk-SK"/>
        </w:rPr>
        <w:t>NÁZOV LIEKU</w:t>
      </w:r>
    </w:p>
    <w:p w:rsidR="0089585D" w:rsidRPr="00FE2E97" w:rsidRDefault="0089585D" w:rsidP="00FE2E97">
      <w:pPr>
        <w:rPr>
          <w:sz w:val="22"/>
          <w:szCs w:val="22"/>
          <w:lang w:val="sk-SK"/>
        </w:rPr>
      </w:pPr>
    </w:p>
    <w:p w:rsidR="0089585D" w:rsidRPr="00FE2E97" w:rsidRDefault="0089585D" w:rsidP="00FE2E97">
      <w:pPr>
        <w:pStyle w:val="Nadpis4"/>
        <w:ind w:firstLine="0"/>
        <w:rPr>
          <w:rFonts w:ascii="Times New Roman" w:hAnsi="Times New Roman"/>
          <w:sz w:val="22"/>
          <w:szCs w:val="22"/>
          <w:lang w:val="sk-SK"/>
        </w:rPr>
      </w:pPr>
      <w:r w:rsidRPr="00FE2E97">
        <w:rPr>
          <w:rFonts w:ascii="Times New Roman" w:hAnsi="Times New Roman"/>
          <w:sz w:val="22"/>
          <w:szCs w:val="22"/>
          <w:lang w:val="sk-SK"/>
        </w:rPr>
        <w:t>OlynHexo 5 mg/1,5 mg pastilky</w:t>
      </w:r>
    </w:p>
    <w:p w:rsidR="0089585D" w:rsidRPr="00FE2E97" w:rsidRDefault="0089585D" w:rsidP="00FE2E97">
      <w:pPr>
        <w:rPr>
          <w:sz w:val="22"/>
          <w:szCs w:val="22"/>
          <w:lang w:val="sk-SK"/>
        </w:rPr>
      </w:pPr>
    </w:p>
    <w:p w:rsidR="0089585D" w:rsidRPr="00FE2E97" w:rsidRDefault="0089585D" w:rsidP="00FE2E97">
      <w:pPr>
        <w:rPr>
          <w:sz w:val="22"/>
          <w:szCs w:val="22"/>
          <w:lang w:val="sk-SK"/>
        </w:rPr>
      </w:pPr>
    </w:p>
    <w:p w:rsidR="0089585D" w:rsidRPr="00FE2E97" w:rsidRDefault="0089585D" w:rsidP="00FE2E97">
      <w:pPr>
        <w:numPr>
          <w:ilvl w:val="0"/>
          <w:numId w:val="7"/>
        </w:numPr>
        <w:tabs>
          <w:tab w:val="clear" w:pos="360"/>
          <w:tab w:val="num" w:pos="567"/>
        </w:tabs>
        <w:ind w:left="567" w:hanging="567"/>
        <w:rPr>
          <w:b/>
          <w:sz w:val="22"/>
          <w:szCs w:val="22"/>
          <w:lang w:val="sk-SK"/>
        </w:rPr>
      </w:pPr>
      <w:r w:rsidRPr="00FE2E97">
        <w:rPr>
          <w:b/>
          <w:sz w:val="22"/>
          <w:szCs w:val="22"/>
          <w:lang w:val="sk-SK"/>
        </w:rPr>
        <w:t>KVALITATÍVNE A KVANTITATÍVNE ZLOŽENIE</w:t>
      </w:r>
    </w:p>
    <w:p w:rsidR="0089585D" w:rsidRPr="00FE2E97" w:rsidRDefault="0089585D" w:rsidP="00FE2E97">
      <w:pPr>
        <w:rPr>
          <w:sz w:val="22"/>
          <w:szCs w:val="22"/>
          <w:lang w:val="sk-SK"/>
        </w:rPr>
      </w:pPr>
    </w:p>
    <w:p w:rsidR="0089585D" w:rsidRPr="00FE2E97" w:rsidRDefault="0089585D" w:rsidP="00FE2E97">
      <w:pPr>
        <w:rPr>
          <w:sz w:val="22"/>
          <w:szCs w:val="22"/>
          <w:lang w:val="sk-SK"/>
        </w:rPr>
      </w:pPr>
      <w:r w:rsidRPr="00FE2E97">
        <w:rPr>
          <w:sz w:val="22"/>
          <w:szCs w:val="22"/>
          <w:lang w:val="sk-SK"/>
        </w:rPr>
        <w:t>Každá pastilka obsahuje:</w:t>
      </w:r>
    </w:p>
    <w:p w:rsidR="0089585D" w:rsidRPr="00FE2E97" w:rsidRDefault="0089585D" w:rsidP="00FE2E97">
      <w:pPr>
        <w:rPr>
          <w:sz w:val="22"/>
          <w:szCs w:val="22"/>
          <w:lang w:val="sk-SK"/>
        </w:rPr>
      </w:pPr>
      <w:r w:rsidRPr="00FE2E97">
        <w:rPr>
          <w:sz w:val="22"/>
          <w:szCs w:val="22"/>
          <w:lang w:val="sk-SK"/>
        </w:rPr>
        <w:t>5 mg chlórhexidínu,</w:t>
      </w:r>
    </w:p>
    <w:p w:rsidR="0089585D" w:rsidRPr="00FE2E97" w:rsidRDefault="0089585D" w:rsidP="00FE2E97">
      <w:pPr>
        <w:rPr>
          <w:sz w:val="22"/>
          <w:szCs w:val="22"/>
          <w:lang w:val="sk-SK"/>
        </w:rPr>
      </w:pPr>
      <w:r w:rsidRPr="00FE2E97">
        <w:rPr>
          <w:sz w:val="22"/>
          <w:szCs w:val="22"/>
          <w:lang w:val="sk-SK"/>
        </w:rPr>
        <w:t>1,5 mg benzokaínu.</w:t>
      </w:r>
    </w:p>
    <w:p w:rsidR="0089585D" w:rsidRPr="00FE2E97" w:rsidRDefault="0089585D" w:rsidP="00FE2E97">
      <w:pPr>
        <w:rPr>
          <w:sz w:val="22"/>
          <w:szCs w:val="22"/>
          <w:lang w:val="sk-SK"/>
        </w:rPr>
      </w:pPr>
    </w:p>
    <w:p w:rsidR="0089585D" w:rsidRPr="00FE2E97" w:rsidRDefault="0089585D" w:rsidP="00FE2E97">
      <w:pPr>
        <w:rPr>
          <w:bCs/>
          <w:sz w:val="22"/>
          <w:szCs w:val="22"/>
          <w:lang w:val="sk-SK"/>
        </w:rPr>
      </w:pPr>
      <w:r w:rsidRPr="00FE2E97">
        <w:rPr>
          <w:bCs/>
          <w:sz w:val="22"/>
          <w:szCs w:val="22"/>
          <w:lang w:val="sk-SK"/>
        </w:rPr>
        <w:t>Úplný zoznam pomocných látok, pozri časť 6.1.</w:t>
      </w:r>
    </w:p>
    <w:p w:rsidR="0089585D" w:rsidRPr="00FE2E97" w:rsidRDefault="0089585D" w:rsidP="00FE2E97">
      <w:pPr>
        <w:rPr>
          <w:bCs/>
          <w:sz w:val="22"/>
          <w:szCs w:val="22"/>
          <w:lang w:val="sk-SK"/>
        </w:rPr>
      </w:pPr>
    </w:p>
    <w:p w:rsidR="0089585D" w:rsidRPr="00FE2E97" w:rsidRDefault="0089585D" w:rsidP="00FE2E97">
      <w:pPr>
        <w:rPr>
          <w:bCs/>
          <w:sz w:val="22"/>
          <w:szCs w:val="22"/>
          <w:lang w:val="sk-SK"/>
        </w:rPr>
      </w:pPr>
    </w:p>
    <w:p w:rsidR="0089585D" w:rsidRPr="00FE2E97" w:rsidRDefault="0089585D" w:rsidP="00FE2E97">
      <w:pPr>
        <w:numPr>
          <w:ilvl w:val="0"/>
          <w:numId w:val="7"/>
        </w:numPr>
        <w:tabs>
          <w:tab w:val="clear" w:pos="360"/>
          <w:tab w:val="num" w:pos="567"/>
        </w:tabs>
        <w:ind w:left="567" w:hanging="567"/>
        <w:rPr>
          <w:b/>
          <w:sz w:val="22"/>
          <w:szCs w:val="22"/>
          <w:lang w:val="sk-SK"/>
        </w:rPr>
      </w:pPr>
      <w:r w:rsidRPr="00FE2E97">
        <w:rPr>
          <w:b/>
          <w:sz w:val="22"/>
          <w:szCs w:val="22"/>
          <w:lang w:val="sk-SK"/>
        </w:rPr>
        <w:t>LIEKOVÁ FORMA</w:t>
      </w:r>
    </w:p>
    <w:p w:rsidR="0089585D" w:rsidRPr="00FE2E97" w:rsidRDefault="0089585D" w:rsidP="00FE2E97">
      <w:pPr>
        <w:rPr>
          <w:sz w:val="22"/>
          <w:szCs w:val="22"/>
          <w:lang w:val="sk-SK"/>
        </w:rPr>
      </w:pPr>
    </w:p>
    <w:p w:rsidR="0089585D" w:rsidRPr="00FE2E97" w:rsidRDefault="0089585D" w:rsidP="00FE2E97">
      <w:pPr>
        <w:pStyle w:val="Nadpis5"/>
        <w:ind w:left="0" w:firstLine="0"/>
        <w:rPr>
          <w:b w:val="0"/>
          <w:sz w:val="22"/>
          <w:szCs w:val="22"/>
          <w:lang w:val="sk-SK"/>
        </w:rPr>
      </w:pPr>
      <w:r w:rsidRPr="00FE2E97">
        <w:rPr>
          <w:b w:val="0"/>
          <w:i w:val="0"/>
          <w:sz w:val="22"/>
          <w:szCs w:val="22"/>
          <w:lang w:val="sk-SK"/>
        </w:rPr>
        <w:t>Pastilka.</w:t>
      </w:r>
    </w:p>
    <w:p w:rsidR="0089585D" w:rsidRPr="00FE2E97" w:rsidRDefault="0089585D" w:rsidP="00FE2E97">
      <w:pPr>
        <w:pStyle w:val="Zkladntext"/>
        <w:jc w:val="left"/>
        <w:rPr>
          <w:szCs w:val="22"/>
          <w:lang w:val="sk-SK"/>
        </w:rPr>
      </w:pPr>
      <w:r w:rsidRPr="00FE2E97">
        <w:rPr>
          <w:szCs w:val="22"/>
          <w:lang w:val="sk-SK"/>
        </w:rPr>
        <w:t>Nepriehľadné, biele/žltkastobiele až svetlosivé/žltkastosivé bikonvexné pastilky s neutrálnou vôňou a sladkou sviežou chuťou a ľahko anestezujúcim účinkom.</w:t>
      </w:r>
    </w:p>
    <w:p w:rsidR="0089585D" w:rsidRPr="00FE2E97" w:rsidRDefault="0089585D" w:rsidP="00FE2E97">
      <w:pPr>
        <w:rPr>
          <w:sz w:val="22"/>
          <w:szCs w:val="22"/>
          <w:lang w:val="sk-SK"/>
        </w:rPr>
      </w:pPr>
    </w:p>
    <w:p w:rsidR="0089585D" w:rsidRPr="00FE2E97" w:rsidRDefault="0089585D" w:rsidP="00FE2E97">
      <w:pPr>
        <w:rPr>
          <w:sz w:val="22"/>
          <w:szCs w:val="22"/>
          <w:lang w:val="sk-SK"/>
        </w:rPr>
      </w:pPr>
    </w:p>
    <w:p w:rsidR="0089585D" w:rsidRPr="00FE2E97" w:rsidRDefault="0089585D" w:rsidP="00FE2E97">
      <w:pPr>
        <w:numPr>
          <w:ilvl w:val="0"/>
          <w:numId w:val="7"/>
        </w:numPr>
        <w:tabs>
          <w:tab w:val="clear" w:pos="360"/>
          <w:tab w:val="num" w:pos="567"/>
        </w:tabs>
        <w:ind w:left="567" w:hanging="567"/>
        <w:rPr>
          <w:b/>
          <w:sz w:val="22"/>
          <w:szCs w:val="22"/>
          <w:lang w:val="sk-SK"/>
        </w:rPr>
      </w:pPr>
      <w:r w:rsidRPr="00FE2E97">
        <w:rPr>
          <w:b/>
          <w:sz w:val="22"/>
          <w:szCs w:val="22"/>
          <w:lang w:val="sk-SK"/>
        </w:rPr>
        <w:t>KLINICKÉ ÚDAJE</w:t>
      </w:r>
    </w:p>
    <w:p w:rsidR="0089585D" w:rsidRPr="00FE2E97" w:rsidRDefault="0089585D" w:rsidP="00FE2E97">
      <w:pPr>
        <w:rPr>
          <w:sz w:val="22"/>
          <w:szCs w:val="22"/>
          <w:lang w:val="sk-SK"/>
        </w:rPr>
      </w:pPr>
    </w:p>
    <w:p w:rsidR="0089585D" w:rsidRPr="00FE2E97" w:rsidRDefault="0089585D" w:rsidP="00FE2E97">
      <w:pPr>
        <w:tabs>
          <w:tab w:val="left" w:pos="567"/>
        </w:tabs>
        <w:rPr>
          <w:b/>
          <w:sz w:val="22"/>
          <w:szCs w:val="22"/>
          <w:lang w:val="sk-SK"/>
        </w:rPr>
      </w:pPr>
      <w:r w:rsidRPr="00FE2E97">
        <w:rPr>
          <w:b/>
          <w:sz w:val="22"/>
          <w:szCs w:val="22"/>
          <w:lang w:val="sk-SK"/>
        </w:rPr>
        <w:t>4.1</w:t>
      </w:r>
      <w:r w:rsidRPr="00FE2E97">
        <w:rPr>
          <w:b/>
          <w:sz w:val="22"/>
          <w:szCs w:val="22"/>
          <w:lang w:val="sk-SK"/>
        </w:rPr>
        <w:tab/>
        <w:t>Terapeutické indikácie</w:t>
      </w:r>
    </w:p>
    <w:p w:rsidR="0089585D" w:rsidRPr="00FE2E97" w:rsidRDefault="0089585D" w:rsidP="00FE2E97">
      <w:pPr>
        <w:rPr>
          <w:sz w:val="22"/>
          <w:szCs w:val="22"/>
          <w:lang w:val="sk-SK"/>
        </w:rPr>
      </w:pPr>
    </w:p>
    <w:p w:rsidR="0089585D" w:rsidRPr="00FE2E97" w:rsidRDefault="0089585D" w:rsidP="00FE2E97">
      <w:pPr>
        <w:ind w:left="1069" w:hanging="1069"/>
        <w:rPr>
          <w:sz w:val="22"/>
          <w:szCs w:val="22"/>
          <w:lang w:val="sk-SK"/>
        </w:rPr>
      </w:pPr>
      <w:r w:rsidRPr="00FE2E97">
        <w:rPr>
          <w:sz w:val="22"/>
          <w:szCs w:val="22"/>
          <w:lang w:val="sk-SK"/>
        </w:rPr>
        <w:t>Liečba bolesti v krku, zápalu ústnej dutiny (stomatitídy), gingivitídy.</w:t>
      </w:r>
    </w:p>
    <w:p w:rsidR="0089585D" w:rsidRPr="00FE2E97" w:rsidRDefault="0089585D" w:rsidP="00FE2E97">
      <w:pPr>
        <w:rPr>
          <w:sz w:val="22"/>
          <w:szCs w:val="22"/>
          <w:lang w:val="sk-SK"/>
        </w:rPr>
      </w:pPr>
      <w:r w:rsidRPr="00FE2E97">
        <w:rPr>
          <w:sz w:val="22"/>
          <w:szCs w:val="22"/>
          <w:lang w:val="sk-SK"/>
        </w:rPr>
        <w:t>Preventívne v období zvýšeného nebezpečenstva infekcií (chrípky a nachladnutia).</w:t>
      </w:r>
    </w:p>
    <w:p w:rsidR="0089585D" w:rsidRPr="00FE2E97" w:rsidRDefault="0089585D" w:rsidP="00FE2E97">
      <w:pPr>
        <w:rPr>
          <w:sz w:val="22"/>
          <w:szCs w:val="22"/>
          <w:lang w:val="sk-SK"/>
        </w:rPr>
      </w:pPr>
    </w:p>
    <w:p w:rsidR="0089585D" w:rsidRPr="00FE2E97" w:rsidRDefault="0089585D" w:rsidP="00FE2E97">
      <w:pPr>
        <w:tabs>
          <w:tab w:val="left" w:pos="567"/>
        </w:tabs>
        <w:rPr>
          <w:b/>
          <w:sz w:val="22"/>
          <w:szCs w:val="22"/>
          <w:lang w:val="sk-SK"/>
        </w:rPr>
      </w:pPr>
      <w:r w:rsidRPr="00FE2E97">
        <w:rPr>
          <w:b/>
          <w:sz w:val="22"/>
          <w:szCs w:val="22"/>
          <w:lang w:val="sk-SK"/>
        </w:rPr>
        <w:t>4.2</w:t>
      </w:r>
      <w:r w:rsidRPr="00FE2E97">
        <w:rPr>
          <w:b/>
          <w:sz w:val="22"/>
          <w:szCs w:val="22"/>
          <w:lang w:val="sk-SK"/>
        </w:rPr>
        <w:tab/>
        <w:t>Dávkovanie a spôsob podávania</w:t>
      </w:r>
    </w:p>
    <w:p w:rsidR="0089585D" w:rsidRPr="00FE2E97" w:rsidRDefault="0089585D" w:rsidP="00FE2E97">
      <w:pPr>
        <w:rPr>
          <w:sz w:val="22"/>
          <w:szCs w:val="22"/>
          <w:lang w:val="sk-SK"/>
        </w:rPr>
      </w:pPr>
    </w:p>
    <w:p w:rsidR="0089585D" w:rsidRPr="00FE2E97" w:rsidRDefault="0089585D" w:rsidP="00FE2E97">
      <w:pPr>
        <w:rPr>
          <w:sz w:val="22"/>
          <w:szCs w:val="22"/>
          <w:u w:val="single"/>
          <w:lang w:val="sk-SK"/>
        </w:rPr>
      </w:pPr>
      <w:r w:rsidRPr="00FE2E97">
        <w:rPr>
          <w:sz w:val="22"/>
          <w:szCs w:val="22"/>
          <w:u w:val="single"/>
          <w:lang w:val="sk-SK"/>
        </w:rPr>
        <w:t>Spôsob podávania</w:t>
      </w:r>
    </w:p>
    <w:p w:rsidR="0089585D" w:rsidRPr="00FE2E97" w:rsidRDefault="0089585D" w:rsidP="00FE2E97">
      <w:pPr>
        <w:rPr>
          <w:i/>
          <w:sz w:val="22"/>
          <w:szCs w:val="22"/>
          <w:lang w:val="sk-SK"/>
        </w:rPr>
      </w:pPr>
    </w:p>
    <w:p w:rsidR="0089585D" w:rsidRPr="00FE2E97" w:rsidRDefault="0089585D" w:rsidP="00FE2E97">
      <w:pPr>
        <w:rPr>
          <w:sz w:val="22"/>
          <w:szCs w:val="22"/>
          <w:lang w:val="sk-SK"/>
        </w:rPr>
      </w:pPr>
      <w:r w:rsidRPr="00FE2E97">
        <w:rPr>
          <w:sz w:val="22"/>
          <w:szCs w:val="22"/>
          <w:lang w:val="sk-SK"/>
        </w:rPr>
        <w:t>Pastilku nechajte cmúľaním voľne rozplynúť v ústach.</w:t>
      </w:r>
    </w:p>
    <w:p w:rsidR="0089585D" w:rsidRPr="00FE2E97" w:rsidRDefault="0089585D" w:rsidP="00FE2E97">
      <w:pPr>
        <w:rPr>
          <w:sz w:val="22"/>
          <w:szCs w:val="22"/>
          <w:lang w:val="sk-SK"/>
        </w:rPr>
      </w:pPr>
    </w:p>
    <w:p w:rsidR="0089585D" w:rsidRPr="00FE2E97" w:rsidRDefault="0089585D" w:rsidP="00FE2E97">
      <w:pPr>
        <w:rPr>
          <w:sz w:val="22"/>
          <w:szCs w:val="22"/>
          <w:u w:val="single"/>
          <w:lang w:val="sk-SK"/>
        </w:rPr>
      </w:pPr>
      <w:r w:rsidRPr="00FE2E97">
        <w:rPr>
          <w:sz w:val="22"/>
          <w:szCs w:val="22"/>
          <w:u w:val="single"/>
          <w:lang w:val="sk-SK"/>
        </w:rPr>
        <w:t>Dávkovanie</w:t>
      </w:r>
    </w:p>
    <w:p w:rsidR="0089585D" w:rsidRPr="00FE2E97" w:rsidRDefault="0089585D" w:rsidP="00FE2E97">
      <w:pPr>
        <w:rPr>
          <w:sz w:val="22"/>
          <w:szCs w:val="22"/>
          <w:u w:val="single"/>
          <w:lang w:val="sk-SK"/>
        </w:rPr>
      </w:pPr>
    </w:p>
    <w:p w:rsidR="0089585D" w:rsidRPr="00FE2E97" w:rsidRDefault="0089585D" w:rsidP="00FE2E97">
      <w:pPr>
        <w:rPr>
          <w:sz w:val="22"/>
          <w:szCs w:val="22"/>
          <w:lang w:val="sk-SK"/>
        </w:rPr>
      </w:pPr>
      <w:r w:rsidRPr="00FE2E97">
        <w:rPr>
          <w:sz w:val="22"/>
          <w:szCs w:val="22"/>
          <w:lang w:val="sk-SK"/>
        </w:rPr>
        <w:t>Dospelí a deti staršie ako 12 rokov</w:t>
      </w:r>
    </w:p>
    <w:p w:rsidR="0089585D" w:rsidRPr="00FE2E97" w:rsidRDefault="0089585D" w:rsidP="00FE2E97">
      <w:pPr>
        <w:rPr>
          <w:sz w:val="22"/>
          <w:szCs w:val="22"/>
          <w:lang w:val="sk-SK"/>
        </w:rPr>
      </w:pPr>
      <w:r w:rsidRPr="00FE2E97">
        <w:rPr>
          <w:sz w:val="22"/>
          <w:szCs w:val="22"/>
          <w:lang w:val="sk-SK"/>
        </w:rPr>
        <w:t>Pre dospelých a deti staršie ako 12 rokov je najvyššia denná odporúčaná dávka benzokaínu/chlórhexidínu 12 mg/40 mg (8 pastiliek) počas 24 hodín, užívaná v rozdelených dávkach najviac 1,5 mg/ 5 mg (jedna pastilka) na jednu dávku.</w:t>
      </w:r>
    </w:p>
    <w:p w:rsidR="0089585D" w:rsidRPr="00FE2E97" w:rsidRDefault="0089585D" w:rsidP="00FE2E97">
      <w:pPr>
        <w:rPr>
          <w:sz w:val="22"/>
          <w:szCs w:val="22"/>
          <w:lang w:val="sk-SK"/>
        </w:rPr>
      </w:pPr>
    </w:p>
    <w:p w:rsidR="0089585D" w:rsidRPr="00FE2E97" w:rsidRDefault="0089585D" w:rsidP="00FE2E97">
      <w:pPr>
        <w:rPr>
          <w:sz w:val="22"/>
          <w:szCs w:val="22"/>
          <w:lang w:val="sk-SK"/>
        </w:rPr>
      </w:pPr>
      <w:r w:rsidRPr="00FE2E97">
        <w:rPr>
          <w:sz w:val="22"/>
          <w:szCs w:val="22"/>
          <w:lang w:val="sk-SK"/>
        </w:rPr>
        <w:t>Deti od 4 do 12 rokov</w:t>
      </w:r>
    </w:p>
    <w:p w:rsidR="0089585D" w:rsidRPr="00FE2E97" w:rsidRDefault="0089585D" w:rsidP="00FE2E97">
      <w:pPr>
        <w:rPr>
          <w:sz w:val="22"/>
          <w:szCs w:val="22"/>
          <w:lang w:val="sk-SK"/>
        </w:rPr>
      </w:pPr>
      <w:r w:rsidRPr="00FE2E97">
        <w:rPr>
          <w:sz w:val="22"/>
          <w:szCs w:val="22"/>
          <w:lang w:val="sk-SK"/>
        </w:rPr>
        <w:t>Pre deti od 4 do 12 rokov je najvyššia denná odporúčaná dávka benzokaínu/chlórhexidínu 6 mg/20 mg (4 pastilky) počas 24 hodín, užívaná v rozdelených dávkach najviac 1,5 mg/ 5 mg (jedna pastilka) na jednu dávku.</w:t>
      </w:r>
    </w:p>
    <w:p w:rsidR="0089585D" w:rsidRPr="00FE2E97" w:rsidRDefault="0089585D" w:rsidP="00FE2E97">
      <w:pPr>
        <w:rPr>
          <w:sz w:val="22"/>
          <w:szCs w:val="22"/>
          <w:lang w:val="sk-SK"/>
        </w:rPr>
      </w:pPr>
    </w:p>
    <w:p w:rsidR="0089585D" w:rsidRPr="00FE2E97" w:rsidRDefault="0089585D" w:rsidP="00FE2E97">
      <w:pPr>
        <w:rPr>
          <w:sz w:val="22"/>
          <w:szCs w:val="22"/>
          <w:lang w:val="sk-SK"/>
        </w:rPr>
      </w:pPr>
      <w:r w:rsidRPr="00FE2E97">
        <w:rPr>
          <w:sz w:val="22"/>
          <w:szCs w:val="22"/>
          <w:lang w:val="sk-SK"/>
        </w:rPr>
        <w:t>Liečba sa má začať hneď, ako sa objavia prvé príznaky ochorenia a preventívne v nej pokračovať ešte niekoľko dní po ústupe ťažkostí.</w:t>
      </w:r>
    </w:p>
    <w:p w:rsidR="0089585D" w:rsidRPr="00FE2E97" w:rsidRDefault="0089585D" w:rsidP="00FE2E97">
      <w:pPr>
        <w:rPr>
          <w:sz w:val="22"/>
          <w:szCs w:val="22"/>
          <w:lang w:val="sk-SK"/>
        </w:rPr>
      </w:pPr>
    </w:p>
    <w:p w:rsidR="0089585D" w:rsidRPr="00FE2E97" w:rsidRDefault="0089585D" w:rsidP="00FE2E97">
      <w:pPr>
        <w:pStyle w:val="Zkladntext2"/>
        <w:jc w:val="left"/>
        <w:rPr>
          <w:rFonts w:ascii="Times New Roman" w:hAnsi="Times New Roman"/>
          <w:bCs/>
          <w:sz w:val="22"/>
          <w:szCs w:val="22"/>
          <w:lang w:val="sk-SK"/>
        </w:rPr>
      </w:pPr>
      <w:r w:rsidRPr="00FE2E97">
        <w:rPr>
          <w:rFonts w:ascii="Times New Roman" w:hAnsi="Times New Roman"/>
          <w:bCs/>
          <w:sz w:val="22"/>
          <w:szCs w:val="22"/>
          <w:lang w:val="sk-SK"/>
        </w:rPr>
        <w:t>Po použití pastilky OlynHexo 5 mg/1,5 mg nejedzte ani nepite najmenej 60 minút.</w:t>
      </w:r>
    </w:p>
    <w:p w:rsidR="0089585D" w:rsidRPr="00FE2E97" w:rsidRDefault="0089585D" w:rsidP="00FE2E97">
      <w:pPr>
        <w:rPr>
          <w:sz w:val="22"/>
          <w:szCs w:val="22"/>
          <w:lang w:val="sk-SK"/>
        </w:rPr>
      </w:pPr>
    </w:p>
    <w:p w:rsidR="0089585D" w:rsidRPr="00FE2E97" w:rsidRDefault="0089585D" w:rsidP="00FE2E97">
      <w:pPr>
        <w:keepNext/>
        <w:keepLines/>
        <w:numPr>
          <w:ilvl w:val="1"/>
          <w:numId w:val="3"/>
        </w:numPr>
        <w:tabs>
          <w:tab w:val="clear" w:pos="720"/>
          <w:tab w:val="num" w:pos="567"/>
        </w:tabs>
        <w:ind w:left="567" w:hanging="567"/>
        <w:rPr>
          <w:b/>
          <w:sz w:val="22"/>
          <w:szCs w:val="22"/>
          <w:lang w:val="sk-SK"/>
        </w:rPr>
      </w:pPr>
      <w:r w:rsidRPr="00FE2E97">
        <w:rPr>
          <w:b/>
          <w:sz w:val="22"/>
          <w:szCs w:val="22"/>
          <w:lang w:val="sk-SK"/>
        </w:rPr>
        <w:t>Kontraindikácie</w:t>
      </w:r>
    </w:p>
    <w:p w:rsidR="0089585D" w:rsidRPr="00FE2E97" w:rsidRDefault="0089585D" w:rsidP="00FE2E97">
      <w:pPr>
        <w:rPr>
          <w:sz w:val="22"/>
          <w:szCs w:val="22"/>
          <w:lang w:val="sk-SK"/>
        </w:rPr>
      </w:pPr>
    </w:p>
    <w:p w:rsidR="0089585D" w:rsidRPr="00FE2E97" w:rsidRDefault="0089585D" w:rsidP="00FE2E97">
      <w:pPr>
        <w:rPr>
          <w:sz w:val="22"/>
          <w:szCs w:val="22"/>
          <w:lang w:val="sk-SK"/>
        </w:rPr>
      </w:pPr>
      <w:r w:rsidRPr="00FE2E97">
        <w:rPr>
          <w:sz w:val="22"/>
          <w:szCs w:val="22"/>
          <w:lang w:val="sk-SK"/>
        </w:rPr>
        <w:lastRenderedPageBreak/>
        <w:t>Pastilky OlynHexo 5 mg/1,5 mg sa nesmú používať v prípade známej precitlivenosti na liečivá alebo na ktorúkoľvek z pomocných látok uvedených v časti 6.1.</w:t>
      </w:r>
    </w:p>
    <w:p w:rsidR="0089585D" w:rsidRPr="00FE2E97" w:rsidRDefault="0089585D" w:rsidP="00FE2E97">
      <w:pPr>
        <w:numPr>
          <w:ilvl w:val="0"/>
          <w:numId w:val="10"/>
        </w:numPr>
        <w:rPr>
          <w:sz w:val="22"/>
          <w:szCs w:val="22"/>
          <w:lang w:val="sk-SK"/>
        </w:rPr>
      </w:pPr>
      <w:r w:rsidRPr="00FE2E97">
        <w:rPr>
          <w:sz w:val="22"/>
          <w:szCs w:val="22"/>
          <w:lang w:val="sk-SK"/>
        </w:rPr>
        <w:t>výskyt poranení alebo ulcerácií v ústnej dutine a v hrdle</w:t>
      </w:r>
    </w:p>
    <w:p w:rsidR="0089585D" w:rsidRPr="00FE2E97" w:rsidRDefault="0089585D" w:rsidP="00FE2E97">
      <w:pPr>
        <w:numPr>
          <w:ilvl w:val="0"/>
          <w:numId w:val="10"/>
        </w:numPr>
        <w:rPr>
          <w:sz w:val="22"/>
          <w:szCs w:val="22"/>
          <w:lang w:val="sk-SK"/>
        </w:rPr>
      </w:pPr>
      <w:r w:rsidRPr="00FE2E97">
        <w:rPr>
          <w:sz w:val="22"/>
          <w:szCs w:val="22"/>
          <w:lang w:val="sk-SK"/>
        </w:rPr>
        <w:t>nízka plazmatická koncentrácia cholínesterázy</w:t>
      </w:r>
    </w:p>
    <w:p w:rsidR="0089585D" w:rsidRPr="00FE2E97" w:rsidRDefault="0089585D" w:rsidP="00FE2E97">
      <w:pPr>
        <w:numPr>
          <w:ilvl w:val="0"/>
          <w:numId w:val="10"/>
        </w:numPr>
        <w:rPr>
          <w:sz w:val="22"/>
          <w:szCs w:val="22"/>
          <w:lang w:val="sk-SK"/>
        </w:rPr>
      </w:pPr>
      <w:r w:rsidRPr="00FE2E97">
        <w:rPr>
          <w:sz w:val="22"/>
          <w:szCs w:val="22"/>
          <w:lang w:val="sk-SK"/>
        </w:rPr>
        <w:t>deti do 4 rokov</w:t>
      </w:r>
    </w:p>
    <w:p w:rsidR="0089585D" w:rsidRPr="00FE2E97" w:rsidRDefault="0089585D" w:rsidP="00FE2E97">
      <w:pPr>
        <w:rPr>
          <w:sz w:val="22"/>
          <w:szCs w:val="22"/>
          <w:lang w:val="sk-SK"/>
        </w:rPr>
      </w:pPr>
    </w:p>
    <w:p w:rsidR="0089585D" w:rsidRPr="00FE2E97" w:rsidRDefault="0089585D" w:rsidP="00FE2E97">
      <w:pPr>
        <w:rPr>
          <w:sz w:val="22"/>
          <w:szCs w:val="22"/>
          <w:lang w:val="sk-SK"/>
        </w:rPr>
      </w:pPr>
      <w:r w:rsidRPr="00FE2E97">
        <w:rPr>
          <w:sz w:val="22"/>
          <w:szCs w:val="22"/>
          <w:lang w:val="sk-SK"/>
        </w:rPr>
        <w:t>V prípade prítomnosti erozívnych alebo deskvamatívnych zmien na sliznici ústnej dutiny sa môžu pastilky OlynHexo 5 mg/1,5 mg používať veľmi opatrne alebo len pod dohľadom lekára.</w:t>
      </w:r>
    </w:p>
    <w:p w:rsidR="0089585D" w:rsidRPr="00FE2E97" w:rsidRDefault="0089585D" w:rsidP="00FE2E97">
      <w:pPr>
        <w:rPr>
          <w:sz w:val="22"/>
          <w:szCs w:val="22"/>
          <w:lang w:val="sk-SK"/>
        </w:rPr>
      </w:pPr>
    </w:p>
    <w:p w:rsidR="0089585D" w:rsidRPr="00FE2E97" w:rsidRDefault="0089585D" w:rsidP="00FE2E97">
      <w:pPr>
        <w:numPr>
          <w:ilvl w:val="1"/>
          <w:numId w:val="3"/>
        </w:numPr>
        <w:tabs>
          <w:tab w:val="clear" w:pos="720"/>
          <w:tab w:val="num" w:pos="567"/>
        </w:tabs>
        <w:ind w:left="567" w:hanging="567"/>
        <w:rPr>
          <w:b/>
          <w:sz w:val="22"/>
          <w:szCs w:val="22"/>
          <w:lang w:val="sk-SK"/>
        </w:rPr>
      </w:pPr>
      <w:r w:rsidRPr="00FE2E97">
        <w:rPr>
          <w:b/>
          <w:sz w:val="22"/>
          <w:szCs w:val="22"/>
          <w:lang w:val="sk-SK"/>
        </w:rPr>
        <w:t>Osobitné upozornenia a opatrenia pri používaní</w:t>
      </w:r>
    </w:p>
    <w:p w:rsidR="0089585D" w:rsidRPr="00FE2E97" w:rsidRDefault="0089585D" w:rsidP="00FE2E97">
      <w:pPr>
        <w:rPr>
          <w:sz w:val="22"/>
          <w:szCs w:val="22"/>
          <w:lang w:val="sk-SK"/>
        </w:rPr>
      </w:pPr>
    </w:p>
    <w:p w:rsidR="0089585D" w:rsidRPr="00FE2E97" w:rsidRDefault="0089585D" w:rsidP="00FE2E97">
      <w:pPr>
        <w:rPr>
          <w:sz w:val="22"/>
          <w:szCs w:val="22"/>
          <w:lang w:val="sk-SK"/>
        </w:rPr>
      </w:pPr>
      <w:r w:rsidRPr="00FE2E97">
        <w:rPr>
          <w:sz w:val="22"/>
          <w:szCs w:val="22"/>
          <w:lang w:val="sk-SK"/>
        </w:rPr>
        <w:t>Pastilky OlynHexo 5 mg/1,5 mg obsahujú aspartám, ktorý je zdrojom fenylalanínu. Liek preto nie je vhodný pre ľudí s fenylketonúriou (vrodenou metabolickou poruchou). Liek obsahuje izomalt ST. Pacienti so zriedkavými dedičnými problémami intolerancie fruktózy nesmú užívať tento liek.</w:t>
      </w:r>
    </w:p>
    <w:p w:rsidR="0089585D" w:rsidRPr="00FE2E97" w:rsidRDefault="0089585D" w:rsidP="00FE2E97">
      <w:pPr>
        <w:rPr>
          <w:sz w:val="22"/>
          <w:szCs w:val="22"/>
          <w:lang w:val="sk-SK"/>
        </w:rPr>
      </w:pPr>
    </w:p>
    <w:p w:rsidR="0089585D" w:rsidRPr="00FE2E97" w:rsidRDefault="0089585D" w:rsidP="00FE2E97">
      <w:pPr>
        <w:pStyle w:val="Default"/>
        <w:rPr>
          <w:sz w:val="22"/>
          <w:szCs w:val="22"/>
        </w:rPr>
      </w:pPr>
      <w:r w:rsidRPr="00FE2E97">
        <w:rPr>
          <w:sz w:val="22"/>
          <w:szCs w:val="22"/>
        </w:rPr>
        <w:t>Benzokaín môže spôsobiť methemoglobinémiu (pozri časť 4.8).</w:t>
      </w:r>
    </w:p>
    <w:p w:rsidR="0089585D" w:rsidRPr="00FE2E97" w:rsidRDefault="0089585D" w:rsidP="00FE2E97">
      <w:pPr>
        <w:pStyle w:val="Default"/>
        <w:rPr>
          <w:sz w:val="22"/>
          <w:szCs w:val="22"/>
        </w:rPr>
      </w:pPr>
      <w:r w:rsidRPr="00FE2E97">
        <w:rPr>
          <w:sz w:val="22"/>
          <w:szCs w:val="22"/>
        </w:rPr>
        <w:t>Tento stav charakterizujú príznaky ako bledá, sivá alebo modrá koža, modré pery a lôžka nechtov, bolesť hlavy, závraty, dýchavičnosť, únava a tachykardia.</w:t>
      </w:r>
    </w:p>
    <w:p w:rsidR="0089585D" w:rsidRPr="00FE2E97" w:rsidRDefault="0089585D" w:rsidP="00FE2E97">
      <w:pPr>
        <w:pStyle w:val="Default"/>
        <w:rPr>
          <w:sz w:val="22"/>
          <w:szCs w:val="22"/>
        </w:rPr>
      </w:pPr>
      <w:r w:rsidRPr="00FE2E97">
        <w:rPr>
          <w:sz w:val="22"/>
          <w:szCs w:val="22"/>
        </w:rPr>
        <w:t>Tieto príznaky naznačujú strednú až vysokú hladinu methemoglobínu a výrazné zníženie kapacity krvi prenášať kyslík.</w:t>
      </w:r>
    </w:p>
    <w:p w:rsidR="0089585D" w:rsidRPr="00FE2E97" w:rsidRDefault="0089585D" w:rsidP="00FE2E97">
      <w:pPr>
        <w:rPr>
          <w:sz w:val="22"/>
          <w:szCs w:val="22"/>
          <w:lang w:val="sk-SK"/>
        </w:rPr>
      </w:pPr>
    </w:p>
    <w:p w:rsidR="0089585D" w:rsidRPr="00FE2E97" w:rsidRDefault="0089585D" w:rsidP="00FE2E97">
      <w:pPr>
        <w:pStyle w:val="Default"/>
        <w:rPr>
          <w:sz w:val="22"/>
          <w:szCs w:val="22"/>
        </w:rPr>
      </w:pPr>
      <w:r w:rsidRPr="00FE2E97">
        <w:rPr>
          <w:sz w:val="22"/>
          <w:szCs w:val="22"/>
        </w:rPr>
        <w:t>Deti ako aj starší pacienti sú vystavení vyššiemu riziku rozvoja methemoglobinémie.</w:t>
      </w:r>
    </w:p>
    <w:p w:rsidR="0089585D" w:rsidRPr="00FE2E97" w:rsidRDefault="0089585D" w:rsidP="00FE2E97">
      <w:pPr>
        <w:pStyle w:val="Default"/>
        <w:rPr>
          <w:sz w:val="22"/>
          <w:szCs w:val="22"/>
        </w:rPr>
      </w:pPr>
    </w:p>
    <w:p w:rsidR="0089585D" w:rsidRPr="00FE2E97" w:rsidRDefault="0089585D" w:rsidP="00FE2E97">
      <w:pPr>
        <w:pStyle w:val="Default1"/>
        <w:rPr>
          <w:color w:val="000000"/>
          <w:sz w:val="22"/>
          <w:szCs w:val="22"/>
        </w:rPr>
      </w:pPr>
      <w:r w:rsidRPr="00FE2E97">
        <w:rPr>
          <w:color w:val="000000"/>
          <w:sz w:val="22"/>
          <w:szCs w:val="22"/>
        </w:rPr>
        <w:t>Deti majú užívať liek len pod dohľadom dospelého.</w:t>
      </w:r>
    </w:p>
    <w:p w:rsidR="0089585D" w:rsidRPr="00F435BD" w:rsidRDefault="0089585D" w:rsidP="00FE2E97">
      <w:pPr>
        <w:pStyle w:val="Default"/>
        <w:rPr>
          <w:sz w:val="22"/>
          <w:szCs w:val="22"/>
        </w:rPr>
      </w:pPr>
    </w:p>
    <w:p w:rsidR="0089585D" w:rsidRPr="00FE2E97" w:rsidRDefault="0089585D" w:rsidP="00FE2E97">
      <w:pPr>
        <w:pStyle w:val="Default1"/>
        <w:rPr>
          <w:color w:val="000000"/>
          <w:sz w:val="22"/>
          <w:szCs w:val="22"/>
        </w:rPr>
      </w:pPr>
      <w:r w:rsidRPr="00FE2E97">
        <w:rPr>
          <w:color w:val="000000"/>
          <w:sz w:val="22"/>
          <w:szCs w:val="22"/>
        </w:rPr>
        <w:t>V prípade výskytu rán a ulcerácií v ústach a hrdle sa má liek užívať so zvýšenou opatrnosťou a pod lekárskym dohľadom.</w:t>
      </w:r>
    </w:p>
    <w:p w:rsidR="0089585D" w:rsidRPr="00F435BD" w:rsidRDefault="0089585D" w:rsidP="00FE2E97">
      <w:pPr>
        <w:pStyle w:val="Default"/>
        <w:rPr>
          <w:sz w:val="22"/>
          <w:szCs w:val="22"/>
        </w:rPr>
      </w:pPr>
    </w:p>
    <w:p w:rsidR="0089585D" w:rsidRPr="00FE2E97" w:rsidRDefault="0089585D" w:rsidP="00E25200">
      <w:pPr>
        <w:rPr>
          <w:sz w:val="22"/>
          <w:szCs w:val="22"/>
          <w:lang w:val="sk-SK"/>
        </w:rPr>
      </w:pPr>
      <w:r w:rsidRPr="00FE2E97">
        <w:rPr>
          <w:sz w:val="22"/>
          <w:szCs w:val="22"/>
          <w:lang w:val="sk-SK"/>
        </w:rPr>
        <w:t>U malých detí a osôb s ťažkosťami pri prehĺtaní používajte opatrne, pretože pastilky predstavujú potenciálne riziko udusenia.</w:t>
      </w:r>
    </w:p>
    <w:p w:rsidR="0089585D" w:rsidRPr="00FE2E97" w:rsidRDefault="0089585D" w:rsidP="00514194">
      <w:pPr>
        <w:rPr>
          <w:sz w:val="22"/>
          <w:szCs w:val="22"/>
          <w:lang w:val="sk-SK"/>
        </w:rPr>
      </w:pPr>
    </w:p>
    <w:p w:rsidR="0089585D" w:rsidRPr="00FE2E97" w:rsidRDefault="0089585D" w:rsidP="00F435BD">
      <w:pPr>
        <w:numPr>
          <w:ilvl w:val="1"/>
          <w:numId w:val="3"/>
        </w:numPr>
        <w:tabs>
          <w:tab w:val="clear" w:pos="720"/>
          <w:tab w:val="num" w:pos="567"/>
        </w:tabs>
        <w:ind w:left="567" w:hanging="567"/>
        <w:rPr>
          <w:b/>
          <w:sz w:val="22"/>
          <w:szCs w:val="22"/>
          <w:lang w:val="sk-SK"/>
        </w:rPr>
      </w:pPr>
      <w:r w:rsidRPr="00FE2E97">
        <w:rPr>
          <w:b/>
          <w:sz w:val="22"/>
          <w:szCs w:val="22"/>
          <w:lang w:val="sk-SK"/>
        </w:rPr>
        <w:t>Liekové a iné interakcie</w:t>
      </w:r>
    </w:p>
    <w:p w:rsidR="0089585D" w:rsidRPr="00FE2E97" w:rsidRDefault="0089585D">
      <w:pPr>
        <w:rPr>
          <w:b/>
          <w:sz w:val="22"/>
          <w:szCs w:val="22"/>
          <w:lang w:val="sk-SK"/>
        </w:rPr>
      </w:pPr>
    </w:p>
    <w:p w:rsidR="0089585D" w:rsidRPr="00FE2E97" w:rsidRDefault="0089585D">
      <w:pPr>
        <w:rPr>
          <w:sz w:val="22"/>
          <w:szCs w:val="22"/>
          <w:lang w:val="sk-SK"/>
        </w:rPr>
      </w:pPr>
      <w:r w:rsidRPr="00FE2E97">
        <w:rPr>
          <w:sz w:val="22"/>
          <w:szCs w:val="22"/>
          <w:lang w:val="sk-SK"/>
        </w:rPr>
        <w:t>Boli popísané interakcie benzokaínu a sulfónamidov.</w:t>
      </w:r>
    </w:p>
    <w:p w:rsidR="0089585D" w:rsidRPr="00E25200" w:rsidRDefault="0089585D">
      <w:pPr>
        <w:rPr>
          <w:sz w:val="22"/>
          <w:szCs w:val="22"/>
          <w:lang w:val="sk-SK"/>
        </w:rPr>
      </w:pPr>
    </w:p>
    <w:p w:rsidR="0089585D" w:rsidRPr="00FE2E97" w:rsidRDefault="0089585D">
      <w:pPr>
        <w:rPr>
          <w:sz w:val="22"/>
          <w:szCs w:val="22"/>
          <w:lang w:val="sk-SK"/>
        </w:rPr>
      </w:pPr>
      <w:r w:rsidRPr="00514194">
        <w:rPr>
          <w:sz w:val="22"/>
          <w:szCs w:val="22"/>
          <w:lang w:val="sk-SK"/>
        </w:rPr>
        <w:t xml:space="preserve">Je možná skrížená reakcia precitlivenosti medzi lokálnymi anestetikami esterového typu a topickými </w:t>
      </w:r>
      <w:r w:rsidRPr="00FE2E97">
        <w:rPr>
          <w:sz w:val="22"/>
          <w:szCs w:val="22"/>
          <w:lang w:val="sk-SK"/>
        </w:rPr>
        <w:t>liekmi obsahujúcimi PABA.</w:t>
      </w:r>
    </w:p>
    <w:p w:rsidR="0089585D" w:rsidRPr="00FE2E97" w:rsidRDefault="0089585D">
      <w:pPr>
        <w:rPr>
          <w:sz w:val="22"/>
          <w:szCs w:val="22"/>
          <w:lang w:val="sk-SK"/>
        </w:rPr>
      </w:pPr>
    </w:p>
    <w:p w:rsidR="0089585D" w:rsidRPr="00FE2E97" w:rsidRDefault="0089585D">
      <w:pPr>
        <w:ind w:left="567" w:hanging="567"/>
        <w:rPr>
          <w:b/>
          <w:sz w:val="22"/>
          <w:szCs w:val="22"/>
          <w:lang w:val="sk-SK"/>
        </w:rPr>
      </w:pPr>
      <w:r w:rsidRPr="00FE2E97">
        <w:rPr>
          <w:b/>
          <w:sz w:val="22"/>
          <w:szCs w:val="22"/>
          <w:lang w:val="sk-SK"/>
        </w:rPr>
        <w:t>4.6</w:t>
      </w:r>
      <w:r w:rsidRPr="00FE2E97">
        <w:rPr>
          <w:b/>
          <w:sz w:val="22"/>
          <w:szCs w:val="22"/>
          <w:lang w:val="sk-SK"/>
        </w:rPr>
        <w:tab/>
        <w:t>Fertilita, gravidita a laktácia</w:t>
      </w:r>
    </w:p>
    <w:p w:rsidR="0089585D" w:rsidRPr="00FE2E97" w:rsidRDefault="0089585D">
      <w:pPr>
        <w:ind w:left="709" w:hanging="709"/>
        <w:rPr>
          <w:sz w:val="22"/>
          <w:szCs w:val="22"/>
          <w:lang w:val="sk-SK"/>
        </w:rPr>
      </w:pPr>
    </w:p>
    <w:p w:rsidR="0089585D" w:rsidRPr="00FE2E97" w:rsidRDefault="0089585D">
      <w:pPr>
        <w:pStyle w:val="Default"/>
        <w:rPr>
          <w:sz w:val="22"/>
          <w:szCs w:val="22"/>
        </w:rPr>
      </w:pPr>
      <w:r w:rsidRPr="00FE2E97">
        <w:rPr>
          <w:sz w:val="22"/>
          <w:szCs w:val="22"/>
        </w:rPr>
        <w:t>Neexistujú adekvátne a dobre kontrolované štúdie u gravidných žien. Benzokaín/chlórhexidín sa nemá používať počas gravidity alebo laktácie, pokiaľ možný prínos liečby pre matku neprevýši možné riziko pre vyvíjajúci sa plod alebo dojčené dieťa.</w:t>
      </w:r>
    </w:p>
    <w:p w:rsidR="0089585D" w:rsidRPr="00FE2E97" w:rsidRDefault="0089585D">
      <w:pPr>
        <w:pStyle w:val="Default"/>
        <w:rPr>
          <w:sz w:val="22"/>
          <w:szCs w:val="22"/>
        </w:rPr>
      </w:pPr>
    </w:p>
    <w:p w:rsidR="0089585D" w:rsidRPr="00FE2E97" w:rsidRDefault="0089585D">
      <w:pPr>
        <w:rPr>
          <w:sz w:val="22"/>
          <w:szCs w:val="22"/>
          <w:lang w:val="sk-SK"/>
        </w:rPr>
      </w:pPr>
      <w:r w:rsidRPr="00FE2E97">
        <w:rPr>
          <w:sz w:val="22"/>
          <w:szCs w:val="22"/>
          <w:lang w:val="sk-SK"/>
        </w:rPr>
        <w:t>Nie je známe, či sa benzokaín/chlórhexidín alebo ich metabolity vylučujú do ľudského mlieka.</w:t>
      </w:r>
    </w:p>
    <w:p w:rsidR="0089585D" w:rsidRPr="00FE2E97" w:rsidRDefault="0089585D">
      <w:pPr>
        <w:rPr>
          <w:sz w:val="22"/>
          <w:szCs w:val="22"/>
          <w:lang w:val="sk-SK"/>
        </w:rPr>
      </w:pPr>
    </w:p>
    <w:p w:rsidR="0089585D" w:rsidRPr="00FE2E97" w:rsidRDefault="0089585D">
      <w:pPr>
        <w:keepNext/>
        <w:keepLines/>
        <w:tabs>
          <w:tab w:val="left" w:pos="567"/>
        </w:tabs>
        <w:rPr>
          <w:b/>
          <w:sz w:val="22"/>
          <w:szCs w:val="22"/>
          <w:lang w:val="sk-SK"/>
        </w:rPr>
      </w:pPr>
      <w:r w:rsidRPr="00FE2E97">
        <w:rPr>
          <w:b/>
          <w:sz w:val="22"/>
          <w:szCs w:val="22"/>
          <w:lang w:val="sk-SK"/>
        </w:rPr>
        <w:t>4.7</w:t>
      </w:r>
      <w:r w:rsidRPr="00FE2E97">
        <w:rPr>
          <w:b/>
          <w:sz w:val="22"/>
          <w:szCs w:val="22"/>
          <w:lang w:val="sk-SK"/>
        </w:rPr>
        <w:tab/>
        <w:t>Ovplyvnenie schopnosti viesť vozidlá a obsluhovať stroje</w:t>
      </w:r>
    </w:p>
    <w:p w:rsidR="0089585D" w:rsidRPr="00FE2E97" w:rsidRDefault="0089585D">
      <w:pPr>
        <w:keepNext/>
        <w:keepLines/>
        <w:rPr>
          <w:sz w:val="22"/>
          <w:szCs w:val="22"/>
          <w:lang w:val="sk-SK"/>
        </w:rPr>
      </w:pPr>
    </w:p>
    <w:p w:rsidR="0089585D" w:rsidRPr="00FE2E97" w:rsidRDefault="0089585D">
      <w:pPr>
        <w:rPr>
          <w:sz w:val="22"/>
          <w:szCs w:val="22"/>
          <w:lang w:val="sk-SK"/>
        </w:rPr>
      </w:pPr>
      <w:r w:rsidRPr="00FE2E97">
        <w:rPr>
          <w:sz w:val="22"/>
          <w:szCs w:val="22"/>
          <w:lang w:val="sk-SK"/>
        </w:rPr>
        <w:t>Nemá vplyv na schopnosť viesť vozidlá a obsluhovať stroje.</w:t>
      </w:r>
    </w:p>
    <w:p w:rsidR="0089585D" w:rsidRPr="00FE2E97" w:rsidRDefault="0089585D">
      <w:pPr>
        <w:rPr>
          <w:sz w:val="22"/>
          <w:szCs w:val="22"/>
          <w:lang w:val="sk-SK"/>
        </w:rPr>
      </w:pPr>
    </w:p>
    <w:p w:rsidR="0089585D" w:rsidRPr="00FE2E97" w:rsidRDefault="0089585D">
      <w:pPr>
        <w:numPr>
          <w:ilvl w:val="1"/>
          <w:numId w:val="6"/>
        </w:numPr>
        <w:rPr>
          <w:b/>
          <w:sz w:val="22"/>
          <w:szCs w:val="22"/>
          <w:lang w:val="sk-SK"/>
        </w:rPr>
      </w:pPr>
      <w:r w:rsidRPr="00FE2E97">
        <w:rPr>
          <w:b/>
          <w:sz w:val="22"/>
          <w:szCs w:val="22"/>
          <w:lang w:val="sk-SK"/>
        </w:rPr>
        <w:t>Nežiaduce účinky</w:t>
      </w:r>
    </w:p>
    <w:p w:rsidR="0089585D" w:rsidRPr="00FE2E97" w:rsidRDefault="0089585D">
      <w:pPr>
        <w:rPr>
          <w:sz w:val="22"/>
          <w:szCs w:val="22"/>
          <w:lang w:val="sk-SK"/>
        </w:rPr>
      </w:pPr>
    </w:p>
    <w:p w:rsidR="0089585D" w:rsidRPr="00FE2E97" w:rsidRDefault="0089585D">
      <w:pPr>
        <w:pStyle w:val="Default"/>
        <w:rPr>
          <w:sz w:val="22"/>
          <w:szCs w:val="22"/>
        </w:rPr>
      </w:pPr>
      <w:r w:rsidRPr="00FE2E97">
        <w:rPr>
          <w:sz w:val="22"/>
          <w:szCs w:val="22"/>
        </w:rPr>
        <w:t>Nežiaduce účinky identifikované pri benzokaíne/chlórhexidíne po uvedení na trh a z literatúry sú uvedené v tabuľke 1. V tejto tabuľke sú frekvencie uvedené podľa nasledujúcej konvencie:</w:t>
      </w:r>
    </w:p>
    <w:p w:rsidR="0089585D" w:rsidRPr="00FE2E97" w:rsidRDefault="0089585D" w:rsidP="00F435BD">
      <w:pPr>
        <w:pStyle w:val="Zarkazkladnhotextu"/>
        <w:jc w:val="left"/>
        <w:rPr>
          <w:color w:val="000000"/>
          <w:sz w:val="22"/>
          <w:szCs w:val="22"/>
          <w:lang w:val="sk-SK"/>
        </w:rPr>
      </w:pPr>
    </w:p>
    <w:p w:rsidR="0089585D" w:rsidRPr="00FE2E97" w:rsidRDefault="0089585D" w:rsidP="00F435BD">
      <w:pPr>
        <w:pStyle w:val="Zarkazkladnhotextu"/>
        <w:jc w:val="left"/>
        <w:rPr>
          <w:color w:val="000000"/>
          <w:sz w:val="22"/>
          <w:szCs w:val="22"/>
          <w:lang w:val="sk-SK"/>
        </w:rPr>
      </w:pPr>
      <w:r w:rsidRPr="00FE2E97">
        <w:rPr>
          <w:color w:val="000000"/>
          <w:sz w:val="22"/>
          <w:szCs w:val="22"/>
          <w:lang w:val="sk-SK"/>
        </w:rPr>
        <w:t>veľmi časté</w:t>
      </w:r>
      <w:r w:rsidRPr="00FE2E97">
        <w:rPr>
          <w:color w:val="000000"/>
          <w:sz w:val="22"/>
          <w:szCs w:val="22"/>
          <w:lang w:val="sk-SK"/>
        </w:rPr>
        <w:tab/>
      </w:r>
      <w:r w:rsidRPr="00FE2E97">
        <w:rPr>
          <w:color w:val="000000"/>
          <w:sz w:val="22"/>
          <w:szCs w:val="22"/>
          <w:lang w:val="sk-SK"/>
        </w:rPr>
        <w:tab/>
        <w:t>≥ 1/10</w:t>
      </w:r>
    </w:p>
    <w:p w:rsidR="0089585D" w:rsidRPr="00FE2E97" w:rsidRDefault="0089585D" w:rsidP="00F435BD">
      <w:pPr>
        <w:pStyle w:val="Zarkazkladnhotextu"/>
        <w:jc w:val="left"/>
        <w:rPr>
          <w:color w:val="000000"/>
          <w:sz w:val="22"/>
          <w:szCs w:val="22"/>
          <w:lang w:val="sk-SK"/>
        </w:rPr>
      </w:pPr>
      <w:r w:rsidRPr="00FE2E97">
        <w:rPr>
          <w:color w:val="000000"/>
          <w:sz w:val="22"/>
          <w:szCs w:val="22"/>
          <w:lang w:val="sk-SK"/>
        </w:rPr>
        <w:lastRenderedPageBreak/>
        <w:t>časté</w:t>
      </w:r>
      <w:r w:rsidRPr="00FE2E97">
        <w:rPr>
          <w:color w:val="000000"/>
          <w:sz w:val="22"/>
          <w:szCs w:val="22"/>
          <w:lang w:val="sk-SK"/>
        </w:rPr>
        <w:tab/>
      </w:r>
      <w:r w:rsidRPr="00FE2E97">
        <w:rPr>
          <w:color w:val="000000"/>
          <w:sz w:val="22"/>
          <w:szCs w:val="22"/>
          <w:lang w:val="sk-SK"/>
        </w:rPr>
        <w:tab/>
      </w:r>
      <w:r w:rsidRPr="00FE2E97">
        <w:rPr>
          <w:color w:val="000000"/>
          <w:sz w:val="22"/>
          <w:szCs w:val="22"/>
          <w:lang w:val="sk-SK"/>
        </w:rPr>
        <w:tab/>
        <w:t>≥ 1/100 až &lt; 1/10</w:t>
      </w:r>
    </w:p>
    <w:p w:rsidR="0089585D" w:rsidRPr="00FE2E97" w:rsidRDefault="0089585D" w:rsidP="00F435BD">
      <w:pPr>
        <w:pStyle w:val="Zarkazkladnhotextu"/>
        <w:jc w:val="left"/>
        <w:rPr>
          <w:color w:val="000000"/>
          <w:sz w:val="22"/>
          <w:szCs w:val="22"/>
          <w:lang w:val="sk-SK"/>
        </w:rPr>
      </w:pPr>
      <w:r w:rsidRPr="00FE2E97">
        <w:rPr>
          <w:color w:val="000000"/>
          <w:sz w:val="22"/>
          <w:szCs w:val="22"/>
          <w:lang w:val="sk-SK"/>
        </w:rPr>
        <w:t>menej časté</w:t>
      </w:r>
      <w:r w:rsidRPr="00FE2E97">
        <w:rPr>
          <w:color w:val="000000"/>
          <w:sz w:val="22"/>
          <w:szCs w:val="22"/>
          <w:lang w:val="sk-SK"/>
        </w:rPr>
        <w:tab/>
      </w:r>
      <w:r w:rsidRPr="00FE2E97">
        <w:rPr>
          <w:color w:val="000000"/>
          <w:sz w:val="22"/>
          <w:szCs w:val="22"/>
          <w:lang w:val="sk-SK"/>
        </w:rPr>
        <w:tab/>
        <w:t>≥ 1/1 000 až &lt; 1/100</w:t>
      </w:r>
    </w:p>
    <w:p w:rsidR="0089585D" w:rsidRPr="00FE2E97" w:rsidRDefault="0089585D" w:rsidP="00F435BD">
      <w:pPr>
        <w:pStyle w:val="Zarkazkladnhotextu"/>
        <w:jc w:val="left"/>
        <w:rPr>
          <w:color w:val="000000"/>
          <w:sz w:val="22"/>
          <w:szCs w:val="22"/>
          <w:lang w:val="sk-SK"/>
        </w:rPr>
      </w:pPr>
      <w:r w:rsidRPr="00FE2E97">
        <w:rPr>
          <w:color w:val="000000"/>
          <w:sz w:val="22"/>
          <w:szCs w:val="22"/>
          <w:lang w:val="sk-SK"/>
        </w:rPr>
        <w:t>zriedkavé</w:t>
      </w:r>
      <w:r w:rsidRPr="00FE2E97">
        <w:rPr>
          <w:color w:val="000000"/>
          <w:sz w:val="22"/>
          <w:szCs w:val="22"/>
          <w:lang w:val="sk-SK"/>
        </w:rPr>
        <w:tab/>
      </w:r>
      <w:r w:rsidRPr="00FE2E97">
        <w:rPr>
          <w:color w:val="000000"/>
          <w:sz w:val="22"/>
          <w:szCs w:val="22"/>
          <w:lang w:val="sk-SK"/>
        </w:rPr>
        <w:tab/>
        <w:t>≥ 1/10 000 až &lt; 1/1 000</w:t>
      </w:r>
    </w:p>
    <w:p w:rsidR="0089585D" w:rsidRPr="00FE2E97" w:rsidRDefault="0089585D" w:rsidP="00F435BD">
      <w:pPr>
        <w:pStyle w:val="Zarkazkladnhotextu"/>
        <w:jc w:val="left"/>
        <w:rPr>
          <w:color w:val="000000"/>
          <w:sz w:val="22"/>
          <w:szCs w:val="22"/>
          <w:lang w:val="sk-SK"/>
        </w:rPr>
      </w:pPr>
      <w:r w:rsidRPr="00FE2E97">
        <w:rPr>
          <w:color w:val="000000"/>
          <w:sz w:val="22"/>
          <w:szCs w:val="22"/>
          <w:lang w:val="sk-SK"/>
        </w:rPr>
        <w:t>veľmi zriedkavé</w:t>
      </w:r>
      <w:r w:rsidRPr="00FE2E97">
        <w:rPr>
          <w:color w:val="000000"/>
          <w:sz w:val="22"/>
          <w:szCs w:val="22"/>
          <w:lang w:val="sk-SK"/>
        </w:rPr>
        <w:tab/>
        <w:t>&lt; 1/10 000</w:t>
      </w:r>
    </w:p>
    <w:p w:rsidR="0089585D" w:rsidRPr="00FE2E97" w:rsidRDefault="0089585D" w:rsidP="00F435BD">
      <w:pPr>
        <w:pStyle w:val="Zarkazkladnhotextu"/>
        <w:jc w:val="left"/>
        <w:rPr>
          <w:color w:val="000000"/>
          <w:sz w:val="22"/>
          <w:szCs w:val="22"/>
          <w:lang w:val="sk-SK"/>
        </w:rPr>
      </w:pPr>
      <w:r w:rsidRPr="00FE2E97">
        <w:rPr>
          <w:color w:val="000000"/>
          <w:sz w:val="22"/>
          <w:szCs w:val="22"/>
          <w:lang w:val="sk-SK"/>
        </w:rPr>
        <w:t>neznáme (nedá sa odhadnúť z dostupných údajov).</w:t>
      </w:r>
    </w:p>
    <w:p w:rsidR="0089585D" w:rsidRPr="00FE2E97" w:rsidRDefault="0089585D" w:rsidP="00FE2E97">
      <w:pPr>
        <w:pStyle w:val="Default"/>
        <w:rPr>
          <w:sz w:val="22"/>
          <w:szCs w:val="22"/>
        </w:rPr>
      </w:pPr>
    </w:p>
    <w:p w:rsidR="0089585D" w:rsidRPr="00FE2E97" w:rsidRDefault="0089585D" w:rsidP="00FE2E97">
      <w:pPr>
        <w:pStyle w:val="TableText"/>
        <w:rPr>
          <w:color w:val="000000"/>
          <w:sz w:val="22"/>
          <w:szCs w:val="22"/>
        </w:rPr>
      </w:pPr>
      <w:r w:rsidRPr="00FE2E97">
        <w:rPr>
          <w:b/>
          <w:bCs/>
          <w:color w:val="000000"/>
          <w:sz w:val="22"/>
          <w:szCs w:val="22"/>
        </w:rPr>
        <w:t>Tabuľka 1: Nežiaduce účinky identifikované s benzokaínom/chlórhexidínom po uvedení na trh podľa frekvencie zo spontánnych hlásení.</w:t>
      </w:r>
    </w:p>
    <w:p w:rsidR="0089585D" w:rsidRPr="00FE2E97" w:rsidRDefault="0089585D" w:rsidP="00FE2E97">
      <w:pPr>
        <w:pStyle w:val="Defaul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5"/>
        <w:gridCol w:w="4224"/>
      </w:tblGrid>
      <w:tr w:rsidR="0089585D" w:rsidRPr="00FE2E97" w:rsidTr="00F435BD">
        <w:tc>
          <w:tcPr>
            <w:tcW w:w="4115" w:type="dxa"/>
          </w:tcPr>
          <w:p w:rsidR="0089585D" w:rsidRPr="00FE2E97" w:rsidRDefault="0089585D" w:rsidP="00FE2E97">
            <w:pPr>
              <w:pStyle w:val="Default"/>
              <w:rPr>
                <w:b/>
                <w:sz w:val="22"/>
                <w:szCs w:val="22"/>
              </w:rPr>
            </w:pPr>
            <w:r w:rsidRPr="00FE2E97">
              <w:rPr>
                <w:b/>
                <w:sz w:val="22"/>
                <w:szCs w:val="22"/>
              </w:rPr>
              <w:t>Trieda orgánových systémov</w:t>
            </w:r>
          </w:p>
          <w:p w:rsidR="0089585D" w:rsidRPr="00FE2E97" w:rsidRDefault="0089585D" w:rsidP="00E25200">
            <w:pPr>
              <w:pStyle w:val="Default"/>
              <w:rPr>
                <w:sz w:val="22"/>
                <w:szCs w:val="22"/>
              </w:rPr>
            </w:pPr>
            <w:r w:rsidRPr="00FE2E97">
              <w:rPr>
                <w:sz w:val="22"/>
                <w:szCs w:val="22"/>
              </w:rPr>
              <w:t>Frekvencia</w:t>
            </w:r>
          </w:p>
        </w:tc>
        <w:tc>
          <w:tcPr>
            <w:tcW w:w="4224" w:type="dxa"/>
          </w:tcPr>
          <w:p w:rsidR="0089585D" w:rsidRPr="00FE2E97" w:rsidRDefault="0089585D" w:rsidP="00514194">
            <w:pPr>
              <w:pStyle w:val="Default"/>
              <w:rPr>
                <w:b/>
                <w:sz w:val="22"/>
                <w:szCs w:val="22"/>
              </w:rPr>
            </w:pPr>
            <w:r w:rsidRPr="00FE2E97">
              <w:rPr>
                <w:b/>
                <w:sz w:val="22"/>
                <w:szCs w:val="22"/>
              </w:rPr>
              <w:t>Nežiaduci účinok</w:t>
            </w:r>
          </w:p>
        </w:tc>
      </w:tr>
      <w:tr w:rsidR="00166505" w:rsidRPr="00FE2E97" w:rsidTr="002A7842">
        <w:tc>
          <w:tcPr>
            <w:tcW w:w="8339" w:type="dxa"/>
            <w:gridSpan w:val="2"/>
          </w:tcPr>
          <w:p w:rsidR="00166505" w:rsidRPr="00FE2E97" w:rsidRDefault="00166505" w:rsidP="00FE2E97">
            <w:pPr>
              <w:pStyle w:val="Default"/>
              <w:rPr>
                <w:b/>
                <w:sz w:val="22"/>
                <w:szCs w:val="22"/>
              </w:rPr>
            </w:pPr>
            <w:r w:rsidRPr="00FE2E97">
              <w:rPr>
                <w:sz w:val="22"/>
                <w:szCs w:val="22"/>
              </w:rPr>
              <w:t>Poruchy krvi a lymfatického systému</w:t>
            </w:r>
          </w:p>
        </w:tc>
      </w:tr>
      <w:tr w:rsidR="0089585D" w:rsidRPr="00FE2E97" w:rsidTr="00F435BD">
        <w:tc>
          <w:tcPr>
            <w:tcW w:w="4115" w:type="dxa"/>
          </w:tcPr>
          <w:p w:rsidR="0089585D" w:rsidRPr="00FE2E97" w:rsidRDefault="0089585D" w:rsidP="00FE2E97">
            <w:pPr>
              <w:pStyle w:val="Default"/>
              <w:rPr>
                <w:sz w:val="22"/>
                <w:szCs w:val="22"/>
              </w:rPr>
            </w:pPr>
            <w:r w:rsidRPr="00FE2E97">
              <w:rPr>
                <w:sz w:val="22"/>
                <w:szCs w:val="22"/>
              </w:rPr>
              <w:t>Neznáme</w:t>
            </w:r>
          </w:p>
        </w:tc>
        <w:tc>
          <w:tcPr>
            <w:tcW w:w="4224" w:type="dxa"/>
          </w:tcPr>
          <w:p w:rsidR="0089585D" w:rsidRPr="00FE2E97" w:rsidRDefault="0089585D" w:rsidP="00FE2E97">
            <w:pPr>
              <w:pStyle w:val="Default"/>
              <w:rPr>
                <w:b/>
                <w:sz w:val="22"/>
                <w:szCs w:val="22"/>
              </w:rPr>
            </w:pPr>
            <w:r w:rsidRPr="00FE2E97">
              <w:rPr>
                <w:sz w:val="22"/>
                <w:szCs w:val="22"/>
              </w:rPr>
              <w:t>methemoglobinémia</w:t>
            </w:r>
          </w:p>
        </w:tc>
      </w:tr>
      <w:tr w:rsidR="00166505" w:rsidRPr="00FE2E97" w:rsidTr="00A14BE0">
        <w:tc>
          <w:tcPr>
            <w:tcW w:w="8339" w:type="dxa"/>
            <w:gridSpan w:val="2"/>
          </w:tcPr>
          <w:p w:rsidR="00166505" w:rsidRPr="00FE2E97" w:rsidRDefault="00166505" w:rsidP="00FE2E97">
            <w:pPr>
              <w:pStyle w:val="Default"/>
              <w:rPr>
                <w:b/>
                <w:sz w:val="22"/>
                <w:szCs w:val="22"/>
              </w:rPr>
            </w:pPr>
            <w:r w:rsidRPr="00FE2E97">
              <w:rPr>
                <w:sz w:val="22"/>
                <w:szCs w:val="22"/>
              </w:rPr>
              <w:t>Poruchy imunitného systému</w:t>
            </w:r>
          </w:p>
        </w:tc>
      </w:tr>
      <w:tr w:rsidR="0089585D" w:rsidRPr="00FE2E97" w:rsidTr="00F435BD">
        <w:tc>
          <w:tcPr>
            <w:tcW w:w="4115" w:type="dxa"/>
          </w:tcPr>
          <w:p w:rsidR="0089585D" w:rsidRPr="00FE2E97" w:rsidRDefault="0089585D" w:rsidP="00FE2E97">
            <w:pPr>
              <w:pStyle w:val="Default"/>
              <w:rPr>
                <w:sz w:val="22"/>
                <w:szCs w:val="22"/>
              </w:rPr>
            </w:pPr>
            <w:r w:rsidRPr="00FE2E97">
              <w:rPr>
                <w:sz w:val="22"/>
                <w:szCs w:val="22"/>
              </w:rPr>
              <w:t>Neznáme</w:t>
            </w:r>
          </w:p>
        </w:tc>
        <w:tc>
          <w:tcPr>
            <w:tcW w:w="4224" w:type="dxa"/>
          </w:tcPr>
          <w:p w:rsidR="0089585D" w:rsidRPr="00FE2E97" w:rsidRDefault="0089585D" w:rsidP="00FE2E97">
            <w:pPr>
              <w:pStyle w:val="Default"/>
              <w:rPr>
                <w:b/>
                <w:sz w:val="22"/>
                <w:szCs w:val="22"/>
              </w:rPr>
            </w:pPr>
            <w:r w:rsidRPr="00FE2E97">
              <w:rPr>
                <w:sz w:val="22"/>
                <w:szCs w:val="22"/>
              </w:rPr>
              <w:t>precitlivenosť (vrátane žihľavky, angioedému, anafylaktických reakcií, anafylaktického šoku)</w:t>
            </w:r>
          </w:p>
        </w:tc>
      </w:tr>
      <w:tr w:rsidR="00166505" w:rsidRPr="00FE2E97" w:rsidTr="00DD41D3">
        <w:tc>
          <w:tcPr>
            <w:tcW w:w="8339" w:type="dxa"/>
            <w:gridSpan w:val="2"/>
          </w:tcPr>
          <w:p w:rsidR="00166505" w:rsidRPr="00FE2E97" w:rsidRDefault="00166505" w:rsidP="00FE2E97">
            <w:pPr>
              <w:pStyle w:val="Default"/>
              <w:rPr>
                <w:b/>
                <w:sz w:val="22"/>
                <w:szCs w:val="22"/>
              </w:rPr>
            </w:pPr>
            <w:r w:rsidRPr="00FE2E97">
              <w:rPr>
                <w:sz w:val="22"/>
                <w:szCs w:val="22"/>
              </w:rPr>
              <w:t>Poruchy gastrointestinálneho traktu</w:t>
            </w:r>
          </w:p>
        </w:tc>
      </w:tr>
      <w:tr w:rsidR="0089585D" w:rsidRPr="00FE2E97" w:rsidTr="00F435BD">
        <w:tc>
          <w:tcPr>
            <w:tcW w:w="4115" w:type="dxa"/>
          </w:tcPr>
          <w:p w:rsidR="0089585D" w:rsidRPr="00FE2E97" w:rsidRDefault="0089585D" w:rsidP="00FE2E97">
            <w:pPr>
              <w:pStyle w:val="Default"/>
              <w:rPr>
                <w:sz w:val="22"/>
                <w:szCs w:val="22"/>
              </w:rPr>
            </w:pPr>
            <w:r w:rsidRPr="00FE2E97">
              <w:rPr>
                <w:sz w:val="22"/>
                <w:szCs w:val="22"/>
              </w:rPr>
              <w:t>Neznáme</w:t>
            </w:r>
          </w:p>
        </w:tc>
        <w:tc>
          <w:tcPr>
            <w:tcW w:w="4224" w:type="dxa"/>
          </w:tcPr>
          <w:p w:rsidR="0089585D" w:rsidRPr="00FE2E97" w:rsidRDefault="0089585D" w:rsidP="00FE2E97">
            <w:pPr>
              <w:pStyle w:val="Default"/>
              <w:rPr>
                <w:b/>
                <w:sz w:val="22"/>
                <w:szCs w:val="22"/>
              </w:rPr>
            </w:pPr>
            <w:r w:rsidRPr="00FE2E97">
              <w:rPr>
                <w:sz w:val="22"/>
                <w:szCs w:val="22"/>
              </w:rPr>
              <w:t>orálna hypestézia, necitlivosť jazyka (prechodná), dysgeuzia, zmena farby zubov, zmena farby jazyka (reverzibilná), zmena farby silikátových a kompozitových zubných výplní, zubné depozity (zubný kalkulus), stomatitída, odlupovanie sliznice v ústach, glosodýnia, zväčšenie príušných žliaz</w:t>
            </w:r>
          </w:p>
        </w:tc>
      </w:tr>
    </w:tbl>
    <w:p w:rsidR="0089585D" w:rsidRPr="00F435BD" w:rsidRDefault="0089585D" w:rsidP="00FE2E97">
      <w:pPr>
        <w:pStyle w:val="Default"/>
        <w:rPr>
          <w:sz w:val="22"/>
          <w:szCs w:val="22"/>
        </w:rPr>
      </w:pPr>
    </w:p>
    <w:p w:rsidR="0089585D" w:rsidRPr="00FE2E97" w:rsidRDefault="0089585D" w:rsidP="00FE2E97">
      <w:pPr>
        <w:rPr>
          <w:sz w:val="22"/>
          <w:szCs w:val="22"/>
          <w:u w:val="single"/>
          <w:lang w:val="sk-SK"/>
        </w:rPr>
      </w:pPr>
      <w:r w:rsidRPr="00FE2E97">
        <w:rPr>
          <w:sz w:val="22"/>
          <w:szCs w:val="22"/>
          <w:u w:val="single"/>
          <w:lang w:val="sk-SK"/>
        </w:rPr>
        <w:t>Hlásenie podozrení na nežiaduce reakcie</w:t>
      </w:r>
    </w:p>
    <w:p w:rsidR="0089585D" w:rsidRPr="00FE2E97" w:rsidRDefault="0089585D" w:rsidP="00FE2E97">
      <w:pPr>
        <w:rPr>
          <w:sz w:val="22"/>
          <w:szCs w:val="22"/>
          <w:lang w:val="sk-SK"/>
        </w:rPr>
      </w:pPr>
      <w:r w:rsidRPr="00FE2E97">
        <w:rPr>
          <w:sz w:val="22"/>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prostredníctvom </w:t>
      </w:r>
      <w:r w:rsidRPr="00FE2E97">
        <w:rPr>
          <w:sz w:val="22"/>
          <w:szCs w:val="22"/>
          <w:highlight w:val="lightGray"/>
          <w:lang w:val="sk-SK"/>
        </w:rPr>
        <w:t>národného systému hlásenia uvedeného v </w:t>
      </w:r>
      <w:hyperlink r:id="rId7" w:history="1">
        <w:r w:rsidRPr="00F435BD">
          <w:rPr>
            <w:sz w:val="22"/>
            <w:szCs w:val="22"/>
            <w:highlight w:val="lightGray"/>
            <w:u w:val="single"/>
            <w:lang w:val="sk-SK"/>
          </w:rPr>
          <w:t>Prílo</w:t>
        </w:r>
        <w:bookmarkStart w:id="0" w:name="_GoBack"/>
        <w:bookmarkEnd w:id="0"/>
        <w:r w:rsidRPr="00F435BD">
          <w:rPr>
            <w:sz w:val="22"/>
            <w:szCs w:val="22"/>
            <w:highlight w:val="lightGray"/>
            <w:u w:val="single"/>
            <w:lang w:val="sk-SK"/>
          </w:rPr>
          <w:t>he V</w:t>
        </w:r>
      </w:hyperlink>
      <w:r w:rsidRPr="00FE2E97">
        <w:rPr>
          <w:sz w:val="22"/>
          <w:szCs w:val="22"/>
          <w:highlight w:val="lightGray"/>
          <w:lang w:val="sk-SK"/>
        </w:rPr>
        <w:t>.</w:t>
      </w:r>
    </w:p>
    <w:p w:rsidR="0089585D" w:rsidRPr="00FE2E97" w:rsidRDefault="0089585D" w:rsidP="00E25200">
      <w:pPr>
        <w:rPr>
          <w:sz w:val="22"/>
          <w:szCs w:val="22"/>
          <w:lang w:val="sk-SK"/>
        </w:rPr>
      </w:pPr>
    </w:p>
    <w:p w:rsidR="0089585D" w:rsidRPr="00FE2E97" w:rsidRDefault="0089585D" w:rsidP="00514194">
      <w:pPr>
        <w:numPr>
          <w:ilvl w:val="1"/>
          <w:numId w:val="6"/>
        </w:numPr>
        <w:tabs>
          <w:tab w:val="clear" w:pos="720"/>
          <w:tab w:val="num" w:pos="567"/>
        </w:tabs>
        <w:ind w:left="567" w:hanging="567"/>
        <w:rPr>
          <w:b/>
          <w:sz w:val="22"/>
          <w:szCs w:val="22"/>
          <w:lang w:val="sk-SK"/>
        </w:rPr>
      </w:pPr>
      <w:r w:rsidRPr="00FE2E97">
        <w:rPr>
          <w:b/>
          <w:sz w:val="22"/>
          <w:szCs w:val="22"/>
          <w:lang w:val="sk-SK"/>
        </w:rPr>
        <w:t>Predávkovanie</w:t>
      </w:r>
    </w:p>
    <w:p w:rsidR="0089585D" w:rsidRPr="00FE2E97" w:rsidRDefault="0089585D">
      <w:pPr>
        <w:rPr>
          <w:sz w:val="22"/>
          <w:szCs w:val="22"/>
          <w:lang w:val="sk-SK"/>
        </w:rPr>
      </w:pPr>
    </w:p>
    <w:p w:rsidR="0089585D" w:rsidRPr="00E25200" w:rsidRDefault="0089585D">
      <w:pPr>
        <w:rPr>
          <w:sz w:val="22"/>
          <w:szCs w:val="22"/>
          <w:lang w:val="sk-SK"/>
        </w:rPr>
      </w:pPr>
      <w:r w:rsidRPr="00FE2E97">
        <w:rPr>
          <w:sz w:val="22"/>
          <w:szCs w:val="22"/>
          <w:lang w:val="sk-SK"/>
        </w:rPr>
        <w:t>Pri poranení kože alebo sliznice môže dôjsť ku zvýšenému vstrebávaniu a následne i zvýšenému riziku predávkovania.</w:t>
      </w:r>
    </w:p>
    <w:p w:rsidR="0089585D" w:rsidRPr="00514194" w:rsidRDefault="0089585D">
      <w:pPr>
        <w:rPr>
          <w:sz w:val="22"/>
          <w:szCs w:val="22"/>
          <w:u w:val="single"/>
          <w:lang w:val="sk-SK"/>
        </w:rPr>
      </w:pPr>
    </w:p>
    <w:p w:rsidR="0089585D" w:rsidRPr="00FE2E97" w:rsidRDefault="0089585D">
      <w:pPr>
        <w:rPr>
          <w:sz w:val="22"/>
          <w:szCs w:val="22"/>
          <w:u w:val="single"/>
          <w:lang w:val="sk-SK"/>
        </w:rPr>
      </w:pPr>
      <w:r w:rsidRPr="00FE2E97">
        <w:rPr>
          <w:sz w:val="22"/>
          <w:szCs w:val="22"/>
          <w:u w:val="single"/>
          <w:lang w:val="sk-SK"/>
        </w:rPr>
        <w:t>Chlórhexidín</w:t>
      </w:r>
    </w:p>
    <w:p w:rsidR="0089585D" w:rsidRPr="00FE2E97" w:rsidRDefault="0089585D">
      <w:pPr>
        <w:rPr>
          <w:sz w:val="22"/>
          <w:szCs w:val="22"/>
          <w:lang w:val="sk-SK"/>
        </w:rPr>
      </w:pPr>
      <w:r w:rsidRPr="00FE2E97">
        <w:rPr>
          <w:sz w:val="22"/>
          <w:szCs w:val="22"/>
          <w:lang w:val="sk-SK"/>
        </w:rPr>
        <w:t xml:space="preserve">Neboli popísané žiadne príznaky predávkovania chlórhexidínom, nakoľko po lokálnom podaní v ústnej dutine sa cez neporušenú slizničnú membránu slabo absorbuje. Ak sa pastilky užívajú podľa návodu, ľudský organizmus dokáže detoxikovať množstvo chlórhexidínu absorbovaného kožou alebo sliznicou bez toxických účinkov. Systémové intoxikácie vo vode málo rozpustným dihydrochloridom chlórhexidínu sú veľmi zriedkavé a doposiaľ sa pozorovali len pri glukonátovej soli chlórhexidínu dobre rozpustnej vo vode. V týchto prípadoch boli hlásené slizničné lézie v dôsledku priameho kontaktu s chlórhexidínglukonátom a systémové účinky v dôsledku reverzibilného zvýšenia hepatálnych enzýmov. </w:t>
      </w:r>
    </w:p>
    <w:p w:rsidR="0089585D" w:rsidRPr="00FE2E97" w:rsidRDefault="0089585D">
      <w:pPr>
        <w:rPr>
          <w:sz w:val="22"/>
          <w:szCs w:val="22"/>
          <w:lang w:val="sk-SK"/>
        </w:rPr>
      </w:pPr>
    </w:p>
    <w:p w:rsidR="0089585D" w:rsidRPr="00FE2E97" w:rsidRDefault="0089585D">
      <w:pPr>
        <w:rPr>
          <w:sz w:val="22"/>
          <w:szCs w:val="22"/>
          <w:lang w:val="sk-SK"/>
        </w:rPr>
      </w:pPr>
      <w:r w:rsidRPr="00FE2E97">
        <w:rPr>
          <w:sz w:val="22"/>
          <w:szCs w:val="22"/>
          <w:u w:val="single"/>
          <w:lang w:val="sk-SK"/>
        </w:rPr>
        <w:t>Benzokaín</w:t>
      </w:r>
    </w:p>
    <w:p w:rsidR="0089585D" w:rsidRPr="00FE2E97" w:rsidRDefault="0089585D">
      <w:pPr>
        <w:pStyle w:val="Default"/>
        <w:rPr>
          <w:sz w:val="22"/>
          <w:szCs w:val="22"/>
        </w:rPr>
      </w:pPr>
      <w:r w:rsidRPr="00FE2E97">
        <w:rPr>
          <w:sz w:val="22"/>
          <w:szCs w:val="22"/>
        </w:rPr>
        <w:t xml:space="preserve">Na začiatku sa môžu vyskytnúť excitačné prejavy centrálneho nervového systému (svalové zášklby, tremor, kŕče), neskôr nasleduje útlm CNS až po depresiu dýchania a kómu. Toxické koncentrácie ovplyvňujú aj srdcovú činnosť tým, že spôsobujú bradykardiu, AV blok a v konečnom dôsledku zastavenie srdca. Benzokaín môže najmä u malých detí vyvolať methemoglobinémiu s prejavmi dyspnoe a cyanózy. </w:t>
      </w:r>
    </w:p>
    <w:p w:rsidR="0089585D" w:rsidRPr="00FE2E97" w:rsidRDefault="0089585D">
      <w:pPr>
        <w:pStyle w:val="Default"/>
        <w:rPr>
          <w:sz w:val="22"/>
          <w:szCs w:val="22"/>
        </w:rPr>
      </w:pPr>
      <w:r w:rsidRPr="00FE2E97">
        <w:rPr>
          <w:sz w:val="22"/>
          <w:szCs w:val="22"/>
        </w:rPr>
        <w:t>Pri nadmerných dávkach na ústnej sliznici neboli popísané žiadne príznaky predávkovania benzokaínom. Intoxikácia je možná len v prípade nesprávneho užívania.</w:t>
      </w:r>
    </w:p>
    <w:p w:rsidR="0089585D" w:rsidRPr="00FE2E97" w:rsidRDefault="0089585D">
      <w:pPr>
        <w:pStyle w:val="Default"/>
        <w:rPr>
          <w:sz w:val="22"/>
          <w:szCs w:val="22"/>
        </w:rPr>
      </w:pPr>
      <w:r w:rsidRPr="00FE2E97">
        <w:rPr>
          <w:sz w:val="22"/>
          <w:szCs w:val="22"/>
        </w:rPr>
        <w:lastRenderedPageBreak/>
        <w:t>Systémové toxické účinky lokálnych anestetík (všetky cesty podania) môžu zahrňovať účinky na centrálny nervový systém a srdce.</w:t>
      </w:r>
    </w:p>
    <w:p w:rsidR="0089585D" w:rsidRPr="00FE2E97" w:rsidRDefault="0089585D">
      <w:pPr>
        <w:rPr>
          <w:sz w:val="22"/>
          <w:szCs w:val="22"/>
          <w:u w:val="single"/>
          <w:lang w:val="sk-SK"/>
        </w:rPr>
      </w:pPr>
    </w:p>
    <w:p w:rsidR="0089585D" w:rsidRPr="00FE2E97" w:rsidRDefault="0089585D">
      <w:pPr>
        <w:rPr>
          <w:sz w:val="22"/>
          <w:szCs w:val="22"/>
          <w:lang w:val="sk-SK"/>
        </w:rPr>
      </w:pPr>
    </w:p>
    <w:p w:rsidR="0089585D" w:rsidRPr="00FE2E97" w:rsidRDefault="0089585D" w:rsidP="00F435BD">
      <w:pPr>
        <w:numPr>
          <w:ilvl w:val="0"/>
          <w:numId w:val="6"/>
        </w:numPr>
        <w:tabs>
          <w:tab w:val="clear" w:pos="360"/>
          <w:tab w:val="num" w:pos="567"/>
        </w:tabs>
        <w:ind w:left="567" w:hanging="567"/>
        <w:rPr>
          <w:b/>
          <w:sz w:val="22"/>
          <w:szCs w:val="22"/>
          <w:lang w:val="sk-SK"/>
        </w:rPr>
      </w:pPr>
      <w:r w:rsidRPr="00FE2E97">
        <w:rPr>
          <w:b/>
          <w:sz w:val="22"/>
          <w:szCs w:val="22"/>
          <w:lang w:val="sk-SK"/>
        </w:rPr>
        <w:t>FARMAKOLOGICKÉ VLASTNOSTI</w:t>
      </w:r>
    </w:p>
    <w:p w:rsidR="0089585D" w:rsidRPr="00FE2E97" w:rsidRDefault="0089585D">
      <w:pPr>
        <w:rPr>
          <w:sz w:val="22"/>
          <w:szCs w:val="22"/>
          <w:lang w:val="sk-SK"/>
        </w:rPr>
      </w:pPr>
    </w:p>
    <w:p w:rsidR="0089585D" w:rsidRPr="00FE2E97" w:rsidRDefault="0089585D">
      <w:pPr>
        <w:tabs>
          <w:tab w:val="left" w:pos="567"/>
        </w:tabs>
        <w:rPr>
          <w:b/>
          <w:sz w:val="22"/>
          <w:szCs w:val="22"/>
          <w:lang w:val="sk-SK"/>
        </w:rPr>
      </w:pPr>
      <w:r w:rsidRPr="00FE2E97">
        <w:rPr>
          <w:b/>
          <w:sz w:val="22"/>
          <w:szCs w:val="22"/>
          <w:lang w:val="sk-SK"/>
        </w:rPr>
        <w:t>5.1</w:t>
      </w:r>
      <w:r w:rsidRPr="00FE2E97">
        <w:rPr>
          <w:b/>
          <w:sz w:val="22"/>
          <w:szCs w:val="22"/>
          <w:lang w:val="sk-SK"/>
        </w:rPr>
        <w:tab/>
        <w:t>Farmakodynamické vlastnosti</w:t>
      </w:r>
    </w:p>
    <w:p w:rsidR="0089585D" w:rsidRPr="00FE2E97" w:rsidRDefault="0089585D">
      <w:pPr>
        <w:rPr>
          <w:sz w:val="22"/>
          <w:szCs w:val="22"/>
          <w:lang w:val="sk-SK"/>
        </w:rPr>
      </w:pPr>
    </w:p>
    <w:p w:rsidR="0089585D" w:rsidRPr="00FE2E97" w:rsidRDefault="0089585D">
      <w:pPr>
        <w:rPr>
          <w:sz w:val="22"/>
          <w:szCs w:val="22"/>
          <w:lang w:val="sk-SK"/>
        </w:rPr>
      </w:pPr>
      <w:r w:rsidRPr="00FE2E97">
        <w:rPr>
          <w:sz w:val="22"/>
          <w:szCs w:val="22"/>
          <w:lang w:val="sk-SK"/>
        </w:rPr>
        <w:t xml:space="preserve">Farmakoterapeutická skupina: laryngologikum / antiseptikum / rôzne kombinácie – lokálne antiseptikum dutiny ústnej a hrdla / dihydrochlorid chlórhexidínu a benzokaín, </w:t>
      </w:r>
    </w:p>
    <w:p w:rsidR="0089585D" w:rsidRPr="00FE2E97" w:rsidRDefault="0089585D">
      <w:pPr>
        <w:rPr>
          <w:sz w:val="22"/>
          <w:szCs w:val="22"/>
          <w:lang w:val="sk-SK"/>
        </w:rPr>
      </w:pPr>
      <w:r w:rsidRPr="00FE2E97">
        <w:rPr>
          <w:sz w:val="22"/>
          <w:szCs w:val="22"/>
          <w:lang w:val="sk-SK"/>
        </w:rPr>
        <w:t>ATC: R02AA20</w:t>
      </w:r>
    </w:p>
    <w:p w:rsidR="0089585D" w:rsidRPr="00FE2E97" w:rsidRDefault="0089585D">
      <w:pPr>
        <w:rPr>
          <w:sz w:val="22"/>
          <w:szCs w:val="22"/>
          <w:lang w:val="sk-SK"/>
        </w:rPr>
      </w:pPr>
    </w:p>
    <w:p w:rsidR="0089585D" w:rsidRPr="00FE2E97" w:rsidRDefault="0089585D">
      <w:pPr>
        <w:rPr>
          <w:sz w:val="22"/>
          <w:szCs w:val="22"/>
          <w:lang w:val="sk-SK"/>
        </w:rPr>
      </w:pPr>
      <w:r w:rsidRPr="00FE2E97">
        <w:rPr>
          <w:sz w:val="22"/>
          <w:szCs w:val="22"/>
          <w:lang w:val="sk-SK"/>
        </w:rPr>
        <w:t>Pastilky obsahujú dve liečivá: benzokaín, zmierňujúci bolesť a chlórhexidín s antibakteriálnym účinkom.</w:t>
      </w:r>
    </w:p>
    <w:p w:rsidR="0089585D" w:rsidRPr="00FE2E97" w:rsidRDefault="0089585D">
      <w:pPr>
        <w:rPr>
          <w:sz w:val="22"/>
          <w:szCs w:val="22"/>
          <w:lang w:val="sk-SK"/>
        </w:rPr>
      </w:pPr>
    </w:p>
    <w:p w:rsidR="0089585D" w:rsidRPr="00FE2E97" w:rsidRDefault="0089585D">
      <w:pPr>
        <w:rPr>
          <w:sz w:val="22"/>
          <w:szCs w:val="22"/>
          <w:lang w:val="sk-SK"/>
        </w:rPr>
      </w:pPr>
      <w:r w:rsidRPr="00FE2E97">
        <w:rPr>
          <w:sz w:val="22"/>
          <w:szCs w:val="22"/>
          <w:lang w:val="sk-SK"/>
        </w:rPr>
        <w:t>Chlórhexidín</w:t>
      </w:r>
    </w:p>
    <w:p w:rsidR="0089585D" w:rsidRPr="00FE2E97" w:rsidRDefault="0089585D">
      <w:pPr>
        <w:rPr>
          <w:sz w:val="22"/>
          <w:szCs w:val="22"/>
          <w:lang w:val="sk-SK"/>
        </w:rPr>
      </w:pPr>
      <w:r w:rsidRPr="00FE2E97">
        <w:rPr>
          <w:sz w:val="22"/>
          <w:szCs w:val="22"/>
          <w:lang w:val="sk-SK"/>
        </w:rPr>
        <w:t xml:space="preserve">Chlórhexidín má široký antimikrobiálny účinok. Je účinnejší na grampozitívne ako na gramnegatívne baktérie. Účinok na kvasinky, dermatofyty, mykobaktérie a niektoré rody </w:t>
      </w:r>
      <w:r w:rsidRPr="00FE2E97">
        <w:rPr>
          <w:i/>
          <w:sz w:val="22"/>
          <w:szCs w:val="22"/>
          <w:lang w:val="sk-SK"/>
        </w:rPr>
        <w:t>Pseudomonas</w:t>
      </w:r>
      <w:r w:rsidRPr="00FE2E97">
        <w:rPr>
          <w:sz w:val="22"/>
          <w:szCs w:val="22"/>
          <w:lang w:val="sk-SK"/>
        </w:rPr>
        <w:t xml:space="preserve"> a </w:t>
      </w:r>
      <w:r w:rsidRPr="00FE2E97">
        <w:rPr>
          <w:i/>
          <w:sz w:val="22"/>
          <w:szCs w:val="22"/>
          <w:lang w:val="sk-SK"/>
        </w:rPr>
        <w:t>Proteus</w:t>
      </w:r>
      <w:r w:rsidRPr="00FE2E97">
        <w:rPr>
          <w:sz w:val="22"/>
          <w:szCs w:val="22"/>
          <w:lang w:val="sk-SK"/>
        </w:rPr>
        <w:t xml:space="preserve"> je slabý.</w:t>
      </w:r>
    </w:p>
    <w:p w:rsidR="0089585D" w:rsidRPr="00FE2E97" w:rsidRDefault="0089585D">
      <w:pPr>
        <w:rPr>
          <w:sz w:val="22"/>
          <w:szCs w:val="22"/>
          <w:lang w:val="sk-SK"/>
        </w:rPr>
      </w:pPr>
    </w:p>
    <w:p w:rsidR="0089585D" w:rsidRPr="00FE2E97" w:rsidRDefault="0089585D">
      <w:pPr>
        <w:rPr>
          <w:sz w:val="22"/>
          <w:szCs w:val="22"/>
          <w:lang w:val="sk-SK"/>
        </w:rPr>
      </w:pPr>
      <w:r w:rsidRPr="00FE2E97">
        <w:rPr>
          <w:sz w:val="22"/>
          <w:szCs w:val="22"/>
          <w:lang w:val="sk-SK"/>
        </w:rPr>
        <w:t>Chlórhexidín je katiónová zlúčenina s antimikrobiálnym účinkom. Antimikrobiálna účinnosť spočíva v interakcii pozitívne nabitého chlórhexidínu a negatívne nabitého bunkového povrchu baktérie, hlavne molekúl obsahujúcich fosfát. Táto interakcia poruší integritu bakteriálnej membrány a následne zvýši jej permeabilitu. Použitie pastiliek chlórhexidínu spôsobuje výraznú redukciu baktérií v slinách. Po niekoľkomesačnom užívaní sa tento účinok znižuje v dôsledku zmeny flóry ústnej dutiny. Nie sú známe žiadne výskumy týkajúce sa následkov zmeny mikrobiálneho spektra ústnej dutiny.</w:t>
      </w:r>
    </w:p>
    <w:p w:rsidR="0089585D" w:rsidRPr="00FE2E97" w:rsidRDefault="0089585D">
      <w:pPr>
        <w:rPr>
          <w:sz w:val="22"/>
          <w:szCs w:val="22"/>
          <w:lang w:val="sk-SK"/>
        </w:rPr>
      </w:pPr>
    </w:p>
    <w:p w:rsidR="0089585D" w:rsidRPr="00FE2E97" w:rsidRDefault="0089585D">
      <w:pPr>
        <w:rPr>
          <w:sz w:val="22"/>
          <w:szCs w:val="22"/>
          <w:lang w:val="sk-SK"/>
        </w:rPr>
      </w:pPr>
      <w:r w:rsidRPr="00FE2E97">
        <w:rPr>
          <w:sz w:val="22"/>
          <w:szCs w:val="22"/>
          <w:lang w:val="sk-SK"/>
        </w:rPr>
        <w:t>Benzokaín</w:t>
      </w:r>
    </w:p>
    <w:p w:rsidR="0089585D" w:rsidRPr="00FE2E97" w:rsidRDefault="0089585D">
      <w:pPr>
        <w:rPr>
          <w:sz w:val="22"/>
          <w:szCs w:val="22"/>
          <w:lang w:val="sk-SK"/>
        </w:rPr>
      </w:pPr>
      <w:r w:rsidRPr="00FE2E97">
        <w:rPr>
          <w:sz w:val="22"/>
          <w:szCs w:val="22"/>
          <w:lang w:val="sk-SK"/>
        </w:rPr>
        <w:t>Benzokaín je lokálne anestetikum esterového typu. Lokálne anestetiká reverzibilne blokujú tvorbu a prenos impulzov pozdĺž nervových vlákien a na nervových zakončeniach. Benzokaín znižuje prietok iónov sodíka a draslíka ich kanálmi v axónovej membráne, čím bráni depolarizácii a postupu nervového impulzu. Pôsobí predovšetkým na nervových zakončeniach a receptoroch na povrchu epitelov. Anestetický efekt začína obvykle pôsobiť 15 </w:t>
      </w:r>
      <w:r w:rsidR="009C22B6" w:rsidRPr="00FE2E97">
        <w:rPr>
          <w:sz w:val="22"/>
          <w:szCs w:val="22"/>
          <w:lang w:val="sk-SK"/>
        </w:rPr>
        <w:noBreakHyphen/>
        <w:t> </w:t>
      </w:r>
      <w:r w:rsidRPr="00FE2E97">
        <w:rPr>
          <w:sz w:val="22"/>
          <w:szCs w:val="22"/>
          <w:lang w:val="sk-SK"/>
        </w:rPr>
        <w:t>30 sekúnd po podaní. Keď sa toto liečivo zriedi slinami, jeho účinok ustupuje do 5 </w:t>
      </w:r>
      <w:r w:rsidRPr="00FE2E97">
        <w:rPr>
          <w:sz w:val="22"/>
          <w:szCs w:val="22"/>
          <w:lang w:val="sk-SK"/>
        </w:rPr>
        <w:noBreakHyphen/>
        <w:t> 10 minút.</w:t>
      </w:r>
    </w:p>
    <w:p w:rsidR="0089585D" w:rsidRPr="00FE2E97" w:rsidRDefault="0089585D">
      <w:pPr>
        <w:rPr>
          <w:sz w:val="22"/>
          <w:szCs w:val="22"/>
          <w:lang w:val="sk-SK"/>
        </w:rPr>
      </w:pPr>
    </w:p>
    <w:p w:rsidR="0089585D" w:rsidRPr="00FE2E97" w:rsidRDefault="0089585D" w:rsidP="00F435BD">
      <w:pPr>
        <w:keepNext/>
        <w:keepLines/>
        <w:numPr>
          <w:ilvl w:val="1"/>
          <w:numId w:val="4"/>
        </w:numPr>
        <w:tabs>
          <w:tab w:val="clear" w:pos="675"/>
          <w:tab w:val="num" w:pos="567"/>
        </w:tabs>
        <w:ind w:left="567" w:hanging="567"/>
        <w:rPr>
          <w:b/>
          <w:sz w:val="22"/>
          <w:szCs w:val="22"/>
          <w:lang w:val="sk-SK"/>
        </w:rPr>
      </w:pPr>
      <w:r w:rsidRPr="00FE2E97">
        <w:rPr>
          <w:b/>
          <w:sz w:val="22"/>
          <w:szCs w:val="22"/>
          <w:lang w:val="sk-SK"/>
        </w:rPr>
        <w:t>Farmakokinetické vlastnosti</w:t>
      </w:r>
    </w:p>
    <w:p w:rsidR="0089585D" w:rsidRPr="00FE2E97" w:rsidRDefault="0089585D">
      <w:pPr>
        <w:keepNext/>
        <w:keepLines/>
        <w:rPr>
          <w:sz w:val="22"/>
          <w:szCs w:val="22"/>
          <w:lang w:val="sk-SK"/>
        </w:rPr>
      </w:pPr>
    </w:p>
    <w:p w:rsidR="0089585D" w:rsidRPr="00FE2E97" w:rsidRDefault="0089585D">
      <w:pPr>
        <w:rPr>
          <w:sz w:val="22"/>
          <w:szCs w:val="22"/>
          <w:lang w:val="sk-SK"/>
        </w:rPr>
      </w:pPr>
      <w:r w:rsidRPr="00FE2E97">
        <w:rPr>
          <w:sz w:val="22"/>
          <w:szCs w:val="22"/>
          <w:u w:val="single"/>
          <w:lang w:val="sk-SK"/>
        </w:rPr>
        <w:t>Benzokaín</w:t>
      </w:r>
    </w:p>
    <w:p w:rsidR="0089585D" w:rsidRPr="00FE2E97" w:rsidRDefault="0089585D">
      <w:pPr>
        <w:rPr>
          <w:sz w:val="22"/>
          <w:szCs w:val="22"/>
          <w:lang w:val="sk-SK"/>
        </w:rPr>
      </w:pPr>
      <w:r w:rsidRPr="00FE2E97">
        <w:rPr>
          <w:sz w:val="22"/>
          <w:szCs w:val="22"/>
          <w:lang w:val="sk-SK"/>
        </w:rPr>
        <w:t>Malé množstvá benzokaínu sa absorbujú cez sliznice. Anestetiká esterového typu, ako benzokaín, sú hydrolyzované esterázami v plazme a do menšej miery v pečeni. Výsledné metabolity sú kyselina p-aminobenzoová a etanol, ktorý je metabolizovaný na acetyl-CoA. Kyselina p-aminobenzoová sa buď konjuguje s glycínom, alebo sa vylučuje nezmenená do moču.</w:t>
      </w:r>
    </w:p>
    <w:p w:rsidR="0089585D" w:rsidRPr="00FE2E97" w:rsidRDefault="0089585D">
      <w:pPr>
        <w:rPr>
          <w:sz w:val="22"/>
          <w:szCs w:val="22"/>
          <w:lang w:val="sk-SK"/>
        </w:rPr>
      </w:pPr>
    </w:p>
    <w:p w:rsidR="0089585D" w:rsidRPr="00FE2E97" w:rsidRDefault="0089585D">
      <w:pPr>
        <w:keepNext/>
        <w:keepLines/>
        <w:rPr>
          <w:sz w:val="22"/>
          <w:szCs w:val="22"/>
          <w:lang w:val="sk-SK"/>
        </w:rPr>
      </w:pPr>
      <w:r w:rsidRPr="00FE2E97">
        <w:rPr>
          <w:sz w:val="22"/>
          <w:szCs w:val="22"/>
          <w:u w:val="single"/>
          <w:lang w:val="sk-SK"/>
        </w:rPr>
        <w:t>Chlórhexidín</w:t>
      </w:r>
    </w:p>
    <w:p w:rsidR="0089585D" w:rsidRPr="00FE2E97" w:rsidRDefault="0089585D">
      <w:pPr>
        <w:rPr>
          <w:sz w:val="22"/>
          <w:szCs w:val="22"/>
          <w:lang w:val="sk-SK"/>
        </w:rPr>
      </w:pPr>
      <w:r w:rsidRPr="00FE2E97">
        <w:rPr>
          <w:sz w:val="22"/>
          <w:szCs w:val="22"/>
          <w:lang w:val="sk-SK"/>
        </w:rPr>
        <w:t>Chlórhexidín uvoľnený z pastilky sa v ústnej dutine adsorbuje. Pre jeho pomalú desorpciu sa dá detegovať v slinách až 8 hodín (efekt postupného uvoľňovania).</w:t>
      </w:r>
    </w:p>
    <w:p w:rsidR="0089585D" w:rsidRPr="00FE2E97" w:rsidRDefault="0089585D">
      <w:pPr>
        <w:rPr>
          <w:sz w:val="22"/>
          <w:szCs w:val="22"/>
          <w:lang w:val="sk-SK"/>
        </w:rPr>
      </w:pPr>
      <w:r w:rsidRPr="00FE2E97">
        <w:rPr>
          <w:sz w:val="22"/>
          <w:szCs w:val="22"/>
          <w:lang w:val="sk-SK"/>
        </w:rPr>
        <w:t>Nie je známe, či sa chlórhexidín z ústnej sliznice absorbuje. Po prehltnutí sa slabo absorbuje z gastrointestinálneho traktu. O vylučovaní u ľudí sú obmedzené údaje. U zvierat sa chlórhexidín vylučuje prevažne stolicou. U človeka je vylučovací polčas 4 dni.</w:t>
      </w:r>
    </w:p>
    <w:p w:rsidR="0089585D" w:rsidRPr="00FE2E97" w:rsidRDefault="0089585D">
      <w:pPr>
        <w:rPr>
          <w:sz w:val="22"/>
          <w:szCs w:val="22"/>
          <w:lang w:val="sk-SK"/>
        </w:rPr>
      </w:pPr>
    </w:p>
    <w:p w:rsidR="0089585D" w:rsidRPr="00FE2E97" w:rsidRDefault="0089585D" w:rsidP="00F435BD">
      <w:pPr>
        <w:numPr>
          <w:ilvl w:val="1"/>
          <w:numId w:val="4"/>
        </w:numPr>
        <w:tabs>
          <w:tab w:val="clear" w:pos="675"/>
          <w:tab w:val="num" w:pos="567"/>
        </w:tabs>
        <w:ind w:left="567" w:hanging="567"/>
        <w:rPr>
          <w:b/>
          <w:sz w:val="22"/>
          <w:szCs w:val="22"/>
          <w:lang w:val="sk-SK"/>
        </w:rPr>
      </w:pPr>
      <w:r w:rsidRPr="00FE2E97">
        <w:rPr>
          <w:b/>
          <w:sz w:val="22"/>
          <w:szCs w:val="22"/>
          <w:lang w:val="sk-SK"/>
        </w:rPr>
        <w:t>Predklinické údaje o bezpečnosti</w:t>
      </w:r>
    </w:p>
    <w:p w:rsidR="0089585D" w:rsidRPr="00FE2E97" w:rsidRDefault="0089585D">
      <w:pPr>
        <w:rPr>
          <w:sz w:val="22"/>
          <w:szCs w:val="22"/>
          <w:lang w:val="sk-SK"/>
        </w:rPr>
      </w:pPr>
    </w:p>
    <w:p w:rsidR="0089585D" w:rsidRPr="00FE2E97" w:rsidRDefault="0089585D">
      <w:pPr>
        <w:rPr>
          <w:b/>
          <w:bCs/>
          <w:sz w:val="22"/>
          <w:szCs w:val="22"/>
          <w:lang w:val="sk-SK"/>
        </w:rPr>
      </w:pPr>
      <w:r w:rsidRPr="00FE2E97">
        <w:rPr>
          <w:b/>
          <w:bCs/>
          <w:sz w:val="22"/>
          <w:szCs w:val="22"/>
          <w:lang w:val="sk-SK"/>
        </w:rPr>
        <w:t>Benzokaín</w:t>
      </w:r>
    </w:p>
    <w:p w:rsidR="0089585D" w:rsidRPr="00FE2E97" w:rsidRDefault="0089585D">
      <w:pPr>
        <w:rPr>
          <w:sz w:val="22"/>
          <w:szCs w:val="22"/>
          <w:lang w:val="sk-SK"/>
        </w:rPr>
      </w:pPr>
    </w:p>
    <w:p w:rsidR="0089585D" w:rsidRPr="00FE2E97" w:rsidRDefault="0089585D">
      <w:pPr>
        <w:rPr>
          <w:sz w:val="22"/>
          <w:szCs w:val="22"/>
          <w:u w:val="single"/>
          <w:lang w:val="sk-SK"/>
        </w:rPr>
      </w:pPr>
      <w:r w:rsidRPr="00FE2E97">
        <w:rPr>
          <w:iCs/>
          <w:sz w:val="22"/>
          <w:szCs w:val="22"/>
          <w:lang w:val="sk-SK"/>
        </w:rPr>
        <w:t>Všeobecná toxikológia</w:t>
      </w:r>
    </w:p>
    <w:p w:rsidR="0089585D" w:rsidRPr="00FE2E97" w:rsidRDefault="0089585D">
      <w:pPr>
        <w:rPr>
          <w:sz w:val="22"/>
          <w:szCs w:val="22"/>
          <w:lang w:val="sk-SK"/>
        </w:rPr>
      </w:pPr>
      <w:r w:rsidRPr="00FE2E97">
        <w:rPr>
          <w:sz w:val="22"/>
          <w:szCs w:val="22"/>
          <w:lang w:val="sk-SK"/>
        </w:rPr>
        <w:lastRenderedPageBreak/>
        <w:t>Predpokladá sa, že benzokaín je stredne toxický s akútnou perorálnou toxicitou u potkanov a myší pri hodnote LD</w:t>
      </w:r>
      <w:r w:rsidRPr="00FE2E97">
        <w:rPr>
          <w:sz w:val="22"/>
          <w:szCs w:val="22"/>
          <w:vertAlign w:val="subscript"/>
          <w:lang w:val="sk-SK"/>
        </w:rPr>
        <w:t>50</w:t>
      </w:r>
      <w:r w:rsidRPr="00FE2E97">
        <w:rPr>
          <w:sz w:val="22"/>
          <w:szCs w:val="22"/>
          <w:lang w:val="sk-SK"/>
        </w:rPr>
        <w:t xml:space="preserve"> 3042 mg/kg resp. 2500 mg/kg. V akútnej intraperitoneálnej štúdii u myší bola získaná hodnota LD</w:t>
      </w:r>
      <w:r w:rsidRPr="00FE2E97">
        <w:rPr>
          <w:sz w:val="22"/>
          <w:szCs w:val="22"/>
          <w:vertAlign w:val="subscript"/>
          <w:lang w:val="sk-SK"/>
        </w:rPr>
        <w:t>50</w:t>
      </w:r>
      <w:r w:rsidRPr="00FE2E97">
        <w:rPr>
          <w:sz w:val="22"/>
          <w:szCs w:val="22"/>
          <w:lang w:val="sk-SK"/>
        </w:rPr>
        <w:t xml:space="preserve"> 216 mg/kg telesnej hmotnosti. V akútnej štúdii perorálnej toxicity u králikov bola najnižšia zaznamenaná letálna dávka 1150 mg/kg telesnej hmotnosti. Bolo hlásené, že benzokaín spôsobil prípady methemoglobinémie v každej skupine zvierat v štúdii s topickým podávaním spreja s obsahom benzokaínu na slizničné membrány v ústach niekoľkým druhom zvierat (psy, mačky, fretky, svine, králiky a opice) pri ~56 mg a u myší a potkanov pri dávkach rovnajúcich sa 56 mg/kg. V akútnej perorálnej štúdii methemoglobinémie u potkanov bola u samíc a u samcov dosiahnutá NOAEL 16 mg/kg resp. 32 mg/kg telesnej hmotnosti. Neexistujú údaje zo štúdií toxicity opakovaných dávok.</w:t>
      </w:r>
    </w:p>
    <w:p w:rsidR="0089585D" w:rsidRPr="00FE2E97" w:rsidRDefault="0089585D">
      <w:pPr>
        <w:rPr>
          <w:sz w:val="22"/>
          <w:szCs w:val="22"/>
          <w:lang w:val="sk-SK"/>
        </w:rPr>
      </w:pPr>
    </w:p>
    <w:p w:rsidR="0089585D" w:rsidRPr="00FE2E97" w:rsidRDefault="0089585D">
      <w:pPr>
        <w:rPr>
          <w:sz w:val="22"/>
          <w:szCs w:val="22"/>
          <w:u w:val="single"/>
          <w:lang w:val="sk-SK"/>
        </w:rPr>
      </w:pPr>
      <w:r w:rsidRPr="00FE2E97">
        <w:rPr>
          <w:iCs/>
          <w:sz w:val="22"/>
          <w:szCs w:val="22"/>
          <w:lang w:val="sk-SK"/>
        </w:rPr>
        <w:t>Genetická toxikológia</w:t>
      </w:r>
    </w:p>
    <w:p w:rsidR="0089585D" w:rsidRPr="00FE2E97" w:rsidRDefault="0089585D">
      <w:pPr>
        <w:rPr>
          <w:sz w:val="22"/>
          <w:szCs w:val="22"/>
          <w:lang w:val="sk-SK"/>
        </w:rPr>
      </w:pPr>
      <w:r w:rsidRPr="00FE2E97">
        <w:rPr>
          <w:sz w:val="22"/>
          <w:szCs w:val="22"/>
          <w:lang w:val="sk-SK"/>
        </w:rPr>
        <w:t xml:space="preserve">Nepredpokladá sa, že by benzokaín bol mutagénny, keďže neindukoval mutácie alebo cytotoxicitu v </w:t>
      </w:r>
      <w:r w:rsidRPr="00FE2E97">
        <w:rPr>
          <w:i/>
          <w:sz w:val="22"/>
          <w:szCs w:val="22"/>
          <w:lang w:val="sk-SK"/>
        </w:rPr>
        <w:t>in vitro</w:t>
      </w:r>
      <w:r w:rsidRPr="00FE2E97">
        <w:rPr>
          <w:sz w:val="22"/>
          <w:szCs w:val="22"/>
          <w:lang w:val="sk-SK"/>
        </w:rPr>
        <w:t xml:space="preserve"> Bacterial Reverse Mutation Assay u </w:t>
      </w:r>
      <w:r w:rsidRPr="00FE2E97">
        <w:rPr>
          <w:i/>
          <w:sz w:val="22"/>
          <w:szCs w:val="22"/>
          <w:lang w:val="sk-SK"/>
        </w:rPr>
        <w:t>Salmonella typhimurium</w:t>
      </w:r>
      <w:r w:rsidRPr="00FE2E97">
        <w:rPr>
          <w:sz w:val="22"/>
          <w:szCs w:val="22"/>
          <w:lang w:val="sk-SK"/>
        </w:rPr>
        <w:t xml:space="preserve"> TA98, TA100, TA1535 a TA1537 v prítomnosti alebo neprítomnosti preparátu z potkanej pečene (metabolická aktivácia). Negatívne výsledky boli dosiahnuté u </w:t>
      </w:r>
      <w:r w:rsidRPr="00FE2E97">
        <w:rPr>
          <w:i/>
          <w:sz w:val="22"/>
          <w:szCs w:val="22"/>
          <w:lang w:val="sk-SK"/>
        </w:rPr>
        <w:t>E. coli</w:t>
      </w:r>
      <w:r w:rsidRPr="00FE2E97">
        <w:rPr>
          <w:sz w:val="22"/>
          <w:szCs w:val="22"/>
          <w:lang w:val="sk-SK"/>
        </w:rPr>
        <w:t xml:space="preserve"> WP2 v prítomnosti alebo neprítomnosti preparátu z potkanej pečene. Benzokaín nevykázal žiadnu cytotoxicitu v skúške myšacích lymfómov pri maximálnych </w:t>
      </w:r>
      <w:r w:rsidRPr="00FE2E97">
        <w:rPr>
          <w:i/>
          <w:sz w:val="22"/>
          <w:szCs w:val="22"/>
          <w:lang w:val="sk-SK"/>
        </w:rPr>
        <w:t>in vitro</w:t>
      </w:r>
      <w:r w:rsidRPr="00FE2E97">
        <w:rPr>
          <w:sz w:val="22"/>
          <w:szCs w:val="22"/>
          <w:lang w:val="sk-SK"/>
        </w:rPr>
        <w:t xml:space="preserve"> koncentráciách. Nespôsobil genotoxicitu v </w:t>
      </w:r>
      <w:r w:rsidRPr="00FE2E97">
        <w:rPr>
          <w:i/>
          <w:sz w:val="22"/>
          <w:szCs w:val="22"/>
          <w:lang w:val="sk-SK"/>
        </w:rPr>
        <w:t>in vivo</w:t>
      </w:r>
      <w:r w:rsidRPr="00FE2E97">
        <w:rPr>
          <w:sz w:val="22"/>
          <w:szCs w:val="22"/>
          <w:lang w:val="sk-SK"/>
        </w:rPr>
        <w:t xml:space="preserve"> skúšaní myšacích mikronukleov pri dávkach až 2000 mg/kg. </w:t>
      </w:r>
    </w:p>
    <w:p w:rsidR="0089585D" w:rsidRPr="00FE2E97" w:rsidRDefault="0089585D">
      <w:pPr>
        <w:rPr>
          <w:iCs/>
          <w:sz w:val="22"/>
          <w:szCs w:val="22"/>
          <w:u w:val="single"/>
          <w:lang w:val="sk-SK"/>
        </w:rPr>
      </w:pPr>
    </w:p>
    <w:p w:rsidR="0089585D" w:rsidRPr="00FE2E97" w:rsidRDefault="0089585D">
      <w:pPr>
        <w:rPr>
          <w:iCs/>
          <w:sz w:val="22"/>
          <w:szCs w:val="22"/>
          <w:u w:val="single"/>
          <w:lang w:val="sk-SK"/>
        </w:rPr>
      </w:pPr>
      <w:r w:rsidRPr="00FE2E97">
        <w:rPr>
          <w:iCs/>
          <w:sz w:val="22"/>
          <w:szCs w:val="22"/>
          <w:u w:val="single"/>
          <w:lang w:val="sk-SK"/>
        </w:rPr>
        <w:t>Karcinogenita</w:t>
      </w:r>
    </w:p>
    <w:p w:rsidR="0089585D" w:rsidRPr="00FE2E97" w:rsidRDefault="0089585D">
      <w:pPr>
        <w:rPr>
          <w:sz w:val="22"/>
          <w:szCs w:val="22"/>
          <w:u w:val="single"/>
          <w:lang w:val="sk-SK"/>
        </w:rPr>
      </w:pPr>
    </w:p>
    <w:p w:rsidR="0089585D" w:rsidRPr="00FE2E97" w:rsidRDefault="0089585D">
      <w:pPr>
        <w:rPr>
          <w:sz w:val="22"/>
          <w:szCs w:val="22"/>
          <w:lang w:val="sk-SK"/>
        </w:rPr>
      </w:pPr>
      <w:r w:rsidRPr="00FE2E97">
        <w:rPr>
          <w:sz w:val="22"/>
          <w:szCs w:val="22"/>
          <w:lang w:val="sk-SK"/>
        </w:rPr>
        <w:t>Neexistujú žiadne údaje. Neočakáva sa však, že by benzokaín bol karcinogénny, pretože v </w:t>
      </w:r>
      <w:r w:rsidRPr="00FE2E97">
        <w:rPr>
          <w:i/>
          <w:sz w:val="22"/>
          <w:szCs w:val="22"/>
          <w:lang w:val="sk-SK"/>
        </w:rPr>
        <w:t>in vitro</w:t>
      </w:r>
      <w:r w:rsidRPr="00FE2E97">
        <w:rPr>
          <w:sz w:val="22"/>
          <w:szCs w:val="22"/>
          <w:lang w:val="sk-SK"/>
        </w:rPr>
        <w:t xml:space="preserve"> aj </w:t>
      </w:r>
      <w:r w:rsidRPr="00FE2E97">
        <w:rPr>
          <w:i/>
          <w:sz w:val="22"/>
          <w:szCs w:val="22"/>
          <w:lang w:val="sk-SK"/>
        </w:rPr>
        <w:t>in vivo</w:t>
      </w:r>
      <w:r w:rsidRPr="00FE2E97">
        <w:rPr>
          <w:sz w:val="22"/>
          <w:szCs w:val="22"/>
          <w:lang w:val="sk-SK"/>
        </w:rPr>
        <w:t xml:space="preserve"> testoch genotoxicity boli získané negatívne výsledky.</w:t>
      </w:r>
    </w:p>
    <w:p w:rsidR="0089585D" w:rsidRPr="00FE2E97" w:rsidRDefault="0089585D">
      <w:pPr>
        <w:rPr>
          <w:sz w:val="22"/>
          <w:szCs w:val="22"/>
          <w:lang w:val="sk-SK"/>
        </w:rPr>
      </w:pPr>
    </w:p>
    <w:p w:rsidR="0089585D" w:rsidRPr="00FE2E97" w:rsidRDefault="0089585D">
      <w:pPr>
        <w:rPr>
          <w:iCs/>
          <w:sz w:val="22"/>
          <w:szCs w:val="22"/>
          <w:u w:val="single"/>
          <w:lang w:val="sk-SK"/>
        </w:rPr>
      </w:pPr>
      <w:r w:rsidRPr="00FE2E97">
        <w:rPr>
          <w:iCs/>
          <w:sz w:val="22"/>
          <w:szCs w:val="22"/>
          <w:u w:val="single"/>
          <w:lang w:val="sk-SK"/>
        </w:rPr>
        <w:t>Teratogenita</w:t>
      </w:r>
    </w:p>
    <w:p w:rsidR="0089585D" w:rsidRPr="00FE2E97" w:rsidRDefault="0089585D">
      <w:pPr>
        <w:rPr>
          <w:sz w:val="22"/>
          <w:szCs w:val="22"/>
          <w:u w:val="single"/>
          <w:lang w:val="sk-SK"/>
        </w:rPr>
      </w:pPr>
    </w:p>
    <w:p w:rsidR="0089585D" w:rsidRPr="00FE2E97" w:rsidRDefault="0089585D">
      <w:pPr>
        <w:rPr>
          <w:sz w:val="22"/>
          <w:szCs w:val="22"/>
          <w:lang w:val="sk-SK"/>
        </w:rPr>
      </w:pPr>
      <w:r w:rsidRPr="00FE2E97">
        <w:rPr>
          <w:sz w:val="22"/>
          <w:szCs w:val="22"/>
          <w:lang w:val="sk-SK"/>
        </w:rPr>
        <w:t>Neexistujú žiadne údaje.</w:t>
      </w:r>
    </w:p>
    <w:p w:rsidR="0089585D" w:rsidRPr="00FE2E97" w:rsidRDefault="0089585D">
      <w:pPr>
        <w:rPr>
          <w:sz w:val="22"/>
          <w:szCs w:val="22"/>
          <w:lang w:val="sk-SK"/>
        </w:rPr>
      </w:pPr>
    </w:p>
    <w:p w:rsidR="0089585D" w:rsidRPr="00FE2E97" w:rsidRDefault="0089585D">
      <w:pPr>
        <w:rPr>
          <w:iCs/>
          <w:sz w:val="22"/>
          <w:szCs w:val="22"/>
          <w:u w:val="single"/>
          <w:lang w:val="sk-SK"/>
        </w:rPr>
      </w:pPr>
      <w:r w:rsidRPr="00FE2E97">
        <w:rPr>
          <w:iCs/>
          <w:sz w:val="22"/>
          <w:szCs w:val="22"/>
          <w:u w:val="single"/>
          <w:lang w:val="sk-SK"/>
        </w:rPr>
        <w:t>Fertilita</w:t>
      </w:r>
    </w:p>
    <w:p w:rsidR="0089585D" w:rsidRPr="00FE2E97" w:rsidRDefault="0089585D">
      <w:pPr>
        <w:rPr>
          <w:sz w:val="22"/>
          <w:szCs w:val="22"/>
          <w:u w:val="single"/>
          <w:lang w:val="sk-SK"/>
        </w:rPr>
      </w:pPr>
    </w:p>
    <w:p w:rsidR="0089585D" w:rsidRPr="00FE2E97" w:rsidRDefault="0089585D">
      <w:pPr>
        <w:rPr>
          <w:b/>
          <w:sz w:val="22"/>
          <w:szCs w:val="22"/>
          <w:lang w:val="sk-SK"/>
        </w:rPr>
      </w:pPr>
      <w:r w:rsidRPr="00FE2E97">
        <w:rPr>
          <w:sz w:val="22"/>
          <w:szCs w:val="22"/>
          <w:lang w:val="sk-SK"/>
        </w:rPr>
        <w:t>Neexistujú žiadne údaje.</w:t>
      </w:r>
    </w:p>
    <w:p w:rsidR="0089585D" w:rsidRPr="00FE2E97" w:rsidRDefault="0089585D">
      <w:pPr>
        <w:rPr>
          <w:sz w:val="22"/>
          <w:szCs w:val="22"/>
          <w:lang w:val="sk-SK"/>
        </w:rPr>
      </w:pPr>
    </w:p>
    <w:p w:rsidR="0089585D" w:rsidRPr="00FE2E97" w:rsidRDefault="0089585D">
      <w:pPr>
        <w:rPr>
          <w:b/>
          <w:bCs/>
          <w:sz w:val="22"/>
          <w:szCs w:val="22"/>
          <w:lang w:val="sk-SK"/>
        </w:rPr>
      </w:pPr>
      <w:r w:rsidRPr="00FE2E97">
        <w:rPr>
          <w:b/>
          <w:bCs/>
          <w:sz w:val="22"/>
          <w:szCs w:val="22"/>
          <w:lang w:val="sk-SK"/>
        </w:rPr>
        <w:t>Chlorhexidín</w:t>
      </w:r>
    </w:p>
    <w:p w:rsidR="0089585D" w:rsidRPr="00FE2E97" w:rsidRDefault="0089585D">
      <w:pPr>
        <w:rPr>
          <w:sz w:val="22"/>
          <w:szCs w:val="22"/>
          <w:lang w:val="sk-SK"/>
        </w:rPr>
      </w:pPr>
    </w:p>
    <w:p w:rsidR="0089585D" w:rsidRPr="00FE2E97" w:rsidRDefault="0089585D">
      <w:pPr>
        <w:rPr>
          <w:iCs/>
          <w:sz w:val="22"/>
          <w:szCs w:val="22"/>
          <w:u w:val="single"/>
          <w:lang w:val="sk-SK"/>
        </w:rPr>
      </w:pPr>
      <w:r w:rsidRPr="00FE2E97">
        <w:rPr>
          <w:iCs/>
          <w:sz w:val="22"/>
          <w:szCs w:val="22"/>
          <w:u w:val="single"/>
          <w:lang w:val="sk-SK"/>
        </w:rPr>
        <w:t>Všeobecná toxikológia</w:t>
      </w:r>
    </w:p>
    <w:p w:rsidR="0089585D" w:rsidRPr="00FE2E97" w:rsidRDefault="0089585D">
      <w:pPr>
        <w:rPr>
          <w:sz w:val="22"/>
          <w:szCs w:val="22"/>
          <w:u w:val="single"/>
          <w:lang w:val="sk-SK"/>
        </w:rPr>
      </w:pPr>
    </w:p>
    <w:p w:rsidR="0089585D" w:rsidRPr="00FE2E97" w:rsidRDefault="0089585D">
      <w:pPr>
        <w:rPr>
          <w:sz w:val="22"/>
          <w:szCs w:val="22"/>
          <w:lang w:val="sk-SK"/>
        </w:rPr>
      </w:pPr>
      <w:r w:rsidRPr="00FE2E97">
        <w:rPr>
          <w:sz w:val="22"/>
          <w:szCs w:val="22"/>
          <w:lang w:val="sk-SK"/>
        </w:rPr>
        <w:t>Predpokladá sa, že profil toxicity chlórhexidínu prinášajú údaje o toxicite niektorých solí chlorhexidínu.</w:t>
      </w:r>
    </w:p>
    <w:p w:rsidR="0089585D" w:rsidRPr="00FE2E97" w:rsidRDefault="0089585D">
      <w:pPr>
        <w:rPr>
          <w:sz w:val="22"/>
          <w:szCs w:val="22"/>
          <w:lang w:val="sk-SK"/>
        </w:rPr>
      </w:pPr>
      <w:r w:rsidRPr="00FE2E97">
        <w:rPr>
          <w:sz w:val="22"/>
          <w:szCs w:val="22"/>
          <w:lang w:val="sk-SK"/>
        </w:rPr>
        <w:t>Chlorhexidín má nízky stupeň akútnej toxicity s akútnymi perorálnymi hodnotami LD</w:t>
      </w:r>
      <w:r w:rsidRPr="00FE2E97">
        <w:rPr>
          <w:sz w:val="22"/>
          <w:szCs w:val="22"/>
          <w:vertAlign w:val="subscript"/>
          <w:lang w:val="sk-SK"/>
        </w:rPr>
        <w:t>50</w:t>
      </w:r>
      <w:r w:rsidRPr="00FE2E97">
        <w:rPr>
          <w:sz w:val="22"/>
          <w:szCs w:val="22"/>
          <w:lang w:val="sk-SK"/>
        </w:rPr>
        <w:t xml:space="preserve"> glukonátovej soli u potkanov a myší &gt; 3 g/kg resp. 2,5 g/kg telesnej hmotnosti a hodnoty LD</w:t>
      </w:r>
      <w:r w:rsidRPr="00FE2E97">
        <w:rPr>
          <w:sz w:val="22"/>
          <w:szCs w:val="22"/>
          <w:vertAlign w:val="subscript"/>
          <w:lang w:val="sk-SK"/>
        </w:rPr>
        <w:t>50</w:t>
      </w:r>
      <w:r w:rsidRPr="00FE2E97">
        <w:rPr>
          <w:sz w:val="22"/>
          <w:szCs w:val="22"/>
          <w:lang w:val="sk-SK"/>
        </w:rPr>
        <w:t xml:space="preserve"> acetátovej soli u potkanov v rozsahu od 1,18 do 3,055 g/kg telesnej hmotnosti u samíc a 1,7-2,29 g/kg telesnej hmotnosti u samcov (celková LD</w:t>
      </w:r>
      <w:r w:rsidRPr="00FE2E97">
        <w:rPr>
          <w:sz w:val="22"/>
          <w:szCs w:val="22"/>
          <w:vertAlign w:val="subscript"/>
          <w:lang w:val="sk-SK"/>
        </w:rPr>
        <w:t>50</w:t>
      </w:r>
      <w:r w:rsidRPr="00FE2E97">
        <w:rPr>
          <w:sz w:val="22"/>
          <w:szCs w:val="22"/>
          <w:lang w:val="sk-SK"/>
        </w:rPr>
        <w:t xml:space="preserve"> = ~2646 mg/kg telesnej hmotnosti). Štúdie akútnej dermálnej toxicity u králikov ukázala dermálnu hodnotu LD</w:t>
      </w:r>
      <w:r w:rsidRPr="00FE2E97">
        <w:rPr>
          <w:sz w:val="22"/>
          <w:szCs w:val="22"/>
          <w:vertAlign w:val="subscript"/>
          <w:lang w:val="sk-SK"/>
        </w:rPr>
        <w:t>50</w:t>
      </w:r>
      <w:r w:rsidRPr="00FE2E97">
        <w:rPr>
          <w:sz w:val="22"/>
          <w:szCs w:val="22"/>
          <w:lang w:val="sk-SK"/>
        </w:rPr>
        <w:t xml:space="preserve"> &gt; 2 g/kg telesnej hmotnosti. Stredná úroveň toxicity bola pozorovaná v akútnej inhalačnej štúdii u potkanov pri chlórhexidíne podávanom v aerosóle s LD</w:t>
      </w:r>
      <w:r w:rsidRPr="00FE2E97">
        <w:rPr>
          <w:sz w:val="22"/>
          <w:szCs w:val="22"/>
          <w:vertAlign w:val="subscript"/>
          <w:lang w:val="sk-SK"/>
        </w:rPr>
        <w:t>50</w:t>
      </w:r>
      <w:r w:rsidRPr="00FE2E97">
        <w:rPr>
          <w:sz w:val="22"/>
          <w:szCs w:val="22"/>
          <w:lang w:val="sk-SK"/>
        </w:rPr>
        <w:t xml:space="preserve"> 0,30 mg/l (0,12 až 0,77 mg/l) a 0,43 mg/l (0,18 až 1,07 mg/l) u samcov resp. u samíc. Testy akútnej subkutánnej toxicity u potkanov a myší mali LD</w:t>
      </w:r>
      <w:r w:rsidRPr="00FE2E97">
        <w:rPr>
          <w:sz w:val="22"/>
          <w:szCs w:val="22"/>
          <w:vertAlign w:val="subscript"/>
          <w:lang w:val="sk-SK"/>
        </w:rPr>
        <w:t>50</w:t>
      </w:r>
      <w:r w:rsidRPr="00FE2E97">
        <w:rPr>
          <w:sz w:val="22"/>
          <w:szCs w:val="22"/>
          <w:lang w:val="sk-SK"/>
        </w:rPr>
        <w:t xml:space="preserve"> &gt;1,0 g/kg resp. 0,63 g/kg.</w:t>
      </w:r>
    </w:p>
    <w:p w:rsidR="0089585D" w:rsidRPr="00FE2E97" w:rsidRDefault="0089585D">
      <w:pPr>
        <w:rPr>
          <w:sz w:val="22"/>
          <w:szCs w:val="22"/>
          <w:lang w:val="sk-SK"/>
        </w:rPr>
      </w:pPr>
    </w:p>
    <w:p w:rsidR="0089585D" w:rsidRPr="00FE2E97" w:rsidRDefault="0089585D">
      <w:pPr>
        <w:rPr>
          <w:sz w:val="22"/>
          <w:szCs w:val="22"/>
          <w:lang w:val="sk-SK"/>
        </w:rPr>
      </w:pPr>
      <w:r w:rsidRPr="00FE2E97">
        <w:rPr>
          <w:sz w:val="22"/>
          <w:szCs w:val="22"/>
          <w:lang w:val="sk-SK"/>
        </w:rPr>
        <w:t xml:space="preserve">V 50-dňovej subakútnej perorálnej štúdii na zistenie samotnej histiocytózy bola u potkanov, ktorým bol podávaný glukonát chlórhexidínu v dávkach až 100 mg/kg telesnej hmotnosti denne odvodená NOEL 0,5 mg/kg telesnej hmotnosti denne. NOEL 0,5 mg/kg telesnej hmotnosti denne bola odvodená v kombinovanej 6 a 12-mesačnej štúdii u psov, ktorým boli podávané perorálne dávky 0; 0,5; 5 alebo 40 mg/kg telesnej hmotnosti denne. V 13-týždňovej štúdii subchronickej dermálnej toxicity na Novom Zélande bol bielym králikom podávaný chlórhexidíne diacetát a prekrytý gázovo/Saranovým obväzom na povrchu dorzálnej kože v dávkach 0, 250, 500 alebo 1000 mg/kg/deň. Na základe pečeňových zistení bola určená celková systémová NOEL 250 mg/kg telesnej hmotnosti denne. Dermálna NOEL nebola stanovená, pretože pri všetkých dávkach došlo k lokálnym účinkom. Potkany, ktorým bol </w:t>
      </w:r>
      <w:r w:rsidRPr="00FE2E97">
        <w:rPr>
          <w:sz w:val="22"/>
          <w:szCs w:val="22"/>
          <w:lang w:val="sk-SK"/>
        </w:rPr>
        <w:lastRenderedPageBreak/>
        <w:t>počas až 2 rokov podávaný v pitnej vode chlórhexidín glukonát v dávkach 0, 5, 25 alebo 40 mg/kg telesnej hmotnosti denne nemali žiadne od dávky závislé nežiaduce účinky.</w:t>
      </w:r>
    </w:p>
    <w:p w:rsidR="0089585D" w:rsidRPr="00FE2E97" w:rsidRDefault="0089585D">
      <w:pPr>
        <w:rPr>
          <w:sz w:val="22"/>
          <w:szCs w:val="22"/>
          <w:u w:val="single"/>
          <w:lang w:val="sk-SK"/>
        </w:rPr>
      </w:pPr>
    </w:p>
    <w:p w:rsidR="0089585D" w:rsidRPr="00FE2E97" w:rsidRDefault="0089585D">
      <w:pPr>
        <w:rPr>
          <w:iCs/>
          <w:sz w:val="22"/>
          <w:szCs w:val="22"/>
          <w:u w:val="single"/>
          <w:lang w:val="sk-SK"/>
        </w:rPr>
      </w:pPr>
      <w:r w:rsidRPr="00FE2E97">
        <w:rPr>
          <w:iCs/>
          <w:sz w:val="22"/>
          <w:szCs w:val="22"/>
          <w:u w:val="single"/>
          <w:lang w:val="sk-SK"/>
        </w:rPr>
        <w:t>Genetická toxikológia</w:t>
      </w:r>
    </w:p>
    <w:p w:rsidR="0089585D" w:rsidRPr="00FE2E97" w:rsidRDefault="0089585D">
      <w:pPr>
        <w:rPr>
          <w:sz w:val="22"/>
          <w:szCs w:val="22"/>
          <w:u w:val="single"/>
          <w:lang w:val="sk-SK"/>
        </w:rPr>
      </w:pPr>
    </w:p>
    <w:p w:rsidR="0089585D" w:rsidRPr="00FE2E97" w:rsidRDefault="0089585D">
      <w:pPr>
        <w:rPr>
          <w:sz w:val="22"/>
          <w:szCs w:val="22"/>
          <w:lang w:val="sk-SK"/>
        </w:rPr>
      </w:pPr>
      <w:r w:rsidRPr="00FE2E97">
        <w:rPr>
          <w:sz w:val="22"/>
          <w:szCs w:val="22"/>
          <w:lang w:val="sk-SK"/>
        </w:rPr>
        <w:t xml:space="preserve">Štúdie bakteriálnych mutácií s chlórhexidín diglukonátom naznačujú pozitívne aj negatívne výsledky. Chlórhexidín diglukonát spôsobil mutáciu u </w:t>
      </w:r>
      <w:r w:rsidRPr="00FE2E97">
        <w:rPr>
          <w:i/>
          <w:sz w:val="22"/>
          <w:szCs w:val="22"/>
          <w:lang w:val="sk-SK"/>
        </w:rPr>
        <w:t>Salmonella typhimurium</w:t>
      </w:r>
      <w:r w:rsidRPr="00FE2E97">
        <w:rPr>
          <w:sz w:val="22"/>
          <w:szCs w:val="22"/>
          <w:lang w:val="sk-SK"/>
        </w:rPr>
        <w:t xml:space="preserve"> TA 1535 a TA 1538 v koncentrácii 0,4 FM (280 pg/l). Chlórhexidín diglukonát spôsobil mierne poškodenie DNA v skúške s metabolizáciou pomocou tekutej RET alebo bez nej. Následné štúdie boli vykonané s testom prnp na </w:t>
      </w:r>
      <w:r w:rsidRPr="00FE2E97">
        <w:rPr>
          <w:i/>
          <w:sz w:val="22"/>
          <w:szCs w:val="22"/>
          <w:lang w:val="sk-SK"/>
        </w:rPr>
        <w:t>S. typhimurium</w:t>
      </w:r>
      <w:r w:rsidRPr="00FE2E97">
        <w:rPr>
          <w:sz w:val="22"/>
          <w:szCs w:val="22"/>
          <w:lang w:val="sk-SK"/>
        </w:rPr>
        <w:t xml:space="preserve"> TA 135/pSK1002, ktorý naznačil, že chlórhexidín diglukonát nie je mutagénny (Sakagami a kol., 198813). 0,002 % - 2 % chlórhexidín v DMSO nebol mutagénny v </w:t>
      </w:r>
      <w:r w:rsidRPr="00FE2E97">
        <w:rPr>
          <w:i/>
          <w:sz w:val="22"/>
          <w:szCs w:val="22"/>
          <w:lang w:val="sk-SK"/>
        </w:rPr>
        <w:t>in vitro</w:t>
      </w:r>
      <w:r w:rsidRPr="00FE2E97">
        <w:rPr>
          <w:sz w:val="22"/>
          <w:szCs w:val="22"/>
          <w:lang w:val="sk-SK"/>
        </w:rPr>
        <w:t xml:space="preserve"> skúške bakteriálnej mutácie v prítomnosti metabolickej aktivácie alebo bez nej.</w:t>
      </w:r>
    </w:p>
    <w:p w:rsidR="0089585D" w:rsidRPr="00FE2E97" w:rsidRDefault="0089585D">
      <w:pPr>
        <w:rPr>
          <w:sz w:val="22"/>
          <w:szCs w:val="22"/>
          <w:lang w:val="sk-SK"/>
        </w:rPr>
      </w:pPr>
      <w:r w:rsidRPr="00FE2E97">
        <w:rPr>
          <w:sz w:val="22"/>
          <w:szCs w:val="22"/>
          <w:lang w:val="sk-SK"/>
        </w:rPr>
        <w:t>Skúška Mouse Lymphoma Forward Mutation Assay génovej mutácie ukázala, že chlórhexidín je negatívny až do cytotoxických hladín (6 μg/ml v neaktivovanej skúške a 15</w:t>
      </w:r>
      <w:r w:rsidRPr="00FE2E97">
        <w:rPr>
          <w:sz w:val="22"/>
          <w:szCs w:val="22"/>
          <w:lang w:val="sk-SK"/>
        </w:rPr>
        <w:noBreakHyphen/>
        <w:t xml:space="preserve">16 μg/ml v aktivovanej skúške). Negatívne výsledky sa tiež dosiahli v teste chromozómových aberácií </w:t>
      </w:r>
      <w:r w:rsidRPr="00FE2E97">
        <w:rPr>
          <w:i/>
          <w:sz w:val="22"/>
          <w:szCs w:val="22"/>
          <w:lang w:val="sk-SK"/>
        </w:rPr>
        <w:t>in vitro</w:t>
      </w:r>
      <w:r w:rsidRPr="00FE2E97">
        <w:rPr>
          <w:sz w:val="22"/>
          <w:szCs w:val="22"/>
          <w:lang w:val="sk-SK"/>
        </w:rPr>
        <w:t xml:space="preserve"> na ovariálnych bunkách čínskeho škrečka (negatívne poškodenie chromozómov, s aktiváciou alebo bez nej pri testovaných hladinách do 10 μg/ml, pri ktorých bol u kontroly redukovaný rast buniek na 50 %). Podobne boli získané negatívne výsledky v štúdii neplánovanej DNA syntézy v primárnych hepatochytoch potkanov, keďže nedošlo k poškodeniu/oprave DNA.</w:t>
      </w:r>
    </w:p>
    <w:p w:rsidR="0089585D" w:rsidRPr="00FE2E97" w:rsidRDefault="0089585D">
      <w:pPr>
        <w:rPr>
          <w:sz w:val="22"/>
          <w:szCs w:val="22"/>
          <w:lang w:val="sk-SK"/>
        </w:rPr>
      </w:pPr>
      <w:r w:rsidRPr="00FE2E97">
        <w:rPr>
          <w:sz w:val="22"/>
          <w:szCs w:val="22"/>
          <w:lang w:val="sk-SK"/>
        </w:rPr>
        <w:t xml:space="preserve">Chlórhexidín glukonát nebol mutagénny v 2 štúdiách mutagénnosti u cicavcov </w:t>
      </w:r>
      <w:r w:rsidRPr="00FE2E97">
        <w:rPr>
          <w:i/>
          <w:sz w:val="22"/>
          <w:szCs w:val="22"/>
          <w:lang w:val="sk-SK"/>
        </w:rPr>
        <w:t>in vivo</w:t>
      </w:r>
      <w:r w:rsidRPr="00FE2E97">
        <w:rPr>
          <w:sz w:val="22"/>
          <w:szCs w:val="22"/>
          <w:lang w:val="sk-SK"/>
        </w:rPr>
        <w:t xml:space="preserve">. Najvyššia denná dávka chlórhexidínu použitá v skúške letálnosti prevažne u myší a v cytogenetickom teste u škrečkov bola 1000 resp. 250 mg/kg. Nebol mutagénny v mikronukleovej skúške </w:t>
      </w:r>
      <w:r w:rsidRPr="00FE2E97">
        <w:rPr>
          <w:i/>
          <w:sz w:val="22"/>
          <w:szCs w:val="22"/>
          <w:lang w:val="sk-SK"/>
        </w:rPr>
        <w:t>in vivo</w:t>
      </w:r>
      <w:r w:rsidRPr="00FE2E97">
        <w:rPr>
          <w:sz w:val="22"/>
          <w:szCs w:val="22"/>
          <w:lang w:val="sk-SK"/>
        </w:rPr>
        <w:t xml:space="preserve"> u švajčiarskych myší v koncentráciách 10, 20 a 30 mg/kg v DMSO/glycerolovom vehikule.</w:t>
      </w:r>
    </w:p>
    <w:p w:rsidR="0089585D" w:rsidRPr="00FE2E97" w:rsidRDefault="0089585D">
      <w:pPr>
        <w:rPr>
          <w:sz w:val="22"/>
          <w:szCs w:val="22"/>
          <w:lang w:val="sk-SK"/>
        </w:rPr>
      </w:pPr>
    </w:p>
    <w:p w:rsidR="0089585D" w:rsidRPr="00FE2E97" w:rsidRDefault="0089585D">
      <w:pPr>
        <w:rPr>
          <w:iCs/>
          <w:sz w:val="22"/>
          <w:szCs w:val="22"/>
          <w:u w:val="single"/>
          <w:lang w:val="sk-SK"/>
        </w:rPr>
      </w:pPr>
      <w:r w:rsidRPr="00FE2E97">
        <w:rPr>
          <w:iCs/>
          <w:sz w:val="22"/>
          <w:szCs w:val="22"/>
          <w:u w:val="single"/>
          <w:lang w:val="sk-SK"/>
        </w:rPr>
        <w:t>Karcinogenita</w:t>
      </w:r>
    </w:p>
    <w:p w:rsidR="0089585D" w:rsidRPr="00FE2E97" w:rsidRDefault="0089585D">
      <w:pPr>
        <w:rPr>
          <w:sz w:val="22"/>
          <w:szCs w:val="22"/>
          <w:u w:val="single"/>
          <w:lang w:val="sk-SK"/>
        </w:rPr>
      </w:pPr>
    </w:p>
    <w:p w:rsidR="0089585D" w:rsidRPr="00FE2E97" w:rsidRDefault="0089585D">
      <w:pPr>
        <w:rPr>
          <w:sz w:val="22"/>
          <w:szCs w:val="22"/>
          <w:lang w:val="sk-SK"/>
        </w:rPr>
      </w:pPr>
      <w:r w:rsidRPr="00FE2E97">
        <w:rPr>
          <w:sz w:val="22"/>
          <w:szCs w:val="22"/>
          <w:lang w:val="sk-SK"/>
        </w:rPr>
        <w:t>V štúdii karcinogénnosti v súlade s GLP nebol chlórhexidín (chlórhexidín diglukonát) karcinogénny, keď bol podávaný potkanom Wistar v strave v dávkach do 50 mg/kg telesnej hmotnosti počas 105 týždňov. V inej štúdii karcinogénnosti nevykázal chlórhexidín podávaný myšiam v strave v dávke do 800 mg/kg telesnej hmotnosti počas 78 týždňov žiadny dôkaz karcinogenity.</w:t>
      </w:r>
    </w:p>
    <w:p w:rsidR="0089585D" w:rsidRPr="00FE2E97" w:rsidRDefault="0089585D">
      <w:pPr>
        <w:rPr>
          <w:sz w:val="22"/>
          <w:szCs w:val="22"/>
          <w:u w:val="single"/>
          <w:lang w:val="sk-SK"/>
        </w:rPr>
      </w:pPr>
    </w:p>
    <w:p w:rsidR="0089585D" w:rsidRPr="00FE2E97" w:rsidRDefault="0089585D">
      <w:pPr>
        <w:rPr>
          <w:i/>
          <w:iCs/>
          <w:sz w:val="22"/>
          <w:szCs w:val="22"/>
          <w:lang w:val="sk-SK"/>
        </w:rPr>
      </w:pPr>
      <w:r w:rsidRPr="00FE2E97">
        <w:rPr>
          <w:iCs/>
          <w:sz w:val="22"/>
          <w:szCs w:val="22"/>
          <w:u w:val="single"/>
          <w:lang w:val="sk-SK"/>
        </w:rPr>
        <w:t>Teratogenita</w:t>
      </w:r>
    </w:p>
    <w:p w:rsidR="0089585D" w:rsidRPr="00FE2E97" w:rsidRDefault="0089585D">
      <w:pPr>
        <w:rPr>
          <w:sz w:val="22"/>
          <w:szCs w:val="22"/>
          <w:lang w:val="sk-SK"/>
        </w:rPr>
      </w:pPr>
    </w:p>
    <w:p w:rsidR="0089585D" w:rsidRPr="00FE2E97" w:rsidRDefault="0089585D">
      <w:pPr>
        <w:rPr>
          <w:sz w:val="22"/>
          <w:szCs w:val="22"/>
          <w:lang w:val="sk-SK"/>
        </w:rPr>
      </w:pPr>
      <w:r w:rsidRPr="00FE2E97">
        <w:rPr>
          <w:sz w:val="22"/>
          <w:szCs w:val="22"/>
          <w:lang w:val="sk-SK"/>
        </w:rPr>
        <w:t>V štúdii reprodukčnej toxicity s chlórhexidínom (báza) neboli pozorované žiadne nežiaduce účinky pri dávkach do 68,5 mg/kg/deň podávaných gastrickou sondou gravidným potkanom v dňoch 6-15 gestácie. V štúdii peri- a postnatálneho vývoja nespôsobil chlórhexidín podávaný od 15. dňa gestácie do 21. dňa po pôrode potkaním samiciam žiadnu toxicitu pre matku ani plod. Potkany, ktorým bol perorálne podávaný chlórhexidín v dávke 0; 15,63; 31,25 alebo 62,50 mg/kg telesnej hmotnosti denne v dňoch 6 až 15 gravidity nevykázali žiadnu fetotoxicitu alebo teratogenitu. Bola určená NOEL pre matky 15,63 mg/kg telesnej hmotnosti denne (klinické znaky u matiek pri dávke 15,63 mg/kg telesnej hmotnosti denne mohli byť spôsobené lokálnymi účinkami) a vývojová NOEL 62,50 mg/kg telesnej hmotnosti denne.</w:t>
      </w:r>
    </w:p>
    <w:p w:rsidR="0089585D" w:rsidRPr="00FE2E97" w:rsidRDefault="0089585D">
      <w:pPr>
        <w:rPr>
          <w:sz w:val="22"/>
          <w:szCs w:val="22"/>
          <w:lang w:val="sk-SK"/>
        </w:rPr>
      </w:pPr>
    </w:p>
    <w:p w:rsidR="0089585D" w:rsidRPr="00FE2E97" w:rsidRDefault="0089585D">
      <w:pPr>
        <w:rPr>
          <w:iCs/>
          <w:sz w:val="22"/>
          <w:szCs w:val="22"/>
          <w:u w:val="single"/>
          <w:lang w:val="sk-SK"/>
        </w:rPr>
      </w:pPr>
      <w:r w:rsidRPr="00FE2E97">
        <w:rPr>
          <w:iCs/>
          <w:sz w:val="22"/>
          <w:szCs w:val="22"/>
          <w:u w:val="single"/>
          <w:lang w:val="sk-SK"/>
        </w:rPr>
        <w:t>Fertilita</w:t>
      </w:r>
    </w:p>
    <w:p w:rsidR="0089585D" w:rsidRPr="00FE2E97" w:rsidRDefault="0089585D">
      <w:pPr>
        <w:rPr>
          <w:sz w:val="22"/>
          <w:szCs w:val="22"/>
          <w:u w:val="single"/>
          <w:lang w:val="sk-SK"/>
        </w:rPr>
      </w:pPr>
    </w:p>
    <w:p w:rsidR="0089585D" w:rsidRPr="00FE2E97" w:rsidRDefault="0089585D">
      <w:pPr>
        <w:rPr>
          <w:color w:val="000000"/>
          <w:sz w:val="22"/>
          <w:szCs w:val="22"/>
          <w:lang w:val="sk-SK"/>
        </w:rPr>
      </w:pPr>
      <w:r w:rsidRPr="00FE2E97">
        <w:rPr>
          <w:color w:val="000000"/>
          <w:sz w:val="22"/>
          <w:szCs w:val="22"/>
          <w:lang w:val="sk-SK"/>
        </w:rPr>
        <w:t>V štúdii fertility a reprodukčnej toxicity nemal chlórhexidín žiadny účinok, ktorý by súvisel so samotným liečivom, na párenie, rýchlosť otehotnenia alebo na obdobie</w:t>
      </w:r>
      <w:r w:rsidRPr="00FE2E97">
        <w:rPr>
          <w:sz w:val="22"/>
          <w:szCs w:val="22"/>
          <w:lang w:val="sk-SK"/>
        </w:rPr>
        <w:t xml:space="preserve"> tehotenstva u potkaních samíc, ktorým bol podávaný v dávkach 0; 4,9(~5) alebo 44,4(~50) mg/kg telesnej hmotnosti a ktoré sa párili s neliečenými samcami. Podobne nemal chlórhexidín v dávkach 0; 4,9(~5) alebo 44,4(~50) mg/kg telesnej hmotnosti denne podávaných potkaním samcom, ktorí sa párili s neliečenými samicami žiadny vplyv na párenie, počet živých plodov, telesnú hmotnosť mláďat alebo prežívanie. V obidvoch vyššie uvedených štúdiách neovplyvnil chlórhexidín fertilitu a bola odvodená NOEL 4,9 mg/kg telesnej hmotnosti denne. Chlórhexidín (báza) podávaný myšiam v pitnej vode v koncentrácii 0,2 % počas 1 týždňa znížil počet vrhov na polovicu, ale neznížil počet mláďat na vrh, čo naznačuje, že tento jeho účinok môže mať pôvod v ranej stimulácii aktivity vaječníkov spolu s jej neskorším potlačením, a preto ho možno považovať za mierne toxický.</w:t>
      </w:r>
    </w:p>
    <w:p w:rsidR="0089585D" w:rsidRPr="00FE2E97" w:rsidRDefault="0089585D">
      <w:pPr>
        <w:rPr>
          <w:sz w:val="22"/>
          <w:szCs w:val="22"/>
          <w:lang w:val="sk-SK"/>
        </w:rPr>
      </w:pPr>
    </w:p>
    <w:p w:rsidR="0089585D" w:rsidRPr="00FE2E97" w:rsidRDefault="0089585D">
      <w:pPr>
        <w:ind w:left="709" w:hanging="709"/>
        <w:rPr>
          <w:sz w:val="22"/>
          <w:szCs w:val="22"/>
          <w:lang w:val="sk-SK"/>
        </w:rPr>
      </w:pPr>
    </w:p>
    <w:p w:rsidR="0089585D" w:rsidRPr="00FE2E97" w:rsidRDefault="0089585D" w:rsidP="00F435BD">
      <w:pPr>
        <w:numPr>
          <w:ilvl w:val="0"/>
          <w:numId w:val="6"/>
        </w:numPr>
        <w:tabs>
          <w:tab w:val="clear" w:pos="360"/>
          <w:tab w:val="num" w:pos="567"/>
        </w:tabs>
        <w:ind w:left="567" w:hanging="567"/>
        <w:rPr>
          <w:b/>
          <w:sz w:val="22"/>
          <w:szCs w:val="22"/>
          <w:lang w:val="sk-SK"/>
        </w:rPr>
      </w:pPr>
      <w:r w:rsidRPr="00FE2E97">
        <w:rPr>
          <w:b/>
          <w:sz w:val="22"/>
          <w:szCs w:val="22"/>
          <w:lang w:val="sk-SK"/>
        </w:rPr>
        <w:t>FARMACEUTICKÉ INFORMÁCIE</w:t>
      </w:r>
    </w:p>
    <w:p w:rsidR="0089585D" w:rsidRPr="00FE2E97" w:rsidRDefault="0089585D">
      <w:pPr>
        <w:rPr>
          <w:sz w:val="22"/>
          <w:szCs w:val="22"/>
          <w:lang w:val="sk-SK"/>
        </w:rPr>
      </w:pPr>
    </w:p>
    <w:p w:rsidR="0089585D" w:rsidRPr="00FE2E97" w:rsidRDefault="0089585D">
      <w:pPr>
        <w:numPr>
          <w:ilvl w:val="1"/>
          <w:numId w:val="5"/>
        </w:numPr>
        <w:rPr>
          <w:b/>
          <w:sz w:val="22"/>
          <w:szCs w:val="22"/>
          <w:lang w:val="sk-SK"/>
        </w:rPr>
      </w:pPr>
      <w:r w:rsidRPr="00FE2E97">
        <w:rPr>
          <w:b/>
          <w:sz w:val="22"/>
          <w:szCs w:val="22"/>
          <w:lang w:val="sk-SK"/>
        </w:rPr>
        <w:t xml:space="preserve">Zoznam pomocných látok </w:t>
      </w:r>
    </w:p>
    <w:p w:rsidR="0089585D" w:rsidRPr="00FE2E97" w:rsidRDefault="0089585D">
      <w:pPr>
        <w:rPr>
          <w:sz w:val="22"/>
          <w:szCs w:val="22"/>
          <w:lang w:val="sk-SK"/>
        </w:rPr>
      </w:pPr>
    </w:p>
    <w:p w:rsidR="0089585D" w:rsidRPr="00FE2E97" w:rsidRDefault="0089585D">
      <w:pPr>
        <w:rPr>
          <w:sz w:val="22"/>
          <w:szCs w:val="22"/>
          <w:lang w:val="sk-SK"/>
        </w:rPr>
      </w:pPr>
      <w:r w:rsidRPr="00FE2E97">
        <w:rPr>
          <w:sz w:val="22"/>
          <w:szCs w:val="22"/>
          <w:lang w:val="sk-SK"/>
        </w:rPr>
        <w:t>aspartám, izomalt ST, čistená voda</w:t>
      </w:r>
    </w:p>
    <w:p w:rsidR="0089585D" w:rsidRPr="00FE2E97" w:rsidRDefault="0089585D">
      <w:pPr>
        <w:rPr>
          <w:sz w:val="22"/>
          <w:szCs w:val="22"/>
          <w:lang w:val="sk-SK"/>
        </w:rPr>
      </w:pPr>
      <w:r w:rsidRPr="00FE2E97">
        <w:rPr>
          <w:sz w:val="22"/>
          <w:szCs w:val="22"/>
          <w:lang w:val="sk-SK"/>
        </w:rPr>
        <w:t>aromatické látky: pepermintový olej, mentol, tymol</w:t>
      </w:r>
    </w:p>
    <w:p w:rsidR="0089585D" w:rsidRPr="00FE2E97" w:rsidRDefault="0089585D">
      <w:pPr>
        <w:rPr>
          <w:sz w:val="22"/>
          <w:szCs w:val="22"/>
          <w:lang w:val="sk-SK"/>
        </w:rPr>
      </w:pPr>
    </w:p>
    <w:p w:rsidR="0089585D" w:rsidRPr="00FE2E97" w:rsidRDefault="0089585D" w:rsidP="00F435BD">
      <w:pPr>
        <w:numPr>
          <w:ilvl w:val="1"/>
          <w:numId w:val="1"/>
        </w:numPr>
        <w:tabs>
          <w:tab w:val="clear" w:pos="705"/>
          <w:tab w:val="num" w:pos="567"/>
        </w:tabs>
        <w:ind w:left="567" w:hanging="567"/>
        <w:rPr>
          <w:b/>
          <w:sz w:val="22"/>
          <w:szCs w:val="22"/>
          <w:lang w:val="sk-SK"/>
        </w:rPr>
      </w:pPr>
      <w:r w:rsidRPr="00FE2E97">
        <w:rPr>
          <w:b/>
          <w:sz w:val="22"/>
          <w:szCs w:val="22"/>
          <w:lang w:val="sk-SK"/>
        </w:rPr>
        <w:t>Inkompatibility</w:t>
      </w:r>
    </w:p>
    <w:p w:rsidR="0089585D" w:rsidRPr="00FE2E97" w:rsidRDefault="0089585D">
      <w:pPr>
        <w:rPr>
          <w:sz w:val="22"/>
          <w:szCs w:val="22"/>
          <w:lang w:val="sk-SK"/>
        </w:rPr>
      </w:pPr>
    </w:p>
    <w:p w:rsidR="0089585D" w:rsidRPr="00FE2E97" w:rsidRDefault="0089585D">
      <w:pPr>
        <w:rPr>
          <w:sz w:val="22"/>
          <w:szCs w:val="22"/>
          <w:lang w:val="sk-SK"/>
        </w:rPr>
      </w:pPr>
      <w:r w:rsidRPr="00FE2E97">
        <w:rPr>
          <w:sz w:val="22"/>
          <w:szCs w:val="22"/>
          <w:lang w:val="sk-SK"/>
        </w:rPr>
        <w:t>Chlórhexidín sa môže deaktivovať sacharózou, polysorbátom 80, nerozpustnými soľami horčíka, zinku a vápnika.</w:t>
      </w:r>
    </w:p>
    <w:p w:rsidR="0089585D" w:rsidRPr="00FE2E97" w:rsidRDefault="0089585D">
      <w:pPr>
        <w:rPr>
          <w:sz w:val="22"/>
          <w:szCs w:val="22"/>
          <w:lang w:val="sk-SK"/>
        </w:rPr>
      </w:pPr>
    </w:p>
    <w:p w:rsidR="0089585D" w:rsidRPr="00FE2E97" w:rsidRDefault="0089585D" w:rsidP="00F435BD">
      <w:pPr>
        <w:numPr>
          <w:ilvl w:val="1"/>
          <w:numId w:val="1"/>
        </w:numPr>
        <w:tabs>
          <w:tab w:val="clear" w:pos="705"/>
          <w:tab w:val="num" w:pos="567"/>
        </w:tabs>
        <w:ind w:left="567" w:hanging="567"/>
        <w:rPr>
          <w:b/>
          <w:sz w:val="22"/>
          <w:szCs w:val="22"/>
          <w:lang w:val="sk-SK"/>
        </w:rPr>
      </w:pPr>
      <w:r w:rsidRPr="00FE2E97">
        <w:rPr>
          <w:b/>
          <w:sz w:val="22"/>
          <w:szCs w:val="22"/>
          <w:lang w:val="sk-SK"/>
        </w:rPr>
        <w:t>Čas použiteľnosti</w:t>
      </w:r>
    </w:p>
    <w:p w:rsidR="0089585D" w:rsidRPr="00FE2E97" w:rsidRDefault="0089585D">
      <w:pPr>
        <w:rPr>
          <w:sz w:val="22"/>
          <w:szCs w:val="22"/>
          <w:lang w:val="sk-SK"/>
        </w:rPr>
      </w:pPr>
    </w:p>
    <w:p w:rsidR="0089585D" w:rsidRPr="00FE2E97" w:rsidRDefault="0089585D">
      <w:pPr>
        <w:rPr>
          <w:sz w:val="22"/>
          <w:szCs w:val="22"/>
          <w:lang w:val="sk-SK"/>
        </w:rPr>
      </w:pPr>
      <w:r w:rsidRPr="00FE2E97">
        <w:rPr>
          <w:sz w:val="22"/>
          <w:szCs w:val="22"/>
          <w:lang w:val="sk-SK"/>
        </w:rPr>
        <w:t>3 roky</w:t>
      </w:r>
    </w:p>
    <w:p w:rsidR="0089585D" w:rsidRPr="00FE2E97" w:rsidRDefault="0089585D">
      <w:pPr>
        <w:ind w:left="709" w:hanging="709"/>
        <w:rPr>
          <w:sz w:val="22"/>
          <w:szCs w:val="22"/>
          <w:lang w:val="sk-SK"/>
        </w:rPr>
      </w:pPr>
    </w:p>
    <w:p w:rsidR="0089585D" w:rsidRPr="00FE2E97" w:rsidRDefault="0089585D">
      <w:pPr>
        <w:ind w:left="567" w:hanging="567"/>
        <w:rPr>
          <w:sz w:val="22"/>
          <w:szCs w:val="22"/>
          <w:lang w:val="sk-SK"/>
        </w:rPr>
      </w:pPr>
      <w:r w:rsidRPr="00FE2E97">
        <w:rPr>
          <w:b/>
          <w:sz w:val="22"/>
          <w:szCs w:val="22"/>
          <w:lang w:val="sk-SK"/>
        </w:rPr>
        <w:t>6.4.</w:t>
      </w:r>
      <w:r w:rsidRPr="00FE2E97">
        <w:rPr>
          <w:b/>
          <w:sz w:val="22"/>
          <w:szCs w:val="22"/>
          <w:lang w:val="sk-SK"/>
        </w:rPr>
        <w:tab/>
        <w:t>Špeciálne upozornenia na uchovávanie</w:t>
      </w:r>
    </w:p>
    <w:p w:rsidR="0089585D" w:rsidRPr="00FE2E97" w:rsidRDefault="0089585D">
      <w:pPr>
        <w:rPr>
          <w:sz w:val="22"/>
          <w:szCs w:val="22"/>
          <w:lang w:val="sk-SK"/>
        </w:rPr>
      </w:pPr>
    </w:p>
    <w:p w:rsidR="0089585D" w:rsidRPr="00FE2E97" w:rsidRDefault="0089585D">
      <w:pPr>
        <w:rPr>
          <w:sz w:val="22"/>
          <w:szCs w:val="22"/>
          <w:lang w:val="sk-SK"/>
        </w:rPr>
      </w:pPr>
      <w:r w:rsidRPr="00FE2E97">
        <w:rPr>
          <w:sz w:val="22"/>
          <w:szCs w:val="22"/>
          <w:lang w:val="sk-SK"/>
        </w:rPr>
        <w:t xml:space="preserve">Uchovávajte pri teplote neprevyšujúcej 25 </w:t>
      </w:r>
      <w:r w:rsidRPr="00FE2E97">
        <w:rPr>
          <w:sz w:val="22"/>
          <w:szCs w:val="22"/>
          <w:lang w:val="sk-SK"/>
        </w:rPr>
        <w:sym w:font="Symbol" w:char="F0B0"/>
      </w:r>
      <w:r w:rsidRPr="00FE2E97">
        <w:rPr>
          <w:sz w:val="22"/>
          <w:szCs w:val="22"/>
          <w:lang w:val="sk-SK"/>
        </w:rPr>
        <w:t>C.</w:t>
      </w:r>
    </w:p>
    <w:p w:rsidR="0089585D" w:rsidRPr="00FE2E97" w:rsidRDefault="0089585D">
      <w:pPr>
        <w:ind w:left="709" w:hanging="709"/>
        <w:rPr>
          <w:sz w:val="22"/>
          <w:szCs w:val="22"/>
          <w:lang w:val="sk-SK"/>
        </w:rPr>
      </w:pPr>
    </w:p>
    <w:p w:rsidR="0089585D" w:rsidRPr="00FE2E97" w:rsidRDefault="0089585D">
      <w:pPr>
        <w:rPr>
          <w:b/>
          <w:sz w:val="22"/>
          <w:szCs w:val="22"/>
          <w:lang w:val="sk-SK"/>
        </w:rPr>
      </w:pPr>
      <w:r w:rsidRPr="00FE2E97">
        <w:rPr>
          <w:b/>
          <w:sz w:val="22"/>
          <w:szCs w:val="22"/>
          <w:lang w:val="sk-SK"/>
        </w:rPr>
        <w:t>6.5</w:t>
      </w:r>
      <w:r w:rsidRPr="00FE2E97">
        <w:rPr>
          <w:b/>
          <w:sz w:val="22"/>
          <w:szCs w:val="22"/>
          <w:lang w:val="sk-SK"/>
        </w:rPr>
        <w:tab/>
        <w:t>Druh obalu a obsah balenia</w:t>
      </w:r>
    </w:p>
    <w:p w:rsidR="0089585D" w:rsidRPr="00FE2E97" w:rsidRDefault="0089585D">
      <w:pPr>
        <w:rPr>
          <w:sz w:val="22"/>
          <w:szCs w:val="22"/>
          <w:lang w:val="sk-SK"/>
        </w:rPr>
      </w:pPr>
    </w:p>
    <w:p w:rsidR="0089585D" w:rsidRPr="00E25200" w:rsidRDefault="0089585D">
      <w:pPr>
        <w:rPr>
          <w:sz w:val="22"/>
          <w:szCs w:val="22"/>
          <w:lang w:val="sk-SK"/>
        </w:rPr>
      </w:pPr>
      <w:r w:rsidRPr="00E25200">
        <w:rPr>
          <w:sz w:val="22"/>
          <w:szCs w:val="22"/>
          <w:lang w:val="sk-SK"/>
        </w:rPr>
        <w:t>Blister pozostávajúci z 2 častí:</w:t>
      </w:r>
    </w:p>
    <w:p w:rsidR="0089585D" w:rsidRPr="00514194" w:rsidRDefault="0089585D">
      <w:pPr>
        <w:rPr>
          <w:sz w:val="22"/>
          <w:szCs w:val="22"/>
          <w:lang w:val="sk-SK"/>
        </w:rPr>
      </w:pPr>
      <w:r w:rsidRPr="00514194">
        <w:rPr>
          <w:sz w:val="22"/>
          <w:szCs w:val="22"/>
          <w:lang w:val="sk-SK"/>
        </w:rPr>
        <w:t>tvrdá hliníková fólia (s hrúbkou 0,02 mm) potiahnutá PVC/PVDC kombinovaným lakom;</w:t>
      </w:r>
    </w:p>
    <w:p w:rsidR="0089585D" w:rsidRPr="00FE2E97" w:rsidRDefault="0089585D">
      <w:pPr>
        <w:rPr>
          <w:sz w:val="22"/>
          <w:szCs w:val="22"/>
          <w:lang w:val="sk-SK"/>
        </w:rPr>
      </w:pPr>
      <w:r w:rsidRPr="00FE2E97">
        <w:rPr>
          <w:sz w:val="22"/>
          <w:szCs w:val="22"/>
          <w:lang w:val="sk-SK"/>
        </w:rPr>
        <w:t>papierová škatuľa, písomná informácia pre používateľa.</w:t>
      </w:r>
    </w:p>
    <w:p w:rsidR="0089585D" w:rsidRPr="00FE2E97" w:rsidRDefault="0089585D">
      <w:pPr>
        <w:rPr>
          <w:sz w:val="22"/>
          <w:szCs w:val="22"/>
          <w:lang w:val="sk-SK"/>
        </w:rPr>
      </w:pPr>
    </w:p>
    <w:p w:rsidR="0089585D" w:rsidRPr="00FE2E97" w:rsidRDefault="0089585D">
      <w:pPr>
        <w:rPr>
          <w:sz w:val="22"/>
          <w:szCs w:val="22"/>
          <w:lang w:val="sk-SK"/>
        </w:rPr>
      </w:pPr>
      <w:r w:rsidRPr="00FE2E97">
        <w:rPr>
          <w:sz w:val="22"/>
          <w:szCs w:val="22"/>
          <w:lang w:val="sk-SK"/>
        </w:rPr>
        <w:t>Veľkosť balenia:</w:t>
      </w:r>
    </w:p>
    <w:p w:rsidR="0089585D" w:rsidRPr="00FE2E97" w:rsidRDefault="0089585D">
      <w:pPr>
        <w:rPr>
          <w:sz w:val="22"/>
          <w:szCs w:val="22"/>
          <w:lang w:val="sk-SK"/>
        </w:rPr>
      </w:pPr>
      <w:r w:rsidRPr="00FE2E97">
        <w:rPr>
          <w:sz w:val="22"/>
          <w:szCs w:val="22"/>
          <w:lang w:val="sk-SK"/>
        </w:rPr>
        <w:t>Balenie obsahuje 20 pastiliek.</w:t>
      </w:r>
    </w:p>
    <w:p w:rsidR="0089585D" w:rsidRPr="00FE2E97" w:rsidRDefault="0089585D">
      <w:pPr>
        <w:rPr>
          <w:sz w:val="22"/>
          <w:szCs w:val="22"/>
          <w:lang w:val="sk-SK"/>
        </w:rPr>
      </w:pPr>
    </w:p>
    <w:p w:rsidR="0089585D" w:rsidRPr="00FE2E97" w:rsidRDefault="0089585D">
      <w:pPr>
        <w:keepNext/>
        <w:keepLines/>
        <w:ind w:left="567" w:hanging="567"/>
        <w:rPr>
          <w:b/>
          <w:sz w:val="22"/>
          <w:szCs w:val="22"/>
          <w:lang w:val="sk-SK"/>
        </w:rPr>
      </w:pPr>
      <w:r w:rsidRPr="00FE2E97">
        <w:rPr>
          <w:b/>
          <w:sz w:val="22"/>
          <w:szCs w:val="22"/>
          <w:lang w:val="sk-SK"/>
        </w:rPr>
        <w:t>6.6</w:t>
      </w:r>
      <w:r w:rsidRPr="00FE2E97">
        <w:rPr>
          <w:b/>
          <w:sz w:val="22"/>
          <w:szCs w:val="22"/>
          <w:lang w:val="sk-SK"/>
        </w:rPr>
        <w:tab/>
        <w:t>Špeciálne opatrenia na likvidáciu a iné zaobchádzanie s liekom</w:t>
      </w:r>
    </w:p>
    <w:p w:rsidR="0089585D" w:rsidRPr="00FE2E97" w:rsidRDefault="0089585D">
      <w:pPr>
        <w:rPr>
          <w:sz w:val="22"/>
          <w:szCs w:val="22"/>
          <w:lang w:val="sk-SK"/>
        </w:rPr>
      </w:pPr>
    </w:p>
    <w:p w:rsidR="0089585D" w:rsidRPr="00FE2E97" w:rsidRDefault="0089585D">
      <w:pPr>
        <w:rPr>
          <w:sz w:val="22"/>
          <w:szCs w:val="22"/>
          <w:lang w:val="sk-SK"/>
        </w:rPr>
      </w:pPr>
      <w:r w:rsidRPr="00FE2E97">
        <w:rPr>
          <w:sz w:val="22"/>
          <w:szCs w:val="22"/>
          <w:lang w:val="sk-SK"/>
        </w:rPr>
        <w:t>Výdaj lieku nie je viazaný na lekársky predpis.</w:t>
      </w:r>
    </w:p>
    <w:p w:rsidR="0089585D" w:rsidRPr="00FE2E97" w:rsidRDefault="0089585D">
      <w:pPr>
        <w:rPr>
          <w:sz w:val="22"/>
          <w:szCs w:val="22"/>
          <w:lang w:val="sk-SK"/>
        </w:rPr>
      </w:pPr>
      <w:r w:rsidRPr="00FE2E97">
        <w:rPr>
          <w:sz w:val="22"/>
          <w:szCs w:val="22"/>
          <w:lang w:val="sk-SK"/>
        </w:rPr>
        <w:t>Nepoužitý liek alebo odpad vzniknutý z lieku treba vrátiť do lekárne.</w:t>
      </w:r>
    </w:p>
    <w:p w:rsidR="0089585D" w:rsidRPr="00FE2E97" w:rsidRDefault="0089585D">
      <w:pPr>
        <w:rPr>
          <w:sz w:val="22"/>
          <w:szCs w:val="22"/>
          <w:lang w:val="sk-SK"/>
        </w:rPr>
      </w:pPr>
    </w:p>
    <w:p w:rsidR="0089585D" w:rsidRPr="00FE2E97" w:rsidRDefault="0089585D">
      <w:pPr>
        <w:ind w:left="709" w:hanging="709"/>
        <w:rPr>
          <w:sz w:val="22"/>
          <w:szCs w:val="22"/>
          <w:lang w:val="sk-SK"/>
        </w:rPr>
      </w:pPr>
    </w:p>
    <w:p w:rsidR="0089585D" w:rsidRPr="00FE2E97" w:rsidRDefault="0089585D" w:rsidP="00F435BD">
      <w:pPr>
        <w:numPr>
          <w:ilvl w:val="0"/>
          <w:numId w:val="1"/>
        </w:numPr>
        <w:tabs>
          <w:tab w:val="clear" w:pos="705"/>
          <w:tab w:val="num" w:pos="567"/>
        </w:tabs>
        <w:ind w:left="567" w:hanging="567"/>
        <w:rPr>
          <w:b/>
          <w:caps/>
          <w:sz w:val="22"/>
          <w:szCs w:val="22"/>
          <w:lang w:val="sk-SK"/>
        </w:rPr>
      </w:pPr>
      <w:r w:rsidRPr="00FE2E97">
        <w:rPr>
          <w:b/>
          <w:caps/>
          <w:sz w:val="22"/>
          <w:szCs w:val="22"/>
          <w:lang w:val="sk-SK"/>
        </w:rPr>
        <w:t>Držiteľ rozhodnutia o registrácii</w:t>
      </w:r>
    </w:p>
    <w:p w:rsidR="0089585D" w:rsidRPr="00FE2E97" w:rsidRDefault="0089585D">
      <w:pPr>
        <w:rPr>
          <w:caps/>
          <w:sz w:val="22"/>
          <w:szCs w:val="22"/>
          <w:lang w:val="sk-SK"/>
        </w:rPr>
      </w:pPr>
    </w:p>
    <w:p w:rsidR="00B117A8" w:rsidRPr="00FE2E97" w:rsidRDefault="00B117A8" w:rsidP="00F435BD">
      <w:pPr>
        <w:rPr>
          <w:sz w:val="22"/>
          <w:szCs w:val="22"/>
        </w:rPr>
      </w:pPr>
      <w:r w:rsidRPr="00FE2E97">
        <w:rPr>
          <w:sz w:val="22"/>
          <w:szCs w:val="22"/>
        </w:rPr>
        <w:t>McNeil Healthcare (Ireland) Limited</w:t>
      </w:r>
    </w:p>
    <w:p w:rsidR="00B117A8" w:rsidRPr="00FE2E97" w:rsidRDefault="00B117A8" w:rsidP="00F435BD">
      <w:pPr>
        <w:rPr>
          <w:sz w:val="22"/>
          <w:szCs w:val="22"/>
        </w:rPr>
      </w:pPr>
      <w:r w:rsidRPr="00FE2E97">
        <w:rPr>
          <w:sz w:val="22"/>
          <w:szCs w:val="22"/>
        </w:rPr>
        <w:t xml:space="preserve">Airton Road, Tallaght </w:t>
      </w:r>
    </w:p>
    <w:p w:rsidR="00FE2E97" w:rsidRPr="00FE2E97" w:rsidRDefault="00B117A8" w:rsidP="00FE2E97">
      <w:pPr>
        <w:pStyle w:val="EUBullet"/>
        <w:numPr>
          <w:ilvl w:val="0"/>
          <w:numId w:val="0"/>
        </w:numPr>
        <w:rPr>
          <w:szCs w:val="22"/>
        </w:rPr>
      </w:pPr>
      <w:r w:rsidRPr="00FE2E97">
        <w:rPr>
          <w:szCs w:val="22"/>
        </w:rPr>
        <w:t>Dublin 24</w:t>
      </w:r>
    </w:p>
    <w:p w:rsidR="00B117A8" w:rsidRPr="00F435BD" w:rsidRDefault="00B117A8" w:rsidP="00FE2E97">
      <w:pPr>
        <w:pStyle w:val="EUBullet"/>
        <w:numPr>
          <w:ilvl w:val="0"/>
          <w:numId w:val="0"/>
        </w:numPr>
        <w:rPr>
          <w:szCs w:val="22"/>
        </w:rPr>
      </w:pPr>
      <w:r w:rsidRPr="00FE2E97">
        <w:rPr>
          <w:szCs w:val="22"/>
        </w:rPr>
        <w:t>Írsko</w:t>
      </w:r>
    </w:p>
    <w:p w:rsidR="0089585D" w:rsidRPr="00FE2E97" w:rsidRDefault="0089585D" w:rsidP="00FE2E97">
      <w:pPr>
        <w:rPr>
          <w:bCs/>
          <w:sz w:val="22"/>
          <w:szCs w:val="22"/>
          <w:lang w:val="sk-SK"/>
        </w:rPr>
      </w:pPr>
    </w:p>
    <w:p w:rsidR="0089585D" w:rsidRPr="00FE2E97" w:rsidRDefault="0089585D" w:rsidP="00E25200">
      <w:pPr>
        <w:rPr>
          <w:sz w:val="22"/>
          <w:szCs w:val="22"/>
          <w:lang w:val="sk-SK"/>
        </w:rPr>
      </w:pPr>
    </w:p>
    <w:p w:rsidR="0089585D" w:rsidRPr="00FE2E97" w:rsidRDefault="0089585D" w:rsidP="00514194">
      <w:pPr>
        <w:numPr>
          <w:ilvl w:val="0"/>
          <w:numId w:val="1"/>
        </w:numPr>
        <w:tabs>
          <w:tab w:val="clear" w:pos="705"/>
          <w:tab w:val="num" w:pos="567"/>
        </w:tabs>
        <w:ind w:left="567" w:hanging="567"/>
        <w:rPr>
          <w:b/>
          <w:caps/>
          <w:sz w:val="22"/>
          <w:szCs w:val="22"/>
          <w:lang w:val="sk-SK"/>
        </w:rPr>
      </w:pPr>
      <w:r w:rsidRPr="00FE2E97">
        <w:rPr>
          <w:b/>
          <w:caps/>
          <w:sz w:val="22"/>
          <w:szCs w:val="22"/>
          <w:lang w:val="sk-SK"/>
        </w:rPr>
        <w:t>Registračné číslo</w:t>
      </w:r>
    </w:p>
    <w:p w:rsidR="0089585D" w:rsidRPr="00FE2E97" w:rsidRDefault="0089585D">
      <w:pPr>
        <w:rPr>
          <w:sz w:val="22"/>
          <w:szCs w:val="22"/>
          <w:lang w:val="sk-SK"/>
        </w:rPr>
      </w:pPr>
    </w:p>
    <w:p w:rsidR="0089585D" w:rsidRPr="00FE2E97" w:rsidRDefault="0089585D">
      <w:pPr>
        <w:rPr>
          <w:sz w:val="22"/>
          <w:szCs w:val="22"/>
          <w:lang w:val="sk-SK"/>
        </w:rPr>
      </w:pPr>
      <w:r w:rsidRPr="00FE2E97">
        <w:rPr>
          <w:sz w:val="22"/>
          <w:szCs w:val="22"/>
          <w:lang w:val="sk-SK"/>
        </w:rPr>
        <w:t>52/0722/92–CS</w:t>
      </w:r>
    </w:p>
    <w:p w:rsidR="0089585D" w:rsidRPr="00FE2E97" w:rsidRDefault="0089585D">
      <w:pPr>
        <w:rPr>
          <w:sz w:val="22"/>
          <w:szCs w:val="22"/>
          <w:lang w:val="sk-SK"/>
        </w:rPr>
      </w:pPr>
    </w:p>
    <w:p w:rsidR="0089585D" w:rsidRPr="00FE2E97" w:rsidRDefault="0089585D">
      <w:pPr>
        <w:rPr>
          <w:sz w:val="22"/>
          <w:szCs w:val="22"/>
          <w:lang w:val="sk-SK"/>
        </w:rPr>
      </w:pPr>
    </w:p>
    <w:p w:rsidR="0089585D" w:rsidRPr="00FE2E97" w:rsidRDefault="0089585D" w:rsidP="00F435BD">
      <w:pPr>
        <w:numPr>
          <w:ilvl w:val="0"/>
          <w:numId w:val="2"/>
        </w:numPr>
        <w:tabs>
          <w:tab w:val="clear" w:pos="720"/>
          <w:tab w:val="num" w:pos="567"/>
        </w:tabs>
        <w:ind w:left="567" w:hanging="567"/>
        <w:rPr>
          <w:b/>
          <w:caps/>
          <w:sz w:val="22"/>
          <w:szCs w:val="22"/>
          <w:lang w:val="sk-SK"/>
        </w:rPr>
      </w:pPr>
      <w:r w:rsidRPr="00FE2E97">
        <w:rPr>
          <w:b/>
          <w:caps/>
          <w:sz w:val="22"/>
          <w:szCs w:val="22"/>
          <w:lang w:val="sk-SK"/>
        </w:rPr>
        <w:t>Dátum registrácie/dátum predĺženia registrácie</w:t>
      </w:r>
    </w:p>
    <w:p w:rsidR="0089585D" w:rsidRPr="00FE2E97" w:rsidRDefault="0089585D">
      <w:pPr>
        <w:rPr>
          <w:sz w:val="22"/>
          <w:szCs w:val="22"/>
          <w:lang w:val="sk-SK"/>
        </w:rPr>
      </w:pPr>
    </w:p>
    <w:p w:rsidR="0089585D" w:rsidRPr="00FE2E97" w:rsidRDefault="0089585D">
      <w:pPr>
        <w:rPr>
          <w:caps/>
          <w:sz w:val="22"/>
          <w:szCs w:val="22"/>
          <w:lang w:val="sk-SK"/>
        </w:rPr>
      </w:pPr>
      <w:r w:rsidRPr="00FE2E97">
        <w:rPr>
          <w:sz w:val="22"/>
          <w:szCs w:val="22"/>
          <w:lang w:val="sk-SK"/>
        </w:rPr>
        <w:t>Dátum prvej registrácie: 21.10.1992</w:t>
      </w:r>
    </w:p>
    <w:p w:rsidR="0089585D" w:rsidRPr="00FE2E97" w:rsidRDefault="0089585D">
      <w:pPr>
        <w:rPr>
          <w:sz w:val="22"/>
          <w:szCs w:val="22"/>
          <w:lang w:val="sk-SK"/>
        </w:rPr>
      </w:pPr>
      <w:r w:rsidRPr="00FE2E97">
        <w:rPr>
          <w:sz w:val="22"/>
          <w:szCs w:val="22"/>
          <w:lang w:val="sk-SK"/>
        </w:rPr>
        <w:t>Dátum posledného predĺženia registrácie: 13.03.2007</w:t>
      </w:r>
    </w:p>
    <w:p w:rsidR="0089585D" w:rsidRPr="00FE2E97" w:rsidRDefault="0089585D">
      <w:pPr>
        <w:rPr>
          <w:caps/>
          <w:sz w:val="22"/>
          <w:szCs w:val="22"/>
          <w:lang w:val="sk-SK"/>
        </w:rPr>
      </w:pPr>
    </w:p>
    <w:p w:rsidR="0089585D" w:rsidRPr="00FE2E97" w:rsidRDefault="0089585D">
      <w:pPr>
        <w:rPr>
          <w:caps/>
          <w:sz w:val="22"/>
          <w:szCs w:val="22"/>
          <w:lang w:val="sk-SK"/>
        </w:rPr>
      </w:pPr>
    </w:p>
    <w:p w:rsidR="0089585D" w:rsidRPr="00FE2E97" w:rsidRDefault="0089585D" w:rsidP="00F435BD">
      <w:pPr>
        <w:numPr>
          <w:ilvl w:val="0"/>
          <w:numId w:val="2"/>
        </w:numPr>
        <w:tabs>
          <w:tab w:val="clear" w:pos="720"/>
          <w:tab w:val="num" w:pos="567"/>
        </w:tabs>
        <w:ind w:left="567" w:hanging="567"/>
        <w:rPr>
          <w:b/>
          <w:caps/>
          <w:sz w:val="22"/>
          <w:szCs w:val="22"/>
          <w:lang w:val="sk-SK"/>
        </w:rPr>
      </w:pPr>
      <w:r w:rsidRPr="00FE2E97">
        <w:rPr>
          <w:b/>
          <w:caps/>
          <w:sz w:val="22"/>
          <w:szCs w:val="22"/>
          <w:lang w:val="sk-SK"/>
        </w:rPr>
        <w:lastRenderedPageBreak/>
        <w:t>Dátum poslednej revízie textu</w:t>
      </w:r>
    </w:p>
    <w:p w:rsidR="0089585D" w:rsidRPr="00FE2E97" w:rsidRDefault="0089585D">
      <w:pPr>
        <w:rPr>
          <w:caps/>
          <w:sz w:val="22"/>
          <w:szCs w:val="22"/>
          <w:lang w:val="sk-SK"/>
        </w:rPr>
      </w:pPr>
    </w:p>
    <w:p w:rsidR="0089585D" w:rsidRPr="00E25200" w:rsidRDefault="00E25200">
      <w:pPr>
        <w:rPr>
          <w:caps/>
          <w:sz w:val="22"/>
          <w:szCs w:val="22"/>
          <w:lang w:val="sk-SK"/>
        </w:rPr>
      </w:pPr>
      <w:r>
        <w:rPr>
          <w:sz w:val="22"/>
          <w:szCs w:val="22"/>
          <w:lang w:val="sk-SK"/>
        </w:rPr>
        <w:t>08/2018</w:t>
      </w:r>
    </w:p>
    <w:p w:rsidR="0089585D" w:rsidRPr="00514194" w:rsidRDefault="0089585D">
      <w:pPr>
        <w:rPr>
          <w:caps/>
          <w:sz w:val="22"/>
          <w:szCs w:val="22"/>
          <w:lang w:val="sk-SK"/>
        </w:rPr>
      </w:pPr>
    </w:p>
    <w:sectPr w:rsidR="0089585D" w:rsidRPr="00514194" w:rsidSect="00F435BD">
      <w:headerReference w:type="default" r:id="rId8"/>
      <w:footerReference w:type="even" r:id="rId9"/>
      <w:footerReference w:type="default" r:id="rId10"/>
      <w:headerReference w:type="first" r:id="rId11"/>
      <w:footerReference w:type="first" r:id="rId12"/>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E46" w:rsidRDefault="008C0E46">
      <w:r>
        <w:separator/>
      </w:r>
    </w:p>
  </w:endnote>
  <w:endnote w:type="continuationSeparator" w:id="0">
    <w:p w:rsidR="008C0E46" w:rsidRDefault="008C0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85D" w:rsidRDefault="0089585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89585D" w:rsidRDefault="0089585D">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85D" w:rsidRPr="00FE2E97" w:rsidRDefault="0089585D" w:rsidP="00F435BD">
    <w:pPr>
      <w:pStyle w:val="Pta"/>
      <w:framePr w:wrap="around" w:vAnchor="text" w:hAnchor="margin" w:xAlign="center" w:y="1"/>
      <w:jc w:val="center"/>
      <w:rPr>
        <w:rStyle w:val="slostrany"/>
        <w:sz w:val="18"/>
        <w:szCs w:val="18"/>
      </w:rPr>
    </w:pPr>
    <w:r w:rsidRPr="00FE2E97">
      <w:rPr>
        <w:rStyle w:val="slostrany"/>
        <w:sz w:val="18"/>
        <w:szCs w:val="18"/>
      </w:rPr>
      <w:fldChar w:fldCharType="begin"/>
    </w:r>
    <w:r w:rsidRPr="00FE2E97">
      <w:rPr>
        <w:rStyle w:val="slostrany"/>
        <w:sz w:val="18"/>
        <w:szCs w:val="18"/>
      </w:rPr>
      <w:instrText xml:space="preserve">PAGE  </w:instrText>
    </w:r>
    <w:r w:rsidRPr="00F435BD">
      <w:rPr>
        <w:rStyle w:val="slostrany"/>
        <w:sz w:val="18"/>
        <w:szCs w:val="18"/>
      </w:rPr>
      <w:fldChar w:fldCharType="separate"/>
    </w:r>
    <w:r w:rsidR="00F435BD">
      <w:rPr>
        <w:rStyle w:val="slostrany"/>
        <w:noProof/>
        <w:sz w:val="18"/>
        <w:szCs w:val="18"/>
      </w:rPr>
      <w:t>5</w:t>
    </w:r>
    <w:r w:rsidRPr="00FE2E97">
      <w:rPr>
        <w:rStyle w:val="slostrany"/>
        <w:sz w:val="18"/>
        <w:szCs w:val="18"/>
      </w:rPr>
      <w:fldChar w:fldCharType="end"/>
    </w:r>
  </w:p>
  <w:p w:rsidR="0089585D" w:rsidRDefault="0089585D">
    <w:pPr>
      <w:pStyle w:val="Pta"/>
      <w:rPr>
        <w:rFonts w:ascii="Arial" w:hAnsi="Arial"/>
        <w:sz w:val="16"/>
        <w:lang w:val="sv-S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85D" w:rsidRPr="00903255" w:rsidRDefault="0089585D">
    <w:pPr>
      <w:pStyle w:val="Pta"/>
      <w:framePr w:wrap="around" w:vAnchor="text" w:hAnchor="margin" w:xAlign="center" w:y="1"/>
      <w:rPr>
        <w:rStyle w:val="slostrany"/>
        <w:sz w:val="18"/>
        <w:szCs w:val="18"/>
      </w:rPr>
    </w:pPr>
    <w:r w:rsidRPr="00903255">
      <w:rPr>
        <w:rStyle w:val="slostrany"/>
        <w:sz w:val="18"/>
        <w:szCs w:val="18"/>
      </w:rPr>
      <w:fldChar w:fldCharType="begin"/>
    </w:r>
    <w:r w:rsidRPr="00903255">
      <w:rPr>
        <w:rStyle w:val="slostrany"/>
        <w:sz w:val="18"/>
        <w:szCs w:val="18"/>
      </w:rPr>
      <w:instrText xml:space="preserve">PAGE  </w:instrText>
    </w:r>
    <w:r w:rsidRPr="00903255">
      <w:rPr>
        <w:rStyle w:val="slostrany"/>
        <w:sz w:val="18"/>
        <w:szCs w:val="18"/>
      </w:rPr>
      <w:fldChar w:fldCharType="separate"/>
    </w:r>
    <w:r w:rsidR="00FE2E97">
      <w:rPr>
        <w:rStyle w:val="slostrany"/>
        <w:noProof/>
        <w:sz w:val="18"/>
        <w:szCs w:val="18"/>
      </w:rPr>
      <w:t>1</w:t>
    </w:r>
    <w:r w:rsidRPr="00903255">
      <w:rPr>
        <w:rStyle w:val="slostrany"/>
        <w:sz w:val="18"/>
        <w:szCs w:val="18"/>
      </w:rPr>
      <w:fldChar w:fldCharType="end"/>
    </w:r>
  </w:p>
  <w:p w:rsidR="0089585D" w:rsidRDefault="0089585D" w:rsidP="009C22B6">
    <w:pPr>
      <w:pStyle w:val="Pta"/>
      <w:tabs>
        <w:tab w:val="left" w:pos="9030"/>
      </w:tabs>
      <w:rPr>
        <w:rFonts w:ascii="Arial" w:hAnsi="Arial"/>
        <w:b/>
        <w:bCs/>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E46" w:rsidRDefault="008C0E46">
      <w:r>
        <w:separator/>
      </w:r>
    </w:p>
  </w:footnote>
  <w:footnote w:type="continuationSeparator" w:id="0">
    <w:p w:rsidR="008C0E46" w:rsidRDefault="008C0E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7A8" w:rsidRDefault="00B117A8" w:rsidP="00B117A8">
    <w:pPr>
      <w:pStyle w:val="Hlavika"/>
      <w:rPr>
        <w:sz w:val="18"/>
        <w:szCs w:val="18"/>
      </w:rPr>
    </w:pPr>
    <w:r w:rsidRPr="00FE2E97">
      <w:rPr>
        <w:sz w:val="18"/>
        <w:szCs w:val="18"/>
      </w:rPr>
      <w:t>Schválený text k rozhodnutiu o prevode, ev.</w:t>
    </w:r>
    <w:r w:rsidR="00FE2E97" w:rsidRPr="00FE2E97">
      <w:rPr>
        <w:sz w:val="18"/>
        <w:szCs w:val="18"/>
      </w:rPr>
      <w:t xml:space="preserve"> </w:t>
    </w:r>
    <w:r w:rsidRPr="00FE2E97">
      <w:rPr>
        <w:sz w:val="18"/>
        <w:szCs w:val="18"/>
      </w:rPr>
      <w:t>č.:</w:t>
    </w:r>
    <w:r w:rsidR="00FE2E97" w:rsidRPr="00F435BD">
      <w:rPr>
        <w:sz w:val="18"/>
        <w:szCs w:val="18"/>
      </w:rPr>
      <w:t xml:space="preserve"> </w:t>
    </w:r>
    <w:r w:rsidR="00FE2E97" w:rsidRPr="00FE2E97">
      <w:rPr>
        <w:sz w:val="18"/>
        <w:szCs w:val="18"/>
      </w:rPr>
      <w:t>2018/04066-TR</w:t>
    </w:r>
  </w:p>
  <w:p w:rsidR="00FE2E97" w:rsidRDefault="00FE2E97" w:rsidP="00B117A8">
    <w:pPr>
      <w:pStyle w:val="Hlavika"/>
      <w:rPr>
        <w:sz w:val="18"/>
        <w:szCs w:val="18"/>
      </w:rPr>
    </w:pPr>
  </w:p>
  <w:p w:rsidR="00E17CA8" w:rsidRPr="00F435BD" w:rsidRDefault="00E17CA8" w:rsidP="00FE2E97">
    <w:pPr>
      <w:pStyle w:val="Hlavika"/>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7A8" w:rsidRPr="00550668" w:rsidRDefault="00B117A8" w:rsidP="00B117A8">
    <w:pPr>
      <w:pStyle w:val="Hlavika"/>
      <w:rPr>
        <w:sz w:val="18"/>
        <w:szCs w:val="18"/>
      </w:rPr>
    </w:pPr>
    <w:r w:rsidRPr="00550668">
      <w:rPr>
        <w:sz w:val="18"/>
        <w:szCs w:val="18"/>
      </w:rPr>
      <w:t>Schválený text k rozhodnutiu o prevode, ev.č.:</w:t>
    </w:r>
  </w:p>
  <w:p w:rsidR="0089585D" w:rsidRPr="00622250" w:rsidRDefault="0089585D" w:rsidP="00B2253B">
    <w:pPr>
      <w:pStyle w:val="Hlavika"/>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3644E"/>
    <w:multiLevelType w:val="singleLevel"/>
    <w:tmpl w:val="84181820"/>
    <w:lvl w:ilvl="0">
      <w:start w:val="9"/>
      <w:numFmt w:val="decimal"/>
      <w:lvlText w:val="%1."/>
      <w:lvlJc w:val="left"/>
      <w:pPr>
        <w:tabs>
          <w:tab w:val="num" w:pos="720"/>
        </w:tabs>
        <w:ind w:left="720" w:hanging="720"/>
      </w:pPr>
      <w:rPr>
        <w:rFonts w:cs="Times New Roman" w:hint="default"/>
      </w:rPr>
    </w:lvl>
  </w:abstractNum>
  <w:abstractNum w:abstractNumId="1" w15:restartNumberingAfterBreak="0">
    <w:nsid w:val="0AB608CE"/>
    <w:multiLevelType w:val="multilevel"/>
    <w:tmpl w:val="2A7E9EFA"/>
    <w:lvl w:ilvl="0">
      <w:start w:val="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0001141"/>
    <w:multiLevelType w:val="singleLevel"/>
    <w:tmpl w:val="0C09000F"/>
    <w:lvl w:ilvl="0">
      <w:start w:val="1"/>
      <w:numFmt w:val="decimal"/>
      <w:lvlText w:val="%1."/>
      <w:lvlJc w:val="left"/>
      <w:pPr>
        <w:tabs>
          <w:tab w:val="num" w:pos="360"/>
        </w:tabs>
        <w:ind w:left="360" w:hanging="360"/>
      </w:pPr>
      <w:rPr>
        <w:rFonts w:cs="Times New Roman"/>
      </w:rPr>
    </w:lvl>
  </w:abstractNum>
  <w:abstractNum w:abstractNumId="3" w15:restartNumberingAfterBreak="0">
    <w:nsid w:val="122957AC"/>
    <w:multiLevelType w:val="hybridMultilevel"/>
    <w:tmpl w:val="5AFAA308"/>
    <w:lvl w:ilvl="0" w:tplc="04090005">
      <w:start w:val="1"/>
      <w:numFmt w:val="bullet"/>
      <w:lvlText w:val=""/>
      <w:lvlJc w:val="left"/>
      <w:pPr>
        <w:tabs>
          <w:tab w:val="num" w:pos="1069"/>
        </w:tabs>
        <w:ind w:left="1069" w:hanging="360"/>
      </w:pPr>
      <w:rPr>
        <w:rFonts w:ascii="Wingdings" w:hAnsi="Wingdings"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18412E7B"/>
    <w:multiLevelType w:val="multilevel"/>
    <w:tmpl w:val="312E31D0"/>
    <w:lvl w:ilvl="0">
      <w:start w:val="6"/>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2286450"/>
    <w:multiLevelType w:val="multilevel"/>
    <w:tmpl w:val="D292C462"/>
    <w:lvl w:ilvl="0">
      <w:start w:val="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DF517B9"/>
    <w:multiLevelType w:val="multilevel"/>
    <w:tmpl w:val="93F00B90"/>
    <w:lvl w:ilvl="0">
      <w:start w:val="6"/>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47D1731A"/>
    <w:multiLevelType w:val="multilevel"/>
    <w:tmpl w:val="11843C0A"/>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B4C5900"/>
    <w:multiLevelType w:val="multilevel"/>
    <w:tmpl w:val="B04A93AC"/>
    <w:lvl w:ilvl="0">
      <w:start w:val="4"/>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5A6D4057"/>
    <w:multiLevelType w:val="multilevel"/>
    <w:tmpl w:val="199028B8"/>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5D315CB8"/>
    <w:multiLevelType w:val="multilevel"/>
    <w:tmpl w:val="F7FC3BB0"/>
    <w:lvl w:ilvl="0">
      <w:start w:val="1"/>
      <w:numFmt w:val="decimal"/>
      <w:lvlText w:val="%1."/>
      <w:lvlJc w:val="left"/>
      <w:pPr>
        <w:tabs>
          <w:tab w:val="num" w:pos="360"/>
        </w:tabs>
        <w:ind w:left="360" w:hanging="360"/>
      </w:pPr>
      <w:rPr>
        <w:rFonts w:cs="Times New Roman" w:hint="default"/>
        <w:b/>
      </w:rPr>
    </w:lvl>
    <w:lvl w:ilvl="1">
      <w:start w:val="2"/>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1" w15:restartNumberingAfterBreak="0">
    <w:nsid w:val="65A65F53"/>
    <w:multiLevelType w:val="hybridMultilevel"/>
    <w:tmpl w:val="650C130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2" w15:restartNumberingAfterBreak="0">
    <w:nsid w:val="6A6274D7"/>
    <w:multiLevelType w:val="multilevel"/>
    <w:tmpl w:val="3836F38A"/>
    <w:lvl w:ilvl="0">
      <w:start w:val="4"/>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6A6860DA"/>
    <w:multiLevelType w:val="multilevel"/>
    <w:tmpl w:val="312E31D0"/>
    <w:lvl w:ilvl="0">
      <w:start w:val="6"/>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728D63B2"/>
    <w:multiLevelType w:val="hybridMultilevel"/>
    <w:tmpl w:val="811C8374"/>
    <w:lvl w:ilvl="0" w:tplc="BBC4CD1A">
      <w:start w:val="1"/>
      <w:numFmt w:val="bullet"/>
      <w:pStyle w:val="EUBullet"/>
      <w:lvlText w:val="-"/>
      <w:lvlJc w:val="left"/>
      <w:pPr>
        <w:tabs>
          <w:tab w:val="num" w:pos="1134"/>
        </w:tabs>
        <w:ind w:left="1134" w:hanging="567"/>
      </w:pPr>
      <w:rPr>
        <w:rFonts w:ascii="Times New Roman" w:hAnsi="Times New Roman" w:hint="default"/>
        <w:b w:val="0"/>
        <w:i w:val="0"/>
        <w:sz w:val="22"/>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73D74B15"/>
    <w:multiLevelType w:val="multilevel"/>
    <w:tmpl w:val="10862BC8"/>
    <w:lvl w:ilvl="0">
      <w:start w:val="5"/>
      <w:numFmt w:val="decimal"/>
      <w:lvlText w:val="%1."/>
      <w:lvlJc w:val="left"/>
      <w:pPr>
        <w:tabs>
          <w:tab w:val="num" w:pos="675"/>
        </w:tabs>
        <w:ind w:left="675" w:hanging="675"/>
      </w:pPr>
      <w:rPr>
        <w:rFonts w:cs="Times New Roman" w:hint="default"/>
      </w:rPr>
    </w:lvl>
    <w:lvl w:ilvl="1">
      <w:start w:val="2"/>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7E640D76"/>
    <w:multiLevelType w:val="multilevel"/>
    <w:tmpl w:val="BBEA7084"/>
    <w:lvl w:ilvl="0">
      <w:start w:val="5"/>
      <w:numFmt w:val="decimal"/>
      <w:lvlText w:val="%1."/>
      <w:lvlJc w:val="left"/>
      <w:pPr>
        <w:tabs>
          <w:tab w:val="num" w:pos="675"/>
        </w:tabs>
        <w:ind w:left="675" w:hanging="675"/>
      </w:pPr>
      <w:rPr>
        <w:rFonts w:cs="Times New Roman" w:hint="default"/>
      </w:rPr>
    </w:lvl>
    <w:lvl w:ilvl="1">
      <w:start w:val="2"/>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3"/>
  </w:num>
  <w:num w:numId="2">
    <w:abstractNumId w:val="0"/>
  </w:num>
  <w:num w:numId="3">
    <w:abstractNumId w:val="7"/>
  </w:num>
  <w:num w:numId="4">
    <w:abstractNumId w:val="16"/>
  </w:num>
  <w:num w:numId="5">
    <w:abstractNumId w:val="1"/>
  </w:num>
  <w:num w:numId="6">
    <w:abstractNumId w:val="8"/>
  </w:num>
  <w:num w:numId="7">
    <w:abstractNumId w:val="10"/>
  </w:num>
  <w:num w:numId="8">
    <w:abstractNumId w:val="2"/>
  </w:num>
  <w:num w:numId="9">
    <w:abstractNumId w:val="3"/>
  </w:num>
  <w:num w:numId="10">
    <w:abstractNumId w:val="11"/>
  </w:num>
  <w:num w:numId="11">
    <w:abstractNumId w:val="9"/>
  </w:num>
  <w:num w:numId="12">
    <w:abstractNumId w:val="12"/>
  </w:num>
  <w:num w:numId="13">
    <w:abstractNumId w:val="15"/>
  </w:num>
  <w:num w:numId="14">
    <w:abstractNumId w:val="5"/>
  </w:num>
  <w:num w:numId="15">
    <w:abstractNumId w:val="6"/>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972"/>
    <w:rsid w:val="00023B39"/>
    <w:rsid w:val="000347F8"/>
    <w:rsid w:val="000424A1"/>
    <w:rsid w:val="00043C0B"/>
    <w:rsid w:val="00053832"/>
    <w:rsid w:val="000625E7"/>
    <w:rsid w:val="00067AD5"/>
    <w:rsid w:val="000829F5"/>
    <w:rsid w:val="0009158F"/>
    <w:rsid w:val="000C1B98"/>
    <w:rsid w:val="00105334"/>
    <w:rsid w:val="00105DDC"/>
    <w:rsid w:val="001329DB"/>
    <w:rsid w:val="00152929"/>
    <w:rsid w:val="00166505"/>
    <w:rsid w:val="00167204"/>
    <w:rsid w:val="00170F9F"/>
    <w:rsid w:val="00190EC4"/>
    <w:rsid w:val="001C0E8B"/>
    <w:rsid w:val="001C1D43"/>
    <w:rsid w:val="001F6715"/>
    <w:rsid w:val="00217881"/>
    <w:rsid w:val="00220FA1"/>
    <w:rsid w:val="002342A4"/>
    <w:rsid w:val="0023796A"/>
    <w:rsid w:val="00273090"/>
    <w:rsid w:val="00280964"/>
    <w:rsid w:val="00293C2B"/>
    <w:rsid w:val="00296A02"/>
    <w:rsid w:val="002A0492"/>
    <w:rsid w:val="002A672A"/>
    <w:rsid w:val="002B2B4C"/>
    <w:rsid w:val="002D1B3F"/>
    <w:rsid w:val="00303484"/>
    <w:rsid w:val="0032471A"/>
    <w:rsid w:val="0034183B"/>
    <w:rsid w:val="00361CE8"/>
    <w:rsid w:val="00366972"/>
    <w:rsid w:val="003812AD"/>
    <w:rsid w:val="00390B1D"/>
    <w:rsid w:val="003976C7"/>
    <w:rsid w:val="003B21DE"/>
    <w:rsid w:val="003E6A96"/>
    <w:rsid w:val="00405F57"/>
    <w:rsid w:val="004119B4"/>
    <w:rsid w:val="0042329D"/>
    <w:rsid w:val="00463044"/>
    <w:rsid w:val="0048199C"/>
    <w:rsid w:val="0049136B"/>
    <w:rsid w:val="004C32ED"/>
    <w:rsid w:val="00514194"/>
    <w:rsid w:val="005328F0"/>
    <w:rsid w:val="005467E0"/>
    <w:rsid w:val="00551AB2"/>
    <w:rsid w:val="0056165C"/>
    <w:rsid w:val="005B3FE8"/>
    <w:rsid w:val="005C4C3A"/>
    <w:rsid w:val="005C6C56"/>
    <w:rsid w:val="005F36A2"/>
    <w:rsid w:val="00622250"/>
    <w:rsid w:val="006408DB"/>
    <w:rsid w:val="006477F3"/>
    <w:rsid w:val="00652976"/>
    <w:rsid w:val="006810F6"/>
    <w:rsid w:val="006B09B1"/>
    <w:rsid w:val="006B4739"/>
    <w:rsid w:val="006C7E29"/>
    <w:rsid w:val="006D438C"/>
    <w:rsid w:val="006E3A6E"/>
    <w:rsid w:val="00710223"/>
    <w:rsid w:val="00725F84"/>
    <w:rsid w:val="007267B5"/>
    <w:rsid w:val="0076795A"/>
    <w:rsid w:val="00775A28"/>
    <w:rsid w:val="007E1AF5"/>
    <w:rsid w:val="00841FF7"/>
    <w:rsid w:val="00872647"/>
    <w:rsid w:val="00876C03"/>
    <w:rsid w:val="00894125"/>
    <w:rsid w:val="0089585D"/>
    <w:rsid w:val="008A2BBD"/>
    <w:rsid w:val="008B7571"/>
    <w:rsid w:val="008C0E46"/>
    <w:rsid w:val="008D1272"/>
    <w:rsid w:val="008D4D0D"/>
    <w:rsid w:val="00903255"/>
    <w:rsid w:val="00915B83"/>
    <w:rsid w:val="0092711E"/>
    <w:rsid w:val="009869AC"/>
    <w:rsid w:val="009A7EC8"/>
    <w:rsid w:val="009B0214"/>
    <w:rsid w:val="009C22B6"/>
    <w:rsid w:val="009D6BAD"/>
    <w:rsid w:val="009D7DA0"/>
    <w:rsid w:val="009E7389"/>
    <w:rsid w:val="00A31253"/>
    <w:rsid w:val="00A6651B"/>
    <w:rsid w:val="00AB34E2"/>
    <w:rsid w:val="00AC56A4"/>
    <w:rsid w:val="00B117A8"/>
    <w:rsid w:val="00B13C2D"/>
    <w:rsid w:val="00B2253B"/>
    <w:rsid w:val="00B3223D"/>
    <w:rsid w:val="00B322F5"/>
    <w:rsid w:val="00B86B26"/>
    <w:rsid w:val="00BB1AA4"/>
    <w:rsid w:val="00BB1D3A"/>
    <w:rsid w:val="00C120FD"/>
    <w:rsid w:val="00C13557"/>
    <w:rsid w:val="00C23C85"/>
    <w:rsid w:val="00C413E6"/>
    <w:rsid w:val="00C505C5"/>
    <w:rsid w:val="00C6298B"/>
    <w:rsid w:val="00CA7A1A"/>
    <w:rsid w:val="00CE6521"/>
    <w:rsid w:val="00D13C80"/>
    <w:rsid w:val="00D13DDC"/>
    <w:rsid w:val="00D1590D"/>
    <w:rsid w:val="00D35ADB"/>
    <w:rsid w:val="00D45FE5"/>
    <w:rsid w:val="00D632BC"/>
    <w:rsid w:val="00D835E1"/>
    <w:rsid w:val="00DA6E6D"/>
    <w:rsid w:val="00DF49F5"/>
    <w:rsid w:val="00E17CA8"/>
    <w:rsid w:val="00E25200"/>
    <w:rsid w:val="00E35A77"/>
    <w:rsid w:val="00E70E5C"/>
    <w:rsid w:val="00EB4590"/>
    <w:rsid w:val="00EE0A8E"/>
    <w:rsid w:val="00F435BD"/>
    <w:rsid w:val="00F51DC1"/>
    <w:rsid w:val="00F5599A"/>
    <w:rsid w:val="00F90986"/>
    <w:rsid w:val="00F90BD2"/>
    <w:rsid w:val="00FC5F1B"/>
    <w:rsid w:val="00FC672D"/>
    <w:rsid w:val="00FD1F79"/>
    <w:rsid w:val="00FE2E97"/>
    <w:rsid w:val="00FF4A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7575EE6-4CBC-4DC3-9E76-B0316002A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4183B"/>
    <w:rPr>
      <w:sz w:val="24"/>
      <w:szCs w:val="20"/>
      <w:lang w:val="en-US" w:eastAsia="en-US"/>
    </w:rPr>
  </w:style>
  <w:style w:type="paragraph" w:styleId="Nadpis1">
    <w:name w:val="heading 1"/>
    <w:aliases w:val="Arial 14 Fett"/>
    <w:basedOn w:val="Normlny"/>
    <w:next w:val="Normlny"/>
    <w:link w:val="Nadpis1Char"/>
    <w:uiPriority w:val="99"/>
    <w:qFormat/>
    <w:rsid w:val="0034183B"/>
    <w:pPr>
      <w:keepNext/>
      <w:spacing w:before="240" w:after="60"/>
      <w:outlineLvl w:val="0"/>
    </w:pPr>
    <w:rPr>
      <w:rFonts w:ascii="Arial" w:hAnsi="Arial"/>
      <w:b/>
      <w:kern w:val="28"/>
      <w:sz w:val="28"/>
    </w:rPr>
  </w:style>
  <w:style w:type="paragraph" w:styleId="Nadpis2">
    <w:name w:val="heading 2"/>
    <w:aliases w:val="Arial 12 Fett Kursiv"/>
    <w:basedOn w:val="Normlny"/>
    <w:next w:val="Normlny"/>
    <w:link w:val="Nadpis2Char"/>
    <w:uiPriority w:val="99"/>
    <w:qFormat/>
    <w:rsid w:val="0034183B"/>
    <w:pPr>
      <w:keepNext/>
      <w:spacing w:before="240" w:after="60"/>
      <w:outlineLvl w:val="1"/>
    </w:pPr>
    <w:rPr>
      <w:rFonts w:ascii="Arial" w:hAnsi="Arial"/>
      <w:b/>
      <w:i/>
    </w:rPr>
  </w:style>
  <w:style w:type="paragraph" w:styleId="Nadpis3">
    <w:name w:val="heading 3"/>
    <w:aliases w:val="Arial 12 Fett"/>
    <w:basedOn w:val="Normlny"/>
    <w:next w:val="Normlny"/>
    <w:link w:val="Nadpis3Char"/>
    <w:uiPriority w:val="99"/>
    <w:qFormat/>
    <w:rsid w:val="0034183B"/>
    <w:pPr>
      <w:keepNext/>
      <w:spacing w:before="240" w:after="60"/>
      <w:outlineLvl w:val="2"/>
    </w:pPr>
    <w:rPr>
      <w:rFonts w:ascii="Arial" w:hAnsi="Arial"/>
      <w:b/>
    </w:rPr>
  </w:style>
  <w:style w:type="paragraph" w:styleId="Nadpis4">
    <w:name w:val="heading 4"/>
    <w:basedOn w:val="Normlny"/>
    <w:next w:val="Normlny"/>
    <w:link w:val="Nadpis4Char"/>
    <w:uiPriority w:val="99"/>
    <w:qFormat/>
    <w:rsid w:val="0034183B"/>
    <w:pPr>
      <w:keepNext/>
      <w:ind w:firstLine="705"/>
      <w:outlineLvl w:val="3"/>
    </w:pPr>
    <w:rPr>
      <w:rFonts w:ascii="Arial" w:hAnsi="Arial"/>
      <w:sz w:val="28"/>
    </w:rPr>
  </w:style>
  <w:style w:type="paragraph" w:styleId="Nadpis5">
    <w:name w:val="heading 5"/>
    <w:basedOn w:val="Normlny"/>
    <w:next w:val="Normlny"/>
    <w:link w:val="Nadpis5Char"/>
    <w:uiPriority w:val="99"/>
    <w:qFormat/>
    <w:rsid w:val="0034183B"/>
    <w:pPr>
      <w:keepNext/>
      <w:ind w:left="709" w:hanging="1"/>
      <w:outlineLvl w:val="4"/>
    </w:pPr>
    <w:rPr>
      <w:b/>
      <w:i/>
    </w:rPr>
  </w:style>
  <w:style w:type="paragraph" w:styleId="Nadpis6">
    <w:name w:val="heading 6"/>
    <w:basedOn w:val="Normlny"/>
    <w:next w:val="Normlny"/>
    <w:link w:val="Nadpis6Char"/>
    <w:uiPriority w:val="99"/>
    <w:qFormat/>
    <w:rsid w:val="0034183B"/>
    <w:pPr>
      <w:keepNext/>
      <w:ind w:left="2" w:hanging="1"/>
      <w:jc w:val="both"/>
      <w:outlineLvl w:val="5"/>
    </w:pPr>
    <w:rPr>
      <w:i/>
      <w:sz w:val="22"/>
    </w:rPr>
  </w:style>
  <w:style w:type="paragraph" w:styleId="Nadpis7">
    <w:name w:val="heading 7"/>
    <w:basedOn w:val="Normlny"/>
    <w:next w:val="Normlny"/>
    <w:link w:val="Nadpis7Char"/>
    <w:uiPriority w:val="99"/>
    <w:qFormat/>
    <w:rsid w:val="0034183B"/>
    <w:pPr>
      <w:keepNext/>
      <w:ind w:left="1" w:hanging="1"/>
      <w:jc w:val="both"/>
      <w:outlineLvl w:val="6"/>
    </w:pPr>
    <w:rPr>
      <w:b/>
      <w:i/>
      <w:sz w:val="22"/>
    </w:rPr>
  </w:style>
  <w:style w:type="paragraph" w:styleId="Nadpis8">
    <w:name w:val="heading 8"/>
    <w:basedOn w:val="Normlny"/>
    <w:next w:val="Normlny"/>
    <w:link w:val="Nadpis8Char"/>
    <w:uiPriority w:val="99"/>
    <w:qFormat/>
    <w:rsid w:val="0034183B"/>
    <w:pPr>
      <w:keepNext/>
      <w:ind w:left="2" w:hanging="1"/>
      <w:jc w:val="both"/>
      <w:outlineLvl w:val="7"/>
    </w:pPr>
    <w:rPr>
      <w:b/>
      <w:i/>
      <w:sz w:val="22"/>
    </w:rPr>
  </w:style>
  <w:style w:type="paragraph" w:styleId="Nadpis9">
    <w:name w:val="heading 9"/>
    <w:basedOn w:val="Normlny"/>
    <w:next w:val="Normlny"/>
    <w:link w:val="Nadpis9Char"/>
    <w:uiPriority w:val="99"/>
    <w:qFormat/>
    <w:rsid w:val="0034183B"/>
    <w:pPr>
      <w:keepNext/>
      <w:ind w:left="709" w:hanging="709"/>
      <w:jc w:val="both"/>
      <w:outlineLvl w:val="8"/>
    </w:pPr>
    <w:rPr>
      <w:b/>
      <w:i/>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Arial 14 Fett Char"/>
    <w:basedOn w:val="Predvolenpsmoodseku"/>
    <w:link w:val="Nadpis1"/>
    <w:uiPriority w:val="9"/>
    <w:rsid w:val="00380204"/>
    <w:rPr>
      <w:rFonts w:asciiTheme="majorHAnsi" w:eastAsiaTheme="majorEastAsia" w:hAnsiTheme="majorHAnsi" w:cstheme="majorBidi"/>
      <w:b/>
      <w:bCs/>
      <w:kern w:val="32"/>
      <w:sz w:val="32"/>
      <w:szCs w:val="32"/>
      <w:lang w:val="en-US" w:eastAsia="en-US"/>
    </w:rPr>
  </w:style>
  <w:style w:type="character" w:customStyle="1" w:styleId="Nadpis2Char">
    <w:name w:val="Nadpis 2 Char"/>
    <w:aliases w:val="Arial 12 Fett Kursiv Char"/>
    <w:basedOn w:val="Predvolenpsmoodseku"/>
    <w:link w:val="Nadpis2"/>
    <w:uiPriority w:val="9"/>
    <w:semiHidden/>
    <w:rsid w:val="00380204"/>
    <w:rPr>
      <w:rFonts w:asciiTheme="majorHAnsi" w:eastAsiaTheme="majorEastAsia" w:hAnsiTheme="majorHAnsi" w:cstheme="majorBidi"/>
      <w:b/>
      <w:bCs/>
      <w:i/>
      <w:iCs/>
      <w:sz w:val="28"/>
      <w:szCs w:val="28"/>
      <w:lang w:val="en-US" w:eastAsia="en-US"/>
    </w:rPr>
  </w:style>
  <w:style w:type="character" w:customStyle="1" w:styleId="Nadpis3Char">
    <w:name w:val="Nadpis 3 Char"/>
    <w:aliases w:val="Arial 12 Fett Char"/>
    <w:basedOn w:val="Predvolenpsmoodseku"/>
    <w:link w:val="Nadpis3"/>
    <w:uiPriority w:val="9"/>
    <w:semiHidden/>
    <w:rsid w:val="00380204"/>
    <w:rPr>
      <w:rFonts w:asciiTheme="majorHAnsi" w:eastAsiaTheme="majorEastAsia" w:hAnsiTheme="majorHAnsi" w:cstheme="majorBidi"/>
      <w:b/>
      <w:bCs/>
      <w:sz w:val="26"/>
      <w:szCs w:val="26"/>
      <w:lang w:val="en-US" w:eastAsia="en-US"/>
    </w:rPr>
  </w:style>
  <w:style w:type="character" w:customStyle="1" w:styleId="Nadpis4Char">
    <w:name w:val="Nadpis 4 Char"/>
    <w:basedOn w:val="Predvolenpsmoodseku"/>
    <w:link w:val="Nadpis4"/>
    <w:uiPriority w:val="9"/>
    <w:semiHidden/>
    <w:rsid w:val="00380204"/>
    <w:rPr>
      <w:rFonts w:asciiTheme="minorHAnsi" w:eastAsiaTheme="minorEastAsia" w:hAnsiTheme="minorHAnsi" w:cstheme="minorBidi"/>
      <w:b/>
      <w:bCs/>
      <w:sz w:val="28"/>
      <w:szCs w:val="28"/>
      <w:lang w:val="en-US" w:eastAsia="en-US"/>
    </w:rPr>
  </w:style>
  <w:style w:type="character" w:customStyle="1" w:styleId="Nadpis5Char">
    <w:name w:val="Nadpis 5 Char"/>
    <w:basedOn w:val="Predvolenpsmoodseku"/>
    <w:link w:val="Nadpis5"/>
    <w:uiPriority w:val="9"/>
    <w:semiHidden/>
    <w:rsid w:val="00380204"/>
    <w:rPr>
      <w:rFonts w:asciiTheme="minorHAnsi" w:eastAsiaTheme="minorEastAsia" w:hAnsiTheme="minorHAnsi" w:cstheme="minorBidi"/>
      <w:b/>
      <w:bCs/>
      <w:i/>
      <w:iCs/>
      <w:sz w:val="26"/>
      <w:szCs w:val="26"/>
      <w:lang w:val="en-US" w:eastAsia="en-US"/>
    </w:rPr>
  </w:style>
  <w:style w:type="character" w:customStyle="1" w:styleId="Nadpis6Char">
    <w:name w:val="Nadpis 6 Char"/>
    <w:basedOn w:val="Predvolenpsmoodseku"/>
    <w:link w:val="Nadpis6"/>
    <w:uiPriority w:val="9"/>
    <w:semiHidden/>
    <w:rsid w:val="00380204"/>
    <w:rPr>
      <w:rFonts w:asciiTheme="minorHAnsi" w:eastAsiaTheme="minorEastAsia" w:hAnsiTheme="minorHAnsi" w:cstheme="minorBidi"/>
      <w:b/>
      <w:bCs/>
      <w:lang w:val="en-US" w:eastAsia="en-US"/>
    </w:rPr>
  </w:style>
  <w:style w:type="character" w:customStyle="1" w:styleId="Nadpis7Char">
    <w:name w:val="Nadpis 7 Char"/>
    <w:basedOn w:val="Predvolenpsmoodseku"/>
    <w:link w:val="Nadpis7"/>
    <w:uiPriority w:val="9"/>
    <w:semiHidden/>
    <w:rsid w:val="00380204"/>
    <w:rPr>
      <w:rFonts w:asciiTheme="minorHAnsi" w:eastAsiaTheme="minorEastAsia" w:hAnsiTheme="minorHAnsi" w:cstheme="minorBidi"/>
      <w:sz w:val="24"/>
      <w:szCs w:val="24"/>
      <w:lang w:val="en-US" w:eastAsia="en-US"/>
    </w:rPr>
  </w:style>
  <w:style w:type="character" w:customStyle="1" w:styleId="Nadpis8Char">
    <w:name w:val="Nadpis 8 Char"/>
    <w:basedOn w:val="Predvolenpsmoodseku"/>
    <w:link w:val="Nadpis8"/>
    <w:uiPriority w:val="9"/>
    <w:semiHidden/>
    <w:rsid w:val="00380204"/>
    <w:rPr>
      <w:rFonts w:asciiTheme="minorHAnsi" w:eastAsiaTheme="minorEastAsia" w:hAnsiTheme="minorHAnsi" w:cstheme="minorBidi"/>
      <w:i/>
      <w:iCs/>
      <w:sz w:val="24"/>
      <w:szCs w:val="24"/>
      <w:lang w:val="en-US" w:eastAsia="en-US"/>
    </w:rPr>
  </w:style>
  <w:style w:type="character" w:customStyle="1" w:styleId="Nadpis9Char">
    <w:name w:val="Nadpis 9 Char"/>
    <w:basedOn w:val="Predvolenpsmoodseku"/>
    <w:link w:val="Nadpis9"/>
    <w:uiPriority w:val="9"/>
    <w:semiHidden/>
    <w:rsid w:val="00380204"/>
    <w:rPr>
      <w:rFonts w:asciiTheme="majorHAnsi" w:eastAsiaTheme="majorEastAsia" w:hAnsiTheme="majorHAnsi" w:cstheme="majorBidi"/>
      <w:lang w:val="en-US" w:eastAsia="en-US"/>
    </w:rPr>
  </w:style>
  <w:style w:type="paragraph" w:customStyle="1" w:styleId="Einzug1Zeile">
    <w:name w:val="Einzug 1.Zeile"/>
    <w:basedOn w:val="Normlny"/>
    <w:uiPriority w:val="99"/>
    <w:rsid w:val="0034183B"/>
    <w:pPr>
      <w:ind w:firstLine="709"/>
    </w:pPr>
  </w:style>
  <w:style w:type="paragraph" w:customStyle="1" w:styleId="Einzughngend">
    <w:name w:val="Einzug hängend"/>
    <w:basedOn w:val="Normlny"/>
    <w:next w:val="Normlny"/>
    <w:uiPriority w:val="99"/>
    <w:rsid w:val="0034183B"/>
    <w:pPr>
      <w:ind w:left="709" w:hanging="709"/>
    </w:pPr>
  </w:style>
  <w:style w:type="paragraph" w:customStyle="1" w:styleId="berschriftI">
    <w:name w:val="Überschrift I"/>
    <w:aliases w:val="TR 14 Fett"/>
    <w:basedOn w:val="Normlny"/>
    <w:next w:val="Normlny"/>
    <w:uiPriority w:val="99"/>
    <w:rsid w:val="0034183B"/>
    <w:rPr>
      <w:b/>
      <w:sz w:val="28"/>
    </w:rPr>
  </w:style>
  <w:style w:type="paragraph" w:customStyle="1" w:styleId="berschriftII">
    <w:name w:val="Überschrift II"/>
    <w:aliases w:val="TR 12 Fett Kursiv"/>
    <w:basedOn w:val="Normlny"/>
    <w:next w:val="Normlny"/>
    <w:uiPriority w:val="99"/>
    <w:rsid w:val="0034183B"/>
    <w:rPr>
      <w:b/>
      <w:i/>
    </w:rPr>
  </w:style>
  <w:style w:type="paragraph" w:customStyle="1" w:styleId="berschriftIII">
    <w:name w:val="Überschrift III"/>
    <w:aliases w:val="TR 12 Fett"/>
    <w:basedOn w:val="berschriftII"/>
    <w:next w:val="Normlny"/>
    <w:uiPriority w:val="99"/>
    <w:rsid w:val="0034183B"/>
    <w:rPr>
      <w:i w:val="0"/>
    </w:rPr>
  </w:style>
  <w:style w:type="paragraph" w:styleId="Zkladntext2">
    <w:name w:val="Body Text 2"/>
    <w:basedOn w:val="Normlny"/>
    <w:link w:val="Zkladntext2Char"/>
    <w:uiPriority w:val="99"/>
    <w:rsid w:val="0034183B"/>
    <w:pPr>
      <w:jc w:val="both"/>
    </w:pPr>
    <w:rPr>
      <w:rFonts w:ascii="Arial" w:hAnsi="Arial"/>
      <w:sz w:val="20"/>
    </w:rPr>
  </w:style>
  <w:style w:type="character" w:customStyle="1" w:styleId="Zkladntext2Char">
    <w:name w:val="Základný text 2 Char"/>
    <w:basedOn w:val="Predvolenpsmoodseku"/>
    <w:link w:val="Zkladntext2"/>
    <w:uiPriority w:val="99"/>
    <w:semiHidden/>
    <w:rsid w:val="00380204"/>
    <w:rPr>
      <w:sz w:val="24"/>
      <w:szCs w:val="20"/>
      <w:lang w:val="en-US" w:eastAsia="en-US"/>
    </w:rPr>
  </w:style>
  <w:style w:type="character" w:styleId="Odkaznakomentr">
    <w:name w:val="annotation reference"/>
    <w:basedOn w:val="Predvolenpsmoodseku"/>
    <w:uiPriority w:val="99"/>
    <w:semiHidden/>
    <w:rsid w:val="0034183B"/>
    <w:rPr>
      <w:rFonts w:cs="Times New Roman"/>
      <w:sz w:val="16"/>
    </w:rPr>
  </w:style>
  <w:style w:type="paragraph" w:styleId="Textkomentra">
    <w:name w:val="annotation text"/>
    <w:basedOn w:val="Normlny"/>
    <w:link w:val="TextkomentraChar"/>
    <w:uiPriority w:val="99"/>
    <w:semiHidden/>
    <w:rsid w:val="0034183B"/>
    <w:rPr>
      <w:sz w:val="20"/>
    </w:rPr>
  </w:style>
  <w:style w:type="character" w:customStyle="1" w:styleId="TextkomentraChar">
    <w:name w:val="Text komentára Char"/>
    <w:basedOn w:val="Predvolenpsmoodseku"/>
    <w:link w:val="Textkomentra"/>
    <w:uiPriority w:val="99"/>
    <w:semiHidden/>
    <w:rsid w:val="00380204"/>
    <w:rPr>
      <w:sz w:val="20"/>
      <w:szCs w:val="20"/>
      <w:lang w:val="en-US" w:eastAsia="en-US"/>
    </w:rPr>
  </w:style>
  <w:style w:type="paragraph" w:styleId="Hlavika">
    <w:name w:val="header"/>
    <w:basedOn w:val="Normlny"/>
    <w:link w:val="HlavikaChar"/>
    <w:uiPriority w:val="99"/>
    <w:rsid w:val="0034183B"/>
    <w:pPr>
      <w:tabs>
        <w:tab w:val="center" w:pos="4536"/>
        <w:tab w:val="right" w:pos="9072"/>
      </w:tabs>
    </w:pPr>
  </w:style>
  <w:style w:type="character" w:customStyle="1" w:styleId="HlavikaChar">
    <w:name w:val="Hlavička Char"/>
    <w:basedOn w:val="Predvolenpsmoodseku"/>
    <w:link w:val="Hlavika"/>
    <w:uiPriority w:val="99"/>
    <w:rsid w:val="00380204"/>
    <w:rPr>
      <w:sz w:val="24"/>
      <w:szCs w:val="20"/>
      <w:lang w:val="en-US" w:eastAsia="en-US"/>
    </w:rPr>
  </w:style>
  <w:style w:type="paragraph" w:styleId="Pta">
    <w:name w:val="footer"/>
    <w:basedOn w:val="Normlny"/>
    <w:link w:val="PtaChar"/>
    <w:uiPriority w:val="99"/>
    <w:rsid w:val="0034183B"/>
    <w:pPr>
      <w:tabs>
        <w:tab w:val="center" w:pos="4536"/>
        <w:tab w:val="right" w:pos="9072"/>
      </w:tabs>
    </w:pPr>
  </w:style>
  <w:style w:type="character" w:customStyle="1" w:styleId="PtaChar">
    <w:name w:val="Päta Char"/>
    <w:basedOn w:val="Predvolenpsmoodseku"/>
    <w:link w:val="Pta"/>
    <w:uiPriority w:val="99"/>
    <w:semiHidden/>
    <w:rsid w:val="00380204"/>
    <w:rPr>
      <w:sz w:val="24"/>
      <w:szCs w:val="20"/>
      <w:lang w:val="en-US" w:eastAsia="en-US"/>
    </w:rPr>
  </w:style>
  <w:style w:type="character" w:styleId="slostrany">
    <w:name w:val="page number"/>
    <w:basedOn w:val="Predvolenpsmoodseku"/>
    <w:uiPriority w:val="99"/>
    <w:rsid w:val="0034183B"/>
    <w:rPr>
      <w:rFonts w:cs="Times New Roman"/>
    </w:rPr>
  </w:style>
  <w:style w:type="paragraph" w:styleId="Zarkazkladnhotextu">
    <w:name w:val="Body Text Indent"/>
    <w:basedOn w:val="Normlny"/>
    <w:link w:val="ZarkazkladnhotextuChar"/>
    <w:uiPriority w:val="99"/>
    <w:rsid w:val="0034183B"/>
    <w:pPr>
      <w:ind w:left="1" w:hanging="1"/>
      <w:jc w:val="both"/>
    </w:pPr>
  </w:style>
  <w:style w:type="character" w:customStyle="1" w:styleId="ZarkazkladnhotextuChar">
    <w:name w:val="Zarážka základného textu Char"/>
    <w:basedOn w:val="Predvolenpsmoodseku"/>
    <w:link w:val="Zarkazkladnhotextu"/>
    <w:uiPriority w:val="99"/>
    <w:semiHidden/>
    <w:rsid w:val="00380204"/>
    <w:rPr>
      <w:sz w:val="24"/>
      <w:szCs w:val="20"/>
      <w:lang w:val="en-US" w:eastAsia="en-US"/>
    </w:rPr>
  </w:style>
  <w:style w:type="paragraph" w:styleId="Zkladntext">
    <w:name w:val="Body Text"/>
    <w:basedOn w:val="Normlny"/>
    <w:link w:val="ZkladntextChar"/>
    <w:uiPriority w:val="99"/>
    <w:rsid w:val="0034183B"/>
    <w:pPr>
      <w:jc w:val="both"/>
    </w:pPr>
    <w:rPr>
      <w:sz w:val="22"/>
    </w:rPr>
  </w:style>
  <w:style w:type="character" w:customStyle="1" w:styleId="ZkladntextChar">
    <w:name w:val="Základný text Char"/>
    <w:basedOn w:val="Predvolenpsmoodseku"/>
    <w:link w:val="Zkladntext"/>
    <w:uiPriority w:val="99"/>
    <w:semiHidden/>
    <w:rsid w:val="00380204"/>
    <w:rPr>
      <w:sz w:val="24"/>
      <w:szCs w:val="20"/>
      <w:lang w:val="en-US" w:eastAsia="en-US"/>
    </w:rPr>
  </w:style>
  <w:style w:type="paragraph" w:styleId="Zarkazkladnhotextu2">
    <w:name w:val="Body Text Indent 2"/>
    <w:basedOn w:val="Normlny"/>
    <w:link w:val="Zarkazkladnhotextu2Char"/>
    <w:uiPriority w:val="99"/>
    <w:rsid w:val="0034183B"/>
    <w:pPr>
      <w:ind w:left="709" w:hanging="1"/>
    </w:pPr>
  </w:style>
  <w:style w:type="character" w:customStyle="1" w:styleId="Zarkazkladnhotextu2Char">
    <w:name w:val="Zarážka základného textu 2 Char"/>
    <w:basedOn w:val="Predvolenpsmoodseku"/>
    <w:link w:val="Zarkazkladnhotextu2"/>
    <w:uiPriority w:val="99"/>
    <w:semiHidden/>
    <w:rsid w:val="00380204"/>
    <w:rPr>
      <w:sz w:val="24"/>
      <w:szCs w:val="20"/>
      <w:lang w:val="en-US" w:eastAsia="en-US"/>
    </w:rPr>
  </w:style>
  <w:style w:type="paragraph" w:styleId="Zarkazkladnhotextu3">
    <w:name w:val="Body Text Indent 3"/>
    <w:basedOn w:val="Normlny"/>
    <w:link w:val="Zarkazkladnhotextu3Char"/>
    <w:uiPriority w:val="99"/>
    <w:rsid w:val="0034183B"/>
    <w:pPr>
      <w:ind w:left="708"/>
      <w:jc w:val="both"/>
    </w:pPr>
    <w:rPr>
      <w:sz w:val="22"/>
    </w:rPr>
  </w:style>
  <w:style w:type="character" w:customStyle="1" w:styleId="Zarkazkladnhotextu3Char">
    <w:name w:val="Zarážka základného textu 3 Char"/>
    <w:basedOn w:val="Predvolenpsmoodseku"/>
    <w:link w:val="Zarkazkladnhotextu3"/>
    <w:uiPriority w:val="99"/>
    <w:semiHidden/>
    <w:rsid w:val="00380204"/>
    <w:rPr>
      <w:sz w:val="16"/>
      <w:szCs w:val="16"/>
      <w:lang w:val="en-US" w:eastAsia="en-US"/>
    </w:rPr>
  </w:style>
  <w:style w:type="paragraph" w:styleId="Nzov">
    <w:name w:val="Title"/>
    <w:basedOn w:val="Normlny"/>
    <w:link w:val="NzovChar"/>
    <w:uiPriority w:val="99"/>
    <w:qFormat/>
    <w:rsid w:val="0034183B"/>
    <w:pPr>
      <w:jc w:val="center"/>
    </w:pPr>
    <w:rPr>
      <w:rFonts w:ascii="Arial" w:hAnsi="Arial"/>
      <w:b/>
      <w:bCs/>
      <w:sz w:val="20"/>
    </w:rPr>
  </w:style>
  <w:style w:type="character" w:customStyle="1" w:styleId="NzovChar">
    <w:name w:val="Názov Char"/>
    <w:basedOn w:val="Predvolenpsmoodseku"/>
    <w:link w:val="Nzov"/>
    <w:uiPriority w:val="10"/>
    <w:rsid w:val="00380204"/>
    <w:rPr>
      <w:rFonts w:asciiTheme="majorHAnsi" w:eastAsiaTheme="majorEastAsia" w:hAnsiTheme="majorHAnsi" w:cstheme="majorBidi"/>
      <w:b/>
      <w:bCs/>
      <w:kern w:val="28"/>
      <w:sz w:val="32"/>
      <w:szCs w:val="32"/>
      <w:lang w:val="en-US" w:eastAsia="en-US"/>
    </w:rPr>
  </w:style>
  <w:style w:type="paragraph" w:styleId="Textbubliny">
    <w:name w:val="Balloon Text"/>
    <w:basedOn w:val="Normlny"/>
    <w:link w:val="TextbublinyChar"/>
    <w:uiPriority w:val="99"/>
    <w:semiHidden/>
    <w:rsid w:val="00366972"/>
    <w:rPr>
      <w:rFonts w:ascii="Tahoma" w:hAnsi="Tahoma" w:cs="Tahoma"/>
      <w:sz w:val="16"/>
      <w:szCs w:val="16"/>
    </w:rPr>
  </w:style>
  <w:style w:type="character" w:customStyle="1" w:styleId="TextbublinyChar">
    <w:name w:val="Text bubliny Char"/>
    <w:basedOn w:val="Predvolenpsmoodseku"/>
    <w:link w:val="Textbubliny"/>
    <w:uiPriority w:val="99"/>
    <w:semiHidden/>
    <w:rsid w:val="00380204"/>
    <w:rPr>
      <w:sz w:val="0"/>
      <w:szCs w:val="0"/>
      <w:lang w:val="en-US" w:eastAsia="en-US"/>
    </w:rPr>
  </w:style>
  <w:style w:type="character" w:styleId="Hypertextovprepojenie">
    <w:name w:val="Hyperlink"/>
    <w:basedOn w:val="Predvolenpsmoodseku"/>
    <w:uiPriority w:val="99"/>
    <w:rsid w:val="00296A02"/>
    <w:rPr>
      <w:rFonts w:cs="Times New Roman"/>
      <w:color w:val="0000FF"/>
      <w:u w:val="single"/>
    </w:rPr>
  </w:style>
  <w:style w:type="paragraph" w:styleId="truktradokumentu">
    <w:name w:val="Document Map"/>
    <w:basedOn w:val="Normlny"/>
    <w:link w:val="truktradokumentuChar"/>
    <w:uiPriority w:val="99"/>
    <w:semiHidden/>
    <w:rsid w:val="00361CE8"/>
    <w:pPr>
      <w:shd w:val="clear" w:color="auto" w:fill="000080"/>
    </w:pPr>
    <w:rPr>
      <w:rFonts w:ascii="Tahoma" w:hAnsi="Tahoma" w:cs="Tahoma"/>
      <w:sz w:val="20"/>
    </w:rPr>
  </w:style>
  <w:style w:type="character" w:customStyle="1" w:styleId="truktradokumentuChar">
    <w:name w:val="Štruktúra dokumentu Char"/>
    <w:basedOn w:val="Predvolenpsmoodseku"/>
    <w:link w:val="truktradokumentu"/>
    <w:uiPriority w:val="99"/>
    <w:semiHidden/>
    <w:rsid w:val="00380204"/>
    <w:rPr>
      <w:sz w:val="0"/>
      <w:szCs w:val="0"/>
      <w:lang w:val="en-US" w:eastAsia="en-US"/>
    </w:rPr>
  </w:style>
  <w:style w:type="paragraph" w:customStyle="1" w:styleId="Default">
    <w:name w:val="Default"/>
    <w:uiPriority w:val="99"/>
    <w:rsid w:val="00C6298B"/>
    <w:pPr>
      <w:autoSpaceDE w:val="0"/>
      <w:autoSpaceDN w:val="0"/>
      <w:adjustRightInd w:val="0"/>
    </w:pPr>
    <w:rPr>
      <w:color w:val="000000"/>
      <w:sz w:val="24"/>
      <w:szCs w:val="24"/>
    </w:rPr>
  </w:style>
  <w:style w:type="paragraph" w:customStyle="1" w:styleId="Default1">
    <w:name w:val="Default1"/>
    <w:basedOn w:val="Default"/>
    <w:next w:val="Default"/>
    <w:uiPriority w:val="99"/>
    <w:rsid w:val="00C6298B"/>
    <w:rPr>
      <w:color w:val="auto"/>
    </w:rPr>
  </w:style>
  <w:style w:type="paragraph" w:customStyle="1" w:styleId="TableText">
    <w:name w:val="TableText"/>
    <w:basedOn w:val="Default"/>
    <w:next w:val="Default"/>
    <w:uiPriority w:val="99"/>
    <w:rsid w:val="00C6298B"/>
    <w:rPr>
      <w:color w:val="auto"/>
    </w:rPr>
  </w:style>
  <w:style w:type="paragraph" w:customStyle="1" w:styleId="EUBullet">
    <w:name w:val="EU Bullet"/>
    <w:basedOn w:val="Normlny"/>
    <w:rsid w:val="002A0492"/>
    <w:pPr>
      <w:numPr>
        <w:numId w:val="17"/>
      </w:numPr>
      <w:tabs>
        <w:tab w:val="left" w:pos="567"/>
      </w:tabs>
    </w:pPr>
    <w:rPr>
      <w:sz w:val="22"/>
      <w:szCs w:val="24"/>
      <w:lang w:val="sk-SK"/>
    </w:rPr>
  </w:style>
  <w:style w:type="table" w:styleId="Mriekatabuky">
    <w:name w:val="Table Grid"/>
    <w:basedOn w:val="Normlnatabuka"/>
    <w:uiPriority w:val="99"/>
    <w:rsid w:val="00841FF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2689</Words>
  <Characters>15329</Characters>
  <Application>Microsoft Office Word</Application>
  <DocSecurity>0</DocSecurity>
  <Lines>127</Lines>
  <Paragraphs>35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Pfizer</Company>
  <LinksUpToDate>false</LinksUpToDate>
  <CharactersWithSpaces>17983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Klembala</dc:creator>
  <dc:description>pisana 28.9.2001</dc:description>
  <cp:lastModifiedBy>Kytková, Adriana</cp:lastModifiedBy>
  <cp:revision>2</cp:revision>
  <cp:lastPrinted>2008-07-10T08:51:00Z</cp:lastPrinted>
  <dcterms:created xsi:type="dcterms:W3CDTF">2018-08-02T11:15:00Z</dcterms:created>
  <dcterms:modified xsi:type="dcterms:W3CDTF">2018-08-02T11:15:00Z</dcterms:modified>
</cp:coreProperties>
</file>