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C8A74" w14:textId="1B59D3DB" w:rsidR="008B2F4A" w:rsidRPr="006A6AA5" w:rsidRDefault="008B2F4A" w:rsidP="008B2F4A">
      <w:pPr>
        <w:rPr>
          <w:rFonts w:ascii="Times New Roman" w:hAnsi="Times New Roman"/>
          <w:sz w:val="18"/>
          <w:szCs w:val="18"/>
        </w:rPr>
      </w:pPr>
      <w:bookmarkStart w:id="0" w:name="_GoBack"/>
      <w:bookmarkEnd w:id="0"/>
    </w:p>
    <w:p w14:paraId="4A782F99" w14:textId="77777777" w:rsidR="008B2F4A" w:rsidRDefault="008B2F4A" w:rsidP="008B2F4A">
      <w:pPr>
        <w:pStyle w:val="Nadpis1"/>
        <w:spacing w:before="0" w:line="240" w:lineRule="auto"/>
        <w:jc w:val="left"/>
        <w:rPr>
          <w:rFonts w:cs="Times New Roman"/>
          <w:sz w:val="22"/>
          <w:szCs w:val="22"/>
          <w:lang w:val="sk"/>
        </w:rPr>
      </w:pPr>
    </w:p>
    <w:p w14:paraId="7FC6E7E8" w14:textId="77777777" w:rsidR="00355F50" w:rsidRPr="008B2F4A" w:rsidRDefault="00355F50" w:rsidP="00FB5E36">
      <w:pPr>
        <w:pStyle w:val="Nadpis1"/>
        <w:spacing w:before="0" w:line="240" w:lineRule="auto"/>
        <w:rPr>
          <w:rFonts w:cs="Times New Roman"/>
          <w:sz w:val="22"/>
          <w:szCs w:val="22"/>
        </w:rPr>
      </w:pPr>
      <w:r w:rsidRPr="008B2F4A">
        <w:rPr>
          <w:rFonts w:cs="Times New Roman"/>
          <w:sz w:val="22"/>
          <w:szCs w:val="22"/>
          <w:lang w:val="sk"/>
        </w:rPr>
        <w:t>SÚHRN CHARAKTERISTICKÝCH VLASTNOSTÍ LIEKU</w:t>
      </w:r>
    </w:p>
    <w:p w14:paraId="0CBBB2A2" w14:textId="77777777" w:rsidR="00355F50" w:rsidRPr="008B2F4A" w:rsidRDefault="00355F50" w:rsidP="00FB5E36">
      <w:pPr>
        <w:spacing w:after="0" w:line="240" w:lineRule="auto"/>
        <w:rPr>
          <w:rFonts w:ascii="Times New Roman" w:hAnsi="Times New Roman"/>
        </w:rPr>
      </w:pPr>
    </w:p>
    <w:p w14:paraId="17C0B45D" w14:textId="77777777" w:rsidR="00FB6364" w:rsidRPr="008B2F4A" w:rsidRDefault="00FB6364" w:rsidP="00FB5E36">
      <w:pPr>
        <w:pStyle w:val="Nadpis2"/>
        <w:spacing w:before="0" w:line="240" w:lineRule="auto"/>
        <w:rPr>
          <w:rFonts w:cs="Times New Roman"/>
          <w:szCs w:val="22"/>
        </w:rPr>
      </w:pPr>
      <w:r w:rsidRPr="008B2F4A">
        <w:rPr>
          <w:rFonts w:cs="Times New Roman"/>
          <w:szCs w:val="22"/>
          <w:lang w:val="sk"/>
        </w:rPr>
        <w:t>1. NÁZOV LIEKU</w:t>
      </w:r>
    </w:p>
    <w:p w14:paraId="56D42083" w14:textId="77777777" w:rsidR="001E649B" w:rsidRPr="008B2F4A" w:rsidRDefault="001E649B" w:rsidP="00FB5E36">
      <w:pPr>
        <w:spacing w:after="0" w:line="240" w:lineRule="auto"/>
        <w:rPr>
          <w:rFonts w:ascii="Times New Roman" w:hAnsi="Times New Roman"/>
          <w:lang w:val="sk"/>
        </w:rPr>
      </w:pPr>
    </w:p>
    <w:p w14:paraId="22F01B6E" w14:textId="602136BF" w:rsidR="00FB6364" w:rsidRPr="008B2F4A" w:rsidRDefault="00F81584" w:rsidP="00FB5E36">
      <w:pPr>
        <w:spacing w:after="0" w:line="240" w:lineRule="auto"/>
        <w:rPr>
          <w:rFonts w:ascii="Times New Roman" w:hAnsi="Times New Roman"/>
          <w:lang w:val="sk"/>
        </w:rPr>
      </w:pPr>
      <w:r w:rsidRPr="008B2F4A">
        <w:rPr>
          <w:rFonts w:ascii="Times New Roman" w:hAnsi="Times New Roman"/>
          <w:lang w:val="sk"/>
        </w:rPr>
        <w:t>SIL</w:t>
      </w:r>
      <w:r w:rsidR="0080063F">
        <w:rPr>
          <w:rFonts w:ascii="Times New Roman" w:hAnsi="Times New Roman"/>
          <w:lang w:val="sk"/>
        </w:rPr>
        <w:t>ANDYL</w:t>
      </w:r>
      <w:r w:rsidR="007F60AB" w:rsidRPr="008B2F4A">
        <w:rPr>
          <w:rFonts w:ascii="Times New Roman" w:hAnsi="Times New Roman"/>
          <w:lang w:val="sk"/>
        </w:rPr>
        <w:t xml:space="preserve"> 25 mg </w:t>
      </w:r>
      <w:proofErr w:type="spellStart"/>
      <w:r w:rsidR="007F60AB" w:rsidRPr="008B2F4A">
        <w:rPr>
          <w:rFonts w:ascii="Times New Roman" w:hAnsi="Times New Roman"/>
          <w:lang w:val="sk"/>
        </w:rPr>
        <w:t>orodispergovateľný</w:t>
      </w:r>
      <w:proofErr w:type="spellEnd"/>
      <w:r w:rsidR="007F60AB" w:rsidRPr="008B2F4A">
        <w:rPr>
          <w:rFonts w:ascii="Times New Roman" w:hAnsi="Times New Roman"/>
          <w:lang w:val="sk"/>
        </w:rPr>
        <w:t xml:space="preserve"> film</w:t>
      </w:r>
    </w:p>
    <w:p w14:paraId="70591CA1" w14:textId="3045ECC6" w:rsidR="00FB6364" w:rsidRPr="003D6E6E" w:rsidRDefault="00F81584" w:rsidP="00FB5E36">
      <w:pPr>
        <w:spacing w:after="0" w:line="240" w:lineRule="auto"/>
        <w:rPr>
          <w:rFonts w:ascii="Times New Roman" w:hAnsi="Times New Roman"/>
          <w:highlight w:val="lightGray"/>
          <w:lang w:val="sk"/>
        </w:rPr>
      </w:pPr>
      <w:r w:rsidRPr="003D6E6E">
        <w:rPr>
          <w:rFonts w:ascii="Times New Roman" w:hAnsi="Times New Roman"/>
          <w:highlight w:val="lightGray"/>
          <w:lang w:val="sk"/>
        </w:rPr>
        <w:t>SIL</w:t>
      </w:r>
      <w:r w:rsidR="0080063F">
        <w:rPr>
          <w:rFonts w:ascii="Times New Roman" w:hAnsi="Times New Roman"/>
          <w:highlight w:val="lightGray"/>
          <w:lang w:val="sk"/>
        </w:rPr>
        <w:t>ANDYL</w:t>
      </w:r>
      <w:r w:rsidR="007F60AB" w:rsidRPr="003D6E6E">
        <w:rPr>
          <w:rFonts w:ascii="Times New Roman" w:hAnsi="Times New Roman"/>
          <w:highlight w:val="lightGray"/>
          <w:lang w:val="sk"/>
        </w:rPr>
        <w:t xml:space="preserve"> 50 mg </w:t>
      </w:r>
      <w:proofErr w:type="spellStart"/>
      <w:r w:rsidR="007F60AB" w:rsidRPr="003D6E6E">
        <w:rPr>
          <w:rFonts w:ascii="Times New Roman" w:hAnsi="Times New Roman"/>
          <w:highlight w:val="lightGray"/>
          <w:lang w:val="sk"/>
        </w:rPr>
        <w:t>orodispergovateľný</w:t>
      </w:r>
      <w:proofErr w:type="spellEnd"/>
      <w:r w:rsidR="007F60AB" w:rsidRPr="003D6E6E">
        <w:rPr>
          <w:rFonts w:ascii="Times New Roman" w:hAnsi="Times New Roman"/>
          <w:highlight w:val="lightGray"/>
          <w:lang w:val="sk"/>
        </w:rPr>
        <w:t xml:space="preserve"> film</w:t>
      </w:r>
    </w:p>
    <w:p w14:paraId="25AC4C3E" w14:textId="05992EE4" w:rsidR="00FB6364" w:rsidRPr="003D6E6E" w:rsidRDefault="00F81584" w:rsidP="00FB5E36">
      <w:pPr>
        <w:spacing w:after="0" w:line="240" w:lineRule="auto"/>
        <w:rPr>
          <w:rFonts w:ascii="Times New Roman" w:hAnsi="Times New Roman"/>
          <w:highlight w:val="lightGray"/>
          <w:lang w:val="sk"/>
        </w:rPr>
      </w:pPr>
      <w:r w:rsidRPr="003D6E6E">
        <w:rPr>
          <w:rFonts w:ascii="Times New Roman" w:hAnsi="Times New Roman"/>
          <w:highlight w:val="lightGray"/>
          <w:lang w:val="sk"/>
        </w:rPr>
        <w:t>SIL</w:t>
      </w:r>
      <w:r w:rsidR="0080063F">
        <w:rPr>
          <w:rFonts w:ascii="Times New Roman" w:hAnsi="Times New Roman"/>
          <w:highlight w:val="lightGray"/>
          <w:lang w:val="sk"/>
        </w:rPr>
        <w:t>ANDYL</w:t>
      </w:r>
      <w:r w:rsidR="007F60AB" w:rsidRPr="003D6E6E">
        <w:rPr>
          <w:rFonts w:ascii="Times New Roman" w:hAnsi="Times New Roman"/>
          <w:highlight w:val="lightGray"/>
          <w:lang w:val="sk"/>
        </w:rPr>
        <w:t xml:space="preserve"> 75 mg </w:t>
      </w:r>
      <w:proofErr w:type="spellStart"/>
      <w:r w:rsidR="007F60AB" w:rsidRPr="003D6E6E">
        <w:rPr>
          <w:rFonts w:ascii="Times New Roman" w:hAnsi="Times New Roman"/>
          <w:highlight w:val="lightGray"/>
          <w:lang w:val="sk"/>
        </w:rPr>
        <w:t>orodispergovateľný</w:t>
      </w:r>
      <w:proofErr w:type="spellEnd"/>
      <w:r w:rsidR="007F60AB" w:rsidRPr="003D6E6E">
        <w:rPr>
          <w:rFonts w:ascii="Times New Roman" w:hAnsi="Times New Roman"/>
          <w:highlight w:val="lightGray"/>
          <w:lang w:val="sk"/>
        </w:rPr>
        <w:t xml:space="preserve"> film</w:t>
      </w:r>
    </w:p>
    <w:p w14:paraId="5DF5B4D2" w14:textId="60A894D4" w:rsidR="00FB6364" w:rsidRPr="008B2F4A" w:rsidRDefault="00F81584" w:rsidP="00FB5E36">
      <w:pPr>
        <w:spacing w:after="0" w:line="240" w:lineRule="auto"/>
        <w:rPr>
          <w:rFonts w:ascii="Times New Roman" w:hAnsi="Times New Roman"/>
          <w:lang w:val="sk"/>
        </w:rPr>
      </w:pPr>
      <w:r w:rsidRPr="003D6E6E">
        <w:rPr>
          <w:rFonts w:ascii="Times New Roman" w:hAnsi="Times New Roman"/>
          <w:highlight w:val="lightGray"/>
          <w:lang w:val="sk"/>
        </w:rPr>
        <w:t>SIL</w:t>
      </w:r>
      <w:r w:rsidR="0080063F">
        <w:rPr>
          <w:rFonts w:ascii="Times New Roman" w:hAnsi="Times New Roman"/>
          <w:highlight w:val="lightGray"/>
          <w:lang w:val="sk"/>
        </w:rPr>
        <w:t>ANDYL</w:t>
      </w:r>
      <w:r w:rsidR="007F60AB" w:rsidRPr="003D6E6E">
        <w:rPr>
          <w:rFonts w:ascii="Times New Roman" w:hAnsi="Times New Roman"/>
          <w:highlight w:val="lightGray"/>
          <w:lang w:val="sk"/>
        </w:rPr>
        <w:t xml:space="preserve"> 100 mg </w:t>
      </w:r>
      <w:proofErr w:type="spellStart"/>
      <w:r w:rsidR="007F60AB" w:rsidRPr="003D6E6E">
        <w:rPr>
          <w:rFonts w:ascii="Times New Roman" w:hAnsi="Times New Roman"/>
          <w:highlight w:val="lightGray"/>
          <w:lang w:val="sk"/>
        </w:rPr>
        <w:t>orodispergovateľný</w:t>
      </w:r>
      <w:proofErr w:type="spellEnd"/>
      <w:r w:rsidR="007F60AB" w:rsidRPr="003D6E6E">
        <w:rPr>
          <w:rFonts w:ascii="Times New Roman" w:hAnsi="Times New Roman"/>
          <w:highlight w:val="lightGray"/>
          <w:lang w:val="sk"/>
        </w:rPr>
        <w:t xml:space="preserve"> film</w:t>
      </w:r>
    </w:p>
    <w:p w14:paraId="3626D560" w14:textId="77777777" w:rsidR="00FB6364" w:rsidRPr="00173379" w:rsidRDefault="00FB6364" w:rsidP="00FB5E36">
      <w:pPr>
        <w:spacing w:after="0" w:line="240" w:lineRule="auto"/>
        <w:rPr>
          <w:rFonts w:ascii="Times New Roman" w:hAnsi="Times New Roman"/>
          <w:lang w:val="sk"/>
        </w:rPr>
      </w:pPr>
    </w:p>
    <w:p w14:paraId="0AD48BBC" w14:textId="77777777" w:rsidR="001E649B" w:rsidRPr="00306422" w:rsidRDefault="001E649B" w:rsidP="00FB5E36">
      <w:pPr>
        <w:spacing w:after="0" w:line="240" w:lineRule="auto"/>
        <w:rPr>
          <w:rFonts w:ascii="Times New Roman" w:hAnsi="Times New Roman"/>
          <w:lang w:val="sk"/>
        </w:rPr>
      </w:pPr>
    </w:p>
    <w:p w14:paraId="17016631" w14:textId="77777777" w:rsidR="00FB6364" w:rsidRPr="00282BFE" w:rsidRDefault="00FB6364" w:rsidP="00FB5E36">
      <w:pPr>
        <w:pStyle w:val="Nadpis2"/>
        <w:spacing w:before="0" w:line="240" w:lineRule="auto"/>
        <w:rPr>
          <w:rFonts w:cs="Times New Roman"/>
          <w:szCs w:val="22"/>
          <w:lang w:val="sk"/>
        </w:rPr>
      </w:pPr>
      <w:r w:rsidRPr="00306422">
        <w:rPr>
          <w:rFonts w:cs="Times New Roman"/>
          <w:szCs w:val="22"/>
          <w:lang w:val="sk"/>
        </w:rPr>
        <w:t xml:space="preserve">2. </w:t>
      </w:r>
      <w:r w:rsidRPr="00282BFE">
        <w:rPr>
          <w:rFonts w:cs="Times New Roman"/>
          <w:szCs w:val="22"/>
          <w:lang w:val="sk"/>
        </w:rPr>
        <w:t>KVALITATÍVNE A KVANTITATÍVNE ZLOŽENIE</w:t>
      </w:r>
    </w:p>
    <w:p w14:paraId="2BBA36CD" w14:textId="77777777" w:rsidR="001E649B" w:rsidRPr="008B2F4A" w:rsidRDefault="001E649B" w:rsidP="00FB5E36">
      <w:pPr>
        <w:spacing w:after="0" w:line="240" w:lineRule="auto"/>
        <w:rPr>
          <w:rFonts w:ascii="Times New Roman" w:hAnsi="Times New Roman"/>
          <w:lang w:val="sk"/>
        </w:rPr>
      </w:pPr>
    </w:p>
    <w:p w14:paraId="21D51783" w14:textId="77777777" w:rsidR="00FB6364" w:rsidRPr="00282BFE" w:rsidRDefault="00FB6364" w:rsidP="00FB5E36">
      <w:pPr>
        <w:spacing w:after="0" w:line="240" w:lineRule="auto"/>
        <w:rPr>
          <w:rFonts w:ascii="Times New Roman" w:hAnsi="Times New Roman"/>
          <w:lang w:val="sk"/>
        </w:rPr>
      </w:pPr>
      <w:r w:rsidRPr="008B2F4A">
        <w:rPr>
          <w:rFonts w:ascii="Times New Roman" w:hAnsi="Times New Roman"/>
          <w:lang w:val="sk"/>
        </w:rPr>
        <w:t xml:space="preserve">Jeden orodispergovateľný film obsahuje 35,1 mg </w:t>
      </w:r>
      <w:r w:rsidR="00282BFE">
        <w:rPr>
          <w:rFonts w:ascii="Times New Roman" w:hAnsi="Times New Roman"/>
          <w:lang w:val="sk"/>
        </w:rPr>
        <w:t>sildenafilium</w:t>
      </w:r>
      <w:r w:rsidRPr="00282BFE">
        <w:rPr>
          <w:rFonts w:ascii="Times New Roman" w:hAnsi="Times New Roman"/>
          <w:lang w:val="sk"/>
        </w:rPr>
        <w:t>citrátu, zodpovedajúci 25 mg sildenafilu.</w:t>
      </w:r>
    </w:p>
    <w:p w14:paraId="06F3C98C" w14:textId="77777777" w:rsidR="00FB6364" w:rsidRPr="003D6E6E" w:rsidRDefault="00FB6364" w:rsidP="00FB5E36">
      <w:pPr>
        <w:spacing w:after="0" w:line="240" w:lineRule="auto"/>
        <w:rPr>
          <w:rFonts w:ascii="Times New Roman" w:hAnsi="Times New Roman"/>
          <w:highlight w:val="lightGray"/>
          <w:lang w:val="sk"/>
        </w:rPr>
      </w:pPr>
      <w:r w:rsidRPr="003D6E6E">
        <w:rPr>
          <w:rFonts w:ascii="Times New Roman" w:hAnsi="Times New Roman"/>
          <w:highlight w:val="lightGray"/>
          <w:lang w:val="sk"/>
        </w:rPr>
        <w:t xml:space="preserve">Jeden orodispergovateľný film obsahuje 70,2 mg </w:t>
      </w:r>
      <w:r w:rsidR="00282BFE" w:rsidRPr="003D6E6E">
        <w:rPr>
          <w:rFonts w:ascii="Times New Roman" w:hAnsi="Times New Roman"/>
          <w:highlight w:val="lightGray"/>
          <w:lang w:val="sk"/>
        </w:rPr>
        <w:t>sildenafilium</w:t>
      </w:r>
      <w:r w:rsidRPr="003D6E6E">
        <w:rPr>
          <w:rFonts w:ascii="Times New Roman" w:hAnsi="Times New Roman"/>
          <w:highlight w:val="lightGray"/>
          <w:lang w:val="sk"/>
        </w:rPr>
        <w:t>citrátu, zodpovedajúci 50 mg sildenafilu.</w:t>
      </w:r>
    </w:p>
    <w:p w14:paraId="5187A1E0" w14:textId="77777777" w:rsidR="00FB6364" w:rsidRPr="003D6E6E" w:rsidRDefault="00FB6364" w:rsidP="00FB5E36">
      <w:pPr>
        <w:spacing w:after="0" w:line="240" w:lineRule="auto"/>
        <w:rPr>
          <w:rFonts w:ascii="Times New Roman" w:hAnsi="Times New Roman"/>
          <w:highlight w:val="lightGray"/>
          <w:lang w:val="sk"/>
        </w:rPr>
      </w:pPr>
      <w:r w:rsidRPr="003D6E6E">
        <w:rPr>
          <w:rFonts w:ascii="Times New Roman" w:hAnsi="Times New Roman"/>
          <w:highlight w:val="lightGray"/>
          <w:lang w:val="sk"/>
        </w:rPr>
        <w:t xml:space="preserve">Jeden orodispergovateľný film obsahuje 105,3 mg </w:t>
      </w:r>
      <w:r w:rsidR="00282BFE" w:rsidRPr="003D6E6E">
        <w:rPr>
          <w:rFonts w:ascii="Times New Roman" w:hAnsi="Times New Roman"/>
          <w:highlight w:val="lightGray"/>
          <w:lang w:val="sk"/>
        </w:rPr>
        <w:t>sildenafilium</w:t>
      </w:r>
      <w:r w:rsidRPr="003D6E6E">
        <w:rPr>
          <w:rFonts w:ascii="Times New Roman" w:hAnsi="Times New Roman"/>
          <w:highlight w:val="lightGray"/>
          <w:lang w:val="sk"/>
        </w:rPr>
        <w:t>citrátu, zodpovedajúci 75 mg sildenafilu.</w:t>
      </w:r>
    </w:p>
    <w:p w14:paraId="5B59FA0C" w14:textId="77777777" w:rsidR="00FB6364" w:rsidRPr="008B2F4A" w:rsidRDefault="00FB6364" w:rsidP="00FB5E36">
      <w:pPr>
        <w:spacing w:after="0" w:line="240" w:lineRule="auto"/>
        <w:rPr>
          <w:rFonts w:ascii="Times New Roman" w:hAnsi="Times New Roman"/>
          <w:lang w:val="sk"/>
        </w:rPr>
      </w:pPr>
      <w:r w:rsidRPr="003D6E6E">
        <w:rPr>
          <w:rFonts w:ascii="Times New Roman" w:hAnsi="Times New Roman"/>
          <w:highlight w:val="lightGray"/>
          <w:lang w:val="sk"/>
        </w:rPr>
        <w:t xml:space="preserve">Jeden orodispergovateľný film obsahuje 140,4 mg </w:t>
      </w:r>
      <w:r w:rsidR="00282BFE" w:rsidRPr="003D6E6E">
        <w:rPr>
          <w:rFonts w:ascii="Times New Roman" w:hAnsi="Times New Roman"/>
          <w:highlight w:val="lightGray"/>
          <w:lang w:val="sk"/>
        </w:rPr>
        <w:t>sildenafilium</w:t>
      </w:r>
      <w:r w:rsidRPr="003D6E6E">
        <w:rPr>
          <w:rFonts w:ascii="Times New Roman" w:hAnsi="Times New Roman"/>
          <w:highlight w:val="lightGray"/>
          <w:lang w:val="sk"/>
        </w:rPr>
        <w:t>citrátu, zodpovedajúci 100 mg sildenafilu.</w:t>
      </w:r>
    </w:p>
    <w:p w14:paraId="25DA78E0" w14:textId="77777777" w:rsidR="00FB6364" w:rsidRPr="00173379" w:rsidRDefault="00FB6364" w:rsidP="00FB5E36">
      <w:pPr>
        <w:spacing w:after="0" w:line="240" w:lineRule="auto"/>
        <w:rPr>
          <w:rFonts w:ascii="Times New Roman" w:hAnsi="Times New Roman"/>
          <w:lang w:val="sk"/>
        </w:rPr>
      </w:pPr>
      <w:r w:rsidRPr="00173379">
        <w:rPr>
          <w:rFonts w:ascii="Times New Roman" w:hAnsi="Times New Roman"/>
          <w:lang w:val="sk"/>
        </w:rPr>
        <w:t>Úplný zoznam pomocných látok, pozri časť 6.1.</w:t>
      </w:r>
    </w:p>
    <w:p w14:paraId="495BED09" w14:textId="77777777" w:rsidR="00FB6364" w:rsidRPr="00306422" w:rsidRDefault="00FB6364" w:rsidP="00FB5E36">
      <w:pPr>
        <w:spacing w:after="0" w:line="240" w:lineRule="auto"/>
        <w:rPr>
          <w:rFonts w:ascii="Times New Roman" w:hAnsi="Times New Roman"/>
          <w:lang w:val="sk"/>
        </w:rPr>
      </w:pPr>
    </w:p>
    <w:p w14:paraId="66A14CEE" w14:textId="77777777" w:rsidR="001E649B" w:rsidRPr="00306422" w:rsidRDefault="001E649B" w:rsidP="00FB5E36">
      <w:pPr>
        <w:spacing w:after="0" w:line="240" w:lineRule="auto"/>
        <w:rPr>
          <w:rFonts w:ascii="Times New Roman" w:hAnsi="Times New Roman"/>
          <w:lang w:val="sk"/>
        </w:rPr>
      </w:pPr>
    </w:p>
    <w:p w14:paraId="55113E6C" w14:textId="77777777" w:rsidR="00FB6364" w:rsidRPr="008B2F4A" w:rsidRDefault="00FB6364" w:rsidP="00FB5E36">
      <w:pPr>
        <w:pStyle w:val="Nadpis2"/>
        <w:spacing w:before="0" w:line="240" w:lineRule="auto"/>
        <w:rPr>
          <w:rFonts w:cs="Times New Roman"/>
          <w:szCs w:val="22"/>
          <w:lang w:val="sk"/>
        </w:rPr>
      </w:pPr>
      <w:r w:rsidRPr="008B2F4A">
        <w:rPr>
          <w:rFonts w:cs="Times New Roman"/>
          <w:szCs w:val="22"/>
          <w:lang w:val="sk"/>
        </w:rPr>
        <w:t>3. LIEKOVÁ FORMA</w:t>
      </w:r>
    </w:p>
    <w:p w14:paraId="119487A9" w14:textId="77777777" w:rsidR="001E649B" w:rsidRPr="008B2F4A" w:rsidRDefault="001E649B" w:rsidP="00FB5E36">
      <w:pPr>
        <w:spacing w:after="0" w:line="240" w:lineRule="auto"/>
        <w:rPr>
          <w:rFonts w:ascii="Times New Roman" w:hAnsi="Times New Roman"/>
          <w:lang w:val="sk"/>
        </w:rPr>
      </w:pPr>
    </w:p>
    <w:p w14:paraId="0A250A62" w14:textId="77777777" w:rsidR="00FB6364" w:rsidRPr="008B2F4A" w:rsidRDefault="00FB6364" w:rsidP="00FB5E36">
      <w:pPr>
        <w:spacing w:after="0" w:line="240" w:lineRule="auto"/>
        <w:rPr>
          <w:rFonts w:ascii="Times New Roman" w:hAnsi="Times New Roman"/>
          <w:lang w:val="sk"/>
        </w:rPr>
      </w:pPr>
      <w:r w:rsidRPr="008B2F4A">
        <w:rPr>
          <w:rFonts w:ascii="Times New Roman" w:hAnsi="Times New Roman"/>
          <w:lang w:val="sk"/>
        </w:rPr>
        <w:t>Orodispergovateľný film.</w:t>
      </w:r>
    </w:p>
    <w:p w14:paraId="4A0BF69E" w14:textId="77777777" w:rsidR="00FB6364" w:rsidRPr="008B2F4A" w:rsidRDefault="00FB6364" w:rsidP="00FB5E36">
      <w:pPr>
        <w:spacing w:after="0" w:line="240" w:lineRule="auto"/>
        <w:rPr>
          <w:rFonts w:ascii="Times New Roman" w:hAnsi="Times New Roman"/>
          <w:lang w:val="sk"/>
        </w:rPr>
      </w:pPr>
      <w:r w:rsidRPr="008B2F4A">
        <w:rPr>
          <w:rFonts w:ascii="Times New Roman" w:hAnsi="Times New Roman"/>
          <w:lang w:val="sk"/>
        </w:rPr>
        <w:t>Obdĺžnikovité, flexibilné, nepriehľadné svetlomodré filmové prúžky (30 mm x 15 mm).</w:t>
      </w:r>
    </w:p>
    <w:p w14:paraId="4800DAE6" w14:textId="77777777" w:rsidR="00FB6364" w:rsidRPr="003D6E6E" w:rsidRDefault="00FB6364" w:rsidP="00FB5E36">
      <w:pPr>
        <w:spacing w:after="0" w:line="240" w:lineRule="auto"/>
        <w:rPr>
          <w:rFonts w:ascii="Times New Roman" w:hAnsi="Times New Roman"/>
          <w:highlight w:val="lightGray"/>
          <w:lang w:val="sk"/>
        </w:rPr>
      </w:pPr>
      <w:r w:rsidRPr="003D6E6E">
        <w:rPr>
          <w:rFonts w:ascii="Times New Roman" w:hAnsi="Times New Roman"/>
          <w:highlight w:val="lightGray"/>
          <w:lang w:val="sk"/>
        </w:rPr>
        <w:t>Štvorcovité, flexibilné, nepriehľadné svetlomodré filmové prúžky (30 mm x 30 mm).</w:t>
      </w:r>
    </w:p>
    <w:p w14:paraId="63DA78AD" w14:textId="77777777" w:rsidR="00FB6364" w:rsidRPr="003D6E6E" w:rsidRDefault="00FB6364" w:rsidP="00FB5E36">
      <w:pPr>
        <w:spacing w:after="0" w:line="240" w:lineRule="auto"/>
        <w:rPr>
          <w:rFonts w:ascii="Times New Roman" w:hAnsi="Times New Roman"/>
          <w:highlight w:val="lightGray"/>
          <w:lang w:val="sk"/>
        </w:rPr>
      </w:pPr>
      <w:r w:rsidRPr="003D6E6E">
        <w:rPr>
          <w:rFonts w:ascii="Times New Roman" w:hAnsi="Times New Roman"/>
          <w:highlight w:val="lightGray"/>
          <w:lang w:val="sk"/>
        </w:rPr>
        <w:t>Obdĺžnikovité, flexibilné, nepriehľadné svetlomodré filmové prúžky (30 mm x 45 mm).</w:t>
      </w:r>
    </w:p>
    <w:p w14:paraId="4F547DDB" w14:textId="77777777" w:rsidR="00FB6364" w:rsidRPr="00F81584" w:rsidRDefault="00FB6364" w:rsidP="00FB5E36">
      <w:pPr>
        <w:spacing w:after="0" w:line="240" w:lineRule="auto"/>
        <w:rPr>
          <w:rFonts w:ascii="Times New Roman" w:hAnsi="Times New Roman"/>
          <w:lang w:val="sk"/>
        </w:rPr>
      </w:pPr>
      <w:r w:rsidRPr="003D6E6E">
        <w:rPr>
          <w:rFonts w:ascii="Times New Roman" w:hAnsi="Times New Roman"/>
          <w:highlight w:val="lightGray"/>
          <w:lang w:val="sk"/>
        </w:rPr>
        <w:t>Obdĺžnikovité, flexibilné, nepriehľadné svetlomodré filmové prúžky (40 mm x 45 mm).</w:t>
      </w:r>
    </w:p>
    <w:p w14:paraId="776D21CF" w14:textId="77777777" w:rsidR="00355F50" w:rsidRPr="00F81584" w:rsidRDefault="00355F50" w:rsidP="00FB5E36">
      <w:pPr>
        <w:spacing w:after="0" w:line="240" w:lineRule="auto"/>
        <w:rPr>
          <w:rFonts w:ascii="Times New Roman" w:hAnsi="Times New Roman"/>
          <w:lang w:val="sk"/>
        </w:rPr>
      </w:pPr>
    </w:p>
    <w:p w14:paraId="30B6E794" w14:textId="77777777" w:rsidR="001E649B" w:rsidRPr="00F81584" w:rsidRDefault="001E649B" w:rsidP="00FB5E36">
      <w:pPr>
        <w:spacing w:after="0" w:line="240" w:lineRule="auto"/>
        <w:rPr>
          <w:rFonts w:ascii="Times New Roman" w:hAnsi="Times New Roman"/>
          <w:lang w:val="sk"/>
        </w:rPr>
      </w:pPr>
    </w:p>
    <w:p w14:paraId="73DEE976"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4. KLINICKÉ ÚDAJE</w:t>
      </w:r>
    </w:p>
    <w:p w14:paraId="49AF45C2" w14:textId="77777777" w:rsidR="001E649B" w:rsidRDefault="001E649B" w:rsidP="00FB5E36">
      <w:pPr>
        <w:pStyle w:val="Nadpis3"/>
        <w:spacing w:before="0" w:line="240" w:lineRule="auto"/>
        <w:rPr>
          <w:rFonts w:cs="Times New Roman"/>
          <w:lang w:val="sk"/>
        </w:rPr>
      </w:pPr>
    </w:p>
    <w:p w14:paraId="641400E9"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4.1 Terapeutické indikácie</w:t>
      </w:r>
    </w:p>
    <w:p w14:paraId="6E73D7E3" w14:textId="77777777" w:rsidR="001E649B" w:rsidRDefault="001E649B" w:rsidP="00FB5E36">
      <w:pPr>
        <w:spacing w:after="0" w:line="240" w:lineRule="auto"/>
        <w:rPr>
          <w:rFonts w:ascii="Times New Roman" w:hAnsi="Times New Roman"/>
          <w:lang w:val="sk"/>
        </w:rPr>
      </w:pPr>
    </w:p>
    <w:p w14:paraId="6D2E1939" w14:textId="3E62651A" w:rsidR="00355F50" w:rsidRPr="00F81584"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je indikovaný u dospelých mužov s erektilnou dysfunkciou, čo je neschopnosť dosiahnuť alebo udržať erekciu penisu postačujúcu pre primeraný sexuálny výkon.</w:t>
      </w:r>
    </w:p>
    <w:p w14:paraId="1C8A7FFE" w14:textId="0CC6A7F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Účinnosť </w:t>
      </w:r>
      <w:r w:rsidR="00F81584">
        <w:rPr>
          <w:rFonts w:ascii="Times New Roman" w:hAnsi="Times New Roman"/>
          <w:lang w:val="sk"/>
        </w:rPr>
        <w:t>SIL</w:t>
      </w:r>
      <w:r w:rsidR="0080063F">
        <w:rPr>
          <w:rFonts w:ascii="Times New Roman" w:hAnsi="Times New Roman"/>
          <w:lang w:val="sk"/>
        </w:rPr>
        <w:t>ANDYLU</w:t>
      </w:r>
      <w:r w:rsidRPr="00FB5E36">
        <w:rPr>
          <w:rFonts w:ascii="Times New Roman" w:hAnsi="Times New Roman"/>
          <w:lang w:val="sk"/>
        </w:rPr>
        <w:t xml:space="preserve"> je podmienená sexuálnou stimuláciou.</w:t>
      </w:r>
    </w:p>
    <w:p w14:paraId="085CF67D" w14:textId="77777777" w:rsidR="001E649B" w:rsidRPr="00F81584" w:rsidRDefault="001E649B" w:rsidP="00FB5E36">
      <w:pPr>
        <w:spacing w:after="0" w:line="240" w:lineRule="auto"/>
        <w:rPr>
          <w:rFonts w:ascii="Times New Roman" w:hAnsi="Times New Roman"/>
          <w:lang w:val="sk"/>
        </w:rPr>
      </w:pPr>
    </w:p>
    <w:p w14:paraId="7168CA43"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4.2 Dávkovanie a spôsob podávania</w:t>
      </w:r>
    </w:p>
    <w:p w14:paraId="5C2456A9" w14:textId="77777777" w:rsidR="001E649B" w:rsidRDefault="001E649B" w:rsidP="00FB5E36">
      <w:pPr>
        <w:spacing w:after="0" w:line="240" w:lineRule="auto"/>
        <w:rPr>
          <w:rFonts w:ascii="Times New Roman" w:hAnsi="Times New Roman"/>
          <w:u w:val="single"/>
          <w:lang w:val="sk"/>
        </w:rPr>
      </w:pPr>
    </w:p>
    <w:p w14:paraId="791D8801"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Dávkovanie</w:t>
      </w:r>
    </w:p>
    <w:p w14:paraId="7CF77CCE" w14:textId="77777777" w:rsidR="001E649B" w:rsidRDefault="001E649B" w:rsidP="00FB5E36">
      <w:pPr>
        <w:spacing w:after="0" w:line="240" w:lineRule="auto"/>
        <w:rPr>
          <w:rFonts w:ascii="Times New Roman" w:hAnsi="Times New Roman"/>
          <w:i/>
          <w:iCs/>
          <w:lang w:val="sk"/>
        </w:rPr>
      </w:pPr>
    </w:p>
    <w:p w14:paraId="3D7BE126"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Použitie u dospelých</w:t>
      </w:r>
    </w:p>
    <w:p w14:paraId="54794173"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Odporúčaná dávka je 50 mg užitá podľa potreby približne jednu hodinu pred sexuálnou aktivitou.</w:t>
      </w:r>
    </w:p>
    <w:p w14:paraId="4AD0C007" w14:textId="77777777" w:rsidR="001E649B" w:rsidRPr="00F81584" w:rsidRDefault="001E649B" w:rsidP="00FB5E36">
      <w:pPr>
        <w:spacing w:after="0" w:line="240" w:lineRule="auto"/>
        <w:rPr>
          <w:rFonts w:ascii="Times New Roman" w:hAnsi="Times New Roman"/>
          <w:lang w:val="sk"/>
        </w:rPr>
      </w:pPr>
    </w:p>
    <w:p w14:paraId="4563B1EC" w14:textId="7FF62443"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Podľa účinnosti a tolerancie sa dávka môže zvýšiť až na 100 mg alebo znížiť na 25 mg. Maximálna odporúčaná dávka je 100 mg. Maximálna odporúčaná frekvencia dávkovania je jedenkrát denne. Ak sa </w:t>
      </w:r>
      <w:r w:rsidR="00F81584">
        <w:rPr>
          <w:rFonts w:ascii="Times New Roman" w:hAnsi="Times New Roman"/>
          <w:lang w:val="sk"/>
        </w:rPr>
        <w:t>SIL</w:t>
      </w:r>
      <w:r w:rsidR="0080063F">
        <w:rPr>
          <w:rFonts w:ascii="Times New Roman" w:hAnsi="Times New Roman"/>
          <w:lang w:val="sk"/>
        </w:rPr>
        <w:t>ANDYL</w:t>
      </w:r>
      <w:r w:rsidRPr="00FB5E36">
        <w:rPr>
          <w:rFonts w:ascii="Times New Roman" w:hAnsi="Times New Roman"/>
          <w:lang w:val="sk"/>
        </w:rPr>
        <w:t xml:space="preserve"> užije spolu s jedlom, nástup účinku sa môže oneskoriť v</w:t>
      </w:r>
      <w:r w:rsidR="0080063F">
        <w:rPr>
          <w:rFonts w:ascii="Times New Roman" w:hAnsi="Times New Roman"/>
          <w:lang w:val="sk"/>
        </w:rPr>
        <w:t> </w:t>
      </w:r>
      <w:r w:rsidRPr="00FB5E36">
        <w:rPr>
          <w:rFonts w:ascii="Times New Roman" w:hAnsi="Times New Roman"/>
          <w:lang w:val="sk"/>
        </w:rPr>
        <w:t>porovnaní s</w:t>
      </w:r>
      <w:r w:rsidR="0080063F">
        <w:rPr>
          <w:rFonts w:ascii="Times New Roman" w:hAnsi="Times New Roman"/>
          <w:lang w:val="sk"/>
        </w:rPr>
        <w:t> </w:t>
      </w:r>
      <w:r w:rsidRPr="00FB5E36">
        <w:rPr>
          <w:rFonts w:ascii="Times New Roman" w:hAnsi="Times New Roman"/>
          <w:lang w:val="sk"/>
        </w:rPr>
        <w:t>nástupom účinku po užití lieku nalačno (pozri časť 5.2).</w:t>
      </w:r>
    </w:p>
    <w:p w14:paraId="1CAD7B5C" w14:textId="77777777" w:rsidR="001E649B" w:rsidRPr="00F81584" w:rsidRDefault="001E649B" w:rsidP="00FB5E36">
      <w:pPr>
        <w:spacing w:after="0" w:line="240" w:lineRule="auto"/>
        <w:rPr>
          <w:rFonts w:ascii="Times New Roman" w:hAnsi="Times New Roman"/>
          <w:lang w:val="sk"/>
        </w:rPr>
      </w:pPr>
    </w:p>
    <w:p w14:paraId="46623CFB" w14:textId="77777777" w:rsidR="00355F50" w:rsidRDefault="00355F50" w:rsidP="001E649B">
      <w:pPr>
        <w:keepNext/>
        <w:keepLines/>
        <w:spacing w:after="0" w:line="240" w:lineRule="auto"/>
        <w:rPr>
          <w:rFonts w:ascii="Times New Roman" w:hAnsi="Times New Roman"/>
          <w:lang w:val="sk"/>
        </w:rPr>
      </w:pPr>
      <w:r w:rsidRPr="00FB5E36">
        <w:rPr>
          <w:rFonts w:ascii="Times New Roman" w:hAnsi="Times New Roman"/>
          <w:lang w:val="sk"/>
        </w:rPr>
        <w:lastRenderedPageBreak/>
        <w:t>Osobitné skupiny pacientov</w:t>
      </w:r>
    </w:p>
    <w:p w14:paraId="41CA4ABE" w14:textId="77777777" w:rsidR="001E649B" w:rsidRPr="00F81584" w:rsidRDefault="001E649B" w:rsidP="001E649B">
      <w:pPr>
        <w:keepNext/>
        <w:keepLines/>
        <w:spacing w:after="0" w:line="240" w:lineRule="auto"/>
        <w:rPr>
          <w:rFonts w:ascii="Times New Roman" w:hAnsi="Times New Roman"/>
          <w:lang w:val="sk"/>
        </w:rPr>
      </w:pPr>
    </w:p>
    <w:p w14:paraId="08A22189" w14:textId="77777777" w:rsidR="00355F50" w:rsidRPr="00F81584" w:rsidRDefault="00355F50" w:rsidP="001E649B">
      <w:pPr>
        <w:keepNext/>
        <w:keepLines/>
        <w:spacing w:after="0" w:line="240" w:lineRule="auto"/>
        <w:rPr>
          <w:rFonts w:ascii="Times New Roman" w:hAnsi="Times New Roman"/>
          <w:i/>
          <w:iCs/>
          <w:lang w:val="sk"/>
        </w:rPr>
      </w:pPr>
      <w:r w:rsidRPr="00FB5E36">
        <w:rPr>
          <w:rFonts w:ascii="Times New Roman" w:hAnsi="Times New Roman"/>
          <w:i/>
          <w:iCs/>
          <w:lang w:val="sk"/>
        </w:rPr>
        <w:t>Starší pacienti</w:t>
      </w:r>
    </w:p>
    <w:p w14:paraId="4EED3553" w14:textId="20DA2211" w:rsidR="00355F50" w:rsidRDefault="00355F50" w:rsidP="001E649B">
      <w:pPr>
        <w:keepNext/>
        <w:keepLines/>
        <w:spacing w:after="0" w:line="240" w:lineRule="auto"/>
        <w:rPr>
          <w:rFonts w:ascii="Times New Roman" w:hAnsi="Times New Roman"/>
          <w:lang w:val="sk"/>
        </w:rPr>
      </w:pPr>
      <w:r w:rsidRPr="00FB5E36">
        <w:rPr>
          <w:rFonts w:ascii="Times New Roman" w:hAnsi="Times New Roman"/>
          <w:lang w:val="sk"/>
        </w:rPr>
        <w:t>U starších pacientov (≥65 rokov) sa nevyžaduje prispôsobenie dávky.</w:t>
      </w:r>
    </w:p>
    <w:p w14:paraId="7D237F99" w14:textId="77777777" w:rsidR="001E649B" w:rsidRPr="00F81584" w:rsidRDefault="001E649B" w:rsidP="001E649B">
      <w:pPr>
        <w:keepNext/>
        <w:keepLines/>
        <w:spacing w:after="0" w:line="240" w:lineRule="auto"/>
        <w:rPr>
          <w:rFonts w:ascii="Times New Roman" w:hAnsi="Times New Roman"/>
          <w:lang w:val="sk"/>
        </w:rPr>
      </w:pPr>
    </w:p>
    <w:p w14:paraId="55E3179A"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Pacienti s poruchou funkcie obličiek</w:t>
      </w:r>
    </w:p>
    <w:p w14:paraId="040D5514" w14:textId="7A717108" w:rsidR="00355F50" w:rsidRDefault="00355F50" w:rsidP="00FB5E36">
      <w:pPr>
        <w:spacing w:after="0" w:line="240" w:lineRule="auto"/>
        <w:rPr>
          <w:rFonts w:ascii="Times New Roman" w:hAnsi="Times New Roman"/>
          <w:lang w:val="sk"/>
        </w:rPr>
      </w:pPr>
      <w:r w:rsidRPr="00FB5E36">
        <w:rPr>
          <w:rFonts w:ascii="Times New Roman" w:hAnsi="Times New Roman"/>
          <w:lang w:val="sk"/>
        </w:rPr>
        <w:t>Odporúčané dávkovanie uvedené v časti „Použitie u dospelých“ sa vzťahuje na pacientov s miernou až stredne ťažkou poruchou funkcie obličiek (klírens kreatinínu = 30</w:t>
      </w:r>
      <w:r w:rsidR="0080063F">
        <w:rPr>
          <w:rFonts w:ascii="Times New Roman" w:hAnsi="Times New Roman"/>
          <w:lang w:val="sk"/>
        </w:rPr>
        <w:t> </w:t>
      </w:r>
      <w:r w:rsidRPr="00FB5E36">
        <w:rPr>
          <w:rFonts w:ascii="Times New Roman" w:hAnsi="Times New Roman"/>
          <w:lang w:val="sk"/>
        </w:rPr>
        <w:t>–</w:t>
      </w:r>
      <w:r w:rsidR="0080063F">
        <w:rPr>
          <w:rFonts w:ascii="Times New Roman" w:hAnsi="Times New Roman"/>
          <w:lang w:val="sk"/>
        </w:rPr>
        <w:t> </w:t>
      </w:r>
      <w:r w:rsidRPr="00FB5E36">
        <w:rPr>
          <w:rFonts w:ascii="Times New Roman" w:hAnsi="Times New Roman"/>
          <w:lang w:val="sk"/>
        </w:rPr>
        <w:t>80 ml/min).</w:t>
      </w:r>
    </w:p>
    <w:p w14:paraId="0E85837C" w14:textId="77777777" w:rsidR="001E649B" w:rsidRPr="00F81584" w:rsidRDefault="001E649B" w:rsidP="00FB5E36">
      <w:pPr>
        <w:spacing w:after="0" w:line="240" w:lineRule="auto"/>
        <w:rPr>
          <w:rFonts w:ascii="Times New Roman" w:hAnsi="Times New Roman"/>
          <w:lang w:val="sk"/>
        </w:rPr>
      </w:pPr>
    </w:p>
    <w:p w14:paraId="3311EDC3" w14:textId="694B579C" w:rsidR="00355F50" w:rsidRDefault="00035768" w:rsidP="00FB5E36">
      <w:pPr>
        <w:spacing w:after="0" w:line="240" w:lineRule="auto"/>
        <w:rPr>
          <w:rFonts w:ascii="Times New Roman" w:hAnsi="Times New Roman"/>
          <w:lang w:val="sk"/>
        </w:rPr>
      </w:pPr>
      <w:r>
        <w:rPr>
          <w:rFonts w:ascii="Times New Roman" w:hAnsi="Times New Roman"/>
          <w:lang w:val="sk"/>
        </w:rPr>
        <w:t>Keďže</w:t>
      </w:r>
      <w:r w:rsidR="00355F50" w:rsidRPr="00FB5E36">
        <w:rPr>
          <w:rFonts w:ascii="Times New Roman" w:hAnsi="Times New Roman"/>
          <w:lang w:val="sk"/>
        </w:rPr>
        <w:t xml:space="preserve"> je klírens sildenafilu u pacientov s poruchou funkcie obličiek znížený (</w:t>
      </w:r>
      <w:proofErr w:type="spellStart"/>
      <w:r w:rsidR="00355F50" w:rsidRPr="00FB5E36">
        <w:rPr>
          <w:rFonts w:ascii="Times New Roman" w:hAnsi="Times New Roman"/>
          <w:lang w:val="sk"/>
        </w:rPr>
        <w:t>klírens</w:t>
      </w:r>
      <w:proofErr w:type="spellEnd"/>
      <w:r w:rsidR="00355F50" w:rsidRPr="00FB5E36">
        <w:rPr>
          <w:rFonts w:ascii="Times New Roman" w:hAnsi="Times New Roman"/>
          <w:lang w:val="sk"/>
        </w:rPr>
        <w:t xml:space="preserve"> </w:t>
      </w:r>
      <w:proofErr w:type="spellStart"/>
      <w:r w:rsidR="00355F50" w:rsidRPr="00FB5E36">
        <w:rPr>
          <w:rFonts w:ascii="Times New Roman" w:hAnsi="Times New Roman"/>
          <w:lang w:val="sk"/>
        </w:rPr>
        <w:t>kreatinínu</w:t>
      </w:r>
      <w:proofErr w:type="spellEnd"/>
      <w:r w:rsidR="00355F50" w:rsidRPr="00FB5E36">
        <w:rPr>
          <w:rFonts w:ascii="Times New Roman" w:hAnsi="Times New Roman"/>
          <w:lang w:val="sk"/>
        </w:rPr>
        <w:t xml:space="preserve"> &lt;30</w:t>
      </w:r>
      <w:r w:rsidR="0080063F">
        <w:rPr>
          <w:rFonts w:ascii="Times New Roman" w:hAnsi="Times New Roman"/>
          <w:lang w:val="sk"/>
        </w:rPr>
        <w:t> </w:t>
      </w:r>
      <w:r w:rsidR="00355F50" w:rsidRPr="00FB5E36">
        <w:rPr>
          <w:rFonts w:ascii="Times New Roman" w:hAnsi="Times New Roman"/>
          <w:lang w:val="sk"/>
        </w:rPr>
        <w:t>m</w:t>
      </w:r>
      <w:r>
        <w:rPr>
          <w:rFonts w:ascii="Times New Roman" w:hAnsi="Times New Roman"/>
          <w:lang w:val="sk"/>
        </w:rPr>
        <w:t>l</w:t>
      </w:r>
      <w:r w:rsidR="00355F50" w:rsidRPr="00FB5E36">
        <w:rPr>
          <w:rFonts w:ascii="Times New Roman" w:hAnsi="Times New Roman"/>
          <w:lang w:val="sk"/>
        </w:rPr>
        <w:t xml:space="preserve">/min), malo by sa zvážiť podanie dávky 25 mg. Podľa účinnosti a tolerancie </w:t>
      </w:r>
      <w:r>
        <w:rPr>
          <w:rFonts w:ascii="Times New Roman" w:hAnsi="Times New Roman"/>
          <w:lang w:val="sk"/>
        </w:rPr>
        <w:t xml:space="preserve">sa </w:t>
      </w:r>
      <w:r w:rsidR="00355F50" w:rsidRPr="00FB5E36">
        <w:rPr>
          <w:rFonts w:ascii="Times New Roman" w:hAnsi="Times New Roman"/>
          <w:lang w:val="sk"/>
        </w:rPr>
        <w:t xml:space="preserve">dávka </w:t>
      </w:r>
      <w:r w:rsidRPr="00FB5E36">
        <w:rPr>
          <w:rFonts w:ascii="Times New Roman" w:hAnsi="Times New Roman"/>
          <w:lang w:val="sk"/>
        </w:rPr>
        <w:t xml:space="preserve">môže </w:t>
      </w:r>
      <w:r w:rsidR="00355F50" w:rsidRPr="00FB5E36">
        <w:rPr>
          <w:rFonts w:ascii="Times New Roman" w:hAnsi="Times New Roman"/>
          <w:lang w:val="sk"/>
        </w:rPr>
        <w:t>podľa potreby postupne zvýšiť na 50 mg až 100 mg.</w:t>
      </w:r>
    </w:p>
    <w:p w14:paraId="51DB10C7" w14:textId="77777777" w:rsidR="001E649B" w:rsidRPr="00F81584" w:rsidRDefault="001E649B" w:rsidP="00FB5E36">
      <w:pPr>
        <w:spacing w:after="0" w:line="240" w:lineRule="auto"/>
        <w:rPr>
          <w:rFonts w:ascii="Times New Roman" w:hAnsi="Times New Roman"/>
          <w:lang w:val="sk"/>
        </w:rPr>
      </w:pPr>
    </w:p>
    <w:p w14:paraId="5C1F924F"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Pacienti s poruchou funkcie pečene</w:t>
      </w:r>
    </w:p>
    <w:p w14:paraId="423CCFBE" w14:textId="0A6CF9C8" w:rsidR="00355F50" w:rsidRDefault="00035768" w:rsidP="00FB5E36">
      <w:pPr>
        <w:spacing w:after="0" w:line="240" w:lineRule="auto"/>
        <w:rPr>
          <w:rFonts w:ascii="Times New Roman" w:hAnsi="Times New Roman"/>
          <w:lang w:val="sk"/>
        </w:rPr>
      </w:pPr>
      <w:r>
        <w:rPr>
          <w:rFonts w:ascii="Times New Roman" w:hAnsi="Times New Roman"/>
          <w:lang w:val="sk"/>
        </w:rPr>
        <w:t>Keďže</w:t>
      </w:r>
      <w:r w:rsidR="00355F50" w:rsidRPr="00FB5E36">
        <w:rPr>
          <w:rFonts w:ascii="Times New Roman" w:hAnsi="Times New Roman"/>
          <w:lang w:val="sk"/>
        </w:rPr>
        <w:t xml:space="preserve"> je klírens sildenafilu u pacientov s poruchou funkcie pečene (napr. cirhóza) znížený, m</w:t>
      </w:r>
      <w:r w:rsidR="0080063F">
        <w:rPr>
          <w:rFonts w:ascii="Times New Roman" w:hAnsi="Times New Roman"/>
          <w:lang w:val="sk"/>
        </w:rPr>
        <w:t>á</w:t>
      </w:r>
      <w:r w:rsidR="00355F50" w:rsidRPr="00FB5E36">
        <w:rPr>
          <w:rFonts w:ascii="Times New Roman" w:hAnsi="Times New Roman"/>
          <w:lang w:val="sk"/>
        </w:rPr>
        <w:t xml:space="preserve"> sa zvážiť podanie dávky 25 mg. Podľa účinnosti a tolerancie sa dávka môže podľa potreby postupne zvýšiť na 50 mg až 75 mg a 100 mg.</w:t>
      </w:r>
    </w:p>
    <w:p w14:paraId="31FA8D35" w14:textId="77777777" w:rsidR="001E649B" w:rsidRPr="00FB5E36" w:rsidRDefault="001E649B" w:rsidP="00FB5E36">
      <w:pPr>
        <w:spacing w:after="0" w:line="240" w:lineRule="auto"/>
        <w:rPr>
          <w:rFonts w:ascii="Times New Roman" w:hAnsi="Times New Roman"/>
        </w:rPr>
      </w:pPr>
    </w:p>
    <w:p w14:paraId="7407F448" w14:textId="77777777" w:rsidR="00355F50" w:rsidRPr="00FB5E36" w:rsidRDefault="00355F50" w:rsidP="00FB5E36">
      <w:pPr>
        <w:spacing w:after="0" w:line="240" w:lineRule="auto"/>
        <w:rPr>
          <w:rFonts w:ascii="Times New Roman" w:hAnsi="Times New Roman"/>
          <w:i/>
          <w:iCs/>
        </w:rPr>
      </w:pPr>
      <w:r w:rsidRPr="00FB5E36">
        <w:rPr>
          <w:rFonts w:ascii="Times New Roman" w:hAnsi="Times New Roman"/>
          <w:i/>
          <w:iCs/>
          <w:lang w:val="sk"/>
        </w:rPr>
        <w:t>Pediatrická populácia</w:t>
      </w:r>
    </w:p>
    <w:p w14:paraId="703359AD" w14:textId="37C71AD0" w:rsidR="00355F50"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nie je indikovaný u</w:t>
      </w:r>
      <w:r w:rsidR="0080063F">
        <w:rPr>
          <w:rFonts w:ascii="Times New Roman" w:hAnsi="Times New Roman"/>
          <w:lang w:val="sk"/>
        </w:rPr>
        <w:t> </w:t>
      </w:r>
      <w:r w:rsidR="007F60AB" w:rsidRPr="00FB5E36">
        <w:rPr>
          <w:rFonts w:ascii="Times New Roman" w:hAnsi="Times New Roman"/>
          <w:lang w:val="sk"/>
        </w:rPr>
        <w:t>osôb mladších ako 18 rokov.</w:t>
      </w:r>
    </w:p>
    <w:p w14:paraId="7D0434DC" w14:textId="77777777" w:rsidR="001E649B" w:rsidRPr="00FB5E36" w:rsidRDefault="001E649B" w:rsidP="00FB5E36">
      <w:pPr>
        <w:spacing w:after="0" w:line="240" w:lineRule="auto"/>
        <w:rPr>
          <w:rFonts w:ascii="Times New Roman" w:hAnsi="Times New Roman"/>
        </w:rPr>
      </w:pPr>
    </w:p>
    <w:p w14:paraId="256CD53C" w14:textId="6C5C614C" w:rsidR="00355F50" w:rsidRPr="00FB5E36" w:rsidRDefault="00355F50" w:rsidP="00FB5E36">
      <w:pPr>
        <w:spacing w:after="0" w:line="240" w:lineRule="auto"/>
        <w:rPr>
          <w:rFonts w:ascii="Times New Roman" w:hAnsi="Times New Roman"/>
          <w:i/>
          <w:iCs/>
        </w:rPr>
      </w:pPr>
      <w:r w:rsidRPr="00FB5E36">
        <w:rPr>
          <w:rFonts w:ascii="Times New Roman" w:hAnsi="Times New Roman"/>
          <w:i/>
          <w:iCs/>
          <w:lang w:val="sk"/>
        </w:rPr>
        <w:t>Použitie u</w:t>
      </w:r>
      <w:r w:rsidR="0080063F">
        <w:rPr>
          <w:rFonts w:ascii="Times New Roman" w:hAnsi="Times New Roman"/>
          <w:i/>
          <w:iCs/>
          <w:lang w:val="sk"/>
        </w:rPr>
        <w:t> </w:t>
      </w:r>
      <w:r w:rsidRPr="00FB5E36">
        <w:rPr>
          <w:rFonts w:ascii="Times New Roman" w:hAnsi="Times New Roman"/>
          <w:i/>
          <w:iCs/>
          <w:lang w:val="sk"/>
        </w:rPr>
        <w:t>pacientov, ktorí užívajú iné lieky</w:t>
      </w:r>
    </w:p>
    <w:p w14:paraId="5B3D154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 výnimkou ritonaviru, ktorého súbežné podávanie so sildenafilom sa neodporúča (pozri časť 4.4), má sa u pacientov súbežne užívajúcich inhibítory CYP3A4 zvážiť úvodná dávka 25 mg (pozri časť 4.5).</w:t>
      </w:r>
    </w:p>
    <w:p w14:paraId="5165D3EE" w14:textId="77777777" w:rsidR="001E649B" w:rsidRPr="00FB5E36" w:rsidRDefault="001E649B" w:rsidP="00FB5E36">
      <w:pPr>
        <w:spacing w:after="0" w:line="240" w:lineRule="auto"/>
        <w:rPr>
          <w:rFonts w:ascii="Times New Roman" w:hAnsi="Times New Roman"/>
        </w:rPr>
      </w:pPr>
    </w:p>
    <w:p w14:paraId="4A801F76"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Pacienti liečení alfablokátormi musia byť pred začiatkom liečby sildenafilom stabilizovaní, aby sa minimalizovala možnosť vzniku posturálnej hypotenzie. Navyše sa má zvážiť úvodná dávka sildenafilu 25 mg (pozri časti 4.4 a 4.5).</w:t>
      </w:r>
    </w:p>
    <w:p w14:paraId="3043CF14" w14:textId="77777777" w:rsidR="00355F50" w:rsidRPr="00F81584" w:rsidRDefault="00355F50" w:rsidP="00FB5E36">
      <w:pPr>
        <w:spacing w:after="0" w:line="240" w:lineRule="auto"/>
        <w:rPr>
          <w:rFonts w:ascii="Times New Roman" w:hAnsi="Times New Roman"/>
          <w:lang w:val="sk"/>
        </w:rPr>
      </w:pPr>
    </w:p>
    <w:p w14:paraId="346C0A9B"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Spôsob podávania</w:t>
      </w:r>
    </w:p>
    <w:p w14:paraId="2FDFBC11" w14:textId="223B7CAB" w:rsidR="00EA7091"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w:t>
      </w:r>
      <w:proofErr w:type="spellStart"/>
      <w:r w:rsidR="007F60AB" w:rsidRPr="00FB5E36">
        <w:rPr>
          <w:rFonts w:ascii="Times New Roman" w:hAnsi="Times New Roman"/>
          <w:lang w:val="sk"/>
        </w:rPr>
        <w:t>orodispergovateľné</w:t>
      </w:r>
      <w:proofErr w:type="spellEnd"/>
      <w:r w:rsidR="007F60AB" w:rsidRPr="00FB5E36">
        <w:rPr>
          <w:rFonts w:ascii="Times New Roman" w:hAnsi="Times New Roman"/>
          <w:lang w:val="sk"/>
        </w:rPr>
        <w:t xml:space="preserve"> filmy sú určené </w:t>
      </w:r>
      <w:r w:rsidR="00035768">
        <w:rPr>
          <w:rFonts w:ascii="Times New Roman" w:hAnsi="Times New Roman"/>
          <w:lang w:val="sk"/>
        </w:rPr>
        <w:t>na</w:t>
      </w:r>
      <w:r w:rsidR="007F60AB" w:rsidRPr="00FB5E36">
        <w:rPr>
          <w:rFonts w:ascii="Times New Roman" w:hAnsi="Times New Roman"/>
          <w:lang w:val="sk"/>
        </w:rPr>
        <w:t xml:space="preserve"> perorálne užitie a užívajú sa bez vody. Ak pacient chce, môže </w:t>
      </w: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užiť s</w:t>
      </w:r>
      <w:r w:rsidR="0080063F">
        <w:rPr>
          <w:rFonts w:ascii="Times New Roman" w:hAnsi="Times New Roman"/>
          <w:lang w:val="sk"/>
        </w:rPr>
        <w:t> </w:t>
      </w:r>
      <w:r w:rsidR="007F60AB" w:rsidRPr="00FB5E36">
        <w:rPr>
          <w:rFonts w:ascii="Times New Roman" w:hAnsi="Times New Roman"/>
          <w:lang w:val="sk"/>
        </w:rPr>
        <w:t>vodou.</w:t>
      </w:r>
    </w:p>
    <w:p w14:paraId="353EB743" w14:textId="77777777" w:rsidR="001E649B" w:rsidRPr="00F81584" w:rsidRDefault="001E649B" w:rsidP="00FB5E36">
      <w:pPr>
        <w:spacing w:after="0" w:line="240" w:lineRule="auto"/>
        <w:rPr>
          <w:rFonts w:ascii="Times New Roman" w:hAnsi="Times New Roman"/>
          <w:lang w:val="sk"/>
        </w:rPr>
      </w:pPr>
    </w:p>
    <w:p w14:paraId="42094C13" w14:textId="77777777" w:rsidR="009819C9" w:rsidRPr="00F81584" w:rsidRDefault="009819C9" w:rsidP="00FB5E36">
      <w:pPr>
        <w:spacing w:after="0" w:line="240" w:lineRule="auto"/>
        <w:rPr>
          <w:rFonts w:ascii="Times New Roman" w:hAnsi="Times New Roman"/>
          <w:lang w:val="sk"/>
        </w:rPr>
      </w:pPr>
      <w:r w:rsidRPr="00FB5E36">
        <w:rPr>
          <w:rFonts w:ascii="Times New Roman" w:hAnsi="Times New Roman"/>
          <w:lang w:val="sk"/>
        </w:rPr>
        <w:t>Orodispergovateľný film sa musí vložiť do úst, na jazyk a prehltnúť, až keď sa rozpustí. Liek sa musí užiť okamžite po vybratí z</w:t>
      </w:r>
      <w:r w:rsidR="00035768">
        <w:rPr>
          <w:rFonts w:ascii="Times New Roman" w:hAnsi="Times New Roman"/>
          <w:lang w:val="sk"/>
        </w:rPr>
        <w:t xml:space="preserve"> vrecka</w:t>
      </w:r>
      <w:r w:rsidRPr="00FB5E36">
        <w:rPr>
          <w:rFonts w:ascii="Times New Roman" w:hAnsi="Times New Roman"/>
          <w:lang w:val="sk"/>
        </w:rPr>
        <w:t>.</w:t>
      </w:r>
    </w:p>
    <w:p w14:paraId="79B83A5C" w14:textId="77777777" w:rsidR="00355F50" w:rsidRPr="00F81584" w:rsidRDefault="00355F50" w:rsidP="00FB5E36">
      <w:pPr>
        <w:spacing w:after="0" w:line="240" w:lineRule="auto"/>
        <w:rPr>
          <w:rFonts w:ascii="Times New Roman" w:hAnsi="Times New Roman"/>
          <w:lang w:val="sk"/>
        </w:rPr>
      </w:pPr>
    </w:p>
    <w:p w14:paraId="2BA3C3E0"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4.3 Kontraindikácie</w:t>
      </w:r>
    </w:p>
    <w:p w14:paraId="449E23F1" w14:textId="77777777" w:rsidR="001E649B" w:rsidRDefault="001E649B" w:rsidP="00FB5E36">
      <w:pPr>
        <w:spacing w:after="0" w:line="240" w:lineRule="auto"/>
        <w:jc w:val="both"/>
        <w:rPr>
          <w:rFonts w:ascii="Times New Roman" w:hAnsi="Times New Roman"/>
          <w:lang w:val="sk"/>
        </w:rPr>
      </w:pPr>
    </w:p>
    <w:p w14:paraId="01D5BDE7"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Precitlivenosť na liečivo alebo na ktorúkoľvek z pomocných látok uvedených v časti 6.1.</w:t>
      </w:r>
    </w:p>
    <w:p w14:paraId="7FE3093A" w14:textId="77777777" w:rsidR="001E649B" w:rsidRPr="00F81584" w:rsidRDefault="001E649B" w:rsidP="00FB5E36">
      <w:pPr>
        <w:spacing w:after="0" w:line="240" w:lineRule="auto"/>
        <w:jc w:val="both"/>
        <w:rPr>
          <w:rFonts w:ascii="Times New Roman" w:hAnsi="Times New Roman"/>
          <w:lang w:val="sk"/>
        </w:rPr>
      </w:pPr>
    </w:p>
    <w:p w14:paraId="43E5ECC2"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 xml:space="preserve">V súlade so známym účinkom na metabolickú cestu oxidu </w:t>
      </w:r>
      <w:r w:rsidRPr="008B2F4A">
        <w:rPr>
          <w:rFonts w:ascii="Times New Roman" w:hAnsi="Times New Roman"/>
          <w:lang w:val="sk"/>
        </w:rPr>
        <w:t>dusnatého</w:t>
      </w:r>
      <w:r w:rsidRPr="00FB5E36">
        <w:rPr>
          <w:rFonts w:ascii="Times New Roman" w:hAnsi="Times New Roman"/>
          <w:lang w:val="sk"/>
        </w:rPr>
        <w:t xml:space="preserve">/cyklického guanozínmonofosfátu (cGMP) (pozri časť 5.1) sa preukázalo, že sildenafil zosilňuje hypotenzívny účinok nitrátov, a preto je jeho súbežné podávanie s donormi oxidu dusnatého (ako je </w:t>
      </w:r>
      <w:r w:rsidRPr="008B2F4A">
        <w:rPr>
          <w:rFonts w:ascii="Times New Roman" w:hAnsi="Times New Roman"/>
          <w:lang w:val="sk"/>
        </w:rPr>
        <w:t>amylnitrit)</w:t>
      </w:r>
      <w:r w:rsidRPr="00FB5E36">
        <w:rPr>
          <w:rFonts w:ascii="Times New Roman" w:hAnsi="Times New Roman"/>
          <w:lang w:val="sk"/>
        </w:rPr>
        <w:t xml:space="preserve"> alebo nitrátmi v akejkoľvek forme kontraindikované.</w:t>
      </w:r>
    </w:p>
    <w:p w14:paraId="66B8B49A" w14:textId="77777777" w:rsidR="001E649B" w:rsidRPr="00F81584" w:rsidRDefault="001E649B" w:rsidP="00FB5E36">
      <w:pPr>
        <w:spacing w:after="0" w:line="240" w:lineRule="auto"/>
        <w:jc w:val="both"/>
        <w:rPr>
          <w:rFonts w:ascii="Times New Roman" w:hAnsi="Times New Roman"/>
          <w:lang w:val="sk"/>
        </w:rPr>
      </w:pPr>
    </w:p>
    <w:p w14:paraId="56F567E3" w14:textId="77777777" w:rsidR="009819C9" w:rsidRDefault="009819C9" w:rsidP="00FB5E36">
      <w:pPr>
        <w:spacing w:after="0" w:line="240" w:lineRule="auto"/>
        <w:jc w:val="both"/>
        <w:rPr>
          <w:rFonts w:ascii="Times New Roman" w:hAnsi="Times New Roman"/>
          <w:lang w:val="sk"/>
        </w:rPr>
      </w:pPr>
      <w:r w:rsidRPr="00FB5E36">
        <w:rPr>
          <w:rFonts w:ascii="Times New Roman" w:hAnsi="Times New Roman"/>
          <w:lang w:val="sk"/>
        </w:rPr>
        <w:t xml:space="preserve">Súbežné podanie inhibítorov PDE5, </w:t>
      </w:r>
      <w:r w:rsidR="000244F8">
        <w:rPr>
          <w:rFonts w:ascii="Times New Roman" w:hAnsi="Times New Roman"/>
          <w:lang w:val="sk"/>
        </w:rPr>
        <w:t xml:space="preserve"> vrátane</w:t>
      </w:r>
      <w:r w:rsidRPr="00FB5E36">
        <w:rPr>
          <w:rFonts w:ascii="Times New Roman" w:hAnsi="Times New Roman"/>
          <w:lang w:val="sk"/>
        </w:rPr>
        <w:t xml:space="preserve"> sildenafilu</w:t>
      </w:r>
      <w:r w:rsidR="00035768">
        <w:rPr>
          <w:rFonts w:ascii="Times New Roman" w:hAnsi="Times New Roman"/>
          <w:lang w:val="sk"/>
        </w:rPr>
        <w:t>,</w:t>
      </w:r>
      <w:r w:rsidRPr="00FB5E36">
        <w:rPr>
          <w:rFonts w:ascii="Times New Roman" w:hAnsi="Times New Roman"/>
          <w:lang w:val="sk"/>
        </w:rPr>
        <w:t xml:space="preserve"> so stimulátormi guanylátcyklázy, akým je riociguát, je kontraindikované, </w:t>
      </w:r>
      <w:r w:rsidR="00035768">
        <w:rPr>
          <w:rFonts w:ascii="Times New Roman" w:hAnsi="Times New Roman"/>
          <w:lang w:val="sk"/>
        </w:rPr>
        <w:t>keďže to</w:t>
      </w:r>
      <w:r w:rsidRPr="00FB5E36">
        <w:rPr>
          <w:rFonts w:ascii="Times New Roman" w:hAnsi="Times New Roman"/>
          <w:lang w:val="sk"/>
        </w:rPr>
        <w:t xml:space="preserve"> môže viesť k symptomatickej hypotenzii (pozri časť 4.5).</w:t>
      </w:r>
    </w:p>
    <w:p w14:paraId="1F9F578B" w14:textId="77777777" w:rsidR="001E649B" w:rsidRPr="00F81584" w:rsidRDefault="001E649B" w:rsidP="00FB5E36">
      <w:pPr>
        <w:spacing w:after="0" w:line="240" w:lineRule="auto"/>
        <w:jc w:val="both"/>
        <w:rPr>
          <w:rFonts w:ascii="Times New Roman" w:hAnsi="Times New Roman"/>
          <w:lang w:val="sk"/>
        </w:rPr>
      </w:pPr>
    </w:p>
    <w:p w14:paraId="3EEE2E70"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Látky určené na liečbu erektilnej dysfunkcie,</w:t>
      </w:r>
      <w:r w:rsidR="000244F8">
        <w:rPr>
          <w:rFonts w:ascii="Times New Roman" w:hAnsi="Times New Roman"/>
          <w:lang w:val="sk"/>
        </w:rPr>
        <w:t xml:space="preserve"> vrátane </w:t>
      </w:r>
      <w:r w:rsidRPr="00FB5E36">
        <w:rPr>
          <w:rFonts w:ascii="Times New Roman" w:hAnsi="Times New Roman"/>
          <w:lang w:val="sk"/>
        </w:rPr>
        <w:t xml:space="preserve"> sildenafilu, by nemali užívať muži, u ktorých sa sexuálna aktivita neodporúča (napr. pacienti so závažnými kardiovaskulárnymi poruchami, ako je nestabilná angína pektoris alebo ťažké srdcové zlyhávanie).</w:t>
      </w:r>
    </w:p>
    <w:p w14:paraId="52784857" w14:textId="77777777" w:rsidR="001E649B" w:rsidRPr="00F81584" w:rsidRDefault="001E649B" w:rsidP="00FB5E36">
      <w:pPr>
        <w:spacing w:after="0" w:line="240" w:lineRule="auto"/>
        <w:jc w:val="both"/>
        <w:rPr>
          <w:rFonts w:ascii="Times New Roman" w:hAnsi="Times New Roman"/>
          <w:lang w:val="sk"/>
        </w:rPr>
      </w:pPr>
    </w:p>
    <w:p w14:paraId="6B7C20A6" w14:textId="7B1D5A29" w:rsidR="00355F50" w:rsidRDefault="00F81584" w:rsidP="00FB5E36">
      <w:pPr>
        <w:spacing w:after="0" w:line="240" w:lineRule="auto"/>
        <w:jc w:val="both"/>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je kontraindikovaný u</w:t>
      </w:r>
      <w:r w:rsidR="0080063F">
        <w:rPr>
          <w:rFonts w:ascii="Times New Roman" w:hAnsi="Times New Roman"/>
          <w:lang w:val="sk"/>
        </w:rPr>
        <w:t> </w:t>
      </w:r>
      <w:r w:rsidR="007F60AB" w:rsidRPr="00FB5E36">
        <w:rPr>
          <w:rFonts w:ascii="Times New Roman" w:hAnsi="Times New Roman"/>
          <w:lang w:val="sk"/>
        </w:rPr>
        <w:t xml:space="preserve">pacientov, ktorí nevidia na jedno oko v dôsledku </w:t>
      </w:r>
      <w:proofErr w:type="spellStart"/>
      <w:r w:rsidR="007F60AB" w:rsidRPr="00FB5E36">
        <w:rPr>
          <w:rFonts w:ascii="Times New Roman" w:hAnsi="Times New Roman"/>
          <w:lang w:val="sk"/>
        </w:rPr>
        <w:t>nearteritickej</w:t>
      </w:r>
      <w:proofErr w:type="spellEnd"/>
      <w:r w:rsidR="007F60AB" w:rsidRPr="00FB5E36">
        <w:rPr>
          <w:rFonts w:ascii="Times New Roman" w:hAnsi="Times New Roman"/>
          <w:lang w:val="sk"/>
        </w:rPr>
        <w:t xml:space="preserve"> prednej ischemickej </w:t>
      </w:r>
      <w:proofErr w:type="spellStart"/>
      <w:r w:rsidR="007F60AB" w:rsidRPr="00FB5E36">
        <w:rPr>
          <w:rFonts w:ascii="Times New Roman" w:hAnsi="Times New Roman"/>
          <w:lang w:val="sk"/>
        </w:rPr>
        <w:t>neuropatie</w:t>
      </w:r>
      <w:proofErr w:type="spellEnd"/>
      <w:r w:rsidR="007F60AB" w:rsidRPr="00FB5E36">
        <w:rPr>
          <w:rFonts w:ascii="Times New Roman" w:hAnsi="Times New Roman"/>
          <w:lang w:val="sk"/>
        </w:rPr>
        <w:t xml:space="preserve"> zrakového nervu (</w:t>
      </w:r>
      <w:proofErr w:type="spellStart"/>
      <w:r w:rsidR="00035768" w:rsidRPr="003D6E6E">
        <w:rPr>
          <w:rFonts w:ascii="Times New Roman" w:hAnsi="Times New Roman"/>
          <w:lang w:val="sk"/>
        </w:rPr>
        <w:t>non-arteritic</w:t>
      </w:r>
      <w:proofErr w:type="spellEnd"/>
      <w:r w:rsidR="00035768" w:rsidRPr="003D6E6E">
        <w:rPr>
          <w:rFonts w:ascii="Times New Roman" w:hAnsi="Times New Roman"/>
          <w:lang w:val="sk"/>
        </w:rPr>
        <w:t xml:space="preserve"> </w:t>
      </w:r>
      <w:proofErr w:type="spellStart"/>
      <w:r w:rsidR="00035768" w:rsidRPr="003D6E6E">
        <w:rPr>
          <w:rFonts w:ascii="Times New Roman" w:hAnsi="Times New Roman"/>
          <w:lang w:val="sk"/>
        </w:rPr>
        <w:t>anterior</w:t>
      </w:r>
      <w:proofErr w:type="spellEnd"/>
      <w:r w:rsidR="00035768" w:rsidRPr="003D6E6E">
        <w:rPr>
          <w:rFonts w:ascii="Times New Roman" w:hAnsi="Times New Roman"/>
          <w:lang w:val="sk"/>
        </w:rPr>
        <w:t xml:space="preserve"> </w:t>
      </w:r>
      <w:proofErr w:type="spellStart"/>
      <w:r w:rsidR="00035768" w:rsidRPr="003D6E6E">
        <w:rPr>
          <w:rFonts w:ascii="Times New Roman" w:hAnsi="Times New Roman"/>
          <w:lang w:val="sk"/>
        </w:rPr>
        <w:t>ischaemic</w:t>
      </w:r>
      <w:proofErr w:type="spellEnd"/>
      <w:r w:rsidR="00035768" w:rsidRPr="003D6E6E">
        <w:rPr>
          <w:rFonts w:ascii="Times New Roman" w:hAnsi="Times New Roman"/>
          <w:lang w:val="sk"/>
        </w:rPr>
        <w:t xml:space="preserve"> </w:t>
      </w:r>
      <w:proofErr w:type="spellStart"/>
      <w:r w:rsidR="00035768" w:rsidRPr="003D6E6E">
        <w:rPr>
          <w:rFonts w:ascii="Times New Roman" w:hAnsi="Times New Roman"/>
          <w:lang w:val="sk"/>
        </w:rPr>
        <w:t>optic</w:t>
      </w:r>
      <w:proofErr w:type="spellEnd"/>
      <w:r w:rsidR="00035768" w:rsidRPr="003D6E6E">
        <w:rPr>
          <w:rFonts w:ascii="Times New Roman" w:hAnsi="Times New Roman"/>
          <w:lang w:val="sk"/>
        </w:rPr>
        <w:t xml:space="preserve"> </w:t>
      </w:r>
      <w:proofErr w:type="spellStart"/>
      <w:r w:rsidR="00035768" w:rsidRPr="003D6E6E">
        <w:rPr>
          <w:rFonts w:ascii="Times New Roman" w:hAnsi="Times New Roman"/>
          <w:lang w:val="sk"/>
        </w:rPr>
        <w:t>neuropathy</w:t>
      </w:r>
      <w:proofErr w:type="spellEnd"/>
      <w:r w:rsidR="00035768" w:rsidRPr="003D6E6E">
        <w:rPr>
          <w:rFonts w:ascii="Times New Roman" w:hAnsi="Times New Roman"/>
          <w:lang w:val="sk"/>
        </w:rPr>
        <w:t xml:space="preserve">, </w:t>
      </w:r>
      <w:r w:rsidR="007F60AB" w:rsidRPr="00FB5E36">
        <w:rPr>
          <w:rFonts w:ascii="Times New Roman" w:hAnsi="Times New Roman"/>
          <w:lang w:val="sk"/>
        </w:rPr>
        <w:lastRenderedPageBreak/>
        <w:t>NAION), bez ohľadu na to, či táto epizóda súvisela alebo nesúvisela s predchádzajúcou expozíciou inhibítoru PDE5 (pozri časť 4.4).</w:t>
      </w:r>
    </w:p>
    <w:p w14:paraId="13FD617D" w14:textId="77777777" w:rsidR="001E649B" w:rsidRPr="00F81584" w:rsidRDefault="001E649B" w:rsidP="00FB5E36">
      <w:pPr>
        <w:spacing w:after="0" w:line="240" w:lineRule="auto"/>
        <w:jc w:val="both"/>
        <w:rPr>
          <w:rFonts w:ascii="Times New Roman" w:hAnsi="Times New Roman"/>
          <w:lang w:val="sk"/>
        </w:rPr>
      </w:pPr>
    </w:p>
    <w:p w14:paraId="7A91C283" w14:textId="77777777" w:rsidR="00355F50" w:rsidRPr="00F81584" w:rsidRDefault="00035768" w:rsidP="00FB5E36">
      <w:pPr>
        <w:spacing w:after="0" w:line="240" w:lineRule="auto"/>
        <w:jc w:val="both"/>
        <w:rPr>
          <w:rFonts w:ascii="Times New Roman" w:hAnsi="Times New Roman"/>
          <w:i/>
          <w:iCs/>
          <w:lang w:val="sk"/>
        </w:rPr>
      </w:pPr>
      <w:r>
        <w:rPr>
          <w:rFonts w:ascii="Times New Roman" w:hAnsi="Times New Roman"/>
          <w:lang w:val="sk"/>
        </w:rPr>
        <w:t>Keďže</w:t>
      </w:r>
      <w:r w:rsidR="00355F50" w:rsidRPr="00FB5E36">
        <w:rPr>
          <w:rFonts w:ascii="Times New Roman" w:hAnsi="Times New Roman"/>
          <w:lang w:val="sk"/>
        </w:rPr>
        <w:t xml:space="preserve"> sa bezpečnosť sildenafilu u nasledujúcich podskupín pacientov neskúmala, jeho užívanie je kontraindikované v prípade ťažkej poruchy funkcie pečene, hypotenzie (krvný tlak &lt;90/50 mmHg), nedávno prekonanej mozgovej príhody alebo infarktu myokardu a známych dedičných degeneratívnych ochorení sietnice, ako je </w:t>
      </w:r>
      <w:r w:rsidR="00355F50" w:rsidRPr="00726353">
        <w:rPr>
          <w:rFonts w:ascii="Times New Roman" w:hAnsi="Times New Roman"/>
          <w:i/>
          <w:lang w:val="sk"/>
        </w:rPr>
        <w:t>retinitis pigmentosa</w:t>
      </w:r>
      <w:r w:rsidR="00355F50" w:rsidRPr="00FB5E36">
        <w:rPr>
          <w:rFonts w:ascii="Times New Roman" w:hAnsi="Times New Roman"/>
          <w:lang w:val="sk"/>
        </w:rPr>
        <w:t xml:space="preserve"> (menšia časť týchto pacientov má genetickú poruchu retinálnej fosfodiesterázy).</w:t>
      </w:r>
    </w:p>
    <w:p w14:paraId="44E00E15" w14:textId="77777777" w:rsidR="00355F50" w:rsidRPr="00F81584" w:rsidRDefault="00355F50" w:rsidP="00FB5E36">
      <w:pPr>
        <w:spacing w:after="0" w:line="240" w:lineRule="auto"/>
        <w:rPr>
          <w:rFonts w:ascii="Times New Roman" w:hAnsi="Times New Roman"/>
          <w:i/>
          <w:iCs/>
          <w:lang w:val="sk"/>
        </w:rPr>
      </w:pPr>
    </w:p>
    <w:p w14:paraId="62890415" w14:textId="77777777" w:rsidR="00355F50" w:rsidRPr="00FB5E36" w:rsidRDefault="00355F50" w:rsidP="00FB5E36">
      <w:pPr>
        <w:pStyle w:val="Nadpis3"/>
        <w:spacing w:before="0" w:line="240" w:lineRule="auto"/>
        <w:rPr>
          <w:rFonts w:cs="Times New Roman"/>
        </w:rPr>
      </w:pPr>
      <w:r w:rsidRPr="00FB5E36">
        <w:rPr>
          <w:rFonts w:cs="Times New Roman"/>
          <w:lang w:val="sk"/>
        </w:rPr>
        <w:t>4.4 Osobitné upozornenia a opatrenia pri používaní</w:t>
      </w:r>
    </w:p>
    <w:p w14:paraId="3D6E8C45" w14:textId="77777777" w:rsidR="001E649B" w:rsidRDefault="001E649B" w:rsidP="00FB5E36">
      <w:pPr>
        <w:spacing w:after="0" w:line="240" w:lineRule="auto"/>
        <w:rPr>
          <w:rFonts w:ascii="Times New Roman" w:hAnsi="Times New Roman"/>
          <w:lang w:val="sk"/>
        </w:rPr>
      </w:pPr>
    </w:p>
    <w:p w14:paraId="5508097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Skôr ako sa začne uvažovať o farmakologickej liečbe, je nutné pristúpiť k zdravotnej anamnéze a fyzikálnemu vyšetreniu, aby sa diagnostikovala erektilná dysfunkcia a určili možné príčiny daného stavu.</w:t>
      </w:r>
    </w:p>
    <w:p w14:paraId="305FB7E7" w14:textId="77777777" w:rsidR="001E649B" w:rsidRPr="00F81584" w:rsidRDefault="001E649B" w:rsidP="00FB5E36">
      <w:pPr>
        <w:spacing w:after="0" w:line="240" w:lineRule="auto"/>
        <w:rPr>
          <w:rFonts w:ascii="Times New Roman" w:hAnsi="Times New Roman"/>
          <w:lang w:val="sk"/>
        </w:rPr>
      </w:pPr>
    </w:p>
    <w:p w14:paraId="631EF00F"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Kardiovaskulárne rizikové faktory</w:t>
      </w:r>
    </w:p>
    <w:p w14:paraId="34EC52CE"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Pred začatím akejkoľvek liečby erektilnej dysfunkcie musia lekári preskúmať kardiovaskulárny stav pacientov, </w:t>
      </w:r>
      <w:r w:rsidR="00E27C56">
        <w:rPr>
          <w:rFonts w:ascii="Times New Roman" w:hAnsi="Times New Roman"/>
          <w:lang w:val="sk"/>
        </w:rPr>
        <w:t>keďže</w:t>
      </w:r>
      <w:r w:rsidRPr="00FB5E36">
        <w:rPr>
          <w:rFonts w:ascii="Times New Roman" w:hAnsi="Times New Roman"/>
          <w:lang w:val="sk"/>
        </w:rPr>
        <w:t xml:space="preserve"> sexuálna aktivita je spojená s istým stupňom kardiálneho rizika. Sildenafil má vazodilatačné vlastnosti, ktoré vedú k miernemu a prechodnému zníženiu krvného tlaku (pozri časť 5.1). Pred predpísaním sildenafilu musí lekár dôkladne zvážiť, či pacient netrpí takým ochorením, ktorého priebeh by mohli </w:t>
      </w:r>
      <w:r w:rsidR="00E27C56">
        <w:rPr>
          <w:rFonts w:ascii="Times New Roman" w:hAnsi="Times New Roman"/>
          <w:lang w:val="sk"/>
        </w:rPr>
        <w:t xml:space="preserve">uvedené </w:t>
      </w:r>
      <w:r w:rsidRPr="00FB5E36">
        <w:rPr>
          <w:rFonts w:ascii="Times New Roman" w:hAnsi="Times New Roman"/>
          <w:lang w:val="sk"/>
        </w:rPr>
        <w:t xml:space="preserve">vazodilatačné účinky nepriaznivo ovplyvniť, najmä v kombinácii so sexuálnou aktivitou. Medzi pacientov so zvýšenou citlivosťou </w:t>
      </w:r>
      <w:r w:rsidRPr="008B2F4A">
        <w:rPr>
          <w:rFonts w:ascii="Times New Roman" w:hAnsi="Times New Roman"/>
          <w:lang w:val="sk"/>
        </w:rPr>
        <w:t>na podanie</w:t>
      </w:r>
      <w:r w:rsidRPr="00FB5E36">
        <w:rPr>
          <w:rFonts w:ascii="Times New Roman" w:hAnsi="Times New Roman"/>
          <w:lang w:val="sk"/>
        </w:rPr>
        <w:t xml:space="preserve"> vazodilatátorov patria najmä pacienti s obštrukciou výtoku z ľavej komory (napr. aortálna stenóza, hypertrofická obštrukčná kardiomyopatia), alebo pacienti so zriedkavým syndrómom multisystémovej atrofie, ktorý sa manifestuje ako ťažké poškodenie autonómnej kontroly krvného tlaku.</w:t>
      </w:r>
    </w:p>
    <w:p w14:paraId="69317D21" w14:textId="77777777" w:rsidR="001E649B" w:rsidRPr="00F81584" w:rsidRDefault="001E649B" w:rsidP="00FB5E36">
      <w:pPr>
        <w:spacing w:after="0" w:line="240" w:lineRule="auto"/>
        <w:rPr>
          <w:rFonts w:ascii="Times New Roman" w:hAnsi="Times New Roman"/>
          <w:lang w:val="sk"/>
        </w:rPr>
      </w:pPr>
    </w:p>
    <w:p w14:paraId="2A9A4217" w14:textId="3018CB1C" w:rsidR="00355F50"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w:t>
      </w:r>
      <w:proofErr w:type="spellStart"/>
      <w:r w:rsidR="007F60AB" w:rsidRPr="00FB5E36">
        <w:rPr>
          <w:rFonts w:ascii="Times New Roman" w:hAnsi="Times New Roman"/>
          <w:lang w:val="sk"/>
        </w:rPr>
        <w:t>potencuje</w:t>
      </w:r>
      <w:proofErr w:type="spellEnd"/>
      <w:r w:rsidR="007F60AB" w:rsidRPr="00FB5E36">
        <w:rPr>
          <w:rFonts w:ascii="Times New Roman" w:hAnsi="Times New Roman"/>
          <w:lang w:val="sk"/>
        </w:rPr>
        <w:t xml:space="preserve"> </w:t>
      </w:r>
      <w:proofErr w:type="spellStart"/>
      <w:r w:rsidR="007F60AB" w:rsidRPr="00FB5E36">
        <w:rPr>
          <w:rFonts w:ascii="Times New Roman" w:hAnsi="Times New Roman"/>
          <w:lang w:val="sk"/>
        </w:rPr>
        <w:t>hypotenzný</w:t>
      </w:r>
      <w:proofErr w:type="spellEnd"/>
      <w:r w:rsidR="007F60AB" w:rsidRPr="00FB5E36">
        <w:rPr>
          <w:rFonts w:ascii="Times New Roman" w:hAnsi="Times New Roman"/>
          <w:lang w:val="sk"/>
        </w:rPr>
        <w:t xml:space="preserve"> účinok nitrátov (pozri časť 4.3)</w:t>
      </w:r>
      <w:r w:rsidR="009C5A5E" w:rsidRPr="00FB5E36">
        <w:rPr>
          <w:rFonts w:ascii="Times New Roman" w:hAnsi="Times New Roman"/>
          <w:lang w:val="sk"/>
        </w:rPr>
        <w:t>.</w:t>
      </w:r>
    </w:p>
    <w:p w14:paraId="7AE643CB" w14:textId="77777777" w:rsidR="001E649B" w:rsidRPr="00F81584" w:rsidRDefault="001E649B" w:rsidP="00FB5E36">
      <w:pPr>
        <w:spacing w:after="0" w:line="240" w:lineRule="auto"/>
        <w:rPr>
          <w:rFonts w:ascii="Times New Roman" w:hAnsi="Times New Roman"/>
          <w:lang w:val="sk"/>
        </w:rPr>
      </w:pPr>
    </w:p>
    <w:p w14:paraId="6EC3C1F9"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 uvedení lieku na trh boli v časovej súvislosti s užívaním sildenafilu hlásené závažné kardiovaskulárne príhody vrátane infarktu myokardu, nestabilnej angíny pektoris, náhlej srdcovej smrti, komorovej arytmie, cerebrovaskulárnej hemorágie, tranzitórneho ischemického ataku, hypertenzie a hypotenzie.</w:t>
      </w:r>
    </w:p>
    <w:p w14:paraId="66F557C7" w14:textId="77777777" w:rsidR="001E649B" w:rsidRPr="00F81584" w:rsidRDefault="001E649B" w:rsidP="00FB5E36">
      <w:pPr>
        <w:spacing w:after="0" w:line="240" w:lineRule="auto"/>
        <w:rPr>
          <w:rFonts w:ascii="Times New Roman" w:hAnsi="Times New Roman"/>
          <w:lang w:val="sk"/>
        </w:rPr>
      </w:pPr>
    </w:p>
    <w:p w14:paraId="6D3563E7" w14:textId="02E4408A"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U väčšiny týchto pacientov, ale nie u všetkých, boli prítomné skôr existujúce kardiovaskulárne rizikové faktory. Mnohé z týchto hlásených príhod sa vyskytli počas alebo krátko po pohlavnom styku a niekoľko z nich sa vyskytlo krátko po užití </w:t>
      </w:r>
      <w:r w:rsidR="00F81584">
        <w:rPr>
          <w:rFonts w:ascii="Times New Roman" w:hAnsi="Times New Roman"/>
          <w:lang w:val="sk"/>
        </w:rPr>
        <w:t>SIL</w:t>
      </w:r>
      <w:r w:rsidR="0080063F">
        <w:rPr>
          <w:rFonts w:ascii="Times New Roman" w:hAnsi="Times New Roman"/>
          <w:lang w:val="sk"/>
        </w:rPr>
        <w:t>ANDYLU</w:t>
      </w:r>
      <w:r w:rsidRPr="00FB5E36">
        <w:rPr>
          <w:rFonts w:ascii="Times New Roman" w:hAnsi="Times New Roman"/>
          <w:lang w:val="sk"/>
        </w:rPr>
        <w:t>, ale bez sexuálnej aktivity. Nie je možné určiť, či tieto príhody priamo súvisia s uvedenými faktormi alebo s inými faktormi.</w:t>
      </w:r>
    </w:p>
    <w:p w14:paraId="3446835D" w14:textId="77777777" w:rsidR="001E649B" w:rsidRPr="00F81584" w:rsidRDefault="001E649B" w:rsidP="00FB5E36">
      <w:pPr>
        <w:spacing w:after="0" w:line="240" w:lineRule="auto"/>
        <w:rPr>
          <w:rFonts w:ascii="Times New Roman" w:hAnsi="Times New Roman"/>
          <w:lang w:val="sk"/>
        </w:rPr>
      </w:pPr>
    </w:p>
    <w:p w14:paraId="102A56BD"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Priapizmus</w:t>
      </w:r>
    </w:p>
    <w:p w14:paraId="434E3CDE"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Látky na liečbu erektilnej dysfunkcie, vrátane sildenafilu, musia užívať opatrne pacienti s anatomickou deformáciou penisu (ako angulácia, kavernózna fibróza alebo Peyronieho choroba), alebo pacienti s ochoreniami, ktoré predisponujú k priapizmu (ako kosáčiková anémia, mnohonásobný myelóm alebo leukémia).</w:t>
      </w:r>
    </w:p>
    <w:p w14:paraId="2B81F0EF" w14:textId="77777777" w:rsidR="001E649B" w:rsidRPr="00F81584" w:rsidRDefault="001E649B" w:rsidP="00FB5E36">
      <w:pPr>
        <w:spacing w:after="0" w:line="240" w:lineRule="auto"/>
        <w:rPr>
          <w:rFonts w:ascii="Times New Roman" w:hAnsi="Times New Roman"/>
          <w:lang w:val="sk"/>
        </w:rPr>
      </w:pPr>
    </w:p>
    <w:p w14:paraId="3304C3F6"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Predĺžené erekcie a priapizmus boli hlásené u sildenafilu v postregistračnej praxi. V prípade erekcie, ktorá pretrváva dlhšie ako 4 hodiny, musí pacient okamžite vyhľadať lekársku pomoc. Ak sa priapizmus neošetrí okamžite, môže dôjsť k poškodeniu tkaniva penisu a k trvalej strate potencie.</w:t>
      </w:r>
    </w:p>
    <w:p w14:paraId="58DE849D" w14:textId="77777777" w:rsidR="00DB0005" w:rsidRPr="00F81584" w:rsidRDefault="00DB0005" w:rsidP="00FB5E36">
      <w:pPr>
        <w:spacing w:after="0" w:line="240" w:lineRule="auto"/>
        <w:rPr>
          <w:rFonts w:ascii="Times New Roman" w:hAnsi="Times New Roman"/>
          <w:u w:val="single"/>
          <w:lang w:val="sk"/>
        </w:rPr>
      </w:pPr>
    </w:p>
    <w:p w14:paraId="6B92697A"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Súbežné užívanie sildenafilu s inými inhibítormi PDE5 alebo inými liečebnými postupmi na liečbu erektilnej dysfunkcie</w:t>
      </w:r>
    </w:p>
    <w:p w14:paraId="6AE5637B"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Bezpečnosť a účinnosť kombinácií sildenafilu s inými inhibítormi PDE5 alebo inými liečebnými postupmi na liečbu pľúcnej artériovej hypertenzie (PAH) obsahujúcimi sildenafil (REVATIO) alebo inými liečebnými postupmi na liečbu erektilnej dysfunkcie doposiaľ nebola študovaná. Preto sa použitie týchto kombinácií neodporúča.</w:t>
      </w:r>
    </w:p>
    <w:p w14:paraId="7D2650C1" w14:textId="77777777" w:rsidR="001E649B" w:rsidRPr="00F81584" w:rsidRDefault="001E649B" w:rsidP="00FB5E36">
      <w:pPr>
        <w:spacing w:after="0" w:line="240" w:lineRule="auto"/>
        <w:rPr>
          <w:rFonts w:ascii="Times New Roman" w:hAnsi="Times New Roman"/>
          <w:lang w:val="sk"/>
        </w:rPr>
      </w:pPr>
    </w:p>
    <w:p w14:paraId="41F4EBAF"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lastRenderedPageBreak/>
        <w:t>Účinky na zrak</w:t>
      </w:r>
    </w:p>
    <w:p w14:paraId="6C025DE1" w14:textId="1BE1A28E"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V súvislosti s užitím sildenafilu a ostatných inhibítorov PDE5 boli spontánne </w:t>
      </w:r>
      <w:r w:rsidR="00E27C56">
        <w:rPr>
          <w:rFonts w:ascii="Times New Roman" w:hAnsi="Times New Roman"/>
          <w:lang w:val="sk"/>
        </w:rPr>
        <w:t>hlásené</w:t>
      </w:r>
      <w:r w:rsidRPr="00FB5E36">
        <w:rPr>
          <w:rFonts w:ascii="Times New Roman" w:hAnsi="Times New Roman"/>
          <w:lang w:val="sk"/>
        </w:rPr>
        <w:t xml:space="preserve"> poruchy zraku (pozri časť 4.8). V súvislosti s užívaním sildenafilu a iných inhibítorov PDE5 boli z observačných štúdií hlásené spontánne prípady zriedkavého ochorenia – </w:t>
      </w:r>
      <w:r w:rsidR="00E27C56" w:rsidRPr="008B2F4A">
        <w:rPr>
          <w:rFonts w:ascii="Times New Roman" w:hAnsi="Times New Roman"/>
          <w:lang w:val="sk"/>
        </w:rPr>
        <w:t>nearteritickej</w:t>
      </w:r>
      <w:r w:rsidR="00E27C56">
        <w:rPr>
          <w:rFonts w:ascii="Times New Roman" w:hAnsi="Times New Roman"/>
          <w:lang w:val="sk"/>
        </w:rPr>
        <w:t xml:space="preserve"> </w:t>
      </w:r>
      <w:r w:rsidRPr="00FB5E36">
        <w:rPr>
          <w:rFonts w:ascii="Times New Roman" w:hAnsi="Times New Roman"/>
          <w:lang w:val="sk"/>
        </w:rPr>
        <w:t xml:space="preserve">prednej ischemickej neuropatie zrakového nervu (pozri časť 4.8). Pacientov je treba poučiť, aby v prípade akejkoľvek náhlej poruchy zraku prerušili užívanie </w:t>
      </w:r>
      <w:r w:rsidR="00F81584">
        <w:rPr>
          <w:rFonts w:ascii="Times New Roman" w:hAnsi="Times New Roman"/>
          <w:lang w:val="sk"/>
        </w:rPr>
        <w:t>SIL</w:t>
      </w:r>
      <w:r w:rsidR="0080063F">
        <w:rPr>
          <w:rFonts w:ascii="Times New Roman" w:hAnsi="Times New Roman"/>
          <w:lang w:val="sk"/>
        </w:rPr>
        <w:t>ANDYLU</w:t>
      </w:r>
      <w:r w:rsidRPr="00FB5E36">
        <w:rPr>
          <w:rFonts w:ascii="Times New Roman" w:hAnsi="Times New Roman"/>
          <w:lang w:val="sk"/>
        </w:rPr>
        <w:t xml:space="preserve"> a ihneď sa poradili s</w:t>
      </w:r>
      <w:r w:rsidR="0080063F">
        <w:rPr>
          <w:rFonts w:ascii="Times New Roman" w:hAnsi="Times New Roman"/>
          <w:lang w:val="sk"/>
        </w:rPr>
        <w:t> </w:t>
      </w:r>
      <w:r w:rsidRPr="00FB5E36">
        <w:rPr>
          <w:rFonts w:ascii="Times New Roman" w:hAnsi="Times New Roman"/>
          <w:lang w:val="sk"/>
        </w:rPr>
        <w:t>lekárom (pozri časť 4.3).</w:t>
      </w:r>
    </w:p>
    <w:p w14:paraId="31D8819E" w14:textId="77777777" w:rsidR="001E649B" w:rsidRPr="00F81584" w:rsidRDefault="001E649B" w:rsidP="00FB5E36">
      <w:pPr>
        <w:spacing w:after="0" w:line="240" w:lineRule="auto"/>
        <w:rPr>
          <w:rFonts w:ascii="Times New Roman" w:hAnsi="Times New Roman"/>
          <w:lang w:val="sk"/>
        </w:rPr>
      </w:pPr>
    </w:p>
    <w:p w14:paraId="59F14E0F" w14:textId="3A25E2C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 xml:space="preserve">Súbežné podávanie </w:t>
      </w:r>
      <w:proofErr w:type="spellStart"/>
      <w:r w:rsidRPr="00FB5E36">
        <w:rPr>
          <w:rFonts w:ascii="Times New Roman" w:hAnsi="Times New Roman"/>
          <w:u w:val="single"/>
          <w:lang w:val="sk"/>
        </w:rPr>
        <w:t>sildenafilu</w:t>
      </w:r>
      <w:proofErr w:type="spellEnd"/>
      <w:r w:rsidRPr="00FB5E36">
        <w:rPr>
          <w:rFonts w:ascii="Times New Roman" w:hAnsi="Times New Roman"/>
          <w:u w:val="single"/>
          <w:lang w:val="sk"/>
        </w:rPr>
        <w:t xml:space="preserve"> s</w:t>
      </w:r>
      <w:r w:rsidR="0080063F">
        <w:rPr>
          <w:rFonts w:ascii="Times New Roman" w:hAnsi="Times New Roman"/>
          <w:u w:val="single"/>
          <w:lang w:val="sk"/>
        </w:rPr>
        <w:t> </w:t>
      </w:r>
      <w:proofErr w:type="spellStart"/>
      <w:r w:rsidRPr="00FB5E36">
        <w:rPr>
          <w:rFonts w:ascii="Times New Roman" w:hAnsi="Times New Roman"/>
          <w:u w:val="single"/>
          <w:lang w:val="sk"/>
        </w:rPr>
        <w:t>ritonavirom</w:t>
      </w:r>
      <w:proofErr w:type="spellEnd"/>
    </w:p>
    <w:p w14:paraId="194C701D" w14:textId="5A79B7D2"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Súbežné podávanie </w:t>
      </w:r>
      <w:proofErr w:type="spellStart"/>
      <w:r w:rsidRPr="00FB5E36">
        <w:rPr>
          <w:rFonts w:ascii="Times New Roman" w:hAnsi="Times New Roman"/>
          <w:lang w:val="sk"/>
        </w:rPr>
        <w:t>sildenafilu</w:t>
      </w:r>
      <w:proofErr w:type="spellEnd"/>
      <w:r w:rsidRPr="00FB5E36">
        <w:rPr>
          <w:rFonts w:ascii="Times New Roman" w:hAnsi="Times New Roman"/>
          <w:lang w:val="sk"/>
        </w:rPr>
        <w:t xml:space="preserve"> s</w:t>
      </w:r>
      <w:r w:rsidR="0080063F">
        <w:rPr>
          <w:rFonts w:ascii="Times New Roman" w:hAnsi="Times New Roman"/>
          <w:lang w:val="sk"/>
        </w:rPr>
        <w:t> </w:t>
      </w:r>
      <w:proofErr w:type="spellStart"/>
      <w:r w:rsidRPr="00FB5E36">
        <w:rPr>
          <w:rFonts w:ascii="Times New Roman" w:hAnsi="Times New Roman"/>
          <w:lang w:val="sk"/>
        </w:rPr>
        <w:t>ritonavirom</w:t>
      </w:r>
      <w:proofErr w:type="spellEnd"/>
      <w:r w:rsidRPr="00FB5E36">
        <w:rPr>
          <w:rFonts w:ascii="Times New Roman" w:hAnsi="Times New Roman"/>
          <w:lang w:val="sk"/>
        </w:rPr>
        <w:t xml:space="preserve"> sa neodporúča (pozri časť 4.5).</w:t>
      </w:r>
    </w:p>
    <w:p w14:paraId="2475DA22" w14:textId="77777777" w:rsidR="001E649B" w:rsidRPr="00F81584" w:rsidRDefault="001E649B" w:rsidP="00FB5E36">
      <w:pPr>
        <w:spacing w:after="0" w:line="240" w:lineRule="auto"/>
        <w:rPr>
          <w:rFonts w:ascii="Times New Roman" w:hAnsi="Times New Roman"/>
          <w:lang w:val="sk"/>
        </w:rPr>
      </w:pPr>
    </w:p>
    <w:p w14:paraId="583E1CC6" w14:textId="0A8DD0BA"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Súbežné podávanie s</w:t>
      </w:r>
      <w:r w:rsidR="0080063F">
        <w:rPr>
          <w:rFonts w:ascii="Times New Roman" w:hAnsi="Times New Roman"/>
          <w:u w:val="single"/>
          <w:lang w:val="sk"/>
        </w:rPr>
        <w:t> </w:t>
      </w:r>
      <w:proofErr w:type="spellStart"/>
      <w:r w:rsidRPr="00FB5E36">
        <w:rPr>
          <w:rFonts w:ascii="Times New Roman" w:hAnsi="Times New Roman"/>
          <w:u w:val="single"/>
          <w:lang w:val="sk"/>
        </w:rPr>
        <w:t>alfablokátormi</w:t>
      </w:r>
      <w:proofErr w:type="spellEnd"/>
    </w:p>
    <w:p w14:paraId="61E2AA46"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Opatrnosť sa odporúča pri podávaní sildenafilu pacientom užívajúcim alfablokátory, </w:t>
      </w:r>
      <w:r w:rsidR="00E27C56">
        <w:rPr>
          <w:rFonts w:ascii="Times New Roman" w:hAnsi="Times New Roman"/>
          <w:lang w:val="sk"/>
        </w:rPr>
        <w:t>keďže</w:t>
      </w:r>
      <w:r w:rsidRPr="00FB5E36">
        <w:rPr>
          <w:rFonts w:ascii="Times New Roman" w:hAnsi="Times New Roman"/>
          <w:lang w:val="sk"/>
        </w:rPr>
        <w:t xml:space="preserve"> súbežné užívanie môže u niektorých citlivých jedincov viesť k symptomatickej hypotenzii (pozri časť 4.5). Najpravdepodobnejší čas výskytu je do 4 hodín po podaní sildenafilu. Pacienti liečení alfablokátormi musia byť pred začiatkom liečby sildenafilom hemodynamicky stabilizovaní, aby sa minimalizovala možnosť posturálnej hypotenzie. Je treba zvážiť podanie úvodnej dávky sildenafilu 25 mg (pozri časť 4.2). Lekári okrem toho musia poučiť pacientov, ako majú postupovať v prípade príznakov posturálnej hypotenzie.</w:t>
      </w:r>
    </w:p>
    <w:p w14:paraId="4FAB312C" w14:textId="77777777" w:rsidR="001E649B" w:rsidRPr="00F81584" w:rsidRDefault="001E649B" w:rsidP="00FB5E36">
      <w:pPr>
        <w:spacing w:after="0" w:line="240" w:lineRule="auto"/>
        <w:rPr>
          <w:rFonts w:ascii="Times New Roman" w:hAnsi="Times New Roman"/>
          <w:lang w:val="sk"/>
        </w:rPr>
      </w:pPr>
    </w:p>
    <w:p w14:paraId="758A347B"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Účinky na krvácanie</w:t>
      </w:r>
    </w:p>
    <w:p w14:paraId="520C482C" w14:textId="7D8D3673" w:rsidR="00355F50" w:rsidRDefault="00355F50" w:rsidP="00FB5E36">
      <w:pPr>
        <w:spacing w:after="0" w:line="240" w:lineRule="auto"/>
        <w:rPr>
          <w:rFonts w:ascii="Times New Roman" w:hAnsi="Times New Roman"/>
          <w:lang w:val="sk"/>
        </w:rPr>
      </w:pPr>
      <w:r w:rsidRPr="00FB5E36">
        <w:rPr>
          <w:rFonts w:ascii="Times New Roman" w:hAnsi="Times New Roman"/>
          <w:i/>
          <w:iCs/>
          <w:lang w:val="sk"/>
        </w:rPr>
        <w:t>In</w:t>
      </w:r>
      <w:r w:rsidR="0080063F">
        <w:rPr>
          <w:rFonts w:ascii="Times New Roman" w:hAnsi="Times New Roman"/>
          <w:i/>
          <w:iCs/>
          <w:lang w:val="sk"/>
        </w:rPr>
        <w:t> </w:t>
      </w:r>
      <w:proofErr w:type="spellStart"/>
      <w:r w:rsidRPr="00FB5E36">
        <w:rPr>
          <w:rFonts w:ascii="Times New Roman" w:hAnsi="Times New Roman"/>
          <w:i/>
          <w:iCs/>
          <w:lang w:val="sk"/>
        </w:rPr>
        <w:t>vitro</w:t>
      </w:r>
      <w:proofErr w:type="spellEnd"/>
      <w:r w:rsidRPr="00FB5E36">
        <w:rPr>
          <w:rFonts w:ascii="Times New Roman" w:hAnsi="Times New Roman"/>
          <w:lang w:val="sk"/>
        </w:rPr>
        <w:t xml:space="preserve"> štúdie s ľudskými krvnými doštičkami ukazujú, že sildenafil zosilňuje antiagregačný účinok nitroprusidu sodného. Nie sú žiadne údaje o bezpečnosti podania sildenafilu pacientom s poruchami krvácania alebo aktívnym peptickým vredom. Preto sa má sildenafil podávať týmto pacientom len po starostlivom zvážení prínosu a rizika liečby.</w:t>
      </w:r>
    </w:p>
    <w:p w14:paraId="3C3992A1" w14:textId="77777777" w:rsidR="001E649B" w:rsidRPr="00FB5E36" w:rsidRDefault="001E649B" w:rsidP="00FB5E36">
      <w:pPr>
        <w:spacing w:after="0" w:line="240" w:lineRule="auto"/>
        <w:rPr>
          <w:rFonts w:ascii="Times New Roman" w:hAnsi="Times New Roman"/>
        </w:rPr>
      </w:pPr>
    </w:p>
    <w:p w14:paraId="07BB11BE" w14:textId="77777777" w:rsidR="00355F50" w:rsidRPr="00FB5E36" w:rsidRDefault="00355F50" w:rsidP="00FB5E36">
      <w:pPr>
        <w:spacing w:after="0" w:line="240" w:lineRule="auto"/>
        <w:rPr>
          <w:rFonts w:ascii="Times New Roman" w:hAnsi="Times New Roman"/>
          <w:u w:val="single"/>
        </w:rPr>
      </w:pPr>
      <w:r w:rsidRPr="00FB5E36">
        <w:rPr>
          <w:rFonts w:ascii="Times New Roman" w:hAnsi="Times New Roman"/>
          <w:u w:val="single"/>
          <w:lang w:val="sk"/>
        </w:rPr>
        <w:t>Ženy</w:t>
      </w:r>
    </w:p>
    <w:p w14:paraId="2EA4650A" w14:textId="0FB60F0E" w:rsidR="00355F50" w:rsidRPr="00FB5E36" w:rsidRDefault="00F81584" w:rsidP="00FB5E36">
      <w:pPr>
        <w:spacing w:after="0" w:line="240" w:lineRule="auto"/>
        <w:rPr>
          <w:rFonts w:ascii="Times New Roman" w:hAnsi="Times New Roman"/>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nie je indikovaný pre použitie u</w:t>
      </w:r>
      <w:r w:rsidR="0080063F">
        <w:rPr>
          <w:rFonts w:ascii="Times New Roman" w:hAnsi="Times New Roman"/>
          <w:lang w:val="sk"/>
        </w:rPr>
        <w:t> </w:t>
      </w:r>
      <w:r w:rsidR="007F60AB" w:rsidRPr="00FB5E36">
        <w:rPr>
          <w:rFonts w:ascii="Times New Roman" w:hAnsi="Times New Roman"/>
          <w:lang w:val="sk"/>
        </w:rPr>
        <w:t>žien.</w:t>
      </w:r>
    </w:p>
    <w:p w14:paraId="73C50141" w14:textId="77777777" w:rsidR="00355F50" w:rsidRPr="00FB5E36" w:rsidRDefault="00355F50" w:rsidP="00FB5E36">
      <w:pPr>
        <w:spacing w:after="0" w:line="240" w:lineRule="auto"/>
        <w:rPr>
          <w:rFonts w:ascii="Times New Roman" w:hAnsi="Times New Roman"/>
        </w:rPr>
      </w:pPr>
    </w:p>
    <w:p w14:paraId="67CE0589" w14:textId="77777777" w:rsidR="00355F50" w:rsidRPr="00FB5E36" w:rsidRDefault="00355F50" w:rsidP="00FB5E36">
      <w:pPr>
        <w:pStyle w:val="Nadpis3"/>
        <w:spacing w:before="0" w:line="240" w:lineRule="auto"/>
        <w:rPr>
          <w:rFonts w:cs="Times New Roman"/>
        </w:rPr>
      </w:pPr>
      <w:r w:rsidRPr="00FB5E36">
        <w:rPr>
          <w:rFonts w:cs="Times New Roman"/>
          <w:lang w:val="sk"/>
        </w:rPr>
        <w:t>4.5 Liekové a iné interakcie</w:t>
      </w:r>
    </w:p>
    <w:p w14:paraId="65B73A66" w14:textId="77777777" w:rsidR="001E649B" w:rsidRDefault="001E649B" w:rsidP="00FB5E36">
      <w:pPr>
        <w:spacing w:after="0" w:line="240" w:lineRule="auto"/>
        <w:rPr>
          <w:rFonts w:ascii="Times New Roman" w:hAnsi="Times New Roman"/>
          <w:lang w:val="sk"/>
        </w:rPr>
      </w:pPr>
    </w:p>
    <w:p w14:paraId="41484EE5"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Účinky iných liekov na sildenafil</w:t>
      </w:r>
    </w:p>
    <w:p w14:paraId="0E0779FE" w14:textId="566C4F38" w:rsidR="00355F50" w:rsidRPr="00FB5E36" w:rsidRDefault="00355F50" w:rsidP="00FB5E36">
      <w:pPr>
        <w:spacing w:after="0" w:line="240" w:lineRule="auto"/>
        <w:rPr>
          <w:rFonts w:ascii="Times New Roman" w:hAnsi="Times New Roman"/>
          <w:i/>
          <w:iCs/>
        </w:rPr>
      </w:pPr>
      <w:r w:rsidRPr="00FB5E36">
        <w:rPr>
          <w:rFonts w:ascii="Times New Roman" w:hAnsi="Times New Roman"/>
          <w:i/>
          <w:iCs/>
          <w:lang w:val="sk"/>
        </w:rPr>
        <w:t>Štúdie in</w:t>
      </w:r>
      <w:r w:rsidR="0080063F">
        <w:rPr>
          <w:rFonts w:ascii="Times New Roman" w:hAnsi="Times New Roman"/>
          <w:i/>
          <w:iCs/>
          <w:lang w:val="sk"/>
        </w:rPr>
        <w:t> </w:t>
      </w:r>
      <w:proofErr w:type="spellStart"/>
      <w:r w:rsidRPr="00FB5E36">
        <w:rPr>
          <w:rFonts w:ascii="Times New Roman" w:hAnsi="Times New Roman"/>
          <w:i/>
          <w:iCs/>
          <w:lang w:val="sk"/>
        </w:rPr>
        <w:t>vitro</w:t>
      </w:r>
      <w:proofErr w:type="spellEnd"/>
    </w:p>
    <w:p w14:paraId="4FDFADBC" w14:textId="77777777" w:rsidR="001E649B" w:rsidRDefault="001E649B" w:rsidP="00FB5E36">
      <w:pPr>
        <w:spacing w:after="0" w:line="240" w:lineRule="auto"/>
        <w:jc w:val="both"/>
        <w:rPr>
          <w:rFonts w:ascii="Times New Roman" w:hAnsi="Times New Roman"/>
          <w:lang w:val="sk"/>
        </w:rPr>
      </w:pPr>
    </w:p>
    <w:p w14:paraId="5318E26F" w14:textId="77777777" w:rsidR="00355F50" w:rsidRPr="00F81584"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je v rozhodujúcej miere metabolizovaný (CYP) izoenzýmami 3A4 (hlavná metabolická cesta) a 2C9 (vedľajšia metabolická cesta) cytochrómu P450. Inhibítory týchto izoenzýmov preto môžu znížiť klírens sildenafilu a induktory týchto enzýmov môžu zvýšiť klírens sildenafilu.</w:t>
      </w:r>
    </w:p>
    <w:p w14:paraId="7CB38DB1" w14:textId="77777777" w:rsidR="001E649B" w:rsidRDefault="001E649B" w:rsidP="00FB5E36">
      <w:pPr>
        <w:spacing w:after="0" w:line="240" w:lineRule="auto"/>
        <w:jc w:val="both"/>
        <w:rPr>
          <w:rFonts w:ascii="Times New Roman" w:hAnsi="Times New Roman"/>
          <w:i/>
          <w:iCs/>
          <w:lang w:val="sk"/>
        </w:rPr>
      </w:pPr>
    </w:p>
    <w:p w14:paraId="0F4FC98C" w14:textId="77777777" w:rsidR="00355F50" w:rsidRPr="00F81584" w:rsidRDefault="00355F50" w:rsidP="001E649B">
      <w:pPr>
        <w:keepNext/>
        <w:keepLines/>
        <w:spacing w:after="0" w:line="240" w:lineRule="auto"/>
        <w:jc w:val="both"/>
        <w:rPr>
          <w:rFonts w:ascii="Times New Roman" w:hAnsi="Times New Roman"/>
          <w:i/>
          <w:iCs/>
          <w:lang w:val="sk"/>
        </w:rPr>
      </w:pPr>
      <w:r w:rsidRPr="00FB5E36">
        <w:rPr>
          <w:rFonts w:ascii="Times New Roman" w:hAnsi="Times New Roman"/>
          <w:i/>
          <w:iCs/>
          <w:lang w:val="sk"/>
        </w:rPr>
        <w:t>Štúdie in vivo</w:t>
      </w:r>
    </w:p>
    <w:p w14:paraId="02F3B849" w14:textId="77777777" w:rsidR="00355F50" w:rsidRDefault="00355F50" w:rsidP="001E649B">
      <w:pPr>
        <w:keepNext/>
        <w:keepLines/>
        <w:spacing w:after="0" w:line="240" w:lineRule="auto"/>
        <w:jc w:val="both"/>
        <w:rPr>
          <w:rFonts w:ascii="Times New Roman" w:hAnsi="Times New Roman"/>
          <w:lang w:val="sk"/>
        </w:rPr>
      </w:pPr>
      <w:r w:rsidRPr="00FB5E36">
        <w:rPr>
          <w:rFonts w:ascii="Times New Roman" w:hAnsi="Times New Roman"/>
          <w:lang w:val="sk"/>
        </w:rPr>
        <w:t>Farmakokinetické analýzy údajov z klinických štúdií s rôznymi skupinami pacientov naznačujú, že pri súbežnom užívaní s inhibítormi CYP3A4 (ako je ketokonazol, erytromycín, cimetidín) dochádza k zníženiu klírensu sidenafilu. Aj keď sa u týchto pacientov, ktorí užívali sildenafil súbežne s inhibítormi CYP3A4, nepozoroval zvýšený výskyt nežiaducich účinkov, je treba zvážiť úvodnú dávku 25 mg.</w:t>
      </w:r>
    </w:p>
    <w:p w14:paraId="5AF17361" w14:textId="77777777" w:rsidR="00440AAD" w:rsidRPr="00F81584" w:rsidRDefault="00440AAD" w:rsidP="001E649B">
      <w:pPr>
        <w:keepNext/>
        <w:keepLines/>
        <w:spacing w:after="0" w:line="240" w:lineRule="auto"/>
        <w:jc w:val="both"/>
        <w:rPr>
          <w:rFonts w:ascii="Times New Roman" w:hAnsi="Times New Roman"/>
          <w:lang w:val="sk"/>
        </w:rPr>
      </w:pPr>
    </w:p>
    <w:p w14:paraId="7BE4262E"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Súbežné podávanie inhibítora HIV proteázy ritonaviru, ktorý je veľmi silný inhibítor P450, v rovnovážnom stave (500 mg dvakrát denne) so sildenafilom (100 mg jednorazová dávka) malo za následok 300 % (4</w:t>
      </w:r>
      <w:r w:rsidRPr="00FB5E36">
        <w:rPr>
          <w:rFonts w:ascii="Times New Roman" w:hAnsi="Times New Roman"/>
          <w:lang w:val="sk"/>
        </w:rPr>
        <w:noBreakHyphen/>
        <w:t>násobné) zvýšenie C</w:t>
      </w:r>
      <w:r w:rsidRPr="00FB5E36">
        <w:rPr>
          <w:rFonts w:ascii="Times New Roman" w:hAnsi="Times New Roman"/>
          <w:vertAlign w:val="subscript"/>
          <w:lang w:val="sk"/>
        </w:rPr>
        <w:t>max</w:t>
      </w:r>
      <w:r w:rsidRPr="00FB5E36">
        <w:rPr>
          <w:rFonts w:ascii="Times New Roman" w:hAnsi="Times New Roman"/>
          <w:lang w:val="sk"/>
        </w:rPr>
        <w:t xml:space="preserve"> sildenafilu a 1 000 % (11</w:t>
      </w:r>
      <w:r w:rsidRPr="00FB5E36">
        <w:rPr>
          <w:rFonts w:ascii="Times New Roman" w:hAnsi="Times New Roman"/>
          <w:lang w:val="sk"/>
        </w:rPr>
        <w:noBreakHyphen/>
        <w:t>násobné) zvýšenie hodnoty AUC sildenafilu v plazme. Po 24 hodinách boli plazmatické hladiny sildenafilu ešte stále približne 200 ng/m</w:t>
      </w:r>
      <w:r w:rsidR="00783B35">
        <w:rPr>
          <w:rFonts w:ascii="Times New Roman" w:hAnsi="Times New Roman"/>
          <w:lang w:val="sk"/>
        </w:rPr>
        <w:t>l</w:t>
      </w:r>
      <w:r w:rsidRPr="00FB5E36">
        <w:rPr>
          <w:rFonts w:ascii="Times New Roman" w:hAnsi="Times New Roman"/>
          <w:lang w:val="sk"/>
        </w:rPr>
        <w:t xml:space="preserve"> v porovnaní s približne 5 ng/m</w:t>
      </w:r>
      <w:r w:rsidR="00783B35">
        <w:rPr>
          <w:rFonts w:ascii="Times New Roman" w:hAnsi="Times New Roman"/>
          <w:lang w:val="sk"/>
        </w:rPr>
        <w:t>l</w:t>
      </w:r>
      <w:r w:rsidRPr="00FB5E36">
        <w:rPr>
          <w:rFonts w:ascii="Times New Roman" w:hAnsi="Times New Roman"/>
          <w:lang w:val="sk"/>
        </w:rPr>
        <w:t>, ak bol sildenafil podaný samostatne. Tieto údaje sú konzistentné s výraznými účinkami ritonaviru na široké spektrum substrátov P450. Sildenafil nemal žiadny vplyv na farmakokinetiku ritonaviru. Na základe týchto farmakokinetických výsledkov sa súbežné podávanie sildenafilu s ritonavirom neodporúča (pozri časť 4.4) a v žiadnom prípade nesmie maximálna dávka sildenafilu za žiadnych okolností prekročiť 25 mg za 48 hodín.</w:t>
      </w:r>
    </w:p>
    <w:p w14:paraId="7A99B0AA" w14:textId="77777777" w:rsidR="00440AAD" w:rsidRPr="00F81584" w:rsidRDefault="00440AAD" w:rsidP="00FB5E36">
      <w:pPr>
        <w:spacing w:after="0" w:line="240" w:lineRule="auto"/>
        <w:jc w:val="both"/>
        <w:rPr>
          <w:rFonts w:ascii="Times New Roman" w:hAnsi="Times New Roman"/>
          <w:lang w:val="sk"/>
        </w:rPr>
      </w:pPr>
    </w:p>
    <w:p w14:paraId="751B50A2"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lastRenderedPageBreak/>
        <w:t>Súbežné podávanie inhibítora HIV proteázy sa</w:t>
      </w:r>
      <w:r w:rsidR="00783B35">
        <w:rPr>
          <w:rFonts w:ascii="Times New Roman" w:hAnsi="Times New Roman"/>
          <w:lang w:val="sk"/>
        </w:rPr>
        <w:t>ch</w:t>
      </w:r>
      <w:r w:rsidRPr="00FB5E36">
        <w:rPr>
          <w:rFonts w:ascii="Times New Roman" w:hAnsi="Times New Roman"/>
          <w:lang w:val="sk"/>
        </w:rPr>
        <w:t>inaviru inhibítora CYP3A4 v rovnovážnom stave (1 200 mg trikrát denne) so sildenafilom (100 mg jednorazová dávka) viedlo k 140 % vzostupu C</w:t>
      </w:r>
      <w:r w:rsidRPr="00FB5E36">
        <w:rPr>
          <w:rFonts w:ascii="Times New Roman" w:hAnsi="Times New Roman"/>
          <w:vertAlign w:val="subscript"/>
          <w:lang w:val="sk"/>
        </w:rPr>
        <w:t>max</w:t>
      </w:r>
      <w:r w:rsidRPr="00FB5E36">
        <w:rPr>
          <w:rFonts w:ascii="Times New Roman" w:hAnsi="Times New Roman"/>
          <w:lang w:val="sk"/>
        </w:rPr>
        <w:t xml:space="preserve"> sildenafilu a 210 % vzostupu hodnoty AUC sildenafilu. Sildenafil nemal žiadny vplyv na farmakokinetiku sak</w:t>
      </w:r>
      <w:r w:rsidR="00783B35">
        <w:rPr>
          <w:rFonts w:ascii="Times New Roman" w:hAnsi="Times New Roman"/>
          <w:lang w:val="sk"/>
        </w:rPr>
        <w:t>ch</w:t>
      </w:r>
      <w:r w:rsidRPr="00FB5E36">
        <w:rPr>
          <w:rFonts w:ascii="Times New Roman" w:hAnsi="Times New Roman"/>
          <w:lang w:val="sk"/>
        </w:rPr>
        <w:t>inaviru (pozri časť 4.2). Predpokladá sa, že silnejšie inhibítory CYP3A4, ako sú ketokonazol a itrakonazol, by mali výraznejšie účinky.</w:t>
      </w:r>
    </w:p>
    <w:p w14:paraId="33F13FD4" w14:textId="77777777" w:rsidR="00440AAD" w:rsidRPr="00F81584" w:rsidRDefault="00440AAD" w:rsidP="00FB5E36">
      <w:pPr>
        <w:spacing w:after="0" w:line="240" w:lineRule="auto"/>
        <w:jc w:val="both"/>
        <w:rPr>
          <w:rFonts w:ascii="Times New Roman" w:hAnsi="Times New Roman"/>
          <w:lang w:val="sk"/>
        </w:rPr>
      </w:pPr>
    </w:p>
    <w:p w14:paraId="492A6DEC"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Pri podaní jednorazovej dávky sildenafilu 100 mg spolu s erytromycínom, stredne silným inhibítorom CYP3A4 v rovnovážnom stave (500 mg dvakrát denne 5 dní), došlo k 182 % vzostupu systémovej expozície sildenafilu (AUC). U normálnych zdravých dobrovoľníkov mužského pohlavia sa nedokázal žiadny vplyv azitromycínu (500 mg denne počas 3 dní) na AUC, C</w:t>
      </w:r>
      <w:r w:rsidRPr="00FB5E36">
        <w:rPr>
          <w:rFonts w:ascii="Times New Roman" w:hAnsi="Times New Roman"/>
          <w:vertAlign w:val="subscript"/>
          <w:lang w:val="sk"/>
        </w:rPr>
        <w:t>max,</w:t>
      </w:r>
      <w:r w:rsidRPr="00FB5E36">
        <w:rPr>
          <w:rFonts w:ascii="Times New Roman" w:hAnsi="Times New Roman"/>
          <w:lang w:val="sk"/>
        </w:rPr>
        <w:t xml:space="preserve"> t</w:t>
      </w:r>
      <w:r w:rsidRPr="00FB5E36">
        <w:rPr>
          <w:rFonts w:ascii="Times New Roman" w:hAnsi="Times New Roman"/>
          <w:vertAlign w:val="subscript"/>
          <w:lang w:val="sk"/>
        </w:rPr>
        <w:t>max</w:t>
      </w:r>
      <w:r w:rsidRPr="00FB5E36">
        <w:rPr>
          <w:rFonts w:ascii="Times New Roman" w:hAnsi="Times New Roman"/>
          <w:lang w:val="sk"/>
        </w:rPr>
        <w:t>, eliminačnú rýchlostnú konštantu alebo následne na polčas sildenafilu alebo jeho hlavný cirkulujúci metabolit. Pri súbežnom podávaní sildenafilu (50 mg) a cimetidínu (800 mg), ktorý je inhibítorom cytochrómu P450 a nešpecifickým inhibítorom CYP3A4, zdravým dobrovoľníkom, došlo k 56 % vzostupu plazmatickej koncentrácie sildenafilu. Grapefruitová šťava je slabým inhibítorom CYP3A4 metabolizmu v črevnej stene a môže vyvolať mierny vzostup plazmatických hladín sildenafilu.</w:t>
      </w:r>
    </w:p>
    <w:p w14:paraId="7BC7E2A1" w14:textId="77777777" w:rsidR="00440AAD" w:rsidRPr="00F81584" w:rsidRDefault="00440AAD" w:rsidP="00FB5E36">
      <w:pPr>
        <w:spacing w:after="0" w:line="240" w:lineRule="auto"/>
        <w:jc w:val="both"/>
        <w:rPr>
          <w:rFonts w:ascii="Times New Roman" w:hAnsi="Times New Roman"/>
          <w:lang w:val="sk"/>
        </w:rPr>
      </w:pPr>
    </w:p>
    <w:p w14:paraId="3E4E29E8"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Podanie jednorazových dávok antacíd (hydroxidu horečnatého/hydroxidu hlinitého) neovplyvnilo biologickú dostupnosť sildenafilu.</w:t>
      </w:r>
    </w:p>
    <w:p w14:paraId="57AA8704" w14:textId="77777777" w:rsidR="00440AAD" w:rsidRPr="00F81584" w:rsidRDefault="00440AAD" w:rsidP="00FB5E36">
      <w:pPr>
        <w:spacing w:after="0" w:line="240" w:lineRule="auto"/>
        <w:jc w:val="both"/>
        <w:rPr>
          <w:rFonts w:ascii="Times New Roman" w:hAnsi="Times New Roman"/>
          <w:lang w:val="sk"/>
        </w:rPr>
      </w:pPr>
    </w:p>
    <w:p w14:paraId="440A8735"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 xml:space="preserve">Aj keď sa špecifické interakčné štúdie nerobili so všetkými liekmi, analýzy farmakokinetických údajov rôznych skupín pacientov nepreukázali žiadny vplyv inhibítorov CYP2C9 (ako sú tolbutamid, warfarín, fenytoín), inhibítorov CYP2D6 (ako sú selektívne inhibítory spätného vychytávania serotonínu, tricyklické antidepresíva), tiazidov a príbuzných diuretík, slučkových diuretík a draslík šetriacich diuretík, inhibítorov angiotenzín konvertujúceho enzýmu, blokátorov vápnikových kanálov, antagonistov betaadrenoreceptorov alebo induktorov metabolizmu CYP450 (ako sú rifampicín, barbituráty) na farmakokinetiku sildenafilu pri ich súčasnom podaní. V štúdii so zdravými mužskými dobrovoľníkmi viedlo súbežné podávanie antagonistu endotelínu, bosentanu (stredne silného induktora CYP3A4, </w:t>
      </w:r>
      <w:r w:rsidR="00783B35">
        <w:rPr>
          <w:rFonts w:ascii="Times New Roman" w:hAnsi="Times New Roman"/>
          <w:lang w:val="sk"/>
        </w:rPr>
        <w:t xml:space="preserve">induktora </w:t>
      </w:r>
      <w:r w:rsidRPr="00FB5E36">
        <w:rPr>
          <w:rFonts w:ascii="Times New Roman" w:hAnsi="Times New Roman"/>
          <w:lang w:val="sk"/>
        </w:rPr>
        <w:t>CYP2C9 a pravdepodobne CYP2C19) v rovnovážnom stave (125 mg dvakrát denne) so sildenafilom v rovnovážnom stave (80 mg trikrát denne) k zníženiu AUC sildenafilu o 62,6 % a C</w:t>
      </w:r>
      <w:r w:rsidRPr="00FB5E36">
        <w:rPr>
          <w:rFonts w:ascii="Times New Roman" w:hAnsi="Times New Roman"/>
          <w:vertAlign w:val="subscript"/>
          <w:lang w:val="sk"/>
        </w:rPr>
        <w:t>max</w:t>
      </w:r>
      <w:r w:rsidRPr="00FB5E36">
        <w:rPr>
          <w:rFonts w:ascii="Times New Roman" w:hAnsi="Times New Roman"/>
          <w:lang w:val="sk"/>
        </w:rPr>
        <w:t xml:space="preserve"> sildenafilu o 55,4 %. Preto sa očakáva, že súbežné podávanie silných induktorov CYP3A4, ako je rifampicín, spôsobí väčšie poklesy plazmatickej koncentrácie sildenafilu.</w:t>
      </w:r>
    </w:p>
    <w:p w14:paraId="62F1E587" w14:textId="77777777" w:rsidR="00440AAD" w:rsidRPr="00F81584" w:rsidRDefault="00440AAD" w:rsidP="00FB5E36">
      <w:pPr>
        <w:spacing w:after="0" w:line="240" w:lineRule="auto"/>
        <w:jc w:val="both"/>
        <w:rPr>
          <w:rFonts w:ascii="Times New Roman" w:hAnsi="Times New Roman"/>
          <w:lang w:val="sk"/>
        </w:rPr>
      </w:pPr>
    </w:p>
    <w:p w14:paraId="74FF4DBF"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Nikorandil je hybrid aktivátora draslíkových kanálov a nitrátu. Vďaka nitrátovej zložke má potenciál viesť k závažným interakciám so sildenafilom.</w:t>
      </w:r>
    </w:p>
    <w:p w14:paraId="01569333" w14:textId="77777777" w:rsidR="00440AAD" w:rsidRPr="00F81584" w:rsidRDefault="00440AAD" w:rsidP="00FB5E36">
      <w:pPr>
        <w:spacing w:after="0" w:line="240" w:lineRule="auto"/>
        <w:jc w:val="both"/>
        <w:rPr>
          <w:rFonts w:ascii="Times New Roman" w:hAnsi="Times New Roman"/>
          <w:lang w:val="sk"/>
        </w:rPr>
      </w:pPr>
    </w:p>
    <w:p w14:paraId="7159B3E9"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Účinky sildenafilu na iné lieky</w:t>
      </w:r>
    </w:p>
    <w:p w14:paraId="1957EE2E" w14:textId="77777777" w:rsidR="00440AAD" w:rsidRPr="00FB5E36" w:rsidRDefault="00440AAD" w:rsidP="00FB5E36">
      <w:pPr>
        <w:spacing w:after="0" w:line="240" w:lineRule="auto"/>
        <w:rPr>
          <w:rFonts w:ascii="Times New Roman" w:hAnsi="Times New Roman"/>
        </w:rPr>
      </w:pPr>
    </w:p>
    <w:p w14:paraId="5D591561" w14:textId="14280DF5" w:rsidR="00355F50" w:rsidRPr="00FB5E36" w:rsidRDefault="00355F50" w:rsidP="00FB5E36">
      <w:pPr>
        <w:spacing w:after="0" w:line="240" w:lineRule="auto"/>
        <w:jc w:val="both"/>
        <w:rPr>
          <w:rFonts w:ascii="Times New Roman" w:hAnsi="Times New Roman"/>
          <w:i/>
          <w:iCs/>
        </w:rPr>
      </w:pPr>
      <w:r w:rsidRPr="00FB5E36">
        <w:rPr>
          <w:rFonts w:ascii="Times New Roman" w:hAnsi="Times New Roman"/>
          <w:i/>
          <w:iCs/>
          <w:lang w:val="sk"/>
        </w:rPr>
        <w:t>Štúdie in</w:t>
      </w:r>
      <w:r w:rsidR="0080063F">
        <w:rPr>
          <w:rFonts w:ascii="Times New Roman" w:hAnsi="Times New Roman"/>
          <w:i/>
          <w:iCs/>
          <w:lang w:val="sk"/>
        </w:rPr>
        <w:t> </w:t>
      </w:r>
      <w:proofErr w:type="spellStart"/>
      <w:r w:rsidRPr="00FB5E36">
        <w:rPr>
          <w:rFonts w:ascii="Times New Roman" w:hAnsi="Times New Roman"/>
          <w:i/>
          <w:iCs/>
          <w:lang w:val="sk"/>
        </w:rPr>
        <w:t>vitro</w:t>
      </w:r>
      <w:proofErr w:type="spellEnd"/>
    </w:p>
    <w:p w14:paraId="3D960CB2" w14:textId="6CF073CA"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je slabým inhibítorom (IC50 &gt;150 </w:t>
      </w:r>
      <w:proofErr w:type="spellStart"/>
      <w:r w:rsidRPr="008B2F4A">
        <w:rPr>
          <w:rFonts w:ascii="Times New Roman" w:hAnsi="Times New Roman"/>
          <w:lang w:val="sk"/>
        </w:rPr>
        <w:t>μ</w:t>
      </w:r>
      <w:r w:rsidR="008B2F4A">
        <w:rPr>
          <w:rFonts w:ascii="Times New Roman" w:hAnsi="Times New Roman"/>
          <w:lang w:val="sk"/>
        </w:rPr>
        <w:t>mol</w:t>
      </w:r>
      <w:proofErr w:type="spellEnd"/>
      <w:r w:rsidRPr="00FB5E36">
        <w:rPr>
          <w:rFonts w:ascii="Times New Roman" w:hAnsi="Times New Roman"/>
          <w:lang w:val="sk"/>
        </w:rPr>
        <w:t xml:space="preserve">) </w:t>
      </w:r>
      <w:proofErr w:type="spellStart"/>
      <w:r w:rsidRPr="00FB5E36">
        <w:rPr>
          <w:rFonts w:ascii="Times New Roman" w:hAnsi="Times New Roman"/>
          <w:lang w:val="sk"/>
        </w:rPr>
        <w:t>izoforiem</w:t>
      </w:r>
      <w:proofErr w:type="spellEnd"/>
      <w:r w:rsidRPr="00FB5E36">
        <w:rPr>
          <w:rFonts w:ascii="Times New Roman" w:hAnsi="Times New Roman"/>
          <w:lang w:val="sk"/>
        </w:rPr>
        <w:t xml:space="preserve"> 1A2, 2C9, 2C19, 2D6, 2E1 a 3A4 cytochrómu P450. Je však nepravdepodobné, že by </w:t>
      </w:r>
      <w:r w:rsidR="00F81584">
        <w:rPr>
          <w:rFonts w:ascii="Times New Roman" w:hAnsi="Times New Roman"/>
          <w:lang w:val="sk"/>
        </w:rPr>
        <w:t>SIL</w:t>
      </w:r>
      <w:r w:rsidR="0080063F">
        <w:rPr>
          <w:rFonts w:ascii="Times New Roman" w:hAnsi="Times New Roman"/>
          <w:lang w:val="sk"/>
        </w:rPr>
        <w:t>ANDYL</w:t>
      </w:r>
      <w:r w:rsidRPr="00FB5E36">
        <w:rPr>
          <w:rFonts w:ascii="Times New Roman" w:hAnsi="Times New Roman"/>
          <w:lang w:val="sk"/>
        </w:rPr>
        <w:t xml:space="preserve"> zmenil </w:t>
      </w:r>
      <w:proofErr w:type="spellStart"/>
      <w:r w:rsidRPr="00FB5E36">
        <w:rPr>
          <w:rFonts w:ascii="Times New Roman" w:hAnsi="Times New Roman"/>
          <w:lang w:val="sk"/>
        </w:rPr>
        <w:t>klírens</w:t>
      </w:r>
      <w:proofErr w:type="spellEnd"/>
      <w:r w:rsidRPr="00FB5E36">
        <w:rPr>
          <w:rFonts w:ascii="Times New Roman" w:hAnsi="Times New Roman"/>
          <w:lang w:val="sk"/>
        </w:rPr>
        <w:t xml:space="preserve"> substrátov týchto izoenzýmov, keďže </w:t>
      </w:r>
      <w:r w:rsidR="00783B35">
        <w:rPr>
          <w:rFonts w:ascii="Times New Roman" w:hAnsi="Times New Roman"/>
          <w:lang w:val="sk"/>
        </w:rPr>
        <w:t>maximáln</w:t>
      </w:r>
      <w:r w:rsidRPr="00FB5E36">
        <w:rPr>
          <w:rFonts w:ascii="Times New Roman" w:hAnsi="Times New Roman"/>
          <w:lang w:val="sk"/>
        </w:rPr>
        <w:t>á koncentrácia sildenafilu je pri podávaní odporúčaných dávok približne 1 μM.</w:t>
      </w:r>
    </w:p>
    <w:p w14:paraId="4071D611" w14:textId="77777777" w:rsidR="00440AAD" w:rsidRPr="00F81584" w:rsidRDefault="00440AAD" w:rsidP="00FB5E36">
      <w:pPr>
        <w:spacing w:after="0" w:line="240" w:lineRule="auto"/>
        <w:jc w:val="both"/>
        <w:rPr>
          <w:rFonts w:ascii="Times New Roman" w:hAnsi="Times New Roman"/>
          <w:lang w:val="sk"/>
        </w:rPr>
      </w:pPr>
    </w:p>
    <w:p w14:paraId="6A2E1600"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Neexistujú žiadne údaje o interakcii sildenafilu s nešpecifickými inhibítormi fosfodiesterázy, ako sú teofylín alebo dipyridamol.</w:t>
      </w:r>
    </w:p>
    <w:p w14:paraId="050EF750" w14:textId="77777777" w:rsidR="00440AAD" w:rsidRPr="00F81584" w:rsidRDefault="00440AAD" w:rsidP="00FB5E36">
      <w:pPr>
        <w:spacing w:after="0" w:line="240" w:lineRule="auto"/>
        <w:jc w:val="both"/>
        <w:rPr>
          <w:rFonts w:ascii="Times New Roman" w:hAnsi="Times New Roman"/>
          <w:lang w:val="sk"/>
        </w:rPr>
      </w:pPr>
    </w:p>
    <w:p w14:paraId="2A326E76" w14:textId="5F96F761" w:rsidR="00355F50" w:rsidRPr="00F81584" w:rsidRDefault="00355F50" w:rsidP="00FB5E36">
      <w:pPr>
        <w:spacing w:after="0" w:line="240" w:lineRule="auto"/>
        <w:jc w:val="both"/>
        <w:rPr>
          <w:rFonts w:ascii="Times New Roman" w:hAnsi="Times New Roman"/>
          <w:i/>
          <w:iCs/>
          <w:lang w:val="sk"/>
        </w:rPr>
      </w:pPr>
      <w:r w:rsidRPr="00FB5E36">
        <w:rPr>
          <w:rFonts w:ascii="Times New Roman" w:hAnsi="Times New Roman"/>
          <w:i/>
          <w:iCs/>
          <w:lang w:val="sk"/>
        </w:rPr>
        <w:t>Štúdie in</w:t>
      </w:r>
      <w:r w:rsidR="0080063F">
        <w:rPr>
          <w:rFonts w:ascii="Times New Roman" w:hAnsi="Times New Roman"/>
          <w:i/>
          <w:iCs/>
          <w:lang w:val="sk"/>
        </w:rPr>
        <w:t> </w:t>
      </w:r>
      <w:proofErr w:type="spellStart"/>
      <w:r w:rsidRPr="00FB5E36">
        <w:rPr>
          <w:rFonts w:ascii="Times New Roman" w:hAnsi="Times New Roman"/>
          <w:i/>
          <w:iCs/>
          <w:lang w:val="sk"/>
        </w:rPr>
        <w:t>vivo</w:t>
      </w:r>
      <w:proofErr w:type="spellEnd"/>
    </w:p>
    <w:p w14:paraId="6BC479C2"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V súlade so známym účinkom na metabolickú cestu oxid dusnatý/cGMP (pozri časť 5.1) sa preukázalo, že sildenafil zosilňuje hypotenzívny účinok nitrátov, a preto je jeho súbežné podávanie s donormi oxidu dusnatého alebo nitrátmi v akejkoľvek forme kontraindikované (pozri časť 4.3).</w:t>
      </w:r>
    </w:p>
    <w:p w14:paraId="6B7FFFF5" w14:textId="77777777" w:rsidR="00440AAD" w:rsidRPr="00F81584" w:rsidRDefault="00440AAD" w:rsidP="00FB5E36">
      <w:pPr>
        <w:spacing w:after="0" w:line="240" w:lineRule="auto"/>
        <w:jc w:val="both"/>
        <w:rPr>
          <w:rFonts w:ascii="Times New Roman" w:hAnsi="Times New Roman"/>
          <w:lang w:val="sk"/>
        </w:rPr>
      </w:pPr>
    </w:p>
    <w:p w14:paraId="288B5D35" w14:textId="783B0125" w:rsidR="009819C9" w:rsidRDefault="009819C9" w:rsidP="00FB5E36">
      <w:pPr>
        <w:spacing w:after="0" w:line="240" w:lineRule="auto"/>
        <w:jc w:val="both"/>
        <w:rPr>
          <w:rFonts w:ascii="Times New Roman" w:hAnsi="Times New Roman"/>
          <w:lang w:val="sk"/>
        </w:rPr>
      </w:pPr>
      <w:r w:rsidRPr="00FB5E36">
        <w:rPr>
          <w:rFonts w:ascii="Times New Roman" w:hAnsi="Times New Roman"/>
          <w:lang w:val="sk"/>
        </w:rPr>
        <w:t>Riociguát: Pri kombinácii inhibítorov PDE5 s riociguátom predklinické štúdie preukázali aditívny systémový účinok zníženia krvného tlaku. V</w:t>
      </w:r>
      <w:r w:rsidR="0080063F">
        <w:rPr>
          <w:rFonts w:ascii="Times New Roman" w:hAnsi="Times New Roman"/>
          <w:lang w:val="sk"/>
        </w:rPr>
        <w:t> </w:t>
      </w:r>
      <w:r w:rsidRPr="00FB5E36">
        <w:rPr>
          <w:rFonts w:ascii="Times New Roman" w:hAnsi="Times New Roman"/>
          <w:lang w:val="sk"/>
        </w:rPr>
        <w:t xml:space="preserve">klinických štúdiách sa zistilo, že riociguát predlžuje hypotenzívne účinky inhibítorov PDE5. Nenašiel sa žiaden dôkaz priaznivého klinického účinku </w:t>
      </w:r>
      <w:r w:rsidRPr="00FB5E36">
        <w:rPr>
          <w:rFonts w:ascii="Times New Roman" w:hAnsi="Times New Roman"/>
          <w:lang w:val="sk"/>
        </w:rPr>
        <w:lastRenderedPageBreak/>
        <w:t>kombinácie u</w:t>
      </w:r>
      <w:r w:rsidR="0080063F">
        <w:rPr>
          <w:rFonts w:ascii="Times New Roman" w:hAnsi="Times New Roman"/>
          <w:lang w:val="sk"/>
        </w:rPr>
        <w:t> </w:t>
      </w:r>
      <w:r w:rsidRPr="00FB5E36">
        <w:rPr>
          <w:rFonts w:ascii="Times New Roman" w:hAnsi="Times New Roman"/>
          <w:lang w:val="sk"/>
        </w:rPr>
        <w:t xml:space="preserve">študovanej populácie. Súbežné užívanie </w:t>
      </w:r>
      <w:proofErr w:type="spellStart"/>
      <w:r w:rsidRPr="00FB5E36">
        <w:rPr>
          <w:rFonts w:ascii="Times New Roman" w:hAnsi="Times New Roman"/>
          <w:lang w:val="sk"/>
        </w:rPr>
        <w:t>riociguátu</w:t>
      </w:r>
      <w:proofErr w:type="spellEnd"/>
      <w:r w:rsidRPr="00FB5E36">
        <w:rPr>
          <w:rFonts w:ascii="Times New Roman" w:hAnsi="Times New Roman"/>
          <w:lang w:val="sk"/>
        </w:rPr>
        <w:t xml:space="preserve"> s</w:t>
      </w:r>
      <w:r w:rsidR="0080063F">
        <w:rPr>
          <w:rFonts w:ascii="Times New Roman" w:hAnsi="Times New Roman"/>
          <w:lang w:val="sk"/>
        </w:rPr>
        <w:t> </w:t>
      </w:r>
      <w:r w:rsidRPr="00FB5E36">
        <w:rPr>
          <w:rFonts w:ascii="Times New Roman" w:hAnsi="Times New Roman"/>
          <w:lang w:val="sk"/>
        </w:rPr>
        <w:t>inhibítormi PDE5, v</w:t>
      </w:r>
      <w:r w:rsidR="00783B35">
        <w:rPr>
          <w:rFonts w:ascii="Times New Roman" w:hAnsi="Times New Roman"/>
          <w:lang w:val="sk"/>
        </w:rPr>
        <w:t>rát</w:t>
      </w:r>
      <w:r w:rsidRPr="00FB5E36">
        <w:rPr>
          <w:rFonts w:ascii="Times New Roman" w:hAnsi="Times New Roman"/>
          <w:lang w:val="sk"/>
        </w:rPr>
        <w:t xml:space="preserve">ane </w:t>
      </w:r>
      <w:proofErr w:type="spellStart"/>
      <w:r w:rsidRPr="00FB5E36">
        <w:rPr>
          <w:rFonts w:ascii="Times New Roman" w:hAnsi="Times New Roman"/>
          <w:lang w:val="sk"/>
        </w:rPr>
        <w:t>sildenafilu</w:t>
      </w:r>
      <w:proofErr w:type="spellEnd"/>
      <w:r w:rsidRPr="00FB5E36">
        <w:rPr>
          <w:rFonts w:ascii="Times New Roman" w:hAnsi="Times New Roman"/>
          <w:lang w:val="sk"/>
        </w:rPr>
        <w:t>, je kontraindikované (pozri časť 4.3).</w:t>
      </w:r>
    </w:p>
    <w:p w14:paraId="05836FD5" w14:textId="77777777" w:rsidR="00440AAD" w:rsidRPr="00F81584" w:rsidRDefault="00440AAD" w:rsidP="00FB5E36">
      <w:pPr>
        <w:spacing w:after="0" w:line="240" w:lineRule="auto"/>
        <w:jc w:val="both"/>
        <w:rPr>
          <w:rFonts w:ascii="Times New Roman" w:hAnsi="Times New Roman"/>
          <w:lang w:val="sk"/>
        </w:rPr>
      </w:pPr>
    </w:p>
    <w:p w14:paraId="1E65ECFD" w14:textId="0AA7D9BD"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 xml:space="preserve">Súbežné podávanie sildenafilu pacientom užívajúcim </w:t>
      </w:r>
      <w:proofErr w:type="spellStart"/>
      <w:r w:rsidRPr="00FB5E36">
        <w:rPr>
          <w:rFonts w:ascii="Times New Roman" w:hAnsi="Times New Roman"/>
          <w:lang w:val="sk"/>
        </w:rPr>
        <w:t>alfablokátory</w:t>
      </w:r>
      <w:proofErr w:type="spellEnd"/>
      <w:r w:rsidRPr="00FB5E36">
        <w:rPr>
          <w:rFonts w:ascii="Times New Roman" w:hAnsi="Times New Roman"/>
          <w:lang w:val="sk"/>
        </w:rPr>
        <w:t xml:space="preserve"> môže u</w:t>
      </w:r>
      <w:r w:rsidR="0080063F">
        <w:rPr>
          <w:rFonts w:ascii="Times New Roman" w:hAnsi="Times New Roman"/>
          <w:lang w:val="sk"/>
        </w:rPr>
        <w:t> </w:t>
      </w:r>
      <w:r w:rsidRPr="00FB5E36">
        <w:rPr>
          <w:rFonts w:ascii="Times New Roman" w:hAnsi="Times New Roman"/>
          <w:lang w:val="sk"/>
        </w:rPr>
        <w:t>niektorých citlivých jedincov viesť k symptomatickej hypotenzii. Najpravdepodobnejší čas jej výskytu je do 4 hodín po podaní sildenafilu (pozri časti 4.2 a 4.4). V troch špecifických liekových interakčných štúdiách sa alfablokátor doxazosín (4 mg a 8 mg) a sildenafil (25 mg, 50 mg alebo 100 mg) súbežne podával pacientom s benígnou hyperpláziou prostaty (BPH) stabilizovaným na liečbe doxazosínom.</w:t>
      </w:r>
    </w:p>
    <w:p w14:paraId="474158A3" w14:textId="77777777" w:rsidR="00440AAD" w:rsidRPr="00F81584" w:rsidRDefault="00440AAD" w:rsidP="00FB5E36">
      <w:pPr>
        <w:spacing w:after="0" w:line="240" w:lineRule="auto"/>
        <w:jc w:val="both"/>
        <w:rPr>
          <w:rFonts w:ascii="Times New Roman" w:hAnsi="Times New Roman"/>
          <w:lang w:val="sk"/>
        </w:rPr>
      </w:pPr>
    </w:p>
    <w:p w14:paraId="30F23DEE"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V týchto štúdiách sa u sledovanej populácie pozorovalo priemerné dodatočné zníženie krvného tlaku v ľahu o 7/7 mmHg, 9/5 mmHg a 8/4 mmHg, a priemerné dodatočné zníženie tlaku krvi v stoji o 6/6 mmHg, 11/4 mmHg a 4/5 mmHg</w:t>
      </w:r>
      <w:r w:rsidR="00783B35">
        <w:rPr>
          <w:rFonts w:ascii="Times New Roman" w:hAnsi="Times New Roman"/>
          <w:lang w:val="sk"/>
        </w:rPr>
        <w:t>, v uvedenom poradí</w:t>
      </w:r>
      <w:r w:rsidRPr="00FB5E36">
        <w:rPr>
          <w:rFonts w:ascii="Times New Roman" w:hAnsi="Times New Roman"/>
          <w:lang w:val="sk"/>
        </w:rPr>
        <w:t>. Keď sa sildenafil a doxazosín podávali súbežne pacientom stabilizovaným na liečbe doxazosínom, hlásenia o výskyte symptomatickej posturálnej hypotenzie u pacientov boli zriedkavé. V týchto hláseniach sa vyskytli závraty a strata rovnováhy, nie však synkopa.</w:t>
      </w:r>
    </w:p>
    <w:p w14:paraId="583EAFB2" w14:textId="77777777" w:rsidR="00440AAD" w:rsidRPr="00F81584" w:rsidRDefault="00440AAD" w:rsidP="00FB5E36">
      <w:pPr>
        <w:spacing w:after="0" w:line="240" w:lineRule="auto"/>
        <w:jc w:val="both"/>
        <w:rPr>
          <w:rFonts w:ascii="Times New Roman" w:hAnsi="Times New Roman"/>
          <w:lang w:val="sk"/>
        </w:rPr>
      </w:pPr>
    </w:p>
    <w:p w14:paraId="77E73081"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Pri súbežnom podávaní sildenafilu (50 mg) s tolbutamidom (250 mg) alebo warfarínom (40 mg), ktoré sa metabolizujú prostredníctvom CYP2C9, sa nezaznamenali žiadne významné interakcie.</w:t>
      </w:r>
    </w:p>
    <w:p w14:paraId="7B3CB3D4" w14:textId="77777777" w:rsidR="00440AAD" w:rsidRPr="00F81584" w:rsidRDefault="00440AAD" w:rsidP="00FB5E36">
      <w:pPr>
        <w:spacing w:after="0" w:line="240" w:lineRule="auto"/>
        <w:jc w:val="both"/>
        <w:rPr>
          <w:rFonts w:ascii="Times New Roman" w:hAnsi="Times New Roman"/>
          <w:lang w:val="sk"/>
        </w:rPr>
      </w:pPr>
    </w:p>
    <w:p w14:paraId="62CBCCAA"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(50 mg) nezvyšoval predĺženie času krvácania spôsobeného kyselinou acetylsalicylovou (150 mg).</w:t>
      </w:r>
    </w:p>
    <w:p w14:paraId="3F779151" w14:textId="77777777" w:rsidR="00440AAD" w:rsidRPr="00F81584" w:rsidRDefault="00440AAD" w:rsidP="00FB5E36">
      <w:pPr>
        <w:spacing w:after="0" w:line="240" w:lineRule="auto"/>
        <w:jc w:val="both"/>
        <w:rPr>
          <w:rFonts w:ascii="Times New Roman" w:hAnsi="Times New Roman"/>
          <w:lang w:val="sk"/>
        </w:rPr>
      </w:pPr>
    </w:p>
    <w:p w14:paraId="690E980E"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(50 mg) nezosilňoval hypotenzný účinok alkoholu u zdravých dobrovoľníkov, ktorí mali priemernú maximálnu hladinu alkoholu v krvi 80 mg/d</w:t>
      </w:r>
      <w:r w:rsidR="00783B35">
        <w:rPr>
          <w:rFonts w:ascii="Times New Roman" w:hAnsi="Times New Roman"/>
          <w:lang w:val="sk"/>
        </w:rPr>
        <w:t>l</w:t>
      </w:r>
      <w:r w:rsidRPr="00FB5E36">
        <w:rPr>
          <w:rFonts w:ascii="Times New Roman" w:hAnsi="Times New Roman"/>
          <w:lang w:val="sk"/>
        </w:rPr>
        <w:t>.</w:t>
      </w:r>
    </w:p>
    <w:p w14:paraId="6FEC43CC" w14:textId="77777777" w:rsidR="00440AAD" w:rsidRPr="00F81584" w:rsidRDefault="00440AAD" w:rsidP="00FB5E36">
      <w:pPr>
        <w:spacing w:after="0" w:line="240" w:lineRule="auto"/>
        <w:jc w:val="both"/>
        <w:rPr>
          <w:rFonts w:ascii="Times New Roman" w:hAnsi="Times New Roman"/>
          <w:lang w:val="sk"/>
        </w:rPr>
      </w:pPr>
    </w:p>
    <w:p w14:paraId="55F1ECD5"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Analýza výsledkov podávania nasledujúcich skupín antihypertenzív, ako sú diuretiká, betablokátory, ACE inhibítory, antagonisty angiotenzínu II, iné antihypertenzíva (vazodilatátory a centrálne pôsobiace), blokátory adrenergných neurónov, blokátory vápnikových kanálov a alfablokátory, nepreukázala žiadny rozdiel v profile nežiaducich účinkov medzi pacientmi, ktorí užívali sildenafil, a pacientmi, ktorí užívali placebo. V špecifickej interakčnej štúdii u pacientov s hypertenziou, ktorí súčasne užívali amlodipín so sildenafilom (100 mg), sa zaznamenalo ďalšie zníženie systolického tlaku krvi v ľahu o 8 mmHg. Zodpovedajúce ďalšie zníženie diastolického tlaku krvi bolo 7 mmHg. Toto ďalšie zníženie tlaku krvi malo podobný rozsah, ako keď sa sildenafil podával zdravým dobrovoľníkom samostatne (pozri časť 5.1).</w:t>
      </w:r>
    </w:p>
    <w:p w14:paraId="3D178DCE" w14:textId="77777777" w:rsidR="00440AAD" w:rsidRPr="00F81584" w:rsidRDefault="00440AAD" w:rsidP="00FB5E36">
      <w:pPr>
        <w:spacing w:after="0" w:line="240" w:lineRule="auto"/>
        <w:jc w:val="both"/>
        <w:rPr>
          <w:rFonts w:ascii="Times New Roman" w:hAnsi="Times New Roman"/>
          <w:lang w:val="sk"/>
        </w:rPr>
      </w:pPr>
    </w:p>
    <w:p w14:paraId="4BA7FD4A" w14:textId="77777777" w:rsidR="00355F50" w:rsidRDefault="00355F50" w:rsidP="00FB5E36">
      <w:pPr>
        <w:spacing w:after="0" w:line="240" w:lineRule="auto"/>
        <w:jc w:val="both"/>
        <w:rPr>
          <w:rFonts w:ascii="Times New Roman" w:hAnsi="Times New Roman"/>
          <w:lang w:val="sk"/>
        </w:rPr>
      </w:pPr>
      <w:r w:rsidRPr="00FB5E36">
        <w:rPr>
          <w:rFonts w:ascii="Times New Roman" w:hAnsi="Times New Roman"/>
          <w:lang w:val="sk"/>
        </w:rPr>
        <w:t>Sildenafil (100 mg) neovplyvnil farmakokinetiku inhibítorov HIV proteázy v rovnovážnom stave – sa</w:t>
      </w:r>
      <w:r w:rsidR="00783B35">
        <w:rPr>
          <w:rFonts w:ascii="Times New Roman" w:hAnsi="Times New Roman"/>
          <w:lang w:val="sk"/>
        </w:rPr>
        <w:t>ch</w:t>
      </w:r>
      <w:r w:rsidRPr="00FB5E36">
        <w:rPr>
          <w:rFonts w:ascii="Times New Roman" w:hAnsi="Times New Roman"/>
          <w:lang w:val="sk"/>
        </w:rPr>
        <w:t>inaviru a ritonaviru, ktoré sú substrátmi CYP3A4.</w:t>
      </w:r>
    </w:p>
    <w:p w14:paraId="06ACD77A" w14:textId="77777777" w:rsidR="00440AAD" w:rsidRPr="00F81584" w:rsidRDefault="00440AAD" w:rsidP="00FB5E36">
      <w:pPr>
        <w:spacing w:after="0" w:line="240" w:lineRule="auto"/>
        <w:jc w:val="both"/>
        <w:rPr>
          <w:rFonts w:ascii="Times New Roman" w:hAnsi="Times New Roman"/>
          <w:lang w:val="sk"/>
        </w:rPr>
      </w:pPr>
    </w:p>
    <w:p w14:paraId="2FD323C3" w14:textId="77777777" w:rsidR="00355F50" w:rsidRPr="00F81584" w:rsidRDefault="00355F50" w:rsidP="00FB5E36">
      <w:pPr>
        <w:spacing w:after="0" w:line="240" w:lineRule="auto"/>
        <w:jc w:val="both"/>
        <w:rPr>
          <w:rFonts w:ascii="Times New Roman" w:hAnsi="Times New Roman"/>
          <w:lang w:val="sk"/>
        </w:rPr>
      </w:pPr>
      <w:r w:rsidRPr="00FB5E36">
        <w:rPr>
          <w:rFonts w:ascii="Times New Roman" w:hAnsi="Times New Roman"/>
          <w:lang w:val="sk"/>
        </w:rPr>
        <w:t xml:space="preserve">U zdravých mužských dobrovoľníkov sildenafil v rovnovážnom stave (80 mg trikrát denne) spôsobil zvýšenie AUC </w:t>
      </w:r>
      <w:r w:rsidR="006C06C3" w:rsidRPr="00FB5E36">
        <w:rPr>
          <w:rFonts w:ascii="Times New Roman" w:hAnsi="Times New Roman"/>
          <w:lang w:val="sk"/>
        </w:rPr>
        <w:t xml:space="preserve">bosentanu </w:t>
      </w:r>
      <w:r w:rsidRPr="00FB5E36">
        <w:rPr>
          <w:rFonts w:ascii="Times New Roman" w:hAnsi="Times New Roman"/>
          <w:lang w:val="sk"/>
        </w:rPr>
        <w:t>o 49,8 % a zvýšenie C</w:t>
      </w:r>
      <w:r w:rsidRPr="00FB5E36">
        <w:rPr>
          <w:rFonts w:ascii="Times New Roman" w:hAnsi="Times New Roman"/>
          <w:vertAlign w:val="subscript"/>
          <w:lang w:val="sk"/>
        </w:rPr>
        <w:t>max</w:t>
      </w:r>
      <w:r w:rsidRPr="00FB5E36">
        <w:rPr>
          <w:rFonts w:ascii="Times New Roman" w:hAnsi="Times New Roman"/>
          <w:lang w:val="sk"/>
        </w:rPr>
        <w:t xml:space="preserve"> </w:t>
      </w:r>
      <w:r w:rsidR="006C06C3" w:rsidRPr="00FB5E36">
        <w:rPr>
          <w:rFonts w:ascii="Times New Roman" w:hAnsi="Times New Roman"/>
          <w:lang w:val="sk"/>
        </w:rPr>
        <w:t xml:space="preserve">bosentanu </w:t>
      </w:r>
      <w:r w:rsidRPr="00FB5E36">
        <w:rPr>
          <w:rFonts w:ascii="Times New Roman" w:hAnsi="Times New Roman"/>
          <w:lang w:val="sk"/>
        </w:rPr>
        <w:t>o 42 % (125 mg dvakrát denne).</w:t>
      </w:r>
    </w:p>
    <w:p w14:paraId="520FAB68" w14:textId="77777777" w:rsidR="00355F50" w:rsidRPr="00F81584" w:rsidRDefault="00355F50" w:rsidP="00FB5E36">
      <w:pPr>
        <w:spacing w:after="0" w:line="240" w:lineRule="auto"/>
        <w:rPr>
          <w:rFonts w:ascii="Times New Roman" w:hAnsi="Times New Roman"/>
          <w:lang w:val="sk"/>
        </w:rPr>
      </w:pPr>
    </w:p>
    <w:p w14:paraId="3E2F9E22" w14:textId="77777777" w:rsidR="00355F50" w:rsidRPr="00FB5E36" w:rsidRDefault="00355F50" w:rsidP="00FB5E36">
      <w:pPr>
        <w:pStyle w:val="Nadpis3"/>
        <w:spacing w:before="0" w:line="240" w:lineRule="auto"/>
        <w:rPr>
          <w:rFonts w:cs="Times New Roman"/>
        </w:rPr>
      </w:pPr>
      <w:r w:rsidRPr="00FB5E36">
        <w:rPr>
          <w:rFonts w:cs="Times New Roman"/>
          <w:lang w:val="sk"/>
        </w:rPr>
        <w:t>4.6 Fertilita, gravidita a laktácia</w:t>
      </w:r>
    </w:p>
    <w:p w14:paraId="43D240AA" w14:textId="77777777" w:rsidR="00440AAD" w:rsidRDefault="00440AAD" w:rsidP="00FB5E36">
      <w:pPr>
        <w:spacing w:after="0" w:line="240" w:lineRule="auto"/>
        <w:rPr>
          <w:rFonts w:ascii="Times New Roman" w:hAnsi="Times New Roman"/>
          <w:lang w:val="sk"/>
        </w:rPr>
      </w:pPr>
    </w:p>
    <w:p w14:paraId="74078A14" w14:textId="3DCAB72F" w:rsidR="00355F50" w:rsidRDefault="00F81584" w:rsidP="00FB5E36">
      <w:pPr>
        <w:spacing w:after="0" w:line="240" w:lineRule="auto"/>
        <w:rPr>
          <w:rFonts w:ascii="Times New Roman" w:hAnsi="Times New Roman"/>
          <w:lang w:val="sk"/>
        </w:rPr>
      </w:pPr>
      <w:r>
        <w:rPr>
          <w:rFonts w:ascii="Times New Roman" w:hAnsi="Times New Roman"/>
          <w:lang w:val="sk"/>
        </w:rPr>
        <w:t>SIL</w:t>
      </w:r>
      <w:r w:rsidR="0080063F">
        <w:rPr>
          <w:rFonts w:ascii="Times New Roman" w:hAnsi="Times New Roman"/>
          <w:lang w:val="sk"/>
        </w:rPr>
        <w:t>ANDYL</w:t>
      </w:r>
      <w:r w:rsidR="007F60AB" w:rsidRPr="00FB5E36">
        <w:rPr>
          <w:rFonts w:ascii="Times New Roman" w:hAnsi="Times New Roman"/>
          <w:lang w:val="sk"/>
        </w:rPr>
        <w:t xml:space="preserve"> nie je indikovaný pre použitie u</w:t>
      </w:r>
      <w:r w:rsidR="0080063F">
        <w:rPr>
          <w:rFonts w:ascii="Times New Roman" w:hAnsi="Times New Roman"/>
          <w:lang w:val="sk"/>
        </w:rPr>
        <w:t> </w:t>
      </w:r>
      <w:r w:rsidR="007F60AB" w:rsidRPr="00FB5E36">
        <w:rPr>
          <w:rFonts w:ascii="Times New Roman" w:hAnsi="Times New Roman"/>
          <w:lang w:val="sk"/>
        </w:rPr>
        <w:t>žien.</w:t>
      </w:r>
    </w:p>
    <w:p w14:paraId="604916AD" w14:textId="77777777" w:rsidR="00440AAD" w:rsidRPr="00F81584" w:rsidRDefault="00440AAD" w:rsidP="00FB5E36">
      <w:pPr>
        <w:spacing w:after="0" w:line="240" w:lineRule="auto"/>
        <w:rPr>
          <w:rFonts w:ascii="Times New Roman" w:hAnsi="Times New Roman"/>
          <w:lang w:val="sk"/>
        </w:rPr>
      </w:pPr>
    </w:p>
    <w:p w14:paraId="6EF7DCF6" w14:textId="24E25679" w:rsidR="00063909" w:rsidRDefault="00355F50" w:rsidP="00FB5E36">
      <w:pPr>
        <w:spacing w:after="0" w:line="240" w:lineRule="auto"/>
        <w:rPr>
          <w:rFonts w:ascii="Times New Roman" w:hAnsi="Times New Roman"/>
          <w:lang w:val="sk"/>
        </w:rPr>
      </w:pPr>
      <w:r w:rsidRPr="00FB5E36">
        <w:rPr>
          <w:rFonts w:ascii="Times New Roman" w:hAnsi="Times New Roman"/>
          <w:lang w:val="sk"/>
        </w:rPr>
        <w:t xml:space="preserve">Neexistujú primerané a správne kontrolované štúdie užívania tohto </w:t>
      </w:r>
      <w:r w:rsidR="007E0B03">
        <w:rPr>
          <w:rFonts w:ascii="Times New Roman" w:hAnsi="Times New Roman"/>
          <w:lang w:val="sk"/>
        </w:rPr>
        <w:t>liek</w:t>
      </w:r>
      <w:r w:rsidRPr="00FB5E36">
        <w:rPr>
          <w:rFonts w:ascii="Times New Roman" w:hAnsi="Times New Roman"/>
          <w:lang w:val="sk"/>
        </w:rPr>
        <w:t>u u</w:t>
      </w:r>
      <w:r w:rsidR="0080063F">
        <w:rPr>
          <w:rFonts w:ascii="Times New Roman" w:hAnsi="Times New Roman"/>
          <w:lang w:val="sk"/>
        </w:rPr>
        <w:t> </w:t>
      </w:r>
      <w:r w:rsidRPr="00FB5E36">
        <w:rPr>
          <w:rFonts w:ascii="Times New Roman" w:hAnsi="Times New Roman"/>
          <w:lang w:val="sk"/>
        </w:rPr>
        <w:t>gravidných alebo dojčiacich žien.</w:t>
      </w:r>
    </w:p>
    <w:p w14:paraId="35E4BBB5" w14:textId="77777777" w:rsidR="00440AAD" w:rsidRPr="00FB5E36" w:rsidRDefault="00440AAD" w:rsidP="00FB5E36">
      <w:pPr>
        <w:spacing w:after="0" w:line="240" w:lineRule="auto"/>
        <w:rPr>
          <w:rFonts w:ascii="Times New Roman" w:hAnsi="Times New Roman"/>
        </w:rPr>
      </w:pPr>
    </w:p>
    <w:p w14:paraId="2301EFCA" w14:textId="474F7F60" w:rsidR="00355F50" w:rsidRDefault="00355F50" w:rsidP="00FB5E36">
      <w:pPr>
        <w:spacing w:after="0" w:line="240" w:lineRule="auto"/>
        <w:rPr>
          <w:rFonts w:ascii="Times New Roman" w:hAnsi="Times New Roman"/>
          <w:lang w:val="sk"/>
        </w:rPr>
      </w:pPr>
      <w:r w:rsidRPr="00FB5E36">
        <w:rPr>
          <w:rFonts w:ascii="Times New Roman" w:hAnsi="Times New Roman"/>
          <w:lang w:val="sk"/>
        </w:rPr>
        <w:t>V</w:t>
      </w:r>
      <w:r w:rsidR="0080063F">
        <w:rPr>
          <w:rFonts w:ascii="Times New Roman" w:hAnsi="Times New Roman"/>
          <w:lang w:val="sk"/>
        </w:rPr>
        <w:t> </w:t>
      </w:r>
      <w:r w:rsidRPr="00FB5E36">
        <w:rPr>
          <w:rFonts w:ascii="Times New Roman" w:hAnsi="Times New Roman"/>
          <w:lang w:val="sk"/>
        </w:rPr>
        <w:t>reprodukčných štúdiách na potkanoch a</w:t>
      </w:r>
      <w:r w:rsidR="0080063F">
        <w:rPr>
          <w:rFonts w:ascii="Times New Roman" w:hAnsi="Times New Roman"/>
          <w:lang w:val="sk"/>
        </w:rPr>
        <w:t> </w:t>
      </w:r>
      <w:r w:rsidRPr="00FB5E36">
        <w:rPr>
          <w:rFonts w:ascii="Times New Roman" w:hAnsi="Times New Roman"/>
          <w:lang w:val="sk"/>
        </w:rPr>
        <w:t>králikoch sa po perorálnom podaní sildenafilu nepozoroval žiaden relevantný nežiaduci účinok.</w:t>
      </w:r>
    </w:p>
    <w:p w14:paraId="1C58D47A" w14:textId="77777777" w:rsidR="00440AAD" w:rsidRPr="00FB5E36" w:rsidRDefault="00440AAD" w:rsidP="00FB5E36">
      <w:pPr>
        <w:spacing w:after="0" w:line="240" w:lineRule="auto"/>
        <w:rPr>
          <w:rFonts w:ascii="Times New Roman" w:hAnsi="Times New Roman"/>
        </w:rPr>
      </w:pPr>
    </w:p>
    <w:p w14:paraId="16DC19B9"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Po jednorazovej perorálnej dávke 100 mg sildenafilu sa u zdravých dobrovoľníkov nezistil žiaden účinok na motilitu alebo morfológiu spermií (pozri časť 5.1).</w:t>
      </w:r>
    </w:p>
    <w:p w14:paraId="14D39A0A" w14:textId="77777777" w:rsidR="00355F50" w:rsidRPr="00FB5E36" w:rsidRDefault="00355F50" w:rsidP="00FB5E36">
      <w:pPr>
        <w:spacing w:after="0" w:line="240" w:lineRule="auto"/>
        <w:rPr>
          <w:rFonts w:ascii="Times New Roman" w:hAnsi="Times New Roman"/>
        </w:rPr>
      </w:pPr>
    </w:p>
    <w:p w14:paraId="14C91E38" w14:textId="77777777" w:rsidR="00355F50" w:rsidRPr="00FB5E36" w:rsidRDefault="00355F50" w:rsidP="00FB5E36">
      <w:pPr>
        <w:pStyle w:val="Nadpis3"/>
        <w:spacing w:before="0" w:line="240" w:lineRule="auto"/>
        <w:rPr>
          <w:rFonts w:cs="Times New Roman"/>
        </w:rPr>
      </w:pPr>
      <w:r w:rsidRPr="00FB5E36">
        <w:rPr>
          <w:rFonts w:cs="Times New Roman"/>
          <w:lang w:val="sk"/>
        </w:rPr>
        <w:lastRenderedPageBreak/>
        <w:t>4.7 Ovplyvnenie schopnosti viesť vozidlá a obsluhovať stroje</w:t>
      </w:r>
    </w:p>
    <w:p w14:paraId="029900BF" w14:textId="77777777" w:rsidR="00440AAD" w:rsidRDefault="00440AAD" w:rsidP="00FB5E36">
      <w:pPr>
        <w:spacing w:after="0" w:line="240" w:lineRule="auto"/>
        <w:rPr>
          <w:rFonts w:ascii="Times New Roman" w:hAnsi="Times New Roman"/>
          <w:lang w:val="sk"/>
        </w:rPr>
      </w:pPr>
    </w:p>
    <w:p w14:paraId="42BE4DEB"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Nebola vykonaná žiadna špecifická štúdia ovplyvnenia schopnosti viesť vozidlá a obsluhovať stroje.</w:t>
      </w:r>
    </w:p>
    <w:p w14:paraId="19C0027F" w14:textId="77777777" w:rsidR="00440AAD" w:rsidRPr="00F81584" w:rsidRDefault="00440AAD" w:rsidP="00FB5E36">
      <w:pPr>
        <w:spacing w:after="0" w:line="240" w:lineRule="auto"/>
        <w:rPr>
          <w:rFonts w:ascii="Times New Roman" w:hAnsi="Times New Roman"/>
          <w:lang w:val="sk"/>
        </w:rPr>
      </w:pPr>
    </w:p>
    <w:p w14:paraId="762C8F9C" w14:textId="70D1C23E" w:rsidR="00355F50" w:rsidRPr="008B2F4A" w:rsidRDefault="007E0B03" w:rsidP="008B2F4A">
      <w:pPr>
        <w:autoSpaceDE w:val="0"/>
        <w:autoSpaceDN w:val="0"/>
        <w:adjustRightInd w:val="0"/>
        <w:spacing w:after="0" w:line="240" w:lineRule="auto"/>
        <w:rPr>
          <w:rFonts w:ascii="TimesNewRoman" w:eastAsia="TimesNewRoman" w:cs="TimesNewRoman"/>
          <w:lang w:val="sk-SK" w:eastAsia="it-CH"/>
        </w:rPr>
      </w:pPr>
      <w:r>
        <w:rPr>
          <w:rFonts w:ascii="Times New Roman" w:hAnsi="Times New Roman"/>
          <w:lang w:val="sk"/>
        </w:rPr>
        <w:t>Keďže</w:t>
      </w:r>
      <w:r w:rsidR="00355F50" w:rsidRPr="00FB5E36">
        <w:rPr>
          <w:rFonts w:ascii="Times New Roman" w:hAnsi="Times New Roman"/>
          <w:lang w:val="sk"/>
        </w:rPr>
        <w:t xml:space="preserve"> pri klinických skúšaniach so sildenafilom bol</w:t>
      </w:r>
      <w:r>
        <w:rPr>
          <w:rFonts w:ascii="Times New Roman" w:hAnsi="Times New Roman"/>
          <w:lang w:val="sk"/>
        </w:rPr>
        <w:t>i</w:t>
      </w:r>
      <w:r w:rsidR="00355F50" w:rsidRPr="00FB5E36">
        <w:rPr>
          <w:rFonts w:ascii="Times New Roman" w:hAnsi="Times New Roman"/>
          <w:lang w:val="sk"/>
        </w:rPr>
        <w:t xml:space="preserve"> zaznamenané </w:t>
      </w:r>
      <w:r>
        <w:rPr>
          <w:rFonts w:ascii="Times New Roman" w:hAnsi="Times New Roman"/>
          <w:lang w:val="sk"/>
        </w:rPr>
        <w:t>závraty</w:t>
      </w:r>
      <w:r w:rsidR="00355F50" w:rsidRPr="00FB5E36">
        <w:rPr>
          <w:rFonts w:ascii="Times New Roman" w:hAnsi="Times New Roman"/>
          <w:lang w:val="sk"/>
        </w:rPr>
        <w:t xml:space="preserve"> a zmena videnia, pacienti </w:t>
      </w:r>
      <w:r w:rsidRPr="008B2F4A">
        <w:rPr>
          <w:rFonts w:ascii="Times New Roman" w:eastAsia="TimesNewRoman" w:hAnsi="Times New Roman"/>
          <w:lang w:val="sk-SK" w:eastAsia="it-CH"/>
        </w:rPr>
        <w:t>predtým,</w:t>
      </w:r>
      <w:r>
        <w:rPr>
          <w:rFonts w:ascii="Times New Roman" w:eastAsia="TimesNewRoman" w:hAnsi="Times New Roman"/>
          <w:lang w:val="sk-SK" w:eastAsia="it-CH"/>
        </w:rPr>
        <w:t xml:space="preserve"> </w:t>
      </w:r>
      <w:r w:rsidRPr="008B2F4A">
        <w:rPr>
          <w:rFonts w:ascii="Times New Roman" w:eastAsia="TimesNewRoman" w:hAnsi="Times New Roman"/>
          <w:lang w:val="sk-SK" w:eastAsia="it-CH"/>
        </w:rPr>
        <w:t>ako budú viesť vozidlá a obsluhovať stroje, majú poznať</w:t>
      </w:r>
      <w:r w:rsidR="00355F50" w:rsidRPr="007E0B03">
        <w:rPr>
          <w:rFonts w:ascii="Times New Roman" w:hAnsi="Times New Roman"/>
          <w:lang w:val="sk"/>
        </w:rPr>
        <w:t>,</w:t>
      </w:r>
      <w:r w:rsidR="00355F50" w:rsidRPr="00FB5E36">
        <w:rPr>
          <w:rFonts w:ascii="Times New Roman" w:hAnsi="Times New Roman"/>
          <w:lang w:val="sk"/>
        </w:rPr>
        <w:t xml:space="preserve"> ako reagujú na </w:t>
      </w:r>
      <w:r w:rsidR="00F81584">
        <w:rPr>
          <w:rFonts w:ascii="Times New Roman" w:hAnsi="Times New Roman"/>
          <w:lang w:val="sk"/>
        </w:rPr>
        <w:t>SIL</w:t>
      </w:r>
      <w:r w:rsidR="0080063F">
        <w:rPr>
          <w:rFonts w:ascii="Times New Roman" w:hAnsi="Times New Roman"/>
          <w:lang w:val="sk"/>
        </w:rPr>
        <w:t>ANDYL</w:t>
      </w:r>
      <w:r w:rsidR="00355F50" w:rsidRPr="00FB5E36">
        <w:rPr>
          <w:rFonts w:ascii="Times New Roman" w:hAnsi="Times New Roman"/>
          <w:lang w:val="sk"/>
        </w:rPr>
        <w:t>.</w:t>
      </w:r>
    </w:p>
    <w:p w14:paraId="268E4CD5" w14:textId="77777777" w:rsidR="00355F50" w:rsidRPr="00F81584" w:rsidRDefault="00355F50" w:rsidP="00FB5E36">
      <w:pPr>
        <w:spacing w:after="0" w:line="240" w:lineRule="auto"/>
        <w:rPr>
          <w:rFonts w:ascii="Times New Roman" w:hAnsi="Times New Roman"/>
          <w:lang w:val="sk"/>
        </w:rPr>
      </w:pPr>
    </w:p>
    <w:p w14:paraId="3C265647"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 xml:space="preserve">4.8 </w:t>
      </w:r>
      <w:r w:rsidRPr="008B2F4A">
        <w:rPr>
          <w:rFonts w:cs="Times New Roman"/>
          <w:lang w:val="sk"/>
        </w:rPr>
        <w:t>Nežiaduce účinky</w:t>
      </w:r>
    </w:p>
    <w:p w14:paraId="25C8C5E6" w14:textId="77777777" w:rsidR="00440AAD" w:rsidRDefault="00440AAD" w:rsidP="00FB5E36">
      <w:pPr>
        <w:spacing w:after="0" w:line="240" w:lineRule="auto"/>
        <w:rPr>
          <w:rFonts w:ascii="Times New Roman" w:hAnsi="Times New Roman"/>
          <w:u w:val="single"/>
          <w:lang w:val="sk"/>
        </w:rPr>
      </w:pPr>
    </w:p>
    <w:p w14:paraId="225CD5CF"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Súhrn bezpečnostného profilu</w:t>
      </w:r>
    </w:p>
    <w:p w14:paraId="5E832417" w14:textId="77777777" w:rsidR="00440AAD" w:rsidRPr="00440AAD" w:rsidRDefault="00107D14" w:rsidP="00FB5E36">
      <w:pPr>
        <w:spacing w:after="0" w:line="240" w:lineRule="auto"/>
        <w:rPr>
          <w:rFonts w:ascii="Times New Roman" w:hAnsi="Times New Roman"/>
          <w:lang w:val="sk"/>
        </w:rPr>
      </w:pPr>
      <w:r w:rsidRPr="00FB5E36">
        <w:rPr>
          <w:rFonts w:ascii="Times New Roman" w:hAnsi="Times New Roman"/>
          <w:lang w:val="sk"/>
        </w:rPr>
        <w:t xml:space="preserve">Bezpečnostný profil sildenafilu je založený na 9 570 pacientoch </w:t>
      </w:r>
      <w:r w:rsidR="00AC7DA1">
        <w:rPr>
          <w:rFonts w:ascii="Times New Roman" w:hAnsi="Times New Roman"/>
          <w:lang w:val="sk"/>
        </w:rPr>
        <w:t xml:space="preserve">v </w:t>
      </w:r>
      <w:r w:rsidRPr="00FB5E36">
        <w:rPr>
          <w:rFonts w:ascii="Times New Roman" w:hAnsi="Times New Roman"/>
          <w:lang w:val="sk"/>
        </w:rPr>
        <w:t>74 dvojito zaslepených placebom kontrolovaných</w:t>
      </w:r>
      <w:r w:rsidR="002179B9" w:rsidRPr="00FB5E36">
        <w:rPr>
          <w:rFonts w:ascii="Times New Roman" w:hAnsi="Times New Roman"/>
          <w:lang w:val="sk"/>
        </w:rPr>
        <w:t xml:space="preserve"> </w:t>
      </w:r>
      <w:r w:rsidRPr="00FB5E36">
        <w:rPr>
          <w:rFonts w:ascii="Times New Roman" w:hAnsi="Times New Roman"/>
          <w:lang w:val="sk"/>
        </w:rPr>
        <w:t>klinických štúdi</w:t>
      </w:r>
      <w:r w:rsidR="00AC7DA1">
        <w:rPr>
          <w:rFonts w:ascii="Times New Roman" w:hAnsi="Times New Roman"/>
          <w:lang w:val="sk"/>
        </w:rPr>
        <w:t>ách</w:t>
      </w:r>
      <w:r w:rsidRPr="00FB5E36">
        <w:rPr>
          <w:rFonts w:ascii="Times New Roman" w:hAnsi="Times New Roman"/>
          <w:lang w:val="sk"/>
        </w:rPr>
        <w:t>. Najčastejšie zaznamenané nežiaduce reakcie v klinických štúdiách u pacientov liečených sildenafilom</w:t>
      </w:r>
      <w:r w:rsidR="002179B9" w:rsidRPr="00FB5E36">
        <w:rPr>
          <w:rFonts w:ascii="Times New Roman" w:hAnsi="Times New Roman"/>
          <w:lang w:val="sk"/>
        </w:rPr>
        <w:t xml:space="preserve"> </w:t>
      </w:r>
      <w:r w:rsidRPr="00FB5E36">
        <w:rPr>
          <w:rFonts w:ascii="Times New Roman" w:hAnsi="Times New Roman"/>
          <w:lang w:val="sk"/>
        </w:rPr>
        <w:t xml:space="preserve">boli: bolesť </w:t>
      </w:r>
      <w:r w:rsidRPr="008B2F4A">
        <w:rPr>
          <w:rFonts w:ascii="Times New Roman" w:hAnsi="Times New Roman"/>
          <w:lang w:val="sk"/>
        </w:rPr>
        <w:t xml:space="preserve">hlavy, </w:t>
      </w:r>
      <w:r w:rsidR="008B2F4A">
        <w:rPr>
          <w:rFonts w:ascii="Times New Roman" w:hAnsi="Times New Roman"/>
          <w:lang w:val="sk"/>
        </w:rPr>
        <w:t>sčervenenie</w:t>
      </w:r>
      <w:r w:rsidRPr="008B2F4A">
        <w:rPr>
          <w:rFonts w:ascii="Times New Roman" w:hAnsi="Times New Roman"/>
          <w:lang w:val="sk"/>
        </w:rPr>
        <w:t>,</w:t>
      </w:r>
      <w:r w:rsidRPr="00FB5E36">
        <w:rPr>
          <w:rFonts w:ascii="Times New Roman" w:hAnsi="Times New Roman"/>
          <w:lang w:val="sk"/>
        </w:rPr>
        <w:t xml:space="preserve"> dyspepsia, nazálna kongescia, závraty, nevoľnosť, návaly horúčavy, poruchy zraku,</w:t>
      </w:r>
      <w:r w:rsidR="002179B9" w:rsidRPr="00FB5E36">
        <w:rPr>
          <w:rFonts w:ascii="Times New Roman" w:hAnsi="Times New Roman"/>
          <w:lang w:val="sk"/>
        </w:rPr>
        <w:t xml:space="preserve"> </w:t>
      </w:r>
      <w:r w:rsidRPr="00FB5E36">
        <w:rPr>
          <w:rFonts w:ascii="Times New Roman" w:hAnsi="Times New Roman"/>
          <w:lang w:val="sk"/>
        </w:rPr>
        <w:t>cyanopsia a rozmazané videnie.</w:t>
      </w:r>
    </w:p>
    <w:p w14:paraId="680C618B" w14:textId="77777777" w:rsidR="00107D14" w:rsidRDefault="00107D14" w:rsidP="00FB5E36">
      <w:pPr>
        <w:spacing w:after="0" w:line="240" w:lineRule="auto"/>
        <w:rPr>
          <w:rFonts w:ascii="Times New Roman" w:hAnsi="Times New Roman"/>
          <w:lang w:val="sk"/>
        </w:rPr>
      </w:pPr>
      <w:r w:rsidRPr="00FB5E36">
        <w:rPr>
          <w:rFonts w:ascii="Times New Roman" w:hAnsi="Times New Roman"/>
          <w:lang w:val="sk"/>
        </w:rPr>
        <w:t>Nežiaduce reakcie v rámci sledovania lieku po jeho uvedení na trh sa zhromažďovali počas obdobia približne</w:t>
      </w:r>
      <w:r w:rsidR="00440AAD">
        <w:rPr>
          <w:rFonts w:ascii="Times New Roman" w:hAnsi="Times New Roman"/>
          <w:lang w:val="sk"/>
        </w:rPr>
        <w:t xml:space="preserve"> </w:t>
      </w:r>
      <w:r w:rsidRPr="00FB5E36">
        <w:rPr>
          <w:rFonts w:ascii="Times New Roman" w:hAnsi="Times New Roman"/>
          <w:lang w:val="sk"/>
        </w:rPr>
        <w:t>&gt;10 rokov. Keďže nie všetky nežiaduce reakcie boli hlásené držiteľovi rozhodnutia o registrácii a</w:t>
      </w:r>
      <w:r w:rsidR="002179B9" w:rsidRPr="00FB5E36">
        <w:rPr>
          <w:rFonts w:ascii="Times New Roman" w:hAnsi="Times New Roman"/>
          <w:lang w:val="sk"/>
        </w:rPr>
        <w:t xml:space="preserve"> </w:t>
      </w:r>
      <w:r w:rsidRPr="00FB5E36">
        <w:rPr>
          <w:rFonts w:ascii="Times New Roman" w:hAnsi="Times New Roman"/>
          <w:lang w:val="sk"/>
        </w:rPr>
        <w:t xml:space="preserve">zaradené do bezpečnostnej databázy, frekvencie </w:t>
      </w:r>
      <w:r w:rsidR="00AC7DA1">
        <w:rPr>
          <w:rFonts w:ascii="Times New Roman" w:hAnsi="Times New Roman"/>
          <w:lang w:val="sk"/>
        </w:rPr>
        <w:t xml:space="preserve">výskytu </w:t>
      </w:r>
      <w:r w:rsidRPr="00FB5E36">
        <w:rPr>
          <w:rFonts w:ascii="Times New Roman" w:hAnsi="Times New Roman"/>
          <w:lang w:val="sk"/>
        </w:rPr>
        <w:t>týchto reakcií nemohli byť spoľahlivo stanovené.</w:t>
      </w:r>
    </w:p>
    <w:p w14:paraId="3E06ED82" w14:textId="77777777" w:rsidR="00440AAD" w:rsidRPr="00F81584" w:rsidRDefault="00440AAD" w:rsidP="00FB5E36">
      <w:pPr>
        <w:spacing w:after="0" w:line="240" w:lineRule="auto"/>
        <w:rPr>
          <w:rFonts w:ascii="Times New Roman" w:hAnsi="Times New Roman"/>
          <w:lang w:val="sk"/>
        </w:rPr>
      </w:pPr>
    </w:p>
    <w:p w14:paraId="2AD2702A"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Zoznam nežiaducich reakcií zostavený do tabuľky</w:t>
      </w:r>
    </w:p>
    <w:p w14:paraId="6625D039"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nasledujúcej tabuľke všetky klinicky dôležité nežiaduce reakcie, ktoré sa vyskytli v rámci klinických štúdií s incidenciou väčšou ako pri placebe, sú zoradené podľa systému orgánových tried a frekvencie ako veľmi časté (≥1/10), časté (≥1/100 až &lt;1/10), menej časté (≥1/1 000 až &lt;1/100), zriedkavé (≥1/10 000 až &lt;1/1 000).</w:t>
      </w:r>
    </w:p>
    <w:p w14:paraId="53B21A29" w14:textId="77777777" w:rsidR="00111E6E" w:rsidRPr="00F81584" w:rsidRDefault="00111E6E" w:rsidP="00FB5E36">
      <w:pPr>
        <w:spacing w:after="0" w:line="240" w:lineRule="auto"/>
        <w:rPr>
          <w:rFonts w:ascii="Times New Roman" w:hAnsi="Times New Roman"/>
          <w:lang w:val="sk"/>
        </w:rPr>
      </w:pPr>
    </w:p>
    <w:p w14:paraId="72A26F9B" w14:textId="28C13880" w:rsidR="00355F50" w:rsidRDefault="00355F50" w:rsidP="00FB5E36">
      <w:pPr>
        <w:spacing w:after="0" w:line="240" w:lineRule="auto"/>
        <w:rPr>
          <w:rFonts w:ascii="Times New Roman" w:hAnsi="Times New Roman"/>
          <w:lang w:val="sk"/>
        </w:rPr>
      </w:pPr>
      <w:r w:rsidRPr="00FB5E36">
        <w:rPr>
          <w:rFonts w:ascii="Times New Roman" w:hAnsi="Times New Roman"/>
          <w:lang w:val="sk"/>
        </w:rPr>
        <w:t>Navyše je zahrnutá frekvencia klinicky dôležitých nežiaducich reakcií hlásených po uvedení lieku na trh, ktorá je definovaná ako neznáma.</w:t>
      </w:r>
    </w:p>
    <w:p w14:paraId="43FA9BBF" w14:textId="77777777" w:rsidR="00BE2F9D" w:rsidRPr="00F81584" w:rsidRDefault="00BE2F9D" w:rsidP="00FB5E36">
      <w:pPr>
        <w:spacing w:after="0" w:line="240" w:lineRule="auto"/>
        <w:rPr>
          <w:rFonts w:ascii="Times New Roman" w:hAnsi="Times New Roman"/>
          <w:lang w:val="sk"/>
        </w:rPr>
      </w:pPr>
    </w:p>
    <w:p w14:paraId="5CA08FE8"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V rámci jednotlivých frekvenčných zoskupení s</w:t>
      </w:r>
      <w:r w:rsidR="00AC7DA1">
        <w:rPr>
          <w:rFonts w:ascii="Times New Roman" w:hAnsi="Times New Roman"/>
          <w:lang w:val="sk"/>
        </w:rPr>
        <w:t>ú</w:t>
      </w:r>
      <w:r w:rsidRPr="00FB5E36">
        <w:rPr>
          <w:rFonts w:ascii="Times New Roman" w:hAnsi="Times New Roman"/>
          <w:lang w:val="sk"/>
        </w:rPr>
        <w:t xml:space="preserve"> nežiaduce účinky </w:t>
      </w:r>
      <w:r w:rsidR="00AC7DA1">
        <w:rPr>
          <w:rFonts w:ascii="Times New Roman" w:hAnsi="Times New Roman"/>
          <w:lang w:val="sk"/>
        </w:rPr>
        <w:t>uvedené</w:t>
      </w:r>
      <w:r w:rsidRPr="00FB5E36">
        <w:rPr>
          <w:rFonts w:ascii="Times New Roman" w:hAnsi="Times New Roman"/>
          <w:lang w:val="sk"/>
        </w:rPr>
        <w:t xml:space="preserve"> v poradí klesajúcej závažnosti.</w:t>
      </w:r>
    </w:p>
    <w:p w14:paraId="16BDA833" w14:textId="77777777" w:rsidR="00355F50" w:rsidRPr="00F81584" w:rsidRDefault="00355F50" w:rsidP="00FB5E36">
      <w:pPr>
        <w:spacing w:after="0" w:line="240" w:lineRule="auto"/>
        <w:rPr>
          <w:rFonts w:ascii="Times New Roman" w:hAnsi="Times New Roman"/>
          <w:b/>
          <w:bCs/>
          <w:lang w:val="sk"/>
        </w:rPr>
      </w:pPr>
    </w:p>
    <w:p w14:paraId="04EA7C1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Tabuľka 1: Klinicky dôležité nežiaduce reakcie, ktorých incidencia v kontrolovaných klinických štúdiách bola vyššia v porovnaní s placebom a klinicky dôležité nežiaduce reakcie hlásené v rámci sledovania lieku po jeho uvedení na trh.</w:t>
      </w:r>
    </w:p>
    <w:p w14:paraId="32A7C78A" w14:textId="77777777" w:rsidR="00355F50" w:rsidRPr="00F81584" w:rsidRDefault="00355F50" w:rsidP="00FB5E36">
      <w:pPr>
        <w:spacing w:after="0" w:line="240" w:lineRule="auto"/>
        <w:rPr>
          <w:rFonts w:ascii="Times New Roman" w:hAnsi="Times New Roman"/>
          <w:b/>
          <w:bCs/>
          <w:lang w:val="sk"/>
        </w:rPr>
      </w:pPr>
    </w:p>
    <w:p w14:paraId="699EC7A8" w14:textId="77777777" w:rsidR="00355F50" w:rsidRPr="00F81584" w:rsidRDefault="002179B9" w:rsidP="00FB5E36">
      <w:pPr>
        <w:spacing w:after="0" w:line="240" w:lineRule="auto"/>
        <w:rPr>
          <w:rFonts w:ascii="Times New Roman" w:hAnsi="Times New Roman"/>
          <w:b/>
          <w:bCs/>
          <w:lang w:val="sk"/>
        </w:rPr>
      </w:pPr>
      <w:r w:rsidRPr="00FB5E36">
        <w:rPr>
          <w:rFonts w:ascii="Times New Roman" w:hAnsi="Times New Roman"/>
          <w:b/>
          <w:bCs/>
          <w:lang w:val="sk"/>
        </w:rPr>
        <w:t xml:space="preserve">Trieda orgánových systémov </w:t>
      </w:r>
      <w:r w:rsidRPr="00FB5E36">
        <w:rPr>
          <w:rFonts w:ascii="Times New Roman" w:hAnsi="Times New Roman"/>
          <w:b/>
          <w:bCs/>
          <w:lang w:val="sk"/>
        </w:rPr>
        <w:tab/>
      </w:r>
      <w:r w:rsidRPr="00FB5E36">
        <w:rPr>
          <w:rFonts w:ascii="Times New Roman" w:hAnsi="Times New Roman"/>
          <w:b/>
          <w:bCs/>
          <w:lang w:val="sk"/>
        </w:rPr>
        <w:tab/>
      </w:r>
      <w:r w:rsidR="00355F50" w:rsidRPr="00FB5E36">
        <w:rPr>
          <w:rFonts w:ascii="Times New Roman" w:hAnsi="Times New Roman"/>
          <w:b/>
          <w:bCs/>
          <w:lang w:val="sk"/>
        </w:rPr>
        <w:tab/>
        <w:t>Nežiaduce reakcie</w:t>
      </w:r>
    </w:p>
    <w:p w14:paraId="0B5E5FA9" w14:textId="77777777" w:rsidR="00111E6E" w:rsidRDefault="00111E6E" w:rsidP="00FB5E36">
      <w:pPr>
        <w:spacing w:after="0" w:line="240" w:lineRule="auto"/>
        <w:rPr>
          <w:rFonts w:ascii="Times New Roman" w:hAnsi="Times New Roman"/>
          <w:b/>
          <w:bCs/>
          <w:lang w:val="sk"/>
        </w:rPr>
      </w:pPr>
    </w:p>
    <w:p w14:paraId="3E8891E3" w14:textId="77777777" w:rsidR="00107D14" w:rsidRPr="00F81584" w:rsidRDefault="00107D14" w:rsidP="00FB5E36">
      <w:pPr>
        <w:spacing w:after="0" w:line="240" w:lineRule="auto"/>
        <w:rPr>
          <w:rFonts w:ascii="Times New Roman" w:hAnsi="Times New Roman"/>
          <w:b/>
          <w:bCs/>
          <w:lang w:val="sk"/>
        </w:rPr>
      </w:pPr>
      <w:r w:rsidRPr="00FB5E36">
        <w:rPr>
          <w:rFonts w:ascii="Times New Roman" w:hAnsi="Times New Roman"/>
          <w:b/>
          <w:bCs/>
          <w:lang w:val="sk"/>
        </w:rPr>
        <w:t>Infekcie a prejavy</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p>
    <w:p w14:paraId="185193D9" w14:textId="77777777" w:rsidR="00107D14" w:rsidRPr="00F81584" w:rsidRDefault="00107D14"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Rinitída</w:t>
      </w:r>
    </w:p>
    <w:p w14:paraId="0CA1B245" w14:textId="77777777" w:rsidR="00111E6E" w:rsidRDefault="00111E6E" w:rsidP="00FB5E36">
      <w:pPr>
        <w:spacing w:after="0" w:line="240" w:lineRule="auto"/>
        <w:rPr>
          <w:rFonts w:ascii="Times New Roman" w:hAnsi="Times New Roman"/>
          <w:b/>
          <w:bCs/>
          <w:lang w:val="sk"/>
        </w:rPr>
      </w:pPr>
    </w:p>
    <w:p w14:paraId="3240AAA7"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imunitného systému</w:t>
      </w:r>
    </w:p>
    <w:p w14:paraId="75DF9B3C" w14:textId="77777777" w:rsidR="00355F50" w:rsidRPr="00F81584" w:rsidRDefault="00107D14"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Hypersenzitivita </w:t>
      </w:r>
    </w:p>
    <w:p w14:paraId="1E535372" w14:textId="77777777" w:rsidR="00111E6E" w:rsidRDefault="00111E6E" w:rsidP="00FB5E36">
      <w:pPr>
        <w:spacing w:after="0" w:line="240" w:lineRule="auto"/>
        <w:rPr>
          <w:rFonts w:ascii="Times New Roman" w:hAnsi="Times New Roman"/>
          <w:b/>
          <w:bCs/>
          <w:lang w:val="sk"/>
        </w:rPr>
      </w:pPr>
    </w:p>
    <w:p w14:paraId="7DB4FF9F"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nervového systému</w:t>
      </w:r>
    </w:p>
    <w:p w14:paraId="23BF7458"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Veľmi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Bolesť hlavy</w:t>
      </w:r>
    </w:p>
    <w:p w14:paraId="02DF17EF"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t>Závrat</w:t>
      </w:r>
    </w:p>
    <w:p w14:paraId="43A5D5A2"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Somnolencia, </w:t>
      </w:r>
      <w:r w:rsidRPr="008B2F4A">
        <w:rPr>
          <w:rFonts w:ascii="Times New Roman" w:hAnsi="Times New Roman"/>
          <w:lang w:val="sk"/>
        </w:rPr>
        <w:t>hypestézia</w:t>
      </w:r>
    </w:p>
    <w:p w14:paraId="4C018F54"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 xml:space="preserve">Cerebrovaskulárna príhoda </w:t>
      </w:r>
    </w:p>
    <w:p w14:paraId="72E4746F" w14:textId="17A1413F"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Neznáme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Prechodný ischemický atak, záchvat*, recidíva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záchvatu*, synkopa</w:t>
      </w:r>
    </w:p>
    <w:p w14:paraId="4153CE3F" w14:textId="77777777" w:rsidR="00111E6E" w:rsidRDefault="00111E6E" w:rsidP="00FB5E36">
      <w:pPr>
        <w:spacing w:after="0" w:line="240" w:lineRule="auto"/>
        <w:rPr>
          <w:rFonts w:ascii="Times New Roman" w:hAnsi="Times New Roman"/>
          <w:b/>
          <w:bCs/>
          <w:lang w:val="sk"/>
        </w:rPr>
      </w:pPr>
    </w:p>
    <w:p w14:paraId="471C0D8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oka</w:t>
      </w:r>
    </w:p>
    <w:p w14:paraId="1A40725A"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t xml:space="preserve">Porucha zraku, porucha farebného videnia**, </w:t>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rozmazané videnie</w:t>
      </w:r>
    </w:p>
    <w:p w14:paraId="356FACE7" w14:textId="0035C469"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lastRenderedPageBreak/>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Konjunktivitída, </w:t>
      </w:r>
      <w:r w:rsidR="00745A65">
        <w:rPr>
          <w:rFonts w:ascii="Times New Roman" w:hAnsi="Times New Roman"/>
          <w:lang w:val="sk"/>
        </w:rPr>
        <w:t>porucha jasného videnia</w:t>
      </w:r>
      <w:r w:rsidRPr="00FB5E36">
        <w:rPr>
          <w:rFonts w:ascii="Times New Roman" w:hAnsi="Times New Roman"/>
          <w:lang w:val="sk"/>
        </w:rPr>
        <w:t xml:space="preserve">, </w:t>
      </w:r>
      <w:r w:rsidR="00745A65">
        <w:rPr>
          <w:rFonts w:ascii="Times New Roman" w:hAnsi="Times New Roman"/>
          <w:lang w:val="sk"/>
        </w:rPr>
        <w:t>hyperémia</w:t>
      </w:r>
      <w:r w:rsidR="00745A65" w:rsidRPr="00FB5E36">
        <w:rPr>
          <w:rFonts w:ascii="Times New Roman" w:hAnsi="Times New Roman"/>
          <w:lang w:val="sk"/>
        </w:rPr>
        <w:t xml:space="preserv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o</w:t>
      </w:r>
      <w:r w:rsidR="00745A65">
        <w:rPr>
          <w:rFonts w:ascii="Times New Roman" w:hAnsi="Times New Roman"/>
          <w:lang w:val="sk"/>
        </w:rPr>
        <w:t>ka</w:t>
      </w:r>
      <w:r w:rsidRPr="00FB5E36">
        <w:rPr>
          <w:rFonts w:ascii="Times New Roman" w:hAnsi="Times New Roman"/>
          <w:lang w:val="sk"/>
        </w:rPr>
        <w:t>, fotofóbia, bolesti oka, poruchy</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 </w:t>
      </w:r>
      <w:r w:rsidR="002179B9"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t xml:space="preserve">slzenia***,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p>
    <w:p w14:paraId="1848FB54"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583978" w:rsidRPr="00FB5E36">
        <w:rPr>
          <w:rFonts w:ascii="Times New Roman" w:hAnsi="Times New Roman"/>
          <w:lang w:val="sk"/>
        </w:rPr>
        <w:tab/>
      </w:r>
      <w:r w:rsidR="00583978" w:rsidRPr="00FB5E36">
        <w:rPr>
          <w:rFonts w:ascii="Times New Roman" w:hAnsi="Times New Roman"/>
          <w:lang w:val="sk"/>
        </w:rPr>
        <w:tab/>
        <w:t>Nearteritická predná ischemická očná neuropatia</w:t>
      </w:r>
      <w:r w:rsidRPr="00F81584">
        <w:rPr>
          <w:rFonts w:ascii="Times New Roman" w:hAnsi="Times New Roman"/>
          <w:lang w:val="sk"/>
        </w:rPr>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t xml:space="preserve"> </w:t>
      </w:r>
      <w:r w:rsidRPr="00FB5E36">
        <w:rPr>
          <w:rFonts w:ascii="Times New Roman" w:hAnsi="Times New Roman"/>
          <w:lang w:val="sk"/>
        </w:rPr>
        <w:tab/>
      </w:r>
      <w:r w:rsidR="00355F50" w:rsidRPr="00FB5E36">
        <w:rPr>
          <w:rFonts w:ascii="Times New Roman" w:hAnsi="Times New Roman"/>
          <w:lang w:val="sk"/>
        </w:rPr>
        <w:t xml:space="preserve">(NAION)*, oklúzia ciev sietnice, krvácanie sietnice,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artériosklerotická retinopatia, porucha sietnice,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glaukóm, porucha v zornom poli, diplopia, znížená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ostrosť zraku, myopia, astenopia, zákaly sklovca,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porucha dúhovky, mydriáza, videnie žiary (halo</w:t>
      </w:r>
      <w:r w:rsidR="00745A65">
        <w:rPr>
          <w:rFonts w:ascii="Times New Roman" w:hAnsi="Times New Roman"/>
          <w:lang w:val="sk"/>
        </w:rPr>
        <w:t>),</w:t>
      </w:r>
      <w:r w:rsidR="00355F50" w:rsidRPr="00FB5E36">
        <w:rPr>
          <w:rFonts w:ascii="Times New Roman" w:hAnsi="Times New Roman"/>
          <w:lang w:val="sk"/>
        </w:rPr>
        <w:t xml:space="preserv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edém oka/opuch oka, porucha oka,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745A65">
        <w:rPr>
          <w:rFonts w:ascii="Times New Roman" w:hAnsi="Times New Roman"/>
          <w:lang w:val="sk"/>
        </w:rPr>
        <w:t xml:space="preserve">            </w:t>
      </w:r>
      <w:r w:rsidR="00355F50" w:rsidRPr="00FB5E36">
        <w:rPr>
          <w:rFonts w:ascii="Times New Roman" w:hAnsi="Times New Roman"/>
          <w:lang w:val="sk"/>
        </w:rPr>
        <w:t xml:space="preserve">hyperémia spojoviek, podráždenie oka, abnormálny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 xml:space="preserve">pocit v oku, edém očného viečka, zmena zafarbenia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bielka</w:t>
      </w:r>
    </w:p>
    <w:p w14:paraId="42DE7E16" w14:textId="77777777" w:rsidR="00111E6E" w:rsidRDefault="00111E6E" w:rsidP="00FB5E36">
      <w:pPr>
        <w:spacing w:after="0" w:line="240" w:lineRule="auto"/>
        <w:rPr>
          <w:rFonts w:ascii="Times New Roman" w:hAnsi="Times New Roman"/>
          <w:b/>
          <w:bCs/>
          <w:lang w:val="sk"/>
        </w:rPr>
      </w:pPr>
    </w:p>
    <w:p w14:paraId="6C97F126"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ucha a labyrintu</w:t>
      </w:r>
    </w:p>
    <w:p w14:paraId="1C0B32DF"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Vertigo, tinnitus</w:t>
      </w:r>
    </w:p>
    <w:p w14:paraId="74AB566C"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t>Hluchota</w:t>
      </w:r>
    </w:p>
    <w:p w14:paraId="6C1F5D06" w14:textId="77777777" w:rsidR="00111E6E" w:rsidRDefault="00111E6E" w:rsidP="00FB5E36">
      <w:pPr>
        <w:spacing w:after="0" w:line="240" w:lineRule="auto"/>
        <w:rPr>
          <w:rFonts w:ascii="Times New Roman" w:hAnsi="Times New Roman"/>
          <w:b/>
          <w:bCs/>
          <w:lang w:val="sk"/>
        </w:rPr>
      </w:pPr>
    </w:p>
    <w:p w14:paraId="0A40AFAF"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srdca a srdcovej činnosti</w:t>
      </w:r>
    </w:p>
    <w:p w14:paraId="6EA093D4"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Palpitácie, tachykardia</w:t>
      </w:r>
    </w:p>
    <w:p w14:paraId="21542241"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t xml:space="preserve">Náhla srdcová smrť*, infarkt myokardu, </w:t>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Ventrikulárna arytmia*, atriálna fibrilácia, nestabilná</w:t>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angína pektoris</w:t>
      </w:r>
    </w:p>
    <w:p w14:paraId="33B2E35E"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 </w:t>
      </w:r>
    </w:p>
    <w:p w14:paraId="70C95920" w14:textId="77777777" w:rsidR="00355F50" w:rsidRPr="00F81584" w:rsidRDefault="00355F50" w:rsidP="00111E6E">
      <w:pPr>
        <w:keepNext/>
        <w:keepLines/>
        <w:spacing w:after="0" w:line="240" w:lineRule="auto"/>
        <w:rPr>
          <w:rFonts w:ascii="Times New Roman" w:hAnsi="Times New Roman"/>
          <w:b/>
          <w:bCs/>
          <w:lang w:val="sk"/>
        </w:rPr>
      </w:pPr>
      <w:r w:rsidRPr="00FB5E36">
        <w:rPr>
          <w:rFonts w:ascii="Times New Roman" w:hAnsi="Times New Roman"/>
          <w:b/>
          <w:bCs/>
          <w:lang w:val="sk"/>
        </w:rPr>
        <w:t>Poruchy ciev</w:t>
      </w:r>
    </w:p>
    <w:p w14:paraId="776D0181" w14:textId="77777777" w:rsidR="00355F50" w:rsidRPr="00F81584" w:rsidRDefault="00355F50" w:rsidP="00111E6E">
      <w:pPr>
        <w:keepNext/>
        <w:keepLines/>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Sčervenenie, návaly tepla</w:t>
      </w:r>
    </w:p>
    <w:p w14:paraId="2BDFACD2" w14:textId="77777777" w:rsidR="00355F50" w:rsidRPr="00F81584" w:rsidRDefault="00B46C2E"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Hypertenzia, hypotenzia</w:t>
      </w:r>
    </w:p>
    <w:p w14:paraId="3EF5D0FA" w14:textId="77777777" w:rsidR="00B46C2E" w:rsidRPr="00F81584" w:rsidRDefault="00B46C2E" w:rsidP="00FB5E36">
      <w:pPr>
        <w:spacing w:after="0" w:line="240" w:lineRule="auto"/>
        <w:rPr>
          <w:rFonts w:ascii="Times New Roman" w:hAnsi="Times New Roman"/>
          <w:b/>
          <w:bCs/>
          <w:lang w:val="sk"/>
        </w:rPr>
      </w:pPr>
    </w:p>
    <w:p w14:paraId="775ED4BE"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dýchacej sústavy, hrudníka a mediastína</w:t>
      </w:r>
    </w:p>
    <w:p w14:paraId="0C1479A2"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Nazálna kongescia</w:t>
      </w:r>
    </w:p>
    <w:p w14:paraId="088AF207" w14:textId="77777777" w:rsidR="00B46C2E" w:rsidRPr="00F81584" w:rsidRDefault="00B46C2E" w:rsidP="00FB5E36">
      <w:pPr>
        <w:spacing w:after="0" w:line="240" w:lineRule="auto"/>
        <w:rPr>
          <w:rFonts w:ascii="Times New Roman" w:hAnsi="Times New Roman"/>
          <w:lang w:val="sk"/>
        </w:rPr>
      </w:pPr>
      <w:r w:rsidRPr="00FB5E36">
        <w:rPr>
          <w:rFonts w:ascii="Times New Roman" w:hAnsi="Times New Roman"/>
          <w:lang w:val="sk"/>
        </w:rPr>
        <w:t>Menej časté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Epistaxa, sínusová kongescia</w:t>
      </w:r>
    </w:p>
    <w:p w14:paraId="5573B688" w14:textId="77777777" w:rsidR="00355F50" w:rsidRPr="00FB5E36"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355F50" w:rsidRPr="00FB5E36">
        <w:rPr>
          <w:rFonts w:ascii="Times New Roman" w:hAnsi="Times New Roman"/>
          <w:lang w:val="sk"/>
        </w:rPr>
        <w:tab/>
      </w:r>
      <w:r w:rsidR="00355F50" w:rsidRPr="00FB5E36">
        <w:rPr>
          <w:rFonts w:ascii="Times New Roman" w:hAnsi="Times New Roman"/>
          <w:lang w:val="sk"/>
        </w:rPr>
        <w:tab/>
        <w:t xml:space="preserve">Zovretie </w:t>
      </w:r>
      <w:r w:rsidRPr="00FB5E36">
        <w:rPr>
          <w:rFonts w:ascii="Times New Roman" w:hAnsi="Times New Roman"/>
          <w:lang w:val="sk"/>
        </w:rPr>
        <w:t xml:space="preserve">hrdla, edém nosa, sucho </w:t>
      </w:r>
      <w:r w:rsidR="00355F50" w:rsidRPr="00FB5E36">
        <w:rPr>
          <w:rFonts w:ascii="Times New Roman" w:hAnsi="Times New Roman"/>
          <w:lang w:val="sk"/>
        </w:rPr>
        <w:t>v</w:t>
      </w:r>
      <w:r w:rsidRPr="00FB5E36">
        <w:rPr>
          <w:rFonts w:ascii="Times New Roman" w:hAnsi="Times New Roman"/>
          <w:lang w:val="sk"/>
        </w:rPr>
        <w:t> </w:t>
      </w:r>
      <w:r w:rsidR="00355F50" w:rsidRPr="00FB5E36">
        <w:rPr>
          <w:rFonts w:ascii="Times New Roman" w:hAnsi="Times New Roman"/>
          <w:lang w:val="sk"/>
        </w:rPr>
        <w:t>nose</w:t>
      </w:r>
    </w:p>
    <w:p w14:paraId="532E5DE4" w14:textId="77777777" w:rsidR="002179B9" w:rsidRPr="00F81584" w:rsidRDefault="002179B9" w:rsidP="00FB5E36">
      <w:pPr>
        <w:spacing w:after="0" w:line="240" w:lineRule="auto"/>
        <w:rPr>
          <w:rFonts w:ascii="Times New Roman" w:hAnsi="Times New Roman"/>
          <w:lang w:val="sk"/>
        </w:rPr>
      </w:pPr>
    </w:p>
    <w:p w14:paraId="34D4CF8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gastrointestinálneho traktu</w:t>
      </w:r>
    </w:p>
    <w:p w14:paraId="632AC78F"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ab/>
        <w:t>Nevoľnosť, dyspepsia</w:t>
      </w:r>
    </w:p>
    <w:p w14:paraId="7B369E66"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Gastrooe</w:t>
      </w:r>
      <w:r w:rsidR="00745A65">
        <w:rPr>
          <w:rFonts w:ascii="Times New Roman" w:hAnsi="Times New Roman"/>
          <w:lang w:val="sk"/>
        </w:rPr>
        <w:t>z</w:t>
      </w:r>
      <w:r w:rsidRPr="00FB5E36">
        <w:rPr>
          <w:rFonts w:ascii="Times New Roman" w:hAnsi="Times New Roman"/>
          <w:lang w:val="sk"/>
        </w:rPr>
        <w:t xml:space="preserve">ofageálny reflux, bolesti v hornej časti </w:t>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brucha,</w:t>
      </w:r>
      <w:r w:rsidR="002179B9" w:rsidRPr="00FB5E36">
        <w:rPr>
          <w:rFonts w:ascii="Times New Roman" w:hAnsi="Times New Roman"/>
          <w:lang w:val="sk"/>
        </w:rPr>
        <w:t xml:space="preserve"> v</w:t>
      </w:r>
      <w:r w:rsidR="00AA4318" w:rsidRPr="00FB5E36">
        <w:rPr>
          <w:rFonts w:ascii="Times New Roman" w:hAnsi="Times New Roman"/>
          <w:lang w:val="sk"/>
        </w:rPr>
        <w:t>racanie, sucho v ústach</w:t>
      </w:r>
    </w:p>
    <w:p w14:paraId="7967AD02" w14:textId="77777777" w:rsidR="00AA4318" w:rsidRPr="00FB5E36" w:rsidRDefault="00AA4318"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2179B9" w:rsidRPr="00FB5E36">
        <w:rPr>
          <w:rFonts w:ascii="Times New Roman" w:hAnsi="Times New Roman"/>
          <w:lang w:val="sk"/>
        </w:rPr>
        <w:t>O</w:t>
      </w:r>
      <w:r w:rsidRPr="00FB5E36">
        <w:rPr>
          <w:rFonts w:ascii="Times New Roman" w:hAnsi="Times New Roman"/>
          <w:lang w:val="sk"/>
        </w:rPr>
        <w:t>rálna hypestézia</w:t>
      </w:r>
    </w:p>
    <w:p w14:paraId="19650C9B" w14:textId="77777777" w:rsidR="002179B9" w:rsidRPr="00F81584" w:rsidRDefault="002179B9" w:rsidP="00FB5E36">
      <w:pPr>
        <w:spacing w:after="0" w:line="240" w:lineRule="auto"/>
        <w:rPr>
          <w:rFonts w:ascii="Times New Roman" w:hAnsi="Times New Roman"/>
          <w:b/>
          <w:bCs/>
          <w:lang w:val="sk"/>
        </w:rPr>
      </w:pPr>
    </w:p>
    <w:p w14:paraId="54A158EB"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kože a podkožného tkaniva</w:t>
      </w:r>
    </w:p>
    <w:p w14:paraId="4CDD1B91"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 xml:space="preserve">vyrážka </w:t>
      </w:r>
    </w:p>
    <w:p w14:paraId="59776E9A" w14:textId="29BC915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Neznáme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Stevens</w:t>
      </w:r>
      <w:r w:rsidR="00745A65">
        <w:rPr>
          <w:rFonts w:ascii="Times New Roman" w:hAnsi="Times New Roman"/>
          <w:lang w:val="sk"/>
        </w:rPr>
        <w:t>ov</w:t>
      </w:r>
      <w:r w:rsidRPr="00FB5E36">
        <w:rPr>
          <w:rFonts w:ascii="Times New Roman" w:hAnsi="Times New Roman"/>
          <w:lang w:val="sk"/>
        </w:rPr>
        <w:t xml:space="preserve">-Johnsonov syndróm (SJS)*, toxická </w:t>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002179B9" w:rsidRPr="00FB5E36">
        <w:rPr>
          <w:rFonts w:ascii="Times New Roman" w:hAnsi="Times New Roman"/>
          <w:lang w:val="sk"/>
        </w:rPr>
        <w:tab/>
      </w:r>
      <w:r w:rsidRPr="00FB5E36">
        <w:rPr>
          <w:rFonts w:ascii="Times New Roman" w:hAnsi="Times New Roman"/>
          <w:lang w:val="sk"/>
        </w:rPr>
        <w:t>epidermálna</w:t>
      </w:r>
      <w:r w:rsidR="002179B9" w:rsidRPr="00FB5E36">
        <w:rPr>
          <w:rFonts w:ascii="Times New Roman" w:hAnsi="Times New Roman"/>
          <w:lang w:val="sk"/>
        </w:rPr>
        <w:t xml:space="preserve"> </w:t>
      </w:r>
      <w:r w:rsidRPr="00FB5E36">
        <w:rPr>
          <w:rFonts w:ascii="Times New Roman" w:hAnsi="Times New Roman"/>
          <w:lang w:val="sk"/>
        </w:rPr>
        <w:t>nekrolýza (TEN)*</w:t>
      </w:r>
    </w:p>
    <w:p w14:paraId="55DAFD7C" w14:textId="77777777" w:rsidR="00111E6E" w:rsidRDefault="00111E6E" w:rsidP="00FB5E36">
      <w:pPr>
        <w:spacing w:after="0" w:line="240" w:lineRule="auto"/>
        <w:rPr>
          <w:rFonts w:ascii="Times New Roman" w:hAnsi="Times New Roman"/>
          <w:b/>
          <w:bCs/>
          <w:lang w:val="sk"/>
        </w:rPr>
      </w:pPr>
    </w:p>
    <w:p w14:paraId="4D3B5B55"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kostrovej a svalovej sústavy a spojivového tkaniva</w:t>
      </w:r>
    </w:p>
    <w:p w14:paraId="792BAB2F"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Myalgia, bolesti v končatinách</w:t>
      </w:r>
    </w:p>
    <w:p w14:paraId="1B532C14" w14:textId="77777777" w:rsidR="00111E6E" w:rsidRDefault="00111E6E" w:rsidP="00FB5E36">
      <w:pPr>
        <w:spacing w:after="0" w:line="240" w:lineRule="auto"/>
        <w:rPr>
          <w:rFonts w:ascii="Times New Roman" w:hAnsi="Times New Roman"/>
          <w:b/>
          <w:bCs/>
          <w:lang w:val="sk"/>
        </w:rPr>
      </w:pPr>
    </w:p>
    <w:p w14:paraId="60CEB46F"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obličiek a močových ciest</w:t>
      </w:r>
    </w:p>
    <w:p w14:paraId="74ECF6DD"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Hematúria</w:t>
      </w:r>
    </w:p>
    <w:p w14:paraId="41C775BE" w14:textId="77777777" w:rsidR="00111E6E" w:rsidRDefault="00111E6E" w:rsidP="00FB5E36">
      <w:pPr>
        <w:spacing w:after="0" w:line="240" w:lineRule="auto"/>
        <w:rPr>
          <w:rFonts w:ascii="Times New Roman" w:hAnsi="Times New Roman"/>
          <w:b/>
          <w:bCs/>
          <w:lang w:val="sk"/>
        </w:rPr>
      </w:pPr>
    </w:p>
    <w:p w14:paraId="1BFCE4CC" w14:textId="77777777" w:rsidR="00355F50" w:rsidRPr="00F81584" w:rsidRDefault="00355F50" w:rsidP="00FB5E36">
      <w:pPr>
        <w:spacing w:after="0" w:line="240" w:lineRule="auto"/>
        <w:rPr>
          <w:rFonts w:ascii="Times New Roman" w:hAnsi="Times New Roman"/>
          <w:b/>
          <w:bCs/>
          <w:lang w:val="sk"/>
        </w:rPr>
      </w:pPr>
      <w:r w:rsidRPr="00FB5E36">
        <w:rPr>
          <w:rFonts w:ascii="Times New Roman" w:hAnsi="Times New Roman"/>
          <w:b/>
          <w:bCs/>
          <w:lang w:val="sk"/>
        </w:rPr>
        <w:t>Poruchy reprodukčného systému a prsníkov</w:t>
      </w:r>
    </w:p>
    <w:p w14:paraId="4FE239BB" w14:textId="77777777" w:rsidR="00355F50" w:rsidRPr="00F81584" w:rsidRDefault="002179B9" w:rsidP="00FB5E36">
      <w:pPr>
        <w:spacing w:after="0" w:line="240" w:lineRule="auto"/>
        <w:rPr>
          <w:rFonts w:ascii="Times New Roman" w:hAnsi="Times New Roman"/>
          <w:lang w:val="sk"/>
        </w:rPr>
      </w:pPr>
      <w:r w:rsidRPr="00FB5E36">
        <w:rPr>
          <w:rFonts w:ascii="Times New Roman" w:hAnsi="Times New Roman"/>
          <w:lang w:val="sk"/>
        </w:rPr>
        <w:t xml:space="preserve">Zriedkavé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AA4318" w:rsidRPr="00FB5E36">
        <w:rPr>
          <w:rFonts w:ascii="Times New Roman" w:hAnsi="Times New Roman"/>
          <w:lang w:val="sk"/>
        </w:rPr>
        <w:t xml:space="preserve">Hematospermia, krvácanie z penisu, priapizmus*, </w:t>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r>
      <w:r w:rsidR="00AA4318" w:rsidRPr="00FB5E36">
        <w:rPr>
          <w:rFonts w:ascii="Times New Roman" w:hAnsi="Times New Roman"/>
          <w:lang w:val="sk"/>
        </w:rPr>
        <w:tab/>
        <w:t>Zvýšená erekcia</w:t>
      </w:r>
    </w:p>
    <w:p w14:paraId="34CD89AF" w14:textId="77777777" w:rsidR="00111E6E" w:rsidRPr="00F81584" w:rsidRDefault="00111E6E" w:rsidP="00FB5E36">
      <w:pPr>
        <w:spacing w:after="0" w:line="240" w:lineRule="auto"/>
        <w:rPr>
          <w:rFonts w:ascii="Times New Roman" w:hAnsi="Times New Roman"/>
          <w:b/>
          <w:bCs/>
          <w:lang w:val="sk"/>
        </w:rPr>
      </w:pPr>
    </w:p>
    <w:p w14:paraId="4C27D4BE" w14:textId="77777777" w:rsidR="00355F50" w:rsidRPr="00FB5E36" w:rsidRDefault="00355F50" w:rsidP="00FB5E36">
      <w:pPr>
        <w:spacing w:after="0" w:line="240" w:lineRule="auto"/>
        <w:rPr>
          <w:rFonts w:ascii="Times New Roman" w:hAnsi="Times New Roman"/>
          <w:b/>
          <w:bCs/>
        </w:rPr>
      </w:pPr>
      <w:r w:rsidRPr="00FB5E36">
        <w:rPr>
          <w:rFonts w:ascii="Times New Roman" w:hAnsi="Times New Roman"/>
          <w:b/>
          <w:bCs/>
          <w:lang w:val="sk"/>
        </w:rPr>
        <w:lastRenderedPageBreak/>
        <w:t>Celkové poruchy a reakcie v mieste podania</w:t>
      </w:r>
    </w:p>
    <w:p w14:paraId="2F195285"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Bolesť na hrudi, únava</w:t>
      </w:r>
      <w:r w:rsidR="00745A65">
        <w:rPr>
          <w:rFonts w:ascii="Times New Roman" w:hAnsi="Times New Roman"/>
          <w:lang w:val="sk"/>
        </w:rPr>
        <w:t>, pocit tepla</w:t>
      </w:r>
    </w:p>
    <w:p w14:paraId="797F7574" w14:textId="77777777" w:rsidR="00AA4318" w:rsidRPr="00FB5E36" w:rsidRDefault="002179B9" w:rsidP="00FB5E36">
      <w:pPr>
        <w:spacing w:after="0" w:line="240" w:lineRule="auto"/>
        <w:rPr>
          <w:rFonts w:ascii="Times New Roman" w:hAnsi="Times New Roman"/>
        </w:rPr>
      </w:pPr>
      <w:r w:rsidRPr="00FB5E36">
        <w:rPr>
          <w:rFonts w:ascii="Times New Roman" w:hAnsi="Times New Roman"/>
          <w:lang w:val="sk"/>
        </w:rPr>
        <w:t>Zriedkavé</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00AA4318" w:rsidRPr="00FB5E36">
        <w:rPr>
          <w:rFonts w:ascii="Times New Roman" w:hAnsi="Times New Roman"/>
          <w:lang w:val="sk"/>
        </w:rPr>
        <w:tab/>
        <w:t>Iritabilita</w:t>
      </w:r>
    </w:p>
    <w:p w14:paraId="29C9EBBD" w14:textId="77777777" w:rsidR="00111E6E" w:rsidRDefault="00111E6E" w:rsidP="00FB5E36">
      <w:pPr>
        <w:spacing w:after="0" w:line="240" w:lineRule="auto"/>
        <w:rPr>
          <w:rFonts w:ascii="Times New Roman" w:hAnsi="Times New Roman"/>
          <w:b/>
          <w:bCs/>
          <w:lang w:val="sk"/>
        </w:rPr>
      </w:pPr>
    </w:p>
    <w:p w14:paraId="42656A3B" w14:textId="77777777" w:rsidR="00355F50" w:rsidRPr="00FB5E36" w:rsidRDefault="00355F50" w:rsidP="00FB5E36">
      <w:pPr>
        <w:spacing w:after="0" w:line="240" w:lineRule="auto"/>
        <w:rPr>
          <w:rFonts w:ascii="Times New Roman" w:hAnsi="Times New Roman"/>
          <w:b/>
          <w:bCs/>
        </w:rPr>
      </w:pPr>
      <w:r w:rsidRPr="00FB5E36">
        <w:rPr>
          <w:rFonts w:ascii="Times New Roman" w:hAnsi="Times New Roman"/>
          <w:b/>
          <w:bCs/>
          <w:lang w:val="sk"/>
        </w:rPr>
        <w:t>Laboratórne a funkčné vyšetrenia</w:t>
      </w:r>
    </w:p>
    <w:p w14:paraId="47A93898"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 xml:space="preserve">Menej časté </w:t>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r>
      <w:r w:rsidRPr="00FB5E36">
        <w:rPr>
          <w:rFonts w:ascii="Times New Roman" w:hAnsi="Times New Roman"/>
          <w:lang w:val="sk"/>
        </w:rPr>
        <w:tab/>
        <w:t>Zvýšená srdcová frekvencia</w:t>
      </w:r>
    </w:p>
    <w:p w14:paraId="41ECECEB" w14:textId="77777777" w:rsidR="00AA4318" w:rsidRPr="00FB5E36" w:rsidRDefault="00AA4318" w:rsidP="00FB5E36">
      <w:pPr>
        <w:spacing w:after="0" w:line="240" w:lineRule="auto"/>
        <w:rPr>
          <w:rFonts w:ascii="Times New Roman" w:hAnsi="Times New Roman"/>
        </w:rPr>
      </w:pPr>
      <w:r w:rsidRPr="00FB5E36">
        <w:rPr>
          <w:rFonts w:ascii="Times New Roman" w:hAnsi="Times New Roman"/>
          <w:lang w:val="sk"/>
        </w:rPr>
        <w:t xml:space="preserve">*Zaznamenané len počas </w:t>
      </w:r>
      <w:r w:rsidR="00745A65">
        <w:rPr>
          <w:rFonts w:ascii="Times New Roman" w:hAnsi="Times New Roman"/>
          <w:lang w:val="sk"/>
        </w:rPr>
        <w:t>sledovania po uvedení lieku na trh</w:t>
      </w:r>
    </w:p>
    <w:p w14:paraId="3949DB13" w14:textId="77777777" w:rsidR="00AA4318" w:rsidRPr="00FB5E36" w:rsidRDefault="00AA4318" w:rsidP="00FB5E36">
      <w:pPr>
        <w:spacing w:after="0" w:line="240" w:lineRule="auto"/>
        <w:rPr>
          <w:rFonts w:ascii="Times New Roman" w:hAnsi="Times New Roman"/>
        </w:rPr>
      </w:pPr>
      <w:r w:rsidRPr="00FB5E36">
        <w:rPr>
          <w:rFonts w:ascii="Times New Roman" w:hAnsi="Times New Roman"/>
          <w:lang w:val="sk"/>
        </w:rPr>
        <w:t>**Poruchy farebného videnia: chloropsia, chromatopsia, cyanopsia, erytropsia a xantopsia</w:t>
      </w:r>
    </w:p>
    <w:p w14:paraId="61662A5D" w14:textId="77777777" w:rsidR="00355F50" w:rsidRPr="00FB5E36" w:rsidRDefault="00745A65" w:rsidP="00FB5E36">
      <w:pPr>
        <w:spacing w:after="0" w:line="240" w:lineRule="auto"/>
        <w:rPr>
          <w:rFonts w:ascii="Times New Roman" w:hAnsi="Times New Roman"/>
        </w:rPr>
      </w:pPr>
      <w:r w:rsidRPr="003D6E6E">
        <w:rPr>
          <w:rFonts w:ascii="Times New Roman" w:hAnsi="Times New Roman"/>
        </w:rPr>
        <w:t>***</w:t>
      </w:r>
      <w:r w:rsidR="00AA4318" w:rsidRPr="00FB5E36">
        <w:rPr>
          <w:rFonts w:ascii="Times New Roman" w:hAnsi="Times New Roman"/>
          <w:lang w:val="sk"/>
        </w:rPr>
        <w:t>Poruchy slzenia: suché oko, porucha slzenia a zvýšené slzenie</w:t>
      </w:r>
    </w:p>
    <w:p w14:paraId="2774100C" w14:textId="77777777" w:rsidR="00AA4318" w:rsidRPr="00FB5E36" w:rsidRDefault="00AA4318" w:rsidP="00FB5E36">
      <w:pPr>
        <w:spacing w:after="0" w:line="240" w:lineRule="auto"/>
        <w:rPr>
          <w:rFonts w:ascii="Times New Roman" w:hAnsi="Times New Roman"/>
        </w:rPr>
      </w:pPr>
    </w:p>
    <w:p w14:paraId="2A98632B" w14:textId="77777777" w:rsidR="00355F50" w:rsidRPr="00FB5E36" w:rsidRDefault="00355F50" w:rsidP="00FB5E36">
      <w:pPr>
        <w:spacing w:after="0" w:line="240" w:lineRule="auto"/>
        <w:rPr>
          <w:rFonts w:ascii="Times New Roman" w:hAnsi="Times New Roman"/>
          <w:u w:val="single"/>
        </w:rPr>
      </w:pPr>
      <w:r w:rsidRPr="00FB5E36">
        <w:rPr>
          <w:rFonts w:ascii="Times New Roman" w:hAnsi="Times New Roman"/>
          <w:u w:val="single"/>
          <w:lang w:val="sk"/>
        </w:rPr>
        <w:t>Hlásenie podozrení na nežiaduce reakcie</w:t>
      </w:r>
    </w:p>
    <w:p w14:paraId="3321350D" w14:textId="51F76C36"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Hlásenie podozrení na nežiaduce reakcie po registrácii lieku je dôležité. Umožňuje priebežné monitorovanie pomeru prínosu a rizika lieku. </w:t>
      </w:r>
      <w:r w:rsidR="00316E35" w:rsidRPr="00FB5E36">
        <w:rPr>
          <w:rFonts w:ascii="Times New Roman" w:hAnsi="Times New Roman"/>
          <w:lang w:val="sk-SK"/>
        </w:rPr>
        <w:t xml:space="preserve">Od zdravotníckych pracovníkov sa vyžaduje, aby hlásili akékoľvek podozrenia na nežiaduce reakcie </w:t>
      </w:r>
      <w:r w:rsidR="009A2260">
        <w:rPr>
          <w:rFonts w:ascii="Times New Roman" w:hAnsi="Times New Roman"/>
          <w:lang w:val="sk-SK"/>
        </w:rPr>
        <w:t>na</w:t>
      </w:r>
      <w:r w:rsidR="00316E35" w:rsidRPr="00FB5E36">
        <w:rPr>
          <w:rFonts w:ascii="Times New Roman" w:hAnsi="Times New Roman"/>
          <w:lang w:val="sk-SK"/>
        </w:rPr>
        <w:t xml:space="preserve"> </w:t>
      </w:r>
      <w:r w:rsidR="00316E35" w:rsidRPr="00FB5E36">
        <w:rPr>
          <w:rFonts w:ascii="Times New Roman" w:hAnsi="Times New Roman"/>
          <w:shd w:val="clear" w:color="auto" w:fill="D9D9D9" w:themeFill="background1" w:themeFillShade="D9"/>
          <w:lang w:val="sk-SK"/>
        </w:rPr>
        <w:t xml:space="preserve">národné </w:t>
      </w:r>
      <w:r w:rsidR="009A2260">
        <w:rPr>
          <w:rFonts w:ascii="Times New Roman" w:hAnsi="Times New Roman"/>
          <w:shd w:val="clear" w:color="auto" w:fill="D9D9D9" w:themeFill="background1" w:themeFillShade="D9"/>
          <w:lang w:val="sk-SK"/>
        </w:rPr>
        <w:t>centrum</w:t>
      </w:r>
      <w:r w:rsidR="00316E35" w:rsidRPr="00FB5E36">
        <w:rPr>
          <w:rFonts w:ascii="Times New Roman" w:hAnsi="Times New Roman"/>
          <w:shd w:val="clear" w:color="auto" w:fill="D9D9D9" w:themeFill="background1" w:themeFillShade="D9"/>
          <w:lang w:val="sk-SK"/>
        </w:rPr>
        <w:t xml:space="preserve"> hlásenia uvedené v </w:t>
      </w:r>
      <w:hyperlink r:id="rId9" w:history="1">
        <w:r w:rsidR="00316E35" w:rsidRPr="00FB5E36">
          <w:rPr>
            <w:rStyle w:val="Hypertextovprepojenie"/>
            <w:rFonts w:ascii="Times New Roman" w:hAnsi="Times New Roman"/>
            <w:shd w:val="clear" w:color="auto" w:fill="D9D9D9" w:themeFill="background1" w:themeFillShade="D9"/>
            <w:lang w:val="sk-SK"/>
          </w:rPr>
          <w:t>Prílohe V</w:t>
        </w:r>
      </w:hyperlink>
      <w:r w:rsidR="00316E35" w:rsidRPr="00FB5E36">
        <w:rPr>
          <w:rFonts w:ascii="Times New Roman" w:hAnsi="Times New Roman"/>
          <w:lang w:val="sk-SK"/>
        </w:rPr>
        <w:t>.</w:t>
      </w:r>
    </w:p>
    <w:p w14:paraId="1BFCF1B1" w14:textId="77777777" w:rsidR="00355F50" w:rsidRPr="00F81584" w:rsidRDefault="00355F50" w:rsidP="00FB5E36">
      <w:pPr>
        <w:spacing w:after="0" w:line="240" w:lineRule="auto"/>
        <w:rPr>
          <w:rFonts w:ascii="Times New Roman" w:hAnsi="Times New Roman"/>
          <w:lang w:val="sk"/>
        </w:rPr>
      </w:pPr>
    </w:p>
    <w:p w14:paraId="51D0CF18"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4.9 Predávkovanie</w:t>
      </w:r>
    </w:p>
    <w:p w14:paraId="52A5A39C" w14:textId="77777777" w:rsidR="00111E6E" w:rsidRDefault="00111E6E" w:rsidP="00FB5E36">
      <w:pPr>
        <w:spacing w:after="0" w:line="240" w:lineRule="auto"/>
        <w:rPr>
          <w:rFonts w:ascii="Times New Roman" w:hAnsi="Times New Roman"/>
          <w:lang w:val="sk"/>
        </w:rPr>
      </w:pPr>
    </w:p>
    <w:p w14:paraId="378273FC"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štúdiách s dobrovoľníkmi, ktorým sa podala jednorazová dávka do 800 mg, boli nežiaduce reakcie podobné tým, ktoré boli pozorované pri nižších dávkach, no vyskytovali sa častejšie a boli závažnejšie. 200 mg dávky neviedli k zvýšenej účinnosti, ale zvýšil sa výskyt nežiaducich reakcií (bolesť hlavy, návaly horúčavy, závraty, dyspepsia, nazálna kongescia, zmena v</w:t>
      </w:r>
      <w:r w:rsidR="00745A65">
        <w:rPr>
          <w:rFonts w:ascii="Times New Roman" w:hAnsi="Times New Roman"/>
          <w:lang w:val="sk"/>
        </w:rPr>
        <w:t>idenia</w:t>
      </w:r>
      <w:r w:rsidRPr="00FB5E36">
        <w:rPr>
          <w:rFonts w:ascii="Times New Roman" w:hAnsi="Times New Roman"/>
          <w:lang w:val="sk"/>
        </w:rPr>
        <w:t>).</w:t>
      </w:r>
    </w:p>
    <w:p w14:paraId="22A85BFF" w14:textId="77777777" w:rsidR="00111E6E" w:rsidRPr="00F81584" w:rsidRDefault="00111E6E" w:rsidP="00FB5E36">
      <w:pPr>
        <w:spacing w:after="0" w:line="240" w:lineRule="auto"/>
        <w:rPr>
          <w:rFonts w:ascii="Times New Roman" w:hAnsi="Times New Roman"/>
          <w:lang w:val="sk"/>
        </w:rPr>
      </w:pPr>
    </w:p>
    <w:p w14:paraId="2FDE0A1F"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prípade predávkovania sa majú podľa potreby zaviesť štandardné podporné opatrenia. Keďže sa sildenafil pevne viaže na plazmatické proteíny a nevylučuje sa v moči, nepredpokladá sa, že by renálna dialýza urýchlila klírens sildenafilu.</w:t>
      </w:r>
    </w:p>
    <w:p w14:paraId="743721D9" w14:textId="77777777" w:rsidR="00111E6E" w:rsidRDefault="00111E6E" w:rsidP="00FB5E36">
      <w:pPr>
        <w:spacing w:after="0" w:line="240" w:lineRule="auto"/>
        <w:rPr>
          <w:rFonts w:ascii="Times New Roman" w:hAnsi="Times New Roman"/>
          <w:lang w:val="sk"/>
        </w:rPr>
      </w:pPr>
    </w:p>
    <w:p w14:paraId="021A72D4" w14:textId="77777777" w:rsidR="00111E6E" w:rsidRPr="00F81584" w:rsidRDefault="00111E6E" w:rsidP="00FB5E36">
      <w:pPr>
        <w:spacing w:after="0" w:line="240" w:lineRule="auto"/>
        <w:rPr>
          <w:rFonts w:ascii="Times New Roman" w:hAnsi="Times New Roman"/>
          <w:lang w:val="sk"/>
        </w:rPr>
      </w:pPr>
    </w:p>
    <w:p w14:paraId="4BB3DF32"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5. FARMAKOLOGICKÉ VLASTNOSTI</w:t>
      </w:r>
    </w:p>
    <w:p w14:paraId="4E865323" w14:textId="77777777" w:rsidR="00454E10" w:rsidRDefault="00454E10" w:rsidP="00FB5E36">
      <w:pPr>
        <w:pStyle w:val="Nadpis3"/>
        <w:spacing w:before="0" w:line="240" w:lineRule="auto"/>
        <w:rPr>
          <w:rFonts w:cs="Times New Roman"/>
          <w:lang w:val="sk"/>
        </w:rPr>
      </w:pPr>
    </w:p>
    <w:p w14:paraId="12304B9F"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5.1 Farmakodynamické vlastnosti</w:t>
      </w:r>
    </w:p>
    <w:p w14:paraId="61D1C76F" w14:textId="77777777" w:rsidR="00454E10" w:rsidRDefault="00454E10" w:rsidP="00FB5E36">
      <w:pPr>
        <w:spacing w:after="0" w:line="240" w:lineRule="auto"/>
        <w:rPr>
          <w:rFonts w:ascii="Times New Roman" w:hAnsi="Times New Roman"/>
          <w:lang w:val="sk"/>
        </w:rPr>
      </w:pPr>
    </w:p>
    <w:p w14:paraId="47DCE1C3"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Farmakoterapeutická skupina: urologiká; lieky na liečbu erektilnej dysfunkcie ATC kód: G04B E03</w:t>
      </w:r>
    </w:p>
    <w:p w14:paraId="7FCDDA04" w14:textId="77777777" w:rsidR="00454E10" w:rsidRDefault="00454E10" w:rsidP="00FB5E36">
      <w:pPr>
        <w:spacing w:after="0" w:line="240" w:lineRule="auto"/>
        <w:rPr>
          <w:rFonts w:ascii="Times New Roman" w:hAnsi="Times New Roman"/>
          <w:u w:val="single"/>
          <w:lang w:val="sk"/>
        </w:rPr>
      </w:pPr>
    </w:p>
    <w:p w14:paraId="1731C60A"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Mechanizmus účinku</w:t>
      </w:r>
    </w:p>
    <w:p w14:paraId="6B872766"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Sildenafil je určený na perorálnu liečbu erektilnej dysfunkcie. Za prirodzených podmienok, t.j. pri sexuálnej stimulácii, obnovuje po</w:t>
      </w:r>
      <w:r w:rsidR="00DB2152">
        <w:rPr>
          <w:rFonts w:ascii="Times New Roman" w:hAnsi="Times New Roman"/>
          <w:lang w:val="sk"/>
        </w:rPr>
        <w:t>škodenú</w:t>
      </w:r>
      <w:r w:rsidRPr="00FB5E36">
        <w:rPr>
          <w:rFonts w:ascii="Times New Roman" w:hAnsi="Times New Roman"/>
          <w:lang w:val="sk"/>
        </w:rPr>
        <w:t xml:space="preserve"> erektilnú funkciu zvýšením prietoku krvi do penisu.</w:t>
      </w:r>
    </w:p>
    <w:p w14:paraId="3AFF75FB" w14:textId="77777777" w:rsidR="00454E10" w:rsidRPr="00F81584" w:rsidRDefault="00454E10" w:rsidP="00FB5E36">
      <w:pPr>
        <w:spacing w:after="0" w:line="240" w:lineRule="auto"/>
        <w:rPr>
          <w:rFonts w:ascii="Times New Roman" w:hAnsi="Times New Roman"/>
          <w:lang w:val="sk"/>
        </w:rPr>
      </w:pPr>
    </w:p>
    <w:p w14:paraId="755DF6D2"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Fyziologický mechanizmus zodpovedný za erekciu penisu zahŕňa uvoľňovanie oxidu dusn</w:t>
      </w:r>
      <w:r w:rsidR="00DB2152">
        <w:rPr>
          <w:rFonts w:ascii="Times New Roman" w:hAnsi="Times New Roman"/>
          <w:lang w:val="sk"/>
        </w:rPr>
        <w:t>at</w:t>
      </w:r>
      <w:r w:rsidRPr="00FB5E36">
        <w:rPr>
          <w:rFonts w:ascii="Times New Roman" w:hAnsi="Times New Roman"/>
          <w:lang w:val="sk"/>
        </w:rPr>
        <w:t>ého (NO) v kavernóznom telese penisu počas sexuálnej stimulácie. Oxid dusnatý potom aktivuje enzým guanylátcyklázu, čím sa zvyšuje hladina cyklického guanozínmonofosfátu (cGMP) a dochádza tak k relaxácii hladkého svalstva v kavernóznom telese, čo umožní prítok krvi.</w:t>
      </w:r>
    </w:p>
    <w:p w14:paraId="30D2D1EC" w14:textId="77777777" w:rsidR="00454E10" w:rsidRPr="00F81584" w:rsidRDefault="00454E10" w:rsidP="00FB5E36">
      <w:pPr>
        <w:spacing w:after="0" w:line="240" w:lineRule="auto"/>
        <w:rPr>
          <w:rFonts w:ascii="Times New Roman" w:hAnsi="Times New Roman"/>
          <w:lang w:val="sk"/>
        </w:rPr>
      </w:pPr>
    </w:p>
    <w:p w14:paraId="22CC197C" w14:textId="77777777" w:rsidR="00355F50" w:rsidRPr="00726353" w:rsidRDefault="00355F50" w:rsidP="00726353">
      <w:pPr>
        <w:autoSpaceDE w:val="0"/>
        <w:autoSpaceDN w:val="0"/>
        <w:adjustRightInd w:val="0"/>
        <w:spacing w:after="0" w:line="240" w:lineRule="auto"/>
        <w:rPr>
          <w:rFonts w:ascii="TimesNewRoman" w:eastAsia="TimesNewRoman" w:cs="TimesNewRoman"/>
          <w:lang w:val="sk-SK" w:eastAsia="it-CH"/>
        </w:rPr>
      </w:pPr>
      <w:r w:rsidRPr="00FB5E36">
        <w:rPr>
          <w:rFonts w:ascii="Times New Roman" w:hAnsi="Times New Roman"/>
          <w:lang w:val="sk"/>
        </w:rPr>
        <w:t xml:space="preserve">Sildenafil je silný a selektívny inhibítor cGMP špecifickej fosfodiesterázy typu 5 (PDE5) v kavernóznom telese, kde je PDE5 zodpovedná za odbúravanie cGMP. </w:t>
      </w:r>
      <w:r w:rsidR="00DB2152" w:rsidRPr="00726353">
        <w:rPr>
          <w:rFonts w:ascii="Times New Roman" w:eastAsia="TimesNewRoman" w:hAnsi="Times New Roman"/>
          <w:lang w:val="sk-SK" w:eastAsia="it-CH"/>
        </w:rPr>
        <w:t>Účlden sildenafilu na erekciu je zalokciu na erekciuselektívny i</w:t>
      </w:r>
      <w:r w:rsidRPr="00DB2152">
        <w:rPr>
          <w:rFonts w:ascii="Times New Roman" w:hAnsi="Times New Roman"/>
          <w:lang w:val="sk"/>
        </w:rPr>
        <w:t>.</w:t>
      </w:r>
      <w:r w:rsidRPr="00FB5E36">
        <w:rPr>
          <w:rFonts w:ascii="Times New Roman" w:hAnsi="Times New Roman"/>
          <w:lang w:val="sk"/>
        </w:rPr>
        <w:t xml:space="preserve"> Sildenafil nemá priamy relaxačný účinok na izolované ľudské kavernózne teleso, avšak účinne zvyšuje relaxačný účinok </w:t>
      </w:r>
      <w:r w:rsidR="00DB2152">
        <w:rPr>
          <w:rFonts w:ascii="Times New Roman" w:hAnsi="Times New Roman"/>
          <w:lang w:val="sk"/>
        </w:rPr>
        <w:t>oxidu dusnatého (</w:t>
      </w:r>
      <w:r w:rsidRPr="00FB5E36">
        <w:rPr>
          <w:rFonts w:ascii="Times New Roman" w:hAnsi="Times New Roman"/>
          <w:lang w:val="sk"/>
        </w:rPr>
        <w:t>NO</w:t>
      </w:r>
      <w:r w:rsidR="00DB2152">
        <w:rPr>
          <w:rFonts w:ascii="Times New Roman" w:hAnsi="Times New Roman"/>
          <w:lang w:val="sk"/>
        </w:rPr>
        <w:t>)</w:t>
      </w:r>
      <w:r w:rsidRPr="00FB5E36">
        <w:rPr>
          <w:rFonts w:ascii="Times New Roman" w:hAnsi="Times New Roman"/>
          <w:lang w:val="sk"/>
        </w:rPr>
        <w:t xml:space="preserve"> na toto tkanivo. Ak je metabolická cesta NO/cGMP aktivovaná, ako je to pri sexuálnej stimulácii, inhibícia PDE5 sildenafilom vedie k zvýšeniu hladín cGMP v kavernóznom telese. Preto, aby došlo k očakávanému priaznivému farmakologickému účinku sildenafilu, je potrebná sexuálna stimulácia.</w:t>
      </w:r>
    </w:p>
    <w:p w14:paraId="0AFA8038" w14:textId="77777777" w:rsidR="00454E10" w:rsidRPr="00F81584" w:rsidRDefault="00454E10" w:rsidP="00FB5E36">
      <w:pPr>
        <w:spacing w:after="0" w:line="240" w:lineRule="auto"/>
        <w:rPr>
          <w:rFonts w:ascii="Times New Roman" w:hAnsi="Times New Roman"/>
          <w:lang w:val="sk"/>
        </w:rPr>
      </w:pPr>
    </w:p>
    <w:p w14:paraId="47159379"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Farmakodynamické účinky</w:t>
      </w:r>
    </w:p>
    <w:p w14:paraId="21C76C77"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Štúdie </w:t>
      </w:r>
      <w:r w:rsidRPr="00FB5E36">
        <w:rPr>
          <w:rFonts w:ascii="Times New Roman" w:hAnsi="Times New Roman"/>
          <w:i/>
          <w:iCs/>
          <w:lang w:val="sk"/>
        </w:rPr>
        <w:t xml:space="preserve">in vitro </w:t>
      </w:r>
      <w:r w:rsidRPr="00FB5E36">
        <w:rPr>
          <w:rFonts w:ascii="Times New Roman" w:hAnsi="Times New Roman"/>
          <w:lang w:val="sk"/>
        </w:rPr>
        <w:t>ukázali, že sildenafil je selektívny pre PDE5, ktorá sa podieľa na procese erekcie. Jeho účinok je na PDE5 výraznejší ako na ostatné známe fosfodiesterázy. Selektivita je 10</w:t>
      </w:r>
      <w:r w:rsidRPr="00FB5E36">
        <w:rPr>
          <w:rFonts w:ascii="Times New Roman" w:hAnsi="Times New Roman"/>
          <w:lang w:val="sk"/>
        </w:rPr>
        <w:noBreakHyphen/>
        <w:t>násobne vyššia, ako pre PDE6, ktorá sa podieľa na fototransdukcii v sietnici. Pri maximálnych odporúčaných dávkach má 80</w:t>
      </w:r>
      <w:r w:rsidRPr="00FB5E36">
        <w:rPr>
          <w:rFonts w:ascii="Times New Roman" w:hAnsi="Times New Roman"/>
          <w:lang w:val="sk"/>
        </w:rPr>
        <w:noBreakHyphen/>
        <w:t>krá</w:t>
      </w:r>
      <w:r w:rsidRPr="00E80FFF">
        <w:rPr>
          <w:rFonts w:ascii="Times New Roman" w:hAnsi="Times New Roman"/>
          <w:lang w:val="sk"/>
        </w:rPr>
        <w:t xml:space="preserve">t </w:t>
      </w:r>
      <w:r w:rsidRPr="008B2F4A">
        <w:rPr>
          <w:rFonts w:ascii="Times New Roman" w:hAnsi="Times New Roman"/>
          <w:lang w:val="sk"/>
        </w:rPr>
        <w:t xml:space="preserve">vyššiu selektivitu pre </w:t>
      </w:r>
      <w:r w:rsidR="00E80FFF" w:rsidRPr="00726353">
        <w:rPr>
          <w:rFonts w:ascii="Times New Roman" w:eastAsia="TimesNewRoman" w:hAnsi="Times New Roman"/>
          <w:lang w:val="sk-SK" w:eastAsia="it-CH"/>
        </w:rPr>
        <w:t xml:space="preserve">PDE5 </w:t>
      </w:r>
      <w:r w:rsidR="008B2F4A" w:rsidRPr="00FB5E36">
        <w:rPr>
          <w:rFonts w:ascii="Times New Roman" w:hAnsi="Times New Roman"/>
          <w:lang w:val="sk"/>
        </w:rPr>
        <w:t>ako pre</w:t>
      </w:r>
      <w:r w:rsidR="00E80FFF" w:rsidRPr="00726353">
        <w:rPr>
          <w:rFonts w:ascii="Times New Roman" w:eastAsia="TimesNewRoman" w:hAnsi="Times New Roman"/>
          <w:lang w:val="sk-SK" w:eastAsia="it-CH"/>
        </w:rPr>
        <w:t xml:space="preserve"> </w:t>
      </w:r>
      <w:r w:rsidRPr="00E80FFF">
        <w:rPr>
          <w:rFonts w:ascii="Times New Roman" w:hAnsi="Times New Roman"/>
          <w:lang w:val="sk"/>
        </w:rPr>
        <w:t>PDE1 a viac ako</w:t>
      </w:r>
      <w:r w:rsidRPr="008B2F4A">
        <w:rPr>
          <w:rFonts w:ascii="Times New Roman" w:hAnsi="Times New Roman"/>
          <w:lang w:val="sk"/>
        </w:rPr>
        <w:t xml:space="preserve"> 700</w:t>
      </w:r>
      <w:r w:rsidRPr="008B2F4A">
        <w:rPr>
          <w:rFonts w:ascii="Times New Roman" w:hAnsi="Times New Roman"/>
          <w:lang w:val="sk"/>
        </w:rPr>
        <w:noBreakHyphen/>
        <w:t xml:space="preserve">krát vyššiu selektivitu pre </w:t>
      </w:r>
      <w:r w:rsidR="00E80FFF" w:rsidRPr="00726353">
        <w:rPr>
          <w:rFonts w:ascii="Times New Roman" w:eastAsia="TimesNewRoman" w:hAnsi="Times New Roman"/>
          <w:lang w:val="sk-SK" w:eastAsia="it-CH"/>
        </w:rPr>
        <w:t>PDE5</w:t>
      </w:r>
      <w:r w:rsidR="008B2F4A" w:rsidRPr="008B2F4A">
        <w:rPr>
          <w:rFonts w:ascii="Times New Roman" w:hAnsi="Times New Roman"/>
          <w:lang w:val="sk"/>
        </w:rPr>
        <w:t xml:space="preserve"> </w:t>
      </w:r>
      <w:r w:rsidR="008B2F4A" w:rsidRPr="00FB5E36">
        <w:rPr>
          <w:rFonts w:ascii="Times New Roman" w:hAnsi="Times New Roman"/>
          <w:lang w:val="sk"/>
        </w:rPr>
        <w:lastRenderedPageBreak/>
        <w:t xml:space="preserve">ako pre </w:t>
      </w:r>
      <w:r w:rsidRPr="00E80FFF">
        <w:rPr>
          <w:rFonts w:ascii="Times New Roman" w:hAnsi="Times New Roman"/>
          <w:lang w:val="sk"/>
        </w:rPr>
        <w:t>PDE2,</w:t>
      </w:r>
      <w:r w:rsidRPr="00FB5E36">
        <w:rPr>
          <w:rFonts w:ascii="Times New Roman" w:hAnsi="Times New Roman"/>
          <w:lang w:val="sk"/>
        </w:rPr>
        <w:t xml:space="preserve"> 3, 4, 7, 8, 9, 10 a 11. </w:t>
      </w:r>
      <w:r w:rsidR="00DB2152">
        <w:rPr>
          <w:rFonts w:ascii="Times New Roman" w:hAnsi="Times New Roman"/>
          <w:lang w:val="sk"/>
        </w:rPr>
        <w:t>Obzvlášť</w:t>
      </w:r>
      <w:r w:rsidRPr="00FB5E36">
        <w:rPr>
          <w:rFonts w:ascii="Times New Roman" w:hAnsi="Times New Roman"/>
          <w:lang w:val="sk"/>
        </w:rPr>
        <w:t>, sildenafil má viac ako 4 000-násobne vyššiu selektivitu pre PDE5 ako pre PDE3, cAMP špecifickú izoformu fosfodiesterázy, ktorá sa podieľa na kontrole kontraktility srdcového svalu.</w:t>
      </w:r>
    </w:p>
    <w:p w14:paraId="7A98CD18" w14:textId="77777777" w:rsidR="00454E10" w:rsidRPr="00F81584" w:rsidRDefault="00454E10" w:rsidP="00FB5E36">
      <w:pPr>
        <w:spacing w:after="0" w:line="240" w:lineRule="auto"/>
        <w:rPr>
          <w:rFonts w:ascii="Times New Roman" w:hAnsi="Times New Roman"/>
          <w:lang w:val="sk"/>
        </w:rPr>
      </w:pPr>
    </w:p>
    <w:p w14:paraId="530116F1"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Klinická účinnosť a bezpečnosť</w:t>
      </w:r>
    </w:p>
    <w:p w14:paraId="6BD9F3E4"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Dve klinické štúdie boli osobitne zamerané na stanovenie časového úseku po podaní sildenafilu, počas ktorého dochádza k erekcii ako odpovedi na sexuálnu stimuláciu. V štúdii s falopletyzmografiou (RigiScan) u pacientov pri podávaní sildenafilu nalačno bol priemerný čas na dosiahnutie erekcie u tých, ktorí dosiahli erekciu so 60 % rigiditou (postačujúcou na vykonanie pohlavného styku), 25 minút (rozsah 12–37 minút). V samostatnej štúdii, v ktorej bol tiež použitý RigiScan, bol sildenafil schopný vyvolať erekciu ako odpoveď na sexuálnu stimuláciu ešte 4–5 hodín po podaní dávky.</w:t>
      </w:r>
    </w:p>
    <w:p w14:paraId="236E5197" w14:textId="77777777" w:rsidR="00454E10" w:rsidRPr="00F81584" w:rsidRDefault="00454E10" w:rsidP="00FB5E36">
      <w:pPr>
        <w:spacing w:after="0" w:line="240" w:lineRule="auto"/>
        <w:rPr>
          <w:rFonts w:ascii="Times New Roman" w:hAnsi="Times New Roman"/>
          <w:lang w:val="sk"/>
        </w:rPr>
      </w:pPr>
    </w:p>
    <w:p w14:paraId="5A3CC6BA"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Sildenafil spôsobuje mierny a prechodný pokles krvného tlaku, čo vo väčšine prípadov nevyúsťuje do klinických účinkov. Priemerné maximálne zníženie systolického krvného tlaku v ľahu po perorálnom podaní 100 mg sildenafilu bolo 8,4 mmHg. Zodpovedajúca zmena v diastolickom krvnom tlaku v ľahu bola 5,5 mmHg. Tieto zníženia krvného tlaku sú v súlade s vazodilatačným účinkom sildenafilu, pravdepodobne v dôsledku zvýšenia hladín cGMP v hladkom svalstve ciev.</w:t>
      </w:r>
    </w:p>
    <w:p w14:paraId="68A0A23D" w14:textId="77777777" w:rsidR="00454E10" w:rsidRPr="00F81584" w:rsidRDefault="00454E10" w:rsidP="00FB5E36">
      <w:pPr>
        <w:spacing w:after="0" w:line="240" w:lineRule="auto"/>
        <w:rPr>
          <w:rFonts w:ascii="Times New Roman" w:hAnsi="Times New Roman"/>
          <w:lang w:val="sk"/>
        </w:rPr>
      </w:pPr>
    </w:p>
    <w:p w14:paraId="757CE1BD"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Podávanie jednorazových perorálnych dávok sildenafilu až do 100 mg neviedlo u zdravých dobrovoľníkov k žiadnym klinicky významným zmenám na EKG.</w:t>
      </w:r>
    </w:p>
    <w:p w14:paraId="52ECF8DC" w14:textId="77777777" w:rsidR="00454E10" w:rsidRPr="00F81584" w:rsidRDefault="00454E10" w:rsidP="00FB5E36">
      <w:pPr>
        <w:spacing w:after="0" w:line="240" w:lineRule="auto"/>
        <w:rPr>
          <w:rFonts w:ascii="Times New Roman" w:hAnsi="Times New Roman"/>
          <w:lang w:val="sk"/>
        </w:rPr>
      </w:pPr>
    </w:p>
    <w:p w14:paraId="6813EAA8"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štúdii zameranej na hemodynamické účinky jednorazovej perorálnej dávky si</w:t>
      </w:r>
      <w:r w:rsidR="00DB2152">
        <w:rPr>
          <w:rFonts w:ascii="Times New Roman" w:hAnsi="Times New Roman"/>
          <w:lang w:val="sk"/>
        </w:rPr>
        <w:t>l</w:t>
      </w:r>
      <w:r w:rsidRPr="00FB5E36">
        <w:rPr>
          <w:rFonts w:ascii="Times New Roman" w:hAnsi="Times New Roman"/>
          <w:lang w:val="sk"/>
        </w:rPr>
        <w:t>denafilu 100 mg u 14 pacientov so závažným ochorením koronárnych artérií (CAD) (&gt;70 % stenóza najmenej jednej koronárnej artérie) poklesli priemerné hodnoty pokojového systolického krvného tlaku o 7 % a diastolického krvného tlaku o 6 % v porovnaní s východiskovými hodnotami. Priemerný pulmonárny systolický krvný tlak poklesol o 9 %. Sildenafil nemal žiadny vplyv na srdcový výdaj a nezhoršoval krvný prietok cez zúžené koronárne artérie.</w:t>
      </w:r>
    </w:p>
    <w:p w14:paraId="5F1E2DF5" w14:textId="77777777" w:rsidR="00454E10" w:rsidRPr="00F81584" w:rsidRDefault="00454E10" w:rsidP="00FB5E36">
      <w:pPr>
        <w:spacing w:after="0" w:line="240" w:lineRule="auto"/>
        <w:rPr>
          <w:rFonts w:ascii="Times New Roman" w:hAnsi="Times New Roman"/>
          <w:lang w:val="sk"/>
        </w:rPr>
      </w:pPr>
    </w:p>
    <w:p w14:paraId="23D604AB"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 xml:space="preserve">Dvojito zaslepená placebom kontrolovaná záťažová štúdia hodnotila 144 pacientov s erektilnou dysfunkciou a chronickou stabilnou angínou, ktorí pravidelne dostávali antianginóznu terapiu (okrem nitrátov). Výsledky nepreukázali žiadne klinicky relevantné rozdiely medzi sildenafilom a placebom v čase </w:t>
      </w:r>
      <w:r w:rsidR="00DB2152">
        <w:rPr>
          <w:rFonts w:ascii="Times New Roman" w:hAnsi="Times New Roman"/>
          <w:lang w:val="sk"/>
        </w:rPr>
        <w:t xml:space="preserve">do vzniku </w:t>
      </w:r>
      <w:r w:rsidRPr="00FB5E36">
        <w:rPr>
          <w:rFonts w:ascii="Times New Roman" w:hAnsi="Times New Roman"/>
          <w:lang w:val="sk"/>
        </w:rPr>
        <w:t>limitujúcej angíny.</w:t>
      </w:r>
    </w:p>
    <w:p w14:paraId="647DE6D7" w14:textId="77777777" w:rsidR="00454E10" w:rsidRPr="00F81584" w:rsidRDefault="00454E10" w:rsidP="00FB5E36">
      <w:pPr>
        <w:spacing w:after="0" w:line="240" w:lineRule="auto"/>
        <w:rPr>
          <w:rFonts w:ascii="Times New Roman" w:hAnsi="Times New Roman"/>
          <w:lang w:val="sk"/>
        </w:rPr>
      </w:pPr>
    </w:p>
    <w:p w14:paraId="4D0DB453"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U niektorých jedincov sa pri použití Farnsworth</w:t>
      </w:r>
      <w:r w:rsidR="00DB2152">
        <w:rPr>
          <w:rFonts w:ascii="Times New Roman" w:hAnsi="Times New Roman"/>
          <w:lang w:val="sk"/>
        </w:rPr>
        <w:t>ovho</w:t>
      </w:r>
      <w:r w:rsidRPr="00FB5E36">
        <w:rPr>
          <w:rFonts w:ascii="Times New Roman" w:hAnsi="Times New Roman"/>
          <w:lang w:val="sk"/>
        </w:rPr>
        <w:t xml:space="preserve">-Munsellovho testu so 100 farebnými odtieňmi po jednej hodine od podania 100 mg dávky sildenafilu pozorovali mierne a prechodné rozdiely v rozlišovaní farieb (modrá/zelená), pričom po 2 hodinách po podaní dávky neboli zjavné žiadne účinky. </w:t>
      </w:r>
      <w:r w:rsidR="00DB2152">
        <w:rPr>
          <w:rFonts w:ascii="Times New Roman" w:hAnsi="Times New Roman"/>
          <w:lang w:val="sk"/>
        </w:rPr>
        <w:t>Mož</w:t>
      </w:r>
      <w:r w:rsidRPr="00FB5E36">
        <w:rPr>
          <w:rFonts w:ascii="Times New Roman" w:hAnsi="Times New Roman"/>
          <w:lang w:val="sk"/>
        </w:rPr>
        <w:t xml:space="preserve">ný mechanizmus tejto zmeny v rozlišovaní farieb súvisí s inhibíciou PDE6, ktorá hrá úlohu vo fototransdukčnej kaskáde sietnice. Sildenafil nemá žiadny vplyv na ostrosť zraku ani na </w:t>
      </w:r>
      <w:r w:rsidRPr="00E80FFF">
        <w:rPr>
          <w:rFonts w:ascii="Times New Roman" w:hAnsi="Times New Roman"/>
          <w:lang w:val="sk"/>
        </w:rPr>
        <w:t>citlivosť pre kontrast.</w:t>
      </w:r>
      <w:r w:rsidRPr="00FB5E36">
        <w:rPr>
          <w:rFonts w:ascii="Times New Roman" w:hAnsi="Times New Roman"/>
          <w:lang w:val="sk"/>
        </w:rPr>
        <w:t xml:space="preserve"> V placebom kontrolovanej štúdii s malým počtom pacientov s včasným štádiom makulárnej degenerácie podmienenej vekom (n=9), sildenafil (jednorazová dávka, 100 mg) nepreukázal žiadne signifikantné zmeny vo vykonaných testoch videnia (ostrosť videnia, Amslerova mriežka, rozlíšenie farieb pri umelom dopravnom osvetlení, Humphreyho perimeter a fotostres).</w:t>
      </w:r>
    </w:p>
    <w:p w14:paraId="21CBB569" w14:textId="77777777" w:rsidR="00454E10" w:rsidRPr="00F81584" w:rsidRDefault="00454E10" w:rsidP="00FB5E36">
      <w:pPr>
        <w:spacing w:after="0" w:line="240" w:lineRule="auto"/>
        <w:rPr>
          <w:rFonts w:ascii="Times New Roman" w:hAnsi="Times New Roman"/>
          <w:lang w:val="sk"/>
        </w:rPr>
      </w:pPr>
    </w:p>
    <w:p w14:paraId="1EFB4E2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 jednorazovej perorálnej dávke 100 mg sildenafilu sa u zdravých dobrovoľníkov nezistil žiaden vplyv na motilitu alebo morfológiu spermií (pozri časť 4.6).</w:t>
      </w:r>
    </w:p>
    <w:p w14:paraId="29F1A27B" w14:textId="77777777" w:rsidR="00454E10" w:rsidRPr="00F81584" w:rsidRDefault="00454E10" w:rsidP="00FB5E36">
      <w:pPr>
        <w:spacing w:after="0" w:line="240" w:lineRule="auto"/>
        <w:rPr>
          <w:rFonts w:ascii="Times New Roman" w:hAnsi="Times New Roman"/>
          <w:lang w:val="sk"/>
        </w:rPr>
      </w:pPr>
    </w:p>
    <w:p w14:paraId="35F315A3"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Ďalšie informácie o klinických štúdiách</w:t>
      </w:r>
    </w:p>
    <w:p w14:paraId="4991D698"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V klinických štúdiách sa sildenafil podával viac ako 8 000 pacientom vo veku 19–87 rokov. Zastúpené boli nasledovné skupiny pacientov: starší pacienti (19,9 %), pacienti s hypertenziou (30,9 %), diabetes mellitus (20,3 %), ischemickou chorobou srdca (5,8 %), hyperlipidémiou (19,8 %), poranením miechy (0,6 %), depresiou (5,2 %), transuretrálnou resekciou prostaty (3,7 %), pacienti po radikálnej prostatektómii (3,3 %). Nasledujúce skupiny pacientov neboli zastúpené dostatočne alebo boli vyradené z klinických skúšaní: pacienti po chirurgickom zákroku v oblasti panvy, pacienti po rádioterapii, pacienti so závažným poškodením obličiek alebo pečene a pacienti s určitými kardiovaskulárnymi poruchami (pozri časť 4.3).</w:t>
      </w:r>
    </w:p>
    <w:p w14:paraId="7AE270E3" w14:textId="77777777" w:rsidR="00454E10" w:rsidRPr="00F81584" w:rsidRDefault="00454E10" w:rsidP="00FB5E36">
      <w:pPr>
        <w:spacing w:after="0" w:line="240" w:lineRule="auto"/>
        <w:rPr>
          <w:rFonts w:ascii="Times New Roman" w:hAnsi="Times New Roman"/>
          <w:lang w:val="sk"/>
        </w:rPr>
      </w:pPr>
    </w:p>
    <w:p w14:paraId="5C11B557"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Podiel pacientov, ktorí v štúdiách s fixnými dávkami udávali, že liečba viedla k zlepšeniu erekcie, bol 62 % (25 mg), 74 % (50 mg) a 82 % (100 mg) v porovnaní s 25 % pacientov, ktorí užívali placebo. V kontrolovaných klinických štúdiách bola miera prerušenia liečby sildenafilom nízka a podobná ako v prípade placeba.</w:t>
      </w:r>
    </w:p>
    <w:p w14:paraId="2E66B4A1" w14:textId="77777777" w:rsidR="00454E10" w:rsidRPr="00F81584" w:rsidRDefault="00454E10" w:rsidP="00FB5E36">
      <w:pPr>
        <w:spacing w:after="0" w:line="240" w:lineRule="auto"/>
        <w:rPr>
          <w:rFonts w:ascii="Times New Roman" w:hAnsi="Times New Roman"/>
          <w:lang w:val="sk"/>
        </w:rPr>
      </w:pPr>
    </w:p>
    <w:p w14:paraId="352C5F27"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Zhrnutie údajov zo všetkých klinických štúdií ukazuje, že podiel pacientov, ktorí udávali zlepšenie po podaní sildenafilu, bol nasledujúci: psychogénna erektilná dysfunkcia (84 %), zmiešaná erektilná dysfunkcia (77 %), organická erektilná dysfunkcia (68 %), starší pacienti (67 %), diabetes mellitus (59 %), ischemická choroba srdca (69 %), hypertenzia (68 %), TURP (61 %), radikálna prostatektómia (43 %), poranenie miechy (83 %), depresia (75 %). Bezpečnosť a účinnosť sildenafilu bola preukázaná v dlhodobých štúdiách.</w:t>
      </w:r>
    </w:p>
    <w:p w14:paraId="024B2CC5" w14:textId="77777777" w:rsidR="00454E10" w:rsidRPr="00F81584" w:rsidRDefault="00454E10" w:rsidP="00FB5E36">
      <w:pPr>
        <w:spacing w:after="0" w:line="240" w:lineRule="auto"/>
        <w:rPr>
          <w:rFonts w:ascii="Times New Roman" w:hAnsi="Times New Roman"/>
          <w:lang w:val="sk"/>
        </w:rPr>
      </w:pPr>
    </w:p>
    <w:p w14:paraId="19012DA0"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Pediatrická populácia</w:t>
      </w:r>
    </w:p>
    <w:p w14:paraId="5D402579" w14:textId="77777777" w:rsidR="00355F50" w:rsidRPr="00F81584" w:rsidRDefault="00355F50" w:rsidP="00FB5E36">
      <w:pPr>
        <w:spacing w:after="0" w:line="240" w:lineRule="auto"/>
        <w:rPr>
          <w:rFonts w:ascii="Times New Roman" w:hAnsi="Times New Roman"/>
          <w:lang w:val="sk"/>
        </w:rPr>
      </w:pPr>
      <w:r w:rsidRPr="00E80FFF">
        <w:rPr>
          <w:rFonts w:ascii="Times New Roman" w:hAnsi="Times New Roman"/>
          <w:lang w:val="sk"/>
        </w:rPr>
        <w:t>Európska agentúra</w:t>
      </w:r>
      <w:r w:rsidRPr="00FB5E36">
        <w:rPr>
          <w:rFonts w:ascii="Times New Roman" w:hAnsi="Times New Roman"/>
          <w:lang w:val="sk"/>
        </w:rPr>
        <w:t xml:space="preserve"> pre lieky udelila výnimku z povinnosti predložiť výsledky štúdií s</w:t>
      </w:r>
      <w:r w:rsidR="00E80FFF">
        <w:rPr>
          <w:rFonts w:ascii="Times New Roman" w:hAnsi="Times New Roman"/>
          <w:lang w:val="sk"/>
        </w:rPr>
        <w:t xml:space="preserve"> referenčným </w:t>
      </w:r>
      <w:r w:rsidRPr="00FB5E36">
        <w:rPr>
          <w:rFonts w:ascii="Times New Roman" w:hAnsi="Times New Roman"/>
          <w:lang w:val="sk"/>
        </w:rPr>
        <w:t xml:space="preserve">liekom </w:t>
      </w:r>
      <w:r w:rsidR="00E80FFF">
        <w:rPr>
          <w:rFonts w:ascii="Times New Roman" w:hAnsi="Times New Roman"/>
          <w:lang w:val="sk"/>
        </w:rPr>
        <w:t>obsahujúcim sildenafil</w:t>
      </w:r>
      <w:r w:rsidRPr="00FB5E36">
        <w:rPr>
          <w:rFonts w:ascii="Times New Roman" w:hAnsi="Times New Roman"/>
          <w:lang w:val="sk"/>
        </w:rPr>
        <w:t xml:space="preserve"> vo všetkých podskupinách pediatrickej populácie na liečbu erektilnej dysfunkcie. Ďalšie informácie o použití v pediatrickej populácii pozri v časti 4.2.</w:t>
      </w:r>
    </w:p>
    <w:p w14:paraId="00EA7558" w14:textId="77777777" w:rsidR="00355F50" w:rsidRPr="00F81584" w:rsidRDefault="00355F50" w:rsidP="00FB5E36">
      <w:pPr>
        <w:spacing w:after="0" w:line="240" w:lineRule="auto"/>
        <w:rPr>
          <w:rFonts w:ascii="Times New Roman" w:hAnsi="Times New Roman"/>
          <w:lang w:val="sk"/>
        </w:rPr>
      </w:pPr>
    </w:p>
    <w:p w14:paraId="3DA4510A" w14:textId="77777777" w:rsidR="00355F50" w:rsidRPr="00FB5E36" w:rsidRDefault="00355F50" w:rsidP="00FB5E36">
      <w:pPr>
        <w:pStyle w:val="Nadpis3"/>
        <w:spacing w:before="0" w:line="240" w:lineRule="auto"/>
        <w:rPr>
          <w:rFonts w:cs="Times New Roman"/>
        </w:rPr>
      </w:pPr>
      <w:r w:rsidRPr="00FB5E36">
        <w:rPr>
          <w:rFonts w:cs="Times New Roman"/>
          <w:lang w:val="sk"/>
        </w:rPr>
        <w:t>5.2 Farmakokinetické vlastnosti</w:t>
      </w:r>
    </w:p>
    <w:p w14:paraId="63C5BC95" w14:textId="77777777" w:rsidR="00454E10" w:rsidRDefault="00454E10" w:rsidP="00FB5E36">
      <w:pPr>
        <w:spacing w:after="0" w:line="240" w:lineRule="auto"/>
        <w:rPr>
          <w:rFonts w:ascii="Times New Roman" w:hAnsi="Times New Roman"/>
          <w:u w:val="single"/>
          <w:lang w:val="sk"/>
        </w:rPr>
      </w:pPr>
    </w:p>
    <w:p w14:paraId="33E07E2A" w14:textId="77777777" w:rsidR="00355F50" w:rsidRPr="00FB5E36" w:rsidRDefault="00355F50" w:rsidP="00FB5E36">
      <w:pPr>
        <w:spacing w:after="0" w:line="240" w:lineRule="auto"/>
        <w:rPr>
          <w:rFonts w:ascii="Times New Roman" w:hAnsi="Times New Roman"/>
          <w:u w:val="single"/>
        </w:rPr>
      </w:pPr>
      <w:r w:rsidRPr="00FB5E36">
        <w:rPr>
          <w:rFonts w:ascii="Times New Roman" w:hAnsi="Times New Roman"/>
          <w:u w:val="single"/>
          <w:lang w:val="sk"/>
        </w:rPr>
        <w:t>Absorpcia</w:t>
      </w:r>
    </w:p>
    <w:p w14:paraId="4654E986"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Sildenafil sa rýchlo vstrebáva. Maximálne plazmatické koncentrácie sa dosahujú do 30 až 120 minút (medián je 60 minút) po perorálnom podaní nalačno. Priemerná absolútna perorálna biologická dostupnosť je 41 % (rozsah 25–63 %). Hodnota AUC a C</w:t>
      </w:r>
      <w:r w:rsidRPr="00FB5E36">
        <w:rPr>
          <w:rFonts w:ascii="Times New Roman" w:hAnsi="Times New Roman"/>
          <w:vertAlign w:val="subscript"/>
          <w:lang w:val="sk"/>
        </w:rPr>
        <w:t>max</w:t>
      </w:r>
      <w:r w:rsidRPr="00FB5E36">
        <w:rPr>
          <w:rFonts w:ascii="Times New Roman" w:hAnsi="Times New Roman"/>
          <w:lang w:val="sk"/>
        </w:rPr>
        <w:t xml:space="preserve"> sildenafilu sa po perorálnom podaní sildenafilu zvyšuje proporcionálne k dávke nad odporúčaný rozsah dávkovania (25–100 mg).</w:t>
      </w:r>
    </w:p>
    <w:p w14:paraId="428F9278" w14:textId="77777777" w:rsidR="00454E10" w:rsidRPr="00F81584" w:rsidRDefault="00454E10" w:rsidP="00FB5E36">
      <w:pPr>
        <w:spacing w:after="0" w:line="240" w:lineRule="auto"/>
        <w:rPr>
          <w:rFonts w:ascii="Times New Roman" w:hAnsi="Times New Roman"/>
          <w:lang w:val="sk"/>
        </w:rPr>
      </w:pPr>
    </w:p>
    <w:p w14:paraId="18F2E8CD"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Keď sa sildenafil užíva spolu s jedlom, rýchlosť absorpcie sa znižuje, pričom priemerné oneskorenie t</w:t>
      </w:r>
      <w:r w:rsidRPr="00FB5E36">
        <w:rPr>
          <w:rFonts w:ascii="Times New Roman" w:hAnsi="Times New Roman"/>
          <w:vertAlign w:val="subscript"/>
          <w:lang w:val="sk"/>
        </w:rPr>
        <w:t>max</w:t>
      </w:r>
      <w:r w:rsidRPr="00FB5E36">
        <w:rPr>
          <w:rFonts w:ascii="Times New Roman" w:hAnsi="Times New Roman"/>
          <w:lang w:val="sk"/>
        </w:rPr>
        <w:t xml:space="preserve"> je 60 minút a priemerné zníženie C</w:t>
      </w:r>
      <w:r w:rsidRPr="00FB5E36">
        <w:rPr>
          <w:rFonts w:ascii="Times New Roman" w:hAnsi="Times New Roman"/>
          <w:vertAlign w:val="subscript"/>
          <w:lang w:val="sk"/>
        </w:rPr>
        <w:t>max</w:t>
      </w:r>
      <w:r w:rsidRPr="00FB5E36">
        <w:rPr>
          <w:rFonts w:ascii="Times New Roman" w:hAnsi="Times New Roman"/>
          <w:lang w:val="sk"/>
        </w:rPr>
        <w:t xml:space="preserve"> o 29 %.</w:t>
      </w:r>
    </w:p>
    <w:p w14:paraId="39D9C6D5" w14:textId="77777777" w:rsidR="00454E10" w:rsidRDefault="00454E10" w:rsidP="00FB5E36">
      <w:pPr>
        <w:spacing w:after="0" w:line="240" w:lineRule="auto"/>
        <w:rPr>
          <w:rFonts w:ascii="Times New Roman" w:hAnsi="Times New Roman"/>
          <w:u w:val="single"/>
          <w:lang w:val="sk"/>
        </w:rPr>
      </w:pPr>
    </w:p>
    <w:p w14:paraId="72ADA25B"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Distribúcia</w:t>
      </w:r>
    </w:p>
    <w:p w14:paraId="0A3A7A1E"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Priemerný distribučný objem sildenafilu v rovnovážnom stave (Vd) je 105 l, čo naznačuje distribúciu do tkanív. Po perorálnom podaní jednorazovej dávky 100 mg je priemerná maximálna celková plazmatická koncentrácia sildenafilu približne 440 ng/m</w:t>
      </w:r>
      <w:r w:rsidR="00F52DF1">
        <w:rPr>
          <w:rFonts w:ascii="Times New Roman" w:hAnsi="Times New Roman"/>
          <w:lang w:val="sk"/>
        </w:rPr>
        <w:t>l</w:t>
      </w:r>
      <w:r w:rsidRPr="00FB5E36">
        <w:rPr>
          <w:rFonts w:ascii="Times New Roman" w:hAnsi="Times New Roman"/>
          <w:lang w:val="sk"/>
        </w:rPr>
        <w:t xml:space="preserve"> (CV 40 %). Výsledkom väzby sildenafilu (a jeho hlavného cirkulujúceho N-desmetylmetabolitu) na plazmatické bielkoviny, ktorá je 96 %, je priemerná maximálna koncentrácia voľného sildenafilu 18 ng/m</w:t>
      </w:r>
      <w:r w:rsidR="00F52DF1">
        <w:rPr>
          <w:rFonts w:ascii="Times New Roman" w:hAnsi="Times New Roman"/>
          <w:lang w:val="sk"/>
        </w:rPr>
        <w:t>l</w:t>
      </w:r>
      <w:r w:rsidRPr="00FB5E36">
        <w:rPr>
          <w:rFonts w:ascii="Times New Roman" w:hAnsi="Times New Roman"/>
          <w:lang w:val="sk"/>
        </w:rPr>
        <w:t xml:space="preserve"> (38 </w:t>
      </w:r>
      <w:r w:rsidRPr="00E80FFF">
        <w:rPr>
          <w:rFonts w:ascii="Times New Roman" w:hAnsi="Times New Roman"/>
          <w:lang w:val="sk"/>
        </w:rPr>
        <w:t>n</w:t>
      </w:r>
      <w:r w:rsidR="00E80FFF">
        <w:rPr>
          <w:rFonts w:ascii="Times New Roman" w:hAnsi="Times New Roman"/>
          <w:lang w:val="sk"/>
        </w:rPr>
        <w:t>mol</w:t>
      </w:r>
      <w:r w:rsidRPr="00FB5E36">
        <w:rPr>
          <w:rFonts w:ascii="Times New Roman" w:hAnsi="Times New Roman"/>
          <w:lang w:val="sk"/>
        </w:rPr>
        <w:t>). Väzba na proteíny nezávisí od celkových koncentrácií lieku.</w:t>
      </w:r>
    </w:p>
    <w:p w14:paraId="006B8A86" w14:textId="77777777" w:rsidR="00454E10" w:rsidRPr="00F81584" w:rsidRDefault="00454E10" w:rsidP="00FB5E36">
      <w:pPr>
        <w:spacing w:after="0" w:line="240" w:lineRule="auto"/>
        <w:rPr>
          <w:rFonts w:ascii="Times New Roman" w:hAnsi="Times New Roman"/>
          <w:lang w:val="sk"/>
        </w:rPr>
      </w:pPr>
    </w:p>
    <w:p w14:paraId="38ADDDF1"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U zdravých dobrovoľníkov bolo v ejakuláte 90 minút po podaní sildenafilu (jednorazová dávka 100 mg) menej ako 0,0002 % (v priemere 188 ng) podanej dávky.</w:t>
      </w:r>
    </w:p>
    <w:p w14:paraId="0128474A" w14:textId="77777777" w:rsidR="00454E10" w:rsidRDefault="00454E10" w:rsidP="00FB5E36">
      <w:pPr>
        <w:spacing w:after="0" w:line="240" w:lineRule="auto"/>
        <w:rPr>
          <w:rFonts w:ascii="Times New Roman" w:hAnsi="Times New Roman"/>
          <w:u w:val="single"/>
          <w:lang w:val="sk"/>
        </w:rPr>
      </w:pPr>
    </w:p>
    <w:p w14:paraId="01438D92"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Biotransformácia</w:t>
      </w:r>
    </w:p>
    <w:p w14:paraId="179AC98C"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Sildenafil sa metabolizuje najmä prostredníctvom pečeňových mikrozomálnych izoenzýmov CYP3A4 (hlavná metabolická cesta) a CYP2C9 (vedľajšia metabolická cesta). Hlavný cirkulujúci metabolit vzniká N</w:t>
      </w:r>
      <w:r w:rsidRPr="00FB5E36">
        <w:rPr>
          <w:rFonts w:ascii="Times New Roman" w:hAnsi="Times New Roman"/>
          <w:lang w:val="sk"/>
        </w:rPr>
        <w:noBreakHyphen/>
        <w:t>demetyláciou sildenafilu.</w:t>
      </w:r>
    </w:p>
    <w:p w14:paraId="2832C4FB" w14:textId="77777777" w:rsidR="00454E10" w:rsidRDefault="00454E10" w:rsidP="00FB5E36">
      <w:pPr>
        <w:spacing w:after="0" w:line="240" w:lineRule="auto"/>
        <w:rPr>
          <w:rFonts w:ascii="Times New Roman" w:hAnsi="Times New Roman"/>
          <w:lang w:val="sk"/>
        </w:rPr>
      </w:pPr>
    </w:p>
    <w:p w14:paraId="3EBB9675"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 xml:space="preserve">Tento metabolit vykazuje podobný profil selektivity voči fosfodiesteráze ako sildenafil a </w:t>
      </w:r>
      <w:r w:rsidRPr="00FB5E36">
        <w:rPr>
          <w:rFonts w:ascii="Times New Roman" w:hAnsi="Times New Roman"/>
          <w:i/>
          <w:iCs/>
          <w:lang w:val="sk"/>
        </w:rPr>
        <w:t xml:space="preserve">in vitro </w:t>
      </w:r>
      <w:r w:rsidRPr="00FB5E36">
        <w:rPr>
          <w:rFonts w:ascii="Times New Roman" w:hAnsi="Times New Roman"/>
          <w:lang w:val="sk"/>
        </w:rPr>
        <w:t>účinok na PDE5 je približne 50 % v porovnaní s materským liečivom. Plazmatické koncentrácie tohto metabolitu zodpovedajú približne 40 % koncentrácii sildenafilu. N</w:t>
      </w:r>
      <w:r w:rsidRPr="00FB5E36">
        <w:rPr>
          <w:rFonts w:ascii="Times New Roman" w:hAnsi="Times New Roman"/>
          <w:lang w:val="sk"/>
        </w:rPr>
        <w:noBreakHyphen/>
        <w:t>desmetylmetabolit sa ďalej metabolizuje a terminálny čas je približne 4 hod</w:t>
      </w:r>
      <w:r w:rsidR="00F52DF1">
        <w:rPr>
          <w:rFonts w:ascii="Times New Roman" w:hAnsi="Times New Roman"/>
          <w:lang w:val="sk"/>
        </w:rPr>
        <w:t>ín</w:t>
      </w:r>
      <w:r w:rsidRPr="00FB5E36">
        <w:rPr>
          <w:rFonts w:ascii="Times New Roman" w:hAnsi="Times New Roman"/>
          <w:lang w:val="sk"/>
        </w:rPr>
        <w:t>.</w:t>
      </w:r>
    </w:p>
    <w:p w14:paraId="3D87CA5A" w14:textId="77777777" w:rsidR="00454E10" w:rsidRDefault="00454E10" w:rsidP="00FB5E36">
      <w:pPr>
        <w:spacing w:after="0" w:line="240" w:lineRule="auto"/>
        <w:rPr>
          <w:rFonts w:ascii="Times New Roman" w:hAnsi="Times New Roman"/>
          <w:u w:val="single"/>
          <w:lang w:val="sk"/>
        </w:rPr>
      </w:pPr>
    </w:p>
    <w:p w14:paraId="1D6AB790" w14:textId="77777777" w:rsidR="00355F50" w:rsidRPr="00F81584" w:rsidRDefault="00355F50" w:rsidP="00FB5E36">
      <w:pPr>
        <w:spacing w:after="0" w:line="240" w:lineRule="auto"/>
        <w:rPr>
          <w:rFonts w:ascii="Times New Roman" w:hAnsi="Times New Roman"/>
          <w:u w:val="single"/>
          <w:lang w:val="sk"/>
        </w:rPr>
      </w:pPr>
      <w:r w:rsidRPr="00FB5E36">
        <w:rPr>
          <w:rFonts w:ascii="Times New Roman" w:hAnsi="Times New Roman"/>
          <w:u w:val="single"/>
          <w:lang w:val="sk"/>
        </w:rPr>
        <w:t>Eliminácia</w:t>
      </w:r>
    </w:p>
    <w:p w14:paraId="2210D320"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Celkový telový klírens sildenafilu je 41 </w:t>
      </w:r>
      <w:r w:rsidR="00F52DF1">
        <w:rPr>
          <w:rFonts w:ascii="Times New Roman" w:hAnsi="Times New Roman"/>
          <w:lang w:val="sk"/>
        </w:rPr>
        <w:t>l</w:t>
      </w:r>
      <w:r w:rsidRPr="00FB5E36">
        <w:rPr>
          <w:rFonts w:ascii="Times New Roman" w:hAnsi="Times New Roman"/>
          <w:lang w:val="sk"/>
        </w:rPr>
        <w:t>/h s výsledným terminálnym plazmatickým polčasom 3–5 hod</w:t>
      </w:r>
      <w:r w:rsidR="00F52DF1">
        <w:rPr>
          <w:rFonts w:ascii="Times New Roman" w:hAnsi="Times New Roman"/>
          <w:lang w:val="sk"/>
        </w:rPr>
        <w:t>ín</w:t>
      </w:r>
      <w:r w:rsidRPr="00FB5E36">
        <w:rPr>
          <w:rFonts w:ascii="Times New Roman" w:hAnsi="Times New Roman"/>
          <w:lang w:val="sk"/>
        </w:rPr>
        <w:t>. Po perorálnom aj intravenóznom podaní sa sildenafil vylučuje vo forme metabolito</w:t>
      </w:r>
      <w:r w:rsidR="00F52DF1">
        <w:rPr>
          <w:rFonts w:ascii="Times New Roman" w:hAnsi="Times New Roman"/>
          <w:lang w:val="sk"/>
        </w:rPr>
        <w:t>v</w:t>
      </w:r>
      <w:r w:rsidRPr="00FB5E36">
        <w:rPr>
          <w:rFonts w:ascii="Times New Roman" w:hAnsi="Times New Roman"/>
          <w:lang w:val="sk"/>
        </w:rPr>
        <w:t xml:space="preserve"> predovšetkým stolicou (približne 80 % podanej perorálnej dávky) a v menšom rozsahu močom (približne 13 % podanej perorálnej dávky).</w:t>
      </w:r>
    </w:p>
    <w:p w14:paraId="7A8034DC" w14:textId="77777777" w:rsidR="00454E10" w:rsidRPr="00F81584" w:rsidRDefault="00454E10" w:rsidP="00FB5E36">
      <w:pPr>
        <w:spacing w:after="0" w:line="240" w:lineRule="auto"/>
        <w:rPr>
          <w:rFonts w:ascii="Times New Roman" w:hAnsi="Times New Roman"/>
          <w:lang w:val="sk"/>
        </w:rPr>
      </w:pPr>
    </w:p>
    <w:p w14:paraId="2378CBA4"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Farmakokinetika v osobitných skupinách pacientov</w:t>
      </w:r>
    </w:p>
    <w:p w14:paraId="6C2925D2" w14:textId="77777777" w:rsidR="00454E10" w:rsidRPr="003D6E6E" w:rsidRDefault="00454E10" w:rsidP="00FB5E36">
      <w:pPr>
        <w:spacing w:after="0" w:line="240" w:lineRule="auto"/>
        <w:rPr>
          <w:rFonts w:ascii="Times New Roman" w:hAnsi="Times New Roman"/>
          <w:lang w:val="sk"/>
        </w:rPr>
      </w:pPr>
    </w:p>
    <w:p w14:paraId="019CE1EE" w14:textId="77777777" w:rsidR="00355F50" w:rsidRPr="003D6E6E" w:rsidRDefault="00355F50" w:rsidP="00FB5E36">
      <w:pPr>
        <w:spacing w:after="0" w:line="240" w:lineRule="auto"/>
        <w:rPr>
          <w:rFonts w:ascii="Times New Roman" w:hAnsi="Times New Roman"/>
          <w:i/>
          <w:iCs/>
          <w:lang w:val="sk"/>
        </w:rPr>
      </w:pPr>
      <w:r w:rsidRPr="00FB5E36">
        <w:rPr>
          <w:rFonts w:ascii="Times New Roman" w:hAnsi="Times New Roman"/>
          <w:i/>
          <w:iCs/>
          <w:lang w:val="sk"/>
        </w:rPr>
        <w:t>Starší pacienti</w:t>
      </w:r>
    </w:p>
    <w:p w14:paraId="7A9405A7" w14:textId="77777777" w:rsidR="00355F50" w:rsidRPr="00F81584" w:rsidRDefault="00355F50" w:rsidP="00FB5E36">
      <w:pPr>
        <w:spacing w:after="0" w:line="240" w:lineRule="auto"/>
        <w:rPr>
          <w:rFonts w:ascii="Times New Roman" w:hAnsi="Times New Roman"/>
          <w:lang w:val="sk"/>
        </w:rPr>
      </w:pPr>
      <w:proofErr w:type="spellStart"/>
      <w:r w:rsidRPr="00FB5E36">
        <w:rPr>
          <w:rFonts w:ascii="Times New Roman" w:hAnsi="Times New Roman"/>
          <w:lang w:val="sk"/>
        </w:rPr>
        <w:t>Klírens</w:t>
      </w:r>
      <w:proofErr w:type="spellEnd"/>
      <w:r w:rsidRPr="00FB5E36">
        <w:rPr>
          <w:rFonts w:ascii="Times New Roman" w:hAnsi="Times New Roman"/>
          <w:lang w:val="sk"/>
        </w:rPr>
        <w:t xml:space="preserve"> </w:t>
      </w:r>
      <w:proofErr w:type="spellStart"/>
      <w:r w:rsidRPr="00FB5E36">
        <w:rPr>
          <w:rFonts w:ascii="Times New Roman" w:hAnsi="Times New Roman"/>
          <w:lang w:val="sk"/>
        </w:rPr>
        <w:t>sildenafilu</w:t>
      </w:r>
      <w:proofErr w:type="spellEnd"/>
      <w:r w:rsidRPr="00FB5E36">
        <w:rPr>
          <w:rFonts w:ascii="Times New Roman" w:hAnsi="Times New Roman"/>
          <w:lang w:val="sk"/>
        </w:rPr>
        <w:t xml:space="preserve"> u starších zdravých dobrovoľníkov (vo veku 65 rokov a viac) bol znížený, čoho dôsledkom sú asi o 90 % vyššie plazmatické koncentrácie sildenafilu a aktívneho N</w:t>
      </w:r>
      <w:r w:rsidRPr="00FB5E36">
        <w:rPr>
          <w:rFonts w:ascii="Times New Roman" w:hAnsi="Times New Roman"/>
          <w:lang w:val="sk"/>
        </w:rPr>
        <w:noBreakHyphen/>
        <w:t>desmetylmetabolitu v porovnaní s mladšími zdravými dobrovoľníkmi (18–45 rokov). Vzhľadom na rozdiely vo väzbe na plazmatické proteíny, ktoré sú podmienené vekom, bolo zodpovedajúce zvýšenie plazmatických koncentrácií voľného sildenafilu približne 40 %.</w:t>
      </w:r>
    </w:p>
    <w:p w14:paraId="1BA9DF97" w14:textId="77777777" w:rsidR="00454E10" w:rsidRDefault="00454E10" w:rsidP="00FB5E36">
      <w:pPr>
        <w:spacing w:after="0" w:line="240" w:lineRule="auto"/>
        <w:rPr>
          <w:rFonts w:ascii="Times New Roman" w:hAnsi="Times New Roman"/>
          <w:i/>
          <w:iCs/>
          <w:lang w:val="sk"/>
        </w:rPr>
      </w:pPr>
    </w:p>
    <w:p w14:paraId="5EF375E6"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Insuficiencia obličiek</w:t>
      </w:r>
    </w:p>
    <w:p w14:paraId="3CFEF4C9" w14:textId="734188C6" w:rsidR="00355F50" w:rsidRPr="00FB5E36" w:rsidRDefault="00355F50" w:rsidP="00FB5E36">
      <w:pPr>
        <w:spacing w:after="0" w:line="240" w:lineRule="auto"/>
        <w:rPr>
          <w:rFonts w:ascii="Times New Roman" w:hAnsi="Times New Roman"/>
        </w:rPr>
      </w:pPr>
      <w:r w:rsidRPr="00FB5E36">
        <w:rPr>
          <w:rFonts w:ascii="Times New Roman" w:hAnsi="Times New Roman"/>
          <w:lang w:val="sk"/>
        </w:rPr>
        <w:t>U dobrovoľníkov s miernou až stredne ťažkou insuficienciou obličiek (klírens kreatinínu = 30–80 m</w:t>
      </w:r>
      <w:r w:rsidR="00F52DF1">
        <w:rPr>
          <w:rFonts w:ascii="Times New Roman" w:hAnsi="Times New Roman"/>
          <w:lang w:val="sk"/>
        </w:rPr>
        <w:t>l</w:t>
      </w:r>
      <w:r w:rsidRPr="00FB5E36">
        <w:rPr>
          <w:rFonts w:ascii="Times New Roman" w:hAnsi="Times New Roman"/>
          <w:lang w:val="sk"/>
        </w:rPr>
        <w:t>/min) sa farmakokinetika sildenafilu po perorálnom podaní jednorazovej dávky 50 mg nezmenila. Priemerná hodnota AUC N</w:t>
      </w:r>
      <w:r w:rsidRPr="00FB5E36">
        <w:rPr>
          <w:rFonts w:ascii="Times New Roman" w:hAnsi="Times New Roman"/>
          <w:lang w:val="sk"/>
        </w:rPr>
        <w:noBreakHyphen/>
        <w:t>desmetylmetabolitu sa zvýšila o 126 % a priemerná hodnota C</w:t>
      </w:r>
      <w:r w:rsidRPr="00FB5E36">
        <w:rPr>
          <w:rFonts w:ascii="Times New Roman" w:hAnsi="Times New Roman"/>
          <w:vertAlign w:val="subscript"/>
          <w:lang w:val="sk"/>
        </w:rPr>
        <w:t>max</w:t>
      </w:r>
      <w:r w:rsidRPr="00FB5E36">
        <w:rPr>
          <w:rFonts w:ascii="Times New Roman" w:hAnsi="Times New Roman"/>
          <w:lang w:val="sk"/>
        </w:rPr>
        <w:t xml:space="preserve"> o 73 % v porovnaní s dobrovoľníkmi zodpovedajúceho veku bez poruchy funkcie obličiek. Avšak v dôsledku vysokej interindividuálnej variability neboli tieto rozdiely štatisticky významné. U dobrovoľníkov s ťažkou poruchou funkcie obličiek (klírens kreatinínu &lt;30 ml/min) sa klírens sildenafilu znížil, čo viedlo k priemerným zvýšeniam AUC N-desmetylmetabolitu o 100 % a C</w:t>
      </w:r>
      <w:r w:rsidRPr="00FB5E36">
        <w:rPr>
          <w:rFonts w:ascii="Times New Roman" w:hAnsi="Times New Roman"/>
          <w:vertAlign w:val="subscript"/>
          <w:lang w:val="sk"/>
        </w:rPr>
        <w:t>max</w:t>
      </w:r>
      <w:r w:rsidRPr="00FB5E36">
        <w:rPr>
          <w:rFonts w:ascii="Times New Roman" w:hAnsi="Times New Roman"/>
          <w:lang w:val="sk"/>
        </w:rPr>
        <w:t xml:space="preserve"> o 88 % v porovnaní s dobrovoľníkmi zodpovedajúceho veku bez poruchy funkcie obličiek. Okrem toho sa hodnoty AUC N-desmetylmetabolitu signifikantne zvýšili o 79 % a C</w:t>
      </w:r>
      <w:r w:rsidRPr="00FB5E36">
        <w:rPr>
          <w:rFonts w:ascii="Times New Roman" w:hAnsi="Times New Roman"/>
          <w:vertAlign w:val="subscript"/>
          <w:lang w:val="sk"/>
        </w:rPr>
        <w:t>max</w:t>
      </w:r>
      <w:r w:rsidRPr="00FB5E36">
        <w:rPr>
          <w:rFonts w:ascii="Times New Roman" w:hAnsi="Times New Roman"/>
          <w:lang w:val="sk"/>
        </w:rPr>
        <w:t xml:space="preserve"> o 200 %.</w:t>
      </w:r>
    </w:p>
    <w:p w14:paraId="1C01A301" w14:textId="77777777" w:rsidR="00454E10" w:rsidRDefault="00454E10" w:rsidP="00FB5E36">
      <w:pPr>
        <w:spacing w:after="0" w:line="240" w:lineRule="auto"/>
        <w:rPr>
          <w:rFonts w:ascii="Times New Roman" w:hAnsi="Times New Roman"/>
          <w:i/>
          <w:iCs/>
          <w:lang w:val="sk"/>
        </w:rPr>
      </w:pPr>
    </w:p>
    <w:p w14:paraId="05D72AFE" w14:textId="77777777" w:rsidR="00355F50" w:rsidRPr="00F81584" w:rsidRDefault="00355F50" w:rsidP="00FB5E36">
      <w:pPr>
        <w:spacing w:after="0" w:line="240" w:lineRule="auto"/>
        <w:rPr>
          <w:rFonts w:ascii="Times New Roman" w:hAnsi="Times New Roman"/>
          <w:i/>
          <w:iCs/>
          <w:lang w:val="sk"/>
        </w:rPr>
      </w:pPr>
      <w:r w:rsidRPr="00FB5E36">
        <w:rPr>
          <w:rFonts w:ascii="Times New Roman" w:hAnsi="Times New Roman"/>
          <w:i/>
          <w:iCs/>
          <w:lang w:val="sk"/>
        </w:rPr>
        <w:t>Insuficiencia pečene</w:t>
      </w:r>
    </w:p>
    <w:p w14:paraId="2A990CA5" w14:textId="28BEC4D3"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U dobrovoľníkov s ľahkou až miernou cirhózou pečene (stupeň A a B podľa Childa-Pugha) bol klírens sildenafilu znížený, čo malo za následok vzostupy AUC (o 84 %) a C</w:t>
      </w:r>
      <w:r w:rsidRPr="00FB5E36">
        <w:rPr>
          <w:rFonts w:ascii="Times New Roman" w:hAnsi="Times New Roman"/>
          <w:vertAlign w:val="subscript"/>
          <w:lang w:val="sk"/>
        </w:rPr>
        <w:t>max</w:t>
      </w:r>
      <w:r w:rsidRPr="00FB5E36">
        <w:rPr>
          <w:rFonts w:ascii="Times New Roman" w:hAnsi="Times New Roman"/>
          <w:lang w:val="sk"/>
        </w:rPr>
        <w:t xml:space="preserve"> (o 47 %) v porovnaní s dobrovoľníkmi zodpovedajúceho veku bez poruchy funkcie pečene. </w:t>
      </w:r>
      <w:proofErr w:type="spellStart"/>
      <w:r w:rsidRPr="00FB5E36">
        <w:rPr>
          <w:rFonts w:ascii="Times New Roman" w:hAnsi="Times New Roman"/>
          <w:lang w:val="sk"/>
        </w:rPr>
        <w:t>Farmakokinetika</w:t>
      </w:r>
      <w:proofErr w:type="spellEnd"/>
      <w:r w:rsidRPr="00FB5E36">
        <w:rPr>
          <w:rFonts w:ascii="Times New Roman" w:hAnsi="Times New Roman"/>
          <w:lang w:val="sk"/>
        </w:rPr>
        <w:t xml:space="preserve"> </w:t>
      </w:r>
      <w:proofErr w:type="spellStart"/>
      <w:r w:rsidRPr="00FB5E36">
        <w:rPr>
          <w:rFonts w:ascii="Times New Roman" w:hAnsi="Times New Roman"/>
          <w:lang w:val="sk"/>
        </w:rPr>
        <w:t>sildenafilu</w:t>
      </w:r>
      <w:proofErr w:type="spellEnd"/>
      <w:r w:rsidRPr="00FB5E36">
        <w:rPr>
          <w:rFonts w:ascii="Times New Roman" w:hAnsi="Times New Roman"/>
          <w:lang w:val="sk"/>
        </w:rPr>
        <w:t xml:space="preserve"> u</w:t>
      </w:r>
      <w:r w:rsidR="00C77BD4">
        <w:rPr>
          <w:rFonts w:ascii="Times New Roman" w:hAnsi="Times New Roman"/>
          <w:lang w:val="sk"/>
        </w:rPr>
        <w:t> </w:t>
      </w:r>
      <w:r w:rsidRPr="00FB5E36">
        <w:rPr>
          <w:rFonts w:ascii="Times New Roman" w:hAnsi="Times New Roman"/>
          <w:lang w:val="sk"/>
        </w:rPr>
        <w:t>pacientov s</w:t>
      </w:r>
      <w:r w:rsidR="00C77BD4">
        <w:rPr>
          <w:rFonts w:ascii="Times New Roman" w:hAnsi="Times New Roman"/>
          <w:lang w:val="sk"/>
        </w:rPr>
        <w:t> </w:t>
      </w:r>
      <w:r w:rsidRPr="00FB5E36">
        <w:rPr>
          <w:rFonts w:ascii="Times New Roman" w:hAnsi="Times New Roman"/>
          <w:lang w:val="sk"/>
        </w:rPr>
        <w:t>ťažkou poruchou funkcie pečene sa neskúmala.</w:t>
      </w:r>
    </w:p>
    <w:p w14:paraId="4C86DC86" w14:textId="77777777" w:rsidR="00355F50" w:rsidRPr="00F81584" w:rsidRDefault="00355F50" w:rsidP="00FB5E36">
      <w:pPr>
        <w:spacing w:after="0" w:line="240" w:lineRule="auto"/>
        <w:rPr>
          <w:rFonts w:ascii="Times New Roman" w:hAnsi="Times New Roman"/>
          <w:lang w:val="sk"/>
        </w:rPr>
      </w:pPr>
    </w:p>
    <w:p w14:paraId="6CC6DE90"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5.3 Predklinické údaje o bezpečnosti</w:t>
      </w:r>
    </w:p>
    <w:p w14:paraId="24552B02" w14:textId="77777777" w:rsidR="00454E10" w:rsidRDefault="00454E10" w:rsidP="00FB5E36">
      <w:pPr>
        <w:spacing w:after="0" w:line="240" w:lineRule="auto"/>
        <w:rPr>
          <w:rFonts w:ascii="Times New Roman" w:hAnsi="Times New Roman"/>
          <w:lang w:val="sk"/>
        </w:rPr>
      </w:pPr>
    </w:p>
    <w:p w14:paraId="725FA665"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Predklinické údaje získané na základe obvyklých farmakologických štúdií bezpečnosti, toxicity po opakovanom podávaní, genotoxicity, karcinogénneho potenciálu, reprodukčnej toxicity a vývinu neodhalili žiadne osobitné riziko pre ľudí.</w:t>
      </w:r>
    </w:p>
    <w:p w14:paraId="5A7F5325" w14:textId="77777777" w:rsidR="00697D9D" w:rsidRPr="00F81584" w:rsidRDefault="00697D9D" w:rsidP="00FB5E36">
      <w:pPr>
        <w:spacing w:after="0" w:line="240" w:lineRule="auto"/>
        <w:rPr>
          <w:rFonts w:ascii="Times New Roman" w:hAnsi="Times New Roman"/>
          <w:lang w:val="sk"/>
        </w:rPr>
      </w:pPr>
    </w:p>
    <w:p w14:paraId="61A5A65B" w14:textId="77777777" w:rsidR="00454E10" w:rsidRPr="00F81584" w:rsidRDefault="00454E10" w:rsidP="00FB5E36">
      <w:pPr>
        <w:spacing w:after="0" w:line="240" w:lineRule="auto"/>
        <w:rPr>
          <w:rFonts w:ascii="Times New Roman" w:hAnsi="Times New Roman"/>
          <w:lang w:val="sk"/>
        </w:rPr>
      </w:pPr>
    </w:p>
    <w:p w14:paraId="2AEBCAD3"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6. FARMACEUTICKÉ INFORMÁCIE</w:t>
      </w:r>
    </w:p>
    <w:p w14:paraId="32D0CB5B" w14:textId="77777777" w:rsidR="00454E10" w:rsidRDefault="00454E10" w:rsidP="00FB5E36">
      <w:pPr>
        <w:pStyle w:val="Nadpis3"/>
        <w:spacing w:before="0" w:line="240" w:lineRule="auto"/>
        <w:rPr>
          <w:rFonts w:cs="Times New Roman"/>
          <w:lang w:val="sk"/>
        </w:rPr>
      </w:pPr>
    </w:p>
    <w:p w14:paraId="0F163F93"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6.1 Zoznam pomocných látok</w:t>
      </w:r>
    </w:p>
    <w:p w14:paraId="639191E3" w14:textId="77777777" w:rsidR="00454E10" w:rsidRDefault="00454E10" w:rsidP="00FB5E36">
      <w:pPr>
        <w:spacing w:after="0" w:line="240" w:lineRule="auto"/>
        <w:rPr>
          <w:rFonts w:ascii="Times New Roman" w:hAnsi="Times New Roman"/>
          <w:lang w:val="sk"/>
        </w:rPr>
      </w:pPr>
    </w:p>
    <w:p w14:paraId="6296A71A" w14:textId="77777777" w:rsidR="00355F50" w:rsidRPr="00F81584" w:rsidRDefault="00355F50" w:rsidP="00FB5E36">
      <w:pPr>
        <w:spacing w:after="0" w:line="240" w:lineRule="auto"/>
        <w:rPr>
          <w:rFonts w:ascii="Times New Roman" w:hAnsi="Times New Roman"/>
          <w:lang w:val="sk"/>
        </w:rPr>
      </w:pPr>
      <w:r w:rsidRPr="00306422">
        <w:rPr>
          <w:rFonts w:ascii="Times New Roman" w:hAnsi="Times New Roman"/>
          <w:lang w:val="sk"/>
        </w:rPr>
        <w:t>Maltodextrín, glycerol, polysorbá</w:t>
      </w:r>
      <w:r w:rsidR="00940125">
        <w:rPr>
          <w:rFonts w:ascii="Times New Roman" w:hAnsi="Times New Roman"/>
          <w:lang w:val="sk"/>
        </w:rPr>
        <w:t>t</w:t>
      </w:r>
      <w:r w:rsidRPr="00306422">
        <w:rPr>
          <w:rFonts w:ascii="Times New Roman" w:hAnsi="Times New Roman"/>
          <w:lang w:val="sk"/>
        </w:rPr>
        <w:t> 20, propylén glykol monokaprylát, polyvinylacetátová disperzia 30 %, chuť a vôňa citrónu a grapefruitu (</w:t>
      </w:r>
      <w:r w:rsidR="00940125">
        <w:rPr>
          <w:rFonts w:ascii="Times New Roman" w:hAnsi="Times New Roman"/>
          <w:lang w:val="sk"/>
        </w:rPr>
        <w:t>silica</w:t>
      </w:r>
      <w:r w:rsidRPr="00306422">
        <w:rPr>
          <w:rFonts w:ascii="Times New Roman" w:hAnsi="Times New Roman"/>
          <w:lang w:val="sk"/>
        </w:rPr>
        <w:t xml:space="preserve"> citrónu, </w:t>
      </w:r>
      <w:r w:rsidR="00940125">
        <w:rPr>
          <w:rFonts w:ascii="Times New Roman" w:hAnsi="Times New Roman"/>
          <w:lang w:val="sk"/>
        </w:rPr>
        <w:t xml:space="preserve">citral, </w:t>
      </w:r>
      <w:r w:rsidRPr="00306422">
        <w:rPr>
          <w:rFonts w:ascii="Times New Roman" w:hAnsi="Times New Roman"/>
          <w:lang w:val="sk"/>
        </w:rPr>
        <w:t xml:space="preserve">linalool, </w:t>
      </w:r>
      <w:r w:rsidR="00940125">
        <w:rPr>
          <w:rFonts w:ascii="Times New Roman" w:hAnsi="Times New Roman"/>
          <w:lang w:val="sk"/>
        </w:rPr>
        <w:t>silica</w:t>
      </w:r>
      <w:r w:rsidRPr="00306422">
        <w:rPr>
          <w:rFonts w:ascii="Times New Roman" w:hAnsi="Times New Roman"/>
          <w:lang w:val="sk"/>
        </w:rPr>
        <w:t xml:space="preserve"> grapefruitu, </w:t>
      </w:r>
      <w:r w:rsidR="00940125">
        <w:rPr>
          <w:rFonts w:ascii="Times New Roman" w:hAnsi="Times New Roman"/>
          <w:lang w:val="sk"/>
        </w:rPr>
        <w:t>silica</w:t>
      </w:r>
      <w:r w:rsidRPr="00306422">
        <w:rPr>
          <w:rFonts w:ascii="Times New Roman" w:hAnsi="Times New Roman"/>
          <w:lang w:val="sk"/>
        </w:rPr>
        <w:t xml:space="preserve"> pomaranču, nootkat</w:t>
      </w:r>
      <w:r w:rsidR="001D3363">
        <w:rPr>
          <w:rFonts w:ascii="Times New Roman" w:hAnsi="Times New Roman"/>
          <w:lang w:val="sk"/>
        </w:rPr>
        <w:t>ó</w:t>
      </w:r>
      <w:r w:rsidRPr="00306422">
        <w:rPr>
          <w:rFonts w:ascii="Times New Roman" w:hAnsi="Times New Roman"/>
          <w:lang w:val="sk"/>
        </w:rPr>
        <w:t>n, butylovaný hydroxyani</w:t>
      </w:r>
      <w:r w:rsidR="00940125">
        <w:rPr>
          <w:rFonts w:ascii="Times New Roman" w:hAnsi="Times New Roman"/>
          <w:lang w:val="sk"/>
        </w:rPr>
        <w:t>z</w:t>
      </w:r>
      <w:r w:rsidRPr="00306422">
        <w:rPr>
          <w:rFonts w:ascii="Times New Roman" w:hAnsi="Times New Roman"/>
          <w:lang w:val="sk"/>
        </w:rPr>
        <w:t>ol E320, kyselina askorbová E300, maltodextrín, arabská guma E414), sukralóza, dioxid titaničitý, indigotín.</w:t>
      </w:r>
    </w:p>
    <w:p w14:paraId="48957107" w14:textId="77777777" w:rsidR="007E20B5" w:rsidRPr="00F81584" w:rsidRDefault="007E20B5" w:rsidP="00FB5E36">
      <w:pPr>
        <w:spacing w:after="0" w:line="240" w:lineRule="auto"/>
        <w:rPr>
          <w:rFonts w:ascii="Times New Roman" w:hAnsi="Times New Roman"/>
          <w:bCs/>
          <w:lang w:val="sk"/>
        </w:rPr>
      </w:pPr>
    </w:p>
    <w:p w14:paraId="281DF88E"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6.2 Inkompatibility</w:t>
      </w:r>
    </w:p>
    <w:p w14:paraId="20D51F5A" w14:textId="77777777" w:rsidR="00454E10" w:rsidRDefault="00454E10" w:rsidP="00FB5E36">
      <w:pPr>
        <w:spacing w:after="0" w:line="240" w:lineRule="auto"/>
        <w:rPr>
          <w:rFonts w:ascii="Times New Roman" w:hAnsi="Times New Roman"/>
          <w:lang w:val="sk"/>
        </w:rPr>
      </w:pPr>
    </w:p>
    <w:p w14:paraId="2B208947"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t>Neaplikovateľné.</w:t>
      </w:r>
    </w:p>
    <w:p w14:paraId="1A3F2A82" w14:textId="77777777" w:rsidR="00454E10" w:rsidRPr="00454E10" w:rsidRDefault="00454E10" w:rsidP="00FB5E36">
      <w:pPr>
        <w:pStyle w:val="Nadpis3"/>
        <w:spacing w:before="0" w:line="240" w:lineRule="auto"/>
        <w:rPr>
          <w:rFonts w:cs="Times New Roman"/>
          <w:b w:val="0"/>
          <w:lang w:val="sk"/>
        </w:rPr>
      </w:pPr>
    </w:p>
    <w:p w14:paraId="044E7C2C"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6.3 Čas použiteľnosti</w:t>
      </w:r>
    </w:p>
    <w:p w14:paraId="51FE4746" w14:textId="77777777" w:rsidR="00454E10" w:rsidRDefault="00454E10" w:rsidP="00FB5E36">
      <w:pPr>
        <w:spacing w:after="0" w:line="240" w:lineRule="auto"/>
        <w:rPr>
          <w:rFonts w:ascii="Times New Roman" w:hAnsi="Times New Roman"/>
          <w:lang w:val="sk"/>
        </w:rPr>
      </w:pPr>
    </w:p>
    <w:p w14:paraId="2301377A" w14:textId="77777777" w:rsidR="00355F50" w:rsidRDefault="00275493" w:rsidP="00FB5E36">
      <w:pPr>
        <w:spacing w:after="0" w:line="240" w:lineRule="auto"/>
        <w:rPr>
          <w:rFonts w:ascii="Times New Roman" w:hAnsi="Times New Roman"/>
          <w:lang w:val="sk"/>
        </w:rPr>
      </w:pPr>
      <w:r w:rsidRPr="00FB5E36">
        <w:rPr>
          <w:rFonts w:ascii="Times New Roman" w:hAnsi="Times New Roman"/>
          <w:lang w:val="sk"/>
        </w:rPr>
        <w:t>36 mesiacov.</w:t>
      </w:r>
    </w:p>
    <w:p w14:paraId="00B9FE25" w14:textId="77777777" w:rsidR="00454E10" w:rsidRPr="00F81584" w:rsidRDefault="00454E10" w:rsidP="00FB5E36">
      <w:pPr>
        <w:spacing w:after="0" w:line="240" w:lineRule="auto"/>
        <w:rPr>
          <w:rFonts w:ascii="Times New Roman" w:hAnsi="Times New Roman"/>
          <w:lang w:val="sk"/>
        </w:rPr>
      </w:pPr>
    </w:p>
    <w:p w14:paraId="7A57751B"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6.4 Špeciálne upozornenia na uchovávanie</w:t>
      </w:r>
    </w:p>
    <w:p w14:paraId="08347856" w14:textId="77777777" w:rsidR="00454E10" w:rsidRDefault="00454E10" w:rsidP="00FB5E36">
      <w:pPr>
        <w:spacing w:after="0" w:line="240" w:lineRule="auto"/>
        <w:rPr>
          <w:rFonts w:ascii="Times New Roman" w:hAnsi="Times New Roman"/>
          <w:lang w:val="sk"/>
        </w:rPr>
      </w:pPr>
    </w:p>
    <w:p w14:paraId="5FF92D11"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Tento liek nevyžaduje žiadne zvlášt</w:t>
      </w:r>
      <w:r w:rsidR="00454E10">
        <w:rPr>
          <w:rFonts w:ascii="Times New Roman" w:hAnsi="Times New Roman"/>
          <w:lang w:val="sk"/>
        </w:rPr>
        <w:t>ne podmienky na uchovávanie.</w:t>
      </w:r>
    </w:p>
    <w:p w14:paraId="7542DD5C" w14:textId="77777777" w:rsidR="00454E10" w:rsidRPr="00F81584" w:rsidRDefault="00454E10" w:rsidP="00FB5E36">
      <w:pPr>
        <w:spacing w:after="0" w:line="240" w:lineRule="auto"/>
        <w:rPr>
          <w:rFonts w:ascii="Times New Roman" w:hAnsi="Times New Roman"/>
          <w:lang w:val="sk"/>
        </w:rPr>
      </w:pPr>
    </w:p>
    <w:p w14:paraId="2132F9C0" w14:textId="77777777" w:rsidR="00355F50" w:rsidRPr="00F81584" w:rsidRDefault="00355F50" w:rsidP="00FB5E36">
      <w:pPr>
        <w:spacing w:after="0" w:line="240" w:lineRule="auto"/>
        <w:rPr>
          <w:rFonts w:ascii="Times New Roman" w:hAnsi="Times New Roman"/>
          <w:lang w:val="sk"/>
        </w:rPr>
      </w:pPr>
      <w:r w:rsidRPr="00FB5E36">
        <w:rPr>
          <w:rFonts w:ascii="Times New Roman" w:hAnsi="Times New Roman"/>
          <w:lang w:val="sk"/>
        </w:rPr>
        <w:lastRenderedPageBreak/>
        <w:t>Uchovávajte v pôvodnom obale</w:t>
      </w:r>
      <w:r w:rsidR="00F52DF1">
        <w:rPr>
          <w:rFonts w:ascii="Times New Roman" w:hAnsi="Times New Roman"/>
          <w:lang w:val="sk"/>
        </w:rPr>
        <w:t xml:space="preserve"> na ochranu pred vlhkosťou</w:t>
      </w:r>
      <w:r w:rsidRPr="00FB5E36">
        <w:rPr>
          <w:rFonts w:ascii="Times New Roman" w:hAnsi="Times New Roman"/>
          <w:lang w:val="sk"/>
        </w:rPr>
        <w:t>.</w:t>
      </w:r>
    </w:p>
    <w:p w14:paraId="3BA400CF" w14:textId="77777777" w:rsidR="00697D9D" w:rsidRPr="00F81584" w:rsidRDefault="00697D9D" w:rsidP="00FB5E36">
      <w:pPr>
        <w:spacing w:after="0" w:line="240" w:lineRule="auto"/>
        <w:rPr>
          <w:rFonts w:ascii="Times New Roman" w:hAnsi="Times New Roman"/>
          <w:b/>
          <w:bCs/>
          <w:lang w:val="sk"/>
        </w:rPr>
      </w:pPr>
    </w:p>
    <w:p w14:paraId="1DBFD8AC" w14:textId="77777777" w:rsidR="00355F50" w:rsidRPr="00F81584" w:rsidRDefault="00355F50" w:rsidP="00FB5E36">
      <w:pPr>
        <w:pStyle w:val="Nadpis3"/>
        <w:spacing w:before="0" w:line="240" w:lineRule="auto"/>
        <w:rPr>
          <w:rFonts w:cs="Times New Roman"/>
          <w:lang w:val="sk"/>
        </w:rPr>
      </w:pPr>
      <w:r w:rsidRPr="00FB5E36">
        <w:rPr>
          <w:rFonts w:cs="Times New Roman"/>
          <w:lang w:val="sk"/>
        </w:rPr>
        <w:t>6.5 Druh obalu a obsah balenia</w:t>
      </w:r>
    </w:p>
    <w:p w14:paraId="63E7FF4C" w14:textId="77777777" w:rsidR="00454E10" w:rsidRDefault="00454E10" w:rsidP="00FB5E36">
      <w:pPr>
        <w:spacing w:after="0" w:line="240" w:lineRule="auto"/>
        <w:rPr>
          <w:rFonts w:ascii="Times New Roman" w:hAnsi="Times New Roman"/>
          <w:lang w:val="sk"/>
        </w:rPr>
      </w:pPr>
    </w:p>
    <w:p w14:paraId="5639E505"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Každý orodispergovateľný film je zabalený v laminátovom</w:t>
      </w:r>
      <w:r w:rsidR="00230B57" w:rsidRPr="00FB5E36">
        <w:rPr>
          <w:rFonts w:ascii="Times New Roman" w:hAnsi="Times New Roman"/>
          <w:lang w:val="sk"/>
        </w:rPr>
        <w:t xml:space="preserve"> </w:t>
      </w:r>
      <w:r w:rsidR="00F52DF1">
        <w:rPr>
          <w:rFonts w:ascii="Times New Roman" w:hAnsi="Times New Roman"/>
          <w:lang w:val="sk"/>
        </w:rPr>
        <w:t>vrec</w:t>
      </w:r>
      <w:r w:rsidR="00230B57" w:rsidRPr="00FB5E36">
        <w:rPr>
          <w:rFonts w:ascii="Times New Roman" w:hAnsi="Times New Roman"/>
          <w:lang w:val="sk"/>
        </w:rPr>
        <w:t>ku z PET vytlačovanej fólie</w:t>
      </w:r>
    </w:p>
    <w:p w14:paraId="0613C590" w14:textId="77777777" w:rsidR="00454E10" w:rsidRPr="00F81584" w:rsidRDefault="00454E10" w:rsidP="00FB5E36">
      <w:pPr>
        <w:spacing w:after="0" w:line="240" w:lineRule="auto"/>
        <w:rPr>
          <w:rFonts w:ascii="Times New Roman" w:hAnsi="Times New Roman"/>
          <w:lang w:val="sk"/>
        </w:rPr>
      </w:pPr>
    </w:p>
    <w:p w14:paraId="3F8EE97F" w14:textId="77777777" w:rsidR="00355F50" w:rsidRDefault="00355F50" w:rsidP="00FB5E36">
      <w:pPr>
        <w:spacing w:after="0" w:line="240" w:lineRule="auto"/>
        <w:rPr>
          <w:rFonts w:ascii="Times New Roman" w:hAnsi="Times New Roman"/>
          <w:lang w:val="sk"/>
        </w:rPr>
      </w:pPr>
      <w:r w:rsidRPr="00FB5E36">
        <w:rPr>
          <w:rFonts w:ascii="Times New Roman" w:hAnsi="Times New Roman"/>
          <w:lang w:val="sk"/>
        </w:rPr>
        <w:t>Balenia o veľkosti 2, 4, 8 alebo 12 orodispergovateľných filmov.</w:t>
      </w:r>
    </w:p>
    <w:p w14:paraId="68A09236" w14:textId="77777777" w:rsidR="00454E10" w:rsidRPr="00FB5E36" w:rsidRDefault="00454E10" w:rsidP="00FB5E36">
      <w:pPr>
        <w:spacing w:after="0" w:line="240" w:lineRule="auto"/>
        <w:rPr>
          <w:rFonts w:ascii="Times New Roman" w:hAnsi="Times New Roman"/>
        </w:rPr>
      </w:pPr>
    </w:p>
    <w:p w14:paraId="73162317" w14:textId="77777777" w:rsidR="00355F50" w:rsidRPr="00FB5E36" w:rsidRDefault="00355F50" w:rsidP="00FB5E36">
      <w:pPr>
        <w:spacing w:after="0" w:line="240" w:lineRule="auto"/>
        <w:rPr>
          <w:rFonts w:ascii="Times New Roman" w:hAnsi="Times New Roman"/>
        </w:rPr>
      </w:pPr>
      <w:r w:rsidRPr="00FB5E36">
        <w:rPr>
          <w:rFonts w:ascii="Times New Roman" w:hAnsi="Times New Roman"/>
          <w:lang w:val="sk"/>
        </w:rPr>
        <w:t>Na trh nemusia byť uvedené všetky veľkosti balenia.</w:t>
      </w:r>
    </w:p>
    <w:p w14:paraId="334D24C3" w14:textId="77777777" w:rsidR="00697D9D" w:rsidRPr="00FB5E36" w:rsidRDefault="00697D9D" w:rsidP="00FB5E36">
      <w:pPr>
        <w:spacing w:after="0" w:line="240" w:lineRule="auto"/>
        <w:rPr>
          <w:rFonts w:ascii="Times New Roman" w:hAnsi="Times New Roman"/>
          <w:b/>
          <w:bCs/>
        </w:rPr>
      </w:pPr>
    </w:p>
    <w:p w14:paraId="31882CF9" w14:textId="77777777" w:rsidR="00355F50" w:rsidRPr="00FB5E36" w:rsidRDefault="00355F50" w:rsidP="00FB5E36">
      <w:pPr>
        <w:pStyle w:val="Nadpis3"/>
        <w:spacing w:before="0" w:line="240" w:lineRule="auto"/>
        <w:rPr>
          <w:rFonts w:cs="Times New Roman"/>
        </w:rPr>
      </w:pPr>
      <w:r w:rsidRPr="00FB5E36">
        <w:rPr>
          <w:rFonts w:cs="Times New Roman"/>
          <w:lang w:val="sk"/>
        </w:rPr>
        <w:t>6.6 Špeciálne opatrenia na likvidáciu a iné zaobchádzanie s liekom</w:t>
      </w:r>
    </w:p>
    <w:p w14:paraId="50322805" w14:textId="77777777" w:rsidR="00454E10" w:rsidRDefault="00454E10" w:rsidP="00FB5E36">
      <w:pPr>
        <w:spacing w:after="0" w:line="240" w:lineRule="auto"/>
        <w:rPr>
          <w:rFonts w:ascii="Times New Roman" w:hAnsi="Times New Roman"/>
          <w:lang w:val="sk"/>
        </w:rPr>
      </w:pPr>
    </w:p>
    <w:p w14:paraId="2F36204F" w14:textId="77777777" w:rsidR="00355F50" w:rsidRPr="00F81584" w:rsidRDefault="00A75C43" w:rsidP="00FB5E36">
      <w:pPr>
        <w:spacing w:after="0" w:line="240" w:lineRule="auto"/>
        <w:rPr>
          <w:rFonts w:ascii="Times New Roman" w:hAnsi="Times New Roman"/>
          <w:lang w:val="sk"/>
        </w:rPr>
      </w:pPr>
      <w:r w:rsidRPr="00FB5E36">
        <w:rPr>
          <w:rFonts w:ascii="Times New Roman" w:hAnsi="Times New Roman"/>
          <w:lang w:val="sk"/>
        </w:rPr>
        <w:t>Všetok nepoužitý liek alebo odpad vzniknutý z lieku sa má zlikvidovať v súlade s národnými požiadavkami.</w:t>
      </w:r>
    </w:p>
    <w:p w14:paraId="4A823E08" w14:textId="77777777" w:rsidR="00DB0005" w:rsidRPr="00F81584" w:rsidRDefault="00DB0005" w:rsidP="00FB5E36">
      <w:pPr>
        <w:spacing w:after="0" w:line="240" w:lineRule="auto"/>
        <w:rPr>
          <w:rFonts w:ascii="Times New Roman" w:hAnsi="Times New Roman"/>
          <w:b/>
          <w:bCs/>
          <w:lang w:val="sk"/>
        </w:rPr>
      </w:pPr>
    </w:p>
    <w:p w14:paraId="01928FC1" w14:textId="77777777" w:rsidR="00454E10" w:rsidRPr="00F81584" w:rsidRDefault="00454E10" w:rsidP="00FB5E36">
      <w:pPr>
        <w:spacing w:after="0" w:line="240" w:lineRule="auto"/>
        <w:rPr>
          <w:rFonts w:ascii="Times New Roman" w:hAnsi="Times New Roman"/>
          <w:b/>
          <w:bCs/>
          <w:lang w:val="sk"/>
        </w:rPr>
      </w:pPr>
    </w:p>
    <w:p w14:paraId="6EA1803B" w14:textId="77777777" w:rsidR="00FA21EB" w:rsidRPr="00F81584" w:rsidRDefault="00FA21EB" w:rsidP="00FB5E36">
      <w:pPr>
        <w:pStyle w:val="Nadpis2"/>
        <w:spacing w:before="0" w:line="240" w:lineRule="auto"/>
        <w:rPr>
          <w:rFonts w:cs="Times New Roman"/>
          <w:szCs w:val="22"/>
          <w:lang w:val="sk"/>
        </w:rPr>
      </w:pPr>
      <w:r w:rsidRPr="00FB5E36">
        <w:rPr>
          <w:rFonts w:cs="Times New Roman"/>
          <w:szCs w:val="22"/>
          <w:lang w:val="sk"/>
        </w:rPr>
        <w:t>7. DRŽITEĽ ROZHODNUTIA O REGISTRÁCII</w:t>
      </w:r>
    </w:p>
    <w:p w14:paraId="44C13C37" w14:textId="77777777" w:rsidR="00454E10" w:rsidRDefault="00454E10" w:rsidP="00FB5E36">
      <w:pPr>
        <w:spacing w:after="0" w:line="240" w:lineRule="auto"/>
        <w:rPr>
          <w:rFonts w:ascii="Times New Roman" w:hAnsi="Times New Roman"/>
          <w:i/>
          <w:iCs/>
          <w:lang w:val="sk"/>
        </w:rPr>
      </w:pPr>
    </w:p>
    <w:p w14:paraId="43ED4444" w14:textId="3991889A" w:rsidR="0080063F" w:rsidRDefault="00F81584" w:rsidP="00F81584">
      <w:pPr>
        <w:spacing w:after="0" w:line="240" w:lineRule="auto"/>
        <w:rPr>
          <w:rFonts w:ascii="Times New Roman" w:hAnsi="Times New Roman"/>
          <w:iCs/>
          <w:lang w:val="sk"/>
        </w:rPr>
      </w:pPr>
      <w:r w:rsidRPr="00F81584">
        <w:rPr>
          <w:rFonts w:ascii="Times New Roman" w:hAnsi="Times New Roman"/>
          <w:iCs/>
          <w:lang w:val="sk"/>
        </w:rPr>
        <w:t>IBSA Slovakia s</w:t>
      </w:r>
      <w:r w:rsidR="006045F7">
        <w:rPr>
          <w:rFonts w:ascii="Times New Roman" w:hAnsi="Times New Roman"/>
          <w:iCs/>
          <w:lang w:val="sk"/>
        </w:rPr>
        <w:t>.</w:t>
      </w:r>
      <w:r w:rsidRPr="00F81584">
        <w:rPr>
          <w:rFonts w:ascii="Times New Roman" w:hAnsi="Times New Roman"/>
          <w:iCs/>
          <w:lang w:val="sk"/>
        </w:rPr>
        <w:t>r</w:t>
      </w:r>
      <w:r w:rsidR="006045F7">
        <w:rPr>
          <w:rFonts w:ascii="Times New Roman" w:hAnsi="Times New Roman"/>
          <w:iCs/>
          <w:lang w:val="sk"/>
        </w:rPr>
        <w:t>.</w:t>
      </w:r>
      <w:r w:rsidRPr="00F81584">
        <w:rPr>
          <w:rFonts w:ascii="Times New Roman" w:hAnsi="Times New Roman"/>
          <w:iCs/>
          <w:lang w:val="sk"/>
        </w:rPr>
        <w:t>o</w:t>
      </w:r>
      <w:r w:rsidR="006045F7">
        <w:rPr>
          <w:rFonts w:ascii="Times New Roman" w:hAnsi="Times New Roman"/>
          <w:iCs/>
          <w:lang w:val="sk"/>
        </w:rPr>
        <w:t>.</w:t>
      </w:r>
      <w:r w:rsidRPr="00F81584">
        <w:rPr>
          <w:rFonts w:ascii="Times New Roman" w:hAnsi="Times New Roman"/>
          <w:iCs/>
          <w:lang w:val="sk"/>
        </w:rPr>
        <w:t xml:space="preserve"> </w:t>
      </w:r>
    </w:p>
    <w:p w14:paraId="7A04DAD3" w14:textId="1F324D65" w:rsidR="00454E10" w:rsidRPr="00F81584" w:rsidRDefault="00F81584" w:rsidP="00F81584">
      <w:pPr>
        <w:spacing w:after="0" w:line="240" w:lineRule="auto"/>
        <w:rPr>
          <w:rFonts w:ascii="Times New Roman" w:hAnsi="Times New Roman"/>
          <w:iCs/>
          <w:lang w:val="it-IT"/>
        </w:rPr>
      </w:pPr>
      <w:r w:rsidRPr="00F81584">
        <w:rPr>
          <w:rFonts w:ascii="Times New Roman" w:hAnsi="Times New Roman"/>
          <w:iCs/>
          <w:lang w:val="sk"/>
        </w:rPr>
        <w:t>Mýtna 42</w:t>
      </w:r>
      <w:r w:rsidR="006045F7">
        <w:rPr>
          <w:rFonts w:ascii="Times New Roman" w:hAnsi="Times New Roman"/>
          <w:iCs/>
          <w:lang w:val="sk"/>
        </w:rPr>
        <w:t>,</w:t>
      </w:r>
      <w:r w:rsidR="0080063F">
        <w:rPr>
          <w:rFonts w:ascii="Times New Roman" w:hAnsi="Times New Roman"/>
          <w:iCs/>
          <w:lang w:val="sk"/>
        </w:rPr>
        <w:t xml:space="preserve"> </w:t>
      </w:r>
      <w:r w:rsidRPr="00F81584">
        <w:rPr>
          <w:rFonts w:ascii="Times New Roman" w:hAnsi="Times New Roman"/>
          <w:iCs/>
          <w:lang w:val="sk"/>
        </w:rPr>
        <w:t>811 0</w:t>
      </w:r>
      <w:r w:rsidR="006045F7">
        <w:rPr>
          <w:rFonts w:ascii="Times New Roman" w:hAnsi="Times New Roman"/>
          <w:iCs/>
          <w:lang w:val="sk"/>
        </w:rPr>
        <w:t>5</w:t>
      </w:r>
      <w:r w:rsidRPr="00F81584">
        <w:rPr>
          <w:rFonts w:ascii="Times New Roman" w:hAnsi="Times New Roman"/>
          <w:iCs/>
          <w:lang w:val="sk"/>
        </w:rPr>
        <w:t xml:space="preserve"> Bratislava, Slovensko</w:t>
      </w:r>
    </w:p>
    <w:p w14:paraId="274BBCA0" w14:textId="77777777" w:rsidR="00454E10" w:rsidRDefault="00454E10" w:rsidP="00FB5E36">
      <w:pPr>
        <w:spacing w:after="0" w:line="240" w:lineRule="auto"/>
        <w:rPr>
          <w:rFonts w:ascii="Times New Roman" w:hAnsi="Times New Roman"/>
          <w:i/>
          <w:lang w:val="sk"/>
        </w:rPr>
      </w:pPr>
    </w:p>
    <w:p w14:paraId="1F90163A" w14:textId="77777777" w:rsidR="00CC07BC" w:rsidRPr="00F81584" w:rsidRDefault="00CC07BC" w:rsidP="00FB5E36">
      <w:pPr>
        <w:spacing w:after="0" w:line="240" w:lineRule="auto"/>
        <w:rPr>
          <w:rFonts w:ascii="Times New Roman" w:hAnsi="Times New Roman"/>
          <w:i/>
          <w:lang w:val="sk"/>
        </w:rPr>
      </w:pPr>
    </w:p>
    <w:p w14:paraId="75B16936" w14:textId="77777777" w:rsidR="00355F50" w:rsidRPr="00F81584" w:rsidRDefault="00355F50" w:rsidP="00FB5E36">
      <w:pPr>
        <w:pStyle w:val="Nadpis2"/>
        <w:spacing w:before="0" w:line="240" w:lineRule="auto"/>
        <w:rPr>
          <w:rFonts w:cs="Times New Roman"/>
          <w:szCs w:val="22"/>
          <w:lang w:val="sk"/>
        </w:rPr>
      </w:pPr>
      <w:r w:rsidRPr="00FB5E36">
        <w:rPr>
          <w:rFonts w:cs="Times New Roman"/>
          <w:szCs w:val="22"/>
          <w:lang w:val="sk"/>
        </w:rPr>
        <w:t>8. REGISTRAČNÉ ČÍSLO (ČÍSLA)</w:t>
      </w:r>
    </w:p>
    <w:p w14:paraId="321E3B06" w14:textId="77777777" w:rsidR="00454E10" w:rsidRDefault="00454E10" w:rsidP="00FB5E36">
      <w:pPr>
        <w:spacing w:after="0" w:line="240" w:lineRule="auto"/>
        <w:rPr>
          <w:rFonts w:ascii="Times New Roman" w:hAnsi="Times New Roman"/>
          <w:i/>
          <w:iCs/>
          <w:lang w:val="sk"/>
        </w:rPr>
      </w:pPr>
    </w:p>
    <w:p w14:paraId="4CCB1924" w14:textId="2CD7F8F0" w:rsidR="00CC07BC" w:rsidRPr="00F81584" w:rsidRDefault="00CC07BC" w:rsidP="00CC07BC">
      <w:pPr>
        <w:spacing w:after="0" w:line="240" w:lineRule="auto"/>
        <w:rPr>
          <w:rFonts w:ascii="Times New Roman" w:hAnsi="Times New Roman"/>
          <w:lang w:val="sk"/>
        </w:rPr>
      </w:pPr>
      <w:r>
        <w:rPr>
          <w:rFonts w:ascii="Times New Roman" w:hAnsi="Times New Roman"/>
          <w:lang w:val="sk"/>
        </w:rPr>
        <w:t>SIL</w:t>
      </w:r>
      <w:r w:rsidR="00C77BD4">
        <w:rPr>
          <w:rFonts w:ascii="Times New Roman" w:hAnsi="Times New Roman"/>
          <w:lang w:val="sk"/>
        </w:rPr>
        <w:t>ANDYL</w:t>
      </w:r>
      <w:r w:rsidRPr="00FB5E36">
        <w:rPr>
          <w:rFonts w:ascii="Times New Roman" w:hAnsi="Times New Roman"/>
          <w:lang w:val="sk"/>
        </w:rPr>
        <w:t xml:space="preserve"> 25 mg </w:t>
      </w:r>
      <w:proofErr w:type="spellStart"/>
      <w:r w:rsidRPr="00FB5E36">
        <w:rPr>
          <w:rFonts w:ascii="Times New Roman" w:hAnsi="Times New Roman"/>
          <w:lang w:val="sk"/>
        </w:rPr>
        <w:t>orodispergovateľný</w:t>
      </w:r>
      <w:proofErr w:type="spellEnd"/>
      <w:r w:rsidRPr="00FB5E36">
        <w:rPr>
          <w:rFonts w:ascii="Times New Roman" w:hAnsi="Times New Roman"/>
          <w:lang w:val="sk"/>
        </w:rPr>
        <w:t xml:space="preserve"> film</w:t>
      </w:r>
      <w:r w:rsidR="009F202B">
        <w:rPr>
          <w:rFonts w:ascii="Times New Roman" w:hAnsi="Times New Roman"/>
          <w:lang w:val="sk"/>
        </w:rPr>
        <w:t>:</w:t>
      </w:r>
      <w:r w:rsidR="009F202B" w:rsidRPr="009F202B">
        <w:t xml:space="preserve"> </w:t>
      </w:r>
      <w:r w:rsidR="009F202B" w:rsidRPr="009F202B">
        <w:rPr>
          <w:rFonts w:ascii="Times New Roman" w:hAnsi="Times New Roman"/>
          <w:lang w:val="sk"/>
        </w:rPr>
        <w:t>83/0373/16-S</w:t>
      </w:r>
    </w:p>
    <w:p w14:paraId="26904A41" w14:textId="7475D9D0" w:rsidR="00CC07BC" w:rsidRPr="00CC07BC" w:rsidRDefault="00CC07BC" w:rsidP="00CC07BC">
      <w:pPr>
        <w:spacing w:after="0" w:line="240" w:lineRule="auto"/>
        <w:rPr>
          <w:rFonts w:ascii="Times New Roman" w:hAnsi="Times New Roman"/>
          <w:lang w:val="sk"/>
        </w:rPr>
      </w:pPr>
      <w:r w:rsidRPr="00CC07BC">
        <w:rPr>
          <w:rFonts w:ascii="Times New Roman" w:hAnsi="Times New Roman"/>
          <w:lang w:val="sk"/>
        </w:rPr>
        <w:t>SIL</w:t>
      </w:r>
      <w:r w:rsidR="00C77BD4">
        <w:rPr>
          <w:rFonts w:ascii="Times New Roman" w:hAnsi="Times New Roman"/>
          <w:lang w:val="sk"/>
        </w:rPr>
        <w:t>ANDYL</w:t>
      </w:r>
      <w:r w:rsidRPr="00CC07BC">
        <w:rPr>
          <w:rFonts w:ascii="Times New Roman" w:hAnsi="Times New Roman"/>
          <w:lang w:val="sk"/>
        </w:rPr>
        <w:t xml:space="preserve"> 50 mg </w:t>
      </w:r>
      <w:proofErr w:type="spellStart"/>
      <w:r w:rsidRPr="00CC07BC">
        <w:rPr>
          <w:rFonts w:ascii="Times New Roman" w:hAnsi="Times New Roman"/>
          <w:lang w:val="sk"/>
        </w:rPr>
        <w:t>orodispergovateľný</w:t>
      </w:r>
      <w:proofErr w:type="spellEnd"/>
      <w:r w:rsidRPr="00CC07BC">
        <w:rPr>
          <w:rFonts w:ascii="Times New Roman" w:hAnsi="Times New Roman"/>
          <w:lang w:val="sk"/>
        </w:rPr>
        <w:t xml:space="preserve"> film</w:t>
      </w:r>
      <w:r w:rsidR="009F202B">
        <w:rPr>
          <w:rFonts w:ascii="Times New Roman" w:hAnsi="Times New Roman"/>
          <w:lang w:val="sk"/>
        </w:rPr>
        <w:t>:</w:t>
      </w:r>
      <w:r w:rsidR="009F202B" w:rsidRPr="009F202B">
        <w:t xml:space="preserve"> </w:t>
      </w:r>
      <w:r w:rsidR="009F202B">
        <w:rPr>
          <w:rFonts w:ascii="Times New Roman" w:hAnsi="Times New Roman"/>
          <w:lang w:val="sk"/>
        </w:rPr>
        <w:t>83/0374</w:t>
      </w:r>
      <w:r w:rsidR="009F202B" w:rsidRPr="009F202B">
        <w:rPr>
          <w:rFonts w:ascii="Times New Roman" w:hAnsi="Times New Roman"/>
          <w:lang w:val="sk"/>
        </w:rPr>
        <w:t>/16-S</w:t>
      </w:r>
    </w:p>
    <w:p w14:paraId="087D60BB" w14:textId="6831FD77" w:rsidR="00CC07BC" w:rsidRPr="00CC07BC" w:rsidRDefault="00CC07BC" w:rsidP="00CC07BC">
      <w:pPr>
        <w:spacing w:after="0" w:line="240" w:lineRule="auto"/>
        <w:rPr>
          <w:rFonts w:ascii="Times New Roman" w:hAnsi="Times New Roman"/>
          <w:lang w:val="sk"/>
        </w:rPr>
      </w:pPr>
      <w:r w:rsidRPr="00CC07BC">
        <w:rPr>
          <w:rFonts w:ascii="Times New Roman" w:hAnsi="Times New Roman"/>
          <w:lang w:val="sk"/>
        </w:rPr>
        <w:t>SIL</w:t>
      </w:r>
      <w:r w:rsidR="00C77BD4">
        <w:rPr>
          <w:rFonts w:ascii="Times New Roman" w:hAnsi="Times New Roman"/>
          <w:lang w:val="sk"/>
        </w:rPr>
        <w:t>ANDYL</w:t>
      </w:r>
      <w:r w:rsidRPr="00CC07BC">
        <w:rPr>
          <w:rFonts w:ascii="Times New Roman" w:hAnsi="Times New Roman"/>
          <w:lang w:val="sk"/>
        </w:rPr>
        <w:t xml:space="preserve"> 75 mg </w:t>
      </w:r>
      <w:proofErr w:type="spellStart"/>
      <w:r w:rsidRPr="00CC07BC">
        <w:rPr>
          <w:rFonts w:ascii="Times New Roman" w:hAnsi="Times New Roman"/>
          <w:lang w:val="sk"/>
        </w:rPr>
        <w:t>orodispergovateľný</w:t>
      </w:r>
      <w:proofErr w:type="spellEnd"/>
      <w:r w:rsidRPr="00CC07BC">
        <w:rPr>
          <w:rFonts w:ascii="Times New Roman" w:hAnsi="Times New Roman"/>
          <w:lang w:val="sk"/>
        </w:rPr>
        <w:t xml:space="preserve"> film</w:t>
      </w:r>
      <w:r w:rsidR="009F202B">
        <w:rPr>
          <w:rFonts w:ascii="Times New Roman" w:hAnsi="Times New Roman"/>
          <w:lang w:val="sk"/>
        </w:rPr>
        <w:t>:</w:t>
      </w:r>
      <w:r w:rsidR="009F202B" w:rsidRPr="009F202B">
        <w:t xml:space="preserve"> </w:t>
      </w:r>
      <w:r w:rsidR="009F202B">
        <w:rPr>
          <w:rFonts w:ascii="Times New Roman" w:hAnsi="Times New Roman"/>
          <w:lang w:val="sk"/>
        </w:rPr>
        <w:t>83/0375</w:t>
      </w:r>
      <w:r w:rsidR="009F202B" w:rsidRPr="009F202B">
        <w:rPr>
          <w:rFonts w:ascii="Times New Roman" w:hAnsi="Times New Roman"/>
          <w:lang w:val="sk"/>
        </w:rPr>
        <w:t>/16-S</w:t>
      </w:r>
    </w:p>
    <w:p w14:paraId="4CF4937D" w14:textId="60D5B6A3" w:rsidR="00CC07BC" w:rsidRPr="00F81584" w:rsidRDefault="00CC07BC" w:rsidP="00CC07BC">
      <w:pPr>
        <w:spacing w:after="0" w:line="240" w:lineRule="auto"/>
        <w:rPr>
          <w:rFonts w:ascii="Times New Roman" w:hAnsi="Times New Roman"/>
          <w:lang w:val="sk"/>
        </w:rPr>
      </w:pPr>
      <w:r w:rsidRPr="00CC07BC">
        <w:rPr>
          <w:rFonts w:ascii="Times New Roman" w:hAnsi="Times New Roman"/>
          <w:lang w:val="sk"/>
        </w:rPr>
        <w:t>SIL</w:t>
      </w:r>
      <w:r w:rsidR="00C77BD4">
        <w:rPr>
          <w:rFonts w:ascii="Times New Roman" w:hAnsi="Times New Roman"/>
          <w:lang w:val="sk"/>
        </w:rPr>
        <w:t>ANDYL</w:t>
      </w:r>
      <w:r w:rsidRPr="00CC07BC">
        <w:rPr>
          <w:rFonts w:ascii="Times New Roman" w:hAnsi="Times New Roman"/>
          <w:lang w:val="sk"/>
        </w:rPr>
        <w:t xml:space="preserve"> 100 mg </w:t>
      </w:r>
      <w:proofErr w:type="spellStart"/>
      <w:r w:rsidRPr="00CC07BC">
        <w:rPr>
          <w:rFonts w:ascii="Times New Roman" w:hAnsi="Times New Roman"/>
          <w:lang w:val="sk"/>
        </w:rPr>
        <w:t>orodispergovateľný</w:t>
      </w:r>
      <w:proofErr w:type="spellEnd"/>
      <w:r w:rsidRPr="00CC07BC">
        <w:rPr>
          <w:rFonts w:ascii="Times New Roman" w:hAnsi="Times New Roman"/>
          <w:lang w:val="sk"/>
        </w:rPr>
        <w:t xml:space="preserve"> film</w:t>
      </w:r>
      <w:r w:rsidR="009F202B">
        <w:rPr>
          <w:rFonts w:ascii="Times New Roman" w:hAnsi="Times New Roman"/>
          <w:lang w:val="sk"/>
        </w:rPr>
        <w:t>:</w:t>
      </w:r>
      <w:r w:rsidR="009F202B" w:rsidRPr="009F202B">
        <w:t xml:space="preserve"> </w:t>
      </w:r>
      <w:r w:rsidR="009F202B">
        <w:rPr>
          <w:rFonts w:ascii="Times New Roman" w:hAnsi="Times New Roman"/>
          <w:lang w:val="sk"/>
        </w:rPr>
        <w:t>83/0376</w:t>
      </w:r>
      <w:r w:rsidR="009F202B" w:rsidRPr="009F202B">
        <w:rPr>
          <w:rFonts w:ascii="Times New Roman" w:hAnsi="Times New Roman"/>
          <w:lang w:val="sk"/>
        </w:rPr>
        <w:t>/16-S</w:t>
      </w:r>
    </w:p>
    <w:p w14:paraId="5DCB0D08" w14:textId="77777777" w:rsidR="00454E10" w:rsidRDefault="00CC07BC" w:rsidP="00FB5E36">
      <w:pPr>
        <w:spacing w:after="0" w:line="240" w:lineRule="auto"/>
        <w:rPr>
          <w:rFonts w:ascii="Times New Roman" w:hAnsi="Times New Roman"/>
          <w:i/>
          <w:iCs/>
          <w:lang w:val="sk"/>
        </w:rPr>
      </w:pPr>
      <w:r w:rsidRPr="00FB5E36" w:rsidDel="00CC07BC">
        <w:rPr>
          <w:rFonts w:ascii="Times New Roman" w:hAnsi="Times New Roman"/>
          <w:i/>
          <w:iCs/>
          <w:lang w:val="sk"/>
        </w:rPr>
        <w:t xml:space="preserve"> </w:t>
      </w:r>
    </w:p>
    <w:p w14:paraId="51BFD7F4" w14:textId="77777777" w:rsidR="00454E10" w:rsidRPr="00F81584" w:rsidRDefault="00454E10" w:rsidP="00FB5E36">
      <w:pPr>
        <w:spacing w:after="0" w:line="240" w:lineRule="auto"/>
        <w:rPr>
          <w:rFonts w:ascii="Times New Roman" w:hAnsi="Times New Roman"/>
          <w:i/>
          <w:lang w:val="sk"/>
        </w:rPr>
      </w:pPr>
    </w:p>
    <w:p w14:paraId="47CC82A2" w14:textId="77777777" w:rsidR="00355F50" w:rsidRPr="00FB5E36" w:rsidRDefault="00355F50" w:rsidP="00FB5E36">
      <w:pPr>
        <w:pStyle w:val="Nadpis2"/>
        <w:spacing w:before="0" w:line="240" w:lineRule="auto"/>
        <w:rPr>
          <w:rFonts w:cs="Times New Roman"/>
          <w:szCs w:val="22"/>
        </w:rPr>
      </w:pPr>
      <w:r w:rsidRPr="00FB5E36">
        <w:rPr>
          <w:rFonts w:cs="Times New Roman"/>
          <w:szCs w:val="22"/>
          <w:lang w:val="sk"/>
        </w:rPr>
        <w:t>9. DÁTUM PRVEJ REGISTRÁCIE/PREDĹŽENIA REGISTRÁCIE</w:t>
      </w:r>
    </w:p>
    <w:p w14:paraId="0BBC5646" w14:textId="77777777" w:rsidR="00454E10" w:rsidRDefault="00454E10" w:rsidP="00FB5E36">
      <w:pPr>
        <w:spacing w:after="0" w:line="240" w:lineRule="auto"/>
        <w:rPr>
          <w:rFonts w:ascii="Times New Roman" w:hAnsi="Times New Roman"/>
          <w:i/>
          <w:iCs/>
          <w:lang w:val="sk"/>
        </w:rPr>
      </w:pPr>
    </w:p>
    <w:p w14:paraId="5346719A" w14:textId="5EB9AD44" w:rsidR="00454E10" w:rsidRPr="003D6E6E" w:rsidRDefault="00967945" w:rsidP="00FB5E36">
      <w:pPr>
        <w:spacing w:after="0" w:line="240" w:lineRule="auto"/>
        <w:rPr>
          <w:rFonts w:ascii="Times New Roman" w:hAnsi="Times New Roman"/>
          <w:iCs/>
          <w:lang w:val="sk"/>
        </w:rPr>
      </w:pPr>
      <w:r w:rsidRPr="003D6E6E">
        <w:rPr>
          <w:rFonts w:ascii="Times New Roman" w:hAnsi="Times New Roman"/>
          <w:iCs/>
          <w:lang w:val="sk"/>
        </w:rPr>
        <w:t>Dátum prvej registrácie: 08. augusta 2016</w:t>
      </w:r>
    </w:p>
    <w:p w14:paraId="5081074C" w14:textId="77777777" w:rsidR="00454E10" w:rsidRDefault="00454E10" w:rsidP="00FB5E36">
      <w:pPr>
        <w:spacing w:after="0" w:line="240" w:lineRule="auto"/>
        <w:rPr>
          <w:rFonts w:ascii="Times New Roman" w:hAnsi="Times New Roman"/>
          <w:bCs/>
          <w:i/>
        </w:rPr>
      </w:pPr>
    </w:p>
    <w:p w14:paraId="1438F3BB" w14:textId="77777777" w:rsidR="00967945" w:rsidRPr="00FB5E36" w:rsidRDefault="00967945" w:rsidP="00FB5E36">
      <w:pPr>
        <w:spacing w:after="0" w:line="240" w:lineRule="auto"/>
        <w:rPr>
          <w:rFonts w:ascii="Times New Roman" w:hAnsi="Times New Roman"/>
          <w:bCs/>
          <w:i/>
        </w:rPr>
      </w:pPr>
    </w:p>
    <w:p w14:paraId="0101CD19" w14:textId="77777777" w:rsidR="00355F50" w:rsidRPr="00F81584" w:rsidRDefault="00355F50" w:rsidP="00FB5E36">
      <w:pPr>
        <w:pStyle w:val="Nadpis2"/>
        <w:spacing w:before="0" w:line="240" w:lineRule="auto"/>
        <w:rPr>
          <w:rFonts w:cs="Times New Roman"/>
          <w:szCs w:val="22"/>
          <w:lang w:val="en-GB"/>
        </w:rPr>
      </w:pPr>
      <w:r w:rsidRPr="00FB5E36">
        <w:rPr>
          <w:rFonts w:cs="Times New Roman"/>
          <w:szCs w:val="22"/>
          <w:lang w:val="sk"/>
        </w:rPr>
        <w:t>10. DÁTUM REVÍZIE TEXTU</w:t>
      </w:r>
    </w:p>
    <w:p w14:paraId="3D25ED6E" w14:textId="77777777" w:rsidR="00454E10" w:rsidRDefault="00454E10" w:rsidP="00FB5E36">
      <w:pPr>
        <w:spacing w:after="0" w:line="240" w:lineRule="auto"/>
        <w:rPr>
          <w:rFonts w:ascii="Times New Roman" w:hAnsi="Times New Roman"/>
          <w:i/>
          <w:iCs/>
          <w:lang w:val="sk"/>
        </w:rPr>
      </w:pPr>
    </w:p>
    <w:p w14:paraId="73127B63" w14:textId="1E750066" w:rsidR="00355F50" w:rsidRPr="00CC07BC" w:rsidRDefault="0063757D" w:rsidP="00454E10">
      <w:pPr>
        <w:spacing w:after="0" w:line="240" w:lineRule="auto"/>
        <w:rPr>
          <w:rFonts w:ascii="Times New Roman" w:hAnsi="Times New Roman"/>
          <w:bCs/>
          <w:lang w:val="en-GB"/>
        </w:rPr>
      </w:pPr>
      <w:r>
        <w:rPr>
          <w:rFonts w:ascii="Times New Roman" w:hAnsi="Times New Roman"/>
          <w:iCs/>
          <w:lang w:val="sk"/>
        </w:rPr>
        <w:t xml:space="preserve">August </w:t>
      </w:r>
      <w:r w:rsidR="00CC07BC" w:rsidRPr="00CC07BC">
        <w:rPr>
          <w:rFonts w:ascii="Times New Roman" w:hAnsi="Times New Roman"/>
          <w:iCs/>
          <w:lang w:val="sk"/>
        </w:rPr>
        <w:t>201</w:t>
      </w:r>
      <w:r w:rsidR="00025CE7">
        <w:rPr>
          <w:rFonts w:ascii="Times New Roman" w:hAnsi="Times New Roman"/>
          <w:iCs/>
          <w:lang w:val="sk"/>
        </w:rPr>
        <w:t>8</w:t>
      </w:r>
    </w:p>
    <w:p w14:paraId="271475E2" w14:textId="77777777" w:rsidR="00454E10" w:rsidRPr="00F81584" w:rsidRDefault="00454E10" w:rsidP="00454E10">
      <w:pPr>
        <w:spacing w:after="0" w:line="240" w:lineRule="auto"/>
        <w:rPr>
          <w:rFonts w:ascii="Times New Roman" w:hAnsi="Times New Roman"/>
          <w:bCs/>
          <w:i/>
          <w:lang w:val="en-GB"/>
        </w:rPr>
      </w:pPr>
    </w:p>
    <w:sectPr w:rsidR="00454E10" w:rsidRPr="00F81584" w:rsidSect="00BE2F9D">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8C6B2" w14:textId="77777777" w:rsidR="00E25FE0" w:rsidRDefault="00E25FE0" w:rsidP="008B2F4A">
      <w:pPr>
        <w:spacing w:after="0" w:line="240" w:lineRule="auto"/>
      </w:pPr>
      <w:r>
        <w:separator/>
      </w:r>
    </w:p>
  </w:endnote>
  <w:endnote w:type="continuationSeparator" w:id="0">
    <w:p w14:paraId="6ADA87A2" w14:textId="77777777" w:rsidR="00E25FE0" w:rsidRDefault="00E25FE0" w:rsidP="008B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DEFAC" w14:textId="77777777" w:rsidR="000D6705" w:rsidRDefault="000D670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5D612" w14:textId="77777777" w:rsidR="000D6705" w:rsidRDefault="000D6705">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D9247" w14:textId="77777777" w:rsidR="000D6705" w:rsidRDefault="000D670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D4394" w14:textId="77777777" w:rsidR="00E25FE0" w:rsidRDefault="00E25FE0" w:rsidP="008B2F4A">
      <w:pPr>
        <w:spacing w:after="0" w:line="240" w:lineRule="auto"/>
      </w:pPr>
      <w:r>
        <w:separator/>
      </w:r>
    </w:p>
  </w:footnote>
  <w:footnote w:type="continuationSeparator" w:id="0">
    <w:p w14:paraId="6FDE4CFE" w14:textId="77777777" w:rsidR="00E25FE0" w:rsidRDefault="00E25FE0" w:rsidP="008B2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4DA1F" w14:textId="77777777" w:rsidR="000D6705" w:rsidRDefault="000D670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191BF" w14:textId="01DAABED" w:rsidR="000D6705" w:rsidRDefault="000D6705">
    <w:pPr>
      <w:pStyle w:val="Hlavika"/>
    </w:pPr>
    <w:r>
      <w:rPr>
        <w:rFonts w:ascii="Times New Roman" w:hAnsi="Times New Roman"/>
        <w:sz w:val="18"/>
        <w:szCs w:val="18"/>
      </w:rPr>
      <w:t>Príloha č. 2 k notifikácii o zmene, ev.č.: 2017/06173-Z1B</w:t>
    </w:r>
  </w:p>
  <w:p w14:paraId="2BA588FB" w14:textId="77777777" w:rsidR="000D6705" w:rsidRDefault="000D6705">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AC19F" w14:textId="77777777" w:rsidR="000D6705" w:rsidRDefault="000D670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0B4E"/>
    <w:multiLevelType w:val="hybridMultilevel"/>
    <w:tmpl w:val="E5E2BA48"/>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nsid w:val="087D66D3"/>
    <w:multiLevelType w:val="hybridMultilevel"/>
    <w:tmpl w:val="2690B636"/>
    <w:lvl w:ilvl="0" w:tplc="08100015">
      <w:start w:val="1"/>
      <w:numFmt w:val="upperLetter"/>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2">
    <w:nsid w:val="1A654AE1"/>
    <w:multiLevelType w:val="hybridMultilevel"/>
    <w:tmpl w:val="24A6658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nsid w:val="1C383F5C"/>
    <w:multiLevelType w:val="hybridMultilevel"/>
    <w:tmpl w:val="D0282AF4"/>
    <w:lvl w:ilvl="0" w:tplc="0810000F">
      <w:start w:val="1"/>
      <w:numFmt w:val="decimal"/>
      <w:lvlText w:val="%1."/>
      <w:lvlJc w:val="left"/>
      <w:pPr>
        <w:ind w:left="720" w:hanging="360"/>
      </w:pPr>
      <w:rPr>
        <w:rFonts w:cs="Times New Roman"/>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4">
    <w:nsid w:val="25BE2A8A"/>
    <w:multiLevelType w:val="hybridMultilevel"/>
    <w:tmpl w:val="34727F4E"/>
    <w:lvl w:ilvl="0" w:tplc="04B25EB2">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5">
    <w:nsid w:val="2A1D514D"/>
    <w:multiLevelType w:val="hybridMultilevel"/>
    <w:tmpl w:val="5512F59C"/>
    <w:lvl w:ilvl="0" w:tplc="1B04F0D8">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6">
    <w:nsid w:val="2FE47C2C"/>
    <w:multiLevelType w:val="hybridMultilevel"/>
    <w:tmpl w:val="9694422A"/>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7">
    <w:nsid w:val="33CB2B1D"/>
    <w:multiLevelType w:val="hybridMultilevel"/>
    <w:tmpl w:val="87B0CB5E"/>
    <w:lvl w:ilvl="0" w:tplc="BE2AEF20">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nsid w:val="44CD34D4"/>
    <w:multiLevelType w:val="hybridMultilevel"/>
    <w:tmpl w:val="602868F8"/>
    <w:lvl w:ilvl="0" w:tplc="0810000F">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rPr>
        <w:rFonts w:cs="Times New Roman"/>
      </w:rPr>
    </w:lvl>
    <w:lvl w:ilvl="2" w:tplc="0810001B" w:tentative="1">
      <w:start w:val="1"/>
      <w:numFmt w:val="lowerRoman"/>
      <w:lvlText w:val="%3."/>
      <w:lvlJc w:val="right"/>
      <w:pPr>
        <w:ind w:left="2160" w:hanging="180"/>
      </w:pPr>
      <w:rPr>
        <w:rFonts w:cs="Times New Roman"/>
      </w:rPr>
    </w:lvl>
    <w:lvl w:ilvl="3" w:tplc="0810000F" w:tentative="1">
      <w:start w:val="1"/>
      <w:numFmt w:val="decimal"/>
      <w:lvlText w:val="%4."/>
      <w:lvlJc w:val="left"/>
      <w:pPr>
        <w:ind w:left="2880" w:hanging="360"/>
      </w:pPr>
      <w:rPr>
        <w:rFonts w:cs="Times New Roman"/>
      </w:rPr>
    </w:lvl>
    <w:lvl w:ilvl="4" w:tplc="08100019" w:tentative="1">
      <w:start w:val="1"/>
      <w:numFmt w:val="lowerLetter"/>
      <w:lvlText w:val="%5."/>
      <w:lvlJc w:val="left"/>
      <w:pPr>
        <w:ind w:left="3600" w:hanging="360"/>
      </w:pPr>
      <w:rPr>
        <w:rFonts w:cs="Times New Roman"/>
      </w:rPr>
    </w:lvl>
    <w:lvl w:ilvl="5" w:tplc="0810001B" w:tentative="1">
      <w:start w:val="1"/>
      <w:numFmt w:val="lowerRoman"/>
      <w:lvlText w:val="%6."/>
      <w:lvlJc w:val="right"/>
      <w:pPr>
        <w:ind w:left="4320" w:hanging="180"/>
      </w:pPr>
      <w:rPr>
        <w:rFonts w:cs="Times New Roman"/>
      </w:rPr>
    </w:lvl>
    <w:lvl w:ilvl="6" w:tplc="0810000F" w:tentative="1">
      <w:start w:val="1"/>
      <w:numFmt w:val="decimal"/>
      <w:lvlText w:val="%7."/>
      <w:lvlJc w:val="left"/>
      <w:pPr>
        <w:ind w:left="5040" w:hanging="360"/>
      </w:pPr>
      <w:rPr>
        <w:rFonts w:cs="Times New Roman"/>
      </w:rPr>
    </w:lvl>
    <w:lvl w:ilvl="7" w:tplc="08100019" w:tentative="1">
      <w:start w:val="1"/>
      <w:numFmt w:val="lowerLetter"/>
      <w:lvlText w:val="%8."/>
      <w:lvlJc w:val="left"/>
      <w:pPr>
        <w:ind w:left="5760" w:hanging="360"/>
      </w:pPr>
      <w:rPr>
        <w:rFonts w:cs="Times New Roman"/>
      </w:rPr>
    </w:lvl>
    <w:lvl w:ilvl="8" w:tplc="0810001B" w:tentative="1">
      <w:start w:val="1"/>
      <w:numFmt w:val="lowerRoman"/>
      <w:lvlText w:val="%9."/>
      <w:lvlJc w:val="right"/>
      <w:pPr>
        <w:ind w:left="6480" w:hanging="180"/>
      </w:pPr>
      <w:rPr>
        <w:rFonts w:cs="Times New Roman"/>
      </w:rPr>
    </w:lvl>
  </w:abstractNum>
  <w:abstractNum w:abstractNumId="9">
    <w:nsid w:val="453D658A"/>
    <w:multiLevelType w:val="hybridMultilevel"/>
    <w:tmpl w:val="E04C4710"/>
    <w:lvl w:ilvl="0" w:tplc="08100017">
      <w:start w:val="1"/>
      <w:numFmt w:val="lowerLetter"/>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0">
    <w:nsid w:val="4AEA3458"/>
    <w:multiLevelType w:val="hybridMultilevel"/>
    <w:tmpl w:val="9134F94E"/>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1">
    <w:nsid w:val="55305740"/>
    <w:multiLevelType w:val="hybridMultilevel"/>
    <w:tmpl w:val="75129DDE"/>
    <w:lvl w:ilvl="0" w:tplc="08100017">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2">
    <w:nsid w:val="56B52C7C"/>
    <w:multiLevelType w:val="hybridMultilevel"/>
    <w:tmpl w:val="7F50817E"/>
    <w:lvl w:ilvl="0" w:tplc="C338C240">
      <w:start w:val="1"/>
      <w:numFmt w:val="decimal"/>
      <w:lvlText w:val="%1."/>
      <w:lvlJc w:val="left"/>
      <w:pPr>
        <w:ind w:left="720" w:hanging="360"/>
      </w:pPr>
      <w:rPr>
        <w:rFonts w:cs="Times New Roman"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3">
    <w:nsid w:val="72627999"/>
    <w:multiLevelType w:val="hybridMultilevel"/>
    <w:tmpl w:val="CE3C5766"/>
    <w:lvl w:ilvl="0" w:tplc="5B52F126">
      <w:start w:val="1"/>
      <w:numFmt w:val="lowerLetter"/>
      <w:lvlText w:val="%1)"/>
      <w:lvlJc w:val="left"/>
      <w:pPr>
        <w:ind w:left="720" w:hanging="360"/>
      </w:pPr>
      <w:rPr>
        <w:rFonts w:hint="default"/>
        <w:sz w:val="22"/>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4">
    <w:nsid w:val="7FCC0D49"/>
    <w:multiLevelType w:val="hybridMultilevel"/>
    <w:tmpl w:val="CDD4B812"/>
    <w:lvl w:ilvl="0" w:tplc="08100001">
      <w:start w:val="1"/>
      <w:numFmt w:val="bullet"/>
      <w:lvlText w:val=""/>
      <w:lvlJc w:val="left"/>
      <w:pPr>
        <w:ind w:left="720" w:hanging="360"/>
      </w:pPr>
      <w:rPr>
        <w:rFonts w:ascii="Symbol" w:hAnsi="Symbol" w:hint="default"/>
      </w:rPr>
    </w:lvl>
    <w:lvl w:ilvl="1" w:tplc="03AA0BBC">
      <w:numFmt w:val="bullet"/>
      <w:lvlText w:val="-"/>
      <w:lvlJc w:val="left"/>
      <w:pPr>
        <w:ind w:left="1440" w:hanging="360"/>
      </w:pPr>
      <w:rPr>
        <w:rFonts w:ascii="Calibri" w:eastAsia="Times New Roman" w:hAnsi="Calibri"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10"/>
  </w:num>
  <w:num w:numId="5">
    <w:abstractNumId w:val="1"/>
  </w:num>
  <w:num w:numId="6">
    <w:abstractNumId w:val="14"/>
  </w:num>
  <w:num w:numId="7">
    <w:abstractNumId w:val="9"/>
  </w:num>
  <w:num w:numId="8">
    <w:abstractNumId w:val="11"/>
  </w:num>
  <w:num w:numId="9">
    <w:abstractNumId w:val="12"/>
  </w:num>
  <w:num w:numId="10">
    <w:abstractNumId w:val="5"/>
  </w:num>
  <w:num w:numId="11">
    <w:abstractNumId w:val="4"/>
  </w:num>
  <w:num w:numId="12">
    <w:abstractNumId w:val="2"/>
  </w:num>
  <w:num w:numId="13">
    <w:abstractNumId w:val="6"/>
  </w:num>
  <w:num w:numId="14">
    <w:abstractNumId w:val="13"/>
  </w:num>
  <w:num w:numId="1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papsova">
    <w15:presenceInfo w15:providerId="None" w15:userId="epaps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1A7"/>
    <w:rsid w:val="000244F8"/>
    <w:rsid w:val="00025CE7"/>
    <w:rsid w:val="00035768"/>
    <w:rsid w:val="00063909"/>
    <w:rsid w:val="00066F3C"/>
    <w:rsid w:val="00097B26"/>
    <w:rsid w:val="000A0A22"/>
    <w:rsid w:val="000D6705"/>
    <w:rsid w:val="00107D14"/>
    <w:rsid w:val="00111E6E"/>
    <w:rsid w:val="00141CA1"/>
    <w:rsid w:val="00160369"/>
    <w:rsid w:val="00164C82"/>
    <w:rsid w:val="00173379"/>
    <w:rsid w:val="00186B40"/>
    <w:rsid w:val="001D3363"/>
    <w:rsid w:val="001D5E46"/>
    <w:rsid w:val="001E649B"/>
    <w:rsid w:val="0021218A"/>
    <w:rsid w:val="00215EA9"/>
    <w:rsid w:val="00217084"/>
    <w:rsid w:val="002179B9"/>
    <w:rsid w:val="00230B57"/>
    <w:rsid w:val="00264479"/>
    <w:rsid w:val="00267E11"/>
    <w:rsid w:val="00275493"/>
    <w:rsid w:val="00277541"/>
    <w:rsid w:val="00282BFE"/>
    <w:rsid w:val="0029435E"/>
    <w:rsid w:val="002A01A7"/>
    <w:rsid w:val="002F60D7"/>
    <w:rsid w:val="00306422"/>
    <w:rsid w:val="00316E35"/>
    <w:rsid w:val="003557FD"/>
    <w:rsid w:val="00355F50"/>
    <w:rsid w:val="00382D54"/>
    <w:rsid w:val="0039252E"/>
    <w:rsid w:val="003A3690"/>
    <w:rsid w:val="003D6E6E"/>
    <w:rsid w:val="003F31C3"/>
    <w:rsid w:val="0042604D"/>
    <w:rsid w:val="00440AAD"/>
    <w:rsid w:val="00454E10"/>
    <w:rsid w:val="00465E39"/>
    <w:rsid w:val="00471992"/>
    <w:rsid w:val="0047600E"/>
    <w:rsid w:val="004D5DAB"/>
    <w:rsid w:val="004E541C"/>
    <w:rsid w:val="004F59F0"/>
    <w:rsid w:val="00541682"/>
    <w:rsid w:val="005525C7"/>
    <w:rsid w:val="0055753D"/>
    <w:rsid w:val="00577BD0"/>
    <w:rsid w:val="00583978"/>
    <w:rsid w:val="00585555"/>
    <w:rsid w:val="0059508C"/>
    <w:rsid w:val="005B4D55"/>
    <w:rsid w:val="006045F7"/>
    <w:rsid w:val="0063757D"/>
    <w:rsid w:val="00642A2C"/>
    <w:rsid w:val="00697D9D"/>
    <w:rsid w:val="006B0E52"/>
    <w:rsid w:val="006B7484"/>
    <w:rsid w:val="006C06C3"/>
    <w:rsid w:val="006C137F"/>
    <w:rsid w:val="006C4D7D"/>
    <w:rsid w:val="00701529"/>
    <w:rsid w:val="00726353"/>
    <w:rsid w:val="00735856"/>
    <w:rsid w:val="00745A65"/>
    <w:rsid w:val="00757EE3"/>
    <w:rsid w:val="007829E3"/>
    <w:rsid w:val="00783B35"/>
    <w:rsid w:val="00787F54"/>
    <w:rsid w:val="007E0B03"/>
    <w:rsid w:val="007E20B5"/>
    <w:rsid w:val="007E2F9B"/>
    <w:rsid w:val="007F2121"/>
    <w:rsid w:val="007F60AB"/>
    <w:rsid w:val="0080063F"/>
    <w:rsid w:val="008526A0"/>
    <w:rsid w:val="00860309"/>
    <w:rsid w:val="00864404"/>
    <w:rsid w:val="0087712E"/>
    <w:rsid w:val="00877986"/>
    <w:rsid w:val="0089352F"/>
    <w:rsid w:val="008B2F4A"/>
    <w:rsid w:val="008F2136"/>
    <w:rsid w:val="00906510"/>
    <w:rsid w:val="00940125"/>
    <w:rsid w:val="00942689"/>
    <w:rsid w:val="00960D50"/>
    <w:rsid w:val="00967945"/>
    <w:rsid w:val="009819C9"/>
    <w:rsid w:val="00983967"/>
    <w:rsid w:val="009A2260"/>
    <w:rsid w:val="009B1820"/>
    <w:rsid w:val="009B36CE"/>
    <w:rsid w:val="009B7299"/>
    <w:rsid w:val="009C5A5E"/>
    <w:rsid w:val="009E436E"/>
    <w:rsid w:val="009F202B"/>
    <w:rsid w:val="009F47FB"/>
    <w:rsid w:val="009F7AEE"/>
    <w:rsid w:val="00A75C43"/>
    <w:rsid w:val="00AA4318"/>
    <w:rsid w:val="00AC12AF"/>
    <w:rsid w:val="00AC7DA1"/>
    <w:rsid w:val="00AD2CFC"/>
    <w:rsid w:val="00B15AE9"/>
    <w:rsid w:val="00B46C2E"/>
    <w:rsid w:val="00B52090"/>
    <w:rsid w:val="00B6606C"/>
    <w:rsid w:val="00B73C04"/>
    <w:rsid w:val="00BC0A00"/>
    <w:rsid w:val="00BE183F"/>
    <w:rsid w:val="00BE2F9D"/>
    <w:rsid w:val="00BE5574"/>
    <w:rsid w:val="00BF5C15"/>
    <w:rsid w:val="00C34402"/>
    <w:rsid w:val="00C77BD4"/>
    <w:rsid w:val="00CC07BC"/>
    <w:rsid w:val="00CD37EF"/>
    <w:rsid w:val="00CE1F41"/>
    <w:rsid w:val="00CF462D"/>
    <w:rsid w:val="00CF575A"/>
    <w:rsid w:val="00D07C54"/>
    <w:rsid w:val="00D311B1"/>
    <w:rsid w:val="00D73A58"/>
    <w:rsid w:val="00D922DB"/>
    <w:rsid w:val="00DB0005"/>
    <w:rsid w:val="00DB2152"/>
    <w:rsid w:val="00DD7EF1"/>
    <w:rsid w:val="00E02B5D"/>
    <w:rsid w:val="00E25FE0"/>
    <w:rsid w:val="00E27C56"/>
    <w:rsid w:val="00E40037"/>
    <w:rsid w:val="00E66A33"/>
    <w:rsid w:val="00E80FFF"/>
    <w:rsid w:val="00E83E5C"/>
    <w:rsid w:val="00EA7091"/>
    <w:rsid w:val="00EB4C77"/>
    <w:rsid w:val="00EE64D0"/>
    <w:rsid w:val="00F52DF1"/>
    <w:rsid w:val="00F81584"/>
    <w:rsid w:val="00FA1F01"/>
    <w:rsid w:val="00FA21EB"/>
    <w:rsid w:val="00FA6AE9"/>
    <w:rsid w:val="00FB5E36"/>
    <w:rsid w:val="00FB6364"/>
    <w:rsid w:val="00FB6954"/>
    <w:rsid w:val="00FF1A06"/>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9A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it-CH" w:eastAsia="it-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11B1"/>
    <w:pPr>
      <w:spacing w:after="200" w:line="276" w:lineRule="auto"/>
    </w:pPr>
    <w:rPr>
      <w:lang w:eastAsia="en-US"/>
    </w:rPr>
  </w:style>
  <w:style w:type="paragraph" w:styleId="Nadpis1">
    <w:name w:val="heading 1"/>
    <w:basedOn w:val="Normlny"/>
    <w:next w:val="Normlny"/>
    <w:link w:val="Nadpis1Char"/>
    <w:qFormat/>
    <w:locked/>
    <w:rsid w:val="007E2F9B"/>
    <w:pPr>
      <w:keepNext/>
      <w:keepLines/>
      <w:spacing w:before="480" w:after="0"/>
      <w:jc w:val="center"/>
      <w:outlineLvl w:val="0"/>
    </w:pPr>
    <w:rPr>
      <w:rFonts w:ascii="Times New Roman" w:eastAsiaTheme="majorEastAsia" w:hAnsi="Times New Roman" w:cstheme="majorBidi"/>
      <w:b/>
      <w:bCs/>
      <w:sz w:val="24"/>
      <w:szCs w:val="28"/>
    </w:rPr>
  </w:style>
  <w:style w:type="paragraph" w:styleId="Nadpis2">
    <w:name w:val="heading 2"/>
    <w:basedOn w:val="Normlny"/>
    <w:next w:val="Normlny"/>
    <w:link w:val="Nadpis2Char"/>
    <w:unhideWhenUsed/>
    <w:qFormat/>
    <w:locked/>
    <w:rsid w:val="007E2F9B"/>
    <w:pPr>
      <w:keepNext/>
      <w:keepLines/>
      <w:spacing w:before="200" w:after="0"/>
      <w:outlineLvl w:val="1"/>
    </w:pPr>
    <w:rPr>
      <w:rFonts w:ascii="Times New Roman" w:eastAsiaTheme="majorEastAsia" w:hAnsi="Times New Roman" w:cstheme="majorBidi"/>
      <w:b/>
      <w:bCs/>
      <w:szCs w:val="26"/>
    </w:rPr>
  </w:style>
  <w:style w:type="paragraph" w:styleId="Nadpis3">
    <w:name w:val="heading 3"/>
    <w:basedOn w:val="Normlny"/>
    <w:next w:val="Normlny"/>
    <w:link w:val="Nadpis3Char"/>
    <w:unhideWhenUsed/>
    <w:qFormat/>
    <w:locked/>
    <w:rsid w:val="007E2F9B"/>
    <w:pPr>
      <w:keepNext/>
      <w:keepLines/>
      <w:spacing w:before="200" w:after="0"/>
      <w:outlineLvl w:val="2"/>
    </w:pPr>
    <w:rPr>
      <w:rFonts w:ascii="Times New Roman" w:eastAsiaTheme="majorEastAsia" w:hAnsi="Times New Roman" w:cstheme="majorBid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71992"/>
    <w:pPr>
      <w:ind w:left="720"/>
      <w:contextualSpacing/>
    </w:pPr>
  </w:style>
  <w:style w:type="paragraph" w:styleId="Textbubliny">
    <w:name w:val="Balloon Text"/>
    <w:basedOn w:val="Normlny"/>
    <w:link w:val="TextbublinyChar"/>
    <w:uiPriority w:val="99"/>
    <w:semiHidden/>
    <w:rsid w:val="00264479"/>
    <w:rPr>
      <w:rFonts w:ascii="Tahoma" w:hAnsi="Tahoma" w:cs="Tahoma"/>
      <w:sz w:val="16"/>
      <w:szCs w:val="16"/>
    </w:rPr>
  </w:style>
  <w:style w:type="character" w:customStyle="1" w:styleId="TextbublinyChar">
    <w:name w:val="Text bubliny Char"/>
    <w:basedOn w:val="Predvolenpsmoodseku"/>
    <w:link w:val="Textbubliny"/>
    <w:uiPriority w:val="99"/>
    <w:semiHidden/>
    <w:rsid w:val="007F1346"/>
    <w:rPr>
      <w:rFonts w:ascii="Times New Roman" w:hAnsi="Times New Roman"/>
      <w:sz w:val="0"/>
      <w:szCs w:val="0"/>
      <w:lang w:eastAsia="en-US"/>
    </w:rPr>
  </w:style>
  <w:style w:type="character" w:styleId="Odkaznakomentr">
    <w:name w:val="annotation reference"/>
    <w:uiPriority w:val="99"/>
    <w:semiHidden/>
    <w:unhideWhenUsed/>
    <w:rsid w:val="00EA7091"/>
    <w:rPr>
      <w:sz w:val="16"/>
      <w:szCs w:val="16"/>
    </w:rPr>
  </w:style>
  <w:style w:type="paragraph" w:styleId="Textkomentra">
    <w:name w:val="annotation text"/>
    <w:basedOn w:val="Normlny"/>
    <w:link w:val="TextkomentraChar"/>
    <w:uiPriority w:val="99"/>
    <w:semiHidden/>
    <w:unhideWhenUsed/>
    <w:rsid w:val="00EA7091"/>
    <w:pPr>
      <w:spacing w:line="240" w:lineRule="auto"/>
    </w:pPr>
    <w:rPr>
      <w:sz w:val="20"/>
      <w:szCs w:val="20"/>
    </w:rPr>
  </w:style>
  <w:style w:type="character" w:customStyle="1" w:styleId="TextkomentraChar">
    <w:name w:val="Text komentára Char"/>
    <w:basedOn w:val="Predvolenpsmoodseku"/>
    <w:link w:val="Textkomentra"/>
    <w:uiPriority w:val="99"/>
    <w:semiHidden/>
    <w:rsid w:val="00EA7091"/>
    <w:rPr>
      <w:sz w:val="20"/>
      <w:szCs w:val="20"/>
      <w:lang w:eastAsia="en-US"/>
    </w:rPr>
  </w:style>
  <w:style w:type="paragraph" w:styleId="Predmetkomentra">
    <w:name w:val="annotation subject"/>
    <w:basedOn w:val="Textkomentra"/>
    <w:next w:val="Textkomentra"/>
    <w:link w:val="PredmetkomentraChar"/>
    <w:uiPriority w:val="99"/>
    <w:semiHidden/>
    <w:unhideWhenUsed/>
    <w:rsid w:val="00164C82"/>
    <w:rPr>
      <w:b/>
      <w:bCs/>
    </w:rPr>
  </w:style>
  <w:style w:type="character" w:customStyle="1" w:styleId="PredmetkomentraChar">
    <w:name w:val="Predmet komentára Char"/>
    <w:basedOn w:val="TextkomentraChar"/>
    <w:link w:val="Predmetkomentra"/>
    <w:uiPriority w:val="99"/>
    <w:semiHidden/>
    <w:rsid w:val="00164C82"/>
    <w:rPr>
      <w:b/>
      <w:bCs/>
      <w:sz w:val="20"/>
      <w:szCs w:val="20"/>
      <w:lang w:eastAsia="en-US"/>
    </w:rPr>
  </w:style>
  <w:style w:type="paragraph" w:styleId="Nzov">
    <w:name w:val="Title"/>
    <w:basedOn w:val="Normlny"/>
    <w:next w:val="Normlny"/>
    <w:link w:val="NzovChar"/>
    <w:qFormat/>
    <w:locked/>
    <w:rsid w:val="007E2F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7E2F9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1Char">
    <w:name w:val="Nadpis 1 Char"/>
    <w:basedOn w:val="Predvolenpsmoodseku"/>
    <w:link w:val="Nadpis1"/>
    <w:rsid w:val="007E2F9B"/>
    <w:rPr>
      <w:rFonts w:ascii="Times New Roman" w:eastAsiaTheme="majorEastAsia" w:hAnsi="Times New Roman" w:cstheme="majorBidi"/>
      <w:b/>
      <w:bCs/>
      <w:sz w:val="24"/>
      <w:szCs w:val="28"/>
      <w:lang w:eastAsia="en-US"/>
    </w:rPr>
  </w:style>
  <w:style w:type="character" w:customStyle="1" w:styleId="Nadpis2Char">
    <w:name w:val="Nadpis 2 Char"/>
    <w:basedOn w:val="Predvolenpsmoodseku"/>
    <w:link w:val="Nadpis2"/>
    <w:rsid w:val="007E2F9B"/>
    <w:rPr>
      <w:rFonts w:ascii="Times New Roman" w:eastAsiaTheme="majorEastAsia" w:hAnsi="Times New Roman" w:cstheme="majorBidi"/>
      <w:b/>
      <w:bCs/>
      <w:szCs w:val="26"/>
      <w:lang w:eastAsia="en-US"/>
    </w:rPr>
  </w:style>
  <w:style w:type="character" w:customStyle="1" w:styleId="Nadpis3Char">
    <w:name w:val="Nadpis 3 Char"/>
    <w:basedOn w:val="Predvolenpsmoodseku"/>
    <w:link w:val="Nadpis3"/>
    <w:rsid w:val="007E2F9B"/>
    <w:rPr>
      <w:rFonts w:ascii="Times New Roman" w:eastAsiaTheme="majorEastAsia" w:hAnsi="Times New Roman" w:cstheme="majorBidi"/>
      <w:b/>
      <w:bCs/>
      <w:lang w:eastAsia="en-US"/>
    </w:rPr>
  </w:style>
  <w:style w:type="character" w:styleId="Hypertextovprepojenie">
    <w:name w:val="Hyperlink"/>
    <w:basedOn w:val="Predvolenpsmoodseku"/>
    <w:uiPriority w:val="99"/>
    <w:unhideWhenUsed/>
    <w:rsid w:val="002179B9"/>
    <w:rPr>
      <w:color w:val="0000FF" w:themeColor="hyperlink"/>
      <w:u w:val="single"/>
    </w:rPr>
  </w:style>
  <w:style w:type="character" w:styleId="PouitHypertextovPrepojenie">
    <w:name w:val="FollowedHyperlink"/>
    <w:basedOn w:val="Predvolenpsmoodseku"/>
    <w:uiPriority w:val="99"/>
    <w:semiHidden/>
    <w:unhideWhenUsed/>
    <w:rsid w:val="002179B9"/>
    <w:rPr>
      <w:color w:val="800080" w:themeColor="followedHyperlink"/>
      <w:u w:val="single"/>
    </w:rPr>
  </w:style>
  <w:style w:type="paragraph" w:styleId="Hlavika">
    <w:name w:val="header"/>
    <w:basedOn w:val="Normlny"/>
    <w:link w:val="HlavikaChar"/>
    <w:uiPriority w:val="99"/>
    <w:unhideWhenUsed/>
    <w:rsid w:val="008B2F4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2F4A"/>
    <w:rPr>
      <w:lang w:eastAsia="en-US"/>
    </w:rPr>
  </w:style>
  <w:style w:type="paragraph" w:styleId="Pta">
    <w:name w:val="footer"/>
    <w:basedOn w:val="Normlny"/>
    <w:link w:val="PtaChar"/>
    <w:uiPriority w:val="99"/>
    <w:unhideWhenUsed/>
    <w:rsid w:val="008B2F4A"/>
    <w:pPr>
      <w:tabs>
        <w:tab w:val="center" w:pos="4536"/>
        <w:tab w:val="right" w:pos="9072"/>
      </w:tabs>
      <w:spacing w:after="0" w:line="240" w:lineRule="auto"/>
    </w:pPr>
  </w:style>
  <w:style w:type="character" w:customStyle="1" w:styleId="PtaChar">
    <w:name w:val="Päta Char"/>
    <w:basedOn w:val="Predvolenpsmoodseku"/>
    <w:link w:val="Pta"/>
    <w:uiPriority w:val="99"/>
    <w:rsid w:val="008B2F4A"/>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it-CH" w:eastAsia="it-CH"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11B1"/>
    <w:pPr>
      <w:spacing w:after="200" w:line="276" w:lineRule="auto"/>
    </w:pPr>
    <w:rPr>
      <w:lang w:eastAsia="en-US"/>
    </w:rPr>
  </w:style>
  <w:style w:type="paragraph" w:styleId="Nadpis1">
    <w:name w:val="heading 1"/>
    <w:basedOn w:val="Normlny"/>
    <w:next w:val="Normlny"/>
    <w:link w:val="Nadpis1Char"/>
    <w:qFormat/>
    <w:locked/>
    <w:rsid w:val="007E2F9B"/>
    <w:pPr>
      <w:keepNext/>
      <w:keepLines/>
      <w:spacing w:before="480" w:after="0"/>
      <w:jc w:val="center"/>
      <w:outlineLvl w:val="0"/>
    </w:pPr>
    <w:rPr>
      <w:rFonts w:ascii="Times New Roman" w:eastAsiaTheme="majorEastAsia" w:hAnsi="Times New Roman" w:cstheme="majorBidi"/>
      <w:b/>
      <w:bCs/>
      <w:sz w:val="24"/>
      <w:szCs w:val="28"/>
    </w:rPr>
  </w:style>
  <w:style w:type="paragraph" w:styleId="Nadpis2">
    <w:name w:val="heading 2"/>
    <w:basedOn w:val="Normlny"/>
    <w:next w:val="Normlny"/>
    <w:link w:val="Nadpis2Char"/>
    <w:unhideWhenUsed/>
    <w:qFormat/>
    <w:locked/>
    <w:rsid w:val="007E2F9B"/>
    <w:pPr>
      <w:keepNext/>
      <w:keepLines/>
      <w:spacing w:before="200" w:after="0"/>
      <w:outlineLvl w:val="1"/>
    </w:pPr>
    <w:rPr>
      <w:rFonts w:ascii="Times New Roman" w:eastAsiaTheme="majorEastAsia" w:hAnsi="Times New Roman" w:cstheme="majorBidi"/>
      <w:b/>
      <w:bCs/>
      <w:szCs w:val="26"/>
    </w:rPr>
  </w:style>
  <w:style w:type="paragraph" w:styleId="Nadpis3">
    <w:name w:val="heading 3"/>
    <w:basedOn w:val="Normlny"/>
    <w:next w:val="Normlny"/>
    <w:link w:val="Nadpis3Char"/>
    <w:unhideWhenUsed/>
    <w:qFormat/>
    <w:locked/>
    <w:rsid w:val="007E2F9B"/>
    <w:pPr>
      <w:keepNext/>
      <w:keepLines/>
      <w:spacing w:before="200" w:after="0"/>
      <w:outlineLvl w:val="2"/>
    </w:pPr>
    <w:rPr>
      <w:rFonts w:ascii="Times New Roman" w:eastAsiaTheme="majorEastAsia" w:hAnsi="Times New Roman" w:cstheme="majorBidi"/>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471992"/>
    <w:pPr>
      <w:ind w:left="720"/>
      <w:contextualSpacing/>
    </w:pPr>
  </w:style>
  <w:style w:type="paragraph" w:styleId="Textbubliny">
    <w:name w:val="Balloon Text"/>
    <w:basedOn w:val="Normlny"/>
    <w:link w:val="TextbublinyChar"/>
    <w:uiPriority w:val="99"/>
    <w:semiHidden/>
    <w:rsid w:val="00264479"/>
    <w:rPr>
      <w:rFonts w:ascii="Tahoma" w:hAnsi="Tahoma" w:cs="Tahoma"/>
      <w:sz w:val="16"/>
      <w:szCs w:val="16"/>
    </w:rPr>
  </w:style>
  <w:style w:type="character" w:customStyle="1" w:styleId="TextbublinyChar">
    <w:name w:val="Text bubliny Char"/>
    <w:basedOn w:val="Predvolenpsmoodseku"/>
    <w:link w:val="Textbubliny"/>
    <w:uiPriority w:val="99"/>
    <w:semiHidden/>
    <w:rsid w:val="007F1346"/>
    <w:rPr>
      <w:rFonts w:ascii="Times New Roman" w:hAnsi="Times New Roman"/>
      <w:sz w:val="0"/>
      <w:szCs w:val="0"/>
      <w:lang w:eastAsia="en-US"/>
    </w:rPr>
  </w:style>
  <w:style w:type="character" w:styleId="Odkaznakomentr">
    <w:name w:val="annotation reference"/>
    <w:uiPriority w:val="99"/>
    <w:semiHidden/>
    <w:unhideWhenUsed/>
    <w:rsid w:val="00EA7091"/>
    <w:rPr>
      <w:sz w:val="16"/>
      <w:szCs w:val="16"/>
    </w:rPr>
  </w:style>
  <w:style w:type="paragraph" w:styleId="Textkomentra">
    <w:name w:val="annotation text"/>
    <w:basedOn w:val="Normlny"/>
    <w:link w:val="TextkomentraChar"/>
    <w:uiPriority w:val="99"/>
    <w:semiHidden/>
    <w:unhideWhenUsed/>
    <w:rsid w:val="00EA7091"/>
    <w:pPr>
      <w:spacing w:line="240" w:lineRule="auto"/>
    </w:pPr>
    <w:rPr>
      <w:sz w:val="20"/>
      <w:szCs w:val="20"/>
    </w:rPr>
  </w:style>
  <w:style w:type="character" w:customStyle="1" w:styleId="TextkomentraChar">
    <w:name w:val="Text komentára Char"/>
    <w:basedOn w:val="Predvolenpsmoodseku"/>
    <w:link w:val="Textkomentra"/>
    <w:uiPriority w:val="99"/>
    <w:semiHidden/>
    <w:rsid w:val="00EA7091"/>
    <w:rPr>
      <w:sz w:val="20"/>
      <w:szCs w:val="20"/>
      <w:lang w:eastAsia="en-US"/>
    </w:rPr>
  </w:style>
  <w:style w:type="paragraph" w:styleId="Predmetkomentra">
    <w:name w:val="annotation subject"/>
    <w:basedOn w:val="Textkomentra"/>
    <w:next w:val="Textkomentra"/>
    <w:link w:val="PredmetkomentraChar"/>
    <w:uiPriority w:val="99"/>
    <w:semiHidden/>
    <w:unhideWhenUsed/>
    <w:rsid w:val="00164C82"/>
    <w:rPr>
      <w:b/>
      <w:bCs/>
    </w:rPr>
  </w:style>
  <w:style w:type="character" w:customStyle="1" w:styleId="PredmetkomentraChar">
    <w:name w:val="Predmet komentára Char"/>
    <w:basedOn w:val="TextkomentraChar"/>
    <w:link w:val="Predmetkomentra"/>
    <w:uiPriority w:val="99"/>
    <w:semiHidden/>
    <w:rsid w:val="00164C82"/>
    <w:rPr>
      <w:b/>
      <w:bCs/>
      <w:sz w:val="20"/>
      <w:szCs w:val="20"/>
      <w:lang w:eastAsia="en-US"/>
    </w:rPr>
  </w:style>
  <w:style w:type="paragraph" w:styleId="Nzov">
    <w:name w:val="Title"/>
    <w:basedOn w:val="Normlny"/>
    <w:next w:val="Normlny"/>
    <w:link w:val="NzovChar"/>
    <w:qFormat/>
    <w:locked/>
    <w:rsid w:val="007E2F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7E2F9B"/>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1Char">
    <w:name w:val="Nadpis 1 Char"/>
    <w:basedOn w:val="Predvolenpsmoodseku"/>
    <w:link w:val="Nadpis1"/>
    <w:rsid w:val="007E2F9B"/>
    <w:rPr>
      <w:rFonts w:ascii="Times New Roman" w:eastAsiaTheme="majorEastAsia" w:hAnsi="Times New Roman" w:cstheme="majorBidi"/>
      <w:b/>
      <w:bCs/>
      <w:sz w:val="24"/>
      <w:szCs w:val="28"/>
      <w:lang w:eastAsia="en-US"/>
    </w:rPr>
  </w:style>
  <w:style w:type="character" w:customStyle="1" w:styleId="Nadpis2Char">
    <w:name w:val="Nadpis 2 Char"/>
    <w:basedOn w:val="Predvolenpsmoodseku"/>
    <w:link w:val="Nadpis2"/>
    <w:rsid w:val="007E2F9B"/>
    <w:rPr>
      <w:rFonts w:ascii="Times New Roman" w:eastAsiaTheme="majorEastAsia" w:hAnsi="Times New Roman" w:cstheme="majorBidi"/>
      <w:b/>
      <w:bCs/>
      <w:szCs w:val="26"/>
      <w:lang w:eastAsia="en-US"/>
    </w:rPr>
  </w:style>
  <w:style w:type="character" w:customStyle="1" w:styleId="Nadpis3Char">
    <w:name w:val="Nadpis 3 Char"/>
    <w:basedOn w:val="Predvolenpsmoodseku"/>
    <w:link w:val="Nadpis3"/>
    <w:rsid w:val="007E2F9B"/>
    <w:rPr>
      <w:rFonts w:ascii="Times New Roman" w:eastAsiaTheme="majorEastAsia" w:hAnsi="Times New Roman" w:cstheme="majorBidi"/>
      <w:b/>
      <w:bCs/>
      <w:lang w:eastAsia="en-US"/>
    </w:rPr>
  </w:style>
  <w:style w:type="character" w:styleId="Hypertextovprepojenie">
    <w:name w:val="Hyperlink"/>
    <w:basedOn w:val="Predvolenpsmoodseku"/>
    <w:uiPriority w:val="99"/>
    <w:unhideWhenUsed/>
    <w:rsid w:val="002179B9"/>
    <w:rPr>
      <w:color w:val="0000FF" w:themeColor="hyperlink"/>
      <w:u w:val="single"/>
    </w:rPr>
  </w:style>
  <w:style w:type="character" w:styleId="PouitHypertextovPrepojenie">
    <w:name w:val="FollowedHyperlink"/>
    <w:basedOn w:val="Predvolenpsmoodseku"/>
    <w:uiPriority w:val="99"/>
    <w:semiHidden/>
    <w:unhideWhenUsed/>
    <w:rsid w:val="002179B9"/>
    <w:rPr>
      <w:color w:val="800080" w:themeColor="followedHyperlink"/>
      <w:u w:val="single"/>
    </w:rPr>
  </w:style>
  <w:style w:type="paragraph" w:styleId="Hlavika">
    <w:name w:val="header"/>
    <w:basedOn w:val="Normlny"/>
    <w:link w:val="HlavikaChar"/>
    <w:uiPriority w:val="99"/>
    <w:unhideWhenUsed/>
    <w:rsid w:val="008B2F4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B2F4A"/>
    <w:rPr>
      <w:lang w:eastAsia="en-US"/>
    </w:rPr>
  </w:style>
  <w:style w:type="paragraph" w:styleId="Pta">
    <w:name w:val="footer"/>
    <w:basedOn w:val="Normlny"/>
    <w:link w:val="PtaChar"/>
    <w:uiPriority w:val="99"/>
    <w:unhideWhenUsed/>
    <w:rsid w:val="008B2F4A"/>
    <w:pPr>
      <w:tabs>
        <w:tab w:val="center" w:pos="4536"/>
        <w:tab w:val="right" w:pos="9072"/>
      </w:tabs>
      <w:spacing w:after="0" w:line="240" w:lineRule="auto"/>
    </w:pPr>
  </w:style>
  <w:style w:type="character" w:customStyle="1" w:styleId="PtaChar">
    <w:name w:val="Päta Char"/>
    <w:basedOn w:val="Predvolenpsmoodseku"/>
    <w:link w:val="Pta"/>
    <w:uiPriority w:val="99"/>
    <w:rsid w:val="008B2F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1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E94AC-5C9B-4695-A508-E2C6DA545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5502</Words>
  <Characters>31367</Characters>
  <Application>Microsoft Office Word</Application>
  <DocSecurity>0</DocSecurity>
  <Lines>261</Lines>
  <Paragraphs>73</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mpue translations</dc:creator>
  <cp:lastModifiedBy>EM</cp:lastModifiedBy>
  <cp:revision>3</cp:revision>
  <dcterms:created xsi:type="dcterms:W3CDTF">2018-08-07T11:06:00Z</dcterms:created>
  <dcterms:modified xsi:type="dcterms:W3CDTF">2018-08-07T11:06:00Z</dcterms:modified>
  <cp:contentStatus>ue+rev</cp:contentStatus>
</cp:coreProperties>
</file>