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48457" w14:textId="77777777" w:rsidR="0042708B" w:rsidRDefault="0042708B" w:rsidP="007737A2">
      <w:pPr>
        <w:widowControl w:val="0"/>
        <w:spacing w:after="0" w:line="240" w:lineRule="auto"/>
        <w:jc w:val="center"/>
        <w:rPr>
          <w:b/>
        </w:rPr>
      </w:pPr>
      <w:r w:rsidRPr="007737A2">
        <w:rPr>
          <w:b/>
        </w:rPr>
        <w:t>SÚHRN CHARAKTERISTICKÝCH VLASTNOSTÍ LIEKU</w:t>
      </w:r>
    </w:p>
    <w:p w14:paraId="3985C2D7" w14:textId="77777777" w:rsidR="004F0E21" w:rsidRDefault="004F0E21" w:rsidP="007737A2">
      <w:pPr>
        <w:widowControl w:val="0"/>
        <w:spacing w:after="0" w:line="240" w:lineRule="auto"/>
        <w:ind w:left="0" w:firstLine="0"/>
        <w:rPr>
          <w:b/>
        </w:rPr>
      </w:pPr>
    </w:p>
    <w:p w14:paraId="5B9085A6" w14:textId="77777777" w:rsidR="004F0E21" w:rsidRPr="007737A2" w:rsidRDefault="004F0E21" w:rsidP="007737A2">
      <w:pPr>
        <w:widowControl w:val="0"/>
        <w:spacing w:after="0" w:line="240" w:lineRule="auto"/>
        <w:ind w:left="0" w:firstLine="0"/>
        <w:rPr>
          <w:b/>
        </w:rPr>
      </w:pPr>
    </w:p>
    <w:p w14:paraId="52641F73" w14:textId="77777777" w:rsidR="009A581E" w:rsidRPr="000A1612" w:rsidRDefault="00051D79" w:rsidP="00051D79">
      <w:pPr>
        <w:pStyle w:val="Nadpis1"/>
        <w:keepNext w:val="0"/>
        <w:keepLines w:val="0"/>
        <w:widowControl w:val="0"/>
        <w:numPr>
          <w:ilvl w:val="0"/>
          <w:numId w:val="36"/>
        </w:numPr>
        <w:tabs>
          <w:tab w:val="center" w:pos="567"/>
          <w:tab w:val="center" w:pos="2055"/>
        </w:tabs>
        <w:spacing w:after="0" w:line="240" w:lineRule="auto"/>
        <w:ind w:left="567" w:hanging="567"/>
      </w:pPr>
      <w:r>
        <w:t>NÁZOV LIEKU</w:t>
      </w:r>
    </w:p>
    <w:p w14:paraId="66175910" w14:textId="77777777" w:rsidR="009A581E" w:rsidRPr="000A1612" w:rsidRDefault="009A581E" w:rsidP="009A581E">
      <w:pPr>
        <w:widowControl w:val="0"/>
        <w:spacing w:after="0" w:line="240" w:lineRule="auto"/>
        <w:ind w:left="0" w:firstLine="0"/>
      </w:pPr>
    </w:p>
    <w:p w14:paraId="28C0B64C" w14:textId="50558EE9" w:rsidR="00051D79" w:rsidRDefault="00130E2E" w:rsidP="00051D79">
      <w:pPr>
        <w:widowControl w:val="0"/>
        <w:spacing w:after="0" w:line="240" w:lineRule="auto"/>
        <w:ind w:left="0" w:firstLine="0"/>
      </w:pPr>
      <w:r>
        <w:t>Entecavir Glenmark</w:t>
      </w:r>
      <w:r w:rsidR="009A581E" w:rsidRPr="000A1612">
        <w:t xml:space="preserve"> 0,5 mg</w:t>
      </w:r>
    </w:p>
    <w:p w14:paraId="041E4247" w14:textId="7D584DF8" w:rsidR="009A581E" w:rsidRPr="000A1612" w:rsidRDefault="00130E2E" w:rsidP="00051D79">
      <w:pPr>
        <w:widowControl w:val="0"/>
        <w:spacing w:after="0" w:line="240" w:lineRule="auto"/>
        <w:ind w:left="0" w:firstLine="0"/>
      </w:pPr>
      <w:r w:rsidRPr="007737A2">
        <w:rPr>
          <w:highlight w:val="lightGray"/>
        </w:rPr>
        <w:t>Entecavir Glenmark</w:t>
      </w:r>
      <w:r w:rsidR="009A581E" w:rsidRPr="007737A2">
        <w:rPr>
          <w:highlight w:val="lightGray"/>
        </w:rPr>
        <w:t xml:space="preserve"> 1 mg</w:t>
      </w:r>
    </w:p>
    <w:p w14:paraId="17E147E8" w14:textId="77777777" w:rsidR="009A581E" w:rsidRPr="000A1612" w:rsidRDefault="00C43BA4" w:rsidP="009A581E">
      <w:pPr>
        <w:widowControl w:val="0"/>
        <w:spacing w:after="0" w:line="240" w:lineRule="auto"/>
        <w:ind w:left="0" w:firstLine="0"/>
      </w:pPr>
      <w:r w:rsidRPr="00C43BA4">
        <w:t>filmom obalené tablety</w:t>
      </w:r>
    </w:p>
    <w:p w14:paraId="389045E8" w14:textId="77777777" w:rsidR="009A581E" w:rsidRDefault="009A581E" w:rsidP="009A581E">
      <w:pPr>
        <w:widowControl w:val="0"/>
        <w:spacing w:after="0" w:line="240" w:lineRule="auto"/>
        <w:ind w:left="0" w:firstLine="0"/>
      </w:pPr>
    </w:p>
    <w:p w14:paraId="11D698B8" w14:textId="77777777" w:rsidR="00C43BA4" w:rsidRPr="000A1612" w:rsidRDefault="00C43BA4" w:rsidP="009A581E">
      <w:pPr>
        <w:widowControl w:val="0"/>
        <w:spacing w:after="0" w:line="240" w:lineRule="auto"/>
        <w:ind w:left="0" w:firstLine="0"/>
      </w:pPr>
    </w:p>
    <w:p w14:paraId="70AD9099" w14:textId="77777777" w:rsidR="009A581E" w:rsidRPr="000A1612" w:rsidRDefault="009A581E" w:rsidP="009A581E">
      <w:pPr>
        <w:pStyle w:val="Nadpis1"/>
        <w:keepNext w:val="0"/>
        <w:keepLines w:val="0"/>
        <w:widowControl w:val="0"/>
        <w:numPr>
          <w:ilvl w:val="0"/>
          <w:numId w:val="36"/>
        </w:numPr>
        <w:tabs>
          <w:tab w:val="center" w:pos="567"/>
          <w:tab w:val="center" w:pos="3815"/>
        </w:tabs>
        <w:spacing w:after="0" w:line="240" w:lineRule="auto"/>
        <w:ind w:hanging="720"/>
      </w:pPr>
      <w:r w:rsidRPr="000A1612">
        <w:t>KVALITATÍVNE A KVANTITATÍVNE ZLOŽENIE</w:t>
      </w:r>
    </w:p>
    <w:p w14:paraId="4D9141E8" w14:textId="77777777" w:rsidR="009A581E" w:rsidRPr="000A1612" w:rsidRDefault="009A581E" w:rsidP="009A581E">
      <w:pPr>
        <w:widowControl w:val="0"/>
        <w:spacing w:after="0" w:line="240" w:lineRule="auto"/>
        <w:ind w:left="0" w:firstLine="0"/>
      </w:pPr>
    </w:p>
    <w:p w14:paraId="589A32BA" w14:textId="3FB40E51" w:rsidR="00051D79" w:rsidRDefault="00130E2E" w:rsidP="00051D79">
      <w:pPr>
        <w:widowControl w:val="0"/>
        <w:spacing w:after="0" w:line="240" w:lineRule="auto"/>
        <w:ind w:left="0" w:firstLine="0"/>
      </w:pPr>
      <w:r>
        <w:rPr>
          <w:u w:val="single" w:color="000000"/>
        </w:rPr>
        <w:t>Entecavir Glenmark</w:t>
      </w:r>
      <w:r w:rsidR="009A581E" w:rsidRPr="000A1612">
        <w:rPr>
          <w:u w:val="single" w:color="000000"/>
        </w:rPr>
        <w:t xml:space="preserve"> 0,5 mg</w:t>
      </w:r>
    </w:p>
    <w:p w14:paraId="2E98F46B" w14:textId="50AE82AC" w:rsidR="004A4337" w:rsidRDefault="004A4337" w:rsidP="004A4337">
      <w:pPr>
        <w:pStyle w:val="Odsekzoznamu"/>
        <w:widowControl w:val="0"/>
        <w:spacing w:after="0" w:line="240" w:lineRule="auto"/>
        <w:ind w:left="0" w:right="-284" w:firstLine="0"/>
      </w:pPr>
      <w:r w:rsidRPr="004743FB">
        <w:t>Každá tabl</w:t>
      </w:r>
      <w:r>
        <w:t>eta obsahuje monohydrát entekaviru, čo zodpovedá 0,5 mg entekaviru.</w:t>
      </w:r>
    </w:p>
    <w:p w14:paraId="3CE58776" w14:textId="77777777" w:rsidR="009A581E" w:rsidRPr="000A1612" w:rsidRDefault="009A581E" w:rsidP="009A581E">
      <w:pPr>
        <w:widowControl w:val="0"/>
        <w:spacing w:after="0" w:line="240" w:lineRule="auto"/>
        <w:ind w:left="0" w:firstLine="0"/>
      </w:pPr>
    </w:p>
    <w:p w14:paraId="4C8A847F" w14:textId="0D066E09" w:rsidR="009A581E" w:rsidRPr="007737A2" w:rsidRDefault="00130E2E" w:rsidP="00051D79">
      <w:pPr>
        <w:widowControl w:val="0"/>
        <w:spacing w:after="0" w:line="240" w:lineRule="auto"/>
        <w:ind w:left="0" w:firstLine="0"/>
        <w:rPr>
          <w:highlight w:val="lightGray"/>
        </w:rPr>
      </w:pPr>
      <w:r w:rsidRPr="007737A2">
        <w:rPr>
          <w:highlight w:val="lightGray"/>
          <w:u w:val="single" w:color="000000"/>
        </w:rPr>
        <w:t>Entecavir Glenmark</w:t>
      </w:r>
      <w:r w:rsidR="009A581E" w:rsidRPr="007737A2">
        <w:rPr>
          <w:highlight w:val="lightGray"/>
          <w:u w:val="single" w:color="000000"/>
        </w:rPr>
        <w:t xml:space="preserve"> 1 mg</w:t>
      </w:r>
    </w:p>
    <w:p w14:paraId="7909D2AD" w14:textId="51D7E9FC" w:rsidR="004A4337" w:rsidRDefault="004A4337" w:rsidP="004A4337">
      <w:pPr>
        <w:pStyle w:val="Odsekzoznamu"/>
        <w:widowControl w:val="0"/>
        <w:spacing w:after="0" w:line="240" w:lineRule="auto"/>
        <w:ind w:left="0" w:right="-284" w:firstLine="0"/>
      </w:pPr>
      <w:r w:rsidRPr="007737A2">
        <w:rPr>
          <w:highlight w:val="lightGray"/>
        </w:rPr>
        <w:t>Každá tableta obsahuje monohydrát entekaviru, čo zodpovedá 1 mg entekaviru.</w:t>
      </w:r>
    </w:p>
    <w:p w14:paraId="08E42F30" w14:textId="77777777" w:rsidR="004A4337" w:rsidRDefault="004A4337" w:rsidP="009A581E">
      <w:pPr>
        <w:widowControl w:val="0"/>
        <w:spacing w:after="0" w:line="240" w:lineRule="auto"/>
        <w:ind w:left="0" w:firstLine="0"/>
        <w:rPr>
          <w:u w:val="single" w:color="000000"/>
        </w:rPr>
      </w:pPr>
    </w:p>
    <w:p w14:paraId="34F2ED20" w14:textId="77777777" w:rsidR="009A581E" w:rsidRPr="000A1612" w:rsidRDefault="009A581E" w:rsidP="009A581E">
      <w:pPr>
        <w:widowControl w:val="0"/>
        <w:spacing w:after="0" w:line="240" w:lineRule="auto"/>
        <w:ind w:left="0" w:firstLine="0"/>
      </w:pPr>
      <w:r w:rsidRPr="000A1612">
        <w:rPr>
          <w:u w:val="single" w:color="000000"/>
        </w:rPr>
        <w:t>Pomocné látky so známym účinkom</w:t>
      </w:r>
    </w:p>
    <w:p w14:paraId="667FB04D" w14:textId="77777777" w:rsidR="004A4337" w:rsidRDefault="009A581E" w:rsidP="004A4337">
      <w:pPr>
        <w:widowControl w:val="0"/>
        <w:spacing w:after="0" w:line="240" w:lineRule="auto"/>
        <w:ind w:left="0" w:firstLine="0"/>
      </w:pPr>
      <w:r w:rsidRPr="000A1612">
        <w:t xml:space="preserve">Každá 0,5 mg filmom obalená tableta obsahuje </w:t>
      </w:r>
      <w:r w:rsidR="004A4337">
        <w:t>121</w:t>
      </w:r>
      <w:r w:rsidRPr="000A1612">
        <w:t xml:space="preserve"> mg </w:t>
      </w:r>
      <w:r w:rsidR="004A4337">
        <w:t xml:space="preserve">monohydrátu </w:t>
      </w:r>
      <w:r w:rsidRPr="000A1612">
        <w:t>laktózy.</w:t>
      </w:r>
    </w:p>
    <w:p w14:paraId="4B9B6558" w14:textId="77777777" w:rsidR="009A581E" w:rsidRPr="000A1612" w:rsidRDefault="009A581E" w:rsidP="004A4337">
      <w:pPr>
        <w:widowControl w:val="0"/>
        <w:spacing w:after="0" w:line="240" w:lineRule="auto"/>
        <w:ind w:left="0" w:firstLine="0"/>
      </w:pPr>
      <w:r w:rsidRPr="007737A2">
        <w:rPr>
          <w:highlight w:val="lightGray"/>
        </w:rPr>
        <w:t>Každá 1 mg filmom obalená tableta obsahuje 2</w:t>
      </w:r>
      <w:r w:rsidR="004A4337" w:rsidRPr="007737A2">
        <w:rPr>
          <w:highlight w:val="lightGray"/>
        </w:rPr>
        <w:t>42</w:t>
      </w:r>
      <w:r w:rsidRPr="007737A2">
        <w:rPr>
          <w:highlight w:val="lightGray"/>
        </w:rPr>
        <w:t xml:space="preserve"> mg </w:t>
      </w:r>
      <w:r w:rsidR="004A4337" w:rsidRPr="007737A2">
        <w:rPr>
          <w:highlight w:val="lightGray"/>
        </w:rPr>
        <w:t xml:space="preserve">monohydrátu </w:t>
      </w:r>
      <w:r w:rsidRPr="007737A2">
        <w:rPr>
          <w:highlight w:val="lightGray"/>
        </w:rPr>
        <w:t>laktózy.</w:t>
      </w:r>
    </w:p>
    <w:p w14:paraId="238BC5F9" w14:textId="77777777" w:rsidR="009A581E" w:rsidRPr="000A1612" w:rsidRDefault="009A581E" w:rsidP="009A581E">
      <w:pPr>
        <w:widowControl w:val="0"/>
        <w:spacing w:after="0" w:line="240" w:lineRule="auto"/>
        <w:ind w:left="0" w:firstLine="0"/>
      </w:pPr>
    </w:p>
    <w:p w14:paraId="4436B59A" w14:textId="77777777" w:rsidR="009A581E" w:rsidRPr="000A1612" w:rsidRDefault="009A581E" w:rsidP="009A581E">
      <w:pPr>
        <w:widowControl w:val="0"/>
        <w:spacing w:after="0" w:line="240" w:lineRule="auto"/>
        <w:ind w:left="0" w:right="44" w:firstLine="0"/>
      </w:pPr>
      <w:r w:rsidRPr="000A1612">
        <w:t>Úplný zoznam pomocných látok, pozri časť 6.1.</w:t>
      </w:r>
    </w:p>
    <w:p w14:paraId="01E1AE1D" w14:textId="77777777" w:rsidR="009A581E" w:rsidRPr="000A1612" w:rsidRDefault="009A581E" w:rsidP="009A581E">
      <w:pPr>
        <w:widowControl w:val="0"/>
        <w:spacing w:after="0" w:line="240" w:lineRule="auto"/>
        <w:ind w:left="0" w:firstLine="0"/>
      </w:pPr>
    </w:p>
    <w:p w14:paraId="49E147DB" w14:textId="77777777" w:rsidR="009A581E" w:rsidRPr="000A1612" w:rsidRDefault="009A581E" w:rsidP="009A581E">
      <w:pPr>
        <w:widowControl w:val="0"/>
        <w:spacing w:after="0" w:line="240" w:lineRule="auto"/>
        <w:ind w:left="0" w:firstLine="0"/>
      </w:pPr>
    </w:p>
    <w:p w14:paraId="628E74AD" w14:textId="77777777" w:rsidR="009A581E" w:rsidRPr="000A1612" w:rsidRDefault="009A581E" w:rsidP="00051D79">
      <w:pPr>
        <w:pStyle w:val="Nadpis1"/>
        <w:keepNext w:val="0"/>
        <w:keepLines w:val="0"/>
        <w:widowControl w:val="0"/>
        <w:numPr>
          <w:ilvl w:val="0"/>
          <w:numId w:val="36"/>
        </w:numPr>
        <w:tabs>
          <w:tab w:val="center" w:pos="567"/>
          <w:tab w:val="center" w:pos="2239"/>
        </w:tabs>
        <w:spacing w:after="0" w:line="240" w:lineRule="auto"/>
        <w:ind w:hanging="720"/>
      </w:pPr>
      <w:r w:rsidRPr="000A1612">
        <w:t>LIEKOVÁ FORMA</w:t>
      </w:r>
    </w:p>
    <w:p w14:paraId="0E1EF2B5" w14:textId="77777777" w:rsidR="009A581E" w:rsidRPr="000A1612" w:rsidRDefault="009A581E" w:rsidP="009A581E">
      <w:pPr>
        <w:widowControl w:val="0"/>
        <w:spacing w:after="0" w:line="240" w:lineRule="auto"/>
        <w:ind w:left="0" w:firstLine="0"/>
      </w:pPr>
    </w:p>
    <w:p w14:paraId="5451C5C5" w14:textId="77777777" w:rsidR="009A581E" w:rsidRPr="000A1612" w:rsidRDefault="009A581E" w:rsidP="009A581E">
      <w:pPr>
        <w:widowControl w:val="0"/>
        <w:spacing w:after="0" w:line="240" w:lineRule="auto"/>
        <w:ind w:left="0" w:right="44" w:firstLine="0"/>
      </w:pPr>
      <w:r w:rsidRPr="000A1612">
        <w:t>F</w:t>
      </w:r>
      <w:r w:rsidR="00051D79">
        <w:t>ilmom obalená tableta</w:t>
      </w:r>
      <w:r w:rsidR="004A4337">
        <w:t xml:space="preserve"> (tableta)</w:t>
      </w:r>
    </w:p>
    <w:p w14:paraId="601D035C" w14:textId="77777777" w:rsidR="009A581E" w:rsidRDefault="009A581E" w:rsidP="009A581E">
      <w:pPr>
        <w:widowControl w:val="0"/>
        <w:spacing w:after="0" w:line="240" w:lineRule="auto"/>
        <w:ind w:left="0" w:firstLine="0"/>
      </w:pPr>
    </w:p>
    <w:p w14:paraId="5416D6BC" w14:textId="4AB7FD5A" w:rsidR="00752E66" w:rsidRPr="000A1612" w:rsidRDefault="00752E66" w:rsidP="00752E66">
      <w:pPr>
        <w:widowControl w:val="0"/>
        <w:spacing w:after="0" w:line="240" w:lineRule="auto"/>
        <w:ind w:left="0" w:firstLine="0"/>
      </w:pPr>
      <w:r>
        <w:rPr>
          <w:u w:val="single" w:color="000000"/>
        </w:rPr>
        <w:t>Entecavir Glenmark</w:t>
      </w:r>
      <w:r w:rsidRPr="000A1612">
        <w:rPr>
          <w:u w:val="single" w:color="000000"/>
        </w:rPr>
        <w:t xml:space="preserve"> 0,5 mg</w:t>
      </w:r>
    </w:p>
    <w:p w14:paraId="0B38BCDF" w14:textId="77777777" w:rsidR="004A4337" w:rsidRDefault="00752E66" w:rsidP="004A4337">
      <w:pPr>
        <w:widowControl w:val="0"/>
        <w:spacing w:after="0" w:line="240" w:lineRule="auto"/>
        <w:ind w:left="0" w:right="-284"/>
      </w:pPr>
      <w:r>
        <w:t>B</w:t>
      </w:r>
      <w:r w:rsidR="004A4337" w:rsidRPr="004743FB">
        <w:t xml:space="preserve">iele </w:t>
      </w:r>
      <w:r w:rsidR="004A4337">
        <w:t xml:space="preserve">tablety oválneho </w:t>
      </w:r>
      <w:r w:rsidR="004A4337" w:rsidRPr="004743FB">
        <w:t>tvaru</w:t>
      </w:r>
      <w:r w:rsidR="004A4337">
        <w:t xml:space="preserve"> </w:t>
      </w:r>
      <w:r>
        <w:t xml:space="preserve">veľkosti 10,1 mm x 3,7 mm </w:t>
      </w:r>
      <w:r w:rsidR="004A4337">
        <w:t>s deliacou ryhou po oboch stranách</w:t>
      </w:r>
      <w:r w:rsidR="004A4337" w:rsidRPr="004743FB">
        <w:t>.</w:t>
      </w:r>
      <w:r w:rsidR="007B7AE7">
        <w:t xml:space="preserve"> Tableta sa môže rozdeliť na rovnaké dávky.</w:t>
      </w:r>
    </w:p>
    <w:p w14:paraId="1AB270EF" w14:textId="77777777" w:rsidR="00752E66" w:rsidRDefault="00752E66" w:rsidP="004A4337">
      <w:pPr>
        <w:widowControl w:val="0"/>
        <w:spacing w:after="0" w:line="240" w:lineRule="auto"/>
        <w:ind w:left="0" w:right="-284"/>
      </w:pPr>
    </w:p>
    <w:p w14:paraId="4AA343F6" w14:textId="0F7F3460" w:rsidR="00752E66" w:rsidRPr="007737A2" w:rsidRDefault="00752E66" w:rsidP="00752E66">
      <w:pPr>
        <w:widowControl w:val="0"/>
        <w:spacing w:after="0" w:line="240" w:lineRule="auto"/>
        <w:ind w:left="0" w:firstLine="0"/>
        <w:rPr>
          <w:highlight w:val="lightGray"/>
        </w:rPr>
      </w:pPr>
      <w:r w:rsidRPr="007737A2">
        <w:rPr>
          <w:highlight w:val="lightGray"/>
          <w:u w:val="single" w:color="000000"/>
        </w:rPr>
        <w:t>Entecavir Glenmark 1 mg</w:t>
      </w:r>
    </w:p>
    <w:p w14:paraId="7473049D" w14:textId="77777777" w:rsidR="004A4337" w:rsidRPr="007737A2" w:rsidRDefault="00752E66" w:rsidP="004A4337">
      <w:pPr>
        <w:widowControl w:val="0"/>
        <w:spacing w:after="0" w:line="240" w:lineRule="auto"/>
        <w:ind w:left="0" w:right="-284"/>
        <w:rPr>
          <w:highlight w:val="lightGray"/>
        </w:rPr>
      </w:pPr>
      <w:r w:rsidRPr="007737A2">
        <w:rPr>
          <w:highlight w:val="lightGray"/>
        </w:rPr>
        <w:t>R</w:t>
      </w:r>
      <w:r w:rsidR="004A4337" w:rsidRPr="007737A2">
        <w:rPr>
          <w:highlight w:val="lightGray"/>
        </w:rPr>
        <w:t xml:space="preserve">užové tablety oválneho tvaru </w:t>
      </w:r>
      <w:r w:rsidRPr="007737A2">
        <w:rPr>
          <w:highlight w:val="lightGray"/>
        </w:rPr>
        <w:t xml:space="preserve">veľkosti 12,8 mm x 4,8 mm </w:t>
      </w:r>
      <w:r w:rsidR="004A4337" w:rsidRPr="007737A2">
        <w:rPr>
          <w:highlight w:val="lightGray"/>
        </w:rPr>
        <w:t>s deliacou ryhou po oboch stranách.</w:t>
      </w:r>
    </w:p>
    <w:p w14:paraId="7B84E97A" w14:textId="77777777" w:rsidR="00752E66" w:rsidRDefault="00752E66" w:rsidP="004A4337">
      <w:pPr>
        <w:widowControl w:val="0"/>
        <w:spacing w:after="0" w:line="240" w:lineRule="auto"/>
        <w:ind w:left="0" w:right="-284"/>
      </w:pPr>
      <w:r w:rsidRPr="007737A2">
        <w:rPr>
          <w:highlight w:val="lightGray"/>
        </w:rPr>
        <w:t>Tableta sa môže rozdeliť na rovnaké dávky.</w:t>
      </w:r>
    </w:p>
    <w:p w14:paraId="34FDE3A2" w14:textId="77777777" w:rsidR="004A4337" w:rsidRPr="000A1612" w:rsidRDefault="004A4337" w:rsidP="009A581E">
      <w:pPr>
        <w:widowControl w:val="0"/>
        <w:spacing w:after="0" w:line="240" w:lineRule="auto"/>
        <w:ind w:left="0" w:firstLine="0"/>
      </w:pPr>
    </w:p>
    <w:p w14:paraId="0B129080" w14:textId="77777777" w:rsidR="009A581E" w:rsidRPr="000A1612" w:rsidRDefault="009A581E" w:rsidP="009A581E">
      <w:pPr>
        <w:widowControl w:val="0"/>
        <w:spacing w:after="0" w:line="240" w:lineRule="auto"/>
        <w:ind w:left="0" w:firstLine="0"/>
      </w:pPr>
    </w:p>
    <w:p w14:paraId="623E3F63" w14:textId="77777777" w:rsidR="009A581E" w:rsidRPr="000A1612" w:rsidRDefault="004A4337" w:rsidP="004A4337">
      <w:pPr>
        <w:pStyle w:val="Nadpis1"/>
        <w:keepNext w:val="0"/>
        <w:keepLines w:val="0"/>
        <w:widowControl w:val="0"/>
        <w:tabs>
          <w:tab w:val="left" w:pos="567"/>
          <w:tab w:val="center" w:pos="791"/>
          <w:tab w:val="center" w:pos="2232"/>
        </w:tabs>
        <w:spacing w:after="0" w:line="240" w:lineRule="auto"/>
        <w:ind w:left="0" w:firstLine="0"/>
      </w:pPr>
      <w:r>
        <w:t>4.</w:t>
      </w:r>
      <w:r w:rsidR="009A581E" w:rsidRPr="000A1612">
        <w:tab/>
        <w:t>KLINICKÉ ÚDAJE</w:t>
      </w:r>
    </w:p>
    <w:p w14:paraId="09129E59" w14:textId="77777777" w:rsidR="009A581E" w:rsidRPr="000A1612" w:rsidRDefault="009A581E" w:rsidP="009A581E">
      <w:pPr>
        <w:widowControl w:val="0"/>
        <w:spacing w:after="0" w:line="240" w:lineRule="auto"/>
        <w:ind w:left="0" w:firstLine="0"/>
      </w:pPr>
    </w:p>
    <w:p w14:paraId="2A516698" w14:textId="77777777" w:rsidR="009A581E" w:rsidRPr="002B404A" w:rsidRDefault="009A581E" w:rsidP="004A4337">
      <w:pPr>
        <w:pStyle w:val="Nadpis2"/>
        <w:keepNext w:val="0"/>
        <w:keepLines w:val="0"/>
        <w:widowControl w:val="0"/>
        <w:tabs>
          <w:tab w:val="left" w:pos="567"/>
          <w:tab w:val="center" w:pos="846"/>
          <w:tab w:val="center" w:pos="2354"/>
        </w:tabs>
        <w:spacing w:after="0" w:line="240" w:lineRule="auto"/>
        <w:ind w:left="0" w:firstLine="0"/>
        <w:rPr>
          <w:b w:val="0"/>
        </w:rPr>
      </w:pPr>
      <w:r w:rsidRPr="000A1612">
        <w:t>4.1</w:t>
      </w:r>
      <w:r w:rsidR="004A4337">
        <w:tab/>
      </w:r>
      <w:r w:rsidRPr="000A1612">
        <w:tab/>
        <w:t>Terapeutické indikácie</w:t>
      </w:r>
    </w:p>
    <w:p w14:paraId="0FD999C8" w14:textId="77777777" w:rsidR="009A581E" w:rsidRDefault="009A581E" w:rsidP="009A581E">
      <w:pPr>
        <w:widowControl w:val="0"/>
        <w:spacing w:after="0" w:line="240" w:lineRule="auto"/>
        <w:ind w:left="0" w:firstLine="0"/>
      </w:pPr>
    </w:p>
    <w:p w14:paraId="29ED48DA" w14:textId="77777777" w:rsidR="00752E66" w:rsidRPr="002B404A" w:rsidRDefault="00752E66" w:rsidP="009A581E">
      <w:pPr>
        <w:widowControl w:val="0"/>
        <w:spacing w:after="0" w:line="240" w:lineRule="auto"/>
        <w:ind w:left="0" w:firstLine="0"/>
      </w:pPr>
      <w:r w:rsidRPr="00752E66">
        <w:rPr>
          <w:b/>
        </w:rPr>
        <w:t>Indikácie pre dospelých</w:t>
      </w:r>
    </w:p>
    <w:p w14:paraId="0F1099B5" w14:textId="77777777" w:rsidR="009A581E" w:rsidRPr="000A1612" w:rsidRDefault="00752E66" w:rsidP="009A581E">
      <w:pPr>
        <w:widowControl w:val="0"/>
        <w:spacing w:after="0" w:line="240" w:lineRule="auto"/>
        <w:ind w:left="0" w:right="207" w:firstLine="0"/>
      </w:pPr>
      <w:r>
        <w:t>Liečba</w:t>
      </w:r>
      <w:r w:rsidR="009A581E" w:rsidRPr="000A1612">
        <w:t xml:space="preserve"> chronickej infekcie vírusom hepatitídy B (HBV</w:t>
      </w:r>
      <w:r w:rsidR="004A4337">
        <w:t>) (pozri časť 5.1) u</w:t>
      </w:r>
      <w:r>
        <w:t> </w:t>
      </w:r>
      <w:r w:rsidR="004A4337">
        <w:t>dospelých</w:t>
      </w:r>
      <w:r>
        <w:t xml:space="preserve"> s</w:t>
      </w:r>
      <w:r w:rsidR="004A4337">
        <w:t>:</w:t>
      </w:r>
    </w:p>
    <w:p w14:paraId="0AE56550" w14:textId="77777777" w:rsidR="009A581E" w:rsidRPr="000A1612" w:rsidRDefault="009A581E" w:rsidP="00752E66">
      <w:pPr>
        <w:widowControl w:val="0"/>
        <w:numPr>
          <w:ilvl w:val="0"/>
          <w:numId w:val="40"/>
        </w:numPr>
        <w:spacing w:after="0" w:line="240" w:lineRule="auto"/>
        <w:ind w:left="567" w:right="614" w:hanging="567"/>
      </w:pPr>
      <w:r w:rsidRPr="000A1612">
        <w:t>kompenzovaným ochorením pečene s dôkazmi o aktívnej vírusovej replikácii, trvale zvýšených sérových hladinách alanínaminotransferázy (ALT) a histologickými dôkazmi o aktívnom</w:t>
      </w:r>
      <w:r w:rsidR="00752E66">
        <w:t xml:space="preserve"> zápale a/alebo fibróze pečene,</w:t>
      </w:r>
    </w:p>
    <w:p w14:paraId="1D6C5627" w14:textId="77777777" w:rsidR="009A581E" w:rsidRPr="000A1612" w:rsidRDefault="009A581E" w:rsidP="00752E66">
      <w:pPr>
        <w:widowControl w:val="0"/>
        <w:numPr>
          <w:ilvl w:val="0"/>
          <w:numId w:val="40"/>
        </w:numPr>
        <w:spacing w:after="0" w:line="240" w:lineRule="auto"/>
        <w:ind w:left="567" w:right="614" w:hanging="567"/>
      </w:pPr>
      <w:r w:rsidRPr="000A1612">
        <w:t>dekompenzovaným ochorením pečene (pozri časť 4.4)</w:t>
      </w:r>
      <w:r w:rsidR="00752E66">
        <w:t>.</w:t>
      </w:r>
    </w:p>
    <w:p w14:paraId="6031D076" w14:textId="77777777" w:rsidR="009A581E" w:rsidRPr="000A1612" w:rsidRDefault="009A581E" w:rsidP="009A581E">
      <w:pPr>
        <w:widowControl w:val="0"/>
        <w:spacing w:after="0" w:line="240" w:lineRule="auto"/>
        <w:ind w:left="0" w:firstLine="0"/>
      </w:pPr>
    </w:p>
    <w:p w14:paraId="721724D8" w14:textId="77777777" w:rsidR="009A581E" w:rsidRPr="000A1612" w:rsidRDefault="009A581E" w:rsidP="009A581E">
      <w:pPr>
        <w:widowControl w:val="0"/>
        <w:spacing w:after="0" w:line="240" w:lineRule="auto"/>
        <w:ind w:left="0" w:right="44" w:firstLine="0"/>
      </w:pPr>
      <w:r w:rsidRPr="000A1612">
        <w:t>Pri kompenzovanom aj dekompenzovanom ochorení pečene sa táto indikácia zakladá na údajoch z klinických štúdií u pacientov bez predchádzajúcej liečby nukleozidmi s HBeAg pozitívnou a HBeAg negatívnou infekciou HBV. S ohľadom na pacientov s hepatitídou B refraktérnou na lamivudín, pozri časti 4.2, 4.4 a 5.1.</w:t>
      </w:r>
    </w:p>
    <w:p w14:paraId="7CED5479" w14:textId="77777777" w:rsidR="009A581E" w:rsidRDefault="009A581E" w:rsidP="009A581E">
      <w:pPr>
        <w:widowControl w:val="0"/>
        <w:spacing w:after="0" w:line="240" w:lineRule="auto"/>
        <w:ind w:left="0" w:firstLine="0"/>
      </w:pPr>
    </w:p>
    <w:p w14:paraId="37CE9646" w14:textId="77777777" w:rsidR="00752E66" w:rsidRPr="002B404A" w:rsidRDefault="00752E66" w:rsidP="009A581E">
      <w:pPr>
        <w:widowControl w:val="0"/>
        <w:spacing w:after="0" w:line="240" w:lineRule="auto"/>
        <w:ind w:left="0" w:firstLine="0"/>
      </w:pPr>
      <w:r w:rsidRPr="00752E66">
        <w:rPr>
          <w:b/>
        </w:rPr>
        <w:t>Pediatrická populácia</w:t>
      </w:r>
    </w:p>
    <w:p w14:paraId="0B67E010" w14:textId="77777777" w:rsidR="009A581E" w:rsidRPr="000A1612" w:rsidRDefault="00752E66" w:rsidP="009A581E">
      <w:pPr>
        <w:widowControl w:val="0"/>
        <w:spacing w:after="0" w:line="240" w:lineRule="auto"/>
        <w:ind w:left="0" w:right="44" w:firstLine="0"/>
      </w:pPr>
      <w:r>
        <w:t>Liečba</w:t>
      </w:r>
      <w:r w:rsidRPr="000A1612">
        <w:t xml:space="preserve"> </w:t>
      </w:r>
      <w:r w:rsidR="009A581E" w:rsidRPr="000A1612">
        <w:t xml:space="preserve">chronickej infekcie HBV u pediatrických pacientov bez predchádzajúcej liečby nukleozidmi vo veku od 2 do &lt; 18 rokov s kompenzovaným ochorením pečene, ktorí majú dokázanú aktívnu </w:t>
      </w:r>
      <w:r w:rsidR="009A581E" w:rsidRPr="000A1612">
        <w:lastRenderedPageBreak/>
        <w:t>vírusovú replikáciu a trvalo zvýšené sérové hladiny ALT alebo histologicky dokázaný stredne závažný až závažný zápal a/alebo fibrózu. S ohľadom na rozhodnutie začatia liečby u pediatrických pacientov, pozri časti 4.2, 4.4 a 5.1.</w:t>
      </w:r>
    </w:p>
    <w:p w14:paraId="2B0B771E" w14:textId="77777777" w:rsidR="009A581E" w:rsidRPr="000A1612" w:rsidRDefault="009A581E" w:rsidP="009A581E">
      <w:pPr>
        <w:widowControl w:val="0"/>
        <w:spacing w:after="0" w:line="240" w:lineRule="auto"/>
        <w:ind w:left="0" w:firstLine="0"/>
      </w:pPr>
    </w:p>
    <w:p w14:paraId="71E5814D" w14:textId="77777777" w:rsidR="009A581E" w:rsidRPr="002B404A" w:rsidRDefault="00752E66" w:rsidP="00752E66">
      <w:pPr>
        <w:pStyle w:val="Nadpis2"/>
        <w:keepNext w:val="0"/>
        <w:keepLines w:val="0"/>
        <w:widowControl w:val="0"/>
        <w:tabs>
          <w:tab w:val="left" w:pos="567"/>
          <w:tab w:val="center" w:pos="846"/>
          <w:tab w:val="center" w:pos="2777"/>
        </w:tabs>
        <w:spacing w:after="0" w:line="240" w:lineRule="auto"/>
        <w:ind w:left="0" w:firstLine="0"/>
        <w:rPr>
          <w:b w:val="0"/>
        </w:rPr>
      </w:pPr>
      <w:r>
        <w:t>4.2</w:t>
      </w:r>
      <w:r>
        <w:tab/>
      </w:r>
      <w:r w:rsidR="009A581E" w:rsidRPr="000A1612">
        <w:tab/>
        <w:t>Dávkovanie a spôsob podávania</w:t>
      </w:r>
    </w:p>
    <w:p w14:paraId="0C9E6B26" w14:textId="77777777" w:rsidR="009A581E" w:rsidRPr="000A1612" w:rsidRDefault="009A581E" w:rsidP="009A581E">
      <w:pPr>
        <w:widowControl w:val="0"/>
        <w:spacing w:after="0" w:line="240" w:lineRule="auto"/>
        <w:ind w:left="0" w:firstLine="0"/>
      </w:pPr>
    </w:p>
    <w:p w14:paraId="3481542B" w14:textId="77777777" w:rsidR="009A581E" w:rsidRPr="000A1612" w:rsidRDefault="009A581E" w:rsidP="009A581E">
      <w:pPr>
        <w:widowControl w:val="0"/>
        <w:spacing w:after="0" w:line="240" w:lineRule="auto"/>
        <w:ind w:left="0" w:right="44" w:firstLine="0"/>
      </w:pPr>
      <w:r w:rsidRPr="000A1612">
        <w:t xml:space="preserve">Liečbu má začať lekár so skúsenosťami s liečbou chronickej </w:t>
      </w:r>
      <w:r w:rsidR="0079030A">
        <w:t xml:space="preserve">infekcie </w:t>
      </w:r>
      <w:r w:rsidRPr="000A1612">
        <w:t>hepatitídy B.</w:t>
      </w:r>
    </w:p>
    <w:p w14:paraId="6086B469" w14:textId="77777777" w:rsidR="009A581E" w:rsidRPr="000A1612" w:rsidRDefault="009A581E" w:rsidP="009A581E">
      <w:pPr>
        <w:widowControl w:val="0"/>
        <w:spacing w:after="0" w:line="240" w:lineRule="auto"/>
        <w:ind w:left="0" w:firstLine="0"/>
      </w:pPr>
    </w:p>
    <w:p w14:paraId="2AC4023A" w14:textId="77777777" w:rsidR="009A581E" w:rsidRPr="000A1612" w:rsidRDefault="009A581E" w:rsidP="009A581E">
      <w:pPr>
        <w:widowControl w:val="0"/>
        <w:spacing w:after="0" w:line="240" w:lineRule="auto"/>
        <w:ind w:left="0" w:firstLine="0"/>
      </w:pPr>
      <w:r w:rsidRPr="000A1612">
        <w:rPr>
          <w:u w:val="single" w:color="000000"/>
        </w:rPr>
        <w:t>Dávkovanie</w:t>
      </w:r>
    </w:p>
    <w:p w14:paraId="3C963BFE" w14:textId="77777777" w:rsidR="009A581E" w:rsidRPr="000A1612" w:rsidRDefault="009A581E" w:rsidP="009A581E">
      <w:pPr>
        <w:widowControl w:val="0"/>
        <w:spacing w:after="0" w:line="240" w:lineRule="auto"/>
        <w:ind w:left="0" w:firstLine="0"/>
      </w:pPr>
    </w:p>
    <w:p w14:paraId="6A885FB4" w14:textId="77777777" w:rsidR="009A581E" w:rsidRPr="002B404A" w:rsidRDefault="009A581E" w:rsidP="009A581E">
      <w:pPr>
        <w:widowControl w:val="0"/>
        <w:spacing w:after="0" w:line="240" w:lineRule="auto"/>
        <w:ind w:left="0" w:firstLine="0"/>
      </w:pPr>
      <w:r w:rsidRPr="000A1612">
        <w:rPr>
          <w:i/>
        </w:rPr>
        <w:t>Kompenzované ochorenie pečene</w:t>
      </w:r>
    </w:p>
    <w:p w14:paraId="0CCC73D4" w14:textId="77777777" w:rsidR="009A581E" w:rsidRPr="002B404A" w:rsidRDefault="009A581E" w:rsidP="009A581E">
      <w:pPr>
        <w:widowControl w:val="0"/>
        <w:spacing w:after="0" w:line="240" w:lineRule="auto"/>
        <w:ind w:left="0" w:firstLine="0"/>
      </w:pPr>
    </w:p>
    <w:p w14:paraId="1A845406" w14:textId="77777777" w:rsidR="009A581E" w:rsidRPr="000A1612" w:rsidRDefault="009A581E" w:rsidP="009A581E">
      <w:pPr>
        <w:widowControl w:val="0"/>
        <w:spacing w:after="0" w:line="240" w:lineRule="auto"/>
        <w:ind w:left="0" w:right="44" w:firstLine="0"/>
      </w:pPr>
      <w:r w:rsidRPr="000A1612">
        <w:rPr>
          <w:i/>
        </w:rPr>
        <w:t>Pacienti bez predchádzajúcej liečby nukleozidmi:</w:t>
      </w:r>
      <w:r w:rsidRPr="000A1612">
        <w:t xml:space="preserve"> odporúčaná dávka u dospelých je 0,5 mg jedenkrát denne, s jedlom alebo bez jedla.</w:t>
      </w:r>
    </w:p>
    <w:p w14:paraId="61983302" w14:textId="77777777" w:rsidR="009A581E" w:rsidRPr="000A1612" w:rsidRDefault="009A581E" w:rsidP="009A581E">
      <w:pPr>
        <w:widowControl w:val="0"/>
        <w:spacing w:after="0" w:line="240" w:lineRule="auto"/>
        <w:ind w:left="0" w:firstLine="0"/>
      </w:pPr>
    </w:p>
    <w:p w14:paraId="26E9C2D9" w14:textId="77777777" w:rsidR="009A581E" w:rsidRPr="000A1612" w:rsidRDefault="009A581E" w:rsidP="009A581E">
      <w:pPr>
        <w:widowControl w:val="0"/>
        <w:spacing w:after="0" w:line="240" w:lineRule="auto"/>
        <w:ind w:left="0" w:right="44" w:firstLine="0"/>
      </w:pPr>
      <w:r w:rsidRPr="000A1612">
        <w:rPr>
          <w:i/>
        </w:rPr>
        <w:t>Pacienti refraktérni na lamivudín</w:t>
      </w:r>
      <w:r w:rsidRPr="000A1612">
        <w:t xml:space="preserve"> (t.j. s dôkazmi o virémii počas liečby lamivudínom, alebo s prítomnosťou typických mutácií spôsobujúcich rezistenciu na lamivudín [LVDr]) (pozri časti 4.4 a 5.1): odporúčaná dávka u dospelých je 1 mg jedenkrát denne, ktorá sa má užívať na prázdny žalúdok (viac ako 2 hodiny pred a viac ako 2 hodiny po jedle) (pozri časť 5.2). V prítomnosti mutácií LVDr sa má prednostne zvážiť použitie kombinácie entekaviru s druhou antivírusovou látkou (ktorá sa nepodieľa na skríženej rezistencii s lamivudínom ani s entekavirom) pred monoterapiou entekavirom (pozri časť 4.4).</w:t>
      </w:r>
    </w:p>
    <w:p w14:paraId="70E4C09E" w14:textId="77777777" w:rsidR="009A581E" w:rsidRPr="000A1612" w:rsidRDefault="009A581E" w:rsidP="009A581E">
      <w:pPr>
        <w:widowControl w:val="0"/>
        <w:spacing w:after="0" w:line="240" w:lineRule="auto"/>
        <w:ind w:left="0" w:firstLine="0"/>
      </w:pPr>
    </w:p>
    <w:p w14:paraId="12BE59AC" w14:textId="77777777" w:rsidR="009A581E" w:rsidRPr="000A1612" w:rsidRDefault="009A581E" w:rsidP="009A581E">
      <w:pPr>
        <w:widowControl w:val="0"/>
        <w:spacing w:after="0" w:line="240" w:lineRule="auto"/>
        <w:ind w:left="0" w:firstLine="0"/>
      </w:pPr>
      <w:r w:rsidRPr="000A1612">
        <w:rPr>
          <w:i/>
        </w:rPr>
        <w:t>Dekompenzované ochorenie pečene</w:t>
      </w:r>
    </w:p>
    <w:p w14:paraId="2B82E118" w14:textId="77777777" w:rsidR="009A581E" w:rsidRPr="000A1612" w:rsidRDefault="009A581E" w:rsidP="009A581E">
      <w:pPr>
        <w:widowControl w:val="0"/>
        <w:spacing w:after="0" w:line="240" w:lineRule="auto"/>
        <w:ind w:left="0" w:firstLine="0"/>
      </w:pPr>
    </w:p>
    <w:p w14:paraId="570225BE" w14:textId="77777777" w:rsidR="009A581E" w:rsidRPr="000A1612" w:rsidRDefault="009A581E" w:rsidP="009A581E">
      <w:pPr>
        <w:widowControl w:val="0"/>
        <w:spacing w:after="0" w:line="240" w:lineRule="auto"/>
        <w:ind w:left="0" w:right="44" w:firstLine="0"/>
      </w:pPr>
      <w:r w:rsidRPr="000A1612">
        <w:t>Odporúčaná dávka u dospelých pacientov s dekompenzovaným ochorením pečene je 1 mg jedenkrát denne, ktorá sa musí užiť na prázdny žalúdok (</w:t>
      </w:r>
      <w:r w:rsidR="009D1118">
        <w:t>viac ako</w:t>
      </w:r>
      <w:r w:rsidRPr="000A1612">
        <w:t xml:space="preserve"> 2 hodiny pred jedlom a </w:t>
      </w:r>
      <w:r w:rsidR="009D1118">
        <w:t>viac ako</w:t>
      </w:r>
      <w:r w:rsidR="009D1118" w:rsidRPr="000A1612">
        <w:t xml:space="preserve"> </w:t>
      </w:r>
      <w:r w:rsidRPr="000A1612">
        <w:t>2 hodiny po jedle) (pozri časť 5.2). U pacientov s hepatitídou B refraktérnou na lamivudín, pozri časti 4.4 a 5.1.</w:t>
      </w:r>
    </w:p>
    <w:p w14:paraId="086EC391" w14:textId="77777777" w:rsidR="009A581E" w:rsidRPr="00492FF2" w:rsidRDefault="009A581E" w:rsidP="009A581E">
      <w:pPr>
        <w:widowControl w:val="0"/>
        <w:spacing w:after="0" w:line="240" w:lineRule="auto"/>
        <w:ind w:left="0" w:firstLine="0"/>
      </w:pPr>
    </w:p>
    <w:p w14:paraId="1C51477A" w14:textId="77777777" w:rsidR="009A581E" w:rsidRPr="000A1612" w:rsidRDefault="009A581E" w:rsidP="009A581E">
      <w:pPr>
        <w:widowControl w:val="0"/>
        <w:spacing w:after="0" w:line="240" w:lineRule="auto"/>
        <w:ind w:left="0" w:firstLine="0"/>
      </w:pPr>
      <w:r w:rsidRPr="000A1612">
        <w:rPr>
          <w:i/>
        </w:rPr>
        <w:t>Trvanie liečby</w:t>
      </w:r>
    </w:p>
    <w:p w14:paraId="752FD6D4" w14:textId="77777777" w:rsidR="009A581E" w:rsidRPr="000A1612" w:rsidRDefault="009A581E" w:rsidP="009A581E">
      <w:pPr>
        <w:widowControl w:val="0"/>
        <w:spacing w:after="0" w:line="240" w:lineRule="auto"/>
        <w:ind w:left="0" w:right="44" w:firstLine="0"/>
      </w:pPr>
      <w:r w:rsidRPr="000A1612">
        <w:t xml:space="preserve">Optimálne trvanie liečby nie je známe. Môže sa zvážiť prerušenie liečby nasledujúcim spôsobom: </w:t>
      </w:r>
    </w:p>
    <w:p w14:paraId="4751761B" w14:textId="77777777" w:rsidR="009A581E" w:rsidRPr="000A1612" w:rsidRDefault="009A581E" w:rsidP="002B404A">
      <w:pPr>
        <w:widowControl w:val="0"/>
        <w:numPr>
          <w:ilvl w:val="0"/>
          <w:numId w:val="41"/>
        </w:numPr>
        <w:spacing w:after="0" w:line="240" w:lineRule="auto"/>
        <w:ind w:left="567" w:right="44" w:hanging="567"/>
      </w:pPr>
      <w:r w:rsidRPr="000A1612">
        <w:t>U HBeAg pozitívnych dospelých pacientov sa liečba má podávať aspoň do 12 mesiacov po dosiahnutí sérokonverzie HBe (strata HBeAg a HBV DNA spolu s detekciou anti-HBe v dvoch po sebe odobratých vzorkách séra, medzi ktorými je najmenej 3 - 6 mesačný interval) alebo do sérokonverzie HBs alebo do zistenia straty účin</w:t>
      </w:r>
      <w:r w:rsidR="00492FF2">
        <w:t>nosti (pozri časť 4.4).</w:t>
      </w:r>
    </w:p>
    <w:p w14:paraId="1B2CC3A6" w14:textId="77777777" w:rsidR="009A581E" w:rsidRPr="000A1612" w:rsidRDefault="009A581E" w:rsidP="002B404A">
      <w:pPr>
        <w:widowControl w:val="0"/>
        <w:numPr>
          <w:ilvl w:val="0"/>
          <w:numId w:val="41"/>
        </w:numPr>
        <w:spacing w:after="0" w:line="240" w:lineRule="auto"/>
        <w:ind w:left="567" w:right="44" w:hanging="567"/>
      </w:pPr>
      <w:r w:rsidRPr="000A1612">
        <w:t>U HBeAg negatívnych dospelých pacientov sa liečba má podávať aspoň do sérokonverzie HBs alebo do zistenia straty účinnosti. Pri dlhodobej liečbe trvajúcej viac ako 2 roky sa odporúča pravidelné prehodnotenie, aby sa potvrdilo, že pokračovanie zvolenej liečby je pre pacienta naďalej vhodné.</w:t>
      </w:r>
    </w:p>
    <w:p w14:paraId="1F5A88FB" w14:textId="77777777" w:rsidR="009A581E" w:rsidRPr="000A1612" w:rsidRDefault="009A581E" w:rsidP="009A581E">
      <w:pPr>
        <w:widowControl w:val="0"/>
        <w:spacing w:after="0" w:line="240" w:lineRule="auto"/>
        <w:ind w:left="0" w:firstLine="0"/>
      </w:pPr>
    </w:p>
    <w:p w14:paraId="6F45B835" w14:textId="77777777" w:rsidR="009A581E" w:rsidRPr="000A1612" w:rsidRDefault="009A581E" w:rsidP="009A581E">
      <w:pPr>
        <w:widowControl w:val="0"/>
        <w:spacing w:after="0" w:line="240" w:lineRule="auto"/>
        <w:ind w:left="0" w:right="44" w:firstLine="0"/>
      </w:pPr>
      <w:r w:rsidRPr="000A1612">
        <w:t>U pacientov s dekompenzovaným ochorením pečene alebo cirhózou sa prerušenie liečby neodporúča.</w:t>
      </w:r>
    </w:p>
    <w:p w14:paraId="60B8BDD7" w14:textId="77777777" w:rsidR="009A581E" w:rsidRPr="000A1612" w:rsidRDefault="009A581E" w:rsidP="009A581E">
      <w:pPr>
        <w:widowControl w:val="0"/>
        <w:spacing w:after="0" w:line="240" w:lineRule="auto"/>
        <w:ind w:left="0" w:firstLine="0"/>
      </w:pPr>
    </w:p>
    <w:p w14:paraId="2A57D339" w14:textId="77777777" w:rsidR="009A581E" w:rsidRPr="00492FF2" w:rsidRDefault="009A581E" w:rsidP="009A581E">
      <w:pPr>
        <w:widowControl w:val="0"/>
        <w:spacing w:after="0" w:line="240" w:lineRule="auto"/>
        <w:ind w:left="0" w:firstLine="0"/>
      </w:pPr>
      <w:r w:rsidRPr="000A1612">
        <w:rPr>
          <w:i/>
        </w:rPr>
        <w:t>Pediatrická populácia</w:t>
      </w:r>
    </w:p>
    <w:p w14:paraId="064EFDB0" w14:textId="77777777" w:rsidR="009A581E" w:rsidRPr="00492FF2" w:rsidRDefault="009A581E" w:rsidP="009A581E">
      <w:pPr>
        <w:widowControl w:val="0"/>
        <w:spacing w:after="0" w:line="240" w:lineRule="auto"/>
        <w:ind w:left="0" w:firstLine="0"/>
      </w:pPr>
    </w:p>
    <w:p w14:paraId="1F670375" w14:textId="77777777" w:rsidR="009A581E" w:rsidRPr="000A1612" w:rsidRDefault="009A581E" w:rsidP="009A581E">
      <w:pPr>
        <w:widowControl w:val="0"/>
        <w:spacing w:after="0" w:line="240" w:lineRule="auto"/>
        <w:ind w:left="0" w:right="44" w:firstLine="0"/>
      </w:pPr>
      <w:r w:rsidRPr="000A1612">
        <w:t>Na vhodné dávkovanie v pediatrickej populácii sú dostupné</w:t>
      </w:r>
      <w:r w:rsidR="00492FF2" w:rsidRPr="000A1612">
        <w:t xml:space="preserve"> </w:t>
      </w:r>
      <w:r w:rsidR="00130E2E">
        <w:t>Entecavir Glenmark</w:t>
      </w:r>
      <w:r w:rsidRPr="000A1612">
        <w:t xml:space="preserve"> </w:t>
      </w:r>
      <w:r w:rsidR="00492FF2" w:rsidRPr="000A1612">
        <w:t>0,5 mg</w:t>
      </w:r>
      <w:r w:rsidR="00352F40">
        <w:t xml:space="preserve"> filmom obalené tablety</w:t>
      </w:r>
      <w:r w:rsidR="00492FF2">
        <w:t xml:space="preserve"> </w:t>
      </w:r>
      <w:r w:rsidR="00352F40">
        <w:t xml:space="preserve">a </w:t>
      </w:r>
      <w:r w:rsidR="00492FF2">
        <w:t xml:space="preserve">pre dávky nižšie ako 0,5 mg </w:t>
      </w:r>
      <w:r w:rsidR="00352F40">
        <w:t>je dostupný</w:t>
      </w:r>
      <w:r w:rsidR="00492FF2">
        <w:t xml:space="preserve"> </w:t>
      </w:r>
      <w:r w:rsidRPr="000A1612">
        <w:t>perorálny roztok</w:t>
      </w:r>
      <w:r w:rsidR="00492FF2">
        <w:t>.</w:t>
      </w:r>
    </w:p>
    <w:p w14:paraId="4DFC7406" w14:textId="77777777" w:rsidR="009A581E" w:rsidRPr="000A1612" w:rsidRDefault="009A581E" w:rsidP="009A581E">
      <w:pPr>
        <w:widowControl w:val="0"/>
        <w:spacing w:after="0" w:line="240" w:lineRule="auto"/>
        <w:ind w:left="0" w:firstLine="0"/>
      </w:pPr>
    </w:p>
    <w:p w14:paraId="68FBDFD2" w14:textId="77777777" w:rsidR="009A581E" w:rsidRPr="000A1612" w:rsidRDefault="009A581E" w:rsidP="009A581E">
      <w:pPr>
        <w:widowControl w:val="0"/>
        <w:spacing w:after="0" w:line="240" w:lineRule="auto"/>
        <w:ind w:left="0" w:right="44" w:firstLine="0"/>
      </w:pPr>
      <w:r w:rsidRPr="000A1612">
        <w:t xml:space="preserve">Rozhodnutie liečiť pediatrických pacientov sa má zakladať na dôkladnom zohľadnení </w:t>
      </w:r>
      <w:r w:rsidR="00352F40">
        <w:t xml:space="preserve">individuálnych </w:t>
      </w:r>
      <w:r w:rsidRPr="000A1612">
        <w:t xml:space="preserve">potrieb pacienta a má zohľadňovať súčasné postupy liečby v pediatrii vrátane hodnotenia základných histologických informácií. Prínosy dlhodobej virologickej supresie pri pokračovaní v liečbe sa musia zvážiť voči riziku dlhodobej liečby vrátane vzniku rezistentného vírusu hepatitídy B. </w:t>
      </w:r>
    </w:p>
    <w:p w14:paraId="21C66CBC" w14:textId="77777777" w:rsidR="009A581E" w:rsidRPr="000A1612" w:rsidRDefault="009A581E" w:rsidP="009A581E">
      <w:pPr>
        <w:widowControl w:val="0"/>
        <w:spacing w:after="0" w:line="240" w:lineRule="auto"/>
        <w:ind w:left="0" w:firstLine="0"/>
      </w:pPr>
    </w:p>
    <w:p w14:paraId="54461BEC" w14:textId="77777777" w:rsidR="009A581E" w:rsidRPr="000A1612" w:rsidRDefault="009A581E" w:rsidP="009A581E">
      <w:pPr>
        <w:widowControl w:val="0"/>
        <w:spacing w:after="0" w:line="240" w:lineRule="auto"/>
        <w:ind w:left="0" w:right="372" w:firstLine="0"/>
      </w:pPr>
      <w:r w:rsidRPr="000A1612">
        <w:t>Pred liečbou pediatrických pacientov s kompenzovaným ochorením pečene musí byť sérová ALT trvalo zvýšená počas minimálne 6 mesiacov z dôvodu HBeAg pozitívnej chronickej hepatitídy B; a počas minimálne 12 mesiacov u pacientov s HBeAg negatívnym ochorením.</w:t>
      </w:r>
    </w:p>
    <w:p w14:paraId="20AA0C58" w14:textId="77777777" w:rsidR="009A581E" w:rsidRPr="000A1612" w:rsidRDefault="009A581E" w:rsidP="009A581E">
      <w:pPr>
        <w:widowControl w:val="0"/>
        <w:spacing w:after="0" w:line="240" w:lineRule="auto"/>
        <w:ind w:left="0" w:firstLine="0"/>
      </w:pPr>
    </w:p>
    <w:p w14:paraId="36A85D1E" w14:textId="77777777" w:rsidR="009A581E" w:rsidRPr="000A1612" w:rsidRDefault="009A581E" w:rsidP="009A581E">
      <w:pPr>
        <w:widowControl w:val="0"/>
        <w:spacing w:after="0" w:line="240" w:lineRule="auto"/>
        <w:ind w:left="0" w:right="44" w:firstLine="0"/>
      </w:pPr>
      <w:r w:rsidRPr="000A1612">
        <w:t xml:space="preserve">Pediatrickým pacientom s telesnou hmotnosťou minimálne 32,6 kg sa má podávať denná dávka jedna </w:t>
      </w:r>
      <w:r w:rsidRPr="000A1612">
        <w:lastRenderedPageBreak/>
        <w:t xml:space="preserve">0,5 mg tableta </w:t>
      </w:r>
      <w:r w:rsidR="00492FF2">
        <w:t xml:space="preserve">s jedlom alebo bez jedla. </w:t>
      </w:r>
      <w:r w:rsidRPr="000A1612">
        <w:t xml:space="preserve">Perorálny roztok sa má používať u pacientov s telesnou hmotnosťou nižšou </w:t>
      </w:r>
      <w:r w:rsidR="00492FF2">
        <w:t>ako</w:t>
      </w:r>
      <w:r w:rsidRPr="000A1612">
        <w:t xml:space="preserve"> 32,6 kg.</w:t>
      </w:r>
    </w:p>
    <w:p w14:paraId="740916DF" w14:textId="77777777" w:rsidR="009A581E" w:rsidRPr="000A1612" w:rsidRDefault="009A581E" w:rsidP="009A581E">
      <w:pPr>
        <w:widowControl w:val="0"/>
        <w:spacing w:after="0" w:line="240" w:lineRule="auto"/>
        <w:ind w:left="0" w:firstLine="0"/>
      </w:pPr>
    </w:p>
    <w:p w14:paraId="1BBF5416" w14:textId="77777777" w:rsidR="009A581E" w:rsidRPr="000A1612" w:rsidRDefault="009A581E" w:rsidP="009A581E">
      <w:pPr>
        <w:widowControl w:val="0"/>
        <w:spacing w:after="0" w:line="240" w:lineRule="auto"/>
        <w:ind w:left="0" w:firstLine="0"/>
      </w:pPr>
      <w:r w:rsidRPr="000A1612">
        <w:rPr>
          <w:i/>
        </w:rPr>
        <w:t>Dĺžka liečby u pediatrických p</w:t>
      </w:r>
      <w:r w:rsidR="00492FF2">
        <w:rPr>
          <w:i/>
        </w:rPr>
        <w:t>acientov</w:t>
      </w:r>
    </w:p>
    <w:p w14:paraId="16099933" w14:textId="77777777" w:rsidR="00492FF2" w:rsidRPr="000A1612" w:rsidRDefault="009A581E" w:rsidP="009A581E">
      <w:pPr>
        <w:widowControl w:val="0"/>
        <w:spacing w:after="0" w:line="240" w:lineRule="auto"/>
        <w:ind w:left="0" w:right="44" w:firstLine="0"/>
      </w:pPr>
      <w:r w:rsidRPr="000A1612">
        <w:t>Optimálna dĺžka liečby nie je známa. V súlade so súčasnými postupmi v pediatrickej praxi možno zvážiť preruš</w:t>
      </w:r>
      <w:r w:rsidR="00492FF2">
        <w:t>enie liečby podľa nasledovného:</w:t>
      </w:r>
    </w:p>
    <w:p w14:paraId="0946FEC4" w14:textId="77777777" w:rsidR="009A581E" w:rsidRPr="000A1612" w:rsidRDefault="009A581E" w:rsidP="00492FF2">
      <w:pPr>
        <w:widowControl w:val="0"/>
        <w:numPr>
          <w:ilvl w:val="0"/>
          <w:numId w:val="42"/>
        </w:numPr>
        <w:spacing w:after="0" w:line="240" w:lineRule="auto"/>
        <w:ind w:left="567" w:right="44" w:hanging="567"/>
      </w:pPr>
      <w:r w:rsidRPr="000A1612">
        <w:t>U HBeAg pozitívnych pediatrických pacientov sa má liečba podávať minimálne 12 mesiacov po dosiahnutí nedetekovateľnej HBV DNA a do sérokonverzie HBeAg (strata HBeAg a detekcia anti-HBe v dvoch po sebe odobratých vzorkách séra s minimálne 3 – 6 mesačným intervalom) alebo do sérokonverzie HBs alebo do straty účinnosti. Hladiny sérovej ALT a HBV DNA sa majú po prerušení liečby pravid</w:t>
      </w:r>
      <w:r w:rsidR="00492FF2">
        <w:t>elne sledovať (pozri časť 4.4).</w:t>
      </w:r>
    </w:p>
    <w:p w14:paraId="03A85264" w14:textId="77777777" w:rsidR="009A581E" w:rsidRPr="000A1612" w:rsidRDefault="009A581E" w:rsidP="00492FF2">
      <w:pPr>
        <w:widowControl w:val="0"/>
        <w:numPr>
          <w:ilvl w:val="0"/>
          <w:numId w:val="42"/>
        </w:numPr>
        <w:spacing w:after="0" w:line="240" w:lineRule="auto"/>
        <w:ind w:left="567" w:right="44" w:hanging="567"/>
      </w:pPr>
      <w:r w:rsidRPr="000A1612">
        <w:t>U HBeAg negatívnych pediatrických pacientov sa má liečba podávať do sérokonverzie HBs alebo do preukázania straty účinnosti.</w:t>
      </w:r>
    </w:p>
    <w:p w14:paraId="6B6D67BE" w14:textId="77777777" w:rsidR="009A581E" w:rsidRPr="000A1612" w:rsidRDefault="009A581E" w:rsidP="009A581E">
      <w:pPr>
        <w:widowControl w:val="0"/>
        <w:spacing w:after="0" w:line="240" w:lineRule="auto"/>
        <w:ind w:left="0" w:firstLine="0"/>
      </w:pPr>
    </w:p>
    <w:p w14:paraId="5F31E4AC" w14:textId="77777777" w:rsidR="009A581E" w:rsidRPr="000A1612" w:rsidRDefault="009A581E" w:rsidP="009A581E">
      <w:pPr>
        <w:widowControl w:val="0"/>
        <w:spacing w:after="0" w:line="240" w:lineRule="auto"/>
        <w:ind w:left="0" w:right="44" w:firstLine="0"/>
      </w:pPr>
      <w:r w:rsidRPr="000A1612">
        <w:t>Farmakokinetika u pediatrických pacientov s poruchou funkcie obličiek alebo pečene sa neskúmala.</w:t>
      </w:r>
    </w:p>
    <w:p w14:paraId="181E960B" w14:textId="77777777" w:rsidR="009A581E" w:rsidRPr="000A1612" w:rsidRDefault="009A581E" w:rsidP="009A581E">
      <w:pPr>
        <w:widowControl w:val="0"/>
        <w:spacing w:after="0" w:line="240" w:lineRule="auto"/>
        <w:ind w:left="0" w:firstLine="0"/>
      </w:pPr>
    </w:p>
    <w:p w14:paraId="686EEBA0" w14:textId="77777777" w:rsidR="009A581E" w:rsidRPr="000A1612" w:rsidRDefault="009A581E" w:rsidP="009A581E">
      <w:pPr>
        <w:widowControl w:val="0"/>
        <w:spacing w:after="0" w:line="240" w:lineRule="auto"/>
        <w:ind w:left="0" w:right="44" w:firstLine="0"/>
      </w:pPr>
      <w:r w:rsidRPr="000A1612">
        <w:rPr>
          <w:i/>
        </w:rPr>
        <w:t>Staršie osoby:</w:t>
      </w:r>
      <w:r w:rsidRPr="000A1612">
        <w:t xml:space="preserve"> nie je potrebná žiadna úprava dávky vzhľadom na vek. Dávka sa má upraviť podľa funkcie obličiek pacienta (pozri odporúčané dávkovanie pri poruche funkcie obličiek a časť 5.2).</w:t>
      </w:r>
    </w:p>
    <w:p w14:paraId="02524BD8" w14:textId="77777777" w:rsidR="009A581E" w:rsidRPr="000A1612" w:rsidRDefault="009A581E" w:rsidP="009A581E">
      <w:pPr>
        <w:widowControl w:val="0"/>
        <w:spacing w:after="0" w:line="240" w:lineRule="auto"/>
        <w:ind w:left="0" w:firstLine="0"/>
      </w:pPr>
    </w:p>
    <w:p w14:paraId="2A345478" w14:textId="77777777" w:rsidR="009A581E" w:rsidRPr="000A1612" w:rsidRDefault="009A581E" w:rsidP="009A581E">
      <w:pPr>
        <w:widowControl w:val="0"/>
        <w:spacing w:after="0" w:line="240" w:lineRule="auto"/>
        <w:ind w:left="0" w:right="44" w:firstLine="0"/>
      </w:pPr>
      <w:r w:rsidRPr="000A1612">
        <w:rPr>
          <w:i/>
        </w:rPr>
        <w:t>Pohlavie a rasa:</w:t>
      </w:r>
      <w:r w:rsidRPr="000A1612">
        <w:t xml:space="preserve"> nie je potrebná žiadna úprava dávky vzhľadom na pohlavie alebo rasu.</w:t>
      </w:r>
    </w:p>
    <w:p w14:paraId="34993F83" w14:textId="77777777" w:rsidR="009A581E" w:rsidRPr="000A1612" w:rsidRDefault="009A581E" w:rsidP="009A581E">
      <w:pPr>
        <w:widowControl w:val="0"/>
        <w:spacing w:after="0" w:line="240" w:lineRule="auto"/>
        <w:ind w:left="0" w:firstLine="0"/>
      </w:pPr>
    </w:p>
    <w:p w14:paraId="76264CBE" w14:textId="77777777" w:rsidR="009A581E" w:rsidRPr="000A1612" w:rsidRDefault="009A581E" w:rsidP="009A581E">
      <w:pPr>
        <w:widowControl w:val="0"/>
        <w:spacing w:after="0" w:line="240" w:lineRule="auto"/>
        <w:ind w:left="0" w:right="44" w:firstLine="0"/>
      </w:pPr>
      <w:r w:rsidRPr="000A1612">
        <w:rPr>
          <w:i/>
        </w:rPr>
        <w:t>Porucha funkcie obličiek:</w:t>
      </w:r>
      <w:r w:rsidRPr="000A1612">
        <w:t xml:space="preserve"> klírens entekaviru sa znižuje so znižujúcim sa klírensom kreatinínu (pozri časť 5.2). U pacientov s klírensom kreatinínu &lt; 50 ml/min, vrátane pacientov na hemodialýze alebo kontinuálnej ambulantnej peritoneálnej dialýze (CAPD), sa odporúča úprava dávky. Odporúča sa redukcia dennej dávky </w:t>
      </w:r>
      <w:r w:rsidR="00130E2E">
        <w:t>Entecavir Glenmark</w:t>
      </w:r>
      <w:r w:rsidRPr="000A1612">
        <w:t xml:space="preserve"> perorálneho roztoku</w:t>
      </w:r>
      <w:r w:rsidR="008046A1">
        <w:t>,</w:t>
      </w:r>
      <w:r w:rsidRPr="000A1612">
        <w:t xml:space="preserve"> ako je uvedené v tabuľke. Alternatívne, ak nie je perorálny roztok dostupný, môže sa dávka prispôsobiť zvýšením dávkovacieho intervalu tak, ako je uvedené v tabuľke. Navrhovaná úprava dávky je založená na extrapolácii limitovaných údajov a ich bezpečnosť a účinnosť nebola klinicky hodnotená. Preto sa má virologická odpoveď starostlivo monitorovať.</w:t>
      </w:r>
    </w:p>
    <w:p w14:paraId="365B1228" w14:textId="77777777" w:rsidR="009A581E" w:rsidRPr="000A1612" w:rsidRDefault="009A581E" w:rsidP="009A581E">
      <w:pPr>
        <w:widowControl w:val="0"/>
        <w:spacing w:after="0" w:line="240" w:lineRule="auto"/>
        <w:ind w:left="0" w:firstLine="0"/>
      </w:pPr>
    </w:p>
    <w:tbl>
      <w:tblPr>
        <w:tblStyle w:val="TableGrid"/>
        <w:tblW w:w="8931" w:type="dxa"/>
        <w:tblInd w:w="-8" w:type="dxa"/>
        <w:tblCellMar>
          <w:top w:w="53" w:type="dxa"/>
          <w:left w:w="115" w:type="dxa"/>
          <w:right w:w="115" w:type="dxa"/>
        </w:tblCellMar>
        <w:tblLook w:val="04A0" w:firstRow="1" w:lastRow="0" w:firstColumn="1" w:lastColumn="0" w:noHBand="0" w:noVBand="1"/>
      </w:tblPr>
      <w:tblGrid>
        <w:gridCol w:w="2419"/>
        <w:gridCol w:w="3300"/>
        <w:gridCol w:w="3212"/>
      </w:tblGrid>
      <w:tr w:rsidR="009A581E" w:rsidRPr="000A1612" w14:paraId="1592FA65" w14:textId="77777777" w:rsidTr="00492FF2">
        <w:trPr>
          <w:trHeight w:val="418"/>
        </w:trPr>
        <w:tc>
          <w:tcPr>
            <w:tcW w:w="2419" w:type="dxa"/>
            <w:vMerge w:val="restart"/>
            <w:tcBorders>
              <w:top w:val="single" w:sz="6" w:space="0" w:color="000000"/>
              <w:left w:val="single" w:sz="6" w:space="0" w:color="000000"/>
              <w:bottom w:val="single" w:sz="6" w:space="0" w:color="000000"/>
              <w:right w:val="single" w:sz="6" w:space="0" w:color="000000"/>
            </w:tcBorders>
          </w:tcPr>
          <w:p w14:paraId="5ED44931" w14:textId="77777777" w:rsidR="009A581E" w:rsidRPr="000A1612" w:rsidRDefault="009A581E" w:rsidP="00130E2E">
            <w:pPr>
              <w:widowControl w:val="0"/>
              <w:spacing w:after="0" w:line="240" w:lineRule="auto"/>
              <w:ind w:left="0" w:firstLine="0"/>
              <w:jc w:val="center"/>
            </w:pPr>
          </w:p>
          <w:p w14:paraId="1108D3A4" w14:textId="77777777" w:rsidR="009A581E" w:rsidRPr="000A1612" w:rsidRDefault="009A581E" w:rsidP="00130E2E">
            <w:pPr>
              <w:widowControl w:val="0"/>
              <w:spacing w:after="0" w:line="240" w:lineRule="auto"/>
              <w:ind w:left="0" w:firstLine="0"/>
              <w:jc w:val="center"/>
            </w:pPr>
            <w:r w:rsidRPr="000A1612">
              <w:rPr>
                <w:b/>
              </w:rPr>
              <w:t xml:space="preserve">Klírens kreatinínu </w:t>
            </w:r>
          </w:p>
          <w:p w14:paraId="1AABF134" w14:textId="77777777" w:rsidR="009A581E" w:rsidRPr="000A1612" w:rsidRDefault="009A581E" w:rsidP="00130E2E">
            <w:pPr>
              <w:widowControl w:val="0"/>
              <w:spacing w:after="0" w:line="240" w:lineRule="auto"/>
              <w:ind w:left="0" w:firstLine="0"/>
              <w:jc w:val="center"/>
            </w:pPr>
            <w:r w:rsidRPr="000A1612">
              <w:rPr>
                <w:b/>
              </w:rPr>
              <w:t>(ml/min</w:t>
            </w:r>
            <w:r w:rsidR="00492FF2">
              <w:t>)</w:t>
            </w:r>
          </w:p>
          <w:p w14:paraId="51511B53" w14:textId="77777777" w:rsidR="009A581E" w:rsidRPr="000A1612" w:rsidRDefault="009A581E" w:rsidP="00130E2E">
            <w:pPr>
              <w:widowControl w:val="0"/>
              <w:spacing w:after="0" w:line="240" w:lineRule="auto"/>
              <w:ind w:left="0" w:firstLine="0"/>
              <w:jc w:val="center"/>
            </w:pPr>
          </w:p>
        </w:tc>
        <w:tc>
          <w:tcPr>
            <w:tcW w:w="6512" w:type="dxa"/>
            <w:gridSpan w:val="2"/>
            <w:tcBorders>
              <w:top w:val="single" w:sz="6" w:space="0" w:color="000000"/>
              <w:left w:val="single" w:sz="6" w:space="0" w:color="000000"/>
              <w:bottom w:val="single" w:sz="6" w:space="0" w:color="000000"/>
              <w:right w:val="single" w:sz="6" w:space="0" w:color="000000"/>
            </w:tcBorders>
          </w:tcPr>
          <w:p w14:paraId="2F922B46" w14:textId="18D06687" w:rsidR="009A581E" w:rsidRPr="000A1612" w:rsidRDefault="009A581E" w:rsidP="00130E2E">
            <w:pPr>
              <w:widowControl w:val="0"/>
              <w:spacing w:after="0" w:line="240" w:lineRule="auto"/>
              <w:ind w:left="0" w:firstLine="0"/>
              <w:jc w:val="center"/>
            </w:pPr>
            <w:r w:rsidRPr="000A1612">
              <w:rPr>
                <w:b/>
              </w:rPr>
              <w:t xml:space="preserve">Dávkovanie </w:t>
            </w:r>
            <w:r w:rsidR="00130E2E">
              <w:rPr>
                <w:b/>
              </w:rPr>
              <w:t>Entecavir Glenmark</w:t>
            </w:r>
          </w:p>
        </w:tc>
      </w:tr>
      <w:tr w:rsidR="009A581E" w:rsidRPr="000A1612" w14:paraId="2568A69F" w14:textId="77777777" w:rsidTr="00492FF2">
        <w:trPr>
          <w:trHeight w:val="1282"/>
        </w:trPr>
        <w:tc>
          <w:tcPr>
            <w:tcW w:w="0" w:type="auto"/>
            <w:vMerge/>
            <w:tcBorders>
              <w:top w:val="nil"/>
              <w:left w:val="single" w:sz="6" w:space="0" w:color="000000"/>
              <w:bottom w:val="single" w:sz="6" w:space="0" w:color="000000"/>
              <w:right w:val="single" w:sz="6" w:space="0" w:color="000000"/>
            </w:tcBorders>
          </w:tcPr>
          <w:p w14:paraId="429C9FA0" w14:textId="77777777" w:rsidR="009A581E" w:rsidRPr="000A1612" w:rsidRDefault="009A581E" w:rsidP="00130E2E">
            <w:pPr>
              <w:widowControl w:val="0"/>
              <w:spacing w:after="0" w:line="240" w:lineRule="auto"/>
              <w:ind w:left="0" w:firstLine="0"/>
            </w:pPr>
          </w:p>
        </w:tc>
        <w:tc>
          <w:tcPr>
            <w:tcW w:w="3300" w:type="dxa"/>
            <w:tcBorders>
              <w:top w:val="single" w:sz="6" w:space="0" w:color="000000"/>
              <w:left w:val="single" w:sz="6" w:space="0" w:color="000000"/>
              <w:bottom w:val="single" w:sz="6" w:space="0" w:color="000000"/>
              <w:right w:val="single" w:sz="6" w:space="0" w:color="000000"/>
            </w:tcBorders>
          </w:tcPr>
          <w:p w14:paraId="0DA49A0A" w14:textId="77777777" w:rsidR="009A581E" w:rsidRPr="000A1612" w:rsidRDefault="009A581E" w:rsidP="00130E2E">
            <w:pPr>
              <w:widowControl w:val="0"/>
              <w:spacing w:after="0" w:line="240" w:lineRule="auto"/>
              <w:ind w:left="0" w:firstLine="0"/>
              <w:jc w:val="center"/>
            </w:pPr>
            <w:r w:rsidRPr="000A1612">
              <w:rPr>
                <w:b/>
              </w:rPr>
              <w:t>Pacienti bez pre</w:t>
            </w:r>
            <w:r w:rsidR="00492FF2">
              <w:rPr>
                <w:b/>
              </w:rPr>
              <w:t>dchádzajúcej liečby nukleozidmi</w:t>
            </w:r>
          </w:p>
          <w:p w14:paraId="7EB62E19" w14:textId="77777777" w:rsidR="009A581E" w:rsidRPr="000A1612" w:rsidRDefault="009A581E" w:rsidP="00130E2E">
            <w:pPr>
              <w:widowControl w:val="0"/>
              <w:spacing w:after="0" w:line="240" w:lineRule="auto"/>
              <w:ind w:left="0" w:firstLine="0"/>
              <w:jc w:val="center"/>
            </w:pPr>
          </w:p>
        </w:tc>
        <w:tc>
          <w:tcPr>
            <w:tcW w:w="3212" w:type="dxa"/>
            <w:tcBorders>
              <w:top w:val="single" w:sz="6" w:space="0" w:color="000000"/>
              <w:left w:val="single" w:sz="6" w:space="0" w:color="000000"/>
              <w:bottom w:val="single" w:sz="6" w:space="0" w:color="000000"/>
              <w:right w:val="single" w:sz="6" w:space="0" w:color="000000"/>
            </w:tcBorders>
          </w:tcPr>
          <w:p w14:paraId="2E136553" w14:textId="77777777" w:rsidR="009A581E" w:rsidRPr="000A1612" w:rsidRDefault="009A581E" w:rsidP="00130E2E">
            <w:pPr>
              <w:widowControl w:val="0"/>
              <w:spacing w:after="0" w:line="240" w:lineRule="auto"/>
              <w:ind w:left="0" w:firstLine="0"/>
              <w:jc w:val="center"/>
            </w:pPr>
            <w:r w:rsidRPr="000A1612">
              <w:rPr>
                <w:b/>
              </w:rPr>
              <w:t xml:space="preserve">Pacienti refraktérni na lamivudín alebo </w:t>
            </w:r>
          </w:p>
          <w:p w14:paraId="3922FEE3" w14:textId="77777777" w:rsidR="009A581E" w:rsidRPr="000A1612" w:rsidRDefault="009A581E" w:rsidP="00130E2E">
            <w:pPr>
              <w:widowControl w:val="0"/>
              <w:spacing w:after="0" w:line="240" w:lineRule="auto"/>
              <w:ind w:left="0" w:right="1" w:firstLine="0"/>
              <w:jc w:val="center"/>
            </w:pPr>
            <w:r w:rsidRPr="000A1612">
              <w:rPr>
                <w:b/>
              </w:rPr>
              <w:t xml:space="preserve">s dekompenzovaným </w:t>
            </w:r>
          </w:p>
          <w:p w14:paraId="0E992D39" w14:textId="77777777" w:rsidR="009A581E" w:rsidRPr="000A1612" w:rsidRDefault="00492FF2" w:rsidP="00492FF2">
            <w:pPr>
              <w:widowControl w:val="0"/>
              <w:spacing w:after="0" w:line="240" w:lineRule="auto"/>
              <w:ind w:left="0" w:firstLine="0"/>
              <w:jc w:val="center"/>
            </w:pPr>
            <w:r>
              <w:rPr>
                <w:b/>
              </w:rPr>
              <w:t>ochorením pečene</w:t>
            </w:r>
          </w:p>
        </w:tc>
      </w:tr>
      <w:tr w:rsidR="009A581E" w:rsidRPr="000A1612" w14:paraId="7A58F314" w14:textId="77777777" w:rsidTr="00492FF2">
        <w:trPr>
          <w:trHeight w:val="418"/>
        </w:trPr>
        <w:tc>
          <w:tcPr>
            <w:tcW w:w="2419" w:type="dxa"/>
            <w:tcBorders>
              <w:top w:val="single" w:sz="6" w:space="0" w:color="000000"/>
              <w:left w:val="single" w:sz="6" w:space="0" w:color="000000"/>
              <w:bottom w:val="single" w:sz="6" w:space="0" w:color="000000"/>
              <w:right w:val="single" w:sz="6" w:space="0" w:color="000000"/>
            </w:tcBorders>
          </w:tcPr>
          <w:p w14:paraId="3ACCDD1B" w14:textId="77777777" w:rsidR="009A581E" w:rsidRPr="000A1612" w:rsidRDefault="009A581E" w:rsidP="00130E2E">
            <w:pPr>
              <w:widowControl w:val="0"/>
              <w:spacing w:after="0" w:line="240" w:lineRule="auto"/>
              <w:ind w:left="0" w:firstLine="0"/>
              <w:jc w:val="center"/>
            </w:pPr>
            <w:r w:rsidRPr="000A1612">
              <w:t>≥ 50</w:t>
            </w:r>
          </w:p>
        </w:tc>
        <w:tc>
          <w:tcPr>
            <w:tcW w:w="3300" w:type="dxa"/>
            <w:tcBorders>
              <w:top w:val="single" w:sz="6" w:space="0" w:color="000000"/>
              <w:left w:val="single" w:sz="6" w:space="0" w:color="000000"/>
              <w:bottom w:val="single" w:sz="6" w:space="0" w:color="000000"/>
              <w:right w:val="single" w:sz="6" w:space="0" w:color="000000"/>
            </w:tcBorders>
          </w:tcPr>
          <w:p w14:paraId="604B2940" w14:textId="77777777" w:rsidR="009A581E" w:rsidRPr="000A1612" w:rsidRDefault="00492FF2" w:rsidP="00130E2E">
            <w:pPr>
              <w:widowControl w:val="0"/>
              <w:spacing w:after="0" w:line="240" w:lineRule="auto"/>
              <w:ind w:left="0" w:firstLine="0"/>
              <w:jc w:val="center"/>
            </w:pPr>
            <w:r>
              <w:t>0,5 mg jedenkrát denne</w:t>
            </w:r>
          </w:p>
        </w:tc>
        <w:tc>
          <w:tcPr>
            <w:tcW w:w="3212" w:type="dxa"/>
            <w:tcBorders>
              <w:top w:val="single" w:sz="6" w:space="0" w:color="000000"/>
              <w:left w:val="single" w:sz="6" w:space="0" w:color="000000"/>
              <w:bottom w:val="single" w:sz="6" w:space="0" w:color="000000"/>
              <w:right w:val="single" w:sz="6" w:space="0" w:color="000000"/>
            </w:tcBorders>
          </w:tcPr>
          <w:p w14:paraId="3E7A714A" w14:textId="77777777" w:rsidR="009A581E" w:rsidRPr="000A1612" w:rsidRDefault="00492FF2" w:rsidP="00130E2E">
            <w:pPr>
              <w:widowControl w:val="0"/>
              <w:spacing w:after="0" w:line="240" w:lineRule="auto"/>
              <w:ind w:left="0" w:firstLine="0"/>
              <w:jc w:val="center"/>
            </w:pPr>
            <w:r>
              <w:t>1 mg jedenkrát denne</w:t>
            </w:r>
          </w:p>
        </w:tc>
      </w:tr>
      <w:tr w:rsidR="009A581E" w:rsidRPr="000A1612" w14:paraId="64448961" w14:textId="77777777" w:rsidTr="00492FF2">
        <w:trPr>
          <w:trHeight w:val="773"/>
        </w:trPr>
        <w:tc>
          <w:tcPr>
            <w:tcW w:w="2419" w:type="dxa"/>
            <w:tcBorders>
              <w:top w:val="single" w:sz="6" w:space="0" w:color="000000"/>
              <w:left w:val="single" w:sz="6" w:space="0" w:color="000000"/>
              <w:bottom w:val="single" w:sz="6" w:space="0" w:color="000000"/>
              <w:right w:val="single" w:sz="6" w:space="0" w:color="000000"/>
            </w:tcBorders>
          </w:tcPr>
          <w:p w14:paraId="4172463E" w14:textId="77777777" w:rsidR="009A581E" w:rsidRPr="000A1612" w:rsidRDefault="00492FF2" w:rsidP="00130E2E">
            <w:pPr>
              <w:widowControl w:val="0"/>
              <w:spacing w:after="0" w:line="240" w:lineRule="auto"/>
              <w:ind w:left="0" w:firstLine="0"/>
              <w:jc w:val="center"/>
            </w:pPr>
            <w:r>
              <w:t>30 – 49</w:t>
            </w:r>
          </w:p>
        </w:tc>
        <w:tc>
          <w:tcPr>
            <w:tcW w:w="3300" w:type="dxa"/>
            <w:tcBorders>
              <w:top w:val="single" w:sz="6" w:space="0" w:color="000000"/>
              <w:left w:val="single" w:sz="6" w:space="0" w:color="000000"/>
              <w:bottom w:val="single" w:sz="6" w:space="0" w:color="000000"/>
              <w:right w:val="single" w:sz="6" w:space="0" w:color="000000"/>
            </w:tcBorders>
          </w:tcPr>
          <w:p w14:paraId="57FD9BA7" w14:textId="77777777" w:rsidR="00EB1E9C" w:rsidRDefault="009A581E" w:rsidP="00130E2E">
            <w:pPr>
              <w:widowControl w:val="0"/>
              <w:spacing w:after="0" w:line="240" w:lineRule="auto"/>
              <w:ind w:left="0" w:right="96" w:firstLine="0"/>
              <w:jc w:val="center"/>
            </w:pPr>
            <w:r w:rsidRPr="000A1612">
              <w:t>0,25 mg jedenkrát denne*</w:t>
            </w:r>
          </w:p>
          <w:p w14:paraId="37493B6C" w14:textId="77777777" w:rsidR="009A581E" w:rsidRPr="000A1612" w:rsidRDefault="00EB1E9C" w:rsidP="00130E2E">
            <w:pPr>
              <w:widowControl w:val="0"/>
              <w:spacing w:after="0" w:line="240" w:lineRule="auto"/>
              <w:ind w:left="0" w:right="96" w:firstLine="0"/>
              <w:jc w:val="center"/>
            </w:pPr>
            <w:r>
              <w:t>ALEBO</w:t>
            </w:r>
          </w:p>
          <w:p w14:paraId="0F796B57" w14:textId="77777777" w:rsidR="009A581E" w:rsidRPr="000A1612" w:rsidRDefault="00492FF2" w:rsidP="00130E2E">
            <w:pPr>
              <w:widowControl w:val="0"/>
              <w:spacing w:after="0" w:line="240" w:lineRule="auto"/>
              <w:ind w:left="0" w:firstLine="0"/>
              <w:jc w:val="center"/>
            </w:pPr>
            <w:r>
              <w:t>0,5 mg každých 48 hodín</w:t>
            </w:r>
          </w:p>
        </w:tc>
        <w:tc>
          <w:tcPr>
            <w:tcW w:w="3212" w:type="dxa"/>
            <w:tcBorders>
              <w:top w:val="single" w:sz="6" w:space="0" w:color="000000"/>
              <w:left w:val="single" w:sz="6" w:space="0" w:color="000000"/>
              <w:bottom w:val="single" w:sz="6" w:space="0" w:color="000000"/>
              <w:right w:val="single" w:sz="6" w:space="0" w:color="000000"/>
            </w:tcBorders>
          </w:tcPr>
          <w:p w14:paraId="4017988F" w14:textId="77777777" w:rsidR="009A581E" w:rsidRPr="000A1612" w:rsidRDefault="00492FF2" w:rsidP="00130E2E">
            <w:pPr>
              <w:widowControl w:val="0"/>
              <w:spacing w:after="0" w:line="240" w:lineRule="auto"/>
              <w:ind w:left="0" w:firstLine="0"/>
              <w:jc w:val="center"/>
            </w:pPr>
            <w:r>
              <w:t>0,5 mg jedenkrát denne</w:t>
            </w:r>
          </w:p>
        </w:tc>
      </w:tr>
      <w:tr w:rsidR="009A581E" w:rsidRPr="000A1612" w14:paraId="5A9E7896" w14:textId="77777777" w:rsidTr="00492FF2">
        <w:trPr>
          <w:trHeight w:val="775"/>
        </w:trPr>
        <w:tc>
          <w:tcPr>
            <w:tcW w:w="2419" w:type="dxa"/>
            <w:tcBorders>
              <w:top w:val="single" w:sz="6" w:space="0" w:color="000000"/>
              <w:left w:val="single" w:sz="6" w:space="0" w:color="000000"/>
              <w:bottom w:val="single" w:sz="6" w:space="0" w:color="000000"/>
              <w:right w:val="single" w:sz="6" w:space="0" w:color="000000"/>
            </w:tcBorders>
          </w:tcPr>
          <w:p w14:paraId="34572981" w14:textId="77777777" w:rsidR="009A581E" w:rsidRPr="000A1612" w:rsidRDefault="00492FF2" w:rsidP="00130E2E">
            <w:pPr>
              <w:widowControl w:val="0"/>
              <w:spacing w:after="0" w:line="240" w:lineRule="auto"/>
              <w:ind w:left="0" w:firstLine="0"/>
              <w:jc w:val="center"/>
            </w:pPr>
            <w:r>
              <w:t>10 – 29</w:t>
            </w:r>
          </w:p>
        </w:tc>
        <w:tc>
          <w:tcPr>
            <w:tcW w:w="3300" w:type="dxa"/>
            <w:tcBorders>
              <w:top w:val="single" w:sz="6" w:space="0" w:color="000000"/>
              <w:left w:val="single" w:sz="6" w:space="0" w:color="000000"/>
              <w:bottom w:val="single" w:sz="6" w:space="0" w:color="000000"/>
              <w:right w:val="single" w:sz="6" w:space="0" w:color="000000"/>
            </w:tcBorders>
          </w:tcPr>
          <w:p w14:paraId="0EDFF67C" w14:textId="77777777" w:rsidR="00EB1E9C" w:rsidRDefault="009A581E" w:rsidP="00130E2E">
            <w:pPr>
              <w:widowControl w:val="0"/>
              <w:spacing w:after="0" w:line="240" w:lineRule="auto"/>
              <w:ind w:left="0" w:right="96" w:firstLine="0"/>
              <w:jc w:val="center"/>
            </w:pPr>
            <w:r w:rsidRPr="000A1612">
              <w:t>0,15 mg jedenkrát denne*</w:t>
            </w:r>
          </w:p>
          <w:p w14:paraId="40FFA480" w14:textId="77777777" w:rsidR="00EB1E9C" w:rsidRPr="000A1612" w:rsidRDefault="00EB1E9C" w:rsidP="00EB1E9C">
            <w:pPr>
              <w:widowControl w:val="0"/>
              <w:spacing w:after="0" w:line="240" w:lineRule="auto"/>
              <w:ind w:left="0" w:right="96" w:firstLine="0"/>
              <w:jc w:val="center"/>
            </w:pPr>
            <w:r>
              <w:t>ALEBO</w:t>
            </w:r>
          </w:p>
          <w:p w14:paraId="2A5697D8" w14:textId="77777777" w:rsidR="009A581E" w:rsidRPr="000A1612" w:rsidRDefault="00492FF2" w:rsidP="00130E2E">
            <w:pPr>
              <w:widowControl w:val="0"/>
              <w:spacing w:after="0" w:line="240" w:lineRule="auto"/>
              <w:ind w:left="0" w:firstLine="0"/>
              <w:jc w:val="center"/>
            </w:pPr>
            <w:r>
              <w:t>0,5 mg každých 72 hodín</w:t>
            </w:r>
          </w:p>
        </w:tc>
        <w:tc>
          <w:tcPr>
            <w:tcW w:w="3212" w:type="dxa"/>
            <w:tcBorders>
              <w:top w:val="single" w:sz="6" w:space="0" w:color="000000"/>
              <w:left w:val="single" w:sz="6" w:space="0" w:color="000000"/>
              <w:bottom w:val="single" w:sz="6" w:space="0" w:color="000000"/>
              <w:right w:val="single" w:sz="6" w:space="0" w:color="000000"/>
            </w:tcBorders>
          </w:tcPr>
          <w:p w14:paraId="570C0F09" w14:textId="77777777" w:rsidR="00EB1E9C" w:rsidRDefault="009A581E" w:rsidP="00130E2E">
            <w:pPr>
              <w:widowControl w:val="0"/>
              <w:spacing w:after="0" w:line="240" w:lineRule="auto"/>
              <w:ind w:left="0" w:firstLine="0"/>
              <w:jc w:val="center"/>
            </w:pPr>
            <w:r w:rsidRPr="000A1612">
              <w:t>0,3 mg jedenkrát denne*</w:t>
            </w:r>
          </w:p>
          <w:p w14:paraId="04A9B6BF" w14:textId="77777777" w:rsidR="00EB1E9C" w:rsidRPr="000A1612" w:rsidRDefault="00EB1E9C" w:rsidP="00EB1E9C">
            <w:pPr>
              <w:widowControl w:val="0"/>
              <w:spacing w:after="0" w:line="240" w:lineRule="auto"/>
              <w:ind w:left="0" w:right="96" w:firstLine="0"/>
              <w:jc w:val="center"/>
            </w:pPr>
            <w:r>
              <w:t>ALEBO</w:t>
            </w:r>
          </w:p>
          <w:p w14:paraId="7DD47521" w14:textId="77777777" w:rsidR="009A581E" w:rsidRPr="000A1612" w:rsidRDefault="00492FF2" w:rsidP="00130E2E">
            <w:pPr>
              <w:widowControl w:val="0"/>
              <w:spacing w:after="0" w:line="240" w:lineRule="auto"/>
              <w:ind w:left="0" w:firstLine="0"/>
              <w:jc w:val="center"/>
            </w:pPr>
            <w:r>
              <w:t>0,5 mg každých 48 hodín</w:t>
            </w:r>
          </w:p>
        </w:tc>
      </w:tr>
      <w:tr w:rsidR="009A581E" w:rsidRPr="000A1612" w14:paraId="055CE1DB" w14:textId="77777777" w:rsidTr="00492FF2">
        <w:trPr>
          <w:trHeight w:val="773"/>
        </w:trPr>
        <w:tc>
          <w:tcPr>
            <w:tcW w:w="2419" w:type="dxa"/>
            <w:tcBorders>
              <w:top w:val="single" w:sz="6" w:space="0" w:color="000000"/>
              <w:left w:val="single" w:sz="6" w:space="0" w:color="000000"/>
              <w:bottom w:val="single" w:sz="6" w:space="0" w:color="000000"/>
              <w:right w:val="single" w:sz="6" w:space="0" w:color="000000"/>
            </w:tcBorders>
          </w:tcPr>
          <w:p w14:paraId="0C84E73D" w14:textId="77777777" w:rsidR="009A581E" w:rsidRPr="000A1612" w:rsidRDefault="009A581E" w:rsidP="00130E2E">
            <w:pPr>
              <w:widowControl w:val="0"/>
              <w:spacing w:after="0" w:line="240" w:lineRule="auto"/>
              <w:ind w:left="0" w:firstLine="0"/>
              <w:jc w:val="center"/>
            </w:pPr>
            <w:r w:rsidRPr="000A1612">
              <w:t xml:space="preserve">&lt; 10 </w:t>
            </w:r>
          </w:p>
          <w:p w14:paraId="61A7D358" w14:textId="77777777" w:rsidR="009A581E" w:rsidRPr="000A1612" w:rsidRDefault="009A581E" w:rsidP="00130E2E">
            <w:pPr>
              <w:widowControl w:val="0"/>
              <w:spacing w:after="0" w:line="240" w:lineRule="auto"/>
              <w:ind w:left="0" w:firstLine="0"/>
              <w:jc w:val="center"/>
            </w:pPr>
            <w:r w:rsidRPr="000A1612">
              <w:t xml:space="preserve">Hemodialýza alebo </w:t>
            </w:r>
          </w:p>
          <w:p w14:paraId="7E63BC0B" w14:textId="77777777" w:rsidR="009A581E" w:rsidRPr="000A1612" w:rsidRDefault="00492FF2" w:rsidP="00130E2E">
            <w:pPr>
              <w:widowControl w:val="0"/>
              <w:spacing w:after="0" w:line="240" w:lineRule="auto"/>
              <w:ind w:left="0" w:firstLine="0"/>
              <w:jc w:val="center"/>
            </w:pPr>
            <w:r>
              <w:t>CAPD**</w:t>
            </w:r>
          </w:p>
        </w:tc>
        <w:tc>
          <w:tcPr>
            <w:tcW w:w="3300" w:type="dxa"/>
            <w:tcBorders>
              <w:top w:val="single" w:sz="6" w:space="0" w:color="000000"/>
              <w:left w:val="single" w:sz="6" w:space="0" w:color="000000"/>
              <w:bottom w:val="single" w:sz="6" w:space="0" w:color="000000"/>
              <w:right w:val="single" w:sz="6" w:space="0" w:color="000000"/>
            </w:tcBorders>
          </w:tcPr>
          <w:p w14:paraId="5331F379" w14:textId="77777777" w:rsidR="00EB1E9C" w:rsidRDefault="009A581E" w:rsidP="00130E2E">
            <w:pPr>
              <w:widowControl w:val="0"/>
              <w:spacing w:after="0" w:line="240" w:lineRule="auto"/>
              <w:ind w:left="0" w:right="96" w:firstLine="0"/>
              <w:jc w:val="center"/>
            </w:pPr>
            <w:r w:rsidRPr="000A1612">
              <w:t>0,05 mg jedenkrát denne*</w:t>
            </w:r>
          </w:p>
          <w:p w14:paraId="3E563E00" w14:textId="77777777" w:rsidR="00EB1E9C" w:rsidRPr="000A1612" w:rsidRDefault="00EB1E9C" w:rsidP="00EB1E9C">
            <w:pPr>
              <w:widowControl w:val="0"/>
              <w:spacing w:after="0" w:line="240" w:lineRule="auto"/>
              <w:ind w:left="0" w:right="96" w:firstLine="0"/>
              <w:jc w:val="center"/>
            </w:pPr>
            <w:r>
              <w:t>ALEBO</w:t>
            </w:r>
          </w:p>
          <w:p w14:paraId="0D956610" w14:textId="77777777" w:rsidR="009A581E" w:rsidRPr="000A1612" w:rsidRDefault="00492FF2" w:rsidP="00130E2E">
            <w:pPr>
              <w:widowControl w:val="0"/>
              <w:spacing w:after="0" w:line="240" w:lineRule="auto"/>
              <w:ind w:left="0" w:firstLine="0"/>
              <w:jc w:val="center"/>
            </w:pPr>
            <w:r>
              <w:t>0,5 mg každých 5-7 dní</w:t>
            </w:r>
          </w:p>
        </w:tc>
        <w:tc>
          <w:tcPr>
            <w:tcW w:w="3212" w:type="dxa"/>
            <w:tcBorders>
              <w:top w:val="single" w:sz="6" w:space="0" w:color="000000"/>
              <w:left w:val="single" w:sz="6" w:space="0" w:color="000000"/>
              <w:bottom w:val="single" w:sz="6" w:space="0" w:color="000000"/>
              <w:right w:val="single" w:sz="6" w:space="0" w:color="000000"/>
            </w:tcBorders>
          </w:tcPr>
          <w:p w14:paraId="3779220B" w14:textId="77777777" w:rsidR="00EB1E9C" w:rsidRDefault="009A581E" w:rsidP="00130E2E">
            <w:pPr>
              <w:widowControl w:val="0"/>
              <w:spacing w:after="0" w:line="240" w:lineRule="auto"/>
              <w:ind w:left="0" w:firstLine="0"/>
              <w:jc w:val="center"/>
            </w:pPr>
            <w:r w:rsidRPr="000A1612">
              <w:t>0,1 mg jedenkrát denne*</w:t>
            </w:r>
          </w:p>
          <w:p w14:paraId="3D1BDC9C" w14:textId="77777777" w:rsidR="00EB1E9C" w:rsidRPr="000A1612" w:rsidRDefault="00EB1E9C" w:rsidP="00EB1E9C">
            <w:pPr>
              <w:widowControl w:val="0"/>
              <w:spacing w:after="0" w:line="240" w:lineRule="auto"/>
              <w:ind w:left="0" w:right="96" w:firstLine="0"/>
              <w:jc w:val="center"/>
            </w:pPr>
            <w:r>
              <w:t>ALEBO</w:t>
            </w:r>
          </w:p>
          <w:p w14:paraId="70EB13A0" w14:textId="77777777" w:rsidR="009A581E" w:rsidRPr="000A1612" w:rsidRDefault="00492FF2" w:rsidP="00130E2E">
            <w:pPr>
              <w:widowControl w:val="0"/>
              <w:spacing w:after="0" w:line="240" w:lineRule="auto"/>
              <w:ind w:left="0" w:firstLine="0"/>
              <w:jc w:val="center"/>
            </w:pPr>
            <w:r>
              <w:t>0,5 mg každých 72 hodín</w:t>
            </w:r>
          </w:p>
        </w:tc>
      </w:tr>
    </w:tbl>
    <w:p w14:paraId="5751446E" w14:textId="77777777" w:rsidR="00EB1E9C" w:rsidRDefault="009A581E" w:rsidP="00492FF2">
      <w:pPr>
        <w:widowControl w:val="0"/>
        <w:spacing w:after="0" w:line="240" w:lineRule="auto"/>
        <w:ind w:left="0" w:firstLine="0"/>
      </w:pPr>
      <w:r w:rsidRPr="000A1612">
        <w:t xml:space="preserve">* pre dávky &lt; 0,5 mg </w:t>
      </w:r>
      <w:r w:rsidR="008B4819">
        <w:t xml:space="preserve">entekaviru </w:t>
      </w:r>
      <w:r w:rsidRPr="000A1612">
        <w:t xml:space="preserve">sa odporúča </w:t>
      </w:r>
      <w:r w:rsidR="00130E2E">
        <w:t>Entecavir Glenmark</w:t>
      </w:r>
      <w:r w:rsidR="00EB1E9C">
        <w:t xml:space="preserve"> perorálny roztok</w:t>
      </w:r>
    </w:p>
    <w:p w14:paraId="63BB20CD" w14:textId="77777777" w:rsidR="009A581E" w:rsidRPr="000A1612" w:rsidRDefault="009A581E" w:rsidP="00492FF2">
      <w:pPr>
        <w:widowControl w:val="0"/>
        <w:spacing w:after="0" w:line="240" w:lineRule="auto"/>
        <w:ind w:left="0" w:firstLine="0"/>
      </w:pPr>
      <w:r w:rsidRPr="000A1612">
        <w:t>** v dňoch hemodialýzy p</w:t>
      </w:r>
      <w:r w:rsidR="00EB1E9C">
        <w:t>odajte entekavir po hemodialýze</w:t>
      </w:r>
    </w:p>
    <w:p w14:paraId="1CE64772" w14:textId="77777777" w:rsidR="009A581E" w:rsidRPr="000A1612" w:rsidRDefault="009A581E" w:rsidP="009A581E">
      <w:pPr>
        <w:widowControl w:val="0"/>
        <w:spacing w:after="0" w:line="240" w:lineRule="auto"/>
        <w:ind w:left="0" w:firstLine="0"/>
      </w:pPr>
    </w:p>
    <w:p w14:paraId="494F9444" w14:textId="77777777" w:rsidR="009A581E" w:rsidRPr="000A1612" w:rsidRDefault="009A581E" w:rsidP="009A581E">
      <w:pPr>
        <w:widowControl w:val="0"/>
        <w:spacing w:after="0" w:line="240" w:lineRule="auto"/>
        <w:ind w:left="0" w:right="44" w:firstLine="0"/>
      </w:pPr>
      <w:r w:rsidRPr="000A1612">
        <w:rPr>
          <w:i/>
        </w:rPr>
        <w:t>Porucha funkcie pečene:</w:t>
      </w:r>
      <w:r w:rsidRPr="000A1612">
        <w:t xml:space="preserve"> u pacientov s poruchou funkcie pečene nie je potrebná žiadna úprava dávky.</w:t>
      </w:r>
    </w:p>
    <w:p w14:paraId="0CF7C2DB" w14:textId="77777777" w:rsidR="009A581E" w:rsidRPr="000A1612" w:rsidRDefault="009A581E" w:rsidP="009A581E">
      <w:pPr>
        <w:widowControl w:val="0"/>
        <w:spacing w:after="0" w:line="240" w:lineRule="auto"/>
        <w:ind w:left="0" w:firstLine="0"/>
      </w:pPr>
    </w:p>
    <w:p w14:paraId="17FB1058" w14:textId="77777777" w:rsidR="009A581E" w:rsidRPr="000A1612" w:rsidRDefault="009A581E" w:rsidP="009A581E">
      <w:pPr>
        <w:widowControl w:val="0"/>
        <w:spacing w:after="0" w:line="240" w:lineRule="auto"/>
        <w:ind w:left="0" w:firstLine="0"/>
      </w:pPr>
      <w:r w:rsidRPr="000A1612">
        <w:rPr>
          <w:u w:val="single" w:color="000000"/>
        </w:rPr>
        <w:t>Spôsob podávania</w:t>
      </w:r>
    </w:p>
    <w:p w14:paraId="15AED012" w14:textId="77777777" w:rsidR="009A581E" w:rsidRPr="000A1612" w:rsidRDefault="00EB1E9C" w:rsidP="009A581E">
      <w:pPr>
        <w:widowControl w:val="0"/>
        <w:spacing w:after="0" w:line="240" w:lineRule="auto"/>
        <w:ind w:left="0" w:right="44" w:firstLine="0"/>
      </w:pPr>
      <w:r>
        <w:t>Perorálne použitie.</w:t>
      </w:r>
    </w:p>
    <w:p w14:paraId="6E70FCAE" w14:textId="77777777" w:rsidR="009A581E" w:rsidRPr="000A1612" w:rsidRDefault="009A581E" w:rsidP="009A581E">
      <w:pPr>
        <w:widowControl w:val="0"/>
        <w:spacing w:after="0" w:line="240" w:lineRule="auto"/>
        <w:ind w:left="0" w:firstLine="0"/>
      </w:pPr>
    </w:p>
    <w:p w14:paraId="7F9A9D9D" w14:textId="77777777" w:rsidR="009A581E" w:rsidRPr="000A1612" w:rsidRDefault="009A581E" w:rsidP="00EB1E9C">
      <w:pPr>
        <w:widowControl w:val="0"/>
        <w:tabs>
          <w:tab w:val="left" w:pos="567"/>
          <w:tab w:val="center" w:pos="846"/>
          <w:tab w:val="center" w:pos="2046"/>
        </w:tabs>
        <w:spacing w:after="0" w:line="240" w:lineRule="auto"/>
        <w:ind w:left="0" w:firstLine="0"/>
      </w:pPr>
      <w:r w:rsidRPr="000A1612">
        <w:rPr>
          <w:b/>
        </w:rPr>
        <w:lastRenderedPageBreak/>
        <w:t>4.3</w:t>
      </w:r>
      <w:r w:rsidR="00EB1E9C">
        <w:rPr>
          <w:b/>
        </w:rPr>
        <w:tab/>
      </w:r>
      <w:r w:rsidRPr="000A1612">
        <w:rPr>
          <w:b/>
        </w:rPr>
        <w:tab/>
        <w:t>Kontraindikácie</w:t>
      </w:r>
    </w:p>
    <w:p w14:paraId="699D7A5B" w14:textId="77777777" w:rsidR="009A581E" w:rsidRPr="000A1612" w:rsidRDefault="009A581E" w:rsidP="009A581E">
      <w:pPr>
        <w:widowControl w:val="0"/>
        <w:spacing w:after="0" w:line="240" w:lineRule="auto"/>
        <w:ind w:left="0" w:firstLine="0"/>
      </w:pPr>
    </w:p>
    <w:p w14:paraId="596BEBAB" w14:textId="77777777" w:rsidR="009A581E" w:rsidRPr="000A1612" w:rsidRDefault="009A581E" w:rsidP="009A581E">
      <w:pPr>
        <w:widowControl w:val="0"/>
        <w:spacing w:after="0" w:line="240" w:lineRule="auto"/>
        <w:ind w:left="0" w:right="44" w:firstLine="0"/>
      </w:pPr>
      <w:r w:rsidRPr="000A1612">
        <w:t>Precitlivenosť na liečivo alebo na ktorúkoľvek z pomocných látok uvedených v časti 6.1.</w:t>
      </w:r>
    </w:p>
    <w:p w14:paraId="1C3CED91" w14:textId="77777777" w:rsidR="009A581E" w:rsidRPr="000A1612" w:rsidRDefault="009A581E" w:rsidP="009A581E">
      <w:pPr>
        <w:widowControl w:val="0"/>
        <w:spacing w:after="0" w:line="240" w:lineRule="auto"/>
        <w:ind w:left="0" w:firstLine="0"/>
      </w:pPr>
    </w:p>
    <w:p w14:paraId="6872A379" w14:textId="77777777" w:rsidR="009A581E" w:rsidRPr="000A1612" w:rsidRDefault="009A581E" w:rsidP="00EB1E9C">
      <w:pPr>
        <w:pStyle w:val="Nadpis2"/>
        <w:keepNext w:val="0"/>
        <w:keepLines w:val="0"/>
        <w:widowControl w:val="0"/>
        <w:tabs>
          <w:tab w:val="left" w:pos="567"/>
          <w:tab w:val="center" w:pos="846"/>
          <w:tab w:val="center" w:pos="3527"/>
        </w:tabs>
        <w:spacing w:after="0" w:line="240" w:lineRule="auto"/>
        <w:ind w:left="0" w:firstLine="0"/>
      </w:pPr>
      <w:r w:rsidRPr="000A1612">
        <w:t>4.4</w:t>
      </w:r>
      <w:r w:rsidR="00EB1E9C">
        <w:tab/>
      </w:r>
      <w:r w:rsidRPr="000A1612">
        <w:t>Osobitné upozornenia a opatrenia pri používaní</w:t>
      </w:r>
    </w:p>
    <w:p w14:paraId="10F643F5" w14:textId="77777777" w:rsidR="009A581E" w:rsidRPr="000A1612" w:rsidRDefault="009A581E" w:rsidP="009A581E">
      <w:pPr>
        <w:widowControl w:val="0"/>
        <w:spacing w:after="0" w:line="240" w:lineRule="auto"/>
        <w:ind w:left="0" w:firstLine="0"/>
      </w:pPr>
    </w:p>
    <w:p w14:paraId="5299D02A" w14:textId="77777777" w:rsidR="009A581E" w:rsidRPr="000A1612" w:rsidRDefault="009A581E" w:rsidP="009A581E">
      <w:pPr>
        <w:widowControl w:val="0"/>
        <w:spacing w:after="0" w:line="240" w:lineRule="auto"/>
        <w:ind w:left="0" w:right="44" w:firstLine="0"/>
      </w:pPr>
      <w:r w:rsidRPr="000A1612">
        <w:rPr>
          <w:i/>
        </w:rPr>
        <w:t>Porucha funkcie obličiek:</w:t>
      </w:r>
      <w:r w:rsidRPr="000A1612">
        <w:t xml:space="preserve"> pre pacientov s poruchou funkcie obličiek sa odporúča úprava dávkovania (pozri časť 4.2). Navrhovaná úprava dávky je založená na extrapolácii limitovaných údajov a ich bezpečnosť a účinnosť nebola klinicky hodnotená. Preto sa má virologická odpoveď starostlivo monitorovať.</w:t>
      </w:r>
    </w:p>
    <w:p w14:paraId="71D3C401" w14:textId="77777777" w:rsidR="009A581E" w:rsidRPr="00EB1E9C" w:rsidRDefault="009A581E" w:rsidP="009A581E">
      <w:pPr>
        <w:widowControl w:val="0"/>
        <w:spacing w:after="0" w:line="240" w:lineRule="auto"/>
        <w:ind w:left="0" w:firstLine="0"/>
      </w:pPr>
    </w:p>
    <w:p w14:paraId="64135804" w14:textId="77777777" w:rsidR="009A581E" w:rsidRPr="000A1612" w:rsidRDefault="009A581E" w:rsidP="009A581E">
      <w:pPr>
        <w:widowControl w:val="0"/>
        <w:spacing w:after="0" w:line="240" w:lineRule="auto"/>
        <w:ind w:left="0" w:right="44" w:firstLine="0"/>
      </w:pPr>
      <w:r w:rsidRPr="000A1612">
        <w:rPr>
          <w:i/>
        </w:rPr>
        <w:t>Exacerbácie hepatitídy:</w:t>
      </w:r>
      <w:r w:rsidRPr="000A1612">
        <w:t xml:space="preserve"> spontánne exacerbácie chronickej hepatitídy B sú relatívne časté a sú charakterizované prechodnými zvýšeniami sérovej ALT. Po začatí antivírusovej liečby sa môže u niektorých pacientov sérová ALT zvýšiť, zatiaľ čo sérové hladiny HBV DNA klesajú (pozri časť 4.8). U pacientov liečených entekavirom bol stredný čas do nástupu exacerbácií počas liečby  4 – 5 týždňov. U pacientov s kompenzovaným ochorením pečene tieto zvýšenia sérovej ALT zvyčajne nie sú sprevádzané zvýšením koncentrácií bilirubínu v sére alebo dekompenzáciou pečene. Pacienti s pokročilým ochorením pečene alebo s cirhózou môžu byť vystavení vyššiemu riziku dekompenzácie pečene po exacerbácii hepatitídy a preto musia byť počas liečby pozorne sledovaní.</w:t>
      </w:r>
    </w:p>
    <w:p w14:paraId="552482D2" w14:textId="77777777" w:rsidR="009A581E" w:rsidRPr="000A1612" w:rsidRDefault="009A581E" w:rsidP="009A581E">
      <w:pPr>
        <w:widowControl w:val="0"/>
        <w:spacing w:after="0" w:line="240" w:lineRule="auto"/>
        <w:ind w:left="0" w:firstLine="0"/>
      </w:pPr>
    </w:p>
    <w:p w14:paraId="74BB854F" w14:textId="77777777" w:rsidR="009A581E" w:rsidRPr="000A1612" w:rsidRDefault="009A581E" w:rsidP="009A581E">
      <w:pPr>
        <w:widowControl w:val="0"/>
        <w:spacing w:after="0" w:line="240" w:lineRule="auto"/>
        <w:ind w:left="0" w:right="44" w:firstLine="0"/>
      </w:pPr>
      <w:r w:rsidRPr="000A1612">
        <w:t>Akútna exacerbácia hepatitídy bola hlásená aj u pacientov, ktorí prerušili liečbu hepatitídy B (pozri časť 4.2). Exacerbácie po liečbe sú zvyčajne spojené s</w:t>
      </w:r>
      <w:r w:rsidR="00242640">
        <w:t>o</w:t>
      </w:r>
      <w:r w:rsidRPr="000A1612">
        <w:t xml:space="preserve"> vzostupom HBV DNA a zdá sa, že väčšina z nich spontánne vymizne. Boli však hlásené ťažké exacerbácie, zahŕňajúce fatálne prípady.</w:t>
      </w:r>
    </w:p>
    <w:p w14:paraId="58F60B6D" w14:textId="77777777" w:rsidR="009A581E" w:rsidRPr="000A1612" w:rsidRDefault="009A581E" w:rsidP="009A581E">
      <w:pPr>
        <w:widowControl w:val="0"/>
        <w:spacing w:after="0" w:line="240" w:lineRule="auto"/>
        <w:ind w:left="0" w:firstLine="0"/>
      </w:pPr>
    </w:p>
    <w:p w14:paraId="72214BCE" w14:textId="77777777" w:rsidR="009A581E" w:rsidRPr="000A1612" w:rsidRDefault="009A581E" w:rsidP="009A581E">
      <w:pPr>
        <w:widowControl w:val="0"/>
        <w:spacing w:after="0" w:line="240" w:lineRule="auto"/>
        <w:ind w:left="0" w:right="44" w:firstLine="0"/>
      </w:pPr>
      <w:r w:rsidRPr="000A1612">
        <w:t>U pacientov bez predošlej liečby nukleozidmi, ktorí boli liečení entekavirom, bol stredný čas do nástupu exacerbácií po liečbe 23 - 24 týždňov a väčšinou boli hlásené u HBeAg negatívnych pacientov (pozri časť 4.8). Minimálne po dobu 6 mesiacov po prerušení liečby hepatitídy B má byť funkcia pečene sledovaná v pravidelných intervaloch pomocou klinických a laboratórnych vyšetrení. V prípade potreby sa môže zvážiť opätovné začatie liečby hepatitídy B.</w:t>
      </w:r>
    </w:p>
    <w:p w14:paraId="02661DAB" w14:textId="77777777" w:rsidR="009A581E" w:rsidRPr="000A1612" w:rsidRDefault="009A581E" w:rsidP="009A581E">
      <w:pPr>
        <w:widowControl w:val="0"/>
        <w:spacing w:after="0" w:line="240" w:lineRule="auto"/>
        <w:ind w:left="0" w:firstLine="0"/>
      </w:pPr>
    </w:p>
    <w:p w14:paraId="228CD81A" w14:textId="77777777" w:rsidR="009A581E" w:rsidRPr="00EB1E9C" w:rsidRDefault="009A581E" w:rsidP="00EB1E9C">
      <w:pPr>
        <w:widowControl w:val="0"/>
        <w:spacing w:after="0" w:line="240" w:lineRule="auto"/>
        <w:ind w:left="0" w:right="44" w:firstLine="0"/>
      </w:pPr>
      <w:r w:rsidRPr="000A1612">
        <w:rPr>
          <w:i/>
        </w:rPr>
        <w:t>Pacienti s dekompenzovaným ochorením pečene:</w:t>
      </w:r>
      <w:r w:rsidRPr="000A1612">
        <w:t xml:space="preserve"> u pacientov s dekompenzovaným ochorením pečene, najmä u tých s ochorením </w:t>
      </w:r>
      <w:r w:rsidR="0002720C">
        <w:t xml:space="preserve">triedy C </w:t>
      </w:r>
      <w:r w:rsidRPr="000A1612">
        <w:t>podľa Child-Turcotte</w:t>
      </w:r>
      <w:r w:rsidR="0002720C">
        <w:t>-Pughovej klasifikácie</w:t>
      </w:r>
      <w:r w:rsidRPr="000A1612">
        <w:t xml:space="preserve"> (CT</w:t>
      </w:r>
      <w:r w:rsidR="0002720C">
        <w:t>P</w:t>
      </w:r>
      <w:r w:rsidRPr="000A1612">
        <w:t xml:space="preserve">) , bol v porovnaní s pacientmi s kompenzovanou funkciou pečene pozorovaný vyšší výskyt závažných hepatálnych nežiaducich účinkov (bez ohľadu na kauzalitu). Taktiež pacienti s dekompenzovaným ochorením pečene môžu byť  </w:t>
      </w:r>
      <w:r w:rsidR="0048153D">
        <w:t>viac ohrození</w:t>
      </w:r>
      <w:r w:rsidRPr="000A1612">
        <w:t xml:space="preserve"> rizik</w:t>
      </w:r>
      <w:r w:rsidR="0048153D">
        <w:t>om</w:t>
      </w:r>
      <w:r w:rsidRPr="000A1612">
        <w:t xml:space="preserve"> pre laktátovú acidózu a pre špecifické renálne nežiaduce účinky ako je hepatorenálny syndróm. V tejto populácii pacientov sa preto majú starostlivo sledovať klinické a laboratórne parametre (pozri tiež časť 4.8 a 5.1).</w:t>
      </w:r>
    </w:p>
    <w:p w14:paraId="104B3305" w14:textId="77777777" w:rsidR="009A581E" w:rsidRPr="000A1612" w:rsidRDefault="009A581E" w:rsidP="009A581E">
      <w:pPr>
        <w:widowControl w:val="0"/>
        <w:spacing w:after="0" w:line="240" w:lineRule="auto"/>
        <w:ind w:left="0" w:firstLine="0"/>
      </w:pPr>
      <w:r w:rsidRPr="000A1612">
        <w:t xml:space="preserve"> </w:t>
      </w:r>
    </w:p>
    <w:p w14:paraId="2FF0FB91" w14:textId="77777777" w:rsidR="009A581E" w:rsidRDefault="009A581E" w:rsidP="00EB1E9C">
      <w:pPr>
        <w:widowControl w:val="0"/>
        <w:spacing w:after="0" w:line="240" w:lineRule="auto"/>
        <w:ind w:left="0" w:right="161" w:firstLine="0"/>
      </w:pPr>
      <w:r w:rsidRPr="007249CA">
        <w:rPr>
          <w:i/>
        </w:rPr>
        <w:t>Laktátová acidóza</w:t>
      </w:r>
      <w:r w:rsidRPr="000A1612">
        <w:rPr>
          <w:i/>
        </w:rPr>
        <w:t xml:space="preserve"> a ťažká hepatomegália so steatózou:</w:t>
      </w:r>
      <w:r w:rsidRPr="000A1612">
        <w:t xml:space="preserve"> pri použití nukleozidových analógov boli hlásené prípady laktátovej acidózy (pri absencii hypoxémie), niekedy fatálnej, zvyčajne súvisiacej s ťažkou hepatomegáliou a steatózou pečene. Keďže entekavir je nukleozidový analóg, toto riziko nie je možné vylúčiť. Liečba nukleozidovými analógmi musí byť prerušená, keď sa objavia rýchlo sa zvyšujúce hladiny aminotransferáz, progresívna hepatomegália alebo metabolická/laktátová acidóza neznámej etiológie. Benígne digestívne symptómy, ako sú nauzea, vracanie a bolesť brucha, môžu naznačovať rozvoj laktátovej acidózy. Ťažké prípady, niekedy s</w:t>
      </w:r>
      <w:r w:rsidR="00BA1429">
        <w:t> </w:t>
      </w:r>
      <w:r w:rsidRPr="000A1612">
        <w:t>fatálnym</w:t>
      </w:r>
      <w:r w:rsidR="00BA1429">
        <w:t xml:space="preserve"> následkom</w:t>
      </w:r>
      <w:r w:rsidRPr="000A1612">
        <w:t>, boli spojené s pankreatitídou, zlyhaním pečene/steatózou pečene, zlyhaním obličiek a vyššími hladinami sérového laktátu. Opatrnosť je potrebná pri predpisovaní nukleozidových analógov akémukoľvek pacientovi (obzvlášť obéznym ženám) s hepatomegáliou, hepatitídou alebo inými známymi rizikovými faktormi pre ochorenie pečene. Títo pacienti musia byť starostlivo sledovaní.</w:t>
      </w:r>
    </w:p>
    <w:p w14:paraId="4AEFBEB8" w14:textId="77777777" w:rsidR="00EB1E9C" w:rsidRPr="000A1612" w:rsidRDefault="00EB1E9C" w:rsidP="00EB1E9C">
      <w:pPr>
        <w:widowControl w:val="0"/>
        <w:spacing w:after="0" w:line="240" w:lineRule="auto"/>
        <w:ind w:left="0" w:right="161" w:firstLine="0"/>
      </w:pPr>
    </w:p>
    <w:p w14:paraId="6A7478E6" w14:textId="77777777" w:rsidR="009A581E" w:rsidRPr="000A1612" w:rsidRDefault="009A581E" w:rsidP="009A581E">
      <w:pPr>
        <w:widowControl w:val="0"/>
        <w:spacing w:after="0" w:line="240" w:lineRule="auto"/>
        <w:ind w:left="0" w:right="44" w:firstLine="0"/>
      </w:pPr>
      <w:r w:rsidRPr="000A1612">
        <w:t>Lekári sa musia ubezpečiť, že zmeny ALT sú spojené so zlepšením ostatných laboratórnych ukazovateľov chronickej hepatitídy B, aby rozlíšili zvýšenie aminotransferáz v dôsledku odpovede na liečbu od zvýšenia potenciálne súvisiaceho s laktátovou acidózou.</w:t>
      </w:r>
    </w:p>
    <w:p w14:paraId="114F0A84" w14:textId="77777777" w:rsidR="009A581E" w:rsidRPr="000A1612" w:rsidRDefault="009A581E" w:rsidP="009A581E">
      <w:pPr>
        <w:widowControl w:val="0"/>
        <w:spacing w:after="0" w:line="240" w:lineRule="auto"/>
        <w:ind w:left="0" w:firstLine="0"/>
      </w:pPr>
    </w:p>
    <w:p w14:paraId="20532034" w14:textId="77777777" w:rsidR="009A581E" w:rsidRPr="000A1612" w:rsidRDefault="009A581E" w:rsidP="009A581E">
      <w:pPr>
        <w:widowControl w:val="0"/>
        <w:spacing w:after="0" w:line="240" w:lineRule="auto"/>
        <w:ind w:left="0" w:right="44" w:firstLine="0"/>
      </w:pPr>
      <w:r w:rsidRPr="000A1612">
        <w:rPr>
          <w:i/>
        </w:rPr>
        <w:t>Rezistencia a špeciálne opatrenia pre pacientov refraktérnych na lamivudín:</w:t>
      </w:r>
      <w:r w:rsidRPr="000A1612">
        <w:t xml:space="preserve"> mutácie HBV polymerázy, ktorá kóduje lamivudín rezistentné substitúcie, môžu vyústiť do následného objavenia sa sekundárnych substitúcií, vrátane tých, ktoré sú spojené s rezistenciou na entekavir (ETVr). U malého </w:t>
      </w:r>
      <w:r w:rsidRPr="000A1612">
        <w:lastRenderedPageBreak/>
        <w:t>percenta pacientov refraktérnych na lamivudín boli ETVr substitúcie na rezíduách rtT184, rtS202 alebo rtM250. Pacienti s HBV rezistentnou na lamivudín majú vyššie riziko rozvoja následnej rezistencie na entekavir ako pacienti bez rezistencie na lamivudín. Kumulatívna pravdepodobnosť rozvinutej genotypovej rezistencie po 1. 2. 3. 4. a 5. roku liečby v štúdiách refraktérnych na lamivudín bola 6 %, 15 %, 36 %, 47 % a 51 %. V populácii refraktérnej na lamivudín sa virologická odpoveď musí často sledovať a majú sa vykonávať odpovedajúce testy na rezistenciu. U pacientov so suboptimálnou virologickou odpoveďou po 24 týždňoch liečby entekavirom sa má zvážiť modifikovaná liečba (pozri časti 4.5 a 5.1). Pri začatí liečby pacientov s potvrdenou HBV rezistentnou na lamivudín v anamnéze sa má prednostne zvážiť použitie kombinácie entekaviru s druhou antivírusovou látkou (ktorá sa nepodieľa na skríženej rezistencii s lamivudínom ani s entekavirom) pred monoterapiou entekavirom.</w:t>
      </w:r>
    </w:p>
    <w:p w14:paraId="300731D9" w14:textId="77777777" w:rsidR="009A581E" w:rsidRPr="000A1612" w:rsidRDefault="009A581E" w:rsidP="009A581E">
      <w:pPr>
        <w:widowControl w:val="0"/>
        <w:spacing w:after="0" w:line="240" w:lineRule="auto"/>
        <w:ind w:left="0" w:firstLine="0"/>
      </w:pPr>
    </w:p>
    <w:p w14:paraId="1F102C33" w14:textId="77777777" w:rsidR="009A581E" w:rsidRPr="000A1612" w:rsidRDefault="009A581E" w:rsidP="009A581E">
      <w:pPr>
        <w:widowControl w:val="0"/>
        <w:spacing w:after="0" w:line="240" w:lineRule="auto"/>
        <w:ind w:left="0" w:right="44" w:firstLine="0"/>
      </w:pPr>
      <w:r w:rsidRPr="000A1612">
        <w:t>Existujúca HBV rezistentná na lamivudín sa spája so zvyšujúcim rizikom následnej rezistencie na entekavir bez ohľadu na stupeň ochorenia pečene; u pacientov s dekompenzovaným ochorením pečene môže byť virologický prienik spojený so závažnými klinickými komplikáciami základného ochorenia pečene. Preto u pacientov s oboma ochoreniami, dekompenzovaným ochorením pečene aj s HBV rezistentn</w:t>
      </w:r>
      <w:r w:rsidR="00144EB0">
        <w:t>ou</w:t>
      </w:r>
      <w:r w:rsidRPr="000A1612">
        <w:t xml:space="preserve"> na lamivudín, sa má prednostne zvážiť kombinácia entekaviru s </w:t>
      </w:r>
      <w:r w:rsidR="00144EB0">
        <w:t>druhou</w:t>
      </w:r>
      <w:r w:rsidRPr="000A1612">
        <w:t xml:space="preserve"> antivírusovou látkou (bez skríženej rezistencie buď na lamivudín alebo na entekavir) pred monoterapiou entekavirom.</w:t>
      </w:r>
    </w:p>
    <w:p w14:paraId="4A7C5640" w14:textId="77777777" w:rsidR="009A581E" w:rsidRPr="000A1612" w:rsidRDefault="009A581E" w:rsidP="009A581E">
      <w:pPr>
        <w:widowControl w:val="0"/>
        <w:spacing w:after="0" w:line="240" w:lineRule="auto"/>
        <w:ind w:left="0" w:firstLine="0"/>
      </w:pPr>
    </w:p>
    <w:p w14:paraId="1F05B828" w14:textId="77777777" w:rsidR="009A581E" w:rsidRPr="000A1612" w:rsidRDefault="009A581E" w:rsidP="009A581E">
      <w:pPr>
        <w:widowControl w:val="0"/>
        <w:spacing w:after="0" w:line="240" w:lineRule="auto"/>
        <w:ind w:left="0" w:right="44" w:firstLine="0"/>
      </w:pPr>
      <w:r w:rsidRPr="000A1612">
        <w:rPr>
          <w:i/>
        </w:rPr>
        <w:t xml:space="preserve">Pediatrická populácia: </w:t>
      </w:r>
      <w:r w:rsidRPr="000A1612">
        <w:t xml:space="preserve">U pediatrických pacientov s východiskovými hodnotami HBV </w:t>
      </w:r>
    </w:p>
    <w:p w14:paraId="3976A761" w14:textId="77777777" w:rsidR="009A581E" w:rsidRPr="000A1612" w:rsidRDefault="009A581E" w:rsidP="009A581E">
      <w:pPr>
        <w:widowControl w:val="0"/>
        <w:spacing w:after="0" w:line="240" w:lineRule="auto"/>
        <w:ind w:left="0" w:right="44" w:firstLine="0"/>
      </w:pPr>
      <w:r w:rsidRPr="000A1612">
        <w:t>DNA ≥ 8,0 log</w:t>
      </w:r>
      <w:r w:rsidRPr="000A1612">
        <w:rPr>
          <w:vertAlign w:val="subscript"/>
        </w:rPr>
        <w:t>10</w:t>
      </w:r>
      <w:r w:rsidRPr="000A1612">
        <w:t xml:space="preserve"> IU/ml sa pozorovala nižšia miera virologickej odpovede (HBV DNA &lt; 50 IU/ml) (pozri časť 5.1). Entekavir sa má u týchto pacientov používať iba</w:t>
      </w:r>
      <w:r w:rsidR="00115648">
        <w:t xml:space="preserve"> vtedy</w:t>
      </w:r>
      <w:r w:rsidRPr="000A1612">
        <w:t xml:space="preserve">, ak potenciálny prínos </w:t>
      </w:r>
      <w:r w:rsidR="00115648">
        <w:t>o</w:t>
      </w:r>
      <w:r w:rsidRPr="000A1612">
        <w:t xml:space="preserve">dôvodní možné riziko </w:t>
      </w:r>
      <w:r w:rsidR="00115648">
        <w:t>pre</w:t>
      </w:r>
      <w:r w:rsidRPr="000A1612">
        <w:t xml:space="preserve"> dieťa (napr. rezistenci</w:t>
      </w:r>
      <w:r w:rsidR="00115648">
        <w:t>a</w:t>
      </w:r>
      <w:r w:rsidRPr="000A1612">
        <w:t>). Keďže u niektorých pediatrických pacientov môže byť potrebná dlhodobá či dokonca celoživotná liečba chronickej aktívnej hepatitídy B, má sa zohľadniť vplyv entekaviru na budúce možnosti liečby.</w:t>
      </w:r>
    </w:p>
    <w:p w14:paraId="18000DB5" w14:textId="77777777" w:rsidR="009A581E" w:rsidRPr="000A1612" w:rsidRDefault="009A581E" w:rsidP="009A581E">
      <w:pPr>
        <w:widowControl w:val="0"/>
        <w:spacing w:after="0" w:line="240" w:lineRule="auto"/>
        <w:ind w:left="0" w:firstLine="0"/>
      </w:pPr>
    </w:p>
    <w:p w14:paraId="551A8795" w14:textId="77777777" w:rsidR="009A581E" w:rsidRPr="000A1612" w:rsidRDefault="009A581E" w:rsidP="009A581E">
      <w:pPr>
        <w:widowControl w:val="0"/>
        <w:spacing w:after="0" w:line="240" w:lineRule="auto"/>
        <w:ind w:left="0" w:right="256" w:firstLine="0"/>
      </w:pPr>
      <w:r w:rsidRPr="000A1612">
        <w:rPr>
          <w:i/>
        </w:rPr>
        <w:t>Príjemcovia transplantátu pečene:</w:t>
      </w:r>
      <w:r w:rsidRPr="000A1612">
        <w:t xml:space="preserve"> u príjemcov transplantátu pečene užívajúcich cyklosporín alebo takrolimus má byť pred a počas liečby entekavirom pozorne zhodnotená funkcia obličiek (pozri časť 5.2).</w:t>
      </w:r>
    </w:p>
    <w:p w14:paraId="75D04D1F" w14:textId="77777777" w:rsidR="009A581E" w:rsidRPr="000A1612" w:rsidRDefault="009A581E" w:rsidP="009A581E">
      <w:pPr>
        <w:widowControl w:val="0"/>
        <w:spacing w:after="0" w:line="240" w:lineRule="auto"/>
        <w:ind w:left="0" w:firstLine="0"/>
      </w:pPr>
    </w:p>
    <w:p w14:paraId="532B90FA" w14:textId="77777777" w:rsidR="009A581E" w:rsidRPr="000A1612" w:rsidRDefault="009A581E" w:rsidP="009A581E">
      <w:pPr>
        <w:widowControl w:val="0"/>
        <w:spacing w:after="0" w:line="240" w:lineRule="auto"/>
        <w:ind w:left="0" w:right="44" w:firstLine="0"/>
      </w:pPr>
      <w:r w:rsidRPr="000A1612">
        <w:rPr>
          <w:i/>
        </w:rPr>
        <w:t>Súbežná infekcia vírusom hepatitídy C alebo D:</w:t>
      </w:r>
      <w:r w:rsidRPr="000A1612">
        <w:t xml:space="preserve"> neexistujú </w:t>
      </w:r>
      <w:r w:rsidR="00EF02EF">
        <w:t xml:space="preserve">žiadne </w:t>
      </w:r>
      <w:r w:rsidRPr="000A1612">
        <w:t>údaje o účinnosti entekaviru u pacientov súbežne infikovaných vírusom hepatitídy C alebo D.</w:t>
      </w:r>
    </w:p>
    <w:p w14:paraId="4965A441" w14:textId="77777777" w:rsidR="009A581E" w:rsidRPr="000A1612" w:rsidRDefault="009A581E" w:rsidP="009A581E">
      <w:pPr>
        <w:widowControl w:val="0"/>
        <w:spacing w:after="0" w:line="240" w:lineRule="auto"/>
        <w:ind w:left="0" w:firstLine="0"/>
      </w:pPr>
    </w:p>
    <w:p w14:paraId="5B5B3EDB" w14:textId="77777777" w:rsidR="009A581E" w:rsidRPr="000A1612" w:rsidRDefault="009A581E" w:rsidP="009A581E">
      <w:pPr>
        <w:widowControl w:val="0"/>
        <w:spacing w:after="0" w:line="240" w:lineRule="auto"/>
        <w:ind w:left="0" w:right="44" w:firstLine="0"/>
      </w:pPr>
      <w:r w:rsidRPr="007F3325">
        <w:rPr>
          <w:i/>
          <w:color w:val="auto"/>
        </w:rPr>
        <w:t xml:space="preserve">Pacienti súbežne infikovaní vírusom </w:t>
      </w:r>
      <w:r w:rsidR="00FA53DF" w:rsidRPr="007F3325">
        <w:rPr>
          <w:i/>
          <w:color w:val="auto"/>
        </w:rPr>
        <w:t>ľudskej</w:t>
      </w:r>
      <w:r w:rsidRPr="007F3325">
        <w:rPr>
          <w:i/>
          <w:color w:val="auto"/>
        </w:rPr>
        <w:t xml:space="preserve"> imunodeficiencie (HIV)/HBV neužívajúci súbežnú antiretrovírusovú terapiu:</w:t>
      </w:r>
      <w:r w:rsidRPr="007F3325">
        <w:rPr>
          <w:color w:val="auto"/>
        </w:rPr>
        <w:t xml:space="preserve"> entekavir nebol hodnotený u pacientov súbežne infikovaných HIV/HBV a nesúbežne užívajúcich </w:t>
      </w:r>
      <w:r w:rsidRPr="000A1612">
        <w:t xml:space="preserve">účinnú HIV liečbu. Výskyt HIV rezistencie sa pozoroval, keď sa entekavir používal na liečbu chronickej </w:t>
      </w:r>
      <w:r w:rsidR="00FA53DF">
        <w:t xml:space="preserve">infekcie </w:t>
      </w:r>
      <w:r w:rsidRPr="000A1612">
        <w:t xml:space="preserve">hepatitídy B u pacientov s HIV infekciou neužívajúcich vysoko aktívnu antiretrovírusovú terapiu (HAART) (pozri časť 5.1). Preto sa liečba entekavirom nemá používať u pacientov súbežne infikovaných HIV/HBV, ktorí neužívajú HAART. Entekavir nebol skúmaný ako terapia pre HIV infekciu a preto sa neodporúča pre toto použitie. </w:t>
      </w:r>
    </w:p>
    <w:p w14:paraId="56875151" w14:textId="77777777" w:rsidR="009A581E" w:rsidRPr="000A1612" w:rsidRDefault="009A581E" w:rsidP="009A581E">
      <w:pPr>
        <w:widowControl w:val="0"/>
        <w:spacing w:after="0" w:line="240" w:lineRule="auto"/>
        <w:ind w:left="0" w:firstLine="0"/>
      </w:pPr>
    </w:p>
    <w:p w14:paraId="204770A3" w14:textId="77777777" w:rsidR="009A581E" w:rsidRPr="000A1612" w:rsidRDefault="009A581E" w:rsidP="009A581E">
      <w:pPr>
        <w:widowControl w:val="0"/>
        <w:spacing w:after="0" w:line="240" w:lineRule="auto"/>
        <w:ind w:left="0" w:right="44" w:firstLine="0"/>
      </w:pPr>
      <w:r w:rsidRPr="000A1612">
        <w:rPr>
          <w:i/>
        </w:rPr>
        <w:t>Pacienti súbežne infikovaní HIV/HBV užívajúci súbežnú antiretrovírusovú terapiu</w:t>
      </w:r>
      <w:r w:rsidRPr="000A1612">
        <w:t>: entekavir sa skúmal u 68 dospelých súbežne infikovaných HIV/HBV užívajúcich lamivudín zahrnutý do HAART režimu (pozri časť 5.1). Nie sú dostupné údaje o účinnosti entekaviru u HBeAg negatívnych pacientov súbežne infikovaných vírusom HIV. K dispozícii sú len obmedzené údaje o pacientoch súbežne infikovaných vírusom HIV, ktorí majú nízky počet CD4 buniek (&lt; 200 buniek/mm</w:t>
      </w:r>
      <w:r w:rsidRPr="000A1612">
        <w:rPr>
          <w:vertAlign w:val="superscript"/>
        </w:rPr>
        <w:t>3</w:t>
      </w:r>
      <w:r w:rsidRPr="000A1612">
        <w:t>).</w:t>
      </w:r>
    </w:p>
    <w:p w14:paraId="6FB8D961" w14:textId="77777777" w:rsidR="009A581E" w:rsidRPr="000A1612" w:rsidRDefault="009A581E" w:rsidP="009A581E">
      <w:pPr>
        <w:widowControl w:val="0"/>
        <w:spacing w:after="0" w:line="240" w:lineRule="auto"/>
        <w:ind w:left="0" w:firstLine="0"/>
      </w:pPr>
    </w:p>
    <w:p w14:paraId="217858F9" w14:textId="77777777" w:rsidR="009A581E" w:rsidRPr="000A1612" w:rsidRDefault="009A581E" w:rsidP="009A581E">
      <w:pPr>
        <w:widowControl w:val="0"/>
        <w:spacing w:after="0" w:line="240" w:lineRule="auto"/>
        <w:ind w:left="0" w:right="44" w:firstLine="0"/>
      </w:pPr>
      <w:r w:rsidRPr="000A1612">
        <w:rPr>
          <w:i/>
        </w:rPr>
        <w:t>Všeobecne:</w:t>
      </w:r>
      <w:r w:rsidRPr="000A1612">
        <w:t xml:space="preserve"> pacienti majú byť oboznámení s tým, že nebolo dokázané, že liečba entekavirom znižuje riziko prenosu HBV, a preto je potrebné naďalej dodržiavať príslušné preventívne opatrenia.</w:t>
      </w:r>
    </w:p>
    <w:p w14:paraId="20FA1051" w14:textId="77777777" w:rsidR="009A581E" w:rsidRPr="000A1612" w:rsidRDefault="009A581E" w:rsidP="009A581E">
      <w:pPr>
        <w:widowControl w:val="0"/>
        <w:spacing w:after="0" w:line="240" w:lineRule="auto"/>
        <w:ind w:left="0" w:firstLine="0"/>
      </w:pPr>
    </w:p>
    <w:p w14:paraId="3450AE52" w14:textId="77777777" w:rsidR="009A581E" w:rsidRPr="000A1612" w:rsidRDefault="009A581E" w:rsidP="009A581E">
      <w:pPr>
        <w:widowControl w:val="0"/>
        <w:spacing w:after="0" w:line="240" w:lineRule="auto"/>
        <w:ind w:left="0" w:right="44" w:firstLine="0"/>
      </w:pPr>
      <w:r w:rsidRPr="000A1612">
        <w:rPr>
          <w:i/>
        </w:rPr>
        <w:t>Laktóza:</w:t>
      </w:r>
      <w:r w:rsidRPr="000A1612">
        <w:t xml:space="preserve"> tento liek obsahuje </w:t>
      </w:r>
      <w:r w:rsidR="00EB1E9C">
        <w:t>121</w:t>
      </w:r>
      <w:r w:rsidRPr="000A1612">
        <w:t xml:space="preserve"> mg laktózy v každej 0,5 mg dennej dávke alebo 24</w:t>
      </w:r>
      <w:r w:rsidR="00EB1E9C">
        <w:t>2</w:t>
      </w:r>
      <w:r w:rsidRPr="000A1612">
        <w:t xml:space="preserve"> mg lak</w:t>
      </w:r>
      <w:r w:rsidR="00EB1E9C">
        <w:t>tózy v každej 1 mg dennej dávke.</w:t>
      </w:r>
    </w:p>
    <w:p w14:paraId="163C50CA" w14:textId="77777777" w:rsidR="009A581E" w:rsidRPr="000A1612" w:rsidRDefault="009A581E" w:rsidP="009A581E">
      <w:pPr>
        <w:widowControl w:val="0"/>
        <w:spacing w:after="0" w:line="240" w:lineRule="auto"/>
        <w:ind w:left="0" w:right="44" w:firstLine="0"/>
      </w:pPr>
      <w:r w:rsidRPr="000A1612">
        <w:t xml:space="preserve">Pacienti so zriedkavými dedičnými problémami galaktózovej intolerancie, lapónskeho deficitu laktázy alebo glukózo-galaktózovej malabsorpcie nesmú užívať tento liek. Pre týchto jedincov je k dispozícii </w:t>
      </w:r>
      <w:r w:rsidR="00130E2E">
        <w:t>Entecavir Glenmark</w:t>
      </w:r>
      <w:r w:rsidRPr="000A1612">
        <w:t xml:space="preserve"> perorálny roztok bez laktózy.</w:t>
      </w:r>
    </w:p>
    <w:p w14:paraId="22F4166C" w14:textId="77777777" w:rsidR="009A581E" w:rsidRPr="000A1612" w:rsidRDefault="009A581E" w:rsidP="009A581E">
      <w:pPr>
        <w:widowControl w:val="0"/>
        <w:spacing w:after="0" w:line="240" w:lineRule="auto"/>
        <w:ind w:left="0" w:firstLine="0"/>
      </w:pPr>
    </w:p>
    <w:p w14:paraId="090CFA30" w14:textId="77777777" w:rsidR="009A581E" w:rsidRPr="000A1612" w:rsidRDefault="00EB1E9C" w:rsidP="00EB1E9C">
      <w:pPr>
        <w:pStyle w:val="Nadpis2"/>
        <w:keepNext w:val="0"/>
        <w:keepLines w:val="0"/>
        <w:widowControl w:val="0"/>
        <w:tabs>
          <w:tab w:val="left" w:pos="567"/>
          <w:tab w:val="center" w:pos="846"/>
          <w:tab w:val="center" w:pos="2396"/>
        </w:tabs>
        <w:spacing w:after="0" w:line="240" w:lineRule="auto"/>
        <w:ind w:left="0" w:firstLine="0"/>
      </w:pPr>
      <w:r>
        <w:lastRenderedPageBreak/>
        <w:t>4.5</w:t>
      </w:r>
      <w:r w:rsidR="009A581E" w:rsidRPr="000A1612">
        <w:tab/>
        <w:t>Liekové a iné interakcie</w:t>
      </w:r>
    </w:p>
    <w:p w14:paraId="51E6CBD1" w14:textId="77777777" w:rsidR="009A581E" w:rsidRPr="000A1612" w:rsidRDefault="009A581E" w:rsidP="009A581E">
      <w:pPr>
        <w:widowControl w:val="0"/>
        <w:spacing w:after="0" w:line="240" w:lineRule="auto"/>
        <w:ind w:left="0" w:firstLine="0"/>
      </w:pPr>
    </w:p>
    <w:p w14:paraId="1E25FC9A" w14:textId="77777777" w:rsidR="009A581E" w:rsidRPr="000A1612" w:rsidRDefault="009A581E" w:rsidP="009A581E">
      <w:pPr>
        <w:widowControl w:val="0"/>
        <w:spacing w:after="0" w:line="240" w:lineRule="auto"/>
        <w:ind w:left="0" w:right="339" w:firstLine="0"/>
      </w:pPr>
      <w:r w:rsidRPr="000A1612">
        <w:t>Vzhľadom na to, že entekavir sa vylučuje prevažne obličkami (pozri časť 5.2), súbežné podávanie s liekmi, ktoré znižujú funkciu obličiek alebo súperia o aktívnu tubulárnu sekréciu, môže zvýšiť sérové koncentrácie niektorého lieku. S výnimkou lamivudínu, adefovir</w:t>
      </w:r>
      <w:r w:rsidR="00D6702D">
        <w:t>-</w:t>
      </w:r>
      <w:r w:rsidRPr="000A1612">
        <w:t>dipivoxilu a</w:t>
      </w:r>
      <w:r w:rsidR="00D6702D">
        <w:t> </w:t>
      </w:r>
      <w:r w:rsidRPr="000A1612">
        <w:t>tenofovir</w:t>
      </w:r>
      <w:r w:rsidR="00D6702D">
        <w:t>-</w:t>
      </w:r>
      <w:r w:rsidRPr="000A1612">
        <w:t>dizoproxilfumarátu</w:t>
      </w:r>
      <w:r w:rsidR="00D6702D">
        <w:t>,</w:t>
      </w:r>
      <w:r w:rsidRPr="000A1612">
        <w:t xml:space="preserve"> nebol hodnotený vplyv súbežného podávania entekaviru s liekmi, ktoré sú vylučované obličkami, alebo ktoré ovplyvňujú funkciu obličiek. Pri súbežnom podávaní entekaviru s takýmito liekmi majú byť pacienti pozorne sledovaní kvôli nežiaducim reakciám.</w:t>
      </w:r>
    </w:p>
    <w:p w14:paraId="32585419" w14:textId="77777777" w:rsidR="009A581E" w:rsidRPr="000A1612" w:rsidRDefault="009A581E" w:rsidP="009A581E">
      <w:pPr>
        <w:widowControl w:val="0"/>
        <w:spacing w:after="0" w:line="240" w:lineRule="auto"/>
        <w:ind w:left="0" w:firstLine="0"/>
      </w:pPr>
    </w:p>
    <w:p w14:paraId="019F06BF" w14:textId="77777777" w:rsidR="009A581E" w:rsidRPr="000A1612" w:rsidRDefault="009A581E" w:rsidP="009A581E">
      <w:pPr>
        <w:widowControl w:val="0"/>
        <w:spacing w:after="0" w:line="240" w:lineRule="auto"/>
        <w:ind w:left="0" w:right="44" w:firstLine="0"/>
      </w:pPr>
      <w:r w:rsidRPr="000A1612">
        <w:t>Medzi entekavirom a lamivudínom, adefovirom alebo tenofovirom neboli pozorované žiadne farmakokinetické interakcie.</w:t>
      </w:r>
    </w:p>
    <w:p w14:paraId="4CD281B0" w14:textId="77777777" w:rsidR="009A581E" w:rsidRPr="000A1612" w:rsidRDefault="009A581E" w:rsidP="009A581E">
      <w:pPr>
        <w:widowControl w:val="0"/>
        <w:spacing w:after="0" w:line="240" w:lineRule="auto"/>
        <w:ind w:left="0" w:firstLine="0"/>
      </w:pPr>
    </w:p>
    <w:p w14:paraId="42C60E89" w14:textId="77777777" w:rsidR="009A581E" w:rsidRPr="000A1612" w:rsidRDefault="009A581E" w:rsidP="009A581E">
      <w:pPr>
        <w:widowControl w:val="0"/>
        <w:spacing w:after="0" w:line="240" w:lineRule="auto"/>
        <w:ind w:left="0" w:right="44" w:firstLine="0"/>
      </w:pPr>
      <w:r w:rsidRPr="000A1612">
        <w:t>Entekavir nie je substrátom, induktorom ani inhibítorom enzýmov cytochrómu P450 (CYP450) (pozri časť 5.2). Preto, výskyt liekových interakcií entekaviru sprostredkovaný CYP450 nie je pravdepodobný.</w:t>
      </w:r>
    </w:p>
    <w:p w14:paraId="43287BA8" w14:textId="77777777" w:rsidR="009A581E" w:rsidRPr="000A1612" w:rsidRDefault="009A581E" w:rsidP="009A581E">
      <w:pPr>
        <w:widowControl w:val="0"/>
        <w:spacing w:after="0" w:line="240" w:lineRule="auto"/>
        <w:ind w:left="0" w:firstLine="0"/>
      </w:pPr>
    </w:p>
    <w:p w14:paraId="031CA65D" w14:textId="77777777" w:rsidR="009A581E" w:rsidRPr="000A1612" w:rsidRDefault="009A581E" w:rsidP="009A581E">
      <w:pPr>
        <w:widowControl w:val="0"/>
        <w:spacing w:after="0" w:line="240" w:lineRule="auto"/>
        <w:ind w:left="0" w:firstLine="0"/>
      </w:pPr>
      <w:r w:rsidRPr="000A1612">
        <w:rPr>
          <w:i/>
          <w:u w:val="single" w:color="000000"/>
        </w:rPr>
        <w:t>Pediatrická populácia</w:t>
      </w:r>
    </w:p>
    <w:p w14:paraId="7D26F873" w14:textId="77777777" w:rsidR="009A581E" w:rsidRPr="000A1612" w:rsidRDefault="009A581E" w:rsidP="009A581E">
      <w:pPr>
        <w:widowControl w:val="0"/>
        <w:spacing w:after="0" w:line="240" w:lineRule="auto"/>
        <w:ind w:left="0" w:right="44" w:firstLine="0"/>
      </w:pPr>
      <w:r w:rsidRPr="000A1612">
        <w:t>Interakčné štúdie sa uskutočnili len u dospelých.</w:t>
      </w:r>
    </w:p>
    <w:p w14:paraId="5B165C99" w14:textId="77777777" w:rsidR="009A581E" w:rsidRPr="000A1612" w:rsidRDefault="009A581E" w:rsidP="009A581E">
      <w:pPr>
        <w:widowControl w:val="0"/>
        <w:spacing w:after="0" w:line="240" w:lineRule="auto"/>
        <w:ind w:left="0" w:firstLine="0"/>
      </w:pPr>
    </w:p>
    <w:p w14:paraId="03EB3E11" w14:textId="77777777" w:rsidR="009A581E" w:rsidRPr="00EB1E9C" w:rsidRDefault="009A581E" w:rsidP="00EB1E9C">
      <w:pPr>
        <w:pStyle w:val="Nadpis2"/>
        <w:keepNext w:val="0"/>
        <w:keepLines w:val="0"/>
        <w:widowControl w:val="0"/>
        <w:tabs>
          <w:tab w:val="left" w:pos="567"/>
          <w:tab w:val="center" w:pos="846"/>
          <w:tab w:val="center" w:pos="2626"/>
        </w:tabs>
        <w:spacing w:after="0" w:line="240" w:lineRule="auto"/>
        <w:ind w:left="0" w:firstLine="0"/>
        <w:rPr>
          <w:b w:val="0"/>
        </w:rPr>
      </w:pPr>
      <w:r w:rsidRPr="000A1612">
        <w:t>4.6</w:t>
      </w:r>
      <w:r w:rsidRPr="000A1612">
        <w:tab/>
        <w:t>Fertilita, gravidita a laktácia</w:t>
      </w:r>
    </w:p>
    <w:p w14:paraId="72B8B58A" w14:textId="77777777" w:rsidR="009A581E" w:rsidRPr="000A1612" w:rsidRDefault="009A581E" w:rsidP="009A581E">
      <w:pPr>
        <w:widowControl w:val="0"/>
        <w:spacing w:after="0" w:line="240" w:lineRule="auto"/>
        <w:ind w:left="0" w:firstLine="0"/>
      </w:pPr>
    </w:p>
    <w:p w14:paraId="33196525" w14:textId="77777777" w:rsidR="009A581E" w:rsidRPr="000A1612" w:rsidRDefault="009A581E" w:rsidP="009A581E">
      <w:pPr>
        <w:widowControl w:val="0"/>
        <w:spacing w:after="0" w:line="240" w:lineRule="auto"/>
        <w:ind w:left="0" w:right="44" w:firstLine="0"/>
      </w:pPr>
      <w:r w:rsidRPr="000A1612">
        <w:rPr>
          <w:i/>
        </w:rPr>
        <w:t>Ženy vo fertilnom veku:</w:t>
      </w:r>
      <w:r w:rsidRPr="000A1612">
        <w:t xml:space="preserve"> vzhľadom na to, že nie sú známe potenciálne riziká pre vyvíjajúci sa plod, ženy vo fertilnom veku majú používať účinnú antikoncepciu.</w:t>
      </w:r>
    </w:p>
    <w:p w14:paraId="704A1993" w14:textId="77777777" w:rsidR="009A581E" w:rsidRPr="000A1612" w:rsidRDefault="009A581E" w:rsidP="009A581E">
      <w:pPr>
        <w:widowControl w:val="0"/>
        <w:spacing w:after="0" w:line="240" w:lineRule="auto"/>
        <w:ind w:left="0" w:firstLine="0"/>
      </w:pPr>
    </w:p>
    <w:p w14:paraId="65C41423" w14:textId="77777777" w:rsidR="009A581E" w:rsidRPr="000A1612" w:rsidRDefault="009A581E" w:rsidP="009A581E">
      <w:pPr>
        <w:widowControl w:val="0"/>
        <w:spacing w:after="0" w:line="240" w:lineRule="auto"/>
        <w:ind w:left="0" w:right="44" w:firstLine="0"/>
      </w:pPr>
      <w:r w:rsidRPr="000A1612">
        <w:rPr>
          <w:i/>
        </w:rPr>
        <w:t xml:space="preserve">Gravidita: </w:t>
      </w:r>
      <w:r w:rsidRPr="000A1612">
        <w:t xml:space="preserve">nie sú k dispozícii dostatočné údaje o použití entekaviru u gravidných žien. Štúdie na zvieratách preukázali reprodukčnú toxicitu pri vysokých dávkach (pozri časť 5.3). Nie je známe potenciálne riziko </w:t>
      </w:r>
      <w:r w:rsidR="006438C0">
        <w:t>pre</w:t>
      </w:r>
      <w:r w:rsidRPr="000A1612">
        <w:t xml:space="preserve"> ľudí. </w:t>
      </w:r>
      <w:r w:rsidR="00130E2E">
        <w:t>Entecavir Glenmark</w:t>
      </w:r>
      <w:r w:rsidRPr="000A1612">
        <w:t xml:space="preserve"> </w:t>
      </w:r>
      <w:r w:rsidR="00EB1E9C">
        <w:t xml:space="preserve">sa </w:t>
      </w:r>
      <w:r w:rsidRPr="000A1612">
        <w:t>má užíva</w:t>
      </w:r>
      <w:r w:rsidR="00EB1E9C">
        <w:t>ť</w:t>
      </w:r>
      <w:r w:rsidRPr="000A1612">
        <w:t xml:space="preserve"> počas gravidity iba v nevyhnutných prípadoch. Neexistujú údaje o vplyve entekaviru na prenos HBV z matky na novorodenca. </w:t>
      </w:r>
      <w:r w:rsidR="004F10FB">
        <w:t>Preto sa majú urobiť potrebné opatrenia, aby sa u novorod</w:t>
      </w:r>
      <w:r w:rsidR="007737A2">
        <w:t>enca zabránilo infikovaniu HBV.</w:t>
      </w:r>
    </w:p>
    <w:p w14:paraId="2E4566BF" w14:textId="77777777" w:rsidR="009A581E" w:rsidRPr="00EB1E9C" w:rsidRDefault="009A581E" w:rsidP="009A581E">
      <w:pPr>
        <w:widowControl w:val="0"/>
        <w:spacing w:after="0" w:line="240" w:lineRule="auto"/>
        <w:ind w:left="0" w:firstLine="0"/>
      </w:pPr>
    </w:p>
    <w:p w14:paraId="378373AC" w14:textId="77777777" w:rsidR="009A581E" w:rsidRPr="000A1612" w:rsidRDefault="009A581E" w:rsidP="009A581E">
      <w:pPr>
        <w:widowControl w:val="0"/>
        <w:spacing w:after="0" w:line="240" w:lineRule="auto"/>
        <w:ind w:left="0" w:right="168" w:firstLine="0"/>
      </w:pPr>
      <w:r w:rsidRPr="000A1612">
        <w:rPr>
          <w:i/>
        </w:rPr>
        <w:t>Dojčenie:</w:t>
      </w:r>
      <w:r w:rsidRPr="000A1612">
        <w:t xml:space="preserve"> nie je známe, či sa entekavir vylučuje do ľudského mlieka. Dostupné toxikologické údaje u zvierat preukázali vylučovanie entekaviru do mlieka (pre podrobné informácie pozri časť 5.3). Riziko pre dojčatá nie je možné vylúčiť. Dojčenie sa má počas liečby </w:t>
      </w:r>
      <w:r w:rsidR="00EB1E9C">
        <w:t xml:space="preserve">Entecavirom </w:t>
      </w:r>
      <w:r w:rsidR="00130E2E">
        <w:t>Glenmark</w:t>
      </w:r>
      <w:r w:rsidRPr="000A1612">
        <w:t xml:space="preserve"> ukončiť.</w:t>
      </w:r>
    </w:p>
    <w:p w14:paraId="48F94F7F" w14:textId="77777777" w:rsidR="009A581E" w:rsidRPr="000A1612" w:rsidRDefault="009A581E" w:rsidP="009A581E">
      <w:pPr>
        <w:widowControl w:val="0"/>
        <w:spacing w:after="0" w:line="240" w:lineRule="auto"/>
        <w:ind w:left="0" w:firstLine="0"/>
      </w:pPr>
    </w:p>
    <w:p w14:paraId="1F6B95F4" w14:textId="77777777" w:rsidR="009A581E" w:rsidRPr="000A1612" w:rsidRDefault="009A581E" w:rsidP="009A581E">
      <w:pPr>
        <w:widowControl w:val="0"/>
        <w:spacing w:after="0" w:line="240" w:lineRule="auto"/>
        <w:ind w:left="0" w:right="44" w:firstLine="0"/>
      </w:pPr>
      <w:r w:rsidRPr="000A1612">
        <w:rPr>
          <w:i/>
        </w:rPr>
        <w:t>Fertilita:</w:t>
      </w:r>
      <w:r w:rsidRPr="000A1612">
        <w:t xml:space="preserve"> toxikologické štúdie na zvieratách, ktorým bol podávaný entekavir, nepreukázali žiadny dôkaz poruchy fertility (pozri časť 5.3).</w:t>
      </w:r>
    </w:p>
    <w:p w14:paraId="7D646ACF" w14:textId="77777777" w:rsidR="009A581E" w:rsidRPr="000A1612" w:rsidRDefault="009A581E" w:rsidP="009A581E">
      <w:pPr>
        <w:widowControl w:val="0"/>
        <w:spacing w:after="0" w:line="240" w:lineRule="auto"/>
        <w:ind w:left="0" w:firstLine="0"/>
      </w:pPr>
    </w:p>
    <w:p w14:paraId="106277BF" w14:textId="77777777" w:rsidR="009A581E" w:rsidRPr="000A1612" w:rsidRDefault="009A581E" w:rsidP="00EB1E9C">
      <w:pPr>
        <w:pStyle w:val="Nadpis2"/>
        <w:keepNext w:val="0"/>
        <w:keepLines w:val="0"/>
        <w:widowControl w:val="0"/>
        <w:tabs>
          <w:tab w:val="left" w:pos="567"/>
          <w:tab w:val="center" w:pos="846"/>
          <w:tab w:val="center" w:pos="3956"/>
        </w:tabs>
        <w:spacing w:after="0" w:line="240" w:lineRule="auto"/>
        <w:ind w:left="0" w:firstLine="0"/>
      </w:pPr>
      <w:r w:rsidRPr="000A1612">
        <w:t>4.7</w:t>
      </w:r>
      <w:r w:rsidR="00EB1E9C">
        <w:tab/>
      </w:r>
      <w:r w:rsidRPr="000A1612">
        <w:tab/>
        <w:t>Ovplyvnenie schopnosti viesť vozidlá a obsluhovať stroje</w:t>
      </w:r>
    </w:p>
    <w:p w14:paraId="2C988745" w14:textId="77777777" w:rsidR="009A581E" w:rsidRPr="000A1612" w:rsidRDefault="009A581E" w:rsidP="009A581E">
      <w:pPr>
        <w:widowControl w:val="0"/>
        <w:spacing w:after="0" w:line="240" w:lineRule="auto"/>
        <w:ind w:left="0" w:firstLine="0"/>
      </w:pPr>
    </w:p>
    <w:p w14:paraId="728A3456" w14:textId="77777777" w:rsidR="009A581E" w:rsidRPr="000A1612" w:rsidRDefault="009A581E" w:rsidP="009A581E">
      <w:pPr>
        <w:widowControl w:val="0"/>
        <w:spacing w:after="0" w:line="240" w:lineRule="auto"/>
        <w:ind w:left="0" w:right="483" w:firstLine="0"/>
      </w:pPr>
      <w:r w:rsidRPr="000A1612">
        <w:t xml:space="preserve">Neuskutočnili sa žiadne štúdie o účinkoch na schopnosť viesť vozidlá a obsluhovať stroje. Závrat, únava a somnolencia sú časté </w:t>
      </w:r>
      <w:r w:rsidR="002A772D">
        <w:t>nežiaduce</w:t>
      </w:r>
      <w:r w:rsidRPr="000A1612">
        <w:t xml:space="preserve"> účinky, ktoré môžu zhoršiť schopnosť viesť vozidlá a obsluhovať stroje.</w:t>
      </w:r>
    </w:p>
    <w:p w14:paraId="3B06B204" w14:textId="77777777" w:rsidR="009A581E" w:rsidRPr="000A1612" w:rsidRDefault="009A581E" w:rsidP="009A581E">
      <w:pPr>
        <w:widowControl w:val="0"/>
        <w:spacing w:after="0" w:line="240" w:lineRule="auto"/>
        <w:ind w:left="0" w:firstLine="0"/>
      </w:pPr>
    </w:p>
    <w:p w14:paraId="0AE81727" w14:textId="77777777" w:rsidR="009A581E" w:rsidRPr="000A1612" w:rsidRDefault="009A581E" w:rsidP="00EB1E9C">
      <w:pPr>
        <w:pStyle w:val="Nadpis2"/>
        <w:keepNext w:val="0"/>
        <w:keepLines w:val="0"/>
        <w:widowControl w:val="0"/>
        <w:tabs>
          <w:tab w:val="left" w:pos="567"/>
          <w:tab w:val="center" w:pos="846"/>
          <w:tab w:val="center" w:pos="2103"/>
        </w:tabs>
        <w:spacing w:after="0" w:line="240" w:lineRule="auto"/>
        <w:ind w:left="0" w:firstLine="0"/>
      </w:pPr>
      <w:r w:rsidRPr="000A1612">
        <w:t>4.8</w:t>
      </w:r>
      <w:r w:rsidRPr="000A1612">
        <w:tab/>
        <w:t>Nežiaduce účinky</w:t>
      </w:r>
    </w:p>
    <w:p w14:paraId="04CCE287" w14:textId="77777777" w:rsidR="009A581E" w:rsidRPr="000A1612" w:rsidRDefault="009A581E" w:rsidP="009A581E">
      <w:pPr>
        <w:widowControl w:val="0"/>
        <w:spacing w:after="0" w:line="240" w:lineRule="auto"/>
        <w:ind w:left="0" w:firstLine="0"/>
      </w:pPr>
    </w:p>
    <w:p w14:paraId="431B00BA" w14:textId="77777777" w:rsidR="009A581E" w:rsidRPr="000A1612" w:rsidRDefault="00EB1E9C" w:rsidP="00EB1E9C">
      <w:pPr>
        <w:pStyle w:val="Odsekzoznamu"/>
        <w:widowControl w:val="0"/>
        <w:numPr>
          <w:ilvl w:val="0"/>
          <w:numId w:val="43"/>
        </w:numPr>
        <w:spacing w:after="0" w:line="240" w:lineRule="auto"/>
        <w:ind w:left="567" w:hanging="567"/>
      </w:pPr>
      <w:r w:rsidRPr="00EB1E9C">
        <w:rPr>
          <w:i/>
        </w:rPr>
        <w:t>Prehľad bezpečnostného profilu</w:t>
      </w:r>
    </w:p>
    <w:p w14:paraId="7DF7B56F" w14:textId="77777777" w:rsidR="009A581E" w:rsidRPr="000A1612" w:rsidRDefault="009A581E" w:rsidP="009A581E">
      <w:pPr>
        <w:widowControl w:val="0"/>
        <w:spacing w:after="0" w:line="240" w:lineRule="auto"/>
        <w:ind w:left="0" w:right="154" w:firstLine="0"/>
      </w:pPr>
      <w:r w:rsidRPr="000A1612">
        <w:t xml:space="preserve">V klinických štúdiách u pacientov s kompenzovaným ochorením pečene, najčastejšími nežiaducimi reakciami akejkoľvek závažnosti s prinajmenšom možným vzťahom k entekaviru boli bolesť hlavy (9 %), únava (6 %), závrat (4 %) a nauzea (3 %). Tiež bola hlásená exacerbácia hepatitídy počas a po ukončení liečby entekavirom (pozri časť 4.4 a </w:t>
      </w:r>
      <w:r w:rsidRPr="000A1612">
        <w:rPr>
          <w:i/>
        </w:rPr>
        <w:t xml:space="preserve">c. Opis </w:t>
      </w:r>
      <w:r w:rsidRPr="00C80AD3">
        <w:rPr>
          <w:i/>
          <w:color w:val="auto"/>
        </w:rPr>
        <w:t xml:space="preserve">vybraných nežiaducich </w:t>
      </w:r>
      <w:r w:rsidRPr="000A1612">
        <w:rPr>
          <w:i/>
        </w:rPr>
        <w:t>reakcií</w:t>
      </w:r>
      <w:r w:rsidRPr="000A1612">
        <w:t>).</w:t>
      </w:r>
    </w:p>
    <w:p w14:paraId="22F869AC" w14:textId="77777777" w:rsidR="009A581E" w:rsidRPr="000A1612" w:rsidRDefault="009A581E" w:rsidP="009A581E">
      <w:pPr>
        <w:widowControl w:val="0"/>
        <w:spacing w:after="0" w:line="240" w:lineRule="auto"/>
        <w:ind w:left="0" w:firstLine="0"/>
      </w:pPr>
    </w:p>
    <w:p w14:paraId="2EFAB930" w14:textId="77777777" w:rsidR="009A581E" w:rsidRPr="000A1612" w:rsidRDefault="009A581E" w:rsidP="00EB1E9C">
      <w:pPr>
        <w:widowControl w:val="0"/>
        <w:tabs>
          <w:tab w:val="left" w:pos="567"/>
        </w:tabs>
        <w:spacing w:after="0" w:line="240" w:lineRule="auto"/>
        <w:ind w:left="0" w:firstLine="0"/>
      </w:pPr>
      <w:r w:rsidRPr="000A1612">
        <w:rPr>
          <w:i/>
        </w:rPr>
        <w:t>b.</w:t>
      </w:r>
      <w:r w:rsidR="00EB1E9C">
        <w:rPr>
          <w:i/>
        </w:rPr>
        <w:tab/>
      </w:r>
      <w:r w:rsidR="00CA44C2">
        <w:rPr>
          <w:i/>
        </w:rPr>
        <w:t>Tabuľkový z</w:t>
      </w:r>
      <w:r w:rsidRPr="000A1612">
        <w:rPr>
          <w:i/>
        </w:rPr>
        <w:t>oznam nežiaducich</w:t>
      </w:r>
      <w:r w:rsidR="007737A2">
        <w:rPr>
          <w:i/>
        </w:rPr>
        <w:t xml:space="preserve"> reakcií</w:t>
      </w:r>
    </w:p>
    <w:p w14:paraId="639F27C6" w14:textId="77777777" w:rsidR="009A581E" w:rsidRPr="000A1612" w:rsidRDefault="009A581E" w:rsidP="009A581E">
      <w:pPr>
        <w:widowControl w:val="0"/>
        <w:spacing w:after="0" w:line="240" w:lineRule="auto"/>
        <w:ind w:left="0" w:right="108" w:firstLine="0"/>
      </w:pPr>
      <w:r w:rsidRPr="000A1612">
        <w:t xml:space="preserve">Hodnotenie nežiaducich reakcií sa zakladá na skúsenostiach z postmarketingového sledovania a štyroch klinických štúdiách, v ktorých 1720 pacientov s chronickou infekciou hepatitídy B a kompenzovaným ochorením pečene dostávalo dvojito zaslepenú liečbu entekavirom (n = 862) alebo lamivudínom (n = 858) až po dobu 107 týždňov (pozri časť 5.1). V týchto štúdiách boli profily </w:t>
      </w:r>
      <w:r w:rsidRPr="000A1612">
        <w:lastRenderedPageBreak/>
        <w:t>bezpečnosti, vrátane laboratórnych abnormalít, porovnateľné pre entekavir 0,5 mg denne (679 HBeAg pozitívnych alebo negatívnych pacientov bez predošlej liečby nukleozidmi liečených v mediáne 53 týždňov), entekavir 1 mg denne (183 pacientov refraktérnych na lamivudín liečených v mediáne 69 týždňov) a lamivudín.</w:t>
      </w:r>
    </w:p>
    <w:p w14:paraId="6BC5BFC1" w14:textId="77777777" w:rsidR="009A581E" w:rsidRPr="000A1612" w:rsidRDefault="009A581E" w:rsidP="00EB1E9C">
      <w:pPr>
        <w:widowControl w:val="0"/>
        <w:spacing w:after="0" w:line="240" w:lineRule="auto"/>
        <w:ind w:left="0" w:firstLine="0"/>
      </w:pPr>
    </w:p>
    <w:p w14:paraId="1C5A2D60" w14:textId="77777777" w:rsidR="009A581E" w:rsidRPr="000A1612" w:rsidRDefault="009A581E" w:rsidP="009A581E">
      <w:pPr>
        <w:widowControl w:val="0"/>
        <w:spacing w:after="0" w:line="240" w:lineRule="auto"/>
        <w:ind w:left="0" w:right="44" w:firstLine="0"/>
      </w:pPr>
      <w:r w:rsidRPr="000A1612">
        <w:t xml:space="preserve">Nežiaduce reakcie </w:t>
      </w:r>
      <w:r w:rsidR="007A521F">
        <w:t>považované</w:t>
      </w:r>
      <w:r w:rsidRPr="000A1612">
        <w:t xml:space="preserve"> za prinajmenšom možno súvisiace s liečbou entekavirom sú uvedené podľa tried orgánových systémov. Frekvencia je definovaná ako veľmi časté (≥ 1/10); časté (≥ 1/100 až &lt; 1/10); menej časté (≥ 1/1 000 až 1/100); zriedkavé (≥ 1/10 000 až 1/1 000). V rámci jednotlivých skupín frekvencií sú nežiaduce účinky usporiadané v poradí klesajúcej závažnosti.</w:t>
      </w:r>
    </w:p>
    <w:p w14:paraId="4A8B82D5" w14:textId="77777777" w:rsidR="009A581E" w:rsidRPr="000A1612" w:rsidRDefault="009A581E" w:rsidP="009A581E">
      <w:pPr>
        <w:widowControl w:val="0"/>
        <w:spacing w:after="0" w:line="240" w:lineRule="auto"/>
        <w:ind w:left="0" w:firstLine="0"/>
      </w:pPr>
    </w:p>
    <w:tbl>
      <w:tblPr>
        <w:tblStyle w:val="TableGrid"/>
        <w:tblW w:w="7766" w:type="dxa"/>
        <w:tblInd w:w="0" w:type="dxa"/>
        <w:tblLook w:val="04A0" w:firstRow="1" w:lastRow="0" w:firstColumn="1" w:lastColumn="0" w:noHBand="0" w:noVBand="1"/>
      </w:tblPr>
      <w:tblGrid>
        <w:gridCol w:w="3979"/>
        <w:gridCol w:w="3787"/>
      </w:tblGrid>
      <w:tr w:rsidR="009A581E" w:rsidRPr="000A1612" w14:paraId="12942D15" w14:textId="77777777" w:rsidTr="00051D79">
        <w:trPr>
          <w:trHeight w:val="227"/>
        </w:trPr>
        <w:tc>
          <w:tcPr>
            <w:tcW w:w="3979" w:type="dxa"/>
            <w:tcBorders>
              <w:top w:val="nil"/>
              <w:left w:val="nil"/>
              <w:bottom w:val="nil"/>
              <w:right w:val="nil"/>
            </w:tcBorders>
          </w:tcPr>
          <w:p w14:paraId="6526FFBE" w14:textId="77777777" w:rsidR="009A581E" w:rsidRPr="000A1612" w:rsidRDefault="00EB1E9C" w:rsidP="00130E2E">
            <w:pPr>
              <w:widowControl w:val="0"/>
              <w:spacing w:after="0" w:line="240" w:lineRule="auto"/>
              <w:ind w:left="0" w:firstLine="0"/>
            </w:pPr>
            <w:r w:rsidRPr="00AC5580">
              <w:rPr>
                <w:i/>
              </w:rPr>
              <w:t>Poruchy imunitného systému:</w:t>
            </w:r>
          </w:p>
        </w:tc>
        <w:tc>
          <w:tcPr>
            <w:tcW w:w="3787" w:type="dxa"/>
            <w:tcBorders>
              <w:top w:val="nil"/>
              <w:left w:val="nil"/>
              <w:bottom w:val="nil"/>
              <w:right w:val="nil"/>
            </w:tcBorders>
          </w:tcPr>
          <w:p w14:paraId="242DF81D" w14:textId="77777777" w:rsidR="009A581E" w:rsidRPr="000A1612" w:rsidRDefault="009A581E" w:rsidP="00130E2E">
            <w:pPr>
              <w:widowControl w:val="0"/>
              <w:spacing w:after="0" w:line="240" w:lineRule="auto"/>
              <w:ind w:left="0" w:firstLine="0"/>
            </w:pPr>
            <w:r w:rsidRPr="000A1612">
              <w:t>zr</w:t>
            </w:r>
            <w:r w:rsidR="00EB1E9C">
              <w:t>iedkavé: anafylaktoidná reakcia</w:t>
            </w:r>
          </w:p>
        </w:tc>
      </w:tr>
      <w:tr w:rsidR="009A581E" w:rsidRPr="000A1612" w14:paraId="50BF3031" w14:textId="77777777" w:rsidTr="00051D79">
        <w:trPr>
          <w:trHeight w:val="252"/>
        </w:trPr>
        <w:tc>
          <w:tcPr>
            <w:tcW w:w="3979" w:type="dxa"/>
            <w:tcBorders>
              <w:top w:val="nil"/>
              <w:left w:val="nil"/>
              <w:bottom w:val="nil"/>
              <w:right w:val="nil"/>
            </w:tcBorders>
          </w:tcPr>
          <w:p w14:paraId="5992291D"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57401700" w14:textId="77777777" w:rsidR="009A581E" w:rsidRPr="000A1612" w:rsidRDefault="009A581E" w:rsidP="00130E2E">
            <w:pPr>
              <w:widowControl w:val="0"/>
              <w:spacing w:after="0" w:line="240" w:lineRule="auto"/>
              <w:ind w:left="0" w:firstLine="0"/>
            </w:pPr>
          </w:p>
        </w:tc>
      </w:tr>
      <w:tr w:rsidR="009A581E" w:rsidRPr="000A1612" w14:paraId="1FEACF3B" w14:textId="77777777" w:rsidTr="00051D79">
        <w:trPr>
          <w:trHeight w:val="253"/>
        </w:trPr>
        <w:tc>
          <w:tcPr>
            <w:tcW w:w="3979" w:type="dxa"/>
            <w:tcBorders>
              <w:top w:val="nil"/>
              <w:left w:val="nil"/>
              <w:bottom w:val="nil"/>
              <w:right w:val="nil"/>
            </w:tcBorders>
          </w:tcPr>
          <w:p w14:paraId="51A8B5CB" w14:textId="77777777" w:rsidR="009A581E" w:rsidRPr="000A1612" w:rsidRDefault="00EB1E9C" w:rsidP="00130E2E">
            <w:pPr>
              <w:widowControl w:val="0"/>
              <w:spacing w:after="0" w:line="240" w:lineRule="auto"/>
              <w:ind w:left="0" w:firstLine="0"/>
            </w:pPr>
            <w:r>
              <w:rPr>
                <w:i/>
              </w:rPr>
              <w:t>Psychické poruchy:</w:t>
            </w:r>
          </w:p>
        </w:tc>
        <w:tc>
          <w:tcPr>
            <w:tcW w:w="3787" w:type="dxa"/>
            <w:tcBorders>
              <w:top w:val="nil"/>
              <w:left w:val="nil"/>
              <w:bottom w:val="nil"/>
              <w:right w:val="nil"/>
            </w:tcBorders>
          </w:tcPr>
          <w:p w14:paraId="50531F76" w14:textId="77777777" w:rsidR="009A581E" w:rsidRPr="000A1612" w:rsidRDefault="00EB1E9C" w:rsidP="00130E2E">
            <w:pPr>
              <w:widowControl w:val="0"/>
              <w:spacing w:after="0" w:line="240" w:lineRule="auto"/>
              <w:ind w:left="0" w:firstLine="0"/>
            </w:pPr>
            <w:r>
              <w:t>časté: nespavosť</w:t>
            </w:r>
          </w:p>
        </w:tc>
      </w:tr>
      <w:tr w:rsidR="009A581E" w:rsidRPr="000A1612" w14:paraId="621A57AA" w14:textId="77777777" w:rsidTr="00051D79">
        <w:trPr>
          <w:trHeight w:val="253"/>
        </w:trPr>
        <w:tc>
          <w:tcPr>
            <w:tcW w:w="3979" w:type="dxa"/>
            <w:tcBorders>
              <w:top w:val="nil"/>
              <w:left w:val="nil"/>
              <w:bottom w:val="nil"/>
              <w:right w:val="nil"/>
            </w:tcBorders>
          </w:tcPr>
          <w:p w14:paraId="0E1CCA5A"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018B8FDA" w14:textId="77777777" w:rsidR="009A581E" w:rsidRPr="000A1612" w:rsidRDefault="009A581E" w:rsidP="00130E2E">
            <w:pPr>
              <w:widowControl w:val="0"/>
              <w:spacing w:after="0" w:line="240" w:lineRule="auto"/>
              <w:ind w:left="0" w:firstLine="0"/>
            </w:pPr>
          </w:p>
        </w:tc>
      </w:tr>
      <w:tr w:rsidR="009A581E" w:rsidRPr="000A1612" w14:paraId="3AD41065" w14:textId="77777777" w:rsidTr="00051D79">
        <w:trPr>
          <w:trHeight w:val="253"/>
        </w:trPr>
        <w:tc>
          <w:tcPr>
            <w:tcW w:w="3979" w:type="dxa"/>
            <w:tcBorders>
              <w:top w:val="nil"/>
              <w:left w:val="nil"/>
              <w:bottom w:val="nil"/>
              <w:right w:val="nil"/>
            </w:tcBorders>
          </w:tcPr>
          <w:p w14:paraId="27A1FAD0" w14:textId="77777777" w:rsidR="009A581E" w:rsidRPr="000A1612" w:rsidRDefault="00EB1E9C" w:rsidP="00130E2E">
            <w:pPr>
              <w:widowControl w:val="0"/>
              <w:spacing w:after="0" w:line="240" w:lineRule="auto"/>
              <w:ind w:left="0" w:firstLine="0"/>
            </w:pPr>
            <w:r>
              <w:rPr>
                <w:i/>
              </w:rPr>
              <w:t>Poruchy nervového systému:</w:t>
            </w:r>
          </w:p>
        </w:tc>
        <w:tc>
          <w:tcPr>
            <w:tcW w:w="3787" w:type="dxa"/>
            <w:tcBorders>
              <w:top w:val="nil"/>
              <w:left w:val="nil"/>
              <w:bottom w:val="nil"/>
              <w:right w:val="nil"/>
            </w:tcBorders>
          </w:tcPr>
          <w:p w14:paraId="0C1FCBA4" w14:textId="77777777" w:rsidR="009A581E" w:rsidRPr="000A1612" w:rsidRDefault="009A581E" w:rsidP="00130E2E">
            <w:pPr>
              <w:widowControl w:val="0"/>
              <w:spacing w:after="0" w:line="240" w:lineRule="auto"/>
              <w:ind w:left="0" w:firstLine="0"/>
            </w:pPr>
            <w:r w:rsidRPr="000A1612">
              <w:t>časté: bolesť hlavy, závrat, somnolencia</w:t>
            </w:r>
            <w:r w:rsidRPr="000A1612">
              <w:rPr>
                <w:i/>
              </w:rPr>
              <w:t xml:space="preserve"> </w:t>
            </w:r>
          </w:p>
        </w:tc>
      </w:tr>
      <w:tr w:rsidR="009A581E" w:rsidRPr="000A1612" w14:paraId="0DB985EF" w14:textId="77777777" w:rsidTr="00051D79">
        <w:trPr>
          <w:trHeight w:val="253"/>
        </w:trPr>
        <w:tc>
          <w:tcPr>
            <w:tcW w:w="3979" w:type="dxa"/>
            <w:tcBorders>
              <w:top w:val="nil"/>
              <w:left w:val="nil"/>
              <w:bottom w:val="nil"/>
              <w:right w:val="nil"/>
            </w:tcBorders>
          </w:tcPr>
          <w:p w14:paraId="7485C6E8"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4B2CB8C7" w14:textId="77777777" w:rsidR="009A581E" w:rsidRPr="000A1612" w:rsidRDefault="009A581E" w:rsidP="00130E2E">
            <w:pPr>
              <w:widowControl w:val="0"/>
              <w:spacing w:after="0" w:line="240" w:lineRule="auto"/>
              <w:ind w:left="0" w:firstLine="0"/>
            </w:pPr>
          </w:p>
        </w:tc>
      </w:tr>
      <w:tr w:rsidR="009A581E" w:rsidRPr="000A1612" w14:paraId="5934E521" w14:textId="77777777" w:rsidTr="00051D79">
        <w:trPr>
          <w:trHeight w:val="252"/>
        </w:trPr>
        <w:tc>
          <w:tcPr>
            <w:tcW w:w="3979" w:type="dxa"/>
            <w:tcBorders>
              <w:top w:val="nil"/>
              <w:left w:val="nil"/>
              <w:bottom w:val="nil"/>
              <w:right w:val="nil"/>
            </w:tcBorders>
          </w:tcPr>
          <w:p w14:paraId="2153DAEC" w14:textId="77777777" w:rsidR="009A581E" w:rsidRPr="000A1612" w:rsidRDefault="009A581E" w:rsidP="00130E2E">
            <w:pPr>
              <w:widowControl w:val="0"/>
              <w:spacing w:after="0" w:line="240" w:lineRule="auto"/>
              <w:ind w:left="0" w:firstLine="0"/>
            </w:pPr>
            <w:r w:rsidRPr="000A1612">
              <w:rPr>
                <w:i/>
              </w:rPr>
              <w:t>Poruchy gastrointestiná</w:t>
            </w:r>
            <w:r w:rsidR="00EB1E9C">
              <w:rPr>
                <w:i/>
              </w:rPr>
              <w:t>lneho traktu:</w:t>
            </w:r>
          </w:p>
        </w:tc>
        <w:tc>
          <w:tcPr>
            <w:tcW w:w="3787" w:type="dxa"/>
            <w:tcBorders>
              <w:top w:val="nil"/>
              <w:left w:val="nil"/>
              <w:bottom w:val="nil"/>
              <w:right w:val="nil"/>
            </w:tcBorders>
          </w:tcPr>
          <w:p w14:paraId="290252F2" w14:textId="77777777" w:rsidR="009A581E" w:rsidRPr="000A1612" w:rsidRDefault="009A581E" w:rsidP="00130E2E">
            <w:pPr>
              <w:widowControl w:val="0"/>
              <w:spacing w:after="0" w:line="240" w:lineRule="auto"/>
              <w:ind w:left="0" w:firstLine="0"/>
              <w:jc w:val="both"/>
            </w:pPr>
            <w:r w:rsidRPr="000A1612">
              <w:t>časté: vracanie, hnačka, nauzea, dyspepsia</w:t>
            </w:r>
            <w:r w:rsidRPr="000A1612">
              <w:rPr>
                <w:i/>
              </w:rPr>
              <w:t xml:space="preserve"> </w:t>
            </w:r>
          </w:p>
        </w:tc>
      </w:tr>
      <w:tr w:rsidR="009A581E" w:rsidRPr="000A1612" w14:paraId="05E89347" w14:textId="77777777" w:rsidTr="00051D79">
        <w:trPr>
          <w:trHeight w:val="253"/>
        </w:trPr>
        <w:tc>
          <w:tcPr>
            <w:tcW w:w="3979" w:type="dxa"/>
            <w:tcBorders>
              <w:top w:val="nil"/>
              <w:left w:val="nil"/>
              <w:bottom w:val="nil"/>
              <w:right w:val="nil"/>
            </w:tcBorders>
          </w:tcPr>
          <w:p w14:paraId="5D470D4F"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09D6863D" w14:textId="77777777" w:rsidR="009A581E" w:rsidRPr="000A1612" w:rsidRDefault="009A581E" w:rsidP="00130E2E">
            <w:pPr>
              <w:widowControl w:val="0"/>
              <w:spacing w:after="0" w:line="240" w:lineRule="auto"/>
              <w:ind w:left="0" w:firstLine="0"/>
            </w:pPr>
          </w:p>
        </w:tc>
      </w:tr>
      <w:tr w:rsidR="009A581E" w:rsidRPr="000A1612" w14:paraId="3DB934B0" w14:textId="77777777" w:rsidTr="00051D79">
        <w:trPr>
          <w:trHeight w:val="253"/>
        </w:trPr>
        <w:tc>
          <w:tcPr>
            <w:tcW w:w="3979" w:type="dxa"/>
            <w:tcBorders>
              <w:top w:val="nil"/>
              <w:left w:val="nil"/>
              <w:bottom w:val="nil"/>
              <w:right w:val="nil"/>
            </w:tcBorders>
          </w:tcPr>
          <w:p w14:paraId="4666B859" w14:textId="77777777" w:rsidR="009A581E" w:rsidRPr="000A1612" w:rsidRDefault="009A581E" w:rsidP="00130E2E">
            <w:pPr>
              <w:widowControl w:val="0"/>
              <w:spacing w:after="0" w:line="240" w:lineRule="auto"/>
              <w:ind w:left="0" w:firstLine="0"/>
            </w:pPr>
            <w:r w:rsidRPr="000A1612">
              <w:rPr>
                <w:i/>
              </w:rPr>
              <w:t>P</w:t>
            </w:r>
            <w:r w:rsidR="00EB1E9C">
              <w:rPr>
                <w:i/>
              </w:rPr>
              <w:t>oruchy pečene a žlčových ciest:</w:t>
            </w:r>
          </w:p>
        </w:tc>
        <w:tc>
          <w:tcPr>
            <w:tcW w:w="3787" w:type="dxa"/>
            <w:tcBorders>
              <w:top w:val="nil"/>
              <w:left w:val="nil"/>
              <w:bottom w:val="nil"/>
              <w:right w:val="nil"/>
            </w:tcBorders>
          </w:tcPr>
          <w:p w14:paraId="6DBB18F4" w14:textId="77777777" w:rsidR="009A581E" w:rsidRPr="000A1612" w:rsidRDefault="009A581E" w:rsidP="00130E2E">
            <w:pPr>
              <w:widowControl w:val="0"/>
              <w:spacing w:after="0" w:line="240" w:lineRule="auto"/>
              <w:ind w:left="0" w:firstLine="0"/>
            </w:pPr>
            <w:r w:rsidRPr="000A1612">
              <w:t>čas</w:t>
            </w:r>
            <w:r w:rsidR="00EB1E9C">
              <w:t>té: zvýšenie hladín transamináz</w:t>
            </w:r>
          </w:p>
        </w:tc>
      </w:tr>
      <w:tr w:rsidR="009A581E" w:rsidRPr="000A1612" w14:paraId="5B18F50E" w14:textId="77777777" w:rsidTr="00051D79">
        <w:trPr>
          <w:trHeight w:val="253"/>
        </w:trPr>
        <w:tc>
          <w:tcPr>
            <w:tcW w:w="3979" w:type="dxa"/>
            <w:tcBorders>
              <w:top w:val="nil"/>
              <w:left w:val="nil"/>
              <w:bottom w:val="nil"/>
              <w:right w:val="nil"/>
            </w:tcBorders>
          </w:tcPr>
          <w:p w14:paraId="05271B15"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4846B19F" w14:textId="77777777" w:rsidR="009A581E" w:rsidRPr="000A1612" w:rsidRDefault="009A581E" w:rsidP="00130E2E">
            <w:pPr>
              <w:widowControl w:val="0"/>
              <w:spacing w:after="0" w:line="240" w:lineRule="auto"/>
              <w:ind w:left="0" w:firstLine="0"/>
            </w:pPr>
          </w:p>
        </w:tc>
      </w:tr>
      <w:tr w:rsidR="009A581E" w:rsidRPr="000A1612" w14:paraId="7251419A" w14:textId="77777777" w:rsidTr="00051D79">
        <w:trPr>
          <w:trHeight w:val="253"/>
        </w:trPr>
        <w:tc>
          <w:tcPr>
            <w:tcW w:w="3979" w:type="dxa"/>
            <w:tcBorders>
              <w:top w:val="nil"/>
              <w:left w:val="nil"/>
              <w:bottom w:val="nil"/>
              <w:right w:val="nil"/>
            </w:tcBorders>
          </w:tcPr>
          <w:p w14:paraId="677E012F" w14:textId="77777777" w:rsidR="009A581E" w:rsidRPr="000A1612" w:rsidRDefault="009A581E" w:rsidP="00130E2E">
            <w:pPr>
              <w:widowControl w:val="0"/>
              <w:spacing w:after="0" w:line="240" w:lineRule="auto"/>
              <w:ind w:left="0" w:firstLine="0"/>
            </w:pPr>
            <w:r w:rsidRPr="000A1612">
              <w:rPr>
                <w:i/>
              </w:rPr>
              <w:t>Por</w:t>
            </w:r>
            <w:r w:rsidR="00EB1E9C">
              <w:rPr>
                <w:i/>
              </w:rPr>
              <w:t>uchy kože a podkožného tkaniva:</w:t>
            </w:r>
          </w:p>
        </w:tc>
        <w:tc>
          <w:tcPr>
            <w:tcW w:w="3787" w:type="dxa"/>
            <w:tcBorders>
              <w:top w:val="nil"/>
              <w:left w:val="nil"/>
              <w:bottom w:val="nil"/>
              <w:right w:val="nil"/>
            </w:tcBorders>
          </w:tcPr>
          <w:p w14:paraId="680065E0" w14:textId="77777777" w:rsidR="009A581E" w:rsidRPr="000A1612" w:rsidRDefault="00EB1E9C" w:rsidP="00130E2E">
            <w:pPr>
              <w:widowControl w:val="0"/>
              <w:spacing w:after="0" w:line="240" w:lineRule="auto"/>
              <w:ind w:left="0" w:firstLine="0"/>
            </w:pPr>
            <w:r>
              <w:t>menej časté: vyrážka, alopécia</w:t>
            </w:r>
          </w:p>
        </w:tc>
      </w:tr>
      <w:tr w:rsidR="009A581E" w:rsidRPr="000A1612" w14:paraId="32E5F5BA" w14:textId="77777777" w:rsidTr="00051D79">
        <w:trPr>
          <w:trHeight w:val="252"/>
        </w:trPr>
        <w:tc>
          <w:tcPr>
            <w:tcW w:w="3979" w:type="dxa"/>
            <w:tcBorders>
              <w:top w:val="nil"/>
              <w:left w:val="nil"/>
              <w:bottom w:val="nil"/>
              <w:right w:val="nil"/>
            </w:tcBorders>
          </w:tcPr>
          <w:p w14:paraId="324E9B1F" w14:textId="77777777" w:rsidR="009A581E" w:rsidRPr="000A1612" w:rsidRDefault="009A581E" w:rsidP="00130E2E">
            <w:pPr>
              <w:widowControl w:val="0"/>
              <w:spacing w:after="0" w:line="240" w:lineRule="auto"/>
              <w:ind w:left="0" w:firstLine="0"/>
            </w:pPr>
          </w:p>
        </w:tc>
        <w:tc>
          <w:tcPr>
            <w:tcW w:w="3787" w:type="dxa"/>
            <w:tcBorders>
              <w:top w:val="nil"/>
              <w:left w:val="nil"/>
              <w:bottom w:val="nil"/>
              <w:right w:val="nil"/>
            </w:tcBorders>
          </w:tcPr>
          <w:p w14:paraId="0CA1B694" w14:textId="77777777" w:rsidR="009A581E" w:rsidRPr="000A1612" w:rsidRDefault="009A581E" w:rsidP="00130E2E">
            <w:pPr>
              <w:widowControl w:val="0"/>
              <w:spacing w:after="0" w:line="240" w:lineRule="auto"/>
              <w:ind w:left="0" w:firstLine="0"/>
            </w:pPr>
          </w:p>
        </w:tc>
      </w:tr>
      <w:tr w:rsidR="009A581E" w:rsidRPr="000A1612" w14:paraId="44C0CA74" w14:textId="77777777" w:rsidTr="00051D79">
        <w:trPr>
          <w:trHeight w:val="481"/>
        </w:trPr>
        <w:tc>
          <w:tcPr>
            <w:tcW w:w="3979" w:type="dxa"/>
            <w:tcBorders>
              <w:top w:val="nil"/>
              <w:left w:val="nil"/>
              <w:bottom w:val="nil"/>
              <w:right w:val="nil"/>
            </w:tcBorders>
          </w:tcPr>
          <w:p w14:paraId="3B10AF9F" w14:textId="77777777" w:rsidR="00FD25A1" w:rsidRDefault="009A581E" w:rsidP="00130E2E">
            <w:pPr>
              <w:widowControl w:val="0"/>
              <w:spacing w:after="0" w:line="240" w:lineRule="auto"/>
              <w:ind w:left="0" w:right="3" w:firstLine="0"/>
              <w:rPr>
                <w:i/>
              </w:rPr>
            </w:pPr>
            <w:r w:rsidRPr="000A1612">
              <w:rPr>
                <w:i/>
              </w:rPr>
              <w:t xml:space="preserve">Celkové poruchy a reakcie </w:t>
            </w:r>
          </w:p>
          <w:p w14:paraId="0A2E3271" w14:textId="77777777" w:rsidR="009A581E" w:rsidRPr="000A1612" w:rsidRDefault="009A581E" w:rsidP="00130E2E">
            <w:pPr>
              <w:widowControl w:val="0"/>
              <w:spacing w:after="0" w:line="240" w:lineRule="auto"/>
              <w:ind w:left="0" w:right="3" w:firstLine="0"/>
            </w:pPr>
            <w:r w:rsidRPr="000A1612">
              <w:rPr>
                <w:i/>
              </w:rPr>
              <w:t xml:space="preserve">v mieste podania: </w:t>
            </w:r>
          </w:p>
        </w:tc>
        <w:tc>
          <w:tcPr>
            <w:tcW w:w="3787" w:type="dxa"/>
            <w:tcBorders>
              <w:top w:val="nil"/>
              <w:left w:val="nil"/>
              <w:bottom w:val="nil"/>
              <w:right w:val="nil"/>
            </w:tcBorders>
          </w:tcPr>
          <w:p w14:paraId="2951DE10" w14:textId="77777777" w:rsidR="009A581E" w:rsidRPr="000A1612" w:rsidRDefault="00EB1E9C" w:rsidP="00130E2E">
            <w:pPr>
              <w:widowControl w:val="0"/>
              <w:spacing w:after="0" w:line="240" w:lineRule="auto"/>
              <w:ind w:left="0" w:firstLine="0"/>
            </w:pPr>
            <w:r>
              <w:t>časté: únava</w:t>
            </w:r>
          </w:p>
        </w:tc>
      </w:tr>
    </w:tbl>
    <w:p w14:paraId="33239849" w14:textId="77777777" w:rsidR="009A581E" w:rsidRPr="000A1612" w:rsidRDefault="009A581E" w:rsidP="009A581E">
      <w:pPr>
        <w:widowControl w:val="0"/>
        <w:spacing w:after="0" w:line="240" w:lineRule="auto"/>
        <w:ind w:left="0" w:firstLine="0"/>
      </w:pPr>
    </w:p>
    <w:p w14:paraId="779601AE" w14:textId="77777777" w:rsidR="009A581E" w:rsidRPr="000A1612" w:rsidRDefault="009A581E" w:rsidP="009A581E">
      <w:pPr>
        <w:widowControl w:val="0"/>
        <w:spacing w:after="0" w:line="240" w:lineRule="auto"/>
        <w:ind w:left="0" w:right="44" w:firstLine="0"/>
      </w:pPr>
      <w:r w:rsidRPr="000A1612">
        <w:t xml:space="preserve">Boli hlásené prípady laktátovej acidózy, často spojené s dekompenzáciou pečene, inými </w:t>
      </w:r>
      <w:r w:rsidR="000458B3">
        <w:t>zá</w:t>
      </w:r>
      <w:r w:rsidRPr="000A1612">
        <w:t>vážnymi medicínskymi okolnosťami alebo liekovými expozíciami (pozri časť 4.4).</w:t>
      </w:r>
    </w:p>
    <w:p w14:paraId="50CB7642" w14:textId="77777777" w:rsidR="009A581E" w:rsidRPr="000A1612" w:rsidRDefault="009A581E" w:rsidP="009A581E">
      <w:pPr>
        <w:widowControl w:val="0"/>
        <w:spacing w:after="0" w:line="240" w:lineRule="auto"/>
        <w:ind w:left="0" w:firstLine="0"/>
      </w:pPr>
    </w:p>
    <w:p w14:paraId="28849A2B" w14:textId="77777777" w:rsidR="009A581E" w:rsidRPr="000A1612" w:rsidRDefault="009A581E" w:rsidP="009A581E">
      <w:pPr>
        <w:widowControl w:val="0"/>
        <w:spacing w:after="0" w:line="240" w:lineRule="auto"/>
        <w:ind w:left="0" w:right="44" w:firstLine="0"/>
      </w:pPr>
      <w:r w:rsidRPr="000A1612">
        <w:t>Liečba po 48 týždňoch: pokračujúca liečba entekavirom po strednú dĺžku trvania 96 týždňov neodhalila žiadne nové bezpečnostné signály.</w:t>
      </w:r>
    </w:p>
    <w:p w14:paraId="021B3572" w14:textId="77777777" w:rsidR="009A581E" w:rsidRPr="000A1612" w:rsidRDefault="009A581E" w:rsidP="009A581E">
      <w:pPr>
        <w:widowControl w:val="0"/>
        <w:spacing w:after="0" w:line="240" w:lineRule="auto"/>
        <w:ind w:left="0" w:firstLine="0"/>
      </w:pPr>
    </w:p>
    <w:p w14:paraId="68DE1760" w14:textId="77777777" w:rsidR="009A581E" w:rsidRPr="000A1612" w:rsidRDefault="009A581E" w:rsidP="00EB1E9C">
      <w:pPr>
        <w:widowControl w:val="0"/>
        <w:tabs>
          <w:tab w:val="left" w:pos="567"/>
        </w:tabs>
        <w:spacing w:after="0" w:line="240" w:lineRule="auto"/>
        <w:ind w:left="0" w:firstLine="0"/>
      </w:pPr>
      <w:r w:rsidRPr="000A1612">
        <w:rPr>
          <w:i/>
        </w:rPr>
        <w:t>c.</w:t>
      </w:r>
      <w:r w:rsidR="00EB1E9C">
        <w:rPr>
          <w:i/>
        </w:rPr>
        <w:tab/>
      </w:r>
      <w:r w:rsidRPr="000A1612">
        <w:rPr>
          <w:i/>
        </w:rPr>
        <w:t>Opis vybraných nežiaducich reakcií</w:t>
      </w:r>
    </w:p>
    <w:p w14:paraId="2B33AA3A" w14:textId="77777777" w:rsidR="009A581E" w:rsidRPr="000A1612" w:rsidRDefault="009A581E" w:rsidP="009A581E">
      <w:pPr>
        <w:widowControl w:val="0"/>
        <w:spacing w:after="0" w:line="240" w:lineRule="auto"/>
        <w:ind w:left="0" w:firstLine="0"/>
      </w:pPr>
    </w:p>
    <w:p w14:paraId="78163035" w14:textId="77777777" w:rsidR="009A581E" w:rsidRPr="000A1612" w:rsidRDefault="009A581E" w:rsidP="009A581E">
      <w:pPr>
        <w:widowControl w:val="0"/>
        <w:spacing w:after="0" w:line="240" w:lineRule="auto"/>
        <w:ind w:left="0" w:right="653" w:firstLine="0"/>
      </w:pPr>
      <w:r w:rsidRPr="000A1612">
        <w:rPr>
          <w:u w:val="single" w:color="000000"/>
        </w:rPr>
        <w:t>Abnormality laboratórnych testov</w:t>
      </w:r>
      <w:r w:rsidRPr="000A1612">
        <w:t xml:space="preserve">: V klinických štúdiách u pacientov bez predošlej liečby nukleozidmi, 5 % </w:t>
      </w:r>
      <w:r w:rsidR="009159D0">
        <w:t xml:space="preserve">pacientov </w:t>
      </w:r>
      <w:r w:rsidRPr="000A1612">
        <w:t>mal</w:t>
      </w:r>
      <w:r w:rsidR="009159D0">
        <w:t>o</w:t>
      </w:r>
      <w:r w:rsidRPr="000A1612">
        <w:t xml:space="preserve"> zvýšenia ALT &gt; 3-násobok bazálnych hodnôt a &lt; 1 % </w:t>
      </w:r>
      <w:r w:rsidR="009159D0">
        <w:t xml:space="preserve">pacientov </w:t>
      </w:r>
      <w:r w:rsidRPr="000A1612">
        <w:t>malo zvýšenia  ALT &gt; 2-násobok bazálnych hodnôt spolu s celkovým bilirubínom &gt; 2-násobok hornej hranice normálu (Upper Limit of Normal, ULN) a &gt; 2-násobok bazálnych hodnôt. Hladiny albumínu &lt; 2,5 g/dl sa vyskytli u &lt; 1 % pacientov, hladiny amylázy &gt; 3-násobok bazálnych hodnôt u 2 %</w:t>
      </w:r>
      <w:r w:rsidR="009159D0">
        <w:t xml:space="preserve"> pacientov</w:t>
      </w:r>
      <w:r w:rsidRPr="000A1612">
        <w:t>, hladiny lipázy &gt; 3-násobok bazálnych hodnôt u 11 % a krvné doštičky &lt; 50 000/mm</w:t>
      </w:r>
      <w:r w:rsidRPr="000A1612">
        <w:rPr>
          <w:vertAlign w:val="superscript"/>
        </w:rPr>
        <w:t>3</w:t>
      </w:r>
      <w:r w:rsidRPr="000A1612">
        <w:t xml:space="preserve"> u &lt; 1 %</w:t>
      </w:r>
      <w:r w:rsidR="009159D0">
        <w:t xml:space="preserve"> pacientov</w:t>
      </w:r>
      <w:r w:rsidRPr="000A1612">
        <w:t>.</w:t>
      </w:r>
    </w:p>
    <w:p w14:paraId="064469DA" w14:textId="77777777" w:rsidR="009A581E" w:rsidRPr="000A1612" w:rsidRDefault="009A581E" w:rsidP="009A581E">
      <w:pPr>
        <w:widowControl w:val="0"/>
        <w:spacing w:after="0" w:line="240" w:lineRule="auto"/>
        <w:ind w:left="0" w:firstLine="0"/>
      </w:pPr>
    </w:p>
    <w:p w14:paraId="099D88C5" w14:textId="77777777" w:rsidR="009A581E" w:rsidRPr="000A1612" w:rsidRDefault="009A581E" w:rsidP="009A581E">
      <w:pPr>
        <w:widowControl w:val="0"/>
        <w:spacing w:after="0" w:line="240" w:lineRule="auto"/>
        <w:ind w:left="0" w:right="121" w:firstLine="0"/>
      </w:pPr>
      <w:r w:rsidRPr="000A1612">
        <w:t xml:space="preserve">V klinických štúdiách u pacientov refraktérnych na lamivudín, 4 % </w:t>
      </w:r>
      <w:r w:rsidR="00ED3486">
        <w:t xml:space="preserve">pacientov </w:t>
      </w:r>
      <w:r w:rsidRPr="000A1612">
        <w:t xml:space="preserve">mali zvýšenia ALT &gt; 3-násobok bazálnych hodnôt a &lt; 1 % </w:t>
      </w:r>
      <w:r w:rsidR="00ED3486">
        <w:t xml:space="preserve">pacientov </w:t>
      </w:r>
      <w:r w:rsidRPr="000A1612">
        <w:t>malo zvýšenia ALT &gt; 2-násobok bazálnych hodnôt spolu s celkovým bilirubínom &gt; 2-násobok ULN a &gt; 2-násobok bazálnych hodnôt. Hladiny amylázy &gt; 3-násobok bazálnych hodnôt sa vyskytli u 2 % pacientov, hladiny lipázy &gt; 3-násobok bazálnych hodnôt u 18 % a krvné doštičky &lt; 50 000/mm</w:t>
      </w:r>
      <w:r w:rsidRPr="000A1612">
        <w:rPr>
          <w:vertAlign w:val="superscript"/>
        </w:rPr>
        <w:t>3</w:t>
      </w:r>
      <w:r w:rsidRPr="000A1612">
        <w:t xml:space="preserve"> u &lt; 1 %</w:t>
      </w:r>
      <w:r w:rsidR="00ED3486">
        <w:t xml:space="preserve"> pacientov</w:t>
      </w:r>
      <w:r w:rsidRPr="000A1612">
        <w:t>.</w:t>
      </w:r>
    </w:p>
    <w:p w14:paraId="7B94A65C" w14:textId="77777777" w:rsidR="009A581E" w:rsidRPr="000A1612" w:rsidRDefault="009A581E" w:rsidP="009A581E">
      <w:pPr>
        <w:widowControl w:val="0"/>
        <w:spacing w:after="0" w:line="240" w:lineRule="auto"/>
        <w:ind w:left="0" w:firstLine="0"/>
      </w:pPr>
    </w:p>
    <w:p w14:paraId="10BF0B7D" w14:textId="77777777" w:rsidR="009A581E" w:rsidRPr="000A1612" w:rsidRDefault="009A581E" w:rsidP="009A581E">
      <w:pPr>
        <w:widowControl w:val="0"/>
        <w:spacing w:after="0" w:line="240" w:lineRule="auto"/>
        <w:ind w:left="0" w:right="44" w:firstLine="0"/>
      </w:pPr>
      <w:r w:rsidRPr="000A1612">
        <w:rPr>
          <w:u w:val="single" w:color="000000"/>
        </w:rPr>
        <w:t>Exacerbácie počas liečby:</w:t>
      </w:r>
      <w:r w:rsidRPr="000A1612">
        <w:t xml:space="preserve"> v štúdiách u pacientov bez predošlej liečby nukleozidmi sa zvýšenia ALT &gt; 10-násobok ULN a &gt; 2-násobok bazálnych hodnôt vyskytli počas liečby u 2 % pacientov liečených entekavirom oproti 4 % pacientov liečených lamivudínom. V štúdiách u pacientov refraktérnych na lamivudín sa zvýšenia ALT &gt; 10-násobok ULN a &gt; 2-násobok bazálnych hodnôt vyskytli počas liečby u 2 % pacientov liečených entekavirom oproti 11 % pacientov liečených lamivudínom. U pacientov liečených entekavirom bol stredný čas do nástupu zvýšení ALT počas liečby 4 – 5 týždňov, zvyčajne ustúpili s pokračujúcou liečbou a vo väčšine prípadov boli spojené s ≥ 2 log</w:t>
      </w:r>
      <w:r w:rsidRPr="000A1612">
        <w:rPr>
          <w:vertAlign w:val="subscript"/>
        </w:rPr>
        <w:t>10</w:t>
      </w:r>
      <w:r w:rsidRPr="000A1612">
        <w:t>/ml znížením vo vírusovej záťaži, ktoré predchádzalo alebo sa vyskytovalo súbežne so zvýšením ALT. Počas liečby sa odporúča pravidelné sledovanie funkcie pečene.</w:t>
      </w:r>
    </w:p>
    <w:p w14:paraId="0C287BD3" w14:textId="77777777" w:rsidR="009A581E" w:rsidRPr="000A1612" w:rsidRDefault="009A581E" w:rsidP="009A581E">
      <w:pPr>
        <w:widowControl w:val="0"/>
        <w:spacing w:after="0" w:line="240" w:lineRule="auto"/>
        <w:ind w:left="0" w:firstLine="0"/>
      </w:pPr>
    </w:p>
    <w:p w14:paraId="08231716" w14:textId="77777777" w:rsidR="009A581E" w:rsidRPr="000A1612" w:rsidRDefault="009A581E" w:rsidP="009A581E">
      <w:pPr>
        <w:widowControl w:val="0"/>
        <w:spacing w:after="0" w:line="240" w:lineRule="auto"/>
        <w:ind w:left="0" w:right="44" w:firstLine="0"/>
      </w:pPr>
      <w:r w:rsidRPr="000A1612">
        <w:rPr>
          <w:u w:val="single" w:color="000000"/>
        </w:rPr>
        <w:lastRenderedPageBreak/>
        <w:t>Exacerbácie po prerušení liečby:</w:t>
      </w:r>
      <w:r w:rsidRPr="000A1612">
        <w:t xml:space="preserve"> u pacientov, ktorí prerušili liečbu hepatitídy B, vrátane liečby entekavirom, boli hlásené</w:t>
      </w:r>
      <w:r w:rsidRPr="000A1612">
        <w:rPr>
          <w:i/>
        </w:rPr>
        <w:t xml:space="preserve"> </w:t>
      </w:r>
      <w:r w:rsidRPr="000A1612">
        <w:t>akútne exacerbácie hepatitídy (pozri časť 4.4). V štúdiách u pacientov bez predošlej liečby nukleozidmi sa počas sledovania po liečbe vyskytli zvýšenia ALT (&gt; 10-násobok ULN a &gt; 2-násobok referenčnej hodnoty [minimálna bazálna hodnota alebo posledné meranie na konci dávkovacieho intervalu]) u 6 % pacientov liečených entekavirom a u 10 % pacientov liečených lamivudínom. U pacientov liečených entekavirom bez predošlej liečby nukleozidmi bol stredný čas do nástupu zvýšení ALT 23 - 24 týždňov a 86 % (24/28) zvýšení ALT sa vyskytlo u HBeAg negatívnych pacientov. V štúdiách u pacientov refraktérnych na lamivudín, v ktorých boli sledované len obmedzené počty pacientov, sa počas sledovania po liečbe vyskytli zvýšenia ALT u 11 % pacientov liečených entekavirom a nevyskytli sa u pacientov liečených lamivudínom.</w:t>
      </w:r>
    </w:p>
    <w:p w14:paraId="45395AC5" w14:textId="77777777" w:rsidR="009A581E" w:rsidRPr="000A1612" w:rsidRDefault="009A581E" w:rsidP="009A581E">
      <w:pPr>
        <w:widowControl w:val="0"/>
        <w:spacing w:after="0" w:line="240" w:lineRule="auto"/>
        <w:ind w:left="0" w:firstLine="0"/>
      </w:pPr>
    </w:p>
    <w:p w14:paraId="445BFEC0" w14:textId="77777777" w:rsidR="009A581E" w:rsidRPr="000A1612" w:rsidRDefault="009A581E" w:rsidP="009A581E">
      <w:pPr>
        <w:widowControl w:val="0"/>
        <w:spacing w:after="0" w:line="240" w:lineRule="auto"/>
        <w:ind w:left="0" w:right="44" w:firstLine="0"/>
      </w:pPr>
      <w:r w:rsidRPr="000A1612">
        <w:t>V klinických štúdiách bola liečba entekavirom prerušená, keď pacienti dosiahli vopred špecifikovanú odpoveď. Ak sa liečba preruší bez ohľadu na odpoveď na liečbu, výskyt prudkých zvýšení ALT po liečbe môže byť vyšší.</w:t>
      </w:r>
    </w:p>
    <w:p w14:paraId="1848D4A8" w14:textId="77777777" w:rsidR="009A581E" w:rsidRPr="000A1612" w:rsidRDefault="009A581E" w:rsidP="009A581E">
      <w:pPr>
        <w:widowControl w:val="0"/>
        <w:spacing w:after="0" w:line="240" w:lineRule="auto"/>
        <w:ind w:left="0" w:firstLine="0"/>
      </w:pPr>
    </w:p>
    <w:p w14:paraId="3D1300C1" w14:textId="77777777" w:rsidR="009A581E" w:rsidRPr="000A1612" w:rsidRDefault="009A581E" w:rsidP="00051D79">
      <w:pPr>
        <w:widowControl w:val="0"/>
        <w:numPr>
          <w:ilvl w:val="0"/>
          <w:numId w:val="4"/>
        </w:numPr>
        <w:tabs>
          <w:tab w:val="left" w:pos="567"/>
        </w:tabs>
        <w:spacing w:after="0" w:line="240" w:lineRule="auto"/>
        <w:ind w:left="0" w:firstLine="0"/>
      </w:pPr>
      <w:r w:rsidRPr="000A1612">
        <w:rPr>
          <w:i/>
        </w:rPr>
        <w:t>Pediatrická populácia</w:t>
      </w:r>
    </w:p>
    <w:p w14:paraId="1D10D025" w14:textId="77777777" w:rsidR="009A581E" w:rsidRPr="000A1612" w:rsidRDefault="009A581E" w:rsidP="009A581E">
      <w:pPr>
        <w:widowControl w:val="0"/>
        <w:spacing w:after="0" w:line="240" w:lineRule="auto"/>
        <w:ind w:left="0" w:firstLine="0"/>
      </w:pPr>
    </w:p>
    <w:p w14:paraId="290DE1BA" w14:textId="77777777" w:rsidR="009A581E" w:rsidRPr="000A1612" w:rsidRDefault="009A581E" w:rsidP="009A581E">
      <w:pPr>
        <w:widowControl w:val="0"/>
        <w:spacing w:after="0" w:line="240" w:lineRule="auto"/>
        <w:ind w:left="0" w:right="44" w:firstLine="0"/>
      </w:pPr>
      <w:r w:rsidRPr="000A1612">
        <w:t xml:space="preserve">Bezpečnosť entekaviru u pediatrických pacientov vo veku od 2 do &lt; 18 rokov sa zakladá na dvoch prebiehajúcich klinických skúšaniach s jedincami s infekciou chronickej HBV; jedno farmakokinetické skúšanie vo fáze 2 (štúdia 028) a jedno skúšanie vo fáze 3 (štúdia 189). Tieto klinické skúšania poskytujú skúsenosti so 195 HBeAg pozitívnymi jedincami bez predchádzajúcej liečby nukleozidmi liečenými entekavirom s mediánom dĺžky liečby 99 týždňov. Nežiaduce reakcie pozorované u pediatrických jedincov, ktorí dostávali liečbu entekavirom, boli zhodné s tými, ktoré sa pozorovali v klinických skúšaniach s entekavirom </w:t>
      </w:r>
      <w:r w:rsidR="00D923C3">
        <w:t>u</w:t>
      </w:r>
      <w:r w:rsidRPr="000A1612">
        <w:t xml:space="preserve"> dospelý</w:t>
      </w:r>
      <w:r w:rsidR="00D923C3">
        <w:t>ch</w:t>
      </w:r>
      <w:r w:rsidRPr="000A1612">
        <w:t xml:space="preserve"> (pozri a. Prehľad bezpečnostného profilu a časť 5.1).</w:t>
      </w:r>
    </w:p>
    <w:p w14:paraId="14995E96" w14:textId="77777777" w:rsidR="009A581E" w:rsidRPr="000A1612" w:rsidRDefault="009A581E" w:rsidP="009A581E">
      <w:pPr>
        <w:widowControl w:val="0"/>
        <w:spacing w:after="0" w:line="240" w:lineRule="auto"/>
        <w:ind w:left="0" w:firstLine="0"/>
      </w:pPr>
    </w:p>
    <w:p w14:paraId="5ACE54F1" w14:textId="77777777" w:rsidR="009A581E" w:rsidRPr="000A1612" w:rsidRDefault="009A581E" w:rsidP="00051D79">
      <w:pPr>
        <w:widowControl w:val="0"/>
        <w:numPr>
          <w:ilvl w:val="0"/>
          <w:numId w:val="4"/>
        </w:numPr>
        <w:tabs>
          <w:tab w:val="left" w:pos="567"/>
        </w:tabs>
        <w:spacing w:after="0" w:line="240" w:lineRule="auto"/>
        <w:ind w:left="0" w:firstLine="0"/>
      </w:pPr>
      <w:r w:rsidRPr="000A1612">
        <w:rPr>
          <w:i/>
        </w:rPr>
        <w:t>Ostatné osobitné skupiny pacientov</w:t>
      </w:r>
    </w:p>
    <w:p w14:paraId="389D8116" w14:textId="77777777" w:rsidR="009A581E" w:rsidRPr="000A1612" w:rsidRDefault="009A581E" w:rsidP="009A581E">
      <w:pPr>
        <w:widowControl w:val="0"/>
        <w:spacing w:after="0" w:line="240" w:lineRule="auto"/>
        <w:ind w:left="0" w:firstLine="0"/>
      </w:pPr>
    </w:p>
    <w:p w14:paraId="0D6DF32D" w14:textId="77777777" w:rsidR="00B35F87" w:rsidRDefault="009A581E" w:rsidP="009A581E">
      <w:pPr>
        <w:widowControl w:val="0"/>
        <w:spacing w:after="0" w:line="240" w:lineRule="auto"/>
        <w:ind w:left="0" w:right="44" w:firstLine="0"/>
      </w:pPr>
      <w:r w:rsidRPr="007737A2">
        <w:t>Skúsenosti u pacientov s dekompenzovaným ochorením pečene</w:t>
      </w:r>
      <w:r w:rsidRPr="000A1612">
        <w:t>: profil bezpečnosti entekaviru u pacientov s dekompenzovaným ochorením pečene bol hodnotený v randomizovanej otvorenej porovnávacej štúdii</w:t>
      </w:r>
      <w:r w:rsidR="00B35F87">
        <w:t>,</w:t>
      </w:r>
      <w:r w:rsidRPr="000A1612">
        <w:t xml:space="preserve"> v ktorej boli pacienti liečen</w:t>
      </w:r>
      <w:r w:rsidR="00B35F87">
        <w:t>í</w:t>
      </w:r>
      <w:r w:rsidRPr="000A1612">
        <w:t xml:space="preserve"> entekavirom 1 mg/deň (n = 102) alebo </w:t>
      </w:r>
    </w:p>
    <w:p w14:paraId="4E16B214" w14:textId="77777777" w:rsidR="009A581E" w:rsidRPr="000A1612" w:rsidRDefault="009A581E" w:rsidP="009A581E">
      <w:pPr>
        <w:widowControl w:val="0"/>
        <w:spacing w:after="0" w:line="240" w:lineRule="auto"/>
        <w:ind w:left="0" w:right="44" w:firstLine="0"/>
      </w:pPr>
      <w:r w:rsidRPr="000A1612">
        <w:t>adefovir</w:t>
      </w:r>
      <w:r w:rsidR="00B35F87">
        <w:t>-</w:t>
      </w:r>
      <w:r w:rsidRPr="000A1612">
        <w:t xml:space="preserve">dipivoxilom 10 mg/deň (n = 89) (štúdia 048). V porovnaní s nežiaducimi reakciami uvedenými v časti </w:t>
      </w:r>
      <w:r w:rsidRPr="007737A2">
        <w:t xml:space="preserve">b. </w:t>
      </w:r>
      <w:r w:rsidR="009F527A" w:rsidRPr="007737A2">
        <w:t>Tabuľkový z</w:t>
      </w:r>
      <w:r w:rsidRPr="007737A2">
        <w:t>oznam nežiaducich reakcií</w:t>
      </w:r>
      <w:r w:rsidRPr="000A1612">
        <w:rPr>
          <w:i/>
        </w:rPr>
        <w:t xml:space="preserve"> </w:t>
      </w:r>
      <w:r w:rsidRPr="000A1612">
        <w:t>bola v 48. týždni u pacientov liečených entekavirom hlásená ďalšia nežiaduca reakcia [pokles hydrog</w:t>
      </w:r>
      <w:r w:rsidR="009F527A">
        <w:t>é</w:t>
      </w:r>
      <w:r w:rsidRPr="000A1612">
        <w:t>nuhličitanu v krvi (2 %)]. Kumulatívna miera úmrtí v štúdií bola 23 % (23/102) a príčiny úmrtí vo všeobecnosti súviseli s pečeňou tak, ako sa u tejto populácie očakávalo. Kumulatívna miera hepatocelulárneho karcinómu v štúdii (hepatocellular carcinoma, HCC) bola 12 % (12/102). Závažné nežiaduce účinky v štúdii, s kumulatívnou frekvenciou 69 %, vo všeobecnosti súviseli s pečeňou. U pacientov s vysokou bazálnou hodnotou CPT skóre bolo vyššie riziko rozvoja závažných nežiaducich účinkov (pozri časť 4.4).</w:t>
      </w:r>
    </w:p>
    <w:p w14:paraId="57BA93F6" w14:textId="77777777" w:rsidR="009A581E" w:rsidRPr="000A1612" w:rsidRDefault="009A581E" w:rsidP="009A581E">
      <w:pPr>
        <w:widowControl w:val="0"/>
        <w:spacing w:after="0" w:line="240" w:lineRule="auto"/>
        <w:ind w:left="0" w:firstLine="0"/>
      </w:pPr>
    </w:p>
    <w:p w14:paraId="2BCB3762" w14:textId="77777777" w:rsidR="009A581E" w:rsidRDefault="009A581E" w:rsidP="00D2559A">
      <w:pPr>
        <w:widowControl w:val="0"/>
        <w:spacing w:after="0" w:line="240" w:lineRule="auto"/>
        <w:ind w:left="0" w:right="483" w:firstLine="0"/>
      </w:pPr>
      <w:r w:rsidRPr="000A1612">
        <w:t>Abnormality laboratórnych testov: V 48. týždni nemal žiaden z pacientov s dekompenzovaným ochorením pečene, liečený entekavirom</w:t>
      </w:r>
      <w:r w:rsidR="00FF4553">
        <w:t>,</w:t>
      </w:r>
      <w:r w:rsidRPr="000A1612">
        <w:t xml:space="preserve"> zvýšenia ALT &gt; 10-násobok ULN a zároveň &gt; 2-násobok bazálnych hodnôt a 1 % pacientov malo zvýšenia ALT &gt; 2-násobok bazálnych hodnôt spolu s celkovým bilirubínom &gt; 2-násobok ULN a &gt; 2-násobok bazálnych hodnôt. Hladiny albumínu &lt; 2,5 g/dl sa vyskytli u &lt; 30 % pacientov, hladiny lipázy &gt; 3-násobok bazálnych hodnôt u 10 % a krvné doštičky &lt; 50 000/mm</w:t>
      </w:r>
      <w:r w:rsidRPr="000A1612">
        <w:rPr>
          <w:vertAlign w:val="superscript"/>
        </w:rPr>
        <w:t>3</w:t>
      </w:r>
      <w:r w:rsidRPr="000A1612">
        <w:t xml:space="preserve"> u &lt; 20 %</w:t>
      </w:r>
      <w:r w:rsidR="00FF4553">
        <w:t xml:space="preserve"> pacientov</w:t>
      </w:r>
      <w:r w:rsidRPr="000A1612">
        <w:t>.</w:t>
      </w:r>
    </w:p>
    <w:p w14:paraId="2E187D79" w14:textId="77777777" w:rsidR="00D2559A" w:rsidRPr="000A1612" w:rsidRDefault="00D2559A" w:rsidP="00D2559A">
      <w:pPr>
        <w:widowControl w:val="0"/>
        <w:spacing w:after="0" w:line="240" w:lineRule="auto"/>
        <w:ind w:left="0" w:right="483" w:firstLine="0"/>
      </w:pPr>
    </w:p>
    <w:p w14:paraId="7C9260BF" w14:textId="77777777" w:rsidR="009A581E" w:rsidRPr="000A1612" w:rsidRDefault="009A581E" w:rsidP="009A581E">
      <w:pPr>
        <w:widowControl w:val="0"/>
        <w:spacing w:after="0" w:line="240" w:lineRule="auto"/>
        <w:ind w:left="0" w:right="44" w:firstLine="0"/>
      </w:pPr>
      <w:r w:rsidRPr="000A1612">
        <w:rPr>
          <w:u w:val="single" w:color="000000"/>
        </w:rPr>
        <w:t>Skúsenosti u pacientov súbežne infikovaných HIV:</w:t>
      </w:r>
      <w:r w:rsidRPr="000A1612">
        <w:t xml:space="preserve"> profil bezpečnosti entekaviru u obmedzeného počtu pacientov súbežne infikovaných HIV/HBV, ktorí dostávali režimy HAART (vysoko účinnej antiretrovírusovej liečby) obsahujúce lamivudín, bol podobný profilu bezpečnosti u HBV monoinfikovaných pacientov (pozri časť 4.4).</w:t>
      </w:r>
    </w:p>
    <w:p w14:paraId="16967EC5" w14:textId="77777777" w:rsidR="009A581E" w:rsidRPr="000A1612" w:rsidRDefault="009A581E" w:rsidP="009A581E">
      <w:pPr>
        <w:widowControl w:val="0"/>
        <w:spacing w:after="0" w:line="240" w:lineRule="auto"/>
        <w:ind w:left="0" w:firstLine="0"/>
      </w:pPr>
    </w:p>
    <w:p w14:paraId="2689F6F4" w14:textId="77777777" w:rsidR="009A581E" w:rsidRPr="000A1612" w:rsidRDefault="009A581E" w:rsidP="009A581E">
      <w:pPr>
        <w:widowControl w:val="0"/>
        <w:spacing w:after="0" w:line="240" w:lineRule="auto"/>
        <w:ind w:left="0" w:right="44" w:firstLine="0"/>
      </w:pPr>
      <w:r w:rsidRPr="000A1612">
        <w:rPr>
          <w:u w:val="single" w:color="000000"/>
        </w:rPr>
        <w:t>Pohlavie/vek:</w:t>
      </w:r>
      <w:r w:rsidRPr="000A1612">
        <w:t xml:space="preserve"> nebol žiadny zjavný rozdiel v profile bezpečnosti entekaviru s ohľadom na pohlavie </w:t>
      </w:r>
    </w:p>
    <w:p w14:paraId="15D3A8A3" w14:textId="77777777" w:rsidR="009A581E" w:rsidRPr="000A1612" w:rsidRDefault="009A581E" w:rsidP="009A581E">
      <w:pPr>
        <w:widowControl w:val="0"/>
        <w:spacing w:after="0" w:line="240" w:lineRule="auto"/>
        <w:ind w:left="0" w:right="44" w:firstLine="0"/>
      </w:pPr>
      <w:r w:rsidRPr="000A1612">
        <w:t>(</w:t>
      </w:r>
      <w:r w:rsidRPr="000A1612">
        <w:rPr>
          <w:rFonts w:eastAsia="Segoe UI Symbol"/>
        </w:rPr>
        <w:t>≈</w:t>
      </w:r>
      <w:r w:rsidRPr="000A1612">
        <w:t xml:space="preserve"> 25 % žien v klinických štúdiách) alebo vek (</w:t>
      </w:r>
      <w:r w:rsidRPr="000A1612">
        <w:rPr>
          <w:rFonts w:eastAsia="Segoe UI Symbol"/>
        </w:rPr>
        <w:t>≈</w:t>
      </w:r>
      <w:r w:rsidRPr="000A1612">
        <w:t xml:space="preserve"> 5 % pacientov &gt; 65 rokov).</w:t>
      </w:r>
    </w:p>
    <w:p w14:paraId="73F93F51" w14:textId="77777777" w:rsidR="009A581E" w:rsidRPr="000A1612" w:rsidRDefault="009A581E" w:rsidP="009A581E">
      <w:pPr>
        <w:widowControl w:val="0"/>
        <w:spacing w:after="0" w:line="240" w:lineRule="auto"/>
        <w:ind w:left="0" w:firstLine="0"/>
      </w:pPr>
    </w:p>
    <w:p w14:paraId="3BFEF8EB" w14:textId="77777777" w:rsidR="009A581E" w:rsidRPr="000A1612" w:rsidRDefault="009A581E" w:rsidP="009A581E">
      <w:pPr>
        <w:widowControl w:val="0"/>
        <w:spacing w:after="0" w:line="240" w:lineRule="auto"/>
        <w:ind w:left="0" w:firstLine="0"/>
      </w:pPr>
      <w:r w:rsidRPr="000A1612">
        <w:rPr>
          <w:u w:val="single" w:color="000000"/>
        </w:rPr>
        <w:t>Hlásenie podozrení na nežiaduce reakcie</w:t>
      </w:r>
      <w:r w:rsidRPr="000A1612">
        <w:t xml:space="preserve"> </w:t>
      </w:r>
    </w:p>
    <w:p w14:paraId="3FA017D4" w14:textId="77777777" w:rsidR="009A581E" w:rsidRPr="000A1612" w:rsidRDefault="009A581E" w:rsidP="009A581E">
      <w:pPr>
        <w:widowControl w:val="0"/>
        <w:spacing w:after="0" w:line="240" w:lineRule="auto"/>
        <w:ind w:left="0" w:right="44" w:firstLine="0"/>
      </w:pPr>
      <w:r w:rsidRPr="000A1612">
        <w:t xml:space="preserve">Hlásenie podozrení na nežiaduce reakcie po registrácii lieku je dôležité. Umožňuje priebežné </w:t>
      </w:r>
      <w:r w:rsidRPr="000A1612">
        <w:lastRenderedPageBreak/>
        <w:t xml:space="preserve">monitorovanie pomeru prínosu a rizika lieku. Od zdravotníckych pracovníkov sa vyžaduje, aby hlásili akékoľvek podozrenia na nežiaduce reakcie </w:t>
      </w:r>
      <w:r w:rsidR="005A2D9F" w:rsidRPr="006D5F75">
        <w:t xml:space="preserve">na </w:t>
      </w:r>
      <w:r w:rsidR="005A2D9F" w:rsidRPr="007737A2">
        <w:rPr>
          <w:highlight w:val="lightGray"/>
        </w:rPr>
        <w:t>národné centrum hlásenia uvedené</w:t>
      </w:r>
      <w:r w:rsidR="007737A2" w:rsidRPr="007737A2">
        <w:rPr>
          <w:highlight w:val="lightGray"/>
        </w:rPr>
        <w:t xml:space="preserve"> </w:t>
      </w:r>
      <w:r w:rsidRPr="007737A2">
        <w:rPr>
          <w:highlight w:val="lightGray"/>
          <w:shd w:val="clear" w:color="auto" w:fill="C0C0C0"/>
        </w:rPr>
        <w:t xml:space="preserve">v </w:t>
      </w:r>
      <w:hyperlink r:id="rId9">
        <w:r w:rsidRPr="007737A2">
          <w:rPr>
            <w:highlight w:val="lightGray"/>
            <w:u w:val="single" w:color="000000"/>
            <w:shd w:val="clear" w:color="auto" w:fill="C0C0C0"/>
          </w:rPr>
          <w:t>P</w:t>
        </w:r>
      </w:hyperlink>
      <w:hyperlink r:id="rId10">
        <w:r w:rsidRPr="007737A2">
          <w:rPr>
            <w:highlight w:val="lightGray"/>
            <w:u w:val="single" w:color="000000"/>
            <w:shd w:val="clear" w:color="auto" w:fill="C0C0C0"/>
          </w:rPr>
          <w:t>rílohe V</w:t>
        </w:r>
      </w:hyperlink>
      <w:hyperlink r:id="rId11">
        <w:r w:rsidRPr="000A1612">
          <w:t>.</w:t>
        </w:r>
      </w:hyperlink>
    </w:p>
    <w:p w14:paraId="7BBEEC4A" w14:textId="77777777" w:rsidR="009A581E" w:rsidRPr="000A1612" w:rsidRDefault="009A581E" w:rsidP="009A581E">
      <w:pPr>
        <w:widowControl w:val="0"/>
        <w:spacing w:after="0" w:line="240" w:lineRule="auto"/>
        <w:ind w:left="0" w:firstLine="0"/>
      </w:pPr>
    </w:p>
    <w:p w14:paraId="667BCFA3" w14:textId="77777777" w:rsidR="009A581E" w:rsidRPr="000A1612" w:rsidRDefault="009A581E" w:rsidP="001E1701">
      <w:pPr>
        <w:pStyle w:val="Nadpis2"/>
        <w:keepNext w:val="0"/>
        <w:keepLines w:val="0"/>
        <w:widowControl w:val="0"/>
        <w:tabs>
          <w:tab w:val="left" w:pos="567"/>
          <w:tab w:val="center" w:pos="846"/>
          <w:tab w:val="center" w:pos="1979"/>
        </w:tabs>
        <w:spacing w:after="0" w:line="240" w:lineRule="auto"/>
        <w:ind w:left="0" w:firstLine="0"/>
      </w:pPr>
      <w:r w:rsidRPr="000A1612">
        <w:t>4.9</w:t>
      </w:r>
      <w:r w:rsidR="001E1701">
        <w:tab/>
      </w:r>
      <w:r w:rsidRPr="000A1612">
        <w:t>Predávkovanie</w:t>
      </w:r>
    </w:p>
    <w:p w14:paraId="36D98AB0" w14:textId="77777777" w:rsidR="001E1701" w:rsidRPr="000A1612" w:rsidRDefault="001E1701" w:rsidP="009A581E">
      <w:pPr>
        <w:widowControl w:val="0"/>
        <w:spacing w:after="0" w:line="240" w:lineRule="auto"/>
        <w:ind w:left="0" w:firstLine="0"/>
      </w:pPr>
    </w:p>
    <w:p w14:paraId="52AA600C" w14:textId="77777777" w:rsidR="009A581E" w:rsidRDefault="009A581E" w:rsidP="009A581E">
      <w:pPr>
        <w:widowControl w:val="0"/>
        <w:spacing w:after="0" w:line="240" w:lineRule="auto"/>
        <w:ind w:left="0" w:right="171" w:firstLine="0"/>
      </w:pPr>
      <w:r w:rsidRPr="000A1612">
        <w:t xml:space="preserve">Skúsenosti s predávkovaním entekavirom hláseným </w:t>
      </w:r>
      <w:r w:rsidR="00564119">
        <w:t>u</w:t>
      </w:r>
      <w:r w:rsidRPr="000A1612">
        <w:t xml:space="preserve"> pacientov sú limitované. Zdraví jedinci, ktorí užívali až 20 mg/deň po dobu 14 dní a jednorazové dávky až 40 mg, nemali žiadne neočakávané nežiaduce reakcie. Ak dôjde k predávkovaniu, pacient musí byť sledovaný kvôli príznakom toxicity a v prípade potreby </w:t>
      </w:r>
      <w:r w:rsidR="00564119">
        <w:t>mu má byť poskytnutá</w:t>
      </w:r>
      <w:r w:rsidRPr="000A1612">
        <w:t xml:space="preserve"> štandardn</w:t>
      </w:r>
      <w:r w:rsidR="00564119">
        <w:t>á</w:t>
      </w:r>
      <w:r w:rsidRPr="000A1612">
        <w:t xml:space="preserve"> podporn</w:t>
      </w:r>
      <w:r w:rsidR="00564119">
        <w:t>á</w:t>
      </w:r>
      <w:r w:rsidRPr="000A1612">
        <w:t xml:space="preserve"> liečb</w:t>
      </w:r>
      <w:r w:rsidR="00564119">
        <w:t>a</w:t>
      </w:r>
      <w:r w:rsidRPr="000A1612">
        <w:t>.</w:t>
      </w:r>
    </w:p>
    <w:p w14:paraId="6D338B97" w14:textId="77777777" w:rsidR="001E1701" w:rsidRPr="000A1612" w:rsidRDefault="001E1701" w:rsidP="009A581E">
      <w:pPr>
        <w:widowControl w:val="0"/>
        <w:spacing w:after="0" w:line="240" w:lineRule="auto"/>
        <w:ind w:left="0" w:right="171" w:firstLine="0"/>
      </w:pPr>
    </w:p>
    <w:p w14:paraId="6D7F1AE3" w14:textId="77777777" w:rsidR="009A581E" w:rsidRPr="000A1612" w:rsidRDefault="009A581E" w:rsidP="009A581E">
      <w:pPr>
        <w:widowControl w:val="0"/>
        <w:spacing w:after="0" w:line="240" w:lineRule="auto"/>
        <w:ind w:left="0" w:firstLine="0"/>
      </w:pPr>
    </w:p>
    <w:p w14:paraId="40375A32" w14:textId="77777777" w:rsidR="009A581E" w:rsidRPr="000A1612" w:rsidRDefault="009A581E" w:rsidP="001E1701">
      <w:pPr>
        <w:pStyle w:val="Nadpis1"/>
        <w:keepNext w:val="0"/>
        <w:keepLines w:val="0"/>
        <w:widowControl w:val="0"/>
        <w:tabs>
          <w:tab w:val="left" w:pos="567"/>
          <w:tab w:val="center" w:pos="791"/>
          <w:tab w:val="center" w:pos="3117"/>
        </w:tabs>
        <w:spacing w:after="0" w:line="240" w:lineRule="auto"/>
        <w:ind w:left="0" w:firstLine="0"/>
      </w:pPr>
      <w:r w:rsidRPr="000A1612">
        <w:t>5.</w:t>
      </w:r>
      <w:r w:rsidR="001E1701">
        <w:tab/>
      </w:r>
      <w:r w:rsidR="001E1701">
        <w:tab/>
      </w:r>
      <w:r w:rsidRPr="000A1612">
        <w:t>FARMAKOLOGICKÉ VLASTNOSTI</w:t>
      </w:r>
    </w:p>
    <w:p w14:paraId="268C0103" w14:textId="77777777" w:rsidR="009A581E" w:rsidRPr="000A1612" w:rsidRDefault="009A581E" w:rsidP="009A581E">
      <w:pPr>
        <w:widowControl w:val="0"/>
        <w:spacing w:after="0" w:line="240" w:lineRule="auto"/>
        <w:ind w:left="0" w:firstLine="0"/>
      </w:pPr>
    </w:p>
    <w:p w14:paraId="640FA98D" w14:textId="77777777" w:rsidR="009A581E" w:rsidRPr="000A1612" w:rsidRDefault="009A581E" w:rsidP="001E1701">
      <w:pPr>
        <w:pStyle w:val="Nadpis2"/>
        <w:keepNext w:val="0"/>
        <w:keepLines w:val="0"/>
        <w:widowControl w:val="0"/>
        <w:tabs>
          <w:tab w:val="left" w:pos="567"/>
          <w:tab w:val="center" w:pos="846"/>
          <w:tab w:val="center" w:pos="2696"/>
        </w:tabs>
        <w:spacing w:after="0" w:line="240" w:lineRule="auto"/>
        <w:ind w:left="0" w:firstLine="0"/>
      </w:pPr>
      <w:r w:rsidRPr="000A1612">
        <w:t>5.1</w:t>
      </w:r>
      <w:r w:rsidR="001E1701">
        <w:tab/>
      </w:r>
      <w:r w:rsidRPr="000A1612">
        <w:t>Farmakodynamické vlastnosti</w:t>
      </w:r>
    </w:p>
    <w:p w14:paraId="47E881C7" w14:textId="77777777" w:rsidR="009A581E" w:rsidRPr="000A1612" w:rsidRDefault="009A581E" w:rsidP="009A581E">
      <w:pPr>
        <w:widowControl w:val="0"/>
        <w:spacing w:after="0" w:line="240" w:lineRule="auto"/>
        <w:ind w:left="0" w:firstLine="0"/>
      </w:pPr>
    </w:p>
    <w:p w14:paraId="3DC79D4A" w14:textId="77777777" w:rsidR="009A581E" w:rsidRPr="000A1612" w:rsidRDefault="009A581E" w:rsidP="009A581E">
      <w:pPr>
        <w:widowControl w:val="0"/>
        <w:spacing w:after="0" w:line="240" w:lineRule="auto"/>
        <w:ind w:left="0" w:right="44" w:firstLine="0"/>
      </w:pPr>
      <w:r w:rsidRPr="000A1612">
        <w:t>Farmakoterapeutická skupina: antivirotiká na systémové použitie, nukleozidové a nukleotidové inh</w:t>
      </w:r>
      <w:r w:rsidR="001E1701">
        <w:t>ibítory reverznej transkriptázy</w:t>
      </w:r>
    </w:p>
    <w:p w14:paraId="2DE9EC3C" w14:textId="77777777" w:rsidR="009A581E" w:rsidRPr="000A1612" w:rsidRDefault="009A581E" w:rsidP="009A581E">
      <w:pPr>
        <w:widowControl w:val="0"/>
        <w:spacing w:after="0" w:line="240" w:lineRule="auto"/>
        <w:ind w:left="0" w:right="44" w:firstLine="0"/>
      </w:pPr>
      <w:r w:rsidRPr="000A1612">
        <w:t>ATC kód: J05AF10</w:t>
      </w:r>
    </w:p>
    <w:p w14:paraId="02189729" w14:textId="77777777" w:rsidR="009A581E" w:rsidRPr="000A1612" w:rsidRDefault="009A581E" w:rsidP="009A581E">
      <w:pPr>
        <w:widowControl w:val="0"/>
        <w:spacing w:after="0" w:line="240" w:lineRule="auto"/>
        <w:ind w:left="0" w:firstLine="0"/>
      </w:pPr>
    </w:p>
    <w:p w14:paraId="046BBFD0" w14:textId="77777777" w:rsidR="009A581E" w:rsidRPr="000A1612" w:rsidRDefault="009A581E" w:rsidP="009A581E">
      <w:pPr>
        <w:widowControl w:val="0"/>
        <w:spacing w:after="0" w:line="240" w:lineRule="auto"/>
        <w:ind w:left="0" w:right="44" w:firstLine="0"/>
      </w:pPr>
      <w:r w:rsidRPr="000A1612">
        <w:rPr>
          <w:b/>
        </w:rPr>
        <w:t>Mechanizmus účinku:</w:t>
      </w:r>
      <w:r w:rsidRPr="000A1612">
        <w:t xml:space="preserve"> entekavir, nukleozidový analóg guanozínu s aktivitou proti HBV polymeráze, je účinne fosforylovaný na aktívnu trifosfátovú (TP) formu, ktorá má intracelulárny polčas 15 hodín. Prostredníctvom kompetície s prirodzeným substrátom deoxyguanozínom TP, entekavir-TP funkčne inhibuje 3 aktivity vírusovej polymerázy: (1) pripojenie (“priming”) HBV polymerázy, (2) reverznú transkripciu negatívneho reťazca DNA z pregenómovej mediátorovej RNA a (3) syntézu pozitívneho reťazca HBV DNA. Hodnota K</w:t>
      </w:r>
      <w:r w:rsidRPr="000A1612">
        <w:rPr>
          <w:vertAlign w:val="subscript"/>
        </w:rPr>
        <w:t>i</w:t>
      </w:r>
      <w:r w:rsidRPr="000A1612">
        <w:t xml:space="preserve"> (inhibičnej konštanty) entekaviru-TP pre HBV DNA polymerázu je 0,0012 μM. Entekavir-TP je slabým inhibítorom celulárnych DNA polymeráz α, β a δ s hodnotami K</w:t>
      </w:r>
      <w:r w:rsidRPr="000A1612">
        <w:rPr>
          <w:vertAlign w:val="subscript"/>
        </w:rPr>
        <w:t>i</w:t>
      </w:r>
      <w:r w:rsidRPr="000A1612">
        <w:t xml:space="preserve"> 18 až 40 μM. Vysoké expozície entekaviru okrem toho nemali žiadne významné nežiaduce účinky na polymerázu γ alebo syntézu mitochondriálnej DNA v HepG2 bunkách (K</w:t>
      </w:r>
      <w:r w:rsidRPr="000A1612">
        <w:rPr>
          <w:vertAlign w:val="subscript"/>
        </w:rPr>
        <w:t>i</w:t>
      </w:r>
      <w:r w:rsidRPr="000A1612">
        <w:t xml:space="preserve"> &gt; 160 μM).</w:t>
      </w:r>
    </w:p>
    <w:p w14:paraId="34AA3FB8" w14:textId="77777777" w:rsidR="009A581E" w:rsidRPr="000A1612" w:rsidRDefault="009A581E" w:rsidP="009A581E">
      <w:pPr>
        <w:widowControl w:val="0"/>
        <w:spacing w:after="0" w:line="240" w:lineRule="auto"/>
        <w:ind w:left="0" w:firstLine="0"/>
      </w:pPr>
    </w:p>
    <w:p w14:paraId="025B4650" w14:textId="77777777" w:rsidR="009A581E" w:rsidRPr="000A1612" w:rsidRDefault="009A581E" w:rsidP="009A581E">
      <w:pPr>
        <w:widowControl w:val="0"/>
        <w:spacing w:after="0" w:line="240" w:lineRule="auto"/>
        <w:ind w:left="0" w:right="44" w:firstLine="0"/>
      </w:pPr>
      <w:r w:rsidRPr="000A1612">
        <w:rPr>
          <w:b/>
        </w:rPr>
        <w:t>Antivírusová aktivita:</w:t>
      </w:r>
      <w:r w:rsidRPr="000A1612">
        <w:t xml:space="preserve"> entekavir inhiboval syntézu HBV DNA (50 % zníženie, EC</w:t>
      </w:r>
      <w:r w:rsidRPr="000A1612">
        <w:rPr>
          <w:vertAlign w:val="subscript"/>
        </w:rPr>
        <w:t>50</w:t>
      </w:r>
      <w:r w:rsidRPr="000A1612">
        <w:t xml:space="preserve">) pri </w:t>
      </w:r>
      <w:r w:rsidR="001E1701">
        <w:t>k</w:t>
      </w:r>
      <w:r w:rsidRPr="000A1612">
        <w:t>oncentrácii 0,004 μmol/l v ľudských HepG2 bunkách transfekovaných divokým typom HBV. Stredná hodnota EC</w:t>
      </w:r>
      <w:r w:rsidRPr="000A1612">
        <w:rPr>
          <w:vertAlign w:val="subscript"/>
        </w:rPr>
        <w:t>50</w:t>
      </w:r>
      <w:r w:rsidRPr="000A1612">
        <w:t xml:space="preserve"> entekaviru proti HBV rezistentnému na LVD (rtL180M a rtM204V) bola 0,026 μmol/l (rozsah 0,010 – 0,059 μmol/l). Rekombinantné vírusy kódujúce substitúcie spôsobujúce rezistenciu na adefovir buď na rtN236T alebo rtA181V, zostali úplne citlivé na entekavir.</w:t>
      </w:r>
    </w:p>
    <w:p w14:paraId="02A51271" w14:textId="77777777" w:rsidR="009A581E" w:rsidRPr="000A1612" w:rsidRDefault="009A581E" w:rsidP="009A581E">
      <w:pPr>
        <w:widowControl w:val="0"/>
        <w:spacing w:after="0" w:line="240" w:lineRule="auto"/>
        <w:ind w:left="0" w:firstLine="0"/>
      </w:pPr>
    </w:p>
    <w:p w14:paraId="11C12AB2" w14:textId="77777777" w:rsidR="001E1701" w:rsidRDefault="009A581E" w:rsidP="009A581E">
      <w:pPr>
        <w:widowControl w:val="0"/>
        <w:spacing w:after="0" w:line="240" w:lineRule="auto"/>
        <w:ind w:left="0" w:right="44" w:firstLine="0"/>
      </w:pPr>
      <w:r w:rsidRPr="000A1612">
        <w:t>Analýza inhibičnej aktivity entekaviru voči skupine laboratórnych a klinických HIV-1 izolátov, využijúc typy buniek a podmienky testu, poskytla hodnoty EC</w:t>
      </w:r>
      <w:r w:rsidRPr="000A1612">
        <w:rPr>
          <w:vertAlign w:val="subscript"/>
        </w:rPr>
        <w:t xml:space="preserve">50 </w:t>
      </w:r>
      <w:r w:rsidRPr="000A1612">
        <w:t>v rozmedzí od 0,026 do &gt; 10 µmol/l; nižšia hodnota EC</w:t>
      </w:r>
      <w:r w:rsidRPr="000A1612">
        <w:rPr>
          <w:vertAlign w:val="subscript"/>
        </w:rPr>
        <w:t>50</w:t>
      </w:r>
      <w:r w:rsidRPr="000A1612">
        <w:t xml:space="preserve"> sa zaznamenala, keď sa v teste použili znížené hladiny vírusu.</w:t>
      </w:r>
    </w:p>
    <w:p w14:paraId="3A8FB2E2" w14:textId="77777777" w:rsidR="009A581E" w:rsidRPr="000A1612" w:rsidRDefault="009A581E" w:rsidP="009A581E">
      <w:pPr>
        <w:widowControl w:val="0"/>
        <w:spacing w:after="0" w:line="240" w:lineRule="auto"/>
        <w:ind w:left="0" w:right="44" w:firstLine="0"/>
      </w:pPr>
      <w:r w:rsidRPr="000A1612">
        <w:t>V bunkovej kultúre entekavir selektovaný pre M184I substitúciu v mikromolárnych koncentráciách potvrdil inhibičný tlak vo vysokých koncentráciách entekaviru. HIV varianty obsahujúce M184V substitúciu ukázali stratu citlivosti na entekavir (pozri časť 4.4).</w:t>
      </w:r>
    </w:p>
    <w:p w14:paraId="35CE55DC" w14:textId="77777777" w:rsidR="009A581E" w:rsidRPr="000A1612" w:rsidRDefault="009A581E" w:rsidP="009A581E">
      <w:pPr>
        <w:widowControl w:val="0"/>
        <w:spacing w:after="0" w:line="240" w:lineRule="auto"/>
        <w:ind w:left="0" w:firstLine="0"/>
      </w:pPr>
    </w:p>
    <w:p w14:paraId="47C0A918" w14:textId="77777777" w:rsidR="009A581E" w:rsidRPr="000A1612" w:rsidRDefault="009A581E" w:rsidP="009A581E">
      <w:pPr>
        <w:widowControl w:val="0"/>
        <w:spacing w:after="0" w:line="240" w:lineRule="auto"/>
        <w:ind w:left="0" w:right="44" w:firstLine="0"/>
      </w:pPr>
      <w:r w:rsidRPr="000A1612">
        <w:t>V kombinovaných testoch s HBV v bunkovej kultúre, abakavir, didanozín, lamivudín, stavudín, tenofovir alebo zidovudín nepôsobili antagonisticky voči anti-HBV aktivite entekaviru v širokom rozsahu koncentrácií. V antivírusových testoch HIV entekavir v mikromolárnych koncentráciách nepôsobil antagonisticky voči anti</w:t>
      </w:r>
      <w:r w:rsidR="0031595D">
        <w:t>-</w:t>
      </w:r>
      <w:r w:rsidRPr="000A1612">
        <w:t>HIV aktivite v bunkovej kultúre týchto šiestich NRTIs alebo emtricitabínu.</w:t>
      </w:r>
    </w:p>
    <w:p w14:paraId="4523E532" w14:textId="77777777" w:rsidR="009A581E" w:rsidRPr="000A1612" w:rsidRDefault="009A581E" w:rsidP="009A581E">
      <w:pPr>
        <w:widowControl w:val="0"/>
        <w:spacing w:after="0" w:line="240" w:lineRule="auto"/>
        <w:ind w:left="0" w:firstLine="0"/>
      </w:pPr>
    </w:p>
    <w:p w14:paraId="0D1C8316" w14:textId="77777777" w:rsidR="009A581E" w:rsidRPr="000A1612" w:rsidRDefault="009A581E" w:rsidP="009A581E">
      <w:pPr>
        <w:widowControl w:val="0"/>
        <w:spacing w:after="0" w:line="240" w:lineRule="auto"/>
        <w:ind w:left="0" w:right="154" w:firstLine="0"/>
      </w:pPr>
      <w:r w:rsidRPr="000A1612">
        <w:rPr>
          <w:b/>
        </w:rPr>
        <w:t>Rezistencia v bunkovej kultúre:</w:t>
      </w:r>
      <w:r w:rsidRPr="000A1612">
        <w:t xml:space="preserve"> v porovnaní s divokým typom HBV, vírusy rezistentné na LVD obsahujúce substitúcie rtM204V a rtL180M v rámci reverznej transkriptázy vykazujú 8-násobne zníženú citlivosť na entekavir. Včlenenie ďalších ETVr aminokyselín spôsobujúcich zmeny rtT184, rtS202 alebo rtM250 znižuje citlivosť na entekavir v bunkovej kultúre. Substitúcie zistené na klinických izolátoch (rtT184A, C, F, G, I, L, M alebo S; rtS202 C, G alebo I a/alebo rtM250I, L alebo V) viedli k 16- až 741-násobnému zníženiu citlivosti na entekavir v porovnaní s divokým typom vírusu. ETVr substitúcie na rez</w:t>
      </w:r>
      <w:r w:rsidR="00F64141">
        <w:t>i</w:t>
      </w:r>
      <w:r w:rsidRPr="000A1612">
        <w:t>duách rtT184, rtS202 a rtM250 samotné majú iba mierny účinok na citlivosť na entekavir a nepozorovali sa za neprítomnosti LVDr substitúcií u viac než 1000  sekvenčných vzoriek</w:t>
      </w:r>
      <w:r w:rsidR="00F64141">
        <w:t xml:space="preserve"> pacientov</w:t>
      </w:r>
      <w:r w:rsidRPr="000A1612">
        <w:t xml:space="preserve">. Rezistencia je sprostredkovaná redukovanou väzbou inhibítora na </w:t>
      </w:r>
      <w:r w:rsidRPr="000A1612">
        <w:lastRenderedPageBreak/>
        <w:t>zmenenú HBV reverznú transkriptázu a rezistentná HBV sa prejavuje redukovanou replikačnou kapacitou v bunkovej kultúre.</w:t>
      </w:r>
    </w:p>
    <w:p w14:paraId="19DDA741" w14:textId="77777777" w:rsidR="009A581E" w:rsidRPr="000A1612" w:rsidRDefault="009A581E" w:rsidP="009A581E">
      <w:pPr>
        <w:widowControl w:val="0"/>
        <w:spacing w:after="0" w:line="240" w:lineRule="auto"/>
        <w:ind w:left="0" w:firstLine="0"/>
      </w:pPr>
    </w:p>
    <w:p w14:paraId="67662E4B" w14:textId="77777777" w:rsidR="009A581E" w:rsidRPr="000A1612" w:rsidRDefault="009A581E" w:rsidP="009A581E">
      <w:pPr>
        <w:widowControl w:val="0"/>
        <w:spacing w:after="0" w:line="240" w:lineRule="auto"/>
        <w:ind w:left="0" w:right="466" w:firstLine="0"/>
      </w:pPr>
      <w:r w:rsidRPr="00F97CBC">
        <w:rPr>
          <w:b/>
        </w:rPr>
        <w:t>Klinické skúsenosti</w:t>
      </w:r>
      <w:r w:rsidRPr="000A1612">
        <w:rPr>
          <w:b/>
        </w:rPr>
        <w:t>:</w:t>
      </w:r>
      <w:r w:rsidRPr="000A1612">
        <w:t xml:space="preserve"> preukázanie prínosu sa zakladá na histologických, virologických, biochemických a s</w:t>
      </w:r>
      <w:r w:rsidR="00F43601">
        <w:t>é</w:t>
      </w:r>
      <w:r w:rsidRPr="000A1612">
        <w:t>rologických odpovediach po 48 týždňoch liečby v klinických štúdiách kontrolovaných aktívnou látkou u 1 633 dospelých s chronickou infekciou vírusom hepatitídy B, s dôkazom o vírusovej replikácii a kompenzovaným ochorením pečene. Bezpečnosť a účinnosť entekaviru boli tiež hodnotené v klinickej štúdii kontrolovanej aktívnou látkou u 191 pacientov infikovaných HBV, s dekompenzovaným ochorením pečene a v klinickej štúdii u 68 pacientov súčasne infikovaných HBV aj HIV.</w:t>
      </w:r>
    </w:p>
    <w:p w14:paraId="560AF09A" w14:textId="77777777" w:rsidR="009A581E" w:rsidRPr="000A1612" w:rsidRDefault="009A581E" w:rsidP="009A581E">
      <w:pPr>
        <w:widowControl w:val="0"/>
        <w:spacing w:after="0" w:line="240" w:lineRule="auto"/>
        <w:ind w:left="0" w:firstLine="0"/>
      </w:pPr>
    </w:p>
    <w:p w14:paraId="7CBD195C" w14:textId="77777777" w:rsidR="009A581E" w:rsidRPr="000A1612" w:rsidRDefault="009A581E" w:rsidP="009A581E">
      <w:pPr>
        <w:widowControl w:val="0"/>
        <w:spacing w:after="0" w:line="240" w:lineRule="auto"/>
        <w:ind w:left="0" w:right="44" w:firstLine="0"/>
      </w:pPr>
      <w:r w:rsidRPr="000A1612">
        <w:t>V štúdiách u pacientov s kompenzovaných ochorením pečene bolo histologické zlepšenie definované ako ≥ 2-bodové zníženie od bazálnej hodnoty v Knodellovom skóre nekrotického zápalu bez zhoršenia Knodellovho skóre fibrózy. Odpovede u pacientov, ktorí mali v Knodellovom skóre fibrózy bazálnu hodnotu 4 (cirhóza), boli porovnateľné s celkovými odpoveďami vo všetkých meraniach výsledku účinnosti (všetci pacienti mali kompenzované ochorenie pečene). Vysoké skóre Knodellovho indexu nekrotického zápalu v bazálnej hodnote (&gt; 10) bolo spojené s väčším histologickým zlepšením u pacientov bez predošlej liečby nukleozidmi. Bazálne hladiny ALT ≥ 2-násobok ULN aj bazálne hodnoty HBV DNA ≤ 9,0 log</w:t>
      </w:r>
      <w:r w:rsidRPr="000A1612">
        <w:rPr>
          <w:vertAlign w:val="subscript"/>
        </w:rPr>
        <w:t>10</w:t>
      </w:r>
      <w:r w:rsidRPr="000A1612">
        <w:t xml:space="preserve"> kópií/ml boli spájané s vyššou virologickou odpoveďou (48. týždeň, HBV DNA &lt; 400 kópií/ml) u HBeAg pozitívnych pacientov bez predošlej liečby nukleozidmi. Bez ohľadu na východiskové charakteristiky väčšina pacientov preukázala histologickú a virologickú odpoveď na liečbu.</w:t>
      </w:r>
    </w:p>
    <w:p w14:paraId="7D82E151" w14:textId="77777777" w:rsidR="009A581E" w:rsidRPr="000A1612" w:rsidRDefault="009A581E" w:rsidP="009A581E">
      <w:pPr>
        <w:widowControl w:val="0"/>
        <w:spacing w:after="0" w:line="240" w:lineRule="auto"/>
        <w:ind w:left="0" w:firstLine="0"/>
      </w:pPr>
    </w:p>
    <w:p w14:paraId="210AED38" w14:textId="77777777" w:rsidR="001E1701" w:rsidRDefault="009A581E" w:rsidP="009A581E">
      <w:pPr>
        <w:widowControl w:val="0"/>
        <w:spacing w:after="0" w:line="240" w:lineRule="auto"/>
        <w:ind w:left="0" w:right="44" w:firstLine="0"/>
      </w:pPr>
      <w:r w:rsidRPr="000A1612">
        <w:rPr>
          <w:i/>
          <w:u w:val="single" w:color="000000"/>
        </w:rPr>
        <w:t>Skúsenosti u pacientov s kompenzovaným ochorením pečene bez predošlej liečby nukleozidmi:</w:t>
      </w:r>
    </w:p>
    <w:p w14:paraId="3B3B3C82" w14:textId="77777777" w:rsidR="001E1701" w:rsidRDefault="009A581E" w:rsidP="009A581E">
      <w:pPr>
        <w:widowControl w:val="0"/>
        <w:spacing w:after="0" w:line="240" w:lineRule="auto"/>
        <w:ind w:left="0" w:right="44" w:firstLine="0"/>
      </w:pPr>
      <w:r w:rsidRPr="000A1612">
        <w:t>Výsledky v 48. týždni randomizovaných, dvojito zaslepených štúdií porovnávajúcich entekavir (ETV) s lamivudínom (LVD) u HBeAg pozitívnych (022) a HBeAg negatívnych (027) pacientov sú uvedené v tabuľke.</w:t>
      </w:r>
    </w:p>
    <w:p w14:paraId="6A8D25C9" w14:textId="77777777" w:rsidR="001E1701" w:rsidRDefault="001E1701" w:rsidP="001E1701">
      <w:r>
        <w:br w:type="page"/>
      </w:r>
    </w:p>
    <w:tbl>
      <w:tblPr>
        <w:tblStyle w:val="TableGrid"/>
        <w:tblW w:w="9444" w:type="dxa"/>
        <w:tblInd w:w="-5" w:type="dxa"/>
        <w:tblCellMar>
          <w:top w:w="51" w:type="dxa"/>
          <w:left w:w="108" w:type="dxa"/>
          <w:right w:w="58" w:type="dxa"/>
        </w:tblCellMar>
        <w:tblLook w:val="04A0" w:firstRow="1" w:lastRow="0" w:firstColumn="1" w:lastColumn="0" w:noHBand="0" w:noVBand="1"/>
      </w:tblPr>
      <w:tblGrid>
        <w:gridCol w:w="3969"/>
        <w:gridCol w:w="1320"/>
        <w:gridCol w:w="1320"/>
        <w:gridCol w:w="1320"/>
        <w:gridCol w:w="1515"/>
      </w:tblGrid>
      <w:tr w:rsidR="009A581E" w:rsidRPr="000A1612" w14:paraId="098EE5B6" w14:textId="77777777" w:rsidTr="001A7A3F">
        <w:trPr>
          <w:trHeight w:val="262"/>
        </w:trPr>
        <w:tc>
          <w:tcPr>
            <w:tcW w:w="3969" w:type="dxa"/>
            <w:vMerge w:val="restart"/>
            <w:tcBorders>
              <w:top w:val="single" w:sz="4" w:space="0" w:color="000000"/>
              <w:left w:val="single" w:sz="4" w:space="0" w:color="000000"/>
              <w:bottom w:val="single" w:sz="12" w:space="0" w:color="000000"/>
              <w:right w:val="single" w:sz="4" w:space="0" w:color="000000"/>
            </w:tcBorders>
          </w:tcPr>
          <w:p w14:paraId="43EF72B3" w14:textId="77777777" w:rsidR="009A581E" w:rsidRPr="000A1612" w:rsidRDefault="009A581E" w:rsidP="00130E2E">
            <w:pPr>
              <w:widowControl w:val="0"/>
              <w:spacing w:after="0" w:line="240" w:lineRule="auto"/>
              <w:ind w:left="0" w:firstLine="0"/>
            </w:pPr>
          </w:p>
        </w:tc>
        <w:tc>
          <w:tcPr>
            <w:tcW w:w="5475" w:type="dxa"/>
            <w:gridSpan w:val="4"/>
            <w:tcBorders>
              <w:top w:val="single" w:sz="4" w:space="0" w:color="000000"/>
              <w:left w:val="single" w:sz="4" w:space="0" w:color="000000"/>
              <w:bottom w:val="single" w:sz="4" w:space="0" w:color="000000"/>
              <w:right w:val="single" w:sz="4" w:space="0" w:color="000000"/>
            </w:tcBorders>
          </w:tcPr>
          <w:p w14:paraId="54101F55" w14:textId="77777777" w:rsidR="009A581E" w:rsidRPr="000A1612" w:rsidRDefault="009A581E" w:rsidP="00130E2E">
            <w:pPr>
              <w:widowControl w:val="0"/>
              <w:spacing w:after="0" w:line="240" w:lineRule="auto"/>
              <w:ind w:left="0" w:right="47" w:firstLine="0"/>
              <w:jc w:val="center"/>
            </w:pPr>
            <w:r w:rsidRPr="000A1612">
              <w:t>Pacienti b</w:t>
            </w:r>
            <w:r w:rsidR="001E1701">
              <w:t>ez predošlej liečby nukleozidmi</w:t>
            </w:r>
          </w:p>
        </w:tc>
      </w:tr>
      <w:tr w:rsidR="009A581E" w:rsidRPr="000A1612" w14:paraId="5F13B0F4" w14:textId="77777777" w:rsidTr="001A7A3F">
        <w:trPr>
          <w:trHeight w:val="526"/>
        </w:trPr>
        <w:tc>
          <w:tcPr>
            <w:tcW w:w="3969" w:type="dxa"/>
            <w:vMerge/>
            <w:tcBorders>
              <w:top w:val="nil"/>
              <w:left w:val="single" w:sz="4" w:space="0" w:color="000000"/>
              <w:bottom w:val="nil"/>
              <w:right w:val="single" w:sz="4" w:space="0" w:color="000000"/>
            </w:tcBorders>
          </w:tcPr>
          <w:p w14:paraId="4A0F24D3" w14:textId="77777777" w:rsidR="009A581E" w:rsidRPr="000A1612" w:rsidRDefault="009A581E" w:rsidP="00130E2E">
            <w:pPr>
              <w:widowControl w:val="0"/>
              <w:spacing w:after="0" w:line="240" w:lineRule="auto"/>
              <w:ind w:left="0" w:firstLine="0"/>
            </w:pPr>
          </w:p>
        </w:tc>
        <w:tc>
          <w:tcPr>
            <w:tcW w:w="2640" w:type="dxa"/>
            <w:gridSpan w:val="2"/>
            <w:tcBorders>
              <w:top w:val="single" w:sz="4" w:space="0" w:color="000000"/>
              <w:left w:val="single" w:sz="4" w:space="0" w:color="000000"/>
              <w:bottom w:val="single" w:sz="4" w:space="0" w:color="000000"/>
              <w:right w:val="single" w:sz="4" w:space="0" w:color="000000"/>
            </w:tcBorders>
          </w:tcPr>
          <w:p w14:paraId="420484D9" w14:textId="77777777" w:rsidR="009A581E" w:rsidRPr="000A1612" w:rsidRDefault="001E1701" w:rsidP="00130E2E">
            <w:pPr>
              <w:widowControl w:val="0"/>
              <w:spacing w:after="0" w:line="240" w:lineRule="auto"/>
              <w:ind w:left="0" w:right="150" w:firstLine="0"/>
              <w:jc w:val="center"/>
            </w:pPr>
            <w:r>
              <w:t>HBeAg pozitívni (štúdia 022)</w:t>
            </w:r>
          </w:p>
        </w:tc>
        <w:tc>
          <w:tcPr>
            <w:tcW w:w="2835" w:type="dxa"/>
            <w:gridSpan w:val="2"/>
            <w:tcBorders>
              <w:top w:val="single" w:sz="4" w:space="0" w:color="000000"/>
              <w:left w:val="single" w:sz="4" w:space="0" w:color="000000"/>
              <w:bottom w:val="single" w:sz="4" w:space="0" w:color="000000"/>
              <w:right w:val="single" w:sz="4" w:space="0" w:color="000000"/>
            </w:tcBorders>
          </w:tcPr>
          <w:p w14:paraId="42695CA3" w14:textId="77777777" w:rsidR="009A581E" w:rsidRPr="000A1612" w:rsidRDefault="001E1701" w:rsidP="00130E2E">
            <w:pPr>
              <w:widowControl w:val="0"/>
              <w:spacing w:after="0" w:line="240" w:lineRule="auto"/>
              <w:ind w:left="0" w:right="131" w:firstLine="0"/>
              <w:jc w:val="center"/>
            </w:pPr>
            <w:r>
              <w:t>HBeAg negatívni (štúdia 027)</w:t>
            </w:r>
          </w:p>
        </w:tc>
      </w:tr>
      <w:tr w:rsidR="009A581E" w:rsidRPr="000A1612" w14:paraId="23835E18" w14:textId="77777777" w:rsidTr="001A7A3F">
        <w:trPr>
          <w:trHeight w:val="1042"/>
        </w:trPr>
        <w:tc>
          <w:tcPr>
            <w:tcW w:w="3969" w:type="dxa"/>
            <w:vMerge/>
            <w:tcBorders>
              <w:top w:val="nil"/>
              <w:left w:val="single" w:sz="4" w:space="0" w:color="000000"/>
              <w:bottom w:val="single" w:sz="12" w:space="0" w:color="000000"/>
              <w:right w:val="single" w:sz="4" w:space="0" w:color="000000"/>
            </w:tcBorders>
          </w:tcPr>
          <w:p w14:paraId="11787562" w14:textId="77777777" w:rsidR="009A581E" w:rsidRPr="000A1612" w:rsidRDefault="009A581E" w:rsidP="00130E2E">
            <w:pPr>
              <w:widowControl w:val="0"/>
              <w:spacing w:after="0" w:line="240" w:lineRule="auto"/>
              <w:ind w:left="0" w:firstLine="0"/>
            </w:pPr>
          </w:p>
        </w:tc>
        <w:tc>
          <w:tcPr>
            <w:tcW w:w="1320" w:type="dxa"/>
            <w:tcBorders>
              <w:top w:val="single" w:sz="4" w:space="0" w:color="000000"/>
              <w:left w:val="single" w:sz="4" w:space="0" w:color="000000"/>
              <w:bottom w:val="single" w:sz="12" w:space="0" w:color="000000"/>
              <w:right w:val="single" w:sz="8" w:space="0" w:color="000000"/>
            </w:tcBorders>
          </w:tcPr>
          <w:p w14:paraId="553BE3ED" w14:textId="77777777" w:rsidR="009A581E" w:rsidRPr="000A1612" w:rsidRDefault="009A581E" w:rsidP="00155775">
            <w:pPr>
              <w:widowControl w:val="0"/>
              <w:spacing w:after="0" w:line="240" w:lineRule="auto"/>
              <w:ind w:left="0" w:firstLine="0"/>
              <w:jc w:val="center"/>
            </w:pPr>
            <w:r w:rsidRPr="000A1612">
              <w:t>ETV 0,5 mg jedenkrát denne</w:t>
            </w:r>
          </w:p>
        </w:tc>
        <w:tc>
          <w:tcPr>
            <w:tcW w:w="1320" w:type="dxa"/>
            <w:tcBorders>
              <w:top w:val="single" w:sz="4" w:space="0" w:color="000000"/>
              <w:left w:val="single" w:sz="8" w:space="0" w:color="000000"/>
              <w:bottom w:val="single" w:sz="12" w:space="0" w:color="000000"/>
              <w:right w:val="single" w:sz="4" w:space="0" w:color="000000"/>
            </w:tcBorders>
          </w:tcPr>
          <w:p w14:paraId="75A3E531" w14:textId="77777777" w:rsidR="009A581E" w:rsidRPr="000A1612" w:rsidRDefault="009A581E" w:rsidP="00155775">
            <w:pPr>
              <w:widowControl w:val="0"/>
              <w:spacing w:after="0" w:line="240" w:lineRule="auto"/>
              <w:ind w:left="0" w:right="47" w:firstLine="0"/>
              <w:jc w:val="center"/>
            </w:pPr>
            <w:r w:rsidRPr="000A1612">
              <w:t>LVD</w:t>
            </w:r>
          </w:p>
          <w:p w14:paraId="2B9C90CC" w14:textId="77777777" w:rsidR="009A581E" w:rsidRPr="000A1612" w:rsidRDefault="001E1701" w:rsidP="00155775">
            <w:pPr>
              <w:widowControl w:val="0"/>
              <w:spacing w:after="0" w:line="240" w:lineRule="auto"/>
              <w:ind w:left="0" w:firstLine="0"/>
              <w:jc w:val="center"/>
            </w:pPr>
            <w:r>
              <w:t>100 mg jedenkrát denne</w:t>
            </w:r>
          </w:p>
        </w:tc>
        <w:tc>
          <w:tcPr>
            <w:tcW w:w="1320" w:type="dxa"/>
            <w:tcBorders>
              <w:top w:val="single" w:sz="4" w:space="0" w:color="000000"/>
              <w:left w:val="single" w:sz="4" w:space="0" w:color="000000"/>
              <w:bottom w:val="single" w:sz="12" w:space="0" w:color="000000"/>
              <w:right w:val="single" w:sz="8" w:space="0" w:color="000000"/>
            </w:tcBorders>
          </w:tcPr>
          <w:p w14:paraId="306BAFA9" w14:textId="77777777" w:rsidR="009A581E" w:rsidRPr="000A1612" w:rsidRDefault="001E1701" w:rsidP="00155775">
            <w:pPr>
              <w:widowControl w:val="0"/>
              <w:spacing w:after="0" w:line="240" w:lineRule="auto"/>
              <w:ind w:left="0" w:firstLine="0"/>
              <w:jc w:val="center"/>
            </w:pPr>
            <w:r>
              <w:t>ETV 0,5 mg jedenkrát denne</w:t>
            </w:r>
          </w:p>
        </w:tc>
        <w:tc>
          <w:tcPr>
            <w:tcW w:w="1515" w:type="dxa"/>
            <w:tcBorders>
              <w:top w:val="single" w:sz="4" w:space="0" w:color="000000"/>
              <w:left w:val="single" w:sz="8" w:space="0" w:color="000000"/>
              <w:bottom w:val="single" w:sz="12" w:space="0" w:color="000000"/>
              <w:right w:val="single" w:sz="4" w:space="0" w:color="000000"/>
            </w:tcBorders>
          </w:tcPr>
          <w:p w14:paraId="2E3EC029" w14:textId="77777777" w:rsidR="009A581E" w:rsidRPr="000A1612" w:rsidRDefault="009A581E" w:rsidP="00155775">
            <w:pPr>
              <w:widowControl w:val="0"/>
              <w:spacing w:after="0" w:line="240" w:lineRule="auto"/>
              <w:ind w:left="0" w:right="47" w:firstLine="0"/>
              <w:jc w:val="center"/>
            </w:pPr>
            <w:r w:rsidRPr="000A1612">
              <w:t>LVD</w:t>
            </w:r>
          </w:p>
          <w:p w14:paraId="385EAF99" w14:textId="77777777" w:rsidR="009A581E" w:rsidRPr="000A1612" w:rsidRDefault="001E1701" w:rsidP="00155775">
            <w:pPr>
              <w:widowControl w:val="0"/>
              <w:spacing w:after="0" w:line="240" w:lineRule="auto"/>
              <w:ind w:left="0" w:firstLine="0"/>
              <w:jc w:val="center"/>
            </w:pPr>
            <w:r>
              <w:t>100 mg jedenkrát denne</w:t>
            </w:r>
          </w:p>
        </w:tc>
      </w:tr>
      <w:tr w:rsidR="009A581E" w:rsidRPr="000A1612" w14:paraId="34A460CC" w14:textId="77777777" w:rsidTr="001A7A3F">
        <w:trPr>
          <w:trHeight w:val="283"/>
        </w:trPr>
        <w:tc>
          <w:tcPr>
            <w:tcW w:w="3969" w:type="dxa"/>
            <w:tcBorders>
              <w:top w:val="single" w:sz="12" w:space="0" w:color="000000"/>
              <w:left w:val="single" w:sz="4" w:space="0" w:color="000000"/>
              <w:bottom w:val="single" w:sz="12" w:space="0" w:color="000000"/>
              <w:right w:val="single" w:sz="4" w:space="0" w:color="000000"/>
            </w:tcBorders>
          </w:tcPr>
          <w:p w14:paraId="01BD8C93" w14:textId="77777777" w:rsidR="009A581E" w:rsidRPr="000A1612" w:rsidRDefault="001E1701" w:rsidP="001E1701">
            <w:pPr>
              <w:widowControl w:val="0"/>
              <w:spacing w:after="0" w:line="240" w:lineRule="auto"/>
              <w:ind w:left="0" w:firstLine="0"/>
            </w:pPr>
            <w:r>
              <w:t>n</w:t>
            </w:r>
          </w:p>
        </w:tc>
        <w:tc>
          <w:tcPr>
            <w:tcW w:w="1320" w:type="dxa"/>
            <w:tcBorders>
              <w:top w:val="single" w:sz="12" w:space="0" w:color="000000"/>
              <w:left w:val="single" w:sz="4" w:space="0" w:color="000000"/>
              <w:bottom w:val="single" w:sz="12" w:space="0" w:color="000000"/>
              <w:right w:val="single" w:sz="8" w:space="0" w:color="000000"/>
            </w:tcBorders>
          </w:tcPr>
          <w:p w14:paraId="5FC68C50" w14:textId="77777777" w:rsidR="009A581E" w:rsidRPr="000A1612" w:rsidRDefault="009A581E" w:rsidP="00155775">
            <w:pPr>
              <w:widowControl w:val="0"/>
              <w:spacing w:after="0" w:line="240" w:lineRule="auto"/>
              <w:ind w:left="0" w:right="46" w:firstLine="0"/>
              <w:jc w:val="center"/>
            </w:pPr>
            <w:r w:rsidRPr="000A1612">
              <w:t>314</w:t>
            </w:r>
            <w:r w:rsidRPr="001E1701">
              <w:rPr>
                <w:vertAlign w:val="superscript"/>
              </w:rPr>
              <w:t>a</w:t>
            </w:r>
          </w:p>
        </w:tc>
        <w:tc>
          <w:tcPr>
            <w:tcW w:w="1320" w:type="dxa"/>
            <w:tcBorders>
              <w:top w:val="single" w:sz="12" w:space="0" w:color="000000"/>
              <w:left w:val="single" w:sz="8" w:space="0" w:color="000000"/>
              <w:bottom w:val="single" w:sz="12" w:space="0" w:color="000000"/>
              <w:right w:val="single" w:sz="4" w:space="0" w:color="000000"/>
            </w:tcBorders>
          </w:tcPr>
          <w:p w14:paraId="5F01B9A5" w14:textId="77777777" w:rsidR="009A581E" w:rsidRPr="000A1612" w:rsidRDefault="009A581E" w:rsidP="00155775">
            <w:pPr>
              <w:widowControl w:val="0"/>
              <w:spacing w:after="0" w:line="240" w:lineRule="auto"/>
              <w:ind w:left="0" w:right="46" w:firstLine="0"/>
              <w:jc w:val="center"/>
            </w:pPr>
            <w:r w:rsidRPr="000A1612">
              <w:t>314</w:t>
            </w:r>
            <w:r w:rsidRPr="001E1701">
              <w:rPr>
                <w:vertAlign w:val="superscript"/>
              </w:rPr>
              <w:t>a</w:t>
            </w:r>
          </w:p>
        </w:tc>
        <w:tc>
          <w:tcPr>
            <w:tcW w:w="1320" w:type="dxa"/>
            <w:tcBorders>
              <w:top w:val="single" w:sz="12" w:space="0" w:color="000000"/>
              <w:left w:val="single" w:sz="4" w:space="0" w:color="000000"/>
              <w:bottom w:val="single" w:sz="12" w:space="0" w:color="000000"/>
              <w:right w:val="single" w:sz="8" w:space="0" w:color="000000"/>
            </w:tcBorders>
          </w:tcPr>
          <w:p w14:paraId="603BE4F4" w14:textId="77777777" w:rsidR="009A581E" w:rsidRPr="000A1612" w:rsidRDefault="009A581E" w:rsidP="00155775">
            <w:pPr>
              <w:widowControl w:val="0"/>
              <w:spacing w:after="0" w:line="240" w:lineRule="auto"/>
              <w:ind w:left="0" w:right="46" w:firstLine="0"/>
              <w:jc w:val="center"/>
            </w:pPr>
            <w:r w:rsidRPr="000A1612">
              <w:t>2</w:t>
            </w:r>
            <w:r w:rsidR="001E1701">
              <w:t>96</w:t>
            </w:r>
            <w:r w:rsidR="001E1701" w:rsidRPr="001E1701">
              <w:rPr>
                <w:vertAlign w:val="superscript"/>
              </w:rPr>
              <w:t>a</w:t>
            </w:r>
          </w:p>
        </w:tc>
        <w:tc>
          <w:tcPr>
            <w:tcW w:w="1515" w:type="dxa"/>
            <w:tcBorders>
              <w:top w:val="single" w:sz="12" w:space="0" w:color="000000"/>
              <w:left w:val="single" w:sz="8" w:space="0" w:color="000000"/>
              <w:bottom w:val="single" w:sz="12" w:space="0" w:color="000000"/>
              <w:right w:val="single" w:sz="4" w:space="0" w:color="000000"/>
            </w:tcBorders>
          </w:tcPr>
          <w:p w14:paraId="74CB41B3" w14:textId="77777777" w:rsidR="009A581E" w:rsidRPr="000A1612" w:rsidRDefault="001E1701" w:rsidP="00155775">
            <w:pPr>
              <w:widowControl w:val="0"/>
              <w:spacing w:after="0" w:line="240" w:lineRule="auto"/>
              <w:ind w:left="0" w:right="46" w:firstLine="0"/>
              <w:jc w:val="center"/>
            </w:pPr>
            <w:r>
              <w:t>287</w:t>
            </w:r>
            <w:r w:rsidRPr="001E1701">
              <w:rPr>
                <w:vertAlign w:val="superscript"/>
              </w:rPr>
              <w:t>a</w:t>
            </w:r>
          </w:p>
        </w:tc>
      </w:tr>
      <w:tr w:rsidR="009A581E" w:rsidRPr="000A1612" w14:paraId="7B6C9118" w14:textId="77777777" w:rsidTr="001A7A3F">
        <w:trPr>
          <w:trHeight w:val="278"/>
        </w:trPr>
        <w:tc>
          <w:tcPr>
            <w:tcW w:w="3969" w:type="dxa"/>
            <w:tcBorders>
              <w:top w:val="single" w:sz="12" w:space="0" w:color="000000"/>
              <w:left w:val="single" w:sz="4" w:space="0" w:color="000000"/>
              <w:bottom w:val="single" w:sz="8" w:space="0" w:color="000000"/>
              <w:right w:val="single" w:sz="4" w:space="0" w:color="000000"/>
            </w:tcBorders>
          </w:tcPr>
          <w:p w14:paraId="212233D3" w14:textId="77777777" w:rsidR="009A581E" w:rsidRPr="000A1612" w:rsidRDefault="009A581E" w:rsidP="00130E2E">
            <w:pPr>
              <w:widowControl w:val="0"/>
              <w:spacing w:after="0" w:line="240" w:lineRule="auto"/>
              <w:ind w:left="0" w:firstLine="0"/>
            </w:pPr>
            <w:r w:rsidRPr="000A1612">
              <w:t>Histologické zlepšenie</w:t>
            </w:r>
            <w:r w:rsidRPr="000A1612">
              <w:rPr>
                <w:vertAlign w:val="superscript"/>
              </w:rPr>
              <w:t xml:space="preserve">b </w:t>
            </w:r>
          </w:p>
        </w:tc>
        <w:tc>
          <w:tcPr>
            <w:tcW w:w="1320" w:type="dxa"/>
            <w:tcBorders>
              <w:top w:val="single" w:sz="12" w:space="0" w:color="000000"/>
              <w:left w:val="single" w:sz="4" w:space="0" w:color="000000"/>
              <w:bottom w:val="single" w:sz="8" w:space="0" w:color="000000"/>
              <w:right w:val="single" w:sz="8" w:space="0" w:color="000000"/>
            </w:tcBorders>
          </w:tcPr>
          <w:p w14:paraId="382AE498" w14:textId="77777777" w:rsidR="009A581E" w:rsidRPr="000A1612" w:rsidRDefault="001E1701" w:rsidP="00155775">
            <w:pPr>
              <w:widowControl w:val="0"/>
              <w:spacing w:after="0" w:line="240" w:lineRule="auto"/>
              <w:ind w:left="0" w:right="46" w:firstLine="0"/>
              <w:jc w:val="center"/>
            </w:pPr>
            <w:r>
              <w:t>72 %*</w:t>
            </w:r>
          </w:p>
        </w:tc>
        <w:tc>
          <w:tcPr>
            <w:tcW w:w="1320" w:type="dxa"/>
            <w:tcBorders>
              <w:top w:val="single" w:sz="12" w:space="0" w:color="000000"/>
              <w:left w:val="single" w:sz="8" w:space="0" w:color="000000"/>
              <w:bottom w:val="single" w:sz="8" w:space="0" w:color="000000"/>
              <w:right w:val="single" w:sz="4" w:space="0" w:color="000000"/>
            </w:tcBorders>
          </w:tcPr>
          <w:p w14:paraId="609064DF" w14:textId="77777777" w:rsidR="009A581E" w:rsidRPr="000A1612" w:rsidRDefault="001E1701" w:rsidP="00155775">
            <w:pPr>
              <w:widowControl w:val="0"/>
              <w:spacing w:after="0" w:line="240" w:lineRule="auto"/>
              <w:ind w:left="0" w:right="47" w:firstLine="0"/>
              <w:jc w:val="center"/>
            </w:pPr>
            <w:r>
              <w:t>62 %</w:t>
            </w:r>
          </w:p>
        </w:tc>
        <w:tc>
          <w:tcPr>
            <w:tcW w:w="1320" w:type="dxa"/>
            <w:tcBorders>
              <w:top w:val="single" w:sz="12" w:space="0" w:color="000000"/>
              <w:left w:val="single" w:sz="4" w:space="0" w:color="000000"/>
              <w:bottom w:val="single" w:sz="8" w:space="0" w:color="000000"/>
              <w:right w:val="single" w:sz="8" w:space="0" w:color="000000"/>
            </w:tcBorders>
          </w:tcPr>
          <w:p w14:paraId="1E7AAE0F" w14:textId="77777777" w:rsidR="009A581E" w:rsidRPr="000A1612" w:rsidRDefault="001E1701" w:rsidP="00155775">
            <w:pPr>
              <w:widowControl w:val="0"/>
              <w:spacing w:after="0" w:line="240" w:lineRule="auto"/>
              <w:ind w:left="0" w:right="46" w:firstLine="0"/>
              <w:jc w:val="center"/>
            </w:pPr>
            <w:r>
              <w:t>70 %*</w:t>
            </w:r>
          </w:p>
        </w:tc>
        <w:tc>
          <w:tcPr>
            <w:tcW w:w="1515" w:type="dxa"/>
            <w:tcBorders>
              <w:top w:val="single" w:sz="12" w:space="0" w:color="000000"/>
              <w:left w:val="single" w:sz="8" w:space="0" w:color="000000"/>
              <w:bottom w:val="single" w:sz="8" w:space="0" w:color="000000"/>
              <w:right w:val="single" w:sz="4" w:space="0" w:color="000000"/>
            </w:tcBorders>
          </w:tcPr>
          <w:p w14:paraId="63743044" w14:textId="77777777" w:rsidR="009A581E" w:rsidRPr="000A1612" w:rsidRDefault="001E1701" w:rsidP="00155775">
            <w:pPr>
              <w:widowControl w:val="0"/>
              <w:spacing w:after="0" w:line="240" w:lineRule="auto"/>
              <w:ind w:left="0" w:right="46" w:firstLine="0"/>
              <w:jc w:val="center"/>
            </w:pPr>
            <w:r>
              <w:t>61 %</w:t>
            </w:r>
          </w:p>
        </w:tc>
      </w:tr>
      <w:tr w:rsidR="009A581E" w:rsidRPr="000A1612" w14:paraId="0939B5AF" w14:textId="77777777" w:rsidTr="001A7A3F">
        <w:trPr>
          <w:trHeight w:val="274"/>
        </w:trPr>
        <w:tc>
          <w:tcPr>
            <w:tcW w:w="3969" w:type="dxa"/>
            <w:tcBorders>
              <w:top w:val="single" w:sz="8" w:space="0" w:color="000000"/>
              <w:left w:val="single" w:sz="4" w:space="0" w:color="000000"/>
              <w:bottom w:val="single" w:sz="8" w:space="0" w:color="000000"/>
              <w:right w:val="single" w:sz="4" w:space="0" w:color="000000"/>
            </w:tcBorders>
          </w:tcPr>
          <w:p w14:paraId="0F07313F" w14:textId="77777777" w:rsidR="009A581E" w:rsidRPr="000A1612" w:rsidRDefault="009A581E" w:rsidP="00130E2E">
            <w:pPr>
              <w:widowControl w:val="0"/>
              <w:spacing w:after="0" w:line="240" w:lineRule="auto"/>
              <w:ind w:left="0" w:firstLine="0"/>
            </w:pPr>
            <w:r w:rsidRPr="000A1612">
              <w:t>Zlep</w:t>
            </w:r>
            <w:r w:rsidR="001E1701">
              <w:t>šenie v Ishakovom skóre fibrózy</w:t>
            </w:r>
          </w:p>
        </w:tc>
        <w:tc>
          <w:tcPr>
            <w:tcW w:w="1320" w:type="dxa"/>
            <w:tcBorders>
              <w:top w:val="single" w:sz="8" w:space="0" w:color="000000"/>
              <w:left w:val="single" w:sz="4" w:space="0" w:color="000000"/>
              <w:bottom w:val="single" w:sz="8" w:space="0" w:color="000000"/>
              <w:right w:val="single" w:sz="8" w:space="0" w:color="000000"/>
            </w:tcBorders>
          </w:tcPr>
          <w:p w14:paraId="21F8E42D" w14:textId="77777777" w:rsidR="009A581E" w:rsidRPr="000A1612" w:rsidRDefault="001E1701" w:rsidP="00155775">
            <w:pPr>
              <w:widowControl w:val="0"/>
              <w:spacing w:after="0" w:line="240" w:lineRule="auto"/>
              <w:ind w:left="0" w:right="47" w:firstLine="0"/>
              <w:jc w:val="center"/>
            </w:pPr>
            <w:r>
              <w:t>39 %</w:t>
            </w:r>
          </w:p>
        </w:tc>
        <w:tc>
          <w:tcPr>
            <w:tcW w:w="1320" w:type="dxa"/>
            <w:tcBorders>
              <w:top w:val="single" w:sz="8" w:space="0" w:color="000000"/>
              <w:left w:val="single" w:sz="8" w:space="0" w:color="000000"/>
              <w:bottom w:val="single" w:sz="8" w:space="0" w:color="000000"/>
              <w:right w:val="single" w:sz="4" w:space="0" w:color="000000"/>
            </w:tcBorders>
          </w:tcPr>
          <w:p w14:paraId="64566537" w14:textId="77777777" w:rsidR="009A581E" w:rsidRPr="000A1612" w:rsidRDefault="001E1701" w:rsidP="00155775">
            <w:pPr>
              <w:widowControl w:val="0"/>
              <w:spacing w:after="0" w:line="240" w:lineRule="auto"/>
              <w:ind w:left="0" w:right="47" w:firstLine="0"/>
              <w:jc w:val="center"/>
            </w:pPr>
            <w:r>
              <w:t>35 %</w:t>
            </w:r>
          </w:p>
        </w:tc>
        <w:tc>
          <w:tcPr>
            <w:tcW w:w="1320" w:type="dxa"/>
            <w:tcBorders>
              <w:top w:val="single" w:sz="8" w:space="0" w:color="000000"/>
              <w:left w:val="single" w:sz="4" w:space="0" w:color="000000"/>
              <w:bottom w:val="single" w:sz="8" w:space="0" w:color="000000"/>
              <w:right w:val="single" w:sz="8" w:space="0" w:color="000000"/>
            </w:tcBorders>
          </w:tcPr>
          <w:p w14:paraId="6175EB23" w14:textId="77777777" w:rsidR="009A581E" w:rsidRPr="000A1612" w:rsidRDefault="001E1701" w:rsidP="00155775">
            <w:pPr>
              <w:widowControl w:val="0"/>
              <w:spacing w:after="0" w:line="240" w:lineRule="auto"/>
              <w:ind w:left="0" w:right="46" w:firstLine="0"/>
              <w:jc w:val="center"/>
            </w:pPr>
            <w:r>
              <w:t>36 %</w:t>
            </w:r>
          </w:p>
        </w:tc>
        <w:tc>
          <w:tcPr>
            <w:tcW w:w="1515" w:type="dxa"/>
            <w:tcBorders>
              <w:top w:val="single" w:sz="8" w:space="0" w:color="000000"/>
              <w:left w:val="single" w:sz="8" w:space="0" w:color="000000"/>
              <w:bottom w:val="single" w:sz="8" w:space="0" w:color="000000"/>
              <w:right w:val="single" w:sz="4" w:space="0" w:color="000000"/>
            </w:tcBorders>
          </w:tcPr>
          <w:p w14:paraId="03CA76BC" w14:textId="77777777" w:rsidR="009A581E" w:rsidRPr="000A1612" w:rsidRDefault="001E1701" w:rsidP="00155775">
            <w:pPr>
              <w:widowControl w:val="0"/>
              <w:spacing w:after="0" w:line="240" w:lineRule="auto"/>
              <w:ind w:left="0" w:right="46" w:firstLine="0"/>
              <w:jc w:val="center"/>
            </w:pPr>
            <w:r>
              <w:t>38 %</w:t>
            </w:r>
          </w:p>
        </w:tc>
      </w:tr>
      <w:tr w:rsidR="009A581E" w:rsidRPr="000A1612" w14:paraId="6FC73FC5" w14:textId="77777777" w:rsidTr="001A7A3F">
        <w:trPr>
          <w:trHeight w:val="278"/>
        </w:trPr>
        <w:tc>
          <w:tcPr>
            <w:tcW w:w="3969" w:type="dxa"/>
            <w:tcBorders>
              <w:top w:val="single" w:sz="8" w:space="0" w:color="000000"/>
              <w:left w:val="single" w:sz="4" w:space="0" w:color="000000"/>
              <w:bottom w:val="single" w:sz="12" w:space="0" w:color="000000"/>
              <w:right w:val="single" w:sz="4" w:space="0" w:color="000000"/>
            </w:tcBorders>
          </w:tcPr>
          <w:p w14:paraId="05FBB493" w14:textId="77777777" w:rsidR="009A581E" w:rsidRPr="000A1612" w:rsidRDefault="009A581E" w:rsidP="001A7A3F">
            <w:pPr>
              <w:widowControl w:val="0"/>
              <w:spacing w:after="0" w:line="240" w:lineRule="auto"/>
              <w:ind w:left="0" w:firstLine="30"/>
            </w:pPr>
            <w:r w:rsidRPr="000A1612">
              <w:t>Zhor</w:t>
            </w:r>
            <w:r w:rsidR="001E1701">
              <w:t>šenie v Ishakovom skóre fibrózy</w:t>
            </w:r>
          </w:p>
        </w:tc>
        <w:tc>
          <w:tcPr>
            <w:tcW w:w="1320" w:type="dxa"/>
            <w:tcBorders>
              <w:top w:val="single" w:sz="8" w:space="0" w:color="000000"/>
              <w:left w:val="single" w:sz="4" w:space="0" w:color="000000"/>
              <w:bottom w:val="single" w:sz="12" w:space="0" w:color="000000"/>
              <w:right w:val="single" w:sz="8" w:space="0" w:color="000000"/>
            </w:tcBorders>
          </w:tcPr>
          <w:p w14:paraId="244B0F25" w14:textId="77777777" w:rsidR="009A581E" w:rsidRPr="000A1612" w:rsidRDefault="001E1701" w:rsidP="00155775">
            <w:pPr>
              <w:widowControl w:val="0"/>
              <w:spacing w:after="0" w:line="240" w:lineRule="auto"/>
              <w:ind w:left="0" w:right="47" w:firstLine="0"/>
              <w:jc w:val="center"/>
            </w:pPr>
            <w:r>
              <w:t>8 %</w:t>
            </w:r>
          </w:p>
        </w:tc>
        <w:tc>
          <w:tcPr>
            <w:tcW w:w="1320" w:type="dxa"/>
            <w:tcBorders>
              <w:top w:val="single" w:sz="8" w:space="0" w:color="000000"/>
              <w:left w:val="single" w:sz="8" w:space="0" w:color="000000"/>
              <w:bottom w:val="single" w:sz="12" w:space="0" w:color="000000"/>
              <w:right w:val="single" w:sz="4" w:space="0" w:color="000000"/>
            </w:tcBorders>
          </w:tcPr>
          <w:p w14:paraId="6E90CA91" w14:textId="77777777" w:rsidR="009A581E" w:rsidRPr="000A1612" w:rsidRDefault="001E1701" w:rsidP="00155775">
            <w:pPr>
              <w:widowControl w:val="0"/>
              <w:spacing w:after="0" w:line="240" w:lineRule="auto"/>
              <w:ind w:left="0" w:right="47" w:firstLine="0"/>
              <w:jc w:val="center"/>
            </w:pPr>
            <w:r>
              <w:t>10 %</w:t>
            </w:r>
          </w:p>
        </w:tc>
        <w:tc>
          <w:tcPr>
            <w:tcW w:w="1320" w:type="dxa"/>
            <w:tcBorders>
              <w:top w:val="single" w:sz="8" w:space="0" w:color="000000"/>
              <w:left w:val="single" w:sz="4" w:space="0" w:color="000000"/>
              <w:bottom w:val="single" w:sz="12" w:space="0" w:color="000000"/>
              <w:right w:val="single" w:sz="8" w:space="0" w:color="000000"/>
            </w:tcBorders>
          </w:tcPr>
          <w:p w14:paraId="43B80B7F" w14:textId="77777777" w:rsidR="009A581E" w:rsidRPr="000A1612" w:rsidRDefault="001E1701" w:rsidP="00155775">
            <w:pPr>
              <w:widowControl w:val="0"/>
              <w:spacing w:after="0" w:line="240" w:lineRule="auto"/>
              <w:ind w:left="0" w:right="46" w:firstLine="0"/>
              <w:jc w:val="center"/>
            </w:pPr>
            <w:r>
              <w:t>12 %</w:t>
            </w:r>
          </w:p>
        </w:tc>
        <w:tc>
          <w:tcPr>
            <w:tcW w:w="1515" w:type="dxa"/>
            <w:tcBorders>
              <w:top w:val="single" w:sz="8" w:space="0" w:color="000000"/>
              <w:left w:val="single" w:sz="8" w:space="0" w:color="000000"/>
              <w:bottom w:val="single" w:sz="12" w:space="0" w:color="000000"/>
              <w:right w:val="single" w:sz="4" w:space="0" w:color="000000"/>
            </w:tcBorders>
          </w:tcPr>
          <w:p w14:paraId="069DD37E" w14:textId="77777777" w:rsidR="009A581E" w:rsidRPr="000A1612" w:rsidRDefault="001E1701" w:rsidP="00155775">
            <w:pPr>
              <w:widowControl w:val="0"/>
              <w:spacing w:after="0" w:line="240" w:lineRule="auto"/>
              <w:ind w:left="0" w:right="46" w:firstLine="0"/>
              <w:jc w:val="center"/>
            </w:pPr>
            <w:r>
              <w:t>15 %</w:t>
            </w:r>
          </w:p>
        </w:tc>
      </w:tr>
      <w:tr w:rsidR="009A581E" w:rsidRPr="000A1612" w14:paraId="63EEE8FE" w14:textId="77777777" w:rsidTr="001A7A3F">
        <w:trPr>
          <w:trHeight w:val="283"/>
        </w:trPr>
        <w:tc>
          <w:tcPr>
            <w:tcW w:w="3969" w:type="dxa"/>
            <w:tcBorders>
              <w:top w:val="single" w:sz="12" w:space="0" w:color="000000"/>
              <w:left w:val="single" w:sz="4" w:space="0" w:color="000000"/>
              <w:bottom w:val="single" w:sz="12" w:space="0" w:color="000000"/>
              <w:right w:val="single" w:sz="4" w:space="0" w:color="000000"/>
            </w:tcBorders>
          </w:tcPr>
          <w:p w14:paraId="49E64ED8" w14:textId="77777777" w:rsidR="009A581E" w:rsidRPr="000A1612" w:rsidRDefault="001E1701" w:rsidP="001E1701">
            <w:pPr>
              <w:widowControl w:val="0"/>
              <w:spacing w:after="0" w:line="240" w:lineRule="auto"/>
              <w:ind w:left="0" w:firstLine="0"/>
            </w:pPr>
            <w:r>
              <w:t>n</w:t>
            </w:r>
          </w:p>
        </w:tc>
        <w:tc>
          <w:tcPr>
            <w:tcW w:w="1320" w:type="dxa"/>
            <w:tcBorders>
              <w:top w:val="single" w:sz="12" w:space="0" w:color="000000"/>
              <w:left w:val="single" w:sz="4" w:space="0" w:color="000000"/>
              <w:bottom w:val="single" w:sz="12" w:space="0" w:color="000000"/>
              <w:right w:val="single" w:sz="8" w:space="0" w:color="000000"/>
            </w:tcBorders>
          </w:tcPr>
          <w:p w14:paraId="236B8C10" w14:textId="77777777" w:rsidR="009A581E" w:rsidRPr="000A1612" w:rsidRDefault="001E1701" w:rsidP="00155775">
            <w:pPr>
              <w:widowControl w:val="0"/>
              <w:spacing w:after="0" w:line="240" w:lineRule="auto"/>
              <w:ind w:left="0" w:right="46" w:firstLine="0"/>
              <w:jc w:val="center"/>
            </w:pPr>
            <w:r>
              <w:t>354</w:t>
            </w:r>
          </w:p>
        </w:tc>
        <w:tc>
          <w:tcPr>
            <w:tcW w:w="1320" w:type="dxa"/>
            <w:tcBorders>
              <w:top w:val="single" w:sz="12" w:space="0" w:color="000000"/>
              <w:left w:val="single" w:sz="8" w:space="0" w:color="000000"/>
              <w:bottom w:val="single" w:sz="12" w:space="0" w:color="000000"/>
              <w:right w:val="single" w:sz="4" w:space="0" w:color="000000"/>
            </w:tcBorders>
          </w:tcPr>
          <w:p w14:paraId="6FE90240" w14:textId="77777777" w:rsidR="009A581E" w:rsidRPr="000A1612" w:rsidRDefault="001E1701" w:rsidP="00155775">
            <w:pPr>
              <w:widowControl w:val="0"/>
              <w:spacing w:after="0" w:line="240" w:lineRule="auto"/>
              <w:ind w:left="0" w:right="46" w:firstLine="0"/>
              <w:jc w:val="center"/>
            </w:pPr>
            <w:r>
              <w:t>355</w:t>
            </w:r>
          </w:p>
        </w:tc>
        <w:tc>
          <w:tcPr>
            <w:tcW w:w="1320" w:type="dxa"/>
            <w:tcBorders>
              <w:top w:val="single" w:sz="12" w:space="0" w:color="000000"/>
              <w:left w:val="single" w:sz="4" w:space="0" w:color="000000"/>
              <w:bottom w:val="single" w:sz="12" w:space="0" w:color="000000"/>
              <w:right w:val="single" w:sz="8" w:space="0" w:color="000000"/>
            </w:tcBorders>
          </w:tcPr>
          <w:p w14:paraId="5908332E" w14:textId="77777777" w:rsidR="009A581E" w:rsidRPr="000A1612" w:rsidRDefault="001E1701" w:rsidP="00155775">
            <w:pPr>
              <w:widowControl w:val="0"/>
              <w:spacing w:after="0" w:line="240" w:lineRule="auto"/>
              <w:ind w:left="0" w:right="46" w:firstLine="0"/>
              <w:jc w:val="center"/>
            </w:pPr>
            <w:r>
              <w:t>325</w:t>
            </w:r>
          </w:p>
        </w:tc>
        <w:tc>
          <w:tcPr>
            <w:tcW w:w="1515" w:type="dxa"/>
            <w:tcBorders>
              <w:top w:val="single" w:sz="12" w:space="0" w:color="000000"/>
              <w:left w:val="single" w:sz="8" w:space="0" w:color="000000"/>
              <w:bottom w:val="single" w:sz="12" w:space="0" w:color="000000"/>
              <w:right w:val="single" w:sz="4" w:space="0" w:color="000000"/>
            </w:tcBorders>
          </w:tcPr>
          <w:p w14:paraId="2AA05523" w14:textId="77777777" w:rsidR="009A581E" w:rsidRPr="000A1612" w:rsidRDefault="001E1701" w:rsidP="00155775">
            <w:pPr>
              <w:widowControl w:val="0"/>
              <w:spacing w:after="0" w:line="240" w:lineRule="auto"/>
              <w:ind w:left="0" w:right="46" w:firstLine="0"/>
              <w:jc w:val="center"/>
            </w:pPr>
            <w:r>
              <w:t>313</w:t>
            </w:r>
          </w:p>
        </w:tc>
      </w:tr>
      <w:tr w:rsidR="009A581E" w:rsidRPr="000A1612" w14:paraId="15122ED1" w14:textId="77777777" w:rsidTr="001A7A3F">
        <w:trPr>
          <w:trHeight w:val="530"/>
        </w:trPr>
        <w:tc>
          <w:tcPr>
            <w:tcW w:w="3969" w:type="dxa"/>
            <w:tcBorders>
              <w:top w:val="single" w:sz="12" w:space="0" w:color="000000"/>
              <w:left w:val="single" w:sz="4" w:space="0" w:color="000000"/>
              <w:bottom w:val="single" w:sz="8" w:space="0" w:color="000000"/>
              <w:right w:val="single" w:sz="4" w:space="0" w:color="000000"/>
            </w:tcBorders>
          </w:tcPr>
          <w:p w14:paraId="5F6D4AD6" w14:textId="77777777" w:rsidR="009A581E" w:rsidRPr="000A1612" w:rsidRDefault="009A581E" w:rsidP="001A7A3F">
            <w:pPr>
              <w:widowControl w:val="0"/>
              <w:spacing w:after="0" w:line="240" w:lineRule="auto"/>
              <w:ind w:left="0" w:firstLine="0"/>
            </w:pPr>
            <w:r w:rsidRPr="000A1612">
              <w:t>Zníženie vírusovej záťaže (log</w:t>
            </w:r>
            <w:r w:rsidRPr="000A1612">
              <w:rPr>
                <w:vertAlign w:val="subscript"/>
              </w:rPr>
              <w:t>10</w:t>
            </w:r>
            <w:r w:rsidRPr="000A1612">
              <w:t xml:space="preserve"> kópií/ml)</w:t>
            </w:r>
            <w:r w:rsidRPr="000A1612">
              <w:rPr>
                <w:vertAlign w:val="superscript"/>
              </w:rPr>
              <w:t xml:space="preserve">c </w:t>
            </w:r>
          </w:p>
        </w:tc>
        <w:tc>
          <w:tcPr>
            <w:tcW w:w="1320" w:type="dxa"/>
            <w:tcBorders>
              <w:top w:val="single" w:sz="12" w:space="0" w:color="000000"/>
              <w:left w:val="single" w:sz="4" w:space="0" w:color="000000"/>
              <w:bottom w:val="single" w:sz="8" w:space="0" w:color="000000"/>
              <w:right w:val="single" w:sz="8" w:space="0" w:color="000000"/>
            </w:tcBorders>
          </w:tcPr>
          <w:p w14:paraId="7EDCE987" w14:textId="77777777" w:rsidR="009A581E" w:rsidRPr="000A1612" w:rsidRDefault="001E1701" w:rsidP="00155775">
            <w:pPr>
              <w:widowControl w:val="0"/>
              <w:spacing w:after="0" w:line="240" w:lineRule="auto"/>
              <w:ind w:left="0" w:right="50" w:firstLine="0"/>
              <w:jc w:val="center"/>
            </w:pPr>
            <w:r>
              <w:t>-6,86*</w:t>
            </w:r>
          </w:p>
        </w:tc>
        <w:tc>
          <w:tcPr>
            <w:tcW w:w="1320" w:type="dxa"/>
            <w:tcBorders>
              <w:top w:val="single" w:sz="12" w:space="0" w:color="000000"/>
              <w:left w:val="single" w:sz="8" w:space="0" w:color="000000"/>
              <w:bottom w:val="single" w:sz="8" w:space="0" w:color="000000"/>
              <w:right w:val="single" w:sz="4" w:space="0" w:color="000000"/>
            </w:tcBorders>
          </w:tcPr>
          <w:p w14:paraId="7BF7CE8F" w14:textId="77777777" w:rsidR="009A581E" w:rsidRPr="000A1612" w:rsidRDefault="009A581E" w:rsidP="00155775">
            <w:pPr>
              <w:widowControl w:val="0"/>
              <w:spacing w:after="0" w:line="240" w:lineRule="auto"/>
              <w:ind w:left="0" w:right="50" w:firstLine="0"/>
              <w:jc w:val="center"/>
            </w:pPr>
            <w:r w:rsidRPr="000A1612">
              <w:t>-5,39</w:t>
            </w:r>
          </w:p>
        </w:tc>
        <w:tc>
          <w:tcPr>
            <w:tcW w:w="1320" w:type="dxa"/>
            <w:tcBorders>
              <w:top w:val="single" w:sz="12" w:space="0" w:color="000000"/>
              <w:left w:val="single" w:sz="4" w:space="0" w:color="000000"/>
              <w:bottom w:val="single" w:sz="8" w:space="0" w:color="000000"/>
              <w:right w:val="single" w:sz="8" w:space="0" w:color="000000"/>
            </w:tcBorders>
          </w:tcPr>
          <w:p w14:paraId="6CBC4127" w14:textId="77777777" w:rsidR="009A581E" w:rsidRPr="000A1612" w:rsidRDefault="009A581E" w:rsidP="00155775">
            <w:pPr>
              <w:widowControl w:val="0"/>
              <w:spacing w:after="0" w:line="240" w:lineRule="auto"/>
              <w:ind w:left="0" w:right="50" w:firstLine="0"/>
              <w:jc w:val="center"/>
            </w:pPr>
            <w:r w:rsidRPr="000A1612">
              <w:t>-</w:t>
            </w:r>
            <w:r w:rsidR="001E1701">
              <w:t>5,04*</w:t>
            </w:r>
          </w:p>
        </w:tc>
        <w:tc>
          <w:tcPr>
            <w:tcW w:w="1515" w:type="dxa"/>
            <w:tcBorders>
              <w:top w:val="single" w:sz="12" w:space="0" w:color="000000"/>
              <w:left w:val="single" w:sz="8" w:space="0" w:color="000000"/>
              <w:bottom w:val="single" w:sz="8" w:space="0" w:color="000000"/>
              <w:right w:val="single" w:sz="4" w:space="0" w:color="000000"/>
            </w:tcBorders>
          </w:tcPr>
          <w:p w14:paraId="0D1C6317" w14:textId="77777777" w:rsidR="009A581E" w:rsidRPr="000A1612" w:rsidRDefault="001E1701" w:rsidP="00155775">
            <w:pPr>
              <w:widowControl w:val="0"/>
              <w:spacing w:after="0" w:line="240" w:lineRule="auto"/>
              <w:ind w:left="0" w:right="50" w:firstLine="0"/>
              <w:jc w:val="center"/>
            </w:pPr>
            <w:r>
              <w:t>-4,53</w:t>
            </w:r>
          </w:p>
        </w:tc>
      </w:tr>
      <w:tr w:rsidR="009A581E" w:rsidRPr="000A1612" w14:paraId="18253ACC" w14:textId="77777777" w:rsidTr="001A7A3F">
        <w:trPr>
          <w:trHeight w:val="526"/>
        </w:trPr>
        <w:tc>
          <w:tcPr>
            <w:tcW w:w="3969" w:type="dxa"/>
            <w:tcBorders>
              <w:top w:val="single" w:sz="8" w:space="0" w:color="000000"/>
              <w:left w:val="single" w:sz="4" w:space="0" w:color="000000"/>
              <w:bottom w:val="single" w:sz="8" w:space="0" w:color="000000"/>
              <w:right w:val="single" w:sz="4" w:space="0" w:color="000000"/>
            </w:tcBorders>
          </w:tcPr>
          <w:p w14:paraId="759ACA02" w14:textId="77777777" w:rsidR="009A581E" w:rsidRPr="000A1612" w:rsidRDefault="009A581E" w:rsidP="00130E2E">
            <w:pPr>
              <w:widowControl w:val="0"/>
              <w:spacing w:after="0" w:line="240" w:lineRule="auto"/>
              <w:ind w:left="0" w:firstLine="0"/>
            </w:pPr>
            <w:r w:rsidRPr="000A1612">
              <w:t xml:space="preserve">Nedetegovateľná HBV DNA </w:t>
            </w:r>
          </w:p>
          <w:p w14:paraId="4E44B6DF" w14:textId="77777777" w:rsidR="009A581E" w:rsidRPr="000A1612" w:rsidRDefault="009A581E" w:rsidP="00130E2E">
            <w:pPr>
              <w:widowControl w:val="0"/>
              <w:spacing w:after="0" w:line="240" w:lineRule="auto"/>
              <w:ind w:left="0" w:firstLine="0"/>
            </w:pPr>
            <w:r w:rsidRPr="000A1612">
              <w:t>(&lt; 300 kópií/ml metódou PCR)</w:t>
            </w:r>
            <w:r w:rsidRPr="000A1612">
              <w:rPr>
                <w:vertAlign w:val="superscript"/>
              </w:rPr>
              <w:t xml:space="preserve">c </w:t>
            </w:r>
          </w:p>
        </w:tc>
        <w:tc>
          <w:tcPr>
            <w:tcW w:w="1320" w:type="dxa"/>
            <w:tcBorders>
              <w:top w:val="single" w:sz="8" w:space="0" w:color="000000"/>
              <w:left w:val="single" w:sz="4" w:space="0" w:color="000000"/>
              <w:bottom w:val="single" w:sz="8" w:space="0" w:color="000000"/>
              <w:right w:val="single" w:sz="8" w:space="0" w:color="000000"/>
            </w:tcBorders>
          </w:tcPr>
          <w:p w14:paraId="3D286480" w14:textId="77777777" w:rsidR="009A581E" w:rsidRPr="000A1612" w:rsidRDefault="001E1701" w:rsidP="00155775">
            <w:pPr>
              <w:widowControl w:val="0"/>
              <w:spacing w:after="0" w:line="240" w:lineRule="auto"/>
              <w:ind w:left="0" w:right="46" w:firstLine="0"/>
              <w:jc w:val="center"/>
            </w:pPr>
            <w:r>
              <w:t>67 %*</w:t>
            </w:r>
          </w:p>
        </w:tc>
        <w:tc>
          <w:tcPr>
            <w:tcW w:w="1320" w:type="dxa"/>
            <w:tcBorders>
              <w:top w:val="single" w:sz="8" w:space="0" w:color="000000"/>
              <w:left w:val="single" w:sz="8" w:space="0" w:color="000000"/>
              <w:bottom w:val="single" w:sz="8" w:space="0" w:color="000000"/>
              <w:right w:val="single" w:sz="4" w:space="0" w:color="000000"/>
            </w:tcBorders>
          </w:tcPr>
          <w:p w14:paraId="51A45405" w14:textId="77777777" w:rsidR="009A581E" w:rsidRPr="000A1612" w:rsidRDefault="001E1701" w:rsidP="00155775">
            <w:pPr>
              <w:widowControl w:val="0"/>
              <w:spacing w:after="0" w:line="240" w:lineRule="auto"/>
              <w:ind w:left="0" w:right="47" w:firstLine="0"/>
              <w:jc w:val="center"/>
            </w:pPr>
            <w:r>
              <w:t>36 %</w:t>
            </w:r>
          </w:p>
        </w:tc>
        <w:tc>
          <w:tcPr>
            <w:tcW w:w="1320" w:type="dxa"/>
            <w:tcBorders>
              <w:top w:val="single" w:sz="8" w:space="0" w:color="000000"/>
              <w:left w:val="single" w:sz="4" w:space="0" w:color="000000"/>
              <w:bottom w:val="single" w:sz="8" w:space="0" w:color="000000"/>
              <w:right w:val="single" w:sz="8" w:space="0" w:color="000000"/>
            </w:tcBorders>
          </w:tcPr>
          <w:p w14:paraId="283835A2" w14:textId="77777777" w:rsidR="009A581E" w:rsidRPr="000A1612" w:rsidRDefault="001E1701" w:rsidP="00155775">
            <w:pPr>
              <w:widowControl w:val="0"/>
              <w:spacing w:after="0" w:line="240" w:lineRule="auto"/>
              <w:ind w:left="0" w:right="46" w:firstLine="0"/>
              <w:jc w:val="center"/>
            </w:pPr>
            <w:r>
              <w:t>90 %*</w:t>
            </w:r>
          </w:p>
        </w:tc>
        <w:tc>
          <w:tcPr>
            <w:tcW w:w="1515" w:type="dxa"/>
            <w:tcBorders>
              <w:top w:val="single" w:sz="8" w:space="0" w:color="000000"/>
              <w:left w:val="single" w:sz="8" w:space="0" w:color="000000"/>
              <w:bottom w:val="single" w:sz="8" w:space="0" w:color="000000"/>
              <w:right w:val="single" w:sz="4" w:space="0" w:color="000000"/>
            </w:tcBorders>
          </w:tcPr>
          <w:p w14:paraId="0F6E5E52" w14:textId="77777777" w:rsidR="009A581E" w:rsidRPr="000A1612" w:rsidRDefault="001E1701" w:rsidP="00155775">
            <w:pPr>
              <w:widowControl w:val="0"/>
              <w:spacing w:after="0" w:line="240" w:lineRule="auto"/>
              <w:ind w:left="0" w:right="46" w:firstLine="0"/>
              <w:jc w:val="center"/>
            </w:pPr>
            <w:r>
              <w:t>72 %</w:t>
            </w:r>
          </w:p>
        </w:tc>
      </w:tr>
      <w:tr w:rsidR="009A581E" w:rsidRPr="000A1612" w14:paraId="2DE26A63" w14:textId="77777777" w:rsidTr="001A7A3F">
        <w:trPr>
          <w:trHeight w:val="274"/>
        </w:trPr>
        <w:tc>
          <w:tcPr>
            <w:tcW w:w="3969" w:type="dxa"/>
            <w:tcBorders>
              <w:top w:val="single" w:sz="8" w:space="0" w:color="000000"/>
              <w:left w:val="single" w:sz="4" w:space="0" w:color="000000"/>
              <w:bottom w:val="single" w:sz="8" w:space="0" w:color="000000"/>
              <w:right w:val="single" w:sz="4" w:space="0" w:color="000000"/>
            </w:tcBorders>
          </w:tcPr>
          <w:p w14:paraId="674D50C4" w14:textId="77777777" w:rsidR="009A581E" w:rsidRPr="000A1612" w:rsidRDefault="009A581E" w:rsidP="00130E2E">
            <w:pPr>
              <w:widowControl w:val="0"/>
              <w:spacing w:after="0" w:line="240" w:lineRule="auto"/>
              <w:ind w:left="0" w:firstLine="0"/>
            </w:pPr>
            <w:r w:rsidRPr="000A1612">
              <w:t xml:space="preserve">Normalizácia ALT (≤ 1-násobok ULN) </w:t>
            </w:r>
          </w:p>
        </w:tc>
        <w:tc>
          <w:tcPr>
            <w:tcW w:w="1320" w:type="dxa"/>
            <w:tcBorders>
              <w:top w:val="single" w:sz="8" w:space="0" w:color="000000"/>
              <w:left w:val="single" w:sz="4" w:space="0" w:color="000000"/>
              <w:bottom w:val="single" w:sz="8" w:space="0" w:color="000000"/>
              <w:right w:val="single" w:sz="8" w:space="0" w:color="000000"/>
            </w:tcBorders>
          </w:tcPr>
          <w:p w14:paraId="1C2052EF" w14:textId="77777777" w:rsidR="009A581E" w:rsidRPr="000A1612" w:rsidRDefault="001E1701" w:rsidP="00155775">
            <w:pPr>
              <w:widowControl w:val="0"/>
              <w:spacing w:after="0" w:line="240" w:lineRule="auto"/>
              <w:ind w:left="0" w:right="46" w:firstLine="0"/>
              <w:jc w:val="center"/>
            </w:pPr>
            <w:r>
              <w:t>68 %*</w:t>
            </w:r>
          </w:p>
        </w:tc>
        <w:tc>
          <w:tcPr>
            <w:tcW w:w="1320" w:type="dxa"/>
            <w:tcBorders>
              <w:top w:val="single" w:sz="8" w:space="0" w:color="000000"/>
              <w:left w:val="single" w:sz="8" w:space="0" w:color="000000"/>
              <w:bottom w:val="single" w:sz="8" w:space="0" w:color="000000"/>
              <w:right w:val="single" w:sz="4" w:space="0" w:color="000000"/>
            </w:tcBorders>
          </w:tcPr>
          <w:p w14:paraId="1F1A6B99" w14:textId="77777777" w:rsidR="009A581E" w:rsidRPr="000A1612" w:rsidRDefault="001E1701" w:rsidP="00155775">
            <w:pPr>
              <w:widowControl w:val="0"/>
              <w:spacing w:after="0" w:line="240" w:lineRule="auto"/>
              <w:ind w:left="0" w:right="47" w:firstLine="0"/>
              <w:jc w:val="center"/>
            </w:pPr>
            <w:r>
              <w:t>60 %</w:t>
            </w:r>
          </w:p>
        </w:tc>
        <w:tc>
          <w:tcPr>
            <w:tcW w:w="1320" w:type="dxa"/>
            <w:tcBorders>
              <w:top w:val="single" w:sz="8" w:space="0" w:color="000000"/>
              <w:left w:val="single" w:sz="4" w:space="0" w:color="000000"/>
              <w:bottom w:val="single" w:sz="8" w:space="0" w:color="000000"/>
              <w:right w:val="single" w:sz="8" w:space="0" w:color="000000"/>
            </w:tcBorders>
          </w:tcPr>
          <w:p w14:paraId="539E9F14" w14:textId="77777777" w:rsidR="009A581E" w:rsidRPr="000A1612" w:rsidRDefault="001E1701" w:rsidP="00155775">
            <w:pPr>
              <w:widowControl w:val="0"/>
              <w:spacing w:after="0" w:line="240" w:lineRule="auto"/>
              <w:ind w:left="0" w:right="46" w:firstLine="0"/>
              <w:jc w:val="center"/>
            </w:pPr>
            <w:r>
              <w:t>78 %*</w:t>
            </w:r>
          </w:p>
        </w:tc>
        <w:tc>
          <w:tcPr>
            <w:tcW w:w="1515" w:type="dxa"/>
            <w:tcBorders>
              <w:top w:val="single" w:sz="8" w:space="0" w:color="000000"/>
              <w:left w:val="single" w:sz="8" w:space="0" w:color="000000"/>
              <w:bottom w:val="single" w:sz="8" w:space="0" w:color="000000"/>
              <w:right w:val="single" w:sz="4" w:space="0" w:color="000000"/>
            </w:tcBorders>
          </w:tcPr>
          <w:p w14:paraId="07499B95" w14:textId="77777777" w:rsidR="009A581E" w:rsidRPr="000A1612" w:rsidRDefault="001E1701" w:rsidP="00155775">
            <w:pPr>
              <w:widowControl w:val="0"/>
              <w:spacing w:after="0" w:line="240" w:lineRule="auto"/>
              <w:ind w:left="0" w:right="46" w:firstLine="0"/>
              <w:jc w:val="center"/>
            </w:pPr>
            <w:r>
              <w:t>71 %</w:t>
            </w:r>
          </w:p>
        </w:tc>
      </w:tr>
      <w:tr w:rsidR="009A581E" w:rsidRPr="000A1612" w14:paraId="7D389628" w14:textId="77777777" w:rsidTr="001A7A3F">
        <w:trPr>
          <w:trHeight w:val="274"/>
        </w:trPr>
        <w:tc>
          <w:tcPr>
            <w:tcW w:w="3969" w:type="dxa"/>
            <w:tcBorders>
              <w:top w:val="single" w:sz="8" w:space="0" w:color="000000"/>
              <w:left w:val="single" w:sz="4" w:space="0" w:color="000000"/>
              <w:bottom w:val="single" w:sz="8" w:space="0" w:color="000000"/>
              <w:right w:val="single" w:sz="4" w:space="0" w:color="000000"/>
            </w:tcBorders>
          </w:tcPr>
          <w:p w14:paraId="621827D6" w14:textId="77777777" w:rsidR="009A581E" w:rsidRPr="000A1612" w:rsidRDefault="009A581E" w:rsidP="00130E2E">
            <w:pPr>
              <w:widowControl w:val="0"/>
              <w:spacing w:after="0" w:line="240" w:lineRule="auto"/>
              <w:ind w:left="0" w:firstLine="0"/>
            </w:pPr>
            <w:r w:rsidRPr="000A1612">
              <w:t xml:space="preserve"> </w:t>
            </w:r>
          </w:p>
        </w:tc>
        <w:tc>
          <w:tcPr>
            <w:tcW w:w="1320" w:type="dxa"/>
            <w:tcBorders>
              <w:top w:val="single" w:sz="8" w:space="0" w:color="000000"/>
              <w:left w:val="single" w:sz="4" w:space="0" w:color="000000"/>
              <w:bottom w:val="single" w:sz="8" w:space="0" w:color="000000"/>
              <w:right w:val="single" w:sz="8" w:space="0" w:color="000000"/>
            </w:tcBorders>
          </w:tcPr>
          <w:p w14:paraId="53BD2EB5" w14:textId="77777777" w:rsidR="009A581E" w:rsidRPr="000A1612" w:rsidRDefault="009A581E" w:rsidP="00155775">
            <w:pPr>
              <w:widowControl w:val="0"/>
              <w:spacing w:after="0" w:line="240" w:lineRule="auto"/>
              <w:ind w:left="0" w:firstLine="0"/>
              <w:jc w:val="center"/>
            </w:pPr>
          </w:p>
        </w:tc>
        <w:tc>
          <w:tcPr>
            <w:tcW w:w="1320" w:type="dxa"/>
            <w:tcBorders>
              <w:top w:val="single" w:sz="8" w:space="0" w:color="000000"/>
              <w:left w:val="single" w:sz="8" w:space="0" w:color="000000"/>
              <w:bottom w:val="single" w:sz="8" w:space="0" w:color="000000"/>
              <w:right w:val="single" w:sz="4" w:space="0" w:color="000000"/>
            </w:tcBorders>
          </w:tcPr>
          <w:p w14:paraId="1BB5BA29" w14:textId="77777777" w:rsidR="009A581E" w:rsidRPr="000A1612" w:rsidRDefault="009A581E" w:rsidP="00155775">
            <w:pPr>
              <w:widowControl w:val="0"/>
              <w:spacing w:after="0" w:line="240" w:lineRule="auto"/>
              <w:ind w:left="0" w:firstLine="0"/>
              <w:jc w:val="center"/>
            </w:pPr>
          </w:p>
        </w:tc>
        <w:tc>
          <w:tcPr>
            <w:tcW w:w="1320" w:type="dxa"/>
            <w:tcBorders>
              <w:top w:val="single" w:sz="8" w:space="0" w:color="000000"/>
              <w:left w:val="single" w:sz="4" w:space="0" w:color="000000"/>
              <w:bottom w:val="single" w:sz="8" w:space="0" w:color="000000"/>
              <w:right w:val="single" w:sz="8" w:space="0" w:color="000000"/>
            </w:tcBorders>
          </w:tcPr>
          <w:p w14:paraId="25B379A8" w14:textId="77777777" w:rsidR="009A581E" w:rsidRPr="000A1612" w:rsidRDefault="009A581E" w:rsidP="00155775">
            <w:pPr>
              <w:widowControl w:val="0"/>
              <w:spacing w:after="0" w:line="240" w:lineRule="auto"/>
              <w:ind w:left="0" w:firstLine="0"/>
              <w:jc w:val="center"/>
            </w:pPr>
          </w:p>
        </w:tc>
        <w:tc>
          <w:tcPr>
            <w:tcW w:w="1515" w:type="dxa"/>
            <w:tcBorders>
              <w:top w:val="single" w:sz="8" w:space="0" w:color="000000"/>
              <w:left w:val="single" w:sz="8" w:space="0" w:color="000000"/>
              <w:bottom w:val="single" w:sz="8" w:space="0" w:color="000000"/>
              <w:right w:val="single" w:sz="4" w:space="0" w:color="000000"/>
            </w:tcBorders>
          </w:tcPr>
          <w:p w14:paraId="714EF5CC" w14:textId="77777777" w:rsidR="009A581E" w:rsidRPr="000A1612" w:rsidRDefault="009A581E" w:rsidP="00155775">
            <w:pPr>
              <w:widowControl w:val="0"/>
              <w:spacing w:after="0" w:line="240" w:lineRule="auto"/>
              <w:ind w:left="0" w:firstLine="0"/>
              <w:jc w:val="center"/>
            </w:pPr>
          </w:p>
        </w:tc>
      </w:tr>
      <w:tr w:rsidR="009A581E" w:rsidRPr="000A1612" w14:paraId="3E025B68" w14:textId="77777777" w:rsidTr="001A7A3F">
        <w:trPr>
          <w:trHeight w:val="266"/>
        </w:trPr>
        <w:tc>
          <w:tcPr>
            <w:tcW w:w="3969" w:type="dxa"/>
            <w:tcBorders>
              <w:top w:val="single" w:sz="8" w:space="0" w:color="000000"/>
              <w:left w:val="single" w:sz="4" w:space="0" w:color="000000"/>
              <w:bottom w:val="single" w:sz="4" w:space="0" w:color="000000"/>
              <w:right w:val="single" w:sz="4" w:space="0" w:color="000000"/>
            </w:tcBorders>
          </w:tcPr>
          <w:p w14:paraId="7EE570E4" w14:textId="77777777" w:rsidR="009A581E" w:rsidRPr="000A1612" w:rsidRDefault="009A581E" w:rsidP="00130E2E">
            <w:pPr>
              <w:widowControl w:val="0"/>
              <w:spacing w:after="0" w:line="240" w:lineRule="auto"/>
              <w:ind w:left="0" w:firstLine="0"/>
            </w:pPr>
            <w:r w:rsidRPr="000A1612">
              <w:t xml:space="preserve">HBeAg Sérokonverzia </w:t>
            </w:r>
          </w:p>
        </w:tc>
        <w:tc>
          <w:tcPr>
            <w:tcW w:w="1320" w:type="dxa"/>
            <w:tcBorders>
              <w:top w:val="single" w:sz="8" w:space="0" w:color="000000"/>
              <w:left w:val="single" w:sz="4" w:space="0" w:color="000000"/>
              <w:bottom w:val="single" w:sz="4" w:space="0" w:color="000000"/>
              <w:right w:val="single" w:sz="8" w:space="0" w:color="000000"/>
            </w:tcBorders>
          </w:tcPr>
          <w:p w14:paraId="4328DE7A" w14:textId="77777777" w:rsidR="009A581E" w:rsidRPr="000A1612" w:rsidRDefault="001E1701" w:rsidP="00155775">
            <w:pPr>
              <w:widowControl w:val="0"/>
              <w:spacing w:after="0" w:line="240" w:lineRule="auto"/>
              <w:ind w:left="0" w:right="47" w:firstLine="0"/>
              <w:jc w:val="center"/>
            </w:pPr>
            <w:r>
              <w:t>21 %</w:t>
            </w:r>
          </w:p>
        </w:tc>
        <w:tc>
          <w:tcPr>
            <w:tcW w:w="1320" w:type="dxa"/>
            <w:tcBorders>
              <w:top w:val="single" w:sz="8" w:space="0" w:color="000000"/>
              <w:left w:val="single" w:sz="8" w:space="0" w:color="000000"/>
              <w:bottom w:val="single" w:sz="4" w:space="0" w:color="000000"/>
              <w:right w:val="single" w:sz="4" w:space="0" w:color="000000"/>
            </w:tcBorders>
          </w:tcPr>
          <w:p w14:paraId="11EBCDB5" w14:textId="77777777" w:rsidR="009A581E" w:rsidRPr="000A1612" w:rsidRDefault="001E1701" w:rsidP="00155775">
            <w:pPr>
              <w:widowControl w:val="0"/>
              <w:spacing w:after="0" w:line="240" w:lineRule="auto"/>
              <w:ind w:left="0" w:right="47" w:firstLine="0"/>
              <w:jc w:val="center"/>
            </w:pPr>
            <w:r>
              <w:t>18 %</w:t>
            </w:r>
          </w:p>
        </w:tc>
        <w:tc>
          <w:tcPr>
            <w:tcW w:w="1320" w:type="dxa"/>
            <w:tcBorders>
              <w:top w:val="single" w:sz="8" w:space="0" w:color="000000"/>
              <w:left w:val="single" w:sz="4" w:space="0" w:color="000000"/>
              <w:bottom w:val="single" w:sz="4" w:space="0" w:color="000000"/>
              <w:right w:val="single" w:sz="8" w:space="0" w:color="000000"/>
            </w:tcBorders>
          </w:tcPr>
          <w:p w14:paraId="1E3F5500" w14:textId="77777777" w:rsidR="009A581E" w:rsidRPr="000A1612" w:rsidRDefault="009A581E" w:rsidP="00155775">
            <w:pPr>
              <w:widowControl w:val="0"/>
              <w:spacing w:after="0" w:line="240" w:lineRule="auto"/>
              <w:ind w:left="0" w:firstLine="0"/>
              <w:jc w:val="center"/>
            </w:pPr>
          </w:p>
        </w:tc>
        <w:tc>
          <w:tcPr>
            <w:tcW w:w="1515" w:type="dxa"/>
            <w:tcBorders>
              <w:top w:val="single" w:sz="8" w:space="0" w:color="000000"/>
              <w:left w:val="single" w:sz="8" w:space="0" w:color="000000"/>
              <w:bottom w:val="single" w:sz="4" w:space="0" w:color="000000"/>
              <w:right w:val="single" w:sz="4" w:space="0" w:color="000000"/>
            </w:tcBorders>
          </w:tcPr>
          <w:p w14:paraId="7EAC95F9" w14:textId="77777777" w:rsidR="009A581E" w:rsidRPr="000A1612" w:rsidRDefault="009A581E" w:rsidP="00155775">
            <w:pPr>
              <w:widowControl w:val="0"/>
              <w:spacing w:after="0" w:line="240" w:lineRule="auto"/>
              <w:ind w:left="0" w:firstLine="0"/>
              <w:jc w:val="center"/>
            </w:pPr>
          </w:p>
        </w:tc>
      </w:tr>
    </w:tbl>
    <w:p w14:paraId="7B79789F" w14:textId="77777777" w:rsidR="009A581E" w:rsidRPr="000A1612" w:rsidRDefault="009A581E" w:rsidP="009A581E">
      <w:pPr>
        <w:widowControl w:val="0"/>
        <w:spacing w:after="0" w:line="240" w:lineRule="auto"/>
        <w:ind w:left="0" w:firstLine="0"/>
      </w:pPr>
      <w:r w:rsidRPr="000A1612">
        <w:t>*p hodnota oproti lamivud</w:t>
      </w:r>
      <w:r w:rsidR="001A7A3F">
        <w:t>ínu &lt; 0,05</w:t>
      </w:r>
    </w:p>
    <w:p w14:paraId="7E1575C7" w14:textId="77777777" w:rsidR="001A7A3F" w:rsidRDefault="009A581E" w:rsidP="001A7A3F">
      <w:pPr>
        <w:widowControl w:val="0"/>
        <w:spacing w:after="0" w:line="240" w:lineRule="auto"/>
        <w:ind w:left="0" w:right="-426" w:firstLine="0"/>
        <w:jc w:val="both"/>
      </w:pPr>
      <w:r w:rsidRPr="000A1612">
        <w:rPr>
          <w:vertAlign w:val="superscript"/>
        </w:rPr>
        <w:t>a</w:t>
      </w:r>
      <w:r w:rsidR="001A7A3F">
        <w:rPr>
          <w:vertAlign w:val="superscript"/>
        </w:rPr>
        <w:t xml:space="preserve"> </w:t>
      </w:r>
      <w:r w:rsidRPr="000A1612">
        <w:t xml:space="preserve">pacienti s hodnotiteľnou bazálnou histológiou (bazálne Knodellovo skóre </w:t>
      </w:r>
      <w:r w:rsidR="00A6320C">
        <w:t>n</w:t>
      </w:r>
      <w:r w:rsidRPr="000A1612">
        <w:t>ekrotického zápalu ≥ 2)</w:t>
      </w:r>
    </w:p>
    <w:p w14:paraId="1854439D" w14:textId="77777777" w:rsidR="001A7A3F" w:rsidRDefault="009A581E" w:rsidP="001A7A3F">
      <w:pPr>
        <w:widowControl w:val="0"/>
        <w:spacing w:after="0" w:line="240" w:lineRule="auto"/>
        <w:ind w:left="0" w:right="-426" w:firstLine="0"/>
        <w:jc w:val="both"/>
      </w:pPr>
      <w:r w:rsidRPr="000A1612">
        <w:rPr>
          <w:vertAlign w:val="superscript"/>
        </w:rPr>
        <w:t>b</w:t>
      </w:r>
      <w:r w:rsidRPr="000A1612">
        <w:t xml:space="preserve"> primárny koncový ukazovateľ</w:t>
      </w:r>
    </w:p>
    <w:p w14:paraId="73B29C4C" w14:textId="57E0F2BB" w:rsidR="009A581E" w:rsidRPr="000A1612" w:rsidRDefault="009A581E" w:rsidP="001A7A3F">
      <w:pPr>
        <w:widowControl w:val="0"/>
        <w:spacing w:after="0" w:line="240" w:lineRule="auto"/>
        <w:ind w:left="0" w:right="-426" w:firstLine="0"/>
        <w:jc w:val="both"/>
      </w:pPr>
      <w:r w:rsidRPr="000A1612">
        <w:rPr>
          <w:vertAlign w:val="superscript"/>
        </w:rPr>
        <w:t>c</w:t>
      </w:r>
      <w:r w:rsidRPr="000A1612">
        <w:t xml:space="preserve"> </w:t>
      </w:r>
      <w:r w:rsidR="003C3644">
        <w:t>Analýza R</w:t>
      </w:r>
      <w:r w:rsidRPr="000A1612">
        <w:t>oche Cobas Amplicor PCR (LLOQ = 300 kópií/ml)</w:t>
      </w:r>
    </w:p>
    <w:p w14:paraId="26230DA4" w14:textId="77777777" w:rsidR="009A581E" w:rsidRPr="000A1612" w:rsidRDefault="009A581E" w:rsidP="009A581E">
      <w:pPr>
        <w:widowControl w:val="0"/>
        <w:spacing w:after="0" w:line="240" w:lineRule="auto"/>
        <w:ind w:left="0" w:firstLine="0"/>
      </w:pPr>
    </w:p>
    <w:p w14:paraId="29CF1423" w14:textId="77777777" w:rsidR="001A7A3F" w:rsidRDefault="009A581E" w:rsidP="009A581E">
      <w:pPr>
        <w:widowControl w:val="0"/>
        <w:spacing w:after="0" w:line="240" w:lineRule="auto"/>
        <w:ind w:left="0" w:right="44" w:firstLine="0"/>
        <w:rPr>
          <w:i/>
          <w:u w:val="single" w:color="000000"/>
        </w:rPr>
      </w:pPr>
      <w:r w:rsidRPr="000A1612">
        <w:rPr>
          <w:i/>
          <w:u w:val="single" w:color="000000"/>
        </w:rPr>
        <w:t>Skúsenosti u pacientov refraktérnych na lamivudín s kompenzovaných ochorením pečene:</w:t>
      </w:r>
    </w:p>
    <w:p w14:paraId="0844481A" w14:textId="77777777" w:rsidR="009A581E" w:rsidRPr="000A1612" w:rsidRDefault="009A581E" w:rsidP="009A581E">
      <w:pPr>
        <w:widowControl w:val="0"/>
        <w:spacing w:after="0" w:line="240" w:lineRule="auto"/>
        <w:ind w:left="0" w:right="44" w:firstLine="0"/>
      </w:pPr>
      <w:r w:rsidRPr="000A1612">
        <w:t>V randomizovanej, dvojito zaslepenej štúdii u HBeAg pozitívnych pacientov refraktérnych na lamivudín (026), s 85 % pacientov, u ktorých boli na začiatku liečby prítomné LVDr mutácie, pacienti užívajúci lamivudín po zaradení do štúdie prešli buď na entekavir 1 mg jedenkrát denne, bez obdobia bez liečby (“washout”) aj bez obdobia súbežnej liečby (“overlap”) (n = 141), alebo pokračovali na lamivudíne 100 mg jedenkrát denne (n = 145). Výsledky v 48. týždni sú uvedené v tabuľke.</w:t>
      </w:r>
    </w:p>
    <w:p w14:paraId="3E8EC890" w14:textId="77777777" w:rsidR="009A581E" w:rsidRPr="000A1612" w:rsidRDefault="009A581E" w:rsidP="009A581E">
      <w:pPr>
        <w:widowControl w:val="0"/>
        <w:spacing w:after="0" w:line="240" w:lineRule="auto"/>
        <w:ind w:left="0" w:firstLine="0"/>
      </w:pPr>
    </w:p>
    <w:tbl>
      <w:tblPr>
        <w:tblStyle w:val="TableGrid"/>
        <w:tblW w:w="9498" w:type="dxa"/>
        <w:tblInd w:w="-5" w:type="dxa"/>
        <w:tblCellMar>
          <w:top w:w="53" w:type="dxa"/>
          <w:left w:w="108" w:type="dxa"/>
          <w:right w:w="115" w:type="dxa"/>
        </w:tblCellMar>
        <w:tblLook w:val="04A0" w:firstRow="1" w:lastRow="0" w:firstColumn="1" w:lastColumn="0" w:noHBand="0" w:noVBand="1"/>
      </w:tblPr>
      <w:tblGrid>
        <w:gridCol w:w="3960"/>
        <w:gridCol w:w="2703"/>
        <w:gridCol w:w="2835"/>
      </w:tblGrid>
      <w:tr w:rsidR="009A581E" w:rsidRPr="000A1612" w14:paraId="789B54E3" w14:textId="77777777" w:rsidTr="001A7A3F">
        <w:trPr>
          <w:trHeight w:val="264"/>
        </w:trPr>
        <w:tc>
          <w:tcPr>
            <w:tcW w:w="3960" w:type="dxa"/>
            <w:vMerge w:val="restart"/>
            <w:tcBorders>
              <w:top w:val="single" w:sz="4" w:space="0" w:color="000000"/>
              <w:left w:val="single" w:sz="4" w:space="0" w:color="000000"/>
              <w:bottom w:val="single" w:sz="12" w:space="0" w:color="000000"/>
              <w:right w:val="single" w:sz="4" w:space="0" w:color="000000"/>
            </w:tcBorders>
          </w:tcPr>
          <w:p w14:paraId="06B12238" w14:textId="77777777" w:rsidR="009A581E" w:rsidRPr="000A1612" w:rsidRDefault="009A581E" w:rsidP="00130E2E">
            <w:pPr>
              <w:widowControl w:val="0"/>
              <w:spacing w:after="0" w:line="240" w:lineRule="auto"/>
              <w:ind w:left="0" w:firstLine="0"/>
            </w:pPr>
          </w:p>
        </w:tc>
        <w:tc>
          <w:tcPr>
            <w:tcW w:w="5538" w:type="dxa"/>
            <w:gridSpan w:val="2"/>
            <w:tcBorders>
              <w:top w:val="single" w:sz="4" w:space="0" w:color="000000"/>
              <w:left w:val="single" w:sz="4" w:space="0" w:color="000000"/>
              <w:bottom w:val="single" w:sz="4" w:space="0" w:color="000000"/>
              <w:right w:val="single" w:sz="4" w:space="0" w:color="000000"/>
            </w:tcBorders>
          </w:tcPr>
          <w:p w14:paraId="547A7304" w14:textId="77777777" w:rsidR="009A581E" w:rsidRPr="000A1612" w:rsidRDefault="009A581E" w:rsidP="00155775">
            <w:pPr>
              <w:widowControl w:val="0"/>
              <w:spacing w:after="0" w:line="240" w:lineRule="auto"/>
              <w:ind w:left="0" w:firstLine="0"/>
              <w:jc w:val="center"/>
            </w:pPr>
            <w:r w:rsidRPr="000A1612">
              <w:t>Pa</w:t>
            </w:r>
            <w:r w:rsidR="001A7A3F">
              <w:t>cienti refraktérni na lamivudín</w:t>
            </w:r>
          </w:p>
        </w:tc>
      </w:tr>
      <w:tr w:rsidR="009A581E" w:rsidRPr="000A1612" w14:paraId="19670EFF" w14:textId="77777777" w:rsidTr="001A7A3F">
        <w:trPr>
          <w:trHeight w:val="274"/>
        </w:trPr>
        <w:tc>
          <w:tcPr>
            <w:tcW w:w="0" w:type="auto"/>
            <w:vMerge/>
            <w:tcBorders>
              <w:top w:val="nil"/>
              <w:left w:val="single" w:sz="4" w:space="0" w:color="000000"/>
              <w:bottom w:val="nil"/>
              <w:right w:val="single" w:sz="4" w:space="0" w:color="000000"/>
            </w:tcBorders>
          </w:tcPr>
          <w:p w14:paraId="7A149301" w14:textId="77777777" w:rsidR="009A581E" w:rsidRPr="000A1612" w:rsidRDefault="009A581E" w:rsidP="00130E2E">
            <w:pPr>
              <w:widowControl w:val="0"/>
              <w:spacing w:after="0" w:line="240" w:lineRule="auto"/>
              <w:ind w:left="0" w:firstLine="0"/>
            </w:pPr>
          </w:p>
        </w:tc>
        <w:tc>
          <w:tcPr>
            <w:tcW w:w="5538" w:type="dxa"/>
            <w:gridSpan w:val="2"/>
            <w:tcBorders>
              <w:top w:val="single" w:sz="4" w:space="0" w:color="000000"/>
              <w:left w:val="single" w:sz="4" w:space="0" w:color="000000"/>
              <w:bottom w:val="single" w:sz="4" w:space="0" w:color="000000"/>
              <w:right w:val="single" w:sz="4" w:space="0" w:color="000000"/>
            </w:tcBorders>
          </w:tcPr>
          <w:p w14:paraId="02588806" w14:textId="77777777" w:rsidR="009A581E" w:rsidRPr="000A1612" w:rsidRDefault="001A7A3F" w:rsidP="00155775">
            <w:pPr>
              <w:widowControl w:val="0"/>
              <w:spacing w:after="0" w:line="240" w:lineRule="auto"/>
              <w:ind w:left="0" w:firstLine="0"/>
              <w:jc w:val="center"/>
            </w:pPr>
            <w:r>
              <w:t>HBeAg pozitívni (štúdia 026)</w:t>
            </w:r>
          </w:p>
        </w:tc>
      </w:tr>
      <w:tr w:rsidR="009A581E" w:rsidRPr="000A1612" w14:paraId="725DFCF7" w14:textId="77777777" w:rsidTr="001A7A3F">
        <w:trPr>
          <w:trHeight w:val="535"/>
        </w:trPr>
        <w:tc>
          <w:tcPr>
            <w:tcW w:w="0" w:type="auto"/>
            <w:vMerge/>
            <w:tcBorders>
              <w:top w:val="nil"/>
              <w:left w:val="single" w:sz="4" w:space="0" w:color="000000"/>
              <w:bottom w:val="single" w:sz="12" w:space="0" w:color="000000"/>
              <w:right w:val="single" w:sz="4" w:space="0" w:color="000000"/>
            </w:tcBorders>
          </w:tcPr>
          <w:p w14:paraId="21B704B0" w14:textId="77777777" w:rsidR="009A581E" w:rsidRPr="000A1612" w:rsidRDefault="009A581E" w:rsidP="00130E2E">
            <w:pPr>
              <w:widowControl w:val="0"/>
              <w:spacing w:after="0" w:line="240" w:lineRule="auto"/>
              <w:ind w:left="0" w:firstLine="0"/>
            </w:pPr>
          </w:p>
        </w:tc>
        <w:tc>
          <w:tcPr>
            <w:tcW w:w="2703" w:type="dxa"/>
            <w:tcBorders>
              <w:top w:val="single" w:sz="4" w:space="0" w:color="000000"/>
              <w:left w:val="single" w:sz="4" w:space="0" w:color="000000"/>
              <w:bottom w:val="single" w:sz="12" w:space="0" w:color="000000"/>
              <w:right w:val="single" w:sz="8" w:space="0" w:color="000000"/>
            </w:tcBorders>
          </w:tcPr>
          <w:p w14:paraId="053B9953" w14:textId="77777777" w:rsidR="009A581E" w:rsidRPr="000A1612" w:rsidRDefault="009A581E" w:rsidP="00155775">
            <w:pPr>
              <w:widowControl w:val="0"/>
              <w:spacing w:after="0" w:line="240" w:lineRule="auto"/>
              <w:ind w:left="0" w:firstLine="0"/>
              <w:jc w:val="center"/>
            </w:pPr>
            <w:r w:rsidRPr="000A1612">
              <w:t>ETV 1,0 mg jedenkrát denne</w:t>
            </w:r>
          </w:p>
        </w:tc>
        <w:tc>
          <w:tcPr>
            <w:tcW w:w="2835" w:type="dxa"/>
            <w:tcBorders>
              <w:top w:val="single" w:sz="4" w:space="0" w:color="000000"/>
              <w:left w:val="single" w:sz="8" w:space="0" w:color="000000"/>
              <w:bottom w:val="single" w:sz="12" w:space="0" w:color="000000"/>
              <w:right w:val="single" w:sz="4" w:space="0" w:color="000000"/>
            </w:tcBorders>
          </w:tcPr>
          <w:p w14:paraId="5A75C045" w14:textId="77777777" w:rsidR="009A581E" w:rsidRPr="000A1612" w:rsidRDefault="009A581E" w:rsidP="00155775">
            <w:pPr>
              <w:widowControl w:val="0"/>
              <w:spacing w:after="0" w:line="240" w:lineRule="auto"/>
              <w:ind w:left="0" w:firstLine="0"/>
              <w:jc w:val="center"/>
            </w:pPr>
            <w:r w:rsidRPr="000A1612">
              <w:t>LVD 100 mg jedenkrát denne</w:t>
            </w:r>
          </w:p>
        </w:tc>
      </w:tr>
      <w:tr w:rsidR="009A581E" w:rsidRPr="000A1612" w14:paraId="35613067" w14:textId="77777777" w:rsidTr="001A7A3F">
        <w:trPr>
          <w:trHeight w:val="283"/>
        </w:trPr>
        <w:tc>
          <w:tcPr>
            <w:tcW w:w="3960" w:type="dxa"/>
            <w:tcBorders>
              <w:top w:val="single" w:sz="12" w:space="0" w:color="000000"/>
              <w:left w:val="single" w:sz="4" w:space="0" w:color="000000"/>
              <w:bottom w:val="single" w:sz="12" w:space="0" w:color="000000"/>
              <w:right w:val="single" w:sz="4" w:space="0" w:color="000000"/>
            </w:tcBorders>
          </w:tcPr>
          <w:p w14:paraId="1ABE9122" w14:textId="77777777" w:rsidR="009A581E" w:rsidRPr="000A1612" w:rsidRDefault="001A7A3F" w:rsidP="001A7A3F">
            <w:pPr>
              <w:widowControl w:val="0"/>
              <w:spacing w:after="0" w:line="240" w:lineRule="auto"/>
              <w:ind w:left="0" w:firstLine="0"/>
            </w:pPr>
            <w:r>
              <w:t>n</w:t>
            </w:r>
          </w:p>
        </w:tc>
        <w:tc>
          <w:tcPr>
            <w:tcW w:w="2703" w:type="dxa"/>
            <w:tcBorders>
              <w:top w:val="single" w:sz="12" w:space="0" w:color="000000"/>
              <w:left w:val="single" w:sz="4" w:space="0" w:color="000000"/>
              <w:bottom w:val="single" w:sz="12" w:space="0" w:color="000000"/>
              <w:right w:val="single" w:sz="8" w:space="0" w:color="000000"/>
            </w:tcBorders>
          </w:tcPr>
          <w:p w14:paraId="1BD29381" w14:textId="77777777" w:rsidR="009A581E" w:rsidRPr="000A1612" w:rsidRDefault="009A581E" w:rsidP="00155775">
            <w:pPr>
              <w:widowControl w:val="0"/>
              <w:spacing w:after="0" w:line="240" w:lineRule="auto"/>
              <w:ind w:left="0" w:firstLine="0"/>
              <w:jc w:val="center"/>
            </w:pPr>
            <w:r w:rsidRPr="000A1612">
              <w:t>1</w:t>
            </w:r>
            <w:r w:rsidR="001A7A3F">
              <w:t>24</w:t>
            </w:r>
            <w:r w:rsidR="001A7A3F" w:rsidRPr="001A7A3F">
              <w:rPr>
                <w:vertAlign w:val="superscript"/>
              </w:rPr>
              <w:t>a</w:t>
            </w:r>
          </w:p>
        </w:tc>
        <w:tc>
          <w:tcPr>
            <w:tcW w:w="2835" w:type="dxa"/>
            <w:tcBorders>
              <w:top w:val="single" w:sz="12" w:space="0" w:color="000000"/>
              <w:left w:val="single" w:sz="8" w:space="0" w:color="000000"/>
              <w:bottom w:val="single" w:sz="12" w:space="0" w:color="000000"/>
              <w:right w:val="single" w:sz="4" w:space="0" w:color="000000"/>
            </w:tcBorders>
          </w:tcPr>
          <w:p w14:paraId="787180A5" w14:textId="77777777" w:rsidR="009A581E" w:rsidRPr="000A1612" w:rsidRDefault="001A7A3F" w:rsidP="00155775">
            <w:pPr>
              <w:widowControl w:val="0"/>
              <w:spacing w:after="0" w:line="240" w:lineRule="auto"/>
              <w:ind w:left="0" w:firstLine="0"/>
              <w:jc w:val="center"/>
            </w:pPr>
            <w:r>
              <w:t>116</w:t>
            </w:r>
            <w:r w:rsidRPr="001A7A3F">
              <w:rPr>
                <w:vertAlign w:val="superscript"/>
              </w:rPr>
              <w:t>a</w:t>
            </w:r>
          </w:p>
        </w:tc>
      </w:tr>
      <w:tr w:rsidR="009A581E" w:rsidRPr="000A1612" w14:paraId="47D89C23" w14:textId="77777777" w:rsidTr="001A7A3F">
        <w:trPr>
          <w:trHeight w:val="278"/>
        </w:trPr>
        <w:tc>
          <w:tcPr>
            <w:tcW w:w="3960" w:type="dxa"/>
            <w:tcBorders>
              <w:top w:val="single" w:sz="12" w:space="0" w:color="000000"/>
              <w:left w:val="single" w:sz="4" w:space="0" w:color="000000"/>
              <w:bottom w:val="single" w:sz="8" w:space="0" w:color="000000"/>
              <w:right w:val="single" w:sz="4" w:space="0" w:color="000000"/>
            </w:tcBorders>
          </w:tcPr>
          <w:p w14:paraId="6C8AC000" w14:textId="77777777" w:rsidR="009A581E" w:rsidRPr="000A1612" w:rsidRDefault="009A581E" w:rsidP="00130E2E">
            <w:pPr>
              <w:widowControl w:val="0"/>
              <w:spacing w:after="0" w:line="240" w:lineRule="auto"/>
              <w:ind w:left="0" w:firstLine="0"/>
            </w:pPr>
            <w:r w:rsidRPr="000A1612">
              <w:t>Histologické zlepšenie</w:t>
            </w:r>
            <w:r w:rsidRPr="000A1612">
              <w:rPr>
                <w:vertAlign w:val="superscript"/>
              </w:rPr>
              <w:t xml:space="preserve">b </w:t>
            </w:r>
          </w:p>
        </w:tc>
        <w:tc>
          <w:tcPr>
            <w:tcW w:w="2703" w:type="dxa"/>
            <w:tcBorders>
              <w:top w:val="single" w:sz="12" w:space="0" w:color="000000"/>
              <w:left w:val="single" w:sz="4" w:space="0" w:color="000000"/>
              <w:bottom w:val="single" w:sz="8" w:space="0" w:color="000000"/>
              <w:right w:val="single" w:sz="8" w:space="0" w:color="000000"/>
            </w:tcBorders>
          </w:tcPr>
          <w:p w14:paraId="21F49F03" w14:textId="77777777" w:rsidR="009A581E" w:rsidRPr="000A1612" w:rsidRDefault="001A7A3F" w:rsidP="00155775">
            <w:pPr>
              <w:widowControl w:val="0"/>
              <w:spacing w:after="0" w:line="240" w:lineRule="auto"/>
              <w:ind w:left="0" w:firstLine="0"/>
              <w:jc w:val="center"/>
            </w:pPr>
            <w:r>
              <w:t>55 %*</w:t>
            </w:r>
          </w:p>
        </w:tc>
        <w:tc>
          <w:tcPr>
            <w:tcW w:w="2835" w:type="dxa"/>
            <w:tcBorders>
              <w:top w:val="single" w:sz="12" w:space="0" w:color="000000"/>
              <w:left w:val="single" w:sz="8" w:space="0" w:color="000000"/>
              <w:bottom w:val="single" w:sz="8" w:space="0" w:color="000000"/>
              <w:right w:val="single" w:sz="4" w:space="0" w:color="000000"/>
            </w:tcBorders>
          </w:tcPr>
          <w:p w14:paraId="4084F5DB" w14:textId="77777777" w:rsidR="009A581E" w:rsidRPr="000A1612" w:rsidRDefault="001A7A3F" w:rsidP="00155775">
            <w:pPr>
              <w:widowControl w:val="0"/>
              <w:spacing w:after="0" w:line="240" w:lineRule="auto"/>
              <w:ind w:left="0" w:firstLine="0"/>
              <w:jc w:val="center"/>
            </w:pPr>
            <w:r>
              <w:t>28 %</w:t>
            </w:r>
          </w:p>
        </w:tc>
      </w:tr>
      <w:tr w:rsidR="009A581E" w:rsidRPr="000A1612" w14:paraId="26FF88E7" w14:textId="77777777" w:rsidTr="001A7A3F">
        <w:trPr>
          <w:trHeight w:val="274"/>
        </w:trPr>
        <w:tc>
          <w:tcPr>
            <w:tcW w:w="3960" w:type="dxa"/>
            <w:tcBorders>
              <w:top w:val="single" w:sz="8" w:space="0" w:color="000000"/>
              <w:left w:val="single" w:sz="4" w:space="0" w:color="000000"/>
              <w:bottom w:val="single" w:sz="8" w:space="0" w:color="000000"/>
              <w:right w:val="single" w:sz="4" w:space="0" w:color="000000"/>
            </w:tcBorders>
          </w:tcPr>
          <w:p w14:paraId="5BEAD2CA" w14:textId="77777777" w:rsidR="009A581E" w:rsidRPr="000A1612" w:rsidRDefault="009A581E" w:rsidP="00130E2E">
            <w:pPr>
              <w:widowControl w:val="0"/>
              <w:spacing w:after="0" w:line="240" w:lineRule="auto"/>
              <w:ind w:left="0" w:firstLine="0"/>
            </w:pPr>
            <w:r w:rsidRPr="000A1612">
              <w:t xml:space="preserve">Zlepšenie v Ishakovom skóre fibrózy </w:t>
            </w:r>
          </w:p>
        </w:tc>
        <w:tc>
          <w:tcPr>
            <w:tcW w:w="2703" w:type="dxa"/>
            <w:tcBorders>
              <w:top w:val="single" w:sz="8" w:space="0" w:color="000000"/>
              <w:left w:val="single" w:sz="4" w:space="0" w:color="000000"/>
              <w:bottom w:val="single" w:sz="8" w:space="0" w:color="000000"/>
              <w:right w:val="single" w:sz="8" w:space="0" w:color="000000"/>
            </w:tcBorders>
          </w:tcPr>
          <w:p w14:paraId="5AA574AF" w14:textId="77777777" w:rsidR="009A581E" w:rsidRPr="000A1612" w:rsidRDefault="001A7A3F" w:rsidP="00155775">
            <w:pPr>
              <w:widowControl w:val="0"/>
              <w:spacing w:after="0" w:line="240" w:lineRule="auto"/>
              <w:ind w:left="0" w:firstLine="0"/>
              <w:jc w:val="center"/>
            </w:pPr>
            <w:r>
              <w:t>34 %*</w:t>
            </w:r>
          </w:p>
        </w:tc>
        <w:tc>
          <w:tcPr>
            <w:tcW w:w="2835" w:type="dxa"/>
            <w:tcBorders>
              <w:top w:val="single" w:sz="8" w:space="0" w:color="000000"/>
              <w:left w:val="single" w:sz="8" w:space="0" w:color="000000"/>
              <w:bottom w:val="single" w:sz="8" w:space="0" w:color="000000"/>
              <w:right w:val="single" w:sz="4" w:space="0" w:color="000000"/>
            </w:tcBorders>
          </w:tcPr>
          <w:p w14:paraId="187A4D98" w14:textId="77777777" w:rsidR="009A581E" w:rsidRPr="000A1612" w:rsidRDefault="001A7A3F" w:rsidP="00155775">
            <w:pPr>
              <w:widowControl w:val="0"/>
              <w:spacing w:after="0" w:line="240" w:lineRule="auto"/>
              <w:ind w:left="0" w:firstLine="0"/>
              <w:jc w:val="center"/>
            </w:pPr>
            <w:r>
              <w:t>16 %</w:t>
            </w:r>
          </w:p>
        </w:tc>
      </w:tr>
      <w:tr w:rsidR="009A581E" w:rsidRPr="000A1612" w14:paraId="117C7672" w14:textId="77777777" w:rsidTr="001A7A3F">
        <w:trPr>
          <w:trHeight w:val="276"/>
        </w:trPr>
        <w:tc>
          <w:tcPr>
            <w:tcW w:w="3960" w:type="dxa"/>
            <w:tcBorders>
              <w:top w:val="single" w:sz="8" w:space="0" w:color="000000"/>
              <w:left w:val="single" w:sz="4" w:space="0" w:color="000000"/>
              <w:bottom w:val="single" w:sz="12" w:space="0" w:color="000000"/>
              <w:right w:val="single" w:sz="4" w:space="0" w:color="000000"/>
            </w:tcBorders>
          </w:tcPr>
          <w:p w14:paraId="3433C0BD" w14:textId="77777777" w:rsidR="009A581E" w:rsidRPr="000A1612" w:rsidRDefault="009A581E" w:rsidP="00130E2E">
            <w:pPr>
              <w:widowControl w:val="0"/>
              <w:spacing w:after="0" w:line="240" w:lineRule="auto"/>
              <w:ind w:left="0" w:firstLine="0"/>
            </w:pPr>
            <w:r w:rsidRPr="000A1612">
              <w:t xml:space="preserve">Zhoršenie v Ishakovom skóre fibrózy </w:t>
            </w:r>
          </w:p>
        </w:tc>
        <w:tc>
          <w:tcPr>
            <w:tcW w:w="2703" w:type="dxa"/>
            <w:tcBorders>
              <w:top w:val="single" w:sz="8" w:space="0" w:color="000000"/>
              <w:left w:val="single" w:sz="4" w:space="0" w:color="000000"/>
              <w:bottom w:val="single" w:sz="12" w:space="0" w:color="000000"/>
              <w:right w:val="single" w:sz="8" w:space="0" w:color="000000"/>
            </w:tcBorders>
          </w:tcPr>
          <w:p w14:paraId="4075DCB1" w14:textId="77777777" w:rsidR="009A581E" w:rsidRPr="000A1612" w:rsidRDefault="001A7A3F" w:rsidP="00155775">
            <w:pPr>
              <w:widowControl w:val="0"/>
              <w:spacing w:after="0" w:line="240" w:lineRule="auto"/>
              <w:ind w:left="0" w:firstLine="0"/>
              <w:jc w:val="center"/>
            </w:pPr>
            <w:r>
              <w:t>11 %</w:t>
            </w:r>
          </w:p>
        </w:tc>
        <w:tc>
          <w:tcPr>
            <w:tcW w:w="2835" w:type="dxa"/>
            <w:tcBorders>
              <w:top w:val="single" w:sz="8" w:space="0" w:color="000000"/>
              <w:left w:val="single" w:sz="8" w:space="0" w:color="000000"/>
              <w:bottom w:val="single" w:sz="12" w:space="0" w:color="000000"/>
              <w:right w:val="single" w:sz="4" w:space="0" w:color="000000"/>
            </w:tcBorders>
          </w:tcPr>
          <w:p w14:paraId="04A03777" w14:textId="77777777" w:rsidR="009A581E" w:rsidRPr="000A1612" w:rsidRDefault="001A7A3F" w:rsidP="00155775">
            <w:pPr>
              <w:widowControl w:val="0"/>
              <w:spacing w:after="0" w:line="240" w:lineRule="auto"/>
              <w:ind w:left="0" w:firstLine="0"/>
              <w:jc w:val="center"/>
            </w:pPr>
            <w:r>
              <w:t>26 %</w:t>
            </w:r>
          </w:p>
        </w:tc>
      </w:tr>
      <w:tr w:rsidR="009A581E" w:rsidRPr="000A1612" w14:paraId="33E4C028" w14:textId="77777777" w:rsidTr="001A7A3F">
        <w:trPr>
          <w:trHeight w:val="283"/>
        </w:trPr>
        <w:tc>
          <w:tcPr>
            <w:tcW w:w="3960" w:type="dxa"/>
            <w:tcBorders>
              <w:top w:val="single" w:sz="12" w:space="0" w:color="000000"/>
              <w:left w:val="single" w:sz="4" w:space="0" w:color="000000"/>
              <w:bottom w:val="single" w:sz="12" w:space="0" w:color="000000"/>
              <w:right w:val="single" w:sz="4" w:space="0" w:color="000000"/>
            </w:tcBorders>
          </w:tcPr>
          <w:p w14:paraId="6ED8BF50" w14:textId="77777777" w:rsidR="009A581E" w:rsidRPr="000A1612" w:rsidRDefault="001A7A3F" w:rsidP="00130E2E">
            <w:pPr>
              <w:widowControl w:val="0"/>
              <w:spacing w:after="0" w:line="240" w:lineRule="auto"/>
              <w:ind w:left="0" w:firstLine="0"/>
            </w:pPr>
            <w:r>
              <w:t>n</w:t>
            </w:r>
          </w:p>
        </w:tc>
        <w:tc>
          <w:tcPr>
            <w:tcW w:w="2703" w:type="dxa"/>
            <w:tcBorders>
              <w:top w:val="single" w:sz="12" w:space="0" w:color="000000"/>
              <w:left w:val="single" w:sz="4" w:space="0" w:color="000000"/>
              <w:bottom w:val="single" w:sz="12" w:space="0" w:color="000000"/>
              <w:right w:val="single" w:sz="8" w:space="0" w:color="000000"/>
            </w:tcBorders>
          </w:tcPr>
          <w:p w14:paraId="0C306058" w14:textId="77777777" w:rsidR="009A581E" w:rsidRPr="000A1612" w:rsidRDefault="001A7A3F" w:rsidP="00155775">
            <w:pPr>
              <w:widowControl w:val="0"/>
              <w:spacing w:after="0" w:line="240" w:lineRule="auto"/>
              <w:ind w:left="0" w:firstLine="0"/>
              <w:jc w:val="center"/>
            </w:pPr>
            <w:r>
              <w:t>141</w:t>
            </w:r>
          </w:p>
        </w:tc>
        <w:tc>
          <w:tcPr>
            <w:tcW w:w="2835" w:type="dxa"/>
            <w:tcBorders>
              <w:top w:val="single" w:sz="12" w:space="0" w:color="000000"/>
              <w:left w:val="single" w:sz="8" w:space="0" w:color="000000"/>
              <w:bottom w:val="single" w:sz="12" w:space="0" w:color="000000"/>
              <w:right w:val="single" w:sz="4" w:space="0" w:color="000000"/>
            </w:tcBorders>
          </w:tcPr>
          <w:p w14:paraId="36ECC23F" w14:textId="77777777" w:rsidR="009A581E" w:rsidRPr="000A1612" w:rsidRDefault="001A7A3F" w:rsidP="00155775">
            <w:pPr>
              <w:widowControl w:val="0"/>
              <w:spacing w:after="0" w:line="240" w:lineRule="auto"/>
              <w:ind w:left="0" w:firstLine="0"/>
              <w:jc w:val="center"/>
            </w:pPr>
            <w:r>
              <w:t>145</w:t>
            </w:r>
          </w:p>
        </w:tc>
      </w:tr>
      <w:tr w:rsidR="009A581E" w:rsidRPr="000A1612" w14:paraId="592C6F0A" w14:textId="77777777" w:rsidTr="001A7A3F">
        <w:trPr>
          <w:trHeight w:val="530"/>
        </w:trPr>
        <w:tc>
          <w:tcPr>
            <w:tcW w:w="3960" w:type="dxa"/>
            <w:tcBorders>
              <w:top w:val="single" w:sz="12" w:space="0" w:color="000000"/>
              <w:left w:val="single" w:sz="4" w:space="0" w:color="000000"/>
              <w:bottom w:val="single" w:sz="8" w:space="0" w:color="000000"/>
              <w:right w:val="single" w:sz="4" w:space="0" w:color="000000"/>
            </w:tcBorders>
          </w:tcPr>
          <w:p w14:paraId="69AC8D21" w14:textId="77777777" w:rsidR="009A581E" w:rsidRPr="000A1612" w:rsidRDefault="009A581E" w:rsidP="001A7A3F">
            <w:pPr>
              <w:widowControl w:val="0"/>
              <w:spacing w:after="0" w:line="240" w:lineRule="auto"/>
              <w:ind w:left="0" w:right="-124" w:firstLine="0"/>
            </w:pPr>
            <w:r w:rsidRPr="000A1612">
              <w:t>Zníženie vírusovej záťaže (log</w:t>
            </w:r>
            <w:r w:rsidRPr="000A1612">
              <w:rPr>
                <w:vertAlign w:val="subscript"/>
              </w:rPr>
              <w:t>10</w:t>
            </w:r>
            <w:r w:rsidRPr="000A1612">
              <w:t xml:space="preserve"> kópií/ml)</w:t>
            </w:r>
            <w:r w:rsidRPr="000A1612">
              <w:rPr>
                <w:vertAlign w:val="superscript"/>
              </w:rPr>
              <w:t xml:space="preserve">c </w:t>
            </w:r>
          </w:p>
        </w:tc>
        <w:tc>
          <w:tcPr>
            <w:tcW w:w="2703" w:type="dxa"/>
            <w:tcBorders>
              <w:top w:val="single" w:sz="12" w:space="0" w:color="000000"/>
              <w:left w:val="single" w:sz="4" w:space="0" w:color="000000"/>
              <w:bottom w:val="single" w:sz="8" w:space="0" w:color="000000"/>
              <w:right w:val="single" w:sz="8" w:space="0" w:color="000000"/>
            </w:tcBorders>
          </w:tcPr>
          <w:p w14:paraId="1BAF1996" w14:textId="77777777" w:rsidR="009A581E" w:rsidRPr="000A1612" w:rsidRDefault="009A581E" w:rsidP="00155775">
            <w:pPr>
              <w:widowControl w:val="0"/>
              <w:spacing w:after="0" w:line="240" w:lineRule="auto"/>
              <w:ind w:left="0" w:firstLine="0"/>
              <w:jc w:val="center"/>
            </w:pPr>
            <w:r w:rsidRPr="000A1612">
              <w:t>-</w:t>
            </w:r>
            <w:r w:rsidR="001A7A3F">
              <w:t>5,11*</w:t>
            </w:r>
          </w:p>
        </w:tc>
        <w:tc>
          <w:tcPr>
            <w:tcW w:w="2835" w:type="dxa"/>
            <w:tcBorders>
              <w:top w:val="single" w:sz="12" w:space="0" w:color="000000"/>
              <w:left w:val="single" w:sz="8" w:space="0" w:color="000000"/>
              <w:bottom w:val="single" w:sz="8" w:space="0" w:color="000000"/>
              <w:right w:val="single" w:sz="4" w:space="0" w:color="000000"/>
            </w:tcBorders>
          </w:tcPr>
          <w:p w14:paraId="277546DE" w14:textId="77777777" w:rsidR="009A581E" w:rsidRPr="000A1612" w:rsidRDefault="001A7A3F" w:rsidP="00155775">
            <w:pPr>
              <w:widowControl w:val="0"/>
              <w:spacing w:after="0" w:line="240" w:lineRule="auto"/>
              <w:ind w:left="0" w:firstLine="0"/>
              <w:jc w:val="center"/>
            </w:pPr>
            <w:r>
              <w:t>-0,48</w:t>
            </w:r>
          </w:p>
        </w:tc>
      </w:tr>
      <w:tr w:rsidR="009A581E" w:rsidRPr="000A1612" w14:paraId="37BF1AA6" w14:textId="77777777" w:rsidTr="001A7A3F">
        <w:trPr>
          <w:trHeight w:val="528"/>
        </w:trPr>
        <w:tc>
          <w:tcPr>
            <w:tcW w:w="3960" w:type="dxa"/>
            <w:tcBorders>
              <w:top w:val="single" w:sz="8" w:space="0" w:color="000000"/>
              <w:left w:val="single" w:sz="4" w:space="0" w:color="000000"/>
              <w:bottom w:val="single" w:sz="8" w:space="0" w:color="000000"/>
              <w:right w:val="single" w:sz="4" w:space="0" w:color="000000"/>
            </w:tcBorders>
          </w:tcPr>
          <w:p w14:paraId="18ACBBE9" w14:textId="77777777" w:rsidR="009A581E" w:rsidRPr="000A1612" w:rsidRDefault="009A581E" w:rsidP="00130E2E">
            <w:pPr>
              <w:widowControl w:val="0"/>
              <w:spacing w:after="0" w:line="240" w:lineRule="auto"/>
              <w:ind w:left="0" w:firstLine="0"/>
            </w:pPr>
            <w:r w:rsidRPr="000A1612">
              <w:t xml:space="preserve">Nedetegovateľná HBV DNA </w:t>
            </w:r>
          </w:p>
          <w:p w14:paraId="35B194FD" w14:textId="77777777" w:rsidR="009A581E" w:rsidRPr="000A1612" w:rsidRDefault="009A581E" w:rsidP="00130E2E">
            <w:pPr>
              <w:widowControl w:val="0"/>
              <w:spacing w:after="0" w:line="240" w:lineRule="auto"/>
              <w:ind w:left="0" w:firstLine="0"/>
            </w:pPr>
            <w:r w:rsidRPr="000A1612">
              <w:t>(&lt; 300 kópií/ml metódou PCR)</w:t>
            </w:r>
            <w:r w:rsidRPr="000A1612">
              <w:rPr>
                <w:vertAlign w:val="superscript"/>
              </w:rPr>
              <w:t xml:space="preserve">c </w:t>
            </w:r>
          </w:p>
        </w:tc>
        <w:tc>
          <w:tcPr>
            <w:tcW w:w="2703" w:type="dxa"/>
            <w:tcBorders>
              <w:top w:val="single" w:sz="8" w:space="0" w:color="000000"/>
              <w:left w:val="single" w:sz="4" w:space="0" w:color="000000"/>
              <w:bottom w:val="single" w:sz="8" w:space="0" w:color="000000"/>
              <w:right w:val="single" w:sz="8" w:space="0" w:color="000000"/>
            </w:tcBorders>
          </w:tcPr>
          <w:p w14:paraId="78AD825A" w14:textId="77777777" w:rsidR="009A581E" w:rsidRPr="000A1612" w:rsidRDefault="001A7A3F" w:rsidP="00155775">
            <w:pPr>
              <w:widowControl w:val="0"/>
              <w:spacing w:after="0" w:line="240" w:lineRule="auto"/>
              <w:ind w:left="0" w:firstLine="0"/>
              <w:jc w:val="center"/>
            </w:pPr>
            <w:r>
              <w:t>19 %*</w:t>
            </w:r>
          </w:p>
        </w:tc>
        <w:tc>
          <w:tcPr>
            <w:tcW w:w="2835" w:type="dxa"/>
            <w:tcBorders>
              <w:top w:val="single" w:sz="8" w:space="0" w:color="000000"/>
              <w:left w:val="single" w:sz="8" w:space="0" w:color="000000"/>
              <w:bottom w:val="single" w:sz="8" w:space="0" w:color="000000"/>
              <w:right w:val="single" w:sz="4" w:space="0" w:color="000000"/>
            </w:tcBorders>
          </w:tcPr>
          <w:p w14:paraId="336EABBC" w14:textId="77777777" w:rsidR="009A581E" w:rsidRPr="000A1612" w:rsidRDefault="001A7A3F" w:rsidP="00155775">
            <w:pPr>
              <w:widowControl w:val="0"/>
              <w:spacing w:after="0" w:line="240" w:lineRule="auto"/>
              <w:ind w:left="0" w:firstLine="0"/>
              <w:jc w:val="center"/>
            </w:pPr>
            <w:r>
              <w:t>1 %</w:t>
            </w:r>
          </w:p>
        </w:tc>
      </w:tr>
      <w:tr w:rsidR="009A581E" w:rsidRPr="000A1612" w14:paraId="693CED9C" w14:textId="77777777" w:rsidTr="001A7A3F">
        <w:trPr>
          <w:trHeight w:val="271"/>
        </w:trPr>
        <w:tc>
          <w:tcPr>
            <w:tcW w:w="3960" w:type="dxa"/>
            <w:tcBorders>
              <w:top w:val="single" w:sz="8" w:space="0" w:color="000000"/>
              <w:left w:val="single" w:sz="4" w:space="0" w:color="000000"/>
              <w:bottom w:val="single" w:sz="8" w:space="0" w:color="000000"/>
              <w:right w:val="single" w:sz="4" w:space="0" w:color="000000"/>
            </w:tcBorders>
          </w:tcPr>
          <w:p w14:paraId="396E137E" w14:textId="77777777" w:rsidR="009A581E" w:rsidRPr="000A1612" w:rsidRDefault="009A581E" w:rsidP="00130E2E">
            <w:pPr>
              <w:widowControl w:val="0"/>
              <w:spacing w:after="0" w:line="240" w:lineRule="auto"/>
              <w:ind w:left="0" w:firstLine="0"/>
            </w:pPr>
            <w:r w:rsidRPr="000A1612">
              <w:t>No</w:t>
            </w:r>
            <w:r w:rsidR="001A7A3F">
              <w:t>rmalizácia ALT(≤ 1-násobok ULN)</w:t>
            </w:r>
          </w:p>
        </w:tc>
        <w:tc>
          <w:tcPr>
            <w:tcW w:w="2703" w:type="dxa"/>
            <w:tcBorders>
              <w:top w:val="single" w:sz="8" w:space="0" w:color="000000"/>
              <w:left w:val="single" w:sz="4" w:space="0" w:color="000000"/>
              <w:bottom w:val="single" w:sz="8" w:space="0" w:color="000000"/>
              <w:right w:val="single" w:sz="8" w:space="0" w:color="000000"/>
            </w:tcBorders>
          </w:tcPr>
          <w:p w14:paraId="4EEEA3A9" w14:textId="77777777" w:rsidR="009A581E" w:rsidRPr="000A1612" w:rsidRDefault="001A7A3F" w:rsidP="00155775">
            <w:pPr>
              <w:widowControl w:val="0"/>
              <w:spacing w:after="0" w:line="240" w:lineRule="auto"/>
              <w:ind w:left="0" w:firstLine="0"/>
              <w:jc w:val="center"/>
            </w:pPr>
            <w:r>
              <w:t>61 %*</w:t>
            </w:r>
          </w:p>
        </w:tc>
        <w:tc>
          <w:tcPr>
            <w:tcW w:w="2835" w:type="dxa"/>
            <w:tcBorders>
              <w:top w:val="single" w:sz="8" w:space="0" w:color="000000"/>
              <w:left w:val="single" w:sz="8" w:space="0" w:color="000000"/>
              <w:bottom w:val="single" w:sz="8" w:space="0" w:color="000000"/>
              <w:right w:val="single" w:sz="4" w:space="0" w:color="000000"/>
            </w:tcBorders>
          </w:tcPr>
          <w:p w14:paraId="340970E6" w14:textId="77777777" w:rsidR="009A581E" w:rsidRPr="000A1612" w:rsidRDefault="001A7A3F" w:rsidP="00155775">
            <w:pPr>
              <w:widowControl w:val="0"/>
              <w:spacing w:after="0" w:line="240" w:lineRule="auto"/>
              <w:ind w:left="0" w:firstLine="0"/>
              <w:jc w:val="center"/>
            </w:pPr>
            <w:r>
              <w:t>15 %</w:t>
            </w:r>
          </w:p>
        </w:tc>
      </w:tr>
      <w:tr w:rsidR="009A581E" w:rsidRPr="000A1612" w14:paraId="17F3FBBE" w14:textId="77777777" w:rsidTr="001A7A3F">
        <w:trPr>
          <w:trHeight w:val="274"/>
        </w:trPr>
        <w:tc>
          <w:tcPr>
            <w:tcW w:w="3960" w:type="dxa"/>
            <w:tcBorders>
              <w:top w:val="single" w:sz="8" w:space="0" w:color="000000"/>
              <w:left w:val="single" w:sz="4" w:space="0" w:color="000000"/>
              <w:bottom w:val="single" w:sz="8" w:space="0" w:color="000000"/>
              <w:right w:val="single" w:sz="4" w:space="0" w:color="000000"/>
            </w:tcBorders>
          </w:tcPr>
          <w:p w14:paraId="61747381" w14:textId="77777777" w:rsidR="009A581E" w:rsidRPr="000A1612" w:rsidRDefault="009A581E" w:rsidP="00130E2E">
            <w:pPr>
              <w:widowControl w:val="0"/>
              <w:spacing w:after="0" w:line="240" w:lineRule="auto"/>
              <w:ind w:left="0" w:firstLine="0"/>
            </w:pPr>
          </w:p>
        </w:tc>
        <w:tc>
          <w:tcPr>
            <w:tcW w:w="2703" w:type="dxa"/>
            <w:tcBorders>
              <w:top w:val="single" w:sz="8" w:space="0" w:color="000000"/>
              <w:left w:val="single" w:sz="4" w:space="0" w:color="000000"/>
              <w:bottom w:val="single" w:sz="8" w:space="0" w:color="000000"/>
              <w:right w:val="single" w:sz="8" w:space="0" w:color="000000"/>
            </w:tcBorders>
          </w:tcPr>
          <w:p w14:paraId="4B80030A" w14:textId="77777777" w:rsidR="009A581E" w:rsidRPr="000A1612" w:rsidRDefault="009A581E" w:rsidP="00155775">
            <w:pPr>
              <w:widowControl w:val="0"/>
              <w:spacing w:after="0" w:line="240" w:lineRule="auto"/>
              <w:ind w:left="0" w:firstLine="0"/>
              <w:jc w:val="center"/>
            </w:pPr>
          </w:p>
        </w:tc>
        <w:tc>
          <w:tcPr>
            <w:tcW w:w="2835" w:type="dxa"/>
            <w:tcBorders>
              <w:top w:val="single" w:sz="8" w:space="0" w:color="000000"/>
              <w:left w:val="single" w:sz="8" w:space="0" w:color="000000"/>
              <w:bottom w:val="single" w:sz="8" w:space="0" w:color="000000"/>
              <w:right w:val="single" w:sz="4" w:space="0" w:color="000000"/>
            </w:tcBorders>
          </w:tcPr>
          <w:p w14:paraId="0901750C" w14:textId="77777777" w:rsidR="009A581E" w:rsidRPr="000A1612" w:rsidRDefault="009A581E" w:rsidP="00155775">
            <w:pPr>
              <w:widowControl w:val="0"/>
              <w:spacing w:after="0" w:line="240" w:lineRule="auto"/>
              <w:ind w:left="0" w:firstLine="0"/>
              <w:jc w:val="center"/>
            </w:pPr>
          </w:p>
        </w:tc>
      </w:tr>
      <w:tr w:rsidR="009A581E" w:rsidRPr="000A1612" w14:paraId="2DE5E252" w14:textId="77777777" w:rsidTr="001A7A3F">
        <w:trPr>
          <w:trHeight w:val="269"/>
        </w:trPr>
        <w:tc>
          <w:tcPr>
            <w:tcW w:w="3960" w:type="dxa"/>
            <w:tcBorders>
              <w:top w:val="single" w:sz="8" w:space="0" w:color="000000"/>
              <w:left w:val="single" w:sz="4" w:space="0" w:color="000000"/>
              <w:bottom w:val="single" w:sz="4" w:space="0" w:color="000000"/>
              <w:right w:val="single" w:sz="4" w:space="0" w:color="000000"/>
            </w:tcBorders>
          </w:tcPr>
          <w:p w14:paraId="060D6C36" w14:textId="77777777" w:rsidR="009A581E" w:rsidRPr="000A1612" w:rsidRDefault="001A7A3F" w:rsidP="00130E2E">
            <w:pPr>
              <w:widowControl w:val="0"/>
              <w:spacing w:after="0" w:line="240" w:lineRule="auto"/>
              <w:ind w:left="0" w:firstLine="0"/>
            </w:pPr>
            <w:r>
              <w:t>HBeAg Sérokonverzia</w:t>
            </w:r>
          </w:p>
        </w:tc>
        <w:tc>
          <w:tcPr>
            <w:tcW w:w="2703" w:type="dxa"/>
            <w:tcBorders>
              <w:top w:val="single" w:sz="8" w:space="0" w:color="000000"/>
              <w:left w:val="single" w:sz="4" w:space="0" w:color="000000"/>
              <w:bottom w:val="single" w:sz="4" w:space="0" w:color="000000"/>
              <w:right w:val="single" w:sz="8" w:space="0" w:color="000000"/>
            </w:tcBorders>
          </w:tcPr>
          <w:p w14:paraId="4BFD1255" w14:textId="77777777" w:rsidR="009A581E" w:rsidRPr="000A1612" w:rsidRDefault="001A7A3F" w:rsidP="00155775">
            <w:pPr>
              <w:widowControl w:val="0"/>
              <w:spacing w:after="0" w:line="240" w:lineRule="auto"/>
              <w:ind w:left="0" w:firstLine="0"/>
              <w:jc w:val="center"/>
            </w:pPr>
            <w:r>
              <w:t>8 %</w:t>
            </w:r>
          </w:p>
        </w:tc>
        <w:tc>
          <w:tcPr>
            <w:tcW w:w="2835" w:type="dxa"/>
            <w:tcBorders>
              <w:top w:val="single" w:sz="8" w:space="0" w:color="000000"/>
              <w:left w:val="single" w:sz="8" w:space="0" w:color="000000"/>
              <w:bottom w:val="single" w:sz="4" w:space="0" w:color="000000"/>
              <w:right w:val="single" w:sz="4" w:space="0" w:color="000000"/>
            </w:tcBorders>
          </w:tcPr>
          <w:p w14:paraId="46B521FE" w14:textId="77777777" w:rsidR="009A581E" w:rsidRPr="000A1612" w:rsidRDefault="009A581E" w:rsidP="00155775">
            <w:pPr>
              <w:widowControl w:val="0"/>
              <w:spacing w:after="0" w:line="240" w:lineRule="auto"/>
              <w:ind w:left="0" w:firstLine="0"/>
              <w:jc w:val="center"/>
            </w:pPr>
            <w:r w:rsidRPr="000A1612">
              <w:t>3 %</w:t>
            </w:r>
          </w:p>
        </w:tc>
      </w:tr>
    </w:tbl>
    <w:p w14:paraId="67281D7B" w14:textId="77777777" w:rsidR="000742D4" w:rsidRDefault="009A581E" w:rsidP="001A7A3F">
      <w:pPr>
        <w:widowControl w:val="0"/>
        <w:spacing w:after="0" w:line="240" w:lineRule="auto"/>
        <w:ind w:left="0" w:right="-426" w:firstLine="0"/>
        <w:jc w:val="both"/>
      </w:pPr>
      <w:r w:rsidRPr="000A1612">
        <w:lastRenderedPageBreak/>
        <w:t xml:space="preserve">*p hodnota oproti lamivudínu &lt; 0,05 </w:t>
      </w:r>
    </w:p>
    <w:p w14:paraId="08FFF2A5" w14:textId="77777777" w:rsidR="001A7A3F" w:rsidRDefault="009A581E" w:rsidP="001A7A3F">
      <w:pPr>
        <w:widowControl w:val="0"/>
        <w:spacing w:after="0" w:line="240" w:lineRule="auto"/>
        <w:ind w:left="0" w:right="-426" w:firstLine="0"/>
        <w:jc w:val="both"/>
      </w:pPr>
      <w:r w:rsidRPr="000A1612">
        <w:rPr>
          <w:vertAlign w:val="superscript"/>
        </w:rPr>
        <w:t>a</w:t>
      </w:r>
      <w:r w:rsidRPr="000A1612">
        <w:t xml:space="preserve"> pacienti s hodnotiteľnou bazálnou histológiou (bazálne Knodellovo skóre nekrotického zápalu ≥ 2)</w:t>
      </w:r>
    </w:p>
    <w:p w14:paraId="5E0C5A30" w14:textId="77777777" w:rsidR="009A581E" w:rsidRPr="000A1612" w:rsidRDefault="009A581E" w:rsidP="009A581E">
      <w:pPr>
        <w:widowControl w:val="0"/>
        <w:spacing w:after="0" w:line="240" w:lineRule="auto"/>
        <w:ind w:left="0" w:right="1771" w:firstLine="0"/>
        <w:jc w:val="both"/>
      </w:pPr>
      <w:r w:rsidRPr="000A1612">
        <w:rPr>
          <w:vertAlign w:val="superscript"/>
        </w:rPr>
        <w:t>b</w:t>
      </w:r>
      <w:r w:rsidR="001A7A3F">
        <w:t xml:space="preserve"> primárny koncový ukazovateľ</w:t>
      </w:r>
    </w:p>
    <w:p w14:paraId="1AECD0C3" w14:textId="2BC9F291" w:rsidR="009A581E" w:rsidRPr="000A1612" w:rsidRDefault="009A581E" w:rsidP="009A581E">
      <w:pPr>
        <w:widowControl w:val="0"/>
        <w:spacing w:after="0" w:line="240" w:lineRule="auto"/>
        <w:ind w:left="0" w:firstLine="0"/>
      </w:pPr>
      <w:r w:rsidRPr="000A1612">
        <w:rPr>
          <w:vertAlign w:val="superscript"/>
        </w:rPr>
        <w:t>c</w:t>
      </w:r>
      <w:r w:rsidRPr="000A1612">
        <w:t xml:space="preserve"> </w:t>
      </w:r>
      <w:r w:rsidR="003C3644">
        <w:t>Analýza R</w:t>
      </w:r>
      <w:r w:rsidRPr="000A1612">
        <w:t>oche Cobas Amplicor PCR (LLOQ = 300 kópií/ml)</w:t>
      </w:r>
    </w:p>
    <w:p w14:paraId="0A117CD8" w14:textId="77777777" w:rsidR="009A581E" w:rsidRPr="000A1612" w:rsidRDefault="009A581E" w:rsidP="009A581E">
      <w:pPr>
        <w:widowControl w:val="0"/>
        <w:spacing w:after="0" w:line="240" w:lineRule="auto"/>
        <w:ind w:left="0" w:firstLine="0"/>
      </w:pPr>
    </w:p>
    <w:p w14:paraId="5BEF2031" w14:textId="77777777" w:rsidR="009A581E" w:rsidRPr="000A1612" w:rsidRDefault="009A581E" w:rsidP="009A581E">
      <w:pPr>
        <w:widowControl w:val="0"/>
        <w:spacing w:after="0" w:line="240" w:lineRule="auto"/>
        <w:ind w:left="0" w:firstLine="0"/>
      </w:pPr>
      <w:r w:rsidRPr="000A1612">
        <w:rPr>
          <w:i/>
          <w:u w:val="single" w:color="000000"/>
        </w:rPr>
        <w:t>Výsledky po 48 týždňoch liečby:</w:t>
      </w:r>
    </w:p>
    <w:p w14:paraId="7FB2DAB4" w14:textId="77777777" w:rsidR="009A581E" w:rsidRPr="000A1612" w:rsidRDefault="009A581E" w:rsidP="009A581E">
      <w:pPr>
        <w:widowControl w:val="0"/>
        <w:spacing w:after="0" w:line="240" w:lineRule="auto"/>
        <w:ind w:left="0" w:right="202" w:firstLine="0"/>
      </w:pPr>
      <w:r w:rsidRPr="000A1612">
        <w:t>Liečba bola prerušená vtedy, keď boli splnené vopred špecifikované kritériá pre odpoveď buď v 48. týždni, alebo počas druhého roku liečby. Kritériá pre odpoveď boli virologická supresia HBV (HBV DNA &lt; 0,7 MEq/ml analýzou bDNA) a strata HBeAg (u HBeAg pozitívnych pacientov) alebo ALT &lt; 1,25-násobok ULN (u HBeAg negatívnych pacientov). Pacienti s odpoveďou boli sledovaní ďalších 24 týždňov po ukončení liečby. Pacienti, ktorí splnili kritériá pre virologickú ale nie pre s</w:t>
      </w:r>
      <w:r w:rsidR="005F0336">
        <w:t>é</w:t>
      </w:r>
      <w:r w:rsidRPr="000A1612">
        <w:t>rologickú alebo biochemickú odpoveď, pokračovali zaslepenou liečbou. Pacientom, ktorí nemali virologickú odpoveď, bola ponúknutá alternatívna liečba.</w:t>
      </w:r>
    </w:p>
    <w:p w14:paraId="0B7D229B" w14:textId="77777777" w:rsidR="009A581E" w:rsidRPr="000A1612" w:rsidRDefault="009A581E" w:rsidP="009A581E">
      <w:pPr>
        <w:widowControl w:val="0"/>
        <w:spacing w:after="0" w:line="240" w:lineRule="auto"/>
        <w:ind w:left="0" w:firstLine="0"/>
      </w:pPr>
    </w:p>
    <w:p w14:paraId="5AA5477C" w14:textId="77777777" w:rsidR="009A581E" w:rsidRPr="000A1612" w:rsidRDefault="009A581E" w:rsidP="009A581E">
      <w:pPr>
        <w:widowControl w:val="0"/>
        <w:spacing w:after="0" w:line="240" w:lineRule="auto"/>
        <w:ind w:left="0" w:firstLine="0"/>
      </w:pPr>
      <w:r w:rsidRPr="000A1612">
        <w:rPr>
          <w:i/>
        </w:rPr>
        <w:t>Pacienti be</w:t>
      </w:r>
      <w:r w:rsidR="001A7A3F">
        <w:rPr>
          <w:i/>
        </w:rPr>
        <w:t>z predošlej liečby nukleozidmi:</w:t>
      </w:r>
    </w:p>
    <w:p w14:paraId="11B43C36" w14:textId="77777777" w:rsidR="009A581E" w:rsidRPr="000A1612" w:rsidRDefault="009A581E" w:rsidP="009A581E">
      <w:pPr>
        <w:widowControl w:val="0"/>
        <w:spacing w:after="0" w:line="240" w:lineRule="auto"/>
        <w:ind w:left="0" w:right="44" w:firstLine="0"/>
      </w:pPr>
      <w:r w:rsidRPr="000A1612">
        <w:t xml:space="preserve">HBeAg pozitívni pacienti (štúdia 022): liečba entekavirom po dobu až 96 týždňov (n = 354) viedla ku kumulatívnej miere odpovedí v hodnote 80 % pre HBV DNA &lt; 300 kópií/ml metódou PCR, 87 % pre normalizáciu ALT, 31 % pre HBeAg sérokonverziu a 2 % pre HBsAg sérokonverziu (5 % pre stratu HBsAg). Kumulatívna miera odpovedí pre lamivudín (n = 355) bola v hodnote 39 % pre HBV DNA &lt; 300 kópií/ml metódou PCR, 79 % pre normalizáciu ALT, 26% pre HBeAg sérokonverziu a 2 % pre HBsAg sérokonverziu (3 % pre stratu HBsAg). </w:t>
      </w:r>
    </w:p>
    <w:p w14:paraId="4A76A721" w14:textId="77777777" w:rsidR="009A581E" w:rsidRPr="000A1612" w:rsidRDefault="009A581E" w:rsidP="009A581E">
      <w:pPr>
        <w:widowControl w:val="0"/>
        <w:spacing w:after="0" w:line="240" w:lineRule="auto"/>
        <w:ind w:left="0" w:right="44" w:firstLine="0"/>
      </w:pPr>
      <w:r w:rsidRPr="000A1612">
        <w:t xml:space="preserve">Na konci dávkovacieho intervalu malo spomedzi pacientov, ktorí pokračovali v liečbe po 52 týždňoch (stredná doba 96 týždňov) 81 % z 243 pacientov liečených entekavirom a 39 % zo 164 pacientov liečených lamivudínom HBV DNA &lt; 300 kópií/ml metódou PCR, kým k normalizácii  </w:t>
      </w:r>
    </w:p>
    <w:p w14:paraId="44F669B7" w14:textId="77777777" w:rsidR="009A581E" w:rsidRPr="000A1612" w:rsidRDefault="009A581E" w:rsidP="009A581E">
      <w:pPr>
        <w:widowControl w:val="0"/>
        <w:spacing w:after="0" w:line="240" w:lineRule="auto"/>
        <w:ind w:left="0" w:right="44" w:firstLine="0"/>
      </w:pPr>
      <w:r w:rsidRPr="000A1612">
        <w:t>ALT (≤ 1-násobok ULN) došlo u 79 % pacientov liečených entekavirom a u 68 % pacientov liečených lamivudínom.</w:t>
      </w:r>
    </w:p>
    <w:p w14:paraId="3C426B52" w14:textId="77777777" w:rsidR="009A581E" w:rsidRPr="000A1612" w:rsidRDefault="009A581E" w:rsidP="009A581E">
      <w:pPr>
        <w:widowControl w:val="0"/>
        <w:spacing w:after="0" w:line="240" w:lineRule="auto"/>
        <w:ind w:left="0" w:firstLine="0"/>
      </w:pPr>
    </w:p>
    <w:p w14:paraId="5B1BFA76" w14:textId="77777777" w:rsidR="009A581E" w:rsidRPr="000A1612" w:rsidRDefault="009A581E" w:rsidP="009A581E">
      <w:pPr>
        <w:widowControl w:val="0"/>
        <w:spacing w:after="0" w:line="240" w:lineRule="auto"/>
        <w:ind w:left="0" w:right="44" w:firstLine="0"/>
      </w:pPr>
      <w:r w:rsidRPr="000A1612">
        <w:t xml:space="preserve">HBeAg negatívni pacienti (štúdia 027): liečba entekavirom po dobu až 96 týždňov (n = 325) viedla ku kumulatívnej miere odpovedí v hodnote 94 % pre HBV DNA &lt; 300 kópií/ml metódou PCR a 89 % pre normalizáciu ALT oproti 77 % pre HBV DNA &lt; 300 kópií/ml metódou PCR a 84 % pre normalizáciu ALT u pacientov liečených lamivudínom (n = 313). </w:t>
      </w:r>
    </w:p>
    <w:p w14:paraId="5B645A41" w14:textId="77777777" w:rsidR="009A581E" w:rsidRPr="000A1612" w:rsidRDefault="009A581E" w:rsidP="009A581E">
      <w:pPr>
        <w:widowControl w:val="0"/>
        <w:spacing w:after="0" w:line="240" w:lineRule="auto"/>
        <w:ind w:left="0" w:right="44" w:firstLine="0"/>
      </w:pPr>
      <w:r w:rsidRPr="000A1612">
        <w:t>V skupine 26 pacientov liečených entekavirom a 28 pacientov liečených lamivudínom, ktorí pokračovali v liečbe po 52 týždňoch (stredná doba 96 týždňov), malo na konci dávkovacieho intervalu HBV DNA &lt; 300 kópií/ml metódou PCR 96 % pacientov liečených entekavirom a 64 % pacientov liečených lamivudínom. K normalizácii ALT (≤ 1-násobok ULN) na konci dávkovacieho intervalu došlo u 27 % pacientov liečených entekavirom a</w:t>
      </w:r>
      <w:r w:rsidR="00675E2D">
        <w:t xml:space="preserve"> u </w:t>
      </w:r>
      <w:r w:rsidRPr="000A1612">
        <w:t>21 % pacientov liečených lamivudínom.</w:t>
      </w:r>
    </w:p>
    <w:p w14:paraId="33E76434" w14:textId="77777777" w:rsidR="009A581E" w:rsidRPr="000A1612" w:rsidRDefault="009A581E" w:rsidP="009A581E">
      <w:pPr>
        <w:widowControl w:val="0"/>
        <w:spacing w:after="0" w:line="240" w:lineRule="auto"/>
        <w:ind w:left="0" w:firstLine="0"/>
      </w:pPr>
    </w:p>
    <w:p w14:paraId="4EFBEAA4" w14:textId="77777777" w:rsidR="009A581E" w:rsidRPr="000A1612" w:rsidRDefault="009A581E" w:rsidP="009A581E">
      <w:pPr>
        <w:widowControl w:val="0"/>
        <w:spacing w:after="0" w:line="240" w:lineRule="auto"/>
        <w:ind w:left="0" w:right="44" w:firstLine="0"/>
      </w:pPr>
      <w:r w:rsidRPr="000A1612">
        <w:t xml:space="preserve">U pacientov, ktorí splnili protokolom definované kritériá pre odpoveď, trvala odpoveď počas celého </w:t>
      </w:r>
    </w:p>
    <w:p w14:paraId="316587EB" w14:textId="77777777" w:rsidR="009A581E" w:rsidRPr="000A1612" w:rsidRDefault="009A581E" w:rsidP="009A581E">
      <w:pPr>
        <w:widowControl w:val="0"/>
        <w:spacing w:after="0" w:line="240" w:lineRule="auto"/>
        <w:ind w:left="0" w:right="107" w:firstLine="0"/>
      </w:pPr>
      <w:r w:rsidRPr="000A1612">
        <w:t>24-týždňového sledovania po liečbe u 75 % (83/111) pacientov odpovedajúcich na entekavir oproti 73 % (68/93) pacientov odpovedajúcich na lamivudín v štúdii 022 a u 46 % (131/286) pacientov odpovedajúcich na entekavir oproti 31 % (79/253) pacientov odpovedajúcich na lamivudín v štúdii 027. V priebehu 48 týždňov sledovania po liečbe došlo u veľkého množstva HBeAg negatívnych pacientov k strate odpovede.</w:t>
      </w:r>
    </w:p>
    <w:p w14:paraId="1F1C2341" w14:textId="77777777" w:rsidR="009A581E" w:rsidRPr="000A1612" w:rsidRDefault="009A581E" w:rsidP="009A581E">
      <w:pPr>
        <w:widowControl w:val="0"/>
        <w:spacing w:after="0" w:line="240" w:lineRule="auto"/>
        <w:ind w:left="0" w:firstLine="0"/>
      </w:pPr>
    </w:p>
    <w:p w14:paraId="15814923" w14:textId="77777777" w:rsidR="009A581E" w:rsidRPr="000A1612" w:rsidRDefault="009A581E" w:rsidP="009A581E">
      <w:pPr>
        <w:widowControl w:val="0"/>
        <w:spacing w:after="0" w:line="240" w:lineRule="auto"/>
        <w:ind w:left="0" w:right="44" w:firstLine="0"/>
      </w:pPr>
      <w:r w:rsidRPr="000A1612">
        <w:t>Výsledky biopsie pečene: U 57 pacientov z pilotnej štúdie bez predchádzajúcej liečby nukleozidmi 022 (HBeAg pozitívni) a 027 (HBeAg negatívni), ktorí sa zúčastnili dlhodobej prechodovej štúdie, boli vyhodnocované dlhodobé výsledky histológie pečene. V pilotných štúdiách bola dávka entecaviru 0,5 mg denne (priemerná expozícia 85 týždňov) a 1 mg denne v prechodovej štúdii (priemerná expozícia 177 týždňov) a 51  pacientov v prechodovej štúdii dostávalo aj lamivudín (priemerne po dobu 29 týždňov). 55/57 (96 %) pacientov zaznamenalo histologické zlepšenie ako už bolo spomenuté (</w:t>
      </w:r>
      <w:r w:rsidR="002873FF">
        <w:t xml:space="preserve">pozri </w:t>
      </w:r>
      <w:r w:rsidRPr="000A1612">
        <w:t>vyššie) a 50/57 (88 %) zaznamenalo zníženie o ≥ 1- podľa Ishakovho skóre. Pacientom s počiatočnou hodnotou Ishakovho skóre ≥ 2, 25/43 (58 %) kleslo skóre o ≥ 2- body.</w:t>
      </w:r>
      <w:r w:rsidR="001A7A3F">
        <w:t xml:space="preserve"> </w:t>
      </w:r>
      <w:r w:rsidRPr="000A1612">
        <w:t>Všetci pacienti (10/10) s pokročilou fibrózou alebo cirhózou zaznamenali na začiatku (Ishakovo skóre 4,5 alebo 6) pokles  o ≥ 1 bod (priemerný pokles východiskovej hodnoty bol 1,5 bodu). V čase dlhodobej biopsie mali všetci pacienti HBV DNA &lt; 300 kópií/ml a 49/57 (86 %) mali sérum ALT ≤ 1-násobok ULN. Všetci 57 pacienti zotrvali HBsAg pozitívn</w:t>
      </w:r>
      <w:r w:rsidR="002873FF">
        <w:t>i</w:t>
      </w:r>
      <w:r w:rsidRPr="000A1612">
        <w:t>.</w:t>
      </w:r>
    </w:p>
    <w:p w14:paraId="1BDF72FF" w14:textId="77777777" w:rsidR="009A581E" w:rsidRPr="000A1612" w:rsidRDefault="009A581E" w:rsidP="009A581E">
      <w:pPr>
        <w:widowControl w:val="0"/>
        <w:spacing w:after="0" w:line="240" w:lineRule="auto"/>
        <w:ind w:left="0" w:firstLine="0"/>
      </w:pPr>
    </w:p>
    <w:p w14:paraId="664B6BB6" w14:textId="77777777" w:rsidR="009A581E" w:rsidRPr="000A1612" w:rsidRDefault="009A581E" w:rsidP="009A581E">
      <w:pPr>
        <w:widowControl w:val="0"/>
        <w:spacing w:after="0" w:line="240" w:lineRule="auto"/>
        <w:ind w:left="0" w:firstLine="0"/>
      </w:pPr>
      <w:r w:rsidRPr="000A1612">
        <w:rPr>
          <w:i/>
        </w:rPr>
        <w:lastRenderedPageBreak/>
        <w:t>Pac</w:t>
      </w:r>
      <w:r w:rsidR="001A7A3F">
        <w:rPr>
          <w:i/>
        </w:rPr>
        <w:t>ienti refraktérni na lamivudín:</w:t>
      </w:r>
    </w:p>
    <w:p w14:paraId="76702577" w14:textId="77777777" w:rsidR="009A581E" w:rsidRPr="000A1612" w:rsidRDefault="009A581E" w:rsidP="009A581E">
      <w:pPr>
        <w:widowControl w:val="0"/>
        <w:spacing w:after="0" w:line="240" w:lineRule="auto"/>
        <w:ind w:left="0" w:right="44" w:firstLine="0"/>
      </w:pPr>
      <w:r w:rsidRPr="000A1612">
        <w:t xml:space="preserve">HBeAg pozitívni pacienti (štúdia 026): liečba entekavirom po dobu až 96 týždňov (n = 141) viedla ku kumulatívnej miere odpovedí v hodnote 30 % pre HBV DNA &lt; 300 kópií/ml metódou PCR a 85 % pre normalizáciu ALT a 17 % pre HBeAg sérokonverziu. </w:t>
      </w:r>
    </w:p>
    <w:p w14:paraId="475A4C34" w14:textId="77777777" w:rsidR="009A581E" w:rsidRPr="000A1612" w:rsidRDefault="009A581E" w:rsidP="009A581E">
      <w:pPr>
        <w:widowControl w:val="0"/>
        <w:spacing w:after="0" w:line="240" w:lineRule="auto"/>
        <w:ind w:left="0" w:right="364" w:firstLine="0"/>
      </w:pPr>
      <w:r w:rsidRPr="000A1612">
        <w:t>V skupine 77 pacientov, ktorí pokračovali v liečbe entekavirom po 52 týždňoch (stredná doba 96 týždňov), malo na konci dávkovacieho intervalu HBV DNA &lt; 300 kópií/ml metódou PCR 40 % pacientov a k normalizácii ALT (≤ 1-násobok ULN) došlo u 81 %.</w:t>
      </w:r>
    </w:p>
    <w:p w14:paraId="6E2A3809" w14:textId="77777777" w:rsidR="009A581E" w:rsidRPr="000A1612" w:rsidRDefault="009A581E" w:rsidP="009A581E">
      <w:pPr>
        <w:widowControl w:val="0"/>
        <w:spacing w:after="0" w:line="240" w:lineRule="auto"/>
        <w:ind w:left="0" w:firstLine="0"/>
      </w:pPr>
    </w:p>
    <w:p w14:paraId="64B4A69B" w14:textId="77777777" w:rsidR="009A581E" w:rsidRPr="000A1612" w:rsidRDefault="001A7A3F" w:rsidP="009A581E">
      <w:pPr>
        <w:widowControl w:val="0"/>
        <w:spacing w:after="0" w:line="240" w:lineRule="auto"/>
        <w:ind w:left="0" w:firstLine="0"/>
      </w:pPr>
      <w:r>
        <w:rPr>
          <w:i/>
        </w:rPr>
        <w:t>Vek/pohlavie:</w:t>
      </w:r>
    </w:p>
    <w:p w14:paraId="01687389" w14:textId="77777777" w:rsidR="009A581E" w:rsidRPr="000A1612" w:rsidRDefault="009A581E" w:rsidP="009A581E">
      <w:pPr>
        <w:widowControl w:val="0"/>
        <w:spacing w:after="0" w:line="240" w:lineRule="auto"/>
        <w:ind w:left="0" w:right="824" w:firstLine="0"/>
      </w:pPr>
      <w:r w:rsidRPr="000A1612">
        <w:t>Nepozoroval sa viditeľný rozdiel v účinnosti entekaviru v závislosti na pohlaví (≈ 25 % žien v klinických štúdiách) alebo veku (≈ 5 % pacientov starších ako 65 rokov).</w:t>
      </w:r>
    </w:p>
    <w:p w14:paraId="1F24FF7A" w14:textId="77777777" w:rsidR="009A581E" w:rsidRPr="000A1612" w:rsidRDefault="009A581E" w:rsidP="009A581E">
      <w:pPr>
        <w:widowControl w:val="0"/>
        <w:spacing w:after="0" w:line="240" w:lineRule="auto"/>
        <w:ind w:left="0" w:firstLine="0"/>
      </w:pPr>
    </w:p>
    <w:p w14:paraId="4FB33319" w14:textId="77777777" w:rsidR="00C80AD3" w:rsidRDefault="00427D1B" w:rsidP="009A581E">
      <w:pPr>
        <w:widowControl w:val="0"/>
        <w:spacing w:after="0" w:line="240" w:lineRule="auto"/>
        <w:ind w:left="0" w:right="44" w:firstLine="0"/>
        <w:rPr>
          <w:i/>
          <w:u w:val="single" w:color="000000"/>
        </w:rPr>
      </w:pPr>
      <w:r>
        <w:rPr>
          <w:i/>
          <w:u w:val="single" w:color="000000"/>
        </w:rPr>
        <w:t>Osobitné skupiny pacientov</w:t>
      </w:r>
      <w:r w:rsidR="00C80AD3">
        <w:rPr>
          <w:i/>
          <w:u w:val="single" w:color="000000"/>
        </w:rPr>
        <w:t xml:space="preserve"> </w:t>
      </w:r>
    </w:p>
    <w:p w14:paraId="145F90E3" w14:textId="28BC3188" w:rsidR="009A581E" w:rsidRPr="000A1612" w:rsidRDefault="009A581E" w:rsidP="009A581E">
      <w:pPr>
        <w:widowControl w:val="0"/>
        <w:spacing w:after="0" w:line="240" w:lineRule="auto"/>
        <w:ind w:left="0" w:right="44" w:firstLine="0"/>
      </w:pPr>
      <w:r w:rsidRPr="000A1612">
        <w:rPr>
          <w:i/>
        </w:rPr>
        <w:t>Pacienti s dekompenzovaným ochorením pečene:</w:t>
      </w:r>
      <w:r w:rsidRPr="000A1612">
        <w:t xml:space="preserve"> v štúdii 048, 191 pacientov s HBeAg pozitívnou alebo negatívnou chronickou infekciou HBV a dôkazom hepatálnej dekompenzácie</w:t>
      </w:r>
      <w:r w:rsidR="0038779E">
        <w:t>,</w:t>
      </w:r>
      <w:r w:rsidRPr="000A1612">
        <w:t xml:space="preserve"> definovanej ako CT</w:t>
      </w:r>
      <w:r w:rsidR="0038779E">
        <w:t>P</w:t>
      </w:r>
      <w:r w:rsidRPr="000A1612">
        <w:t xml:space="preserve"> skóre 7 alebo vyššie, dostávalo entekavir 1 mg jedenkrát denne alebo adefovir</w:t>
      </w:r>
      <w:r w:rsidR="0038779E">
        <w:t>-</w:t>
      </w:r>
      <w:r w:rsidRPr="000A1612">
        <w:t>dipivoxil 10 mg jedenkrát denne. Pacienti boli buď predliečení na HBV alebo bez predchádzajúcej liečby HBV (okrem predchádzajúcej liečby entekavirom, adefovir</w:t>
      </w:r>
      <w:r w:rsidR="0038779E">
        <w:t>-</w:t>
      </w:r>
      <w:r w:rsidRPr="000A1612">
        <w:t>dipivoxilom alebo tenofovir</w:t>
      </w:r>
      <w:r w:rsidR="0038779E">
        <w:t>-</w:t>
      </w:r>
      <w:r w:rsidRPr="000A1612">
        <w:t>di</w:t>
      </w:r>
      <w:r w:rsidR="0038779E">
        <w:t>z</w:t>
      </w:r>
      <w:r w:rsidRPr="000A1612">
        <w:t>oproxilfumarátom). Na začiatku liečby mali pacienti priemerné CT</w:t>
      </w:r>
      <w:r w:rsidR="00B32D5C">
        <w:t>P</w:t>
      </w:r>
      <w:r w:rsidRPr="000A1612">
        <w:t xml:space="preserve"> skóre 8,59 a 26 % pacientov malo CT</w:t>
      </w:r>
      <w:r w:rsidR="00B32D5C">
        <w:t>P</w:t>
      </w:r>
      <w:r w:rsidRPr="000A1612">
        <w:t xml:space="preserve"> stupňa C. Priemerná bazálna hodnota skóre modelu pre konečné štádium ochorenia pečene (Model for End Stage Liver Disease, MELD) bola 16,23. Priemerná hodnota HBV DNA v sére bola 7,83 log</w:t>
      </w:r>
      <w:r w:rsidRPr="000A1612">
        <w:rPr>
          <w:vertAlign w:val="subscript"/>
        </w:rPr>
        <w:t>10</w:t>
      </w:r>
      <w:r w:rsidRPr="000A1612">
        <w:t xml:space="preserve"> kópií/ml metódou PCR a priemerná sérová ALT bola 100 U/l, 54 % pacientov bolo HBeAg pozitívnych a 35 % pacientov malo na začiatku liečby LVDr substitúcie. Entekavir bol významne účinnejší ako adefovir</w:t>
      </w:r>
      <w:r w:rsidR="00B32D5C">
        <w:t>-</w:t>
      </w:r>
      <w:r w:rsidRPr="000A1612">
        <w:t>dipivoxil v primárnom koncovom ukazovateli priemernej zmeny od bazálnej hodnoty sérovej HBV DNA metódou PCR v 24. týždni. Výsledky koncových ukazova</w:t>
      </w:r>
      <w:r w:rsidR="001A7A3F">
        <w:t xml:space="preserve">teľov jednotlivých štúdii v 24. </w:t>
      </w:r>
      <w:r w:rsidRPr="000A1612">
        <w:t>a 48. týždni sú uvedené v tabuľke.</w:t>
      </w:r>
    </w:p>
    <w:p w14:paraId="31462371" w14:textId="77777777" w:rsidR="009A581E" w:rsidRPr="000A1612" w:rsidRDefault="009A581E" w:rsidP="009A581E">
      <w:pPr>
        <w:widowControl w:val="0"/>
        <w:spacing w:after="0" w:line="240" w:lineRule="auto"/>
        <w:ind w:left="0" w:firstLine="0"/>
      </w:pPr>
    </w:p>
    <w:tbl>
      <w:tblPr>
        <w:tblStyle w:val="TableGrid"/>
        <w:tblW w:w="9134" w:type="dxa"/>
        <w:tblInd w:w="-8" w:type="dxa"/>
        <w:tblCellMar>
          <w:top w:w="78" w:type="dxa"/>
          <w:left w:w="31" w:type="dxa"/>
          <w:bottom w:w="39" w:type="dxa"/>
          <w:right w:w="14" w:type="dxa"/>
        </w:tblCellMar>
        <w:tblLook w:val="04A0" w:firstRow="1" w:lastRow="0" w:firstColumn="1" w:lastColumn="0" w:noHBand="0" w:noVBand="1"/>
      </w:tblPr>
      <w:tblGrid>
        <w:gridCol w:w="3945"/>
        <w:gridCol w:w="1325"/>
        <w:gridCol w:w="1301"/>
        <w:gridCol w:w="1325"/>
        <w:gridCol w:w="1238"/>
      </w:tblGrid>
      <w:tr w:rsidR="009A581E" w:rsidRPr="000A1612" w14:paraId="16E781F3"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6ACA6AC2" w14:textId="77777777" w:rsidR="009A581E" w:rsidRPr="000A1612" w:rsidRDefault="009A581E" w:rsidP="001A7A3F">
            <w:pPr>
              <w:widowControl w:val="0"/>
              <w:spacing w:after="0" w:line="240" w:lineRule="auto"/>
              <w:ind w:left="-31" w:firstLine="0"/>
            </w:pPr>
          </w:p>
        </w:tc>
        <w:tc>
          <w:tcPr>
            <w:tcW w:w="2626" w:type="dxa"/>
            <w:gridSpan w:val="2"/>
            <w:tcBorders>
              <w:top w:val="single" w:sz="6" w:space="0" w:color="000000"/>
              <w:left w:val="single" w:sz="6" w:space="0" w:color="000000"/>
              <w:bottom w:val="single" w:sz="6" w:space="0" w:color="000000"/>
              <w:right w:val="single" w:sz="6" w:space="0" w:color="000000"/>
            </w:tcBorders>
          </w:tcPr>
          <w:p w14:paraId="726E83F8" w14:textId="77777777" w:rsidR="009A581E" w:rsidRPr="000A1612" w:rsidRDefault="009A581E" w:rsidP="00155775">
            <w:pPr>
              <w:widowControl w:val="0"/>
              <w:spacing w:after="0" w:line="240" w:lineRule="auto"/>
              <w:ind w:left="0" w:firstLine="0"/>
              <w:jc w:val="center"/>
            </w:pPr>
            <w:r w:rsidRPr="000A1612">
              <w:t>Týždeň 24</w:t>
            </w:r>
          </w:p>
        </w:tc>
        <w:tc>
          <w:tcPr>
            <w:tcW w:w="2563" w:type="dxa"/>
            <w:gridSpan w:val="2"/>
            <w:tcBorders>
              <w:top w:val="single" w:sz="6" w:space="0" w:color="000000"/>
              <w:left w:val="single" w:sz="6" w:space="0" w:color="000000"/>
              <w:bottom w:val="single" w:sz="6" w:space="0" w:color="000000"/>
              <w:right w:val="single" w:sz="6" w:space="0" w:color="000000"/>
            </w:tcBorders>
          </w:tcPr>
          <w:p w14:paraId="14C9A5BA" w14:textId="77777777" w:rsidR="009A581E" w:rsidRPr="000A1612" w:rsidRDefault="009A581E" w:rsidP="00155775">
            <w:pPr>
              <w:widowControl w:val="0"/>
              <w:spacing w:after="0" w:line="240" w:lineRule="auto"/>
              <w:ind w:left="0" w:firstLine="0"/>
              <w:jc w:val="center"/>
            </w:pPr>
            <w:r w:rsidRPr="000A1612">
              <w:t>Týždeň 48</w:t>
            </w:r>
          </w:p>
        </w:tc>
      </w:tr>
      <w:tr w:rsidR="009A581E" w:rsidRPr="000A1612" w14:paraId="580E600D" w14:textId="77777777" w:rsidTr="001A7A3F">
        <w:trPr>
          <w:trHeight w:val="1337"/>
        </w:trPr>
        <w:tc>
          <w:tcPr>
            <w:tcW w:w="3945" w:type="dxa"/>
            <w:tcBorders>
              <w:top w:val="single" w:sz="6" w:space="0" w:color="000000"/>
              <w:left w:val="single" w:sz="6" w:space="0" w:color="000000"/>
              <w:bottom w:val="single" w:sz="4" w:space="0" w:color="000000"/>
              <w:right w:val="single" w:sz="6" w:space="0" w:color="000000"/>
            </w:tcBorders>
            <w:vAlign w:val="bottom"/>
          </w:tcPr>
          <w:p w14:paraId="4A7115A7" w14:textId="77777777" w:rsidR="009A581E" w:rsidRPr="000A1612" w:rsidRDefault="009A581E" w:rsidP="001A7A3F">
            <w:pPr>
              <w:widowControl w:val="0"/>
              <w:spacing w:after="0" w:line="240" w:lineRule="auto"/>
              <w:ind w:left="-716" w:firstLine="716"/>
            </w:pPr>
          </w:p>
        </w:tc>
        <w:tc>
          <w:tcPr>
            <w:tcW w:w="1325" w:type="dxa"/>
            <w:tcBorders>
              <w:top w:val="single" w:sz="6" w:space="0" w:color="000000"/>
              <w:left w:val="single" w:sz="6" w:space="0" w:color="000000"/>
              <w:bottom w:val="single" w:sz="4" w:space="0" w:color="000000"/>
              <w:right w:val="single" w:sz="6" w:space="0" w:color="000000"/>
            </w:tcBorders>
            <w:vAlign w:val="center"/>
          </w:tcPr>
          <w:p w14:paraId="6F58815B" w14:textId="77777777" w:rsidR="009A581E" w:rsidRPr="000A1612" w:rsidRDefault="009A581E" w:rsidP="00155775">
            <w:pPr>
              <w:widowControl w:val="0"/>
              <w:spacing w:after="0" w:line="240" w:lineRule="auto"/>
              <w:ind w:left="0" w:firstLine="0"/>
              <w:jc w:val="center"/>
            </w:pPr>
            <w:r w:rsidRPr="000A1612">
              <w:t>ETV</w:t>
            </w:r>
          </w:p>
          <w:p w14:paraId="31676A29" w14:textId="77777777" w:rsidR="009A581E" w:rsidRPr="000A1612" w:rsidRDefault="009A581E" w:rsidP="00155775">
            <w:pPr>
              <w:widowControl w:val="0"/>
              <w:spacing w:after="0" w:line="240" w:lineRule="auto"/>
              <w:ind w:left="0" w:firstLine="0"/>
              <w:jc w:val="center"/>
            </w:pPr>
            <w:r w:rsidRPr="000A1612">
              <w:t>1 mg jedenkrát denne</w:t>
            </w:r>
          </w:p>
        </w:tc>
        <w:tc>
          <w:tcPr>
            <w:tcW w:w="1301" w:type="dxa"/>
            <w:tcBorders>
              <w:top w:val="single" w:sz="6" w:space="0" w:color="000000"/>
              <w:left w:val="single" w:sz="6" w:space="0" w:color="000000"/>
              <w:bottom w:val="single" w:sz="4" w:space="0" w:color="000000"/>
              <w:right w:val="single" w:sz="6" w:space="0" w:color="000000"/>
            </w:tcBorders>
          </w:tcPr>
          <w:p w14:paraId="67606229" w14:textId="77777777" w:rsidR="009A581E" w:rsidRPr="000A1612" w:rsidRDefault="009A581E" w:rsidP="00155775">
            <w:pPr>
              <w:widowControl w:val="0"/>
              <w:spacing w:after="0" w:line="240" w:lineRule="auto"/>
              <w:ind w:left="0" w:firstLine="0"/>
              <w:jc w:val="center"/>
            </w:pPr>
            <w:r w:rsidRPr="000A1612">
              <w:t>Adefovir</w:t>
            </w:r>
            <w:r w:rsidR="00D27DB0">
              <w:t>-</w:t>
            </w:r>
          </w:p>
          <w:p w14:paraId="77A2B2BB" w14:textId="77777777" w:rsidR="009A581E" w:rsidRPr="000A1612" w:rsidRDefault="00D27DB0" w:rsidP="00155775">
            <w:pPr>
              <w:widowControl w:val="0"/>
              <w:spacing w:after="0" w:line="240" w:lineRule="auto"/>
              <w:ind w:left="0" w:firstLine="0"/>
              <w:jc w:val="center"/>
            </w:pPr>
            <w:r>
              <w:t>d</w:t>
            </w:r>
            <w:r w:rsidR="009A581E" w:rsidRPr="000A1612">
              <w:t>ipivoxil</w:t>
            </w:r>
          </w:p>
          <w:p w14:paraId="37AFA918" w14:textId="77777777" w:rsidR="009A581E" w:rsidRPr="000A1612" w:rsidRDefault="001A7A3F" w:rsidP="00155775">
            <w:pPr>
              <w:widowControl w:val="0"/>
              <w:spacing w:after="0" w:line="240" w:lineRule="auto"/>
              <w:ind w:left="0" w:firstLine="0"/>
              <w:jc w:val="center"/>
            </w:pPr>
            <w:r>
              <w:t>10 mg jedenkrát denne</w:t>
            </w:r>
          </w:p>
        </w:tc>
        <w:tc>
          <w:tcPr>
            <w:tcW w:w="1325" w:type="dxa"/>
            <w:tcBorders>
              <w:top w:val="single" w:sz="6" w:space="0" w:color="000000"/>
              <w:left w:val="single" w:sz="6" w:space="0" w:color="000000"/>
              <w:bottom w:val="single" w:sz="4" w:space="0" w:color="000000"/>
              <w:right w:val="single" w:sz="6" w:space="0" w:color="000000"/>
            </w:tcBorders>
            <w:vAlign w:val="center"/>
          </w:tcPr>
          <w:p w14:paraId="68F6CC9E" w14:textId="77777777" w:rsidR="009A581E" w:rsidRPr="000A1612" w:rsidRDefault="009A581E" w:rsidP="00155775">
            <w:pPr>
              <w:widowControl w:val="0"/>
              <w:spacing w:after="0" w:line="240" w:lineRule="auto"/>
              <w:ind w:left="0" w:firstLine="0"/>
              <w:jc w:val="center"/>
            </w:pPr>
            <w:r w:rsidRPr="000A1612">
              <w:t>ETV</w:t>
            </w:r>
          </w:p>
          <w:p w14:paraId="5F14AD80" w14:textId="77777777" w:rsidR="009A581E" w:rsidRPr="000A1612" w:rsidRDefault="001A7A3F" w:rsidP="00155775">
            <w:pPr>
              <w:widowControl w:val="0"/>
              <w:spacing w:after="0" w:line="240" w:lineRule="auto"/>
              <w:ind w:left="0" w:firstLine="0"/>
              <w:jc w:val="center"/>
            </w:pPr>
            <w:r>
              <w:t>1 mg jedenkrát denne</w:t>
            </w:r>
          </w:p>
        </w:tc>
        <w:tc>
          <w:tcPr>
            <w:tcW w:w="1238" w:type="dxa"/>
            <w:tcBorders>
              <w:top w:val="single" w:sz="6" w:space="0" w:color="000000"/>
              <w:left w:val="single" w:sz="6" w:space="0" w:color="000000"/>
              <w:bottom w:val="single" w:sz="4" w:space="0" w:color="000000"/>
              <w:right w:val="single" w:sz="6" w:space="0" w:color="000000"/>
            </w:tcBorders>
          </w:tcPr>
          <w:p w14:paraId="3750FB1D" w14:textId="77777777" w:rsidR="009A581E" w:rsidRPr="000A1612" w:rsidRDefault="009A581E" w:rsidP="00130E2E">
            <w:pPr>
              <w:widowControl w:val="0"/>
              <w:spacing w:after="0" w:line="240" w:lineRule="auto"/>
              <w:ind w:left="0" w:firstLine="0"/>
              <w:jc w:val="center"/>
            </w:pPr>
            <w:r w:rsidRPr="000A1612">
              <w:t>Adefovir</w:t>
            </w:r>
            <w:r w:rsidR="00D27DB0">
              <w:t>-</w:t>
            </w:r>
            <w:r w:rsidRPr="000A1612">
              <w:t xml:space="preserve"> </w:t>
            </w:r>
          </w:p>
          <w:p w14:paraId="38BE6BCA" w14:textId="77777777" w:rsidR="009A581E" w:rsidRPr="000A1612" w:rsidRDefault="00D27DB0" w:rsidP="00130E2E">
            <w:pPr>
              <w:widowControl w:val="0"/>
              <w:spacing w:after="0" w:line="240" w:lineRule="auto"/>
              <w:ind w:left="0" w:firstLine="0"/>
              <w:jc w:val="center"/>
            </w:pPr>
            <w:r>
              <w:t>d</w:t>
            </w:r>
            <w:r w:rsidR="009A581E" w:rsidRPr="000A1612">
              <w:t xml:space="preserve">ipivoxil </w:t>
            </w:r>
          </w:p>
          <w:p w14:paraId="7C39FF91" w14:textId="77777777" w:rsidR="009A581E" w:rsidRPr="000A1612" w:rsidRDefault="001A7A3F" w:rsidP="00130E2E">
            <w:pPr>
              <w:widowControl w:val="0"/>
              <w:spacing w:after="0" w:line="240" w:lineRule="auto"/>
              <w:ind w:left="0" w:firstLine="0"/>
              <w:jc w:val="center"/>
            </w:pPr>
            <w:r>
              <w:t>10 mg jedenkrát denne</w:t>
            </w:r>
          </w:p>
        </w:tc>
      </w:tr>
      <w:tr w:rsidR="009A581E" w:rsidRPr="000A1612" w14:paraId="78323FFE" w14:textId="77777777" w:rsidTr="001A7A3F">
        <w:trPr>
          <w:trHeight w:val="324"/>
        </w:trPr>
        <w:tc>
          <w:tcPr>
            <w:tcW w:w="3945" w:type="dxa"/>
            <w:tcBorders>
              <w:top w:val="single" w:sz="4" w:space="0" w:color="000000"/>
              <w:left w:val="single" w:sz="4" w:space="0" w:color="000000"/>
              <w:bottom w:val="single" w:sz="4" w:space="0" w:color="000000"/>
              <w:right w:val="single" w:sz="4" w:space="0" w:color="000000"/>
            </w:tcBorders>
          </w:tcPr>
          <w:p w14:paraId="3A87AEA9" w14:textId="77777777" w:rsidR="009A581E" w:rsidRPr="000A1612" w:rsidRDefault="001A7A3F" w:rsidP="00130E2E">
            <w:pPr>
              <w:widowControl w:val="0"/>
              <w:spacing w:after="0" w:line="240" w:lineRule="auto"/>
              <w:ind w:left="0" w:firstLine="0"/>
            </w:pPr>
            <w:r>
              <w:t>n</w:t>
            </w:r>
          </w:p>
        </w:tc>
        <w:tc>
          <w:tcPr>
            <w:tcW w:w="1325" w:type="dxa"/>
            <w:tcBorders>
              <w:top w:val="single" w:sz="4" w:space="0" w:color="000000"/>
              <w:left w:val="single" w:sz="4" w:space="0" w:color="000000"/>
              <w:bottom w:val="single" w:sz="4" w:space="0" w:color="000000"/>
              <w:right w:val="single" w:sz="4" w:space="0" w:color="000000"/>
            </w:tcBorders>
          </w:tcPr>
          <w:p w14:paraId="02445E5E" w14:textId="77777777" w:rsidR="009A581E" w:rsidRPr="000A1612" w:rsidRDefault="001A7A3F" w:rsidP="00155775">
            <w:pPr>
              <w:widowControl w:val="0"/>
              <w:spacing w:after="0" w:line="240" w:lineRule="auto"/>
              <w:ind w:left="0" w:firstLine="0"/>
              <w:jc w:val="center"/>
            </w:pPr>
            <w:r>
              <w:t>100</w:t>
            </w:r>
          </w:p>
        </w:tc>
        <w:tc>
          <w:tcPr>
            <w:tcW w:w="1301" w:type="dxa"/>
            <w:tcBorders>
              <w:top w:val="single" w:sz="4" w:space="0" w:color="000000"/>
              <w:left w:val="single" w:sz="4" w:space="0" w:color="000000"/>
              <w:bottom w:val="single" w:sz="4" w:space="0" w:color="000000"/>
              <w:right w:val="single" w:sz="4" w:space="0" w:color="000000"/>
            </w:tcBorders>
          </w:tcPr>
          <w:p w14:paraId="13E4EEE1" w14:textId="77777777" w:rsidR="009A581E" w:rsidRPr="000A1612" w:rsidRDefault="001A7A3F" w:rsidP="00155775">
            <w:pPr>
              <w:widowControl w:val="0"/>
              <w:spacing w:after="0" w:line="240" w:lineRule="auto"/>
              <w:ind w:left="0" w:firstLine="0"/>
              <w:jc w:val="center"/>
            </w:pPr>
            <w:r>
              <w:t>91</w:t>
            </w:r>
          </w:p>
        </w:tc>
        <w:tc>
          <w:tcPr>
            <w:tcW w:w="1325" w:type="dxa"/>
            <w:tcBorders>
              <w:top w:val="single" w:sz="4" w:space="0" w:color="000000"/>
              <w:left w:val="single" w:sz="4" w:space="0" w:color="000000"/>
              <w:bottom w:val="single" w:sz="4" w:space="0" w:color="000000"/>
              <w:right w:val="single" w:sz="4" w:space="0" w:color="000000"/>
            </w:tcBorders>
          </w:tcPr>
          <w:p w14:paraId="50ACE017" w14:textId="77777777" w:rsidR="009A581E" w:rsidRPr="000A1612" w:rsidRDefault="001A7A3F" w:rsidP="00155775">
            <w:pPr>
              <w:widowControl w:val="0"/>
              <w:spacing w:after="0" w:line="240" w:lineRule="auto"/>
              <w:ind w:left="0" w:firstLine="0"/>
              <w:jc w:val="center"/>
            </w:pPr>
            <w:r>
              <w:t>100</w:t>
            </w:r>
          </w:p>
        </w:tc>
        <w:tc>
          <w:tcPr>
            <w:tcW w:w="1238" w:type="dxa"/>
            <w:tcBorders>
              <w:top w:val="single" w:sz="4" w:space="0" w:color="000000"/>
              <w:left w:val="single" w:sz="4" w:space="0" w:color="000000"/>
              <w:bottom w:val="single" w:sz="4" w:space="0" w:color="000000"/>
              <w:right w:val="single" w:sz="4" w:space="0" w:color="000000"/>
            </w:tcBorders>
          </w:tcPr>
          <w:p w14:paraId="131DC599" w14:textId="77777777" w:rsidR="009A581E" w:rsidRPr="000A1612" w:rsidRDefault="001A7A3F" w:rsidP="00130E2E">
            <w:pPr>
              <w:widowControl w:val="0"/>
              <w:spacing w:after="0" w:line="240" w:lineRule="auto"/>
              <w:ind w:left="0" w:firstLine="0"/>
              <w:jc w:val="center"/>
            </w:pPr>
            <w:r>
              <w:t>91</w:t>
            </w:r>
          </w:p>
        </w:tc>
      </w:tr>
      <w:tr w:rsidR="009A581E" w:rsidRPr="000A1612" w14:paraId="75AFB093" w14:textId="77777777" w:rsidTr="001A7A3F">
        <w:trPr>
          <w:trHeight w:val="324"/>
        </w:trPr>
        <w:tc>
          <w:tcPr>
            <w:tcW w:w="3945" w:type="dxa"/>
            <w:tcBorders>
              <w:top w:val="single" w:sz="4" w:space="0" w:color="000000"/>
              <w:left w:val="single" w:sz="6" w:space="0" w:color="000000"/>
              <w:bottom w:val="single" w:sz="6" w:space="0" w:color="000000"/>
              <w:right w:val="nil"/>
            </w:tcBorders>
          </w:tcPr>
          <w:p w14:paraId="3ACDE311" w14:textId="77777777" w:rsidR="009A581E" w:rsidRPr="000A1612" w:rsidRDefault="009A581E" w:rsidP="00130E2E">
            <w:pPr>
              <w:widowControl w:val="0"/>
              <w:spacing w:after="0" w:line="240" w:lineRule="auto"/>
              <w:ind w:left="0" w:firstLine="0"/>
            </w:pPr>
            <w:r w:rsidRPr="000A1612">
              <w:t>HBV DNA</w:t>
            </w:r>
            <w:r w:rsidRPr="000A1612">
              <w:rPr>
                <w:vertAlign w:val="superscript"/>
              </w:rPr>
              <w:t>a</w:t>
            </w:r>
          </w:p>
        </w:tc>
        <w:tc>
          <w:tcPr>
            <w:tcW w:w="2626" w:type="dxa"/>
            <w:gridSpan w:val="2"/>
            <w:tcBorders>
              <w:top w:val="single" w:sz="4" w:space="0" w:color="000000"/>
              <w:left w:val="nil"/>
              <w:bottom w:val="single" w:sz="6" w:space="0" w:color="000000"/>
              <w:right w:val="nil"/>
            </w:tcBorders>
          </w:tcPr>
          <w:p w14:paraId="078CDD51" w14:textId="77777777" w:rsidR="009A581E" w:rsidRPr="000A1612" w:rsidRDefault="009A581E" w:rsidP="00155775">
            <w:pPr>
              <w:widowControl w:val="0"/>
              <w:spacing w:after="0" w:line="240" w:lineRule="auto"/>
              <w:ind w:left="0" w:firstLine="0"/>
              <w:jc w:val="center"/>
            </w:pPr>
          </w:p>
        </w:tc>
        <w:tc>
          <w:tcPr>
            <w:tcW w:w="2563" w:type="dxa"/>
            <w:gridSpan w:val="2"/>
            <w:tcBorders>
              <w:top w:val="single" w:sz="4" w:space="0" w:color="000000"/>
              <w:left w:val="nil"/>
              <w:bottom w:val="single" w:sz="6" w:space="0" w:color="000000"/>
              <w:right w:val="single" w:sz="6" w:space="0" w:color="000000"/>
            </w:tcBorders>
          </w:tcPr>
          <w:p w14:paraId="4213339C" w14:textId="77777777" w:rsidR="009A581E" w:rsidRPr="000A1612" w:rsidRDefault="009A581E" w:rsidP="00155775">
            <w:pPr>
              <w:widowControl w:val="0"/>
              <w:spacing w:after="0" w:line="240" w:lineRule="auto"/>
              <w:ind w:left="0" w:firstLine="0"/>
              <w:jc w:val="center"/>
            </w:pPr>
          </w:p>
        </w:tc>
      </w:tr>
      <w:tr w:rsidR="009A581E" w:rsidRPr="000A1612" w14:paraId="3F410B56"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7015ED7D" w14:textId="77777777" w:rsidR="009A581E" w:rsidRPr="000A1612" w:rsidRDefault="009A581E" w:rsidP="00130E2E">
            <w:pPr>
              <w:widowControl w:val="0"/>
              <w:spacing w:after="0" w:line="240" w:lineRule="auto"/>
              <w:ind w:left="0" w:firstLine="0"/>
            </w:pPr>
            <w:r w:rsidRPr="000A1612">
              <w:t>Nedetegovateľný podiel (&lt;300 kópií/ml)</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1444B871" w14:textId="77777777" w:rsidR="009A581E" w:rsidRPr="000A1612" w:rsidRDefault="001A7A3F" w:rsidP="00155775">
            <w:pPr>
              <w:widowControl w:val="0"/>
              <w:spacing w:after="0" w:line="240" w:lineRule="auto"/>
              <w:ind w:left="0" w:firstLine="0"/>
              <w:jc w:val="center"/>
            </w:pPr>
            <w:r>
              <w:t>49 %*</w:t>
            </w:r>
          </w:p>
        </w:tc>
        <w:tc>
          <w:tcPr>
            <w:tcW w:w="1301" w:type="dxa"/>
            <w:tcBorders>
              <w:top w:val="single" w:sz="6" w:space="0" w:color="000000"/>
              <w:left w:val="single" w:sz="6" w:space="0" w:color="000000"/>
              <w:bottom w:val="single" w:sz="6" w:space="0" w:color="000000"/>
              <w:right w:val="single" w:sz="6" w:space="0" w:color="000000"/>
            </w:tcBorders>
          </w:tcPr>
          <w:p w14:paraId="2B648D69" w14:textId="77777777" w:rsidR="009A581E" w:rsidRPr="000A1612" w:rsidRDefault="009A581E" w:rsidP="00155775">
            <w:pPr>
              <w:widowControl w:val="0"/>
              <w:spacing w:after="0" w:line="240" w:lineRule="auto"/>
              <w:ind w:left="0" w:firstLine="0"/>
              <w:jc w:val="center"/>
            </w:pPr>
            <w:r w:rsidRPr="000A1612">
              <w:t>16</w:t>
            </w:r>
            <w:r w:rsidRPr="000A1612">
              <w:rPr>
                <w:b/>
              </w:rPr>
              <w:t xml:space="preserve"> </w:t>
            </w:r>
            <w:r w:rsidR="001A7A3F">
              <w:t>%</w:t>
            </w:r>
          </w:p>
        </w:tc>
        <w:tc>
          <w:tcPr>
            <w:tcW w:w="1325" w:type="dxa"/>
            <w:tcBorders>
              <w:top w:val="single" w:sz="6" w:space="0" w:color="000000"/>
              <w:left w:val="single" w:sz="6" w:space="0" w:color="000000"/>
              <w:bottom w:val="single" w:sz="6" w:space="0" w:color="000000"/>
              <w:right w:val="single" w:sz="6" w:space="0" w:color="000000"/>
            </w:tcBorders>
          </w:tcPr>
          <w:p w14:paraId="4B91BE20" w14:textId="77777777" w:rsidR="009A581E" w:rsidRPr="000A1612" w:rsidRDefault="001A7A3F" w:rsidP="00155775">
            <w:pPr>
              <w:widowControl w:val="0"/>
              <w:spacing w:after="0" w:line="240" w:lineRule="auto"/>
              <w:ind w:left="0" w:firstLine="0"/>
              <w:jc w:val="center"/>
            </w:pPr>
            <w:r>
              <w:t>57 %*</w:t>
            </w:r>
          </w:p>
        </w:tc>
        <w:tc>
          <w:tcPr>
            <w:tcW w:w="1238" w:type="dxa"/>
            <w:tcBorders>
              <w:top w:val="single" w:sz="6" w:space="0" w:color="000000"/>
              <w:left w:val="single" w:sz="6" w:space="0" w:color="000000"/>
              <w:bottom w:val="single" w:sz="6" w:space="0" w:color="000000"/>
              <w:right w:val="single" w:sz="6" w:space="0" w:color="000000"/>
            </w:tcBorders>
          </w:tcPr>
          <w:p w14:paraId="3137A851" w14:textId="77777777" w:rsidR="009A581E" w:rsidRPr="000A1612" w:rsidRDefault="001A7A3F" w:rsidP="00130E2E">
            <w:pPr>
              <w:widowControl w:val="0"/>
              <w:spacing w:after="0" w:line="240" w:lineRule="auto"/>
              <w:ind w:left="0" w:firstLine="0"/>
              <w:jc w:val="center"/>
            </w:pPr>
            <w:r>
              <w:t>20 %</w:t>
            </w:r>
          </w:p>
        </w:tc>
      </w:tr>
      <w:tr w:rsidR="009A581E" w:rsidRPr="000A1612" w14:paraId="60DB4EE7" w14:textId="77777777" w:rsidTr="001A7A3F">
        <w:trPr>
          <w:trHeight w:val="581"/>
        </w:trPr>
        <w:tc>
          <w:tcPr>
            <w:tcW w:w="3945" w:type="dxa"/>
            <w:tcBorders>
              <w:top w:val="single" w:sz="6" w:space="0" w:color="000000"/>
              <w:left w:val="single" w:sz="6" w:space="0" w:color="000000"/>
              <w:bottom w:val="single" w:sz="6" w:space="0" w:color="000000"/>
              <w:right w:val="single" w:sz="6" w:space="0" w:color="000000"/>
            </w:tcBorders>
          </w:tcPr>
          <w:p w14:paraId="3D5CA8E6" w14:textId="77777777" w:rsidR="009A581E" w:rsidRPr="000A1612" w:rsidRDefault="009A581E" w:rsidP="00130E2E">
            <w:pPr>
              <w:widowControl w:val="0"/>
              <w:spacing w:after="0" w:line="240" w:lineRule="auto"/>
              <w:ind w:left="0" w:firstLine="0"/>
            </w:pPr>
            <w:r w:rsidRPr="000A1612">
              <w:t xml:space="preserve">Priemerná zmena bazálnej hodnoty </w:t>
            </w:r>
          </w:p>
          <w:p w14:paraId="26C86469" w14:textId="77777777" w:rsidR="009A581E" w:rsidRPr="000A1612" w:rsidRDefault="009A581E" w:rsidP="00130E2E">
            <w:pPr>
              <w:widowControl w:val="0"/>
              <w:spacing w:after="0" w:line="240" w:lineRule="auto"/>
              <w:ind w:left="0" w:firstLine="0"/>
            </w:pPr>
            <w:r w:rsidRPr="000A1612">
              <w:t>(log</w:t>
            </w:r>
            <w:r w:rsidRPr="000A1612">
              <w:rPr>
                <w:vertAlign w:val="subscript"/>
              </w:rPr>
              <w:t>10</w:t>
            </w:r>
            <w:r w:rsidRPr="000A1612">
              <w:t xml:space="preserve"> kópií/ml)</w:t>
            </w:r>
            <w:r w:rsidRPr="000A1612">
              <w:rPr>
                <w:vertAlign w:val="superscript"/>
              </w:rPr>
              <w:t>c</w:t>
            </w:r>
            <w:r w:rsidRPr="000A1612">
              <w:t xml:space="preserve"> </w:t>
            </w:r>
          </w:p>
        </w:tc>
        <w:tc>
          <w:tcPr>
            <w:tcW w:w="1325" w:type="dxa"/>
            <w:tcBorders>
              <w:top w:val="single" w:sz="6" w:space="0" w:color="000000"/>
              <w:left w:val="single" w:sz="6" w:space="0" w:color="000000"/>
              <w:bottom w:val="single" w:sz="6" w:space="0" w:color="000000"/>
              <w:right w:val="single" w:sz="6" w:space="0" w:color="000000"/>
            </w:tcBorders>
            <w:vAlign w:val="center"/>
          </w:tcPr>
          <w:p w14:paraId="70C0D65A" w14:textId="77777777" w:rsidR="009A581E" w:rsidRPr="000A1612" w:rsidRDefault="001A7A3F" w:rsidP="00155775">
            <w:pPr>
              <w:widowControl w:val="0"/>
              <w:spacing w:after="0" w:line="240" w:lineRule="auto"/>
              <w:ind w:left="0" w:firstLine="0"/>
              <w:jc w:val="center"/>
            </w:pPr>
            <w:r>
              <w:t>-4,48*</w:t>
            </w:r>
          </w:p>
        </w:tc>
        <w:tc>
          <w:tcPr>
            <w:tcW w:w="1301" w:type="dxa"/>
            <w:tcBorders>
              <w:top w:val="single" w:sz="6" w:space="0" w:color="000000"/>
              <w:left w:val="single" w:sz="6" w:space="0" w:color="000000"/>
              <w:bottom w:val="single" w:sz="6" w:space="0" w:color="000000"/>
              <w:right w:val="single" w:sz="6" w:space="0" w:color="000000"/>
            </w:tcBorders>
            <w:vAlign w:val="center"/>
          </w:tcPr>
          <w:p w14:paraId="30EC1C1A" w14:textId="77777777" w:rsidR="009A581E" w:rsidRPr="000A1612" w:rsidRDefault="001A7A3F" w:rsidP="00155775">
            <w:pPr>
              <w:widowControl w:val="0"/>
              <w:spacing w:after="0" w:line="240" w:lineRule="auto"/>
              <w:ind w:left="0" w:firstLine="0"/>
              <w:jc w:val="center"/>
            </w:pPr>
            <w:r>
              <w:t>-3,40</w:t>
            </w:r>
          </w:p>
        </w:tc>
        <w:tc>
          <w:tcPr>
            <w:tcW w:w="1325" w:type="dxa"/>
            <w:tcBorders>
              <w:top w:val="single" w:sz="6" w:space="0" w:color="000000"/>
              <w:left w:val="single" w:sz="6" w:space="0" w:color="000000"/>
              <w:bottom w:val="single" w:sz="6" w:space="0" w:color="000000"/>
              <w:right w:val="single" w:sz="6" w:space="0" w:color="000000"/>
            </w:tcBorders>
            <w:vAlign w:val="center"/>
          </w:tcPr>
          <w:p w14:paraId="6CFEF061" w14:textId="77777777" w:rsidR="009A581E" w:rsidRPr="000A1612" w:rsidRDefault="001A7A3F" w:rsidP="00155775">
            <w:pPr>
              <w:widowControl w:val="0"/>
              <w:spacing w:after="0" w:line="240" w:lineRule="auto"/>
              <w:ind w:left="0" w:firstLine="0"/>
              <w:jc w:val="center"/>
            </w:pPr>
            <w:r>
              <w:t>-4,66</w:t>
            </w:r>
          </w:p>
        </w:tc>
        <w:tc>
          <w:tcPr>
            <w:tcW w:w="1238" w:type="dxa"/>
            <w:tcBorders>
              <w:top w:val="single" w:sz="6" w:space="0" w:color="000000"/>
              <w:left w:val="single" w:sz="6" w:space="0" w:color="000000"/>
              <w:bottom w:val="single" w:sz="6" w:space="0" w:color="000000"/>
              <w:right w:val="single" w:sz="6" w:space="0" w:color="000000"/>
            </w:tcBorders>
            <w:vAlign w:val="center"/>
          </w:tcPr>
          <w:p w14:paraId="0B589867" w14:textId="77777777" w:rsidR="009A581E" w:rsidRPr="000A1612" w:rsidRDefault="001A7A3F" w:rsidP="00130E2E">
            <w:pPr>
              <w:widowControl w:val="0"/>
              <w:spacing w:after="0" w:line="240" w:lineRule="auto"/>
              <w:ind w:left="0" w:firstLine="0"/>
              <w:jc w:val="center"/>
            </w:pPr>
            <w:r>
              <w:t>-3,90</w:t>
            </w:r>
          </w:p>
        </w:tc>
      </w:tr>
      <w:tr w:rsidR="009A581E" w:rsidRPr="000A1612" w14:paraId="2319DFE6"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586EE98E" w14:textId="77777777" w:rsidR="009A581E" w:rsidRPr="000A1612" w:rsidRDefault="009A581E" w:rsidP="00130E2E">
            <w:pPr>
              <w:widowControl w:val="0"/>
              <w:spacing w:after="0" w:line="240" w:lineRule="auto"/>
              <w:ind w:left="0" w:firstLine="0"/>
            </w:pPr>
            <w:r w:rsidRPr="000A1612">
              <w:t>Stabilné alebo zlepšené CTP skóre</w:t>
            </w:r>
            <w:r w:rsidRPr="000A1612">
              <w:rPr>
                <w:vertAlign w:val="superscript"/>
              </w:rPr>
              <w:t>b,d</w:t>
            </w:r>
          </w:p>
        </w:tc>
        <w:tc>
          <w:tcPr>
            <w:tcW w:w="1325" w:type="dxa"/>
            <w:tcBorders>
              <w:top w:val="single" w:sz="6" w:space="0" w:color="000000"/>
              <w:left w:val="single" w:sz="6" w:space="0" w:color="000000"/>
              <w:bottom w:val="single" w:sz="6" w:space="0" w:color="000000"/>
              <w:right w:val="single" w:sz="6" w:space="0" w:color="000000"/>
            </w:tcBorders>
          </w:tcPr>
          <w:p w14:paraId="3202CD2B" w14:textId="77777777" w:rsidR="009A581E" w:rsidRPr="000A1612" w:rsidRDefault="001A7A3F" w:rsidP="00155775">
            <w:pPr>
              <w:widowControl w:val="0"/>
              <w:spacing w:after="0" w:line="240" w:lineRule="auto"/>
              <w:ind w:left="0" w:firstLine="0"/>
              <w:jc w:val="center"/>
            </w:pPr>
            <w:r>
              <w:t>66 %</w:t>
            </w:r>
          </w:p>
        </w:tc>
        <w:tc>
          <w:tcPr>
            <w:tcW w:w="1301" w:type="dxa"/>
            <w:tcBorders>
              <w:top w:val="single" w:sz="6" w:space="0" w:color="000000"/>
              <w:left w:val="single" w:sz="6" w:space="0" w:color="000000"/>
              <w:bottom w:val="single" w:sz="6" w:space="0" w:color="000000"/>
              <w:right w:val="single" w:sz="6" w:space="0" w:color="000000"/>
            </w:tcBorders>
          </w:tcPr>
          <w:p w14:paraId="3085C9A2" w14:textId="77777777" w:rsidR="009A581E" w:rsidRPr="000A1612" w:rsidRDefault="001A7A3F" w:rsidP="00155775">
            <w:pPr>
              <w:widowControl w:val="0"/>
              <w:spacing w:after="0" w:line="240" w:lineRule="auto"/>
              <w:ind w:left="0" w:firstLine="0"/>
              <w:jc w:val="center"/>
            </w:pPr>
            <w:r>
              <w:t>71 %</w:t>
            </w:r>
          </w:p>
        </w:tc>
        <w:tc>
          <w:tcPr>
            <w:tcW w:w="1325" w:type="dxa"/>
            <w:tcBorders>
              <w:top w:val="single" w:sz="6" w:space="0" w:color="000000"/>
              <w:left w:val="single" w:sz="6" w:space="0" w:color="000000"/>
              <w:bottom w:val="single" w:sz="6" w:space="0" w:color="000000"/>
              <w:right w:val="single" w:sz="6" w:space="0" w:color="000000"/>
            </w:tcBorders>
          </w:tcPr>
          <w:p w14:paraId="17950B9E" w14:textId="77777777" w:rsidR="009A581E" w:rsidRPr="000A1612" w:rsidRDefault="001A7A3F" w:rsidP="00155775">
            <w:pPr>
              <w:widowControl w:val="0"/>
              <w:spacing w:after="0" w:line="240" w:lineRule="auto"/>
              <w:ind w:left="0" w:firstLine="0"/>
              <w:jc w:val="center"/>
            </w:pPr>
            <w:r>
              <w:t>61 %</w:t>
            </w:r>
          </w:p>
        </w:tc>
        <w:tc>
          <w:tcPr>
            <w:tcW w:w="1238" w:type="dxa"/>
            <w:tcBorders>
              <w:top w:val="single" w:sz="6" w:space="0" w:color="000000"/>
              <w:left w:val="single" w:sz="6" w:space="0" w:color="000000"/>
              <w:bottom w:val="single" w:sz="6" w:space="0" w:color="000000"/>
              <w:right w:val="single" w:sz="6" w:space="0" w:color="000000"/>
            </w:tcBorders>
          </w:tcPr>
          <w:p w14:paraId="4BEB75FA" w14:textId="77777777" w:rsidR="009A581E" w:rsidRPr="000A1612" w:rsidRDefault="001A7A3F" w:rsidP="00130E2E">
            <w:pPr>
              <w:widowControl w:val="0"/>
              <w:spacing w:after="0" w:line="240" w:lineRule="auto"/>
              <w:ind w:left="0" w:firstLine="0"/>
              <w:jc w:val="center"/>
            </w:pPr>
            <w:r>
              <w:t>67 %</w:t>
            </w:r>
          </w:p>
        </w:tc>
      </w:tr>
      <w:tr w:rsidR="009A581E" w:rsidRPr="000A1612" w14:paraId="78C350C7"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32AF397F" w14:textId="77777777" w:rsidR="009A581E" w:rsidRPr="000A1612" w:rsidRDefault="009A581E" w:rsidP="00130E2E">
            <w:pPr>
              <w:widowControl w:val="0"/>
              <w:spacing w:after="0" w:line="240" w:lineRule="auto"/>
              <w:ind w:left="0" w:firstLine="0"/>
            </w:pPr>
          </w:p>
        </w:tc>
        <w:tc>
          <w:tcPr>
            <w:tcW w:w="2626" w:type="dxa"/>
            <w:gridSpan w:val="2"/>
            <w:tcBorders>
              <w:top w:val="single" w:sz="6" w:space="0" w:color="000000"/>
              <w:left w:val="single" w:sz="6" w:space="0" w:color="000000"/>
              <w:bottom w:val="single" w:sz="6" w:space="0" w:color="000000"/>
              <w:right w:val="single" w:sz="6" w:space="0" w:color="000000"/>
            </w:tcBorders>
          </w:tcPr>
          <w:p w14:paraId="073D86CC" w14:textId="77777777" w:rsidR="009A581E" w:rsidRPr="000A1612" w:rsidRDefault="009A581E" w:rsidP="00155775">
            <w:pPr>
              <w:widowControl w:val="0"/>
              <w:spacing w:after="0" w:line="240" w:lineRule="auto"/>
              <w:ind w:left="0" w:right="12" w:firstLine="0"/>
              <w:jc w:val="center"/>
            </w:pPr>
            <w:r w:rsidRPr="000A1612">
              <w:t>Týždeň 24</w:t>
            </w:r>
          </w:p>
        </w:tc>
        <w:tc>
          <w:tcPr>
            <w:tcW w:w="2563" w:type="dxa"/>
            <w:gridSpan w:val="2"/>
            <w:tcBorders>
              <w:top w:val="single" w:sz="6" w:space="0" w:color="000000"/>
              <w:left w:val="single" w:sz="6" w:space="0" w:color="000000"/>
              <w:bottom w:val="single" w:sz="6" w:space="0" w:color="000000"/>
              <w:right w:val="single" w:sz="6" w:space="0" w:color="000000"/>
            </w:tcBorders>
          </w:tcPr>
          <w:p w14:paraId="5E68E26D" w14:textId="77777777" w:rsidR="009A581E" w:rsidRPr="000A1612" w:rsidRDefault="009A581E" w:rsidP="00155775">
            <w:pPr>
              <w:widowControl w:val="0"/>
              <w:spacing w:after="0" w:line="240" w:lineRule="auto"/>
              <w:ind w:left="0" w:right="12" w:firstLine="0"/>
              <w:jc w:val="center"/>
            </w:pPr>
            <w:r w:rsidRPr="000A1612">
              <w:t>Týždeň 48</w:t>
            </w:r>
          </w:p>
        </w:tc>
      </w:tr>
      <w:tr w:rsidR="009A581E" w:rsidRPr="000A1612" w14:paraId="0A227363" w14:textId="77777777" w:rsidTr="001A7A3F">
        <w:trPr>
          <w:trHeight w:val="1337"/>
        </w:trPr>
        <w:tc>
          <w:tcPr>
            <w:tcW w:w="3945" w:type="dxa"/>
            <w:tcBorders>
              <w:top w:val="single" w:sz="6" w:space="0" w:color="000000"/>
              <w:left w:val="single" w:sz="6" w:space="0" w:color="000000"/>
              <w:bottom w:val="single" w:sz="4" w:space="0" w:color="000000"/>
              <w:right w:val="single" w:sz="6" w:space="0" w:color="000000"/>
            </w:tcBorders>
            <w:vAlign w:val="bottom"/>
          </w:tcPr>
          <w:p w14:paraId="77FED2AF" w14:textId="77777777" w:rsidR="009A581E" w:rsidRPr="000A1612" w:rsidRDefault="009A581E" w:rsidP="00130E2E">
            <w:pPr>
              <w:widowControl w:val="0"/>
              <w:spacing w:after="0" w:line="240" w:lineRule="auto"/>
              <w:ind w:left="0" w:firstLine="0"/>
            </w:pPr>
          </w:p>
        </w:tc>
        <w:tc>
          <w:tcPr>
            <w:tcW w:w="1325" w:type="dxa"/>
            <w:tcBorders>
              <w:top w:val="single" w:sz="6" w:space="0" w:color="000000"/>
              <w:left w:val="single" w:sz="6" w:space="0" w:color="000000"/>
              <w:bottom w:val="single" w:sz="4" w:space="0" w:color="000000"/>
              <w:right w:val="single" w:sz="6" w:space="0" w:color="000000"/>
            </w:tcBorders>
            <w:vAlign w:val="center"/>
          </w:tcPr>
          <w:p w14:paraId="05E56F1A" w14:textId="77777777" w:rsidR="009A581E" w:rsidRPr="000A1612" w:rsidRDefault="009A581E" w:rsidP="00155775">
            <w:pPr>
              <w:widowControl w:val="0"/>
              <w:spacing w:after="0" w:line="240" w:lineRule="auto"/>
              <w:ind w:left="0" w:right="11" w:firstLine="0"/>
              <w:jc w:val="center"/>
            </w:pPr>
            <w:r w:rsidRPr="000A1612">
              <w:t>ETV</w:t>
            </w:r>
          </w:p>
          <w:p w14:paraId="4DE3DEBC" w14:textId="77777777" w:rsidR="009A581E" w:rsidRPr="000A1612" w:rsidRDefault="001A7A3F" w:rsidP="00155775">
            <w:pPr>
              <w:widowControl w:val="0"/>
              <w:spacing w:after="0" w:line="240" w:lineRule="auto"/>
              <w:ind w:left="0" w:firstLine="0"/>
              <w:jc w:val="center"/>
            </w:pPr>
            <w:r>
              <w:t>1 mg jedenkrát denne</w:t>
            </w:r>
          </w:p>
        </w:tc>
        <w:tc>
          <w:tcPr>
            <w:tcW w:w="1301" w:type="dxa"/>
            <w:tcBorders>
              <w:top w:val="single" w:sz="6" w:space="0" w:color="000000"/>
              <w:left w:val="single" w:sz="6" w:space="0" w:color="000000"/>
              <w:bottom w:val="single" w:sz="4" w:space="0" w:color="000000"/>
              <w:right w:val="single" w:sz="6" w:space="0" w:color="000000"/>
            </w:tcBorders>
          </w:tcPr>
          <w:p w14:paraId="39E4A52B" w14:textId="77777777" w:rsidR="009A581E" w:rsidRPr="000A1612" w:rsidRDefault="009A581E" w:rsidP="00155775">
            <w:pPr>
              <w:widowControl w:val="0"/>
              <w:spacing w:after="0" w:line="240" w:lineRule="auto"/>
              <w:ind w:left="0" w:right="18" w:firstLine="0"/>
              <w:jc w:val="center"/>
            </w:pPr>
            <w:r w:rsidRPr="000A1612">
              <w:t>Adefovir</w:t>
            </w:r>
            <w:r w:rsidR="00E97372">
              <w:t>-</w:t>
            </w:r>
          </w:p>
          <w:p w14:paraId="13A1386B" w14:textId="77777777" w:rsidR="009A581E" w:rsidRPr="000A1612" w:rsidRDefault="00E97372" w:rsidP="00155775">
            <w:pPr>
              <w:widowControl w:val="0"/>
              <w:spacing w:after="0" w:line="240" w:lineRule="auto"/>
              <w:ind w:left="0" w:right="18" w:firstLine="0"/>
              <w:jc w:val="center"/>
            </w:pPr>
            <w:r>
              <w:t>d</w:t>
            </w:r>
            <w:r w:rsidR="009A581E" w:rsidRPr="000A1612">
              <w:t>ipivoxil</w:t>
            </w:r>
          </w:p>
          <w:p w14:paraId="2AFE1386" w14:textId="77777777" w:rsidR="009A581E" w:rsidRPr="000A1612" w:rsidRDefault="001A7A3F" w:rsidP="00155775">
            <w:pPr>
              <w:widowControl w:val="0"/>
              <w:spacing w:after="0" w:line="240" w:lineRule="auto"/>
              <w:ind w:left="0" w:firstLine="0"/>
              <w:jc w:val="center"/>
            </w:pPr>
            <w:r>
              <w:t xml:space="preserve">10 mg </w:t>
            </w:r>
            <w:r w:rsidR="009A581E" w:rsidRPr="000A1612">
              <w:t>jedenkrát</w:t>
            </w:r>
            <w:r>
              <w:t xml:space="preserve"> denne</w:t>
            </w:r>
          </w:p>
        </w:tc>
        <w:tc>
          <w:tcPr>
            <w:tcW w:w="1325" w:type="dxa"/>
            <w:tcBorders>
              <w:top w:val="single" w:sz="6" w:space="0" w:color="000000"/>
              <w:left w:val="single" w:sz="6" w:space="0" w:color="000000"/>
              <w:bottom w:val="single" w:sz="4" w:space="0" w:color="000000"/>
              <w:right w:val="single" w:sz="6" w:space="0" w:color="000000"/>
            </w:tcBorders>
            <w:vAlign w:val="center"/>
          </w:tcPr>
          <w:p w14:paraId="703FCD6D" w14:textId="77777777" w:rsidR="009A581E" w:rsidRPr="000A1612" w:rsidRDefault="009A581E" w:rsidP="00155775">
            <w:pPr>
              <w:widowControl w:val="0"/>
              <w:spacing w:after="0" w:line="240" w:lineRule="auto"/>
              <w:ind w:left="0" w:right="16" w:firstLine="0"/>
              <w:jc w:val="center"/>
            </w:pPr>
            <w:r w:rsidRPr="000A1612">
              <w:t>ETV</w:t>
            </w:r>
          </w:p>
          <w:p w14:paraId="5AB8AEF4" w14:textId="77777777" w:rsidR="009A581E" w:rsidRPr="000A1612" w:rsidRDefault="001A7A3F" w:rsidP="00155775">
            <w:pPr>
              <w:widowControl w:val="0"/>
              <w:spacing w:after="0" w:line="240" w:lineRule="auto"/>
              <w:ind w:left="0" w:firstLine="0"/>
              <w:jc w:val="center"/>
            </w:pPr>
            <w:r>
              <w:t>1 mg jedenkrát denne</w:t>
            </w:r>
          </w:p>
        </w:tc>
        <w:tc>
          <w:tcPr>
            <w:tcW w:w="1238" w:type="dxa"/>
            <w:tcBorders>
              <w:top w:val="single" w:sz="6" w:space="0" w:color="000000"/>
              <w:left w:val="single" w:sz="6" w:space="0" w:color="000000"/>
              <w:bottom w:val="single" w:sz="4" w:space="0" w:color="000000"/>
              <w:right w:val="single" w:sz="6" w:space="0" w:color="000000"/>
            </w:tcBorders>
          </w:tcPr>
          <w:p w14:paraId="7A1CB741" w14:textId="77777777" w:rsidR="009A581E" w:rsidRPr="000A1612" w:rsidRDefault="009A581E" w:rsidP="00155775">
            <w:pPr>
              <w:widowControl w:val="0"/>
              <w:spacing w:after="0" w:line="240" w:lineRule="auto"/>
              <w:ind w:left="0" w:right="18" w:firstLine="0"/>
              <w:jc w:val="center"/>
            </w:pPr>
            <w:r w:rsidRPr="000A1612">
              <w:t>Adefovir</w:t>
            </w:r>
            <w:r w:rsidR="00E97372">
              <w:t>-</w:t>
            </w:r>
          </w:p>
          <w:p w14:paraId="3AAF390B" w14:textId="77777777" w:rsidR="009A581E" w:rsidRPr="000A1612" w:rsidRDefault="00E97372" w:rsidP="00155775">
            <w:pPr>
              <w:widowControl w:val="0"/>
              <w:spacing w:after="0" w:line="240" w:lineRule="auto"/>
              <w:ind w:left="0" w:right="13" w:firstLine="0"/>
              <w:jc w:val="center"/>
            </w:pPr>
            <w:r>
              <w:t>d</w:t>
            </w:r>
            <w:r w:rsidR="009A581E" w:rsidRPr="000A1612">
              <w:t>ipivoxil</w:t>
            </w:r>
          </w:p>
          <w:p w14:paraId="6F2C1B5B" w14:textId="77777777" w:rsidR="009A581E" w:rsidRPr="000A1612" w:rsidRDefault="001A7A3F" w:rsidP="00155775">
            <w:pPr>
              <w:widowControl w:val="0"/>
              <w:spacing w:after="0" w:line="240" w:lineRule="auto"/>
              <w:ind w:left="0" w:firstLine="0"/>
              <w:jc w:val="center"/>
            </w:pPr>
            <w:r>
              <w:t>10 mg jedenkrát denne</w:t>
            </w:r>
          </w:p>
        </w:tc>
      </w:tr>
      <w:tr w:rsidR="009A581E" w:rsidRPr="000A1612" w14:paraId="2DD968EB" w14:textId="77777777" w:rsidTr="001A7A3F">
        <w:trPr>
          <w:trHeight w:val="326"/>
        </w:trPr>
        <w:tc>
          <w:tcPr>
            <w:tcW w:w="3945" w:type="dxa"/>
            <w:tcBorders>
              <w:top w:val="single" w:sz="4" w:space="0" w:color="000000"/>
              <w:left w:val="single" w:sz="4" w:space="0" w:color="000000"/>
              <w:bottom w:val="single" w:sz="6" w:space="0" w:color="000000"/>
              <w:right w:val="single" w:sz="4" w:space="0" w:color="000000"/>
            </w:tcBorders>
          </w:tcPr>
          <w:p w14:paraId="66B16438" w14:textId="77777777" w:rsidR="009A581E" w:rsidRPr="000A1612" w:rsidRDefault="001A7A3F" w:rsidP="00130E2E">
            <w:pPr>
              <w:widowControl w:val="0"/>
              <w:spacing w:after="0" w:line="240" w:lineRule="auto"/>
              <w:ind w:left="0" w:firstLine="0"/>
            </w:pPr>
            <w:r>
              <w:t>n</w:t>
            </w:r>
          </w:p>
        </w:tc>
        <w:tc>
          <w:tcPr>
            <w:tcW w:w="1325" w:type="dxa"/>
            <w:tcBorders>
              <w:top w:val="single" w:sz="4" w:space="0" w:color="000000"/>
              <w:left w:val="single" w:sz="4" w:space="0" w:color="000000"/>
              <w:bottom w:val="single" w:sz="6" w:space="0" w:color="000000"/>
              <w:right w:val="single" w:sz="4" w:space="0" w:color="000000"/>
            </w:tcBorders>
          </w:tcPr>
          <w:p w14:paraId="3E5EAE95" w14:textId="77777777" w:rsidR="009A581E" w:rsidRPr="000A1612" w:rsidRDefault="001A7A3F" w:rsidP="00155775">
            <w:pPr>
              <w:widowControl w:val="0"/>
              <w:spacing w:after="0" w:line="240" w:lineRule="auto"/>
              <w:ind w:left="0" w:right="12" w:firstLine="0"/>
              <w:jc w:val="center"/>
            </w:pPr>
            <w:r>
              <w:t>100</w:t>
            </w:r>
          </w:p>
        </w:tc>
        <w:tc>
          <w:tcPr>
            <w:tcW w:w="1301" w:type="dxa"/>
            <w:tcBorders>
              <w:top w:val="single" w:sz="4" w:space="0" w:color="000000"/>
              <w:left w:val="single" w:sz="4" w:space="0" w:color="000000"/>
              <w:bottom w:val="single" w:sz="6" w:space="0" w:color="000000"/>
              <w:right w:val="single" w:sz="4" w:space="0" w:color="000000"/>
            </w:tcBorders>
          </w:tcPr>
          <w:p w14:paraId="515C55BB" w14:textId="77777777" w:rsidR="009A581E" w:rsidRPr="000A1612" w:rsidRDefault="001A7A3F" w:rsidP="00155775">
            <w:pPr>
              <w:widowControl w:val="0"/>
              <w:spacing w:after="0" w:line="240" w:lineRule="auto"/>
              <w:ind w:left="0" w:right="17" w:firstLine="0"/>
              <w:jc w:val="center"/>
            </w:pPr>
            <w:r>
              <w:t>91</w:t>
            </w:r>
          </w:p>
        </w:tc>
        <w:tc>
          <w:tcPr>
            <w:tcW w:w="1325" w:type="dxa"/>
            <w:tcBorders>
              <w:top w:val="single" w:sz="4" w:space="0" w:color="000000"/>
              <w:left w:val="single" w:sz="4" w:space="0" w:color="000000"/>
              <w:bottom w:val="single" w:sz="6" w:space="0" w:color="000000"/>
              <w:right w:val="single" w:sz="4" w:space="0" w:color="000000"/>
            </w:tcBorders>
          </w:tcPr>
          <w:p w14:paraId="5E51CB56" w14:textId="77777777" w:rsidR="009A581E" w:rsidRPr="000A1612" w:rsidRDefault="001A7A3F" w:rsidP="00155775">
            <w:pPr>
              <w:widowControl w:val="0"/>
              <w:spacing w:after="0" w:line="240" w:lineRule="auto"/>
              <w:ind w:left="0" w:right="12" w:firstLine="0"/>
              <w:jc w:val="center"/>
            </w:pPr>
            <w:r>
              <w:t>100</w:t>
            </w:r>
          </w:p>
        </w:tc>
        <w:tc>
          <w:tcPr>
            <w:tcW w:w="1238" w:type="dxa"/>
            <w:tcBorders>
              <w:top w:val="single" w:sz="4" w:space="0" w:color="000000"/>
              <w:left w:val="single" w:sz="4" w:space="0" w:color="000000"/>
              <w:bottom w:val="single" w:sz="6" w:space="0" w:color="000000"/>
              <w:right w:val="single" w:sz="4" w:space="0" w:color="000000"/>
            </w:tcBorders>
          </w:tcPr>
          <w:p w14:paraId="02F28B5F" w14:textId="77777777" w:rsidR="009A581E" w:rsidRPr="000A1612" w:rsidRDefault="001A7A3F" w:rsidP="00155775">
            <w:pPr>
              <w:widowControl w:val="0"/>
              <w:spacing w:after="0" w:line="240" w:lineRule="auto"/>
              <w:ind w:left="0" w:right="17" w:firstLine="0"/>
              <w:jc w:val="center"/>
            </w:pPr>
            <w:r>
              <w:t>91</w:t>
            </w:r>
          </w:p>
        </w:tc>
      </w:tr>
      <w:tr w:rsidR="009A581E" w:rsidRPr="000A1612" w14:paraId="4C32E0AA" w14:textId="77777777" w:rsidTr="001A7A3F">
        <w:trPr>
          <w:trHeight w:val="581"/>
        </w:trPr>
        <w:tc>
          <w:tcPr>
            <w:tcW w:w="3945" w:type="dxa"/>
            <w:tcBorders>
              <w:top w:val="single" w:sz="6" w:space="0" w:color="000000"/>
              <w:left w:val="single" w:sz="6" w:space="0" w:color="000000"/>
              <w:bottom w:val="single" w:sz="6" w:space="0" w:color="000000"/>
              <w:right w:val="single" w:sz="6" w:space="0" w:color="000000"/>
            </w:tcBorders>
          </w:tcPr>
          <w:p w14:paraId="089ADC10" w14:textId="77777777" w:rsidR="009A581E" w:rsidRPr="000A1612" w:rsidRDefault="009A581E" w:rsidP="00130E2E">
            <w:pPr>
              <w:widowControl w:val="0"/>
              <w:spacing w:after="0" w:line="240" w:lineRule="auto"/>
              <w:ind w:left="0" w:firstLine="0"/>
            </w:pPr>
            <w:r w:rsidRPr="000A1612">
              <w:t xml:space="preserve">MELD skóre </w:t>
            </w:r>
          </w:p>
          <w:p w14:paraId="37F91061" w14:textId="77777777" w:rsidR="009A581E" w:rsidRPr="000A1612" w:rsidRDefault="009A581E" w:rsidP="00130E2E">
            <w:pPr>
              <w:widowControl w:val="0"/>
              <w:spacing w:after="0" w:line="240" w:lineRule="auto"/>
              <w:ind w:left="0" w:firstLine="0"/>
            </w:pPr>
            <w:r w:rsidRPr="000A1612">
              <w:t>Priemerná zmena bazálnej hodnoty</w:t>
            </w:r>
            <w:r w:rsidRPr="000A1612">
              <w:rPr>
                <w:vertAlign w:val="superscript"/>
              </w:rPr>
              <w:t xml:space="preserve">c,e </w:t>
            </w:r>
          </w:p>
        </w:tc>
        <w:tc>
          <w:tcPr>
            <w:tcW w:w="1325" w:type="dxa"/>
            <w:tcBorders>
              <w:top w:val="single" w:sz="6" w:space="0" w:color="000000"/>
              <w:left w:val="single" w:sz="6" w:space="0" w:color="000000"/>
              <w:bottom w:val="single" w:sz="6" w:space="0" w:color="000000"/>
              <w:right w:val="single" w:sz="6" w:space="0" w:color="000000"/>
            </w:tcBorders>
          </w:tcPr>
          <w:p w14:paraId="68F6266A" w14:textId="77777777" w:rsidR="009A581E" w:rsidRPr="000A1612" w:rsidRDefault="001A7A3F" w:rsidP="00155775">
            <w:pPr>
              <w:widowControl w:val="0"/>
              <w:spacing w:after="0" w:line="240" w:lineRule="auto"/>
              <w:ind w:left="0" w:firstLine="0"/>
              <w:jc w:val="center"/>
            </w:pPr>
            <w:r>
              <w:t>-2,0</w:t>
            </w:r>
          </w:p>
        </w:tc>
        <w:tc>
          <w:tcPr>
            <w:tcW w:w="1301" w:type="dxa"/>
            <w:tcBorders>
              <w:top w:val="single" w:sz="6" w:space="0" w:color="000000"/>
              <w:left w:val="single" w:sz="6" w:space="0" w:color="000000"/>
              <w:bottom w:val="single" w:sz="6" w:space="0" w:color="000000"/>
              <w:right w:val="single" w:sz="6" w:space="0" w:color="000000"/>
            </w:tcBorders>
          </w:tcPr>
          <w:p w14:paraId="462C8DCB" w14:textId="77777777" w:rsidR="009A581E" w:rsidRPr="000A1612" w:rsidRDefault="009A581E" w:rsidP="00155775">
            <w:pPr>
              <w:widowControl w:val="0"/>
              <w:spacing w:after="0" w:line="240" w:lineRule="auto"/>
              <w:ind w:left="0" w:firstLine="0"/>
              <w:jc w:val="center"/>
            </w:pPr>
            <w:r w:rsidRPr="000A1612">
              <w:t>-0,9</w:t>
            </w:r>
          </w:p>
        </w:tc>
        <w:tc>
          <w:tcPr>
            <w:tcW w:w="1325" w:type="dxa"/>
            <w:tcBorders>
              <w:top w:val="single" w:sz="6" w:space="0" w:color="000000"/>
              <w:left w:val="single" w:sz="6" w:space="0" w:color="000000"/>
              <w:bottom w:val="single" w:sz="6" w:space="0" w:color="000000"/>
              <w:right w:val="single" w:sz="6" w:space="0" w:color="000000"/>
            </w:tcBorders>
          </w:tcPr>
          <w:p w14:paraId="3648840E" w14:textId="77777777" w:rsidR="009A581E" w:rsidRPr="000A1612" w:rsidRDefault="009A581E" w:rsidP="00155775">
            <w:pPr>
              <w:widowControl w:val="0"/>
              <w:spacing w:after="0" w:line="240" w:lineRule="auto"/>
              <w:ind w:left="0" w:right="17" w:firstLine="0"/>
              <w:jc w:val="center"/>
            </w:pPr>
            <w:r w:rsidRPr="000A1612">
              <w:t>-</w:t>
            </w:r>
            <w:r w:rsidR="001A7A3F">
              <w:t>2,6</w:t>
            </w:r>
          </w:p>
        </w:tc>
        <w:tc>
          <w:tcPr>
            <w:tcW w:w="1238" w:type="dxa"/>
            <w:tcBorders>
              <w:top w:val="single" w:sz="6" w:space="0" w:color="000000"/>
              <w:left w:val="single" w:sz="6" w:space="0" w:color="000000"/>
              <w:bottom w:val="single" w:sz="6" w:space="0" w:color="000000"/>
              <w:right w:val="single" w:sz="6" w:space="0" w:color="000000"/>
            </w:tcBorders>
          </w:tcPr>
          <w:p w14:paraId="16FEE8BA" w14:textId="77777777" w:rsidR="009A581E" w:rsidRPr="000A1612" w:rsidRDefault="001A7A3F" w:rsidP="00155775">
            <w:pPr>
              <w:widowControl w:val="0"/>
              <w:spacing w:after="0" w:line="240" w:lineRule="auto"/>
              <w:ind w:left="0" w:right="17" w:firstLine="0"/>
              <w:jc w:val="center"/>
            </w:pPr>
            <w:r>
              <w:t>-1,7</w:t>
            </w:r>
          </w:p>
        </w:tc>
      </w:tr>
      <w:tr w:rsidR="009A581E" w:rsidRPr="000A1612" w14:paraId="5B147800"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56E1C355" w14:textId="77777777" w:rsidR="009A581E" w:rsidRPr="000A1612" w:rsidRDefault="009A581E" w:rsidP="00130E2E">
            <w:pPr>
              <w:widowControl w:val="0"/>
              <w:spacing w:after="0" w:line="240" w:lineRule="auto"/>
              <w:ind w:left="0" w:firstLine="0"/>
            </w:pPr>
            <w:r w:rsidRPr="000A1612">
              <w:lastRenderedPageBreak/>
              <w:t>Strata HBsAg</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2E0F6B19" w14:textId="77777777" w:rsidR="009A581E" w:rsidRPr="000A1612" w:rsidRDefault="001A7A3F" w:rsidP="00155775">
            <w:pPr>
              <w:widowControl w:val="0"/>
              <w:spacing w:after="0" w:line="240" w:lineRule="auto"/>
              <w:ind w:left="0" w:right="13" w:firstLine="0"/>
              <w:jc w:val="center"/>
            </w:pPr>
            <w:r>
              <w:t>1 %</w:t>
            </w:r>
          </w:p>
        </w:tc>
        <w:tc>
          <w:tcPr>
            <w:tcW w:w="1301" w:type="dxa"/>
            <w:tcBorders>
              <w:top w:val="single" w:sz="6" w:space="0" w:color="000000"/>
              <w:left w:val="single" w:sz="6" w:space="0" w:color="000000"/>
              <w:bottom w:val="single" w:sz="6" w:space="0" w:color="000000"/>
              <w:right w:val="single" w:sz="6" w:space="0" w:color="000000"/>
            </w:tcBorders>
          </w:tcPr>
          <w:p w14:paraId="208C620B" w14:textId="77777777" w:rsidR="009A581E" w:rsidRPr="000A1612" w:rsidRDefault="001A7A3F" w:rsidP="00155775">
            <w:pPr>
              <w:widowControl w:val="0"/>
              <w:spacing w:after="0" w:line="240" w:lineRule="auto"/>
              <w:ind w:left="0" w:right="17" w:firstLine="0"/>
              <w:jc w:val="center"/>
            </w:pPr>
            <w:r>
              <w:t>0</w:t>
            </w:r>
          </w:p>
        </w:tc>
        <w:tc>
          <w:tcPr>
            <w:tcW w:w="1325" w:type="dxa"/>
            <w:tcBorders>
              <w:top w:val="single" w:sz="6" w:space="0" w:color="000000"/>
              <w:left w:val="single" w:sz="6" w:space="0" w:color="000000"/>
              <w:bottom w:val="single" w:sz="6" w:space="0" w:color="000000"/>
              <w:right w:val="single" w:sz="6" w:space="0" w:color="000000"/>
            </w:tcBorders>
          </w:tcPr>
          <w:p w14:paraId="449A102B" w14:textId="77777777" w:rsidR="009A581E" w:rsidRPr="000A1612" w:rsidRDefault="001A7A3F" w:rsidP="00155775">
            <w:pPr>
              <w:widowControl w:val="0"/>
              <w:spacing w:after="0" w:line="240" w:lineRule="auto"/>
              <w:ind w:left="0" w:right="13" w:firstLine="0"/>
              <w:jc w:val="center"/>
            </w:pPr>
            <w:r>
              <w:t>5 %</w:t>
            </w:r>
          </w:p>
        </w:tc>
        <w:tc>
          <w:tcPr>
            <w:tcW w:w="1238" w:type="dxa"/>
            <w:tcBorders>
              <w:top w:val="single" w:sz="6" w:space="0" w:color="000000"/>
              <w:left w:val="single" w:sz="6" w:space="0" w:color="000000"/>
              <w:bottom w:val="single" w:sz="6" w:space="0" w:color="000000"/>
              <w:right w:val="single" w:sz="6" w:space="0" w:color="000000"/>
            </w:tcBorders>
          </w:tcPr>
          <w:p w14:paraId="656B2918" w14:textId="77777777" w:rsidR="009A581E" w:rsidRPr="000A1612" w:rsidRDefault="001A7A3F" w:rsidP="00155775">
            <w:pPr>
              <w:widowControl w:val="0"/>
              <w:spacing w:after="0" w:line="240" w:lineRule="auto"/>
              <w:ind w:left="0" w:right="17" w:firstLine="0"/>
              <w:jc w:val="center"/>
            </w:pPr>
            <w:r>
              <w:t>0</w:t>
            </w:r>
          </w:p>
        </w:tc>
      </w:tr>
      <w:tr w:rsidR="009A581E" w:rsidRPr="000A1612" w14:paraId="013BF9D0" w14:textId="77777777" w:rsidTr="001A7A3F">
        <w:trPr>
          <w:trHeight w:val="326"/>
        </w:trPr>
        <w:tc>
          <w:tcPr>
            <w:tcW w:w="9134" w:type="dxa"/>
            <w:gridSpan w:val="5"/>
            <w:tcBorders>
              <w:top w:val="single" w:sz="6" w:space="0" w:color="000000"/>
              <w:left w:val="single" w:sz="6" w:space="0" w:color="000000"/>
              <w:bottom w:val="single" w:sz="6" w:space="0" w:color="000000"/>
              <w:right w:val="single" w:sz="6" w:space="0" w:color="000000"/>
            </w:tcBorders>
          </w:tcPr>
          <w:p w14:paraId="3B4C82A0" w14:textId="77777777" w:rsidR="009A581E" w:rsidRPr="000A1612" w:rsidRDefault="009A581E" w:rsidP="00155775">
            <w:pPr>
              <w:widowControl w:val="0"/>
              <w:spacing w:after="0" w:line="240" w:lineRule="auto"/>
              <w:ind w:left="0" w:firstLine="0"/>
              <w:jc w:val="center"/>
            </w:pPr>
            <w:r w:rsidRPr="000A1612">
              <w:t>Normalizácia:</w:t>
            </w:r>
            <w:r w:rsidRPr="000A1612">
              <w:rPr>
                <w:vertAlign w:val="superscript"/>
              </w:rPr>
              <w:t>f</w:t>
            </w:r>
          </w:p>
        </w:tc>
      </w:tr>
      <w:tr w:rsidR="009A581E" w:rsidRPr="000A1612" w14:paraId="0CE1EAFE" w14:textId="77777777" w:rsidTr="001A7A3F">
        <w:trPr>
          <w:trHeight w:val="581"/>
        </w:trPr>
        <w:tc>
          <w:tcPr>
            <w:tcW w:w="3945" w:type="dxa"/>
            <w:tcBorders>
              <w:top w:val="single" w:sz="6" w:space="0" w:color="000000"/>
              <w:left w:val="single" w:sz="6" w:space="0" w:color="000000"/>
              <w:bottom w:val="single" w:sz="6" w:space="0" w:color="000000"/>
              <w:right w:val="single" w:sz="6" w:space="0" w:color="000000"/>
            </w:tcBorders>
            <w:vAlign w:val="center"/>
          </w:tcPr>
          <w:p w14:paraId="74EB5130" w14:textId="77777777" w:rsidR="009A581E" w:rsidRPr="000A1612" w:rsidRDefault="009A581E" w:rsidP="00130E2E">
            <w:pPr>
              <w:widowControl w:val="0"/>
              <w:tabs>
                <w:tab w:val="center" w:pos="1393"/>
              </w:tabs>
              <w:spacing w:after="0" w:line="240" w:lineRule="auto"/>
              <w:ind w:left="0" w:firstLine="0"/>
            </w:pPr>
            <w:r w:rsidRPr="000A1612">
              <w:tab/>
              <w:t>ALT (≤1 X ULN)</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02969A39" w14:textId="77777777" w:rsidR="009A581E" w:rsidRPr="000A1612" w:rsidRDefault="009A581E" w:rsidP="00155775">
            <w:pPr>
              <w:widowControl w:val="0"/>
              <w:spacing w:after="0" w:line="240" w:lineRule="auto"/>
              <w:ind w:left="0" w:right="12" w:firstLine="0"/>
              <w:jc w:val="center"/>
            </w:pPr>
            <w:r w:rsidRPr="000A1612">
              <w:t>46/78</w:t>
            </w:r>
          </w:p>
          <w:p w14:paraId="66A73E6B" w14:textId="77777777" w:rsidR="009A581E" w:rsidRPr="000A1612" w:rsidRDefault="001A7A3F" w:rsidP="00155775">
            <w:pPr>
              <w:widowControl w:val="0"/>
              <w:spacing w:after="0" w:line="240" w:lineRule="auto"/>
              <w:ind w:left="0" w:right="10" w:firstLine="0"/>
              <w:jc w:val="center"/>
            </w:pPr>
            <w:r>
              <w:t>(59 %)*</w:t>
            </w:r>
          </w:p>
        </w:tc>
        <w:tc>
          <w:tcPr>
            <w:tcW w:w="1301" w:type="dxa"/>
            <w:tcBorders>
              <w:top w:val="single" w:sz="6" w:space="0" w:color="000000"/>
              <w:left w:val="single" w:sz="6" w:space="0" w:color="000000"/>
              <w:bottom w:val="single" w:sz="6" w:space="0" w:color="000000"/>
              <w:right w:val="single" w:sz="6" w:space="0" w:color="000000"/>
            </w:tcBorders>
            <w:vAlign w:val="center"/>
          </w:tcPr>
          <w:p w14:paraId="3912742D" w14:textId="77777777" w:rsidR="009A581E" w:rsidRPr="000A1612" w:rsidRDefault="001A7A3F" w:rsidP="00155775">
            <w:pPr>
              <w:widowControl w:val="0"/>
              <w:spacing w:after="0" w:line="240" w:lineRule="auto"/>
              <w:ind w:left="0" w:firstLine="0"/>
              <w:jc w:val="center"/>
            </w:pPr>
            <w:r>
              <w:t>28/71 (39 %)</w:t>
            </w:r>
          </w:p>
        </w:tc>
        <w:tc>
          <w:tcPr>
            <w:tcW w:w="1325" w:type="dxa"/>
            <w:tcBorders>
              <w:top w:val="single" w:sz="6" w:space="0" w:color="000000"/>
              <w:left w:val="single" w:sz="6" w:space="0" w:color="000000"/>
              <w:bottom w:val="single" w:sz="6" w:space="0" w:color="000000"/>
              <w:right w:val="single" w:sz="6" w:space="0" w:color="000000"/>
            </w:tcBorders>
          </w:tcPr>
          <w:p w14:paraId="13FFC302" w14:textId="77777777" w:rsidR="009A581E" w:rsidRPr="000A1612" w:rsidRDefault="009A581E" w:rsidP="00155775">
            <w:pPr>
              <w:widowControl w:val="0"/>
              <w:spacing w:after="0" w:line="240" w:lineRule="auto"/>
              <w:ind w:left="0" w:right="12" w:firstLine="0"/>
              <w:jc w:val="center"/>
            </w:pPr>
            <w:r w:rsidRPr="000A1612">
              <w:t>49/78</w:t>
            </w:r>
          </w:p>
          <w:p w14:paraId="55E8E357" w14:textId="77777777" w:rsidR="009A581E" w:rsidRPr="000A1612" w:rsidRDefault="001A7A3F" w:rsidP="00155775">
            <w:pPr>
              <w:widowControl w:val="0"/>
              <w:spacing w:after="0" w:line="240" w:lineRule="auto"/>
              <w:ind w:left="0" w:right="10" w:firstLine="0"/>
              <w:jc w:val="center"/>
            </w:pPr>
            <w:r>
              <w:t>(63 %)*</w:t>
            </w:r>
          </w:p>
        </w:tc>
        <w:tc>
          <w:tcPr>
            <w:tcW w:w="1238" w:type="dxa"/>
            <w:tcBorders>
              <w:top w:val="single" w:sz="6" w:space="0" w:color="000000"/>
              <w:left w:val="single" w:sz="6" w:space="0" w:color="000000"/>
              <w:bottom w:val="single" w:sz="6" w:space="0" w:color="000000"/>
              <w:right w:val="single" w:sz="6" w:space="0" w:color="000000"/>
            </w:tcBorders>
            <w:vAlign w:val="center"/>
          </w:tcPr>
          <w:p w14:paraId="6266629C" w14:textId="77777777" w:rsidR="009A581E" w:rsidRPr="000A1612" w:rsidRDefault="009A581E" w:rsidP="00155775">
            <w:pPr>
              <w:widowControl w:val="0"/>
              <w:spacing w:after="0" w:line="240" w:lineRule="auto"/>
              <w:ind w:left="0" w:firstLine="0"/>
              <w:jc w:val="center"/>
            </w:pPr>
            <w:r w:rsidRPr="000A1612">
              <w:t>33/71 (46 %)</w:t>
            </w:r>
          </w:p>
        </w:tc>
      </w:tr>
      <w:tr w:rsidR="009A581E" w:rsidRPr="000A1612" w14:paraId="72EB675F"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5200D077" w14:textId="77777777" w:rsidR="009A581E" w:rsidRPr="000A1612" w:rsidRDefault="009A581E" w:rsidP="00130E2E">
            <w:pPr>
              <w:widowControl w:val="0"/>
              <w:tabs>
                <w:tab w:val="center" w:pos="1558"/>
              </w:tabs>
              <w:spacing w:after="0" w:line="240" w:lineRule="auto"/>
              <w:ind w:left="0" w:firstLine="0"/>
            </w:pPr>
            <w:r w:rsidRPr="000A1612">
              <w:tab/>
              <w:t>Albumín (≥1 X LLN)</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044A35EF" w14:textId="77777777" w:rsidR="009A581E" w:rsidRPr="000A1612" w:rsidRDefault="009A581E" w:rsidP="00155775">
            <w:pPr>
              <w:widowControl w:val="0"/>
              <w:spacing w:after="0" w:line="240" w:lineRule="auto"/>
              <w:ind w:left="0" w:firstLine="0"/>
              <w:jc w:val="center"/>
            </w:pPr>
            <w:r w:rsidRPr="000A1612">
              <w:t>20/82 (24 %)</w:t>
            </w:r>
          </w:p>
        </w:tc>
        <w:tc>
          <w:tcPr>
            <w:tcW w:w="1301" w:type="dxa"/>
            <w:tcBorders>
              <w:top w:val="single" w:sz="6" w:space="0" w:color="000000"/>
              <w:left w:val="single" w:sz="6" w:space="0" w:color="000000"/>
              <w:bottom w:val="single" w:sz="6" w:space="0" w:color="000000"/>
              <w:right w:val="single" w:sz="6" w:space="0" w:color="000000"/>
            </w:tcBorders>
          </w:tcPr>
          <w:p w14:paraId="2E03B6FD" w14:textId="77777777" w:rsidR="009A581E" w:rsidRPr="000A1612" w:rsidRDefault="001A7A3F" w:rsidP="00155775">
            <w:pPr>
              <w:widowControl w:val="0"/>
              <w:spacing w:after="0" w:line="240" w:lineRule="auto"/>
              <w:ind w:left="0" w:firstLine="0"/>
              <w:jc w:val="center"/>
            </w:pPr>
            <w:r>
              <w:t>14/69 (20 %)</w:t>
            </w:r>
          </w:p>
        </w:tc>
        <w:tc>
          <w:tcPr>
            <w:tcW w:w="1325" w:type="dxa"/>
            <w:tcBorders>
              <w:top w:val="single" w:sz="6" w:space="0" w:color="000000"/>
              <w:left w:val="single" w:sz="6" w:space="0" w:color="000000"/>
              <w:bottom w:val="single" w:sz="6" w:space="0" w:color="000000"/>
              <w:right w:val="single" w:sz="6" w:space="0" w:color="000000"/>
            </w:tcBorders>
          </w:tcPr>
          <w:p w14:paraId="5F8FE558" w14:textId="77777777" w:rsidR="009A581E" w:rsidRPr="000A1612" w:rsidRDefault="009A581E" w:rsidP="00155775">
            <w:pPr>
              <w:widowControl w:val="0"/>
              <w:spacing w:after="0" w:line="240" w:lineRule="auto"/>
              <w:ind w:left="0" w:firstLine="0"/>
              <w:jc w:val="center"/>
            </w:pPr>
            <w:r w:rsidRPr="000A1612">
              <w:t>32/82 (39 %)</w:t>
            </w:r>
          </w:p>
        </w:tc>
        <w:tc>
          <w:tcPr>
            <w:tcW w:w="1238" w:type="dxa"/>
            <w:tcBorders>
              <w:top w:val="single" w:sz="6" w:space="0" w:color="000000"/>
              <w:left w:val="single" w:sz="6" w:space="0" w:color="000000"/>
              <w:bottom w:val="single" w:sz="6" w:space="0" w:color="000000"/>
              <w:right w:val="single" w:sz="6" w:space="0" w:color="000000"/>
            </w:tcBorders>
          </w:tcPr>
          <w:p w14:paraId="2E5E4E37" w14:textId="77777777" w:rsidR="009A581E" w:rsidRPr="000A1612" w:rsidRDefault="009A581E" w:rsidP="00155775">
            <w:pPr>
              <w:widowControl w:val="0"/>
              <w:spacing w:after="0" w:line="240" w:lineRule="auto"/>
              <w:ind w:left="0" w:firstLine="0"/>
              <w:jc w:val="center"/>
            </w:pPr>
            <w:r w:rsidRPr="000A1612">
              <w:t>20/69 (29 %)</w:t>
            </w:r>
          </w:p>
        </w:tc>
      </w:tr>
      <w:tr w:rsidR="009A581E" w:rsidRPr="000A1612" w14:paraId="3B2CD478" w14:textId="77777777" w:rsidTr="001A7A3F">
        <w:trPr>
          <w:trHeight w:val="329"/>
        </w:trPr>
        <w:tc>
          <w:tcPr>
            <w:tcW w:w="3945" w:type="dxa"/>
            <w:tcBorders>
              <w:top w:val="single" w:sz="6" w:space="0" w:color="000000"/>
              <w:left w:val="single" w:sz="6" w:space="0" w:color="000000"/>
              <w:bottom w:val="single" w:sz="6" w:space="0" w:color="000000"/>
              <w:right w:val="single" w:sz="6" w:space="0" w:color="000000"/>
            </w:tcBorders>
          </w:tcPr>
          <w:p w14:paraId="4BE9AE15" w14:textId="77777777" w:rsidR="009A581E" w:rsidRPr="000A1612" w:rsidRDefault="009A581E" w:rsidP="00130E2E">
            <w:pPr>
              <w:widowControl w:val="0"/>
              <w:tabs>
                <w:tab w:val="center" w:pos="1577"/>
              </w:tabs>
              <w:spacing w:after="0" w:line="240" w:lineRule="auto"/>
              <w:ind w:left="0" w:firstLine="0"/>
            </w:pPr>
            <w:r w:rsidRPr="000A1612">
              <w:tab/>
              <w:t>Bilirubín (≤1 X ULN)</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5EC83E28" w14:textId="77777777" w:rsidR="009A581E" w:rsidRPr="000A1612" w:rsidRDefault="001A7A3F" w:rsidP="00155775">
            <w:pPr>
              <w:widowControl w:val="0"/>
              <w:spacing w:after="0" w:line="240" w:lineRule="auto"/>
              <w:ind w:left="0" w:firstLine="0"/>
              <w:jc w:val="center"/>
            </w:pPr>
            <w:r>
              <w:t>12/75 (16 %)</w:t>
            </w:r>
          </w:p>
        </w:tc>
        <w:tc>
          <w:tcPr>
            <w:tcW w:w="1301" w:type="dxa"/>
            <w:tcBorders>
              <w:top w:val="single" w:sz="6" w:space="0" w:color="000000"/>
              <w:left w:val="single" w:sz="6" w:space="0" w:color="000000"/>
              <w:bottom w:val="single" w:sz="6" w:space="0" w:color="000000"/>
              <w:right w:val="single" w:sz="6" w:space="0" w:color="000000"/>
            </w:tcBorders>
          </w:tcPr>
          <w:p w14:paraId="43057F44" w14:textId="77777777" w:rsidR="009A581E" w:rsidRPr="000A1612" w:rsidRDefault="009A581E" w:rsidP="00155775">
            <w:pPr>
              <w:widowControl w:val="0"/>
              <w:spacing w:after="0" w:line="240" w:lineRule="auto"/>
              <w:ind w:left="0" w:firstLine="0"/>
              <w:jc w:val="center"/>
            </w:pPr>
            <w:r w:rsidRPr="000A1612">
              <w:t>10/65 (15 %)</w:t>
            </w:r>
          </w:p>
        </w:tc>
        <w:tc>
          <w:tcPr>
            <w:tcW w:w="1325" w:type="dxa"/>
            <w:tcBorders>
              <w:top w:val="single" w:sz="6" w:space="0" w:color="000000"/>
              <w:left w:val="single" w:sz="6" w:space="0" w:color="000000"/>
              <w:bottom w:val="single" w:sz="6" w:space="0" w:color="000000"/>
              <w:right w:val="single" w:sz="6" w:space="0" w:color="000000"/>
            </w:tcBorders>
          </w:tcPr>
          <w:p w14:paraId="44F01B69" w14:textId="77777777" w:rsidR="009A581E" w:rsidRPr="000A1612" w:rsidRDefault="009A581E" w:rsidP="00155775">
            <w:pPr>
              <w:widowControl w:val="0"/>
              <w:spacing w:after="0" w:line="240" w:lineRule="auto"/>
              <w:ind w:left="0" w:firstLine="0"/>
              <w:jc w:val="center"/>
            </w:pPr>
            <w:r w:rsidRPr="000A1612">
              <w:t>1</w:t>
            </w:r>
            <w:r w:rsidR="001A7A3F">
              <w:t>5/75 (20 %)</w:t>
            </w:r>
          </w:p>
        </w:tc>
        <w:tc>
          <w:tcPr>
            <w:tcW w:w="1238" w:type="dxa"/>
            <w:tcBorders>
              <w:top w:val="single" w:sz="6" w:space="0" w:color="000000"/>
              <w:left w:val="single" w:sz="6" w:space="0" w:color="000000"/>
              <w:bottom w:val="single" w:sz="6" w:space="0" w:color="000000"/>
              <w:right w:val="single" w:sz="6" w:space="0" w:color="000000"/>
            </w:tcBorders>
          </w:tcPr>
          <w:p w14:paraId="4A585E77" w14:textId="77777777" w:rsidR="009A581E" w:rsidRPr="000A1612" w:rsidRDefault="009A581E" w:rsidP="00155775">
            <w:pPr>
              <w:widowControl w:val="0"/>
              <w:spacing w:after="0" w:line="240" w:lineRule="auto"/>
              <w:ind w:left="0" w:firstLine="0"/>
              <w:jc w:val="center"/>
            </w:pPr>
            <w:r w:rsidRPr="000A1612">
              <w:t>18/65 (28 %)</w:t>
            </w:r>
          </w:p>
        </w:tc>
      </w:tr>
      <w:tr w:rsidR="009A581E" w:rsidRPr="000A1612" w14:paraId="120675C5" w14:textId="77777777" w:rsidTr="001A7A3F">
        <w:trPr>
          <w:trHeight w:val="326"/>
        </w:trPr>
        <w:tc>
          <w:tcPr>
            <w:tcW w:w="3945" w:type="dxa"/>
            <w:tcBorders>
              <w:top w:val="single" w:sz="6" w:space="0" w:color="000000"/>
              <w:left w:val="single" w:sz="6" w:space="0" w:color="000000"/>
              <w:bottom w:val="single" w:sz="6" w:space="0" w:color="000000"/>
              <w:right w:val="single" w:sz="6" w:space="0" w:color="000000"/>
            </w:tcBorders>
          </w:tcPr>
          <w:p w14:paraId="41DFE63F" w14:textId="77777777" w:rsidR="009A581E" w:rsidRPr="000A1612" w:rsidRDefault="009A581E" w:rsidP="00130E2E">
            <w:pPr>
              <w:widowControl w:val="0"/>
              <w:tabs>
                <w:tab w:val="center" w:pos="2012"/>
              </w:tabs>
              <w:spacing w:after="0" w:line="240" w:lineRule="auto"/>
              <w:ind w:left="0" w:firstLine="0"/>
            </w:pPr>
            <w:r w:rsidRPr="000A1612">
              <w:tab/>
              <w:t>Protrombínový čas (≤1 X ULN)</w:t>
            </w:r>
            <w:r w:rsidRPr="000A1612">
              <w:rPr>
                <w:vertAlign w:val="superscript"/>
              </w:rPr>
              <w:t>b</w:t>
            </w:r>
          </w:p>
        </w:tc>
        <w:tc>
          <w:tcPr>
            <w:tcW w:w="1325" w:type="dxa"/>
            <w:tcBorders>
              <w:top w:val="single" w:sz="6" w:space="0" w:color="000000"/>
              <w:left w:val="single" w:sz="6" w:space="0" w:color="000000"/>
              <w:bottom w:val="single" w:sz="6" w:space="0" w:color="000000"/>
              <w:right w:val="single" w:sz="6" w:space="0" w:color="000000"/>
            </w:tcBorders>
          </w:tcPr>
          <w:p w14:paraId="4590D2E2" w14:textId="77777777" w:rsidR="009A581E" w:rsidRPr="000A1612" w:rsidRDefault="009A581E" w:rsidP="00155775">
            <w:pPr>
              <w:widowControl w:val="0"/>
              <w:spacing w:after="0" w:line="240" w:lineRule="auto"/>
              <w:ind w:left="0" w:right="10" w:firstLine="0"/>
              <w:jc w:val="center"/>
            </w:pPr>
            <w:r w:rsidRPr="000A1612">
              <w:t>9/95 (</w:t>
            </w:r>
            <w:r w:rsidR="001A7A3F">
              <w:t>9 %)</w:t>
            </w:r>
          </w:p>
        </w:tc>
        <w:tc>
          <w:tcPr>
            <w:tcW w:w="1301" w:type="dxa"/>
            <w:tcBorders>
              <w:top w:val="single" w:sz="6" w:space="0" w:color="000000"/>
              <w:left w:val="single" w:sz="6" w:space="0" w:color="000000"/>
              <w:bottom w:val="single" w:sz="6" w:space="0" w:color="000000"/>
              <w:right w:val="single" w:sz="6" w:space="0" w:color="000000"/>
            </w:tcBorders>
          </w:tcPr>
          <w:p w14:paraId="5FF6F354" w14:textId="77777777" w:rsidR="009A581E" w:rsidRPr="000A1612" w:rsidRDefault="001A7A3F" w:rsidP="00155775">
            <w:pPr>
              <w:widowControl w:val="0"/>
              <w:spacing w:after="0" w:line="240" w:lineRule="auto"/>
              <w:ind w:left="0" w:firstLine="0"/>
              <w:jc w:val="center"/>
            </w:pPr>
            <w:r>
              <w:t>6/82 (7 %)</w:t>
            </w:r>
          </w:p>
        </w:tc>
        <w:tc>
          <w:tcPr>
            <w:tcW w:w="1325" w:type="dxa"/>
            <w:tcBorders>
              <w:top w:val="single" w:sz="6" w:space="0" w:color="000000"/>
              <w:left w:val="single" w:sz="6" w:space="0" w:color="000000"/>
              <w:bottom w:val="single" w:sz="6" w:space="0" w:color="000000"/>
              <w:right w:val="single" w:sz="6" w:space="0" w:color="000000"/>
            </w:tcBorders>
          </w:tcPr>
          <w:p w14:paraId="1FE1C572" w14:textId="77777777" w:rsidR="009A581E" w:rsidRPr="000A1612" w:rsidRDefault="001A7A3F" w:rsidP="00155775">
            <w:pPr>
              <w:widowControl w:val="0"/>
              <w:spacing w:after="0" w:line="240" w:lineRule="auto"/>
              <w:ind w:left="0" w:right="10" w:firstLine="0"/>
              <w:jc w:val="center"/>
            </w:pPr>
            <w:r>
              <w:t>8/95 (8 %)</w:t>
            </w:r>
          </w:p>
        </w:tc>
        <w:tc>
          <w:tcPr>
            <w:tcW w:w="1238" w:type="dxa"/>
            <w:tcBorders>
              <w:top w:val="single" w:sz="6" w:space="0" w:color="000000"/>
              <w:left w:val="single" w:sz="6" w:space="0" w:color="000000"/>
              <w:bottom w:val="single" w:sz="6" w:space="0" w:color="000000"/>
              <w:right w:val="single" w:sz="6" w:space="0" w:color="000000"/>
            </w:tcBorders>
          </w:tcPr>
          <w:p w14:paraId="3360576B" w14:textId="77777777" w:rsidR="009A581E" w:rsidRPr="000A1612" w:rsidRDefault="001A7A3F" w:rsidP="00155775">
            <w:pPr>
              <w:widowControl w:val="0"/>
              <w:spacing w:after="0" w:line="240" w:lineRule="auto"/>
              <w:ind w:left="0" w:firstLine="0"/>
              <w:jc w:val="center"/>
            </w:pPr>
            <w:r>
              <w:t>7/82 (9 %)</w:t>
            </w:r>
          </w:p>
        </w:tc>
      </w:tr>
    </w:tbl>
    <w:p w14:paraId="1CE0CE80" w14:textId="10DAF1DC" w:rsidR="009A581E" w:rsidRPr="000A1612" w:rsidRDefault="001A7A3F" w:rsidP="001A7A3F">
      <w:pPr>
        <w:widowControl w:val="0"/>
        <w:spacing w:after="0" w:line="240" w:lineRule="auto"/>
        <w:ind w:left="0" w:firstLine="0"/>
      </w:pPr>
      <w:r w:rsidRPr="001A7A3F">
        <w:rPr>
          <w:vertAlign w:val="superscript"/>
        </w:rPr>
        <w:t>a</w:t>
      </w:r>
      <w:r w:rsidR="00155775">
        <w:rPr>
          <w:vertAlign w:val="superscript"/>
        </w:rPr>
        <w:t xml:space="preserve"> </w:t>
      </w:r>
      <w:r w:rsidR="003C3644">
        <w:t>Analýza R</w:t>
      </w:r>
      <w:r w:rsidR="009A581E" w:rsidRPr="000A1612">
        <w:t xml:space="preserve">oche COBAS Amplicor </w:t>
      </w:r>
      <w:r>
        <w:t>PCR (LLOQ = 300 kópií/ml)</w:t>
      </w:r>
    </w:p>
    <w:p w14:paraId="775EC65C" w14:textId="77777777" w:rsidR="009A581E" w:rsidRPr="000A1612" w:rsidRDefault="001A7A3F" w:rsidP="001A7A3F">
      <w:pPr>
        <w:widowControl w:val="0"/>
        <w:spacing w:after="0" w:line="240" w:lineRule="auto"/>
        <w:ind w:left="0" w:firstLine="0"/>
      </w:pPr>
      <w:r w:rsidRPr="001A7A3F">
        <w:rPr>
          <w:vertAlign w:val="superscript"/>
        </w:rPr>
        <w:t>b</w:t>
      </w:r>
      <w:r w:rsidR="00155775">
        <w:rPr>
          <w:vertAlign w:val="superscript"/>
        </w:rPr>
        <w:t xml:space="preserve"> </w:t>
      </w:r>
      <w:r w:rsidR="009A581E" w:rsidRPr="000A1612">
        <w:t>NC = F (nedokončil = zlyhanie), znamená ukončenia liečby pred týždňom</w:t>
      </w:r>
      <w:r w:rsidR="000A4E5E">
        <w:t>,</w:t>
      </w:r>
      <w:r w:rsidR="009A581E" w:rsidRPr="000A1612">
        <w:t xml:space="preserve"> kedy mala byť urobená analýza</w:t>
      </w:r>
      <w:r w:rsidR="000A4E5E">
        <w:t>,</w:t>
      </w:r>
      <w:r w:rsidR="009A581E" w:rsidRPr="000A1612">
        <w:t xml:space="preserve"> vrátane dôvodov ako sú úmrtie, nedostatočná účinnosť, nežiaduca udalosť, noncompliance/ vynechanie následnej kontroly, ktoré sú považované za zlyhania </w:t>
      </w:r>
      <w:r>
        <w:t>(napr. HBV DNA ≥ 300 kópii/ml)</w:t>
      </w:r>
    </w:p>
    <w:p w14:paraId="09ECAAAA" w14:textId="77777777" w:rsidR="00155775" w:rsidRDefault="001A7A3F" w:rsidP="001A7A3F">
      <w:pPr>
        <w:widowControl w:val="0"/>
        <w:spacing w:after="0" w:line="240" w:lineRule="auto"/>
        <w:ind w:left="0" w:firstLine="0"/>
      </w:pPr>
      <w:r w:rsidRPr="001A7A3F">
        <w:rPr>
          <w:vertAlign w:val="superscript"/>
        </w:rPr>
        <w:t>c</w:t>
      </w:r>
      <w:r w:rsidR="00155775">
        <w:rPr>
          <w:vertAlign w:val="superscript"/>
        </w:rPr>
        <w:t xml:space="preserve"> </w:t>
      </w:r>
      <w:r w:rsidR="009A581E" w:rsidRPr="000A1612">
        <w:t>NC = M (nedokončili = chýba)</w:t>
      </w:r>
    </w:p>
    <w:p w14:paraId="575BFD52" w14:textId="77777777" w:rsidR="00155775" w:rsidRDefault="009A581E" w:rsidP="001A7A3F">
      <w:pPr>
        <w:widowControl w:val="0"/>
        <w:spacing w:after="0" w:line="240" w:lineRule="auto"/>
        <w:ind w:left="0" w:firstLine="0"/>
      </w:pPr>
      <w:r w:rsidRPr="000A1612">
        <w:rPr>
          <w:vertAlign w:val="superscript"/>
        </w:rPr>
        <w:t>d</w:t>
      </w:r>
      <w:r w:rsidR="00155775">
        <w:rPr>
          <w:vertAlign w:val="superscript"/>
        </w:rPr>
        <w:t xml:space="preserve"> </w:t>
      </w:r>
      <w:r w:rsidRPr="000A1612">
        <w:t xml:space="preserve">Definovaný ako </w:t>
      </w:r>
      <w:r w:rsidR="000A4E5E">
        <w:t>zníženie</w:t>
      </w:r>
      <w:r w:rsidRPr="000A1612">
        <w:t xml:space="preserve"> alebo bez zmeny bazálnej hodnoty CT</w:t>
      </w:r>
      <w:r w:rsidR="000A4E5E">
        <w:t>P</w:t>
      </w:r>
      <w:r w:rsidRPr="000A1612">
        <w:t xml:space="preserve"> skóre</w:t>
      </w:r>
    </w:p>
    <w:p w14:paraId="7F120A27" w14:textId="77777777" w:rsidR="00155775" w:rsidRDefault="009A581E" w:rsidP="001A7A3F">
      <w:pPr>
        <w:widowControl w:val="0"/>
        <w:spacing w:after="0" w:line="240" w:lineRule="auto"/>
        <w:ind w:left="0" w:firstLine="0"/>
      </w:pPr>
      <w:r w:rsidRPr="000A1612">
        <w:rPr>
          <w:vertAlign w:val="superscript"/>
        </w:rPr>
        <w:t xml:space="preserve">e </w:t>
      </w:r>
      <w:r w:rsidRPr="000A1612">
        <w:t>Priemerná bazálna hodnota MELD skóre bola 17,1 pre ETV a 15,3 pre adefovir</w:t>
      </w:r>
      <w:r w:rsidR="000A4E5E">
        <w:t>-</w:t>
      </w:r>
      <w:r w:rsidRPr="000A1612">
        <w:t>dipivoxil</w:t>
      </w:r>
    </w:p>
    <w:p w14:paraId="721C726D" w14:textId="77777777" w:rsidR="009A581E" w:rsidRPr="000A1612" w:rsidRDefault="009A581E" w:rsidP="001A7A3F">
      <w:pPr>
        <w:widowControl w:val="0"/>
        <w:spacing w:after="0" w:line="240" w:lineRule="auto"/>
        <w:ind w:left="0" w:firstLine="0"/>
      </w:pPr>
      <w:r w:rsidRPr="000A1612">
        <w:rPr>
          <w:vertAlign w:val="superscript"/>
        </w:rPr>
        <w:t xml:space="preserve">f </w:t>
      </w:r>
      <w:r w:rsidRPr="000A1612">
        <w:t>Menovateľ je pacient s abnormálny</w:t>
      </w:r>
      <w:r w:rsidR="001A7A3F">
        <w:t>mi hodnotami na začiatku liečby</w:t>
      </w:r>
    </w:p>
    <w:p w14:paraId="485EADF8" w14:textId="77777777" w:rsidR="009A581E" w:rsidRPr="000A1612" w:rsidRDefault="001A7A3F" w:rsidP="009A581E">
      <w:pPr>
        <w:widowControl w:val="0"/>
        <w:spacing w:after="0" w:line="240" w:lineRule="auto"/>
        <w:ind w:left="0" w:firstLine="0"/>
      </w:pPr>
      <w:r>
        <w:t>*p&lt;0,05</w:t>
      </w:r>
    </w:p>
    <w:p w14:paraId="7344CBFF" w14:textId="77777777" w:rsidR="009A581E" w:rsidRPr="000A1612" w:rsidRDefault="009A581E" w:rsidP="009A581E">
      <w:pPr>
        <w:widowControl w:val="0"/>
        <w:spacing w:after="0" w:line="240" w:lineRule="auto"/>
        <w:ind w:left="0" w:firstLine="0"/>
      </w:pPr>
      <w:r w:rsidRPr="000A1612">
        <w:t>ULN = horná hranica norm</w:t>
      </w:r>
      <w:r w:rsidR="000A4E5E">
        <w:t>y</w:t>
      </w:r>
      <w:r w:rsidR="001A7A3F">
        <w:t>, LLN = spodná hranica norm</w:t>
      </w:r>
      <w:r w:rsidR="000A4E5E">
        <w:t>y</w:t>
      </w:r>
    </w:p>
    <w:p w14:paraId="3152EBBA" w14:textId="77777777" w:rsidR="009A581E" w:rsidRPr="000A1612" w:rsidRDefault="009A581E" w:rsidP="009A581E">
      <w:pPr>
        <w:widowControl w:val="0"/>
        <w:spacing w:after="0" w:line="240" w:lineRule="auto"/>
        <w:ind w:left="0" w:firstLine="0"/>
      </w:pPr>
    </w:p>
    <w:p w14:paraId="5529FC3C" w14:textId="77777777" w:rsidR="009A581E" w:rsidRPr="000A1612" w:rsidRDefault="009A581E" w:rsidP="009A581E">
      <w:pPr>
        <w:widowControl w:val="0"/>
        <w:spacing w:after="0" w:line="240" w:lineRule="auto"/>
        <w:ind w:left="0" w:right="199" w:firstLine="0"/>
      </w:pPr>
      <w:r w:rsidRPr="000A1612">
        <w:t>Čas do nástupu HCC alebo úmrtia (podľa toho čo nastalo skôr) bol porovnateľný v dvoch liečených skupinách; kumulatívne miery úmrtí v štúdií boli 23 % (23/102) u pacientov liečených entekavirom a 33 % (29/89) u pacientov liečených adefovir</w:t>
      </w:r>
      <w:r w:rsidR="00DC443F">
        <w:t>-</w:t>
      </w:r>
      <w:r w:rsidRPr="000A1612">
        <w:t xml:space="preserve">dipivoxilom a kumulatívne miery HCC v štúdií boli 12 % (12/102) u pacientov liečených entekavirom a 20% (18/89) u pacientov </w:t>
      </w:r>
      <w:r w:rsidR="00155775">
        <w:t>liečených adefovir</w:t>
      </w:r>
      <w:r w:rsidR="00DC443F">
        <w:t>-</w:t>
      </w:r>
      <w:r w:rsidR="00155775">
        <w:t>dipivoxilom.</w:t>
      </w:r>
    </w:p>
    <w:p w14:paraId="46BE7671" w14:textId="77777777" w:rsidR="009A581E" w:rsidRPr="000A1612" w:rsidRDefault="009A581E" w:rsidP="00155775">
      <w:pPr>
        <w:widowControl w:val="0"/>
        <w:spacing w:after="0" w:line="240" w:lineRule="auto"/>
        <w:ind w:left="0" w:right="44" w:firstLine="0"/>
      </w:pPr>
      <w:r w:rsidRPr="000A1612">
        <w:t>U pacientov s LVDr substitúciami na začiatku liečby bolo percento pacientov s HBV DNA &lt;300 kópií/ml 44 % pre entecavir a 20 % pre adefovir v</w:t>
      </w:r>
      <w:r w:rsidR="00D511A6">
        <w:t> </w:t>
      </w:r>
      <w:r w:rsidRPr="000A1612">
        <w:t>24</w:t>
      </w:r>
      <w:r w:rsidR="00D511A6">
        <w:t>.</w:t>
      </w:r>
      <w:r w:rsidRPr="000A1612">
        <w:t xml:space="preserve"> týždni a 50 % pre entekavir a 17 % pre adefovir v 48. týždni.</w:t>
      </w:r>
    </w:p>
    <w:p w14:paraId="13D2B56E" w14:textId="77777777" w:rsidR="009A581E" w:rsidRPr="000A1612" w:rsidRDefault="009A581E" w:rsidP="009A581E">
      <w:pPr>
        <w:widowControl w:val="0"/>
        <w:spacing w:after="0" w:line="240" w:lineRule="auto"/>
        <w:ind w:left="0" w:firstLine="0"/>
      </w:pPr>
    </w:p>
    <w:p w14:paraId="1586F16A" w14:textId="77777777" w:rsidR="009A581E" w:rsidRPr="000A1612" w:rsidRDefault="009A581E" w:rsidP="009A581E">
      <w:pPr>
        <w:widowControl w:val="0"/>
        <w:spacing w:after="0" w:line="240" w:lineRule="auto"/>
        <w:ind w:left="0" w:right="44" w:firstLine="0"/>
      </w:pPr>
      <w:r w:rsidRPr="000A1612">
        <w:rPr>
          <w:i/>
        </w:rPr>
        <w:t>Pacienti súbežne infikovaní HIV/HBV užívajúci súbežnú HAART:</w:t>
      </w:r>
      <w:r w:rsidRPr="000A1612">
        <w:t xml:space="preserve"> štúdia 038 zahŕňala 67 HBeAg pozitívnych a 1 HBeAg negatívneho pacienta, ktorí boli súbežne infikovaní vírusom HIV</w:t>
      </w:r>
      <w:r w:rsidR="001C00C7">
        <w:t>.</w:t>
      </w:r>
      <w:r w:rsidRPr="000A1612">
        <w:t xml:space="preserve"> </w:t>
      </w:r>
      <w:r w:rsidR="007B5B22">
        <w:t xml:space="preserve">Pacienti mali stabilné kontrolované HIV </w:t>
      </w:r>
      <w:r w:rsidRPr="000A1612">
        <w:t>(HIV RNA &lt; 400 kópií/ml) s rekurenciami virémie HBV počas liečby režimom HAART obsahujúcom lamivudín. HAART režimy nezahŕňajú emtricitabín a</w:t>
      </w:r>
      <w:r w:rsidR="00161D04">
        <w:t> </w:t>
      </w:r>
      <w:r w:rsidRPr="000A1612">
        <w:t>tenofovir</w:t>
      </w:r>
      <w:r w:rsidR="00161D04">
        <w:t>-</w:t>
      </w:r>
      <w:r w:rsidRPr="000A1612">
        <w:t>di</w:t>
      </w:r>
      <w:r w:rsidR="00161D04">
        <w:t>z</w:t>
      </w:r>
      <w:r w:rsidRPr="000A1612">
        <w:t>oproxilfumarát. Na začiatku liečby mali pacienti liečení entekavirom strednú dĺžku trvania predošlej liečby lamivudínom 4,8 rokov a stredný počet CD4 494 buniek/mm</w:t>
      </w:r>
      <w:r w:rsidRPr="000A1612">
        <w:rPr>
          <w:vertAlign w:val="superscript"/>
        </w:rPr>
        <w:t>3</w:t>
      </w:r>
      <w:r w:rsidRPr="000A1612">
        <w:t xml:space="preserve"> (iba s 5 jedincami majúcimi počet CD4 &lt; 200 buniek/mm</w:t>
      </w:r>
      <w:r w:rsidRPr="000A1612">
        <w:rPr>
          <w:vertAlign w:val="superscript"/>
        </w:rPr>
        <w:t>3</w:t>
      </w:r>
      <w:r w:rsidRPr="000A1612">
        <w:t>). Pacienti pokračovali vo svojich režimoch s lamivudínom a boli priradení buď k entekaviru 1 mg jedenkrát denne (n = 51), alebo k placebu (n = 17) po dobu 24 týždňov, po ktorej nasledovalo ďalších 24 týždňov, počas ktorých všetci užívali entekavir. V 24. týždni bolo zníženie vírusovej záťaže HBV významne väčšie u entekaviru (-3,65 oproti vzostupu o 0,11 log</w:t>
      </w:r>
      <w:r w:rsidRPr="000A1612">
        <w:rPr>
          <w:vertAlign w:val="subscript"/>
        </w:rPr>
        <w:t>10</w:t>
      </w:r>
      <w:r w:rsidRPr="000A1612">
        <w:t xml:space="preserve"> kópií/ml). U pacientov, ktorí boli pôvodne priradení k liečbe entekavirom, bolo zníženie HBV DNA v 48. týždni -4,20 log</w:t>
      </w:r>
      <w:r w:rsidRPr="000A1612">
        <w:rPr>
          <w:vertAlign w:val="subscript"/>
        </w:rPr>
        <w:t>10</w:t>
      </w:r>
      <w:r w:rsidRPr="000A1612">
        <w:t xml:space="preserve"> kópií/ml, k normalizácii ALT došlo u 37 % pacientov s abnormálnymi bazálnymi hodnotami ALT a u žiadneho z pacientov nedošlo k HBeAg sérokonverzii.</w:t>
      </w:r>
    </w:p>
    <w:p w14:paraId="74E828AD" w14:textId="77777777" w:rsidR="009A581E" w:rsidRPr="000A1612" w:rsidRDefault="009A581E" w:rsidP="009A581E">
      <w:pPr>
        <w:widowControl w:val="0"/>
        <w:spacing w:after="0" w:line="240" w:lineRule="auto"/>
        <w:ind w:left="0" w:firstLine="0"/>
      </w:pPr>
    </w:p>
    <w:p w14:paraId="096D6565" w14:textId="77777777" w:rsidR="009A581E" w:rsidRPr="000A1612" w:rsidRDefault="009A581E" w:rsidP="009A581E">
      <w:pPr>
        <w:widowControl w:val="0"/>
        <w:spacing w:after="0" w:line="240" w:lineRule="auto"/>
        <w:ind w:left="0" w:right="123" w:firstLine="0"/>
      </w:pPr>
      <w:r w:rsidRPr="000A1612">
        <w:rPr>
          <w:i/>
        </w:rPr>
        <w:t>Pacienti súbežne infikovaní HIV/HBV neužívajúci súbežnú HAART</w:t>
      </w:r>
      <w:r w:rsidRPr="000A1612">
        <w:t>: entekavir nebol hodnotený u pacientov súbežne infikovaných HIV/HBV a nesúbežne užívajúcich účinnú HIV terapiu. Redukcia HIV RNA bola zaznamenaná u pacientov súbežne infikovaných HIV/HBV užívajúcich entekavir v monoterapii bez HAART. V niektorých prípadoch sa pozorovala selekcia HIV variantu M184V, ktorá má za dôsledok selekciu HAART režimov, ktoré môže pacienti užívať v budúcnosti. Preto sa entekavir za týchto podmienok nemá používať vzhľadom na potenciál rozvoja HIV rezistencie (pozri časť 4.4).</w:t>
      </w:r>
    </w:p>
    <w:p w14:paraId="44D78093" w14:textId="77777777" w:rsidR="009A581E" w:rsidRPr="000A1612" w:rsidRDefault="009A581E" w:rsidP="009A581E">
      <w:pPr>
        <w:widowControl w:val="0"/>
        <w:spacing w:after="0" w:line="240" w:lineRule="auto"/>
        <w:ind w:left="0" w:firstLine="0"/>
      </w:pPr>
    </w:p>
    <w:p w14:paraId="1A6C59AD" w14:textId="77777777" w:rsidR="009A581E" w:rsidRPr="000A1612" w:rsidRDefault="009A581E" w:rsidP="00155775">
      <w:pPr>
        <w:widowControl w:val="0"/>
        <w:spacing w:after="0" w:line="240" w:lineRule="auto"/>
        <w:ind w:left="0" w:right="221" w:firstLine="0"/>
      </w:pPr>
      <w:r w:rsidRPr="000A1612">
        <w:rPr>
          <w:i/>
        </w:rPr>
        <w:t>Príjemcovia transplantátu pečene:</w:t>
      </w:r>
      <w:r w:rsidRPr="000A1612">
        <w:t xml:space="preserve"> bezpečnosť a účinnosť 1 mg entekaviru jedenkrát denne sa hodnotila v jednoramennej štúdii so 65 pacientmi, ktorí dostali transplantát pečene z dôvodu komplikácií chronickej infekcie HBV a v čase transplantácie mali HBV DNA &lt; 172 IU/ml </w:t>
      </w:r>
      <w:r w:rsidRPr="000A1612">
        <w:lastRenderedPageBreak/>
        <w:t>(približne 1 000 kópií/ml). V študovanej skupine pacientov bolo 82 % mužov, 39 % belochov a 37 % aziatov s priemerným vekom 49 rokov; v čase transplantácie malo 89 % pacientov ochorenie s negatívnym HBeAg. Zo 61 pacientov, u ktorých sa hodnotila účinnosť (dostávalo entekavir minimálne 1 mesiac), 60 dostávalo aj imunoglobulín hepatitídy B (HBIg) ako súčasť profylaktického režimu po transplantácii. Z týchto 60 pacientov dostalo 49 liečbu HBIg dlhšie ako 6</w:t>
      </w:r>
      <w:r w:rsidR="00155775">
        <w:t> </w:t>
      </w:r>
      <w:r w:rsidRPr="000A1612">
        <w:t>mesiacov. V 72. týždni po transplantácii sa u žiadneho z 55 sledovaných prípadov nevyskytla rekurencia vírusu HBV [definovanú ako HBV DNA ≥ 50 IU/ml (približne 300 kópií/ml)] a</w:t>
      </w:r>
      <w:r w:rsidR="00CD68E3">
        <w:t xml:space="preserve"> nebola hlásená </w:t>
      </w:r>
      <w:r w:rsidRPr="000A1612">
        <w:t>ani žiadna rekurencia vírusu v čase sledovania zvyšných 6 pacientov. Po transplantácii vymizli HBsAg u všetkých 61 pacientov a 2 z nich sa neskôr stali HBsAg pozitívn</w:t>
      </w:r>
      <w:r w:rsidR="00CD68E3">
        <w:t>i</w:t>
      </w:r>
      <w:r w:rsidRPr="000A1612">
        <w:t xml:space="preserve"> i napriek zachovaniu nedetekovateľnej HBV DNA (&lt; 6 IU/ml). Frekvencia a charakter nežiaducich účinkov v tejto štúdii sa zhodovali s tými, ktoré sa očakávali u pacientov, ktorí dostali transplantát pečene a so známym bezpečnostným profilom entekaviru.</w:t>
      </w:r>
    </w:p>
    <w:p w14:paraId="49B90642" w14:textId="77777777" w:rsidR="009A581E" w:rsidRPr="000A1612" w:rsidRDefault="009A581E" w:rsidP="009A581E">
      <w:pPr>
        <w:widowControl w:val="0"/>
        <w:spacing w:after="0" w:line="240" w:lineRule="auto"/>
        <w:ind w:left="0" w:firstLine="0"/>
      </w:pPr>
    </w:p>
    <w:p w14:paraId="5A31E598" w14:textId="77777777" w:rsidR="009A581E" w:rsidRPr="000A1612" w:rsidRDefault="009A581E" w:rsidP="009A581E">
      <w:pPr>
        <w:widowControl w:val="0"/>
        <w:spacing w:after="0" w:line="240" w:lineRule="auto"/>
        <w:ind w:left="0" w:right="44" w:firstLine="0"/>
      </w:pPr>
      <w:r w:rsidRPr="00DF43D7">
        <w:rPr>
          <w:i/>
        </w:rPr>
        <w:t>Pediatrická populácia</w:t>
      </w:r>
      <w:r w:rsidRPr="000A1612">
        <w:rPr>
          <w:i/>
        </w:rPr>
        <w:t xml:space="preserve">: </w:t>
      </w:r>
      <w:r w:rsidRPr="000A1612">
        <w:t xml:space="preserve">Štúdia 189 je prebiehajúca štúdia účinnosti a bezpečnosti entekaviru so skupinou 180 detí a dospievajúcich bez predchádzajúcej liečby nukleozidmi vo veku od </w:t>
      </w:r>
    </w:p>
    <w:p w14:paraId="4741ED55" w14:textId="77777777" w:rsidR="009A581E" w:rsidRPr="000A1612" w:rsidRDefault="009A581E" w:rsidP="009A581E">
      <w:pPr>
        <w:widowControl w:val="0"/>
        <w:spacing w:after="0" w:line="240" w:lineRule="auto"/>
        <w:ind w:left="0" w:right="44" w:firstLine="0"/>
      </w:pPr>
      <w:r w:rsidRPr="000A1612">
        <w:t xml:space="preserve">2 do &lt; 18 rokov s HBeAg pozitívnou infekciou chronickej hepatitídy B, kompenzovaným ochorením pečene a zvýšenými hodnotami ALT. Pacienti boli randomizovaní (2:1) na užívanie zaslepenej liečby entekaviru 0,015 mg/kg až 0,5 mg/deň (N = 120) alebo placebo (N = 60). Randomizácia bola rozvrstvená podľa vekových skupín (2 až 6 rokov; &gt; 6 až 12 rokov a &gt; 12 až &lt; 18 rokov). </w:t>
      </w:r>
    </w:p>
    <w:p w14:paraId="473AAC0C" w14:textId="77777777" w:rsidR="009A581E" w:rsidRPr="000A1612" w:rsidRDefault="009A581E" w:rsidP="009A581E">
      <w:pPr>
        <w:widowControl w:val="0"/>
        <w:spacing w:after="0" w:line="240" w:lineRule="auto"/>
        <w:ind w:left="0" w:right="44" w:firstLine="0"/>
      </w:pPr>
      <w:r w:rsidRPr="000A1612">
        <w:t xml:space="preserve">Východiskové demografické charakteristiky a charakteristika ochorenia HBV boli medzi 2 liečenými skupinami a naprieč vekovým kohortám porovnateľné. Pri vstupe do štúdie bola v študovanej populácii priemerná hodnota HBV DNA 8,1 log10 IU/ml a priemerná hodnota ALT bola 103 U/l. Výsledky pre hlavné koncové ukazovatele účinnosti v 48. týždni a 96. týždni sú uvedené v tabuľke </w:t>
      </w:r>
      <w:r w:rsidRPr="00935FE0">
        <w:t>nižšie.</w:t>
      </w:r>
    </w:p>
    <w:p w14:paraId="30E71DDB" w14:textId="77777777" w:rsidR="009A581E" w:rsidRPr="000A1612" w:rsidRDefault="009A581E" w:rsidP="009A581E">
      <w:pPr>
        <w:widowControl w:val="0"/>
        <w:spacing w:after="0" w:line="240" w:lineRule="auto"/>
        <w:ind w:left="0" w:firstLine="0"/>
      </w:pPr>
    </w:p>
    <w:tbl>
      <w:tblPr>
        <w:tblStyle w:val="TableGrid"/>
        <w:tblW w:w="9214" w:type="dxa"/>
        <w:tblInd w:w="-10" w:type="dxa"/>
        <w:tblCellMar>
          <w:top w:w="22" w:type="dxa"/>
          <w:left w:w="108" w:type="dxa"/>
          <w:bottom w:w="9" w:type="dxa"/>
          <w:right w:w="85" w:type="dxa"/>
        </w:tblCellMar>
        <w:tblLook w:val="04A0" w:firstRow="1" w:lastRow="0" w:firstColumn="1" w:lastColumn="0" w:noHBand="0" w:noVBand="1"/>
      </w:tblPr>
      <w:tblGrid>
        <w:gridCol w:w="2840"/>
        <w:gridCol w:w="2122"/>
        <w:gridCol w:w="1984"/>
        <w:gridCol w:w="2268"/>
      </w:tblGrid>
      <w:tr w:rsidR="009A581E" w:rsidRPr="000A1612" w14:paraId="3338F3EF" w14:textId="77777777" w:rsidTr="00155775">
        <w:trPr>
          <w:trHeight w:val="264"/>
        </w:trPr>
        <w:tc>
          <w:tcPr>
            <w:tcW w:w="2840" w:type="dxa"/>
            <w:tcBorders>
              <w:top w:val="single" w:sz="8" w:space="0" w:color="000000"/>
              <w:left w:val="single" w:sz="8" w:space="0" w:color="000000"/>
              <w:bottom w:val="single" w:sz="8" w:space="0" w:color="000000"/>
              <w:right w:val="single" w:sz="8" w:space="0" w:color="000000"/>
            </w:tcBorders>
          </w:tcPr>
          <w:p w14:paraId="2D7117B4" w14:textId="77777777" w:rsidR="009A581E" w:rsidRPr="000A1612" w:rsidRDefault="009A581E" w:rsidP="00130E2E">
            <w:pPr>
              <w:widowControl w:val="0"/>
              <w:spacing w:after="0" w:line="240" w:lineRule="auto"/>
              <w:ind w:left="0" w:firstLine="0"/>
            </w:pPr>
          </w:p>
        </w:tc>
        <w:tc>
          <w:tcPr>
            <w:tcW w:w="4106" w:type="dxa"/>
            <w:gridSpan w:val="2"/>
            <w:tcBorders>
              <w:top w:val="single" w:sz="8" w:space="0" w:color="000000"/>
              <w:left w:val="single" w:sz="8" w:space="0" w:color="000000"/>
              <w:bottom w:val="single" w:sz="8" w:space="0" w:color="000000"/>
              <w:right w:val="single" w:sz="8" w:space="0" w:color="000000"/>
            </w:tcBorders>
          </w:tcPr>
          <w:p w14:paraId="66A71042" w14:textId="77777777" w:rsidR="009A581E" w:rsidRPr="000A1612" w:rsidRDefault="009A581E" w:rsidP="00130E2E">
            <w:pPr>
              <w:widowControl w:val="0"/>
              <w:spacing w:after="0" w:line="240" w:lineRule="auto"/>
              <w:ind w:left="0" w:right="26" w:firstLine="0"/>
              <w:jc w:val="center"/>
            </w:pPr>
            <w:r w:rsidRPr="000A1612">
              <w:rPr>
                <w:b/>
              </w:rPr>
              <w:t>Entekavir</w:t>
            </w:r>
            <w:r w:rsidRPr="000A1612">
              <w:rPr>
                <w:rFonts w:eastAsia="Calibri"/>
                <w:b/>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322792D6" w14:textId="4FF22DB5" w:rsidR="009A581E" w:rsidRPr="000A1612" w:rsidRDefault="009A581E" w:rsidP="003B0C9E">
            <w:pPr>
              <w:widowControl w:val="0"/>
              <w:spacing w:after="0" w:line="240" w:lineRule="auto"/>
              <w:ind w:left="0" w:firstLine="0"/>
              <w:jc w:val="center"/>
            </w:pPr>
            <w:r w:rsidRPr="000A1612">
              <w:rPr>
                <w:b/>
              </w:rPr>
              <w:t>Placebo*</w:t>
            </w:r>
          </w:p>
        </w:tc>
      </w:tr>
      <w:tr w:rsidR="009A581E" w:rsidRPr="000A1612" w14:paraId="24ECFC15" w14:textId="77777777" w:rsidTr="00155775">
        <w:trPr>
          <w:trHeight w:val="264"/>
        </w:trPr>
        <w:tc>
          <w:tcPr>
            <w:tcW w:w="2840" w:type="dxa"/>
            <w:tcBorders>
              <w:top w:val="single" w:sz="8" w:space="0" w:color="000000"/>
              <w:left w:val="single" w:sz="8" w:space="0" w:color="000000"/>
              <w:bottom w:val="single" w:sz="8" w:space="0" w:color="000000"/>
              <w:right w:val="single" w:sz="8" w:space="0" w:color="000000"/>
            </w:tcBorders>
          </w:tcPr>
          <w:p w14:paraId="2AF2E9A6" w14:textId="77777777" w:rsidR="009A581E" w:rsidRPr="000A1612" w:rsidRDefault="009A581E" w:rsidP="00130E2E">
            <w:pPr>
              <w:widowControl w:val="0"/>
              <w:spacing w:after="0" w:line="240" w:lineRule="auto"/>
              <w:ind w:left="0" w:firstLine="0"/>
            </w:pPr>
          </w:p>
        </w:tc>
        <w:tc>
          <w:tcPr>
            <w:tcW w:w="2122" w:type="dxa"/>
            <w:tcBorders>
              <w:top w:val="single" w:sz="8" w:space="0" w:color="000000"/>
              <w:left w:val="single" w:sz="8" w:space="0" w:color="000000"/>
              <w:bottom w:val="single" w:sz="8" w:space="0" w:color="000000"/>
              <w:right w:val="single" w:sz="8" w:space="0" w:color="000000"/>
            </w:tcBorders>
          </w:tcPr>
          <w:p w14:paraId="43FA4645" w14:textId="77777777" w:rsidR="009A581E" w:rsidRPr="000A1612" w:rsidRDefault="009A581E" w:rsidP="00130E2E">
            <w:pPr>
              <w:widowControl w:val="0"/>
              <w:spacing w:after="0" w:line="240" w:lineRule="auto"/>
              <w:ind w:left="0" w:right="27" w:firstLine="0"/>
              <w:jc w:val="center"/>
            </w:pPr>
            <w:r w:rsidRPr="000A1612">
              <w:t>48. týždeň</w:t>
            </w:r>
          </w:p>
        </w:tc>
        <w:tc>
          <w:tcPr>
            <w:tcW w:w="1984" w:type="dxa"/>
            <w:tcBorders>
              <w:top w:val="single" w:sz="8" w:space="0" w:color="000000"/>
              <w:left w:val="single" w:sz="8" w:space="0" w:color="000000"/>
              <w:bottom w:val="single" w:sz="8" w:space="0" w:color="000000"/>
              <w:right w:val="single" w:sz="8" w:space="0" w:color="000000"/>
            </w:tcBorders>
          </w:tcPr>
          <w:p w14:paraId="73668B0C" w14:textId="77777777" w:rsidR="009A581E" w:rsidRPr="000A1612" w:rsidRDefault="009A581E" w:rsidP="00130E2E">
            <w:pPr>
              <w:widowControl w:val="0"/>
              <w:spacing w:after="0" w:line="240" w:lineRule="auto"/>
              <w:ind w:left="0" w:right="25" w:firstLine="0"/>
              <w:jc w:val="center"/>
            </w:pPr>
            <w:r w:rsidRPr="000A1612">
              <w:t>96. týždeň</w:t>
            </w:r>
          </w:p>
        </w:tc>
        <w:tc>
          <w:tcPr>
            <w:tcW w:w="2268" w:type="dxa"/>
            <w:tcBorders>
              <w:top w:val="single" w:sz="8" w:space="0" w:color="000000"/>
              <w:left w:val="single" w:sz="8" w:space="0" w:color="000000"/>
              <w:bottom w:val="single" w:sz="8" w:space="0" w:color="000000"/>
              <w:right w:val="single" w:sz="8" w:space="0" w:color="000000"/>
            </w:tcBorders>
          </w:tcPr>
          <w:p w14:paraId="3FF13E3A" w14:textId="77777777" w:rsidR="009A581E" w:rsidRPr="000A1612" w:rsidRDefault="009A581E" w:rsidP="00130E2E">
            <w:pPr>
              <w:widowControl w:val="0"/>
              <w:spacing w:after="0" w:line="240" w:lineRule="auto"/>
              <w:ind w:left="0" w:firstLine="0"/>
            </w:pPr>
            <w:r w:rsidRPr="000A1612">
              <w:t>48. týždeň</w:t>
            </w:r>
          </w:p>
        </w:tc>
      </w:tr>
      <w:tr w:rsidR="009A581E" w:rsidRPr="000A1612" w14:paraId="2D9110B9" w14:textId="77777777" w:rsidTr="00155775">
        <w:trPr>
          <w:trHeight w:val="252"/>
        </w:trPr>
        <w:tc>
          <w:tcPr>
            <w:tcW w:w="2840" w:type="dxa"/>
            <w:tcBorders>
              <w:top w:val="single" w:sz="8" w:space="0" w:color="000000"/>
              <w:left w:val="single" w:sz="8" w:space="0" w:color="000000"/>
              <w:bottom w:val="single" w:sz="8" w:space="0" w:color="000000"/>
              <w:right w:val="single" w:sz="8" w:space="0" w:color="000000"/>
            </w:tcBorders>
          </w:tcPr>
          <w:p w14:paraId="328F7045" w14:textId="77777777" w:rsidR="009A581E" w:rsidRPr="000A1612" w:rsidRDefault="009A581E" w:rsidP="00130E2E">
            <w:pPr>
              <w:widowControl w:val="0"/>
              <w:spacing w:after="0" w:line="240" w:lineRule="auto"/>
              <w:ind w:left="0" w:firstLine="0"/>
            </w:pPr>
            <w:r w:rsidRPr="000A1612">
              <w:rPr>
                <w:b/>
              </w:rPr>
              <w:t>n</w:t>
            </w:r>
          </w:p>
        </w:tc>
        <w:tc>
          <w:tcPr>
            <w:tcW w:w="2122" w:type="dxa"/>
            <w:tcBorders>
              <w:top w:val="single" w:sz="8" w:space="0" w:color="000000"/>
              <w:left w:val="single" w:sz="8" w:space="0" w:color="000000"/>
              <w:bottom w:val="single" w:sz="8" w:space="0" w:color="000000"/>
              <w:right w:val="single" w:sz="8" w:space="0" w:color="000000"/>
            </w:tcBorders>
          </w:tcPr>
          <w:p w14:paraId="43D2DB36" w14:textId="77777777" w:rsidR="009A581E" w:rsidRPr="000A1612" w:rsidRDefault="009A581E" w:rsidP="00155775">
            <w:pPr>
              <w:widowControl w:val="0"/>
              <w:spacing w:after="0" w:line="240" w:lineRule="auto"/>
              <w:ind w:left="0" w:right="25" w:firstLine="0"/>
              <w:jc w:val="center"/>
            </w:pPr>
            <w:r w:rsidRPr="000A1612">
              <w:t>120</w:t>
            </w:r>
          </w:p>
        </w:tc>
        <w:tc>
          <w:tcPr>
            <w:tcW w:w="1984" w:type="dxa"/>
            <w:tcBorders>
              <w:top w:val="single" w:sz="8" w:space="0" w:color="000000"/>
              <w:left w:val="single" w:sz="8" w:space="0" w:color="000000"/>
              <w:bottom w:val="single" w:sz="8" w:space="0" w:color="000000"/>
              <w:right w:val="single" w:sz="8" w:space="0" w:color="000000"/>
            </w:tcBorders>
          </w:tcPr>
          <w:p w14:paraId="0B307FC9" w14:textId="77777777" w:rsidR="009A581E" w:rsidRPr="000A1612" w:rsidRDefault="009A581E" w:rsidP="00155775">
            <w:pPr>
              <w:widowControl w:val="0"/>
              <w:spacing w:after="0" w:line="240" w:lineRule="auto"/>
              <w:ind w:left="0" w:right="22" w:firstLine="0"/>
              <w:jc w:val="center"/>
            </w:pPr>
            <w:r w:rsidRPr="000A1612">
              <w:t>120</w:t>
            </w:r>
          </w:p>
        </w:tc>
        <w:tc>
          <w:tcPr>
            <w:tcW w:w="2268" w:type="dxa"/>
            <w:tcBorders>
              <w:top w:val="single" w:sz="8" w:space="0" w:color="000000"/>
              <w:left w:val="single" w:sz="8" w:space="0" w:color="000000"/>
              <w:bottom w:val="single" w:sz="8" w:space="0" w:color="000000"/>
              <w:right w:val="single" w:sz="8" w:space="0" w:color="000000"/>
            </w:tcBorders>
          </w:tcPr>
          <w:p w14:paraId="5EA2FB57" w14:textId="77777777" w:rsidR="009A581E" w:rsidRPr="000A1612" w:rsidRDefault="009A581E" w:rsidP="00155775">
            <w:pPr>
              <w:widowControl w:val="0"/>
              <w:spacing w:after="0" w:line="240" w:lineRule="auto"/>
              <w:ind w:left="0" w:firstLine="0"/>
              <w:jc w:val="center"/>
            </w:pPr>
            <w:r w:rsidRPr="000A1612">
              <w:t>60</w:t>
            </w:r>
          </w:p>
        </w:tc>
      </w:tr>
      <w:tr w:rsidR="009A581E" w:rsidRPr="000A1612" w14:paraId="5C5731D3" w14:textId="77777777" w:rsidTr="00155775">
        <w:trPr>
          <w:trHeight w:val="480"/>
        </w:trPr>
        <w:tc>
          <w:tcPr>
            <w:tcW w:w="2840" w:type="dxa"/>
            <w:tcBorders>
              <w:top w:val="single" w:sz="8" w:space="0" w:color="000000"/>
              <w:left w:val="single" w:sz="8" w:space="0" w:color="000000"/>
              <w:bottom w:val="single" w:sz="8" w:space="0" w:color="000000"/>
              <w:right w:val="single" w:sz="8" w:space="0" w:color="000000"/>
            </w:tcBorders>
          </w:tcPr>
          <w:p w14:paraId="313B5410" w14:textId="77777777" w:rsidR="009A581E" w:rsidRPr="000A1612" w:rsidRDefault="009A581E" w:rsidP="00130E2E">
            <w:pPr>
              <w:widowControl w:val="0"/>
              <w:spacing w:after="0" w:line="240" w:lineRule="auto"/>
              <w:ind w:left="0" w:firstLine="0"/>
            </w:pPr>
            <w:r w:rsidRPr="000A1612">
              <w:t xml:space="preserve">HBV DNA &lt; 50 IU/ml a </w:t>
            </w:r>
          </w:p>
          <w:p w14:paraId="4C14AEE5" w14:textId="77777777" w:rsidR="009A581E" w:rsidRPr="000A1612" w:rsidRDefault="009A581E" w:rsidP="00130E2E">
            <w:pPr>
              <w:widowControl w:val="0"/>
              <w:spacing w:after="0" w:line="240" w:lineRule="auto"/>
              <w:ind w:left="0" w:firstLine="0"/>
            </w:pPr>
            <w:r w:rsidRPr="000A1612">
              <w:t>HBeAg sérokonverzia</w:t>
            </w:r>
            <w:r w:rsidRPr="000A1612">
              <w:rPr>
                <w:vertAlign w:val="superscript"/>
              </w:rPr>
              <w:t>a</w:t>
            </w:r>
            <w:r w:rsidRPr="000A1612">
              <w:rPr>
                <w:rFonts w:eastAsia="Calibri"/>
              </w:rPr>
              <w:t xml:space="preserve"> </w:t>
            </w:r>
          </w:p>
        </w:tc>
        <w:tc>
          <w:tcPr>
            <w:tcW w:w="2122" w:type="dxa"/>
            <w:tcBorders>
              <w:top w:val="single" w:sz="8" w:space="0" w:color="000000"/>
              <w:left w:val="single" w:sz="8" w:space="0" w:color="000000"/>
              <w:bottom w:val="single" w:sz="8" w:space="0" w:color="000000"/>
              <w:right w:val="single" w:sz="8" w:space="0" w:color="000000"/>
            </w:tcBorders>
          </w:tcPr>
          <w:p w14:paraId="5086732A" w14:textId="77777777" w:rsidR="009A581E" w:rsidRPr="000A1612" w:rsidRDefault="009A581E" w:rsidP="00155775">
            <w:pPr>
              <w:widowControl w:val="0"/>
              <w:spacing w:after="0" w:line="240" w:lineRule="auto"/>
              <w:ind w:left="0" w:right="21" w:firstLine="0"/>
              <w:jc w:val="center"/>
            </w:pPr>
            <w:r w:rsidRPr="000A1612">
              <w:t>24,2 %</w:t>
            </w:r>
          </w:p>
        </w:tc>
        <w:tc>
          <w:tcPr>
            <w:tcW w:w="1984" w:type="dxa"/>
            <w:tcBorders>
              <w:top w:val="single" w:sz="8" w:space="0" w:color="000000"/>
              <w:left w:val="single" w:sz="8" w:space="0" w:color="000000"/>
              <w:bottom w:val="single" w:sz="8" w:space="0" w:color="000000"/>
              <w:right w:val="single" w:sz="8" w:space="0" w:color="000000"/>
            </w:tcBorders>
          </w:tcPr>
          <w:p w14:paraId="50FCE248" w14:textId="77777777" w:rsidR="009A581E" w:rsidRPr="000A1612" w:rsidRDefault="009A581E" w:rsidP="00155775">
            <w:pPr>
              <w:widowControl w:val="0"/>
              <w:spacing w:after="0" w:line="240" w:lineRule="auto"/>
              <w:ind w:left="0" w:right="18" w:firstLine="0"/>
              <w:jc w:val="center"/>
            </w:pPr>
            <w:r w:rsidRPr="000A1612">
              <w:t>35,8 %</w:t>
            </w:r>
          </w:p>
        </w:tc>
        <w:tc>
          <w:tcPr>
            <w:tcW w:w="2268" w:type="dxa"/>
            <w:tcBorders>
              <w:top w:val="single" w:sz="8" w:space="0" w:color="000000"/>
              <w:left w:val="single" w:sz="8" w:space="0" w:color="000000"/>
              <w:bottom w:val="single" w:sz="8" w:space="0" w:color="000000"/>
              <w:right w:val="single" w:sz="8" w:space="0" w:color="000000"/>
            </w:tcBorders>
          </w:tcPr>
          <w:p w14:paraId="1081BDB3" w14:textId="77777777" w:rsidR="009A581E" w:rsidRPr="000A1612" w:rsidRDefault="009A581E" w:rsidP="00155775">
            <w:pPr>
              <w:widowControl w:val="0"/>
              <w:spacing w:after="0" w:line="240" w:lineRule="auto"/>
              <w:ind w:left="0" w:firstLine="0"/>
              <w:jc w:val="center"/>
            </w:pPr>
            <w:r w:rsidRPr="000A1612">
              <w:t>3,3 %</w:t>
            </w:r>
          </w:p>
        </w:tc>
      </w:tr>
      <w:tr w:rsidR="009A581E" w:rsidRPr="000A1612" w14:paraId="3005C588" w14:textId="77777777" w:rsidTr="00155775">
        <w:trPr>
          <w:trHeight w:val="250"/>
        </w:trPr>
        <w:tc>
          <w:tcPr>
            <w:tcW w:w="2840" w:type="dxa"/>
            <w:tcBorders>
              <w:top w:val="single" w:sz="8" w:space="0" w:color="000000"/>
              <w:left w:val="single" w:sz="8" w:space="0" w:color="000000"/>
              <w:bottom w:val="single" w:sz="8" w:space="0" w:color="000000"/>
              <w:right w:val="single" w:sz="8" w:space="0" w:color="000000"/>
            </w:tcBorders>
          </w:tcPr>
          <w:p w14:paraId="181F5587" w14:textId="77777777" w:rsidR="009A581E" w:rsidRPr="000A1612" w:rsidRDefault="009A581E" w:rsidP="00130E2E">
            <w:pPr>
              <w:widowControl w:val="0"/>
              <w:spacing w:after="0" w:line="240" w:lineRule="auto"/>
              <w:ind w:left="0" w:firstLine="0"/>
            </w:pPr>
            <w:r w:rsidRPr="000A1612">
              <w:t>HBV DNA &lt; 50 IU/ml</w:t>
            </w:r>
            <w:r w:rsidRPr="000A1612">
              <w:rPr>
                <w:vertAlign w:val="superscript"/>
              </w:rPr>
              <w:t>a</w:t>
            </w:r>
            <w:r w:rsidRPr="000A1612">
              <w:rPr>
                <w:rFonts w:eastAsia="Calibri"/>
              </w:rPr>
              <w:t xml:space="preserve"> </w:t>
            </w:r>
          </w:p>
        </w:tc>
        <w:tc>
          <w:tcPr>
            <w:tcW w:w="2122" w:type="dxa"/>
            <w:tcBorders>
              <w:top w:val="single" w:sz="8" w:space="0" w:color="000000"/>
              <w:left w:val="single" w:sz="8" w:space="0" w:color="000000"/>
              <w:bottom w:val="single" w:sz="8" w:space="0" w:color="000000"/>
              <w:right w:val="single" w:sz="8" w:space="0" w:color="000000"/>
            </w:tcBorders>
          </w:tcPr>
          <w:p w14:paraId="0520E8C6" w14:textId="77777777" w:rsidR="009A581E" w:rsidRPr="000A1612" w:rsidRDefault="009A581E" w:rsidP="00155775">
            <w:pPr>
              <w:widowControl w:val="0"/>
              <w:spacing w:after="0" w:line="240" w:lineRule="auto"/>
              <w:ind w:left="0" w:right="21" w:firstLine="0"/>
              <w:jc w:val="center"/>
            </w:pPr>
            <w:r w:rsidRPr="000A1612">
              <w:t>49,2 %</w:t>
            </w:r>
          </w:p>
        </w:tc>
        <w:tc>
          <w:tcPr>
            <w:tcW w:w="1984" w:type="dxa"/>
            <w:tcBorders>
              <w:top w:val="single" w:sz="8" w:space="0" w:color="000000"/>
              <w:left w:val="single" w:sz="8" w:space="0" w:color="000000"/>
              <w:bottom w:val="single" w:sz="8" w:space="0" w:color="000000"/>
              <w:right w:val="single" w:sz="8" w:space="0" w:color="000000"/>
            </w:tcBorders>
          </w:tcPr>
          <w:p w14:paraId="5A8EA767" w14:textId="77777777" w:rsidR="009A581E" w:rsidRPr="000A1612" w:rsidRDefault="009A581E" w:rsidP="00155775">
            <w:pPr>
              <w:widowControl w:val="0"/>
              <w:spacing w:after="0" w:line="240" w:lineRule="auto"/>
              <w:ind w:left="0" w:right="18" w:firstLine="0"/>
              <w:jc w:val="center"/>
            </w:pPr>
            <w:r w:rsidRPr="000A1612">
              <w:t>64,2 %</w:t>
            </w:r>
          </w:p>
        </w:tc>
        <w:tc>
          <w:tcPr>
            <w:tcW w:w="2268" w:type="dxa"/>
            <w:tcBorders>
              <w:top w:val="single" w:sz="8" w:space="0" w:color="000000"/>
              <w:left w:val="single" w:sz="8" w:space="0" w:color="000000"/>
              <w:bottom w:val="single" w:sz="8" w:space="0" w:color="000000"/>
              <w:right w:val="single" w:sz="8" w:space="0" w:color="000000"/>
            </w:tcBorders>
          </w:tcPr>
          <w:p w14:paraId="2DB91274" w14:textId="77777777" w:rsidR="009A581E" w:rsidRPr="000A1612" w:rsidRDefault="009A581E" w:rsidP="00155775">
            <w:pPr>
              <w:widowControl w:val="0"/>
              <w:spacing w:after="0" w:line="240" w:lineRule="auto"/>
              <w:ind w:left="0" w:firstLine="0"/>
              <w:jc w:val="center"/>
            </w:pPr>
            <w:r w:rsidRPr="000A1612">
              <w:t>3,3 %</w:t>
            </w:r>
          </w:p>
        </w:tc>
      </w:tr>
      <w:tr w:rsidR="009A581E" w:rsidRPr="000A1612" w14:paraId="294D00F0" w14:textId="77777777" w:rsidTr="00155775">
        <w:trPr>
          <w:trHeight w:val="250"/>
        </w:trPr>
        <w:tc>
          <w:tcPr>
            <w:tcW w:w="2840" w:type="dxa"/>
            <w:tcBorders>
              <w:top w:val="single" w:sz="8" w:space="0" w:color="000000"/>
              <w:left w:val="single" w:sz="8" w:space="0" w:color="000000"/>
              <w:bottom w:val="single" w:sz="8" w:space="0" w:color="000000"/>
              <w:right w:val="single" w:sz="8" w:space="0" w:color="000000"/>
            </w:tcBorders>
          </w:tcPr>
          <w:p w14:paraId="6877C0A1" w14:textId="77777777" w:rsidR="009A581E" w:rsidRPr="000A1612" w:rsidRDefault="009A581E" w:rsidP="00130E2E">
            <w:pPr>
              <w:widowControl w:val="0"/>
              <w:spacing w:after="0" w:line="240" w:lineRule="auto"/>
              <w:ind w:left="0" w:firstLine="0"/>
            </w:pPr>
            <w:r w:rsidRPr="000A1612">
              <w:t>HBeAg sérokonverzia</w:t>
            </w:r>
            <w:r w:rsidRPr="000A1612">
              <w:rPr>
                <w:vertAlign w:val="superscript"/>
              </w:rPr>
              <w:t>a</w:t>
            </w:r>
            <w:r w:rsidRPr="000A1612">
              <w:rPr>
                <w:rFonts w:eastAsia="Calibri"/>
              </w:rPr>
              <w:t xml:space="preserve"> </w:t>
            </w:r>
          </w:p>
        </w:tc>
        <w:tc>
          <w:tcPr>
            <w:tcW w:w="2122" w:type="dxa"/>
            <w:tcBorders>
              <w:top w:val="single" w:sz="8" w:space="0" w:color="000000"/>
              <w:left w:val="single" w:sz="8" w:space="0" w:color="000000"/>
              <w:bottom w:val="single" w:sz="8" w:space="0" w:color="000000"/>
              <w:right w:val="single" w:sz="8" w:space="0" w:color="000000"/>
            </w:tcBorders>
          </w:tcPr>
          <w:p w14:paraId="5525D29A" w14:textId="77777777" w:rsidR="009A581E" w:rsidRPr="000A1612" w:rsidRDefault="009A581E" w:rsidP="00155775">
            <w:pPr>
              <w:widowControl w:val="0"/>
              <w:spacing w:after="0" w:line="240" w:lineRule="auto"/>
              <w:ind w:left="0" w:right="21" w:firstLine="0"/>
              <w:jc w:val="center"/>
            </w:pPr>
            <w:r w:rsidRPr="000A1612">
              <w:t>24,2 %</w:t>
            </w:r>
          </w:p>
        </w:tc>
        <w:tc>
          <w:tcPr>
            <w:tcW w:w="1984" w:type="dxa"/>
            <w:tcBorders>
              <w:top w:val="single" w:sz="8" w:space="0" w:color="000000"/>
              <w:left w:val="single" w:sz="8" w:space="0" w:color="000000"/>
              <w:bottom w:val="single" w:sz="8" w:space="0" w:color="000000"/>
              <w:right w:val="single" w:sz="8" w:space="0" w:color="000000"/>
            </w:tcBorders>
          </w:tcPr>
          <w:p w14:paraId="270D504A" w14:textId="77777777" w:rsidR="009A581E" w:rsidRPr="000A1612" w:rsidRDefault="009A581E" w:rsidP="00155775">
            <w:pPr>
              <w:widowControl w:val="0"/>
              <w:spacing w:after="0" w:line="240" w:lineRule="auto"/>
              <w:ind w:left="0" w:right="18" w:firstLine="0"/>
              <w:jc w:val="center"/>
            </w:pPr>
            <w:r w:rsidRPr="000A1612">
              <w:t>36,7 %</w:t>
            </w:r>
          </w:p>
        </w:tc>
        <w:tc>
          <w:tcPr>
            <w:tcW w:w="2268" w:type="dxa"/>
            <w:tcBorders>
              <w:top w:val="single" w:sz="8" w:space="0" w:color="000000"/>
              <w:left w:val="single" w:sz="8" w:space="0" w:color="000000"/>
              <w:bottom w:val="single" w:sz="8" w:space="0" w:color="000000"/>
              <w:right w:val="single" w:sz="8" w:space="0" w:color="000000"/>
            </w:tcBorders>
          </w:tcPr>
          <w:p w14:paraId="44CDE167" w14:textId="77777777" w:rsidR="009A581E" w:rsidRPr="000A1612" w:rsidRDefault="009A581E" w:rsidP="00155775">
            <w:pPr>
              <w:widowControl w:val="0"/>
              <w:spacing w:after="0" w:line="240" w:lineRule="auto"/>
              <w:ind w:left="0" w:firstLine="0"/>
              <w:jc w:val="center"/>
            </w:pPr>
            <w:r w:rsidRPr="000A1612">
              <w:t>10,0 %</w:t>
            </w:r>
          </w:p>
        </w:tc>
      </w:tr>
      <w:tr w:rsidR="009A581E" w:rsidRPr="000A1612" w14:paraId="18C2B541" w14:textId="77777777" w:rsidTr="00155775">
        <w:trPr>
          <w:trHeight w:val="262"/>
        </w:trPr>
        <w:tc>
          <w:tcPr>
            <w:tcW w:w="2840" w:type="dxa"/>
            <w:tcBorders>
              <w:top w:val="single" w:sz="8" w:space="0" w:color="000000"/>
              <w:left w:val="single" w:sz="8" w:space="0" w:color="000000"/>
              <w:bottom w:val="single" w:sz="17" w:space="0" w:color="000000"/>
              <w:right w:val="single" w:sz="8" w:space="0" w:color="000000"/>
            </w:tcBorders>
          </w:tcPr>
          <w:p w14:paraId="0A29CCD6" w14:textId="77777777" w:rsidR="009A581E" w:rsidRPr="000A1612" w:rsidRDefault="009A581E" w:rsidP="00130E2E">
            <w:pPr>
              <w:widowControl w:val="0"/>
              <w:spacing w:after="0" w:line="240" w:lineRule="auto"/>
              <w:ind w:left="0" w:firstLine="0"/>
            </w:pPr>
            <w:r w:rsidRPr="000A1612">
              <w:t>ALT normalizácia</w:t>
            </w:r>
            <w:r w:rsidRPr="000A1612">
              <w:rPr>
                <w:vertAlign w:val="superscript"/>
              </w:rPr>
              <w:t>a</w:t>
            </w:r>
            <w:r w:rsidRPr="000A1612">
              <w:rPr>
                <w:rFonts w:eastAsia="Calibri"/>
              </w:rPr>
              <w:t xml:space="preserve"> </w:t>
            </w:r>
          </w:p>
        </w:tc>
        <w:tc>
          <w:tcPr>
            <w:tcW w:w="2122" w:type="dxa"/>
            <w:tcBorders>
              <w:top w:val="single" w:sz="8" w:space="0" w:color="000000"/>
              <w:left w:val="single" w:sz="8" w:space="0" w:color="000000"/>
              <w:bottom w:val="single" w:sz="17" w:space="0" w:color="000000"/>
              <w:right w:val="single" w:sz="8" w:space="0" w:color="000000"/>
            </w:tcBorders>
          </w:tcPr>
          <w:p w14:paraId="00A3D276" w14:textId="77777777" w:rsidR="009A581E" w:rsidRPr="000A1612" w:rsidRDefault="009A581E" w:rsidP="00155775">
            <w:pPr>
              <w:widowControl w:val="0"/>
              <w:spacing w:after="0" w:line="240" w:lineRule="auto"/>
              <w:ind w:left="0" w:right="21" w:firstLine="0"/>
              <w:jc w:val="center"/>
            </w:pPr>
            <w:r w:rsidRPr="000A1612">
              <w:t>67,5 %</w:t>
            </w:r>
          </w:p>
        </w:tc>
        <w:tc>
          <w:tcPr>
            <w:tcW w:w="1984" w:type="dxa"/>
            <w:tcBorders>
              <w:top w:val="single" w:sz="8" w:space="0" w:color="000000"/>
              <w:left w:val="single" w:sz="8" w:space="0" w:color="000000"/>
              <w:bottom w:val="single" w:sz="17" w:space="0" w:color="000000"/>
              <w:right w:val="single" w:sz="8" w:space="0" w:color="000000"/>
            </w:tcBorders>
          </w:tcPr>
          <w:p w14:paraId="27CDAC7F" w14:textId="77777777" w:rsidR="009A581E" w:rsidRPr="000A1612" w:rsidRDefault="009A581E" w:rsidP="00155775">
            <w:pPr>
              <w:widowControl w:val="0"/>
              <w:spacing w:after="0" w:line="240" w:lineRule="auto"/>
              <w:ind w:left="0" w:right="18" w:firstLine="0"/>
              <w:jc w:val="center"/>
            </w:pPr>
            <w:r w:rsidRPr="000A1612">
              <w:t>81,7 %</w:t>
            </w:r>
          </w:p>
        </w:tc>
        <w:tc>
          <w:tcPr>
            <w:tcW w:w="2268" w:type="dxa"/>
            <w:tcBorders>
              <w:top w:val="single" w:sz="8" w:space="0" w:color="000000"/>
              <w:left w:val="single" w:sz="8" w:space="0" w:color="000000"/>
              <w:bottom w:val="single" w:sz="17" w:space="0" w:color="000000"/>
              <w:right w:val="single" w:sz="8" w:space="0" w:color="000000"/>
            </w:tcBorders>
          </w:tcPr>
          <w:p w14:paraId="185F3D63" w14:textId="77777777" w:rsidR="009A581E" w:rsidRPr="000A1612" w:rsidRDefault="009A581E" w:rsidP="00155775">
            <w:pPr>
              <w:widowControl w:val="0"/>
              <w:spacing w:after="0" w:line="240" w:lineRule="auto"/>
              <w:ind w:left="0" w:firstLine="0"/>
              <w:jc w:val="center"/>
            </w:pPr>
            <w:r w:rsidRPr="000A1612">
              <w:t>23,3 %</w:t>
            </w:r>
          </w:p>
        </w:tc>
      </w:tr>
      <w:tr w:rsidR="009A581E" w:rsidRPr="000A1612" w14:paraId="52C6ECB0" w14:textId="77777777" w:rsidTr="00155775">
        <w:trPr>
          <w:trHeight w:val="991"/>
        </w:trPr>
        <w:tc>
          <w:tcPr>
            <w:tcW w:w="2840" w:type="dxa"/>
            <w:tcBorders>
              <w:top w:val="single" w:sz="17" w:space="0" w:color="000000"/>
              <w:left w:val="single" w:sz="8" w:space="0" w:color="000000"/>
              <w:bottom w:val="nil"/>
              <w:right w:val="single" w:sz="8" w:space="0" w:color="000000"/>
            </w:tcBorders>
            <w:vAlign w:val="bottom"/>
          </w:tcPr>
          <w:p w14:paraId="00B035E1" w14:textId="77777777" w:rsidR="009A581E" w:rsidRPr="000A1612" w:rsidRDefault="009A581E" w:rsidP="00AD2786">
            <w:pPr>
              <w:widowControl w:val="0"/>
              <w:spacing w:after="0" w:line="240" w:lineRule="auto"/>
              <w:ind w:left="0" w:firstLine="0"/>
            </w:pPr>
            <w:r w:rsidRPr="000A1612">
              <w:t>HBV DNA &lt; 50 IU/ml</w:t>
            </w:r>
            <w:r w:rsidRPr="000A1612">
              <w:rPr>
                <w:vertAlign w:val="superscript"/>
              </w:rPr>
              <w:t>a</w:t>
            </w:r>
          </w:p>
          <w:p w14:paraId="030F9780" w14:textId="77777777" w:rsidR="009A581E" w:rsidRPr="000A1612" w:rsidRDefault="00155775">
            <w:pPr>
              <w:widowControl w:val="0"/>
              <w:spacing w:after="0" w:line="240" w:lineRule="auto"/>
              <w:ind w:left="0" w:firstLine="0"/>
            </w:pPr>
            <w:r>
              <w:t>Východisková HBV</w:t>
            </w:r>
          </w:p>
          <w:p w14:paraId="0833BF6A" w14:textId="77777777" w:rsidR="009A581E" w:rsidRPr="000A1612" w:rsidRDefault="009A581E">
            <w:pPr>
              <w:widowControl w:val="0"/>
              <w:spacing w:after="0" w:line="240" w:lineRule="auto"/>
              <w:ind w:left="0" w:firstLine="0"/>
            </w:pPr>
            <w:r w:rsidRPr="000A1612">
              <w:t>DNA &lt; 8 log</w:t>
            </w:r>
            <w:r w:rsidRPr="000A1612">
              <w:rPr>
                <w:vertAlign w:val="subscript"/>
              </w:rPr>
              <w:t>10</w:t>
            </w:r>
            <w:r w:rsidRPr="000A1612">
              <w:t xml:space="preserve"> IU/ml</w:t>
            </w:r>
          </w:p>
        </w:tc>
        <w:tc>
          <w:tcPr>
            <w:tcW w:w="2122" w:type="dxa"/>
            <w:tcBorders>
              <w:top w:val="single" w:sz="17" w:space="0" w:color="000000"/>
              <w:left w:val="single" w:sz="8" w:space="0" w:color="000000"/>
              <w:bottom w:val="nil"/>
              <w:right w:val="single" w:sz="8" w:space="0" w:color="000000"/>
            </w:tcBorders>
          </w:tcPr>
          <w:p w14:paraId="44430BCA" w14:textId="77777777" w:rsidR="009A581E" w:rsidRPr="000A1612" w:rsidRDefault="009A581E" w:rsidP="00155775">
            <w:pPr>
              <w:widowControl w:val="0"/>
              <w:spacing w:after="0" w:line="240" w:lineRule="auto"/>
              <w:ind w:left="0" w:firstLine="0"/>
              <w:jc w:val="center"/>
            </w:pPr>
          </w:p>
          <w:p w14:paraId="5B2815C3" w14:textId="77777777" w:rsidR="009A581E" w:rsidRPr="000A1612" w:rsidRDefault="009A581E" w:rsidP="00155775">
            <w:pPr>
              <w:widowControl w:val="0"/>
              <w:spacing w:after="0" w:line="240" w:lineRule="auto"/>
              <w:ind w:left="0" w:firstLine="0"/>
              <w:jc w:val="center"/>
            </w:pPr>
          </w:p>
          <w:p w14:paraId="2BD7CD02" w14:textId="77777777" w:rsidR="009A581E" w:rsidRPr="000A1612" w:rsidRDefault="009A581E" w:rsidP="00155775">
            <w:pPr>
              <w:widowControl w:val="0"/>
              <w:spacing w:after="0" w:line="240" w:lineRule="auto"/>
              <w:ind w:left="0" w:right="22" w:firstLine="0"/>
              <w:jc w:val="center"/>
            </w:pPr>
            <w:r w:rsidRPr="000A1612">
              <w:t>82,6 % (38/46)</w:t>
            </w:r>
          </w:p>
        </w:tc>
        <w:tc>
          <w:tcPr>
            <w:tcW w:w="1984" w:type="dxa"/>
            <w:tcBorders>
              <w:top w:val="single" w:sz="17" w:space="0" w:color="000000"/>
              <w:left w:val="single" w:sz="8" w:space="0" w:color="000000"/>
              <w:bottom w:val="nil"/>
              <w:right w:val="single" w:sz="8" w:space="0" w:color="000000"/>
            </w:tcBorders>
          </w:tcPr>
          <w:p w14:paraId="10E0802D" w14:textId="77777777" w:rsidR="009A581E" w:rsidRDefault="009A581E" w:rsidP="00155775">
            <w:pPr>
              <w:widowControl w:val="0"/>
              <w:spacing w:after="0" w:line="240" w:lineRule="auto"/>
              <w:ind w:left="0" w:firstLine="0"/>
              <w:jc w:val="center"/>
            </w:pPr>
          </w:p>
          <w:p w14:paraId="0FA1E58A" w14:textId="77777777" w:rsidR="00155775" w:rsidRPr="000A1612" w:rsidRDefault="00155775" w:rsidP="00155775">
            <w:pPr>
              <w:widowControl w:val="0"/>
              <w:spacing w:after="0" w:line="240" w:lineRule="auto"/>
              <w:ind w:left="0" w:firstLine="0"/>
              <w:jc w:val="center"/>
            </w:pPr>
          </w:p>
          <w:p w14:paraId="50EF9288" w14:textId="77777777" w:rsidR="009A581E" w:rsidRPr="000A1612" w:rsidRDefault="009A581E" w:rsidP="00155775">
            <w:pPr>
              <w:widowControl w:val="0"/>
              <w:spacing w:after="0" w:line="240" w:lineRule="auto"/>
              <w:ind w:left="0" w:firstLine="0"/>
              <w:jc w:val="center"/>
            </w:pPr>
            <w:r w:rsidRPr="000A1612">
              <w:t>82,6 % (38/46)</w:t>
            </w:r>
          </w:p>
        </w:tc>
        <w:tc>
          <w:tcPr>
            <w:tcW w:w="2268" w:type="dxa"/>
            <w:tcBorders>
              <w:top w:val="single" w:sz="17" w:space="0" w:color="000000"/>
              <w:left w:val="single" w:sz="8" w:space="0" w:color="000000"/>
              <w:bottom w:val="nil"/>
              <w:right w:val="single" w:sz="8" w:space="0" w:color="000000"/>
            </w:tcBorders>
          </w:tcPr>
          <w:p w14:paraId="11D55C7A" w14:textId="77777777" w:rsidR="009A581E" w:rsidRDefault="009A581E" w:rsidP="00155775">
            <w:pPr>
              <w:widowControl w:val="0"/>
              <w:spacing w:after="0" w:line="240" w:lineRule="auto"/>
              <w:ind w:left="0" w:firstLine="0"/>
              <w:jc w:val="center"/>
            </w:pPr>
          </w:p>
          <w:p w14:paraId="41496B78" w14:textId="77777777" w:rsidR="00155775" w:rsidRPr="000A1612" w:rsidRDefault="00155775" w:rsidP="00155775">
            <w:pPr>
              <w:widowControl w:val="0"/>
              <w:spacing w:after="0" w:line="240" w:lineRule="auto"/>
              <w:ind w:left="0" w:firstLine="0"/>
              <w:jc w:val="center"/>
            </w:pPr>
          </w:p>
          <w:p w14:paraId="38ACA872" w14:textId="77777777" w:rsidR="009A581E" w:rsidRPr="000A1612" w:rsidRDefault="009A581E" w:rsidP="00155775">
            <w:pPr>
              <w:widowControl w:val="0"/>
              <w:spacing w:after="0" w:line="240" w:lineRule="auto"/>
              <w:ind w:left="0" w:firstLine="0"/>
              <w:jc w:val="center"/>
            </w:pPr>
            <w:r w:rsidRPr="000A1612">
              <w:t>6,5 % (2/31)</w:t>
            </w:r>
          </w:p>
        </w:tc>
      </w:tr>
      <w:tr w:rsidR="009A581E" w:rsidRPr="000A1612" w14:paraId="6082E78E" w14:textId="77777777" w:rsidTr="00155775">
        <w:trPr>
          <w:trHeight w:val="494"/>
        </w:trPr>
        <w:tc>
          <w:tcPr>
            <w:tcW w:w="2840" w:type="dxa"/>
            <w:tcBorders>
              <w:top w:val="nil"/>
              <w:left w:val="single" w:sz="8" w:space="0" w:color="000000"/>
              <w:bottom w:val="single" w:sz="8" w:space="0" w:color="000000"/>
              <w:right w:val="single" w:sz="8" w:space="0" w:color="000000"/>
            </w:tcBorders>
          </w:tcPr>
          <w:p w14:paraId="3472FC85" w14:textId="77777777" w:rsidR="009A581E" w:rsidRPr="000A1612" w:rsidRDefault="009A581E" w:rsidP="00AD2786">
            <w:pPr>
              <w:widowControl w:val="0"/>
              <w:spacing w:after="0" w:line="240" w:lineRule="auto"/>
              <w:ind w:left="0" w:firstLine="0"/>
            </w:pPr>
            <w:r w:rsidRPr="000A1612">
              <w:t>Východisková HBV DNA</w:t>
            </w:r>
          </w:p>
          <w:p w14:paraId="3A4E5953" w14:textId="77777777" w:rsidR="009A581E" w:rsidRPr="000A1612" w:rsidRDefault="009A581E">
            <w:pPr>
              <w:widowControl w:val="0"/>
              <w:spacing w:after="0" w:line="240" w:lineRule="auto"/>
              <w:ind w:left="0" w:firstLine="0"/>
            </w:pPr>
            <w:r w:rsidRPr="000A1612">
              <w:t>≥ 8 log</w:t>
            </w:r>
            <w:r w:rsidRPr="000A1612">
              <w:rPr>
                <w:vertAlign w:val="subscript"/>
              </w:rPr>
              <w:t>10</w:t>
            </w:r>
            <w:r w:rsidR="00155775">
              <w:t xml:space="preserve"> IU/ml</w:t>
            </w:r>
          </w:p>
        </w:tc>
        <w:tc>
          <w:tcPr>
            <w:tcW w:w="2122" w:type="dxa"/>
            <w:tcBorders>
              <w:top w:val="nil"/>
              <w:left w:val="single" w:sz="8" w:space="0" w:color="000000"/>
              <w:bottom w:val="single" w:sz="8" w:space="0" w:color="000000"/>
              <w:right w:val="single" w:sz="8" w:space="0" w:color="000000"/>
            </w:tcBorders>
          </w:tcPr>
          <w:p w14:paraId="6AC5AB47" w14:textId="77777777" w:rsidR="009A581E" w:rsidRPr="000A1612" w:rsidRDefault="009A581E" w:rsidP="00155775">
            <w:pPr>
              <w:widowControl w:val="0"/>
              <w:spacing w:after="0" w:line="240" w:lineRule="auto"/>
              <w:ind w:left="0" w:right="22" w:firstLine="0"/>
              <w:jc w:val="center"/>
            </w:pPr>
            <w:r w:rsidRPr="000A1612">
              <w:t>28,4 % (21/74)</w:t>
            </w:r>
          </w:p>
        </w:tc>
        <w:tc>
          <w:tcPr>
            <w:tcW w:w="1984" w:type="dxa"/>
            <w:tcBorders>
              <w:top w:val="nil"/>
              <w:left w:val="single" w:sz="8" w:space="0" w:color="000000"/>
              <w:bottom w:val="single" w:sz="8" w:space="0" w:color="000000"/>
              <w:right w:val="single" w:sz="8" w:space="0" w:color="000000"/>
            </w:tcBorders>
          </w:tcPr>
          <w:p w14:paraId="3C48B2BD" w14:textId="77777777" w:rsidR="009A581E" w:rsidRPr="000A1612" w:rsidRDefault="009A581E" w:rsidP="00155775">
            <w:pPr>
              <w:widowControl w:val="0"/>
              <w:spacing w:after="0" w:line="240" w:lineRule="auto"/>
              <w:ind w:left="0" w:firstLine="0"/>
              <w:jc w:val="center"/>
            </w:pPr>
            <w:r w:rsidRPr="000A1612">
              <w:t>52,7 %  (39/74)</w:t>
            </w:r>
          </w:p>
        </w:tc>
        <w:tc>
          <w:tcPr>
            <w:tcW w:w="2268" w:type="dxa"/>
            <w:tcBorders>
              <w:top w:val="nil"/>
              <w:left w:val="single" w:sz="8" w:space="0" w:color="000000"/>
              <w:bottom w:val="single" w:sz="8" w:space="0" w:color="000000"/>
              <w:right w:val="single" w:sz="8" w:space="0" w:color="000000"/>
            </w:tcBorders>
          </w:tcPr>
          <w:p w14:paraId="4BFDBE86" w14:textId="77777777" w:rsidR="009A581E" w:rsidRPr="000A1612" w:rsidRDefault="00155775" w:rsidP="00155775">
            <w:pPr>
              <w:widowControl w:val="0"/>
              <w:spacing w:after="0" w:line="240" w:lineRule="auto"/>
              <w:ind w:left="0" w:firstLine="0"/>
              <w:jc w:val="center"/>
            </w:pPr>
            <w:r>
              <w:t>0 % (0/29</w:t>
            </w:r>
          </w:p>
        </w:tc>
      </w:tr>
    </w:tbl>
    <w:p w14:paraId="18FA1A5D" w14:textId="77777777" w:rsidR="009A581E" w:rsidRPr="000A1612" w:rsidRDefault="009A581E" w:rsidP="009A581E">
      <w:pPr>
        <w:widowControl w:val="0"/>
        <w:spacing w:after="0" w:line="240" w:lineRule="auto"/>
        <w:ind w:left="0" w:firstLine="0"/>
      </w:pPr>
      <w:r w:rsidRPr="000A1612">
        <w:rPr>
          <w:vertAlign w:val="superscript"/>
        </w:rPr>
        <w:t xml:space="preserve">a </w:t>
      </w:r>
      <w:r w:rsidRPr="000A1612">
        <w:t>NC = F (neukončili liečbu = liečba zlyhala)</w:t>
      </w:r>
    </w:p>
    <w:p w14:paraId="4DD22B37" w14:textId="77777777" w:rsidR="009A581E" w:rsidRPr="000A1612" w:rsidRDefault="009A581E" w:rsidP="009A581E">
      <w:pPr>
        <w:widowControl w:val="0"/>
        <w:spacing w:after="0" w:line="240" w:lineRule="auto"/>
        <w:ind w:left="0" w:firstLine="0"/>
      </w:pPr>
      <w:r w:rsidRPr="000A1612">
        <w:t>* Pacienti randomizovaní na placebo, ktorí nemali HBe-sérokonverziu do 48. týždni prešli do otvorenej štúdie s entekavirom počas druhého roku štúdie; z tohto dôvodu sú dostupné randomizované porovnávacie údaje iba do 48. týždňa.</w:t>
      </w:r>
    </w:p>
    <w:p w14:paraId="12D0B71F" w14:textId="77777777" w:rsidR="009A581E" w:rsidRPr="000A1612" w:rsidRDefault="009A581E" w:rsidP="009A581E">
      <w:pPr>
        <w:widowControl w:val="0"/>
        <w:spacing w:after="0" w:line="240" w:lineRule="auto"/>
        <w:ind w:left="0" w:firstLine="0"/>
      </w:pPr>
    </w:p>
    <w:p w14:paraId="6C0DE771" w14:textId="77777777" w:rsidR="009A581E" w:rsidRPr="000A1612" w:rsidRDefault="009A581E" w:rsidP="009A581E">
      <w:pPr>
        <w:widowControl w:val="0"/>
        <w:spacing w:after="0" w:line="240" w:lineRule="auto"/>
        <w:ind w:left="0" w:right="180" w:firstLine="0"/>
      </w:pPr>
      <w:r w:rsidRPr="000A1612">
        <w:t>Hodnotenie rezistencie u detí sa zakladá na údajoch od pediatrických pacientov s HBeAg-pozitívnou chronickou infekciou HBV predtým neliečených nukleozidmi z dvoch prebiehajúcich klinických skúšaní (028 a 189). Dve skúšania poskytujú údaje o rezistencii u 183 liečených paciento</w:t>
      </w:r>
      <w:r w:rsidR="004A5843">
        <w:t>v</w:t>
      </w:r>
      <w:r w:rsidRPr="000A1612">
        <w:t xml:space="preserve"> a sledovaných v 1. roku a</w:t>
      </w:r>
      <w:r w:rsidR="004A5843">
        <w:t xml:space="preserve"> u </w:t>
      </w:r>
      <w:r w:rsidRPr="000A1612">
        <w:t>180 liečených paciento</w:t>
      </w:r>
      <w:r w:rsidR="004A5843">
        <w:t>v</w:t>
      </w:r>
      <w:r w:rsidRPr="000A1612">
        <w:t xml:space="preserve"> a sledovaných v 2. roku. Hodnotenia genotypu sa vykonali pre všetkých pacientov s dostupnými vzorkami, ktorí mali virologický prienik do 96. týždňa alebo HBV DNA ≥ 50 IU/ml v 48. týždni alebo v 96. týždni. Počas 2. roku bola detegovaná genotypová rezistencia na ETV u 2 pacientov (1,1 % kumulatívna pravdepodobnosť rezistencie počas 2. roku).</w:t>
      </w:r>
    </w:p>
    <w:p w14:paraId="6C74C951" w14:textId="77777777" w:rsidR="009A581E" w:rsidRPr="000A1612" w:rsidRDefault="009A581E" w:rsidP="009A581E">
      <w:pPr>
        <w:widowControl w:val="0"/>
        <w:spacing w:after="0" w:line="240" w:lineRule="auto"/>
        <w:ind w:left="0" w:firstLine="0"/>
      </w:pPr>
    </w:p>
    <w:p w14:paraId="575C1E96" w14:textId="77777777" w:rsidR="009A581E" w:rsidRPr="000A1612" w:rsidRDefault="009A581E" w:rsidP="009A581E">
      <w:pPr>
        <w:widowControl w:val="0"/>
        <w:spacing w:after="0" w:line="240" w:lineRule="auto"/>
        <w:ind w:left="0" w:right="44" w:firstLine="0"/>
      </w:pPr>
      <w:r w:rsidRPr="000A1612">
        <w:rPr>
          <w:b/>
        </w:rPr>
        <w:t>Klinická rezistencia u dospelých:</w:t>
      </w:r>
      <w:r w:rsidRPr="000A1612">
        <w:t xml:space="preserve"> pacienti najprv liečení entekavirom v dávke 0,5 mg (bez predchádzajúcej liečby nukleozidmi) alebo v dávke 1,0 mg (refraktérni na lamivudín) a s výsledkom </w:t>
      </w:r>
      <w:r w:rsidRPr="000A1612">
        <w:lastRenderedPageBreak/>
        <w:t xml:space="preserve">PCR liečby HBV DNA v 24. alebo po 24. týždni boli monitorovaní na rezistenciu. </w:t>
      </w:r>
    </w:p>
    <w:p w14:paraId="040E4B92" w14:textId="77777777" w:rsidR="009A581E" w:rsidRPr="000A1612" w:rsidRDefault="009A581E" w:rsidP="009A581E">
      <w:pPr>
        <w:widowControl w:val="0"/>
        <w:spacing w:after="0" w:line="240" w:lineRule="auto"/>
        <w:ind w:left="0" w:right="44" w:firstLine="0"/>
      </w:pPr>
      <w:r w:rsidRPr="000A1612">
        <w:t xml:space="preserve">Počas </w:t>
      </w:r>
      <w:r w:rsidR="00E54945">
        <w:t xml:space="preserve">240. </w:t>
      </w:r>
      <w:r w:rsidRPr="000A1612">
        <w:t>týždňa v štúdiách bez predchádzajúcej liečby nukleozidmi bola genotypová evidencia ETVr substitúcií na rtT184, rtS202 a rtM250 identifikovaná u 3 pacientov liečených entekavirom, 2 z nich mali skúsenosť virologického prieniku (pozri tabuľku). Tieto substitúcie sa zistili iba za prítomnosti LVDr substitúcií (rtM204V a rtL180M).</w:t>
      </w:r>
    </w:p>
    <w:p w14:paraId="3375C2CF" w14:textId="77777777" w:rsidR="009A581E" w:rsidRPr="000A1612" w:rsidRDefault="009A581E" w:rsidP="009A581E">
      <w:pPr>
        <w:widowControl w:val="0"/>
        <w:spacing w:after="0" w:line="240" w:lineRule="auto"/>
        <w:ind w:left="0" w:firstLine="0"/>
      </w:pPr>
    </w:p>
    <w:tbl>
      <w:tblPr>
        <w:tblStyle w:val="TableGrid"/>
        <w:tblW w:w="9274" w:type="dxa"/>
        <w:tblInd w:w="-8" w:type="dxa"/>
        <w:tblCellMar>
          <w:top w:w="51" w:type="dxa"/>
          <w:left w:w="101" w:type="dxa"/>
          <w:right w:w="115" w:type="dxa"/>
        </w:tblCellMar>
        <w:tblLook w:val="04A0" w:firstRow="1" w:lastRow="0" w:firstColumn="1" w:lastColumn="0" w:noHBand="0" w:noVBand="1"/>
      </w:tblPr>
      <w:tblGrid>
        <w:gridCol w:w="3132"/>
        <w:gridCol w:w="1277"/>
        <w:gridCol w:w="1120"/>
        <w:gridCol w:w="1275"/>
        <w:gridCol w:w="1200"/>
        <w:gridCol w:w="1270"/>
      </w:tblGrid>
      <w:tr w:rsidR="009A581E" w:rsidRPr="000A1612" w14:paraId="0EA5D5E6" w14:textId="77777777" w:rsidTr="00155775">
        <w:trPr>
          <w:trHeight w:val="521"/>
        </w:trPr>
        <w:tc>
          <w:tcPr>
            <w:tcW w:w="9274" w:type="dxa"/>
            <w:gridSpan w:val="6"/>
            <w:tcBorders>
              <w:top w:val="single" w:sz="6" w:space="0" w:color="000000"/>
              <w:left w:val="single" w:sz="6" w:space="0" w:color="000000"/>
              <w:bottom w:val="single" w:sz="6" w:space="0" w:color="000000"/>
              <w:right w:val="single" w:sz="6" w:space="0" w:color="000000"/>
            </w:tcBorders>
          </w:tcPr>
          <w:p w14:paraId="47BF3D77" w14:textId="77777777" w:rsidR="009A581E" w:rsidRPr="000A1612" w:rsidRDefault="009A581E" w:rsidP="00130E2E">
            <w:pPr>
              <w:widowControl w:val="0"/>
              <w:spacing w:after="0" w:line="240" w:lineRule="auto"/>
              <w:ind w:left="0" w:firstLine="0"/>
            </w:pPr>
            <w:r w:rsidRPr="000A1612">
              <w:t xml:space="preserve">Rozvinutá genotypová rezistencia na entekavir počas 5. roka, </w:t>
            </w:r>
            <w:r w:rsidR="00A909B4">
              <w:t>š</w:t>
            </w:r>
            <w:r w:rsidRPr="000A1612">
              <w:t>túdie bez predchádzajúcej liečby nukleozidmi</w:t>
            </w:r>
          </w:p>
        </w:tc>
      </w:tr>
      <w:tr w:rsidR="009A581E" w:rsidRPr="000A1612" w14:paraId="2571DE1D" w14:textId="77777777" w:rsidTr="00155775">
        <w:trPr>
          <w:trHeight w:val="418"/>
        </w:trPr>
        <w:tc>
          <w:tcPr>
            <w:tcW w:w="3132" w:type="dxa"/>
            <w:tcBorders>
              <w:top w:val="single" w:sz="6" w:space="0" w:color="000000"/>
              <w:left w:val="single" w:sz="6" w:space="0" w:color="000000"/>
              <w:bottom w:val="single" w:sz="6" w:space="0" w:color="000000"/>
              <w:right w:val="single" w:sz="6" w:space="0" w:color="000000"/>
            </w:tcBorders>
          </w:tcPr>
          <w:p w14:paraId="0B0B9FF7" w14:textId="77777777" w:rsidR="009A581E" w:rsidRPr="000A1612" w:rsidRDefault="009A581E" w:rsidP="00130E2E">
            <w:pPr>
              <w:widowControl w:val="0"/>
              <w:spacing w:after="0" w:line="240" w:lineRule="auto"/>
              <w:ind w:left="0" w:firstLine="0"/>
              <w:jc w:val="center"/>
            </w:pPr>
          </w:p>
        </w:tc>
        <w:tc>
          <w:tcPr>
            <w:tcW w:w="1277" w:type="dxa"/>
            <w:tcBorders>
              <w:top w:val="single" w:sz="6" w:space="0" w:color="000000"/>
              <w:left w:val="single" w:sz="6" w:space="0" w:color="000000"/>
              <w:bottom w:val="single" w:sz="6" w:space="0" w:color="000000"/>
              <w:right w:val="single" w:sz="6" w:space="0" w:color="000000"/>
            </w:tcBorders>
          </w:tcPr>
          <w:p w14:paraId="58047E2D" w14:textId="77777777" w:rsidR="009A581E" w:rsidRPr="000A1612" w:rsidRDefault="00155775" w:rsidP="00130E2E">
            <w:pPr>
              <w:widowControl w:val="0"/>
              <w:spacing w:after="0" w:line="240" w:lineRule="auto"/>
              <w:ind w:left="0" w:firstLine="0"/>
              <w:jc w:val="center"/>
            </w:pPr>
            <w:r>
              <w:t>Rok 1</w:t>
            </w:r>
          </w:p>
        </w:tc>
        <w:tc>
          <w:tcPr>
            <w:tcW w:w="1120" w:type="dxa"/>
            <w:tcBorders>
              <w:top w:val="single" w:sz="6" w:space="0" w:color="000000"/>
              <w:left w:val="single" w:sz="6" w:space="0" w:color="000000"/>
              <w:bottom w:val="single" w:sz="6" w:space="0" w:color="000000"/>
              <w:right w:val="single" w:sz="6" w:space="0" w:color="000000"/>
            </w:tcBorders>
          </w:tcPr>
          <w:p w14:paraId="3F696E12" w14:textId="77777777" w:rsidR="009A581E" w:rsidRPr="000A1612" w:rsidRDefault="00155775" w:rsidP="00130E2E">
            <w:pPr>
              <w:widowControl w:val="0"/>
              <w:spacing w:after="0" w:line="240" w:lineRule="auto"/>
              <w:ind w:left="0" w:firstLine="0"/>
            </w:pPr>
            <w:r>
              <w:t>Rok 2</w:t>
            </w:r>
          </w:p>
        </w:tc>
        <w:tc>
          <w:tcPr>
            <w:tcW w:w="1275" w:type="dxa"/>
            <w:tcBorders>
              <w:top w:val="single" w:sz="6" w:space="0" w:color="000000"/>
              <w:left w:val="single" w:sz="6" w:space="0" w:color="000000"/>
              <w:bottom w:val="single" w:sz="6" w:space="0" w:color="000000"/>
              <w:right w:val="single" w:sz="6" w:space="0" w:color="000000"/>
            </w:tcBorders>
          </w:tcPr>
          <w:p w14:paraId="4AB08DB1" w14:textId="77777777" w:rsidR="009A581E" w:rsidRPr="000A1612" w:rsidRDefault="009A581E" w:rsidP="00130E2E">
            <w:pPr>
              <w:widowControl w:val="0"/>
              <w:spacing w:after="0" w:line="240" w:lineRule="auto"/>
              <w:ind w:left="0" w:firstLine="0"/>
              <w:jc w:val="center"/>
            </w:pPr>
            <w:r w:rsidRPr="000A1612">
              <w:t>Rok 3</w:t>
            </w:r>
            <w:r w:rsidRPr="000A1612">
              <w:rPr>
                <w:vertAlign w:val="superscript"/>
              </w:rPr>
              <w:t>a</w:t>
            </w:r>
          </w:p>
        </w:tc>
        <w:tc>
          <w:tcPr>
            <w:tcW w:w="1200" w:type="dxa"/>
            <w:tcBorders>
              <w:top w:val="single" w:sz="6" w:space="0" w:color="000000"/>
              <w:left w:val="single" w:sz="6" w:space="0" w:color="000000"/>
              <w:bottom w:val="single" w:sz="6" w:space="0" w:color="000000"/>
              <w:right w:val="single" w:sz="6" w:space="0" w:color="000000"/>
            </w:tcBorders>
          </w:tcPr>
          <w:p w14:paraId="7238A161" w14:textId="77777777" w:rsidR="009A581E" w:rsidRPr="000A1612" w:rsidRDefault="009A581E" w:rsidP="00130E2E">
            <w:pPr>
              <w:widowControl w:val="0"/>
              <w:spacing w:after="0" w:line="240" w:lineRule="auto"/>
              <w:ind w:left="0" w:firstLine="0"/>
              <w:jc w:val="center"/>
            </w:pPr>
            <w:r w:rsidRPr="000A1612">
              <w:t>Rok 4</w:t>
            </w:r>
            <w:r w:rsidRPr="000A1612">
              <w:rPr>
                <w:vertAlign w:val="superscript"/>
              </w:rPr>
              <w:t>a</w:t>
            </w:r>
          </w:p>
        </w:tc>
        <w:tc>
          <w:tcPr>
            <w:tcW w:w="1270" w:type="dxa"/>
            <w:tcBorders>
              <w:top w:val="single" w:sz="6" w:space="0" w:color="000000"/>
              <w:left w:val="single" w:sz="6" w:space="0" w:color="000000"/>
              <w:bottom w:val="single" w:sz="6" w:space="0" w:color="000000"/>
              <w:right w:val="single" w:sz="6" w:space="0" w:color="000000"/>
            </w:tcBorders>
          </w:tcPr>
          <w:p w14:paraId="0193FD87" w14:textId="77777777" w:rsidR="009A581E" w:rsidRPr="000A1612" w:rsidRDefault="009A581E" w:rsidP="00130E2E">
            <w:pPr>
              <w:widowControl w:val="0"/>
              <w:spacing w:after="0" w:line="240" w:lineRule="auto"/>
              <w:ind w:left="0" w:firstLine="0"/>
              <w:jc w:val="center"/>
            </w:pPr>
            <w:r w:rsidRPr="000A1612">
              <w:t>Rok 5</w:t>
            </w:r>
            <w:r w:rsidRPr="000A1612">
              <w:rPr>
                <w:vertAlign w:val="superscript"/>
              </w:rPr>
              <w:t>a</w:t>
            </w:r>
          </w:p>
        </w:tc>
      </w:tr>
      <w:tr w:rsidR="009A581E" w:rsidRPr="000A1612" w14:paraId="53FD75B0" w14:textId="77777777" w:rsidTr="00155775">
        <w:trPr>
          <w:trHeight w:val="521"/>
        </w:trPr>
        <w:tc>
          <w:tcPr>
            <w:tcW w:w="3132" w:type="dxa"/>
            <w:tcBorders>
              <w:top w:val="single" w:sz="6" w:space="0" w:color="000000"/>
              <w:left w:val="single" w:sz="6" w:space="0" w:color="000000"/>
              <w:bottom w:val="single" w:sz="6" w:space="0" w:color="000000"/>
              <w:right w:val="single" w:sz="6" w:space="0" w:color="000000"/>
            </w:tcBorders>
          </w:tcPr>
          <w:p w14:paraId="1C62CF9C" w14:textId="77777777" w:rsidR="009A581E" w:rsidRPr="000A1612" w:rsidRDefault="009A581E" w:rsidP="00130E2E">
            <w:pPr>
              <w:widowControl w:val="0"/>
              <w:spacing w:after="0" w:line="240" w:lineRule="auto"/>
              <w:ind w:left="0" w:firstLine="0"/>
            </w:pPr>
            <w:r w:rsidRPr="000A1612">
              <w:t>Pacienti liečení a monitorovaní na rezistenciu</w:t>
            </w:r>
            <w:r w:rsidRPr="000A1612">
              <w:rPr>
                <w:vertAlign w:val="superscript"/>
              </w:rPr>
              <w:t>b</w:t>
            </w:r>
          </w:p>
        </w:tc>
        <w:tc>
          <w:tcPr>
            <w:tcW w:w="1277" w:type="dxa"/>
            <w:tcBorders>
              <w:top w:val="single" w:sz="6" w:space="0" w:color="000000"/>
              <w:left w:val="single" w:sz="6" w:space="0" w:color="000000"/>
              <w:bottom w:val="single" w:sz="6" w:space="0" w:color="000000"/>
              <w:right w:val="single" w:sz="6" w:space="0" w:color="000000"/>
            </w:tcBorders>
          </w:tcPr>
          <w:p w14:paraId="15C3672F" w14:textId="77777777" w:rsidR="009A581E" w:rsidRPr="000A1612" w:rsidRDefault="00155775" w:rsidP="00155775">
            <w:pPr>
              <w:widowControl w:val="0"/>
              <w:spacing w:after="0" w:line="240" w:lineRule="auto"/>
              <w:ind w:left="0" w:firstLine="0"/>
              <w:jc w:val="center"/>
            </w:pPr>
            <w:r>
              <w:t>663</w:t>
            </w:r>
          </w:p>
        </w:tc>
        <w:tc>
          <w:tcPr>
            <w:tcW w:w="1120" w:type="dxa"/>
            <w:tcBorders>
              <w:top w:val="single" w:sz="6" w:space="0" w:color="000000"/>
              <w:left w:val="single" w:sz="6" w:space="0" w:color="000000"/>
              <w:bottom w:val="single" w:sz="6" w:space="0" w:color="000000"/>
              <w:right w:val="single" w:sz="6" w:space="0" w:color="000000"/>
            </w:tcBorders>
          </w:tcPr>
          <w:p w14:paraId="045A2732" w14:textId="77777777" w:rsidR="009A581E" w:rsidRPr="000A1612" w:rsidRDefault="00155775" w:rsidP="00155775">
            <w:pPr>
              <w:widowControl w:val="0"/>
              <w:spacing w:after="0" w:line="240" w:lineRule="auto"/>
              <w:ind w:left="0" w:firstLine="0"/>
              <w:jc w:val="center"/>
            </w:pPr>
            <w:r>
              <w:t>278</w:t>
            </w:r>
          </w:p>
        </w:tc>
        <w:tc>
          <w:tcPr>
            <w:tcW w:w="1275" w:type="dxa"/>
            <w:tcBorders>
              <w:top w:val="single" w:sz="6" w:space="0" w:color="000000"/>
              <w:left w:val="single" w:sz="6" w:space="0" w:color="000000"/>
              <w:bottom w:val="single" w:sz="6" w:space="0" w:color="000000"/>
              <w:right w:val="single" w:sz="6" w:space="0" w:color="000000"/>
            </w:tcBorders>
          </w:tcPr>
          <w:p w14:paraId="119E4BF9" w14:textId="77777777" w:rsidR="009A581E" w:rsidRPr="000A1612" w:rsidRDefault="00155775" w:rsidP="00155775">
            <w:pPr>
              <w:widowControl w:val="0"/>
              <w:spacing w:after="0" w:line="240" w:lineRule="auto"/>
              <w:ind w:left="0" w:firstLine="0"/>
              <w:jc w:val="center"/>
            </w:pPr>
            <w:r>
              <w:t>149</w:t>
            </w:r>
          </w:p>
        </w:tc>
        <w:tc>
          <w:tcPr>
            <w:tcW w:w="1200" w:type="dxa"/>
            <w:tcBorders>
              <w:top w:val="single" w:sz="6" w:space="0" w:color="000000"/>
              <w:left w:val="single" w:sz="6" w:space="0" w:color="000000"/>
              <w:bottom w:val="single" w:sz="6" w:space="0" w:color="000000"/>
              <w:right w:val="single" w:sz="6" w:space="0" w:color="000000"/>
            </w:tcBorders>
          </w:tcPr>
          <w:p w14:paraId="00D53E07" w14:textId="77777777" w:rsidR="009A581E" w:rsidRPr="000A1612" w:rsidRDefault="00155775" w:rsidP="00155775">
            <w:pPr>
              <w:widowControl w:val="0"/>
              <w:spacing w:after="0" w:line="240" w:lineRule="auto"/>
              <w:ind w:left="0" w:firstLine="0"/>
              <w:jc w:val="center"/>
            </w:pPr>
            <w:r>
              <w:t>121</w:t>
            </w:r>
          </w:p>
        </w:tc>
        <w:tc>
          <w:tcPr>
            <w:tcW w:w="1270" w:type="dxa"/>
            <w:tcBorders>
              <w:top w:val="single" w:sz="6" w:space="0" w:color="000000"/>
              <w:left w:val="single" w:sz="6" w:space="0" w:color="000000"/>
              <w:bottom w:val="single" w:sz="6" w:space="0" w:color="000000"/>
              <w:right w:val="single" w:sz="6" w:space="0" w:color="000000"/>
            </w:tcBorders>
          </w:tcPr>
          <w:p w14:paraId="0FB954F8" w14:textId="77777777" w:rsidR="009A581E" w:rsidRPr="000A1612" w:rsidRDefault="00155775" w:rsidP="00155775">
            <w:pPr>
              <w:widowControl w:val="0"/>
              <w:spacing w:after="0" w:line="240" w:lineRule="auto"/>
              <w:ind w:left="0" w:firstLine="0"/>
              <w:jc w:val="center"/>
            </w:pPr>
            <w:r>
              <w:t>108</w:t>
            </w:r>
          </w:p>
        </w:tc>
      </w:tr>
      <w:tr w:rsidR="009A581E" w:rsidRPr="000A1612" w14:paraId="60BD11C2" w14:textId="77777777" w:rsidTr="00155775">
        <w:trPr>
          <w:trHeight w:val="521"/>
        </w:trPr>
        <w:tc>
          <w:tcPr>
            <w:tcW w:w="3132" w:type="dxa"/>
            <w:tcBorders>
              <w:top w:val="single" w:sz="6" w:space="0" w:color="000000"/>
              <w:left w:val="single" w:sz="6" w:space="0" w:color="000000"/>
              <w:bottom w:val="single" w:sz="6" w:space="0" w:color="000000"/>
              <w:right w:val="single" w:sz="6" w:space="0" w:color="000000"/>
            </w:tcBorders>
          </w:tcPr>
          <w:p w14:paraId="3D98C87D" w14:textId="77777777" w:rsidR="009A581E" w:rsidRPr="000A1612" w:rsidRDefault="009A581E" w:rsidP="00130E2E">
            <w:pPr>
              <w:widowControl w:val="0"/>
              <w:spacing w:after="0" w:line="240" w:lineRule="auto"/>
              <w:ind w:left="0" w:firstLine="0"/>
            </w:pPr>
            <w:r w:rsidRPr="000A1612">
              <w:rPr>
                <w:b/>
              </w:rPr>
              <w:t>Pacienti počas špecifického roka s</w:t>
            </w:r>
            <w:r w:rsidR="00155775">
              <w:rPr>
                <w:b/>
              </w:rPr>
              <w:t>:</w:t>
            </w:r>
          </w:p>
        </w:tc>
        <w:tc>
          <w:tcPr>
            <w:tcW w:w="1277" w:type="dxa"/>
            <w:tcBorders>
              <w:top w:val="single" w:sz="6" w:space="0" w:color="000000"/>
              <w:left w:val="single" w:sz="6" w:space="0" w:color="000000"/>
              <w:bottom w:val="single" w:sz="6" w:space="0" w:color="000000"/>
              <w:right w:val="single" w:sz="6" w:space="0" w:color="000000"/>
            </w:tcBorders>
          </w:tcPr>
          <w:p w14:paraId="29503E4D" w14:textId="77777777" w:rsidR="009A581E" w:rsidRPr="000A1612" w:rsidRDefault="009A581E" w:rsidP="00155775">
            <w:pPr>
              <w:widowControl w:val="0"/>
              <w:spacing w:after="0" w:line="240" w:lineRule="auto"/>
              <w:ind w:left="0" w:firstLine="0"/>
              <w:jc w:val="center"/>
            </w:pPr>
          </w:p>
        </w:tc>
        <w:tc>
          <w:tcPr>
            <w:tcW w:w="1120" w:type="dxa"/>
            <w:tcBorders>
              <w:top w:val="single" w:sz="6" w:space="0" w:color="000000"/>
              <w:left w:val="single" w:sz="6" w:space="0" w:color="000000"/>
              <w:bottom w:val="single" w:sz="6" w:space="0" w:color="000000"/>
              <w:right w:val="single" w:sz="6" w:space="0" w:color="000000"/>
            </w:tcBorders>
          </w:tcPr>
          <w:p w14:paraId="0672D01D" w14:textId="77777777" w:rsidR="009A581E" w:rsidRPr="000A1612" w:rsidRDefault="009A581E" w:rsidP="00155775">
            <w:pPr>
              <w:widowControl w:val="0"/>
              <w:spacing w:after="0" w:line="240" w:lineRule="auto"/>
              <w:ind w:left="0" w:firstLine="0"/>
              <w:jc w:val="center"/>
            </w:pPr>
          </w:p>
        </w:tc>
        <w:tc>
          <w:tcPr>
            <w:tcW w:w="1275" w:type="dxa"/>
            <w:tcBorders>
              <w:top w:val="single" w:sz="6" w:space="0" w:color="000000"/>
              <w:left w:val="single" w:sz="6" w:space="0" w:color="000000"/>
              <w:bottom w:val="single" w:sz="6" w:space="0" w:color="000000"/>
              <w:right w:val="single" w:sz="6" w:space="0" w:color="000000"/>
            </w:tcBorders>
          </w:tcPr>
          <w:p w14:paraId="7DA6AE97" w14:textId="77777777" w:rsidR="009A581E" w:rsidRPr="000A1612" w:rsidRDefault="009A581E" w:rsidP="00155775">
            <w:pPr>
              <w:widowControl w:val="0"/>
              <w:spacing w:after="0" w:line="240" w:lineRule="auto"/>
              <w:ind w:left="0" w:firstLine="0"/>
              <w:jc w:val="center"/>
            </w:pPr>
          </w:p>
        </w:tc>
        <w:tc>
          <w:tcPr>
            <w:tcW w:w="1200" w:type="dxa"/>
            <w:tcBorders>
              <w:top w:val="single" w:sz="6" w:space="0" w:color="000000"/>
              <w:left w:val="single" w:sz="6" w:space="0" w:color="000000"/>
              <w:bottom w:val="single" w:sz="6" w:space="0" w:color="000000"/>
              <w:right w:val="single" w:sz="6" w:space="0" w:color="000000"/>
            </w:tcBorders>
          </w:tcPr>
          <w:p w14:paraId="7E84D0AF" w14:textId="77777777" w:rsidR="009A581E" w:rsidRPr="000A1612" w:rsidRDefault="009A581E" w:rsidP="00155775">
            <w:pPr>
              <w:widowControl w:val="0"/>
              <w:spacing w:after="0" w:line="240" w:lineRule="auto"/>
              <w:ind w:left="0" w:firstLine="0"/>
              <w:jc w:val="center"/>
            </w:pPr>
          </w:p>
        </w:tc>
        <w:tc>
          <w:tcPr>
            <w:tcW w:w="1270" w:type="dxa"/>
            <w:tcBorders>
              <w:top w:val="single" w:sz="6" w:space="0" w:color="000000"/>
              <w:left w:val="single" w:sz="6" w:space="0" w:color="000000"/>
              <w:bottom w:val="single" w:sz="6" w:space="0" w:color="000000"/>
              <w:right w:val="single" w:sz="6" w:space="0" w:color="000000"/>
            </w:tcBorders>
          </w:tcPr>
          <w:p w14:paraId="4846D743" w14:textId="77777777" w:rsidR="009A581E" w:rsidRPr="000A1612" w:rsidRDefault="009A581E" w:rsidP="00155775">
            <w:pPr>
              <w:widowControl w:val="0"/>
              <w:spacing w:after="0" w:line="240" w:lineRule="auto"/>
              <w:ind w:left="0" w:firstLine="0"/>
              <w:jc w:val="center"/>
            </w:pPr>
          </w:p>
        </w:tc>
      </w:tr>
      <w:tr w:rsidR="009A581E" w:rsidRPr="000A1612" w14:paraId="1F358E17" w14:textId="77777777" w:rsidTr="00155775">
        <w:trPr>
          <w:trHeight w:val="590"/>
        </w:trPr>
        <w:tc>
          <w:tcPr>
            <w:tcW w:w="3132" w:type="dxa"/>
            <w:tcBorders>
              <w:top w:val="single" w:sz="6" w:space="0" w:color="000000"/>
              <w:left w:val="single" w:sz="6" w:space="0" w:color="000000"/>
              <w:bottom w:val="single" w:sz="6" w:space="0" w:color="000000"/>
              <w:right w:val="single" w:sz="6" w:space="0" w:color="000000"/>
            </w:tcBorders>
          </w:tcPr>
          <w:p w14:paraId="505F394F" w14:textId="77777777" w:rsidR="009A581E" w:rsidRPr="000A1612" w:rsidRDefault="009A581E" w:rsidP="00155775">
            <w:pPr>
              <w:widowControl w:val="0"/>
              <w:tabs>
                <w:tab w:val="center" w:pos="1586"/>
              </w:tabs>
              <w:spacing w:after="0" w:line="240" w:lineRule="auto"/>
              <w:ind w:left="0" w:firstLine="0"/>
            </w:pPr>
            <w:r w:rsidRPr="000A1612">
              <w:t xml:space="preserve">- rozvinutá genotypová </w:t>
            </w:r>
          </w:p>
          <w:p w14:paraId="702672DF" w14:textId="77777777" w:rsidR="009A581E" w:rsidRPr="000A1612" w:rsidRDefault="009A581E" w:rsidP="00155775">
            <w:pPr>
              <w:widowControl w:val="0"/>
              <w:spacing w:after="0" w:line="240" w:lineRule="auto"/>
              <w:ind w:left="0" w:firstLine="0"/>
            </w:pPr>
            <w:r w:rsidRPr="000A1612">
              <w:t>ETVr</w:t>
            </w:r>
            <w:r w:rsidRPr="000A1612">
              <w:rPr>
                <w:vertAlign w:val="superscript"/>
              </w:rPr>
              <w:t>c</w:t>
            </w:r>
          </w:p>
        </w:tc>
        <w:tc>
          <w:tcPr>
            <w:tcW w:w="1277" w:type="dxa"/>
            <w:tcBorders>
              <w:top w:val="single" w:sz="6" w:space="0" w:color="000000"/>
              <w:left w:val="single" w:sz="6" w:space="0" w:color="000000"/>
              <w:bottom w:val="single" w:sz="6" w:space="0" w:color="000000"/>
              <w:right w:val="single" w:sz="6" w:space="0" w:color="000000"/>
            </w:tcBorders>
          </w:tcPr>
          <w:p w14:paraId="0E11D9CA" w14:textId="77777777" w:rsidR="009A581E" w:rsidRPr="000A1612" w:rsidRDefault="00155775" w:rsidP="00155775">
            <w:pPr>
              <w:widowControl w:val="0"/>
              <w:spacing w:after="0" w:line="240" w:lineRule="auto"/>
              <w:ind w:left="0" w:firstLine="0"/>
              <w:jc w:val="center"/>
            </w:pPr>
            <w:r>
              <w:t>1</w:t>
            </w:r>
          </w:p>
        </w:tc>
        <w:tc>
          <w:tcPr>
            <w:tcW w:w="1120" w:type="dxa"/>
            <w:tcBorders>
              <w:top w:val="single" w:sz="6" w:space="0" w:color="000000"/>
              <w:left w:val="single" w:sz="6" w:space="0" w:color="000000"/>
              <w:bottom w:val="single" w:sz="6" w:space="0" w:color="000000"/>
              <w:right w:val="single" w:sz="6" w:space="0" w:color="000000"/>
            </w:tcBorders>
          </w:tcPr>
          <w:p w14:paraId="5DDCC8C3" w14:textId="77777777" w:rsidR="009A581E" w:rsidRPr="000A1612" w:rsidRDefault="009A581E" w:rsidP="00155775">
            <w:pPr>
              <w:widowControl w:val="0"/>
              <w:spacing w:after="0" w:line="240" w:lineRule="auto"/>
              <w:ind w:left="0" w:firstLine="0"/>
              <w:jc w:val="center"/>
            </w:pPr>
            <w:r w:rsidRPr="000A1612">
              <w:t>1</w:t>
            </w:r>
          </w:p>
        </w:tc>
        <w:tc>
          <w:tcPr>
            <w:tcW w:w="1275" w:type="dxa"/>
            <w:tcBorders>
              <w:top w:val="single" w:sz="6" w:space="0" w:color="000000"/>
              <w:left w:val="single" w:sz="6" w:space="0" w:color="000000"/>
              <w:bottom w:val="single" w:sz="6" w:space="0" w:color="000000"/>
              <w:right w:val="single" w:sz="6" w:space="0" w:color="000000"/>
            </w:tcBorders>
          </w:tcPr>
          <w:p w14:paraId="7A0ECB62" w14:textId="77777777" w:rsidR="009A581E" w:rsidRPr="000A1612" w:rsidRDefault="009A581E" w:rsidP="00155775">
            <w:pPr>
              <w:widowControl w:val="0"/>
              <w:spacing w:after="0" w:line="240" w:lineRule="auto"/>
              <w:ind w:left="0" w:firstLine="0"/>
              <w:jc w:val="center"/>
            </w:pPr>
            <w:r w:rsidRPr="000A1612">
              <w:t>1</w:t>
            </w:r>
          </w:p>
        </w:tc>
        <w:tc>
          <w:tcPr>
            <w:tcW w:w="1200" w:type="dxa"/>
            <w:tcBorders>
              <w:top w:val="single" w:sz="6" w:space="0" w:color="000000"/>
              <w:left w:val="single" w:sz="6" w:space="0" w:color="000000"/>
              <w:bottom w:val="single" w:sz="6" w:space="0" w:color="000000"/>
              <w:right w:val="single" w:sz="6" w:space="0" w:color="000000"/>
            </w:tcBorders>
          </w:tcPr>
          <w:p w14:paraId="249D7A0C" w14:textId="77777777" w:rsidR="009A581E" w:rsidRPr="000A1612" w:rsidRDefault="009A581E" w:rsidP="00155775">
            <w:pPr>
              <w:widowControl w:val="0"/>
              <w:spacing w:after="0" w:line="240" w:lineRule="auto"/>
              <w:ind w:left="0" w:firstLine="0"/>
              <w:jc w:val="center"/>
            </w:pPr>
            <w:r w:rsidRPr="000A1612">
              <w:t>0</w:t>
            </w:r>
          </w:p>
        </w:tc>
        <w:tc>
          <w:tcPr>
            <w:tcW w:w="1270" w:type="dxa"/>
            <w:tcBorders>
              <w:top w:val="single" w:sz="6" w:space="0" w:color="000000"/>
              <w:left w:val="single" w:sz="6" w:space="0" w:color="000000"/>
              <w:bottom w:val="single" w:sz="6" w:space="0" w:color="000000"/>
              <w:right w:val="single" w:sz="6" w:space="0" w:color="000000"/>
            </w:tcBorders>
          </w:tcPr>
          <w:p w14:paraId="485FD32F" w14:textId="77777777" w:rsidR="009A581E" w:rsidRPr="000A1612" w:rsidRDefault="009A581E" w:rsidP="00155775">
            <w:pPr>
              <w:widowControl w:val="0"/>
              <w:spacing w:after="0" w:line="240" w:lineRule="auto"/>
              <w:ind w:left="0" w:firstLine="0"/>
              <w:jc w:val="center"/>
            </w:pPr>
            <w:r w:rsidRPr="000A1612">
              <w:t>0</w:t>
            </w:r>
          </w:p>
        </w:tc>
      </w:tr>
      <w:tr w:rsidR="009A581E" w:rsidRPr="000A1612" w14:paraId="5F48745F" w14:textId="77777777" w:rsidTr="00155775">
        <w:trPr>
          <w:trHeight w:val="660"/>
        </w:trPr>
        <w:tc>
          <w:tcPr>
            <w:tcW w:w="3132" w:type="dxa"/>
            <w:tcBorders>
              <w:top w:val="single" w:sz="6" w:space="0" w:color="000000"/>
              <w:left w:val="single" w:sz="6" w:space="0" w:color="000000"/>
              <w:bottom w:val="single" w:sz="6" w:space="0" w:color="000000"/>
              <w:right w:val="single" w:sz="6" w:space="0" w:color="000000"/>
            </w:tcBorders>
          </w:tcPr>
          <w:p w14:paraId="6498BDED" w14:textId="77777777" w:rsidR="009A581E" w:rsidRPr="000A1612" w:rsidRDefault="009A581E" w:rsidP="00155775">
            <w:pPr>
              <w:widowControl w:val="0"/>
              <w:spacing w:after="0" w:line="240" w:lineRule="auto"/>
              <w:ind w:left="0" w:firstLine="0"/>
            </w:pPr>
            <w:r w:rsidRPr="000A1612">
              <w:t>- genotypová ETVr</w:t>
            </w:r>
            <w:r w:rsidRPr="000A1612">
              <w:rPr>
                <w:vertAlign w:val="superscript"/>
              </w:rPr>
              <w:t xml:space="preserve">c </w:t>
            </w:r>
            <w:r w:rsidRPr="000A1612">
              <w:t>s virologickým prienikom</w:t>
            </w:r>
            <w:r w:rsidRPr="000A1612">
              <w:rPr>
                <w:vertAlign w:val="superscript"/>
              </w:rPr>
              <w:t>d</w:t>
            </w:r>
            <w:r w:rsidRPr="000A1612">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2BB286E" w14:textId="77777777" w:rsidR="009A581E" w:rsidRPr="000A1612" w:rsidRDefault="00155775" w:rsidP="00155775">
            <w:pPr>
              <w:widowControl w:val="0"/>
              <w:spacing w:after="0" w:line="240" w:lineRule="auto"/>
              <w:ind w:left="0" w:firstLine="0"/>
              <w:jc w:val="center"/>
            </w:pPr>
            <w:r>
              <w:t>1</w:t>
            </w:r>
          </w:p>
        </w:tc>
        <w:tc>
          <w:tcPr>
            <w:tcW w:w="1120" w:type="dxa"/>
            <w:tcBorders>
              <w:top w:val="single" w:sz="6" w:space="0" w:color="000000"/>
              <w:left w:val="single" w:sz="6" w:space="0" w:color="000000"/>
              <w:bottom w:val="single" w:sz="6" w:space="0" w:color="000000"/>
              <w:right w:val="single" w:sz="6" w:space="0" w:color="000000"/>
            </w:tcBorders>
          </w:tcPr>
          <w:p w14:paraId="710ADD0C" w14:textId="77777777" w:rsidR="009A581E" w:rsidRPr="000A1612" w:rsidRDefault="009A581E" w:rsidP="00155775">
            <w:pPr>
              <w:widowControl w:val="0"/>
              <w:spacing w:after="0" w:line="240" w:lineRule="auto"/>
              <w:ind w:left="0" w:firstLine="0"/>
              <w:jc w:val="center"/>
            </w:pPr>
            <w:r w:rsidRPr="000A1612">
              <w:t>0</w:t>
            </w:r>
          </w:p>
        </w:tc>
        <w:tc>
          <w:tcPr>
            <w:tcW w:w="1275" w:type="dxa"/>
            <w:tcBorders>
              <w:top w:val="single" w:sz="6" w:space="0" w:color="000000"/>
              <w:left w:val="single" w:sz="6" w:space="0" w:color="000000"/>
              <w:bottom w:val="single" w:sz="6" w:space="0" w:color="000000"/>
              <w:right w:val="single" w:sz="6" w:space="0" w:color="000000"/>
            </w:tcBorders>
          </w:tcPr>
          <w:p w14:paraId="48CF1470" w14:textId="77777777" w:rsidR="009A581E" w:rsidRPr="000A1612" w:rsidRDefault="009A581E" w:rsidP="00155775">
            <w:pPr>
              <w:widowControl w:val="0"/>
              <w:spacing w:after="0" w:line="240" w:lineRule="auto"/>
              <w:ind w:left="0" w:firstLine="0"/>
              <w:jc w:val="center"/>
            </w:pPr>
            <w:r w:rsidRPr="000A1612">
              <w:t>1</w:t>
            </w:r>
          </w:p>
        </w:tc>
        <w:tc>
          <w:tcPr>
            <w:tcW w:w="1200" w:type="dxa"/>
            <w:tcBorders>
              <w:top w:val="single" w:sz="6" w:space="0" w:color="000000"/>
              <w:left w:val="single" w:sz="6" w:space="0" w:color="000000"/>
              <w:bottom w:val="single" w:sz="6" w:space="0" w:color="000000"/>
              <w:right w:val="single" w:sz="6" w:space="0" w:color="000000"/>
            </w:tcBorders>
          </w:tcPr>
          <w:p w14:paraId="4B4FE8ED" w14:textId="77777777" w:rsidR="009A581E" w:rsidRPr="000A1612" w:rsidRDefault="009A581E" w:rsidP="00155775">
            <w:pPr>
              <w:widowControl w:val="0"/>
              <w:spacing w:after="0" w:line="240" w:lineRule="auto"/>
              <w:ind w:left="0" w:firstLine="0"/>
              <w:jc w:val="center"/>
            </w:pPr>
            <w:r w:rsidRPr="000A1612">
              <w:t>0</w:t>
            </w:r>
          </w:p>
        </w:tc>
        <w:tc>
          <w:tcPr>
            <w:tcW w:w="1270" w:type="dxa"/>
            <w:tcBorders>
              <w:top w:val="single" w:sz="6" w:space="0" w:color="000000"/>
              <w:left w:val="single" w:sz="6" w:space="0" w:color="000000"/>
              <w:bottom w:val="single" w:sz="6" w:space="0" w:color="000000"/>
              <w:right w:val="single" w:sz="6" w:space="0" w:color="000000"/>
            </w:tcBorders>
          </w:tcPr>
          <w:p w14:paraId="53A79693" w14:textId="77777777" w:rsidR="009A581E" w:rsidRPr="000A1612" w:rsidRDefault="009A581E" w:rsidP="00155775">
            <w:pPr>
              <w:widowControl w:val="0"/>
              <w:spacing w:after="0" w:line="240" w:lineRule="auto"/>
              <w:ind w:left="0" w:firstLine="0"/>
              <w:jc w:val="center"/>
            </w:pPr>
            <w:r w:rsidRPr="000A1612">
              <w:t>0</w:t>
            </w:r>
          </w:p>
        </w:tc>
      </w:tr>
      <w:tr w:rsidR="009A581E" w:rsidRPr="000A1612" w14:paraId="4329732D" w14:textId="77777777" w:rsidTr="00155775">
        <w:trPr>
          <w:trHeight w:val="521"/>
        </w:trPr>
        <w:tc>
          <w:tcPr>
            <w:tcW w:w="3132" w:type="dxa"/>
            <w:tcBorders>
              <w:top w:val="single" w:sz="6" w:space="0" w:color="000000"/>
              <w:left w:val="single" w:sz="6" w:space="0" w:color="000000"/>
              <w:bottom w:val="single" w:sz="6" w:space="0" w:color="000000"/>
              <w:right w:val="single" w:sz="6" w:space="0" w:color="000000"/>
            </w:tcBorders>
          </w:tcPr>
          <w:p w14:paraId="79A53AB9" w14:textId="77777777" w:rsidR="009A581E" w:rsidRPr="000A1612" w:rsidRDefault="009A581E" w:rsidP="00130E2E">
            <w:pPr>
              <w:widowControl w:val="0"/>
              <w:spacing w:after="0" w:line="240" w:lineRule="auto"/>
              <w:ind w:left="0" w:firstLine="0"/>
            </w:pPr>
            <w:r w:rsidRPr="000A1612">
              <w:rPr>
                <w:b/>
              </w:rPr>
              <w:t>Kumulatívna pravdepodobnosť</w:t>
            </w:r>
            <w:r w:rsidR="00155775">
              <w:t>:</w:t>
            </w:r>
          </w:p>
        </w:tc>
        <w:tc>
          <w:tcPr>
            <w:tcW w:w="1277" w:type="dxa"/>
            <w:tcBorders>
              <w:top w:val="single" w:sz="6" w:space="0" w:color="000000"/>
              <w:left w:val="single" w:sz="6" w:space="0" w:color="000000"/>
              <w:bottom w:val="single" w:sz="6" w:space="0" w:color="000000"/>
              <w:right w:val="single" w:sz="6" w:space="0" w:color="000000"/>
            </w:tcBorders>
          </w:tcPr>
          <w:p w14:paraId="52CABFB8" w14:textId="77777777" w:rsidR="009A581E" w:rsidRPr="000A1612" w:rsidRDefault="009A581E" w:rsidP="00155775">
            <w:pPr>
              <w:widowControl w:val="0"/>
              <w:spacing w:after="0" w:line="240" w:lineRule="auto"/>
              <w:ind w:left="0" w:firstLine="0"/>
              <w:jc w:val="center"/>
            </w:pPr>
          </w:p>
        </w:tc>
        <w:tc>
          <w:tcPr>
            <w:tcW w:w="1120" w:type="dxa"/>
            <w:tcBorders>
              <w:top w:val="single" w:sz="6" w:space="0" w:color="000000"/>
              <w:left w:val="single" w:sz="6" w:space="0" w:color="000000"/>
              <w:bottom w:val="single" w:sz="6" w:space="0" w:color="000000"/>
              <w:right w:val="single" w:sz="6" w:space="0" w:color="000000"/>
            </w:tcBorders>
          </w:tcPr>
          <w:p w14:paraId="4729E111" w14:textId="77777777" w:rsidR="009A581E" w:rsidRPr="000A1612" w:rsidRDefault="009A581E" w:rsidP="00155775">
            <w:pPr>
              <w:widowControl w:val="0"/>
              <w:spacing w:after="0" w:line="240" w:lineRule="auto"/>
              <w:ind w:left="0" w:firstLine="0"/>
              <w:jc w:val="center"/>
            </w:pPr>
          </w:p>
        </w:tc>
        <w:tc>
          <w:tcPr>
            <w:tcW w:w="1275" w:type="dxa"/>
            <w:tcBorders>
              <w:top w:val="single" w:sz="6" w:space="0" w:color="000000"/>
              <w:left w:val="single" w:sz="6" w:space="0" w:color="000000"/>
              <w:bottom w:val="single" w:sz="6" w:space="0" w:color="000000"/>
              <w:right w:val="single" w:sz="6" w:space="0" w:color="000000"/>
            </w:tcBorders>
          </w:tcPr>
          <w:p w14:paraId="2CAC203E" w14:textId="77777777" w:rsidR="009A581E" w:rsidRPr="000A1612" w:rsidRDefault="009A581E" w:rsidP="00155775">
            <w:pPr>
              <w:widowControl w:val="0"/>
              <w:spacing w:after="0" w:line="240" w:lineRule="auto"/>
              <w:ind w:left="0" w:firstLine="0"/>
              <w:jc w:val="center"/>
            </w:pPr>
          </w:p>
        </w:tc>
        <w:tc>
          <w:tcPr>
            <w:tcW w:w="1200" w:type="dxa"/>
            <w:tcBorders>
              <w:top w:val="single" w:sz="6" w:space="0" w:color="000000"/>
              <w:left w:val="single" w:sz="6" w:space="0" w:color="000000"/>
              <w:bottom w:val="single" w:sz="6" w:space="0" w:color="000000"/>
              <w:right w:val="single" w:sz="6" w:space="0" w:color="000000"/>
            </w:tcBorders>
          </w:tcPr>
          <w:p w14:paraId="625DC6E9" w14:textId="77777777" w:rsidR="009A581E" w:rsidRPr="000A1612" w:rsidRDefault="009A581E" w:rsidP="00155775">
            <w:pPr>
              <w:widowControl w:val="0"/>
              <w:spacing w:after="0" w:line="240" w:lineRule="auto"/>
              <w:ind w:left="0" w:firstLine="0"/>
              <w:jc w:val="center"/>
            </w:pPr>
          </w:p>
        </w:tc>
        <w:tc>
          <w:tcPr>
            <w:tcW w:w="1270" w:type="dxa"/>
            <w:tcBorders>
              <w:top w:val="single" w:sz="6" w:space="0" w:color="000000"/>
              <w:left w:val="single" w:sz="6" w:space="0" w:color="000000"/>
              <w:bottom w:val="single" w:sz="6" w:space="0" w:color="000000"/>
              <w:right w:val="single" w:sz="6" w:space="0" w:color="000000"/>
            </w:tcBorders>
          </w:tcPr>
          <w:p w14:paraId="42A4B10F" w14:textId="77777777" w:rsidR="009A581E" w:rsidRPr="000A1612" w:rsidRDefault="009A581E" w:rsidP="00155775">
            <w:pPr>
              <w:widowControl w:val="0"/>
              <w:spacing w:after="0" w:line="240" w:lineRule="auto"/>
              <w:ind w:left="0" w:firstLine="0"/>
              <w:jc w:val="center"/>
            </w:pPr>
          </w:p>
        </w:tc>
      </w:tr>
      <w:tr w:rsidR="009A581E" w:rsidRPr="000A1612" w14:paraId="7EB7E002" w14:textId="77777777" w:rsidTr="00155775">
        <w:trPr>
          <w:trHeight w:val="590"/>
        </w:trPr>
        <w:tc>
          <w:tcPr>
            <w:tcW w:w="3132" w:type="dxa"/>
            <w:tcBorders>
              <w:top w:val="single" w:sz="6" w:space="0" w:color="000000"/>
              <w:left w:val="single" w:sz="6" w:space="0" w:color="000000"/>
              <w:bottom w:val="single" w:sz="6" w:space="0" w:color="000000"/>
              <w:right w:val="single" w:sz="6" w:space="0" w:color="000000"/>
            </w:tcBorders>
          </w:tcPr>
          <w:p w14:paraId="28346050" w14:textId="77777777" w:rsidR="009A581E" w:rsidRPr="000A1612" w:rsidRDefault="009A581E" w:rsidP="00155775">
            <w:pPr>
              <w:widowControl w:val="0"/>
              <w:tabs>
                <w:tab w:val="center" w:pos="1586"/>
              </w:tabs>
              <w:spacing w:after="0" w:line="240" w:lineRule="auto"/>
              <w:ind w:left="0" w:firstLine="0"/>
            </w:pPr>
            <w:r w:rsidRPr="000A1612">
              <w:t>- rozvinutá genotypová ETVr</w:t>
            </w:r>
            <w:r w:rsidRPr="000A1612">
              <w:rPr>
                <w:vertAlign w:val="superscript"/>
              </w:rPr>
              <w:t>c</w:t>
            </w:r>
          </w:p>
        </w:tc>
        <w:tc>
          <w:tcPr>
            <w:tcW w:w="1277" w:type="dxa"/>
            <w:tcBorders>
              <w:top w:val="single" w:sz="6" w:space="0" w:color="000000"/>
              <w:left w:val="single" w:sz="6" w:space="0" w:color="000000"/>
              <w:bottom w:val="single" w:sz="6" w:space="0" w:color="000000"/>
              <w:right w:val="single" w:sz="6" w:space="0" w:color="000000"/>
            </w:tcBorders>
          </w:tcPr>
          <w:p w14:paraId="7C5FA42B" w14:textId="77777777" w:rsidR="009A581E" w:rsidRPr="000A1612" w:rsidRDefault="009A581E" w:rsidP="00155775">
            <w:pPr>
              <w:widowControl w:val="0"/>
              <w:spacing w:after="0" w:line="240" w:lineRule="auto"/>
              <w:ind w:left="0" w:firstLine="0"/>
              <w:jc w:val="center"/>
            </w:pPr>
            <w:r w:rsidRPr="000A1612">
              <w:t>0,2 %</w:t>
            </w:r>
          </w:p>
        </w:tc>
        <w:tc>
          <w:tcPr>
            <w:tcW w:w="1120" w:type="dxa"/>
            <w:tcBorders>
              <w:top w:val="single" w:sz="6" w:space="0" w:color="000000"/>
              <w:left w:val="single" w:sz="6" w:space="0" w:color="000000"/>
              <w:bottom w:val="single" w:sz="6" w:space="0" w:color="000000"/>
              <w:right w:val="single" w:sz="6" w:space="0" w:color="000000"/>
            </w:tcBorders>
          </w:tcPr>
          <w:p w14:paraId="7C29EDEB" w14:textId="77777777" w:rsidR="009A581E" w:rsidRPr="000A1612" w:rsidRDefault="009A581E" w:rsidP="00155775">
            <w:pPr>
              <w:widowControl w:val="0"/>
              <w:spacing w:after="0" w:line="240" w:lineRule="auto"/>
              <w:ind w:left="0" w:firstLine="0"/>
              <w:jc w:val="center"/>
            </w:pPr>
            <w:r w:rsidRPr="000A1612">
              <w:t>0,5 %</w:t>
            </w:r>
          </w:p>
        </w:tc>
        <w:tc>
          <w:tcPr>
            <w:tcW w:w="1275" w:type="dxa"/>
            <w:tcBorders>
              <w:top w:val="single" w:sz="6" w:space="0" w:color="000000"/>
              <w:left w:val="single" w:sz="6" w:space="0" w:color="000000"/>
              <w:bottom w:val="single" w:sz="6" w:space="0" w:color="000000"/>
              <w:right w:val="single" w:sz="6" w:space="0" w:color="000000"/>
            </w:tcBorders>
          </w:tcPr>
          <w:p w14:paraId="6F994A94" w14:textId="77777777" w:rsidR="009A581E" w:rsidRPr="000A1612" w:rsidRDefault="009A581E" w:rsidP="00155775">
            <w:pPr>
              <w:widowControl w:val="0"/>
              <w:spacing w:after="0" w:line="240" w:lineRule="auto"/>
              <w:ind w:left="0" w:firstLine="0"/>
              <w:jc w:val="center"/>
            </w:pPr>
            <w:r w:rsidRPr="000A1612">
              <w:t>1,2 %</w:t>
            </w:r>
          </w:p>
        </w:tc>
        <w:tc>
          <w:tcPr>
            <w:tcW w:w="1200" w:type="dxa"/>
            <w:tcBorders>
              <w:top w:val="single" w:sz="6" w:space="0" w:color="000000"/>
              <w:left w:val="single" w:sz="6" w:space="0" w:color="000000"/>
              <w:bottom w:val="single" w:sz="6" w:space="0" w:color="000000"/>
              <w:right w:val="single" w:sz="6" w:space="0" w:color="000000"/>
            </w:tcBorders>
          </w:tcPr>
          <w:p w14:paraId="66CEF37E" w14:textId="77777777" w:rsidR="009A581E" w:rsidRPr="000A1612" w:rsidRDefault="009A581E" w:rsidP="00155775">
            <w:pPr>
              <w:widowControl w:val="0"/>
              <w:spacing w:after="0" w:line="240" w:lineRule="auto"/>
              <w:ind w:left="0" w:firstLine="0"/>
              <w:jc w:val="center"/>
            </w:pPr>
            <w:r w:rsidRPr="000A1612">
              <w:t>1,2 %</w:t>
            </w:r>
          </w:p>
        </w:tc>
        <w:tc>
          <w:tcPr>
            <w:tcW w:w="1270" w:type="dxa"/>
            <w:tcBorders>
              <w:top w:val="single" w:sz="6" w:space="0" w:color="000000"/>
              <w:left w:val="single" w:sz="6" w:space="0" w:color="000000"/>
              <w:bottom w:val="single" w:sz="6" w:space="0" w:color="000000"/>
              <w:right w:val="single" w:sz="6" w:space="0" w:color="000000"/>
            </w:tcBorders>
          </w:tcPr>
          <w:p w14:paraId="2C601FFC" w14:textId="77777777" w:rsidR="009A581E" w:rsidRPr="000A1612" w:rsidRDefault="009A581E" w:rsidP="00155775">
            <w:pPr>
              <w:widowControl w:val="0"/>
              <w:spacing w:after="0" w:line="240" w:lineRule="auto"/>
              <w:ind w:left="0" w:firstLine="0"/>
              <w:jc w:val="center"/>
            </w:pPr>
            <w:r w:rsidRPr="000A1612">
              <w:t>1,2 %</w:t>
            </w:r>
          </w:p>
        </w:tc>
      </w:tr>
      <w:tr w:rsidR="009A581E" w:rsidRPr="000A1612" w14:paraId="617CDC2F" w14:textId="77777777" w:rsidTr="00155775">
        <w:trPr>
          <w:trHeight w:val="658"/>
        </w:trPr>
        <w:tc>
          <w:tcPr>
            <w:tcW w:w="3132" w:type="dxa"/>
            <w:tcBorders>
              <w:top w:val="single" w:sz="6" w:space="0" w:color="000000"/>
              <w:left w:val="single" w:sz="6" w:space="0" w:color="000000"/>
              <w:bottom w:val="single" w:sz="6" w:space="0" w:color="000000"/>
              <w:right w:val="single" w:sz="6" w:space="0" w:color="000000"/>
            </w:tcBorders>
          </w:tcPr>
          <w:p w14:paraId="6F19A848" w14:textId="77777777" w:rsidR="009A581E" w:rsidRPr="000A1612" w:rsidRDefault="009A581E" w:rsidP="00155775">
            <w:pPr>
              <w:pStyle w:val="Odsekzoznamu"/>
              <w:widowControl w:val="0"/>
              <w:numPr>
                <w:ilvl w:val="0"/>
                <w:numId w:val="39"/>
              </w:numPr>
              <w:spacing w:after="0" w:line="240" w:lineRule="auto"/>
              <w:ind w:left="183" w:hanging="183"/>
            </w:pPr>
            <w:r w:rsidRPr="000A1612">
              <w:t>genotypová ETVr</w:t>
            </w:r>
            <w:r w:rsidRPr="00155775">
              <w:rPr>
                <w:vertAlign w:val="superscript"/>
              </w:rPr>
              <w:t>c</w:t>
            </w:r>
            <w:r w:rsidRPr="000A1612">
              <w:t xml:space="preserve"> s virologickým prienikom</w:t>
            </w:r>
            <w:r w:rsidRPr="00155775">
              <w:rPr>
                <w:vertAlign w:val="superscript"/>
              </w:rPr>
              <w:t>d</w:t>
            </w:r>
          </w:p>
        </w:tc>
        <w:tc>
          <w:tcPr>
            <w:tcW w:w="1277" w:type="dxa"/>
            <w:tcBorders>
              <w:top w:val="single" w:sz="6" w:space="0" w:color="000000"/>
              <w:left w:val="single" w:sz="6" w:space="0" w:color="000000"/>
              <w:bottom w:val="single" w:sz="6" w:space="0" w:color="000000"/>
              <w:right w:val="single" w:sz="6" w:space="0" w:color="000000"/>
            </w:tcBorders>
          </w:tcPr>
          <w:p w14:paraId="4659C03A" w14:textId="77777777" w:rsidR="009A581E" w:rsidRPr="000A1612" w:rsidRDefault="009A581E" w:rsidP="00155775">
            <w:pPr>
              <w:widowControl w:val="0"/>
              <w:spacing w:after="0" w:line="240" w:lineRule="auto"/>
              <w:ind w:left="0" w:firstLine="0"/>
              <w:jc w:val="center"/>
            </w:pPr>
            <w:r w:rsidRPr="000A1612">
              <w:t>0,2 %</w:t>
            </w:r>
          </w:p>
        </w:tc>
        <w:tc>
          <w:tcPr>
            <w:tcW w:w="1120" w:type="dxa"/>
            <w:tcBorders>
              <w:top w:val="single" w:sz="6" w:space="0" w:color="000000"/>
              <w:left w:val="single" w:sz="6" w:space="0" w:color="000000"/>
              <w:bottom w:val="single" w:sz="6" w:space="0" w:color="000000"/>
              <w:right w:val="single" w:sz="6" w:space="0" w:color="000000"/>
            </w:tcBorders>
          </w:tcPr>
          <w:p w14:paraId="7C304476" w14:textId="77777777" w:rsidR="009A581E" w:rsidRPr="000A1612" w:rsidRDefault="009A581E" w:rsidP="00155775">
            <w:pPr>
              <w:widowControl w:val="0"/>
              <w:spacing w:after="0" w:line="240" w:lineRule="auto"/>
              <w:ind w:left="0" w:firstLine="0"/>
              <w:jc w:val="center"/>
            </w:pPr>
            <w:r w:rsidRPr="000A1612">
              <w:t>0,2 %</w:t>
            </w:r>
          </w:p>
        </w:tc>
        <w:tc>
          <w:tcPr>
            <w:tcW w:w="1275" w:type="dxa"/>
            <w:tcBorders>
              <w:top w:val="single" w:sz="6" w:space="0" w:color="000000"/>
              <w:left w:val="single" w:sz="6" w:space="0" w:color="000000"/>
              <w:bottom w:val="single" w:sz="6" w:space="0" w:color="000000"/>
              <w:right w:val="single" w:sz="6" w:space="0" w:color="000000"/>
            </w:tcBorders>
          </w:tcPr>
          <w:p w14:paraId="62BF6970" w14:textId="77777777" w:rsidR="009A581E" w:rsidRPr="000A1612" w:rsidRDefault="009A581E" w:rsidP="00155775">
            <w:pPr>
              <w:widowControl w:val="0"/>
              <w:spacing w:after="0" w:line="240" w:lineRule="auto"/>
              <w:ind w:left="0" w:firstLine="0"/>
              <w:jc w:val="center"/>
            </w:pPr>
            <w:r w:rsidRPr="000A1612">
              <w:t>0,8 %</w:t>
            </w:r>
          </w:p>
        </w:tc>
        <w:tc>
          <w:tcPr>
            <w:tcW w:w="1200" w:type="dxa"/>
            <w:tcBorders>
              <w:top w:val="single" w:sz="6" w:space="0" w:color="000000"/>
              <w:left w:val="single" w:sz="6" w:space="0" w:color="000000"/>
              <w:bottom w:val="single" w:sz="6" w:space="0" w:color="000000"/>
              <w:right w:val="single" w:sz="6" w:space="0" w:color="000000"/>
            </w:tcBorders>
          </w:tcPr>
          <w:p w14:paraId="643CD037" w14:textId="77777777" w:rsidR="009A581E" w:rsidRPr="000A1612" w:rsidRDefault="009A581E" w:rsidP="00155775">
            <w:pPr>
              <w:widowControl w:val="0"/>
              <w:spacing w:after="0" w:line="240" w:lineRule="auto"/>
              <w:ind w:left="0" w:firstLine="0"/>
              <w:jc w:val="center"/>
            </w:pPr>
            <w:r w:rsidRPr="000A1612">
              <w:t>0,8 %</w:t>
            </w:r>
          </w:p>
        </w:tc>
        <w:tc>
          <w:tcPr>
            <w:tcW w:w="1270" w:type="dxa"/>
            <w:tcBorders>
              <w:top w:val="single" w:sz="6" w:space="0" w:color="000000"/>
              <w:left w:val="single" w:sz="6" w:space="0" w:color="000000"/>
              <w:bottom w:val="single" w:sz="6" w:space="0" w:color="000000"/>
              <w:right w:val="single" w:sz="6" w:space="0" w:color="000000"/>
            </w:tcBorders>
          </w:tcPr>
          <w:p w14:paraId="0C0CC8B7" w14:textId="77777777" w:rsidR="009A581E" w:rsidRPr="000A1612" w:rsidRDefault="009A581E" w:rsidP="00155775">
            <w:pPr>
              <w:widowControl w:val="0"/>
              <w:spacing w:after="0" w:line="240" w:lineRule="auto"/>
              <w:ind w:left="0" w:firstLine="0"/>
              <w:jc w:val="center"/>
            </w:pPr>
            <w:r w:rsidRPr="000A1612">
              <w:t>0,8 %</w:t>
            </w:r>
          </w:p>
        </w:tc>
      </w:tr>
    </w:tbl>
    <w:p w14:paraId="0E17F0C3" w14:textId="12E66074" w:rsidR="009A581E" w:rsidRPr="000A1612" w:rsidRDefault="00155775" w:rsidP="00155775">
      <w:pPr>
        <w:widowControl w:val="0"/>
        <w:spacing w:after="0" w:line="240" w:lineRule="auto"/>
        <w:ind w:left="0" w:right="117" w:firstLine="0"/>
      </w:pPr>
      <w:r w:rsidRPr="00155775">
        <w:rPr>
          <w:vertAlign w:val="superscript"/>
        </w:rPr>
        <w:t>a</w:t>
      </w:r>
      <w:r>
        <w:t xml:space="preserve"> </w:t>
      </w:r>
      <w:r w:rsidR="009A581E" w:rsidRPr="000A1612">
        <w:t>Výsledky odrážajú použitie 1mg dávky entekaviru u 147 zo 149 pacientov v Roku 3 a všetkých pacientov v Roku 4 a 5 a kombinovanej liečby entekavir-lamivudín (následne po dlhodobej liečbe entekavirom) s mediánom 20 týždňov u 130 zo 149 pacientov v Roku 3 a 1 týždeň pre 1 zo 121 pacientov v Roku 4 prechádzajúcich z jednej št</w:t>
      </w:r>
      <w:r>
        <w:t>údie do druhej (rollover study)</w:t>
      </w:r>
    </w:p>
    <w:p w14:paraId="477C1BB7" w14:textId="77777777" w:rsidR="00155775" w:rsidRDefault="00155775" w:rsidP="00155775">
      <w:pPr>
        <w:widowControl w:val="0"/>
        <w:spacing w:after="0" w:line="240" w:lineRule="auto"/>
        <w:ind w:left="0" w:right="117" w:firstLine="0"/>
      </w:pPr>
      <w:r w:rsidRPr="00155775">
        <w:rPr>
          <w:vertAlign w:val="superscript"/>
        </w:rPr>
        <w:t>b</w:t>
      </w:r>
      <w:r>
        <w:t xml:space="preserve"> </w:t>
      </w:r>
      <w:r w:rsidR="009A581E" w:rsidRPr="000A1612">
        <w:t>Zahŕňa pacientov s najmenej jednou terapiou HBV DNA merateľnou prostredníctvom PCR v alebo po 24 týždňoch počas týždňa 58 (Rok 1), po 58 týždňoch počas týždňa 102 (Rok 2) po 102 týždňoch počas týždňa 156 (Rok 3) po 156 týždňoch počas týždňa 204 (Rok 4) alebo po 204 týždňoch počas týždňa 252 (Rok 5)</w:t>
      </w:r>
    </w:p>
    <w:p w14:paraId="7F402221" w14:textId="77777777" w:rsidR="009A581E" w:rsidRPr="000A1612" w:rsidRDefault="009A581E" w:rsidP="00155775">
      <w:pPr>
        <w:widowControl w:val="0"/>
        <w:spacing w:after="0" w:line="240" w:lineRule="auto"/>
        <w:ind w:left="0" w:right="117" w:firstLine="0"/>
      </w:pPr>
      <w:r w:rsidRPr="000A1612">
        <w:rPr>
          <w:vertAlign w:val="superscript"/>
        </w:rPr>
        <w:t>c</w:t>
      </w:r>
      <w:r w:rsidRPr="000A1612">
        <w:t xml:space="preserve"> Pacienti, ktorí tiež majú LVDr substitúcie</w:t>
      </w:r>
    </w:p>
    <w:p w14:paraId="5A6A4658" w14:textId="77777777" w:rsidR="009A581E" w:rsidRPr="000A1612" w:rsidRDefault="009A581E" w:rsidP="009A581E">
      <w:pPr>
        <w:widowControl w:val="0"/>
        <w:spacing w:after="0" w:line="240" w:lineRule="auto"/>
        <w:ind w:left="0" w:firstLine="0"/>
      </w:pPr>
      <w:r w:rsidRPr="000A1612">
        <w:rPr>
          <w:vertAlign w:val="superscript"/>
        </w:rPr>
        <w:t>d</w:t>
      </w:r>
      <w:r w:rsidRPr="000A1612">
        <w:t xml:space="preserve"> ≥ 1 log</w:t>
      </w:r>
      <w:r w:rsidRPr="000A1612">
        <w:rPr>
          <w:vertAlign w:val="subscript"/>
        </w:rPr>
        <w:t>10</w:t>
      </w:r>
      <w:r w:rsidRPr="000A1612">
        <w:t xml:space="preserve"> zvýšenie nad najnižšiu hodnotu u HBV DNA potvrdené postupnými meraniami s PCR a</w:t>
      </w:r>
      <w:r w:rsidR="00155775">
        <w:t>lebo na konci časového rozpätia</w:t>
      </w:r>
    </w:p>
    <w:p w14:paraId="3A198FA3" w14:textId="77777777" w:rsidR="009A581E" w:rsidRPr="000A1612" w:rsidRDefault="009A581E" w:rsidP="009A581E">
      <w:pPr>
        <w:widowControl w:val="0"/>
        <w:spacing w:after="0" w:line="240" w:lineRule="auto"/>
        <w:ind w:left="0" w:firstLine="0"/>
      </w:pPr>
    </w:p>
    <w:p w14:paraId="01A828C0" w14:textId="77777777" w:rsidR="009A581E" w:rsidRPr="000A1612" w:rsidRDefault="009A581E" w:rsidP="009A581E">
      <w:pPr>
        <w:widowControl w:val="0"/>
        <w:spacing w:after="0" w:line="240" w:lineRule="auto"/>
        <w:ind w:left="0" w:right="44" w:firstLine="0"/>
      </w:pPr>
      <w:r w:rsidRPr="000A1612">
        <w:t>ETVr substitúcie (okrem LVDr substitúcií rtM204V/I ± rtL180M) sa zistili na základných izolátoch u 10/187 (5 %) pacientov refraktérnych na lamivudín liečených entekavirom a monitorovaných na rezistenciu naznačujúc tak, že predošlá liečba lamivudínom môže selektovať tieto rezistentné substitúcie a zistiť ich nízky výskyt pred liečbou entekavirom. Počas 240</w:t>
      </w:r>
      <w:r w:rsidR="007048CF">
        <w:t>.</w:t>
      </w:r>
      <w:r w:rsidRPr="000A1612">
        <w:t xml:space="preserve"> týždňa mali 3 z 10 pacientov spontánny virologický prienik (≥ 1 log</w:t>
      </w:r>
      <w:r w:rsidRPr="000A1612">
        <w:rPr>
          <w:vertAlign w:val="subscript"/>
        </w:rPr>
        <w:t>10</w:t>
      </w:r>
      <w:r w:rsidRPr="000A1612">
        <w:t xml:space="preserve"> zvýšenie nad najnižšiu hodnotu). Rozvinutá rezistencia na entekavir v lamivudín refraktérnych štúdiách počas 240</w:t>
      </w:r>
      <w:r w:rsidR="007048CF">
        <w:t>.</w:t>
      </w:r>
      <w:r w:rsidRPr="000A1612">
        <w:t xml:space="preserve"> týždňa je </w:t>
      </w:r>
      <w:r w:rsidRPr="00D4242E">
        <w:t xml:space="preserve">zhrnutá </w:t>
      </w:r>
      <w:r w:rsidRPr="00B71267">
        <w:t>v tabuľke.</w:t>
      </w:r>
    </w:p>
    <w:p w14:paraId="2B2FFAA2" w14:textId="77777777" w:rsidR="009A581E" w:rsidRPr="000A1612" w:rsidRDefault="009A581E" w:rsidP="009A581E">
      <w:pPr>
        <w:widowControl w:val="0"/>
        <w:spacing w:after="0" w:line="240" w:lineRule="auto"/>
        <w:ind w:left="0" w:firstLine="0"/>
      </w:pPr>
    </w:p>
    <w:tbl>
      <w:tblPr>
        <w:tblStyle w:val="TableGrid"/>
        <w:tblW w:w="8681" w:type="dxa"/>
        <w:tblInd w:w="-8" w:type="dxa"/>
        <w:tblCellMar>
          <w:top w:w="50" w:type="dxa"/>
          <w:left w:w="101" w:type="dxa"/>
          <w:right w:w="62" w:type="dxa"/>
        </w:tblCellMar>
        <w:tblLook w:val="04A0" w:firstRow="1" w:lastRow="0" w:firstColumn="1" w:lastColumn="0" w:noHBand="0" w:noVBand="1"/>
      </w:tblPr>
      <w:tblGrid>
        <w:gridCol w:w="3127"/>
        <w:gridCol w:w="1265"/>
        <w:gridCol w:w="1207"/>
        <w:gridCol w:w="991"/>
        <w:gridCol w:w="986"/>
        <w:gridCol w:w="1105"/>
      </w:tblGrid>
      <w:tr w:rsidR="009A581E" w:rsidRPr="000A1612" w14:paraId="537EFA89" w14:textId="77777777" w:rsidTr="00155775">
        <w:trPr>
          <w:trHeight w:val="420"/>
        </w:trPr>
        <w:tc>
          <w:tcPr>
            <w:tcW w:w="8681" w:type="dxa"/>
            <w:gridSpan w:val="6"/>
            <w:tcBorders>
              <w:top w:val="single" w:sz="6" w:space="0" w:color="000000"/>
              <w:left w:val="single" w:sz="6" w:space="0" w:color="000000"/>
              <w:bottom w:val="single" w:sz="6" w:space="0" w:color="000000"/>
              <w:right w:val="single" w:sz="6" w:space="0" w:color="000000"/>
            </w:tcBorders>
          </w:tcPr>
          <w:p w14:paraId="6AAEEB1F" w14:textId="77777777" w:rsidR="009A581E" w:rsidRPr="000A1612" w:rsidRDefault="009A581E" w:rsidP="00130E2E">
            <w:pPr>
              <w:widowControl w:val="0"/>
              <w:spacing w:after="0" w:line="240" w:lineRule="auto"/>
              <w:ind w:left="0" w:firstLine="0"/>
            </w:pPr>
            <w:r w:rsidRPr="000A1612">
              <w:t xml:space="preserve">Genotypová rezistencia na entekavir počas 5. roka, </w:t>
            </w:r>
            <w:r w:rsidR="00B71267">
              <w:t>l</w:t>
            </w:r>
            <w:r w:rsidRPr="000A1612">
              <w:t>amivudín refraktérne štúdie</w:t>
            </w:r>
          </w:p>
        </w:tc>
      </w:tr>
      <w:tr w:rsidR="009A581E" w:rsidRPr="000A1612" w14:paraId="5429A3EF" w14:textId="77777777" w:rsidTr="00155775">
        <w:trPr>
          <w:trHeight w:val="418"/>
        </w:trPr>
        <w:tc>
          <w:tcPr>
            <w:tcW w:w="3127" w:type="dxa"/>
            <w:tcBorders>
              <w:top w:val="single" w:sz="6" w:space="0" w:color="000000"/>
              <w:left w:val="single" w:sz="6" w:space="0" w:color="000000"/>
              <w:bottom w:val="single" w:sz="6" w:space="0" w:color="000000"/>
              <w:right w:val="single" w:sz="6" w:space="0" w:color="000000"/>
            </w:tcBorders>
          </w:tcPr>
          <w:p w14:paraId="495E3C13" w14:textId="77777777" w:rsidR="009A581E" w:rsidRPr="000A1612" w:rsidRDefault="009A581E" w:rsidP="00130E2E">
            <w:pPr>
              <w:widowControl w:val="0"/>
              <w:spacing w:after="0" w:line="240" w:lineRule="auto"/>
              <w:ind w:left="0" w:firstLine="0"/>
              <w:jc w:val="center"/>
            </w:pPr>
            <w:r w:rsidRPr="000A1612">
              <w:t xml:space="preserve"> </w:t>
            </w:r>
          </w:p>
        </w:tc>
        <w:tc>
          <w:tcPr>
            <w:tcW w:w="1265" w:type="dxa"/>
            <w:tcBorders>
              <w:top w:val="single" w:sz="6" w:space="0" w:color="000000"/>
              <w:left w:val="single" w:sz="6" w:space="0" w:color="000000"/>
              <w:bottom w:val="single" w:sz="6" w:space="0" w:color="000000"/>
              <w:right w:val="single" w:sz="6" w:space="0" w:color="000000"/>
            </w:tcBorders>
          </w:tcPr>
          <w:p w14:paraId="3F338ABB" w14:textId="77777777" w:rsidR="009A581E" w:rsidRPr="000A1612" w:rsidRDefault="00155775" w:rsidP="00130E2E">
            <w:pPr>
              <w:widowControl w:val="0"/>
              <w:spacing w:after="0" w:line="240" w:lineRule="auto"/>
              <w:ind w:left="0" w:right="43" w:firstLine="0"/>
              <w:jc w:val="center"/>
            </w:pPr>
            <w:r>
              <w:t>Rok 1</w:t>
            </w:r>
          </w:p>
        </w:tc>
        <w:tc>
          <w:tcPr>
            <w:tcW w:w="1207" w:type="dxa"/>
            <w:tcBorders>
              <w:top w:val="single" w:sz="6" w:space="0" w:color="000000"/>
              <w:left w:val="single" w:sz="6" w:space="0" w:color="000000"/>
              <w:bottom w:val="single" w:sz="6" w:space="0" w:color="000000"/>
              <w:right w:val="single" w:sz="6" w:space="0" w:color="000000"/>
            </w:tcBorders>
          </w:tcPr>
          <w:p w14:paraId="375DFC01" w14:textId="77777777" w:rsidR="009A581E" w:rsidRPr="000A1612" w:rsidRDefault="00155775" w:rsidP="00130E2E">
            <w:pPr>
              <w:widowControl w:val="0"/>
              <w:spacing w:after="0" w:line="240" w:lineRule="auto"/>
              <w:ind w:left="0" w:right="38" w:firstLine="0"/>
              <w:jc w:val="center"/>
            </w:pPr>
            <w:r>
              <w:t>Rok 2</w:t>
            </w:r>
          </w:p>
        </w:tc>
        <w:tc>
          <w:tcPr>
            <w:tcW w:w="991" w:type="dxa"/>
            <w:tcBorders>
              <w:top w:val="single" w:sz="6" w:space="0" w:color="000000"/>
              <w:left w:val="single" w:sz="6" w:space="0" w:color="000000"/>
              <w:bottom w:val="single" w:sz="6" w:space="0" w:color="000000"/>
              <w:right w:val="single" w:sz="6" w:space="0" w:color="000000"/>
            </w:tcBorders>
          </w:tcPr>
          <w:p w14:paraId="2B998490" w14:textId="77777777" w:rsidR="009A581E" w:rsidRPr="000A1612" w:rsidRDefault="009A581E" w:rsidP="00130E2E">
            <w:pPr>
              <w:widowControl w:val="0"/>
              <w:spacing w:after="0" w:line="240" w:lineRule="auto"/>
              <w:ind w:left="0" w:right="39" w:firstLine="0"/>
              <w:jc w:val="center"/>
            </w:pPr>
            <w:r w:rsidRPr="000A1612">
              <w:t>Rok 3</w:t>
            </w:r>
            <w:r w:rsidRPr="000A1612">
              <w:rPr>
                <w:vertAlign w:val="superscript"/>
              </w:rPr>
              <w:t>a</w:t>
            </w:r>
          </w:p>
        </w:tc>
        <w:tc>
          <w:tcPr>
            <w:tcW w:w="986" w:type="dxa"/>
            <w:tcBorders>
              <w:top w:val="single" w:sz="6" w:space="0" w:color="000000"/>
              <w:left w:val="single" w:sz="6" w:space="0" w:color="000000"/>
              <w:bottom w:val="single" w:sz="6" w:space="0" w:color="000000"/>
              <w:right w:val="single" w:sz="6" w:space="0" w:color="000000"/>
            </w:tcBorders>
          </w:tcPr>
          <w:p w14:paraId="3B7F45C1" w14:textId="77777777" w:rsidR="009A581E" w:rsidRPr="000A1612" w:rsidRDefault="009A581E" w:rsidP="00130E2E">
            <w:pPr>
              <w:widowControl w:val="0"/>
              <w:spacing w:after="0" w:line="240" w:lineRule="auto"/>
              <w:ind w:left="0" w:right="37" w:firstLine="0"/>
              <w:jc w:val="center"/>
            </w:pPr>
            <w:r w:rsidRPr="000A1612">
              <w:t>Rok 4</w:t>
            </w:r>
            <w:r w:rsidRPr="000A1612">
              <w:rPr>
                <w:vertAlign w:val="superscript"/>
              </w:rPr>
              <w:t xml:space="preserve"> a</w:t>
            </w:r>
          </w:p>
        </w:tc>
        <w:tc>
          <w:tcPr>
            <w:tcW w:w="1105" w:type="dxa"/>
            <w:tcBorders>
              <w:top w:val="single" w:sz="6" w:space="0" w:color="000000"/>
              <w:left w:val="single" w:sz="6" w:space="0" w:color="000000"/>
              <w:bottom w:val="single" w:sz="6" w:space="0" w:color="000000"/>
              <w:right w:val="single" w:sz="6" w:space="0" w:color="000000"/>
            </w:tcBorders>
          </w:tcPr>
          <w:p w14:paraId="1CA3D4DB" w14:textId="77777777" w:rsidR="009A581E" w:rsidRPr="000A1612" w:rsidRDefault="009A581E" w:rsidP="00155775">
            <w:pPr>
              <w:widowControl w:val="0"/>
              <w:spacing w:after="0" w:line="240" w:lineRule="auto"/>
              <w:ind w:left="0" w:right="34" w:firstLine="0"/>
              <w:jc w:val="center"/>
            </w:pPr>
            <w:r w:rsidRPr="000A1612">
              <w:t>Rok 5</w:t>
            </w:r>
            <w:r w:rsidRPr="000A1612">
              <w:rPr>
                <w:vertAlign w:val="superscript"/>
              </w:rPr>
              <w:t xml:space="preserve"> a</w:t>
            </w:r>
          </w:p>
        </w:tc>
      </w:tr>
      <w:tr w:rsidR="009A581E" w:rsidRPr="000A1612" w14:paraId="27AA8552" w14:textId="77777777" w:rsidTr="00155775">
        <w:trPr>
          <w:trHeight w:val="521"/>
        </w:trPr>
        <w:tc>
          <w:tcPr>
            <w:tcW w:w="3127" w:type="dxa"/>
            <w:tcBorders>
              <w:top w:val="single" w:sz="6" w:space="0" w:color="000000"/>
              <w:left w:val="single" w:sz="6" w:space="0" w:color="000000"/>
              <w:bottom w:val="single" w:sz="6" w:space="0" w:color="000000"/>
              <w:right w:val="single" w:sz="6" w:space="0" w:color="000000"/>
            </w:tcBorders>
          </w:tcPr>
          <w:p w14:paraId="5C82E183" w14:textId="77777777" w:rsidR="009A581E" w:rsidRPr="000A1612" w:rsidRDefault="009A581E" w:rsidP="00130E2E">
            <w:pPr>
              <w:widowControl w:val="0"/>
              <w:spacing w:after="0" w:line="240" w:lineRule="auto"/>
              <w:ind w:left="0" w:firstLine="0"/>
            </w:pPr>
            <w:r w:rsidRPr="000A1612">
              <w:t>Pacienti liečení a monitorovaní na rezistenciu</w:t>
            </w:r>
            <w:r w:rsidRPr="000A1612">
              <w:rPr>
                <w:vertAlign w:val="superscript"/>
              </w:rPr>
              <w:t>b</w:t>
            </w:r>
          </w:p>
        </w:tc>
        <w:tc>
          <w:tcPr>
            <w:tcW w:w="1265" w:type="dxa"/>
            <w:tcBorders>
              <w:top w:val="single" w:sz="6" w:space="0" w:color="000000"/>
              <w:left w:val="single" w:sz="6" w:space="0" w:color="000000"/>
              <w:bottom w:val="single" w:sz="6" w:space="0" w:color="000000"/>
              <w:right w:val="single" w:sz="6" w:space="0" w:color="000000"/>
            </w:tcBorders>
          </w:tcPr>
          <w:p w14:paraId="241248B1" w14:textId="77777777" w:rsidR="009A581E" w:rsidRPr="000A1612" w:rsidRDefault="00155775" w:rsidP="00130E2E">
            <w:pPr>
              <w:widowControl w:val="0"/>
              <w:spacing w:after="0" w:line="240" w:lineRule="auto"/>
              <w:ind w:left="0" w:right="41" w:firstLine="0"/>
              <w:jc w:val="center"/>
            </w:pPr>
            <w:r>
              <w:t>187</w:t>
            </w:r>
          </w:p>
        </w:tc>
        <w:tc>
          <w:tcPr>
            <w:tcW w:w="1207" w:type="dxa"/>
            <w:tcBorders>
              <w:top w:val="single" w:sz="6" w:space="0" w:color="000000"/>
              <w:left w:val="single" w:sz="6" w:space="0" w:color="000000"/>
              <w:bottom w:val="single" w:sz="6" w:space="0" w:color="000000"/>
              <w:right w:val="single" w:sz="6" w:space="0" w:color="000000"/>
            </w:tcBorders>
          </w:tcPr>
          <w:p w14:paraId="6C7B6991" w14:textId="77777777" w:rsidR="009A581E" w:rsidRPr="000A1612" w:rsidRDefault="00155775" w:rsidP="00130E2E">
            <w:pPr>
              <w:widowControl w:val="0"/>
              <w:spacing w:after="0" w:line="240" w:lineRule="auto"/>
              <w:ind w:left="0" w:right="36" w:firstLine="0"/>
              <w:jc w:val="center"/>
            </w:pPr>
            <w:r>
              <w:t>146</w:t>
            </w:r>
          </w:p>
        </w:tc>
        <w:tc>
          <w:tcPr>
            <w:tcW w:w="991" w:type="dxa"/>
            <w:tcBorders>
              <w:top w:val="single" w:sz="6" w:space="0" w:color="000000"/>
              <w:left w:val="single" w:sz="6" w:space="0" w:color="000000"/>
              <w:bottom w:val="single" w:sz="6" w:space="0" w:color="000000"/>
              <w:right w:val="single" w:sz="6" w:space="0" w:color="000000"/>
            </w:tcBorders>
          </w:tcPr>
          <w:p w14:paraId="558DD384" w14:textId="77777777" w:rsidR="009A581E" w:rsidRPr="000A1612" w:rsidRDefault="00155775" w:rsidP="00130E2E">
            <w:pPr>
              <w:widowControl w:val="0"/>
              <w:spacing w:after="0" w:line="240" w:lineRule="auto"/>
              <w:ind w:left="0" w:right="41" w:firstLine="0"/>
              <w:jc w:val="center"/>
            </w:pPr>
            <w:r>
              <w:t>80</w:t>
            </w:r>
          </w:p>
        </w:tc>
        <w:tc>
          <w:tcPr>
            <w:tcW w:w="986" w:type="dxa"/>
            <w:tcBorders>
              <w:top w:val="single" w:sz="6" w:space="0" w:color="000000"/>
              <w:left w:val="single" w:sz="6" w:space="0" w:color="000000"/>
              <w:bottom w:val="single" w:sz="6" w:space="0" w:color="000000"/>
              <w:right w:val="single" w:sz="6" w:space="0" w:color="000000"/>
            </w:tcBorders>
          </w:tcPr>
          <w:p w14:paraId="3CF841E6" w14:textId="77777777" w:rsidR="009A581E" w:rsidRPr="000A1612" w:rsidRDefault="00155775" w:rsidP="00130E2E">
            <w:pPr>
              <w:widowControl w:val="0"/>
              <w:spacing w:after="0" w:line="240" w:lineRule="auto"/>
              <w:ind w:left="0" w:right="36" w:firstLine="0"/>
              <w:jc w:val="center"/>
            </w:pPr>
            <w:r>
              <w:t>52</w:t>
            </w:r>
          </w:p>
        </w:tc>
        <w:tc>
          <w:tcPr>
            <w:tcW w:w="1105" w:type="dxa"/>
            <w:tcBorders>
              <w:top w:val="single" w:sz="6" w:space="0" w:color="000000"/>
              <w:left w:val="single" w:sz="6" w:space="0" w:color="000000"/>
              <w:bottom w:val="single" w:sz="6" w:space="0" w:color="000000"/>
              <w:right w:val="single" w:sz="6" w:space="0" w:color="000000"/>
            </w:tcBorders>
          </w:tcPr>
          <w:p w14:paraId="1B04F152" w14:textId="77777777" w:rsidR="009A581E" w:rsidRPr="000A1612" w:rsidRDefault="00155775" w:rsidP="00130E2E">
            <w:pPr>
              <w:widowControl w:val="0"/>
              <w:spacing w:after="0" w:line="240" w:lineRule="auto"/>
              <w:ind w:left="0" w:right="34" w:firstLine="0"/>
              <w:jc w:val="center"/>
            </w:pPr>
            <w:r>
              <w:t>33</w:t>
            </w:r>
          </w:p>
        </w:tc>
      </w:tr>
      <w:tr w:rsidR="009A581E" w:rsidRPr="000A1612" w14:paraId="6E268C76" w14:textId="77777777" w:rsidTr="00155775">
        <w:trPr>
          <w:trHeight w:val="521"/>
        </w:trPr>
        <w:tc>
          <w:tcPr>
            <w:tcW w:w="3127" w:type="dxa"/>
            <w:tcBorders>
              <w:top w:val="single" w:sz="6" w:space="0" w:color="000000"/>
              <w:left w:val="single" w:sz="6" w:space="0" w:color="000000"/>
              <w:bottom w:val="single" w:sz="6" w:space="0" w:color="000000"/>
              <w:right w:val="single" w:sz="6" w:space="0" w:color="000000"/>
            </w:tcBorders>
          </w:tcPr>
          <w:p w14:paraId="53C96CE9" w14:textId="77777777" w:rsidR="009A581E" w:rsidRPr="000A1612" w:rsidRDefault="009A581E" w:rsidP="00130E2E">
            <w:pPr>
              <w:widowControl w:val="0"/>
              <w:spacing w:after="0" w:line="240" w:lineRule="auto"/>
              <w:ind w:left="0" w:firstLine="0"/>
            </w:pPr>
            <w:r w:rsidRPr="000A1612">
              <w:rPr>
                <w:b/>
              </w:rPr>
              <w:t>Paci</w:t>
            </w:r>
            <w:r w:rsidR="00155775">
              <w:rPr>
                <w:b/>
              </w:rPr>
              <w:t>enti počas špecifického roka s:</w:t>
            </w:r>
          </w:p>
        </w:tc>
        <w:tc>
          <w:tcPr>
            <w:tcW w:w="1265" w:type="dxa"/>
            <w:tcBorders>
              <w:top w:val="single" w:sz="6" w:space="0" w:color="000000"/>
              <w:left w:val="single" w:sz="6" w:space="0" w:color="000000"/>
              <w:bottom w:val="single" w:sz="6" w:space="0" w:color="000000"/>
              <w:right w:val="single" w:sz="6" w:space="0" w:color="000000"/>
            </w:tcBorders>
          </w:tcPr>
          <w:p w14:paraId="7164037A" w14:textId="77777777" w:rsidR="009A581E" w:rsidRPr="000A1612" w:rsidRDefault="009A581E" w:rsidP="00130E2E">
            <w:pPr>
              <w:widowControl w:val="0"/>
              <w:spacing w:after="0" w:line="240" w:lineRule="auto"/>
              <w:ind w:left="0" w:firstLine="0"/>
              <w:jc w:val="center"/>
            </w:pPr>
          </w:p>
        </w:tc>
        <w:tc>
          <w:tcPr>
            <w:tcW w:w="1207" w:type="dxa"/>
            <w:tcBorders>
              <w:top w:val="single" w:sz="6" w:space="0" w:color="000000"/>
              <w:left w:val="single" w:sz="6" w:space="0" w:color="000000"/>
              <w:bottom w:val="single" w:sz="6" w:space="0" w:color="000000"/>
              <w:right w:val="single" w:sz="6" w:space="0" w:color="000000"/>
            </w:tcBorders>
          </w:tcPr>
          <w:p w14:paraId="24E6618C" w14:textId="77777777" w:rsidR="009A581E" w:rsidRPr="000A1612" w:rsidRDefault="009A581E" w:rsidP="00130E2E">
            <w:pPr>
              <w:widowControl w:val="0"/>
              <w:spacing w:after="0" w:line="240" w:lineRule="auto"/>
              <w:ind w:left="0" w:firstLine="0"/>
              <w:jc w:val="center"/>
            </w:pPr>
          </w:p>
        </w:tc>
        <w:tc>
          <w:tcPr>
            <w:tcW w:w="991" w:type="dxa"/>
            <w:tcBorders>
              <w:top w:val="single" w:sz="6" w:space="0" w:color="000000"/>
              <w:left w:val="single" w:sz="6" w:space="0" w:color="000000"/>
              <w:bottom w:val="single" w:sz="6" w:space="0" w:color="000000"/>
              <w:right w:val="single" w:sz="6" w:space="0" w:color="000000"/>
            </w:tcBorders>
          </w:tcPr>
          <w:p w14:paraId="35390603" w14:textId="77777777" w:rsidR="009A581E" w:rsidRPr="000A1612" w:rsidRDefault="009A581E" w:rsidP="00130E2E">
            <w:pPr>
              <w:widowControl w:val="0"/>
              <w:spacing w:after="0" w:line="240" w:lineRule="auto"/>
              <w:ind w:left="0" w:firstLine="0"/>
              <w:jc w:val="center"/>
            </w:pPr>
          </w:p>
        </w:tc>
        <w:tc>
          <w:tcPr>
            <w:tcW w:w="986" w:type="dxa"/>
            <w:tcBorders>
              <w:top w:val="single" w:sz="6" w:space="0" w:color="000000"/>
              <w:left w:val="single" w:sz="6" w:space="0" w:color="000000"/>
              <w:bottom w:val="single" w:sz="6" w:space="0" w:color="000000"/>
              <w:right w:val="single" w:sz="6" w:space="0" w:color="000000"/>
            </w:tcBorders>
          </w:tcPr>
          <w:p w14:paraId="67A865DF" w14:textId="77777777" w:rsidR="009A581E" w:rsidRPr="000A1612" w:rsidRDefault="009A581E" w:rsidP="00130E2E">
            <w:pPr>
              <w:widowControl w:val="0"/>
              <w:spacing w:after="0" w:line="240" w:lineRule="auto"/>
              <w:ind w:left="0" w:firstLine="0"/>
              <w:jc w:val="center"/>
            </w:pPr>
          </w:p>
        </w:tc>
        <w:tc>
          <w:tcPr>
            <w:tcW w:w="1105" w:type="dxa"/>
            <w:tcBorders>
              <w:top w:val="single" w:sz="6" w:space="0" w:color="000000"/>
              <w:left w:val="single" w:sz="6" w:space="0" w:color="000000"/>
              <w:bottom w:val="single" w:sz="6" w:space="0" w:color="000000"/>
              <w:right w:val="single" w:sz="6" w:space="0" w:color="000000"/>
            </w:tcBorders>
          </w:tcPr>
          <w:p w14:paraId="42591279" w14:textId="77777777" w:rsidR="009A581E" w:rsidRPr="000A1612" w:rsidRDefault="009A581E" w:rsidP="00130E2E">
            <w:pPr>
              <w:widowControl w:val="0"/>
              <w:spacing w:after="0" w:line="240" w:lineRule="auto"/>
              <w:ind w:left="0" w:firstLine="0"/>
              <w:jc w:val="center"/>
            </w:pPr>
          </w:p>
        </w:tc>
      </w:tr>
      <w:tr w:rsidR="009A581E" w:rsidRPr="000A1612" w14:paraId="6075ADE1" w14:textId="77777777" w:rsidTr="00155775">
        <w:trPr>
          <w:trHeight w:val="590"/>
        </w:trPr>
        <w:tc>
          <w:tcPr>
            <w:tcW w:w="3127" w:type="dxa"/>
            <w:tcBorders>
              <w:top w:val="single" w:sz="6" w:space="0" w:color="000000"/>
              <w:left w:val="single" w:sz="6" w:space="0" w:color="000000"/>
              <w:bottom w:val="single" w:sz="6" w:space="0" w:color="000000"/>
              <w:right w:val="single" w:sz="6" w:space="0" w:color="000000"/>
            </w:tcBorders>
          </w:tcPr>
          <w:p w14:paraId="57E78945" w14:textId="77777777" w:rsidR="009A581E" w:rsidRPr="000A1612" w:rsidRDefault="009A581E" w:rsidP="00130E2E">
            <w:pPr>
              <w:widowControl w:val="0"/>
              <w:tabs>
                <w:tab w:val="center" w:pos="1586"/>
              </w:tabs>
              <w:spacing w:after="0" w:line="240" w:lineRule="auto"/>
              <w:ind w:left="0" w:firstLine="0"/>
            </w:pPr>
            <w:r w:rsidRPr="000A1612">
              <w:lastRenderedPageBreak/>
              <w:t xml:space="preserve">- rozvinutá genotypová </w:t>
            </w:r>
          </w:p>
          <w:p w14:paraId="688A0663" w14:textId="77777777" w:rsidR="009A581E" w:rsidRPr="000A1612" w:rsidRDefault="009A581E" w:rsidP="00130E2E">
            <w:pPr>
              <w:widowControl w:val="0"/>
              <w:spacing w:after="0" w:line="240" w:lineRule="auto"/>
              <w:ind w:left="0" w:firstLine="0"/>
            </w:pPr>
            <w:r w:rsidRPr="000A1612">
              <w:t>ETVr</w:t>
            </w:r>
            <w:r w:rsidRPr="000A1612">
              <w:rPr>
                <w:vertAlign w:val="superscript"/>
              </w:rPr>
              <w:t xml:space="preserve">c </w:t>
            </w:r>
          </w:p>
        </w:tc>
        <w:tc>
          <w:tcPr>
            <w:tcW w:w="1265" w:type="dxa"/>
            <w:tcBorders>
              <w:top w:val="single" w:sz="6" w:space="0" w:color="000000"/>
              <w:left w:val="single" w:sz="6" w:space="0" w:color="000000"/>
              <w:bottom w:val="single" w:sz="6" w:space="0" w:color="000000"/>
              <w:right w:val="single" w:sz="6" w:space="0" w:color="000000"/>
            </w:tcBorders>
          </w:tcPr>
          <w:p w14:paraId="1223FA81" w14:textId="77777777" w:rsidR="009A581E" w:rsidRPr="000A1612" w:rsidRDefault="00155775" w:rsidP="00130E2E">
            <w:pPr>
              <w:widowControl w:val="0"/>
              <w:spacing w:after="0" w:line="240" w:lineRule="auto"/>
              <w:ind w:left="0" w:right="41" w:firstLine="0"/>
              <w:jc w:val="center"/>
            </w:pPr>
            <w:r>
              <w:t>11</w:t>
            </w:r>
          </w:p>
        </w:tc>
        <w:tc>
          <w:tcPr>
            <w:tcW w:w="1207" w:type="dxa"/>
            <w:tcBorders>
              <w:top w:val="single" w:sz="6" w:space="0" w:color="000000"/>
              <w:left w:val="single" w:sz="6" w:space="0" w:color="000000"/>
              <w:bottom w:val="single" w:sz="6" w:space="0" w:color="000000"/>
              <w:right w:val="single" w:sz="6" w:space="0" w:color="000000"/>
            </w:tcBorders>
          </w:tcPr>
          <w:p w14:paraId="094DE7FB" w14:textId="77777777" w:rsidR="009A581E" w:rsidRPr="000A1612" w:rsidRDefault="00155775" w:rsidP="00130E2E">
            <w:pPr>
              <w:widowControl w:val="0"/>
              <w:spacing w:after="0" w:line="240" w:lineRule="auto"/>
              <w:ind w:left="0" w:right="36" w:firstLine="0"/>
              <w:jc w:val="center"/>
            </w:pPr>
            <w:r>
              <w:t>12</w:t>
            </w:r>
          </w:p>
        </w:tc>
        <w:tc>
          <w:tcPr>
            <w:tcW w:w="991" w:type="dxa"/>
            <w:tcBorders>
              <w:top w:val="single" w:sz="6" w:space="0" w:color="000000"/>
              <w:left w:val="single" w:sz="6" w:space="0" w:color="000000"/>
              <w:bottom w:val="single" w:sz="6" w:space="0" w:color="000000"/>
              <w:right w:val="single" w:sz="6" w:space="0" w:color="000000"/>
            </w:tcBorders>
          </w:tcPr>
          <w:p w14:paraId="0CC935BE" w14:textId="77777777" w:rsidR="009A581E" w:rsidRPr="000A1612" w:rsidRDefault="00155775" w:rsidP="00130E2E">
            <w:pPr>
              <w:widowControl w:val="0"/>
              <w:spacing w:after="0" w:line="240" w:lineRule="auto"/>
              <w:ind w:left="0" w:right="41" w:firstLine="0"/>
              <w:jc w:val="center"/>
            </w:pPr>
            <w:r>
              <w:t>16</w:t>
            </w:r>
          </w:p>
        </w:tc>
        <w:tc>
          <w:tcPr>
            <w:tcW w:w="986" w:type="dxa"/>
            <w:tcBorders>
              <w:top w:val="single" w:sz="6" w:space="0" w:color="000000"/>
              <w:left w:val="single" w:sz="6" w:space="0" w:color="000000"/>
              <w:bottom w:val="single" w:sz="6" w:space="0" w:color="000000"/>
              <w:right w:val="single" w:sz="6" w:space="0" w:color="000000"/>
            </w:tcBorders>
          </w:tcPr>
          <w:p w14:paraId="1E1F7E49" w14:textId="77777777" w:rsidR="009A581E" w:rsidRPr="000A1612" w:rsidRDefault="00155775" w:rsidP="00130E2E">
            <w:pPr>
              <w:widowControl w:val="0"/>
              <w:spacing w:after="0" w:line="240" w:lineRule="auto"/>
              <w:ind w:left="0" w:right="36" w:firstLine="0"/>
              <w:jc w:val="center"/>
            </w:pPr>
            <w:r>
              <w:t>6</w:t>
            </w:r>
          </w:p>
        </w:tc>
        <w:tc>
          <w:tcPr>
            <w:tcW w:w="1105" w:type="dxa"/>
            <w:tcBorders>
              <w:top w:val="single" w:sz="6" w:space="0" w:color="000000"/>
              <w:left w:val="single" w:sz="6" w:space="0" w:color="000000"/>
              <w:bottom w:val="single" w:sz="6" w:space="0" w:color="000000"/>
              <w:right w:val="single" w:sz="6" w:space="0" w:color="000000"/>
            </w:tcBorders>
          </w:tcPr>
          <w:p w14:paraId="393C7C34" w14:textId="77777777" w:rsidR="009A581E" w:rsidRPr="000A1612" w:rsidRDefault="00155775" w:rsidP="00130E2E">
            <w:pPr>
              <w:widowControl w:val="0"/>
              <w:spacing w:after="0" w:line="240" w:lineRule="auto"/>
              <w:ind w:left="0" w:right="34" w:firstLine="0"/>
              <w:jc w:val="center"/>
            </w:pPr>
            <w:r>
              <w:t>2</w:t>
            </w:r>
          </w:p>
        </w:tc>
      </w:tr>
      <w:tr w:rsidR="009A581E" w:rsidRPr="000A1612" w14:paraId="414DB6BE" w14:textId="77777777" w:rsidTr="00155775">
        <w:trPr>
          <w:trHeight w:val="658"/>
        </w:trPr>
        <w:tc>
          <w:tcPr>
            <w:tcW w:w="3127" w:type="dxa"/>
            <w:tcBorders>
              <w:top w:val="single" w:sz="6" w:space="0" w:color="000000"/>
              <w:left w:val="single" w:sz="6" w:space="0" w:color="000000"/>
              <w:bottom w:val="single" w:sz="6" w:space="0" w:color="000000"/>
              <w:right w:val="single" w:sz="6" w:space="0" w:color="000000"/>
            </w:tcBorders>
          </w:tcPr>
          <w:p w14:paraId="1D9C8C86" w14:textId="77777777" w:rsidR="009A581E" w:rsidRPr="000A1612" w:rsidRDefault="009A581E" w:rsidP="00155775">
            <w:pPr>
              <w:widowControl w:val="0"/>
              <w:spacing w:after="0" w:line="240" w:lineRule="auto"/>
              <w:ind w:left="0" w:firstLine="0"/>
            </w:pPr>
            <w:r w:rsidRPr="000A1612">
              <w:t>- genotypová ETVr</w:t>
            </w:r>
            <w:r w:rsidRPr="000A1612">
              <w:rPr>
                <w:vertAlign w:val="superscript"/>
              </w:rPr>
              <w:t xml:space="preserve">c </w:t>
            </w:r>
            <w:r w:rsidRPr="000A1612">
              <w:t>s virologickým prienikom</w:t>
            </w:r>
            <w:r w:rsidRPr="000A1612">
              <w:rPr>
                <w:vertAlign w:val="superscript"/>
              </w:rPr>
              <w:t>d</w:t>
            </w:r>
          </w:p>
        </w:tc>
        <w:tc>
          <w:tcPr>
            <w:tcW w:w="1265" w:type="dxa"/>
            <w:tcBorders>
              <w:top w:val="single" w:sz="6" w:space="0" w:color="000000"/>
              <w:left w:val="single" w:sz="6" w:space="0" w:color="000000"/>
              <w:bottom w:val="single" w:sz="6" w:space="0" w:color="000000"/>
              <w:right w:val="single" w:sz="6" w:space="0" w:color="000000"/>
            </w:tcBorders>
          </w:tcPr>
          <w:p w14:paraId="19C7A6DB" w14:textId="77777777" w:rsidR="009A581E" w:rsidRPr="000A1612" w:rsidRDefault="009A581E" w:rsidP="00155775">
            <w:pPr>
              <w:widowControl w:val="0"/>
              <w:spacing w:after="0" w:line="240" w:lineRule="auto"/>
              <w:ind w:left="0" w:right="38" w:firstLine="0"/>
              <w:jc w:val="center"/>
            </w:pPr>
            <w:r w:rsidRPr="000A1612">
              <w:t>2</w:t>
            </w:r>
            <w:r w:rsidRPr="000A1612">
              <w:rPr>
                <w:vertAlign w:val="superscript"/>
              </w:rPr>
              <w:t>e</w:t>
            </w:r>
            <w:r w:rsidRPr="000A1612">
              <w:t xml:space="preserve"> </w:t>
            </w:r>
          </w:p>
        </w:tc>
        <w:tc>
          <w:tcPr>
            <w:tcW w:w="1207" w:type="dxa"/>
            <w:tcBorders>
              <w:top w:val="single" w:sz="6" w:space="0" w:color="000000"/>
              <w:left w:val="single" w:sz="6" w:space="0" w:color="000000"/>
              <w:bottom w:val="single" w:sz="6" w:space="0" w:color="000000"/>
              <w:right w:val="single" w:sz="6" w:space="0" w:color="000000"/>
            </w:tcBorders>
          </w:tcPr>
          <w:p w14:paraId="1B58DF8D" w14:textId="77777777" w:rsidR="009A581E" w:rsidRPr="000A1612" w:rsidRDefault="009A581E" w:rsidP="00130E2E">
            <w:pPr>
              <w:widowControl w:val="0"/>
              <w:spacing w:after="0" w:line="240" w:lineRule="auto"/>
              <w:ind w:left="0" w:right="38" w:firstLine="0"/>
              <w:jc w:val="center"/>
            </w:pPr>
            <w:r w:rsidRPr="000A1612">
              <w:t>14</w:t>
            </w:r>
            <w:r w:rsidRPr="000A1612">
              <w:rPr>
                <w:vertAlign w:val="superscript"/>
              </w:rPr>
              <w:t>e</w:t>
            </w:r>
          </w:p>
        </w:tc>
        <w:tc>
          <w:tcPr>
            <w:tcW w:w="991" w:type="dxa"/>
            <w:tcBorders>
              <w:top w:val="single" w:sz="6" w:space="0" w:color="000000"/>
              <w:left w:val="single" w:sz="6" w:space="0" w:color="000000"/>
              <w:bottom w:val="single" w:sz="6" w:space="0" w:color="000000"/>
              <w:right w:val="single" w:sz="6" w:space="0" w:color="000000"/>
            </w:tcBorders>
          </w:tcPr>
          <w:p w14:paraId="3B84DC58" w14:textId="77777777" w:rsidR="009A581E" w:rsidRPr="000A1612" w:rsidRDefault="009A581E" w:rsidP="00130E2E">
            <w:pPr>
              <w:widowControl w:val="0"/>
              <w:spacing w:after="0" w:line="240" w:lineRule="auto"/>
              <w:ind w:left="0" w:right="38" w:firstLine="0"/>
              <w:jc w:val="center"/>
            </w:pPr>
            <w:r w:rsidRPr="000A1612">
              <w:t>13</w:t>
            </w:r>
            <w:r w:rsidRPr="000A1612">
              <w:rPr>
                <w:vertAlign w:val="superscript"/>
              </w:rPr>
              <w:t>e</w:t>
            </w:r>
          </w:p>
        </w:tc>
        <w:tc>
          <w:tcPr>
            <w:tcW w:w="986" w:type="dxa"/>
            <w:tcBorders>
              <w:top w:val="single" w:sz="6" w:space="0" w:color="000000"/>
              <w:left w:val="single" w:sz="6" w:space="0" w:color="000000"/>
              <w:bottom w:val="single" w:sz="6" w:space="0" w:color="000000"/>
              <w:right w:val="single" w:sz="6" w:space="0" w:color="000000"/>
            </w:tcBorders>
          </w:tcPr>
          <w:p w14:paraId="7305F7AE" w14:textId="77777777" w:rsidR="009A581E" w:rsidRPr="000A1612" w:rsidRDefault="009A581E" w:rsidP="00130E2E">
            <w:pPr>
              <w:widowControl w:val="0"/>
              <w:spacing w:after="0" w:line="240" w:lineRule="auto"/>
              <w:ind w:left="0" w:right="38" w:firstLine="0"/>
              <w:jc w:val="center"/>
            </w:pPr>
            <w:r w:rsidRPr="000A1612">
              <w:t>9</w:t>
            </w:r>
            <w:r w:rsidRPr="000A1612">
              <w:rPr>
                <w:vertAlign w:val="superscript"/>
              </w:rPr>
              <w:t>e</w:t>
            </w:r>
          </w:p>
        </w:tc>
        <w:tc>
          <w:tcPr>
            <w:tcW w:w="1105" w:type="dxa"/>
            <w:tcBorders>
              <w:top w:val="single" w:sz="6" w:space="0" w:color="000000"/>
              <w:left w:val="single" w:sz="6" w:space="0" w:color="000000"/>
              <w:bottom w:val="single" w:sz="6" w:space="0" w:color="000000"/>
              <w:right w:val="single" w:sz="6" w:space="0" w:color="000000"/>
            </w:tcBorders>
          </w:tcPr>
          <w:p w14:paraId="46FBB4A3" w14:textId="77777777" w:rsidR="009A581E" w:rsidRPr="000A1612" w:rsidRDefault="009A581E" w:rsidP="00130E2E">
            <w:pPr>
              <w:widowControl w:val="0"/>
              <w:spacing w:after="0" w:line="240" w:lineRule="auto"/>
              <w:ind w:left="0" w:right="35" w:firstLine="0"/>
              <w:jc w:val="center"/>
            </w:pPr>
            <w:r w:rsidRPr="000A1612">
              <w:t>1</w:t>
            </w:r>
            <w:r w:rsidRPr="000A1612">
              <w:rPr>
                <w:vertAlign w:val="superscript"/>
              </w:rPr>
              <w:t>e</w:t>
            </w:r>
          </w:p>
        </w:tc>
      </w:tr>
      <w:tr w:rsidR="009A581E" w:rsidRPr="000A1612" w14:paraId="1DEF3152" w14:textId="77777777" w:rsidTr="00155775">
        <w:trPr>
          <w:trHeight w:val="521"/>
        </w:trPr>
        <w:tc>
          <w:tcPr>
            <w:tcW w:w="3127" w:type="dxa"/>
            <w:tcBorders>
              <w:top w:val="single" w:sz="6" w:space="0" w:color="000000"/>
              <w:left w:val="single" w:sz="6" w:space="0" w:color="000000"/>
              <w:bottom w:val="single" w:sz="6" w:space="0" w:color="000000"/>
              <w:right w:val="single" w:sz="6" w:space="0" w:color="000000"/>
            </w:tcBorders>
          </w:tcPr>
          <w:p w14:paraId="5D687595" w14:textId="77777777" w:rsidR="009A581E" w:rsidRPr="000A1612" w:rsidRDefault="009A581E" w:rsidP="00130E2E">
            <w:pPr>
              <w:widowControl w:val="0"/>
              <w:spacing w:after="0" w:line="240" w:lineRule="auto"/>
              <w:ind w:left="0" w:firstLine="0"/>
            </w:pPr>
            <w:r w:rsidRPr="000A1612">
              <w:rPr>
                <w:b/>
              </w:rPr>
              <w:t>Kumulatívna pravdepodobnosť</w:t>
            </w:r>
            <w:r w:rsidR="00155775">
              <w:t>:</w:t>
            </w:r>
          </w:p>
        </w:tc>
        <w:tc>
          <w:tcPr>
            <w:tcW w:w="1265" w:type="dxa"/>
            <w:tcBorders>
              <w:top w:val="single" w:sz="6" w:space="0" w:color="000000"/>
              <w:left w:val="single" w:sz="6" w:space="0" w:color="000000"/>
              <w:bottom w:val="single" w:sz="6" w:space="0" w:color="000000"/>
              <w:right w:val="single" w:sz="6" w:space="0" w:color="000000"/>
            </w:tcBorders>
          </w:tcPr>
          <w:p w14:paraId="0B73B7D0" w14:textId="77777777" w:rsidR="009A581E" w:rsidRPr="000A1612" w:rsidRDefault="009A581E" w:rsidP="00130E2E">
            <w:pPr>
              <w:widowControl w:val="0"/>
              <w:spacing w:after="0" w:line="240" w:lineRule="auto"/>
              <w:ind w:left="0" w:firstLine="0"/>
              <w:jc w:val="center"/>
            </w:pPr>
          </w:p>
        </w:tc>
        <w:tc>
          <w:tcPr>
            <w:tcW w:w="1207" w:type="dxa"/>
            <w:tcBorders>
              <w:top w:val="single" w:sz="6" w:space="0" w:color="000000"/>
              <w:left w:val="single" w:sz="6" w:space="0" w:color="000000"/>
              <w:bottom w:val="single" w:sz="6" w:space="0" w:color="000000"/>
              <w:right w:val="single" w:sz="6" w:space="0" w:color="000000"/>
            </w:tcBorders>
          </w:tcPr>
          <w:p w14:paraId="715F6281" w14:textId="77777777" w:rsidR="009A581E" w:rsidRPr="000A1612" w:rsidRDefault="009A581E" w:rsidP="00130E2E">
            <w:pPr>
              <w:widowControl w:val="0"/>
              <w:spacing w:after="0" w:line="240" w:lineRule="auto"/>
              <w:ind w:left="0" w:firstLine="0"/>
              <w:jc w:val="center"/>
            </w:pPr>
          </w:p>
        </w:tc>
        <w:tc>
          <w:tcPr>
            <w:tcW w:w="991" w:type="dxa"/>
            <w:tcBorders>
              <w:top w:val="single" w:sz="6" w:space="0" w:color="000000"/>
              <w:left w:val="single" w:sz="6" w:space="0" w:color="000000"/>
              <w:bottom w:val="single" w:sz="6" w:space="0" w:color="000000"/>
              <w:right w:val="single" w:sz="6" w:space="0" w:color="000000"/>
            </w:tcBorders>
          </w:tcPr>
          <w:p w14:paraId="7352D4B0" w14:textId="77777777" w:rsidR="009A581E" w:rsidRPr="000A1612" w:rsidRDefault="009A581E" w:rsidP="00130E2E">
            <w:pPr>
              <w:widowControl w:val="0"/>
              <w:spacing w:after="0" w:line="240" w:lineRule="auto"/>
              <w:ind w:left="0" w:firstLine="0"/>
              <w:jc w:val="center"/>
            </w:pPr>
          </w:p>
        </w:tc>
        <w:tc>
          <w:tcPr>
            <w:tcW w:w="986" w:type="dxa"/>
            <w:tcBorders>
              <w:top w:val="single" w:sz="6" w:space="0" w:color="000000"/>
              <w:left w:val="single" w:sz="6" w:space="0" w:color="000000"/>
              <w:bottom w:val="single" w:sz="6" w:space="0" w:color="000000"/>
              <w:right w:val="single" w:sz="6" w:space="0" w:color="000000"/>
            </w:tcBorders>
          </w:tcPr>
          <w:p w14:paraId="4BB65E72" w14:textId="77777777" w:rsidR="009A581E" w:rsidRPr="000A1612" w:rsidRDefault="009A581E" w:rsidP="00130E2E">
            <w:pPr>
              <w:widowControl w:val="0"/>
              <w:spacing w:after="0" w:line="240" w:lineRule="auto"/>
              <w:ind w:left="0" w:firstLine="0"/>
              <w:jc w:val="center"/>
            </w:pPr>
          </w:p>
        </w:tc>
        <w:tc>
          <w:tcPr>
            <w:tcW w:w="1105" w:type="dxa"/>
            <w:tcBorders>
              <w:top w:val="single" w:sz="6" w:space="0" w:color="000000"/>
              <w:left w:val="single" w:sz="6" w:space="0" w:color="000000"/>
              <w:bottom w:val="single" w:sz="6" w:space="0" w:color="000000"/>
              <w:right w:val="single" w:sz="6" w:space="0" w:color="000000"/>
            </w:tcBorders>
          </w:tcPr>
          <w:p w14:paraId="2E5214A8" w14:textId="77777777" w:rsidR="009A581E" w:rsidRPr="000A1612" w:rsidRDefault="009A581E" w:rsidP="00130E2E">
            <w:pPr>
              <w:widowControl w:val="0"/>
              <w:spacing w:after="0" w:line="240" w:lineRule="auto"/>
              <w:ind w:left="0" w:firstLine="0"/>
              <w:jc w:val="center"/>
            </w:pPr>
          </w:p>
        </w:tc>
      </w:tr>
      <w:tr w:rsidR="009A581E" w:rsidRPr="000A1612" w14:paraId="514ACBEB" w14:textId="77777777" w:rsidTr="00155775">
        <w:trPr>
          <w:trHeight w:val="590"/>
        </w:trPr>
        <w:tc>
          <w:tcPr>
            <w:tcW w:w="3127" w:type="dxa"/>
            <w:tcBorders>
              <w:top w:val="single" w:sz="6" w:space="0" w:color="000000"/>
              <w:left w:val="single" w:sz="6" w:space="0" w:color="000000"/>
              <w:bottom w:val="single" w:sz="6" w:space="0" w:color="000000"/>
              <w:right w:val="single" w:sz="6" w:space="0" w:color="000000"/>
            </w:tcBorders>
          </w:tcPr>
          <w:p w14:paraId="7C43EAC8" w14:textId="77777777" w:rsidR="009A581E" w:rsidRPr="000A1612" w:rsidRDefault="009A581E" w:rsidP="00155775">
            <w:pPr>
              <w:widowControl w:val="0"/>
              <w:tabs>
                <w:tab w:val="center" w:pos="1586"/>
              </w:tabs>
              <w:spacing w:after="0" w:line="240" w:lineRule="auto"/>
              <w:ind w:left="0" w:firstLine="0"/>
            </w:pPr>
            <w:r w:rsidRPr="000A1612">
              <w:t>- rozvinutá genotypová ETVr</w:t>
            </w:r>
            <w:r w:rsidRPr="000A1612">
              <w:rPr>
                <w:vertAlign w:val="superscript"/>
              </w:rPr>
              <w:t>c</w:t>
            </w:r>
          </w:p>
        </w:tc>
        <w:tc>
          <w:tcPr>
            <w:tcW w:w="1265" w:type="dxa"/>
            <w:tcBorders>
              <w:top w:val="single" w:sz="6" w:space="0" w:color="000000"/>
              <w:left w:val="single" w:sz="6" w:space="0" w:color="000000"/>
              <w:bottom w:val="single" w:sz="6" w:space="0" w:color="000000"/>
              <w:right w:val="single" w:sz="6" w:space="0" w:color="000000"/>
            </w:tcBorders>
          </w:tcPr>
          <w:p w14:paraId="5492EC3F" w14:textId="77777777" w:rsidR="009A581E" w:rsidRPr="000A1612" w:rsidRDefault="009A581E" w:rsidP="00130E2E">
            <w:pPr>
              <w:widowControl w:val="0"/>
              <w:spacing w:after="0" w:line="240" w:lineRule="auto"/>
              <w:ind w:left="0" w:right="39" w:firstLine="0"/>
              <w:jc w:val="center"/>
            </w:pPr>
            <w:r w:rsidRPr="000A1612">
              <w:t>6</w:t>
            </w:r>
            <w:r w:rsidR="00155775">
              <w:t>,2 %</w:t>
            </w:r>
          </w:p>
        </w:tc>
        <w:tc>
          <w:tcPr>
            <w:tcW w:w="1207" w:type="dxa"/>
            <w:tcBorders>
              <w:top w:val="single" w:sz="6" w:space="0" w:color="000000"/>
              <w:left w:val="single" w:sz="6" w:space="0" w:color="000000"/>
              <w:bottom w:val="single" w:sz="6" w:space="0" w:color="000000"/>
              <w:right w:val="single" w:sz="6" w:space="0" w:color="000000"/>
            </w:tcBorders>
          </w:tcPr>
          <w:p w14:paraId="237E14D0" w14:textId="77777777" w:rsidR="009A581E" w:rsidRPr="000A1612" w:rsidRDefault="00155775" w:rsidP="00130E2E">
            <w:pPr>
              <w:widowControl w:val="0"/>
              <w:spacing w:after="0" w:line="240" w:lineRule="auto"/>
              <w:ind w:left="0" w:right="37" w:firstLine="0"/>
              <w:jc w:val="center"/>
            </w:pPr>
            <w:r>
              <w:t>15 %</w:t>
            </w:r>
          </w:p>
        </w:tc>
        <w:tc>
          <w:tcPr>
            <w:tcW w:w="991" w:type="dxa"/>
            <w:tcBorders>
              <w:top w:val="single" w:sz="6" w:space="0" w:color="000000"/>
              <w:left w:val="single" w:sz="6" w:space="0" w:color="000000"/>
              <w:bottom w:val="single" w:sz="6" w:space="0" w:color="000000"/>
              <w:right w:val="single" w:sz="6" w:space="0" w:color="000000"/>
            </w:tcBorders>
          </w:tcPr>
          <w:p w14:paraId="36F146EE" w14:textId="77777777" w:rsidR="009A581E" w:rsidRPr="000A1612" w:rsidRDefault="00155775" w:rsidP="00130E2E">
            <w:pPr>
              <w:widowControl w:val="0"/>
              <w:spacing w:after="0" w:line="240" w:lineRule="auto"/>
              <w:ind w:left="0" w:firstLine="0"/>
            </w:pPr>
            <w:r>
              <w:t>36,3 %</w:t>
            </w:r>
          </w:p>
        </w:tc>
        <w:tc>
          <w:tcPr>
            <w:tcW w:w="986" w:type="dxa"/>
            <w:tcBorders>
              <w:top w:val="single" w:sz="6" w:space="0" w:color="000000"/>
              <w:left w:val="single" w:sz="6" w:space="0" w:color="000000"/>
              <w:bottom w:val="single" w:sz="6" w:space="0" w:color="000000"/>
              <w:right w:val="single" w:sz="6" w:space="0" w:color="000000"/>
            </w:tcBorders>
          </w:tcPr>
          <w:p w14:paraId="613AEA5B" w14:textId="77777777" w:rsidR="009A581E" w:rsidRPr="000A1612" w:rsidRDefault="00155775" w:rsidP="00130E2E">
            <w:pPr>
              <w:widowControl w:val="0"/>
              <w:spacing w:after="0" w:line="240" w:lineRule="auto"/>
              <w:ind w:left="0" w:firstLine="0"/>
            </w:pPr>
            <w:r>
              <w:t>46,6 %</w:t>
            </w:r>
          </w:p>
        </w:tc>
        <w:tc>
          <w:tcPr>
            <w:tcW w:w="1105" w:type="dxa"/>
            <w:tcBorders>
              <w:top w:val="single" w:sz="6" w:space="0" w:color="000000"/>
              <w:left w:val="single" w:sz="6" w:space="0" w:color="000000"/>
              <w:bottom w:val="single" w:sz="6" w:space="0" w:color="000000"/>
              <w:right w:val="single" w:sz="6" w:space="0" w:color="000000"/>
            </w:tcBorders>
          </w:tcPr>
          <w:p w14:paraId="2C3D935B" w14:textId="77777777" w:rsidR="009A581E" w:rsidRPr="000A1612" w:rsidRDefault="00155775" w:rsidP="00130E2E">
            <w:pPr>
              <w:widowControl w:val="0"/>
              <w:spacing w:after="0" w:line="240" w:lineRule="auto"/>
              <w:ind w:left="0" w:firstLine="0"/>
            </w:pPr>
            <w:r>
              <w:t>51,45 %</w:t>
            </w:r>
          </w:p>
        </w:tc>
      </w:tr>
      <w:tr w:rsidR="009A581E" w:rsidRPr="000A1612" w14:paraId="05171BED" w14:textId="77777777" w:rsidTr="00155775">
        <w:trPr>
          <w:trHeight w:val="660"/>
        </w:trPr>
        <w:tc>
          <w:tcPr>
            <w:tcW w:w="3127" w:type="dxa"/>
            <w:tcBorders>
              <w:top w:val="single" w:sz="6" w:space="0" w:color="000000"/>
              <w:left w:val="single" w:sz="6" w:space="0" w:color="000000"/>
              <w:bottom w:val="single" w:sz="6" w:space="0" w:color="000000"/>
              <w:right w:val="single" w:sz="6" w:space="0" w:color="000000"/>
            </w:tcBorders>
          </w:tcPr>
          <w:p w14:paraId="3D7DE99C" w14:textId="77777777" w:rsidR="009A581E" w:rsidRPr="000A1612" w:rsidRDefault="009A581E" w:rsidP="00155775">
            <w:pPr>
              <w:widowControl w:val="0"/>
              <w:spacing w:after="0" w:line="240" w:lineRule="auto"/>
              <w:ind w:left="0" w:firstLine="0"/>
            </w:pPr>
            <w:r w:rsidRPr="000A1612">
              <w:t>- genotypová ETVr</w:t>
            </w:r>
            <w:r w:rsidRPr="000A1612">
              <w:rPr>
                <w:vertAlign w:val="superscript"/>
              </w:rPr>
              <w:t>c</w:t>
            </w:r>
            <w:r w:rsidRPr="000A1612">
              <w:t xml:space="preserve"> s virologickým prienikom</w:t>
            </w:r>
            <w:r w:rsidRPr="000A1612">
              <w:rPr>
                <w:vertAlign w:val="superscript"/>
              </w:rPr>
              <w:t>d</w:t>
            </w:r>
          </w:p>
        </w:tc>
        <w:tc>
          <w:tcPr>
            <w:tcW w:w="1265" w:type="dxa"/>
            <w:tcBorders>
              <w:top w:val="single" w:sz="6" w:space="0" w:color="000000"/>
              <w:left w:val="single" w:sz="6" w:space="0" w:color="000000"/>
              <w:bottom w:val="single" w:sz="6" w:space="0" w:color="000000"/>
              <w:right w:val="single" w:sz="6" w:space="0" w:color="000000"/>
            </w:tcBorders>
          </w:tcPr>
          <w:p w14:paraId="2277ED73" w14:textId="77777777" w:rsidR="009A581E" w:rsidRPr="000A1612" w:rsidRDefault="009A581E" w:rsidP="00130E2E">
            <w:pPr>
              <w:widowControl w:val="0"/>
              <w:spacing w:after="0" w:line="240" w:lineRule="auto"/>
              <w:ind w:left="0" w:right="38" w:firstLine="0"/>
              <w:jc w:val="center"/>
            </w:pPr>
            <w:r w:rsidRPr="000A1612">
              <w:t xml:space="preserve">1,1 % </w:t>
            </w:r>
            <w:r w:rsidRPr="000A1612">
              <w:rPr>
                <w:vertAlign w:val="superscript"/>
              </w:rPr>
              <w:t>e</w:t>
            </w:r>
          </w:p>
        </w:tc>
        <w:tc>
          <w:tcPr>
            <w:tcW w:w="1207" w:type="dxa"/>
            <w:tcBorders>
              <w:top w:val="single" w:sz="6" w:space="0" w:color="000000"/>
              <w:left w:val="single" w:sz="6" w:space="0" w:color="000000"/>
              <w:bottom w:val="single" w:sz="6" w:space="0" w:color="000000"/>
              <w:right w:val="single" w:sz="6" w:space="0" w:color="000000"/>
            </w:tcBorders>
          </w:tcPr>
          <w:p w14:paraId="6DDD1E34" w14:textId="77777777" w:rsidR="009A581E" w:rsidRPr="000A1612" w:rsidRDefault="009A581E" w:rsidP="00130E2E">
            <w:pPr>
              <w:widowControl w:val="0"/>
              <w:spacing w:after="0" w:line="240" w:lineRule="auto"/>
              <w:ind w:left="0" w:right="38" w:firstLine="0"/>
              <w:jc w:val="center"/>
            </w:pPr>
            <w:r w:rsidRPr="000A1612">
              <w:t xml:space="preserve">10,7 % </w:t>
            </w:r>
            <w:r w:rsidRPr="000A1612">
              <w:rPr>
                <w:vertAlign w:val="superscript"/>
              </w:rPr>
              <w:t>e</w:t>
            </w:r>
          </w:p>
        </w:tc>
        <w:tc>
          <w:tcPr>
            <w:tcW w:w="991" w:type="dxa"/>
            <w:tcBorders>
              <w:top w:val="single" w:sz="6" w:space="0" w:color="000000"/>
              <w:left w:val="single" w:sz="6" w:space="0" w:color="000000"/>
              <w:bottom w:val="single" w:sz="6" w:space="0" w:color="000000"/>
              <w:right w:val="single" w:sz="6" w:space="0" w:color="000000"/>
            </w:tcBorders>
          </w:tcPr>
          <w:p w14:paraId="56DCB164" w14:textId="77777777" w:rsidR="009A581E" w:rsidRPr="000A1612" w:rsidRDefault="009A581E" w:rsidP="00130E2E">
            <w:pPr>
              <w:widowControl w:val="0"/>
              <w:spacing w:after="0" w:line="240" w:lineRule="auto"/>
              <w:ind w:left="0" w:right="40" w:firstLine="0"/>
              <w:jc w:val="center"/>
            </w:pPr>
            <w:r w:rsidRPr="000A1612">
              <w:t xml:space="preserve">27 % </w:t>
            </w:r>
            <w:r w:rsidRPr="000A1612">
              <w:rPr>
                <w:vertAlign w:val="superscript"/>
              </w:rPr>
              <w:t>e</w:t>
            </w:r>
          </w:p>
        </w:tc>
        <w:tc>
          <w:tcPr>
            <w:tcW w:w="986" w:type="dxa"/>
            <w:tcBorders>
              <w:top w:val="single" w:sz="6" w:space="0" w:color="000000"/>
              <w:left w:val="single" w:sz="6" w:space="0" w:color="000000"/>
              <w:bottom w:val="single" w:sz="6" w:space="0" w:color="000000"/>
              <w:right w:val="single" w:sz="6" w:space="0" w:color="000000"/>
            </w:tcBorders>
          </w:tcPr>
          <w:p w14:paraId="6B8E36F2" w14:textId="77777777" w:rsidR="009A581E" w:rsidRPr="000A1612" w:rsidRDefault="009A581E" w:rsidP="00130E2E">
            <w:pPr>
              <w:widowControl w:val="0"/>
              <w:spacing w:after="0" w:line="240" w:lineRule="auto"/>
              <w:ind w:left="0" w:firstLine="0"/>
            </w:pPr>
            <w:r w:rsidRPr="000A1612">
              <w:t>41,3 %</w:t>
            </w:r>
            <w:r w:rsidRPr="000A1612">
              <w:rPr>
                <w:vertAlign w:val="superscript"/>
              </w:rPr>
              <w:t xml:space="preserve"> e</w:t>
            </w:r>
          </w:p>
        </w:tc>
        <w:tc>
          <w:tcPr>
            <w:tcW w:w="1105" w:type="dxa"/>
            <w:tcBorders>
              <w:top w:val="single" w:sz="6" w:space="0" w:color="000000"/>
              <w:left w:val="single" w:sz="6" w:space="0" w:color="000000"/>
              <w:bottom w:val="single" w:sz="6" w:space="0" w:color="000000"/>
              <w:right w:val="single" w:sz="6" w:space="0" w:color="000000"/>
            </w:tcBorders>
          </w:tcPr>
          <w:p w14:paraId="49DED827" w14:textId="77777777" w:rsidR="009A581E" w:rsidRPr="000A1612" w:rsidRDefault="009A581E" w:rsidP="00130E2E">
            <w:pPr>
              <w:widowControl w:val="0"/>
              <w:spacing w:after="0" w:line="240" w:lineRule="auto"/>
              <w:ind w:left="0" w:right="33" w:firstLine="0"/>
              <w:jc w:val="center"/>
            </w:pPr>
            <w:r w:rsidRPr="000A1612">
              <w:t>43,6 %</w:t>
            </w:r>
            <w:r w:rsidRPr="000A1612">
              <w:rPr>
                <w:vertAlign w:val="superscript"/>
              </w:rPr>
              <w:t xml:space="preserve"> e</w:t>
            </w:r>
          </w:p>
        </w:tc>
      </w:tr>
    </w:tbl>
    <w:p w14:paraId="6296F8B6" w14:textId="3A7D3241" w:rsidR="009A581E" w:rsidRPr="000A1612" w:rsidRDefault="00155775" w:rsidP="00155775">
      <w:pPr>
        <w:widowControl w:val="0"/>
        <w:spacing w:after="0" w:line="240" w:lineRule="auto"/>
        <w:ind w:left="0" w:right="719" w:firstLine="0"/>
      </w:pPr>
      <w:r w:rsidRPr="00155775">
        <w:rPr>
          <w:vertAlign w:val="superscript"/>
        </w:rPr>
        <w:t xml:space="preserve">a </w:t>
      </w:r>
      <w:r w:rsidR="009A581E" w:rsidRPr="000A1612">
        <w:t>Výsledky odrážajú použitie kombinovanej liečby entekavir-lamivudín (následne po dlhodobej liečbe entekavirom) s mediánom 13 týždňov u 48 z 80 pacientov v Roku 3, mediánom 38 týždňov pre 10 z 52 pacientov v Roku 4 a 16 týždňov pre 1 z 33 pacientov v Roku 5 prechádzajúcich z jednej štú</w:t>
      </w:r>
      <w:r>
        <w:t>die do druhej (rollover study)</w:t>
      </w:r>
    </w:p>
    <w:p w14:paraId="54D03F00" w14:textId="77777777" w:rsidR="00155775" w:rsidRDefault="00155775" w:rsidP="00155775">
      <w:pPr>
        <w:widowControl w:val="0"/>
        <w:spacing w:after="0" w:line="240" w:lineRule="auto"/>
        <w:ind w:left="0" w:right="719" w:firstLine="0"/>
      </w:pPr>
      <w:r w:rsidRPr="00155775">
        <w:rPr>
          <w:vertAlign w:val="superscript"/>
        </w:rPr>
        <w:t xml:space="preserve">b </w:t>
      </w:r>
      <w:r w:rsidR="009A581E" w:rsidRPr="000A1612">
        <w:t>Zahŕňa pacientov s najmenej jednou terapiou HBV DNA merateľnou</w:t>
      </w:r>
      <w:r>
        <w:t xml:space="preserve"> prostredníctvom PCR v alebo po </w:t>
      </w:r>
      <w:r w:rsidR="009A581E" w:rsidRPr="000A1612">
        <w:t>24 týždňoch počas týždňa 58 (Rok 1), po 58 týždňoch počas týždňa 102 (Rok 2) alebo po 102 týždňoch počas týždňa 156 (Rok 3), po 156 týždňoch počas týždňa 204 (Rok 4) alebo po 204 týždňoch počas týždňa 252 (Rok 5)</w:t>
      </w:r>
    </w:p>
    <w:p w14:paraId="540DB785" w14:textId="77777777" w:rsidR="009A581E" w:rsidRPr="000A1612" w:rsidRDefault="009A581E" w:rsidP="00155775">
      <w:pPr>
        <w:widowControl w:val="0"/>
        <w:spacing w:after="0" w:line="240" w:lineRule="auto"/>
        <w:ind w:left="0" w:right="719" w:firstLine="0"/>
      </w:pPr>
      <w:r w:rsidRPr="000A1612">
        <w:rPr>
          <w:vertAlign w:val="superscript"/>
        </w:rPr>
        <w:t>c</w:t>
      </w:r>
      <w:r w:rsidRPr="000A1612">
        <w:t xml:space="preserve"> Pacienti, kt</w:t>
      </w:r>
      <w:r w:rsidR="00155775">
        <w:t>orí tiež majú LVDr substitúcie</w:t>
      </w:r>
    </w:p>
    <w:p w14:paraId="2D463EF6" w14:textId="77777777" w:rsidR="002D39C8" w:rsidRDefault="009A581E" w:rsidP="009A581E">
      <w:pPr>
        <w:widowControl w:val="0"/>
        <w:spacing w:after="0" w:line="240" w:lineRule="auto"/>
        <w:ind w:left="0" w:right="885" w:firstLine="0"/>
      </w:pPr>
      <w:r w:rsidRPr="000A1612">
        <w:rPr>
          <w:vertAlign w:val="superscript"/>
        </w:rPr>
        <w:t>d</w:t>
      </w:r>
      <w:r w:rsidRPr="000A1612">
        <w:t xml:space="preserve"> ≥ 1 log</w:t>
      </w:r>
      <w:r w:rsidRPr="000A1612">
        <w:rPr>
          <w:vertAlign w:val="subscript"/>
        </w:rPr>
        <w:t>10</w:t>
      </w:r>
      <w:r w:rsidRPr="000A1612">
        <w:t xml:space="preserve"> zvýšenie nad najnižšiu hodnotu u HBV DNA potvrdené postupnými meraniami s PCR a</w:t>
      </w:r>
      <w:r w:rsidR="007737A2">
        <w:t>lebo na konci časového rozpätia</w:t>
      </w:r>
    </w:p>
    <w:p w14:paraId="7AEA2E71" w14:textId="77777777" w:rsidR="00155775" w:rsidRPr="000A1612" w:rsidRDefault="009A581E" w:rsidP="009A581E">
      <w:pPr>
        <w:widowControl w:val="0"/>
        <w:spacing w:after="0" w:line="240" w:lineRule="auto"/>
        <w:ind w:left="0" w:right="885" w:firstLine="0"/>
      </w:pPr>
      <w:r w:rsidRPr="000A1612">
        <w:rPr>
          <w:vertAlign w:val="superscript"/>
        </w:rPr>
        <w:t>e</w:t>
      </w:r>
      <w:r w:rsidRPr="000A1612">
        <w:t xml:space="preserve"> Existujúca ETVr v ktoromkoľvek roku; virolog</w:t>
      </w:r>
      <w:r w:rsidR="00155775">
        <w:t>ický prienik v špecifickom roku</w:t>
      </w:r>
    </w:p>
    <w:p w14:paraId="0504A568" w14:textId="77777777" w:rsidR="009A581E" w:rsidRPr="000A1612" w:rsidRDefault="009A581E" w:rsidP="009A581E">
      <w:pPr>
        <w:widowControl w:val="0"/>
        <w:spacing w:after="0" w:line="240" w:lineRule="auto"/>
        <w:ind w:left="0" w:firstLine="0"/>
      </w:pPr>
    </w:p>
    <w:p w14:paraId="1E4A401B" w14:textId="77777777" w:rsidR="009A581E" w:rsidRPr="000A1612" w:rsidRDefault="009A581E" w:rsidP="009A581E">
      <w:pPr>
        <w:widowControl w:val="0"/>
        <w:spacing w:after="0" w:line="240" w:lineRule="auto"/>
        <w:ind w:left="0" w:right="44" w:firstLine="0"/>
      </w:pPr>
      <w:r w:rsidRPr="000A1612">
        <w:t>U lamivudín refraktérnych pacientov s HBV DNA &lt;10</w:t>
      </w:r>
      <w:r w:rsidRPr="000A1612">
        <w:rPr>
          <w:vertAlign w:val="superscript"/>
        </w:rPr>
        <w:t xml:space="preserve">7 </w:t>
      </w:r>
      <w:r w:rsidRPr="000A1612">
        <w:t>log</w:t>
      </w:r>
      <w:r w:rsidRPr="000A1612">
        <w:rPr>
          <w:vertAlign w:val="subscript"/>
        </w:rPr>
        <w:t>10</w:t>
      </w:r>
      <w:r w:rsidRPr="000A1612">
        <w:t xml:space="preserve"> kópií/ml, 64 % (9/14) </w:t>
      </w:r>
      <w:r w:rsidR="00425579">
        <w:t>dosiahlo</w:t>
      </w:r>
      <w:r w:rsidRPr="000A1612">
        <w:t xml:space="preserve"> HBV DNA &lt;300 kópií/ml v týždni 48. Títo 14 pacienti mali nižší pomer genotypovej rezistencie na entekavir (kumulatívna pravdepodobnosť 18,8 % počas 5 rokov sledovania) ako celková populácia štúdie (pozri tabuľku). Taktiež pacienti refraktérni na lamivudín, ktorí dosiahli HBV DNA &lt;10</w:t>
      </w:r>
      <w:r w:rsidRPr="000A1612">
        <w:rPr>
          <w:vertAlign w:val="superscript"/>
        </w:rPr>
        <w:t>4</w:t>
      </w:r>
      <w:r w:rsidRPr="000A1612">
        <w:t xml:space="preserve"> log</w:t>
      </w:r>
      <w:r w:rsidRPr="000A1612">
        <w:rPr>
          <w:vertAlign w:val="subscript"/>
        </w:rPr>
        <w:t>10</w:t>
      </w:r>
      <w:r w:rsidRPr="000A1612">
        <w:t xml:space="preserve"> kópií/ml prostredníctvom PCR v týždni 24 mali nižší pomer ako tí, čo ho nedosiahli (5 ročná kumulatívna pravdepodobnosť 17,6 % [n = 50] oproti 60,5 % [n = 135], v uvedenom poradí).</w:t>
      </w:r>
    </w:p>
    <w:p w14:paraId="2189FD90" w14:textId="77777777" w:rsidR="009A581E" w:rsidRPr="000A1612" w:rsidRDefault="009A581E" w:rsidP="009A581E">
      <w:pPr>
        <w:widowControl w:val="0"/>
        <w:spacing w:after="0" w:line="240" w:lineRule="auto"/>
        <w:ind w:left="0" w:firstLine="0"/>
      </w:pPr>
    </w:p>
    <w:p w14:paraId="45D1482A" w14:textId="77777777" w:rsidR="009A581E" w:rsidRPr="000A1612" w:rsidRDefault="009A581E" w:rsidP="00D2559A">
      <w:pPr>
        <w:pStyle w:val="Nadpis2"/>
        <w:keepNext w:val="0"/>
        <w:keepLines w:val="0"/>
        <w:widowControl w:val="0"/>
        <w:tabs>
          <w:tab w:val="left" w:pos="567"/>
          <w:tab w:val="center" w:pos="846"/>
          <w:tab w:val="center" w:pos="2610"/>
        </w:tabs>
        <w:spacing w:after="0" w:line="240" w:lineRule="auto"/>
        <w:ind w:left="0" w:firstLine="0"/>
      </w:pPr>
      <w:r w:rsidRPr="000A1612">
        <w:t>5.2</w:t>
      </w:r>
      <w:r w:rsidR="00D2559A">
        <w:tab/>
      </w:r>
      <w:r w:rsidRPr="000A1612">
        <w:tab/>
        <w:t>Farmakokinetické vlastnosti</w:t>
      </w:r>
    </w:p>
    <w:p w14:paraId="08CA5EB5" w14:textId="77777777" w:rsidR="009A581E" w:rsidRPr="000A1612" w:rsidRDefault="009A581E" w:rsidP="009A581E">
      <w:pPr>
        <w:widowControl w:val="0"/>
        <w:spacing w:after="0" w:line="240" w:lineRule="auto"/>
        <w:ind w:left="0" w:firstLine="0"/>
      </w:pPr>
    </w:p>
    <w:p w14:paraId="56A00B5C" w14:textId="77777777" w:rsidR="009A581E" w:rsidRPr="000A1612" w:rsidRDefault="009A581E" w:rsidP="009A581E">
      <w:pPr>
        <w:widowControl w:val="0"/>
        <w:spacing w:after="0" w:line="240" w:lineRule="auto"/>
        <w:ind w:left="0" w:right="44" w:firstLine="0"/>
      </w:pPr>
      <w:r w:rsidRPr="000A1612">
        <w:rPr>
          <w:i/>
        </w:rPr>
        <w:t>Absorpcia:</w:t>
      </w:r>
      <w:r w:rsidRPr="000A1612">
        <w:t xml:space="preserve"> entekavir sa rýchlo vstrebáva, pričom maximálne plazmatické koncentrácie sa dosiahnu po 0,5 až 1,5 hodine. Absolútna biologická dostupnosť nebola stanovená. Na základe vylučovania nezmeneného liečiva močom bola biologická dostupnosť odhadnutá na najmenej 70 %. Po opakovaných dávkach v rozsahu od 0,1 – 1 mg dochádza k vzostupu hodnôt C</w:t>
      </w:r>
      <w:r w:rsidRPr="000A1612">
        <w:rPr>
          <w:vertAlign w:val="subscript"/>
        </w:rPr>
        <w:t>max</w:t>
      </w:r>
      <w:r w:rsidRPr="000A1612">
        <w:t xml:space="preserve"> a AUC úmerných podanej dávke. Rovnovážny stav sa dosiahne po 6 až 10 dňoch po dávke podávanej jedenkrát denne s </w:t>
      </w:r>
      <w:r w:rsidRPr="000A1612">
        <w:rPr>
          <w:rFonts w:eastAsia="Segoe UI Symbol"/>
        </w:rPr>
        <w:t>≈</w:t>
      </w:r>
      <w:r w:rsidRPr="000A1612">
        <w:t xml:space="preserve"> 2-násobnou kumuláciou. V rovnovážnom stave je hodnota C</w:t>
      </w:r>
      <w:r w:rsidRPr="000A1612">
        <w:rPr>
          <w:vertAlign w:val="subscript"/>
        </w:rPr>
        <w:t>max</w:t>
      </w:r>
      <w:r w:rsidRPr="000A1612">
        <w:t xml:space="preserve"> 4,2 ng/ml a C</w:t>
      </w:r>
      <w:r w:rsidRPr="000A1612">
        <w:rPr>
          <w:vertAlign w:val="subscript"/>
        </w:rPr>
        <w:t>min</w:t>
      </w:r>
      <w:r w:rsidRPr="000A1612">
        <w:t xml:space="preserve"> 0,3 ng/ml pre dávku 0,5 mg a hodnota C</w:t>
      </w:r>
      <w:r w:rsidRPr="000A1612">
        <w:rPr>
          <w:vertAlign w:val="subscript"/>
        </w:rPr>
        <w:t>max</w:t>
      </w:r>
      <w:r w:rsidRPr="000A1612">
        <w:t xml:space="preserve"> 8,2 ng/ml a C</w:t>
      </w:r>
      <w:r w:rsidRPr="000A1612">
        <w:rPr>
          <w:vertAlign w:val="subscript"/>
        </w:rPr>
        <w:t>min</w:t>
      </w:r>
      <w:r w:rsidRPr="000A1612">
        <w:t xml:space="preserve"> 0,5 ng/ml pre dávku 1 mg. U zdravých jedincov bola forma tabliet a perorálneho roztoku bioekvivalentná; z tohto dôvodu sa obe formy môžu používať zameniteľne.</w:t>
      </w:r>
    </w:p>
    <w:p w14:paraId="54E0BECF" w14:textId="77777777" w:rsidR="009A581E" w:rsidRPr="000A1612" w:rsidRDefault="009A581E" w:rsidP="009A581E">
      <w:pPr>
        <w:widowControl w:val="0"/>
        <w:spacing w:after="0" w:line="240" w:lineRule="auto"/>
        <w:ind w:left="0" w:firstLine="0"/>
      </w:pPr>
    </w:p>
    <w:p w14:paraId="4D04E4BD" w14:textId="77777777" w:rsidR="009A581E" w:rsidRPr="000A1612" w:rsidRDefault="009A581E" w:rsidP="009A581E">
      <w:pPr>
        <w:widowControl w:val="0"/>
        <w:spacing w:after="0" w:line="240" w:lineRule="auto"/>
        <w:ind w:left="0" w:right="44" w:firstLine="0"/>
      </w:pPr>
      <w:r w:rsidRPr="000A1612">
        <w:t>Podanie 0,5 mg entekaviru so štandardným jedlom s vysokým obsahom tuku (945 kcal, 54,6 g tuku) alebo s jedlom s nízkym obsahom tuku (379 kcal, 8,2 g tuku) viedlo k minimálnemu predĺženiu absorpcie (1 – 1,5 hodiny po jedle oproti 0,75 hodiny nalačno), k poklesu C</w:t>
      </w:r>
      <w:r w:rsidRPr="000A1612">
        <w:rPr>
          <w:vertAlign w:val="subscript"/>
        </w:rPr>
        <w:t>max</w:t>
      </w:r>
      <w:r w:rsidRPr="000A1612">
        <w:t xml:space="preserve"> o 44 – 46 % a poklesu AUC o 18 – 20 %. Nižšie hodnoty C</w:t>
      </w:r>
      <w:r w:rsidRPr="000A1612">
        <w:rPr>
          <w:vertAlign w:val="subscript"/>
        </w:rPr>
        <w:t>max</w:t>
      </w:r>
      <w:r w:rsidRPr="000A1612">
        <w:t xml:space="preserve"> a AUC po užití s jedlom sa nepovažujú za klinicky významné u pacientov bez predošlej liečby nukleozidmi, ale mohli by ovplyvniť účinnosť u pacientov refraktérnych na lamivudín (pozri časť 4.2).</w:t>
      </w:r>
    </w:p>
    <w:p w14:paraId="4FC802D2" w14:textId="77777777" w:rsidR="009A581E" w:rsidRPr="000A1612" w:rsidRDefault="009A581E" w:rsidP="009A581E">
      <w:pPr>
        <w:widowControl w:val="0"/>
        <w:spacing w:after="0" w:line="240" w:lineRule="auto"/>
        <w:ind w:left="0" w:firstLine="0"/>
      </w:pPr>
    </w:p>
    <w:p w14:paraId="47211C2A" w14:textId="77777777" w:rsidR="009A581E" w:rsidRPr="000A1612" w:rsidRDefault="009A581E" w:rsidP="009A581E">
      <w:pPr>
        <w:widowControl w:val="0"/>
        <w:spacing w:after="0" w:line="240" w:lineRule="auto"/>
        <w:ind w:left="0" w:right="44" w:firstLine="0"/>
      </w:pPr>
      <w:r w:rsidRPr="000A1612">
        <w:rPr>
          <w:i/>
        </w:rPr>
        <w:t>Distribúcia:</w:t>
      </w:r>
      <w:r w:rsidRPr="000A1612">
        <w:t xml:space="preserve"> odhadovaný distribučný objem entekaviru presahuje celkový objem vody v tele. Väzba na ľudské sérové proteíny </w:t>
      </w:r>
      <w:r w:rsidRPr="000A1612">
        <w:rPr>
          <w:i/>
        </w:rPr>
        <w:t>in vitro</w:t>
      </w:r>
      <w:r w:rsidRPr="000A1612">
        <w:t xml:space="preserve"> je </w:t>
      </w:r>
      <w:r w:rsidRPr="000A1612">
        <w:rPr>
          <w:rFonts w:eastAsia="Segoe UI Symbol"/>
        </w:rPr>
        <w:t>≈</w:t>
      </w:r>
      <w:r w:rsidRPr="000A1612">
        <w:t xml:space="preserve"> 13 %.</w:t>
      </w:r>
    </w:p>
    <w:p w14:paraId="5C4243FC" w14:textId="77777777" w:rsidR="009A581E" w:rsidRPr="000A1612" w:rsidRDefault="009A581E" w:rsidP="009A581E">
      <w:pPr>
        <w:widowControl w:val="0"/>
        <w:spacing w:after="0" w:line="240" w:lineRule="auto"/>
        <w:ind w:left="0" w:firstLine="0"/>
      </w:pPr>
    </w:p>
    <w:p w14:paraId="7536F462" w14:textId="77777777" w:rsidR="009A581E" w:rsidRPr="000A1612" w:rsidRDefault="009A581E" w:rsidP="009A581E">
      <w:pPr>
        <w:widowControl w:val="0"/>
        <w:spacing w:after="0" w:line="240" w:lineRule="auto"/>
        <w:ind w:left="0" w:right="44" w:firstLine="0"/>
      </w:pPr>
      <w:r w:rsidRPr="000A1612">
        <w:rPr>
          <w:i/>
        </w:rPr>
        <w:t>Biotransformácia:</w:t>
      </w:r>
      <w:r w:rsidRPr="000A1612">
        <w:t xml:space="preserve"> entekavir nie je substrátom, inhibítorom </w:t>
      </w:r>
      <w:r w:rsidR="0068403E">
        <w:t xml:space="preserve">ani induktorom </w:t>
      </w:r>
      <w:r w:rsidRPr="000A1612">
        <w:t xml:space="preserve">enzýmového systému CYP450. Po podaní entekaviru značeného </w:t>
      </w:r>
      <w:r w:rsidRPr="000A1612">
        <w:rPr>
          <w:vertAlign w:val="superscript"/>
        </w:rPr>
        <w:t>14</w:t>
      </w:r>
      <w:r w:rsidRPr="000A1612">
        <w:t xml:space="preserve">C neboli pozorované žiadne oxidačné ani acetylované </w:t>
      </w:r>
      <w:r w:rsidRPr="000A1612">
        <w:lastRenderedPageBreak/>
        <w:t>metabolity a boli pozorované malé množstvá metabolitov II. fázy - glukuronidových a sulfátových konjugátov.</w:t>
      </w:r>
    </w:p>
    <w:p w14:paraId="584A4BA3" w14:textId="77777777" w:rsidR="009A581E" w:rsidRPr="000A1612" w:rsidRDefault="009A581E" w:rsidP="009A581E">
      <w:pPr>
        <w:widowControl w:val="0"/>
        <w:spacing w:after="0" w:line="240" w:lineRule="auto"/>
        <w:ind w:left="0" w:firstLine="0"/>
      </w:pPr>
    </w:p>
    <w:p w14:paraId="354485C1" w14:textId="77777777" w:rsidR="009A581E" w:rsidRPr="000A1612" w:rsidRDefault="009A581E" w:rsidP="009A581E">
      <w:pPr>
        <w:widowControl w:val="0"/>
        <w:spacing w:after="0" w:line="240" w:lineRule="auto"/>
        <w:ind w:left="0" w:right="173" w:firstLine="0"/>
      </w:pPr>
      <w:r w:rsidRPr="000A1612">
        <w:rPr>
          <w:i/>
        </w:rPr>
        <w:t>Eliminácia:</w:t>
      </w:r>
      <w:r w:rsidRPr="000A1612">
        <w:t xml:space="preserve"> entekavir je vylučovaný hlavne obličkami, pričom v moči sa v rovnovážnom stave zistilo nezmenené liečivo v množstve približne 75 % dávky. Renálny klírens je nezávislý od dávky a je v rozsahu 360 až 471 ml/min, čo svedčí o tom, že entekavir podlieha glomerulárnej filtrácii aj tubulárnej sekrécii. Po dosiahnutí maximálnych hladín dochádza k biexponenciálnemu poklesu plazmatických hladín s konečným eliminačným polčasom </w:t>
      </w:r>
      <w:r w:rsidRPr="000A1612">
        <w:rPr>
          <w:rFonts w:eastAsia="Segoe UI Symbol"/>
        </w:rPr>
        <w:t>≈</w:t>
      </w:r>
      <w:r w:rsidRPr="000A1612">
        <w:t xml:space="preserve"> 128 – 149 hodín. Pozorovaný index kumulácie liečiva je </w:t>
      </w:r>
      <w:r w:rsidRPr="000A1612">
        <w:rPr>
          <w:rFonts w:eastAsia="Segoe UI Symbol"/>
        </w:rPr>
        <w:t>≈</w:t>
      </w:r>
      <w:r w:rsidRPr="000A1612">
        <w:t xml:space="preserve"> 2-násobný pri dávke podávanej jedenkrát denne, čo svedčí o efektívnom kumulačnom polčase približne 24 hodín.</w:t>
      </w:r>
    </w:p>
    <w:p w14:paraId="20CC1947" w14:textId="77777777" w:rsidR="009A581E" w:rsidRPr="000A1612" w:rsidRDefault="009A581E" w:rsidP="009A581E">
      <w:pPr>
        <w:widowControl w:val="0"/>
        <w:spacing w:after="0" w:line="240" w:lineRule="auto"/>
        <w:ind w:left="0" w:firstLine="0"/>
      </w:pPr>
    </w:p>
    <w:p w14:paraId="50F27C4D" w14:textId="77777777" w:rsidR="009A581E" w:rsidRPr="000A1612" w:rsidRDefault="009A581E" w:rsidP="009A581E">
      <w:pPr>
        <w:widowControl w:val="0"/>
        <w:spacing w:after="0" w:line="240" w:lineRule="auto"/>
        <w:ind w:left="0" w:right="44" w:firstLine="0"/>
      </w:pPr>
      <w:r w:rsidRPr="000A1612">
        <w:rPr>
          <w:i/>
        </w:rPr>
        <w:t>Porucha funkcie pečene:</w:t>
      </w:r>
      <w:r w:rsidRPr="000A1612">
        <w:t xml:space="preserve"> farmakokinetické parametre u pacientov so stredne ťažkou alebo ťažkou poruchou funkcie pečene boli podobné parametrom u pacientov s normálnou funkciou pečene.</w:t>
      </w:r>
    </w:p>
    <w:p w14:paraId="01978911" w14:textId="77777777" w:rsidR="009A581E" w:rsidRPr="000A1612" w:rsidRDefault="009A581E" w:rsidP="009A581E">
      <w:pPr>
        <w:widowControl w:val="0"/>
        <w:spacing w:after="0" w:line="240" w:lineRule="auto"/>
        <w:ind w:left="0" w:firstLine="0"/>
      </w:pPr>
    </w:p>
    <w:p w14:paraId="2D7204A7" w14:textId="77777777" w:rsidR="009A581E" w:rsidRPr="000A1612" w:rsidRDefault="009A581E" w:rsidP="009A581E">
      <w:pPr>
        <w:widowControl w:val="0"/>
        <w:spacing w:after="0" w:line="240" w:lineRule="auto"/>
        <w:ind w:left="0" w:right="44" w:firstLine="0"/>
      </w:pPr>
      <w:r w:rsidRPr="00E06E0C">
        <w:rPr>
          <w:i/>
        </w:rPr>
        <w:t>Porucha funkcie obličiek</w:t>
      </w:r>
      <w:r w:rsidRPr="00FB4B12">
        <w:rPr>
          <w:i/>
        </w:rPr>
        <w:t>:</w:t>
      </w:r>
      <w:r w:rsidRPr="000A1612">
        <w:t xml:space="preserve"> klírens entekaviru sa znižuje so znižujúcim sa klírensom krea</w:t>
      </w:r>
      <w:r w:rsidR="00D2559A">
        <w:t>tinínu.</w:t>
      </w:r>
    </w:p>
    <w:p w14:paraId="0A294C58" w14:textId="77777777" w:rsidR="009A581E" w:rsidRPr="00121B8A" w:rsidRDefault="009A581E" w:rsidP="009A581E">
      <w:pPr>
        <w:widowControl w:val="0"/>
        <w:spacing w:after="0" w:line="240" w:lineRule="auto"/>
        <w:ind w:left="0" w:right="44" w:firstLine="0"/>
      </w:pPr>
      <w:r w:rsidRPr="000A1612">
        <w:t xml:space="preserve">4-hodinová hemodialýza odstránila </w:t>
      </w:r>
      <w:r w:rsidRPr="000A1612">
        <w:rPr>
          <w:rFonts w:eastAsia="Segoe UI Symbol"/>
        </w:rPr>
        <w:t>≈</w:t>
      </w:r>
      <w:r w:rsidRPr="000A1612">
        <w:t xml:space="preserve"> 13 % dávky a 0,3 % boli odstránené CAPD. Farmakokinetika entekaviru po jednorazovej 1 mg dávke u pacientov (bez chronickej infekcie vírusom hepatitídy B) je </w:t>
      </w:r>
      <w:r w:rsidRPr="00121B8A">
        <w:t>uvedená nižšie v tabuľke:</w:t>
      </w:r>
    </w:p>
    <w:p w14:paraId="6D628A7E" w14:textId="77777777" w:rsidR="009A581E" w:rsidRPr="00121B8A" w:rsidRDefault="009A581E" w:rsidP="009A581E">
      <w:pPr>
        <w:widowControl w:val="0"/>
        <w:spacing w:after="0" w:line="240" w:lineRule="auto"/>
        <w:ind w:left="0" w:firstLine="0"/>
      </w:pPr>
    </w:p>
    <w:tbl>
      <w:tblPr>
        <w:tblStyle w:val="TableGrid"/>
        <w:tblW w:w="9214" w:type="dxa"/>
        <w:tblInd w:w="0" w:type="dxa"/>
        <w:tblCellMar>
          <w:top w:w="24" w:type="dxa"/>
        </w:tblCellMar>
        <w:tblLook w:val="04A0" w:firstRow="1" w:lastRow="0" w:firstColumn="1" w:lastColumn="0" w:noHBand="0" w:noVBand="1"/>
      </w:tblPr>
      <w:tblGrid>
        <w:gridCol w:w="1552"/>
        <w:gridCol w:w="1283"/>
        <w:gridCol w:w="1276"/>
        <w:gridCol w:w="1250"/>
        <w:gridCol w:w="1302"/>
        <w:gridCol w:w="1308"/>
        <w:gridCol w:w="1243"/>
      </w:tblGrid>
      <w:tr w:rsidR="007B5B22" w:rsidRPr="00121B8A" w14:paraId="49E1CA4B" w14:textId="77777777" w:rsidTr="00121B8A">
        <w:trPr>
          <w:trHeight w:val="235"/>
        </w:trPr>
        <w:tc>
          <w:tcPr>
            <w:tcW w:w="9214" w:type="dxa"/>
            <w:gridSpan w:val="7"/>
            <w:tcBorders>
              <w:top w:val="single" w:sz="4" w:space="0" w:color="000000"/>
              <w:left w:val="dotted" w:sz="4" w:space="0" w:color="000000"/>
              <w:bottom w:val="dotted" w:sz="4" w:space="0" w:color="000000"/>
              <w:right w:val="dotted" w:sz="4" w:space="0" w:color="000000"/>
            </w:tcBorders>
          </w:tcPr>
          <w:p w14:paraId="78680702" w14:textId="77777777" w:rsidR="007B5B22" w:rsidRPr="00121B8A" w:rsidRDefault="007B5B22" w:rsidP="00121B8A">
            <w:pPr>
              <w:widowControl w:val="0"/>
              <w:spacing w:after="0" w:line="240" w:lineRule="auto"/>
              <w:ind w:left="0" w:right="-1312" w:firstLine="0"/>
              <w:jc w:val="center"/>
            </w:pPr>
            <w:r w:rsidRPr="00121B8A">
              <w:rPr>
                <w:b/>
              </w:rPr>
              <w:t>Bazálny klírens kreatinínu (ml/min)</w:t>
            </w:r>
          </w:p>
        </w:tc>
      </w:tr>
      <w:tr w:rsidR="007B5B22" w:rsidRPr="00121B8A" w14:paraId="67ACAC7E" w14:textId="77777777" w:rsidTr="00121B8A">
        <w:trPr>
          <w:trHeight w:val="235"/>
        </w:trPr>
        <w:tc>
          <w:tcPr>
            <w:tcW w:w="1552" w:type="dxa"/>
            <w:tcBorders>
              <w:top w:val="dotted" w:sz="4" w:space="0" w:color="000000"/>
              <w:left w:val="dotted" w:sz="4" w:space="0" w:color="000000"/>
              <w:bottom w:val="dotted" w:sz="4" w:space="0" w:color="000000"/>
              <w:right w:val="nil"/>
            </w:tcBorders>
          </w:tcPr>
          <w:p w14:paraId="761A6EBE" w14:textId="77777777" w:rsidR="007B5B22" w:rsidRPr="00121B8A" w:rsidRDefault="007B5B22" w:rsidP="007B5B22">
            <w:pPr>
              <w:widowControl w:val="0"/>
              <w:spacing w:after="0" w:line="240" w:lineRule="auto"/>
              <w:ind w:left="0" w:firstLine="0"/>
            </w:pPr>
          </w:p>
        </w:tc>
        <w:tc>
          <w:tcPr>
            <w:tcW w:w="1283" w:type="dxa"/>
            <w:tcBorders>
              <w:top w:val="dotted" w:sz="4" w:space="0" w:color="000000"/>
              <w:left w:val="nil"/>
              <w:bottom w:val="dotted" w:sz="4" w:space="0" w:color="000000"/>
              <w:right w:val="nil"/>
            </w:tcBorders>
          </w:tcPr>
          <w:p w14:paraId="6F176482" w14:textId="77777777" w:rsidR="007B5B22" w:rsidRPr="00121B8A" w:rsidRDefault="007B5B22" w:rsidP="00130E2E">
            <w:pPr>
              <w:widowControl w:val="0"/>
              <w:spacing w:after="0" w:line="240" w:lineRule="auto"/>
              <w:ind w:left="0" w:firstLine="0"/>
            </w:pPr>
            <w:r w:rsidRPr="00121B8A">
              <w:rPr>
                <w:b/>
              </w:rPr>
              <w:t xml:space="preserve">Bez poruchy </w:t>
            </w:r>
            <w:r w:rsidRPr="00121B8A">
              <w:t>&gt; 80</w:t>
            </w:r>
          </w:p>
        </w:tc>
        <w:tc>
          <w:tcPr>
            <w:tcW w:w="1276" w:type="dxa"/>
            <w:tcBorders>
              <w:top w:val="dotted" w:sz="4" w:space="0" w:color="000000"/>
              <w:left w:val="nil"/>
              <w:bottom w:val="dotted" w:sz="4" w:space="0" w:color="000000"/>
              <w:right w:val="nil"/>
            </w:tcBorders>
          </w:tcPr>
          <w:p w14:paraId="6F77C83C" w14:textId="77777777" w:rsidR="007B5B22" w:rsidRPr="00121B8A" w:rsidRDefault="007B5B22" w:rsidP="007B5B22">
            <w:pPr>
              <w:widowControl w:val="0"/>
              <w:spacing w:after="0" w:line="240" w:lineRule="auto"/>
              <w:ind w:left="0" w:firstLine="0"/>
              <w:jc w:val="both"/>
            </w:pPr>
            <w:r w:rsidRPr="00121B8A">
              <w:rPr>
                <w:b/>
              </w:rPr>
              <w:t>Ľahká porucha</w:t>
            </w:r>
          </w:p>
          <w:p w14:paraId="61498D1F" w14:textId="77777777" w:rsidR="007B5B22" w:rsidRPr="00121B8A" w:rsidRDefault="007B5B22" w:rsidP="007B5B22">
            <w:pPr>
              <w:widowControl w:val="0"/>
              <w:spacing w:after="0" w:line="240" w:lineRule="auto"/>
              <w:ind w:left="0" w:firstLine="0"/>
            </w:pPr>
            <w:r w:rsidRPr="00121B8A">
              <w:t>&gt; 50;</w:t>
            </w:r>
          </w:p>
          <w:p w14:paraId="5DB7CAAE" w14:textId="77777777" w:rsidR="007B5B22" w:rsidRPr="00121B8A" w:rsidRDefault="007B5B22" w:rsidP="007B5B22">
            <w:pPr>
              <w:widowControl w:val="0"/>
              <w:spacing w:after="0" w:line="240" w:lineRule="auto"/>
              <w:ind w:left="0" w:firstLine="0"/>
            </w:pPr>
            <w:r w:rsidRPr="00121B8A">
              <w:t>≤ 80</w:t>
            </w:r>
          </w:p>
        </w:tc>
        <w:tc>
          <w:tcPr>
            <w:tcW w:w="1250" w:type="dxa"/>
            <w:tcBorders>
              <w:top w:val="dotted" w:sz="4" w:space="0" w:color="000000"/>
              <w:left w:val="nil"/>
              <w:bottom w:val="dotted" w:sz="4" w:space="0" w:color="000000"/>
              <w:right w:val="nil"/>
            </w:tcBorders>
          </w:tcPr>
          <w:p w14:paraId="6EE76F0B" w14:textId="77777777" w:rsidR="007B5B22" w:rsidRPr="00121B8A" w:rsidRDefault="007B5B22" w:rsidP="007B5B22">
            <w:pPr>
              <w:widowControl w:val="0"/>
              <w:spacing w:after="0" w:line="240" w:lineRule="auto"/>
              <w:ind w:left="0" w:firstLine="0"/>
            </w:pPr>
            <w:r w:rsidRPr="00121B8A">
              <w:rPr>
                <w:b/>
              </w:rPr>
              <w:t xml:space="preserve">Stredne ťažká </w:t>
            </w:r>
          </w:p>
          <w:p w14:paraId="3F9BE02C" w14:textId="77777777" w:rsidR="007B5B22" w:rsidRPr="00121B8A" w:rsidRDefault="007B5B22" w:rsidP="007B5B22">
            <w:pPr>
              <w:widowControl w:val="0"/>
              <w:spacing w:after="0" w:line="240" w:lineRule="auto"/>
              <w:ind w:left="0" w:firstLine="0"/>
            </w:pPr>
            <w:r w:rsidRPr="00121B8A">
              <w:rPr>
                <w:b/>
              </w:rPr>
              <w:t>porucha</w:t>
            </w:r>
          </w:p>
          <w:p w14:paraId="59F3D678" w14:textId="77777777" w:rsidR="007B5B22" w:rsidRPr="00121B8A" w:rsidRDefault="007B5B22" w:rsidP="007B5B22">
            <w:pPr>
              <w:widowControl w:val="0"/>
              <w:spacing w:after="0" w:line="240" w:lineRule="auto"/>
              <w:ind w:left="0" w:firstLine="0"/>
            </w:pPr>
            <w:r w:rsidRPr="00121B8A">
              <w:t>30 – 50</w:t>
            </w:r>
          </w:p>
        </w:tc>
        <w:tc>
          <w:tcPr>
            <w:tcW w:w="1302" w:type="dxa"/>
            <w:tcBorders>
              <w:top w:val="dotted" w:sz="4" w:space="0" w:color="000000"/>
              <w:left w:val="nil"/>
              <w:bottom w:val="dotted" w:sz="4" w:space="0" w:color="000000"/>
              <w:right w:val="nil"/>
            </w:tcBorders>
          </w:tcPr>
          <w:p w14:paraId="7A77954E" w14:textId="77777777" w:rsidR="007B5B22" w:rsidRPr="00121B8A" w:rsidRDefault="007B5B22" w:rsidP="007B5B22">
            <w:pPr>
              <w:widowControl w:val="0"/>
              <w:spacing w:after="0" w:line="240" w:lineRule="auto"/>
              <w:ind w:left="0" w:firstLine="0"/>
            </w:pPr>
            <w:r w:rsidRPr="00121B8A">
              <w:rPr>
                <w:b/>
              </w:rPr>
              <w:t xml:space="preserve">Ťažká porucha </w:t>
            </w:r>
          </w:p>
          <w:p w14:paraId="58A7B7C3" w14:textId="77777777" w:rsidR="00121B8A" w:rsidRPr="00121B8A" w:rsidRDefault="007B5B22" w:rsidP="007B5B22">
            <w:pPr>
              <w:widowControl w:val="0"/>
              <w:spacing w:after="0" w:line="240" w:lineRule="auto"/>
              <w:ind w:left="0" w:firstLine="0"/>
            </w:pPr>
            <w:r w:rsidRPr="00121B8A">
              <w:t>20-</w:t>
            </w:r>
          </w:p>
          <w:p w14:paraId="3541995E" w14:textId="77777777" w:rsidR="007B5B22" w:rsidRPr="00121B8A" w:rsidRDefault="007B5B22" w:rsidP="007B5B22">
            <w:pPr>
              <w:widowControl w:val="0"/>
              <w:spacing w:after="0" w:line="240" w:lineRule="auto"/>
              <w:ind w:left="0" w:firstLine="0"/>
            </w:pPr>
            <w:r w:rsidRPr="00121B8A">
              <w:t>&lt; 30</w:t>
            </w:r>
          </w:p>
        </w:tc>
        <w:tc>
          <w:tcPr>
            <w:tcW w:w="1308" w:type="dxa"/>
            <w:tcBorders>
              <w:top w:val="dotted" w:sz="4" w:space="0" w:color="000000"/>
              <w:left w:val="nil"/>
              <w:bottom w:val="dotted" w:sz="4" w:space="0" w:color="000000"/>
              <w:right w:val="nil"/>
            </w:tcBorders>
          </w:tcPr>
          <w:p w14:paraId="30A589B6" w14:textId="77777777" w:rsidR="007B5B22" w:rsidRPr="00121B8A" w:rsidRDefault="007B5B22" w:rsidP="007B5B22">
            <w:pPr>
              <w:widowControl w:val="0"/>
              <w:spacing w:after="0" w:line="240" w:lineRule="auto"/>
              <w:ind w:left="0" w:firstLine="0"/>
            </w:pPr>
            <w:r w:rsidRPr="00121B8A">
              <w:rPr>
                <w:b/>
              </w:rPr>
              <w:t xml:space="preserve">Ťažká porucha </w:t>
            </w:r>
          </w:p>
          <w:p w14:paraId="59A0C76F" w14:textId="77777777" w:rsidR="007B5B22" w:rsidRPr="00121B8A" w:rsidRDefault="007B5B22" w:rsidP="007B5B22">
            <w:pPr>
              <w:widowControl w:val="0"/>
              <w:spacing w:after="0" w:line="240" w:lineRule="auto"/>
              <w:ind w:left="0" w:firstLine="0"/>
            </w:pPr>
            <w:r w:rsidRPr="00121B8A">
              <w:rPr>
                <w:b/>
              </w:rPr>
              <w:t>liečená hemodialýzou</w:t>
            </w:r>
          </w:p>
        </w:tc>
        <w:tc>
          <w:tcPr>
            <w:tcW w:w="1243" w:type="dxa"/>
            <w:tcBorders>
              <w:top w:val="dotted" w:sz="4" w:space="0" w:color="000000"/>
              <w:left w:val="nil"/>
              <w:bottom w:val="dotted" w:sz="4" w:space="0" w:color="000000"/>
              <w:right w:val="dotted" w:sz="4" w:space="0" w:color="000000"/>
            </w:tcBorders>
          </w:tcPr>
          <w:p w14:paraId="080FCFA2" w14:textId="77777777" w:rsidR="007B5B22" w:rsidRPr="00121B8A" w:rsidRDefault="007B5B22" w:rsidP="007B5B22">
            <w:pPr>
              <w:widowControl w:val="0"/>
              <w:spacing w:after="0" w:line="240" w:lineRule="auto"/>
              <w:ind w:left="0" w:firstLine="0"/>
            </w:pPr>
            <w:r w:rsidRPr="00121B8A">
              <w:rPr>
                <w:b/>
              </w:rPr>
              <w:t>Ťažká porucha liečená</w:t>
            </w:r>
          </w:p>
          <w:p w14:paraId="619D3950" w14:textId="77777777" w:rsidR="007B5B22" w:rsidRPr="00121B8A" w:rsidRDefault="007B5B22" w:rsidP="007B5B22">
            <w:pPr>
              <w:widowControl w:val="0"/>
              <w:spacing w:after="0" w:line="240" w:lineRule="auto"/>
              <w:ind w:left="0" w:firstLine="0"/>
            </w:pPr>
            <w:r w:rsidRPr="00121B8A">
              <w:rPr>
                <w:b/>
              </w:rPr>
              <w:t>CAPD</w:t>
            </w:r>
          </w:p>
        </w:tc>
      </w:tr>
      <w:tr w:rsidR="00121B8A" w:rsidRPr="00121B8A" w14:paraId="39C322C2" w14:textId="77777777" w:rsidTr="00121B8A">
        <w:trPr>
          <w:trHeight w:val="235"/>
        </w:trPr>
        <w:tc>
          <w:tcPr>
            <w:tcW w:w="1552" w:type="dxa"/>
            <w:tcBorders>
              <w:top w:val="dotted" w:sz="4" w:space="0" w:color="000000"/>
              <w:left w:val="dotted" w:sz="4" w:space="0" w:color="000000"/>
              <w:bottom w:val="single" w:sz="4" w:space="0" w:color="000000"/>
              <w:right w:val="nil"/>
            </w:tcBorders>
          </w:tcPr>
          <w:p w14:paraId="66625655" w14:textId="77777777" w:rsidR="009A581E" w:rsidRPr="00121B8A" w:rsidRDefault="009A581E" w:rsidP="00130E2E">
            <w:pPr>
              <w:widowControl w:val="0"/>
              <w:spacing w:after="0" w:line="240" w:lineRule="auto"/>
              <w:ind w:left="0" w:firstLine="0"/>
            </w:pPr>
          </w:p>
        </w:tc>
        <w:tc>
          <w:tcPr>
            <w:tcW w:w="1283" w:type="dxa"/>
            <w:tcBorders>
              <w:top w:val="dotted" w:sz="4" w:space="0" w:color="000000"/>
              <w:left w:val="nil"/>
              <w:bottom w:val="single" w:sz="4" w:space="0" w:color="000000"/>
              <w:right w:val="nil"/>
            </w:tcBorders>
          </w:tcPr>
          <w:p w14:paraId="6596DEAE" w14:textId="77777777" w:rsidR="009A581E" w:rsidRPr="00121B8A" w:rsidRDefault="00D2559A" w:rsidP="00130E2E">
            <w:pPr>
              <w:widowControl w:val="0"/>
              <w:spacing w:after="0" w:line="240" w:lineRule="auto"/>
              <w:ind w:left="0" w:firstLine="0"/>
            </w:pPr>
            <w:r w:rsidRPr="00121B8A">
              <w:t>(n = 6)</w:t>
            </w:r>
          </w:p>
        </w:tc>
        <w:tc>
          <w:tcPr>
            <w:tcW w:w="1276" w:type="dxa"/>
            <w:tcBorders>
              <w:top w:val="dotted" w:sz="4" w:space="0" w:color="000000"/>
              <w:left w:val="nil"/>
              <w:bottom w:val="single" w:sz="4" w:space="0" w:color="000000"/>
              <w:right w:val="nil"/>
            </w:tcBorders>
          </w:tcPr>
          <w:p w14:paraId="67E9B750" w14:textId="77777777" w:rsidR="009A581E" w:rsidRPr="00121B8A" w:rsidRDefault="00D2559A" w:rsidP="00130E2E">
            <w:pPr>
              <w:widowControl w:val="0"/>
              <w:spacing w:after="0" w:line="240" w:lineRule="auto"/>
              <w:ind w:left="0" w:firstLine="0"/>
            </w:pPr>
            <w:r w:rsidRPr="00121B8A">
              <w:t>(n = 6)</w:t>
            </w:r>
          </w:p>
        </w:tc>
        <w:tc>
          <w:tcPr>
            <w:tcW w:w="1250" w:type="dxa"/>
            <w:tcBorders>
              <w:top w:val="dotted" w:sz="4" w:space="0" w:color="000000"/>
              <w:left w:val="nil"/>
              <w:bottom w:val="single" w:sz="4" w:space="0" w:color="000000"/>
              <w:right w:val="nil"/>
            </w:tcBorders>
          </w:tcPr>
          <w:p w14:paraId="0C2A6CCE" w14:textId="77777777" w:rsidR="009A581E" w:rsidRPr="00121B8A" w:rsidRDefault="00D2559A" w:rsidP="00130E2E">
            <w:pPr>
              <w:widowControl w:val="0"/>
              <w:spacing w:after="0" w:line="240" w:lineRule="auto"/>
              <w:ind w:left="0" w:firstLine="0"/>
            </w:pPr>
            <w:r w:rsidRPr="00121B8A">
              <w:t>(n = 6)</w:t>
            </w:r>
          </w:p>
        </w:tc>
        <w:tc>
          <w:tcPr>
            <w:tcW w:w="1302" w:type="dxa"/>
            <w:tcBorders>
              <w:top w:val="dotted" w:sz="4" w:space="0" w:color="000000"/>
              <w:left w:val="nil"/>
              <w:bottom w:val="single" w:sz="4" w:space="0" w:color="000000"/>
              <w:right w:val="nil"/>
            </w:tcBorders>
          </w:tcPr>
          <w:p w14:paraId="529CCE29" w14:textId="77777777" w:rsidR="009A581E" w:rsidRPr="00121B8A" w:rsidRDefault="00D2559A" w:rsidP="00130E2E">
            <w:pPr>
              <w:widowControl w:val="0"/>
              <w:spacing w:after="0" w:line="240" w:lineRule="auto"/>
              <w:ind w:left="0" w:firstLine="0"/>
            </w:pPr>
            <w:r w:rsidRPr="00121B8A">
              <w:t>(n = 6)</w:t>
            </w:r>
          </w:p>
        </w:tc>
        <w:tc>
          <w:tcPr>
            <w:tcW w:w="1308" w:type="dxa"/>
            <w:tcBorders>
              <w:top w:val="dotted" w:sz="4" w:space="0" w:color="000000"/>
              <w:left w:val="nil"/>
              <w:bottom w:val="single" w:sz="4" w:space="0" w:color="000000"/>
              <w:right w:val="nil"/>
            </w:tcBorders>
          </w:tcPr>
          <w:p w14:paraId="649DE4FE" w14:textId="77777777" w:rsidR="009A581E" w:rsidRPr="00121B8A" w:rsidRDefault="00D2559A" w:rsidP="00130E2E">
            <w:pPr>
              <w:widowControl w:val="0"/>
              <w:spacing w:after="0" w:line="240" w:lineRule="auto"/>
              <w:ind w:left="0" w:firstLine="0"/>
            </w:pPr>
            <w:r w:rsidRPr="00121B8A">
              <w:t>(n = 6)</w:t>
            </w:r>
          </w:p>
        </w:tc>
        <w:tc>
          <w:tcPr>
            <w:tcW w:w="1243" w:type="dxa"/>
            <w:tcBorders>
              <w:top w:val="dotted" w:sz="4" w:space="0" w:color="000000"/>
              <w:left w:val="nil"/>
              <w:bottom w:val="single" w:sz="4" w:space="0" w:color="000000"/>
              <w:right w:val="dotted" w:sz="4" w:space="0" w:color="000000"/>
            </w:tcBorders>
          </w:tcPr>
          <w:p w14:paraId="1866C5E8" w14:textId="77777777" w:rsidR="009A581E" w:rsidRPr="00121B8A" w:rsidRDefault="00D2559A" w:rsidP="00130E2E">
            <w:pPr>
              <w:widowControl w:val="0"/>
              <w:spacing w:after="0" w:line="240" w:lineRule="auto"/>
              <w:ind w:left="0" w:firstLine="0"/>
            </w:pPr>
            <w:r w:rsidRPr="00121B8A">
              <w:t>(n = 4)</w:t>
            </w:r>
          </w:p>
        </w:tc>
      </w:tr>
      <w:tr w:rsidR="00121B8A" w:rsidRPr="00121B8A" w14:paraId="7DFB67FD" w14:textId="77777777" w:rsidTr="00121B8A">
        <w:trPr>
          <w:trHeight w:val="658"/>
        </w:trPr>
        <w:tc>
          <w:tcPr>
            <w:tcW w:w="1552" w:type="dxa"/>
            <w:tcBorders>
              <w:top w:val="single" w:sz="4" w:space="0" w:color="000000"/>
              <w:left w:val="nil"/>
              <w:bottom w:val="dotted" w:sz="4" w:space="0" w:color="auto"/>
              <w:right w:val="dotted" w:sz="4" w:space="0" w:color="auto"/>
            </w:tcBorders>
          </w:tcPr>
          <w:p w14:paraId="0E193F47" w14:textId="77777777" w:rsidR="009A581E" w:rsidRPr="00121B8A" w:rsidRDefault="009A581E" w:rsidP="007B5B22">
            <w:pPr>
              <w:widowControl w:val="0"/>
              <w:spacing w:after="0" w:line="240" w:lineRule="auto"/>
              <w:ind w:left="0" w:firstLine="0"/>
            </w:pPr>
            <w:r w:rsidRPr="00121B8A">
              <w:t>C</w:t>
            </w:r>
            <w:r w:rsidRPr="00121B8A">
              <w:rPr>
                <w:vertAlign w:val="subscript"/>
              </w:rPr>
              <w:t>max</w:t>
            </w:r>
            <w:r w:rsidRPr="00121B8A">
              <w:t xml:space="preserve"> (ng/ml</w:t>
            </w:r>
            <w:r w:rsidR="00D2559A" w:rsidRPr="00121B8A">
              <w:t>) (CV%)</w:t>
            </w:r>
          </w:p>
        </w:tc>
        <w:tc>
          <w:tcPr>
            <w:tcW w:w="1283" w:type="dxa"/>
            <w:tcBorders>
              <w:top w:val="single" w:sz="4" w:space="0" w:color="000000"/>
              <w:left w:val="dotted" w:sz="4" w:space="0" w:color="auto"/>
              <w:bottom w:val="dotted" w:sz="4" w:space="0" w:color="auto"/>
              <w:right w:val="dotted" w:sz="4" w:space="0" w:color="auto"/>
            </w:tcBorders>
          </w:tcPr>
          <w:p w14:paraId="799D2F40" w14:textId="77777777" w:rsidR="009A581E" w:rsidRPr="00121B8A" w:rsidRDefault="009A581E" w:rsidP="007B5B22">
            <w:pPr>
              <w:widowControl w:val="0"/>
              <w:spacing w:after="0" w:line="240" w:lineRule="auto"/>
              <w:ind w:left="0" w:firstLine="0"/>
            </w:pPr>
            <w:r w:rsidRPr="00121B8A">
              <w:t>8,</w:t>
            </w:r>
            <w:r w:rsidR="00121B8A" w:rsidRPr="00121B8A">
              <w:t>1</w:t>
            </w:r>
          </w:p>
          <w:p w14:paraId="1E2AADC0" w14:textId="77777777" w:rsidR="009A581E" w:rsidRPr="00121B8A" w:rsidRDefault="00D2559A" w:rsidP="007B5B22">
            <w:pPr>
              <w:widowControl w:val="0"/>
              <w:spacing w:after="0" w:line="240" w:lineRule="auto"/>
              <w:ind w:left="0" w:firstLine="0"/>
            </w:pPr>
            <w:r w:rsidRPr="00121B8A">
              <w:t>(30,7)</w:t>
            </w:r>
          </w:p>
        </w:tc>
        <w:tc>
          <w:tcPr>
            <w:tcW w:w="1276" w:type="dxa"/>
            <w:tcBorders>
              <w:top w:val="single" w:sz="4" w:space="0" w:color="000000"/>
              <w:left w:val="dotted" w:sz="4" w:space="0" w:color="auto"/>
              <w:bottom w:val="dotted" w:sz="4" w:space="0" w:color="auto"/>
              <w:right w:val="dotted" w:sz="4" w:space="0" w:color="auto"/>
            </w:tcBorders>
          </w:tcPr>
          <w:p w14:paraId="66587032" w14:textId="77777777" w:rsidR="009A581E" w:rsidRPr="00121B8A" w:rsidRDefault="00121B8A" w:rsidP="007B5B22">
            <w:pPr>
              <w:widowControl w:val="0"/>
              <w:spacing w:after="0" w:line="240" w:lineRule="auto"/>
              <w:ind w:left="0" w:firstLine="0"/>
            </w:pPr>
            <w:r w:rsidRPr="00121B8A">
              <w:t>10,4</w:t>
            </w:r>
          </w:p>
          <w:p w14:paraId="69D51902" w14:textId="77777777" w:rsidR="009A581E" w:rsidRPr="00121B8A" w:rsidRDefault="00D2559A" w:rsidP="007B5B22">
            <w:pPr>
              <w:widowControl w:val="0"/>
              <w:spacing w:after="0" w:line="240" w:lineRule="auto"/>
              <w:ind w:left="0" w:firstLine="0"/>
            </w:pPr>
            <w:r w:rsidRPr="00121B8A">
              <w:t>(37,2)</w:t>
            </w:r>
          </w:p>
        </w:tc>
        <w:tc>
          <w:tcPr>
            <w:tcW w:w="1250" w:type="dxa"/>
            <w:tcBorders>
              <w:top w:val="single" w:sz="4" w:space="0" w:color="000000"/>
              <w:left w:val="dotted" w:sz="4" w:space="0" w:color="auto"/>
              <w:bottom w:val="dotted" w:sz="4" w:space="0" w:color="auto"/>
              <w:right w:val="dotted" w:sz="4" w:space="0" w:color="auto"/>
            </w:tcBorders>
          </w:tcPr>
          <w:p w14:paraId="2F2D62AE" w14:textId="77777777" w:rsidR="009A581E" w:rsidRPr="00121B8A" w:rsidRDefault="00121B8A" w:rsidP="007B5B22">
            <w:pPr>
              <w:widowControl w:val="0"/>
              <w:spacing w:after="0" w:line="240" w:lineRule="auto"/>
              <w:ind w:left="0" w:firstLine="0"/>
            </w:pPr>
            <w:r w:rsidRPr="00121B8A">
              <w:t>10,5</w:t>
            </w:r>
          </w:p>
          <w:p w14:paraId="7B2F77D6" w14:textId="77777777" w:rsidR="009A581E" w:rsidRPr="00121B8A" w:rsidRDefault="00D2559A" w:rsidP="007B5B22">
            <w:pPr>
              <w:widowControl w:val="0"/>
              <w:spacing w:after="0" w:line="240" w:lineRule="auto"/>
              <w:ind w:left="0" w:firstLine="0"/>
            </w:pPr>
            <w:r w:rsidRPr="00121B8A">
              <w:t>(22,7)</w:t>
            </w:r>
          </w:p>
        </w:tc>
        <w:tc>
          <w:tcPr>
            <w:tcW w:w="1302" w:type="dxa"/>
            <w:tcBorders>
              <w:top w:val="single" w:sz="4" w:space="0" w:color="000000"/>
              <w:left w:val="dotted" w:sz="4" w:space="0" w:color="auto"/>
              <w:bottom w:val="dotted" w:sz="4" w:space="0" w:color="auto"/>
              <w:right w:val="dotted" w:sz="4" w:space="0" w:color="auto"/>
            </w:tcBorders>
          </w:tcPr>
          <w:p w14:paraId="671549A5" w14:textId="77777777" w:rsidR="009A581E" w:rsidRPr="00121B8A" w:rsidRDefault="00121B8A" w:rsidP="007B5B22">
            <w:pPr>
              <w:widowControl w:val="0"/>
              <w:spacing w:after="0" w:line="240" w:lineRule="auto"/>
              <w:ind w:left="0" w:firstLine="0"/>
            </w:pPr>
            <w:r w:rsidRPr="00121B8A">
              <w:t>15,3</w:t>
            </w:r>
          </w:p>
          <w:p w14:paraId="36B7375A" w14:textId="77777777" w:rsidR="009A581E" w:rsidRPr="00121B8A" w:rsidRDefault="00D2559A" w:rsidP="007B5B22">
            <w:pPr>
              <w:widowControl w:val="0"/>
              <w:spacing w:after="0" w:line="240" w:lineRule="auto"/>
              <w:ind w:left="0" w:firstLine="0"/>
            </w:pPr>
            <w:r w:rsidRPr="00121B8A">
              <w:t>(33,8)</w:t>
            </w:r>
          </w:p>
        </w:tc>
        <w:tc>
          <w:tcPr>
            <w:tcW w:w="1308" w:type="dxa"/>
            <w:tcBorders>
              <w:top w:val="single" w:sz="4" w:space="0" w:color="000000"/>
              <w:left w:val="dotted" w:sz="4" w:space="0" w:color="auto"/>
              <w:bottom w:val="dotted" w:sz="4" w:space="0" w:color="auto"/>
              <w:right w:val="dotted" w:sz="4" w:space="0" w:color="auto"/>
            </w:tcBorders>
          </w:tcPr>
          <w:p w14:paraId="2DD34D91" w14:textId="77777777" w:rsidR="009A581E" w:rsidRPr="00121B8A" w:rsidRDefault="00121B8A" w:rsidP="007B5B22">
            <w:pPr>
              <w:widowControl w:val="0"/>
              <w:spacing w:after="0" w:line="240" w:lineRule="auto"/>
              <w:ind w:left="0" w:firstLine="0"/>
            </w:pPr>
            <w:r w:rsidRPr="00121B8A">
              <w:t>15,4</w:t>
            </w:r>
          </w:p>
          <w:p w14:paraId="1E536D4C" w14:textId="77777777" w:rsidR="009A581E" w:rsidRPr="00121B8A" w:rsidRDefault="00D2559A" w:rsidP="007B5B22">
            <w:pPr>
              <w:widowControl w:val="0"/>
              <w:spacing w:after="0" w:line="240" w:lineRule="auto"/>
              <w:ind w:left="0" w:firstLine="0"/>
            </w:pPr>
            <w:r w:rsidRPr="00121B8A">
              <w:t>(56,4)</w:t>
            </w:r>
          </w:p>
        </w:tc>
        <w:tc>
          <w:tcPr>
            <w:tcW w:w="1243" w:type="dxa"/>
            <w:tcBorders>
              <w:top w:val="single" w:sz="4" w:space="0" w:color="000000"/>
              <w:left w:val="dotted" w:sz="4" w:space="0" w:color="auto"/>
              <w:bottom w:val="dotted" w:sz="4" w:space="0" w:color="auto"/>
              <w:right w:val="nil"/>
            </w:tcBorders>
          </w:tcPr>
          <w:p w14:paraId="0194CA3D" w14:textId="77777777" w:rsidR="009A581E" w:rsidRPr="00121B8A" w:rsidRDefault="00121B8A" w:rsidP="007B5B22">
            <w:pPr>
              <w:widowControl w:val="0"/>
              <w:spacing w:after="0" w:line="240" w:lineRule="auto"/>
              <w:ind w:left="0" w:firstLine="0"/>
            </w:pPr>
            <w:r w:rsidRPr="00121B8A">
              <w:t>16,6</w:t>
            </w:r>
          </w:p>
          <w:p w14:paraId="441F4088" w14:textId="77777777" w:rsidR="009A581E" w:rsidRPr="00121B8A" w:rsidRDefault="00121B8A" w:rsidP="007B5B22">
            <w:pPr>
              <w:widowControl w:val="0"/>
              <w:spacing w:after="0" w:line="240" w:lineRule="auto"/>
              <w:ind w:left="0" w:firstLine="0"/>
            </w:pPr>
            <w:r w:rsidRPr="00121B8A">
              <w:t>(29,7)</w:t>
            </w:r>
          </w:p>
        </w:tc>
      </w:tr>
      <w:tr w:rsidR="009A581E" w:rsidRPr="00121B8A" w14:paraId="305C968C" w14:textId="77777777" w:rsidTr="00121B8A">
        <w:trPr>
          <w:trHeight w:val="505"/>
        </w:trPr>
        <w:tc>
          <w:tcPr>
            <w:tcW w:w="1552" w:type="dxa"/>
            <w:tcBorders>
              <w:top w:val="dotted" w:sz="4" w:space="0" w:color="auto"/>
              <w:left w:val="nil"/>
              <w:bottom w:val="nil"/>
              <w:right w:val="dotted" w:sz="4" w:space="0" w:color="auto"/>
            </w:tcBorders>
          </w:tcPr>
          <w:p w14:paraId="30D13E43" w14:textId="77777777" w:rsidR="009A581E" w:rsidRPr="00121B8A" w:rsidRDefault="009A581E" w:rsidP="007B5B22">
            <w:pPr>
              <w:widowControl w:val="0"/>
              <w:spacing w:after="0" w:line="240" w:lineRule="auto"/>
              <w:ind w:left="0" w:firstLine="0"/>
            </w:pPr>
            <w:r w:rsidRPr="00121B8A">
              <w:t>AUC</w:t>
            </w:r>
            <w:r w:rsidRPr="00121B8A">
              <w:rPr>
                <w:vertAlign w:val="subscript"/>
              </w:rPr>
              <w:t>(0-T)</w:t>
            </w:r>
          </w:p>
        </w:tc>
        <w:tc>
          <w:tcPr>
            <w:tcW w:w="1283" w:type="dxa"/>
            <w:tcBorders>
              <w:top w:val="dotted" w:sz="4" w:space="0" w:color="auto"/>
              <w:left w:val="dotted" w:sz="4" w:space="0" w:color="auto"/>
              <w:bottom w:val="nil"/>
              <w:right w:val="dotted" w:sz="4" w:space="0" w:color="auto"/>
            </w:tcBorders>
          </w:tcPr>
          <w:p w14:paraId="664E52CD" w14:textId="77777777" w:rsidR="00D2559A" w:rsidRPr="00121B8A" w:rsidRDefault="009A581E" w:rsidP="007B5B22">
            <w:pPr>
              <w:widowControl w:val="0"/>
              <w:spacing w:after="0" w:line="240" w:lineRule="auto"/>
              <w:ind w:left="0" w:firstLine="0"/>
            </w:pPr>
            <w:r w:rsidRPr="00121B8A">
              <w:t>27,9</w:t>
            </w:r>
          </w:p>
        </w:tc>
        <w:tc>
          <w:tcPr>
            <w:tcW w:w="1276" w:type="dxa"/>
            <w:tcBorders>
              <w:top w:val="dotted" w:sz="4" w:space="0" w:color="auto"/>
              <w:left w:val="dotted" w:sz="4" w:space="0" w:color="auto"/>
              <w:bottom w:val="nil"/>
              <w:right w:val="dotted" w:sz="4" w:space="0" w:color="auto"/>
            </w:tcBorders>
          </w:tcPr>
          <w:p w14:paraId="65CB60BB" w14:textId="77777777" w:rsidR="009A581E" w:rsidRPr="00121B8A" w:rsidRDefault="009A581E" w:rsidP="007B5B22">
            <w:pPr>
              <w:widowControl w:val="0"/>
              <w:spacing w:after="0" w:line="240" w:lineRule="auto"/>
              <w:ind w:left="0" w:firstLine="0"/>
            </w:pPr>
            <w:r w:rsidRPr="00121B8A">
              <w:t>51,5</w:t>
            </w:r>
          </w:p>
        </w:tc>
        <w:tc>
          <w:tcPr>
            <w:tcW w:w="1250" w:type="dxa"/>
            <w:tcBorders>
              <w:top w:val="dotted" w:sz="4" w:space="0" w:color="auto"/>
              <w:left w:val="dotted" w:sz="4" w:space="0" w:color="auto"/>
              <w:bottom w:val="nil"/>
              <w:right w:val="dotted" w:sz="4" w:space="0" w:color="auto"/>
            </w:tcBorders>
          </w:tcPr>
          <w:p w14:paraId="464AD31B" w14:textId="77777777" w:rsidR="009A581E" w:rsidRPr="00121B8A" w:rsidRDefault="009A581E" w:rsidP="007B5B22">
            <w:pPr>
              <w:widowControl w:val="0"/>
              <w:spacing w:after="0" w:line="240" w:lineRule="auto"/>
              <w:ind w:left="0" w:firstLine="0"/>
            </w:pPr>
            <w:r w:rsidRPr="00121B8A">
              <w:t>69,5</w:t>
            </w:r>
          </w:p>
        </w:tc>
        <w:tc>
          <w:tcPr>
            <w:tcW w:w="1302" w:type="dxa"/>
            <w:tcBorders>
              <w:top w:val="dotted" w:sz="4" w:space="0" w:color="auto"/>
              <w:left w:val="dotted" w:sz="4" w:space="0" w:color="auto"/>
              <w:bottom w:val="nil"/>
              <w:right w:val="dotted" w:sz="4" w:space="0" w:color="auto"/>
            </w:tcBorders>
          </w:tcPr>
          <w:p w14:paraId="3F917F3C" w14:textId="77777777" w:rsidR="009A581E" w:rsidRPr="00121B8A" w:rsidRDefault="009A581E" w:rsidP="007B5B22">
            <w:pPr>
              <w:widowControl w:val="0"/>
              <w:spacing w:after="0" w:line="240" w:lineRule="auto"/>
              <w:ind w:left="0" w:firstLine="0"/>
            </w:pPr>
            <w:r w:rsidRPr="00121B8A">
              <w:t>145,7</w:t>
            </w:r>
          </w:p>
        </w:tc>
        <w:tc>
          <w:tcPr>
            <w:tcW w:w="1308" w:type="dxa"/>
            <w:tcBorders>
              <w:top w:val="dotted" w:sz="4" w:space="0" w:color="auto"/>
              <w:left w:val="dotted" w:sz="4" w:space="0" w:color="auto"/>
              <w:bottom w:val="nil"/>
              <w:right w:val="dotted" w:sz="4" w:space="0" w:color="auto"/>
            </w:tcBorders>
          </w:tcPr>
          <w:p w14:paraId="4BCB0520" w14:textId="77777777" w:rsidR="009A581E" w:rsidRPr="00121B8A" w:rsidRDefault="009A581E" w:rsidP="007B5B22">
            <w:pPr>
              <w:widowControl w:val="0"/>
              <w:spacing w:after="0" w:line="240" w:lineRule="auto"/>
              <w:ind w:left="0" w:firstLine="0"/>
            </w:pPr>
            <w:r w:rsidRPr="00121B8A">
              <w:t>233,9</w:t>
            </w:r>
          </w:p>
        </w:tc>
        <w:tc>
          <w:tcPr>
            <w:tcW w:w="1243" w:type="dxa"/>
            <w:tcBorders>
              <w:top w:val="dotted" w:sz="4" w:space="0" w:color="auto"/>
              <w:left w:val="dotted" w:sz="4" w:space="0" w:color="auto"/>
              <w:bottom w:val="nil"/>
              <w:right w:val="nil"/>
            </w:tcBorders>
          </w:tcPr>
          <w:p w14:paraId="46907EC8" w14:textId="77777777" w:rsidR="009A581E" w:rsidRPr="00121B8A" w:rsidRDefault="009A581E" w:rsidP="007B5B22">
            <w:pPr>
              <w:widowControl w:val="0"/>
              <w:spacing w:after="0" w:line="240" w:lineRule="auto"/>
              <w:ind w:left="0" w:firstLine="0"/>
            </w:pPr>
            <w:r w:rsidRPr="00121B8A">
              <w:t>221,8</w:t>
            </w:r>
          </w:p>
        </w:tc>
      </w:tr>
      <w:tr w:rsidR="00121B8A" w:rsidRPr="00121B8A" w14:paraId="5D98DD38" w14:textId="77777777" w:rsidTr="007B5B22">
        <w:trPr>
          <w:trHeight w:val="1046"/>
        </w:trPr>
        <w:tc>
          <w:tcPr>
            <w:tcW w:w="1552" w:type="dxa"/>
            <w:tcBorders>
              <w:top w:val="dotted" w:sz="4" w:space="0" w:color="auto"/>
              <w:left w:val="nil"/>
              <w:bottom w:val="nil"/>
              <w:right w:val="dotted" w:sz="4" w:space="0" w:color="auto"/>
            </w:tcBorders>
          </w:tcPr>
          <w:p w14:paraId="6B08552B" w14:textId="77777777" w:rsidR="00121B8A" w:rsidRPr="00121B8A" w:rsidRDefault="00121B8A" w:rsidP="00121B8A">
            <w:pPr>
              <w:widowControl w:val="0"/>
              <w:spacing w:after="0" w:line="240" w:lineRule="auto"/>
              <w:ind w:left="0" w:firstLine="0"/>
            </w:pPr>
            <w:r w:rsidRPr="00121B8A">
              <w:t>(ng·h /ml)</w:t>
            </w:r>
          </w:p>
          <w:p w14:paraId="39B84A6F" w14:textId="77777777" w:rsidR="00121B8A" w:rsidRPr="00121B8A" w:rsidRDefault="00121B8A" w:rsidP="00121B8A">
            <w:pPr>
              <w:widowControl w:val="0"/>
              <w:spacing w:after="0" w:line="240" w:lineRule="auto"/>
              <w:ind w:left="0" w:firstLine="0"/>
            </w:pPr>
            <w:r w:rsidRPr="00121B8A">
              <w:t>(CV)</w:t>
            </w:r>
          </w:p>
        </w:tc>
        <w:tc>
          <w:tcPr>
            <w:tcW w:w="1283" w:type="dxa"/>
            <w:tcBorders>
              <w:top w:val="dotted" w:sz="4" w:space="0" w:color="auto"/>
              <w:left w:val="dotted" w:sz="4" w:space="0" w:color="auto"/>
              <w:bottom w:val="nil"/>
              <w:right w:val="dotted" w:sz="4" w:space="0" w:color="auto"/>
            </w:tcBorders>
          </w:tcPr>
          <w:p w14:paraId="6E0C48E2" w14:textId="77777777" w:rsidR="00121B8A" w:rsidRPr="00121B8A" w:rsidRDefault="00121B8A" w:rsidP="007B5B22">
            <w:pPr>
              <w:widowControl w:val="0"/>
              <w:spacing w:after="0" w:line="240" w:lineRule="auto"/>
              <w:ind w:left="0" w:firstLine="0"/>
            </w:pPr>
            <w:r w:rsidRPr="00121B8A">
              <w:t>(25,6)</w:t>
            </w:r>
          </w:p>
        </w:tc>
        <w:tc>
          <w:tcPr>
            <w:tcW w:w="1276" w:type="dxa"/>
            <w:tcBorders>
              <w:top w:val="dotted" w:sz="4" w:space="0" w:color="auto"/>
              <w:left w:val="dotted" w:sz="4" w:space="0" w:color="auto"/>
              <w:bottom w:val="nil"/>
              <w:right w:val="dotted" w:sz="4" w:space="0" w:color="auto"/>
            </w:tcBorders>
          </w:tcPr>
          <w:p w14:paraId="6854E7A8" w14:textId="77777777" w:rsidR="00121B8A" w:rsidRPr="00121B8A" w:rsidRDefault="00121B8A" w:rsidP="007B5B22">
            <w:pPr>
              <w:widowControl w:val="0"/>
              <w:spacing w:after="0" w:line="240" w:lineRule="auto"/>
              <w:ind w:left="0" w:firstLine="0"/>
            </w:pPr>
            <w:r w:rsidRPr="00121B8A">
              <w:t>(22,8)</w:t>
            </w:r>
          </w:p>
        </w:tc>
        <w:tc>
          <w:tcPr>
            <w:tcW w:w="1250" w:type="dxa"/>
            <w:tcBorders>
              <w:top w:val="dotted" w:sz="4" w:space="0" w:color="auto"/>
              <w:left w:val="dotted" w:sz="4" w:space="0" w:color="auto"/>
              <w:bottom w:val="nil"/>
              <w:right w:val="dotted" w:sz="4" w:space="0" w:color="auto"/>
            </w:tcBorders>
          </w:tcPr>
          <w:p w14:paraId="1C48050E" w14:textId="77777777" w:rsidR="00121B8A" w:rsidRPr="00121B8A" w:rsidRDefault="00121B8A" w:rsidP="007B5B22">
            <w:pPr>
              <w:widowControl w:val="0"/>
              <w:spacing w:after="0" w:line="240" w:lineRule="auto"/>
              <w:ind w:left="0" w:firstLine="0"/>
            </w:pPr>
            <w:r w:rsidRPr="00121B8A">
              <w:t>(22,7)</w:t>
            </w:r>
          </w:p>
        </w:tc>
        <w:tc>
          <w:tcPr>
            <w:tcW w:w="1302" w:type="dxa"/>
            <w:tcBorders>
              <w:top w:val="dotted" w:sz="4" w:space="0" w:color="auto"/>
              <w:left w:val="dotted" w:sz="4" w:space="0" w:color="auto"/>
              <w:bottom w:val="nil"/>
              <w:right w:val="dotted" w:sz="4" w:space="0" w:color="auto"/>
            </w:tcBorders>
          </w:tcPr>
          <w:p w14:paraId="11F6A894" w14:textId="77777777" w:rsidR="00121B8A" w:rsidRPr="00121B8A" w:rsidRDefault="00121B8A" w:rsidP="007B5B22">
            <w:pPr>
              <w:widowControl w:val="0"/>
              <w:spacing w:after="0" w:line="240" w:lineRule="auto"/>
              <w:ind w:left="0" w:firstLine="0"/>
            </w:pPr>
            <w:r w:rsidRPr="00121B8A">
              <w:t>(31,5)</w:t>
            </w:r>
          </w:p>
        </w:tc>
        <w:tc>
          <w:tcPr>
            <w:tcW w:w="1308" w:type="dxa"/>
            <w:tcBorders>
              <w:top w:val="dotted" w:sz="4" w:space="0" w:color="auto"/>
              <w:left w:val="dotted" w:sz="4" w:space="0" w:color="auto"/>
              <w:bottom w:val="nil"/>
              <w:right w:val="dotted" w:sz="4" w:space="0" w:color="auto"/>
            </w:tcBorders>
          </w:tcPr>
          <w:p w14:paraId="3EADFBF9" w14:textId="77777777" w:rsidR="00121B8A" w:rsidRPr="00121B8A" w:rsidRDefault="00121B8A" w:rsidP="007B5B22">
            <w:pPr>
              <w:widowControl w:val="0"/>
              <w:spacing w:after="0" w:line="240" w:lineRule="auto"/>
              <w:ind w:left="0" w:firstLine="0"/>
            </w:pPr>
            <w:r w:rsidRPr="00121B8A">
              <w:t>(28,4)</w:t>
            </w:r>
          </w:p>
        </w:tc>
        <w:tc>
          <w:tcPr>
            <w:tcW w:w="1243" w:type="dxa"/>
            <w:tcBorders>
              <w:top w:val="dotted" w:sz="4" w:space="0" w:color="auto"/>
              <w:left w:val="dotted" w:sz="4" w:space="0" w:color="auto"/>
              <w:bottom w:val="nil"/>
              <w:right w:val="nil"/>
            </w:tcBorders>
          </w:tcPr>
          <w:p w14:paraId="33A860DD" w14:textId="77777777" w:rsidR="00121B8A" w:rsidRPr="00121B8A" w:rsidRDefault="00121B8A" w:rsidP="007B5B22">
            <w:pPr>
              <w:widowControl w:val="0"/>
              <w:spacing w:after="0" w:line="240" w:lineRule="auto"/>
              <w:ind w:left="0" w:firstLine="0"/>
            </w:pPr>
            <w:r w:rsidRPr="00121B8A">
              <w:t>(11,6)</w:t>
            </w:r>
          </w:p>
        </w:tc>
      </w:tr>
      <w:tr w:rsidR="009A581E" w:rsidRPr="00121B8A" w14:paraId="1AB085F9" w14:textId="77777777" w:rsidTr="00121B8A">
        <w:trPr>
          <w:trHeight w:val="851"/>
        </w:trPr>
        <w:tc>
          <w:tcPr>
            <w:tcW w:w="1552" w:type="dxa"/>
            <w:tcBorders>
              <w:top w:val="nil"/>
              <w:left w:val="nil"/>
              <w:bottom w:val="nil"/>
              <w:right w:val="nil"/>
            </w:tcBorders>
          </w:tcPr>
          <w:p w14:paraId="4C6B8C81" w14:textId="77777777" w:rsidR="009A581E" w:rsidRPr="00121B8A" w:rsidRDefault="009A581E" w:rsidP="007B5B22">
            <w:pPr>
              <w:widowControl w:val="0"/>
              <w:spacing w:after="0" w:line="240" w:lineRule="auto"/>
              <w:ind w:left="0" w:firstLine="0"/>
            </w:pPr>
            <w:r w:rsidRPr="00121B8A">
              <w:t xml:space="preserve">CLR </w:t>
            </w:r>
            <w:r w:rsidR="00121B8A" w:rsidRPr="00121B8A">
              <w:t>(ml/min)</w:t>
            </w:r>
          </w:p>
          <w:p w14:paraId="54F9FE90" w14:textId="77777777" w:rsidR="009A581E" w:rsidRPr="00121B8A" w:rsidRDefault="00D2559A" w:rsidP="007B5B22">
            <w:pPr>
              <w:widowControl w:val="0"/>
              <w:spacing w:after="0" w:line="240" w:lineRule="auto"/>
              <w:ind w:left="0" w:firstLine="0"/>
            </w:pPr>
            <w:r w:rsidRPr="00121B8A">
              <w:t>(SD)</w:t>
            </w:r>
          </w:p>
        </w:tc>
        <w:tc>
          <w:tcPr>
            <w:tcW w:w="1283" w:type="dxa"/>
            <w:tcBorders>
              <w:top w:val="nil"/>
              <w:left w:val="nil"/>
              <w:bottom w:val="nil"/>
              <w:right w:val="nil"/>
            </w:tcBorders>
          </w:tcPr>
          <w:p w14:paraId="15A7C204" w14:textId="77777777" w:rsidR="009A581E" w:rsidRPr="00121B8A" w:rsidRDefault="00121B8A" w:rsidP="007B5B22">
            <w:pPr>
              <w:widowControl w:val="0"/>
              <w:spacing w:after="0" w:line="240" w:lineRule="auto"/>
              <w:ind w:left="0" w:firstLine="0"/>
            </w:pPr>
            <w:r w:rsidRPr="00121B8A">
              <w:t>383,2</w:t>
            </w:r>
          </w:p>
          <w:p w14:paraId="5FCAD5EA" w14:textId="77777777" w:rsidR="009A581E" w:rsidRPr="00121B8A" w:rsidRDefault="009A581E" w:rsidP="007B5B22">
            <w:pPr>
              <w:widowControl w:val="0"/>
              <w:spacing w:after="0" w:line="240" w:lineRule="auto"/>
              <w:ind w:left="0" w:firstLine="0"/>
            </w:pPr>
            <w:r w:rsidRPr="00121B8A">
              <w:t>(10</w:t>
            </w:r>
            <w:r w:rsidR="00D2559A" w:rsidRPr="00121B8A">
              <w:t>1,8)</w:t>
            </w:r>
          </w:p>
        </w:tc>
        <w:tc>
          <w:tcPr>
            <w:tcW w:w="1276" w:type="dxa"/>
            <w:tcBorders>
              <w:top w:val="nil"/>
              <w:left w:val="nil"/>
              <w:bottom w:val="nil"/>
              <w:right w:val="nil"/>
            </w:tcBorders>
          </w:tcPr>
          <w:p w14:paraId="037D5046" w14:textId="77777777" w:rsidR="009A581E" w:rsidRPr="00121B8A" w:rsidRDefault="00121B8A" w:rsidP="007B5B22">
            <w:pPr>
              <w:widowControl w:val="0"/>
              <w:spacing w:after="0" w:line="240" w:lineRule="auto"/>
              <w:ind w:left="0" w:firstLine="0"/>
            </w:pPr>
            <w:r w:rsidRPr="00121B8A">
              <w:t>197,9</w:t>
            </w:r>
          </w:p>
          <w:p w14:paraId="797D2DDF" w14:textId="77777777" w:rsidR="009A581E" w:rsidRPr="00121B8A" w:rsidRDefault="00D2559A" w:rsidP="007B5B22">
            <w:pPr>
              <w:widowControl w:val="0"/>
              <w:spacing w:after="0" w:line="240" w:lineRule="auto"/>
              <w:ind w:left="0" w:firstLine="0"/>
            </w:pPr>
            <w:r w:rsidRPr="00121B8A">
              <w:t>(78,1)</w:t>
            </w:r>
          </w:p>
        </w:tc>
        <w:tc>
          <w:tcPr>
            <w:tcW w:w="1250" w:type="dxa"/>
            <w:tcBorders>
              <w:top w:val="nil"/>
              <w:left w:val="nil"/>
              <w:bottom w:val="nil"/>
              <w:right w:val="nil"/>
            </w:tcBorders>
          </w:tcPr>
          <w:p w14:paraId="5255B6CD" w14:textId="77777777" w:rsidR="009A581E" w:rsidRPr="00121B8A" w:rsidRDefault="00121B8A" w:rsidP="007B5B22">
            <w:pPr>
              <w:widowControl w:val="0"/>
              <w:spacing w:after="0" w:line="240" w:lineRule="auto"/>
              <w:ind w:left="0" w:firstLine="0"/>
            </w:pPr>
            <w:r w:rsidRPr="00121B8A">
              <w:t>135,6</w:t>
            </w:r>
          </w:p>
          <w:p w14:paraId="3D52BACD" w14:textId="77777777" w:rsidR="009A581E" w:rsidRPr="00121B8A" w:rsidRDefault="00D2559A" w:rsidP="007B5B22">
            <w:pPr>
              <w:widowControl w:val="0"/>
              <w:spacing w:after="0" w:line="240" w:lineRule="auto"/>
              <w:ind w:left="0" w:firstLine="0"/>
            </w:pPr>
            <w:r w:rsidRPr="00121B8A">
              <w:t>(31,6)</w:t>
            </w:r>
          </w:p>
        </w:tc>
        <w:tc>
          <w:tcPr>
            <w:tcW w:w="1302" w:type="dxa"/>
            <w:tcBorders>
              <w:top w:val="nil"/>
              <w:left w:val="nil"/>
              <w:bottom w:val="nil"/>
              <w:right w:val="nil"/>
            </w:tcBorders>
          </w:tcPr>
          <w:p w14:paraId="29D52CA1" w14:textId="77777777" w:rsidR="009A581E" w:rsidRPr="00121B8A" w:rsidRDefault="00121B8A" w:rsidP="007B5B22">
            <w:pPr>
              <w:widowControl w:val="0"/>
              <w:spacing w:after="0" w:line="240" w:lineRule="auto"/>
              <w:ind w:left="0" w:firstLine="0"/>
            </w:pPr>
            <w:r w:rsidRPr="00121B8A">
              <w:t>40,3</w:t>
            </w:r>
          </w:p>
          <w:p w14:paraId="721DF460" w14:textId="77777777" w:rsidR="009A581E" w:rsidRPr="00121B8A" w:rsidRDefault="00D2559A" w:rsidP="007B5B22">
            <w:pPr>
              <w:widowControl w:val="0"/>
              <w:spacing w:after="0" w:line="240" w:lineRule="auto"/>
              <w:ind w:left="0" w:firstLine="0"/>
            </w:pPr>
            <w:r w:rsidRPr="00121B8A">
              <w:t>(10,1)</w:t>
            </w:r>
          </w:p>
        </w:tc>
        <w:tc>
          <w:tcPr>
            <w:tcW w:w="1308" w:type="dxa"/>
            <w:tcBorders>
              <w:top w:val="nil"/>
              <w:left w:val="nil"/>
              <w:bottom w:val="nil"/>
              <w:right w:val="nil"/>
            </w:tcBorders>
          </w:tcPr>
          <w:p w14:paraId="0235098E" w14:textId="77777777" w:rsidR="009A581E" w:rsidRPr="00121B8A" w:rsidRDefault="00D2559A" w:rsidP="007B5B22">
            <w:pPr>
              <w:widowControl w:val="0"/>
              <w:spacing w:after="0" w:line="240" w:lineRule="auto"/>
              <w:ind w:left="0" w:firstLine="0"/>
            </w:pPr>
            <w:r w:rsidRPr="00121B8A">
              <w:t>NA</w:t>
            </w:r>
          </w:p>
        </w:tc>
        <w:tc>
          <w:tcPr>
            <w:tcW w:w="1243" w:type="dxa"/>
            <w:tcBorders>
              <w:top w:val="nil"/>
              <w:left w:val="nil"/>
              <w:bottom w:val="nil"/>
              <w:right w:val="nil"/>
            </w:tcBorders>
          </w:tcPr>
          <w:p w14:paraId="47BC37AB" w14:textId="77777777" w:rsidR="009A581E" w:rsidRPr="00121B8A" w:rsidRDefault="00D2559A" w:rsidP="007B5B22">
            <w:pPr>
              <w:widowControl w:val="0"/>
              <w:spacing w:after="0" w:line="240" w:lineRule="auto"/>
              <w:ind w:left="0" w:firstLine="0"/>
            </w:pPr>
            <w:r w:rsidRPr="00121B8A">
              <w:t>NA</w:t>
            </w:r>
          </w:p>
        </w:tc>
      </w:tr>
      <w:tr w:rsidR="009A581E" w:rsidRPr="00121B8A" w14:paraId="4C39DFA5" w14:textId="77777777" w:rsidTr="00121B8A">
        <w:trPr>
          <w:trHeight w:val="755"/>
        </w:trPr>
        <w:tc>
          <w:tcPr>
            <w:tcW w:w="1552" w:type="dxa"/>
            <w:tcBorders>
              <w:top w:val="nil"/>
              <w:left w:val="nil"/>
              <w:bottom w:val="double" w:sz="4" w:space="0" w:color="000000"/>
              <w:right w:val="nil"/>
            </w:tcBorders>
          </w:tcPr>
          <w:p w14:paraId="01106CB0" w14:textId="77777777" w:rsidR="009A581E" w:rsidRPr="00121B8A" w:rsidRDefault="009A581E" w:rsidP="007B5B22">
            <w:pPr>
              <w:widowControl w:val="0"/>
              <w:spacing w:after="0" w:line="240" w:lineRule="auto"/>
              <w:ind w:left="0" w:firstLine="0"/>
            </w:pPr>
            <w:r w:rsidRPr="00121B8A">
              <w:t xml:space="preserve">CLT/F </w:t>
            </w:r>
            <w:r w:rsidR="00121B8A" w:rsidRPr="00121B8A">
              <w:t>(ml/min)</w:t>
            </w:r>
          </w:p>
          <w:p w14:paraId="6E265D7F" w14:textId="77777777" w:rsidR="009A581E" w:rsidRPr="00121B8A" w:rsidRDefault="00D2559A" w:rsidP="007B5B22">
            <w:pPr>
              <w:widowControl w:val="0"/>
              <w:spacing w:after="0" w:line="240" w:lineRule="auto"/>
              <w:ind w:left="0" w:firstLine="0"/>
            </w:pPr>
            <w:r w:rsidRPr="00121B8A">
              <w:t>(SD)</w:t>
            </w:r>
          </w:p>
        </w:tc>
        <w:tc>
          <w:tcPr>
            <w:tcW w:w="1283" w:type="dxa"/>
            <w:tcBorders>
              <w:top w:val="nil"/>
              <w:left w:val="nil"/>
              <w:bottom w:val="double" w:sz="4" w:space="0" w:color="000000"/>
              <w:right w:val="nil"/>
            </w:tcBorders>
          </w:tcPr>
          <w:p w14:paraId="50DDCEDE" w14:textId="77777777" w:rsidR="009A581E" w:rsidRPr="00121B8A" w:rsidRDefault="00121B8A" w:rsidP="007B5B22">
            <w:pPr>
              <w:widowControl w:val="0"/>
              <w:spacing w:after="0" w:line="240" w:lineRule="auto"/>
              <w:ind w:left="0" w:firstLine="0"/>
            </w:pPr>
            <w:r w:rsidRPr="00121B8A">
              <w:t>588,1</w:t>
            </w:r>
          </w:p>
          <w:p w14:paraId="6855F815" w14:textId="77777777" w:rsidR="009A581E" w:rsidRPr="00121B8A" w:rsidRDefault="00D2559A" w:rsidP="007B5B22">
            <w:pPr>
              <w:widowControl w:val="0"/>
              <w:spacing w:after="0" w:line="240" w:lineRule="auto"/>
              <w:ind w:left="0" w:firstLine="0"/>
            </w:pPr>
            <w:r w:rsidRPr="00121B8A">
              <w:t>(153,7)</w:t>
            </w:r>
          </w:p>
        </w:tc>
        <w:tc>
          <w:tcPr>
            <w:tcW w:w="1276" w:type="dxa"/>
            <w:tcBorders>
              <w:top w:val="nil"/>
              <w:left w:val="nil"/>
              <w:bottom w:val="double" w:sz="4" w:space="0" w:color="000000"/>
              <w:right w:val="nil"/>
            </w:tcBorders>
          </w:tcPr>
          <w:p w14:paraId="451B2AE0" w14:textId="77777777" w:rsidR="009A581E" w:rsidRPr="00121B8A" w:rsidRDefault="00121B8A" w:rsidP="007B5B22">
            <w:pPr>
              <w:widowControl w:val="0"/>
              <w:spacing w:after="0" w:line="240" w:lineRule="auto"/>
              <w:ind w:left="0" w:firstLine="0"/>
            </w:pPr>
            <w:r w:rsidRPr="00121B8A">
              <w:t>309,2</w:t>
            </w:r>
          </w:p>
          <w:p w14:paraId="3E48A6C5" w14:textId="77777777" w:rsidR="009A581E" w:rsidRPr="00121B8A" w:rsidRDefault="00D2559A" w:rsidP="007B5B22">
            <w:pPr>
              <w:widowControl w:val="0"/>
              <w:spacing w:after="0" w:line="240" w:lineRule="auto"/>
              <w:ind w:left="0" w:firstLine="0"/>
            </w:pPr>
            <w:r w:rsidRPr="00121B8A">
              <w:t>(62,6)</w:t>
            </w:r>
          </w:p>
        </w:tc>
        <w:tc>
          <w:tcPr>
            <w:tcW w:w="1250" w:type="dxa"/>
            <w:tcBorders>
              <w:top w:val="nil"/>
              <w:left w:val="nil"/>
              <w:bottom w:val="double" w:sz="4" w:space="0" w:color="000000"/>
              <w:right w:val="nil"/>
            </w:tcBorders>
          </w:tcPr>
          <w:p w14:paraId="0432B3C7" w14:textId="77777777" w:rsidR="009A581E" w:rsidRPr="00121B8A" w:rsidRDefault="00121B8A" w:rsidP="007B5B22">
            <w:pPr>
              <w:widowControl w:val="0"/>
              <w:spacing w:after="0" w:line="240" w:lineRule="auto"/>
              <w:ind w:left="0" w:firstLine="0"/>
            </w:pPr>
            <w:r w:rsidRPr="00121B8A">
              <w:t>226,3</w:t>
            </w:r>
          </w:p>
          <w:p w14:paraId="28279576" w14:textId="77777777" w:rsidR="009A581E" w:rsidRPr="00121B8A" w:rsidRDefault="00D2559A" w:rsidP="007B5B22">
            <w:pPr>
              <w:widowControl w:val="0"/>
              <w:spacing w:after="0" w:line="240" w:lineRule="auto"/>
              <w:ind w:left="0" w:firstLine="0"/>
            </w:pPr>
            <w:r w:rsidRPr="00121B8A">
              <w:t>(60,1)</w:t>
            </w:r>
          </w:p>
        </w:tc>
        <w:tc>
          <w:tcPr>
            <w:tcW w:w="1302" w:type="dxa"/>
            <w:tcBorders>
              <w:top w:val="nil"/>
              <w:left w:val="nil"/>
              <w:bottom w:val="double" w:sz="4" w:space="0" w:color="000000"/>
              <w:right w:val="nil"/>
            </w:tcBorders>
          </w:tcPr>
          <w:p w14:paraId="119DA43D" w14:textId="77777777" w:rsidR="009A581E" w:rsidRPr="00121B8A" w:rsidRDefault="00121B8A" w:rsidP="007B5B22">
            <w:pPr>
              <w:widowControl w:val="0"/>
              <w:spacing w:after="0" w:line="240" w:lineRule="auto"/>
              <w:ind w:left="0" w:firstLine="0"/>
            </w:pPr>
            <w:r w:rsidRPr="00121B8A">
              <w:t>100,6</w:t>
            </w:r>
          </w:p>
          <w:p w14:paraId="67B27FDD" w14:textId="77777777" w:rsidR="009A581E" w:rsidRPr="00121B8A" w:rsidRDefault="00D2559A" w:rsidP="007B5B22">
            <w:pPr>
              <w:widowControl w:val="0"/>
              <w:spacing w:after="0" w:line="240" w:lineRule="auto"/>
              <w:ind w:left="0" w:firstLine="0"/>
            </w:pPr>
            <w:r w:rsidRPr="00121B8A">
              <w:t>(29,1)</w:t>
            </w:r>
          </w:p>
        </w:tc>
        <w:tc>
          <w:tcPr>
            <w:tcW w:w="1308" w:type="dxa"/>
            <w:tcBorders>
              <w:top w:val="nil"/>
              <w:left w:val="nil"/>
              <w:bottom w:val="double" w:sz="4" w:space="0" w:color="000000"/>
              <w:right w:val="nil"/>
            </w:tcBorders>
          </w:tcPr>
          <w:p w14:paraId="45E03AF8" w14:textId="77777777" w:rsidR="009A581E" w:rsidRPr="00121B8A" w:rsidRDefault="00121B8A" w:rsidP="007B5B22">
            <w:pPr>
              <w:widowControl w:val="0"/>
              <w:spacing w:after="0" w:line="240" w:lineRule="auto"/>
              <w:ind w:left="0" w:firstLine="0"/>
            </w:pPr>
            <w:r w:rsidRPr="00121B8A">
              <w:t>50,6</w:t>
            </w:r>
          </w:p>
          <w:p w14:paraId="46431555" w14:textId="77777777" w:rsidR="009A581E" w:rsidRPr="00121B8A" w:rsidRDefault="00D2559A" w:rsidP="007B5B22">
            <w:pPr>
              <w:widowControl w:val="0"/>
              <w:spacing w:after="0" w:line="240" w:lineRule="auto"/>
              <w:ind w:left="0" w:firstLine="0"/>
            </w:pPr>
            <w:r w:rsidRPr="00121B8A">
              <w:t>(16,5)</w:t>
            </w:r>
          </w:p>
        </w:tc>
        <w:tc>
          <w:tcPr>
            <w:tcW w:w="1243" w:type="dxa"/>
            <w:tcBorders>
              <w:top w:val="nil"/>
              <w:left w:val="nil"/>
              <w:bottom w:val="double" w:sz="4" w:space="0" w:color="000000"/>
              <w:right w:val="nil"/>
            </w:tcBorders>
          </w:tcPr>
          <w:p w14:paraId="16964489" w14:textId="77777777" w:rsidR="009A581E" w:rsidRPr="00121B8A" w:rsidRDefault="00121B8A" w:rsidP="007B5B22">
            <w:pPr>
              <w:widowControl w:val="0"/>
              <w:spacing w:after="0" w:line="240" w:lineRule="auto"/>
              <w:ind w:left="0" w:firstLine="0"/>
            </w:pPr>
            <w:r w:rsidRPr="00121B8A">
              <w:t>35,7</w:t>
            </w:r>
          </w:p>
          <w:p w14:paraId="1DCFE967" w14:textId="77777777" w:rsidR="009A581E" w:rsidRPr="00121B8A" w:rsidRDefault="00D2559A" w:rsidP="007B5B22">
            <w:pPr>
              <w:widowControl w:val="0"/>
              <w:spacing w:after="0" w:line="240" w:lineRule="auto"/>
              <w:ind w:left="0" w:firstLine="0"/>
            </w:pPr>
            <w:r w:rsidRPr="00121B8A">
              <w:t>(19,6)</w:t>
            </w:r>
          </w:p>
        </w:tc>
      </w:tr>
    </w:tbl>
    <w:p w14:paraId="6345A4DD" w14:textId="77777777" w:rsidR="009A581E" w:rsidRPr="00121B8A" w:rsidRDefault="009A581E" w:rsidP="009A581E">
      <w:pPr>
        <w:widowControl w:val="0"/>
        <w:spacing w:after="0" w:line="240" w:lineRule="auto"/>
        <w:ind w:left="0" w:firstLine="0"/>
      </w:pPr>
    </w:p>
    <w:p w14:paraId="01D2B005" w14:textId="77777777" w:rsidR="009A581E" w:rsidRPr="000A1612" w:rsidRDefault="009A581E" w:rsidP="009A581E">
      <w:pPr>
        <w:widowControl w:val="0"/>
        <w:spacing w:after="0" w:line="240" w:lineRule="auto"/>
        <w:ind w:left="0" w:right="44" w:firstLine="0"/>
      </w:pPr>
      <w:r w:rsidRPr="00121B8A">
        <w:rPr>
          <w:i/>
        </w:rPr>
        <w:t>Po transplantácii pečene:</w:t>
      </w:r>
      <w:r w:rsidRPr="00121B8A">
        <w:t xml:space="preserve"> expozícia entekaviru u príjemcov transplantátu pečene infikovaných HBV na stabilnej dávke</w:t>
      </w:r>
      <w:r w:rsidRPr="000A1612">
        <w:t xml:space="preserve"> cyklosporínu A alebo takrolimu (n = 9) bola </w:t>
      </w:r>
      <w:r w:rsidRPr="000A1612">
        <w:rPr>
          <w:rFonts w:eastAsia="Segoe UI Symbol"/>
        </w:rPr>
        <w:t>≈</w:t>
      </w:r>
      <w:r w:rsidRPr="000A1612">
        <w:t xml:space="preserve"> 2-násobkom expozície u zdravých jedincov s normálnou funkciou pečene. U</w:t>
      </w:r>
      <w:r w:rsidR="0011437E">
        <w:t xml:space="preserve"> týchto </w:t>
      </w:r>
      <w:r w:rsidRPr="000A1612">
        <w:t>pacientov po transplantácii pečene zmenená funkcia pečene prispela k zvýšeniu expozície entekaviru (pozri časť 4.4).</w:t>
      </w:r>
    </w:p>
    <w:p w14:paraId="0AB75B5A" w14:textId="77777777" w:rsidR="009A581E" w:rsidRPr="000A1612" w:rsidRDefault="009A581E" w:rsidP="009A581E">
      <w:pPr>
        <w:widowControl w:val="0"/>
        <w:spacing w:after="0" w:line="240" w:lineRule="auto"/>
        <w:ind w:left="0" w:firstLine="0"/>
      </w:pPr>
    </w:p>
    <w:p w14:paraId="373853A1" w14:textId="77777777" w:rsidR="009A581E" w:rsidRPr="000A1612" w:rsidRDefault="009A581E" w:rsidP="009A581E">
      <w:pPr>
        <w:widowControl w:val="0"/>
        <w:spacing w:after="0" w:line="240" w:lineRule="auto"/>
        <w:ind w:left="0" w:right="106" w:firstLine="0"/>
      </w:pPr>
      <w:r w:rsidRPr="000A1612">
        <w:rPr>
          <w:i/>
        </w:rPr>
        <w:t>Pohlavie:</w:t>
      </w:r>
      <w:r w:rsidRPr="000A1612">
        <w:t xml:space="preserve"> hodnota AUC bola o 14 % vyššia u žien ako u mužov, kvôli rozdielom vo funkcii obličiek a telesnej hmotnosti. Po úprave v zmysle rozdielov v klírense kreatinínu a telesnej hmotnosti nebol medzi mužmi a ženami žiadny rozdiel v expozícii.</w:t>
      </w:r>
    </w:p>
    <w:p w14:paraId="06ED2059" w14:textId="77777777" w:rsidR="009A581E" w:rsidRPr="000A1612" w:rsidRDefault="009A581E" w:rsidP="009A581E">
      <w:pPr>
        <w:widowControl w:val="0"/>
        <w:spacing w:after="0" w:line="240" w:lineRule="auto"/>
        <w:ind w:left="0" w:firstLine="0"/>
      </w:pPr>
    </w:p>
    <w:p w14:paraId="51FEAADB" w14:textId="77777777" w:rsidR="009A581E" w:rsidRPr="000A1612" w:rsidRDefault="009A581E" w:rsidP="009A581E">
      <w:pPr>
        <w:widowControl w:val="0"/>
        <w:spacing w:after="0" w:line="240" w:lineRule="auto"/>
        <w:ind w:left="0" w:right="44" w:firstLine="0"/>
      </w:pPr>
      <w:r w:rsidRPr="000A1612">
        <w:rPr>
          <w:i/>
        </w:rPr>
        <w:t>Staršie osoby</w:t>
      </w:r>
      <w:r w:rsidRPr="000A1612">
        <w:t xml:space="preserve">: vplyv veku na farmakokinetiku entekaviru bol hodnotený porovnaním starších jedincov vo vekovom rozmedzí 65 – 83 rokov (priemerný vek žien 69 rokov, mužov 74 rokov) s mladými jedincami vo vekovom rozmedzí 20 – 40 rokov (priemerný vek žien 29 rokov, mužov 25 rokov). Hodnota AUC bola o 29 % vyššia u starších jedincov ako u mladých jedincov, hlavne kvôli rozdielom vo funkcii obličiek a telesnej hmotnosti. Po úprave vzhľadom na rozdiel v klírense kreatinínu a telesnej hmotnosti bola hodnota AUC u starších jedincov o 12,5 % vyššia ako u mladých jedincov. </w:t>
      </w:r>
    </w:p>
    <w:p w14:paraId="31ED7A10" w14:textId="77777777" w:rsidR="009A581E" w:rsidRPr="000A1612" w:rsidRDefault="009A581E" w:rsidP="009A581E">
      <w:pPr>
        <w:widowControl w:val="0"/>
        <w:spacing w:after="0" w:line="240" w:lineRule="auto"/>
        <w:ind w:left="0" w:right="44" w:firstLine="0"/>
      </w:pPr>
      <w:r w:rsidRPr="000A1612">
        <w:lastRenderedPageBreak/>
        <w:t>Populačná farmakokinetická analýza zahŕňajúca pacientov vo vekovom rozmedzí 16 – 75 rokov neidentifikovala vek ako faktor významne ovplyvňujúci farmakokinetiku entekaviru.</w:t>
      </w:r>
    </w:p>
    <w:p w14:paraId="7E707DDE" w14:textId="77777777" w:rsidR="009A581E" w:rsidRPr="00D2559A" w:rsidRDefault="009A581E" w:rsidP="009A581E">
      <w:pPr>
        <w:widowControl w:val="0"/>
        <w:spacing w:after="0" w:line="240" w:lineRule="auto"/>
        <w:ind w:left="0" w:firstLine="0"/>
      </w:pPr>
    </w:p>
    <w:p w14:paraId="3C99A77B" w14:textId="77777777" w:rsidR="009A581E" w:rsidRPr="000A1612" w:rsidRDefault="009A581E" w:rsidP="009A581E">
      <w:pPr>
        <w:widowControl w:val="0"/>
        <w:spacing w:after="0" w:line="240" w:lineRule="auto"/>
        <w:ind w:left="0" w:right="44" w:firstLine="0"/>
      </w:pPr>
      <w:r w:rsidRPr="000A1612">
        <w:rPr>
          <w:i/>
        </w:rPr>
        <w:t>Rasa:</w:t>
      </w:r>
      <w:r w:rsidRPr="000A1612">
        <w:t xml:space="preserve"> populačná farmakokinetická analýza neidentifikovala rasu ako faktor významne ovplyvňujúci farmakokinetiku entekaviru. Závery je však možné urobiť len pre bielu a ázijskú rasu, pretože bolo príliš málo jedincov iných rás.</w:t>
      </w:r>
    </w:p>
    <w:p w14:paraId="6DBB0102" w14:textId="77777777" w:rsidR="009A581E" w:rsidRPr="00D2559A" w:rsidRDefault="009A581E" w:rsidP="009A581E">
      <w:pPr>
        <w:widowControl w:val="0"/>
        <w:spacing w:after="0" w:line="240" w:lineRule="auto"/>
        <w:ind w:left="0" w:firstLine="0"/>
      </w:pPr>
    </w:p>
    <w:p w14:paraId="3A229613" w14:textId="77777777" w:rsidR="00EB5E31" w:rsidRDefault="009A581E" w:rsidP="009A581E">
      <w:pPr>
        <w:widowControl w:val="0"/>
        <w:spacing w:after="0" w:line="240" w:lineRule="auto"/>
        <w:ind w:left="0" w:right="119" w:firstLine="0"/>
      </w:pPr>
      <w:r w:rsidRPr="000A1612">
        <w:rPr>
          <w:i/>
        </w:rPr>
        <w:t>Pediatrická populácia:</w:t>
      </w:r>
      <w:r w:rsidRPr="000A1612">
        <w:t xml:space="preserve"> farmakokinetika rovnovážneho stavu entekaviru sa hodnotila (štúdia 028) u 24 HBeAg pozitívnych pediatrických jedincov vo veku od 2 do &lt; 18 rokov s kompenzovaným ochorením pečene predtým neliečených nukleozidmi a u 19 liečených lamivudínom. Expozícia entekaviru v skupine jedincov predtým neliečených nukleozidmi, ktorí dostávali jedenkrát denne dávky entekaviru 0,015 mg/kg až maximálnu dávku 0,5 mg bola podobná expozícii, ktorá sa dosiahla u dospelých, ktorí dostávali jedenkrát denne dávky 0,5 mg. C</w:t>
      </w:r>
      <w:r w:rsidRPr="007737A2">
        <w:rPr>
          <w:vertAlign w:val="subscript"/>
        </w:rPr>
        <w:t>max</w:t>
      </w:r>
      <w:r w:rsidRPr="000A1612">
        <w:t>, AUC(0-24) a C</w:t>
      </w:r>
      <w:r w:rsidRPr="007737A2">
        <w:rPr>
          <w:vertAlign w:val="subscript"/>
        </w:rPr>
        <w:t>min</w:t>
      </w:r>
      <w:r w:rsidRPr="000A1612">
        <w:t xml:space="preserve"> u týchto jedincov bola 6,31 ng/ml, 18,33 ng h/ml a</w:t>
      </w:r>
      <w:r w:rsidR="007737A2">
        <w:t xml:space="preserve"> 0,28 ng/ml, v uvedenom poradí.</w:t>
      </w:r>
    </w:p>
    <w:p w14:paraId="5BE4238D" w14:textId="77777777" w:rsidR="009A581E" w:rsidRPr="000A1612" w:rsidRDefault="009A581E" w:rsidP="009A581E">
      <w:pPr>
        <w:widowControl w:val="0"/>
        <w:spacing w:after="0" w:line="240" w:lineRule="auto"/>
        <w:ind w:left="0" w:right="119" w:firstLine="0"/>
      </w:pPr>
      <w:r w:rsidRPr="000A1612">
        <w:t>Expozícia entekaviru v skupine jedincov liečených lamivudínom, ktorí dostávali jedenkrát denne dávky entekaviru 0,030 mg/kg až maximálnu dávku 1,0 mg bola podobná expozícii, ktorá sa dosiahla u dospelých, ktorí dostávali jedenkrát denne dávky 1,0 mg. C</w:t>
      </w:r>
      <w:r w:rsidRPr="007737A2">
        <w:rPr>
          <w:vertAlign w:val="subscript"/>
        </w:rPr>
        <w:t>max</w:t>
      </w:r>
      <w:r w:rsidRPr="000A1612">
        <w:t>, AUC(0-24) a C</w:t>
      </w:r>
      <w:r w:rsidRPr="007737A2">
        <w:rPr>
          <w:vertAlign w:val="subscript"/>
        </w:rPr>
        <w:t>min</w:t>
      </w:r>
      <w:r w:rsidRPr="000A1612">
        <w:t xml:space="preserve"> u týchto jedincov bola 14,48 ng/ml, 38,58 ng·h/ml a 0.47 ng/ml, v uvedenom poradí.</w:t>
      </w:r>
    </w:p>
    <w:p w14:paraId="5A34D175" w14:textId="77777777" w:rsidR="009A581E" w:rsidRPr="000A1612" w:rsidRDefault="009A581E" w:rsidP="009A581E">
      <w:pPr>
        <w:widowControl w:val="0"/>
        <w:spacing w:after="0" w:line="240" w:lineRule="auto"/>
        <w:ind w:left="0" w:firstLine="0"/>
      </w:pPr>
    </w:p>
    <w:p w14:paraId="37544B4C" w14:textId="77777777" w:rsidR="009A581E" w:rsidRPr="000A1612" w:rsidRDefault="00D2559A" w:rsidP="00D2559A">
      <w:pPr>
        <w:pStyle w:val="Nadpis2"/>
        <w:keepNext w:val="0"/>
        <w:keepLines w:val="0"/>
        <w:widowControl w:val="0"/>
        <w:tabs>
          <w:tab w:val="left" w:pos="567"/>
          <w:tab w:val="center" w:pos="846"/>
          <w:tab w:val="center" w:pos="2818"/>
        </w:tabs>
        <w:spacing w:after="0" w:line="240" w:lineRule="auto"/>
        <w:ind w:left="0" w:firstLine="0"/>
      </w:pPr>
      <w:r>
        <w:t>5.3</w:t>
      </w:r>
      <w:r w:rsidR="009A581E" w:rsidRPr="000A1612">
        <w:tab/>
        <w:t>Predklinické údaje o bezpečnosti</w:t>
      </w:r>
    </w:p>
    <w:p w14:paraId="37D97BA0" w14:textId="77777777" w:rsidR="009A581E" w:rsidRPr="000A1612" w:rsidRDefault="009A581E" w:rsidP="009A581E">
      <w:pPr>
        <w:widowControl w:val="0"/>
        <w:spacing w:after="0" w:line="240" w:lineRule="auto"/>
        <w:ind w:left="0" w:firstLine="0"/>
      </w:pPr>
    </w:p>
    <w:p w14:paraId="2D687AE0" w14:textId="77777777" w:rsidR="009A581E" w:rsidRPr="000A1612" w:rsidRDefault="009A581E" w:rsidP="009A581E">
      <w:pPr>
        <w:widowControl w:val="0"/>
        <w:spacing w:after="0" w:line="240" w:lineRule="auto"/>
        <w:ind w:left="0" w:right="44" w:firstLine="0"/>
      </w:pPr>
      <w:r w:rsidRPr="000A1612">
        <w:t xml:space="preserve">V toxikologických štúdiách s opakovaným podávaním </w:t>
      </w:r>
      <w:r w:rsidR="005E14C7">
        <w:t>na</w:t>
      </w:r>
      <w:r w:rsidRPr="000A1612">
        <w:t xml:space="preserve"> pso</w:t>
      </w:r>
      <w:r w:rsidR="005E14C7">
        <w:t>ch</w:t>
      </w:r>
      <w:r w:rsidRPr="000A1612">
        <w:t xml:space="preserve"> bol pozorovaný reverzibilný perivaskulárny zápal v centrálnom nervovom systéme, pre ktorý neúčinné dávky zodpovedali expozíciám 19- a 10-násobne vyšším ako sú expozície u ľudí (pri dávke 0,5 mg a 1 mg). Toto zistenie nebolo pozorované v štúdiách s opakovaným podávaním </w:t>
      </w:r>
      <w:r w:rsidR="005E14C7">
        <w:t>na</w:t>
      </w:r>
      <w:r w:rsidRPr="000A1612">
        <w:t xml:space="preserve"> ďalších živočíšnych druho</w:t>
      </w:r>
      <w:r w:rsidR="005E14C7">
        <w:t>ch</w:t>
      </w:r>
      <w:r w:rsidRPr="000A1612">
        <w:t>, vrátane opíc, ktorým bol entekavir podávaný denne po dobu 1 roka pri expozíciách ≥ 100-násobne vyšších ako sú expozície u ľudí.</w:t>
      </w:r>
    </w:p>
    <w:p w14:paraId="1C3E9D5F" w14:textId="77777777" w:rsidR="009A581E" w:rsidRPr="000A1612" w:rsidRDefault="009A581E" w:rsidP="009A581E">
      <w:pPr>
        <w:widowControl w:val="0"/>
        <w:spacing w:after="0" w:line="240" w:lineRule="auto"/>
        <w:ind w:left="0" w:firstLine="0"/>
      </w:pPr>
    </w:p>
    <w:p w14:paraId="29280F9E" w14:textId="77777777" w:rsidR="009A581E" w:rsidRPr="000A1612" w:rsidRDefault="009A581E" w:rsidP="009A581E">
      <w:pPr>
        <w:widowControl w:val="0"/>
        <w:spacing w:after="0" w:line="240" w:lineRule="auto"/>
        <w:ind w:left="0" w:right="301" w:firstLine="0"/>
      </w:pPr>
      <w:r w:rsidRPr="000A1612">
        <w:t xml:space="preserve">V reprodukčných toxikologických štúdiách, v ktorých bol zvieratám podávaný entekavir po dobu až 4 týždňov, neboli pozorované žiadne dôkazy o poruche fertility u samcov ani u samíc potkanov pri vysokých expozíciách. Zmeny semenníkov (degenerácia semenných kanálikov) boli zjavné v toxikologických štúdiách s opakovaným podávaním </w:t>
      </w:r>
      <w:r w:rsidR="0073192F">
        <w:t>na</w:t>
      </w:r>
      <w:r w:rsidRPr="000A1612">
        <w:t xml:space="preserve"> hlodavco</w:t>
      </w:r>
      <w:r w:rsidR="0073192F">
        <w:t>ch</w:t>
      </w:r>
      <w:r w:rsidRPr="000A1612">
        <w:t xml:space="preserve"> a pso</w:t>
      </w:r>
      <w:r w:rsidR="0073192F">
        <w:t>ch</w:t>
      </w:r>
      <w:r w:rsidRPr="000A1612">
        <w:t xml:space="preserve"> pri expozíciách  ≥ 26-násobne vyšších ako expozície u ľudí. V 1-ročnej štúdii </w:t>
      </w:r>
      <w:r w:rsidR="0073192F">
        <w:t>na</w:t>
      </w:r>
      <w:r w:rsidRPr="000A1612">
        <w:t xml:space="preserve"> op</w:t>
      </w:r>
      <w:r w:rsidR="0073192F">
        <w:t>iciach</w:t>
      </w:r>
      <w:r w:rsidRPr="000A1612">
        <w:t xml:space="preserve"> neboli zjavné žiadne zmeny semenníkov.</w:t>
      </w:r>
    </w:p>
    <w:p w14:paraId="00EBEC88" w14:textId="77777777" w:rsidR="009A581E" w:rsidRPr="000A1612" w:rsidRDefault="009A581E" w:rsidP="009A581E">
      <w:pPr>
        <w:widowControl w:val="0"/>
        <w:spacing w:after="0" w:line="240" w:lineRule="auto"/>
        <w:ind w:left="0" w:firstLine="0"/>
      </w:pPr>
    </w:p>
    <w:p w14:paraId="75DDBF7F" w14:textId="77777777" w:rsidR="009A581E" w:rsidRPr="000A1612" w:rsidRDefault="00D2559A" w:rsidP="00D2559A">
      <w:pPr>
        <w:widowControl w:val="0"/>
        <w:spacing w:after="0" w:line="240" w:lineRule="auto"/>
        <w:ind w:left="0" w:right="460" w:firstLine="0"/>
      </w:pPr>
      <w:r>
        <w:t xml:space="preserve">U </w:t>
      </w:r>
      <w:r w:rsidR="009A581E" w:rsidRPr="000A1612">
        <w:t xml:space="preserve">gravidných potkanov a králikov, ktorým bol podávaný entekavir, neboli pri expozíciách ≥ 21-násobne vyšších ako sú expozície u ľudí pozorované žiadne toxické účinky na embryo ani na matku. U potkanov boli pozorované toxické účinky na matku, embryonálny a fetálny vývoj </w:t>
      </w:r>
    </w:p>
    <w:p w14:paraId="57085DC7" w14:textId="77777777" w:rsidR="009A581E" w:rsidRPr="000A1612" w:rsidRDefault="009A581E" w:rsidP="009A581E">
      <w:pPr>
        <w:widowControl w:val="0"/>
        <w:spacing w:after="0" w:line="240" w:lineRule="auto"/>
        <w:ind w:left="0" w:right="44" w:firstLine="0"/>
      </w:pPr>
      <w:r w:rsidRPr="000A1612">
        <w:t xml:space="preserve">(resorpcie), nižšia telesná hmotnosť plodu, malformácie chvostu a chrbtice, znížená osifikácia (stavcov, segmentov hrudnej kosti a článkov prstov) a nadpočetné driekové stavce a rebrá pozorované pri vysokých expozíciách. U králikov boli pri vysokých expozíciách pozorované toxické účinky na vývoj embrya a plodu (resorpcie), znížená osifikácia (jazylky) a zvýšený výskyt 13. rebra. V štúdiách perinatálneho a postnatálneho obdobia </w:t>
      </w:r>
      <w:r w:rsidR="006418BC">
        <w:t>na</w:t>
      </w:r>
      <w:r w:rsidRPr="000A1612">
        <w:t xml:space="preserve"> potkano</w:t>
      </w:r>
      <w:r w:rsidR="006418BC">
        <w:t>ch</w:t>
      </w:r>
      <w:r w:rsidRPr="000A1612">
        <w:t xml:space="preserve"> neboli pozorované žiadne nežiaduce účinky na mláďatá. V osobitnej štúdii, v ktorej bol entekavir podávaný gravidným potkanom počas laktácie v dávke 10 mg/kg, bola preukázaná fetálna expozícia entekaviru aj vylučovanie entekaviru do mlieka. U juvenilných potkanov, ktorým sa podával entekavir od 4. do 80. dňa po narodení, sa zaznamenala mierne znížená reakcia na akustické vyplašenie počas obdobia zotavovania sa (110. až 114. deň po narodení), no nie počas obdobia podávania pri hodnotách AUC ≥ 92-násobok tých, ktoré sú u ľudí pri dávke 0,5 mg alebo pri ekvivalentnej pediatrickej dávke. Vzhľadom na rozsah expozície sa tento nález považuje za nález nepravdepodobného klinického významu.</w:t>
      </w:r>
    </w:p>
    <w:p w14:paraId="77027D39" w14:textId="77777777" w:rsidR="009A581E" w:rsidRPr="000A1612" w:rsidRDefault="009A581E" w:rsidP="009A581E">
      <w:pPr>
        <w:widowControl w:val="0"/>
        <w:spacing w:after="0" w:line="240" w:lineRule="auto"/>
        <w:ind w:left="0" w:firstLine="0"/>
      </w:pPr>
    </w:p>
    <w:p w14:paraId="358ADD0F" w14:textId="77777777" w:rsidR="009A581E" w:rsidRPr="000A1612" w:rsidRDefault="00D2559A" w:rsidP="00D2559A">
      <w:pPr>
        <w:widowControl w:val="0"/>
        <w:spacing w:after="0" w:line="240" w:lineRule="auto"/>
        <w:ind w:left="0" w:right="460" w:firstLine="0"/>
      </w:pPr>
      <w:r>
        <w:t xml:space="preserve">V </w:t>
      </w:r>
      <w:r w:rsidR="009A581E" w:rsidRPr="000A1612">
        <w:t>Amesovom teste mikrobiálnej mutagenity, v teste génových mutácií v bunkách cicavcov a v teste bunkových transformácií v embryonálnych bunkách sýrskeho škrečka neboli pozorované žiadne dôkazy o genotoxicite. Mikronukleový test a DNA reparačný test boli tiež negatívne. Entekavir mal klastogénny účinok v kultúrach ľudských lymfocytov pri koncentráciách značne vyšších ako sú koncentrácie dosiahnuté pri klinickom používaní.</w:t>
      </w:r>
    </w:p>
    <w:p w14:paraId="2B4F4AEA" w14:textId="77777777" w:rsidR="009A581E" w:rsidRPr="000A1612" w:rsidRDefault="009A581E" w:rsidP="009A581E">
      <w:pPr>
        <w:widowControl w:val="0"/>
        <w:spacing w:after="0" w:line="240" w:lineRule="auto"/>
        <w:ind w:left="0" w:firstLine="0"/>
      </w:pPr>
    </w:p>
    <w:p w14:paraId="1BF9AAE8" w14:textId="77777777" w:rsidR="009A581E" w:rsidRPr="000A1612" w:rsidRDefault="009A581E" w:rsidP="009A581E">
      <w:pPr>
        <w:widowControl w:val="0"/>
        <w:spacing w:after="0" w:line="240" w:lineRule="auto"/>
        <w:ind w:left="0" w:right="281" w:firstLine="0"/>
      </w:pPr>
      <w:r w:rsidRPr="000A1612">
        <w:lastRenderedPageBreak/>
        <w:t xml:space="preserve">Dvojročné štúdie karcinogenity: </w:t>
      </w:r>
      <w:r w:rsidR="00C170A9">
        <w:t>na</w:t>
      </w:r>
      <w:r w:rsidRPr="000A1612">
        <w:t xml:space="preserve"> samco</w:t>
      </w:r>
      <w:r w:rsidR="00C170A9">
        <w:t>ch</w:t>
      </w:r>
      <w:r w:rsidRPr="000A1612">
        <w:t xml:space="preserve"> myší bol pozorovaný zvýšený výskyt tumorov pľúc pri expozíciách ≥ 4-násobne (pri 0,5 mg) a ≥ 2-násobne (pri 1 mg) vyšších ako sú expozície u ľudí. Rozvoju tumorov predchádzala proliferácia pneumocytov v pľúcach, ktorá nebola pozorovaná </w:t>
      </w:r>
      <w:r w:rsidR="00C170A9">
        <w:t>na</w:t>
      </w:r>
      <w:r w:rsidRPr="000A1612">
        <w:t xml:space="preserve"> potkano</w:t>
      </w:r>
      <w:r w:rsidR="00C170A9">
        <w:t>ch</w:t>
      </w:r>
      <w:r w:rsidRPr="000A1612">
        <w:t>, pso</w:t>
      </w:r>
      <w:r w:rsidR="00C170A9">
        <w:t>ch</w:t>
      </w:r>
      <w:r w:rsidRPr="000A1612">
        <w:t xml:space="preserve"> ani op</w:t>
      </w:r>
      <w:r w:rsidR="00C170A9">
        <w:t>iciach</w:t>
      </w:r>
      <w:r w:rsidRPr="000A1612">
        <w:t xml:space="preserve">, čo naznačuje, že kľúčová udalosť pri rozvoji tumorov pľúc pozorovaná </w:t>
      </w:r>
      <w:r w:rsidR="00C170A9">
        <w:t>na</w:t>
      </w:r>
      <w:r w:rsidRPr="000A1612">
        <w:t xml:space="preserve"> myš</w:t>
      </w:r>
      <w:r w:rsidR="00C170A9">
        <w:t>iach</w:t>
      </w:r>
      <w:r w:rsidRPr="000A1612">
        <w:t xml:space="preserve"> bola pravdepodobne špecifická pre tento živočíšny druh. Zvýšený výskyt iných tumorov zahŕňajúcich gliómy mozgu u samcov a samíc potkanov, karcinómy pečene u samcov myší, benígne vaskulárne tumory u samíc myší a adenómy a karcinómy pečene u samíc potkanov boli pozorované len pri vysokých celoživotných expozíciách. Nebolo však možné presne stanoviť neúčinnú dávku. Predikčná hodnota týchto zistení pre ľudí nie je známa.</w:t>
      </w:r>
    </w:p>
    <w:p w14:paraId="541E4D16" w14:textId="77777777" w:rsidR="009A581E" w:rsidRPr="000A1612" w:rsidRDefault="009A581E" w:rsidP="009A581E">
      <w:pPr>
        <w:widowControl w:val="0"/>
        <w:spacing w:after="0" w:line="240" w:lineRule="auto"/>
        <w:ind w:left="0" w:firstLine="0"/>
      </w:pPr>
    </w:p>
    <w:p w14:paraId="298037C9" w14:textId="77777777" w:rsidR="009A581E" w:rsidRPr="000A1612" w:rsidRDefault="009A581E" w:rsidP="009A581E">
      <w:pPr>
        <w:widowControl w:val="0"/>
        <w:spacing w:after="0" w:line="240" w:lineRule="auto"/>
        <w:ind w:left="0" w:firstLine="0"/>
      </w:pPr>
    </w:p>
    <w:p w14:paraId="36E8D7FC" w14:textId="77777777" w:rsidR="009A581E" w:rsidRPr="000A1612" w:rsidRDefault="009A581E" w:rsidP="00130E2E">
      <w:pPr>
        <w:pStyle w:val="Nadpis1"/>
        <w:keepNext w:val="0"/>
        <w:keepLines w:val="0"/>
        <w:widowControl w:val="0"/>
        <w:tabs>
          <w:tab w:val="left" w:pos="567"/>
          <w:tab w:val="center" w:pos="791"/>
          <w:tab w:val="center" w:pos="3033"/>
        </w:tabs>
        <w:spacing w:after="0" w:line="240" w:lineRule="auto"/>
        <w:ind w:left="0" w:firstLine="0"/>
      </w:pPr>
      <w:r w:rsidRPr="000A1612">
        <w:t>6.</w:t>
      </w:r>
      <w:r w:rsidR="00130E2E">
        <w:tab/>
      </w:r>
      <w:r w:rsidRPr="000A1612">
        <w:t>FARMACEUTICKÉ INFORMÁCIE</w:t>
      </w:r>
    </w:p>
    <w:p w14:paraId="1DB2C0B5" w14:textId="77777777" w:rsidR="009A581E" w:rsidRPr="000A1612" w:rsidRDefault="009A581E" w:rsidP="009A581E">
      <w:pPr>
        <w:widowControl w:val="0"/>
        <w:spacing w:after="0" w:line="240" w:lineRule="auto"/>
        <w:ind w:left="0" w:firstLine="0"/>
      </w:pPr>
    </w:p>
    <w:p w14:paraId="6D979147" w14:textId="77777777" w:rsidR="009A581E" w:rsidRPr="000A1612" w:rsidRDefault="00130E2E" w:rsidP="00130E2E">
      <w:pPr>
        <w:pStyle w:val="Nadpis2"/>
        <w:keepNext w:val="0"/>
        <w:keepLines w:val="0"/>
        <w:widowControl w:val="0"/>
        <w:tabs>
          <w:tab w:val="left" w:pos="567"/>
          <w:tab w:val="center" w:pos="846"/>
          <w:tab w:val="center" w:pos="2493"/>
        </w:tabs>
        <w:spacing w:after="0" w:line="240" w:lineRule="auto"/>
        <w:ind w:left="0" w:firstLine="0"/>
      </w:pPr>
      <w:r>
        <w:t>6.1</w:t>
      </w:r>
      <w:r>
        <w:tab/>
      </w:r>
      <w:r>
        <w:tab/>
      </w:r>
      <w:r w:rsidR="009A581E" w:rsidRPr="000A1612">
        <w:t>Zoznam pomocných látok</w:t>
      </w:r>
    </w:p>
    <w:p w14:paraId="6AAD5377" w14:textId="77777777" w:rsidR="00130E2E" w:rsidRPr="000A1612" w:rsidRDefault="00130E2E" w:rsidP="009A581E">
      <w:pPr>
        <w:widowControl w:val="0"/>
        <w:spacing w:after="0" w:line="240" w:lineRule="auto"/>
        <w:ind w:left="0" w:firstLine="0"/>
      </w:pPr>
    </w:p>
    <w:p w14:paraId="1667F40B" w14:textId="044F550B" w:rsidR="00130E2E" w:rsidRDefault="00130E2E" w:rsidP="00130E2E">
      <w:pPr>
        <w:widowControl w:val="0"/>
        <w:spacing w:after="0" w:line="240" w:lineRule="auto"/>
        <w:ind w:left="0" w:firstLine="0"/>
        <w:rPr>
          <w:u w:val="single" w:color="000000"/>
        </w:rPr>
      </w:pPr>
      <w:r>
        <w:rPr>
          <w:u w:val="single" w:color="000000"/>
        </w:rPr>
        <w:t>Entecavir Glenmark</w:t>
      </w:r>
      <w:r w:rsidR="009A581E" w:rsidRPr="000A1612">
        <w:rPr>
          <w:u w:val="single" w:color="000000"/>
        </w:rPr>
        <w:t xml:space="preserve"> 0,5 mg</w:t>
      </w:r>
    </w:p>
    <w:p w14:paraId="2D0A0E7B" w14:textId="77777777" w:rsidR="00130E2E" w:rsidRPr="00130E2E" w:rsidRDefault="00130E2E" w:rsidP="00130E2E">
      <w:pPr>
        <w:widowControl w:val="0"/>
        <w:spacing w:after="0" w:line="240" w:lineRule="auto"/>
        <w:ind w:left="0" w:right="-284" w:firstLine="0"/>
        <w:rPr>
          <w:u w:val="single"/>
        </w:rPr>
      </w:pPr>
      <w:r w:rsidRPr="00130E2E">
        <w:rPr>
          <w:u w:val="single" w:color="000000"/>
        </w:rPr>
        <w:t>Jadro tablety</w:t>
      </w:r>
      <w:r w:rsidRPr="00130E2E">
        <w:rPr>
          <w:u w:val="single"/>
        </w:rPr>
        <w:t>:</w:t>
      </w:r>
    </w:p>
    <w:p w14:paraId="75DA5F45" w14:textId="77777777" w:rsidR="00130E2E" w:rsidRDefault="00130E2E" w:rsidP="00130E2E">
      <w:pPr>
        <w:widowControl w:val="0"/>
        <w:spacing w:after="0" w:line="240" w:lineRule="auto"/>
        <w:ind w:left="0" w:right="-284" w:firstLine="0"/>
      </w:pPr>
      <w:r w:rsidRPr="004743FB">
        <w:t>mikro</w:t>
      </w:r>
      <w:r>
        <w:t>kryštalická celulóza (E460)</w:t>
      </w:r>
    </w:p>
    <w:p w14:paraId="5585CB0F" w14:textId="77777777" w:rsidR="00130E2E" w:rsidRDefault="00EE7007" w:rsidP="00130E2E">
      <w:pPr>
        <w:widowControl w:val="0"/>
        <w:spacing w:after="0" w:line="240" w:lineRule="auto"/>
        <w:ind w:left="0" w:right="-284" w:firstLine="0"/>
      </w:pPr>
      <w:r>
        <w:t xml:space="preserve">laktóza, </w:t>
      </w:r>
      <w:r w:rsidR="00130E2E" w:rsidRPr="004743FB">
        <w:t xml:space="preserve">monohydrát </w:t>
      </w:r>
    </w:p>
    <w:p w14:paraId="08CBD4FF" w14:textId="77777777" w:rsidR="00130E2E" w:rsidRDefault="00130E2E" w:rsidP="00130E2E">
      <w:pPr>
        <w:widowControl w:val="0"/>
        <w:spacing w:after="0" w:line="240" w:lineRule="auto"/>
        <w:ind w:left="0" w:right="-284" w:firstLine="0"/>
      </w:pPr>
      <w:r>
        <w:t>predželatínovaný kukuričný škrob</w:t>
      </w:r>
    </w:p>
    <w:p w14:paraId="0EB6E640" w14:textId="77777777" w:rsidR="00130E2E" w:rsidRDefault="00130E2E" w:rsidP="00130E2E">
      <w:pPr>
        <w:widowControl w:val="0"/>
        <w:spacing w:after="0" w:line="240" w:lineRule="auto"/>
        <w:ind w:left="0" w:right="-284" w:firstLine="0"/>
      </w:pPr>
      <w:r w:rsidRPr="004743FB">
        <w:t>krospovidón</w:t>
      </w:r>
      <w:r>
        <w:t xml:space="preserve"> (typ A) (E1202)</w:t>
      </w:r>
    </w:p>
    <w:p w14:paraId="19ABCDCA" w14:textId="77777777" w:rsidR="00130E2E" w:rsidRPr="004743FB" w:rsidRDefault="00130E2E" w:rsidP="00130E2E">
      <w:pPr>
        <w:widowControl w:val="0"/>
        <w:spacing w:after="0" w:line="240" w:lineRule="auto"/>
        <w:ind w:left="0" w:right="-284" w:firstLine="0"/>
      </w:pPr>
      <w:r>
        <w:t>stearan horečnatý</w:t>
      </w:r>
    </w:p>
    <w:p w14:paraId="6F027C1F" w14:textId="77777777" w:rsidR="009A581E" w:rsidRPr="000A1612" w:rsidRDefault="009A581E" w:rsidP="009A581E">
      <w:pPr>
        <w:widowControl w:val="0"/>
        <w:spacing w:after="0" w:line="240" w:lineRule="auto"/>
        <w:ind w:left="0" w:firstLine="0"/>
      </w:pPr>
    </w:p>
    <w:p w14:paraId="4D60A4E0" w14:textId="77777777" w:rsidR="009A581E" w:rsidRPr="00130E2E" w:rsidRDefault="00130E2E" w:rsidP="009A581E">
      <w:pPr>
        <w:widowControl w:val="0"/>
        <w:spacing w:after="0" w:line="240" w:lineRule="auto"/>
        <w:ind w:left="0" w:right="4769" w:firstLine="0"/>
        <w:rPr>
          <w:u w:val="single"/>
        </w:rPr>
      </w:pPr>
      <w:r w:rsidRPr="00130E2E">
        <w:rPr>
          <w:u w:val="single"/>
        </w:rPr>
        <w:t>Obal tablety:</w:t>
      </w:r>
    </w:p>
    <w:p w14:paraId="0FA209B5" w14:textId="77777777" w:rsidR="00130E2E" w:rsidRDefault="00130E2E" w:rsidP="00130E2E">
      <w:pPr>
        <w:widowControl w:val="0"/>
        <w:spacing w:after="0" w:line="240" w:lineRule="auto"/>
        <w:ind w:left="0" w:right="-284" w:firstLine="0"/>
      </w:pPr>
      <w:r w:rsidRPr="004743FB">
        <w:t>oxid titaničitý</w:t>
      </w:r>
      <w:r>
        <w:t xml:space="preserve"> (E171)</w:t>
      </w:r>
    </w:p>
    <w:p w14:paraId="565B208C" w14:textId="77777777" w:rsidR="00130E2E" w:rsidRDefault="00130E2E" w:rsidP="00130E2E">
      <w:pPr>
        <w:widowControl w:val="0"/>
        <w:spacing w:after="0" w:line="240" w:lineRule="auto"/>
        <w:ind w:left="0" w:right="-284" w:firstLine="0"/>
      </w:pPr>
      <w:r w:rsidRPr="004743FB">
        <w:t>hypromelóza</w:t>
      </w:r>
      <w:r>
        <w:t xml:space="preserve"> (E464)</w:t>
      </w:r>
    </w:p>
    <w:p w14:paraId="00FC72C1" w14:textId="77777777" w:rsidR="00130E2E" w:rsidRDefault="00130E2E" w:rsidP="00130E2E">
      <w:pPr>
        <w:widowControl w:val="0"/>
        <w:spacing w:after="0" w:line="240" w:lineRule="auto"/>
        <w:ind w:left="0" w:right="-284" w:firstLine="0"/>
      </w:pPr>
      <w:r w:rsidRPr="004743FB">
        <w:t>makrogol 400</w:t>
      </w:r>
      <w:r>
        <w:t xml:space="preserve"> (E1521)</w:t>
      </w:r>
    </w:p>
    <w:p w14:paraId="6FCB0C0F" w14:textId="77777777" w:rsidR="00130E2E" w:rsidRDefault="00130E2E" w:rsidP="00130E2E">
      <w:pPr>
        <w:widowControl w:val="0"/>
        <w:spacing w:after="0" w:line="240" w:lineRule="auto"/>
        <w:ind w:left="0" w:right="-284" w:firstLine="0"/>
      </w:pPr>
      <w:r>
        <w:t>polysorbát 80 (E433)</w:t>
      </w:r>
    </w:p>
    <w:p w14:paraId="5B9A9342" w14:textId="77777777" w:rsidR="009A581E" w:rsidRPr="000A1612" w:rsidRDefault="009A581E" w:rsidP="009A581E">
      <w:pPr>
        <w:widowControl w:val="0"/>
        <w:spacing w:after="0" w:line="240" w:lineRule="auto"/>
        <w:ind w:left="0" w:firstLine="0"/>
      </w:pPr>
    </w:p>
    <w:p w14:paraId="54104170" w14:textId="727E47A8" w:rsidR="00130E2E" w:rsidRPr="007737A2" w:rsidRDefault="00130E2E" w:rsidP="00130E2E">
      <w:pPr>
        <w:widowControl w:val="0"/>
        <w:spacing w:after="0" w:line="240" w:lineRule="auto"/>
        <w:ind w:left="0" w:firstLine="0"/>
        <w:rPr>
          <w:highlight w:val="lightGray"/>
          <w:u w:val="single" w:color="000000"/>
        </w:rPr>
      </w:pPr>
      <w:r w:rsidRPr="007737A2">
        <w:rPr>
          <w:highlight w:val="lightGray"/>
          <w:u w:val="single" w:color="000000"/>
        </w:rPr>
        <w:t>Entecavir Glenmark 1 mg</w:t>
      </w:r>
    </w:p>
    <w:p w14:paraId="0EAB4633" w14:textId="77777777" w:rsidR="00130E2E" w:rsidRPr="007737A2" w:rsidRDefault="00130E2E" w:rsidP="00130E2E">
      <w:pPr>
        <w:widowControl w:val="0"/>
        <w:spacing w:after="0" w:line="240" w:lineRule="auto"/>
        <w:ind w:left="0" w:right="-284" w:firstLine="0"/>
        <w:rPr>
          <w:highlight w:val="lightGray"/>
          <w:u w:val="single"/>
        </w:rPr>
      </w:pPr>
      <w:r w:rsidRPr="007737A2">
        <w:rPr>
          <w:highlight w:val="lightGray"/>
          <w:u w:val="single" w:color="000000"/>
        </w:rPr>
        <w:t>Jadro tablety</w:t>
      </w:r>
      <w:r w:rsidRPr="007737A2">
        <w:rPr>
          <w:highlight w:val="lightGray"/>
          <w:u w:val="single"/>
        </w:rPr>
        <w:t>:</w:t>
      </w:r>
    </w:p>
    <w:p w14:paraId="5BB0C434"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mikrokryštalická celulóza (E460)</w:t>
      </w:r>
    </w:p>
    <w:p w14:paraId="2763E924" w14:textId="77777777" w:rsidR="00130E2E" w:rsidRPr="007737A2" w:rsidRDefault="00EE7007" w:rsidP="00130E2E">
      <w:pPr>
        <w:widowControl w:val="0"/>
        <w:spacing w:after="0" w:line="240" w:lineRule="auto"/>
        <w:ind w:left="0" w:right="-284" w:firstLine="0"/>
        <w:rPr>
          <w:highlight w:val="lightGray"/>
        </w:rPr>
      </w:pPr>
      <w:r w:rsidRPr="007737A2">
        <w:rPr>
          <w:highlight w:val="lightGray"/>
        </w:rPr>
        <w:t xml:space="preserve">laktóza, </w:t>
      </w:r>
      <w:r w:rsidR="00130E2E" w:rsidRPr="007737A2">
        <w:rPr>
          <w:highlight w:val="lightGray"/>
        </w:rPr>
        <w:t xml:space="preserve">monohydrát </w:t>
      </w:r>
    </w:p>
    <w:p w14:paraId="3EF3D349"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predželatínovaný kukuričný škrob</w:t>
      </w:r>
    </w:p>
    <w:p w14:paraId="2AFD5CC1"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krospovidón (typ A) (E1202)</w:t>
      </w:r>
    </w:p>
    <w:p w14:paraId="54DC2BA8"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stearan horečnatý</w:t>
      </w:r>
    </w:p>
    <w:p w14:paraId="1D83BA2E" w14:textId="77777777" w:rsidR="00130E2E" w:rsidRPr="007737A2" w:rsidRDefault="00130E2E" w:rsidP="00130E2E">
      <w:pPr>
        <w:widowControl w:val="0"/>
        <w:spacing w:after="0" w:line="240" w:lineRule="auto"/>
        <w:ind w:left="0" w:firstLine="0"/>
        <w:rPr>
          <w:highlight w:val="lightGray"/>
        </w:rPr>
      </w:pPr>
    </w:p>
    <w:p w14:paraId="618A2AA2" w14:textId="77777777" w:rsidR="00130E2E" w:rsidRPr="007737A2" w:rsidRDefault="00130E2E" w:rsidP="00130E2E">
      <w:pPr>
        <w:widowControl w:val="0"/>
        <w:spacing w:after="0" w:line="240" w:lineRule="auto"/>
        <w:ind w:left="0" w:right="4769" w:firstLine="0"/>
        <w:rPr>
          <w:highlight w:val="lightGray"/>
          <w:u w:val="single"/>
        </w:rPr>
      </w:pPr>
      <w:r w:rsidRPr="007737A2">
        <w:rPr>
          <w:highlight w:val="lightGray"/>
          <w:u w:val="single"/>
        </w:rPr>
        <w:t>Obal tablety:</w:t>
      </w:r>
    </w:p>
    <w:p w14:paraId="0C928456"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oxid titaničitý (E171)</w:t>
      </w:r>
    </w:p>
    <w:p w14:paraId="6BEB97E7"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hypromelóza (E464)</w:t>
      </w:r>
    </w:p>
    <w:p w14:paraId="482F6FC1"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makrogol 400 (E1521)</w:t>
      </w:r>
    </w:p>
    <w:p w14:paraId="5EDF1C3F" w14:textId="77777777" w:rsidR="00130E2E" w:rsidRPr="007737A2" w:rsidRDefault="00130E2E" w:rsidP="00130E2E">
      <w:pPr>
        <w:widowControl w:val="0"/>
        <w:spacing w:after="0" w:line="240" w:lineRule="auto"/>
        <w:ind w:left="0" w:right="-284" w:firstLine="0"/>
        <w:rPr>
          <w:highlight w:val="lightGray"/>
        </w:rPr>
      </w:pPr>
      <w:r w:rsidRPr="007737A2">
        <w:rPr>
          <w:highlight w:val="lightGray"/>
        </w:rPr>
        <w:t>polysorbát 80 (E433)</w:t>
      </w:r>
    </w:p>
    <w:p w14:paraId="304B94A0" w14:textId="77777777" w:rsidR="00130E2E" w:rsidRPr="004743FB" w:rsidRDefault="00130E2E" w:rsidP="00130E2E">
      <w:pPr>
        <w:widowControl w:val="0"/>
        <w:spacing w:after="0" w:line="240" w:lineRule="auto"/>
        <w:ind w:left="0" w:right="-284" w:firstLine="0"/>
      </w:pPr>
      <w:r w:rsidRPr="007737A2">
        <w:rPr>
          <w:highlight w:val="lightGray"/>
        </w:rPr>
        <w:t>červený oxid železitý (E172)</w:t>
      </w:r>
    </w:p>
    <w:p w14:paraId="5E917BA4" w14:textId="77777777" w:rsidR="009A581E" w:rsidRPr="000A1612" w:rsidRDefault="009A581E" w:rsidP="009A581E">
      <w:pPr>
        <w:widowControl w:val="0"/>
        <w:spacing w:after="0" w:line="240" w:lineRule="auto"/>
        <w:ind w:left="0" w:firstLine="0"/>
      </w:pPr>
    </w:p>
    <w:p w14:paraId="0E41214A" w14:textId="77777777" w:rsidR="009A581E" w:rsidRPr="000A1612" w:rsidRDefault="009A581E" w:rsidP="00130E2E">
      <w:pPr>
        <w:widowControl w:val="0"/>
        <w:tabs>
          <w:tab w:val="left" w:pos="567"/>
          <w:tab w:val="center" w:pos="846"/>
          <w:tab w:val="center" w:pos="2015"/>
        </w:tabs>
        <w:spacing w:after="0" w:line="240" w:lineRule="auto"/>
        <w:ind w:left="0" w:firstLine="0"/>
      </w:pPr>
      <w:r w:rsidRPr="000A1612">
        <w:rPr>
          <w:b/>
        </w:rPr>
        <w:t>6.2</w:t>
      </w:r>
      <w:r w:rsidR="00130E2E">
        <w:rPr>
          <w:b/>
        </w:rPr>
        <w:tab/>
      </w:r>
      <w:r w:rsidRPr="000A1612">
        <w:rPr>
          <w:b/>
        </w:rPr>
        <w:tab/>
        <w:t xml:space="preserve">Inkompatibility </w:t>
      </w:r>
    </w:p>
    <w:p w14:paraId="73A6DE22" w14:textId="77777777" w:rsidR="009A581E" w:rsidRPr="000A1612" w:rsidRDefault="009A581E" w:rsidP="009A581E">
      <w:pPr>
        <w:widowControl w:val="0"/>
        <w:spacing w:after="0" w:line="240" w:lineRule="auto"/>
        <w:ind w:left="0" w:firstLine="0"/>
      </w:pPr>
    </w:p>
    <w:p w14:paraId="63A4BEC7" w14:textId="77777777" w:rsidR="009A581E" w:rsidRPr="000A1612" w:rsidRDefault="009A581E" w:rsidP="009A581E">
      <w:pPr>
        <w:widowControl w:val="0"/>
        <w:spacing w:after="0" w:line="240" w:lineRule="auto"/>
        <w:ind w:left="0" w:right="44" w:firstLine="0"/>
      </w:pPr>
      <w:r w:rsidRPr="000A1612">
        <w:t>Neaplikovateľné.</w:t>
      </w:r>
    </w:p>
    <w:p w14:paraId="4237BF05" w14:textId="77777777" w:rsidR="009A581E" w:rsidRPr="000A1612" w:rsidRDefault="009A581E" w:rsidP="009A581E">
      <w:pPr>
        <w:widowControl w:val="0"/>
        <w:spacing w:after="0" w:line="240" w:lineRule="auto"/>
        <w:ind w:left="0" w:firstLine="0"/>
      </w:pPr>
    </w:p>
    <w:p w14:paraId="6FA7FDC7" w14:textId="77777777" w:rsidR="009A581E" w:rsidRPr="000A1612" w:rsidRDefault="009A581E" w:rsidP="00130E2E">
      <w:pPr>
        <w:widowControl w:val="0"/>
        <w:tabs>
          <w:tab w:val="left" w:pos="567"/>
          <w:tab w:val="center" w:pos="846"/>
          <w:tab w:val="center" w:pos="2099"/>
        </w:tabs>
        <w:spacing w:after="0" w:line="240" w:lineRule="auto"/>
        <w:ind w:left="0" w:firstLine="0"/>
      </w:pPr>
      <w:r w:rsidRPr="000A1612">
        <w:rPr>
          <w:b/>
        </w:rPr>
        <w:t>6.3</w:t>
      </w:r>
      <w:r w:rsidR="00130E2E">
        <w:rPr>
          <w:b/>
        </w:rPr>
        <w:tab/>
      </w:r>
      <w:r w:rsidRPr="000A1612">
        <w:rPr>
          <w:b/>
        </w:rPr>
        <w:t xml:space="preserve">Čas použiteľnosti </w:t>
      </w:r>
    </w:p>
    <w:p w14:paraId="1ABFA8C4" w14:textId="77777777" w:rsidR="009A581E" w:rsidRPr="000A1612" w:rsidRDefault="009A581E" w:rsidP="009A581E">
      <w:pPr>
        <w:widowControl w:val="0"/>
        <w:spacing w:after="0" w:line="240" w:lineRule="auto"/>
        <w:ind w:left="0" w:firstLine="0"/>
      </w:pPr>
    </w:p>
    <w:p w14:paraId="45BA2937" w14:textId="77777777" w:rsidR="009A581E" w:rsidRPr="000A1612" w:rsidRDefault="009A581E" w:rsidP="009A581E">
      <w:pPr>
        <w:widowControl w:val="0"/>
        <w:spacing w:after="0" w:line="240" w:lineRule="auto"/>
        <w:ind w:left="0" w:right="4769" w:firstLine="0"/>
      </w:pPr>
      <w:r w:rsidRPr="000A1612">
        <w:t>2 roky</w:t>
      </w:r>
    </w:p>
    <w:p w14:paraId="11CBFDCC" w14:textId="77777777" w:rsidR="009A581E" w:rsidRPr="000A1612" w:rsidRDefault="009A581E" w:rsidP="009A581E">
      <w:pPr>
        <w:widowControl w:val="0"/>
        <w:spacing w:after="0" w:line="240" w:lineRule="auto"/>
        <w:ind w:left="0" w:firstLine="0"/>
      </w:pPr>
    </w:p>
    <w:p w14:paraId="59D43447" w14:textId="77777777" w:rsidR="009A581E" w:rsidRPr="000A1612" w:rsidRDefault="009A581E" w:rsidP="00130E2E">
      <w:pPr>
        <w:pStyle w:val="Nadpis2"/>
        <w:keepNext w:val="0"/>
        <w:keepLines w:val="0"/>
        <w:widowControl w:val="0"/>
        <w:tabs>
          <w:tab w:val="left" w:pos="567"/>
          <w:tab w:val="center" w:pos="846"/>
          <w:tab w:val="center" w:pos="3093"/>
        </w:tabs>
        <w:spacing w:after="0" w:line="240" w:lineRule="auto"/>
        <w:ind w:left="0" w:firstLine="0"/>
      </w:pPr>
      <w:r w:rsidRPr="000A1612">
        <w:t>6.4</w:t>
      </w:r>
      <w:r w:rsidR="00130E2E">
        <w:tab/>
      </w:r>
      <w:r w:rsidRPr="000A1612">
        <w:t>Špeciálne upozornenia na uchovávanie</w:t>
      </w:r>
    </w:p>
    <w:p w14:paraId="3CE67856" w14:textId="77777777" w:rsidR="009A581E" w:rsidRPr="000A1612" w:rsidRDefault="009A581E" w:rsidP="009A581E">
      <w:pPr>
        <w:widowControl w:val="0"/>
        <w:spacing w:after="0" w:line="240" w:lineRule="auto"/>
        <w:ind w:left="0" w:firstLine="0"/>
      </w:pPr>
    </w:p>
    <w:p w14:paraId="70A34E56" w14:textId="77777777" w:rsidR="009A581E" w:rsidRPr="000A1612" w:rsidRDefault="009A581E" w:rsidP="009A581E">
      <w:pPr>
        <w:widowControl w:val="0"/>
        <w:spacing w:after="0" w:line="240" w:lineRule="auto"/>
        <w:ind w:left="0" w:right="44" w:firstLine="0"/>
      </w:pPr>
      <w:r w:rsidRPr="000A1612">
        <w:t xml:space="preserve">Uchovávajte pri teplote </w:t>
      </w:r>
      <w:r w:rsidR="00130E2E">
        <w:t>do</w:t>
      </w:r>
      <w:r w:rsidRPr="000A1612">
        <w:t xml:space="preserve"> 30 °C. Uchovávajte v pôvodnom obale.</w:t>
      </w:r>
    </w:p>
    <w:p w14:paraId="440123F1" w14:textId="77777777" w:rsidR="009A581E" w:rsidRPr="000A1612" w:rsidRDefault="009A581E" w:rsidP="00130E2E">
      <w:pPr>
        <w:widowControl w:val="0"/>
        <w:spacing w:after="0" w:line="240" w:lineRule="auto"/>
        <w:ind w:left="0" w:firstLine="0"/>
      </w:pPr>
    </w:p>
    <w:p w14:paraId="7ACCA133" w14:textId="77777777" w:rsidR="009A581E" w:rsidRPr="000A1612" w:rsidRDefault="009A581E" w:rsidP="00130E2E">
      <w:pPr>
        <w:pStyle w:val="Nadpis2"/>
        <w:keepNext w:val="0"/>
        <w:keepLines w:val="0"/>
        <w:widowControl w:val="0"/>
        <w:tabs>
          <w:tab w:val="left" w:pos="567"/>
          <w:tab w:val="center" w:pos="846"/>
          <w:tab w:val="center" w:pos="2572"/>
        </w:tabs>
        <w:spacing w:after="0" w:line="240" w:lineRule="auto"/>
        <w:ind w:left="0" w:firstLine="0"/>
      </w:pPr>
      <w:r w:rsidRPr="000A1612">
        <w:t>6.5</w:t>
      </w:r>
      <w:r w:rsidR="00130E2E">
        <w:tab/>
      </w:r>
      <w:r w:rsidR="00130E2E">
        <w:tab/>
      </w:r>
      <w:r w:rsidRPr="000A1612">
        <w:t>Druh obalu a obsah balenia</w:t>
      </w:r>
    </w:p>
    <w:p w14:paraId="17511AC4" w14:textId="77777777" w:rsidR="009A581E" w:rsidRPr="000A1612" w:rsidRDefault="009A581E" w:rsidP="009A581E">
      <w:pPr>
        <w:widowControl w:val="0"/>
        <w:spacing w:after="0" w:line="240" w:lineRule="auto"/>
        <w:ind w:left="0" w:firstLine="0"/>
      </w:pPr>
    </w:p>
    <w:p w14:paraId="1D7C80C9" w14:textId="77777777" w:rsidR="009A581E" w:rsidRPr="000A1612" w:rsidRDefault="009A581E" w:rsidP="00130E2E">
      <w:pPr>
        <w:widowControl w:val="0"/>
        <w:spacing w:after="0" w:line="240" w:lineRule="auto"/>
        <w:ind w:left="0" w:right="44" w:firstLine="0"/>
      </w:pPr>
      <w:r w:rsidRPr="000A1612">
        <w:t>Každá škatuľa obsahuje buď:</w:t>
      </w:r>
    </w:p>
    <w:p w14:paraId="4C655F9B" w14:textId="77777777" w:rsidR="009A581E" w:rsidRPr="000A1612" w:rsidRDefault="009A581E" w:rsidP="00130E2E">
      <w:pPr>
        <w:widowControl w:val="0"/>
        <w:numPr>
          <w:ilvl w:val="0"/>
          <w:numId w:val="37"/>
        </w:numPr>
        <w:spacing w:after="0" w:line="240" w:lineRule="auto"/>
        <w:ind w:left="567" w:right="705" w:hanging="567"/>
      </w:pPr>
      <w:r w:rsidRPr="000A1612">
        <w:t>30 x 1 filmom obalen</w:t>
      </w:r>
      <w:r w:rsidR="001E1701">
        <w:t>ú</w:t>
      </w:r>
      <w:r w:rsidRPr="000A1612">
        <w:t xml:space="preserve"> tablet</w:t>
      </w:r>
      <w:r w:rsidR="001E1701">
        <w:t>u</w:t>
      </w:r>
      <w:r w:rsidRPr="000A1612">
        <w:t>; 3 blistre</w:t>
      </w:r>
      <w:r w:rsidR="0069583C">
        <w:t>, jeden obsahuje</w:t>
      </w:r>
      <w:r w:rsidRPr="000A1612">
        <w:t xml:space="preserve"> 10 x 1 filmom obalen</w:t>
      </w:r>
      <w:r w:rsidR="0069583C">
        <w:t>ú</w:t>
      </w:r>
      <w:r w:rsidRPr="000A1612">
        <w:t xml:space="preserve"> tablet</w:t>
      </w:r>
      <w:r w:rsidR="0069583C">
        <w:t>u</w:t>
      </w:r>
      <w:r w:rsidRPr="000A1612">
        <w:t>, každá z tabliet je v</w:t>
      </w:r>
      <w:r w:rsidR="0069583C">
        <w:t> OPA-</w:t>
      </w:r>
      <w:r w:rsidRPr="000A1612">
        <w:t>Al</w:t>
      </w:r>
      <w:r w:rsidR="0069583C">
        <w:t>-PVC</w:t>
      </w:r>
      <w:r w:rsidRPr="000A1612">
        <w:t>/Al perforovan</w:t>
      </w:r>
      <w:r w:rsidR="0069583C">
        <w:t>ých</w:t>
      </w:r>
      <w:r w:rsidRPr="000A1612">
        <w:t xml:space="preserve"> jednodávkov</w:t>
      </w:r>
      <w:r w:rsidR="0069583C">
        <w:t>ých</w:t>
      </w:r>
      <w:r w:rsidRPr="000A1612">
        <w:t xml:space="preserve"> blistr</w:t>
      </w:r>
      <w:r w:rsidR="0069583C">
        <w:t>och</w:t>
      </w:r>
    </w:p>
    <w:p w14:paraId="6811AD2D" w14:textId="77777777" w:rsidR="009A581E" w:rsidRPr="000A1612" w:rsidRDefault="0069583C" w:rsidP="00130E2E">
      <w:pPr>
        <w:widowControl w:val="0"/>
        <w:numPr>
          <w:ilvl w:val="0"/>
          <w:numId w:val="37"/>
        </w:numPr>
        <w:spacing w:after="0" w:line="240" w:lineRule="auto"/>
        <w:ind w:left="567" w:right="705" w:hanging="567"/>
      </w:pPr>
      <w:r>
        <w:t xml:space="preserve">alebo </w:t>
      </w:r>
      <w:r w:rsidR="009A581E" w:rsidRPr="000A1612">
        <w:t xml:space="preserve">90 x 1 </w:t>
      </w:r>
      <w:r w:rsidR="001E1701" w:rsidRPr="000A1612">
        <w:t>filmom obalen</w:t>
      </w:r>
      <w:r w:rsidR="001E1701">
        <w:t>ú</w:t>
      </w:r>
      <w:r w:rsidR="001E1701" w:rsidRPr="000A1612">
        <w:t xml:space="preserve"> tablet</w:t>
      </w:r>
      <w:r w:rsidR="001E1701">
        <w:t>u</w:t>
      </w:r>
      <w:r w:rsidR="009A581E" w:rsidRPr="000A1612">
        <w:t>; 9 blistrov</w:t>
      </w:r>
      <w:r>
        <w:t>, jeden obsahuje</w:t>
      </w:r>
      <w:r w:rsidR="009A581E" w:rsidRPr="000A1612">
        <w:t xml:space="preserve"> 10 x 1 filmom </w:t>
      </w:r>
      <w:r w:rsidR="001E1701" w:rsidRPr="000A1612">
        <w:t>obalen</w:t>
      </w:r>
      <w:r>
        <w:t>ú</w:t>
      </w:r>
      <w:r w:rsidR="001E1701" w:rsidRPr="000A1612">
        <w:t xml:space="preserve"> tablet</w:t>
      </w:r>
      <w:r>
        <w:t>u</w:t>
      </w:r>
      <w:r w:rsidR="009A581E" w:rsidRPr="000A1612">
        <w:t>, každá z tabliet je v</w:t>
      </w:r>
      <w:r>
        <w:t> OPA-</w:t>
      </w:r>
      <w:r w:rsidR="009A581E" w:rsidRPr="000A1612">
        <w:t>Al</w:t>
      </w:r>
      <w:r>
        <w:t>-PVC</w:t>
      </w:r>
      <w:r w:rsidR="009A581E" w:rsidRPr="000A1612">
        <w:t>/Al perforovan</w:t>
      </w:r>
      <w:r>
        <w:t>ých</w:t>
      </w:r>
      <w:r w:rsidR="009A581E" w:rsidRPr="000A1612">
        <w:t xml:space="preserve"> jednodávkov</w:t>
      </w:r>
      <w:r>
        <w:t>ých</w:t>
      </w:r>
      <w:r w:rsidR="009A581E" w:rsidRPr="000A1612">
        <w:t xml:space="preserve"> blistr</w:t>
      </w:r>
      <w:r>
        <w:t>och</w:t>
      </w:r>
    </w:p>
    <w:p w14:paraId="092D7875" w14:textId="77777777" w:rsidR="009A581E" w:rsidRPr="000A1612" w:rsidRDefault="009A581E" w:rsidP="009A581E">
      <w:pPr>
        <w:widowControl w:val="0"/>
        <w:spacing w:after="0" w:line="240" w:lineRule="auto"/>
        <w:ind w:left="0" w:firstLine="0"/>
      </w:pPr>
    </w:p>
    <w:p w14:paraId="3072E391" w14:textId="77777777" w:rsidR="009A581E" w:rsidRPr="000A1612" w:rsidRDefault="009A581E" w:rsidP="009A581E">
      <w:pPr>
        <w:widowControl w:val="0"/>
        <w:spacing w:after="0" w:line="240" w:lineRule="auto"/>
        <w:ind w:left="0" w:right="44" w:firstLine="0"/>
      </w:pPr>
      <w:r w:rsidRPr="000A1612">
        <w:t>Na trh nemusia byť uvedené všetky veľkosti balenia.</w:t>
      </w:r>
    </w:p>
    <w:p w14:paraId="4290FAF5" w14:textId="77777777" w:rsidR="00130E2E" w:rsidRPr="000A1612" w:rsidRDefault="00130E2E" w:rsidP="009A581E">
      <w:pPr>
        <w:widowControl w:val="0"/>
        <w:spacing w:after="0" w:line="240" w:lineRule="auto"/>
        <w:ind w:left="0" w:firstLine="0"/>
      </w:pPr>
    </w:p>
    <w:p w14:paraId="4EF85535" w14:textId="77777777" w:rsidR="009A581E" w:rsidRPr="000A1612" w:rsidRDefault="009A581E" w:rsidP="00130E2E">
      <w:pPr>
        <w:pStyle w:val="Nadpis2"/>
        <w:keepNext w:val="0"/>
        <w:keepLines w:val="0"/>
        <w:widowControl w:val="0"/>
        <w:tabs>
          <w:tab w:val="left" w:pos="567"/>
          <w:tab w:val="center" w:pos="846"/>
          <w:tab w:val="center" w:pos="2837"/>
        </w:tabs>
        <w:spacing w:after="0" w:line="240" w:lineRule="auto"/>
        <w:ind w:left="0" w:firstLine="0"/>
      </w:pPr>
      <w:r w:rsidRPr="000A1612">
        <w:t>6.6</w:t>
      </w:r>
      <w:r w:rsidR="00130E2E">
        <w:tab/>
      </w:r>
      <w:r w:rsidR="00130E2E">
        <w:tab/>
      </w:r>
      <w:r w:rsidRPr="000A1612">
        <w:t>Špeciálne opatrenia na likvidáciu</w:t>
      </w:r>
    </w:p>
    <w:p w14:paraId="27E9A1AE" w14:textId="77777777" w:rsidR="00130E2E" w:rsidRDefault="00130E2E" w:rsidP="009A581E">
      <w:pPr>
        <w:widowControl w:val="0"/>
        <w:spacing w:after="0" w:line="240" w:lineRule="auto"/>
        <w:ind w:left="0" w:right="44" w:firstLine="0"/>
      </w:pPr>
    </w:p>
    <w:p w14:paraId="48EC585E" w14:textId="77777777" w:rsidR="009A581E" w:rsidRPr="000A1612" w:rsidRDefault="009A581E" w:rsidP="009A581E">
      <w:pPr>
        <w:widowControl w:val="0"/>
        <w:spacing w:after="0" w:line="240" w:lineRule="auto"/>
        <w:ind w:left="0" w:right="44" w:firstLine="0"/>
      </w:pPr>
      <w:r w:rsidRPr="000A1612">
        <w:t>Všetok nepoužitý liek alebo odpad vzniknutý z lieku sa má zlikvidovať v súlade s národnými požiadavkami.</w:t>
      </w:r>
    </w:p>
    <w:p w14:paraId="2E06E4EB" w14:textId="77777777" w:rsidR="009A581E" w:rsidRPr="000A1612" w:rsidRDefault="009A581E" w:rsidP="009A581E">
      <w:pPr>
        <w:widowControl w:val="0"/>
        <w:spacing w:after="0" w:line="240" w:lineRule="auto"/>
        <w:ind w:left="0" w:firstLine="0"/>
      </w:pPr>
    </w:p>
    <w:p w14:paraId="5988CBE2" w14:textId="77777777" w:rsidR="009A581E" w:rsidRPr="000A1612" w:rsidRDefault="009A581E" w:rsidP="009A581E">
      <w:pPr>
        <w:widowControl w:val="0"/>
        <w:spacing w:after="0" w:line="240" w:lineRule="auto"/>
        <w:ind w:left="0" w:firstLine="0"/>
      </w:pPr>
    </w:p>
    <w:p w14:paraId="70028600" w14:textId="77777777" w:rsidR="009A581E" w:rsidRPr="000A1612" w:rsidRDefault="009A581E" w:rsidP="00130E2E">
      <w:pPr>
        <w:pStyle w:val="Nadpis1"/>
        <w:keepNext w:val="0"/>
        <w:keepLines w:val="0"/>
        <w:widowControl w:val="0"/>
        <w:tabs>
          <w:tab w:val="left" w:pos="567"/>
          <w:tab w:val="center" w:pos="791"/>
          <w:tab w:val="center" w:pos="3520"/>
        </w:tabs>
        <w:spacing w:after="0" w:line="240" w:lineRule="auto"/>
        <w:ind w:left="0" w:firstLine="0"/>
      </w:pPr>
      <w:r w:rsidRPr="000A1612">
        <w:t>7</w:t>
      </w:r>
      <w:r w:rsidR="00130E2E">
        <w:t>.</w:t>
      </w:r>
      <w:r w:rsidR="00130E2E">
        <w:tab/>
      </w:r>
      <w:r w:rsidRPr="000A1612">
        <w:tab/>
        <w:t>DRŽITEĽ ROZHODNUTIA O REGISTRÁCII</w:t>
      </w:r>
    </w:p>
    <w:p w14:paraId="2BDB933B" w14:textId="77777777" w:rsidR="009A581E" w:rsidRPr="000A1612" w:rsidRDefault="009A581E" w:rsidP="00130E2E">
      <w:pPr>
        <w:widowControl w:val="0"/>
        <w:spacing w:after="0" w:line="240" w:lineRule="auto"/>
        <w:ind w:left="0" w:firstLine="0"/>
      </w:pPr>
    </w:p>
    <w:p w14:paraId="21AC0132" w14:textId="77777777" w:rsidR="00130E2E" w:rsidRPr="00AE7494" w:rsidRDefault="00130E2E" w:rsidP="00130E2E">
      <w:pPr>
        <w:widowControl w:val="0"/>
        <w:autoSpaceDE w:val="0"/>
        <w:autoSpaceDN w:val="0"/>
        <w:adjustRightInd w:val="0"/>
        <w:spacing w:after="0" w:line="240" w:lineRule="auto"/>
        <w:ind w:left="0" w:firstLine="0"/>
        <w:rPr>
          <w:rFonts w:eastAsia="PMingLiU"/>
        </w:rPr>
      </w:pPr>
      <w:r w:rsidRPr="00AE7494">
        <w:rPr>
          <w:rFonts w:eastAsia="PMingLiU"/>
        </w:rPr>
        <w:t>Glenmark Pharmaceuticals s.r.o., Hvĕzdova 1716/2b, 140 78 Praha 4, Česká republika</w:t>
      </w:r>
    </w:p>
    <w:p w14:paraId="5EB6AEEF" w14:textId="77777777" w:rsidR="009A581E" w:rsidRPr="000A1612" w:rsidRDefault="009A581E" w:rsidP="009A581E">
      <w:pPr>
        <w:widowControl w:val="0"/>
        <w:spacing w:after="0" w:line="240" w:lineRule="auto"/>
        <w:ind w:left="0" w:firstLine="0"/>
      </w:pPr>
    </w:p>
    <w:p w14:paraId="2161E383" w14:textId="77777777" w:rsidR="009A581E" w:rsidRPr="000A1612" w:rsidRDefault="009A581E" w:rsidP="009A581E">
      <w:pPr>
        <w:widowControl w:val="0"/>
        <w:spacing w:after="0" w:line="240" w:lineRule="auto"/>
        <w:ind w:left="0" w:firstLine="0"/>
      </w:pPr>
    </w:p>
    <w:p w14:paraId="4361E684" w14:textId="77777777" w:rsidR="009A581E" w:rsidRPr="000A1612" w:rsidRDefault="009A581E" w:rsidP="00130E2E">
      <w:pPr>
        <w:pStyle w:val="Nadpis1"/>
        <w:keepNext w:val="0"/>
        <w:keepLines w:val="0"/>
        <w:widowControl w:val="0"/>
        <w:tabs>
          <w:tab w:val="left" w:pos="567"/>
          <w:tab w:val="center" w:pos="791"/>
          <w:tab w:val="center" w:pos="2889"/>
        </w:tabs>
        <w:spacing w:after="0" w:line="240" w:lineRule="auto"/>
        <w:ind w:left="0" w:firstLine="0"/>
      </w:pPr>
      <w:r w:rsidRPr="000A1612">
        <w:t>8.</w:t>
      </w:r>
      <w:r w:rsidR="00130E2E">
        <w:tab/>
      </w:r>
      <w:r w:rsidRPr="000A1612">
        <w:tab/>
      </w:r>
      <w:r w:rsidR="00130E2E">
        <w:t>REGISTRAČNÉ ČÍSLA</w:t>
      </w:r>
    </w:p>
    <w:p w14:paraId="1DD52C33" w14:textId="77777777" w:rsidR="009A581E" w:rsidRDefault="009A581E" w:rsidP="009A581E">
      <w:pPr>
        <w:widowControl w:val="0"/>
        <w:spacing w:after="0" w:line="240" w:lineRule="auto"/>
        <w:ind w:left="0" w:firstLine="0"/>
      </w:pPr>
    </w:p>
    <w:p w14:paraId="160D56A1" w14:textId="331D8004" w:rsidR="00130E2E" w:rsidRPr="003C3644" w:rsidRDefault="00DF3224" w:rsidP="009A581E">
      <w:pPr>
        <w:widowControl w:val="0"/>
        <w:spacing w:after="0" w:line="240" w:lineRule="auto"/>
        <w:ind w:left="0" w:firstLine="0"/>
      </w:pPr>
      <w:r>
        <w:t>Entecavir Glenmark 0,5 mg</w:t>
      </w:r>
      <w:r w:rsidRPr="003C3644">
        <w:t>:</w:t>
      </w:r>
      <w:r w:rsidR="00DA4060">
        <w:t xml:space="preserve"> </w:t>
      </w:r>
      <w:r w:rsidR="00DA4060" w:rsidRPr="00DA4060">
        <w:t>42/0254/18-S</w:t>
      </w:r>
    </w:p>
    <w:p w14:paraId="18C11783" w14:textId="1D0BA5E0" w:rsidR="00DF3224" w:rsidRDefault="00DF3224" w:rsidP="009A581E">
      <w:pPr>
        <w:widowControl w:val="0"/>
        <w:spacing w:after="0" w:line="240" w:lineRule="auto"/>
        <w:ind w:left="0" w:firstLine="0"/>
      </w:pPr>
      <w:r w:rsidRPr="006D5F75">
        <w:rPr>
          <w:highlight w:val="lightGray"/>
        </w:rPr>
        <w:t>Entecavir Glenmark 1 mg</w:t>
      </w:r>
      <w:r w:rsidRPr="00DA4060">
        <w:rPr>
          <w:highlight w:val="lightGray"/>
        </w:rPr>
        <w:t>:</w:t>
      </w:r>
      <w:r w:rsidR="00DA4060" w:rsidRPr="00DA4060">
        <w:rPr>
          <w:highlight w:val="lightGray"/>
        </w:rPr>
        <w:t xml:space="preserve"> 42/0255/18-S</w:t>
      </w:r>
      <w:bookmarkStart w:id="0" w:name="_GoBack"/>
      <w:bookmarkEnd w:id="0"/>
    </w:p>
    <w:p w14:paraId="42AFB8D5" w14:textId="77777777" w:rsidR="00DF3224" w:rsidRDefault="00DF3224" w:rsidP="009A581E">
      <w:pPr>
        <w:widowControl w:val="0"/>
        <w:spacing w:after="0" w:line="240" w:lineRule="auto"/>
        <w:ind w:left="0" w:firstLine="0"/>
      </w:pPr>
    </w:p>
    <w:p w14:paraId="6A529EB7" w14:textId="77777777" w:rsidR="00DF3224" w:rsidRPr="000A1612" w:rsidRDefault="00DF3224" w:rsidP="009A581E">
      <w:pPr>
        <w:widowControl w:val="0"/>
        <w:spacing w:after="0" w:line="240" w:lineRule="auto"/>
        <w:ind w:left="0" w:firstLine="0"/>
      </w:pPr>
    </w:p>
    <w:p w14:paraId="7E9FBC6D" w14:textId="77777777" w:rsidR="009A581E" w:rsidRPr="000A1612" w:rsidRDefault="009A581E" w:rsidP="00130E2E">
      <w:pPr>
        <w:pStyle w:val="Nadpis1"/>
        <w:keepNext w:val="0"/>
        <w:keepLines w:val="0"/>
        <w:widowControl w:val="0"/>
        <w:tabs>
          <w:tab w:val="left" w:pos="567"/>
          <w:tab w:val="center" w:pos="791"/>
          <w:tab w:val="center" w:pos="4419"/>
        </w:tabs>
        <w:spacing w:after="0" w:line="240" w:lineRule="auto"/>
        <w:ind w:left="0" w:firstLine="0"/>
      </w:pPr>
      <w:r w:rsidRPr="000A1612">
        <w:t>9.</w:t>
      </w:r>
      <w:r w:rsidR="00130E2E">
        <w:tab/>
      </w:r>
      <w:r w:rsidRPr="000A1612">
        <w:tab/>
        <w:t xml:space="preserve">DÁTUM PRVEJ REGISTRÁCIE/PREDĹŽENIA REGISTRÁCIE </w:t>
      </w:r>
    </w:p>
    <w:p w14:paraId="510C9BA8" w14:textId="77777777" w:rsidR="009A581E" w:rsidRPr="000A1612" w:rsidRDefault="009A581E" w:rsidP="009A581E">
      <w:pPr>
        <w:widowControl w:val="0"/>
        <w:spacing w:after="0" w:line="240" w:lineRule="auto"/>
        <w:ind w:left="0" w:firstLine="0"/>
      </w:pPr>
    </w:p>
    <w:p w14:paraId="6BBC51D2" w14:textId="77777777" w:rsidR="009A581E" w:rsidRPr="000A1612" w:rsidRDefault="009A581E" w:rsidP="009A581E">
      <w:pPr>
        <w:widowControl w:val="0"/>
        <w:spacing w:after="0" w:line="240" w:lineRule="auto"/>
        <w:ind w:left="0" w:right="44" w:firstLine="0"/>
      </w:pPr>
      <w:r w:rsidRPr="000A1612">
        <w:t xml:space="preserve">Dátum prvej registrácie: </w:t>
      </w:r>
    </w:p>
    <w:p w14:paraId="329BE4AB" w14:textId="77777777" w:rsidR="009A581E" w:rsidRPr="000A1612" w:rsidRDefault="009A581E" w:rsidP="009A581E">
      <w:pPr>
        <w:widowControl w:val="0"/>
        <w:spacing w:after="0" w:line="240" w:lineRule="auto"/>
        <w:ind w:left="0" w:right="44" w:firstLine="0"/>
      </w:pPr>
      <w:r w:rsidRPr="000A1612">
        <w:t xml:space="preserve">Dátum posledného predĺženia registrácie: </w:t>
      </w:r>
    </w:p>
    <w:p w14:paraId="21A045DF" w14:textId="77777777" w:rsidR="009A581E" w:rsidRPr="000A1612" w:rsidRDefault="009A581E" w:rsidP="009A581E">
      <w:pPr>
        <w:widowControl w:val="0"/>
        <w:spacing w:after="0" w:line="240" w:lineRule="auto"/>
        <w:ind w:left="0" w:firstLine="0"/>
      </w:pPr>
    </w:p>
    <w:p w14:paraId="1CA53602" w14:textId="77777777" w:rsidR="009A581E" w:rsidRPr="000A1612" w:rsidRDefault="009A581E" w:rsidP="009A581E">
      <w:pPr>
        <w:widowControl w:val="0"/>
        <w:spacing w:after="0" w:line="240" w:lineRule="auto"/>
        <w:ind w:left="0" w:firstLine="0"/>
      </w:pPr>
    </w:p>
    <w:p w14:paraId="0915B4D6" w14:textId="77777777" w:rsidR="009A581E" w:rsidRPr="000A1612" w:rsidRDefault="009A581E" w:rsidP="00130E2E">
      <w:pPr>
        <w:pStyle w:val="Nadpis1"/>
        <w:keepNext w:val="0"/>
        <w:keepLines w:val="0"/>
        <w:widowControl w:val="0"/>
        <w:tabs>
          <w:tab w:val="left" w:pos="567"/>
          <w:tab w:val="center" w:pos="846"/>
          <w:tab w:val="center" w:pos="2589"/>
        </w:tabs>
        <w:spacing w:after="0" w:line="240" w:lineRule="auto"/>
        <w:ind w:left="0" w:firstLine="0"/>
      </w:pPr>
      <w:r w:rsidRPr="000A1612">
        <w:t>10.</w:t>
      </w:r>
      <w:r w:rsidR="00130E2E">
        <w:tab/>
      </w:r>
      <w:r w:rsidR="00130E2E">
        <w:tab/>
      </w:r>
      <w:r w:rsidRPr="000A1612">
        <w:t>DÁTUM REVÍZIE TEXTU</w:t>
      </w:r>
    </w:p>
    <w:p w14:paraId="20C71B82" w14:textId="77777777" w:rsidR="009A581E" w:rsidRPr="000A1612" w:rsidRDefault="009A581E" w:rsidP="009A581E">
      <w:pPr>
        <w:widowControl w:val="0"/>
        <w:spacing w:after="0" w:line="240" w:lineRule="auto"/>
        <w:ind w:left="0" w:firstLine="0"/>
      </w:pPr>
    </w:p>
    <w:p w14:paraId="117712AF" w14:textId="77777777" w:rsidR="00130E2E" w:rsidRDefault="00130E2E" w:rsidP="00130E2E">
      <w:pPr>
        <w:ind w:left="0" w:firstLine="0"/>
      </w:pPr>
      <w:r>
        <w:t>0</w:t>
      </w:r>
      <w:r w:rsidR="00DF3224">
        <w:t>8</w:t>
      </w:r>
      <w:r>
        <w:t>/2018</w:t>
      </w:r>
    </w:p>
    <w:sectPr w:rsidR="00130E2E" w:rsidSect="007737A2">
      <w:headerReference w:type="default" r:id="rId12"/>
      <w:footerReference w:type="defaul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66D4B" w14:textId="77777777" w:rsidR="009C4D0D" w:rsidRDefault="009C4D0D" w:rsidP="009A581E">
      <w:pPr>
        <w:spacing w:after="0" w:line="240" w:lineRule="auto"/>
      </w:pPr>
      <w:r>
        <w:separator/>
      </w:r>
    </w:p>
  </w:endnote>
  <w:endnote w:type="continuationSeparator" w:id="0">
    <w:p w14:paraId="5932E831" w14:textId="77777777" w:rsidR="009C4D0D" w:rsidRDefault="009C4D0D" w:rsidP="009A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233262"/>
      <w:docPartObj>
        <w:docPartGallery w:val="Page Numbers (Bottom of Page)"/>
        <w:docPartUnique/>
      </w:docPartObj>
    </w:sdtPr>
    <w:sdtEndPr>
      <w:rPr>
        <w:sz w:val="18"/>
        <w:szCs w:val="18"/>
      </w:rPr>
    </w:sdtEndPr>
    <w:sdtContent>
      <w:p w14:paraId="5EBBBE3E" w14:textId="77777777" w:rsidR="006B614A" w:rsidRPr="007737A2" w:rsidRDefault="006B614A">
        <w:pPr>
          <w:pStyle w:val="Pta"/>
          <w:jc w:val="center"/>
          <w:rPr>
            <w:sz w:val="18"/>
            <w:szCs w:val="18"/>
          </w:rPr>
        </w:pPr>
        <w:r w:rsidRPr="007737A2">
          <w:rPr>
            <w:sz w:val="18"/>
            <w:szCs w:val="18"/>
          </w:rPr>
          <w:fldChar w:fldCharType="begin"/>
        </w:r>
        <w:r w:rsidRPr="007737A2">
          <w:rPr>
            <w:sz w:val="18"/>
            <w:szCs w:val="18"/>
          </w:rPr>
          <w:instrText>PAGE   \* MERGEFORMAT</w:instrText>
        </w:r>
        <w:r w:rsidRPr="007737A2">
          <w:rPr>
            <w:sz w:val="18"/>
            <w:szCs w:val="18"/>
          </w:rPr>
          <w:fldChar w:fldCharType="separate"/>
        </w:r>
        <w:r w:rsidR="00DA4060">
          <w:rPr>
            <w:noProof/>
            <w:sz w:val="18"/>
            <w:szCs w:val="18"/>
          </w:rPr>
          <w:t>21</w:t>
        </w:r>
        <w:r w:rsidRPr="007737A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89B45" w14:textId="77777777" w:rsidR="009C4D0D" w:rsidRDefault="009C4D0D" w:rsidP="009A581E">
      <w:pPr>
        <w:spacing w:after="0" w:line="240" w:lineRule="auto"/>
      </w:pPr>
      <w:r>
        <w:separator/>
      </w:r>
    </w:p>
  </w:footnote>
  <w:footnote w:type="continuationSeparator" w:id="0">
    <w:p w14:paraId="43500066" w14:textId="77777777" w:rsidR="009C4D0D" w:rsidRDefault="009C4D0D" w:rsidP="009A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48FF0" w14:textId="77777777" w:rsidR="006B614A" w:rsidRPr="009A581E" w:rsidRDefault="006B614A" w:rsidP="00051D79">
    <w:pPr>
      <w:pStyle w:val="Hlavika"/>
      <w:ind w:left="0" w:firstLine="0"/>
      <w:rPr>
        <w:sz w:val="18"/>
        <w:szCs w:val="18"/>
      </w:rPr>
    </w:pPr>
    <w:r w:rsidRPr="009A581E">
      <w:rPr>
        <w:sz w:val="18"/>
        <w:szCs w:val="18"/>
      </w:rPr>
      <w:t>Schválený text k rozhodnutiu o registrácii, ev. č.: 2017/06098-REG, 2017/06099-REG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9E"/>
    <w:multiLevelType w:val="hybridMultilevel"/>
    <w:tmpl w:val="4252A5BC"/>
    <w:lvl w:ilvl="0" w:tplc="CFD0ED22">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FED4B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32D6D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54DD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4C1F6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C48F4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867AD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9CF6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108016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nsid w:val="03090DF1"/>
    <w:multiLevelType w:val="hybridMultilevel"/>
    <w:tmpl w:val="ED28D394"/>
    <w:lvl w:ilvl="0" w:tplc="4FA4B64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DA4E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D0C9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E29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2C0B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7019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8CD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C91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1C19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59E1CFE"/>
    <w:multiLevelType w:val="hybridMultilevel"/>
    <w:tmpl w:val="DF94ACA0"/>
    <w:lvl w:ilvl="0" w:tplc="034AA68C">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28FAC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DEC39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2CEF4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BCFC1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6218B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4FE3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C6C88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08B24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5AB2853"/>
    <w:multiLevelType w:val="hybridMultilevel"/>
    <w:tmpl w:val="7350479C"/>
    <w:lvl w:ilvl="0" w:tplc="5F3E4C00">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6E22AF4"/>
    <w:multiLevelType w:val="hybridMultilevel"/>
    <w:tmpl w:val="260A99FA"/>
    <w:lvl w:ilvl="0" w:tplc="85242144">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676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F885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42A0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941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C4A4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0E28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C6EE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B841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A2A0EA2"/>
    <w:multiLevelType w:val="hybridMultilevel"/>
    <w:tmpl w:val="0008882C"/>
    <w:lvl w:ilvl="0" w:tplc="A5DA3EE8">
      <w:start w:val="1"/>
      <w:numFmt w:val="bullet"/>
      <w:lvlText w:val=""/>
      <w:lvlJc w:val="left"/>
      <w:pPr>
        <w:ind w:left="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721A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8804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1EAF8E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3C207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614276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CC0A6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F4F39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32828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E1193B"/>
    <w:multiLevelType w:val="hybridMultilevel"/>
    <w:tmpl w:val="2508FD36"/>
    <w:lvl w:ilvl="0" w:tplc="CF00D0D6">
      <w:start w:val="1"/>
      <w:numFmt w:val="lowerLetter"/>
      <w:lvlText w:val="%1"/>
      <w:lvlJc w:val="left"/>
      <w:pPr>
        <w:ind w:left="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3BE4FDA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87AA08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D086596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D20CB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9FBA1F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308023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CDF81DA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D368D89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7">
    <w:nsid w:val="17A009F1"/>
    <w:multiLevelType w:val="hybridMultilevel"/>
    <w:tmpl w:val="3DC6671A"/>
    <w:lvl w:ilvl="0" w:tplc="A2E6B916">
      <w:start w:val="1"/>
      <w:numFmt w:val="bullet"/>
      <w:lvlText w:val="-"/>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275F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E14E4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34526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B2A10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90648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5A56F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6C095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C4F13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A7B09EE"/>
    <w:multiLevelType w:val="hybridMultilevel"/>
    <w:tmpl w:val="60A657CE"/>
    <w:lvl w:ilvl="0" w:tplc="D924C2D2">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C28D0">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9E6C8E">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4AB066">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49FCC">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5C3DC2">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DAC5B0">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E1B9A">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7ACC66">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AFB55B5"/>
    <w:multiLevelType w:val="hybridMultilevel"/>
    <w:tmpl w:val="9ECC9CA6"/>
    <w:lvl w:ilvl="0" w:tplc="39E0B66E">
      <w:start w:val="1"/>
      <w:numFmt w:val="lowerLetter"/>
      <w:lvlText w:val="%1"/>
      <w:lvlJc w:val="left"/>
      <w:pPr>
        <w:ind w:left="7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44305A3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29A4F99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94A042A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93FE168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D1CDA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E867B1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2CEEF6F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25941B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0">
    <w:nsid w:val="1E7350ED"/>
    <w:multiLevelType w:val="hybridMultilevel"/>
    <w:tmpl w:val="C5A25DEA"/>
    <w:lvl w:ilvl="0" w:tplc="45BCA100">
      <w:start w:val="21"/>
      <w:numFmt w:val="upperLetter"/>
      <w:lvlText w:val="%1"/>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1C24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E1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625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E3E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2D0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BCEC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2D8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24DE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F7E4C46"/>
    <w:multiLevelType w:val="hybridMultilevel"/>
    <w:tmpl w:val="A75E5438"/>
    <w:lvl w:ilvl="0" w:tplc="A2E6B916">
      <w:start w:val="1"/>
      <w:numFmt w:val="bullet"/>
      <w:lvlText w:val="-"/>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D8B34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D65E2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2C17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4A3A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90303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0C8C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B6E17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2AD78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nsid w:val="20563B19"/>
    <w:multiLevelType w:val="hybridMultilevel"/>
    <w:tmpl w:val="CE8C5E96"/>
    <w:lvl w:ilvl="0" w:tplc="3F10AECE">
      <w:start w:val="1"/>
      <w:numFmt w:val="lowerLetter"/>
      <w:lvlText w:val="%1"/>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67A699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A99A1B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B6DA54D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00C4D7B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56AA3F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C9660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FAC30B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7DC8E51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3">
    <w:nsid w:val="211A29E8"/>
    <w:multiLevelType w:val="hybridMultilevel"/>
    <w:tmpl w:val="BC0C8752"/>
    <w:lvl w:ilvl="0" w:tplc="C18CBE4C">
      <w:start w:val="1"/>
      <w:numFmt w:val="lowerLetter"/>
      <w:lvlText w:val="%1"/>
      <w:lvlJc w:val="left"/>
      <w:pPr>
        <w:ind w:left="7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E26C84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332537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C2AE05D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2D1622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332E55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74AD5B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7D6AD49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419458B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4">
    <w:nsid w:val="22636A94"/>
    <w:multiLevelType w:val="hybridMultilevel"/>
    <w:tmpl w:val="F50A1A6C"/>
    <w:lvl w:ilvl="0" w:tplc="A2E6B916">
      <w:start w:val="1"/>
      <w:numFmt w:val="bullet"/>
      <w:lvlText w:val="-"/>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0CF1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C8DB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0EA82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6909F4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BC989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820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10A9A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86F3E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226C4CE5"/>
    <w:multiLevelType w:val="hybridMultilevel"/>
    <w:tmpl w:val="0D84EA60"/>
    <w:lvl w:ilvl="0" w:tplc="EE0ABED2">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9265E96"/>
    <w:multiLevelType w:val="hybridMultilevel"/>
    <w:tmpl w:val="F58EE9BC"/>
    <w:lvl w:ilvl="0" w:tplc="74242524">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FC838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80FAA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ECDCA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CC92D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DDE7D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9EC1F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364378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27A43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2AE602D7"/>
    <w:multiLevelType w:val="hybridMultilevel"/>
    <w:tmpl w:val="50E01AFA"/>
    <w:lvl w:ilvl="0" w:tplc="3192222E">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A8E54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BC396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C624F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C8A2A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8AF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FA387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28B9A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E8C46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2FB20060"/>
    <w:multiLevelType w:val="hybridMultilevel"/>
    <w:tmpl w:val="30E2BBBE"/>
    <w:lvl w:ilvl="0" w:tplc="EF3A100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AEA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0073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BE22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6635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F2B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5851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0C1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0845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3A8369E9"/>
    <w:multiLevelType w:val="hybridMultilevel"/>
    <w:tmpl w:val="DFD8EA08"/>
    <w:lvl w:ilvl="0" w:tplc="BB14922A">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1275F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E14E4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34526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B2A10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90648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5A56F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6C095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C4F13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nsid w:val="42A7370A"/>
    <w:multiLevelType w:val="hybridMultilevel"/>
    <w:tmpl w:val="5FCC6D84"/>
    <w:lvl w:ilvl="0" w:tplc="B88A26CC">
      <w:start w:val="1"/>
      <w:numFmt w:val="bullet"/>
      <w:lvlText w:val=""/>
      <w:lvlJc w:val="left"/>
      <w:pPr>
        <w:ind w:left="1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927A1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7BAB8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E048C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F804C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F630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FCF9F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AACC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64E9E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nsid w:val="45DD7A2F"/>
    <w:multiLevelType w:val="hybridMultilevel"/>
    <w:tmpl w:val="6C8A87D0"/>
    <w:lvl w:ilvl="0" w:tplc="D0420080">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C08B82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72973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D4D34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7D3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FCCB1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9E295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3E23F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8EC8C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nsid w:val="4B610970"/>
    <w:multiLevelType w:val="hybridMultilevel"/>
    <w:tmpl w:val="5CB06506"/>
    <w:lvl w:ilvl="0" w:tplc="29F058B2">
      <w:start w:val="1"/>
      <w:numFmt w:val="lowerLetter"/>
      <w:lvlText w:val="%1"/>
      <w:lvlJc w:val="left"/>
      <w:pPr>
        <w:ind w:left="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F1EF1D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7F8CB90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E17845C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EAF690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5458239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DFC6F7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C6DC9C8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1E28A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3">
    <w:nsid w:val="5041212C"/>
    <w:multiLevelType w:val="hybridMultilevel"/>
    <w:tmpl w:val="99CCCBC0"/>
    <w:lvl w:ilvl="0" w:tplc="1A80FB4C">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56CBF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9B4539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AED8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06FD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AA3AF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56AA0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056455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E2ED1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nsid w:val="526A76A9"/>
    <w:multiLevelType w:val="hybridMultilevel"/>
    <w:tmpl w:val="00F29E1C"/>
    <w:lvl w:ilvl="0" w:tplc="260E4698">
      <w:start w:val="4"/>
      <w:numFmt w:val="lowerLetter"/>
      <w:lvlText w:val="%1."/>
      <w:lvlJc w:val="left"/>
      <w:pPr>
        <w:ind w:left="9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D3A0C7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2C4972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2A22F98">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9CC2E38">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9763D3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F647632">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3A86A1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08625E2">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nsid w:val="545F756B"/>
    <w:multiLevelType w:val="hybridMultilevel"/>
    <w:tmpl w:val="D362E55E"/>
    <w:lvl w:ilvl="0" w:tplc="D15AE4D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70A1B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52AB4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16E66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22140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2328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90636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9AB5B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00F97E">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55055D3C"/>
    <w:multiLevelType w:val="hybridMultilevel"/>
    <w:tmpl w:val="3C063178"/>
    <w:lvl w:ilvl="0" w:tplc="169A5776">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DA4FE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176202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873E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74F79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D67DA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B07A1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5472A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8CB3E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5AEF582A"/>
    <w:multiLevelType w:val="hybridMultilevel"/>
    <w:tmpl w:val="0B0ADEA8"/>
    <w:lvl w:ilvl="0" w:tplc="8FAC211A">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90F0A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60E2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845A5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D8021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EE2F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2E578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46EC1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6C83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AFC45A1"/>
    <w:multiLevelType w:val="hybridMultilevel"/>
    <w:tmpl w:val="EAB4BABE"/>
    <w:lvl w:ilvl="0" w:tplc="BA0AB96E">
      <w:start w:val="1"/>
      <w:numFmt w:val="lowerLetter"/>
      <w:lvlText w:val="%1"/>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668B8C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3BCC50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109464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39EB16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EEEDA5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94D2A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C174182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908B1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9">
    <w:nsid w:val="5B0343B0"/>
    <w:multiLevelType w:val="hybridMultilevel"/>
    <w:tmpl w:val="187ED912"/>
    <w:lvl w:ilvl="0" w:tplc="46B63974">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D8B34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D65E2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2C17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4A3A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90303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0C8C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B6E17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2AD78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5E44194D"/>
    <w:multiLevelType w:val="hybridMultilevel"/>
    <w:tmpl w:val="B1E66D54"/>
    <w:lvl w:ilvl="0" w:tplc="C1EC1A7C">
      <w:start w:val="1"/>
      <w:numFmt w:val="decimal"/>
      <w:lvlText w:val="%1."/>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807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2DF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ACB6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E811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4A37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02E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9068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DEA2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F1909B6"/>
    <w:multiLevelType w:val="hybridMultilevel"/>
    <w:tmpl w:val="865E5076"/>
    <w:lvl w:ilvl="0" w:tplc="402A1C7E">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802AF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F8E6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92A55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F3A5D7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6C3B8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E6424E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EAEAB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FEE21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5F576885"/>
    <w:multiLevelType w:val="hybridMultilevel"/>
    <w:tmpl w:val="263C3BA0"/>
    <w:lvl w:ilvl="0" w:tplc="B156A5B6">
      <w:start w:val="1"/>
      <w:numFmt w:val="bullet"/>
      <w:lvlText w:val=""/>
      <w:lvlJc w:val="left"/>
      <w:pPr>
        <w:ind w:left="1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7E8F5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DC642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60BA2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B04A0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6430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EE571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221C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18B7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nsid w:val="664C4675"/>
    <w:multiLevelType w:val="hybridMultilevel"/>
    <w:tmpl w:val="074659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AEB0C11"/>
    <w:multiLevelType w:val="hybridMultilevel"/>
    <w:tmpl w:val="20C23C6A"/>
    <w:lvl w:ilvl="0" w:tplc="FBAC7D26">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8695B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E208A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A4C03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74CD91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B0142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EE40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0ED72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D2C90E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6B9924B9"/>
    <w:multiLevelType w:val="hybridMultilevel"/>
    <w:tmpl w:val="F10AC28A"/>
    <w:lvl w:ilvl="0" w:tplc="A4C00A30">
      <w:start w:val="21"/>
      <w:numFmt w:val="upperLetter"/>
      <w:lvlText w:val="%1"/>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5419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20B6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F07C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026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6FE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A1C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740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D8DD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6E4655BB"/>
    <w:multiLevelType w:val="hybridMultilevel"/>
    <w:tmpl w:val="1FCE931A"/>
    <w:lvl w:ilvl="0" w:tplc="33860DF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095542F"/>
    <w:multiLevelType w:val="hybridMultilevel"/>
    <w:tmpl w:val="BA96C192"/>
    <w:lvl w:ilvl="0" w:tplc="A2E6B916">
      <w:start w:val="1"/>
      <w:numFmt w:val="bullet"/>
      <w:lvlText w:val="-"/>
      <w:lvlJc w:val="left"/>
      <w:pPr>
        <w:ind w:left="1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FE5640">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3AFC38">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4C342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44E5D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C789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223666">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7EF3A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10A17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16C0C55"/>
    <w:multiLevelType w:val="hybridMultilevel"/>
    <w:tmpl w:val="8AC638A8"/>
    <w:lvl w:ilvl="0" w:tplc="A2E6B91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A914F5"/>
    <w:multiLevelType w:val="hybridMultilevel"/>
    <w:tmpl w:val="4D82EDBC"/>
    <w:lvl w:ilvl="0" w:tplc="FF120950">
      <w:start w:val="4"/>
      <w:numFmt w:val="lowerLetter"/>
      <w:lvlText w:val="%1."/>
      <w:lvlJc w:val="left"/>
      <w:pPr>
        <w:ind w:left="9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A3640E4">
      <w:start w:val="1"/>
      <w:numFmt w:val="lowerLetter"/>
      <w:lvlText w:val="%2"/>
      <w:lvlJc w:val="left"/>
      <w:pPr>
        <w:ind w:left="10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31684B2">
      <w:start w:val="1"/>
      <w:numFmt w:val="lowerRoman"/>
      <w:lvlText w:val="%3"/>
      <w:lvlJc w:val="left"/>
      <w:pPr>
        <w:ind w:left="18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96298AA">
      <w:start w:val="1"/>
      <w:numFmt w:val="decimal"/>
      <w:lvlText w:val="%4"/>
      <w:lvlJc w:val="left"/>
      <w:pPr>
        <w:ind w:left="25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4B211DC">
      <w:start w:val="1"/>
      <w:numFmt w:val="lowerLetter"/>
      <w:lvlText w:val="%5"/>
      <w:lvlJc w:val="left"/>
      <w:pPr>
        <w:ind w:left="32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878AB20">
      <w:start w:val="1"/>
      <w:numFmt w:val="lowerRoman"/>
      <w:lvlText w:val="%6"/>
      <w:lvlJc w:val="left"/>
      <w:pPr>
        <w:ind w:left="39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21E5456">
      <w:start w:val="1"/>
      <w:numFmt w:val="decimal"/>
      <w:lvlText w:val="%7"/>
      <w:lvlJc w:val="left"/>
      <w:pPr>
        <w:ind w:left="46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CAC694E">
      <w:start w:val="1"/>
      <w:numFmt w:val="lowerLetter"/>
      <w:lvlText w:val="%8"/>
      <w:lvlJc w:val="left"/>
      <w:pPr>
        <w:ind w:left="54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F1ABB12">
      <w:start w:val="1"/>
      <w:numFmt w:val="lowerRoman"/>
      <w:lvlText w:val="%9"/>
      <w:lvlJc w:val="left"/>
      <w:pPr>
        <w:ind w:left="61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
    <w:nsid w:val="776C3D8A"/>
    <w:multiLevelType w:val="hybridMultilevel"/>
    <w:tmpl w:val="53C6331A"/>
    <w:lvl w:ilvl="0" w:tplc="ED346C5A">
      <w:start w:val="1"/>
      <w:numFmt w:val="bullet"/>
      <w:lvlText w:val=""/>
      <w:lvlJc w:val="left"/>
      <w:pPr>
        <w:ind w:left="1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C0CF1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C8DB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0EA82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6909F4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BC989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820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10A9A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86F3E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7ED04E50"/>
    <w:multiLevelType w:val="hybridMultilevel"/>
    <w:tmpl w:val="21263542"/>
    <w:lvl w:ilvl="0" w:tplc="AD82FF0E">
      <w:start w:val="1"/>
      <w:numFmt w:val="upperLetter"/>
      <w:lvlText w:val="%1."/>
      <w:lvlJc w:val="left"/>
      <w:pPr>
        <w:ind w:left="2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3C6A66">
      <w:start w:val="1"/>
      <w:numFmt w:val="lowerLetter"/>
      <w:lvlText w:val="%2"/>
      <w:lvlJc w:val="left"/>
      <w:pPr>
        <w:ind w:left="20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5CCFF4">
      <w:start w:val="1"/>
      <w:numFmt w:val="lowerRoman"/>
      <w:lvlText w:val="%3"/>
      <w:lvlJc w:val="left"/>
      <w:pPr>
        <w:ind w:left="27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BA5CE0">
      <w:start w:val="1"/>
      <w:numFmt w:val="decimal"/>
      <w:lvlText w:val="%4"/>
      <w:lvlJc w:val="left"/>
      <w:pPr>
        <w:ind w:left="35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3EEEB0">
      <w:start w:val="1"/>
      <w:numFmt w:val="lowerLetter"/>
      <w:lvlText w:val="%5"/>
      <w:lvlJc w:val="left"/>
      <w:pPr>
        <w:ind w:left="42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362462">
      <w:start w:val="1"/>
      <w:numFmt w:val="lowerRoman"/>
      <w:lvlText w:val="%6"/>
      <w:lvlJc w:val="left"/>
      <w:pPr>
        <w:ind w:left="49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3684FA">
      <w:start w:val="1"/>
      <w:numFmt w:val="decimal"/>
      <w:lvlText w:val="%7"/>
      <w:lvlJc w:val="left"/>
      <w:pPr>
        <w:ind w:left="56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10E0D4">
      <w:start w:val="1"/>
      <w:numFmt w:val="lowerLetter"/>
      <w:lvlText w:val="%8"/>
      <w:lvlJc w:val="left"/>
      <w:pPr>
        <w:ind w:left="63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4E835D2">
      <w:start w:val="1"/>
      <w:numFmt w:val="lowerRoman"/>
      <w:lvlText w:val="%9"/>
      <w:lvlJc w:val="left"/>
      <w:pPr>
        <w:ind w:left="71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2">
    <w:nsid w:val="7F0403B1"/>
    <w:multiLevelType w:val="hybridMultilevel"/>
    <w:tmpl w:val="BD9A3056"/>
    <w:lvl w:ilvl="0" w:tplc="C3D0848E">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92E5C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2227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E8949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5604D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4C4A9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6611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8027C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B67CF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40"/>
  </w:num>
  <w:num w:numId="2">
    <w:abstractNumId w:val="29"/>
  </w:num>
  <w:num w:numId="3">
    <w:abstractNumId w:val="19"/>
  </w:num>
  <w:num w:numId="4">
    <w:abstractNumId w:val="39"/>
  </w:num>
  <w:num w:numId="5">
    <w:abstractNumId w:val="12"/>
  </w:num>
  <w:num w:numId="6">
    <w:abstractNumId w:val="9"/>
  </w:num>
  <w:num w:numId="7">
    <w:abstractNumId w:val="6"/>
  </w:num>
  <w:num w:numId="8">
    <w:abstractNumId w:val="10"/>
  </w:num>
  <w:num w:numId="9">
    <w:abstractNumId w:val="32"/>
  </w:num>
  <w:num w:numId="10">
    <w:abstractNumId w:val="26"/>
  </w:num>
  <w:num w:numId="11">
    <w:abstractNumId w:val="2"/>
  </w:num>
  <w:num w:numId="12">
    <w:abstractNumId w:val="34"/>
  </w:num>
  <w:num w:numId="13">
    <w:abstractNumId w:val="24"/>
  </w:num>
  <w:num w:numId="14">
    <w:abstractNumId w:val="28"/>
  </w:num>
  <w:num w:numId="15">
    <w:abstractNumId w:val="13"/>
  </w:num>
  <w:num w:numId="16">
    <w:abstractNumId w:val="22"/>
  </w:num>
  <w:num w:numId="17">
    <w:abstractNumId w:val="35"/>
  </w:num>
  <w:num w:numId="18">
    <w:abstractNumId w:val="41"/>
  </w:num>
  <w:num w:numId="19">
    <w:abstractNumId w:val="8"/>
  </w:num>
  <w:num w:numId="20">
    <w:abstractNumId w:val="37"/>
  </w:num>
  <w:num w:numId="21">
    <w:abstractNumId w:val="30"/>
  </w:num>
  <w:num w:numId="22">
    <w:abstractNumId w:val="31"/>
  </w:num>
  <w:num w:numId="23">
    <w:abstractNumId w:val="16"/>
  </w:num>
  <w:num w:numId="24">
    <w:abstractNumId w:val="20"/>
  </w:num>
  <w:num w:numId="25">
    <w:abstractNumId w:val="25"/>
  </w:num>
  <w:num w:numId="26">
    <w:abstractNumId w:val="1"/>
  </w:num>
  <w:num w:numId="27">
    <w:abstractNumId w:val="23"/>
  </w:num>
  <w:num w:numId="28">
    <w:abstractNumId w:val="0"/>
  </w:num>
  <w:num w:numId="29">
    <w:abstractNumId w:val="5"/>
  </w:num>
  <w:num w:numId="30">
    <w:abstractNumId w:val="27"/>
  </w:num>
  <w:num w:numId="31">
    <w:abstractNumId w:val="18"/>
  </w:num>
  <w:num w:numId="32">
    <w:abstractNumId w:val="42"/>
  </w:num>
  <w:num w:numId="33">
    <w:abstractNumId w:val="17"/>
  </w:num>
  <w:num w:numId="34">
    <w:abstractNumId w:val="4"/>
  </w:num>
  <w:num w:numId="35">
    <w:abstractNumId w:val="21"/>
  </w:num>
  <w:num w:numId="36">
    <w:abstractNumId w:val="33"/>
  </w:num>
  <w:num w:numId="37">
    <w:abstractNumId w:val="38"/>
  </w:num>
  <w:num w:numId="38">
    <w:abstractNumId w:val="3"/>
  </w:num>
  <w:num w:numId="39">
    <w:abstractNumId w:val="36"/>
  </w:num>
  <w:num w:numId="40">
    <w:abstractNumId w:val="14"/>
  </w:num>
  <w:num w:numId="41">
    <w:abstractNumId w:val="11"/>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1E"/>
    <w:rsid w:val="00012F00"/>
    <w:rsid w:val="00020EA4"/>
    <w:rsid w:val="00023F41"/>
    <w:rsid w:val="00024195"/>
    <w:rsid w:val="000249AA"/>
    <w:rsid w:val="0002720C"/>
    <w:rsid w:val="000458B3"/>
    <w:rsid w:val="00047A9F"/>
    <w:rsid w:val="00051D79"/>
    <w:rsid w:val="00067E4E"/>
    <w:rsid w:val="000742D4"/>
    <w:rsid w:val="0008492C"/>
    <w:rsid w:val="000904BB"/>
    <w:rsid w:val="00092403"/>
    <w:rsid w:val="00097CAF"/>
    <w:rsid w:val="000A312B"/>
    <w:rsid w:val="000A4E5E"/>
    <w:rsid w:val="000B1D7B"/>
    <w:rsid w:val="000D24B5"/>
    <w:rsid w:val="000D2914"/>
    <w:rsid w:val="000E7935"/>
    <w:rsid w:val="000F65F2"/>
    <w:rsid w:val="00110204"/>
    <w:rsid w:val="00110E71"/>
    <w:rsid w:val="0011437E"/>
    <w:rsid w:val="00115648"/>
    <w:rsid w:val="00121B8A"/>
    <w:rsid w:val="00130E2E"/>
    <w:rsid w:val="001316AC"/>
    <w:rsid w:val="001350B2"/>
    <w:rsid w:val="00144EB0"/>
    <w:rsid w:val="00152116"/>
    <w:rsid w:val="00155775"/>
    <w:rsid w:val="00161D04"/>
    <w:rsid w:val="00184636"/>
    <w:rsid w:val="00190722"/>
    <w:rsid w:val="001A4B35"/>
    <w:rsid w:val="001A7A3F"/>
    <w:rsid w:val="001C00C7"/>
    <w:rsid w:val="001C602D"/>
    <w:rsid w:val="001E1701"/>
    <w:rsid w:val="00215AB1"/>
    <w:rsid w:val="0023012B"/>
    <w:rsid w:val="00242640"/>
    <w:rsid w:val="00247F80"/>
    <w:rsid w:val="002522FF"/>
    <w:rsid w:val="00267A2B"/>
    <w:rsid w:val="00274765"/>
    <w:rsid w:val="002766FE"/>
    <w:rsid w:val="002873FF"/>
    <w:rsid w:val="002A772D"/>
    <w:rsid w:val="002B404A"/>
    <w:rsid w:val="002B4A26"/>
    <w:rsid w:val="002D19E9"/>
    <w:rsid w:val="002D39C8"/>
    <w:rsid w:val="003145A8"/>
    <w:rsid w:val="00315135"/>
    <w:rsid w:val="0031595D"/>
    <w:rsid w:val="00330BE7"/>
    <w:rsid w:val="003364FC"/>
    <w:rsid w:val="00342373"/>
    <w:rsid w:val="00344937"/>
    <w:rsid w:val="00352F40"/>
    <w:rsid w:val="003675E8"/>
    <w:rsid w:val="00375B91"/>
    <w:rsid w:val="0038097A"/>
    <w:rsid w:val="0038779E"/>
    <w:rsid w:val="003911AA"/>
    <w:rsid w:val="00393ABD"/>
    <w:rsid w:val="00395741"/>
    <w:rsid w:val="003B08FA"/>
    <w:rsid w:val="003B0C9E"/>
    <w:rsid w:val="003C3644"/>
    <w:rsid w:val="003D47A6"/>
    <w:rsid w:val="003F0B56"/>
    <w:rsid w:val="003F1C1E"/>
    <w:rsid w:val="003F7B0E"/>
    <w:rsid w:val="00400988"/>
    <w:rsid w:val="004070FD"/>
    <w:rsid w:val="00410FBC"/>
    <w:rsid w:val="00413A3C"/>
    <w:rsid w:val="004200D1"/>
    <w:rsid w:val="004222F4"/>
    <w:rsid w:val="00425579"/>
    <w:rsid w:val="0042655D"/>
    <w:rsid w:val="0042708B"/>
    <w:rsid w:val="00427D1B"/>
    <w:rsid w:val="00432E33"/>
    <w:rsid w:val="00455BCA"/>
    <w:rsid w:val="00467C31"/>
    <w:rsid w:val="0048153D"/>
    <w:rsid w:val="00492FF2"/>
    <w:rsid w:val="0049544A"/>
    <w:rsid w:val="004A1C6E"/>
    <w:rsid w:val="004A4337"/>
    <w:rsid w:val="004A5843"/>
    <w:rsid w:val="004B1703"/>
    <w:rsid w:val="004C69F1"/>
    <w:rsid w:val="004E6E6E"/>
    <w:rsid w:val="004F0E21"/>
    <w:rsid w:val="004F10FB"/>
    <w:rsid w:val="004F4281"/>
    <w:rsid w:val="00522678"/>
    <w:rsid w:val="00526BCF"/>
    <w:rsid w:val="00540875"/>
    <w:rsid w:val="005607F9"/>
    <w:rsid w:val="00564119"/>
    <w:rsid w:val="005737A5"/>
    <w:rsid w:val="00577743"/>
    <w:rsid w:val="005778DD"/>
    <w:rsid w:val="00590735"/>
    <w:rsid w:val="00596475"/>
    <w:rsid w:val="005A2D9F"/>
    <w:rsid w:val="005A5002"/>
    <w:rsid w:val="005A6838"/>
    <w:rsid w:val="005A7B72"/>
    <w:rsid w:val="005B06E7"/>
    <w:rsid w:val="005C39B2"/>
    <w:rsid w:val="005C5DFC"/>
    <w:rsid w:val="005E14C7"/>
    <w:rsid w:val="005F0336"/>
    <w:rsid w:val="005F2182"/>
    <w:rsid w:val="006010F9"/>
    <w:rsid w:val="00604687"/>
    <w:rsid w:val="00607B70"/>
    <w:rsid w:val="00624E4B"/>
    <w:rsid w:val="006418BC"/>
    <w:rsid w:val="006438C0"/>
    <w:rsid w:val="00647EC5"/>
    <w:rsid w:val="00651404"/>
    <w:rsid w:val="00657256"/>
    <w:rsid w:val="0066559E"/>
    <w:rsid w:val="00675E2D"/>
    <w:rsid w:val="006761C9"/>
    <w:rsid w:val="0068335A"/>
    <w:rsid w:val="0068403E"/>
    <w:rsid w:val="0069583C"/>
    <w:rsid w:val="00696F62"/>
    <w:rsid w:val="006A3E5F"/>
    <w:rsid w:val="006A436B"/>
    <w:rsid w:val="006B5918"/>
    <w:rsid w:val="006B614A"/>
    <w:rsid w:val="006D27A5"/>
    <w:rsid w:val="006D5F75"/>
    <w:rsid w:val="006E1914"/>
    <w:rsid w:val="006F3360"/>
    <w:rsid w:val="007048CF"/>
    <w:rsid w:val="00710F50"/>
    <w:rsid w:val="00716F79"/>
    <w:rsid w:val="007220D2"/>
    <w:rsid w:val="007249CA"/>
    <w:rsid w:val="0073192F"/>
    <w:rsid w:val="007347CF"/>
    <w:rsid w:val="007379D2"/>
    <w:rsid w:val="007517C2"/>
    <w:rsid w:val="00752E66"/>
    <w:rsid w:val="007737A2"/>
    <w:rsid w:val="0079030A"/>
    <w:rsid w:val="00792DDD"/>
    <w:rsid w:val="007A521F"/>
    <w:rsid w:val="007B5B22"/>
    <w:rsid w:val="007B7AE7"/>
    <w:rsid w:val="007C6DDB"/>
    <w:rsid w:val="007F3325"/>
    <w:rsid w:val="007F66DB"/>
    <w:rsid w:val="008046A1"/>
    <w:rsid w:val="00830140"/>
    <w:rsid w:val="00846C12"/>
    <w:rsid w:val="00867394"/>
    <w:rsid w:val="00880366"/>
    <w:rsid w:val="00891FDE"/>
    <w:rsid w:val="008A1518"/>
    <w:rsid w:val="008B389B"/>
    <w:rsid w:val="008B4819"/>
    <w:rsid w:val="008B5EE3"/>
    <w:rsid w:val="008C169D"/>
    <w:rsid w:val="008C26A8"/>
    <w:rsid w:val="008D0DAE"/>
    <w:rsid w:val="008D574E"/>
    <w:rsid w:val="00901D38"/>
    <w:rsid w:val="009062E9"/>
    <w:rsid w:val="00915143"/>
    <w:rsid w:val="009159D0"/>
    <w:rsid w:val="0091679C"/>
    <w:rsid w:val="009224B7"/>
    <w:rsid w:val="00935FE0"/>
    <w:rsid w:val="00942C24"/>
    <w:rsid w:val="00984138"/>
    <w:rsid w:val="00987FE7"/>
    <w:rsid w:val="009A581E"/>
    <w:rsid w:val="009C4D0D"/>
    <w:rsid w:val="009D1118"/>
    <w:rsid w:val="009F28EA"/>
    <w:rsid w:val="009F527A"/>
    <w:rsid w:val="009F5B46"/>
    <w:rsid w:val="009F5CC4"/>
    <w:rsid w:val="00A01689"/>
    <w:rsid w:val="00A01827"/>
    <w:rsid w:val="00A02A96"/>
    <w:rsid w:val="00A173AA"/>
    <w:rsid w:val="00A22606"/>
    <w:rsid w:val="00A45572"/>
    <w:rsid w:val="00A473E1"/>
    <w:rsid w:val="00A572D3"/>
    <w:rsid w:val="00A6320C"/>
    <w:rsid w:val="00A71AC6"/>
    <w:rsid w:val="00A72429"/>
    <w:rsid w:val="00A74B79"/>
    <w:rsid w:val="00A8749C"/>
    <w:rsid w:val="00A909B4"/>
    <w:rsid w:val="00A92833"/>
    <w:rsid w:val="00AC0C59"/>
    <w:rsid w:val="00AC5580"/>
    <w:rsid w:val="00AD2786"/>
    <w:rsid w:val="00AE026D"/>
    <w:rsid w:val="00AE2068"/>
    <w:rsid w:val="00AF51BA"/>
    <w:rsid w:val="00B265BE"/>
    <w:rsid w:val="00B32D5C"/>
    <w:rsid w:val="00B35F87"/>
    <w:rsid w:val="00B663E2"/>
    <w:rsid w:val="00B71267"/>
    <w:rsid w:val="00B768DD"/>
    <w:rsid w:val="00BA1429"/>
    <w:rsid w:val="00BA2477"/>
    <w:rsid w:val="00BD6654"/>
    <w:rsid w:val="00C14DA3"/>
    <w:rsid w:val="00C170A9"/>
    <w:rsid w:val="00C379D6"/>
    <w:rsid w:val="00C40E72"/>
    <w:rsid w:val="00C43BA4"/>
    <w:rsid w:val="00C6535A"/>
    <w:rsid w:val="00C80AD3"/>
    <w:rsid w:val="00C83D0D"/>
    <w:rsid w:val="00C92563"/>
    <w:rsid w:val="00CA44C2"/>
    <w:rsid w:val="00CB64D2"/>
    <w:rsid w:val="00CC359D"/>
    <w:rsid w:val="00CD68E3"/>
    <w:rsid w:val="00CE499C"/>
    <w:rsid w:val="00D04251"/>
    <w:rsid w:val="00D06EF7"/>
    <w:rsid w:val="00D2559A"/>
    <w:rsid w:val="00D27DB0"/>
    <w:rsid w:val="00D40E1D"/>
    <w:rsid w:val="00D4242E"/>
    <w:rsid w:val="00D511A6"/>
    <w:rsid w:val="00D54262"/>
    <w:rsid w:val="00D6702D"/>
    <w:rsid w:val="00D923C3"/>
    <w:rsid w:val="00D92499"/>
    <w:rsid w:val="00DA4060"/>
    <w:rsid w:val="00DA6DE9"/>
    <w:rsid w:val="00DC3E0D"/>
    <w:rsid w:val="00DC443F"/>
    <w:rsid w:val="00DD1E36"/>
    <w:rsid w:val="00DD626A"/>
    <w:rsid w:val="00DF3224"/>
    <w:rsid w:val="00DF43D7"/>
    <w:rsid w:val="00E03A58"/>
    <w:rsid w:val="00E06E0C"/>
    <w:rsid w:val="00E27FF9"/>
    <w:rsid w:val="00E52ADB"/>
    <w:rsid w:val="00E53969"/>
    <w:rsid w:val="00E54945"/>
    <w:rsid w:val="00E97129"/>
    <w:rsid w:val="00E97372"/>
    <w:rsid w:val="00EB1E9C"/>
    <w:rsid w:val="00EB5E31"/>
    <w:rsid w:val="00EC1B70"/>
    <w:rsid w:val="00ED3486"/>
    <w:rsid w:val="00EE00EF"/>
    <w:rsid w:val="00EE7007"/>
    <w:rsid w:val="00EF02EF"/>
    <w:rsid w:val="00EF1F05"/>
    <w:rsid w:val="00F43601"/>
    <w:rsid w:val="00F51A57"/>
    <w:rsid w:val="00F64141"/>
    <w:rsid w:val="00F97CBC"/>
    <w:rsid w:val="00F97CFD"/>
    <w:rsid w:val="00FA53DF"/>
    <w:rsid w:val="00FB4B12"/>
    <w:rsid w:val="00FC1D4B"/>
    <w:rsid w:val="00FD25A1"/>
    <w:rsid w:val="00FF1053"/>
    <w:rsid w:val="00FF4553"/>
    <w:rsid w:val="00FF520E"/>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81E"/>
    <w:pPr>
      <w:spacing w:after="4" w:line="248" w:lineRule="auto"/>
      <w:ind w:left="717" w:hanging="9"/>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9A581E"/>
    <w:pPr>
      <w:keepNext/>
      <w:keepLines/>
      <w:spacing w:after="14" w:line="248" w:lineRule="auto"/>
      <w:ind w:left="718"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9A581E"/>
    <w:pPr>
      <w:keepNext/>
      <w:keepLines/>
      <w:spacing w:after="3"/>
      <w:ind w:left="672" w:hanging="10"/>
      <w:outlineLvl w:val="1"/>
    </w:pPr>
    <w:rPr>
      <w:rFonts w:ascii="Times New Roman" w:eastAsia="Times New Roman" w:hAnsi="Times New Roman" w:cs="Times New Roman"/>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58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581E"/>
  </w:style>
  <w:style w:type="paragraph" w:styleId="Pta">
    <w:name w:val="footer"/>
    <w:basedOn w:val="Normlny"/>
    <w:link w:val="PtaChar"/>
    <w:uiPriority w:val="99"/>
    <w:unhideWhenUsed/>
    <w:rsid w:val="009A581E"/>
    <w:pPr>
      <w:tabs>
        <w:tab w:val="center" w:pos="4536"/>
        <w:tab w:val="right" w:pos="9072"/>
      </w:tabs>
      <w:spacing w:after="0" w:line="240" w:lineRule="auto"/>
    </w:pPr>
  </w:style>
  <w:style w:type="character" w:customStyle="1" w:styleId="PtaChar">
    <w:name w:val="Päta Char"/>
    <w:basedOn w:val="Predvolenpsmoodseku"/>
    <w:link w:val="Pta"/>
    <w:uiPriority w:val="99"/>
    <w:rsid w:val="009A581E"/>
  </w:style>
  <w:style w:type="character" w:customStyle="1" w:styleId="Nadpis1Char">
    <w:name w:val="Nadpis 1 Char"/>
    <w:basedOn w:val="Predvolenpsmoodseku"/>
    <w:link w:val="Nadpis1"/>
    <w:uiPriority w:val="9"/>
    <w:rsid w:val="009A581E"/>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9A581E"/>
    <w:rPr>
      <w:rFonts w:ascii="Times New Roman" w:eastAsia="Times New Roman" w:hAnsi="Times New Roman" w:cs="Times New Roman"/>
      <w:b/>
      <w:color w:val="000000"/>
      <w:lang w:eastAsia="sk-SK"/>
    </w:rPr>
  </w:style>
  <w:style w:type="table" w:customStyle="1" w:styleId="TableGrid">
    <w:name w:val="TableGrid"/>
    <w:rsid w:val="009A581E"/>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130E2E"/>
    <w:pPr>
      <w:ind w:left="720"/>
      <w:contextualSpacing/>
    </w:pPr>
  </w:style>
  <w:style w:type="character" w:styleId="Odkaznakomentr">
    <w:name w:val="annotation reference"/>
    <w:basedOn w:val="Predvolenpsmoodseku"/>
    <w:uiPriority w:val="99"/>
    <w:semiHidden/>
    <w:unhideWhenUsed/>
    <w:rsid w:val="000904BB"/>
    <w:rPr>
      <w:sz w:val="16"/>
      <w:szCs w:val="16"/>
    </w:rPr>
  </w:style>
  <w:style w:type="paragraph" w:styleId="Textkomentra">
    <w:name w:val="annotation text"/>
    <w:basedOn w:val="Normlny"/>
    <w:link w:val="TextkomentraChar"/>
    <w:uiPriority w:val="99"/>
    <w:semiHidden/>
    <w:unhideWhenUsed/>
    <w:rsid w:val="000904BB"/>
    <w:pPr>
      <w:spacing w:line="240" w:lineRule="auto"/>
    </w:pPr>
    <w:rPr>
      <w:sz w:val="20"/>
      <w:szCs w:val="20"/>
    </w:rPr>
  </w:style>
  <w:style w:type="character" w:customStyle="1" w:styleId="TextkomentraChar">
    <w:name w:val="Text komentára Char"/>
    <w:basedOn w:val="Predvolenpsmoodseku"/>
    <w:link w:val="Textkomentra"/>
    <w:uiPriority w:val="99"/>
    <w:semiHidden/>
    <w:rsid w:val="000904BB"/>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904BB"/>
    <w:rPr>
      <w:b/>
      <w:bCs/>
    </w:rPr>
  </w:style>
  <w:style w:type="character" w:customStyle="1" w:styleId="PredmetkomentraChar">
    <w:name w:val="Predmet komentára Char"/>
    <w:basedOn w:val="TextkomentraChar"/>
    <w:link w:val="Predmetkomentra"/>
    <w:uiPriority w:val="99"/>
    <w:semiHidden/>
    <w:rsid w:val="000904BB"/>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0904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04BB"/>
    <w:rPr>
      <w:rFonts w:ascii="Tahoma" w:eastAsia="Times New Roman" w:hAnsi="Tahoma" w:cs="Tahoma"/>
      <w:color w:val="000000"/>
      <w:sz w:val="16"/>
      <w:szCs w:val="16"/>
      <w:lang w:eastAsia="sk-SK"/>
    </w:rPr>
  </w:style>
  <w:style w:type="paragraph" w:styleId="Revzia">
    <w:name w:val="Revision"/>
    <w:hidden/>
    <w:uiPriority w:val="99"/>
    <w:semiHidden/>
    <w:rsid w:val="007B5B22"/>
    <w:pPr>
      <w:spacing w:after="0" w:line="240" w:lineRule="auto"/>
    </w:pPr>
    <w:rPr>
      <w:rFonts w:ascii="Times New Roman" w:eastAsia="Times New Roman" w:hAnsi="Times New Roman" w:cs="Times New Roman"/>
      <w:color w:val="00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81E"/>
    <w:pPr>
      <w:spacing w:after="4" w:line="248" w:lineRule="auto"/>
      <w:ind w:left="717" w:hanging="9"/>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9A581E"/>
    <w:pPr>
      <w:keepNext/>
      <w:keepLines/>
      <w:spacing w:after="14" w:line="248" w:lineRule="auto"/>
      <w:ind w:left="718"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9A581E"/>
    <w:pPr>
      <w:keepNext/>
      <w:keepLines/>
      <w:spacing w:after="3"/>
      <w:ind w:left="672" w:hanging="10"/>
      <w:outlineLvl w:val="1"/>
    </w:pPr>
    <w:rPr>
      <w:rFonts w:ascii="Times New Roman" w:eastAsia="Times New Roman" w:hAnsi="Times New Roman" w:cs="Times New Roman"/>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58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581E"/>
  </w:style>
  <w:style w:type="paragraph" w:styleId="Pta">
    <w:name w:val="footer"/>
    <w:basedOn w:val="Normlny"/>
    <w:link w:val="PtaChar"/>
    <w:uiPriority w:val="99"/>
    <w:unhideWhenUsed/>
    <w:rsid w:val="009A581E"/>
    <w:pPr>
      <w:tabs>
        <w:tab w:val="center" w:pos="4536"/>
        <w:tab w:val="right" w:pos="9072"/>
      </w:tabs>
      <w:spacing w:after="0" w:line="240" w:lineRule="auto"/>
    </w:pPr>
  </w:style>
  <w:style w:type="character" w:customStyle="1" w:styleId="PtaChar">
    <w:name w:val="Päta Char"/>
    <w:basedOn w:val="Predvolenpsmoodseku"/>
    <w:link w:val="Pta"/>
    <w:uiPriority w:val="99"/>
    <w:rsid w:val="009A581E"/>
  </w:style>
  <w:style w:type="character" w:customStyle="1" w:styleId="Nadpis1Char">
    <w:name w:val="Nadpis 1 Char"/>
    <w:basedOn w:val="Predvolenpsmoodseku"/>
    <w:link w:val="Nadpis1"/>
    <w:uiPriority w:val="9"/>
    <w:rsid w:val="009A581E"/>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9A581E"/>
    <w:rPr>
      <w:rFonts w:ascii="Times New Roman" w:eastAsia="Times New Roman" w:hAnsi="Times New Roman" w:cs="Times New Roman"/>
      <w:b/>
      <w:color w:val="000000"/>
      <w:lang w:eastAsia="sk-SK"/>
    </w:rPr>
  </w:style>
  <w:style w:type="table" w:customStyle="1" w:styleId="TableGrid">
    <w:name w:val="TableGrid"/>
    <w:rsid w:val="009A581E"/>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130E2E"/>
    <w:pPr>
      <w:ind w:left="720"/>
      <w:contextualSpacing/>
    </w:pPr>
  </w:style>
  <w:style w:type="character" w:styleId="Odkaznakomentr">
    <w:name w:val="annotation reference"/>
    <w:basedOn w:val="Predvolenpsmoodseku"/>
    <w:uiPriority w:val="99"/>
    <w:semiHidden/>
    <w:unhideWhenUsed/>
    <w:rsid w:val="000904BB"/>
    <w:rPr>
      <w:sz w:val="16"/>
      <w:szCs w:val="16"/>
    </w:rPr>
  </w:style>
  <w:style w:type="paragraph" w:styleId="Textkomentra">
    <w:name w:val="annotation text"/>
    <w:basedOn w:val="Normlny"/>
    <w:link w:val="TextkomentraChar"/>
    <w:uiPriority w:val="99"/>
    <w:semiHidden/>
    <w:unhideWhenUsed/>
    <w:rsid w:val="000904BB"/>
    <w:pPr>
      <w:spacing w:line="240" w:lineRule="auto"/>
    </w:pPr>
    <w:rPr>
      <w:sz w:val="20"/>
      <w:szCs w:val="20"/>
    </w:rPr>
  </w:style>
  <w:style w:type="character" w:customStyle="1" w:styleId="TextkomentraChar">
    <w:name w:val="Text komentára Char"/>
    <w:basedOn w:val="Predvolenpsmoodseku"/>
    <w:link w:val="Textkomentra"/>
    <w:uiPriority w:val="99"/>
    <w:semiHidden/>
    <w:rsid w:val="000904BB"/>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904BB"/>
    <w:rPr>
      <w:b/>
      <w:bCs/>
    </w:rPr>
  </w:style>
  <w:style w:type="character" w:customStyle="1" w:styleId="PredmetkomentraChar">
    <w:name w:val="Predmet komentára Char"/>
    <w:basedOn w:val="TextkomentraChar"/>
    <w:link w:val="Predmetkomentra"/>
    <w:uiPriority w:val="99"/>
    <w:semiHidden/>
    <w:rsid w:val="000904BB"/>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0904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04BB"/>
    <w:rPr>
      <w:rFonts w:ascii="Tahoma" w:eastAsia="Times New Roman" w:hAnsi="Tahoma" w:cs="Tahoma"/>
      <w:color w:val="000000"/>
      <w:sz w:val="16"/>
      <w:szCs w:val="16"/>
      <w:lang w:eastAsia="sk-SK"/>
    </w:rPr>
  </w:style>
  <w:style w:type="paragraph" w:styleId="Revzia">
    <w:name w:val="Revision"/>
    <w:hidden/>
    <w:uiPriority w:val="99"/>
    <w:semiHidden/>
    <w:rsid w:val="007B5B22"/>
    <w:pPr>
      <w:spacing w:after="0" w:line="240" w:lineRule="auto"/>
    </w:pPr>
    <w:rPr>
      <w:rFonts w:ascii="Times New Roman" w:eastAsia="Times New Roman" w:hAnsi="Times New Roman" w:cs="Times New Roman"/>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EC84-BD98-4019-B796-6652ED3A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9644</Words>
  <Characters>54976</Characters>
  <Application>Microsoft Office Word</Application>
  <DocSecurity>0</DocSecurity>
  <Lines>458</Lines>
  <Paragraphs>128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Majstrikova</dc:creator>
  <cp:keywords/>
  <dc:description/>
  <cp:lastModifiedBy>Bezeková, Kamila</cp:lastModifiedBy>
  <cp:revision>13</cp:revision>
  <dcterms:created xsi:type="dcterms:W3CDTF">2018-08-03T06:37:00Z</dcterms:created>
  <dcterms:modified xsi:type="dcterms:W3CDTF">2018-08-13T13:45:00Z</dcterms:modified>
</cp:coreProperties>
</file>