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982A41" w14:textId="77777777" w:rsidR="00B3185C" w:rsidRDefault="00B3185C" w:rsidP="007937D1">
      <w:pPr>
        <w:jc w:val="center"/>
        <w:outlineLvl w:val="0"/>
        <w:rPr>
          <w:sz w:val="22"/>
          <w:szCs w:val="22"/>
        </w:rPr>
      </w:pPr>
    </w:p>
    <w:p w14:paraId="2B1EF365" w14:textId="77777777" w:rsidR="00E854C2" w:rsidRPr="007937D1" w:rsidRDefault="00E854C2" w:rsidP="007937D1">
      <w:pPr>
        <w:jc w:val="center"/>
        <w:outlineLvl w:val="0"/>
        <w:rPr>
          <w:sz w:val="22"/>
          <w:szCs w:val="22"/>
        </w:rPr>
      </w:pPr>
      <w:r w:rsidRPr="007937D1">
        <w:rPr>
          <w:b/>
          <w:sz w:val="22"/>
          <w:szCs w:val="22"/>
        </w:rPr>
        <w:t>SÚHRN CHARAKTERISTICKÝCH VLASTNOSTÍ LIEKU</w:t>
      </w:r>
    </w:p>
    <w:p w14:paraId="5D6C3990" w14:textId="77777777" w:rsidR="00E854C2" w:rsidRPr="007937D1" w:rsidRDefault="00E854C2" w:rsidP="0041531C">
      <w:pPr>
        <w:rPr>
          <w:sz w:val="22"/>
          <w:szCs w:val="22"/>
        </w:rPr>
      </w:pPr>
    </w:p>
    <w:p w14:paraId="5D93F732" w14:textId="77777777" w:rsidR="00CB1B89" w:rsidRPr="007937D1" w:rsidRDefault="00CB1B89" w:rsidP="0041531C">
      <w:pPr>
        <w:rPr>
          <w:b/>
          <w:sz w:val="22"/>
          <w:szCs w:val="22"/>
        </w:rPr>
      </w:pPr>
    </w:p>
    <w:p w14:paraId="107F224B" w14:textId="77777777" w:rsidR="0005100D" w:rsidRPr="007937D1" w:rsidRDefault="0005100D" w:rsidP="0041531C">
      <w:pPr>
        <w:rPr>
          <w:b/>
          <w:sz w:val="22"/>
          <w:szCs w:val="22"/>
        </w:rPr>
      </w:pPr>
      <w:r w:rsidRPr="007937D1">
        <w:rPr>
          <w:b/>
          <w:sz w:val="22"/>
          <w:szCs w:val="22"/>
        </w:rPr>
        <w:t>1.</w:t>
      </w:r>
      <w:r w:rsidRPr="007937D1">
        <w:rPr>
          <w:b/>
          <w:sz w:val="22"/>
          <w:szCs w:val="22"/>
        </w:rPr>
        <w:tab/>
        <w:t>NÁZOV LIEKU</w:t>
      </w:r>
    </w:p>
    <w:p w14:paraId="785344A6" w14:textId="77777777" w:rsidR="00CB1B89" w:rsidRPr="007937D1" w:rsidRDefault="00CB1B89" w:rsidP="0041531C">
      <w:pPr>
        <w:rPr>
          <w:sz w:val="22"/>
          <w:szCs w:val="22"/>
        </w:rPr>
      </w:pPr>
    </w:p>
    <w:p w14:paraId="2D7D975B" w14:textId="4804448B" w:rsidR="0005100D" w:rsidRPr="007937D1" w:rsidRDefault="0005100D" w:rsidP="0041531C">
      <w:pPr>
        <w:rPr>
          <w:sz w:val="22"/>
          <w:szCs w:val="22"/>
        </w:rPr>
      </w:pPr>
      <w:r w:rsidRPr="007937D1">
        <w:rPr>
          <w:sz w:val="22"/>
          <w:szCs w:val="22"/>
        </w:rPr>
        <w:t xml:space="preserve">Tebokan </w:t>
      </w:r>
      <w:r w:rsidR="002C27B9" w:rsidRPr="007937D1">
        <w:rPr>
          <w:sz w:val="22"/>
          <w:szCs w:val="22"/>
        </w:rPr>
        <w:t>12</w:t>
      </w:r>
      <w:r w:rsidRPr="007937D1">
        <w:rPr>
          <w:sz w:val="22"/>
          <w:szCs w:val="22"/>
        </w:rPr>
        <w:t>0 mg</w:t>
      </w:r>
    </w:p>
    <w:p w14:paraId="46244C0F" w14:textId="65B6F7E4" w:rsidR="00FB53CC" w:rsidRPr="007937D1" w:rsidRDefault="009D1EE2" w:rsidP="0041531C">
      <w:pPr>
        <w:rPr>
          <w:sz w:val="22"/>
          <w:szCs w:val="22"/>
        </w:rPr>
      </w:pPr>
      <w:r w:rsidRPr="007937D1">
        <w:rPr>
          <w:sz w:val="22"/>
          <w:szCs w:val="22"/>
        </w:rPr>
        <w:t>f</w:t>
      </w:r>
      <w:r w:rsidR="00FB53CC" w:rsidRPr="007937D1">
        <w:rPr>
          <w:sz w:val="22"/>
          <w:szCs w:val="22"/>
        </w:rPr>
        <w:t>ilmom obalené tablety</w:t>
      </w:r>
    </w:p>
    <w:p w14:paraId="7986B8A8" w14:textId="77777777" w:rsidR="0005100D" w:rsidRPr="007937D1" w:rsidRDefault="0005100D" w:rsidP="0041531C">
      <w:pPr>
        <w:rPr>
          <w:b/>
          <w:sz w:val="22"/>
          <w:szCs w:val="22"/>
        </w:rPr>
      </w:pPr>
    </w:p>
    <w:p w14:paraId="406703BC" w14:textId="77777777" w:rsidR="00CB1B89" w:rsidRPr="007937D1" w:rsidRDefault="00CB1B89" w:rsidP="0041531C">
      <w:pPr>
        <w:rPr>
          <w:b/>
          <w:sz w:val="22"/>
          <w:szCs w:val="22"/>
        </w:rPr>
      </w:pPr>
    </w:p>
    <w:p w14:paraId="4B072321" w14:textId="77777777" w:rsidR="0005100D" w:rsidRPr="007937D1" w:rsidRDefault="0005100D" w:rsidP="0041531C">
      <w:pPr>
        <w:rPr>
          <w:b/>
          <w:sz w:val="22"/>
          <w:szCs w:val="22"/>
        </w:rPr>
      </w:pPr>
      <w:r w:rsidRPr="007937D1">
        <w:rPr>
          <w:b/>
          <w:sz w:val="22"/>
          <w:szCs w:val="22"/>
        </w:rPr>
        <w:t>2.</w:t>
      </w:r>
      <w:r w:rsidRPr="007937D1">
        <w:rPr>
          <w:b/>
          <w:sz w:val="22"/>
          <w:szCs w:val="22"/>
        </w:rPr>
        <w:tab/>
        <w:t>KVALITATÍVNE A KVANTITATÍVNE ZLOŽENIE</w:t>
      </w:r>
    </w:p>
    <w:p w14:paraId="6BDB8F0A" w14:textId="77777777" w:rsidR="00CB1B89" w:rsidRPr="007937D1" w:rsidRDefault="00CB1B89" w:rsidP="0041531C">
      <w:pPr>
        <w:rPr>
          <w:sz w:val="22"/>
          <w:szCs w:val="22"/>
        </w:rPr>
      </w:pPr>
    </w:p>
    <w:p w14:paraId="610B5B9B" w14:textId="3750E0F0" w:rsidR="00345884" w:rsidRPr="00735713" w:rsidRDefault="0064490A" w:rsidP="0041531C">
      <w:pPr>
        <w:rPr>
          <w:sz w:val="22"/>
          <w:szCs w:val="22"/>
        </w:rPr>
      </w:pPr>
      <w:r w:rsidRPr="00735713">
        <w:rPr>
          <w:sz w:val="22"/>
          <w:szCs w:val="22"/>
        </w:rPr>
        <w:t>Jedna</w:t>
      </w:r>
      <w:r w:rsidR="0005100D" w:rsidRPr="00735713">
        <w:rPr>
          <w:sz w:val="22"/>
          <w:szCs w:val="22"/>
        </w:rPr>
        <w:t xml:space="preserve"> filmom obalená tableta obsahuje</w:t>
      </w:r>
      <w:r w:rsidR="00345884" w:rsidRPr="00735713">
        <w:rPr>
          <w:sz w:val="22"/>
          <w:szCs w:val="22"/>
        </w:rPr>
        <w:t>:</w:t>
      </w:r>
      <w:r w:rsidR="0005100D" w:rsidRPr="00735713">
        <w:rPr>
          <w:sz w:val="22"/>
          <w:szCs w:val="22"/>
        </w:rPr>
        <w:t xml:space="preserve"> </w:t>
      </w:r>
    </w:p>
    <w:p w14:paraId="0BC63595" w14:textId="721D2533" w:rsidR="000B4643" w:rsidRPr="00735713" w:rsidRDefault="002C27B9" w:rsidP="0041531C">
      <w:pPr>
        <w:rPr>
          <w:sz w:val="22"/>
          <w:szCs w:val="22"/>
        </w:rPr>
      </w:pPr>
      <w:r w:rsidRPr="00735713">
        <w:rPr>
          <w:sz w:val="22"/>
          <w:szCs w:val="22"/>
        </w:rPr>
        <w:t>120</w:t>
      </w:r>
      <w:r w:rsidR="0005100D" w:rsidRPr="00735713">
        <w:rPr>
          <w:sz w:val="22"/>
          <w:szCs w:val="22"/>
        </w:rPr>
        <w:t xml:space="preserve"> mg suchého extraktu list</w:t>
      </w:r>
      <w:r w:rsidR="00C348F4" w:rsidRPr="00735713">
        <w:rPr>
          <w:sz w:val="22"/>
          <w:szCs w:val="22"/>
        </w:rPr>
        <w:t>u</w:t>
      </w:r>
      <w:r w:rsidR="007937D1" w:rsidRPr="00735713">
        <w:rPr>
          <w:sz w:val="22"/>
          <w:szCs w:val="22"/>
        </w:rPr>
        <w:t xml:space="preserve"> ginka</w:t>
      </w:r>
      <w:r w:rsidR="0005100D" w:rsidRPr="00735713">
        <w:rPr>
          <w:sz w:val="22"/>
          <w:szCs w:val="22"/>
        </w:rPr>
        <w:t xml:space="preserve"> </w:t>
      </w:r>
      <w:r w:rsidR="007937D1" w:rsidRPr="00735713">
        <w:rPr>
          <w:sz w:val="22"/>
          <w:szCs w:val="22"/>
        </w:rPr>
        <w:t>(</w:t>
      </w:r>
      <w:r w:rsidR="0019583C" w:rsidRPr="0041531C">
        <w:rPr>
          <w:i/>
          <w:sz w:val="22"/>
          <w:szCs w:val="22"/>
        </w:rPr>
        <w:t>G</w:t>
      </w:r>
      <w:r w:rsidR="0005100D" w:rsidRPr="0041531C">
        <w:rPr>
          <w:i/>
          <w:sz w:val="22"/>
          <w:szCs w:val="22"/>
        </w:rPr>
        <w:t>inkgo biloba</w:t>
      </w:r>
      <w:r w:rsidR="002E6232" w:rsidRPr="00735713">
        <w:rPr>
          <w:i/>
          <w:sz w:val="22"/>
          <w:szCs w:val="22"/>
        </w:rPr>
        <w:t xml:space="preserve"> </w:t>
      </w:r>
      <w:r w:rsidR="002E6232" w:rsidRPr="0041531C">
        <w:rPr>
          <w:sz w:val="22"/>
          <w:szCs w:val="22"/>
        </w:rPr>
        <w:t>L., folium</w:t>
      </w:r>
      <w:r w:rsidR="007937D1" w:rsidRPr="00735713">
        <w:rPr>
          <w:sz w:val="22"/>
          <w:szCs w:val="22"/>
        </w:rPr>
        <w:t>)</w:t>
      </w:r>
      <w:r w:rsidR="0005100D" w:rsidRPr="00735713">
        <w:rPr>
          <w:sz w:val="22"/>
          <w:szCs w:val="22"/>
        </w:rPr>
        <w:t xml:space="preserve"> </w:t>
      </w:r>
      <w:r w:rsidR="0019583C" w:rsidRPr="00735713">
        <w:rPr>
          <w:sz w:val="22"/>
          <w:szCs w:val="22"/>
        </w:rPr>
        <w:t>(35-67:1)</w:t>
      </w:r>
      <w:r w:rsidR="000B4643" w:rsidRPr="00735713">
        <w:rPr>
          <w:sz w:val="22"/>
          <w:szCs w:val="22"/>
        </w:rPr>
        <w:t xml:space="preserve"> (EGb 761)</w:t>
      </w:r>
      <w:r w:rsidR="00D37F7A" w:rsidRPr="00735713">
        <w:rPr>
          <w:sz w:val="22"/>
          <w:szCs w:val="22"/>
        </w:rPr>
        <w:t>; p</w:t>
      </w:r>
      <w:r w:rsidR="000B4643" w:rsidRPr="00735713">
        <w:rPr>
          <w:sz w:val="22"/>
          <w:szCs w:val="22"/>
        </w:rPr>
        <w:t>rvé extrakčné činidlo: acetón 60 %</w:t>
      </w:r>
      <w:r w:rsidR="004040BD" w:rsidRPr="00735713">
        <w:rPr>
          <w:sz w:val="22"/>
          <w:szCs w:val="22"/>
        </w:rPr>
        <w:t xml:space="preserve"> (m/m)</w:t>
      </w:r>
      <w:r w:rsidR="000B4643" w:rsidRPr="00735713">
        <w:rPr>
          <w:sz w:val="22"/>
          <w:szCs w:val="22"/>
        </w:rPr>
        <w:t xml:space="preserve">. </w:t>
      </w:r>
    </w:p>
    <w:p w14:paraId="4E025AA9" w14:textId="77777777" w:rsidR="009D1EE2" w:rsidRPr="00735713" w:rsidRDefault="009D1EE2" w:rsidP="0041531C">
      <w:pPr>
        <w:rPr>
          <w:sz w:val="22"/>
          <w:szCs w:val="22"/>
        </w:rPr>
      </w:pPr>
    </w:p>
    <w:p w14:paraId="4B5CF4D0" w14:textId="7E1DC562" w:rsidR="00B86E98" w:rsidRPr="007937D1" w:rsidRDefault="000B4643" w:rsidP="0041531C">
      <w:pPr>
        <w:rPr>
          <w:sz w:val="22"/>
          <w:szCs w:val="22"/>
        </w:rPr>
      </w:pPr>
      <w:r w:rsidRPr="00735713">
        <w:rPr>
          <w:sz w:val="22"/>
          <w:szCs w:val="22"/>
        </w:rPr>
        <w:t>Extrakt je kvantifikovaný na</w:t>
      </w:r>
      <w:r w:rsidR="00436DEB" w:rsidRPr="00735713">
        <w:rPr>
          <w:sz w:val="22"/>
          <w:szCs w:val="22"/>
        </w:rPr>
        <w:t xml:space="preserve"> </w:t>
      </w:r>
      <w:r w:rsidR="00345884" w:rsidRPr="00735713">
        <w:rPr>
          <w:sz w:val="22"/>
          <w:szCs w:val="22"/>
        </w:rPr>
        <w:t xml:space="preserve">26,4 – </w:t>
      </w:r>
      <w:r w:rsidRPr="00735713">
        <w:rPr>
          <w:sz w:val="22"/>
          <w:szCs w:val="22"/>
        </w:rPr>
        <w:t>32,4</w:t>
      </w:r>
      <w:r w:rsidR="00345884" w:rsidRPr="00735713">
        <w:rPr>
          <w:sz w:val="22"/>
          <w:szCs w:val="22"/>
        </w:rPr>
        <w:t xml:space="preserve"> mg </w:t>
      </w:r>
      <w:r w:rsidR="00D26F4A" w:rsidRPr="00735713">
        <w:rPr>
          <w:sz w:val="22"/>
          <w:szCs w:val="22"/>
        </w:rPr>
        <w:t>ginkoflav</w:t>
      </w:r>
      <w:r w:rsidR="007937D1" w:rsidRPr="00735713">
        <w:rPr>
          <w:sz w:val="22"/>
          <w:szCs w:val="22"/>
        </w:rPr>
        <w:t>ó</w:t>
      </w:r>
      <w:r w:rsidR="00D26F4A" w:rsidRPr="00735713">
        <w:rPr>
          <w:sz w:val="22"/>
          <w:szCs w:val="22"/>
        </w:rPr>
        <w:t>nových glykozidov</w:t>
      </w:r>
      <w:r w:rsidRPr="00735713">
        <w:rPr>
          <w:sz w:val="22"/>
          <w:szCs w:val="22"/>
        </w:rPr>
        <w:t xml:space="preserve"> a 6,48 – 7,92 mg terpénov</w:t>
      </w:r>
      <w:r w:rsidR="004040BD" w:rsidRPr="00735713">
        <w:rPr>
          <w:sz w:val="22"/>
          <w:szCs w:val="22"/>
        </w:rPr>
        <w:t>ých</w:t>
      </w:r>
      <w:r w:rsidRPr="00735713">
        <w:rPr>
          <w:sz w:val="22"/>
          <w:szCs w:val="22"/>
        </w:rPr>
        <w:t xml:space="preserve"> laktónov, zahŕňajúcich </w:t>
      </w:r>
      <w:r w:rsidR="00B86E98" w:rsidRPr="00735713">
        <w:rPr>
          <w:sz w:val="22"/>
          <w:szCs w:val="22"/>
        </w:rPr>
        <w:t>3,36 – 4,08 mg ginkolidov A, B</w:t>
      </w:r>
      <w:r w:rsidR="00D37F7A" w:rsidRPr="00735713">
        <w:rPr>
          <w:sz w:val="22"/>
          <w:szCs w:val="22"/>
        </w:rPr>
        <w:t>,</w:t>
      </w:r>
      <w:r w:rsidR="00B86E98" w:rsidRPr="00735713">
        <w:rPr>
          <w:sz w:val="22"/>
          <w:szCs w:val="22"/>
        </w:rPr>
        <w:t xml:space="preserve"> C</w:t>
      </w:r>
      <w:r w:rsidRPr="00735713">
        <w:rPr>
          <w:sz w:val="22"/>
          <w:szCs w:val="22"/>
        </w:rPr>
        <w:t xml:space="preserve"> a </w:t>
      </w:r>
      <w:r w:rsidR="00B86E98" w:rsidRPr="00735713">
        <w:rPr>
          <w:sz w:val="22"/>
          <w:szCs w:val="22"/>
        </w:rPr>
        <w:t>3,12 – 3,84 mg bilobalid</w:t>
      </w:r>
      <w:r w:rsidR="00F958E0" w:rsidRPr="00735713">
        <w:rPr>
          <w:sz w:val="22"/>
          <w:szCs w:val="22"/>
        </w:rPr>
        <w:t>u</w:t>
      </w:r>
      <w:r w:rsidRPr="00735713">
        <w:rPr>
          <w:sz w:val="22"/>
          <w:szCs w:val="22"/>
        </w:rPr>
        <w:t xml:space="preserve"> a </w:t>
      </w:r>
      <w:r w:rsidR="00B86E98" w:rsidRPr="00735713">
        <w:rPr>
          <w:sz w:val="22"/>
          <w:szCs w:val="22"/>
        </w:rPr>
        <w:t xml:space="preserve">obsahuje menej ako 0,6 </w:t>
      </w:r>
      <w:r w:rsidR="00B86E98" w:rsidRPr="00735713">
        <w:rPr>
          <w:sz w:val="22"/>
          <w:szCs w:val="22"/>
        </w:rPr>
        <w:sym w:font="Symbol" w:char="F06D"/>
      </w:r>
      <w:r w:rsidR="00B86E98" w:rsidRPr="00735713">
        <w:rPr>
          <w:sz w:val="22"/>
          <w:szCs w:val="22"/>
        </w:rPr>
        <w:t>g ginkolových kyselín</w:t>
      </w:r>
      <w:r w:rsidR="007E0BCF" w:rsidRPr="00735713">
        <w:rPr>
          <w:sz w:val="22"/>
          <w:szCs w:val="22"/>
        </w:rPr>
        <w:t xml:space="preserve"> v jednej filmom obalenej tablete</w:t>
      </w:r>
      <w:r w:rsidR="00B86E98" w:rsidRPr="00735713">
        <w:rPr>
          <w:sz w:val="22"/>
          <w:szCs w:val="22"/>
        </w:rPr>
        <w:t>.</w:t>
      </w:r>
    </w:p>
    <w:p w14:paraId="4828AD39" w14:textId="77777777" w:rsidR="0005100D" w:rsidRPr="007937D1" w:rsidRDefault="0005100D" w:rsidP="0041531C">
      <w:pPr>
        <w:rPr>
          <w:sz w:val="22"/>
          <w:szCs w:val="22"/>
        </w:rPr>
      </w:pPr>
    </w:p>
    <w:p w14:paraId="5B8A3F7E" w14:textId="036D20D1" w:rsidR="00D26F4A" w:rsidRPr="007937D1" w:rsidRDefault="00D26F4A" w:rsidP="0041531C">
      <w:pPr>
        <w:rPr>
          <w:sz w:val="22"/>
          <w:szCs w:val="22"/>
        </w:rPr>
      </w:pPr>
      <w:r w:rsidRPr="0041531C">
        <w:rPr>
          <w:sz w:val="22"/>
          <w:szCs w:val="22"/>
          <w:u w:val="single"/>
        </w:rPr>
        <w:t>Pomocn</w:t>
      </w:r>
      <w:r w:rsidR="00B25074">
        <w:rPr>
          <w:sz w:val="22"/>
          <w:szCs w:val="22"/>
          <w:u w:val="single"/>
        </w:rPr>
        <w:t>á</w:t>
      </w:r>
      <w:r w:rsidRPr="0041531C">
        <w:rPr>
          <w:sz w:val="22"/>
          <w:szCs w:val="22"/>
          <w:u w:val="single"/>
        </w:rPr>
        <w:t xml:space="preserve"> látk</w:t>
      </w:r>
      <w:r w:rsidR="00B25074">
        <w:rPr>
          <w:sz w:val="22"/>
          <w:szCs w:val="22"/>
          <w:u w:val="single"/>
        </w:rPr>
        <w:t>a</w:t>
      </w:r>
      <w:r w:rsidRPr="0041531C">
        <w:rPr>
          <w:sz w:val="22"/>
          <w:szCs w:val="22"/>
          <w:u w:val="single"/>
        </w:rPr>
        <w:t xml:space="preserve"> so známym účinkom:</w:t>
      </w:r>
      <w:r w:rsidRPr="007937D1">
        <w:rPr>
          <w:sz w:val="22"/>
          <w:szCs w:val="22"/>
        </w:rPr>
        <w:t xml:space="preserve"> monohydrát laktózy.</w:t>
      </w:r>
      <w:r w:rsidR="002C27B9" w:rsidRPr="007937D1">
        <w:rPr>
          <w:sz w:val="22"/>
          <w:szCs w:val="22"/>
        </w:rPr>
        <w:tab/>
      </w:r>
    </w:p>
    <w:p w14:paraId="61B2B22B" w14:textId="199F8183" w:rsidR="00D26F4A" w:rsidRDefault="00B25074" w:rsidP="0041531C">
      <w:pPr>
        <w:rPr>
          <w:sz w:val="22"/>
          <w:szCs w:val="22"/>
        </w:rPr>
      </w:pPr>
      <w:r w:rsidRPr="001A59E4">
        <w:rPr>
          <w:sz w:val="22"/>
          <w:szCs w:val="22"/>
        </w:rPr>
        <w:t>Jedna</w:t>
      </w:r>
      <w:r w:rsidRPr="001026C2">
        <w:rPr>
          <w:sz w:val="22"/>
          <w:szCs w:val="22"/>
        </w:rPr>
        <w:t xml:space="preserve"> filmom obalená tableta obsahuje</w:t>
      </w:r>
      <w:r>
        <w:rPr>
          <w:sz w:val="22"/>
          <w:szCs w:val="22"/>
        </w:rPr>
        <w:t xml:space="preserve"> </w:t>
      </w:r>
      <w:r w:rsidR="00EA4CB7">
        <w:rPr>
          <w:sz w:val="22"/>
          <w:szCs w:val="22"/>
        </w:rPr>
        <w:t>68,25 mg</w:t>
      </w:r>
      <w:r w:rsidRPr="00B25074">
        <w:rPr>
          <w:sz w:val="22"/>
          <w:szCs w:val="22"/>
        </w:rPr>
        <w:t xml:space="preserve"> </w:t>
      </w:r>
      <w:r w:rsidRPr="001026C2">
        <w:rPr>
          <w:sz w:val="22"/>
          <w:szCs w:val="22"/>
        </w:rPr>
        <w:t>monohydrát</w:t>
      </w:r>
      <w:r>
        <w:rPr>
          <w:sz w:val="22"/>
          <w:szCs w:val="22"/>
        </w:rPr>
        <w:t>u</w:t>
      </w:r>
      <w:r w:rsidRPr="001026C2">
        <w:rPr>
          <w:sz w:val="22"/>
          <w:szCs w:val="22"/>
        </w:rPr>
        <w:t xml:space="preserve"> laktózy</w:t>
      </w:r>
      <w:r>
        <w:rPr>
          <w:sz w:val="22"/>
          <w:szCs w:val="22"/>
        </w:rPr>
        <w:t>.</w:t>
      </w:r>
    </w:p>
    <w:p w14:paraId="0235C9A4" w14:textId="77777777" w:rsidR="00EA4CB7" w:rsidRPr="007937D1" w:rsidRDefault="00EA4CB7" w:rsidP="0041531C">
      <w:pPr>
        <w:rPr>
          <w:sz w:val="22"/>
          <w:szCs w:val="22"/>
        </w:rPr>
      </w:pPr>
    </w:p>
    <w:p w14:paraId="1F69FCF5" w14:textId="77777777" w:rsidR="002C27B9" w:rsidRPr="007937D1" w:rsidRDefault="002C27B9" w:rsidP="0041531C">
      <w:pPr>
        <w:rPr>
          <w:sz w:val="22"/>
          <w:szCs w:val="22"/>
        </w:rPr>
      </w:pPr>
      <w:r w:rsidRPr="007937D1">
        <w:rPr>
          <w:sz w:val="22"/>
          <w:szCs w:val="22"/>
        </w:rPr>
        <w:t>Úplný zoznam pomocných látok, pozri časť 6.1.</w:t>
      </w:r>
    </w:p>
    <w:p w14:paraId="4019F49B" w14:textId="77777777" w:rsidR="002C27B9" w:rsidRPr="007937D1" w:rsidRDefault="002C27B9" w:rsidP="0041531C">
      <w:pPr>
        <w:rPr>
          <w:sz w:val="22"/>
          <w:szCs w:val="22"/>
        </w:rPr>
      </w:pPr>
    </w:p>
    <w:p w14:paraId="3EC9C197" w14:textId="77777777" w:rsidR="00CB1B89" w:rsidRPr="007937D1" w:rsidRDefault="00CB1B89" w:rsidP="0041531C">
      <w:pPr>
        <w:rPr>
          <w:sz w:val="22"/>
          <w:szCs w:val="22"/>
        </w:rPr>
      </w:pPr>
    </w:p>
    <w:p w14:paraId="5D148B2E" w14:textId="77777777" w:rsidR="0005100D" w:rsidRPr="007937D1" w:rsidRDefault="0005100D" w:rsidP="0041531C">
      <w:pPr>
        <w:numPr>
          <w:ilvl w:val="0"/>
          <w:numId w:val="1"/>
        </w:numPr>
        <w:rPr>
          <w:sz w:val="22"/>
          <w:szCs w:val="22"/>
        </w:rPr>
      </w:pPr>
      <w:r w:rsidRPr="007937D1">
        <w:rPr>
          <w:b/>
          <w:sz w:val="22"/>
          <w:szCs w:val="22"/>
        </w:rPr>
        <w:t>LIEKOVÁ FORMA</w:t>
      </w:r>
    </w:p>
    <w:p w14:paraId="782C4EEE" w14:textId="77777777" w:rsidR="00CB1B89" w:rsidRPr="007937D1" w:rsidRDefault="00CB1B89" w:rsidP="0041531C">
      <w:pPr>
        <w:ind w:left="705"/>
        <w:rPr>
          <w:sz w:val="22"/>
          <w:szCs w:val="22"/>
        </w:rPr>
      </w:pPr>
    </w:p>
    <w:p w14:paraId="56DCFDE4" w14:textId="76CC05DB" w:rsidR="0005100D" w:rsidRPr="007937D1" w:rsidRDefault="0005100D" w:rsidP="0041531C">
      <w:pPr>
        <w:rPr>
          <w:sz w:val="22"/>
          <w:szCs w:val="22"/>
        </w:rPr>
      </w:pPr>
      <w:r w:rsidRPr="007937D1">
        <w:rPr>
          <w:sz w:val="22"/>
          <w:szCs w:val="22"/>
        </w:rPr>
        <w:t>Filmom obalen</w:t>
      </w:r>
      <w:r w:rsidR="00B94B72" w:rsidRPr="007937D1">
        <w:rPr>
          <w:sz w:val="22"/>
          <w:szCs w:val="22"/>
        </w:rPr>
        <w:t>á</w:t>
      </w:r>
      <w:r w:rsidRPr="007937D1">
        <w:rPr>
          <w:sz w:val="22"/>
          <w:szCs w:val="22"/>
        </w:rPr>
        <w:t xml:space="preserve"> tablet</w:t>
      </w:r>
      <w:r w:rsidR="00B94B72" w:rsidRPr="007937D1">
        <w:rPr>
          <w:sz w:val="22"/>
          <w:szCs w:val="22"/>
        </w:rPr>
        <w:t>a</w:t>
      </w:r>
      <w:r w:rsidR="00C66CC6">
        <w:rPr>
          <w:sz w:val="22"/>
          <w:szCs w:val="22"/>
        </w:rPr>
        <w:t>.</w:t>
      </w:r>
    </w:p>
    <w:p w14:paraId="7704F05D" w14:textId="0C90B25E" w:rsidR="0005100D" w:rsidRPr="007937D1" w:rsidRDefault="00B94B72" w:rsidP="0041531C">
      <w:pPr>
        <w:rPr>
          <w:sz w:val="22"/>
          <w:szCs w:val="22"/>
        </w:rPr>
      </w:pPr>
      <w:r w:rsidRPr="007937D1">
        <w:rPr>
          <w:sz w:val="22"/>
          <w:szCs w:val="22"/>
        </w:rPr>
        <w:t>Matné okrúhle bikonvexné filmom obalené tablety červenej farby.</w:t>
      </w:r>
    </w:p>
    <w:p w14:paraId="13860624" w14:textId="77777777" w:rsidR="00CB1B89" w:rsidRPr="007937D1" w:rsidRDefault="00CB1B89" w:rsidP="0041531C">
      <w:pPr>
        <w:rPr>
          <w:b/>
          <w:sz w:val="22"/>
          <w:szCs w:val="22"/>
        </w:rPr>
      </w:pPr>
    </w:p>
    <w:p w14:paraId="17A64B5A" w14:textId="77777777" w:rsidR="00B94B72" w:rsidRPr="007937D1" w:rsidRDefault="00B94B72" w:rsidP="0041531C">
      <w:pPr>
        <w:rPr>
          <w:b/>
          <w:sz w:val="22"/>
          <w:szCs w:val="22"/>
        </w:rPr>
      </w:pPr>
    </w:p>
    <w:p w14:paraId="61A57EFB" w14:textId="77777777" w:rsidR="0005100D" w:rsidRPr="007937D1" w:rsidRDefault="0005100D" w:rsidP="0041531C">
      <w:pPr>
        <w:rPr>
          <w:b/>
          <w:sz w:val="22"/>
          <w:szCs w:val="22"/>
        </w:rPr>
      </w:pPr>
      <w:r w:rsidRPr="007937D1">
        <w:rPr>
          <w:b/>
          <w:sz w:val="22"/>
          <w:szCs w:val="22"/>
        </w:rPr>
        <w:t>4.</w:t>
      </w:r>
      <w:r w:rsidRPr="007937D1">
        <w:rPr>
          <w:b/>
          <w:sz w:val="22"/>
          <w:szCs w:val="22"/>
        </w:rPr>
        <w:tab/>
        <w:t xml:space="preserve">KLINICKÉ ÚDAJE </w:t>
      </w:r>
    </w:p>
    <w:p w14:paraId="2505415F" w14:textId="77777777" w:rsidR="0005100D" w:rsidRPr="007937D1" w:rsidRDefault="0005100D" w:rsidP="0041531C">
      <w:pPr>
        <w:rPr>
          <w:b/>
          <w:sz w:val="22"/>
          <w:szCs w:val="22"/>
        </w:rPr>
      </w:pPr>
    </w:p>
    <w:p w14:paraId="55A9995A" w14:textId="77777777" w:rsidR="0005100D" w:rsidRPr="007937D1" w:rsidRDefault="0005100D" w:rsidP="0041531C">
      <w:pPr>
        <w:rPr>
          <w:b/>
          <w:sz w:val="22"/>
          <w:szCs w:val="22"/>
        </w:rPr>
      </w:pPr>
      <w:r w:rsidRPr="007937D1">
        <w:rPr>
          <w:b/>
          <w:sz w:val="22"/>
          <w:szCs w:val="22"/>
        </w:rPr>
        <w:t>4.1</w:t>
      </w:r>
      <w:r w:rsidRPr="007937D1">
        <w:rPr>
          <w:b/>
          <w:sz w:val="22"/>
          <w:szCs w:val="22"/>
        </w:rPr>
        <w:tab/>
        <w:t>Terapeutické indikácie</w:t>
      </w:r>
      <w:bookmarkStart w:id="0" w:name="_GoBack"/>
      <w:bookmarkEnd w:id="0"/>
    </w:p>
    <w:p w14:paraId="666CE23E" w14:textId="77777777" w:rsidR="00CB1B89" w:rsidRPr="007937D1" w:rsidRDefault="00CB1B89" w:rsidP="0041531C">
      <w:pPr>
        <w:rPr>
          <w:sz w:val="22"/>
          <w:szCs w:val="22"/>
        </w:rPr>
      </w:pPr>
    </w:p>
    <w:p w14:paraId="7A304879" w14:textId="62831DA5" w:rsidR="0005100D" w:rsidRPr="007937D1" w:rsidRDefault="0005100D" w:rsidP="0041531C">
      <w:pPr>
        <w:rPr>
          <w:sz w:val="22"/>
          <w:szCs w:val="22"/>
        </w:rPr>
      </w:pPr>
      <w:r w:rsidRPr="007937D1">
        <w:rPr>
          <w:sz w:val="22"/>
          <w:szCs w:val="22"/>
        </w:rPr>
        <w:t xml:space="preserve">Poruchy mozgovej výkonnosti vyvolané nedostatočným prietokom krvi mozgom ako aj jeho </w:t>
      </w:r>
      <w:r w:rsidRPr="00735713">
        <w:rPr>
          <w:sz w:val="22"/>
          <w:szCs w:val="22"/>
        </w:rPr>
        <w:t>nedostatočn</w:t>
      </w:r>
      <w:r w:rsidR="00D52E6D" w:rsidRPr="00735713">
        <w:rPr>
          <w:sz w:val="22"/>
          <w:szCs w:val="22"/>
        </w:rPr>
        <w:t>ým</w:t>
      </w:r>
      <w:r w:rsidRPr="00735713">
        <w:rPr>
          <w:sz w:val="22"/>
          <w:szCs w:val="22"/>
        </w:rPr>
        <w:t xml:space="preserve"> zásoben</w:t>
      </w:r>
      <w:r w:rsidR="00D52E6D" w:rsidRPr="00735713">
        <w:rPr>
          <w:sz w:val="22"/>
          <w:szCs w:val="22"/>
        </w:rPr>
        <w:t>ím</w:t>
      </w:r>
      <w:r w:rsidRPr="00735713">
        <w:rPr>
          <w:sz w:val="22"/>
          <w:szCs w:val="22"/>
        </w:rPr>
        <w:t xml:space="preserve"> kyslíkom a živinami s príznakmi zníženej intelektuálnej výkonnosti, závratmi, hučaním v ušiach, bolesťami hlavy, zhoršeným videním, poruchami pamäti, </w:t>
      </w:r>
      <w:r w:rsidR="00D52E6D" w:rsidRPr="00735713">
        <w:rPr>
          <w:sz w:val="22"/>
          <w:szCs w:val="22"/>
        </w:rPr>
        <w:t>úzkosťou</w:t>
      </w:r>
      <w:r w:rsidRPr="00735713">
        <w:rPr>
          <w:sz w:val="22"/>
          <w:szCs w:val="22"/>
        </w:rPr>
        <w:t xml:space="preserve"> a depresívnymi náladami; syndróm</w:t>
      </w:r>
      <w:r w:rsidR="00D52E6D" w:rsidRPr="00735713">
        <w:rPr>
          <w:sz w:val="22"/>
          <w:szCs w:val="22"/>
        </w:rPr>
        <w:t xml:space="preserve"> demencie</w:t>
      </w:r>
      <w:r w:rsidRPr="00735713">
        <w:rPr>
          <w:sz w:val="22"/>
          <w:szCs w:val="22"/>
        </w:rPr>
        <w:t>.</w:t>
      </w:r>
    </w:p>
    <w:p w14:paraId="29595600" w14:textId="77777777" w:rsidR="0005100D" w:rsidRPr="007937D1" w:rsidRDefault="0005100D" w:rsidP="0041531C">
      <w:pPr>
        <w:rPr>
          <w:sz w:val="22"/>
          <w:szCs w:val="22"/>
        </w:rPr>
      </w:pPr>
    </w:p>
    <w:p w14:paraId="63450435" w14:textId="77777777" w:rsidR="0005100D" w:rsidRPr="007937D1" w:rsidRDefault="0005100D" w:rsidP="0041531C">
      <w:pPr>
        <w:rPr>
          <w:sz w:val="22"/>
          <w:szCs w:val="22"/>
        </w:rPr>
      </w:pPr>
      <w:r w:rsidRPr="007937D1">
        <w:rPr>
          <w:sz w:val="22"/>
          <w:szCs w:val="22"/>
        </w:rPr>
        <w:t>Poruchy prekrvenia v oblasti periférnych tepien (</w:t>
      </w:r>
      <w:r w:rsidRPr="0041531C">
        <w:rPr>
          <w:i/>
          <w:sz w:val="22"/>
          <w:szCs w:val="22"/>
        </w:rPr>
        <w:t>Claudicatio intermittens</w:t>
      </w:r>
      <w:r w:rsidRPr="007937D1">
        <w:rPr>
          <w:sz w:val="22"/>
          <w:szCs w:val="22"/>
        </w:rPr>
        <w:t>).</w:t>
      </w:r>
    </w:p>
    <w:p w14:paraId="69BF46A9" w14:textId="77777777" w:rsidR="0005100D" w:rsidRPr="007937D1" w:rsidRDefault="0005100D" w:rsidP="0041531C">
      <w:pPr>
        <w:rPr>
          <w:sz w:val="22"/>
          <w:szCs w:val="22"/>
        </w:rPr>
      </w:pPr>
    </w:p>
    <w:p w14:paraId="6A06A054" w14:textId="77777777" w:rsidR="0005100D" w:rsidRPr="007937D1" w:rsidRDefault="0005100D" w:rsidP="0041531C">
      <w:pPr>
        <w:rPr>
          <w:sz w:val="22"/>
          <w:szCs w:val="22"/>
        </w:rPr>
      </w:pPr>
      <w:r w:rsidRPr="007937D1">
        <w:rPr>
          <w:sz w:val="22"/>
          <w:szCs w:val="22"/>
        </w:rPr>
        <w:t>Tebokan je vhodný ako podporná liečba nedoslýchavosti na podklade cervikálneho syndrómu.</w:t>
      </w:r>
    </w:p>
    <w:p w14:paraId="1B4195AD" w14:textId="77777777" w:rsidR="00CB1B89" w:rsidRPr="007937D1" w:rsidRDefault="00CB1B89" w:rsidP="0041531C">
      <w:pPr>
        <w:rPr>
          <w:b/>
          <w:sz w:val="22"/>
          <w:szCs w:val="22"/>
        </w:rPr>
      </w:pPr>
    </w:p>
    <w:p w14:paraId="3E17DB8C" w14:textId="77777777" w:rsidR="0005100D" w:rsidRPr="007937D1" w:rsidRDefault="0005100D" w:rsidP="0041531C">
      <w:pPr>
        <w:rPr>
          <w:b/>
          <w:sz w:val="22"/>
          <w:szCs w:val="22"/>
        </w:rPr>
      </w:pPr>
      <w:r w:rsidRPr="007937D1">
        <w:rPr>
          <w:b/>
          <w:sz w:val="22"/>
          <w:szCs w:val="22"/>
        </w:rPr>
        <w:t>4.2</w:t>
      </w:r>
      <w:r w:rsidRPr="007937D1">
        <w:rPr>
          <w:b/>
          <w:sz w:val="22"/>
          <w:szCs w:val="22"/>
        </w:rPr>
        <w:tab/>
        <w:t>Dávkovanie a spôsob podávania</w:t>
      </w:r>
    </w:p>
    <w:p w14:paraId="344E7190" w14:textId="77777777" w:rsidR="00CB1B89" w:rsidRPr="007937D1" w:rsidRDefault="00CB1B89" w:rsidP="001670CA">
      <w:pPr>
        <w:rPr>
          <w:sz w:val="22"/>
          <w:szCs w:val="22"/>
        </w:rPr>
      </w:pPr>
    </w:p>
    <w:p w14:paraId="406763C6" w14:textId="77777777" w:rsidR="007E0BCF" w:rsidRPr="007937D1" w:rsidRDefault="007E0BCF" w:rsidP="0041531C">
      <w:pPr>
        <w:rPr>
          <w:sz w:val="22"/>
          <w:szCs w:val="22"/>
          <w:u w:val="single"/>
        </w:rPr>
      </w:pPr>
      <w:r w:rsidRPr="007937D1">
        <w:rPr>
          <w:sz w:val="22"/>
          <w:szCs w:val="22"/>
          <w:u w:val="single"/>
        </w:rPr>
        <w:t>Dávkovanie</w:t>
      </w:r>
    </w:p>
    <w:p w14:paraId="596B8130" w14:textId="77777777" w:rsidR="007E0BCF" w:rsidRPr="007937D1" w:rsidRDefault="007E0BCF" w:rsidP="001670CA">
      <w:pPr>
        <w:rPr>
          <w:sz w:val="22"/>
          <w:szCs w:val="22"/>
        </w:rPr>
      </w:pPr>
    </w:p>
    <w:p w14:paraId="0C47FB9D" w14:textId="3A74FBE5" w:rsidR="00B86E98" w:rsidRPr="007937D1" w:rsidRDefault="00D26F4A" w:rsidP="0041531C">
      <w:pPr>
        <w:rPr>
          <w:sz w:val="22"/>
          <w:szCs w:val="22"/>
        </w:rPr>
      </w:pPr>
      <w:r w:rsidRPr="00735713">
        <w:rPr>
          <w:sz w:val="22"/>
          <w:szCs w:val="22"/>
        </w:rPr>
        <w:t xml:space="preserve">Dospelí od 18 rokov užívajú </w:t>
      </w:r>
      <w:r w:rsidR="00F66270" w:rsidRPr="00735713">
        <w:rPr>
          <w:sz w:val="22"/>
          <w:szCs w:val="22"/>
        </w:rPr>
        <w:t>jednu</w:t>
      </w:r>
      <w:r w:rsidR="00B86E98" w:rsidRPr="00735713">
        <w:rPr>
          <w:sz w:val="22"/>
          <w:szCs w:val="22"/>
        </w:rPr>
        <w:t xml:space="preserve"> filmom obalen</w:t>
      </w:r>
      <w:r w:rsidRPr="00735713">
        <w:rPr>
          <w:sz w:val="22"/>
          <w:szCs w:val="22"/>
        </w:rPr>
        <w:t>ú</w:t>
      </w:r>
      <w:r w:rsidR="00B86E98" w:rsidRPr="00735713">
        <w:rPr>
          <w:sz w:val="22"/>
          <w:szCs w:val="22"/>
        </w:rPr>
        <w:t xml:space="preserve"> tablet</w:t>
      </w:r>
      <w:r w:rsidRPr="00735713">
        <w:rPr>
          <w:sz w:val="22"/>
          <w:szCs w:val="22"/>
        </w:rPr>
        <w:t>u</w:t>
      </w:r>
      <w:r w:rsidR="00B86E98" w:rsidRPr="00735713">
        <w:rPr>
          <w:sz w:val="22"/>
          <w:szCs w:val="22"/>
        </w:rPr>
        <w:t xml:space="preserve"> </w:t>
      </w:r>
      <w:r w:rsidR="007E0BCF" w:rsidRPr="00735713">
        <w:rPr>
          <w:sz w:val="22"/>
          <w:szCs w:val="22"/>
        </w:rPr>
        <w:t>1</w:t>
      </w:r>
      <w:r w:rsidR="00D37F7A" w:rsidRPr="00735713">
        <w:rPr>
          <w:sz w:val="22"/>
          <w:szCs w:val="22"/>
        </w:rPr>
        <w:t xml:space="preserve"> alebo </w:t>
      </w:r>
      <w:r w:rsidR="00D00FAB" w:rsidRPr="00735713">
        <w:rPr>
          <w:sz w:val="22"/>
          <w:szCs w:val="22"/>
        </w:rPr>
        <w:t>2</w:t>
      </w:r>
      <w:r w:rsidR="00F07B8D" w:rsidRPr="00735713">
        <w:rPr>
          <w:sz w:val="22"/>
          <w:szCs w:val="22"/>
        </w:rPr>
        <w:t>-</w:t>
      </w:r>
      <w:r w:rsidR="00B86E98" w:rsidRPr="00735713">
        <w:rPr>
          <w:sz w:val="22"/>
          <w:szCs w:val="22"/>
        </w:rPr>
        <w:t xml:space="preserve">krát denne (čo zodpovedá </w:t>
      </w:r>
      <w:r w:rsidR="007E0BCF" w:rsidRPr="00735713">
        <w:rPr>
          <w:sz w:val="22"/>
          <w:szCs w:val="22"/>
        </w:rPr>
        <w:t xml:space="preserve">120 </w:t>
      </w:r>
      <w:r w:rsidR="00716506" w:rsidRPr="00735713">
        <w:rPr>
          <w:sz w:val="22"/>
          <w:szCs w:val="22"/>
        </w:rPr>
        <w:t>–</w:t>
      </w:r>
      <w:r w:rsidR="007E0BCF" w:rsidRPr="00735713">
        <w:rPr>
          <w:sz w:val="22"/>
          <w:szCs w:val="22"/>
        </w:rPr>
        <w:t xml:space="preserve"> </w:t>
      </w:r>
      <w:r w:rsidR="00B86E98" w:rsidRPr="00735713">
        <w:rPr>
          <w:sz w:val="22"/>
          <w:szCs w:val="22"/>
        </w:rPr>
        <w:t xml:space="preserve">240 mg </w:t>
      </w:r>
      <w:r w:rsidR="00EF6979" w:rsidRPr="00735713">
        <w:rPr>
          <w:sz w:val="22"/>
          <w:szCs w:val="22"/>
        </w:rPr>
        <w:t xml:space="preserve">suchého </w:t>
      </w:r>
      <w:r w:rsidR="00B86E98" w:rsidRPr="00735713">
        <w:rPr>
          <w:sz w:val="22"/>
          <w:szCs w:val="22"/>
        </w:rPr>
        <w:t xml:space="preserve">extraktu </w:t>
      </w:r>
      <w:r w:rsidR="00E554DF" w:rsidRPr="00735713">
        <w:rPr>
          <w:sz w:val="22"/>
          <w:szCs w:val="22"/>
        </w:rPr>
        <w:t>list</w:t>
      </w:r>
      <w:r w:rsidR="00C348F4" w:rsidRPr="00735713">
        <w:rPr>
          <w:sz w:val="22"/>
          <w:szCs w:val="22"/>
        </w:rPr>
        <w:t>u</w:t>
      </w:r>
      <w:r w:rsidR="00F66270" w:rsidRPr="00735713">
        <w:rPr>
          <w:sz w:val="22"/>
          <w:szCs w:val="22"/>
        </w:rPr>
        <w:t xml:space="preserve"> ginka</w:t>
      </w:r>
      <w:r w:rsidR="00E554DF" w:rsidRPr="00735713">
        <w:rPr>
          <w:sz w:val="22"/>
          <w:szCs w:val="22"/>
        </w:rPr>
        <w:t xml:space="preserve"> </w:t>
      </w:r>
      <w:r w:rsidR="00B86E98" w:rsidRPr="00735713">
        <w:rPr>
          <w:sz w:val="22"/>
          <w:szCs w:val="22"/>
        </w:rPr>
        <w:t>denne)</w:t>
      </w:r>
      <w:r w:rsidR="00D37F7A" w:rsidRPr="00735713">
        <w:rPr>
          <w:sz w:val="22"/>
          <w:szCs w:val="22"/>
        </w:rPr>
        <w:t>.</w:t>
      </w:r>
    </w:p>
    <w:p w14:paraId="408C5C19" w14:textId="77777777" w:rsidR="00D26F4A" w:rsidRPr="007937D1" w:rsidRDefault="00D26F4A" w:rsidP="001670CA">
      <w:pPr>
        <w:rPr>
          <w:sz w:val="22"/>
          <w:szCs w:val="22"/>
        </w:rPr>
      </w:pPr>
    </w:p>
    <w:p w14:paraId="63B60F69" w14:textId="77777777" w:rsidR="00D26F4A" w:rsidRPr="007937D1" w:rsidRDefault="00D26F4A" w:rsidP="0041531C">
      <w:pPr>
        <w:rPr>
          <w:i/>
          <w:sz w:val="22"/>
          <w:szCs w:val="22"/>
        </w:rPr>
      </w:pPr>
      <w:r w:rsidRPr="007937D1">
        <w:rPr>
          <w:i/>
          <w:sz w:val="22"/>
          <w:szCs w:val="22"/>
        </w:rPr>
        <w:t>Pediatrická populácia</w:t>
      </w:r>
    </w:p>
    <w:p w14:paraId="5A7A114D" w14:textId="34F0541D" w:rsidR="00D26F4A" w:rsidRPr="007937D1" w:rsidRDefault="00D26F4A" w:rsidP="0041531C">
      <w:pPr>
        <w:rPr>
          <w:sz w:val="22"/>
          <w:szCs w:val="22"/>
        </w:rPr>
      </w:pPr>
      <w:r w:rsidRPr="007937D1">
        <w:rPr>
          <w:sz w:val="22"/>
          <w:szCs w:val="22"/>
        </w:rPr>
        <w:t xml:space="preserve">Nie je žiadne relevantné použitie lieku Tebokan 120 mg u detí </w:t>
      </w:r>
      <w:r w:rsidR="006D3B2B">
        <w:rPr>
          <w:sz w:val="22"/>
          <w:szCs w:val="22"/>
        </w:rPr>
        <w:t xml:space="preserve">a dospievajúcich </w:t>
      </w:r>
      <w:r w:rsidRPr="007937D1">
        <w:rPr>
          <w:sz w:val="22"/>
          <w:szCs w:val="22"/>
        </w:rPr>
        <w:t>mladších ako 18</w:t>
      </w:r>
      <w:r w:rsidR="006D3B2B">
        <w:rPr>
          <w:sz w:val="22"/>
          <w:szCs w:val="22"/>
        </w:rPr>
        <w:t> </w:t>
      </w:r>
      <w:r w:rsidRPr="007937D1">
        <w:rPr>
          <w:sz w:val="22"/>
          <w:szCs w:val="22"/>
        </w:rPr>
        <w:t>rokov.</w:t>
      </w:r>
    </w:p>
    <w:p w14:paraId="17F68EDE" w14:textId="77777777" w:rsidR="00B86E98" w:rsidRPr="007937D1" w:rsidRDefault="00B86E98" w:rsidP="001670CA">
      <w:pPr>
        <w:rPr>
          <w:sz w:val="22"/>
          <w:szCs w:val="22"/>
        </w:rPr>
      </w:pPr>
    </w:p>
    <w:p w14:paraId="68D39098" w14:textId="77777777" w:rsidR="00B86E98" w:rsidRPr="007937D1" w:rsidRDefault="00B86E98" w:rsidP="0041531C">
      <w:pPr>
        <w:rPr>
          <w:sz w:val="22"/>
          <w:szCs w:val="22"/>
        </w:rPr>
      </w:pPr>
      <w:r w:rsidRPr="007937D1">
        <w:rPr>
          <w:sz w:val="22"/>
          <w:szCs w:val="22"/>
          <w:u w:val="single"/>
        </w:rPr>
        <w:t xml:space="preserve">Spôsob </w:t>
      </w:r>
      <w:r w:rsidR="007E0BCF" w:rsidRPr="007937D1">
        <w:rPr>
          <w:sz w:val="22"/>
          <w:szCs w:val="22"/>
          <w:u w:val="single"/>
        </w:rPr>
        <w:t>pod</w:t>
      </w:r>
      <w:r w:rsidR="00AA2335" w:rsidRPr="007937D1">
        <w:rPr>
          <w:sz w:val="22"/>
          <w:szCs w:val="22"/>
          <w:u w:val="single"/>
        </w:rPr>
        <w:t>áv</w:t>
      </w:r>
      <w:r w:rsidR="007E0BCF" w:rsidRPr="007937D1">
        <w:rPr>
          <w:sz w:val="22"/>
          <w:szCs w:val="22"/>
          <w:u w:val="single"/>
        </w:rPr>
        <w:t>ania</w:t>
      </w:r>
    </w:p>
    <w:p w14:paraId="175F0F08" w14:textId="77777777" w:rsidR="007E0BCF" w:rsidRPr="007937D1" w:rsidRDefault="007E0BCF" w:rsidP="007937D1">
      <w:pPr>
        <w:ind w:left="708"/>
        <w:rPr>
          <w:sz w:val="22"/>
          <w:szCs w:val="22"/>
        </w:rPr>
      </w:pPr>
    </w:p>
    <w:p w14:paraId="18354807" w14:textId="02D7A0CD" w:rsidR="00A57729" w:rsidRPr="007937D1" w:rsidRDefault="00AA2335" w:rsidP="0041531C">
      <w:pPr>
        <w:outlineLvl w:val="0"/>
        <w:rPr>
          <w:sz w:val="22"/>
          <w:szCs w:val="22"/>
        </w:rPr>
      </w:pPr>
      <w:r w:rsidRPr="007937D1">
        <w:rPr>
          <w:sz w:val="22"/>
          <w:szCs w:val="22"/>
        </w:rPr>
        <w:t>Perorálne užívanie.</w:t>
      </w:r>
    </w:p>
    <w:p w14:paraId="3A8E58EB" w14:textId="741DD962" w:rsidR="00B86E98" w:rsidRPr="007937D1" w:rsidRDefault="00B86E98" w:rsidP="0041531C">
      <w:pPr>
        <w:outlineLvl w:val="0"/>
        <w:rPr>
          <w:sz w:val="22"/>
          <w:szCs w:val="22"/>
        </w:rPr>
      </w:pPr>
      <w:r w:rsidRPr="007937D1">
        <w:rPr>
          <w:sz w:val="22"/>
          <w:szCs w:val="22"/>
        </w:rPr>
        <w:t xml:space="preserve">Filmom obalené tablety sa užívajú </w:t>
      </w:r>
      <w:r w:rsidR="00AA2335" w:rsidRPr="007937D1">
        <w:rPr>
          <w:sz w:val="22"/>
          <w:szCs w:val="22"/>
        </w:rPr>
        <w:t xml:space="preserve">nerozhryzené s trochou tekutiny </w:t>
      </w:r>
      <w:r w:rsidR="00B60D26" w:rsidRPr="007937D1">
        <w:rPr>
          <w:sz w:val="22"/>
          <w:szCs w:val="22"/>
        </w:rPr>
        <w:t>ráno a</w:t>
      </w:r>
      <w:r w:rsidR="00D37F7A" w:rsidRPr="007937D1">
        <w:rPr>
          <w:sz w:val="22"/>
          <w:szCs w:val="22"/>
        </w:rPr>
        <w:t>/alebo</w:t>
      </w:r>
      <w:r w:rsidR="00B60D26" w:rsidRPr="007937D1">
        <w:rPr>
          <w:sz w:val="22"/>
          <w:szCs w:val="22"/>
        </w:rPr>
        <w:t> večer</w:t>
      </w:r>
      <w:r w:rsidRPr="007937D1">
        <w:rPr>
          <w:sz w:val="22"/>
          <w:szCs w:val="22"/>
        </w:rPr>
        <w:t xml:space="preserve">. Užitie je </w:t>
      </w:r>
      <w:r w:rsidR="00AA2335" w:rsidRPr="007937D1">
        <w:rPr>
          <w:sz w:val="22"/>
          <w:szCs w:val="22"/>
        </w:rPr>
        <w:t>nezávislé</w:t>
      </w:r>
      <w:r w:rsidRPr="007937D1">
        <w:rPr>
          <w:sz w:val="22"/>
          <w:szCs w:val="22"/>
        </w:rPr>
        <w:t xml:space="preserve"> </w:t>
      </w:r>
      <w:r w:rsidR="000749A1" w:rsidRPr="007937D1">
        <w:rPr>
          <w:sz w:val="22"/>
          <w:szCs w:val="22"/>
        </w:rPr>
        <w:t>od</w:t>
      </w:r>
      <w:r w:rsidRPr="007937D1">
        <w:rPr>
          <w:sz w:val="22"/>
          <w:szCs w:val="22"/>
        </w:rPr>
        <w:t xml:space="preserve"> príj</w:t>
      </w:r>
      <w:r w:rsidR="00710F2B" w:rsidRPr="007937D1">
        <w:rPr>
          <w:sz w:val="22"/>
          <w:szCs w:val="22"/>
        </w:rPr>
        <w:t>m</w:t>
      </w:r>
      <w:r w:rsidR="000749A1" w:rsidRPr="007937D1">
        <w:rPr>
          <w:sz w:val="22"/>
          <w:szCs w:val="22"/>
        </w:rPr>
        <w:t>u</w:t>
      </w:r>
      <w:r w:rsidRPr="007937D1">
        <w:rPr>
          <w:sz w:val="22"/>
          <w:szCs w:val="22"/>
        </w:rPr>
        <w:t xml:space="preserve"> stravy.</w:t>
      </w:r>
    </w:p>
    <w:p w14:paraId="01F5FA01" w14:textId="77777777" w:rsidR="00B86E98" w:rsidRPr="007937D1" w:rsidRDefault="00B86E98" w:rsidP="001670CA">
      <w:pPr>
        <w:rPr>
          <w:sz w:val="22"/>
          <w:szCs w:val="22"/>
        </w:rPr>
      </w:pPr>
    </w:p>
    <w:p w14:paraId="5484A88B" w14:textId="77777777" w:rsidR="00B86E98" w:rsidRPr="007937D1" w:rsidRDefault="00B86E98" w:rsidP="0041531C">
      <w:pPr>
        <w:rPr>
          <w:i/>
          <w:sz w:val="22"/>
          <w:szCs w:val="22"/>
        </w:rPr>
      </w:pPr>
      <w:r w:rsidRPr="007937D1">
        <w:rPr>
          <w:i/>
          <w:sz w:val="22"/>
          <w:szCs w:val="22"/>
        </w:rPr>
        <w:t>Doba užívania:</w:t>
      </w:r>
    </w:p>
    <w:p w14:paraId="0042AE79" w14:textId="77777777" w:rsidR="00B86E98" w:rsidRPr="007937D1" w:rsidRDefault="00B86E98" w:rsidP="0041531C">
      <w:pPr>
        <w:rPr>
          <w:sz w:val="22"/>
          <w:szCs w:val="22"/>
        </w:rPr>
      </w:pPr>
      <w:r w:rsidRPr="007937D1">
        <w:rPr>
          <w:sz w:val="22"/>
          <w:szCs w:val="22"/>
        </w:rPr>
        <w:t xml:space="preserve">Doba liečby závisí </w:t>
      </w:r>
      <w:r w:rsidR="001102F9" w:rsidRPr="007937D1">
        <w:rPr>
          <w:sz w:val="22"/>
          <w:szCs w:val="22"/>
        </w:rPr>
        <w:t>od</w:t>
      </w:r>
      <w:r w:rsidR="00710F2B" w:rsidRPr="007937D1">
        <w:rPr>
          <w:sz w:val="22"/>
          <w:szCs w:val="22"/>
        </w:rPr>
        <w:t xml:space="preserve"> závažnosti symptómov a </w:t>
      </w:r>
      <w:r w:rsidR="00EF6979" w:rsidRPr="007937D1">
        <w:rPr>
          <w:sz w:val="22"/>
          <w:szCs w:val="22"/>
        </w:rPr>
        <w:t>má</w:t>
      </w:r>
      <w:r w:rsidR="001102F9" w:rsidRPr="007937D1">
        <w:rPr>
          <w:sz w:val="22"/>
          <w:szCs w:val="22"/>
        </w:rPr>
        <w:t xml:space="preserve"> trvať </w:t>
      </w:r>
      <w:r w:rsidR="00B1195F" w:rsidRPr="007937D1">
        <w:rPr>
          <w:sz w:val="22"/>
          <w:szCs w:val="22"/>
        </w:rPr>
        <w:t>aspoň</w:t>
      </w:r>
      <w:r w:rsidR="001102F9" w:rsidRPr="007937D1">
        <w:rPr>
          <w:sz w:val="22"/>
          <w:szCs w:val="22"/>
        </w:rPr>
        <w:t xml:space="preserve"> 8 týž</w:t>
      </w:r>
      <w:r w:rsidR="00E55AE6" w:rsidRPr="007937D1">
        <w:rPr>
          <w:sz w:val="22"/>
          <w:szCs w:val="22"/>
        </w:rPr>
        <w:t>dň</w:t>
      </w:r>
      <w:r w:rsidR="001102F9" w:rsidRPr="007937D1">
        <w:rPr>
          <w:sz w:val="22"/>
          <w:szCs w:val="22"/>
        </w:rPr>
        <w:t xml:space="preserve">ov. Po terapeutickom období 3 mesiacov </w:t>
      </w:r>
      <w:r w:rsidR="00EF6979" w:rsidRPr="007937D1">
        <w:rPr>
          <w:sz w:val="22"/>
          <w:szCs w:val="22"/>
        </w:rPr>
        <w:t>je potrebné overiť</w:t>
      </w:r>
      <w:r w:rsidR="001102F9" w:rsidRPr="007937D1">
        <w:rPr>
          <w:sz w:val="22"/>
          <w:szCs w:val="22"/>
        </w:rPr>
        <w:t xml:space="preserve"> či je ďalšia liečba opodstatnená.</w:t>
      </w:r>
    </w:p>
    <w:p w14:paraId="2AF420CB" w14:textId="77777777" w:rsidR="00CB1B89" w:rsidRPr="007937D1" w:rsidRDefault="00CB1B89" w:rsidP="007937D1">
      <w:pPr>
        <w:rPr>
          <w:sz w:val="22"/>
          <w:szCs w:val="22"/>
        </w:rPr>
      </w:pPr>
    </w:p>
    <w:p w14:paraId="729ACCA2" w14:textId="0A88DFBB" w:rsidR="0005100D" w:rsidRPr="007937D1" w:rsidRDefault="0005100D" w:rsidP="0041531C">
      <w:pPr>
        <w:rPr>
          <w:b/>
          <w:sz w:val="22"/>
          <w:szCs w:val="22"/>
        </w:rPr>
      </w:pPr>
      <w:r w:rsidRPr="007937D1">
        <w:rPr>
          <w:b/>
          <w:sz w:val="22"/>
          <w:szCs w:val="22"/>
        </w:rPr>
        <w:t>4.3</w:t>
      </w:r>
      <w:r w:rsidRPr="007937D1">
        <w:rPr>
          <w:b/>
          <w:sz w:val="22"/>
          <w:szCs w:val="22"/>
        </w:rPr>
        <w:tab/>
        <w:t>Kontraindikácie</w:t>
      </w:r>
    </w:p>
    <w:p w14:paraId="37A9483B" w14:textId="77777777" w:rsidR="00CB1B89" w:rsidRPr="007937D1" w:rsidRDefault="00CB1B89" w:rsidP="0041531C">
      <w:pPr>
        <w:rPr>
          <w:sz w:val="22"/>
          <w:szCs w:val="22"/>
        </w:rPr>
      </w:pPr>
    </w:p>
    <w:p w14:paraId="7444D021" w14:textId="25427563" w:rsidR="005E54D7" w:rsidRPr="007937D1" w:rsidRDefault="00D63BAD" w:rsidP="0041531C">
      <w:pPr>
        <w:rPr>
          <w:sz w:val="22"/>
          <w:szCs w:val="22"/>
        </w:rPr>
      </w:pPr>
      <w:r w:rsidRPr="007937D1">
        <w:rPr>
          <w:sz w:val="22"/>
          <w:szCs w:val="22"/>
        </w:rPr>
        <w:t xml:space="preserve">Precitlivenosť na </w:t>
      </w:r>
      <w:r w:rsidR="00EF6979" w:rsidRPr="007937D1">
        <w:rPr>
          <w:sz w:val="22"/>
          <w:szCs w:val="22"/>
        </w:rPr>
        <w:t>liečivo</w:t>
      </w:r>
      <w:r w:rsidR="00716506">
        <w:rPr>
          <w:sz w:val="22"/>
          <w:szCs w:val="22"/>
        </w:rPr>
        <w:t xml:space="preserve"> </w:t>
      </w:r>
      <w:r w:rsidRPr="007937D1">
        <w:rPr>
          <w:sz w:val="22"/>
          <w:szCs w:val="22"/>
        </w:rPr>
        <w:t xml:space="preserve">alebo na </w:t>
      </w:r>
      <w:r w:rsidR="005E54D7" w:rsidRPr="007937D1">
        <w:rPr>
          <w:sz w:val="22"/>
          <w:szCs w:val="22"/>
        </w:rPr>
        <w:t>ktorúkoľvek z pomocných látok uvedených v časti 6.1.</w:t>
      </w:r>
    </w:p>
    <w:p w14:paraId="0380A03A" w14:textId="77777777" w:rsidR="00CB1B89" w:rsidRPr="007937D1" w:rsidRDefault="00CB1B89" w:rsidP="0041531C">
      <w:pPr>
        <w:rPr>
          <w:sz w:val="22"/>
          <w:szCs w:val="22"/>
        </w:rPr>
      </w:pPr>
    </w:p>
    <w:p w14:paraId="788F8D3C" w14:textId="77777777" w:rsidR="0005100D" w:rsidRPr="007937D1" w:rsidRDefault="0005100D" w:rsidP="0041531C">
      <w:pPr>
        <w:rPr>
          <w:b/>
          <w:sz w:val="22"/>
          <w:szCs w:val="22"/>
        </w:rPr>
      </w:pPr>
      <w:r w:rsidRPr="007937D1">
        <w:rPr>
          <w:b/>
          <w:sz w:val="22"/>
          <w:szCs w:val="22"/>
        </w:rPr>
        <w:t>4.4</w:t>
      </w:r>
      <w:r w:rsidRPr="007937D1">
        <w:rPr>
          <w:b/>
          <w:sz w:val="22"/>
          <w:szCs w:val="22"/>
        </w:rPr>
        <w:tab/>
      </w:r>
      <w:r w:rsidR="002C27B9" w:rsidRPr="007937D1">
        <w:rPr>
          <w:b/>
          <w:sz w:val="22"/>
          <w:szCs w:val="22"/>
        </w:rPr>
        <w:t>Osobitné upozornenia a opatrenia pri používaní</w:t>
      </w:r>
    </w:p>
    <w:p w14:paraId="362A3188" w14:textId="77777777" w:rsidR="00CB1B89" w:rsidRPr="007937D1" w:rsidRDefault="00CB1B89" w:rsidP="0041531C">
      <w:pPr>
        <w:ind w:left="705"/>
        <w:rPr>
          <w:sz w:val="22"/>
          <w:szCs w:val="22"/>
        </w:rPr>
      </w:pPr>
    </w:p>
    <w:p w14:paraId="0BBAF644" w14:textId="4897D967" w:rsidR="00B96892" w:rsidRPr="00735713" w:rsidRDefault="00B96892" w:rsidP="0041531C">
      <w:pPr>
        <w:rPr>
          <w:sz w:val="22"/>
          <w:szCs w:val="22"/>
        </w:rPr>
      </w:pPr>
      <w:r w:rsidRPr="00735713">
        <w:rPr>
          <w:sz w:val="22"/>
          <w:szCs w:val="22"/>
        </w:rPr>
        <w:t>Jednotlivé hlásenia naznačujú</w:t>
      </w:r>
      <w:r w:rsidR="007C19D5" w:rsidRPr="00735713">
        <w:rPr>
          <w:sz w:val="22"/>
          <w:szCs w:val="22"/>
        </w:rPr>
        <w:t xml:space="preserve"> možnosť</w:t>
      </w:r>
      <w:r w:rsidRPr="00735713">
        <w:rPr>
          <w:sz w:val="22"/>
          <w:szCs w:val="22"/>
        </w:rPr>
        <w:t>, že prípravky obsahujúce ginko by mohli zvýšiť sklon ku krvácaniu. Klinické štúdie nedávajú žiad</w:t>
      </w:r>
      <w:r w:rsidR="000749A1" w:rsidRPr="00735713">
        <w:rPr>
          <w:sz w:val="22"/>
          <w:szCs w:val="22"/>
        </w:rPr>
        <w:t>e</w:t>
      </w:r>
      <w:r w:rsidRPr="00735713">
        <w:rPr>
          <w:sz w:val="22"/>
          <w:szCs w:val="22"/>
        </w:rPr>
        <w:t>n dôkaz o interferencii s krvnou koaguláciou.</w:t>
      </w:r>
    </w:p>
    <w:p w14:paraId="1E864999" w14:textId="77777777" w:rsidR="00B96892" w:rsidRPr="00735713" w:rsidRDefault="00B96892" w:rsidP="0041531C">
      <w:pPr>
        <w:rPr>
          <w:sz w:val="22"/>
          <w:szCs w:val="22"/>
        </w:rPr>
      </w:pPr>
    </w:p>
    <w:p w14:paraId="140DC232" w14:textId="047C0D07" w:rsidR="001670CA" w:rsidRPr="00735713" w:rsidRDefault="00B96892" w:rsidP="0041531C">
      <w:pPr>
        <w:rPr>
          <w:sz w:val="22"/>
          <w:szCs w:val="22"/>
        </w:rPr>
      </w:pPr>
      <w:r w:rsidRPr="00735713">
        <w:rPr>
          <w:sz w:val="22"/>
          <w:szCs w:val="22"/>
        </w:rPr>
        <w:t xml:space="preserve">Nie je možné vylúčiť, že používanie prípravkov s obsahom ginka podporuje výskyt záchvatov u pacientov s epilepsiou. Príčinná súvislosť medzi týmito zisteniami a užívaním </w:t>
      </w:r>
      <w:r w:rsidR="007C19D5" w:rsidRPr="00735713">
        <w:rPr>
          <w:sz w:val="22"/>
          <w:szCs w:val="22"/>
        </w:rPr>
        <w:t>lieku</w:t>
      </w:r>
      <w:r w:rsidRPr="00735713">
        <w:rPr>
          <w:sz w:val="22"/>
          <w:szCs w:val="22"/>
        </w:rPr>
        <w:t xml:space="preserve"> nebola preukázaná.</w:t>
      </w:r>
    </w:p>
    <w:p w14:paraId="35DDC520" w14:textId="77777777" w:rsidR="00037BAF" w:rsidRPr="00735713" w:rsidRDefault="00037BAF" w:rsidP="0041531C">
      <w:pPr>
        <w:rPr>
          <w:sz w:val="22"/>
          <w:szCs w:val="22"/>
        </w:rPr>
      </w:pPr>
    </w:p>
    <w:p w14:paraId="57A76C2A" w14:textId="4799E5D7" w:rsidR="00B96892" w:rsidRPr="00735713" w:rsidRDefault="00037BAF" w:rsidP="0041531C">
      <w:pPr>
        <w:rPr>
          <w:sz w:val="22"/>
          <w:szCs w:val="22"/>
        </w:rPr>
      </w:pPr>
      <w:r w:rsidRPr="00735713">
        <w:rPr>
          <w:sz w:val="22"/>
          <w:szCs w:val="22"/>
        </w:rPr>
        <w:t xml:space="preserve">Tebokan 120 mg obsahuje </w:t>
      </w:r>
      <w:r w:rsidR="00CC4DC3" w:rsidRPr="00735713">
        <w:rPr>
          <w:sz w:val="22"/>
          <w:szCs w:val="22"/>
        </w:rPr>
        <w:t>monohydrát laktózy.</w:t>
      </w:r>
    </w:p>
    <w:p w14:paraId="6110E154" w14:textId="1C6956A3" w:rsidR="00B96892" w:rsidRPr="00735713" w:rsidRDefault="00D00FAB" w:rsidP="0041531C">
      <w:pPr>
        <w:rPr>
          <w:sz w:val="22"/>
          <w:szCs w:val="22"/>
        </w:rPr>
      </w:pPr>
      <w:r w:rsidRPr="00735713">
        <w:rPr>
          <w:sz w:val="22"/>
          <w:szCs w:val="22"/>
        </w:rPr>
        <w:t xml:space="preserve">Pacienti so zriedkavými dedičnými problémami galaktózovej intolerancie, </w:t>
      </w:r>
      <w:r w:rsidR="00C2115A" w:rsidRPr="00735713">
        <w:rPr>
          <w:sz w:val="22"/>
          <w:szCs w:val="22"/>
        </w:rPr>
        <w:t>celkovým deficitom laktázy</w:t>
      </w:r>
      <w:r w:rsidR="00BB7849" w:rsidRPr="00735713">
        <w:rPr>
          <w:sz w:val="22"/>
          <w:szCs w:val="22"/>
        </w:rPr>
        <w:t xml:space="preserve"> </w:t>
      </w:r>
      <w:r w:rsidRPr="00735713">
        <w:rPr>
          <w:sz w:val="22"/>
          <w:szCs w:val="22"/>
        </w:rPr>
        <w:t>alebo glukózo-galaktózov</w:t>
      </w:r>
      <w:r w:rsidR="00C2115A" w:rsidRPr="00735713">
        <w:rPr>
          <w:sz w:val="22"/>
          <w:szCs w:val="22"/>
        </w:rPr>
        <w:t>ou</w:t>
      </w:r>
      <w:r w:rsidRPr="00735713">
        <w:rPr>
          <w:sz w:val="22"/>
          <w:szCs w:val="22"/>
        </w:rPr>
        <w:t xml:space="preserve"> malabsorpci</w:t>
      </w:r>
      <w:r w:rsidR="00C2115A" w:rsidRPr="00735713">
        <w:rPr>
          <w:sz w:val="22"/>
          <w:szCs w:val="22"/>
        </w:rPr>
        <w:t>ou</w:t>
      </w:r>
      <w:r w:rsidRPr="00735713">
        <w:rPr>
          <w:sz w:val="22"/>
          <w:szCs w:val="22"/>
        </w:rPr>
        <w:t xml:space="preserve"> </w:t>
      </w:r>
      <w:r w:rsidR="00E554DF" w:rsidRPr="00735713">
        <w:rPr>
          <w:sz w:val="22"/>
          <w:szCs w:val="22"/>
        </w:rPr>
        <w:t>nesmú</w:t>
      </w:r>
      <w:r w:rsidRPr="00735713">
        <w:rPr>
          <w:sz w:val="22"/>
          <w:szCs w:val="22"/>
        </w:rPr>
        <w:t xml:space="preserve"> užívať tento liek</w:t>
      </w:r>
      <w:r w:rsidR="0005100D" w:rsidRPr="00735713">
        <w:rPr>
          <w:sz w:val="22"/>
          <w:szCs w:val="22"/>
        </w:rPr>
        <w:t xml:space="preserve">. </w:t>
      </w:r>
    </w:p>
    <w:p w14:paraId="08AE3258" w14:textId="77777777" w:rsidR="00811576" w:rsidRPr="0041531C" w:rsidRDefault="00811576" w:rsidP="0041531C">
      <w:pPr>
        <w:rPr>
          <w:sz w:val="22"/>
          <w:szCs w:val="22"/>
        </w:rPr>
      </w:pPr>
    </w:p>
    <w:p w14:paraId="5FA12E07" w14:textId="77777777" w:rsidR="00B96892" w:rsidRPr="0041531C" w:rsidRDefault="00B96892" w:rsidP="0041531C">
      <w:pPr>
        <w:rPr>
          <w:sz w:val="22"/>
          <w:szCs w:val="22"/>
          <w:u w:val="single"/>
        </w:rPr>
      </w:pPr>
      <w:r w:rsidRPr="0041531C">
        <w:rPr>
          <w:sz w:val="22"/>
          <w:szCs w:val="22"/>
          <w:u w:val="single"/>
        </w:rPr>
        <w:t>Pediatrická populácia</w:t>
      </w:r>
    </w:p>
    <w:p w14:paraId="456FAC91" w14:textId="102D6CEE" w:rsidR="00B96892" w:rsidRPr="007937D1" w:rsidRDefault="00B96892" w:rsidP="0041531C">
      <w:pPr>
        <w:rPr>
          <w:sz w:val="22"/>
          <w:szCs w:val="22"/>
        </w:rPr>
      </w:pPr>
      <w:r w:rsidRPr="00735713">
        <w:rPr>
          <w:sz w:val="22"/>
          <w:szCs w:val="22"/>
        </w:rPr>
        <w:t xml:space="preserve">Nie je žiadne relevantné použitie lieku Tebokan 120 mg u detí </w:t>
      </w:r>
      <w:r w:rsidR="00811576" w:rsidRPr="00735713">
        <w:rPr>
          <w:sz w:val="22"/>
          <w:szCs w:val="22"/>
        </w:rPr>
        <w:t xml:space="preserve">a dospievajúcich </w:t>
      </w:r>
      <w:r w:rsidRPr="00735713">
        <w:rPr>
          <w:sz w:val="22"/>
          <w:szCs w:val="22"/>
        </w:rPr>
        <w:t>mladších ako 18</w:t>
      </w:r>
      <w:r w:rsidR="00811576" w:rsidRPr="0041531C">
        <w:rPr>
          <w:sz w:val="22"/>
          <w:szCs w:val="22"/>
        </w:rPr>
        <w:t> </w:t>
      </w:r>
      <w:r w:rsidRPr="00735713">
        <w:rPr>
          <w:sz w:val="22"/>
          <w:szCs w:val="22"/>
        </w:rPr>
        <w:t>rokov.</w:t>
      </w:r>
    </w:p>
    <w:p w14:paraId="683C1156" w14:textId="77777777" w:rsidR="00CB1B89" w:rsidRPr="007937D1" w:rsidRDefault="00CB1B89" w:rsidP="0041531C">
      <w:pPr>
        <w:rPr>
          <w:b/>
          <w:sz w:val="22"/>
          <w:szCs w:val="22"/>
        </w:rPr>
      </w:pPr>
    </w:p>
    <w:p w14:paraId="63720833" w14:textId="77777777" w:rsidR="0005100D" w:rsidRPr="007937D1" w:rsidRDefault="0005100D" w:rsidP="0041531C">
      <w:pPr>
        <w:rPr>
          <w:b/>
          <w:sz w:val="22"/>
          <w:szCs w:val="22"/>
        </w:rPr>
      </w:pPr>
      <w:r w:rsidRPr="007937D1">
        <w:rPr>
          <w:b/>
          <w:sz w:val="22"/>
          <w:szCs w:val="22"/>
        </w:rPr>
        <w:t>4.5</w:t>
      </w:r>
      <w:r w:rsidRPr="007937D1">
        <w:rPr>
          <w:b/>
          <w:sz w:val="22"/>
          <w:szCs w:val="22"/>
        </w:rPr>
        <w:tab/>
        <w:t>Liekové a iné interakcie</w:t>
      </w:r>
    </w:p>
    <w:p w14:paraId="28B18550" w14:textId="77777777" w:rsidR="00CB1B89" w:rsidRPr="007937D1" w:rsidRDefault="00CB1B89" w:rsidP="0041531C">
      <w:pPr>
        <w:ind w:left="705"/>
        <w:rPr>
          <w:sz w:val="22"/>
          <w:szCs w:val="22"/>
        </w:rPr>
      </w:pPr>
    </w:p>
    <w:p w14:paraId="53350F2E" w14:textId="5F35E611" w:rsidR="0005100D" w:rsidRPr="007937D1" w:rsidRDefault="00B96892" w:rsidP="0041531C">
      <w:pPr>
        <w:rPr>
          <w:sz w:val="22"/>
          <w:szCs w:val="22"/>
        </w:rPr>
      </w:pPr>
      <w:r w:rsidRPr="007937D1">
        <w:rPr>
          <w:sz w:val="22"/>
          <w:szCs w:val="22"/>
        </w:rPr>
        <w:t>Doposiaľ nie sú známe žiadne klinicky relevantné interakcie.</w:t>
      </w:r>
    </w:p>
    <w:p w14:paraId="359426D6" w14:textId="77777777" w:rsidR="00CB1B89" w:rsidRPr="007937D1" w:rsidRDefault="00CB1B89" w:rsidP="0041531C">
      <w:pPr>
        <w:rPr>
          <w:b/>
          <w:sz w:val="22"/>
          <w:szCs w:val="22"/>
        </w:rPr>
      </w:pPr>
    </w:p>
    <w:p w14:paraId="0FA2B264" w14:textId="77777777" w:rsidR="0005100D" w:rsidRPr="007937D1" w:rsidRDefault="0005100D" w:rsidP="0041531C">
      <w:pPr>
        <w:rPr>
          <w:b/>
          <w:sz w:val="22"/>
          <w:szCs w:val="22"/>
        </w:rPr>
      </w:pPr>
      <w:r w:rsidRPr="007937D1">
        <w:rPr>
          <w:b/>
          <w:sz w:val="22"/>
          <w:szCs w:val="22"/>
        </w:rPr>
        <w:t>4.6</w:t>
      </w:r>
      <w:r w:rsidRPr="007937D1">
        <w:rPr>
          <w:b/>
          <w:sz w:val="22"/>
          <w:szCs w:val="22"/>
        </w:rPr>
        <w:tab/>
      </w:r>
      <w:r w:rsidR="003C2683" w:rsidRPr="007937D1">
        <w:rPr>
          <w:b/>
          <w:sz w:val="22"/>
          <w:szCs w:val="22"/>
        </w:rPr>
        <w:t>Fertilita, g</w:t>
      </w:r>
      <w:r w:rsidR="002C27B9" w:rsidRPr="007937D1">
        <w:rPr>
          <w:b/>
          <w:sz w:val="22"/>
          <w:szCs w:val="22"/>
        </w:rPr>
        <w:t>ravidita a laktácia</w:t>
      </w:r>
    </w:p>
    <w:p w14:paraId="6FA26737" w14:textId="77777777" w:rsidR="00CB1B89" w:rsidRDefault="00CB1B89" w:rsidP="0041531C">
      <w:pPr>
        <w:rPr>
          <w:sz w:val="22"/>
          <w:szCs w:val="22"/>
        </w:rPr>
      </w:pPr>
    </w:p>
    <w:p w14:paraId="33B8F306" w14:textId="576EA3CD" w:rsidR="00D946C9" w:rsidRPr="0041531C" w:rsidRDefault="00D946C9" w:rsidP="0041531C">
      <w:pPr>
        <w:rPr>
          <w:sz w:val="22"/>
          <w:szCs w:val="22"/>
          <w:u w:val="single"/>
        </w:rPr>
      </w:pPr>
      <w:r w:rsidRPr="0041531C">
        <w:rPr>
          <w:sz w:val="22"/>
          <w:szCs w:val="22"/>
          <w:u w:val="single"/>
        </w:rPr>
        <w:t>Fertilita</w:t>
      </w:r>
    </w:p>
    <w:p w14:paraId="69F42CFC" w14:textId="7ED7B3CE" w:rsidR="00D946C9" w:rsidRDefault="00F351BB" w:rsidP="0041531C">
      <w:pPr>
        <w:rPr>
          <w:sz w:val="22"/>
          <w:szCs w:val="22"/>
        </w:rPr>
      </w:pPr>
      <w:r>
        <w:rPr>
          <w:sz w:val="22"/>
          <w:szCs w:val="22"/>
        </w:rPr>
        <w:t>Neboli vykonané žiadne špecifické štúdie s ginkom dvojlaločným u ľudí, aby sa zhodnotil vplyv na fertilitu. V štúdii na samiciach myší bolo pozorované ovplyvnenie fertility.</w:t>
      </w:r>
    </w:p>
    <w:p w14:paraId="594FEAEB" w14:textId="77777777" w:rsidR="00D946C9" w:rsidRPr="007937D1" w:rsidRDefault="00D946C9" w:rsidP="0041531C">
      <w:pPr>
        <w:rPr>
          <w:sz w:val="22"/>
          <w:szCs w:val="22"/>
        </w:rPr>
      </w:pPr>
    </w:p>
    <w:p w14:paraId="445E8E5C" w14:textId="77777777" w:rsidR="00CC5E68" w:rsidRPr="0041531C" w:rsidRDefault="00CC5E68" w:rsidP="0041531C">
      <w:pPr>
        <w:rPr>
          <w:sz w:val="22"/>
          <w:szCs w:val="22"/>
          <w:u w:val="single"/>
        </w:rPr>
      </w:pPr>
      <w:r w:rsidRPr="0041531C">
        <w:rPr>
          <w:sz w:val="22"/>
          <w:szCs w:val="22"/>
          <w:u w:val="single"/>
        </w:rPr>
        <w:t>Gravidita</w:t>
      </w:r>
    </w:p>
    <w:p w14:paraId="7A88301E" w14:textId="77777777" w:rsidR="00325ECF" w:rsidRDefault="003C2683" w:rsidP="0041531C">
      <w:pPr>
        <w:rPr>
          <w:sz w:val="22"/>
          <w:szCs w:val="22"/>
        </w:rPr>
      </w:pPr>
      <w:r w:rsidRPr="007937D1">
        <w:rPr>
          <w:sz w:val="22"/>
          <w:szCs w:val="22"/>
        </w:rPr>
        <w:t xml:space="preserve">Nie sú k dispozícii alebo je iba obmedzené množstvo údajov o použití lieku Tebokan 120 mg u gravidných žien. </w:t>
      </w:r>
      <w:r w:rsidR="00325ECF" w:rsidRPr="007937D1">
        <w:rPr>
          <w:sz w:val="22"/>
          <w:szCs w:val="22"/>
        </w:rPr>
        <w:t>Štúdie na zvieratách nepreukázali priame alebo nepriame účinky z hľadiska reprodukčnej toxicity (pozri časť 5.3). Ako preventívne opatrenie je vhodnejšie vyhnúť sa užívaniu lieku Tebokan 120 mg počas gravidity.</w:t>
      </w:r>
    </w:p>
    <w:p w14:paraId="55AAE0CA" w14:textId="77777777" w:rsidR="007937D1" w:rsidRDefault="007937D1" w:rsidP="0041531C">
      <w:pPr>
        <w:rPr>
          <w:sz w:val="22"/>
          <w:szCs w:val="22"/>
        </w:rPr>
      </w:pPr>
    </w:p>
    <w:p w14:paraId="177E82D2" w14:textId="77777777" w:rsidR="00CC5E68" w:rsidRPr="0041531C" w:rsidRDefault="00CC5E68" w:rsidP="0041531C">
      <w:pPr>
        <w:rPr>
          <w:sz w:val="22"/>
          <w:szCs w:val="22"/>
          <w:u w:val="single"/>
        </w:rPr>
      </w:pPr>
      <w:r w:rsidRPr="0041531C">
        <w:rPr>
          <w:sz w:val="22"/>
          <w:szCs w:val="22"/>
          <w:u w:val="single"/>
        </w:rPr>
        <w:t>Dojčenie</w:t>
      </w:r>
    </w:p>
    <w:p w14:paraId="6B6D792B" w14:textId="6A0A4D30" w:rsidR="000F42A8" w:rsidRPr="007937D1" w:rsidRDefault="000F42A8" w:rsidP="0041531C">
      <w:pPr>
        <w:rPr>
          <w:sz w:val="22"/>
          <w:szCs w:val="22"/>
        </w:rPr>
      </w:pPr>
      <w:r w:rsidRPr="007937D1">
        <w:rPr>
          <w:sz w:val="22"/>
          <w:szCs w:val="22"/>
        </w:rPr>
        <w:t xml:space="preserve">Nie je známe, či sa </w:t>
      </w:r>
      <w:r w:rsidR="001E0C18" w:rsidRPr="007937D1">
        <w:rPr>
          <w:sz w:val="22"/>
          <w:szCs w:val="22"/>
        </w:rPr>
        <w:t>zložky extraktu</w:t>
      </w:r>
      <w:r w:rsidRPr="007937D1">
        <w:rPr>
          <w:sz w:val="22"/>
          <w:szCs w:val="22"/>
        </w:rPr>
        <w:t xml:space="preserve"> vylučuj</w:t>
      </w:r>
      <w:r w:rsidR="001E0C18" w:rsidRPr="007937D1">
        <w:rPr>
          <w:sz w:val="22"/>
          <w:szCs w:val="22"/>
        </w:rPr>
        <w:t>ú</w:t>
      </w:r>
      <w:r w:rsidRPr="007937D1">
        <w:rPr>
          <w:sz w:val="22"/>
          <w:szCs w:val="22"/>
        </w:rPr>
        <w:t xml:space="preserve"> do </w:t>
      </w:r>
      <w:r w:rsidR="000749A1" w:rsidRPr="007937D1">
        <w:rPr>
          <w:sz w:val="22"/>
          <w:szCs w:val="22"/>
        </w:rPr>
        <w:t xml:space="preserve">materského </w:t>
      </w:r>
      <w:r w:rsidRPr="007937D1">
        <w:rPr>
          <w:sz w:val="22"/>
          <w:szCs w:val="22"/>
        </w:rPr>
        <w:t>mlieka.</w:t>
      </w:r>
      <w:r w:rsidR="0070729C" w:rsidRPr="007937D1">
        <w:rPr>
          <w:sz w:val="22"/>
          <w:szCs w:val="22"/>
        </w:rPr>
        <w:t xml:space="preserve"> </w:t>
      </w:r>
      <w:r w:rsidR="000749A1" w:rsidRPr="007937D1">
        <w:rPr>
          <w:sz w:val="22"/>
          <w:szCs w:val="22"/>
        </w:rPr>
        <w:t>Nie je možné vylúčiť r</w:t>
      </w:r>
      <w:r w:rsidR="0070729C" w:rsidRPr="007937D1">
        <w:rPr>
          <w:sz w:val="22"/>
          <w:szCs w:val="22"/>
        </w:rPr>
        <w:t xml:space="preserve">iziko </w:t>
      </w:r>
      <w:r w:rsidR="000749A1" w:rsidRPr="007937D1">
        <w:rPr>
          <w:sz w:val="22"/>
          <w:szCs w:val="22"/>
        </w:rPr>
        <w:t>pre</w:t>
      </w:r>
      <w:r w:rsidR="0070729C" w:rsidRPr="007937D1">
        <w:rPr>
          <w:sz w:val="22"/>
          <w:szCs w:val="22"/>
        </w:rPr>
        <w:t> novorodencov/dojčat</w:t>
      </w:r>
      <w:r w:rsidR="000749A1" w:rsidRPr="007937D1">
        <w:rPr>
          <w:sz w:val="22"/>
          <w:szCs w:val="22"/>
        </w:rPr>
        <w:t>á</w:t>
      </w:r>
      <w:r w:rsidR="0070729C" w:rsidRPr="007937D1">
        <w:rPr>
          <w:sz w:val="22"/>
          <w:szCs w:val="22"/>
        </w:rPr>
        <w:t xml:space="preserve">. Tebokan 120 mg </w:t>
      </w:r>
      <w:r w:rsidR="007937D1">
        <w:rPr>
          <w:sz w:val="22"/>
          <w:szCs w:val="22"/>
        </w:rPr>
        <w:t xml:space="preserve">sa </w:t>
      </w:r>
      <w:r w:rsidR="0070729C" w:rsidRPr="007937D1">
        <w:rPr>
          <w:sz w:val="22"/>
          <w:szCs w:val="22"/>
        </w:rPr>
        <w:t>nemá užíva</w:t>
      </w:r>
      <w:r w:rsidR="007937D1">
        <w:rPr>
          <w:sz w:val="22"/>
          <w:szCs w:val="22"/>
        </w:rPr>
        <w:t>ť</w:t>
      </w:r>
      <w:r w:rsidR="0070729C" w:rsidRPr="007937D1">
        <w:rPr>
          <w:sz w:val="22"/>
          <w:szCs w:val="22"/>
        </w:rPr>
        <w:t xml:space="preserve"> počas </w:t>
      </w:r>
      <w:r w:rsidR="007937D1">
        <w:rPr>
          <w:sz w:val="22"/>
          <w:szCs w:val="22"/>
        </w:rPr>
        <w:t>dojčenia</w:t>
      </w:r>
      <w:r w:rsidR="0070729C" w:rsidRPr="007937D1">
        <w:rPr>
          <w:sz w:val="22"/>
          <w:szCs w:val="22"/>
        </w:rPr>
        <w:t>.</w:t>
      </w:r>
      <w:r w:rsidRPr="007937D1">
        <w:rPr>
          <w:sz w:val="22"/>
          <w:szCs w:val="22"/>
        </w:rPr>
        <w:t xml:space="preserve"> </w:t>
      </w:r>
    </w:p>
    <w:p w14:paraId="61CE6061" w14:textId="77777777" w:rsidR="00CB1B89" w:rsidRPr="007937D1" w:rsidRDefault="00CB1B89" w:rsidP="0041531C">
      <w:pPr>
        <w:rPr>
          <w:sz w:val="22"/>
          <w:szCs w:val="22"/>
        </w:rPr>
      </w:pPr>
    </w:p>
    <w:p w14:paraId="45544985" w14:textId="77777777" w:rsidR="0005100D" w:rsidRPr="007937D1" w:rsidRDefault="0005100D" w:rsidP="0041531C">
      <w:pPr>
        <w:rPr>
          <w:b/>
          <w:sz w:val="22"/>
          <w:szCs w:val="22"/>
        </w:rPr>
      </w:pPr>
      <w:r w:rsidRPr="007937D1">
        <w:rPr>
          <w:b/>
          <w:sz w:val="22"/>
          <w:szCs w:val="22"/>
        </w:rPr>
        <w:t>4.7</w:t>
      </w:r>
      <w:r w:rsidRPr="007937D1">
        <w:rPr>
          <w:b/>
          <w:sz w:val="22"/>
          <w:szCs w:val="22"/>
        </w:rPr>
        <w:tab/>
        <w:t>Ovplyvnenie schopnosti viesť vozidlá a obsluhovať stroje</w:t>
      </w:r>
    </w:p>
    <w:p w14:paraId="4D955CD1" w14:textId="77777777" w:rsidR="00CB1B89" w:rsidRPr="007937D1" w:rsidRDefault="00CB1B89" w:rsidP="0041531C">
      <w:pPr>
        <w:ind w:left="709"/>
        <w:rPr>
          <w:sz w:val="22"/>
          <w:szCs w:val="22"/>
          <w:highlight w:val="yellow"/>
        </w:rPr>
      </w:pPr>
    </w:p>
    <w:p w14:paraId="76168E2C" w14:textId="77777777" w:rsidR="00990A40" w:rsidRPr="007937D1" w:rsidRDefault="00C975BE" w:rsidP="0041531C">
      <w:pPr>
        <w:rPr>
          <w:sz w:val="22"/>
          <w:szCs w:val="22"/>
        </w:rPr>
      </w:pPr>
      <w:r w:rsidRPr="007937D1">
        <w:rPr>
          <w:sz w:val="22"/>
          <w:szCs w:val="22"/>
        </w:rPr>
        <w:t>Netýka sa.</w:t>
      </w:r>
    </w:p>
    <w:p w14:paraId="5A591C6D" w14:textId="77777777" w:rsidR="00CB1B89" w:rsidRPr="007937D1" w:rsidRDefault="00CB1B89" w:rsidP="0041531C">
      <w:pPr>
        <w:rPr>
          <w:b/>
          <w:sz w:val="22"/>
          <w:szCs w:val="22"/>
        </w:rPr>
      </w:pPr>
    </w:p>
    <w:p w14:paraId="27A477E9" w14:textId="77777777" w:rsidR="0005100D" w:rsidRPr="007937D1" w:rsidRDefault="0005100D" w:rsidP="0041531C">
      <w:pPr>
        <w:rPr>
          <w:b/>
          <w:sz w:val="22"/>
          <w:szCs w:val="22"/>
        </w:rPr>
      </w:pPr>
      <w:r w:rsidRPr="007937D1">
        <w:rPr>
          <w:b/>
          <w:sz w:val="22"/>
          <w:szCs w:val="22"/>
        </w:rPr>
        <w:t>4.8</w:t>
      </w:r>
      <w:r w:rsidRPr="007937D1">
        <w:rPr>
          <w:b/>
          <w:sz w:val="22"/>
          <w:szCs w:val="22"/>
        </w:rPr>
        <w:tab/>
        <w:t>Nežiaduce účinky</w:t>
      </w:r>
    </w:p>
    <w:p w14:paraId="6B98F837" w14:textId="77777777" w:rsidR="00CB1B89" w:rsidRPr="007937D1" w:rsidRDefault="00CB1B89" w:rsidP="0041531C">
      <w:pPr>
        <w:rPr>
          <w:sz w:val="22"/>
          <w:szCs w:val="22"/>
        </w:rPr>
      </w:pPr>
    </w:p>
    <w:p w14:paraId="66773643" w14:textId="608E79FC" w:rsidR="007C19D5" w:rsidRPr="007937D1" w:rsidRDefault="007C19D5" w:rsidP="0041531C">
      <w:pPr>
        <w:rPr>
          <w:sz w:val="22"/>
          <w:szCs w:val="22"/>
        </w:rPr>
      </w:pPr>
      <w:r w:rsidRPr="007937D1">
        <w:rPr>
          <w:sz w:val="22"/>
          <w:szCs w:val="22"/>
        </w:rPr>
        <w:t xml:space="preserve">Nie sú k dispozícii </w:t>
      </w:r>
      <w:r w:rsidRPr="00735713">
        <w:rPr>
          <w:sz w:val="22"/>
          <w:szCs w:val="22"/>
        </w:rPr>
        <w:t xml:space="preserve">žiadne overené údaje o frekvencii nežiaducich účinkov, pozorovaných pri liečbe s prípravkami obsahujúcimi </w:t>
      </w:r>
      <w:r w:rsidR="00F66270" w:rsidRPr="00735713">
        <w:rPr>
          <w:sz w:val="22"/>
          <w:szCs w:val="22"/>
        </w:rPr>
        <w:t>g</w:t>
      </w:r>
      <w:r w:rsidRPr="00735713">
        <w:rPr>
          <w:sz w:val="22"/>
          <w:szCs w:val="22"/>
        </w:rPr>
        <w:t xml:space="preserve">inko </w:t>
      </w:r>
      <w:r w:rsidR="00F66270" w:rsidRPr="00735713">
        <w:rPr>
          <w:sz w:val="22"/>
          <w:szCs w:val="22"/>
        </w:rPr>
        <w:t>dvojlaločné</w:t>
      </w:r>
      <w:r w:rsidRPr="00735713">
        <w:rPr>
          <w:sz w:val="22"/>
          <w:szCs w:val="22"/>
        </w:rPr>
        <w:t>, odkedy boli tieto nežiaduce účinky zistené prostredníctvom jednotlivých hlásení od pacientov,</w:t>
      </w:r>
      <w:r w:rsidRPr="007937D1">
        <w:rPr>
          <w:sz w:val="22"/>
          <w:szCs w:val="22"/>
        </w:rPr>
        <w:t xml:space="preserve"> lekárov alebo lekárnikov. Podľa týchto správ sa môžu pri liečbe Tebokanom 120 mg vyskytnúť nasledujúce nežiaduce účinky:</w:t>
      </w:r>
    </w:p>
    <w:p w14:paraId="79ED3CDC" w14:textId="77777777" w:rsidR="007C19D5" w:rsidRPr="007937D1" w:rsidRDefault="007C19D5" w:rsidP="0041531C">
      <w:pPr>
        <w:rPr>
          <w:sz w:val="22"/>
          <w:szCs w:val="22"/>
        </w:rPr>
      </w:pPr>
    </w:p>
    <w:p w14:paraId="1D44CC85" w14:textId="77777777" w:rsidR="007C19D5" w:rsidRPr="0041531C" w:rsidRDefault="007C19D5" w:rsidP="0041531C">
      <w:pPr>
        <w:rPr>
          <w:sz w:val="22"/>
          <w:szCs w:val="22"/>
          <w:u w:val="single"/>
        </w:rPr>
      </w:pPr>
      <w:r w:rsidRPr="0041531C">
        <w:rPr>
          <w:sz w:val="22"/>
          <w:szCs w:val="22"/>
          <w:u w:val="single"/>
        </w:rPr>
        <w:t>Poruchy nervového systému:</w:t>
      </w:r>
    </w:p>
    <w:p w14:paraId="7366C2E2" w14:textId="77777777" w:rsidR="007C19D5" w:rsidRPr="007937D1" w:rsidRDefault="007C19D5" w:rsidP="0041531C">
      <w:pPr>
        <w:rPr>
          <w:sz w:val="22"/>
          <w:szCs w:val="22"/>
        </w:rPr>
      </w:pPr>
      <w:r w:rsidRPr="007937D1">
        <w:rPr>
          <w:sz w:val="22"/>
          <w:szCs w:val="22"/>
        </w:rPr>
        <w:t>Bolesť hlavy.</w:t>
      </w:r>
    </w:p>
    <w:p w14:paraId="484F5DA0" w14:textId="77777777" w:rsidR="007C19D5" w:rsidRPr="007937D1" w:rsidRDefault="007C19D5" w:rsidP="0041531C">
      <w:pPr>
        <w:rPr>
          <w:sz w:val="22"/>
          <w:szCs w:val="22"/>
        </w:rPr>
      </w:pPr>
    </w:p>
    <w:p w14:paraId="27C790FA" w14:textId="77732DEE" w:rsidR="007C19D5" w:rsidRPr="0041531C" w:rsidRDefault="00BC6A62" w:rsidP="0041531C">
      <w:pPr>
        <w:rPr>
          <w:sz w:val="22"/>
          <w:szCs w:val="22"/>
          <w:u w:val="single"/>
        </w:rPr>
      </w:pPr>
      <w:r w:rsidRPr="0041531C">
        <w:rPr>
          <w:sz w:val="22"/>
          <w:szCs w:val="22"/>
          <w:u w:val="single"/>
        </w:rPr>
        <w:t>P</w:t>
      </w:r>
      <w:r w:rsidR="007C19D5" w:rsidRPr="0041531C">
        <w:rPr>
          <w:sz w:val="22"/>
          <w:szCs w:val="22"/>
          <w:u w:val="single"/>
        </w:rPr>
        <w:t>oruchy</w:t>
      </w:r>
      <w:r w:rsidRPr="0041531C">
        <w:rPr>
          <w:sz w:val="22"/>
          <w:szCs w:val="22"/>
          <w:u w:val="single"/>
        </w:rPr>
        <w:t xml:space="preserve"> ciev</w:t>
      </w:r>
      <w:r w:rsidR="007C19D5" w:rsidRPr="0041531C">
        <w:rPr>
          <w:sz w:val="22"/>
          <w:szCs w:val="22"/>
          <w:u w:val="single"/>
        </w:rPr>
        <w:t>:</w:t>
      </w:r>
    </w:p>
    <w:p w14:paraId="2E119619" w14:textId="77777777" w:rsidR="007C19D5" w:rsidRPr="007937D1" w:rsidRDefault="007C19D5" w:rsidP="0041531C">
      <w:pPr>
        <w:rPr>
          <w:sz w:val="22"/>
          <w:szCs w:val="22"/>
        </w:rPr>
      </w:pPr>
      <w:r w:rsidRPr="007937D1">
        <w:rPr>
          <w:sz w:val="22"/>
          <w:szCs w:val="22"/>
        </w:rPr>
        <w:t>Bolo zaznamenané krvácanie z jednotlivých orgánov.</w:t>
      </w:r>
    </w:p>
    <w:p w14:paraId="73B7F74C" w14:textId="77777777" w:rsidR="007C19D5" w:rsidRPr="007937D1" w:rsidRDefault="007C19D5" w:rsidP="0041531C">
      <w:pPr>
        <w:rPr>
          <w:sz w:val="22"/>
          <w:szCs w:val="22"/>
        </w:rPr>
      </w:pPr>
    </w:p>
    <w:p w14:paraId="739723FB" w14:textId="1B07BED7" w:rsidR="007C19D5" w:rsidRPr="0041531C" w:rsidRDefault="00BC6A62" w:rsidP="0041531C">
      <w:pPr>
        <w:rPr>
          <w:sz w:val="22"/>
          <w:szCs w:val="22"/>
          <w:u w:val="single"/>
        </w:rPr>
      </w:pPr>
      <w:r w:rsidRPr="0041531C">
        <w:rPr>
          <w:sz w:val="22"/>
          <w:szCs w:val="22"/>
          <w:u w:val="single"/>
        </w:rPr>
        <w:t>Poruchy g</w:t>
      </w:r>
      <w:r w:rsidR="007C19D5" w:rsidRPr="0041531C">
        <w:rPr>
          <w:sz w:val="22"/>
          <w:szCs w:val="22"/>
          <w:u w:val="single"/>
        </w:rPr>
        <w:t>astrointestinálne</w:t>
      </w:r>
      <w:r w:rsidRPr="0041531C">
        <w:rPr>
          <w:sz w:val="22"/>
          <w:szCs w:val="22"/>
          <w:u w:val="single"/>
        </w:rPr>
        <w:t>ho traktu</w:t>
      </w:r>
      <w:r w:rsidR="007C19D5" w:rsidRPr="0041531C">
        <w:rPr>
          <w:sz w:val="22"/>
          <w:szCs w:val="22"/>
          <w:u w:val="single"/>
        </w:rPr>
        <w:t>:</w:t>
      </w:r>
    </w:p>
    <w:p w14:paraId="084C3A51" w14:textId="77777777" w:rsidR="007C19D5" w:rsidRPr="007937D1" w:rsidRDefault="007C19D5" w:rsidP="0041531C">
      <w:pPr>
        <w:rPr>
          <w:sz w:val="22"/>
          <w:szCs w:val="22"/>
        </w:rPr>
      </w:pPr>
      <w:r w:rsidRPr="007937D1">
        <w:rPr>
          <w:sz w:val="22"/>
          <w:szCs w:val="22"/>
        </w:rPr>
        <w:t>Mierne gastrointestinálne ťažkosti.</w:t>
      </w:r>
    </w:p>
    <w:p w14:paraId="6F65D8B7" w14:textId="77777777" w:rsidR="007C19D5" w:rsidRPr="007937D1" w:rsidRDefault="007C19D5" w:rsidP="0041531C">
      <w:pPr>
        <w:rPr>
          <w:sz w:val="22"/>
          <w:szCs w:val="22"/>
        </w:rPr>
      </w:pPr>
    </w:p>
    <w:p w14:paraId="3137D387" w14:textId="77777777" w:rsidR="007C19D5" w:rsidRPr="0041531C" w:rsidRDefault="007C19D5" w:rsidP="0041531C">
      <w:pPr>
        <w:rPr>
          <w:sz w:val="22"/>
          <w:szCs w:val="22"/>
          <w:u w:val="single"/>
        </w:rPr>
      </w:pPr>
      <w:r w:rsidRPr="0041531C">
        <w:rPr>
          <w:sz w:val="22"/>
          <w:szCs w:val="22"/>
          <w:u w:val="single"/>
        </w:rPr>
        <w:t>Poruchy kože a podkožného tkaniva</w:t>
      </w:r>
      <w:r w:rsidR="00A92E73" w:rsidRPr="0041531C">
        <w:rPr>
          <w:sz w:val="22"/>
          <w:szCs w:val="22"/>
          <w:u w:val="single"/>
        </w:rPr>
        <w:t>/Poruchy imunitného systému</w:t>
      </w:r>
      <w:r w:rsidRPr="0041531C">
        <w:rPr>
          <w:sz w:val="22"/>
          <w:szCs w:val="22"/>
          <w:u w:val="single"/>
        </w:rPr>
        <w:t>:</w:t>
      </w:r>
    </w:p>
    <w:p w14:paraId="45BA9D03" w14:textId="77777777" w:rsidR="007C19D5" w:rsidRPr="007937D1" w:rsidRDefault="00A92E73" w:rsidP="0041531C">
      <w:pPr>
        <w:rPr>
          <w:sz w:val="22"/>
          <w:szCs w:val="22"/>
        </w:rPr>
      </w:pPr>
      <w:r w:rsidRPr="007937D1">
        <w:rPr>
          <w:sz w:val="22"/>
          <w:szCs w:val="22"/>
        </w:rPr>
        <w:t>Hypersenzitívne</w:t>
      </w:r>
      <w:r w:rsidR="007C19D5" w:rsidRPr="007937D1">
        <w:rPr>
          <w:sz w:val="22"/>
          <w:szCs w:val="22"/>
        </w:rPr>
        <w:t xml:space="preserve"> reakcie (začervenanie, opuch, svrbenie).</w:t>
      </w:r>
    </w:p>
    <w:p w14:paraId="2326540F" w14:textId="77777777" w:rsidR="007C19D5" w:rsidRPr="007937D1" w:rsidRDefault="007C19D5" w:rsidP="0041531C">
      <w:pPr>
        <w:rPr>
          <w:sz w:val="22"/>
          <w:szCs w:val="22"/>
        </w:rPr>
      </w:pPr>
    </w:p>
    <w:p w14:paraId="1073805F" w14:textId="77777777" w:rsidR="007C19D5" w:rsidRPr="007937D1" w:rsidRDefault="007C19D5" w:rsidP="0041531C">
      <w:pPr>
        <w:rPr>
          <w:sz w:val="22"/>
          <w:szCs w:val="22"/>
          <w:u w:val="single"/>
        </w:rPr>
      </w:pPr>
      <w:r w:rsidRPr="007937D1">
        <w:rPr>
          <w:sz w:val="22"/>
          <w:szCs w:val="22"/>
          <w:u w:val="single"/>
        </w:rPr>
        <w:t>Hlásenie podozrení na nežiaduce reakcie</w:t>
      </w:r>
    </w:p>
    <w:p w14:paraId="3A10637A" w14:textId="46115FE3" w:rsidR="007C19D5" w:rsidRPr="007937D1" w:rsidRDefault="007C19D5" w:rsidP="0041531C">
      <w:pPr>
        <w:rPr>
          <w:sz w:val="22"/>
          <w:szCs w:val="22"/>
        </w:rPr>
      </w:pPr>
      <w:r w:rsidRPr="007937D1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E40844" w:rsidRPr="007937D1">
        <w:rPr>
          <w:sz w:val="22"/>
          <w:szCs w:val="22"/>
        </w:rPr>
        <w:t>na</w:t>
      </w:r>
      <w:r w:rsidRPr="007937D1">
        <w:rPr>
          <w:sz w:val="22"/>
          <w:szCs w:val="22"/>
        </w:rPr>
        <w:t xml:space="preserve"> </w:t>
      </w:r>
      <w:r w:rsidRPr="007937D1">
        <w:rPr>
          <w:noProof/>
          <w:sz w:val="22"/>
          <w:szCs w:val="22"/>
          <w:highlight w:val="lightGray"/>
        </w:rPr>
        <w:t>národné</w:t>
      </w:r>
      <w:r w:rsidR="00E40844" w:rsidRPr="007937D1">
        <w:rPr>
          <w:noProof/>
          <w:sz w:val="22"/>
          <w:szCs w:val="22"/>
          <w:highlight w:val="lightGray"/>
        </w:rPr>
        <w:t xml:space="preserve"> centrum</w:t>
      </w:r>
      <w:r w:rsidRPr="007937D1">
        <w:rPr>
          <w:noProof/>
          <w:sz w:val="22"/>
          <w:szCs w:val="22"/>
          <w:highlight w:val="lightGray"/>
        </w:rPr>
        <w:t xml:space="preserve"> hlásenia uvedené v </w:t>
      </w:r>
      <w:hyperlink r:id="rId8" w:history="1">
        <w:r w:rsidRPr="007937D1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7937D1">
        <w:rPr>
          <w:color w:val="000000"/>
          <w:sz w:val="22"/>
          <w:szCs w:val="22"/>
        </w:rPr>
        <w:t>.</w:t>
      </w:r>
    </w:p>
    <w:p w14:paraId="21C5042E" w14:textId="77777777" w:rsidR="00CB1B89" w:rsidRPr="007937D1" w:rsidRDefault="00CB1B89" w:rsidP="0041531C">
      <w:pPr>
        <w:rPr>
          <w:b/>
          <w:sz w:val="22"/>
          <w:szCs w:val="22"/>
        </w:rPr>
      </w:pPr>
    </w:p>
    <w:p w14:paraId="1E3E2FC8" w14:textId="77777777" w:rsidR="0005100D" w:rsidRPr="007937D1" w:rsidRDefault="0005100D" w:rsidP="0041531C">
      <w:pPr>
        <w:rPr>
          <w:b/>
          <w:sz w:val="22"/>
          <w:szCs w:val="22"/>
        </w:rPr>
      </w:pPr>
      <w:r w:rsidRPr="007937D1">
        <w:rPr>
          <w:b/>
          <w:sz w:val="22"/>
          <w:szCs w:val="22"/>
        </w:rPr>
        <w:t>4.9</w:t>
      </w:r>
      <w:r w:rsidRPr="007937D1">
        <w:rPr>
          <w:b/>
          <w:sz w:val="22"/>
          <w:szCs w:val="22"/>
        </w:rPr>
        <w:tab/>
        <w:t>Predávkovanie</w:t>
      </w:r>
    </w:p>
    <w:p w14:paraId="52BBC1AE" w14:textId="77777777" w:rsidR="00CB1B89" w:rsidRPr="007937D1" w:rsidRDefault="00CB1B89" w:rsidP="0041531C">
      <w:pPr>
        <w:rPr>
          <w:sz w:val="22"/>
          <w:szCs w:val="22"/>
        </w:rPr>
      </w:pPr>
    </w:p>
    <w:p w14:paraId="080208A1" w14:textId="25E59583" w:rsidR="0005100D" w:rsidRPr="007937D1" w:rsidRDefault="00F8033B" w:rsidP="0041531C">
      <w:pPr>
        <w:rPr>
          <w:sz w:val="22"/>
          <w:szCs w:val="22"/>
        </w:rPr>
      </w:pPr>
      <w:r w:rsidRPr="007937D1">
        <w:rPr>
          <w:sz w:val="22"/>
          <w:szCs w:val="22"/>
        </w:rPr>
        <w:t xml:space="preserve">Nebol </w:t>
      </w:r>
      <w:r w:rsidR="0019583C" w:rsidRPr="007937D1">
        <w:rPr>
          <w:sz w:val="22"/>
          <w:szCs w:val="22"/>
        </w:rPr>
        <w:t>hlásený</w:t>
      </w:r>
      <w:r w:rsidRPr="007937D1">
        <w:rPr>
          <w:sz w:val="22"/>
          <w:szCs w:val="22"/>
        </w:rPr>
        <w:t xml:space="preserve"> žiaden prípad predávkovania.</w:t>
      </w:r>
      <w:r w:rsidR="0005100D" w:rsidRPr="007937D1">
        <w:rPr>
          <w:sz w:val="22"/>
          <w:szCs w:val="22"/>
        </w:rPr>
        <w:t xml:space="preserve"> </w:t>
      </w:r>
    </w:p>
    <w:p w14:paraId="5111C8DA" w14:textId="77777777" w:rsidR="0005100D" w:rsidRPr="007937D1" w:rsidRDefault="0005100D" w:rsidP="0041531C">
      <w:pPr>
        <w:rPr>
          <w:b/>
          <w:sz w:val="22"/>
          <w:szCs w:val="22"/>
        </w:rPr>
      </w:pPr>
    </w:p>
    <w:p w14:paraId="32532E29" w14:textId="77777777" w:rsidR="00CB1B89" w:rsidRPr="007937D1" w:rsidRDefault="00CB1B89" w:rsidP="0041531C">
      <w:pPr>
        <w:rPr>
          <w:b/>
          <w:sz w:val="22"/>
          <w:szCs w:val="22"/>
        </w:rPr>
      </w:pPr>
    </w:p>
    <w:p w14:paraId="3C1EA201" w14:textId="77777777" w:rsidR="0005100D" w:rsidRPr="007937D1" w:rsidRDefault="0005100D" w:rsidP="0041531C">
      <w:pPr>
        <w:rPr>
          <w:b/>
          <w:sz w:val="22"/>
          <w:szCs w:val="22"/>
        </w:rPr>
      </w:pPr>
      <w:r w:rsidRPr="007937D1">
        <w:rPr>
          <w:b/>
          <w:sz w:val="22"/>
          <w:szCs w:val="22"/>
        </w:rPr>
        <w:t>5.</w:t>
      </w:r>
      <w:r w:rsidRPr="007937D1">
        <w:rPr>
          <w:b/>
          <w:sz w:val="22"/>
          <w:szCs w:val="22"/>
        </w:rPr>
        <w:tab/>
        <w:t>FARMAKOLOGICKÉ VLASTNOSTI</w:t>
      </w:r>
    </w:p>
    <w:p w14:paraId="7E39C24C" w14:textId="77777777" w:rsidR="0005100D" w:rsidRPr="007937D1" w:rsidRDefault="0005100D" w:rsidP="0041531C">
      <w:pPr>
        <w:rPr>
          <w:sz w:val="22"/>
          <w:szCs w:val="22"/>
        </w:rPr>
      </w:pPr>
    </w:p>
    <w:p w14:paraId="08DFD7D2" w14:textId="77777777" w:rsidR="0005100D" w:rsidRPr="007937D1" w:rsidRDefault="0005100D" w:rsidP="0041531C">
      <w:pPr>
        <w:rPr>
          <w:b/>
          <w:sz w:val="22"/>
          <w:szCs w:val="22"/>
        </w:rPr>
      </w:pPr>
      <w:r w:rsidRPr="007937D1">
        <w:rPr>
          <w:b/>
          <w:sz w:val="22"/>
          <w:szCs w:val="22"/>
        </w:rPr>
        <w:t>5.1</w:t>
      </w:r>
      <w:r w:rsidRPr="007937D1">
        <w:rPr>
          <w:b/>
          <w:sz w:val="22"/>
          <w:szCs w:val="22"/>
        </w:rPr>
        <w:tab/>
        <w:t>Farmakodynamické vlastnosti</w:t>
      </w:r>
    </w:p>
    <w:p w14:paraId="0E6750A9" w14:textId="77777777" w:rsidR="0005100D" w:rsidRPr="007937D1" w:rsidRDefault="0005100D" w:rsidP="0041531C">
      <w:pPr>
        <w:ind w:firstLine="708"/>
        <w:rPr>
          <w:b/>
          <w:sz w:val="22"/>
          <w:szCs w:val="22"/>
        </w:rPr>
      </w:pPr>
    </w:p>
    <w:p w14:paraId="2C8E0DCE" w14:textId="31978ED8" w:rsidR="0005100D" w:rsidRPr="007937D1" w:rsidRDefault="0005100D" w:rsidP="0041531C">
      <w:pPr>
        <w:rPr>
          <w:sz w:val="22"/>
          <w:szCs w:val="22"/>
        </w:rPr>
      </w:pPr>
      <w:r w:rsidRPr="007937D1">
        <w:rPr>
          <w:sz w:val="22"/>
          <w:szCs w:val="22"/>
        </w:rPr>
        <w:t xml:space="preserve">Farmakoterapeutická skupina: </w:t>
      </w:r>
      <w:r w:rsidR="00FC7F29">
        <w:rPr>
          <w:sz w:val="22"/>
          <w:szCs w:val="22"/>
        </w:rPr>
        <w:t>psychoanaleptiká, iné liečivá proti demencii</w:t>
      </w:r>
    </w:p>
    <w:p w14:paraId="60B46A55" w14:textId="726852A9" w:rsidR="0005100D" w:rsidRPr="007937D1" w:rsidRDefault="0005100D" w:rsidP="0041531C">
      <w:pPr>
        <w:rPr>
          <w:sz w:val="22"/>
          <w:szCs w:val="22"/>
        </w:rPr>
      </w:pPr>
      <w:r w:rsidRPr="007937D1">
        <w:rPr>
          <w:sz w:val="22"/>
          <w:szCs w:val="22"/>
        </w:rPr>
        <w:t>ATC</w:t>
      </w:r>
      <w:r w:rsidR="00FC7F29">
        <w:rPr>
          <w:sz w:val="22"/>
          <w:szCs w:val="22"/>
        </w:rPr>
        <w:t xml:space="preserve"> </w:t>
      </w:r>
      <w:r w:rsidRPr="007937D1">
        <w:rPr>
          <w:sz w:val="22"/>
          <w:szCs w:val="22"/>
        </w:rPr>
        <w:t>kód: N06DX02</w:t>
      </w:r>
    </w:p>
    <w:p w14:paraId="04601833" w14:textId="77777777" w:rsidR="0005100D" w:rsidRPr="007937D1" w:rsidRDefault="0005100D" w:rsidP="0041531C">
      <w:pPr>
        <w:ind w:left="705"/>
        <w:rPr>
          <w:sz w:val="22"/>
          <w:szCs w:val="22"/>
        </w:rPr>
      </w:pPr>
    </w:p>
    <w:p w14:paraId="758CFD6B" w14:textId="77777777" w:rsidR="001E0C18" w:rsidRPr="007937D1" w:rsidRDefault="001E0C18" w:rsidP="0041531C">
      <w:pPr>
        <w:rPr>
          <w:sz w:val="22"/>
          <w:szCs w:val="22"/>
        </w:rPr>
      </w:pPr>
      <w:r w:rsidRPr="007937D1">
        <w:rPr>
          <w:sz w:val="22"/>
          <w:szCs w:val="22"/>
        </w:rPr>
        <w:t>Nasledujúce farmakologické účinky boli dokázané pri pokusoch na zvieratách so špeciálnym extraktom EGb 761 obsiahnutý</w:t>
      </w:r>
      <w:r w:rsidR="006B67A8" w:rsidRPr="007937D1">
        <w:rPr>
          <w:sz w:val="22"/>
          <w:szCs w:val="22"/>
        </w:rPr>
        <w:t>m</w:t>
      </w:r>
      <w:r w:rsidRPr="007937D1">
        <w:rPr>
          <w:sz w:val="22"/>
          <w:szCs w:val="22"/>
        </w:rPr>
        <w:t xml:space="preserve"> v lieku Tebokan 120 mg:</w:t>
      </w:r>
    </w:p>
    <w:p w14:paraId="3CE2E81C" w14:textId="77777777" w:rsidR="001E0C18" w:rsidRPr="007937D1" w:rsidRDefault="001E0C18" w:rsidP="0041531C">
      <w:pPr>
        <w:ind w:left="708"/>
        <w:rPr>
          <w:sz w:val="22"/>
          <w:szCs w:val="22"/>
        </w:rPr>
      </w:pPr>
    </w:p>
    <w:p w14:paraId="67EF45EC" w14:textId="0499DA32" w:rsidR="00C975BE" w:rsidRPr="007937D1" w:rsidRDefault="001E72C4" w:rsidP="0041531C">
      <w:pPr>
        <w:rPr>
          <w:sz w:val="22"/>
          <w:szCs w:val="22"/>
        </w:rPr>
      </w:pPr>
      <w:r w:rsidRPr="007937D1">
        <w:rPr>
          <w:sz w:val="22"/>
          <w:szCs w:val="22"/>
        </w:rPr>
        <w:t>Zv</w:t>
      </w:r>
      <w:r w:rsidR="00C975BE" w:rsidRPr="007937D1">
        <w:rPr>
          <w:sz w:val="22"/>
          <w:szCs w:val="22"/>
        </w:rPr>
        <w:t>ý</w:t>
      </w:r>
      <w:r w:rsidRPr="007937D1">
        <w:rPr>
          <w:sz w:val="22"/>
          <w:szCs w:val="22"/>
        </w:rPr>
        <w:t>še</w:t>
      </w:r>
      <w:r w:rsidR="00C975BE" w:rsidRPr="007937D1">
        <w:rPr>
          <w:sz w:val="22"/>
          <w:szCs w:val="22"/>
        </w:rPr>
        <w:t>ná</w:t>
      </w:r>
      <w:r w:rsidRPr="007937D1">
        <w:rPr>
          <w:sz w:val="22"/>
          <w:szCs w:val="22"/>
        </w:rPr>
        <w:t xml:space="preserve"> toleranci</w:t>
      </w:r>
      <w:r w:rsidR="00C975BE" w:rsidRPr="007937D1">
        <w:rPr>
          <w:sz w:val="22"/>
          <w:szCs w:val="22"/>
        </w:rPr>
        <w:t>a</w:t>
      </w:r>
      <w:r w:rsidRPr="007937D1">
        <w:rPr>
          <w:sz w:val="22"/>
          <w:szCs w:val="22"/>
        </w:rPr>
        <w:t xml:space="preserve"> </w:t>
      </w:r>
      <w:r w:rsidR="00C975BE" w:rsidRPr="007937D1">
        <w:rPr>
          <w:sz w:val="22"/>
          <w:szCs w:val="22"/>
        </w:rPr>
        <w:t xml:space="preserve">voči </w:t>
      </w:r>
      <w:r w:rsidRPr="007937D1">
        <w:rPr>
          <w:sz w:val="22"/>
          <w:szCs w:val="22"/>
        </w:rPr>
        <w:t>hypoxi</w:t>
      </w:r>
      <w:r w:rsidR="00C975BE" w:rsidRPr="007937D1">
        <w:rPr>
          <w:sz w:val="22"/>
          <w:szCs w:val="22"/>
        </w:rPr>
        <w:t>i,</w:t>
      </w:r>
      <w:r w:rsidRPr="007937D1">
        <w:rPr>
          <w:sz w:val="22"/>
          <w:szCs w:val="22"/>
        </w:rPr>
        <w:t xml:space="preserve"> najmä v mozgovom tkanive</w:t>
      </w:r>
      <w:r w:rsidR="008443A1" w:rsidRPr="007937D1">
        <w:rPr>
          <w:sz w:val="22"/>
          <w:szCs w:val="22"/>
        </w:rPr>
        <w:t>,</w:t>
      </w:r>
      <w:r w:rsidR="00C975BE" w:rsidRPr="007937D1">
        <w:rPr>
          <w:sz w:val="22"/>
          <w:szCs w:val="22"/>
        </w:rPr>
        <w:t xml:space="preserve"> </w:t>
      </w:r>
      <w:r w:rsidR="008443A1" w:rsidRPr="007937D1">
        <w:rPr>
          <w:sz w:val="22"/>
          <w:szCs w:val="22"/>
        </w:rPr>
        <w:t>i</w:t>
      </w:r>
      <w:r w:rsidR="00C975BE" w:rsidRPr="007937D1">
        <w:rPr>
          <w:sz w:val="22"/>
          <w:szCs w:val="22"/>
        </w:rPr>
        <w:t xml:space="preserve">nhibícia </w:t>
      </w:r>
      <w:r w:rsidRPr="007937D1">
        <w:rPr>
          <w:sz w:val="22"/>
          <w:szCs w:val="22"/>
        </w:rPr>
        <w:t>rozvoj</w:t>
      </w:r>
      <w:r w:rsidR="00C975BE" w:rsidRPr="007937D1">
        <w:rPr>
          <w:sz w:val="22"/>
          <w:szCs w:val="22"/>
        </w:rPr>
        <w:t>a</w:t>
      </w:r>
      <w:r w:rsidRPr="007937D1">
        <w:rPr>
          <w:sz w:val="22"/>
          <w:szCs w:val="22"/>
        </w:rPr>
        <w:t xml:space="preserve"> traumatického alebo toxického edému mozgu</w:t>
      </w:r>
      <w:r w:rsidR="00C975BE" w:rsidRPr="007937D1">
        <w:rPr>
          <w:sz w:val="22"/>
          <w:szCs w:val="22"/>
        </w:rPr>
        <w:t xml:space="preserve"> a urýchlenie jeho regresie tam, kde sa už vyvinul, či už vplyvom traumy alebo intoxikácie. Redukcia edému retiny a korneálnych lézií.</w:t>
      </w:r>
      <w:r w:rsidRPr="007937D1">
        <w:rPr>
          <w:sz w:val="22"/>
          <w:szCs w:val="22"/>
        </w:rPr>
        <w:t xml:space="preserve"> </w:t>
      </w:r>
      <w:r w:rsidR="00C975BE" w:rsidRPr="007937D1">
        <w:rPr>
          <w:sz w:val="22"/>
          <w:szCs w:val="22"/>
        </w:rPr>
        <w:t xml:space="preserve">Inhibícia na veku závislej redukcie </w:t>
      </w:r>
      <w:r w:rsidRPr="007937D1">
        <w:rPr>
          <w:sz w:val="22"/>
          <w:szCs w:val="22"/>
        </w:rPr>
        <w:t>muskarínových cholinoreceptorov a</w:t>
      </w:r>
      <w:r w:rsidR="00C975BE" w:rsidRPr="007937D1">
        <w:rPr>
          <w:sz w:val="22"/>
          <w:szCs w:val="22"/>
        </w:rPr>
        <w:t> alfa 2</w:t>
      </w:r>
      <w:r w:rsidR="00AC2462" w:rsidRPr="007937D1">
        <w:rPr>
          <w:sz w:val="22"/>
          <w:szCs w:val="22"/>
        </w:rPr>
        <w:t xml:space="preserve"> adrenoreceptorov,</w:t>
      </w:r>
      <w:r w:rsidR="00C975BE" w:rsidRPr="007937D1">
        <w:rPr>
          <w:sz w:val="22"/>
          <w:szCs w:val="22"/>
        </w:rPr>
        <w:t xml:space="preserve"> spolu so zvýšenou absor</w:t>
      </w:r>
      <w:r w:rsidR="00B1195F" w:rsidRPr="007937D1">
        <w:rPr>
          <w:sz w:val="22"/>
          <w:szCs w:val="22"/>
        </w:rPr>
        <w:t>p</w:t>
      </w:r>
      <w:r w:rsidR="00C975BE" w:rsidRPr="007937D1">
        <w:rPr>
          <w:sz w:val="22"/>
          <w:szCs w:val="22"/>
        </w:rPr>
        <w:t xml:space="preserve">ciou </w:t>
      </w:r>
      <w:r w:rsidR="00AC2462" w:rsidRPr="007937D1">
        <w:rPr>
          <w:sz w:val="22"/>
          <w:szCs w:val="22"/>
        </w:rPr>
        <w:t>cholínu v</w:t>
      </w:r>
      <w:r w:rsidR="00C975BE" w:rsidRPr="007937D1">
        <w:rPr>
          <w:sz w:val="22"/>
          <w:szCs w:val="22"/>
        </w:rPr>
        <w:t> </w:t>
      </w:r>
      <w:r w:rsidR="00AC2462" w:rsidRPr="007937D1">
        <w:rPr>
          <w:sz w:val="22"/>
          <w:szCs w:val="22"/>
        </w:rPr>
        <w:t>hipokampe</w:t>
      </w:r>
      <w:r w:rsidR="00B764D6" w:rsidRPr="007937D1">
        <w:rPr>
          <w:sz w:val="22"/>
          <w:szCs w:val="22"/>
        </w:rPr>
        <w:t>, zlepšuje vý</w:t>
      </w:r>
      <w:r w:rsidR="00BA5FBC" w:rsidRPr="007937D1">
        <w:rPr>
          <w:sz w:val="22"/>
          <w:szCs w:val="22"/>
        </w:rPr>
        <w:t>konnosť pamäti a procesu učenia</w:t>
      </w:r>
      <w:r w:rsidR="00C975BE" w:rsidRPr="007937D1">
        <w:rPr>
          <w:sz w:val="22"/>
          <w:szCs w:val="22"/>
        </w:rPr>
        <w:t>. Zlepš</w:t>
      </w:r>
      <w:r w:rsidR="00AE1984" w:rsidRPr="007937D1">
        <w:rPr>
          <w:sz w:val="22"/>
          <w:szCs w:val="22"/>
        </w:rPr>
        <w:t>uje</w:t>
      </w:r>
      <w:r w:rsidR="00C975BE" w:rsidRPr="007937D1">
        <w:rPr>
          <w:sz w:val="22"/>
          <w:szCs w:val="22"/>
        </w:rPr>
        <w:t xml:space="preserve"> kompenzáci</w:t>
      </w:r>
      <w:r w:rsidR="00AE1984" w:rsidRPr="007937D1">
        <w:rPr>
          <w:sz w:val="22"/>
          <w:szCs w:val="22"/>
        </w:rPr>
        <w:t>u</w:t>
      </w:r>
      <w:r w:rsidR="00C975BE" w:rsidRPr="007937D1">
        <w:rPr>
          <w:sz w:val="22"/>
          <w:szCs w:val="22"/>
        </w:rPr>
        <w:t xml:space="preserve"> poškodení equilibria</w:t>
      </w:r>
      <w:r w:rsidR="00AE1984" w:rsidRPr="007937D1">
        <w:rPr>
          <w:sz w:val="22"/>
          <w:szCs w:val="22"/>
        </w:rPr>
        <w:t xml:space="preserve">, inaktivuje voľné kyslíkové radikály (flavonoidy), má PAF antagonizmus (PAF </w:t>
      </w:r>
      <w:r w:rsidR="001670CA">
        <w:rPr>
          <w:sz w:val="22"/>
          <w:szCs w:val="22"/>
        </w:rPr>
        <w:t>–</w:t>
      </w:r>
      <w:r w:rsidR="00AE1984" w:rsidRPr="007937D1">
        <w:rPr>
          <w:sz w:val="22"/>
          <w:szCs w:val="22"/>
        </w:rPr>
        <w:t xml:space="preserve"> platelet activating factor) (ginkolidy) a</w:t>
      </w:r>
      <w:r w:rsidR="001670CA">
        <w:rPr>
          <w:sz w:val="22"/>
          <w:szCs w:val="22"/>
        </w:rPr>
        <w:t> </w:t>
      </w:r>
      <w:r w:rsidR="00AE1984" w:rsidRPr="007937D1">
        <w:rPr>
          <w:sz w:val="22"/>
          <w:szCs w:val="22"/>
        </w:rPr>
        <w:t>neuroprotektívny účinok (ginkolid A</w:t>
      </w:r>
      <w:r w:rsidR="001670CA">
        <w:rPr>
          <w:sz w:val="22"/>
          <w:szCs w:val="22"/>
        </w:rPr>
        <w:t> </w:t>
      </w:r>
      <w:r w:rsidR="00AE1984" w:rsidRPr="007937D1">
        <w:rPr>
          <w:sz w:val="22"/>
          <w:szCs w:val="22"/>
        </w:rPr>
        <w:t>a</w:t>
      </w:r>
      <w:r w:rsidR="001670CA">
        <w:rPr>
          <w:sz w:val="22"/>
          <w:szCs w:val="22"/>
        </w:rPr>
        <w:t> </w:t>
      </w:r>
      <w:r w:rsidR="00AE1984" w:rsidRPr="007937D1">
        <w:rPr>
          <w:sz w:val="22"/>
          <w:szCs w:val="22"/>
        </w:rPr>
        <w:t>B, bilobalid).</w:t>
      </w:r>
    </w:p>
    <w:p w14:paraId="615A6113" w14:textId="77777777" w:rsidR="00C975BE" w:rsidRPr="007937D1" w:rsidRDefault="00C975BE" w:rsidP="0041531C">
      <w:pPr>
        <w:ind w:left="708"/>
        <w:rPr>
          <w:sz w:val="22"/>
          <w:szCs w:val="22"/>
        </w:rPr>
      </w:pPr>
    </w:p>
    <w:p w14:paraId="634AF6C8" w14:textId="3D29317A" w:rsidR="00BA5FBC" w:rsidRPr="007937D1" w:rsidRDefault="008E34FD" w:rsidP="0041531C">
      <w:pPr>
        <w:rPr>
          <w:sz w:val="22"/>
          <w:szCs w:val="22"/>
        </w:rPr>
      </w:pPr>
      <w:r w:rsidRPr="007937D1">
        <w:rPr>
          <w:sz w:val="22"/>
          <w:szCs w:val="22"/>
        </w:rPr>
        <w:t>Navyše boli hypoxi</w:t>
      </w:r>
      <w:r w:rsidR="00AE1984" w:rsidRPr="007937D1">
        <w:rPr>
          <w:sz w:val="22"/>
          <w:szCs w:val="22"/>
        </w:rPr>
        <w:t>cko</w:t>
      </w:r>
      <w:r w:rsidRPr="007937D1">
        <w:rPr>
          <w:sz w:val="22"/>
          <w:szCs w:val="22"/>
        </w:rPr>
        <w:t>-prote</w:t>
      </w:r>
      <w:r w:rsidR="00AE1984" w:rsidRPr="007937D1">
        <w:rPr>
          <w:sz w:val="22"/>
          <w:szCs w:val="22"/>
        </w:rPr>
        <w:t xml:space="preserve">ktívne </w:t>
      </w:r>
      <w:r w:rsidRPr="007937D1">
        <w:rPr>
          <w:sz w:val="22"/>
          <w:szCs w:val="22"/>
        </w:rPr>
        <w:t>účinky špeciálneho extraktu EGb 761 preukázané i</w:t>
      </w:r>
      <w:r w:rsidR="001670CA">
        <w:rPr>
          <w:sz w:val="22"/>
          <w:szCs w:val="22"/>
        </w:rPr>
        <w:t> </w:t>
      </w:r>
      <w:r w:rsidRPr="007937D1">
        <w:rPr>
          <w:sz w:val="22"/>
          <w:szCs w:val="22"/>
        </w:rPr>
        <w:t>u</w:t>
      </w:r>
      <w:r w:rsidR="001670CA">
        <w:rPr>
          <w:sz w:val="22"/>
          <w:szCs w:val="22"/>
        </w:rPr>
        <w:t> </w:t>
      </w:r>
      <w:r w:rsidRPr="007937D1">
        <w:rPr>
          <w:sz w:val="22"/>
          <w:szCs w:val="22"/>
        </w:rPr>
        <w:t>ľudí. V</w:t>
      </w:r>
      <w:r w:rsidR="001670CA">
        <w:rPr>
          <w:sz w:val="22"/>
          <w:szCs w:val="22"/>
        </w:rPr>
        <w:t> </w:t>
      </w:r>
      <w:r w:rsidRPr="007937D1">
        <w:rPr>
          <w:sz w:val="22"/>
          <w:szCs w:val="22"/>
        </w:rPr>
        <w:t>pokusoch na zvieratách viedol špeciálny extrakt k</w:t>
      </w:r>
      <w:r w:rsidR="001670CA">
        <w:rPr>
          <w:sz w:val="22"/>
          <w:szCs w:val="22"/>
        </w:rPr>
        <w:t> </w:t>
      </w:r>
      <w:r w:rsidRPr="007937D1">
        <w:rPr>
          <w:sz w:val="22"/>
          <w:szCs w:val="22"/>
        </w:rPr>
        <w:t xml:space="preserve">zlepšeniu prietoku krvi, predovšetkým </w:t>
      </w:r>
      <w:r w:rsidR="00BA5FBC" w:rsidRPr="007937D1">
        <w:rPr>
          <w:sz w:val="22"/>
          <w:szCs w:val="22"/>
        </w:rPr>
        <w:t>v</w:t>
      </w:r>
      <w:r w:rsidR="001670CA">
        <w:rPr>
          <w:sz w:val="22"/>
          <w:szCs w:val="22"/>
        </w:rPr>
        <w:t> </w:t>
      </w:r>
      <w:r w:rsidRPr="007937D1">
        <w:rPr>
          <w:sz w:val="22"/>
          <w:szCs w:val="22"/>
        </w:rPr>
        <w:t>oblas</w:t>
      </w:r>
      <w:r w:rsidR="00BA5FBC" w:rsidRPr="007937D1">
        <w:rPr>
          <w:sz w:val="22"/>
          <w:szCs w:val="22"/>
        </w:rPr>
        <w:t>ti</w:t>
      </w:r>
      <w:r w:rsidRPr="007937D1">
        <w:rPr>
          <w:sz w:val="22"/>
          <w:szCs w:val="22"/>
        </w:rPr>
        <w:t xml:space="preserve"> mikrocirkulácie</w:t>
      </w:r>
      <w:r w:rsidR="00AE1984" w:rsidRPr="007937D1">
        <w:rPr>
          <w:sz w:val="22"/>
          <w:szCs w:val="22"/>
        </w:rPr>
        <w:t>,</w:t>
      </w:r>
      <w:r w:rsidRPr="007937D1">
        <w:rPr>
          <w:sz w:val="22"/>
          <w:szCs w:val="22"/>
        </w:rPr>
        <w:t xml:space="preserve"> </w:t>
      </w:r>
      <w:r w:rsidR="00AE1984" w:rsidRPr="007937D1">
        <w:rPr>
          <w:sz w:val="22"/>
          <w:szCs w:val="22"/>
        </w:rPr>
        <w:t>taktiež</w:t>
      </w:r>
      <w:r w:rsidR="00BA5FBC" w:rsidRPr="007937D1">
        <w:rPr>
          <w:sz w:val="22"/>
          <w:szCs w:val="22"/>
        </w:rPr>
        <w:t xml:space="preserve"> vo farmakologických testoch, uskutočnených na ľu</w:t>
      </w:r>
      <w:r w:rsidR="00C21536">
        <w:rPr>
          <w:sz w:val="22"/>
          <w:szCs w:val="22"/>
        </w:rPr>
        <w:t>ď</w:t>
      </w:r>
      <w:r w:rsidR="00BA5FBC" w:rsidRPr="007937D1">
        <w:rPr>
          <w:sz w:val="22"/>
          <w:szCs w:val="22"/>
        </w:rPr>
        <w:t>och. Zlepšenie reologických vlastností krvi pomocou E</w:t>
      </w:r>
      <w:r w:rsidR="00C21536">
        <w:rPr>
          <w:sz w:val="22"/>
          <w:szCs w:val="22"/>
        </w:rPr>
        <w:t>G</w:t>
      </w:r>
      <w:r w:rsidR="00BA5FBC" w:rsidRPr="007937D1">
        <w:rPr>
          <w:sz w:val="22"/>
          <w:szCs w:val="22"/>
        </w:rPr>
        <w:t>b 761 bolo preukázané u</w:t>
      </w:r>
      <w:r w:rsidR="001670CA">
        <w:rPr>
          <w:sz w:val="22"/>
          <w:szCs w:val="22"/>
        </w:rPr>
        <w:t> </w:t>
      </w:r>
      <w:r w:rsidR="00BA5FBC" w:rsidRPr="007937D1">
        <w:rPr>
          <w:sz w:val="22"/>
          <w:szCs w:val="22"/>
        </w:rPr>
        <w:t>ľudí, v</w:t>
      </w:r>
      <w:r w:rsidR="001670CA">
        <w:rPr>
          <w:sz w:val="22"/>
          <w:szCs w:val="22"/>
        </w:rPr>
        <w:t> </w:t>
      </w:r>
      <w:r w:rsidR="00BA5FBC" w:rsidRPr="007937D1">
        <w:rPr>
          <w:sz w:val="22"/>
          <w:szCs w:val="22"/>
        </w:rPr>
        <w:t>pokusoch na zvieratách a</w:t>
      </w:r>
      <w:r w:rsidR="001670CA">
        <w:rPr>
          <w:sz w:val="22"/>
          <w:szCs w:val="22"/>
        </w:rPr>
        <w:t> </w:t>
      </w:r>
      <w:r w:rsidR="00BA5FBC" w:rsidRPr="007937D1">
        <w:rPr>
          <w:sz w:val="22"/>
          <w:szCs w:val="22"/>
        </w:rPr>
        <w:t>v</w:t>
      </w:r>
      <w:r w:rsidR="001670CA">
        <w:rPr>
          <w:sz w:val="22"/>
          <w:szCs w:val="22"/>
        </w:rPr>
        <w:t> </w:t>
      </w:r>
      <w:r w:rsidR="00BA5FBC" w:rsidRPr="007937D1">
        <w:rPr>
          <w:sz w:val="22"/>
          <w:szCs w:val="22"/>
        </w:rPr>
        <w:t>in vitro, vrátane inhibície PAF-indukovanej trombocytovej agregácie.</w:t>
      </w:r>
    </w:p>
    <w:p w14:paraId="4DEA518A" w14:textId="77777777" w:rsidR="00BA5FBC" w:rsidRPr="007937D1" w:rsidRDefault="00BA5FBC" w:rsidP="0041531C">
      <w:pPr>
        <w:ind w:left="705"/>
        <w:rPr>
          <w:sz w:val="22"/>
          <w:szCs w:val="22"/>
        </w:rPr>
      </w:pPr>
    </w:p>
    <w:p w14:paraId="3146F0C7" w14:textId="2766C3D2" w:rsidR="00DE0710" w:rsidRPr="007937D1" w:rsidRDefault="00DE0710" w:rsidP="0041531C">
      <w:pPr>
        <w:rPr>
          <w:sz w:val="22"/>
          <w:szCs w:val="22"/>
        </w:rPr>
      </w:pPr>
      <w:r w:rsidRPr="007937D1">
        <w:rPr>
          <w:sz w:val="22"/>
          <w:szCs w:val="22"/>
        </w:rPr>
        <w:lastRenderedPageBreak/>
        <w:t>V</w:t>
      </w:r>
      <w:r w:rsidR="001670CA">
        <w:rPr>
          <w:sz w:val="22"/>
          <w:szCs w:val="22"/>
        </w:rPr>
        <w:t> </w:t>
      </w:r>
      <w:r w:rsidRPr="007937D1">
        <w:rPr>
          <w:sz w:val="22"/>
          <w:szCs w:val="22"/>
        </w:rPr>
        <w:t>placebom kontrolovanej dvojito-slepej štúdii vykonanej s</w:t>
      </w:r>
      <w:r w:rsidR="001670CA">
        <w:rPr>
          <w:sz w:val="22"/>
          <w:szCs w:val="22"/>
        </w:rPr>
        <w:t> </w:t>
      </w:r>
      <w:r w:rsidRPr="007937D1">
        <w:rPr>
          <w:sz w:val="22"/>
          <w:szCs w:val="22"/>
        </w:rPr>
        <w:t>50 osobami</w:t>
      </w:r>
      <w:r w:rsidR="006B67A8" w:rsidRPr="007937D1">
        <w:rPr>
          <w:sz w:val="22"/>
          <w:szCs w:val="22"/>
        </w:rPr>
        <w:t xml:space="preserve">, </w:t>
      </w:r>
      <w:r w:rsidRPr="007937D1">
        <w:rPr>
          <w:sz w:val="22"/>
          <w:szCs w:val="22"/>
        </w:rPr>
        <w:t>dennou dávkou 240 mg špeciálneho extraktu E</w:t>
      </w:r>
      <w:r w:rsidR="00C21536">
        <w:rPr>
          <w:sz w:val="22"/>
          <w:szCs w:val="22"/>
        </w:rPr>
        <w:t>G</w:t>
      </w:r>
      <w:r w:rsidRPr="007937D1">
        <w:rPr>
          <w:sz w:val="22"/>
          <w:szCs w:val="22"/>
        </w:rPr>
        <w:t xml:space="preserve">b 761, </w:t>
      </w:r>
      <w:r w:rsidR="006B67A8" w:rsidRPr="007937D1">
        <w:rPr>
          <w:sz w:val="22"/>
          <w:szCs w:val="22"/>
        </w:rPr>
        <w:t>tiež v</w:t>
      </w:r>
      <w:r w:rsidR="001670CA">
        <w:rPr>
          <w:sz w:val="22"/>
          <w:szCs w:val="22"/>
        </w:rPr>
        <w:t> </w:t>
      </w:r>
      <w:r w:rsidR="006B67A8" w:rsidRPr="007937D1">
        <w:rPr>
          <w:sz w:val="22"/>
          <w:szCs w:val="22"/>
        </w:rPr>
        <w:t>kombinácii s</w:t>
      </w:r>
      <w:r w:rsidR="001670CA">
        <w:rPr>
          <w:sz w:val="22"/>
          <w:szCs w:val="22"/>
        </w:rPr>
        <w:t> </w:t>
      </w:r>
      <w:r w:rsidR="006B67A8" w:rsidRPr="007937D1">
        <w:rPr>
          <w:sz w:val="22"/>
          <w:szCs w:val="22"/>
        </w:rPr>
        <w:t>500 mg acetyl salicylovej kyseliny, nebol preukázaný žiaden účinok na koagulačné parametre (vrátane PTT, Quick test</w:t>
      </w:r>
      <w:r w:rsidR="00577301" w:rsidRPr="007937D1">
        <w:rPr>
          <w:sz w:val="22"/>
          <w:szCs w:val="22"/>
        </w:rPr>
        <w:t>u</w:t>
      </w:r>
      <w:r w:rsidR="006B67A8" w:rsidRPr="007937D1">
        <w:rPr>
          <w:sz w:val="22"/>
          <w:szCs w:val="22"/>
        </w:rPr>
        <w:t>, čas</w:t>
      </w:r>
      <w:r w:rsidR="00577301" w:rsidRPr="007937D1">
        <w:rPr>
          <w:sz w:val="22"/>
          <w:szCs w:val="22"/>
        </w:rPr>
        <w:t>u</w:t>
      </w:r>
      <w:r w:rsidR="006B67A8" w:rsidRPr="007937D1">
        <w:rPr>
          <w:sz w:val="22"/>
          <w:szCs w:val="22"/>
        </w:rPr>
        <w:t xml:space="preserve"> krvácania).</w:t>
      </w:r>
      <w:r w:rsidRPr="007937D1">
        <w:rPr>
          <w:sz w:val="22"/>
          <w:szCs w:val="22"/>
        </w:rPr>
        <w:t xml:space="preserve"> </w:t>
      </w:r>
    </w:p>
    <w:p w14:paraId="098FCD60" w14:textId="77777777" w:rsidR="00DE0710" w:rsidRPr="007937D1" w:rsidRDefault="00DE0710" w:rsidP="0041531C">
      <w:pPr>
        <w:rPr>
          <w:b/>
          <w:sz w:val="22"/>
          <w:szCs w:val="22"/>
        </w:rPr>
      </w:pPr>
    </w:p>
    <w:p w14:paraId="6CC68F80" w14:textId="77777777" w:rsidR="0005100D" w:rsidRPr="007937D1" w:rsidRDefault="0005100D" w:rsidP="0041531C">
      <w:pPr>
        <w:rPr>
          <w:b/>
          <w:sz w:val="22"/>
          <w:szCs w:val="22"/>
        </w:rPr>
      </w:pPr>
      <w:r w:rsidRPr="007937D1">
        <w:rPr>
          <w:b/>
          <w:sz w:val="22"/>
          <w:szCs w:val="22"/>
        </w:rPr>
        <w:t>5.2</w:t>
      </w:r>
      <w:r w:rsidRPr="007937D1">
        <w:rPr>
          <w:b/>
          <w:sz w:val="22"/>
          <w:szCs w:val="22"/>
        </w:rPr>
        <w:tab/>
        <w:t>Farmakokinetické vlastnosti</w:t>
      </w:r>
    </w:p>
    <w:p w14:paraId="187C011C" w14:textId="77777777" w:rsidR="00CB1B89" w:rsidRPr="007937D1" w:rsidRDefault="00CB1B89" w:rsidP="0041531C">
      <w:pPr>
        <w:ind w:left="708"/>
        <w:rPr>
          <w:sz w:val="22"/>
          <w:szCs w:val="22"/>
        </w:rPr>
      </w:pPr>
    </w:p>
    <w:p w14:paraId="68436051" w14:textId="5534F43E" w:rsidR="00BA5FBC" w:rsidRPr="007937D1" w:rsidRDefault="00BA5FBC" w:rsidP="0041531C">
      <w:pPr>
        <w:rPr>
          <w:sz w:val="22"/>
          <w:szCs w:val="22"/>
        </w:rPr>
      </w:pPr>
      <w:r w:rsidRPr="007937D1">
        <w:rPr>
          <w:sz w:val="22"/>
          <w:szCs w:val="22"/>
        </w:rPr>
        <w:t>Cerebrálna biodostupnosť špeciálneho extraktu E</w:t>
      </w:r>
      <w:r w:rsidR="00C21536">
        <w:rPr>
          <w:sz w:val="22"/>
          <w:szCs w:val="22"/>
        </w:rPr>
        <w:t>G</w:t>
      </w:r>
      <w:r w:rsidRPr="007937D1">
        <w:rPr>
          <w:sz w:val="22"/>
          <w:szCs w:val="22"/>
        </w:rPr>
        <w:t>b 761 u</w:t>
      </w:r>
      <w:r w:rsidR="001670CA">
        <w:rPr>
          <w:sz w:val="22"/>
          <w:szCs w:val="22"/>
        </w:rPr>
        <w:t> </w:t>
      </w:r>
      <w:r w:rsidRPr="007937D1">
        <w:rPr>
          <w:sz w:val="22"/>
          <w:szCs w:val="22"/>
        </w:rPr>
        <w:t xml:space="preserve">ľudí bola </w:t>
      </w:r>
      <w:r w:rsidR="007600D3" w:rsidRPr="007937D1">
        <w:rPr>
          <w:sz w:val="22"/>
          <w:szCs w:val="22"/>
        </w:rPr>
        <w:t>demonštrovaná pomocou EEG na báze účinkov na cerebro-elektrickú aktivitu, ktorá závisela od dávky.</w:t>
      </w:r>
    </w:p>
    <w:p w14:paraId="7BD2F8C3" w14:textId="77777777" w:rsidR="007600D3" w:rsidRPr="007937D1" w:rsidRDefault="007600D3" w:rsidP="0041531C">
      <w:pPr>
        <w:ind w:left="708"/>
        <w:rPr>
          <w:sz w:val="22"/>
          <w:szCs w:val="22"/>
        </w:rPr>
      </w:pPr>
    </w:p>
    <w:p w14:paraId="679E3BE9" w14:textId="142B7F4A" w:rsidR="007600D3" w:rsidRPr="007937D1" w:rsidRDefault="007600D3" w:rsidP="0041531C">
      <w:pPr>
        <w:rPr>
          <w:sz w:val="22"/>
          <w:szCs w:val="22"/>
        </w:rPr>
      </w:pPr>
      <w:r w:rsidRPr="00735713">
        <w:rPr>
          <w:sz w:val="22"/>
          <w:szCs w:val="22"/>
        </w:rPr>
        <w:t xml:space="preserve">Po orálnej aplikácii roztoku (pevnej liekovej formy) špeciálneho extraktu </w:t>
      </w:r>
      <w:r w:rsidR="00F66270" w:rsidRPr="00735713">
        <w:rPr>
          <w:sz w:val="22"/>
          <w:szCs w:val="22"/>
        </w:rPr>
        <w:t>g</w:t>
      </w:r>
      <w:r w:rsidRPr="00735713">
        <w:rPr>
          <w:sz w:val="22"/>
          <w:szCs w:val="22"/>
        </w:rPr>
        <w:t>inka</w:t>
      </w:r>
      <w:r w:rsidR="004F2D16" w:rsidRPr="00735713">
        <w:rPr>
          <w:sz w:val="22"/>
          <w:szCs w:val="22"/>
        </w:rPr>
        <w:t xml:space="preserve"> dvojlaločného</w:t>
      </w:r>
      <w:r w:rsidRPr="00735713">
        <w:rPr>
          <w:sz w:val="22"/>
          <w:szCs w:val="22"/>
        </w:rPr>
        <w:t>, terp</w:t>
      </w:r>
      <w:r w:rsidR="00C21536" w:rsidRPr="00735713">
        <w:rPr>
          <w:sz w:val="22"/>
          <w:szCs w:val="22"/>
        </w:rPr>
        <w:t>é</w:t>
      </w:r>
      <w:r w:rsidRPr="00735713">
        <w:rPr>
          <w:sz w:val="22"/>
          <w:szCs w:val="22"/>
        </w:rPr>
        <w:t>n</w:t>
      </w:r>
      <w:r w:rsidR="004040BD" w:rsidRPr="00735713">
        <w:rPr>
          <w:sz w:val="22"/>
          <w:szCs w:val="22"/>
        </w:rPr>
        <w:t>ové</w:t>
      </w:r>
      <w:r w:rsidRPr="00735713">
        <w:rPr>
          <w:sz w:val="22"/>
          <w:szCs w:val="22"/>
        </w:rPr>
        <w:t xml:space="preserve"> laktóny ginkolid A, ginkolid B a</w:t>
      </w:r>
      <w:r w:rsidR="001670CA" w:rsidRPr="00735713">
        <w:rPr>
          <w:sz w:val="22"/>
          <w:szCs w:val="22"/>
        </w:rPr>
        <w:t> </w:t>
      </w:r>
      <w:r w:rsidRPr="00735713">
        <w:rPr>
          <w:sz w:val="22"/>
          <w:szCs w:val="22"/>
        </w:rPr>
        <w:t>bilobalid vykázali u</w:t>
      </w:r>
      <w:r w:rsidR="001670CA" w:rsidRPr="00735713">
        <w:rPr>
          <w:sz w:val="22"/>
          <w:szCs w:val="22"/>
        </w:rPr>
        <w:t> </w:t>
      </w:r>
      <w:r w:rsidRPr="00735713">
        <w:rPr>
          <w:sz w:val="22"/>
          <w:szCs w:val="22"/>
        </w:rPr>
        <w:t>ľudí veľmi dobrú absolútnu biodostupnosť 100 % (98 %) pre gi</w:t>
      </w:r>
      <w:r w:rsidR="00845DEB" w:rsidRPr="00735713">
        <w:rPr>
          <w:sz w:val="22"/>
          <w:szCs w:val="22"/>
        </w:rPr>
        <w:t>n</w:t>
      </w:r>
      <w:r w:rsidRPr="00735713">
        <w:rPr>
          <w:sz w:val="22"/>
          <w:szCs w:val="22"/>
        </w:rPr>
        <w:t>kolid A</w:t>
      </w:r>
      <w:r w:rsidR="001670CA" w:rsidRPr="00735713">
        <w:rPr>
          <w:sz w:val="22"/>
          <w:szCs w:val="22"/>
        </w:rPr>
        <w:t> </w:t>
      </w:r>
      <w:r w:rsidRPr="00735713">
        <w:rPr>
          <w:sz w:val="22"/>
          <w:szCs w:val="22"/>
        </w:rPr>
        <w:t>a</w:t>
      </w:r>
      <w:r w:rsidR="001670CA" w:rsidRPr="00735713">
        <w:rPr>
          <w:sz w:val="22"/>
          <w:szCs w:val="22"/>
        </w:rPr>
        <w:t> </w:t>
      </w:r>
      <w:r w:rsidRPr="00735713">
        <w:rPr>
          <w:sz w:val="22"/>
          <w:szCs w:val="22"/>
        </w:rPr>
        <w:t>93 % (79 %) pre ginkolid B a</w:t>
      </w:r>
      <w:r w:rsidR="001670CA" w:rsidRPr="00735713">
        <w:rPr>
          <w:sz w:val="22"/>
          <w:szCs w:val="22"/>
        </w:rPr>
        <w:t> </w:t>
      </w:r>
      <w:r w:rsidRPr="00735713">
        <w:rPr>
          <w:sz w:val="22"/>
          <w:szCs w:val="22"/>
        </w:rPr>
        <w:t>72 % pre bilobalid. Po podaní 80 mg špeciálneho extraktu E</w:t>
      </w:r>
      <w:r w:rsidR="00C21536" w:rsidRPr="00735713">
        <w:rPr>
          <w:sz w:val="22"/>
          <w:szCs w:val="22"/>
        </w:rPr>
        <w:t>G</w:t>
      </w:r>
      <w:r w:rsidRPr="00735713">
        <w:rPr>
          <w:sz w:val="22"/>
          <w:szCs w:val="22"/>
        </w:rPr>
        <w:t>b 761</w:t>
      </w:r>
      <w:r w:rsidR="00577301" w:rsidRPr="00735713">
        <w:rPr>
          <w:sz w:val="22"/>
          <w:szCs w:val="22"/>
        </w:rPr>
        <w:t xml:space="preserve"> boli</w:t>
      </w:r>
      <w:r w:rsidRPr="00735713">
        <w:rPr>
          <w:sz w:val="22"/>
          <w:szCs w:val="22"/>
        </w:rPr>
        <w:t xml:space="preserve"> maximálne plazmatické koncentrácie</w:t>
      </w:r>
      <w:r w:rsidRPr="007937D1">
        <w:rPr>
          <w:sz w:val="22"/>
          <w:szCs w:val="22"/>
        </w:rPr>
        <w:t xml:space="preserve"> 15 ng/ml pre ginkolid A, 4 ng/ml pre ginkolid B a</w:t>
      </w:r>
      <w:r w:rsidR="001670CA">
        <w:rPr>
          <w:sz w:val="22"/>
          <w:szCs w:val="22"/>
        </w:rPr>
        <w:t> </w:t>
      </w:r>
      <w:r w:rsidRPr="007937D1">
        <w:rPr>
          <w:sz w:val="22"/>
          <w:szCs w:val="22"/>
        </w:rPr>
        <w:t>približne 12 ng/ml pre bilobalid. Polčas rozpadu bol 3,9 hod</w:t>
      </w:r>
      <w:r w:rsidR="00577301" w:rsidRPr="007937D1">
        <w:rPr>
          <w:sz w:val="22"/>
          <w:szCs w:val="22"/>
        </w:rPr>
        <w:t>.</w:t>
      </w:r>
      <w:r w:rsidRPr="007937D1">
        <w:rPr>
          <w:sz w:val="22"/>
          <w:szCs w:val="22"/>
        </w:rPr>
        <w:t xml:space="preserve"> (ginkolid A), 7 hod</w:t>
      </w:r>
      <w:r w:rsidR="00577301" w:rsidRPr="007937D1">
        <w:rPr>
          <w:sz w:val="22"/>
          <w:szCs w:val="22"/>
        </w:rPr>
        <w:t>.</w:t>
      </w:r>
      <w:r w:rsidRPr="007937D1">
        <w:rPr>
          <w:sz w:val="22"/>
          <w:szCs w:val="22"/>
        </w:rPr>
        <w:t xml:space="preserve"> (ginkolid B) a</w:t>
      </w:r>
      <w:r w:rsidR="001670CA">
        <w:rPr>
          <w:sz w:val="22"/>
          <w:szCs w:val="22"/>
        </w:rPr>
        <w:t> </w:t>
      </w:r>
      <w:r w:rsidRPr="007937D1">
        <w:rPr>
          <w:sz w:val="22"/>
          <w:szCs w:val="22"/>
        </w:rPr>
        <w:t>3,2 hod</w:t>
      </w:r>
      <w:r w:rsidR="00577301" w:rsidRPr="007937D1">
        <w:rPr>
          <w:sz w:val="22"/>
          <w:szCs w:val="22"/>
        </w:rPr>
        <w:t>.</w:t>
      </w:r>
      <w:r w:rsidRPr="007937D1">
        <w:rPr>
          <w:sz w:val="22"/>
          <w:szCs w:val="22"/>
        </w:rPr>
        <w:t xml:space="preserve"> (bilobalid). Nasledovným intravenóznym podaním boli zmerané polčasy 3,5 hod. (ginkolid A), 5,5 hod. (ginkolid B) a</w:t>
      </w:r>
      <w:r w:rsidR="001670CA">
        <w:rPr>
          <w:sz w:val="22"/>
          <w:szCs w:val="22"/>
        </w:rPr>
        <w:t> </w:t>
      </w:r>
      <w:r w:rsidRPr="007937D1">
        <w:rPr>
          <w:sz w:val="22"/>
          <w:szCs w:val="22"/>
        </w:rPr>
        <w:t>3,2 hod. (bilobalid). Väzba na plazmatické proteíny (ľudská krv) je 43 % pre ginkolid A, 47 % pre ginkolid B a</w:t>
      </w:r>
      <w:r w:rsidR="001670CA">
        <w:rPr>
          <w:sz w:val="22"/>
          <w:szCs w:val="22"/>
        </w:rPr>
        <w:t> </w:t>
      </w:r>
      <w:r w:rsidRPr="007937D1">
        <w:rPr>
          <w:sz w:val="22"/>
          <w:szCs w:val="22"/>
        </w:rPr>
        <w:t>67 % pre bilobalid.</w:t>
      </w:r>
    </w:p>
    <w:p w14:paraId="3C6D4937" w14:textId="79E929EA" w:rsidR="00EB6AF4" w:rsidRPr="007937D1" w:rsidRDefault="007600D3" w:rsidP="0041531C">
      <w:pPr>
        <w:rPr>
          <w:sz w:val="22"/>
          <w:szCs w:val="22"/>
        </w:rPr>
      </w:pPr>
      <w:r w:rsidRPr="007937D1">
        <w:rPr>
          <w:sz w:val="22"/>
          <w:szCs w:val="22"/>
        </w:rPr>
        <w:t>U</w:t>
      </w:r>
      <w:r w:rsidR="001670CA">
        <w:rPr>
          <w:sz w:val="22"/>
          <w:szCs w:val="22"/>
        </w:rPr>
        <w:t> </w:t>
      </w:r>
      <w:r w:rsidRPr="007937D1">
        <w:rPr>
          <w:sz w:val="22"/>
          <w:szCs w:val="22"/>
        </w:rPr>
        <w:t>potkana bol stanovený stupeň resorp</w:t>
      </w:r>
      <w:r w:rsidR="00C21536">
        <w:rPr>
          <w:sz w:val="22"/>
          <w:szCs w:val="22"/>
        </w:rPr>
        <w:t>c</w:t>
      </w:r>
      <w:r w:rsidRPr="007937D1">
        <w:rPr>
          <w:sz w:val="22"/>
          <w:szCs w:val="22"/>
        </w:rPr>
        <w:t>ie na 60 % po orálnom podaní špeciálneho extraktu E</w:t>
      </w:r>
      <w:r w:rsidR="00E80C4B">
        <w:rPr>
          <w:sz w:val="22"/>
          <w:szCs w:val="22"/>
        </w:rPr>
        <w:t>G</w:t>
      </w:r>
      <w:r w:rsidRPr="007937D1">
        <w:rPr>
          <w:sz w:val="22"/>
          <w:szCs w:val="22"/>
        </w:rPr>
        <w:t xml:space="preserve">b 761, ktorý bol značený pomocou </w:t>
      </w:r>
      <w:r w:rsidR="00EB6AF4" w:rsidRPr="007937D1">
        <w:rPr>
          <w:sz w:val="22"/>
          <w:szCs w:val="22"/>
        </w:rPr>
        <w:t>rádioaktívneho izotopu C14. Maximálne plazmatické koncentrácie boli merané po 1,</w:t>
      </w:r>
      <w:r w:rsidR="00577301" w:rsidRPr="007937D1">
        <w:rPr>
          <w:sz w:val="22"/>
          <w:szCs w:val="22"/>
        </w:rPr>
        <w:t>5</w:t>
      </w:r>
      <w:r w:rsidR="00EB6AF4" w:rsidRPr="007937D1">
        <w:rPr>
          <w:sz w:val="22"/>
          <w:szCs w:val="22"/>
        </w:rPr>
        <w:t xml:space="preserve"> hod. od podania. Polčas rozpadu bol 4,5 hod. Druhé maximum hodnôt za 12 hodín po podaní svedčí pre enterohepatálny obeh. </w:t>
      </w:r>
    </w:p>
    <w:p w14:paraId="479E8837" w14:textId="77777777" w:rsidR="007600D3" w:rsidRPr="007937D1" w:rsidRDefault="00EB6AF4" w:rsidP="0041531C">
      <w:pPr>
        <w:rPr>
          <w:sz w:val="22"/>
          <w:szCs w:val="22"/>
        </w:rPr>
      </w:pPr>
      <w:r w:rsidRPr="007937D1">
        <w:rPr>
          <w:sz w:val="22"/>
          <w:szCs w:val="22"/>
        </w:rPr>
        <w:tab/>
      </w:r>
    </w:p>
    <w:p w14:paraId="27DC7987" w14:textId="00F9E881" w:rsidR="0005100D" w:rsidRPr="007937D1" w:rsidRDefault="0005100D" w:rsidP="0041531C">
      <w:pPr>
        <w:rPr>
          <w:b/>
          <w:sz w:val="22"/>
          <w:szCs w:val="22"/>
        </w:rPr>
      </w:pPr>
      <w:r w:rsidRPr="007937D1">
        <w:rPr>
          <w:b/>
          <w:sz w:val="22"/>
          <w:szCs w:val="22"/>
        </w:rPr>
        <w:t>5.3</w:t>
      </w:r>
      <w:r w:rsidRPr="007937D1">
        <w:rPr>
          <w:b/>
          <w:sz w:val="22"/>
          <w:szCs w:val="22"/>
        </w:rPr>
        <w:tab/>
        <w:t>Predklinické údaje o</w:t>
      </w:r>
      <w:r w:rsidR="001670CA">
        <w:rPr>
          <w:b/>
          <w:sz w:val="22"/>
          <w:szCs w:val="22"/>
        </w:rPr>
        <w:t> </w:t>
      </w:r>
      <w:r w:rsidRPr="007937D1">
        <w:rPr>
          <w:b/>
          <w:sz w:val="22"/>
          <w:szCs w:val="22"/>
        </w:rPr>
        <w:t>bezpečnosti</w:t>
      </w:r>
    </w:p>
    <w:p w14:paraId="502EF7D3" w14:textId="77777777" w:rsidR="00CB1B89" w:rsidRPr="007937D1" w:rsidRDefault="00CB1B89" w:rsidP="0041531C">
      <w:pPr>
        <w:ind w:left="705"/>
        <w:rPr>
          <w:sz w:val="22"/>
          <w:szCs w:val="22"/>
        </w:rPr>
      </w:pPr>
    </w:p>
    <w:p w14:paraId="34E633F1" w14:textId="34F55268" w:rsidR="004F0D72" w:rsidRPr="007937D1" w:rsidRDefault="004F0D72" w:rsidP="0041531C">
      <w:pPr>
        <w:outlineLvl w:val="0"/>
        <w:rPr>
          <w:sz w:val="22"/>
          <w:szCs w:val="22"/>
        </w:rPr>
      </w:pPr>
      <w:r w:rsidRPr="007937D1">
        <w:rPr>
          <w:sz w:val="22"/>
          <w:szCs w:val="22"/>
        </w:rPr>
        <w:t xml:space="preserve">Účinky </w:t>
      </w:r>
      <w:r w:rsidRPr="00735713">
        <w:rPr>
          <w:sz w:val="22"/>
          <w:szCs w:val="22"/>
        </w:rPr>
        <w:t>v</w:t>
      </w:r>
      <w:r w:rsidR="001670CA" w:rsidRPr="00735713">
        <w:rPr>
          <w:sz w:val="22"/>
          <w:szCs w:val="22"/>
        </w:rPr>
        <w:t> </w:t>
      </w:r>
      <w:r w:rsidR="000F2E0A" w:rsidRPr="00735713">
        <w:rPr>
          <w:sz w:val="22"/>
          <w:szCs w:val="22"/>
        </w:rPr>
        <w:t>pr</w:t>
      </w:r>
      <w:r w:rsidRPr="00735713">
        <w:rPr>
          <w:sz w:val="22"/>
          <w:szCs w:val="22"/>
        </w:rPr>
        <w:t>e</w:t>
      </w:r>
      <w:r w:rsidR="000F2E0A" w:rsidRPr="00735713">
        <w:rPr>
          <w:sz w:val="22"/>
          <w:szCs w:val="22"/>
        </w:rPr>
        <w:t>d</w:t>
      </w:r>
      <w:r w:rsidRPr="00735713">
        <w:rPr>
          <w:sz w:val="22"/>
          <w:szCs w:val="22"/>
        </w:rPr>
        <w:t>klinických</w:t>
      </w:r>
      <w:r w:rsidRPr="007937D1">
        <w:rPr>
          <w:sz w:val="22"/>
          <w:szCs w:val="22"/>
        </w:rPr>
        <w:t xml:space="preserve"> štúdiách sa pozorovali iba pri expozíciách dostatočne prevyšujúcich maximálnu expozíciu u</w:t>
      </w:r>
      <w:r w:rsidR="001670CA">
        <w:rPr>
          <w:sz w:val="22"/>
          <w:szCs w:val="22"/>
        </w:rPr>
        <w:t> </w:t>
      </w:r>
      <w:r w:rsidRPr="007937D1">
        <w:rPr>
          <w:sz w:val="22"/>
          <w:szCs w:val="22"/>
        </w:rPr>
        <w:t>ľudí, čo svedčí o</w:t>
      </w:r>
      <w:r w:rsidR="001670CA">
        <w:rPr>
          <w:sz w:val="22"/>
          <w:szCs w:val="22"/>
        </w:rPr>
        <w:t> </w:t>
      </w:r>
      <w:r w:rsidRPr="007937D1">
        <w:rPr>
          <w:sz w:val="22"/>
          <w:szCs w:val="22"/>
        </w:rPr>
        <w:t xml:space="preserve">malom význame pri klinickom použití. </w:t>
      </w:r>
    </w:p>
    <w:p w14:paraId="5EE7CF59" w14:textId="77777777" w:rsidR="0005100D" w:rsidRPr="007937D1" w:rsidRDefault="0005100D" w:rsidP="0041531C">
      <w:pPr>
        <w:rPr>
          <w:b/>
          <w:sz w:val="22"/>
          <w:szCs w:val="22"/>
        </w:rPr>
      </w:pPr>
    </w:p>
    <w:p w14:paraId="7E0A772C" w14:textId="77777777" w:rsidR="00CB1B89" w:rsidRPr="007937D1" w:rsidRDefault="00CB1B89" w:rsidP="0041531C">
      <w:pPr>
        <w:rPr>
          <w:b/>
          <w:sz w:val="22"/>
          <w:szCs w:val="22"/>
        </w:rPr>
      </w:pPr>
    </w:p>
    <w:p w14:paraId="728ADE20" w14:textId="77777777" w:rsidR="0005100D" w:rsidRPr="007937D1" w:rsidRDefault="0005100D" w:rsidP="0041531C">
      <w:pPr>
        <w:rPr>
          <w:b/>
          <w:sz w:val="22"/>
          <w:szCs w:val="22"/>
        </w:rPr>
      </w:pPr>
      <w:r w:rsidRPr="007937D1">
        <w:rPr>
          <w:b/>
          <w:sz w:val="22"/>
          <w:szCs w:val="22"/>
        </w:rPr>
        <w:t>6.</w:t>
      </w:r>
      <w:r w:rsidRPr="007937D1">
        <w:rPr>
          <w:b/>
          <w:sz w:val="22"/>
          <w:szCs w:val="22"/>
        </w:rPr>
        <w:tab/>
        <w:t>FARMACEUTICKÉ INFORMÁCIE</w:t>
      </w:r>
    </w:p>
    <w:p w14:paraId="5478574D" w14:textId="77777777" w:rsidR="0005100D" w:rsidRPr="007937D1" w:rsidRDefault="0005100D" w:rsidP="0041531C">
      <w:pPr>
        <w:rPr>
          <w:b/>
          <w:sz w:val="22"/>
          <w:szCs w:val="22"/>
        </w:rPr>
      </w:pPr>
    </w:p>
    <w:p w14:paraId="27BA118C" w14:textId="77777777" w:rsidR="0005100D" w:rsidRPr="007937D1" w:rsidRDefault="0005100D" w:rsidP="0041531C">
      <w:pPr>
        <w:rPr>
          <w:b/>
          <w:sz w:val="22"/>
          <w:szCs w:val="22"/>
        </w:rPr>
      </w:pPr>
      <w:r w:rsidRPr="007937D1">
        <w:rPr>
          <w:b/>
          <w:sz w:val="22"/>
          <w:szCs w:val="22"/>
        </w:rPr>
        <w:t>6.1</w:t>
      </w:r>
      <w:r w:rsidRPr="007937D1">
        <w:rPr>
          <w:b/>
          <w:sz w:val="22"/>
          <w:szCs w:val="22"/>
        </w:rPr>
        <w:tab/>
        <w:t>Zoznam pomocných látok</w:t>
      </w:r>
    </w:p>
    <w:p w14:paraId="283FE2E8" w14:textId="77777777" w:rsidR="00CB1B89" w:rsidRPr="007937D1" w:rsidRDefault="00CB1B89" w:rsidP="0041531C">
      <w:pPr>
        <w:ind w:left="709"/>
        <w:rPr>
          <w:sz w:val="22"/>
          <w:szCs w:val="22"/>
        </w:rPr>
      </w:pPr>
    </w:p>
    <w:p w14:paraId="0B313050" w14:textId="68FD925D" w:rsidR="00CD30B0" w:rsidRDefault="00CD30B0" w:rsidP="0041531C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="00FB64F5" w:rsidRPr="007937D1">
        <w:rPr>
          <w:sz w:val="22"/>
          <w:szCs w:val="22"/>
        </w:rPr>
        <w:t>odná soľ kroskarmelózy</w:t>
      </w:r>
    </w:p>
    <w:p w14:paraId="4748E8E5" w14:textId="0490D982" w:rsidR="00CD30B0" w:rsidRDefault="007278CF" w:rsidP="0041531C">
      <w:pPr>
        <w:rPr>
          <w:sz w:val="22"/>
          <w:szCs w:val="22"/>
        </w:rPr>
      </w:pPr>
      <w:r w:rsidRPr="007937D1">
        <w:rPr>
          <w:sz w:val="22"/>
          <w:szCs w:val="22"/>
        </w:rPr>
        <w:t xml:space="preserve">bezvodý </w:t>
      </w:r>
      <w:r w:rsidR="00FB64F5" w:rsidRPr="007937D1">
        <w:rPr>
          <w:sz w:val="22"/>
          <w:szCs w:val="22"/>
        </w:rPr>
        <w:t>koloidný oxid kremičitý</w:t>
      </w:r>
    </w:p>
    <w:p w14:paraId="7518AB60" w14:textId="2BE9278D" w:rsidR="00CD30B0" w:rsidRDefault="00FB64F5" w:rsidP="0041531C">
      <w:pPr>
        <w:rPr>
          <w:sz w:val="22"/>
          <w:szCs w:val="22"/>
        </w:rPr>
      </w:pPr>
      <w:r w:rsidRPr="007937D1">
        <w:rPr>
          <w:sz w:val="22"/>
          <w:szCs w:val="22"/>
        </w:rPr>
        <w:t>hydroxypropylmetylcelulóza</w:t>
      </w:r>
    </w:p>
    <w:p w14:paraId="631AA7F8" w14:textId="365327AF" w:rsidR="00CD30B0" w:rsidRDefault="00FB64F5" w:rsidP="0041531C">
      <w:pPr>
        <w:rPr>
          <w:sz w:val="22"/>
          <w:szCs w:val="22"/>
        </w:rPr>
      </w:pPr>
      <w:r w:rsidRPr="007937D1">
        <w:rPr>
          <w:sz w:val="22"/>
          <w:szCs w:val="22"/>
        </w:rPr>
        <w:t>monohydrát laktózy</w:t>
      </w:r>
    </w:p>
    <w:p w14:paraId="6587D1E2" w14:textId="68242677" w:rsidR="00CD30B0" w:rsidRDefault="00FB64F5" w:rsidP="0041531C">
      <w:pPr>
        <w:rPr>
          <w:sz w:val="22"/>
          <w:szCs w:val="22"/>
        </w:rPr>
      </w:pPr>
      <w:r w:rsidRPr="007937D1">
        <w:rPr>
          <w:sz w:val="22"/>
          <w:szCs w:val="22"/>
        </w:rPr>
        <w:t xml:space="preserve">makrogol </w:t>
      </w:r>
      <w:r w:rsidR="00267A05" w:rsidRPr="007937D1">
        <w:rPr>
          <w:sz w:val="22"/>
          <w:szCs w:val="22"/>
        </w:rPr>
        <w:t>1500</w:t>
      </w:r>
    </w:p>
    <w:p w14:paraId="49EEA89A" w14:textId="77777777" w:rsidR="008205CA" w:rsidRDefault="008205CA" w:rsidP="0041531C">
      <w:pPr>
        <w:rPr>
          <w:sz w:val="22"/>
          <w:szCs w:val="22"/>
        </w:rPr>
      </w:pPr>
      <w:r w:rsidRPr="008205CA">
        <w:rPr>
          <w:sz w:val="22"/>
          <w:szCs w:val="22"/>
        </w:rPr>
        <w:t>stearan horečnatý</w:t>
      </w:r>
    </w:p>
    <w:p w14:paraId="4D2125B6" w14:textId="11A3F200" w:rsidR="00CD30B0" w:rsidRDefault="00FB64F5" w:rsidP="0041531C">
      <w:pPr>
        <w:rPr>
          <w:sz w:val="22"/>
          <w:szCs w:val="22"/>
        </w:rPr>
      </w:pPr>
      <w:r w:rsidRPr="007937D1">
        <w:rPr>
          <w:sz w:val="22"/>
          <w:szCs w:val="22"/>
        </w:rPr>
        <w:t>kukuričný škrob</w:t>
      </w:r>
    </w:p>
    <w:p w14:paraId="53BB33AF" w14:textId="4668982F" w:rsidR="00CD30B0" w:rsidRDefault="00FB64F5" w:rsidP="0041531C">
      <w:pPr>
        <w:rPr>
          <w:sz w:val="22"/>
          <w:szCs w:val="22"/>
        </w:rPr>
      </w:pPr>
      <w:r w:rsidRPr="007937D1">
        <w:rPr>
          <w:sz w:val="22"/>
          <w:szCs w:val="22"/>
        </w:rPr>
        <w:t>mikrokryštalická celulóza</w:t>
      </w:r>
    </w:p>
    <w:p w14:paraId="2BEE870F" w14:textId="50145219" w:rsidR="00CD30B0" w:rsidRDefault="00FB64F5" w:rsidP="0041531C">
      <w:pPr>
        <w:rPr>
          <w:sz w:val="22"/>
          <w:szCs w:val="22"/>
        </w:rPr>
      </w:pPr>
      <w:r w:rsidRPr="007937D1">
        <w:rPr>
          <w:sz w:val="22"/>
          <w:szCs w:val="22"/>
        </w:rPr>
        <w:t>dimetik</w:t>
      </w:r>
      <w:r w:rsidR="004040BD" w:rsidRPr="007937D1">
        <w:rPr>
          <w:sz w:val="22"/>
          <w:szCs w:val="22"/>
        </w:rPr>
        <w:t>ó</w:t>
      </w:r>
      <w:r w:rsidRPr="007937D1">
        <w:rPr>
          <w:sz w:val="22"/>
          <w:szCs w:val="22"/>
        </w:rPr>
        <w:t>n</w:t>
      </w:r>
    </w:p>
    <w:p w14:paraId="43A192F4" w14:textId="463AFC49" w:rsidR="00CD30B0" w:rsidRDefault="00302B1E" w:rsidP="0041531C">
      <w:pPr>
        <w:rPr>
          <w:sz w:val="22"/>
          <w:szCs w:val="22"/>
        </w:rPr>
      </w:pPr>
      <w:r w:rsidRPr="007937D1">
        <w:rPr>
          <w:sz w:val="22"/>
          <w:szCs w:val="22"/>
        </w:rPr>
        <w:t>makrogolstearyléter</w:t>
      </w:r>
    </w:p>
    <w:p w14:paraId="5B276BFC" w14:textId="5FED53F6" w:rsidR="00CD30B0" w:rsidRDefault="00FB64F5" w:rsidP="0041531C">
      <w:pPr>
        <w:rPr>
          <w:sz w:val="22"/>
          <w:szCs w:val="22"/>
        </w:rPr>
      </w:pPr>
      <w:r w:rsidRPr="007937D1">
        <w:rPr>
          <w:sz w:val="22"/>
          <w:szCs w:val="22"/>
        </w:rPr>
        <w:t>kyselina sorbová</w:t>
      </w:r>
    </w:p>
    <w:p w14:paraId="34A243C1" w14:textId="51C60A9B" w:rsidR="00CD30B0" w:rsidRDefault="00FB64F5" w:rsidP="0041531C">
      <w:pPr>
        <w:rPr>
          <w:sz w:val="22"/>
          <w:szCs w:val="22"/>
        </w:rPr>
      </w:pPr>
      <w:r w:rsidRPr="007937D1">
        <w:rPr>
          <w:sz w:val="22"/>
          <w:szCs w:val="22"/>
        </w:rPr>
        <w:t>mastenec</w:t>
      </w:r>
    </w:p>
    <w:p w14:paraId="7796C865" w14:textId="343BE800" w:rsidR="00CD30B0" w:rsidRDefault="00FB64F5" w:rsidP="0041531C">
      <w:pPr>
        <w:rPr>
          <w:sz w:val="22"/>
          <w:szCs w:val="22"/>
        </w:rPr>
      </w:pPr>
      <w:r w:rsidRPr="007937D1">
        <w:rPr>
          <w:sz w:val="22"/>
          <w:szCs w:val="22"/>
        </w:rPr>
        <w:t>oxid titaničitý</w:t>
      </w:r>
    </w:p>
    <w:p w14:paraId="35F096DA" w14:textId="7E19097C" w:rsidR="00267A05" w:rsidRPr="007937D1" w:rsidRDefault="00FB64F5" w:rsidP="0041531C">
      <w:pPr>
        <w:rPr>
          <w:sz w:val="22"/>
          <w:szCs w:val="22"/>
        </w:rPr>
      </w:pPr>
      <w:r w:rsidRPr="007937D1">
        <w:rPr>
          <w:sz w:val="22"/>
          <w:szCs w:val="22"/>
        </w:rPr>
        <w:t>červený oxid železitý</w:t>
      </w:r>
      <w:r w:rsidR="00267A05" w:rsidRPr="007937D1">
        <w:rPr>
          <w:sz w:val="22"/>
          <w:szCs w:val="22"/>
        </w:rPr>
        <w:t xml:space="preserve"> </w:t>
      </w:r>
      <w:r w:rsidR="00CD30B0">
        <w:rPr>
          <w:sz w:val="22"/>
          <w:szCs w:val="22"/>
        </w:rPr>
        <w:t>(</w:t>
      </w:r>
      <w:r w:rsidR="00267A05" w:rsidRPr="007937D1">
        <w:rPr>
          <w:sz w:val="22"/>
          <w:szCs w:val="22"/>
        </w:rPr>
        <w:t>E 172</w:t>
      </w:r>
      <w:r w:rsidR="00CD30B0">
        <w:rPr>
          <w:sz w:val="22"/>
          <w:szCs w:val="22"/>
        </w:rPr>
        <w:t>)</w:t>
      </w:r>
    </w:p>
    <w:p w14:paraId="69D8085A" w14:textId="77777777" w:rsidR="0005100D" w:rsidRPr="007937D1" w:rsidRDefault="0005100D" w:rsidP="0041531C">
      <w:pPr>
        <w:rPr>
          <w:b/>
          <w:sz w:val="22"/>
          <w:szCs w:val="22"/>
        </w:rPr>
      </w:pPr>
    </w:p>
    <w:p w14:paraId="1FC558C3" w14:textId="77777777" w:rsidR="0005100D" w:rsidRPr="007937D1" w:rsidRDefault="0005100D" w:rsidP="0041531C">
      <w:pPr>
        <w:rPr>
          <w:b/>
          <w:sz w:val="22"/>
          <w:szCs w:val="22"/>
        </w:rPr>
      </w:pPr>
      <w:r w:rsidRPr="007937D1">
        <w:rPr>
          <w:b/>
          <w:sz w:val="22"/>
          <w:szCs w:val="22"/>
        </w:rPr>
        <w:t>6.2</w:t>
      </w:r>
      <w:r w:rsidRPr="007937D1">
        <w:rPr>
          <w:b/>
          <w:sz w:val="22"/>
          <w:szCs w:val="22"/>
        </w:rPr>
        <w:tab/>
        <w:t>Inkompatibility</w:t>
      </w:r>
    </w:p>
    <w:p w14:paraId="70EAF22D" w14:textId="77777777" w:rsidR="00CB1B89" w:rsidRPr="007937D1" w:rsidRDefault="0005100D" w:rsidP="0041531C">
      <w:pPr>
        <w:rPr>
          <w:sz w:val="22"/>
          <w:szCs w:val="22"/>
        </w:rPr>
      </w:pPr>
      <w:r w:rsidRPr="007937D1">
        <w:rPr>
          <w:sz w:val="22"/>
          <w:szCs w:val="22"/>
        </w:rPr>
        <w:tab/>
      </w:r>
    </w:p>
    <w:p w14:paraId="0059912D" w14:textId="77777777" w:rsidR="0005100D" w:rsidRPr="007937D1" w:rsidRDefault="0019583C" w:rsidP="0041531C">
      <w:pPr>
        <w:rPr>
          <w:b/>
          <w:sz w:val="22"/>
          <w:szCs w:val="22"/>
        </w:rPr>
      </w:pPr>
      <w:r w:rsidRPr="007937D1">
        <w:rPr>
          <w:sz w:val="22"/>
          <w:szCs w:val="22"/>
        </w:rPr>
        <w:t>Neaplikovateľné.</w:t>
      </w:r>
    </w:p>
    <w:p w14:paraId="07232353" w14:textId="77777777" w:rsidR="0005100D" w:rsidRPr="007937D1" w:rsidRDefault="0005100D" w:rsidP="0041531C">
      <w:pPr>
        <w:rPr>
          <w:b/>
          <w:sz w:val="22"/>
          <w:szCs w:val="22"/>
        </w:rPr>
      </w:pPr>
    </w:p>
    <w:p w14:paraId="6A0ECE90" w14:textId="77777777" w:rsidR="0005100D" w:rsidRPr="007937D1" w:rsidRDefault="0005100D" w:rsidP="0041531C">
      <w:pPr>
        <w:rPr>
          <w:b/>
          <w:sz w:val="22"/>
          <w:szCs w:val="22"/>
        </w:rPr>
      </w:pPr>
      <w:r w:rsidRPr="007937D1">
        <w:rPr>
          <w:b/>
          <w:sz w:val="22"/>
          <w:szCs w:val="22"/>
        </w:rPr>
        <w:t>6.3</w:t>
      </w:r>
      <w:r w:rsidRPr="007937D1">
        <w:rPr>
          <w:b/>
          <w:sz w:val="22"/>
          <w:szCs w:val="22"/>
        </w:rPr>
        <w:tab/>
        <w:t>Čas použiteľnosti</w:t>
      </w:r>
    </w:p>
    <w:p w14:paraId="5517675C" w14:textId="77777777" w:rsidR="00CB1B89" w:rsidRPr="007937D1" w:rsidRDefault="0005100D" w:rsidP="0041531C">
      <w:pPr>
        <w:rPr>
          <w:sz w:val="22"/>
          <w:szCs w:val="22"/>
        </w:rPr>
      </w:pPr>
      <w:r w:rsidRPr="007937D1">
        <w:rPr>
          <w:sz w:val="22"/>
          <w:szCs w:val="22"/>
        </w:rPr>
        <w:tab/>
      </w:r>
    </w:p>
    <w:p w14:paraId="7DE5050B" w14:textId="218DDAA0" w:rsidR="0005100D" w:rsidRPr="007937D1" w:rsidRDefault="0019583C" w:rsidP="0041531C">
      <w:pPr>
        <w:rPr>
          <w:b/>
          <w:sz w:val="22"/>
          <w:szCs w:val="22"/>
        </w:rPr>
      </w:pPr>
      <w:r w:rsidRPr="007937D1">
        <w:rPr>
          <w:sz w:val="22"/>
          <w:szCs w:val="22"/>
        </w:rPr>
        <w:t>5 rokov</w:t>
      </w:r>
    </w:p>
    <w:p w14:paraId="55FF61EB" w14:textId="77777777" w:rsidR="00CB1B89" w:rsidRPr="007937D1" w:rsidRDefault="00CB1B89" w:rsidP="0041531C">
      <w:pPr>
        <w:rPr>
          <w:b/>
          <w:sz w:val="22"/>
          <w:szCs w:val="22"/>
        </w:rPr>
      </w:pPr>
    </w:p>
    <w:p w14:paraId="415C5601" w14:textId="77777777" w:rsidR="0005100D" w:rsidRPr="007937D1" w:rsidRDefault="0005100D" w:rsidP="0041531C">
      <w:pPr>
        <w:rPr>
          <w:b/>
          <w:sz w:val="22"/>
          <w:szCs w:val="22"/>
        </w:rPr>
      </w:pPr>
      <w:r w:rsidRPr="007937D1">
        <w:rPr>
          <w:b/>
          <w:sz w:val="22"/>
          <w:szCs w:val="22"/>
        </w:rPr>
        <w:lastRenderedPageBreak/>
        <w:t>6.4</w:t>
      </w:r>
      <w:r w:rsidRPr="007937D1">
        <w:rPr>
          <w:b/>
          <w:sz w:val="22"/>
          <w:szCs w:val="22"/>
        </w:rPr>
        <w:tab/>
      </w:r>
      <w:r w:rsidR="002C27B9" w:rsidRPr="007937D1">
        <w:rPr>
          <w:b/>
          <w:sz w:val="22"/>
          <w:szCs w:val="22"/>
        </w:rPr>
        <w:t>Špeciálne upozornenia na uchovávanie</w:t>
      </w:r>
    </w:p>
    <w:p w14:paraId="0E5C31D8" w14:textId="77777777" w:rsidR="00CB1B89" w:rsidRPr="007937D1" w:rsidRDefault="00CB1B89" w:rsidP="0041531C">
      <w:pPr>
        <w:ind w:left="709"/>
        <w:rPr>
          <w:sz w:val="22"/>
          <w:szCs w:val="22"/>
        </w:rPr>
      </w:pPr>
    </w:p>
    <w:p w14:paraId="01F0D7E8" w14:textId="77777777" w:rsidR="0005100D" w:rsidRPr="007937D1" w:rsidRDefault="00267A05" w:rsidP="0041531C">
      <w:pPr>
        <w:rPr>
          <w:sz w:val="22"/>
          <w:szCs w:val="22"/>
        </w:rPr>
      </w:pPr>
      <w:r w:rsidRPr="007937D1">
        <w:rPr>
          <w:sz w:val="22"/>
          <w:szCs w:val="22"/>
        </w:rPr>
        <w:t xml:space="preserve">Tento liek nevyžaduje </w:t>
      </w:r>
      <w:r w:rsidR="00E23991" w:rsidRPr="007937D1">
        <w:rPr>
          <w:sz w:val="22"/>
          <w:szCs w:val="22"/>
        </w:rPr>
        <w:t xml:space="preserve">žiadne zvláštne </w:t>
      </w:r>
      <w:r w:rsidRPr="007937D1">
        <w:rPr>
          <w:sz w:val="22"/>
          <w:szCs w:val="22"/>
        </w:rPr>
        <w:t xml:space="preserve">podmienky </w:t>
      </w:r>
      <w:r w:rsidR="00E23991" w:rsidRPr="007937D1">
        <w:rPr>
          <w:sz w:val="22"/>
          <w:szCs w:val="22"/>
        </w:rPr>
        <w:t>na uchovávanie</w:t>
      </w:r>
      <w:r w:rsidRPr="007937D1">
        <w:rPr>
          <w:sz w:val="22"/>
          <w:szCs w:val="22"/>
        </w:rPr>
        <w:t>.</w:t>
      </w:r>
    </w:p>
    <w:p w14:paraId="0F9787BF" w14:textId="77777777" w:rsidR="00CB1B89" w:rsidRPr="007937D1" w:rsidRDefault="00CB1B89" w:rsidP="0041531C">
      <w:pPr>
        <w:rPr>
          <w:b/>
          <w:sz w:val="22"/>
          <w:szCs w:val="22"/>
          <w:highlight w:val="yellow"/>
        </w:rPr>
      </w:pPr>
    </w:p>
    <w:p w14:paraId="433F6129" w14:textId="5A08FA46" w:rsidR="0005100D" w:rsidRPr="007937D1" w:rsidRDefault="0005100D" w:rsidP="0041531C">
      <w:pPr>
        <w:rPr>
          <w:b/>
          <w:sz w:val="22"/>
          <w:szCs w:val="22"/>
        </w:rPr>
      </w:pPr>
      <w:r w:rsidRPr="007937D1">
        <w:rPr>
          <w:b/>
          <w:sz w:val="22"/>
          <w:szCs w:val="22"/>
        </w:rPr>
        <w:t>6.5</w:t>
      </w:r>
      <w:r w:rsidRPr="007937D1">
        <w:rPr>
          <w:b/>
          <w:sz w:val="22"/>
          <w:szCs w:val="22"/>
        </w:rPr>
        <w:tab/>
      </w:r>
      <w:r w:rsidR="002C27B9" w:rsidRPr="007937D1">
        <w:rPr>
          <w:b/>
          <w:sz w:val="22"/>
          <w:szCs w:val="22"/>
        </w:rPr>
        <w:t>Druh obalu a</w:t>
      </w:r>
      <w:r w:rsidR="001670CA">
        <w:rPr>
          <w:b/>
          <w:sz w:val="22"/>
          <w:szCs w:val="22"/>
        </w:rPr>
        <w:t> </w:t>
      </w:r>
      <w:r w:rsidR="002C27B9" w:rsidRPr="007937D1">
        <w:rPr>
          <w:b/>
          <w:sz w:val="22"/>
          <w:szCs w:val="22"/>
        </w:rPr>
        <w:t>obsah balenia</w:t>
      </w:r>
    </w:p>
    <w:p w14:paraId="717F4A44" w14:textId="77777777" w:rsidR="00CB1B89" w:rsidRPr="007937D1" w:rsidRDefault="00CB1B89" w:rsidP="0041531C">
      <w:pPr>
        <w:ind w:left="709"/>
        <w:rPr>
          <w:sz w:val="22"/>
          <w:szCs w:val="22"/>
        </w:rPr>
      </w:pPr>
    </w:p>
    <w:p w14:paraId="2B08C01E" w14:textId="1B7550CA" w:rsidR="00D32353" w:rsidRDefault="00267A05" w:rsidP="0041531C">
      <w:pPr>
        <w:rPr>
          <w:sz w:val="22"/>
          <w:szCs w:val="22"/>
        </w:rPr>
      </w:pPr>
      <w:r w:rsidRPr="007937D1">
        <w:rPr>
          <w:sz w:val="22"/>
          <w:szCs w:val="22"/>
        </w:rPr>
        <w:t>Filmom obalené tablety sú uzatvorené v</w:t>
      </w:r>
      <w:r w:rsidR="001670CA">
        <w:rPr>
          <w:sz w:val="22"/>
          <w:szCs w:val="22"/>
        </w:rPr>
        <w:t> </w:t>
      </w:r>
      <w:r w:rsidRPr="007937D1">
        <w:rPr>
          <w:sz w:val="22"/>
          <w:szCs w:val="22"/>
        </w:rPr>
        <w:t>blistri</w:t>
      </w:r>
      <w:r w:rsidR="00FD188E" w:rsidRPr="007937D1">
        <w:rPr>
          <w:sz w:val="22"/>
          <w:szCs w:val="22"/>
        </w:rPr>
        <w:t xml:space="preserve"> PVC/PVDC/</w:t>
      </w:r>
      <w:r w:rsidR="004040BD" w:rsidRPr="007937D1">
        <w:rPr>
          <w:sz w:val="22"/>
          <w:szCs w:val="22"/>
        </w:rPr>
        <w:t>ALU</w:t>
      </w:r>
      <w:r w:rsidR="00FD188E" w:rsidRPr="007937D1">
        <w:rPr>
          <w:sz w:val="22"/>
          <w:szCs w:val="22"/>
        </w:rPr>
        <w:t xml:space="preserve"> a</w:t>
      </w:r>
      <w:r w:rsidR="001670CA">
        <w:rPr>
          <w:sz w:val="22"/>
          <w:szCs w:val="22"/>
        </w:rPr>
        <w:t> </w:t>
      </w:r>
      <w:r w:rsidR="005521F2" w:rsidRPr="007937D1">
        <w:rPr>
          <w:sz w:val="22"/>
          <w:szCs w:val="22"/>
        </w:rPr>
        <w:t>papierovej škatul</w:t>
      </w:r>
      <w:r w:rsidR="003B4E24" w:rsidRPr="007937D1">
        <w:rPr>
          <w:sz w:val="22"/>
          <w:szCs w:val="22"/>
        </w:rPr>
        <w:t>i</w:t>
      </w:r>
      <w:r w:rsidR="00FD188E" w:rsidRPr="007937D1">
        <w:rPr>
          <w:sz w:val="22"/>
          <w:szCs w:val="22"/>
        </w:rPr>
        <w:t xml:space="preserve"> s</w:t>
      </w:r>
      <w:r w:rsidR="001670CA">
        <w:rPr>
          <w:sz w:val="22"/>
          <w:szCs w:val="22"/>
        </w:rPr>
        <w:t> </w:t>
      </w:r>
      <w:r w:rsidR="00FD188E" w:rsidRPr="007937D1">
        <w:rPr>
          <w:sz w:val="22"/>
          <w:szCs w:val="22"/>
        </w:rPr>
        <w:t>písomnou informáciou pre používateľ</w:t>
      </w:r>
      <w:r w:rsidR="004040BD" w:rsidRPr="007937D1">
        <w:rPr>
          <w:sz w:val="22"/>
          <w:szCs w:val="22"/>
        </w:rPr>
        <w:t>a</w:t>
      </w:r>
      <w:r w:rsidRPr="007937D1">
        <w:rPr>
          <w:sz w:val="22"/>
          <w:szCs w:val="22"/>
        </w:rPr>
        <w:t>.</w:t>
      </w:r>
    </w:p>
    <w:p w14:paraId="054B075B" w14:textId="7EA91944" w:rsidR="00D32353" w:rsidRDefault="00D32353" w:rsidP="0041531C">
      <w:pPr>
        <w:rPr>
          <w:sz w:val="22"/>
          <w:szCs w:val="22"/>
        </w:rPr>
      </w:pPr>
    </w:p>
    <w:p w14:paraId="68533CD0" w14:textId="527783BD" w:rsidR="00D32353" w:rsidRDefault="00D32353" w:rsidP="0041531C">
      <w:pPr>
        <w:rPr>
          <w:sz w:val="22"/>
          <w:szCs w:val="22"/>
        </w:rPr>
      </w:pPr>
      <w:r w:rsidRPr="00DD4E25">
        <w:rPr>
          <w:sz w:val="22"/>
          <w:szCs w:val="22"/>
        </w:rPr>
        <w:t xml:space="preserve">Veľkosť balenia: </w:t>
      </w:r>
      <w:r w:rsidR="00267A05" w:rsidRPr="007937D1">
        <w:rPr>
          <w:sz w:val="22"/>
          <w:szCs w:val="22"/>
        </w:rPr>
        <w:t>20, 30, 50, 60, 90, 100, 120 a</w:t>
      </w:r>
      <w:r w:rsidR="001670CA">
        <w:rPr>
          <w:sz w:val="22"/>
          <w:szCs w:val="22"/>
        </w:rPr>
        <w:t> </w:t>
      </w:r>
      <w:r w:rsidR="00267A05" w:rsidRPr="007937D1">
        <w:rPr>
          <w:sz w:val="22"/>
          <w:szCs w:val="22"/>
        </w:rPr>
        <w:t xml:space="preserve">150 </w:t>
      </w:r>
      <w:r>
        <w:rPr>
          <w:sz w:val="22"/>
          <w:szCs w:val="22"/>
        </w:rPr>
        <w:t xml:space="preserve">filmom obalených </w:t>
      </w:r>
      <w:r w:rsidR="00267A05" w:rsidRPr="007937D1">
        <w:rPr>
          <w:sz w:val="22"/>
          <w:szCs w:val="22"/>
        </w:rPr>
        <w:t xml:space="preserve">tabliet. </w:t>
      </w:r>
    </w:p>
    <w:p w14:paraId="3B5113E1" w14:textId="16AA4565" w:rsidR="00267A05" w:rsidRPr="007937D1" w:rsidRDefault="003B4E24" w:rsidP="0041531C">
      <w:pPr>
        <w:rPr>
          <w:sz w:val="22"/>
          <w:szCs w:val="22"/>
        </w:rPr>
      </w:pPr>
      <w:r w:rsidRPr="007937D1">
        <w:rPr>
          <w:sz w:val="22"/>
          <w:szCs w:val="22"/>
        </w:rPr>
        <w:t xml:space="preserve">Na trh nemusia byť uvedené </w:t>
      </w:r>
      <w:r w:rsidR="00267A05" w:rsidRPr="007937D1">
        <w:rPr>
          <w:sz w:val="22"/>
          <w:szCs w:val="22"/>
        </w:rPr>
        <w:t>všetky veľkosti balenia.</w:t>
      </w:r>
    </w:p>
    <w:p w14:paraId="30747E46" w14:textId="77777777" w:rsidR="00CB1B89" w:rsidRPr="007937D1" w:rsidRDefault="00CB1B89" w:rsidP="0041531C">
      <w:pPr>
        <w:rPr>
          <w:sz w:val="22"/>
          <w:szCs w:val="22"/>
          <w:highlight w:val="yellow"/>
        </w:rPr>
      </w:pPr>
    </w:p>
    <w:p w14:paraId="001D0D9D" w14:textId="1058FC86" w:rsidR="0005100D" w:rsidRPr="007937D1" w:rsidRDefault="0005100D" w:rsidP="0041531C">
      <w:pPr>
        <w:rPr>
          <w:b/>
          <w:sz w:val="22"/>
          <w:szCs w:val="22"/>
        </w:rPr>
      </w:pPr>
      <w:r w:rsidRPr="007937D1">
        <w:rPr>
          <w:b/>
          <w:sz w:val="22"/>
          <w:szCs w:val="22"/>
        </w:rPr>
        <w:t>6.6</w:t>
      </w:r>
      <w:r w:rsidRPr="007937D1">
        <w:rPr>
          <w:b/>
          <w:sz w:val="22"/>
          <w:szCs w:val="22"/>
        </w:rPr>
        <w:tab/>
      </w:r>
      <w:r w:rsidR="00345884" w:rsidRPr="007937D1">
        <w:rPr>
          <w:b/>
          <w:sz w:val="22"/>
          <w:szCs w:val="22"/>
        </w:rPr>
        <w:t>Špeciálne opatrenia na likvidáciu a</w:t>
      </w:r>
      <w:r w:rsidR="001670CA">
        <w:rPr>
          <w:b/>
          <w:sz w:val="22"/>
          <w:szCs w:val="22"/>
        </w:rPr>
        <w:t> </w:t>
      </w:r>
      <w:r w:rsidR="00345884" w:rsidRPr="007937D1">
        <w:rPr>
          <w:b/>
          <w:sz w:val="22"/>
          <w:szCs w:val="22"/>
        </w:rPr>
        <w:t>iné zaobchádzanie s</w:t>
      </w:r>
      <w:r w:rsidR="001670CA">
        <w:rPr>
          <w:b/>
          <w:sz w:val="22"/>
          <w:szCs w:val="22"/>
        </w:rPr>
        <w:t> </w:t>
      </w:r>
      <w:r w:rsidR="00345884" w:rsidRPr="007937D1">
        <w:rPr>
          <w:b/>
          <w:sz w:val="22"/>
          <w:szCs w:val="22"/>
        </w:rPr>
        <w:t>liekom</w:t>
      </w:r>
    </w:p>
    <w:p w14:paraId="759FECC4" w14:textId="77777777" w:rsidR="00CB1B89" w:rsidRPr="007937D1" w:rsidRDefault="00CB1B89" w:rsidP="0041531C">
      <w:pPr>
        <w:ind w:firstLine="709"/>
        <w:rPr>
          <w:sz w:val="22"/>
          <w:szCs w:val="22"/>
        </w:rPr>
      </w:pPr>
    </w:p>
    <w:p w14:paraId="134B05E8" w14:textId="77777777" w:rsidR="0005100D" w:rsidRPr="007937D1" w:rsidRDefault="007010D1" w:rsidP="0041531C">
      <w:pPr>
        <w:rPr>
          <w:sz w:val="22"/>
          <w:szCs w:val="22"/>
        </w:rPr>
      </w:pPr>
      <w:r w:rsidRPr="007937D1">
        <w:rPr>
          <w:sz w:val="22"/>
          <w:szCs w:val="22"/>
        </w:rPr>
        <w:t>Žiadne zvláštne požiadavky.</w:t>
      </w:r>
    </w:p>
    <w:p w14:paraId="402E49F5" w14:textId="6B4ACB36" w:rsidR="007010D1" w:rsidRPr="007937D1" w:rsidRDefault="00E40844" w:rsidP="0041531C">
      <w:pPr>
        <w:rPr>
          <w:b/>
          <w:sz w:val="22"/>
          <w:szCs w:val="22"/>
        </w:rPr>
      </w:pPr>
      <w:r w:rsidRPr="007937D1">
        <w:rPr>
          <w:sz w:val="22"/>
          <w:szCs w:val="22"/>
        </w:rPr>
        <w:t>Všetok n</w:t>
      </w:r>
      <w:r w:rsidR="007010D1" w:rsidRPr="007937D1">
        <w:rPr>
          <w:sz w:val="22"/>
          <w:szCs w:val="22"/>
        </w:rPr>
        <w:t>epoužitý liek alebo odpad vzniknutý z</w:t>
      </w:r>
      <w:r w:rsidR="001670CA">
        <w:rPr>
          <w:sz w:val="22"/>
          <w:szCs w:val="22"/>
        </w:rPr>
        <w:t> </w:t>
      </w:r>
      <w:r w:rsidR="007010D1" w:rsidRPr="007937D1">
        <w:rPr>
          <w:sz w:val="22"/>
          <w:szCs w:val="22"/>
        </w:rPr>
        <w:t xml:space="preserve">lieku </w:t>
      </w:r>
      <w:r w:rsidR="001670CA">
        <w:rPr>
          <w:sz w:val="22"/>
          <w:szCs w:val="22"/>
        </w:rPr>
        <w:t>sa má zlikvidovať v súlade s národnými požiadavkami</w:t>
      </w:r>
      <w:r w:rsidR="007010D1" w:rsidRPr="007937D1">
        <w:rPr>
          <w:sz w:val="22"/>
          <w:szCs w:val="22"/>
        </w:rPr>
        <w:t>.</w:t>
      </w:r>
    </w:p>
    <w:p w14:paraId="4AD80A14" w14:textId="77777777" w:rsidR="0005100D" w:rsidRPr="007937D1" w:rsidRDefault="0005100D" w:rsidP="0041531C">
      <w:pPr>
        <w:rPr>
          <w:b/>
          <w:sz w:val="22"/>
          <w:szCs w:val="22"/>
        </w:rPr>
      </w:pPr>
    </w:p>
    <w:p w14:paraId="5D078571" w14:textId="77777777" w:rsidR="00CB1B89" w:rsidRPr="007937D1" w:rsidRDefault="00CB1B89" w:rsidP="0041531C">
      <w:pPr>
        <w:rPr>
          <w:b/>
          <w:sz w:val="22"/>
          <w:szCs w:val="22"/>
        </w:rPr>
      </w:pPr>
    </w:p>
    <w:p w14:paraId="04973AA3" w14:textId="77777777" w:rsidR="0005100D" w:rsidRPr="007937D1" w:rsidRDefault="0005100D" w:rsidP="0041531C">
      <w:pPr>
        <w:rPr>
          <w:b/>
          <w:sz w:val="22"/>
          <w:szCs w:val="22"/>
        </w:rPr>
      </w:pPr>
      <w:r w:rsidRPr="007937D1">
        <w:rPr>
          <w:b/>
          <w:sz w:val="22"/>
          <w:szCs w:val="22"/>
        </w:rPr>
        <w:t>7.</w:t>
      </w:r>
      <w:r w:rsidRPr="007937D1">
        <w:rPr>
          <w:b/>
          <w:sz w:val="22"/>
          <w:szCs w:val="22"/>
        </w:rPr>
        <w:tab/>
        <w:t>DRŽITEĽ ROZHODNUTIA O REGISTRÁCII</w:t>
      </w:r>
    </w:p>
    <w:p w14:paraId="38B138FC" w14:textId="77777777" w:rsidR="00CB1B89" w:rsidRPr="007937D1" w:rsidRDefault="00CB1B89" w:rsidP="0041531C">
      <w:pPr>
        <w:pStyle w:val="Zkladntext"/>
        <w:spacing w:after="0"/>
        <w:ind w:left="360" w:firstLine="349"/>
        <w:rPr>
          <w:rFonts w:ascii="Times New Roman" w:hAnsi="Times New Roman"/>
          <w:sz w:val="22"/>
          <w:szCs w:val="22"/>
          <w:lang w:val="sk-SK"/>
        </w:rPr>
      </w:pPr>
    </w:p>
    <w:p w14:paraId="01E3F71D" w14:textId="6C802F57" w:rsidR="0005100D" w:rsidRPr="007937D1" w:rsidRDefault="0005100D" w:rsidP="0041531C">
      <w:pPr>
        <w:pStyle w:val="Zkladntext"/>
        <w:spacing w:after="0"/>
        <w:rPr>
          <w:rFonts w:ascii="Times New Roman" w:hAnsi="Times New Roman"/>
          <w:sz w:val="22"/>
          <w:szCs w:val="22"/>
          <w:lang w:val="sk-SK"/>
        </w:rPr>
      </w:pPr>
      <w:r w:rsidRPr="007937D1">
        <w:rPr>
          <w:rFonts w:ascii="Times New Roman" w:hAnsi="Times New Roman"/>
          <w:sz w:val="22"/>
          <w:szCs w:val="22"/>
          <w:lang w:val="sk-SK"/>
        </w:rPr>
        <w:t>Dr. Willmar Schwabe</w:t>
      </w:r>
      <w:r w:rsidR="00345884" w:rsidRPr="007937D1">
        <w:rPr>
          <w:rFonts w:ascii="Times New Roman" w:hAnsi="Times New Roman"/>
          <w:sz w:val="22"/>
          <w:szCs w:val="22"/>
          <w:lang w:val="sk-SK"/>
        </w:rPr>
        <w:t xml:space="preserve"> GmbH &amp; Co.</w:t>
      </w:r>
      <w:r w:rsidR="001670CA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345884" w:rsidRPr="007937D1">
        <w:rPr>
          <w:rFonts w:ascii="Times New Roman" w:hAnsi="Times New Roman"/>
          <w:sz w:val="22"/>
          <w:szCs w:val="22"/>
          <w:lang w:val="sk-SK"/>
        </w:rPr>
        <w:t>KG</w:t>
      </w:r>
    </w:p>
    <w:p w14:paraId="218BC5AA" w14:textId="77777777" w:rsidR="0005100D" w:rsidRPr="007937D1" w:rsidRDefault="0005100D" w:rsidP="0041531C">
      <w:pPr>
        <w:pStyle w:val="Zkladntext"/>
        <w:spacing w:after="0"/>
        <w:rPr>
          <w:rFonts w:ascii="Times New Roman" w:hAnsi="Times New Roman"/>
          <w:sz w:val="22"/>
          <w:szCs w:val="22"/>
          <w:lang w:val="sk-SK"/>
        </w:rPr>
      </w:pPr>
      <w:r w:rsidRPr="007937D1">
        <w:rPr>
          <w:rFonts w:ascii="Times New Roman" w:hAnsi="Times New Roman"/>
          <w:sz w:val="22"/>
          <w:szCs w:val="22"/>
          <w:lang w:val="sk-SK"/>
        </w:rPr>
        <w:t>Willmar-Schwabe-Str. 4</w:t>
      </w:r>
    </w:p>
    <w:p w14:paraId="0A2AD218" w14:textId="2F62CC1B" w:rsidR="0005100D" w:rsidRPr="007937D1" w:rsidRDefault="0005100D" w:rsidP="0041531C">
      <w:pPr>
        <w:pStyle w:val="Zkladntext"/>
        <w:spacing w:after="0"/>
        <w:rPr>
          <w:rFonts w:ascii="Times New Roman" w:hAnsi="Times New Roman"/>
          <w:sz w:val="22"/>
          <w:szCs w:val="22"/>
          <w:lang w:val="sk-SK"/>
        </w:rPr>
      </w:pPr>
      <w:r w:rsidRPr="007937D1">
        <w:rPr>
          <w:rFonts w:ascii="Times New Roman" w:hAnsi="Times New Roman"/>
          <w:sz w:val="22"/>
          <w:szCs w:val="22"/>
          <w:lang w:val="sk-SK"/>
        </w:rPr>
        <w:t>76227 Karlsruhe</w:t>
      </w:r>
    </w:p>
    <w:p w14:paraId="27CAAA34" w14:textId="77777777" w:rsidR="0005100D" w:rsidRDefault="0005100D" w:rsidP="0041531C">
      <w:pPr>
        <w:rPr>
          <w:sz w:val="22"/>
          <w:szCs w:val="22"/>
        </w:rPr>
      </w:pPr>
      <w:r w:rsidRPr="007937D1">
        <w:rPr>
          <w:sz w:val="22"/>
          <w:szCs w:val="22"/>
        </w:rPr>
        <w:t>Nemecko</w:t>
      </w:r>
    </w:p>
    <w:p w14:paraId="4E44D8F9" w14:textId="77777777" w:rsidR="00B94C9B" w:rsidRPr="007937D1" w:rsidRDefault="00B94C9B" w:rsidP="0041531C">
      <w:pPr>
        <w:rPr>
          <w:b/>
          <w:sz w:val="22"/>
          <w:szCs w:val="22"/>
        </w:rPr>
      </w:pPr>
    </w:p>
    <w:p w14:paraId="24F04B4F" w14:textId="4A611B64" w:rsidR="0005100D" w:rsidRPr="007937D1" w:rsidRDefault="00E40844" w:rsidP="0041531C">
      <w:pPr>
        <w:rPr>
          <w:sz w:val="22"/>
          <w:szCs w:val="22"/>
        </w:rPr>
      </w:pPr>
      <w:r w:rsidRPr="007937D1">
        <w:rPr>
          <w:sz w:val="22"/>
          <w:szCs w:val="22"/>
        </w:rPr>
        <w:t>t</w:t>
      </w:r>
      <w:r w:rsidR="00E854C2" w:rsidRPr="007937D1">
        <w:rPr>
          <w:sz w:val="22"/>
          <w:szCs w:val="22"/>
        </w:rPr>
        <w:t>el.: +49-721/40 05-0</w:t>
      </w:r>
    </w:p>
    <w:p w14:paraId="3185D4F1" w14:textId="53E1A01E" w:rsidR="00E854C2" w:rsidRPr="007937D1" w:rsidRDefault="00E40844" w:rsidP="0041531C">
      <w:pPr>
        <w:rPr>
          <w:sz w:val="22"/>
          <w:szCs w:val="22"/>
        </w:rPr>
      </w:pPr>
      <w:r w:rsidRPr="007937D1">
        <w:rPr>
          <w:sz w:val="22"/>
          <w:szCs w:val="22"/>
        </w:rPr>
        <w:t>f</w:t>
      </w:r>
      <w:r w:rsidR="00E854C2" w:rsidRPr="007937D1">
        <w:rPr>
          <w:sz w:val="22"/>
          <w:szCs w:val="22"/>
        </w:rPr>
        <w:t>ax: +49-721/40 05-630</w:t>
      </w:r>
    </w:p>
    <w:p w14:paraId="1827AB0B" w14:textId="77777777" w:rsidR="00E854C2" w:rsidRPr="007937D1" w:rsidRDefault="00E854C2" w:rsidP="0041531C">
      <w:pPr>
        <w:rPr>
          <w:b/>
          <w:sz w:val="22"/>
          <w:szCs w:val="22"/>
        </w:rPr>
      </w:pPr>
    </w:p>
    <w:p w14:paraId="44D98177" w14:textId="77777777" w:rsidR="00CB1B89" w:rsidRPr="007937D1" w:rsidRDefault="00CB1B89" w:rsidP="0041531C">
      <w:pPr>
        <w:rPr>
          <w:b/>
          <w:sz w:val="22"/>
          <w:szCs w:val="22"/>
        </w:rPr>
      </w:pPr>
    </w:p>
    <w:p w14:paraId="67487C1C" w14:textId="77777777" w:rsidR="0005100D" w:rsidRPr="007937D1" w:rsidRDefault="0005100D" w:rsidP="0041531C">
      <w:pPr>
        <w:rPr>
          <w:b/>
          <w:sz w:val="22"/>
          <w:szCs w:val="22"/>
        </w:rPr>
      </w:pPr>
      <w:r w:rsidRPr="007937D1">
        <w:rPr>
          <w:b/>
          <w:sz w:val="22"/>
          <w:szCs w:val="22"/>
        </w:rPr>
        <w:t xml:space="preserve">8. </w:t>
      </w:r>
      <w:r w:rsidRPr="007937D1">
        <w:rPr>
          <w:b/>
          <w:sz w:val="22"/>
          <w:szCs w:val="22"/>
        </w:rPr>
        <w:tab/>
        <w:t>REGISTRAČNÉ ČÍSLO</w:t>
      </w:r>
    </w:p>
    <w:p w14:paraId="62CE1BC1" w14:textId="77777777" w:rsidR="00CB1B89" w:rsidRPr="007937D1" w:rsidRDefault="00CB1B89" w:rsidP="0041531C">
      <w:pPr>
        <w:rPr>
          <w:sz w:val="22"/>
          <w:szCs w:val="22"/>
        </w:rPr>
      </w:pPr>
    </w:p>
    <w:p w14:paraId="180BB64C" w14:textId="09D6318B" w:rsidR="0005100D" w:rsidRPr="007937D1" w:rsidRDefault="00F528E7" w:rsidP="0041531C">
      <w:pPr>
        <w:rPr>
          <w:sz w:val="22"/>
          <w:szCs w:val="22"/>
        </w:rPr>
      </w:pPr>
      <w:r w:rsidRPr="007937D1">
        <w:rPr>
          <w:sz w:val="22"/>
          <w:szCs w:val="22"/>
        </w:rPr>
        <w:t>06/</w:t>
      </w:r>
      <w:r w:rsidR="00632E94" w:rsidRPr="007937D1">
        <w:rPr>
          <w:sz w:val="22"/>
          <w:szCs w:val="22"/>
        </w:rPr>
        <w:t>0961</w:t>
      </w:r>
      <w:r w:rsidRPr="007937D1">
        <w:rPr>
          <w:sz w:val="22"/>
          <w:szCs w:val="22"/>
        </w:rPr>
        <w:t>/10-S</w:t>
      </w:r>
    </w:p>
    <w:p w14:paraId="145D4CC4" w14:textId="77777777" w:rsidR="0005100D" w:rsidRPr="007937D1" w:rsidRDefault="0005100D" w:rsidP="0041531C">
      <w:pPr>
        <w:rPr>
          <w:b/>
          <w:sz w:val="22"/>
          <w:szCs w:val="22"/>
        </w:rPr>
      </w:pPr>
    </w:p>
    <w:p w14:paraId="5A56B5CC" w14:textId="77777777" w:rsidR="00CB1B89" w:rsidRPr="007937D1" w:rsidRDefault="00CB1B89" w:rsidP="0041531C">
      <w:pPr>
        <w:rPr>
          <w:b/>
          <w:sz w:val="22"/>
          <w:szCs w:val="22"/>
        </w:rPr>
      </w:pPr>
    </w:p>
    <w:p w14:paraId="4B892E99" w14:textId="77777777" w:rsidR="0005100D" w:rsidRPr="007937D1" w:rsidRDefault="0005100D" w:rsidP="0041531C">
      <w:pPr>
        <w:rPr>
          <w:b/>
          <w:sz w:val="22"/>
          <w:szCs w:val="22"/>
        </w:rPr>
      </w:pPr>
      <w:r w:rsidRPr="007937D1">
        <w:rPr>
          <w:b/>
          <w:sz w:val="22"/>
          <w:szCs w:val="22"/>
        </w:rPr>
        <w:t xml:space="preserve">9. </w:t>
      </w:r>
      <w:r w:rsidRPr="007937D1">
        <w:rPr>
          <w:b/>
          <w:sz w:val="22"/>
          <w:szCs w:val="22"/>
        </w:rPr>
        <w:tab/>
        <w:t>DÁTUM</w:t>
      </w:r>
      <w:r w:rsidR="002C27B9" w:rsidRPr="007937D1">
        <w:rPr>
          <w:b/>
          <w:sz w:val="22"/>
          <w:szCs w:val="22"/>
        </w:rPr>
        <w:t xml:space="preserve"> PRVEJ</w:t>
      </w:r>
      <w:r w:rsidRPr="007937D1">
        <w:rPr>
          <w:b/>
          <w:sz w:val="22"/>
          <w:szCs w:val="22"/>
        </w:rPr>
        <w:t xml:space="preserve"> REGISTRÁCIE/PREDĹŽENIA REGISTRÁCIE</w:t>
      </w:r>
    </w:p>
    <w:p w14:paraId="68CD751A" w14:textId="77777777" w:rsidR="0005100D" w:rsidRPr="007937D1" w:rsidRDefault="0005100D" w:rsidP="0041531C">
      <w:pPr>
        <w:rPr>
          <w:sz w:val="22"/>
          <w:szCs w:val="22"/>
        </w:rPr>
      </w:pPr>
      <w:r w:rsidRPr="007937D1">
        <w:rPr>
          <w:sz w:val="22"/>
          <w:szCs w:val="22"/>
        </w:rPr>
        <w:tab/>
        <w:t xml:space="preserve"> </w:t>
      </w:r>
    </w:p>
    <w:p w14:paraId="2D125843" w14:textId="5C41F4ED" w:rsidR="0005100D" w:rsidRPr="007937D1" w:rsidRDefault="00302B1E" w:rsidP="0041531C">
      <w:pPr>
        <w:rPr>
          <w:sz w:val="22"/>
          <w:szCs w:val="22"/>
        </w:rPr>
      </w:pPr>
      <w:r w:rsidRPr="007937D1">
        <w:rPr>
          <w:sz w:val="22"/>
          <w:szCs w:val="22"/>
        </w:rPr>
        <w:t xml:space="preserve">Dátum prvej registrácie: </w:t>
      </w:r>
      <w:r w:rsidR="00AE691D" w:rsidRPr="007937D1">
        <w:rPr>
          <w:sz w:val="22"/>
          <w:szCs w:val="22"/>
        </w:rPr>
        <w:t>21.</w:t>
      </w:r>
      <w:r w:rsidR="001670CA">
        <w:rPr>
          <w:sz w:val="22"/>
          <w:szCs w:val="22"/>
        </w:rPr>
        <w:t xml:space="preserve"> decembra </w:t>
      </w:r>
      <w:r w:rsidR="00AE691D" w:rsidRPr="007937D1">
        <w:rPr>
          <w:sz w:val="22"/>
          <w:szCs w:val="22"/>
        </w:rPr>
        <w:t>201</w:t>
      </w:r>
      <w:r w:rsidRPr="007937D1">
        <w:rPr>
          <w:sz w:val="22"/>
          <w:szCs w:val="22"/>
        </w:rPr>
        <w:t>0</w:t>
      </w:r>
    </w:p>
    <w:p w14:paraId="33D0D8CF" w14:textId="290D4BFC" w:rsidR="00CB1B89" w:rsidRDefault="001670CA" w:rsidP="0041531C">
      <w:pPr>
        <w:rPr>
          <w:sz w:val="22"/>
          <w:szCs w:val="22"/>
        </w:rPr>
      </w:pPr>
      <w:r w:rsidRPr="007937D1">
        <w:rPr>
          <w:sz w:val="22"/>
          <w:szCs w:val="22"/>
        </w:rPr>
        <w:t>Dátum p</w:t>
      </w:r>
      <w:r>
        <w:rPr>
          <w:sz w:val="22"/>
          <w:szCs w:val="22"/>
        </w:rPr>
        <w:t>osledného</w:t>
      </w:r>
      <w:r w:rsidRPr="007937D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predĺženia </w:t>
      </w:r>
      <w:r w:rsidRPr="007937D1">
        <w:rPr>
          <w:sz w:val="22"/>
          <w:szCs w:val="22"/>
        </w:rPr>
        <w:t>registrácie</w:t>
      </w:r>
      <w:r>
        <w:rPr>
          <w:sz w:val="22"/>
          <w:szCs w:val="22"/>
        </w:rPr>
        <w:t xml:space="preserve">: </w:t>
      </w:r>
    </w:p>
    <w:p w14:paraId="1DDC16C0" w14:textId="77777777" w:rsidR="001670CA" w:rsidRPr="007937D1" w:rsidRDefault="001670CA" w:rsidP="0041531C">
      <w:pPr>
        <w:rPr>
          <w:b/>
          <w:sz w:val="22"/>
          <w:szCs w:val="22"/>
        </w:rPr>
      </w:pPr>
    </w:p>
    <w:p w14:paraId="6E1A4833" w14:textId="77777777" w:rsidR="00CB1B89" w:rsidRPr="007937D1" w:rsidRDefault="00CB1B89" w:rsidP="0041531C">
      <w:pPr>
        <w:rPr>
          <w:b/>
          <w:sz w:val="22"/>
          <w:szCs w:val="22"/>
        </w:rPr>
      </w:pPr>
    </w:p>
    <w:p w14:paraId="0150C5EA" w14:textId="77777777" w:rsidR="0005100D" w:rsidRPr="007937D1" w:rsidRDefault="0005100D" w:rsidP="0041531C">
      <w:pPr>
        <w:rPr>
          <w:b/>
          <w:sz w:val="22"/>
          <w:szCs w:val="22"/>
        </w:rPr>
      </w:pPr>
      <w:r w:rsidRPr="007937D1">
        <w:rPr>
          <w:b/>
          <w:sz w:val="22"/>
          <w:szCs w:val="22"/>
        </w:rPr>
        <w:t>10.</w:t>
      </w:r>
      <w:r w:rsidRPr="007937D1">
        <w:rPr>
          <w:b/>
          <w:sz w:val="22"/>
          <w:szCs w:val="22"/>
        </w:rPr>
        <w:tab/>
        <w:t>DÁTUM REVÍZIE TEXTU</w:t>
      </w:r>
    </w:p>
    <w:p w14:paraId="12C55F61" w14:textId="77777777" w:rsidR="00FD188E" w:rsidRPr="007937D1" w:rsidRDefault="00FD188E" w:rsidP="0041531C">
      <w:pPr>
        <w:rPr>
          <w:b/>
          <w:sz w:val="22"/>
          <w:szCs w:val="22"/>
        </w:rPr>
      </w:pPr>
    </w:p>
    <w:p w14:paraId="704F0DB0" w14:textId="77777777" w:rsidR="00395520" w:rsidRPr="000A314F" w:rsidRDefault="00395520" w:rsidP="00395520">
      <w:pPr>
        <w:rPr>
          <w:sz w:val="22"/>
          <w:szCs w:val="22"/>
        </w:rPr>
      </w:pPr>
      <w:r>
        <w:rPr>
          <w:sz w:val="22"/>
          <w:szCs w:val="22"/>
        </w:rPr>
        <w:t>08/2018</w:t>
      </w:r>
    </w:p>
    <w:p w14:paraId="38E8B6A6" w14:textId="5A87F74D" w:rsidR="00FD188E" w:rsidRPr="007937D1" w:rsidRDefault="00FD188E" w:rsidP="0041531C">
      <w:pPr>
        <w:rPr>
          <w:sz w:val="22"/>
          <w:szCs w:val="22"/>
        </w:rPr>
      </w:pPr>
    </w:p>
    <w:sectPr w:rsidR="00FD188E" w:rsidRPr="007937D1" w:rsidSect="0041531C">
      <w:headerReference w:type="default" r:id="rId9"/>
      <w:footerReference w:type="even" r:id="rId10"/>
      <w:footerReference w:type="default" r:id="rId11"/>
      <w:pgSz w:w="11906" w:h="16838" w:code="9"/>
      <w:pgMar w:top="1134" w:right="1418" w:bottom="1134" w:left="1418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0CFB55" w14:textId="77777777" w:rsidR="007F28C9" w:rsidRDefault="007F28C9">
      <w:r>
        <w:separator/>
      </w:r>
    </w:p>
  </w:endnote>
  <w:endnote w:type="continuationSeparator" w:id="0">
    <w:p w14:paraId="697AC094" w14:textId="77777777" w:rsidR="007F28C9" w:rsidRDefault="007F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CEBACB" w14:textId="77777777" w:rsidR="00F07B8D" w:rsidRDefault="00F07B8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14:paraId="12E0BE1D" w14:textId="77777777" w:rsidR="00F07B8D" w:rsidRDefault="00F07B8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CECD2" w14:textId="77777777" w:rsidR="00F07B8D" w:rsidRPr="0041531C" w:rsidRDefault="00F07B8D">
    <w:pPr>
      <w:pStyle w:val="Pta"/>
      <w:framePr w:wrap="around" w:vAnchor="text" w:hAnchor="margin" w:xAlign="center" w:y="1"/>
      <w:rPr>
        <w:rStyle w:val="slostrany"/>
        <w:sz w:val="18"/>
      </w:rPr>
    </w:pPr>
    <w:r w:rsidRPr="0041531C">
      <w:rPr>
        <w:rStyle w:val="slostrany"/>
        <w:sz w:val="18"/>
      </w:rPr>
      <w:fldChar w:fldCharType="begin"/>
    </w:r>
    <w:r w:rsidRPr="0041531C">
      <w:rPr>
        <w:rStyle w:val="slostrany"/>
        <w:sz w:val="18"/>
      </w:rPr>
      <w:instrText xml:space="preserve">PAGE  </w:instrText>
    </w:r>
    <w:r w:rsidRPr="0041531C">
      <w:rPr>
        <w:rStyle w:val="slostrany"/>
        <w:sz w:val="18"/>
      </w:rPr>
      <w:fldChar w:fldCharType="separate"/>
    </w:r>
    <w:r w:rsidR="0041531C">
      <w:rPr>
        <w:rStyle w:val="slostrany"/>
        <w:noProof/>
        <w:sz w:val="18"/>
      </w:rPr>
      <w:t>2</w:t>
    </w:r>
    <w:r w:rsidRPr="0041531C">
      <w:rPr>
        <w:rStyle w:val="slostrany"/>
        <w:sz w:val="18"/>
      </w:rPr>
      <w:fldChar w:fldCharType="end"/>
    </w:r>
  </w:p>
  <w:p w14:paraId="34461C97" w14:textId="77777777" w:rsidR="00F07B8D" w:rsidRDefault="00F07B8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935789" w14:textId="77777777" w:rsidR="007F28C9" w:rsidRDefault="007F28C9">
      <w:r>
        <w:separator/>
      </w:r>
    </w:p>
  </w:footnote>
  <w:footnote w:type="continuationSeparator" w:id="0">
    <w:p w14:paraId="2929B517" w14:textId="77777777" w:rsidR="007F28C9" w:rsidRDefault="007F2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30ABD" w14:textId="77777777" w:rsidR="007937D1" w:rsidRDefault="007937D1" w:rsidP="007937D1">
    <w:pPr>
      <w:jc w:val="both"/>
      <w:outlineLvl w:val="0"/>
      <w:rPr>
        <w:sz w:val="18"/>
        <w:szCs w:val="18"/>
      </w:rPr>
    </w:pPr>
    <w:r>
      <w:rPr>
        <w:sz w:val="18"/>
        <w:szCs w:val="18"/>
      </w:rPr>
      <w:t>Schválený text k rozhodnutiu o zmene, ev. č.: 2015/01284-ZME</w:t>
    </w:r>
  </w:p>
  <w:p w14:paraId="26CFE7E7" w14:textId="77777777" w:rsidR="007937D1" w:rsidRDefault="007937D1" w:rsidP="007937D1">
    <w:pPr>
      <w:jc w:val="both"/>
      <w:outlineLvl w:val="0"/>
      <w:rPr>
        <w:sz w:val="18"/>
        <w:szCs w:val="18"/>
      </w:rPr>
    </w:pPr>
    <w:r>
      <w:rPr>
        <w:sz w:val="18"/>
        <w:szCs w:val="18"/>
      </w:rPr>
      <w:t>Schválený text k rozhodnutiu o predĺžení, ev. č.: 2015/01452-PRE</w:t>
    </w:r>
  </w:p>
  <w:p w14:paraId="11004A55" w14:textId="77777777" w:rsidR="007937D1" w:rsidRDefault="007937D1">
    <w:pPr>
      <w:pStyle w:val="Hlavika"/>
      <w:rPr>
        <w:sz w:val="18"/>
        <w:szCs w:val="18"/>
      </w:rPr>
    </w:pPr>
  </w:p>
  <w:p w14:paraId="031E78D8" w14:textId="77777777" w:rsidR="007937D1" w:rsidRDefault="007937D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C780B"/>
    <w:multiLevelType w:val="multilevel"/>
    <w:tmpl w:val="23665306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3BC83831"/>
    <w:multiLevelType w:val="singleLevel"/>
    <w:tmpl w:val="C8AAB8CA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2" w15:restartNumberingAfterBreak="0">
    <w:nsid w:val="6BAF59FE"/>
    <w:multiLevelType w:val="hybridMultilevel"/>
    <w:tmpl w:val="6AF48DC6"/>
    <w:lvl w:ilvl="0" w:tplc="BA1C617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1CF"/>
    <w:rsid w:val="00006D45"/>
    <w:rsid w:val="0000741F"/>
    <w:rsid w:val="00037BAF"/>
    <w:rsid w:val="00046D33"/>
    <w:rsid w:val="0005100D"/>
    <w:rsid w:val="00052FD4"/>
    <w:rsid w:val="000749A1"/>
    <w:rsid w:val="000972B1"/>
    <w:rsid w:val="000B4643"/>
    <w:rsid w:val="000C45A5"/>
    <w:rsid w:val="000D0BA7"/>
    <w:rsid w:val="000D438B"/>
    <w:rsid w:val="000F11CA"/>
    <w:rsid w:val="000F2E0A"/>
    <w:rsid w:val="000F42A8"/>
    <w:rsid w:val="000F5559"/>
    <w:rsid w:val="001102F9"/>
    <w:rsid w:val="00120BA5"/>
    <w:rsid w:val="001670CA"/>
    <w:rsid w:val="0019583C"/>
    <w:rsid w:val="00197ECA"/>
    <w:rsid w:val="001B5552"/>
    <w:rsid w:val="001E0C18"/>
    <w:rsid w:val="001E72C4"/>
    <w:rsid w:val="001F5AA8"/>
    <w:rsid w:val="002036F2"/>
    <w:rsid w:val="00216297"/>
    <w:rsid w:val="0022416B"/>
    <w:rsid w:val="00244B5F"/>
    <w:rsid w:val="00267A05"/>
    <w:rsid w:val="00270BAE"/>
    <w:rsid w:val="002C27B9"/>
    <w:rsid w:val="002D3024"/>
    <w:rsid w:val="002E6232"/>
    <w:rsid w:val="002F4051"/>
    <w:rsid w:val="00302B1E"/>
    <w:rsid w:val="00325ECF"/>
    <w:rsid w:val="00327D98"/>
    <w:rsid w:val="00345884"/>
    <w:rsid w:val="00395520"/>
    <w:rsid w:val="003A26C0"/>
    <w:rsid w:val="003B4E24"/>
    <w:rsid w:val="003C2683"/>
    <w:rsid w:val="003C4CFA"/>
    <w:rsid w:val="003D4660"/>
    <w:rsid w:val="003E3A16"/>
    <w:rsid w:val="004040BD"/>
    <w:rsid w:val="0041531C"/>
    <w:rsid w:val="00433ED9"/>
    <w:rsid w:val="00436DEB"/>
    <w:rsid w:val="0048107B"/>
    <w:rsid w:val="004C2737"/>
    <w:rsid w:val="004F0D72"/>
    <w:rsid w:val="004F2D16"/>
    <w:rsid w:val="004F7690"/>
    <w:rsid w:val="00502F28"/>
    <w:rsid w:val="005521F2"/>
    <w:rsid w:val="00566AF3"/>
    <w:rsid w:val="00577301"/>
    <w:rsid w:val="00580D13"/>
    <w:rsid w:val="00590723"/>
    <w:rsid w:val="00596814"/>
    <w:rsid w:val="005A4132"/>
    <w:rsid w:val="005A46DF"/>
    <w:rsid w:val="005B2063"/>
    <w:rsid w:val="005E54D7"/>
    <w:rsid w:val="005F6DC4"/>
    <w:rsid w:val="00607B3D"/>
    <w:rsid w:val="00610BD3"/>
    <w:rsid w:val="00632E94"/>
    <w:rsid w:val="0064490A"/>
    <w:rsid w:val="006B0F54"/>
    <w:rsid w:val="006B67A8"/>
    <w:rsid w:val="006D3B2B"/>
    <w:rsid w:val="007010D1"/>
    <w:rsid w:val="00704706"/>
    <w:rsid w:val="0070729C"/>
    <w:rsid w:val="00710F2B"/>
    <w:rsid w:val="00716506"/>
    <w:rsid w:val="007278CF"/>
    <w:rsid w:val="00735713"/>
    <w:rsid w:val="007600D3"/>
    <w:rsid w:val="007937D1"/>
    <w:rsid w:val="007C19D5"/>
    <w:rsid w:val="007D5B2F"/>
    <w:rsid w:val="007E0BCF"/>
    <w:rsid w:val="007F25DA"/>
    <w:rsid w:val="007F28C9"/>
    <w:rsid w:val="007F53DC"/>
    <w:rsid w:val="00801D47"/>
    <w:rsid w:val="00811576"/>
    <w:rsid w:val="008205CA"/>
    <w:rsid w:val="00827E18"/>
    <w:rsid w:val="008443A1"/>
    <w:rsid w:val="00845DEB"/>
    <w:rsid w:val="008460FA"/>
    <w:rsid w:val="00863ED7"/>
    <w:rsid w:val="00892D6D"/>
    <w:rsid w:val="00896277"/>
    <w:rsid w:val="008A2502"/>
    <w:rsid w:val="008A5646"/>
    <w:rsid w:val="008E34FD"/>
    <w:rsid w:val="0092596F"/>
    <w:rsid w:val="00977CF7"/>
    <w:rsid w:val="00990A40"/>
    <w:rsid w:val="009962CA"/>
    <w:rsid w:val="009A77F2"/>
    <w:rsid w:val="009D0EA9"/>
    <w:rsid w:val="009D1EE2"/>
    <w:rsid w:val="00A316FE"/>
    <w:rsid w:val="00A57729"/>
    <w:rsid w:val="00A62D81"/>
    <w:rsid w:val="00A715F4"/>
    <w:rsid w:val="00A923D3"/>
    <w:rsid w:val="00A92E73"/>
    <w:rsid w:val="00AA2335"/>
    <w:rsid w:val="00AB73CD"/>
    <w:rsid w:val="00AC2462"/>
    <w:rsid w:val="00AC7377"/>
    <w:rsid w:val="00AE1984"/>
    <w:rsid w:val="00AE691D"/>
    <w:rsid w:val="00B018FE"/>
    <w:rsid w:val="00B1195F"/>
    <w:rsid w:val="00B221CF"/>
    <w:rsid w:val="00B241A0"/>
    <w:rsid w:val="00B25074"/>
    <w:rsid w:val="00B3185C"/>
    <w:rsid w:val="00B4281B"/>
    <w:rsid w:val="00B60D26"/>
    <w:rsid w:val="00B73990"/>
    <w:rsid w:val="00B764D6"/>
    <w:rsid w:val="00B77F5A"/>
    <w:rsid w:val="00B814D1"/>
    <w:rsid w:val="00B86E98"/>
    <w:rsid w:val="00B94B72"/>
    <w:rsid w:val="00B94C9B"/>
    <w:rsid w:val="00B96892"/>
    <w:rsid w:val="00BA5FBC"/>
    <w:rsid w:val="00BB7849"/>
    <w:rsid w:val="00BC6A62"/>
    <w:rsid w:val="00BD1469"/>
    <w:rsid w:val="00C2115A"/>
    <w:rsid w:val="00C21536"/>
    <w:rsid w:val="00C348F4"/>
    <w:rsid w:val="00C518ED"/>
    <w:rsid w:val="00C66CC6"/>
    <w:rsid w:val="00C975BE"/>
    <w:rsid w:val="00CB1B89"/>
    <w:rsid w:val="00CC4DC3"/>
    <w:rsid w:val="00CC5E68"/>
    <w:rsid w:val="00CD30B0"/>
    <w:rsid w:val="00CE3997"/>
    <w:rsid w:val="00D00FAB"/>
    <w:rsid w:val="00D054F6"/>
    <w:rsid w:val="00D26F4A"/>
    <w:rsid w:val="00D32353"/>
    <w:rsid w:val="00D343EF"/>
    <w:rsid w:val="00D37F7A"/>
    <w:rsid w:val="00D41198"/>
    <w:rsid w:val="00D52E6D"/>
    <w:rsid w:val="00D62AAF"/>
    <w:rsid w:val="00D63739"/>
    <w:rsid w:val="00D63BAD"/>
    <w:rsid w:val="00D672B6"/>
    <w:rsid w:val="00D8291C"/>
    <w:rsid w:val="00D946C9"/>
    <w:rsid w:val="00DE0710"/>
    <w:rsid w:val="00DF77F6"/>
    <w:rsid w:val="00E130F2"/>
    <w:rsid w:val="00E23991"/>
    <w:rsid w:val="00E40844"/>
    <w:rsid w:val="00E458D8"/>
    <w:rsid w:val="00E554DF"/>
    <w:rsid w:val="00E55AE6"/>
    <w:rsid w:val="00E746B7"/>
    <w:rsid w:val="00E80C4B"/>
    <w:rsid w:val="00E840FB"/>
    <w:rsid w:val="00E854C2"/>
    <w:rsid w:val="00E94A5C"/>
    <w:rsid w:val="00EA487F"/>
    <w:rsid w:val="00EA4CB7"/>
    <w:rsid w:val="00EB6AF4"/>
    <w:rsid w:val="00ED1698"/>
    <w:rsid w:val="00ED2B41"/>
    <w:rsid w:val="00ED57EC"/>
    <w:rsid w:val="00EF6979"/>
    <w:rsid w:val="00F07B8D"/>
    <w:rsid w:val="00F24475"/>
    <w:rsid w:val="00F351BB"/>
    <w:rsid w:val="00F366D3"/>
    <w:rsid w:val="00F528E7"/>
    <w:rsid w:val="00F52E86"/>
    <w:rsid w:val="00F66270"/>
    <w:rsid w:val="00F673CA"/>
    <w:rsid w:val="00F8033B"/>
    <w:rsid w:val="00F804B8"/>
    <w:rsid w:val="00F958E0"/>
    <w:rsid w:val="00FB53CC"/>
    <w:rsid w:val="00FB64F5"/>
    <w:rsid w:val="00FC68A9"/>
    <w:rsid w:val="00FC7F29"/>
    <w:rsid w:val="00FD188E"/>
    <w:rsid w:val="00FE3496"/>
    <w:rsid w:val="00FF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3F826F"/>
  <w15:docId w15:val="{69612E70-30A1-4C4E-BDB8-926B5784E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kladntext">
    <w:name w:val="Body Text"/>
    <w:basedOn w:val="Normlny"/>
    <w:pPr>
      <w:spacing w:after="120"/>
    </w:pPr>
    <w:rPr>
      <w:rFonts w:ascii="Arial" w:hAnsi="Arial"/>
      <w:sz w:val="24"/>
      <w:lang w:val="de-DE" w:eastAsia="cs-CZ"/>
    </w:rPr>
  </w:style>
  <w:style w:type="paragraph" w:styleId="Textbubliny">
    <w:name w:val="Balloon Text"/>
    <w:basedOn w:val="Normlny"/>
    <w:semiHidden/>
    <w:rsid w:val="00EF6979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semiHidden/>
    <w:rsid w:val="00610BD3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7C19D5"/>
    <w:rPr>
      <w:color w:val="0000FF"/>
      <w:u w:val="single"/>
    </w:rPr>
  </w:style>
  <w:style w:type="paragraph" w:styleId="Revzia">
    <w:name w:val="Revision"/>
    <w:hidden/>
    <w:uiPriority w:val="99"/>
    <w:semiHidden/>
    <w:rsid w:val="007937D1"/>
    <w:rPr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7937D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937D1"/>
    <w:rPr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ED57E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D57E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D57EC"/>
    <w:rPr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57E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D57EC"/>
    <w:rPr>
      <w:b/>
      <w:bCs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5730E-195C-4E69-A208-2D15EE1E5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1428</Words>
  <Characters>8141</Characters>
  <Application>Microsoft Office Word</Application>
  <DocSecurity>0</DocSecurity>
  <Lines>67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Odborná informácia</vt:lpstr>
      <vt:lpstr>Odborná informácia</vt:lpstr>
    </vt:vector>
  </TitlesOfParts>
  <Company>DR. PEITHNER KG</Company>
  <LinksUpToDate>false</LinksUpToDate>
  <CharactersWithSpaces>9550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Odborná informácia</dc:title>
  <dc:creator>RHODONS</dc:creator>
  <cp:lastModifiedBy>Kytková, Adriana</cp:lastModifiedBy>
  <cp:revision>2</cp:revision>
  <cp:lastPrinted>2007-09-24T10:42:00Z</cp:lastPrinted>
  <dcterms:created xsi:type="dcterms:W3CDTF">2018-08-14T11:41:00Z</dcterms:created>
  <dcterms:modified xsi:type="dcterms:W3CDTF">2018-08-14T11:41:00Z</dcterms:modified>
</cp:coreProperties>
</file>