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2A" w:rsidRPr="00AF1AB0" w:rsidRDefault="0010462A" w:rsidP="0010462A">
      <w:pPr>
        <w:pStyle w:val="Nadpis1"/>
        <w:rPr>
          <w:rFonts w:ascii="Times New Roman" w:hAnsi="Times New Roman"/>
          <w:sz w:val="22"/>
          <w:szCs w:val="22"/>
        </w:rPr>
      </w:pPr>
      <w:r w:rsidRPr="00AF1AB0">
        <w:rPr>
          <w:rFonts w:ascii="Times New Roman" w:hAnsi="Times New Roman"/>
          <w:sz w:val="22"/>
          <w:szCs w:val="22"/>
        </w:rPr>
        <w:t>SÚHRN CHARAKTERISTICKÝCH VLASTNOSTÍ LIEKU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1.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10462A" w:rsidRPr="001166AC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Cymevene 500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mg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sz w:val="22"/>
          <w:szCs w:val="22"/>
          <w:lang w:val="sk-SK"/>
        </w:rPr>
        <w:t xml:space="preserve">infúzny </w:t>
      </w:r>
      <w:r w:rsidRPr="00D05B9F">
        <w:rPr>
          <w:rFonts w:ascii="Times New Roman" w:hAnsi="Times New Roman"/>
          <w:sz w:val="22"/>
          <w:szCs w:val="22"/>
          <w:lang w:val="sk-SK"/>
        </w:rPr>
        <w:t>koncentrát</w:t>
      </w:r>
    </w:p>
    <w:p w:rsidR="0010462A" w:rsidRPr="00801883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801883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8B4EA5">
        <w:rPr>
          <w:rFonts w:ascii="Times New Roman" w:hAnsi="Times New Roman"/>
          <w:b/>
          <w:sz w:val="22"/>
          <w:szCs w:val="22"/>
          <w:lang w:val="sk-SK"/>
        </w:rPr>
        <w:t>2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Každá injekčná liekovka obsahuje 500 mg gancikloviru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 xml:space="preserve">vo forme </w:t>
      </w:r>
      <w:r w:rsidRPr="00D05B9F">
        <w:rPr>
          <w:rFonts w:ascii="Times New Roman" w:hAnsi="Times New Roman"/>
          <w:sz w:val="22"/>
          <w:szCs w:val="22"/>
          <w:lang w:val="sk-SK"/>
        </w:rPr>
        <w:t>sodnej soli gancikloviru).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 rozpustení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ml vody na injekciu (rekonštitúcii) obsahuje každý ml 50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 gancikloviru.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7B74B2">
        <w:rPr>
          <w:rFonts w:ascii="Times New Roman" w:hAnsi="Times New Roman"/>
          <w:sz w:val="22"/>
          <w:szCs w:val="22"/>
          <w:u w:val="single"/>
          <w:lang w:val="sk-SK"/>
        </w:rPr>
        <w:t>Pomocné látky so známym účinkom: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približne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BC72F8">
        <w:rPr>
          <w:rFonts w:ascii="Times New Roman" w:hAnsi="Times New Roman"/>
          <w:sz w:val="22"/>
          <w:szCs w:val="22"/>
          <w:lang w:val="sk-SK"/>
        </w:rPr>
        <w:t>(2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BC72F8">
        <w:rPr>
          <w:rFonts w:ascii="Times New Roman" w:hAnsi="Times New Roman"/>
          <w:sz w:val="22"/>
          <w:szCs w:val="22"/>
          <w:lang w:val="sk-SK"/>
        </w:rPr>
        <w:t>mekv)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sodíka.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Prášok na infúzny </w:t>
      </w:r>
      <w:r>
        <w:rPr>
          <w:rFonts w:ascii="Times New Roman" w:hAnsi="Times New Roman"/>
          <w:sz w:val="22"/>
          <w:szCs w:val="22"/>
          <w:lang w:val="sk-SK"/>
        </w:rPr>
        <w:t>koncentrát (</w:t>
      </w:r>
      <w:r w:rsidRPr="00D05B9F">
        <w:rPr>
          <w:rFonts w:ascii="Times New Roman" w:hAnsi="Times New Roman"/>
          <w:sz w:val="22"/>
          <w:szCs w:val="22"/>
          <w:lang w:val="sk-SK"/>
        </w:rPr>
        <w:t>prášok na koncentrát)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Biely až takmer biely koláč lyofilizátu.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166AC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10462A" w:rsidRPr="00AF1AB0" w:rsidRDefault="0010462A" w:rsidP="0010462A">
      <w:pPr>
        <w:tabs>
          <w:tab w:val="left" w:pos="6564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Cymevene je indikované dospelým a dospievajúcim vo veku od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rokov na: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  <w:t>na liečbu cytom</w:t>
      </w:r>
      <w:r>
        <w:rPr>
          <w:rFonts w:ascii="Times New Roman" w:hAnsi="Times New Roman"/>
          <w:sz w:val="22"/>
          <w:szCs w:val="22"/>
          <w:lang w:val="sk-SK"/>
        </w:rPr>
        <w:t xml:space="preserve">egalovírusových (CMV) ochorení </w:t>
      </w:r>
      <w:r w:rsidRPr="00D05B9F">
        <w:rPr>
          <w:rFonts w:ascii="Times New Roman" w:hAnsi="Times New Roman"/>
          <w:sz w:val="22"/>
          <w:szCs w:val="22"/>
          <w:lang w:val="sk-SK"/>
        </w:rPr>
        <w:t>imunokompromitovaným pacientom;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ind w:left="709" w:hanging="709"/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  <w:t>na prevenciu CMV ochorení pacientom s imunosupresiou spôsobenou liekmi (napríklad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transplantácii orgánu alebo v spojitosti s chemoterapiou).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Správne použitie antivírusovej liečby sa má riadiť oficiálnymi odporúčaniami.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Liečba CMV ochorenia u dospelých a u dospievajúcich vo veku od 12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rokov s normálnou funkciou obličiek: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Úvodná (indukčná)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21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Udržiavacia liečba: imunokompromitovaným pacientom, ktorým hrozí riziko recidívy, sa môže podať udržiavacia liečba.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vo forme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má závisieť individuálne od pacienta, má sa postupovať podľa lokálnych odporúčaní pre liečbu daného ochorenia.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- Liečba progresie ochorenia: každý pacient, u ktorého progreduje CMV ochorenie, či už na udržiavacej liečbe alebo z dôvodu, že u neho bola liečba ganciklovirom ukončená, môže byť znova liečený použitím indukčného tera</w:t>
      </w:r>
      <w:r>
        <w:rPr>
          <w:rFonts w:ascii="Times New Roman" w:hAnsi="Times New Roman"/>
          <w:sz w:val="22"/>
          <w:szCs w:val="22"/>
          <w:lang w:val="sk-SK"/>
        </w:rPr>
        <w:t>peutického režimu.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Prevencia CMV ochorenia u dospelých a u dospievajúcich vo veku od 12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rokov s normálnou funkciou obličiek za účelom profylaxie alebo preemptívnej liečby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Profylaxia: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 podávanej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profylaxie závisí od rizika CMV ochorenia, má sa postupovať podľa lokálnych odporúčaní pre liečbu.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Preemptívna liečba: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Indukčná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 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Udržiavacia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Porucha funkcie obličiek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s poruchou funkcie obličiek sa má dávka gancikloviru upraviť podľa klírensu kreatinínu, ako je uvedené </w:t>
      </w:r>
      <w:r>
        <w:rPr>
          <w:rFonts w:ascii="Times New Roman" w:hAnsi="Times New Roman"/>
          <w:sz w:val="22"/>
          <w:szCs w:val="22"/>
          <w:lang w:val="sk-SK"/>
        </w:rPr>
        <w:t>v </w:t>
      </w:r>
      <w:r w:rsidRPr="00D05B9F">
        <w:rPr>
          <w:rFonts w:ascii="Times New Roman" w:hAnsi="Times New Roman"/>
          <w:sz w:val="22"/>
          <w:szCs w:val="22"/>
          <w:lang w:val="sk-SK"/>
        </w:rPr>
        <w:t>tabuľke nižšie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Úpravy dávok pre pacientov s poruchou funkcie obličiek: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669"/>
        <w:gridCol w:w="3738"/>
      </w:tblGrid>
      <w:tr w:rsidR="0010462A" w:rsidRPr="00C141A7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CrCl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Indukčná dávka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Udržiavacia dávka</w:t>
            </w:r>
          </w:p>
        </w:tc>
      </w:tr>
      <w:tr w:rsidR="0010462A" w:rsidRPr="00C141A7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&gt;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70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A91FF6" w:rsidTr="00C857EA">
        <w:tc>
          <w:tcPr>
            <w:tcW w:w="1668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&lt;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do týždňa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 xml:space="preserve">hemodialýze </w:t>
            </w:r>
          </w:p>
        </w:tc>
        <w:tc>
          <w:tcPr>
            <w:tcW w:w="4070" w:type="dxa"/>
          </w:tcPr>
          <w:p w:rsidR="0010462A" w:rsidRPr="00C141A7" w:rsidRDefault="0010462A" w:rsidP="00C857EA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týždenne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hemodialýze</w:t>
            </w:r>
          </w:p>
        </w:tc>
      </w:tr>
    </w:tbl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Odhadovaný klírens kreatinínu možno vypočítať podľa hodnôt kreatinínu v sére pomocou nasledujúcich vzorcov: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Muži: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(140 – vek [roky] x telesná hmotnosť [kg])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ab/>
        <w:t>(72) x (0,011 x kreatinín v sére [μmol/l])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Ženy: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05B9F">
        <w:rPr>
          <w:rFonts w:ascii="Times New Roman" w:hAnsi="Times New Roman"/>
          <w:sz w:val="22"/>
          <w:szCs w:val="22"/>
          <w:lang w:val="sk-SK"/>
        </w:rPr>
        <w:t>0,85 x hodnota u mužov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Keďže sa u pacientov s poruchou funkcie obličiek odporúča úprava dávky, majú sa sledovať hladiny kreatinínu v sére alebo hodnoty odhadovaného klírensu kreatinínu.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keepNext/>
        <w:keepLine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Porucha funkcie pečene</w:t>
      </w: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F42347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Bezpečnosť a účinnosť Cymevene sa neskúmali u pacientov s poruchou funkcie pečene (pozri časť 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Závažná leukopénia, netropénia, anémia, trombocytopénia a pancytopénia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Pred začatím liečby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Ak počas liečby ganciklovirom počet krvných elementov výrazne poklesne, má sa zvážiť liečba hematopoetickými rastovými faktormi a/alebo sa má zvážiť ukončenie liečby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D22E09">
        <w:rPr>
          <w:rFonts w:ascii="Times New Roman" w:hAnsi="Times New Roman"/>
          <w:i/>
          <w:sz w:val="22"/>
          <w:szCs w:val="22"/>
          <w:lang w:val="sk-SK"/>
        </w:rPr>
        <w:t>Starší pacienti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starších pacientov sa neuskutočnili žiadne štúdie zamerané na účinnosť a bezpečnosť gancikloviru. Vzhľadom na to, že funkcia obličiek sa s narastajúcim vekom znižuje, ganciklovir sa má starším pacientom podávať s osobitým zreteľom na funkčný stav ich obličiek (pozri časť</w:t>
      </w:r>
      <w:r>
        <w:rPr>
          <w:rFonts w:ascii="Times New Roman" w:hAnsi="Times New Roman"/>
          <w:sz w:val="22"/>
          <w:szCs w:val="22"/>
          <w:lang w:val="sk-SK"/>
        </w:rPr>
        <w:t> 5</w:t>
      </w:r>
      <w:r w:rsidRPr="00D05B9F">
        <w:rPr>
          <w:rFonts w:ascii="Times New Roman" w:hAnsi="Times New Roman"/>
          <w:sz w:val="22"/>
          <w:szCs w:val="22"/>
          <w:lang w:val="sk-SK"/>
        </w:rPr>
        <w:t>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D22E09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Informácie o bezpečnosti a účinnosti gancikloviru u detí vo veku menej ako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rokov, vrátane novorodencov, sú obmedzené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5.1). </w:t>
      </w:r>
      <w:r>
        <w:rPr>
          <w:rFonts w:ascii="Times New Roman" w:hAnsi="Times New Roman"/>
          <w:sz w:val="22"/>
          <w:szCs w:val="22"/>
          <w:lang w:val="sk-SK"/>
        </w:rPr>
        <w:t xml:space="preserve">V súčasnosti </w:t>
      </w:r>
      <w:r w:rsidRPr="00D05B9F">
        <w:rPr>
          <w:rFonts w:ascii="Times New Roman" w:hAnsi="Times New Roman"/>
          <w:sz w:val="22"/>
          <w:szCs w:val="22"/>
          <w:lang w:val="sk-SK"/>
        </w:rPr>
        <w:t>dostupné pediatrické údaje sú opísané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častiach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5.2, </w:t>
      </w:r>
      <w:r>
        <w:rPr>
          <w:rFonts w:ascii="Times New Roman" w:hAnsi="Times New Roman"/>
          <w:sz w:val="22"/>
          <w:szCs w:val="22"/>
          <w:lang w:val="sk-SK"/>
        </w:rPr>
        <w:t xml:space="preserve">ale neumožňujú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uviesť odporúčania </w:t>
      </w:r>
      <w:r>
        <w:rPr>
          <w:rFonts w:ascii="Times New Roman" w:hAnsi="Times New Roman"/>
          <w:sz w:val="22"/>
          <w:szCs w:val="22"/>
          <w:lang w:val="sk-SK"/>
        </w:rPr>
        <w:t>na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dávkovanie. Má sa postupovať podľa odporúčaní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pre liečbu.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Upozornenie: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Ganciklovir sa </w:t>
      </w:r>
      <w:r>
        <w:rPr>
          <w:rFonts w:ascii="Times New Roman" w:hAnsi="Times New Roman"/>
          <w:sz w:val="22"/>
          <w:szCs w:val="22"/>
          <w:lang w:val="sk-SK"/>
        </w:rPr>
        <w:t xml:space="preserve">musí </w:t>
      </w:r>
      <w:r w:rsidRPr="00D05B9F">
        <w:rPr>
          <w:rFonts w:ascii="Times New Roman" w:hAnsi="Times New Roman"/>
          <w:sz w:val="22"/>
          <w:szCs w:val="22"/>
          <w:lang w:val="sk-SK"/>
        </w:rPr>
        <w:t>podávať formou intravenóznej infúzie trvajúcej dlhšie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hodinu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koncentrácii neprevyšujúcej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mg/ml. Nepodáva</w:t>
      </w:r>
      <w:r>
        <w:rPr>
          <w:rFonts w:ascii="Times New Roman" w:hAnsi="Times New Roman"/>
          <w:sz w:val="22"/>
          <w:szCs w:val="22"/>
          <w:lang w:val="sk-SK"/>
        </w:rPr>
        <w:t xml:space="preserve">jte </w:t>
      </w:r>
      <w:r w:rsidRPr="00D05B9F">
        <w:rPr>
          <w:rFonts w:ascii="Times New Roman" w:hAnsi="Times New Roman"/>
          <w:sz w:val="22"/>
          <w:szCs w:val="22"/>
          <w:lang w:val="sk-SK"/>
        </w:rPr>
        <w:t>formou rýchlej ani bolusovej intravenóznej injekcie, pretože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toho vyplývajúce nadmerné zvýšenie hladiny liečiva v plazme môže zvýšiť toxicitu gancikloviru.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Nepodáva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formou vnútrosvalovej ani subkutánnej injekcie, pretože to môže viesť k silnému podráždeniu tkaniva zapríčinené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vysokým pH (približne 11) roztokov gancikloviru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Odporúčané dávkovanie, frekvencia a rýchlosť podávania nesmú byť prekročené.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Cymevene je prášok na infúzny roztok. Po rozpustení vo vode na injekciu (rekonštitúcii) je Cymevene bezfarebný až svetložltkastý roztok, prakticky bez viditeľných čiastočiek.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Infúzia sa má podávať do žily s primeraným prietokom krvi, najlepšie pomocou plastovej kanyly.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okyny na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rekonštitúci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lieku pred podaním,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Opatrenia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pred </w:t>
      </w:r>
      <w:r>
        <w:rPr>
          <w:rFonts w:ascii="Times New Roman" w:hAnsi="Times New Roman"/>
          <w:i/>
          <w:sz w:val="22"/>
          <w:szCs w:val="22"/>
          <w:lang w:val="sk-SK"/>
        </w:rPr>
        <w:t>zaobchádzaním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alebo podaním lieku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Vzhľadom na to, že ganciklovir sa považuje u ľudí za potenciálny teratogén</w:t>
      </w:r>
      <w:r>
        <w:rPr>
          <w:rFonts w:ascii="Times New Roman" w:hAnsi="Times New Roman"/>
          <w:sz w:val="22"/>
          <w:szCs w:val="22"/>
          <w:lang w:val="sk-SK"/>
        </w:rPr>
        <w:t xml:space="preserve"> a karcinogén</w:t>
      </w:r>
      <w:r w:rsidRPr="00D05B9F">
        <w:rPr>
          <w:rFonts w:ascii="Times New Roman" w:hAnsi="Times New Roman"/>
          <w:sz w:val="22"/>
          <w:szCs w:val="22"/>
          <w:lang w:val="sk-SK"/>
        </w:rPr>
        <w:t>, pri zaobchádzaní s ním je potrebná opatrnosť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6.6).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Precitlivenosť na liečivo </w:t>
      </w:r>
      <w:r>
        <w:rPr>
          <w:rFonts w:ascii="Times New Roman" w:hAnsi="Times New Roman"/>
          <w:sz w:val="22"/>
          <w:szCs w:val="22"/>
          <w:lang w:val="sk-SK"/>
        </w:rPr>
        <w:t xml:space="preserve">alebo valganciklovir </w:t>
      </w:r>
      <w:r w:rsidRPr="00D05B9F">
        <w:rPr>
          <w:rFonts w:ascii="Times New Roman" w:hAnsi="Times New Roman"/>
          <w:sz w:val="22"/>
          <w:szCs w:val="22"/>
          <w:lang w:val="sk-SK"/>
        </w:rPr>
        <w:t>alebo na ktorúkoľvek z pomocných látok 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6.1.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Dojčenie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4.6).</w:t>
      </w:r>
    </w:p>
    <w:p w:rsidR="0010462A" w:rsidRDefault="0010462A" w:rsidP="0010462A">
      <w:pPr>
        <w:rPr>
          <w:rFonts w:ascii="Times New Roman" w:hAnsi="Times New Roman"/>
          <w:iCs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Osobitné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upozornenia a opatrenia pri používaní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Precitlivenosť z dôvodu skríženej reakcie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Vzhľadom na podobnosť chemickej štruktúry gancikloviru, acikloviru a pencikloviru, existuje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týchto liečiv možnosť skríženej reakcie z precitlivenosti. Pri predpisovaní Cymevene pacientom </w:t>
      </w: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známou </w:t>
      </w:r>
      <w:r>
        <w:rPr>
          <w:rFonts w:ascii="Times New Roman" w:hAnsi="Times New Roman"/>
          <w:sz w:val="22"/>
          <w:szCs w:val="22"/>
          <w:lang w:val="sk-SK"/>
        </w:rPr>
        <w:t>precitlivenosťou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na aciklovir alebo penciklovir (alebo </w:t>
      </w: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5B9F">
        <w:rPr>
          <w:rFonts w:ascii="Times New Roman" w:hAnsi="Times New Roman"/>
          <w:sz w:val="22"/>
          <w:szCs w:val="22"/>
          <w:lang w:val="sk-SK"/>
        </w:rPr>
        <w:t>ich prekurzor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D05B9F">
        <w:rPr>
          <w:rFonts w:ascii="Times New Roman" w:hAnsi="Times New Roman"/>
          <w:sz w:val="22"/>
          <w:szCs w:val="22"/>
          <w:lang w:val="sk-SK"/>
        </w:rPr>
        <w:t>, valaciklovir alebo famciklovir), je preto potrebná opatrnosť.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Mutagenita, teratogenita, karcinogenita, fertilita a antikoncepcia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Pred začatím liečby ganciklovirom je potrebné upozorniť pacientky na možné riziká pre plod.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štúdiách na zvieratách sa zistilo, že ganciklovir je mutagénny, teratogénny, aspermatogénny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karcinogénny a oslabuje plodnosť. Predpokladá sa, že ganciklovir pravdepodobne spôsobuje dočasnú alebo trvalú inhibíciu spermatogenézy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Ganciklovir by sa mal preto u ľudí považovať za potenciálny teratogén a karcinogén, s potenciálom spôsobenia vrodených chýb a onkologických ochorení. Ženy v plodnom veku je preto nutné upozorniť na to, aby počas liečby a 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účinnú antikoncepciu. Mužov je nutné upozorniť na to, aby používali bariérovú antikoncepčnú metódu počas liečby a 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Použitie gancikloviru si vyžaduje mimoriadnu opatrnosť predovšetkým v pediatrickej populácii, vzhľadom na možné riziko dlhodobej karcinogenity a toxicity na reprodukčné funkcie. Očakávaný prínos liečby sa musí starostlivo zvážiť u každého individuálne a má jednoznačne prevažovať nad jej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4.2). Pozrite odporúčania pre liečbu.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Myelosupresia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Použitie Cymevene sa má zvážiť u pacientov s existujúcou hematologickou cytopéniou alebo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pozitívnou anamnézou hematologickej cytopénie vyvolanej liekmi a u pacientov, ktorí sa podrobujú rádioterapii.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U pacientov liečených ganciklovirom sa pozorovala </w:t>
      </w:r>
      <w:r>
        <w:rPr>
          <w:rFonts w:ascii="Times New Roman" w:hAnsi="Times New Roman"/>
          <w:sz w:val="22"/>
          <w:szCs w:val="24"/>
          <w:lang w:val="sk-SK" w:eastAsia="ja-JP"/>
        </w:rPr>
        <w:t>závažná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leukopénia, neutropénia, anémia, trombocytopénia, pancytopénia a </w:t>
      </w:r>
      <w:r>
        <w:rPr>
          <w:rFonts w:ascii="Times New Roman" w:hAnsi="Times New Roman"/>
          <w:sz w:val="22"/>
          <w:szCs w:val="24"/>
          <w:lang w:val="sk-SK" w:eastAsia="ja-JP"/>
        </w:rPr>
        <w:t>zlyhanie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kostnej drene. Liečba sa nemá začať v prípade, ak je absolútny počet neutrofilov nižší než 500/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počet trombocytov nižší než 25 000/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hladina hemoglobínu nižšia ako 8 g/dl (pozri 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4.8).</w:t>
      </w:r>
    </w:p>
    <w:p w:rsidR="0010462A" w:rsidRPr="00AB1687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>Počas liečby sa odporúča monitorovať kompletný krvný obraz vrátane počtu trombocytov. 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pacientov s poruchou funkcie obličiek je potrebné zvýšené sledovanie hematologických parametrov. V priebehu prvých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dní podávania sa odporúča každé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dni sledovanie počtu leukocytov (ak je to možné s ich diferenciálnym rozpočtom); u pacientov s nízkou počiatočnou hladinou neutrofilov (menej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000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neutrofilov/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l), u ktorých sa leukopénia vyvinula počas predchádzajúcej liečby inými myelotoxickými látkami a u pacientov s poruchou funkcie obličiek, sa má toto vyšetrenie vykonať na dennej báze.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pacientov s</w:t>
      </w:r>
      <w:r>
        <w:rPr>
          <w:rFonts w:ascii="Times New Roman" w:hAnsi="Times New Roman"/>
          <w:sz w:val="22"/>
          <w:szCs w:val="22"/>
          <w:lang w:val="sk-SK"/>
        </w:rPr>
        <w:t>o závažnou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leukopéniou, neutropéniou, anémiou a/alebo trombocytopéniou sa odporúča zvážiť liečbu hematopoetickými rastovými faktormi a/alebo prerušenie podávania gancikloviru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Porucha funkcie obličiek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Pacienti s poruchou funkcie obličiek sú vystavení zvýšenému riziku toxicity (najmä hematologickej toxicity). Je potrebné zníženie dávky (pozri časti 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Súbežné použitie s inými liekmi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pacientov dostávajúcich 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 a ganciklovir bol hlásený výskyt kŕčov. Ganciklovir sa nemá podávať súbežne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imipenemom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cilastatínom, pokiaľ potenciálny prínos liečby neprevažuje nad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jej potenciálnymi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Pacientov liečených ganciklovirom a didanozínom, liekmi, o ktorých je známe, že pôsobia myelosupresívne, alebo poškodzujú funkciu obličiek, je potrebné starostlivo sledovať s cieľom včas zistiť prejavy prídavnej toxicity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keepNext/>
        <w:keepLines/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Pomocné látky</w:t>
      </w:r>
    </w:p>
    <w:p w:rsidR="0010462A" w:rsidRPr="00D05B9F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Tento liek obsahuje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mmol (43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mg) sodíka v jednej 500 mg dávke. Má </w:t>
      </w:r>
      <w:r>
        <w:rPr>
          <w:rFonts w:ascii="Times New Roman" w:hAnsi="Times New Roman"/>
          <w:sz w:val="22"/>
          <w:szCs w:val="22"/>
          <w:lang w:val="sk-SK"/>
        </w:rPr>
        <w:t xml:space="preserve">sa to vziať do úvahy </w:t>
      </w:r>
      <w:r w:rsidRPr="00D05B9F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pacientov s kontrolovaným príjmom sodíka.</w:t>
      </w:r>
    </w:p>
    <w:p w:rsidR="0010462A" w:rsidRPr="00AF1AB0" w:rsidRDefault="0010462A" w:rsidP="0010462A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4.5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Farmakokinetické interakcie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Probenecid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>Probenecid podávaný s perorálnym ganciklovirom mal za následok štatisticky významný pokles renálneho klírensu gancikloviru, čo viedlo ku klinicky významnému zvýšeniu jeho expozície. Takýto efekt sa tiež predpokladá počas súbežného intravenózneho podávania gancikloviru a probenecidu.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tohto dôvodu je potrebné pacientov dostávajúcich probenecid a Cymevene starostlivo sledovať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hľadiska toxicity gancikloviru.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Didanozín</w:t>
      </w:r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>Zistilo sa, že plazmatické koncentrácie didanozínu boli pri súbežnom podávaní didanozínu s ganciklovirom stále zvýšené. Pri intravenóznych dávkach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mg/kg/denne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mg/kg/denne sa pozorovalo zvýšenie AUC didanozínu v rozpätí od 38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% až do 67 %. Nezaznamenal sa klinicky významný vplyv na koncentráciu gancikloviru. Pacientov je potrebné starostlivo sledovať z hľadiska toxicity didanozínu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4.4)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Iné antiretrovírusové lieky</w:t>
      </w:r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>Izoenzýmy cytochrómu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P450 nehrajú vo farmakokinetike gancikloviru žiadnu úlohu. Preto sa predpokladá, že farmakokinetické interakcie s inhibítormi proteáz a nenukleozidovými inhibítormi reverznej transkriptázy sú nepravdepodobné.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Farmakodynamické interakcie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cilastatín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Pri </w:t>
      </w:r>
      <w:r>
        <w:rPr>
          <w:rFonts w:ascii="Times New Roman" w:hAnsi="Times New Roman"/>
          <w:sz w:val="22"/>
          <w:szCs w:val="24"/>
          <w:lang w:val="sk-SK" w:eastAsia="ja-JP"/>
        </w:rPr>
        <w:t>súbežnom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podávaní gancikloviru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cilastatínu bol hlásený u pacientov výskyt kŕčov. Tieto liečivá sa nemajú podávať </w:t>
      </w:r>
      <w:r>
        <w:rPr>
          <w:rFonts w:ascii="Times New Roman" w:hAnsi="Times New Roman"/>
          <w:sz w:val="22"/>
          <w:szCs w:val="24"/>
          <w:lang w:val="sk-SK" w:eastAsia="ja-JP"/>
        </w:rPr>
        <w:t>súbežne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 pokiaľ ich potenciálny prínos neprevyšuje možné riziká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94080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bookmarkStart w:id="0" w:name="_Hlk493595637"/>
      <w:r w:rsidRPr="00794080">
        <w:rPr>
          <w:rFonts w:ascii="Times New Roman" w:hAnsi="Times New Roman"/>
          <w:i/>
          <w:sz w:val="22"/>
          <w:szCs w:val="24"/>
          <w:lang w:val="sk-SK" w:eastAsia="ja-JP"/>
        </w:rPr>
        <w:t>Zidovudín</w:t>
      </w:r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94080">
        <w:rPr>
          <w:rFonts w:ascii="Times New Roman" w:hAnsi="Times New Roman"/>
          <w:sz w:val="22"/>
          <w:szCs w:val="24"/>
          <w:lang w:val="sk-SK" w:eastAsia="ja-JP"/>
        </w:rPr>
        <w:t>Zidovudín aj ganciklovir môžu spôsobiť neutropéniu a anémiu. Počas súbežného podávania týchto liečiv môže dôjsť k farmakodynamickej interakcii. Niektorí pacienti nemusia znášať súbežnú liečbu plnými dávkami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>4.4)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bookmarkEnd w:id="0"/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Ďalšie možné liekové interakcie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>Toxicita sa môže zvýšiť, keď sa ganciklovir podáva spolu s inými liekmi, o ktorých je známe, že sú myelosupresívne, alebo sa dávajú do súvislosti s 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. To zahŕňa antiinfektíva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(napríklad dapsón, pentamidín, flucytozín, amfotericín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B, </w:t>
      </w:r>
      <w:bookmarkStart w:id="1" w:name="_Hlk493595686"/>
      <w:r w:rsidRPr="00D05B9F">
        <w:rPr>
          <w:rFonts w:ascii="Times New Roman" w:hAnsi="Times New Roman"/>
          <w:sz w:val="22"/>
          <w:szCs w:val="24"/>
          <w:lang w:val="sk-SK" w:eastAsia="ja-JP"/>
        </w:rPr>
        <w:t>trimetoprim/sulfametoxazol</w:t>
      </w:r>
      <w:r>
        <w:rPr>
          <w:rFonts w:ascii="Times New Roman" w:hAnsi="Times New Roman"/>
          <w:sz w:val="22"/>
          <w:szCs w:val="24"/>
          <w:lang w:val="sk-SK" w:eastAsia="ja-JP"/>
        </w:rPr>
        <w:t>), imunosupresíva (napr.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cyklosporín, takrolimus</w:t>
      </w:r>
      <w:bookmarkEnd w:id="1"/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mofetilmykofenolát</w:t>
      </w:r>
      <w:r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antineoplastické látky (napr. vinktristín, vinblastín, doxorubicín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a hydroxymočovina)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ako aj </w:t>
      </w:r>
      <w:bookmarkStart w:id="2" w:name="_Hlk493595695"/>
      <w:r>
        <w:rPr>
          <w:rFonts w:ascii="Times New Roman" w:hAnsi="Times New Roman"/>
          <w:sz w:val="22"/>
          <w:szCs w:val="24"/>
          <w:lang w:val="sk-SK" w:eastAsia="ja-JP"/>
        </w:rPr>
        <w:t>s nukleozidovými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(vrátane zidovudínu</w:t>
      </w:r>
      <w:r>
        <w:rPr>
          <w:rFonts w:ascii="Times New Roman" w:hAnsi="Times New Roman"/>
          <w:sz w:val="22"/>
          <w:szCs w:val="24"/>
          <w:lang w:val="sk-SK" w:eastAsia="ja-JP"/>
        </w:rPr>
        <w:t>, stavudínu a didanozínu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 nukleotidovými analógmi (vrátane tenofoviru, adefoviru)</w:t>
      </w:r>
      <w:bookmarkEnd w:id="2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lastRenderedPageBreak/>
        <w:t>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uvedeného vyplýva, že o súbežnom podávaní týchto liekov spolu s ganciklovirom možno uvažovať len v prípade, ak možný prínos prevažuje nad možnými rizikami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10462A" w:rsidRPr="00CF759E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bookmarkStart w:id="3" w:name="_Hlk493595746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Interakčné štúdie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uskutočnili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len u dospelých.</w:t>
      </w:r>
    </w:p>
    <w:bookmarkEnd w:id="3"/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4.6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Fertilita, g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 štúdiách na zvieratách ganciklovir oslabil plodnosť samcov aj samíc myší. Vychádzajúc z výskytu aspermatogenézy v štúdiách na zvieratách, ktoré boli vystavené vplyvu gancikloviru pri hladinách nižších ako sú terapeutické, sa predpokladá, že ganciklovir môže pravdepodobne dočasne alebo natrvalo spôsobiť inhibíciu ľudskej spermatogenézy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Bezpečnosť podávania Cymevene u gravidných žien nebola stanovená. Ganciklovir však ľahko prechádza ľudskou placentou. V štúdiách na zvieratách sa ganciklovir spájal s reprodukčnou toxicitou a teratogenitou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</w:t>
      </w:r>
      <w:r w:rsidRPr="00D05B9F">
        <w:rPr>
          <w:rFonts w:ascii="Times New Roman" w:hAnsi="Times New Roman"/>
          <w:sz w:val="22"/>
          <w:szCs w:val="22"/>
          <w:lang w:val="sk-SK"/>
        </w:rPr>
        <w:t>). Z tohto dôvodu sa ganciklovir nemá podávať tehotným ženám, s výnimkou prípadu, ak klinický prínos liečby pre ženu preváži nad potenciálnym teratogénnym rizikom pre plod.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Antikoncepcia u mužov a žien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Ako výsledok potenciálnej reprodukčnej toxicity a teratogenity, ženy v plodnom veku musia byť poučené, aby počas liečby a 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efektívnu antikoncepciu.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Mužov treba informovať, aby počas liečby ganciklovirom a 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bariérovú antikoncepciu,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ganciklovir </w:t>
      </w:r>
      <w:r>
        <w:rPr>
          <w:rFonts w:ascii="Times New Roman" w:hAnsi="Times New Roman"/>
          <w:sz w:val="22"/>
          <w:szCs w:val="22"/>
          <w:lang w:val="sk-SK"/>
        </w:rPr>
        <w:t xml:space="preserve">vylučuje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do </w:t>
      </w:r>
      <w:r>
        <w:rPr>
          <w:rFonts w:ascii="Times New Roman" w:hAnsi="Times New Roman"/>
          <w:sz w:val="22"/>
          <w:szCs w:val="22"/>
          <w:lang w:val="sk-SK"/>
        </w:rPr>
        <w:t xml:space="preserve">ľudského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materského mlieka, avšak nedá sa vylúčiť možnosť, že prechádza do materského mlieka a vyvolá závažné nežiaduce reakcie u dojčeného dieťaťa. </w:t>
      </w:r>
      <w:bookmarkStart w:id="4" w:name="_Hlk493595778"/>
      <w:r w:rsidRPr="00CF759E">
        <w:rPr>
          <w:rFonts w:ascii="Times New Roman" w:hAnsi="Times New Roman"/>
          <w:sz w:val="22"/>
          <w:szCs w:val="22"/>
          <w:lang w:val="sk-SK"/>
        </w:rPr>
        <w:t>Štúdie na zvieratách preukázali, že ganciklovir sa vylučuje do mlieka dojčiacich potkanov</w:t>
      </w:r>
      <w:bookmarkEnd w:id="4"/>
      <w:r>
        <w:rPr>
          <w:rFonts w:ascii="Times New Roman" w:hAnsi="Times New Roman"/>
          <w:sz w:val="22"/>
          <w:szCs w:val="22"/>
          <w:lang w:val="sk-SK"/>
        </w:rPr>
        <w:t>.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Z tohto dôvodu sa musí dojčenie počas liečby ganciklovirom ukončiť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4.3).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Ganciklovir môže mať </w:t>
      </w:r>
      <w:r>
        <w:rPr>
          <w:rFonts w:ascii="Times New Roman" w:hAnsi="Times New Roman"/>
          <w:sz w:val="22"/>
          <w:szCs w:val="22"/>
          <w:lang w:val="sk-SK"/>
        </w:rPr>
        <w:t xml:space="preserve">veľký </w:t>
      </w:r>
      <w:r w:rsidRPr="00D05B9F">
        <w:rPr>
          <w:rFonts w:ascii="Times New Roman" w:hAnsi="Times New Roman"/>
          <w:sz w:val="22"/>
          <w:szCs w:val="22"/>
          <w:lang w:val="sk-SK"/>
        </w:rPr>
        <w:t>vplyv na schopnosť viesť vozidlá a obsluhovať stroje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4.8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Súhrn bezpečnostného profilu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</w:t>
      </w:r>
      <w:r w:rsidRPr="00CF759E">
        <w:rPr>
          <w:rFonts w:ascii="Times New Roman" w:hAnsi="Times New Roman"/>
          <w:sz w:val="22"/>
          <w:szCs w:val="22"/>
          <w:lang w:val="sk-SK"/>
        </w:rPr>
        <w:t>alganciklovir je prekurzorom gancikloviru, preto sa predpokladá, že nežiaduce reakcie súvisiace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valganciklovirom sa </w:t>
      </w:r>
      <w:r w:rsidRPr="00052D8A">
        <w:rPr>
          <w:rFonts w:ascii="Times New Roman" w:hAnsi="Times New Roman"/>
          <w:sz w:val="22"/>
          <w:szCs w:val="22"/>
          <w:lang w:val="sk-SK"/>
        </w:rPr>
        <w:t>môžu vyskytnúť</w:t>
      </w:r>
      <w:r w:rsidRPr="00AF1C8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aj </w:t>
      </w:r>
      <w:r w:rsidRPr="00CF759E">
        <w:rPr>
          <w:rFonts w:ascii="Times New Roman" w:hAnsi="Times New Roman"/>
          <w:sz w:val="22"/>
          <w:szCs w:val="22"/>
          <w:lang w:val="sk-SK"/>
        </w:rPr>
        <w:t>pri podaní gancikloviru. Perorálne podávaný ganciklovir už nie je dostupný, avšak predpokladá sa, že nežiaduce reakcie, ktoré boli hlásené pri jeho užívaní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sa môžu vyskytnúť aj u pacientov, ktorým je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>aný ganciklovir intravenózne. Z toho dôvodu sú nežiaduce reakcie</w:t>
      </w:r>
      <w:r>
        <w:rPr>
          <w:rFonts w:ascii="Times New Roman" w:hAnsi="Times New Roman"/>
          <w:sz w:val="22"/>
          <w:szCs w:val="22"/>
          <w:lang w:val="sk-SK"/>
        </w:rPr>
        <w:t xml:space="preserve"> na liek</w:t>
      </w:r>
      <w:r w:rsidRPr="00CF759E">
        <w:rPr>
          <w:rFonts w:ascii="Times New Roman" w:hAnsi="Times New Roman"/>
          <w:sz w:val="22"/>
          <w:szCs w:val="22"/>
          <w:lang w:val="sk-SK"/>
        </w:rPr>
        <w:t>, ktoré boli hlásené pri intravenózn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alebo perorálne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anom ganciklovire alebo valganciklovire, zahrnuté v tabuľke </w:t>
      </w:r>
      <w:r>
        <w:rPr>
          <w:rFonts w:ascii="Times New Roman" w:hAnsi="Times New Roman"/>
          <w:sz w:val="22"/>
          <w:szCs w:val="22"/>
          <w:lang w:val="sk-SK"/>
        </w:rPr>
        <w:t>s </w:t>
      </w:r>
      <w:r w:rsidRPr="00CF759E">
        <w:rPr>
          <w:rFonts w:ascii="Times New Roman" w:hAnsi="Times New Roman"/>
          <w:sz w:val="22"/>
          <w:szCs w:val="22"/>
          <w:lang w:val="sk-SK"/>
        </w:rPr>
        <w:t>nežiaduci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sz w:val="22"/>
          <w:szCs w:val="22"/>
          <w:lang w:val="sk-SK"/>
        </w:rPr>
        <w:t>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bookmarkStart w:id="5" w:name="_Hlk493596096"/>
      <w:r w:rsidRPr="005725BE">
        <w:rPr>
          <w:rFonts w:ascii="Times New Roman" w:hAnsi="Times New Roman"/>
          <w:sz w:val="22"/>
          <w:szCs w:val="22"/>
          <w:lang w:val="sk-SK"/>
        </w:rPr>
        <w:t>U pacientov, ktorí sa liečili ganciklovirom</w:t>
      </w:r>
      <w:r>
        <w:rPr>
          <w:rFonts w:ascii="Times New Roman" w:hAnsi="Times New Roman"/>
          <w:sz w:val="22"/>
          <w:szCs w:val="22"/>
          <w:lang w:val="sk-SK"/>
        </w:rPr>
        <w:t>/valganciklovirom,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boli najzávažnejšími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najčastejšími nežiaducimi reakciami hematologické reakcie vrátane neutropénie, anémie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r>
        <w:rPr>
          <w:rFonts w:ascii="Times New Roman" w:hAnsi="Times New Roman"/>
          <w:sz w:val="22"/>
          <w:szCs w:val="22"/>
          <w:lang w:val="sk-SK"/>
        </w:rPr>
        <w:t xml:space="preserve"> (pozri časť 4.4)</w:t>
      </w:r>
      <w:r w:rsidRPr="005725BE">
        <w:rPr>
          <w:rFonts w:ascii="Times New Roman" w:hAnsi="Times New Roman"/>
          <w:sz w:val="22"/>
          <w:szCs w:val="22"/>
          <w:lang w:val="sk-SK"/>
        </w:rPr>
        <w:t>. Ďalšie nežiaduce reakcie sú uvedené v tabuľke nižšie.</w:t>
      </w: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933001">
        <w:rPr>
          <w:rFonts w:ascii="Times New Roman" w:hAnsi="Times New Roman"/>
          <w:sz w:val="22"/>
          <w:szCs w:val="22"/>
          <w:lang w:val="sk-SK"/>
        </w:rPr>
        <w:lastRenderedPageBreak/>
        <w:t xml:space="preserve">Frekvencie výskytu uvedené v tabuľke s nežiaducimi reakciami sú stanovené na základe súhrnnej populácie 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 HIV </w:t>
      </w:r>
      <w:r w:rsidRPr="00933001">
        <w:rPr>
          <w:rFonts w:ascii="Times New Roman" w:hAnsi="Times New Roman"/>
          <w:sz w:val="22"/>
          <w:szCs w:val="22"/>
          <w:lang w:val="sk-SK"/>
        </w:rPr>
        <w:t>(n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=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704), ktorí dostávali udržiavaciu liečbu ganciklovirom alebo valganciklovirom. Výnimkou sú agranulocytóza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granulocytopénia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3274D">
        <w:rPr>
          <w:rFonts w:ascii="Times New Roman" w:hAnsi="Times New Roman"/>
          <w:sz w:val="22"/>
          <w:szCs w:val="22"/>
          <w:lang w:val="sk-SK"/>
        </w:rPr>
        <w:t>anafylaktická reakcia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, ktorých frekvencie výskytu sa stanovili na základe skúseností z obdobia po uvedení lieku na trh. </w:t>
      </w:r>
      <w:r>
        <w:rPr>
          <w:rFonts w:ascii="Times New Roman" w:hAnsi="Times New Roman"/>
          <w:sz w:val="22"/>
          <w:szCs w:val="22"/>
          <w:lang w:val="sk-SK"/>
        </w:rPr>
        <w:t>Nežiaduce reakcie sú uvedené podľa triedy orgánových systémov podľa MedDRA. Kategórie f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rekvencie </w:t>
      </w:r>
      <w:r>
        <w:rPr>
          <w:rFonts w:ascii="Times New Roman" w:hAnsi="Times New Roman"/>
          <w:sz w:val="22"/>
          <w:szCs w:val="22"/>
          <w:lang w:val="sk-SK"/>
        </w:rPr>
        <w:t xml:space="preserve">sú definované pomocou nasledujúcej konvencie: </w:t>
      </w:r>
      <w:r w:rsidRPr="00933001">
        <w:rPr>
          <w:rFonts w:ascii="Times New Roman" w:hAnsi="Times New Roman"/>
          <w:sz w:val="22"/>
          <w:szCs w:val="22"/>
          <w:lang w:val="sk-SK"/>
        </w:rPr>
        <w:t>veľmi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menej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1/100), zriedkavé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 a veľmi zriedkavé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EC0D13">
        <w:rPr>
          <w:rFonts w:ascii="Times New Roman" w:hAnsi="Times New Roman"/>
          <w:sz w:val="22"/>
          <w:szCs w:val="22"/>
          <w:lang w:val="sk-SK"/>
        </w:rPr>
        <w:t>Celkový bezpečnostný profil gancikloviru/valgancikloviru je u pacientov infikovaných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HIV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pacientov po transplantácii orgánu zhodný okrem odlúpenia sietnice, ktoré bolo hlásené iba u</w:t>
      </w:r>
      <w:r>
        <w:rPr>
          <w:rFonts w:ascii="Times New Roman" w:hAnsi="Times New Roman"/>
          <w:sz w:val="22"/>
          <w:szCs w:val="22"/>
          <w:lang w:val="sk-SK"/>
        </w:rPr>
        <w:t> HIV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infikovaných </w:t>
      </w:r>
      <w:r w:rsidRPr="00EC0D13">
        <w:rPr>
          <w:rFonts w:ascii="Times New Roman" w:hAnsi="Times New Roman"/>
          <w:sz w:val="22"/>
          <w:szCs w:val="22"/>
          <w:lang w:val="sk-SK"/>
        </w:rPr>
        <w:t>pacientov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CMV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retinitídou. Vo frekvencii výskytu niektorých reakcií sú však určité rozdiely. 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EC0D13">
        <w:rPr>
          <w:rFonts w:ascii="Times New Roman" w:hAnsi="Times New Roman"/>
          <w:sz w:val="22"/>
          <w:szCs w:val="22"/>
          <w:lang w:val="sk-SK"/>
        </w:rPr>
        <w:t>ntravenózn</w:t>
      </w:r>
      <w:r>
        <w:rPr>
          <w:rFonts w:ascii="Times New Roman" w:hAnsi="Times New Roman"/>
          <w:sz w:val="22"/>
          <w:szCs w:val="22"/>
          <w:lang w:val="sk-SK"/>
        </w:rPr>
        <w:t>e podávaný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 ganciklovir</w:t>
      </w:r>
      <w:r>
        <w:rPr>
          <w:rFonts w:ascii="Times New Roman" w:hAnsi="Times New Roman"/>
          <w:sz w:val="22"/>
          <w:szCs w:val="22"/>
          <w:lang w:val="sk-SK"/>
        </w:rPr>
        <w:t xml:space="preserve"> je v porovnaní s perorálne podávaným valganciklovirom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 spájaný s</w:t>
      </w:r>
      <w:r>
        <w:rPr>
          <w:rFonts w:ascii="Times New Roman" w:hAnsi="Times New Roman"/>
          <w:sz w:val="22"/>
          <w:szCs w:val="22"/>
          <w:lang w:val="sk-SK"/>
        </w:rPr>
        <w:t> niž</w:t>
      </w:r>
      <w:r w:rsidRPr="00EC0D13">
        <w:rPr>
          <w:rFonts w:ascii="Times New Roman" w:hAnsi="Times New Roman"/>
          <w:sz w:val="22"/>
          <w:szCs w:val="22"/>
          <w:lang w:val="sk-SK"/>
        </w:rPr>
        <w:t>ším rizikom hnačky. Pyrexia, kandidové infekcie, depresia, závažná neutropénia (ANC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500</w:t>
      </w:r>
      <w:r>
        <w:rPr>
          <w:rFonts w:ascii="Times New Roman" w:hAnsi="Times New Roman"/>
          <w:sz w:val="22"/>
          <w:szCs w:val="22"/>
          <w:lang w:val="sk-SK"/>
        </w:rPr>
        <w:t>/</w:t>
      </w:r>
      <w:r w:rsidRPr="00EC0D13">
        <w:rPr>
          <w:rFonts w:ascii="Times New Roman" w:hAnsi="Times New Roman"/>
          <w:sz w:val="22"/>
          <w:szCs w:val="22"/>
          <w:lang w:val="sk-SK"/>
        </w:rPr>
        <w:t>µl) a kožné reakcie sú častejšie hlásené u pacientov infikovaných HIV. Dysfunkcia obličiek a dysfunkcia pečene sú častejšie hlásené u 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bookmarkStart w:id="6" w:name="_Hlk493596309"/>
      <w:bookmarkEnd w:id="5"/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Tabuľkový </w:t>
      </w:r>
      <w:r>
        <w:rPr>
          <w:rFonts w:ascii="Times New Roman" w:hAnsi="Times New Roman"/>
          <w:sz w:val="22"/>
          <w:szCs w:val="22"/>
          <w:u w:val="single"/>
          <w:lang w:val="sk-SK"/>
        </w:rPr>
        <w:t>zoznam</w:t>
      </w: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 nežiaducich reakcií</w:t>
      </w:r>
    </w:p>
    <w:p w:rsidR="0010462A" w:rsidRPr="009E7821" w:rsidRDefault="0010462A" w:rsidP="0010462A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2076"/>
      </w:tblGrid>
      <w:tr w:rsidR="0010462A" w:rsidRPr="009E7821" w:rsidTr="00C857EA">
        <w:trPr>
          <w:cantSplit/>
          <w:tblHeader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Nežiaduce reakcie na liek (adverse drug reactions, </w:t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ADR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(MedDRA)</w:t>
            </w:r>
          </w:p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Trieda orgánových systémov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Kategória frekvencie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Infekcie a nákazy: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Kandidové infekcie vrátane kandidózy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ústnej dutiny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horných dýchacích ciest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Sepsa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Chrípka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močových ciest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Celulitída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krvi a lymfatického systému: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Neutropénia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Anémia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Trombocytopénia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Leukopénia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Pancytopénia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kostnej drene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Aplastická anémia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Agranulocytóza*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Granulocytopénia*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imunitného systému: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Precitlivenosť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Anafylaktická reakcia*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metabolizmu a výživy: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Znížená chuť do jedla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ie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telesn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ej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hmotnos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ti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Psychické poruchy: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Depresia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Stav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y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zmätenosti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Agit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ovanosť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Psychotická porucha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Abnormálne uvažovanie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Halucinácie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nervového systému: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hlavy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Insomnia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Periférna neuropatia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Závraty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Parestézia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Hypestéza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Kŕče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Dysgeúzia (porucha vnímania chuti)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Tremor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oka: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videnia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Odlúpenie sietnice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Zákaly 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 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sklovci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oka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Konjunktivitída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Edém makuly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ucha a labyrintu: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ucha</w:t>
            </w:r>
          </w:p>
        </w:tc>
        <w:tc>
          <w:tcPr>
            <w:tcW w:w="1215" w:type="pct"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Hluchota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srdca a srdcovej činnosti: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rytmie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ciev: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Hypotenzia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dýchacej sústavy, hrudníka a mediastína: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Dyspnoe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Poruchy gastrointestinálneho traktu: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Hnačka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Nauzea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Del="003E2D7D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Vracanie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Del="003E2D7D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brucha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Dyspepsia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Plynatosť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A91FF6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v hornej časti brucha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Zápcha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Pr="005725BE">
              <w:rPr>
                <w:rFonts w:ascii="Times New Roman" w:hAnsi="Times New Roman"/>
                <w:sz w:val="22"/>
                <w:szCs w:val="22"/>
                <w:lang w:val="sk-SK"/>
              </w:rPr>
              <w:t>vorenie vriedkov v ústnej dutine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Dysfágia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Abdominálna distenzia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Del="003E2D7D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Pankreatitída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pečene a žlčových ciest: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alkalickej fosfatázy v krvi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pečene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aspartátaminotransferázy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alanínaminotransferázy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kože a podkožného tkaniva: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Dermatitída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Nočné potenie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Pruritus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Vyrážka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Alopécia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Suchosť kože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Urtikária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kostrovej a svalovej sústavy a spojivového tkaniva: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chrbta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Myalgia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Artralgia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Svalové kŕče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obličiek a močových ciest: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obličiek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Znížený renálny klírens kreatinínu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kreatinínu v krvi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obličiek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Hematúria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reprodukčného systému a prsníkov: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Mužská neplodnosť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10462A" w:rsidRPr="009E7821" w:rsidRDefault="0010462A" w:rsidP="00C857EA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Celkové poruchy a reakcie v mieste podania: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Pyrexia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Únava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Reakcia v mieste podania injekcie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Zimnica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Celková malátnosť 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215" w:type="pct"/>
            <w:vMerge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C857EA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na hrudníku</w:t>
            </w:r>
          </w:p>
        </w:tc>
        <w:tc>
          <w:tcPr>
            <w:tcW w:w="1215" w:type="pct"/>
          </w:tcPr>
          <w:p w:rsidR="0010462A" w:rsidRPr="009E7821" w:rsidRDefault="0010462A" w:rsidP="00C857EA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</w:tbl>
    <w:p w:rsidR="0010462A" w:rsidRPr="009E7821" w:rsidRDefault="0010462A" w:rsidP="0010462A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F66201">
        <w:rPr>
          <w:rFonts w:ascii="Times New Roman" w:hAnsi="Times New Roman"/>
          <w:i/>
          <w:sz w:val="20"/>
          <w:lang w:val="sk-SK"/>
        </w:rPr>
        <w:t xml:space="preserve">* Frekvencie výskytu týchto nežiaducich účinkov sú </w:t>
      </w:r>
      <w:r>
        <w:rPr>
          <w:rFonts w:ascii="Times New Roman" w:hAnsi="Times New Roman"/>
          <w:i/>
          <w:sz w:val="20"/>
          <w:lang w:val="sk-SK"/>
        </w:rPr>
        <w:t>stanovené na základe</w:t>
      </w:r>
      <w:r w:rsidRPr="00F66201">
        <w:rPr>
          <w:rFonts w:ascii="Times New Roman" w:hAnsi="Times New Roman"/>
          <w:i/>
          <w:sz w:val="20"/>
          <w:lang w:val="sk-SK"/>
        </w:rPr>
        <w:t xml:space="preserve"> skúseností z obdobia po uvedení lieku na trh, všetky ostatné frekvencie výskytu vychádzajú z frekvencie hlásenej v klinických skúšaniach.</w:t>
      </w:r>
    </w:p>
    <w:bookmarkEnd w:id="6"/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Popis vybraných nežiaducich reakcií</w:t>
      </w:r>
    </w:p>
    <w:p w:rsidR="0010462A" w:rsidRPr="00EC148A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Neutropénia</w:t>
      </w:r>
    </w:p>
    <w:p w:rsidR="0010462A" w:rsidRPr="00EC148A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Riziko neutropénie</w:t>
      </w:r>
      <w:r>
        <w:rPr>
          <w:rFonts w:ascii="Times New Roman" w:hAnsi="Times New Roman"/>
          <w:sz w:val="22"/>
          <w:szCs w:val="22"/>
          <w:lang w:val="sk-SK"/>
        </w:rPr>
        <w:t xml:space="preserve"> nie je možné predvídať na základe</w:t>
      </w:r>
      <w:r w:rsidRPr="005725BE">
        <w:rPr>
          <w:rFonts w:ascii="Times New Roman" w:hAnsi="Times New Roman"/>
          <w:sz w:val="22"/>
          <w:szCs w:val="22"/>
          <w:lang w:val="sk-SK"/>
        </w:rPr>
        <w:t> počtu neutrofilov pred liečbou. Neutropénia sa zvyčajne vyskytne počas prvého alebo druhého týždňa indukčnej liečby a po podaní kumulatívnych dávok ≤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mg/kg. Počet krviniek sa zvyčajne vráti do normálu 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dní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ukončení liečby, alebo po znížení dávky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4.4).</w:t>
      </w: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694109" w:rsidRDefault="0010462A" w:rsidP="0010462A">
      <w:pPr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bookmarkStart w:id="7" w:name="_Hlk493596435"/>
      <w:r>
        <w:rPr>
          <w:rFonts w:ascii="Times New Roman" w:hAnsi="Times New Roman"/>
          <w:i/>
          <w:sz w:val="22"/>
          <w:szCs w:val="22"/>
          <w:lang w:val="sk-SK"/>
        </w:rPr>
        <w:t>Závažná neutropénia</w:t>
      </w: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D976E4">
        <w:rPr>
          <w:rFonts w:ascii="Times New Roman" w:hAnsi="Times New Roman"/>
          <w:sz w:val="22"/>
          <w:szCs w:val="22"/>
          <w:lang w:val="sk-SK"/>
        </w:rPr>
        <w:t xml:space="preserve">Závažná neutropénia </w:t>
      </w:r>
      <w:r>
        <w:rPr>
          <w:rFonts w:ascii="Times New Roman" w:hAnsi="Times New Roman"/>
          <w:sz w:val="22"/>
          <w:szCs w:val="22"/>
          <w:lang w:val="sk-SK"/>
        </w:rPr>
        <w:t xml:space="preserve">bola častejšie hlásená </w:t>
      </w:r>
      <w:r w:rsidRPr="00D976E4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 HIV </w:t>
      </w:r>
      <w:r w:rsidRPr="00D976E4">
        <w:rPr>
          <w:rFonts w:ascii="Times New Roman" w:hAnsi="Times New Roman"/>
          <w:sz w:val="22"/>
          <w:szCs w:val="22"/>
          <w:lang w:val="sk-SK"/>
        </w:rPr>
        <w:t>(1</w:t>
      </w:r>
      <w:r>
        <w:rPr>
          <w:rFonts w:ascii="Times New Roman" w:hAnsi="Times New Roman"/>
          <w:sz w:val="22"/>
          <w:szCs w:val="22"/>
          <w:lang w:val="sk-SK"/>
        </w:rPr>
        <w:t>4 </w:t>
      </w:r>
      <w:r w:rsidRPr="00D976E4">
        <w:rPr>
          <w:rFonts w:ascii="Times New Roman" w:hAnsi="Times New Roman"/>
          <w:sz w:val="22"/>
          <w:szCs w:val="22"/>
          <w:lang w:val="sk-SK"/>
        </w:rPr>
        <w:t>%)</w:t>
      </w:r>
      <w:r>
        <w:rPr>
          <w:rFonts w:ascii="Times New Roman" w:hAnsi="Times New Roman"/>
          <w:sz w:val="22"/>
          <w:szCs w:val="22"/>
          <w:lang w:val="sk-SK"/>
        </w:rPr>
        <w:t xml:space="preserve">, ktorí dostávali udržiavaciu liečbu </w:t>
      </w:r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r>
        <w:rPr>
          <w:rFonts w:ascii="Times New Roman" w:hAnsi="Times New Roman"/>
          <w:sz w:val="22"/>
          <w:szCs w:val="22"/>
          <w:lang w:val="sk-SK"/>
        </w:rPr>
        <w:t xml:space="preserve">, perorálne alebo intravenózne podávaným ganciklovirom (n = 1 704), </w:t>
      </w:r>
      <w:r w:rsidRPr="00D976E4">
        <w:rPr>
          <w:rFonts w:ascii="Times New Roman" w:hAnsi="Times New Roman"/>
          <w:sz w:val="22"/>
          <w:szCs w:val="22"/>
          <w:lang w:val="sk-SK"/>
        </w:rPr>
        <w:t>ako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, ktorí boli liečení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valganciklovirom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ganciklovirom. U pacientov, ktorí boli liečení valganciklovirom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ganciklovirom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 100.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dňa po transplantácii, bol výskyt závažnej neutropénie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uvedenom poradí, zatiaľ čo u pacientov, ktorí boli liečení valganciklovirom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200.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dňa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transplantácii, bol výskyt závažnej neutropénie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bookmarkEnd w:id="7"/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Trombocytopénia</w:t>
      </w:r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Pacienti</w:t>
      </w:r>
      <w:r>
        <w:rPr>
          <w:rFonts w:ascii="Times New Roman" w:hAnsi="Times New Roman"/>
          <w:sz w:val="22"/>
          <w:szCs w:val="22"/>
          <w:lang w:val="sk-SK"/>
        </w:rPr>
        <w:t>, ktorí majú na začiatku liečby</w:t>
      </w:r>
      <w:r w:rsidRPr="005725BE">
        <w:rPr>
          <w:rFonts w:ascii="Times New Roman" w:hAnsi="Times New Roman"/>
          <w:sz w:val="22"/>
          <w:szCs w:val="22"/>
          <w:lang w:val="sk-SK"/>
        </w:rPr>
        <w:t> nízky poč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>t trombocytov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000/</w:t>
      </w:r>
      <w:r>
        <w:rPr>
          <w:rFonts w:ascii="Times New Roman" w:hAnsi="Times New Roman"/>
          <w:sz w:val="22"/>
          <w:szCs w:val="22"/>
          <w:lang w:val="sk-SK"/>
        </w:rPr>
        <w:t>µ</w:t>
      </w:r>
      <w:r w:rsidRPr="005725BE">
        <w:rPr>
          <w:rFonts w:ascii="Times New Roman" w:hAnsi="Times New Roman"/>
          <w:sz w:val="22"/>
          <w:szCs w:val="22"/>
          <w:lang w:val="sk-SK"/>
        </w:rPr>
        <w:t>l) sú vystavení zvýšenému riziku rozvoja trombocytopénie. Pacienti s iatrogénnou imunosupresiou sú kvôli liečbe imunosupresívami vystavení vyššiemu riziku trombocytopénie ako pacienti s AIDS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4.4). Závažná trombocytopénia môže byť spojená s potenciálne život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ohrozujúcim krvácaním.</w:t>
      </w:r>
    </w:p>
    <w:p w:rsidR="0010462A" w:rsidRPr="000F706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Kŕče</w:t>
      </w: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U pacientov dostávajúcich 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5725BE">
        <w:rPr>
          <w:rFonts w:ascii="Times New Roman" w:hAnsi="Times New Roman"/>
          <w:sz w:val="22"/>
          <w:szCs w:val="22"/>
          <w:lang w:val="sk-SK"/>
        </w:rPr>
        <w:t>cilastatín a ganciklovir bol hlásený výskyt kŕčov 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5725BE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Odl</w:t>
      </w:r>
      <w:r>
        <w:rPr>
          <w:rFonts w:ascii="Times New Roman" w:hAnsi="Times New Roman"/>
          <w:i/>
          <w:sz w:val="22"/>
          <w:szCs w:val="22"/>
          <w:lang w:val="sk-SK"/>
        </w:rPr>
        <w:t>ú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p</w:t>
      </w:r>
      <w:r>
        <w:rPr>
          <w:rFonts w:ascii="Times New Roman" w:hAnsi="Times New Roman"/>
          <w:i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nie sietnice</w:t>
      </w: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Táto nežiaduca reakcia bola hlásená len v štúdiách 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5725BE">
        <w:rPr>
          <w:rFonts w:ascii="Times New Roman" w:hAnsi="Times New Roman"/>
          <w:sz w:val="22"/>
          <w:szCs w:val="22"/>
          <w:lang w:val="sk-SK"/>
        </w:rPr>
        <w:t> pacient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s AIDS liečených Cymevene pre CMV retinitídu.</w:t>
      </w:r>
    </w:p>
    <w:p w:rsidR="0010462A" w:rsidRPr="00A016B0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lastRenderedPageBreak/>
        <w:t>Reakcie v mieste vpichu injekcie</w:t>
      </w:r>
    </w:p>
    <w:p w:rsidR="0010462A" w:rsidRPr="00A016B0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Reakcie v mieste vpichu injekcie sa môžu u pacientov užívajúcich ganciklovir vyskytovať</w:t>
      </w:r>
      <w:r>
        <w:rPr>
          <w:rFonts w:ascii="Times New Roman" w:hAnsi="Times New Roman"/>
          <w:sz w:val="22"/>
          <w:szCs w:val="22"/>
          <w:lang w:val="sk-SK"/>
        </w:rPr>
        <w:t xml:space="preserve"> často</w:t>
      </w:r>
      <w:r w:rsidRPr="005725BE">
        <w:rPr>
          <w:rFonts w:ascii="Times New Roman" w:hAnsi="Times New Roman"/>
          <w:sz w:val="22"/>
          <w:szCs w:val="22"/>
          <w:lang w:val="sk-SK"/>
        </w:rPr>
        <w:t>. Cymevene sa má podávať podľa odporúčaní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4.2, aby sa znížilo riziko lokálneho podráždenia tkaniva.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U detí vo veku do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rokov neboli vykonané formálne klinické štúdie s ganciklovirom zamerané na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bezpečnosť, ale zo skúseností s valganciklovirom, ako prekurzorom gancikloviru, je celkový bezpečnostný profil liečiva podobný u pacientov v pediatrickej a dospelej populácii. Napriek tomu sa určit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nežiaduc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>, ako napríklad pyrexia a abdominálna bolesť, ktoré sú charakteristické pre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pediatrickú populáciu, vyskytuj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častejšie u pediatrických pacientov ako u dospelých. Podobne neutropénia sa vyskytuje častejšie u pediatrických pacientov, avšak medzi neutropéniou a infekciami, ako nežiaducimi reakciami u pediatrickej populácie, nie je žiaden súvis.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U novorodencov a dojčiat s HIV/AIDS alebo symptomatickými vrodenými CMV infekciami liečených valganciklovirom alebo ganciklovirom sú dostupné len obmedzené údaje, napriek tomu sa zdá, že bezpečnostný profil zodpovedá známemu bezpečnostnému profilu valgancikloviru/gancikloviru.</w:t>
      </w:r>
    </w:p>
    <w:p w:rsidR="0010462A" w:rsidRPr="00A016B0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10462A" w:rsidRPr="002D7A3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>
        <w:rPr>
          <w:rFonts w:ascii="Times New Roman" w:hAnsi="Times New Roman"/>
          <w:sz w:val="22"/>
          <w:szCs w:val="22"/>
          <w:lang w:val="sk-SK"/>
        </w:rPr>
        <w:t xml:space="preserve">reakcie na </w:t>
      </w:r>
      <w:r w:rsidRPr="00E93E03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E93E03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2D7A3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4.9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Príznaky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Správy o predávkovaní intravenózne podaným ganciklovirom, niektoré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fatálnym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koncom, sa získali z klinických skúšaní a z postmarketingových skúseností. Väčšina prípadov buď nemala súvis so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žiadnou inou nežiaducou reakciou, alebo sa vyskytla s jednou alebo viacerými nežiaducimi reakciami uvedenými nižšie: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Hematologická toxicita: myelosupresia vrátane pancytopénie, aplázia kostnej drene, leukopénia, neutropénia, granulocytopénia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Hepatotoxicita: hepatitída, porucha funkcie pečene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Renálna toxicita: zhoršenie hematúrie u pacientov s už existujúcim ochorením obličiek, akútne zlyhanie obličiek, zvýšená hladina kreatinínu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Gastrointestinálna toxicita: bolesti brucha, hnačka, vracanie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Neurotoxicita: generalizovaný tremor, kŕče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>
        <w:rPr>
          <w:rFonts w:ascii="Times New Roman" w:hAnsi="Times New Roman"/>
          <w:sz w:val="22"/>
          <w:szCs w:val="24"/>
          <w:u w:val="single"/>
          <w:lang w:val="sk-SK" w:eastAsia="ja-JP"/>
        </w:rPr>
        <w:t>Liečba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Ganciklovir sa odbúrava hemodialýzou, preto hemodialýza môže pomôcť pri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znižovaní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expozíci</w:t>
      </w:r>
      <w:r>
        <w:rPr>
          <w:rFonts w:ascii="Times New Roman" w:hAnsi="Times New Roman"/>
          <w:sz w:val="22"/>
          <w:szCs w:val="24"/>
          <w:lang w:val="sk-SK" w:eastAsia="ja-JP"/>
        </w:rPr>
        <w:t>e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lieku u pacientov, u ktorých dôjde k predávkovaniu ganciklovirom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5.2).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Dodatočné informácie pre osobitné populácie pacientov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Porucha funkcie obličiek: predpokladá sa, že predávkovanie ganciklovirom môže u pacientov s poruchou funkcie obličiek spôsobiť zvýšenú renálnu toxicitu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F531D2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lastRenderedPageBreak/>
        <w:t>Nie sú dostupné konkrétne informácie.</w:t>
      </w:r>
    </w:p>
    <w:p w:rsidR="0010462A" w:rsidRPr="00AF1AB0" w:rsidRDefault="0010462A" w:rsidP="0010462A">
      <w:pPr>
        <w:pStyle w:val="TextTi11"/>
        <w:spacing w:after="0" w:line="240" w:lineRule="auto"/>
        <w:jc w:val="left"/>
        <w:rPr>
          <w:szCs w:val="22"/>
          <w:lang w:val="sk-SK"/>
        </w:rPr>
      </w:pPr>
    </w:p>
    <w:p w:rsidR="0010462A" w:rsidRPr="00F531D2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Farmakodynamické vlastnosti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Farmakoterapeutická skupina:</w:t>
      </w:r>
      <w:r w:rsidRPr="00EF5929">
        <w:rPr>
          <w:rFonts w:ascii="Times New Roman" w:hAnsi="Times New Roman"/>
          <w:sz w:val="22"/>
          <w:szCs w:val="22"/>
          <w:lang w:val="sk-SK"/>
        </w:rPr>
        <w:t xml:space="preserve"> antivirotiká na systémové použitie, priamo pôsobiace antivirotiká, nukleozidy a nukleotidy s výnimkou inhibítorov reverznej transkriptázy,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1AB0">
        <w:rPr>
          <w:rFonts w:ascii="Times New Roman" w:hAnsi="Times New Roman"/>
          <w:sz w:val="22"/>
          <w:szCs w:val="22"/>
          <w:lang w:val="sk-SK"/>
        </w:rPr>
        <w:t>ATC k</w:t>
      </w:r>
      <w:r>
        <w:rPr>
          <w:rFonts w:ascii="Times New Roman" w:hAnsi="Times New Roman"/>
          <w:sz w:val="22"/>
          <w:szCs w:val="22"/>
          <w:lang w:val="sk-SK"/>
        </w:rPr>
        <w:t>ód</w:t>
      </w:r>
      <w:r w:rsidRPr="00AF1AB0">
        <w:rPr>
          <w:rFonts w:ascii="Times New Roman" w:hAnsi="Times New Roman"/>
          <w:sz w:val="22"/>
          <w:szCs w:val="22"/>
          <w:lang w:val="sk-SK"/>
        </w:rPr>
        <w:t>: J05AB06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167927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Ganciklovir je syntetický analóg guanínu, ktorý inhibuje replikáciu herpetických vírusov 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vitro</w:t>
      </w:r>
      <w:r w:rsidRPr="00AF1AB0">
        <w:rPr>
          <w:rFonts w:ascii="Times New Roman" w:hAnsi="Times New Roman"/>
          <w:sz w:val="22"/>
          <w:szCs w:val="22"/>
          <w:lang w:val="sk-SK"/>
        </w:rPr>
        <w:t xml:space="preserve"> aj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 w:rsidRPr="00AF1AB0"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vivo</w:t>
      </w:r>
      <w:r w:rsidRPr="00AF1AB0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 humánnych vírusov sú na ganciklovir citlivé ľudský cytomegalovírus (HCMV), vírus herpes simplex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2 (HSV1 a HSV2), ľudský vírus herpes simplex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6,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a 8 (HHV6, HHV7, HHV8 ), Epsteinov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Barrovej vírus (EBV), vírus varicella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zoster (VZV) a vírus hepatitídy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B. Klinické štúdie vyhodnot</w:t>
      </w:r>
      <w:r>
        <w:rPr>
          <w:rFonts w:ascii="Times New Roman" w:hAnsi="Times New Roman"/>
          <w:sz w:val="22"/>
          <w:szCs w:val="24"/>
          <w:lang w:val="sk-SK" w:eastAsia="ja-JP"/>
        </w:rPr>
        <w:t>ili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účinnos</w:t>
      </w:r>
      <w:r>
        <w:rPr>
          <w:rFonts w:ascii="Times New Roman" w:hAnsi="Times New Roman"/>
          <w:sz w:val="22"/>
          <w:szCs w:val="24"/>
          <w:lang w:val="sk-SK" w:eastAsia="ja-JP"/>
        </w:rPr>
        <w:t>ť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lieku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len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proti CMV infekciám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infikovaných bunkách sa ganciklovir najskôr fosforyluje vírusovou proteínkinázou pUL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na ganciklovir monofosfát. Účinkom niekoľkých bunkových kináz dochádza k ďalšej fosforylácii, čo vedie ku vzniku ganciklovir trifosfátu, ktorý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následne pomaly intracelulárne metabolizuje. Preukázalo sa to v bunkách infikovaných vírusmi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HSV s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 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hodín a vírusmi CMV s 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 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hodín, po odstránení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extracelulárneho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gancikloviru. Keďže fosforylácia je vo veľkej miere závislá od vírusovej kinázy, fosforylácia gancikloviru prebieha väčšinou v bunkách infikovaných vírusom.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Virostatická aktivita gancikloviru spočíva v inhibícii syntézy vírusovej DNA a to: (1) kompetitívnou inhibíciou včlenenia deoxyguanozín trifosfátu do DNA, DNA polymerázou a (2) včlenením ganciklovir trifosfátu do vírusovej DNA, čím sa spôsobí prerušenie alebo sa veľmi obmedzí predĺženie vírusovej DNA.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Antivírusová aktivita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Antivírusová aktivita gancikloviru 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in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vitro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voči CMV meraná IC50 sa pohybuje v rozmedzí 0,08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(0,02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(3,57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g/ml).</w:t>
      </w:r>
    </w:p>
    <w:p w:rsidR="0010462A" w:rsidRPr="00EF5929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t>Klinická účinnosť a bezpečnosť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Vírusová rezistencia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Pravdepodobnosť vírusovej rezistencie sa má zvážiť u pacientov, ktorí opakovane dosiahli slabú klinickú odpoveď na liečbu, alebo u nich počas liečby pretrvávala kontinuálna vírusová exkrécia.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Vírusová rezistencia na ganciklovir môže vzniknúť selekciou mutácií 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géne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vírusovej kináz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y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97) zodpovedn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za monofosforyláciu gancikloviru a/alebo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géne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vírusov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ej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pomyleráz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54). Vírusy obsahujúce mutácie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97 sú rezistentné na samotný ganciklovir, kým vírusy s mutáciou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54 sú rezistentné na ganciklovir, avšak môžu preukázať skríženú rezistenciu aj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na iné antivirotiká, ktorých miestom účinku je tiež vírusová pomyleráza.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Pediatrická populácia</w:t>
      </w: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prospektívnej štúdii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36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závažne imunokompromitovaných pediatrických pacientov (vo veku 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mesiacov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rokov) s infekciou HIV a CMV dostávalo intravenózne podaný ganciklovir v dávke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mg/kg denne počas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 a následne perorálne podávaný ganciklovir v priemere počas 32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týždňov. Ganciklovir bol účinný s profilom toxicity podobným ako u dospelých. Ganciklovir sa spájal s poklesom detekcie CMV kultiváciou alebo pri použití polymerázovej reťazovej reakcie. Neutropénia bola jediná závažná nežiaduca reakcia pozorovaná v priebehu štúdie a napriek tomu, že u žiadneho dieťaťa nebolo nutné ukončiť liečbu,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prípadoch bola nasadená liečba rastovým faktorom stimulujúcim kolónie granulocytov (G-CSF), aby sa udržal absolútny počet neutrofilov 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väčší </w:t>
      </w:r>
      <w:r w:rsidRPr="00EF5929">
        <w:rPr>
          <w:rFonts w:ascii="Times New Roman" w:eastAsia="Arial Unicode MS" w:hAnsi="Times New Roman" w:cs="Arial"/>
          <w:iCs/>
          <w:sz w:val="22"/>
          <w:szCs w:val="24"/>
          <w:lang w:val="sk-SK" w:eastAsia="ja-JP"/>
        </w:rPr>
        <w:t xml:space="preserve">ako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buniek/mm</w:t>
      </w:r>
      <w:r w:rsidRPr="00EF5929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3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retrospektívnej štúdii dostávalo 122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pediatrických príjemcov transplantovanej pečene (vo veku 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rokov, priemerný vek 2,5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roka) minimálne počas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 intravenózne podaný ganciklovir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mg/kg dvakrát denne s následným preemptívnym PCR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 monitoringom. 43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pacientov bolo považovaných za vysokorizikových z hľadiska rizika vzniku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79 sa považovalo riziko za bežné. Asymptomatická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infekcia bola dete</w:t>
      </w:r>
      <w:r>
        <w:rPr>
          <w:rFonts w:ascii="Times New Roman" w:hAnsi="Times New Roman"/>
          <w:sz w:val="22"/>
          <w:szCs w:val="24"/>
          <w:lang w:val="sk-SK" w:eastAsia="ja-JP"/>
        </w:rPr>
        <w:t>g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ovaná pomocou PCR u 34,4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% pacientov a jej výskyt bol pravdepodobnejší u vysokorizikových príjemcov, ako u príjemcov s bežným rizikom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(58,1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voči 21,8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p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 0,0001). U dvanástich pacientov (9,8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%) sa vyvinulo ochorenie CMV (u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vysokorizikových voči 4 s bežným rizikom,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0,03). U troch pacientov sa vyvinula akútna rejekcia do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mesiacov od detekcie CMV,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ale rejekcia predchádzala CMV infekciu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pacientov. Smrť ako sekundárny následok CMV sa nevyskytla. Celkovo 38,5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pacientov nedostalo antivírusovú medikáciu po ich iniciálnej pooperačnej profylaxii.</w:t>
      </w: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 retrospektívnej analýze sa porovnávala bezpečnosť a účinnosť gancikloviru v 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valganciklovirom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pediatrických pacientov s transplantáciou obličky a/alebo pečene (vo veku 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rokov, medián veku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rokov). Všetky deti dostávali intravenózne podaný ganciklovir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dávke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mg/kg dvakrát denne počas dvoch týždňov po transplantácii. </w:t>
      </w:r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>Deti liečené pred rokom 2004 dostali následne perorálne podaný ganciklovir trikrát denne v dávke 30 mg/kg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až do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g/dávku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41), kým deti liečené po roku 2004 dostávali valganciklovir raz denne v dávke až do 900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51). Celková incidencia CMV bola 16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(15/92 pacientov). Čas do prepuknutia CMV infekcie bol porovnateľný v oboch skupinách.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V randomizovanej, kontrolovanej štúdii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dostávalo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novorodencov (vek menej ako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mesiac)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symptomatickým vrodeným CMV ochorením s komplikáciami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CNS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týždňov intravenózne podaný ganciklovir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mg/kg každých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hodín alebo žiadnu liečbu.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zaradených pacientov splnilo kritériá štúdie 42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 a na začiatku štúdie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mesiacoch sa vykonalo u nich audiometrické hodnotenie. 25 z nich dostávalo ganciklovir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nedostávalo žiadnu liečbu. Po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mesiacoch v porovnaní so stavom na začiatku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dvadsaťjeden z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25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pacientov, ktorí dostali ganciklovir, sluch zlepšil alebo zostal v norme,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 v kontrolnej skupine (84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a 59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v uvedenom poradí,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0,06).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žiadneho z pacientov, ktorým bol podaný ganciklovir sa neobjavilo zhoršenie sluchu od začiatku štúdie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mesiacov, v porovnaní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kontrolnej skupine 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Do jedného roka od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začiatku štúdie sa objavilo u 5/24 pacientov dostávajúcich ganciklovir 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13/19 pacientov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kontrolnej skupine zhoršenie sluchu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V priebehu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29/46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pacientov dostávajúcich ganciklovir vyskytla neutropénia, v porovnaní s 9/43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v kontrolnej skupine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0,1). V priebehu štúdie nastala smrť 9x, z toho 3x v skupine s ganciklovirom a 6x v kontrolnej skupine. Žiadna smrť nesúvisela so študijnou liečbou.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lastRenderedPageBreak/>
        <w:t>V randomizovanej, kontrolovanej štúdii III.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fázy dostávalo 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novorodencov (vo veku 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dní, medián veku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dní) so závažným symptomatickým vrodeným CMV ochorením s komplikáciami 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CNS buď ganciklovir intravenózne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48) alebo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žiadnu antivírusovú liečbu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52). Dojčatá, ktoré dostávali ganciklovir, mali zlepšené výsledky z hľadiska neurologického vývinu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mesiacoch, v porovnaní s tými, ktoré nedostávali antivírusovú liečbu. Hoci pacienti, ktorí dostávali ganciklovir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mali menšie oneskorenie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neurologické výsledky bližšie k normálnym hodnotám, väčšina z nich bola stále pod hodnotami, ktoré zodpovedajú normálnemu vývoju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týždňoch,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alebo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veku. Bezpečnosť v štúdii nebola hodnotená.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 retrospektívnej štúdii sa skúmal účinok antivírusovej liečby na neskorý nástup zhoršenia sluchu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vrodenou CMV infekciou (vo veku 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mesiacov, priemerný vek 10,3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±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7,8 mesiac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medián veku 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mesiacov). V štúdii bolo zaradených 21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normálnym sluchom pri narodení,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ktorých sa vyvinul oneskorený nástup zhoršenia sluchu. Antivírusová liečba pozostávala buď z:</w:t>
      </w: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- intravenózne podaného gancikloviru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jedenkrát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nasledovaná perorálnym valganciklovirom v dávke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až do veku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roka, alebo</w:t>
      </w: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- perorálne podaného valgancikloviru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počas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U nikoho z detí nebol nutný kochleárny implantát, zhoršenie sluchu sa zlepšilo 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83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% detí postihnutých zhoršením sluchu pri zaradení do štúdie. Neutropénia bola jediný hlásený vedľajší účinok, u žiadneho pacienta nebolo nutné prerušiť liečbu.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Farmakokinetické vlastnosti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Farmakokinetické vlastnosti gancikloviru sa hodnotili u HIVa CMV séropozitívnych pacientov, pacientov s AIDS a CMV retinitídou a u pacientov s transplantáciou solídnych orgánov.</w:t>
      </w:r>
    </w:p>
    <w:p w:rsidR="0010462A" w:rsidRPr="00D327B4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Distribúcia: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Distribučný objem gancikloviru po intravenóznom podaní koreluje s telesnou hmotnosťou. Distribučný objem v rovnovážnom stave je v rozmedzí 0,54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0,87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l/kg. Väzba na plazmatické bielkoviny je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pri koncentrácii gancikloviru 0,5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t>µ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g/ml. Ganciklovir prechádza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mozgovo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miešneho moku, kde boli pozorované koncentrácie dosahujúce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plazmatickej koncentrácie.</w:t>
      </w:r>
    </w:p>
    <w:p w:rsidR="0010462A" w:rsidRPr="00D327B4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Biotransformácia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Ganciklovir sa vo významnejšej miere nemetabolizuje.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Eliminácia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Ganciklovir sa eliminuje prevažne renálnou exkréciou pomocou glomerulárnej filtrácie a aktívnej tubulárnej sekrécie nezmeneného gancikloviru. U pacientov s normálnou funkciou obličiek sa viac ako 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intravenózne podaného gancikloviru vylúči močom v nezmenenej forme do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hodín.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Priemerný systémový klírens po podaní gancikloviru sa pohybuje v rozmedzí 2,64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0,38 ml/min/kg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15) až 4,52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2,79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ml/min/kg (</w:t>
      </w:r>
      <w:r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6), renálny klírens sa pohybuje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2,57 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0,69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15) až 3,48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0,68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20), čo zodpovedá 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101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% podaného gancikloviru.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Polčasy u pacientov bez poruchy funkcie obličiek sa pohybovali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2,73 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1,29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6) až 3,98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1,78 hodín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8).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Linearita/nelinearita</w:t>
      </w: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Intravenózne podaný ganciklovir preukazuje lineárnu farmakokinetiku v rozmedzí 1,6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5,0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bookmarkStart w:id="8" w:name="_Hlk493596899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Celkový </w:t>
      </w:r>
      <w:r>
        <w:rPr>
          <w:rFonts w:ascii="Times New Roman" w:hAnsi="Times New Roman"/>
          <w:sz w:val="22"/>
          <w:szCs w:val="24"/>
          <w:lang w:val="sk-SK" w:eastAsia="ja-JP"/>
        </w:rPr>
        <w:t>telový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klírens gancikloviru ko</w:t>
      </w:r>
      <w:r>
        <w:rPr>
          <w:rFonts w:ascii="Times New Roman" w:hAnsi="Times New Roman"/>
          <w:sz w:val="22"/>
          <w:szCs w:val="24"/>
          <w:lang w:val="sk-SK" w:eastAsia="ja-JP"/>
        </w:rPr>
        <w:t>rel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uje lineárne s klírensom kreatinínu. U pacientov s miern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, stredne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</w:t>
      </w:r>
      <w:r>
        <w:rPr>
          <w:rFonts w:ascii="Times New Roman" w:hAnsi="Times New Roman"/>
          <w:sz w:val="22"/>
          <w:szCs w:val="24"/>
          <w:lang w:val="sk-SK" w:eastAsia="ja-JP"/>
        </w:rPr>
        <w:t>ruchou funkcie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obličiek bol pozorovaný priemerný systémový klírens 2,1;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 0,3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ml/min./kg. Pacienti s poruchou funkcie obličiek majú dlhší polčas eliminácie</w:t>
      </w:r>
      <w:r>
        <w:rPr>
          <w:rFonts w:ascii="Times New Roman" w:hAnsi="Times New Roman"/>
          <w:sz w:val="22"/>
          <w:szCs w:val="24"/>
          <w:lang w:val="sk-SK" w:eastAsia="ja-JP"/>
        </w:rPr>
        <w:t>. U pacientov s ťažkou poruchou funkcie obličiek sa polčas eliminácie predĺžil 10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násobne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bookmarkEnd w:id="8"/>
      <w:r w:rsidRPr="00D327B4">
        <w:rPr>
          <w:rFonts w:ascii="Times New Roman" w:hAnsi="Times New Roman"/>
          <w:sz w:val="22"/>
          <w:szCs w:val="24"/>
          <w:lang w:val="sk-SK" w:eastAsia="ja-JP"/>
        </w:rPr>
        <w:t>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4.2. pre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úpravu dávky 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paciento</w:t>
      </w:r>
      <w:r>
        <w:rPr>
          <w:rFonts w:ascii="Times New Roman" w:hAnsi="Times New Roman"/>
          <w:sz w:val="22"/>
          <w:szCs w:val="24"/>
          <w:lang w:val="sk-SK" w:eastAsia="ja-JP"/>
        </w:rPr>
        <w:t>v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 poruchou funkcie obličiek).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 podstupujúci hemodialýzu</w:t>
      </w: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Hemodialýza redukuje plazmatickú koncentráciu gancikloviru približne 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po jeho intravenóznom podaní počas 4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hodinovej hemodialýzy.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Počas intermitentnej hemodialýzy sa odhaduje klírens gancikloviru v rozmedzí od 42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dialyzačným polčasom 3,3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</w:t>
      </w:r>
      <w:r>
        <w:rPr>
          <w:rFonts w:ascii="Times New Roman" w:hAnsi="Times New Roman"/>
          <w:sz w:val="22"/>
          <w:szCs w:val="24"/>
          <w:lang w:val="sk-SK" w:eastAsia="ja-JP"/>
        </w:rPr>
        <w:t>i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. Frakcia odobratého gancikloviru počas jednej dialýzy sa pohybovala medzi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až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%. Odhady klírensu gancikloviru pri kontinuálnej dialýze boli nižšie (4,0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29,6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ml/min), avšak vyústili do väčšej eliminácie gancikloviru počas intervalu dávky.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92492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bookmarkStart w:id="9" w:name="_Hlk493596924"/>
      <w:r w:rsidRPr="00D92492">
        <w:rPr>
          <w:rFonts w:ascii="Times New Roman" w:hAnsi="Times New Roman"/>
          <w:sz w:val="22"/>
          <w:szCs w:val="24"/>
          <w:u w:val="single"/>
          <w:lang w:val="sk-SK" w:eastAsia="ja-JP"/>
        </w:rPr>
        <w:t>Pacienti s poruchou funkcie pečene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Bezpečnosť a účinnosť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Cymevene sa neskúmali 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>u pacientov s poruchou funkcie pečene. Porucha funkcie pečene by nemala ovplyvniť farmakokinetiku gancikloviru, pretože sa vylučuje obličkami,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>preto nie je uvedené žiadne špecifické odporúčanie na dávkovanie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 4.2).</w:t>
      </w:r>
    </w:p>
    <w:bookmarkEnd w:id="9"/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>Farmakokinetika intravenózne podaného gancikloviru sa skúmala u novorodencov vo veku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49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dní v dávkach 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14) a 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13). Priemerný C</w:t>
      </w:r>
      <w:r w:rsidRPr="00D327B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max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bol 5,5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pri 4 mg/kg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7,0 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,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g/ml pri 6 mg/kg. Priemerná hodnota distribučného objemu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v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rovnovážn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om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stav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e bola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(0,7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l/kg) a pre syst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é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m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ov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ý klírens (3,15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0,47 ml/min/kg pri 4 mg/kg a 3,55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0,35 ml/min/kg pri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6 mg/kg) bola porovnateľná s hodnotami pozorovanými u dospelých s normálnou funkciou obličiek.</w:t>
      </w:r>
    </w:p>
    <w:p w:rsidR="0010462A" w:rsidRPr="00D327B4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Farmakokinetika intravenózne podaného gancikloviru sa skúmala tiež u dojčiat a detí s normálnou funkciou obličiek vo veku od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9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mesiacov do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rokov.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Farmakokinetická charakteristika gancikloviru bola rovnaká po jednorazovej a viacnásobnej (každých 12 h) intravenóznej dávke 5 mg/kg. Expozícia meraná priemerným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AUC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sym w:font="Symbol" w:char="F02D"/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∞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bola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 19,4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7,1 a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 24,1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14,6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g.h/ml, hodnoty zodpovedajúceho 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max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boli 7,59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3,21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deň) a 8,31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4,9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deň). Rozpätie expozície bolo podobné ako to, ktoré sa pozorovalo u dospelých. Zodpovedajúce hodnoty priemerného syst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é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m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ov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ého klírensu boli 4,66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1,72 ml/min/kg, priemerného renálneho klírensu 3,49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 2,40 ml/min/kg a priemerný polčas eliminácie bol </w:t>
      </w:r>
      <w:r w:rsidRPr="00D327B4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2,49 </w:t>
      </w:r>
      <w:r w:rsidRPr="00D327B4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0,57 h.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Farmakokinetika intravenózne podaného gancikloviru u dojčiat a detí bola podobná ako u novorodencov a dospelých.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270FC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270FC">
        <w:rPr>
          <w:rFonts w:ascii="Times New Roman" w:hAnsi="Times New Roman"/>
          <w:sz w:val="22"/>
          <w:szCs w:val="22"/>
          <w:u w:val="single"/>
          <w:lang w:val="sk-SK"/>
        </w:rPr>
        <w:t>Staršie osoby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Neboli vykonané žiadne štúdie s dospelými staršími ako 65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(pozri časť 4.2)</w:t>
      </w:r>
      <w:r w:rsidRPr="00AF1AB0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5.3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Predklinické údaje o bezpečnosti</w:t>
      </w:r>
    </w:p>
    <w:p w:rsidR="0010462A" w:rsidRDefault="0010462A" w:rsidP="0010462A">
      <w:pPr>
        <w:pStyle w:val="TextTi12"/>
        <w:keepNext/>
        <w:keepLines/>
        <w:jc w:val="left"/>
        <w:rPr>
          <w:sz w:val="22"/>
          <w:szCs w:val="22"/>
          <w:lang w:val="sk-SK"/>
        </w:rPr>
      </w:pPr>
    </w:p>
    <w:p w:rsidR="0010462A" w:rsidRPr="00AF1AB0" w:rsidRDefault="0010462A" w:rsidP="0010462A">
      <w:pPr>
        <w:pStyle w:val="TextTi12"/>
        <w:keepNext/>
        <w:keepLines/>
        <w:jc w:val="left"/>
        <w:rPr>
          <w:sz w:val="22"/>
          <w:szCs w:val="22"/>
          <w:lang w:val="sk-SK"/>
        </w:rPr>
      </w:pPr>
      <w:r w:rsidRPr="00AF1AB0">
        <w:rPr>
          <w:sz w:val="22"/>
          <w:szCs w:val="22"/>
          <w:lang w:val="sk-SK"/>
        </w:rPr>
        <w:t>Ganciklovir bol mutagénny v myšacích lymfómových bunkách a klastogénny v cicavčích bunkách.</w:t>
      </w:r>
      <w:r>
        <w:rPr>
          <w:sz w:val="22"/>
          <w:szCs w:val="22"/>
          <w:lang w:val="sk-SK"/>
        </w:rPr>
        <w:t xml:space="preserve"> </w:t>
      </w:r>
      <w:r w:rsidRPr="00AF1AB0">
        <w:rPr>
          <w:sz w:val="22"/>
          <w:szCs w:val="22"/>
          <w:lang w:val="sk-SK"/>
        </w:rPr>
        <w:t>Tieto výsledky zodpovedajú pozitívnej karcinogenite v štúdii s ganciklovirom na myšiach. Ganciclovir je potenciálny karcinogén.</w:t>
      </w:r>
    </w:p>
    <w:p w:rsidR="0010462A" w:rsidRDefault="0010462A" w:rsidP="0010462A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</w:p>
    <w:p w:rsidR="0010462A" w:rsidRDefault="0010462A" w:rsidP="0010462A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  <w:r w:rsidRPr="004256FA">
        <w:rPr>
          <w:snapToGrid w:val="0"/>
          <w:sz w:val="22"/>
          <w:szCs w:val="22"/>
          <w:lang w:val="sk-SK"/>
        </w:rPr>
        <w:t>Ganciklovir poškodzuje plodnosť a má teratogénne účinky u zvierat. Na základe štúdií na zvieratách, u ktorých systémovo pôsobiaci g</w:t>
      </w:r>
      <w:r>
        <w:rPr>
          <w:snapToGrid w:val="0"/>
          <w:sz w:val="22"/>
          <w:szCs w:val="22"/>
          <w:lang w:val="sk-SK"/>
        </w:rPr>
        <w:t>a</w:t>
      </w:r>
      <w:r w:rsidRPr="004256FA">
        <w:rPr>
          <w:snapToGrid w:val="0"/>
          <w:sz w:val="22"/>
          <w:szCs w:val="22"/>
          <w:lang w:val="sk-SK"/>
        </w:rPr>
        <w:t>nciklovir indukoval aspermatogenézu pri jeho subterapeutických hladinách, sa pokladá za pravdepodobné, že ganciklovir by mohol zapríčiniť inhibíciu spermatogenézy u mužov.</w:t>
      </w:r>
    </w:p>
    <w:p w:rsidR="0010462A" w:rsidRPr="00973C94" w:rsidRDefault="0010462A" w:rsidP="0010462A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:rsidR="0010462A" w:rsidRPr="00D92492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6.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:rsidR="0010462A" w:rsidRPr="00D92492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Hydroxid sodný (na úpravu pH)</w:t>
      </w:r>
    </w:p>
    <w:p w:rsidR="0010462A" w:rsidRPr="001D2AF2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Kyselina chlorovodíková (na úpravu pH)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Nevykonali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štúdie kompatibility,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preto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nesmie </w:t>
      </w:r>
      <w:r>
        <w:rPr>
          <w:rFonts w:ascii="Times New Roman" w:hAnsi="Times New Roman"/>
          <w:sz w:val="22"/>
          <w:szCs w:val="24"/>
          <w:lang w:val="sk-SK" w:eastAsia="ja-JP"/>
        </w:rPr>
        <w:t>miešať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s inými liekmi </w:t>
      </w:r>
      <w:r>
        <w:rPr>
          <w:rFonts w:ascii="Times New Roman" w:hAnsi="Times New Roman"/>
          <w:sz w:val="22"/>
          <w:szCs w:val="24"/>
          <w:lang w:val="sk-SK" w:eastAsia="ja-JP"/>
        </w:rPr>
        <w:t>okrem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tých, ktoré sú uvedené v časti 6.6. Nepoužívať bakteriostatickú vodu na injekciu s prísadou parabénov (parahydroxybenzoáty), pretože sú s Cymevene inkompatibilné a môžu spôsobovať precipitáciu.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roky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rekonštitúcii: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vode na injekciu) preukázaná počas 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°C. Neuchovávajte v chladničke alebo mrazničke.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Z mikrobiologického hľadiska sa má rekonštituovaný roztok použiť okamžite. Ak sa nepoužije okamžite, za dobu uchovávania a za podmienky pred použitím je zodpovedný používateľ.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rozriedení: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Chemická a fyzikálna stabilita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 použitie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sa preukázala počas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(nezmrazujte).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Z mikrobiologického hľadiska sa má infúzny roztok Cymevene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až 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°C, </w:t>
      </w:r>
      <w:r>
        <w:rPr>
          <w:rFonts w:ascii="Times New Roman" w:hAnsi="Times New Roman"/>
          <w:sz w:val="22"/>
          <w:szCs w:val="24"/>
          <w:lang w:val="sk-SK" w:eastAsia="ja-JP"/>
        </w:rPr>
        <w:t>pokiaľ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rozpustenie vo vode na injekciu (rekonštitúcia)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riedenie </w:t>
      </w:r>
      <w:r>
        <w:rPr>
          <w:rFonts w:ascii="Times New Roman" w:hAnsi="Times New Roman"/>
          <w:sz w:val="22"/>
          <w:szCs w:val="24"/>
          <w:lang w:val="sk-SK" w:eastAsia="ja-JP"/>
        </w:rPr>
        <w:t>ne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prebehlo za kontrolovaných 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validovaných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aseptických podmienok.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u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pozorneni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na </w:t>
      </w:r>
      <w:r>
        <w:rPr>
          <w:rFonts w:ascii="Times New Roman" w:hAnsi="Times New Roman"/>
          <w:b/>
          <w:sz w:val="22"/>
          <w:szCs w:val="22"/>
          <w:lang w:val="sk-SK"/>
        </w:rPr>
        <w:t>uchovávanie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nevyžaduje žiadne zvláštne podmienky na </w:t>
      </w:r>
      <w:r>
        <w:rPr>
          <w:rFonts w:ascii="Times New Roman" w:hAnsi="Times New Roman"/>
          <w:sz w:val="22"/>
          <w:szCs w:val="24"/>
          <w:lang w:val="sk-SK" w:eastAsia="ja-JP"/>
        </w:rPr>
        <w:t>uchovávanie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 w:rsidRPr="00E20E82"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po rekonštitúcii a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riedení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lieku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6.5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Druh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obalu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a obsah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balenia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F073EA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Balenie na jedno použitie obsahuje jednu 10 ml sklenenú injekčnú liekovku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fluoro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živicov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zalaminovan</w:t>
      </w:r>
      <w:r>
        <w:rPr>
          <w:rFonts w:ascii="Times New Roman" w:hAnsi="Times New Roman"/>
          <w:sz w:val="22"/>
          <w:szCs w:val="24"/>
          <w:lang w:val="sk-SK" w:eastAsia="ja-JP"/>
        </w:rPr>
        <w:t>ou/silikonizovanou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kaučuko</w:t>
      </w:r>
      <w:r>
        <w:rPr>
          <w:rFonts w:ascii="Times New Roman" w:hAnsi="Times New Roman"/>
          <w:sz w:val="22"/>
          <w:szCs w:val="24"/>
          <w:lang w:val="sk-SK" w:eastAsia="ja-JP"/>
        </w:rPr>
        <w:t>vou zátkou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(flip-off).</w:t>
      </w:r>
    </w:p>
    <w:p w:rsidR="0010462A" w:rsidRPr="00F073E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injekčnými liekovkami.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Na trh nemusia byť uvedené všetky veľkosti balenia.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6.6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na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zaobchádzani</w:t>
      </w:r>
      <w:r>
        <w:rPr>
          <w:rFonts w:ascii="Times New Roman" w:hAnsi="Times New Roman"/>
          <w:b/>
          <w:sz w:val="22"/>
          <w:szCs w:val="22"/>
          <w:lang w:val="sk-SK"/>
        </w:rPr>
        <w:t>e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s liekom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86475" w:rsidRDefault="0010462A" w:rsidP="0010462A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Pri zaobchádzaní s Cymevene je potrebná opatrnosť.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Keďže Cymevene sa pokladá u ľudí za potenciálne teratogénne a karcinogénne, pri zaobchádzaní s ním je potrebná opatrnosť. Je nutné zabrániť inhalácii prášku alebo priamemu kontaktu prášku v liekovkách, alebo pripraveného roztoku s kožou alebo sliznicami. Roztok Cymevene je alkalický (pH je približne 11). Pri náhodnom kontakte je potrebné zasiahnutú časť dôkladne umyť mydlom a vodou, zasiahnuté oči dôkladne vypláchnuť čistou vodou.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rekonštituovaného koncentrátu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Rekonštitúcia lyofilizátu Cymevene má prebiehať za aseptických podmienok.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stredná časť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kaučukov</w:t>
      </w:r>
      <w:r>
        <w:rPr>
          <w:rFonts w:ascii="Times New Roman" w:hAnsi="Times New Roman"/>
          <w:sz w:val="22"/>
          <w:szCs w:val="24"/>
          <w:lang w:val="sk-SK" w:eastAsia="ja-JP"/>
        </w:rPr>
        <w:t>ej 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Natiahnite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vody na injekciu do striekačky a potom pomaly vstrieknite stredom kaučukov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do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injekčnej liekovky, ihlu striekačky nasmerujte k stene liekovky. </w:t>
      </w: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Nepoužívať bakteriostatickú vodu na injekciu s prísadou parabénov (parahydroxybenzoáty), pretože nie je s Cymevene kompatibilná.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zakrúžiť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, aby sa zaistilo, že sa látka rozpustí.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3. Injekčnou liekovkou sa má niekoľko minút jemne krúžiť/triasť, aby sa dosiahol čistý, rekonštituovaný roztok.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4. Rekonštituovaný roztok sa má starostlivo skontrolovať, aby sa zaistilo, že liek je rozpustený a prakticky bez viditeľných častíc ešte pred rozriedením kompatibilným rozpúšťadlom. Farba rekonštituovaného roztoku Cymevene môže byť bezfarebná až svetložltá.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rekonštituovaného koncentrátu,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konečného riedeného roztoku na infúziu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Na základe telesnej hmotnosti pacienta sa ihlou z injekčnej liekovky odoberie adekvátny objem a následne sa nariedi do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príslušného roztoku na infúziu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Do rekonštituovaného roztoku sa pridá 100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riediaceho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roztoku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mg/ml sa neodporúčajú.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Chlorid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% dextróza, Ringerov roztok alebo Ringerov roztok s mliečnanom sodným sú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určené ako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chemicky alebo fyzikálne kompatibilné s Cymevene.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Cymevene sa nemá miešať s inými liekmi podávanými intravenózne.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hodiny, ako je uvedené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4.2. Nepodávajte intramuskulárnou alebo subkutánnou injekciou, pretože to môže vyvolať závažné podráždenie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tkaniva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z dôvodu vysokého pH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približne 11) roztoku gancikloviru.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nariedeného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infúzneho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roztoku,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Likvidácia</w:t>
      </w: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Len na jednorazové použitie. Všetok nepoužitý liek alebo odpad vzniknutý z lieku sa má zlikvidovať v súlade s národnými požiadavkami.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7.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Roche Slovensko, s.r.o.</w:t>
      </w:r>
    </w:p>
    <w:p w:rsidR="00A91FF6" w:rsidRPr="00A91FF6" w:rsidRDefault="00A91FF6" w:rsidP="00A91FF6">
      <w:pPr>
        <w:rPr>
          <w:rFonts w:ascii="Times New Roman" w:hAnsi="Times New Roman"/>
          <w:sz w:val="22"/>
          <w:szCs w:val="22"/>
          <w:lang w:val="sk-SK"/>
        </w:rPr>
      </w:pPr>
      <w:r w:rsidRPr="00A91FF6">
        <w:rPr>
          <w:rFonts w:ascii="Times New Roman" w:hAnsi="Times New Roman"/>
          <w:sz w:val="22"/>
          <w:szCs w:val="22"/>
          <w:lang w:val="sk-SK"/>
        </w:rPr>
        <w:t>Pribinova 7828/19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811 0</w:t>
      </w:r>
      <w:r w:rsidR="00960A50">
        <w:rPr>
          <w:rFonts w:ascii="Times New Roman" w:hAnsi="Times New Roman"/>
          <w:sz w:val="22"/>
          <w:szCs w:val="22"/>
          <w:lang w:val="sk-SK"/>
        </w:rPr>
        <w:t>9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1AB0">
        <w:rPr>
          <w:rFonts w:ascii="Times New Roman" w:hAnsi="Times New Roman"/>
          <w:sz w:val="22"/>
          <w:szCs w:val="22"/>
          <w:lang w:val="sk-SK"/>
        </w:rPr>
        <w:t>Bratislava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Slovenská republika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8.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:rsidR="0010462A" w:rsidRPr="000F6AA6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42/0138/91-C/S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9.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 xml:space="preserve">dátum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 xml:space="preserve">PRVEJ </w:t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REGISTRÁCIE/predĺženia registrácie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Pr="00AF1AB0">
        <w:rPr>
          <w:rFonts w:ascii="Times New Roman" w:hAnsi="Times New Roman"/>
          <w:sz w:val="22"/>
          <w:szCs w:val="22"/>
          <w:lang w:val="sk-SK"/>
        </w:rPr>
        <w:t>20.</w:t>
      </w:r>
      <w:r>
        <w:rPr>
          <w:rFonts w:ascii="Times New Roman" w:hAnsi="Times New Roman"/>
          <w:sz w:val="22"/>
          <w:szCs w:val="22"/>
          <w:lang w:val="sk-SK"/>
        </w:rPr>
        <w:t xml:space="preserve"> marca </w:t>
      </w:r>
      <w:r w:rsidRPr="00AF1AB0">
        <w:rPr>
          <w:rFonts w:ascii="Times New Roman" w:hAnsi="Times New Roman"/>
          <w:sz w:val="22"/>
          <w:szCs w:val="22"/>
          <w:lang w:val="sk-SK"/>
        </w:rPr>
        <w:t>1991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>
        <w:rPr>
          <w:rFonts w:ascii="Times New Roman" w:hAnsi="Times New Roman"/>
          <w:sz w:val="22"/>
          <w:szCs w:val="22"/>
          <w:lang w:val="sk-SK"/>
        </w:rPr>
        <w:t>28. apríla 2016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10.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:rsidR="0010462A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</w:p>
    <w:p w:rsidR="00E6671A" w:rsidRDefault="00E6671A" w:rsidP="0010462A">
      <w:pPr>
        <w:rPr>
          <w:rFonts w:ascii="Times New Roman" w:hAnsi="Times New Roman"/>
          <w:caps/>
          <w:sz w:val="22"/>
          <w:szCs w:val="22"/>
          <w:lang w:val="sk-SK"/>
        </w:rPr>
      </w:pPr>
      <w:r>
        <w:rPr>
          <w:rFonts w:ascii="Times New Roman" w:hAnsi="Times New Roman"/>
          <w:caps/>
          <w:sz w:val="22"/>
          <w:szCs w:val="22"/>
          <w:lang w:val="sk-SK"/>
        </w:rPr>
        <w:t>08/2018</w:t>
      </w:r>
    </w:p>
    <w:p w:rsidR="00E6671A" w:rsidRDefault="00E6671A" w:rsidP="0010462A">
      <w:pPr>
        <w:rPr>
          <w:rFonts w:ascii="Times New Roman" w:hAnsi="Times New Roman"/>
          <w:caps/>
          <w:sz w:val="22"/>
          <w:szCs w:val="22"/>
          <w:lang w:val="sk-SK"/>
        </w:rPr>
      </w:pPr>
    </w:p>
    <w:p w:rsidR="00E6671A" w:rsidRPr="000F6AA6" w:rsidRDefault="00E6671A" w:rsidP="0010462A">
      <w:pPr>
        <w:rPr>
          <w:rFonts w:ascii="Times New Roman" w:hAnsi="Times New Roman"/>
          <w:caps/>
          <w:sz w:val="22"/>
          <w:szCs w:val="22"/>
          <w:lang w:val="sk-SK"/>
        </w:rPr>
      </w:pPr>
      <w:bookmarkStart w:id="10" w:name="_GoBack"/>
      <w:bookmarkEnd w:id="10"/>
    </w:p>
    <w:p w:rsidR="0010462A" w:rsidRDefault="0010462A" w:rsidP="0010462A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B3607B">
        <w:rPr>
          <w:rFonts w:ascii="Times New Roman" w:hAnsi="Times New Roman"/>
          <w:sz w:val="22"/>
          <w:szCs w:val="22"/>
          <w:lang w:val="sk-SK"/>
        </w:rPr>
        <w:t xml:space="preserve">Podrobné </w:t>
      </w:r>
      <w:r>
        <w:rPr>
          <w:rFonts w:ascii="Times New Roman" w:hAnsi="Times New Roman"/>
          <w:sz w:val="22"/>
          <w:szCs w:val="22"/>
          <w:lang w:val="sk-SK"/>
        </w:rPr>
        <w:t xml:space="preserve">informácie o tomto lieku sú dostupné na internetovej stránke </w:t>
      </w:r>
      <w:hyperlink r:id="rId9" w:history="1">
        <w:r w:rsidRPr="00A9670C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www.sukl.sk</w:t>
        </w:r>
      </w:hyperlink>
      <w:r>
        <w:rPr>
          <w:rFonts w:ascii="Times New Roman" w:hAnsi="Times New Roman"/>
          <w:sz w:val="22"/>
          <w:szCs w:val="22"/>
          <w:lang w:val="sk-SK"/>
        </w:rPr>
        <w:t>.</w:t>
      </w:r>
    </w:p>
    <w:sectPr w:rsidR="0010462A" w:rsidSect="00B340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73" w:rsidRDefault="00574D73" w:rsidP="0010462A">
      <w:r>
        <w:separator/>
      </w:r>
    </w:p>
  </w:endnote>
  <w:endnote w:type="continuationSeparator" w:id="0">
    <w:p w:rsidR="00574D73" w:rsidRDefault="00574D73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4768E" w:rsidRDefault="000C00E6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="0084768E"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 w:rsidR="00973C94">
          <w:rPr>
            <w:rFonts w:ascii="Times New Roman" w:hAnsi="Times New Roman"/>
            <w:noProof/>
            <w:sz w:val="22"/>
            <w:szCs w:val="22"/>
          </w:rPr>
          <w:t>18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84768E" w:rsidRDefault="008476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73" w:rsidRDefault="00574D73" w:rsidP="0010462A">
      <w:r>
        <w:separator/>
      </w:r>
    </w:p>
  </w:footnote>
  <w:footnote w:type="continuationSeparator" w:id="0">
    <w:p w:rsidR="00574D73" w:rsidRDefault="00574D73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2A" w:rsidRDefault="00960A50" w:rsidP="0010462A">
    <w:pPr>
      <w:rPr>
        <w:rFonts w:ascii="Times New Roman" w:hAnsi="Times New Roman"/>
        <w:sz w:val="18"/>
        <w:szCs w:val="18"/>
        <w:lang w:val="sk-SK"/>
      </w:rPr>
    </w:pPr>
    <w:r w:rsidRPr="00973C94">
      <w:rPr>
        <w:rFonts w:ascii="Times New Roman" w:hAnsi="Times New Roman"/>
        <w:sz w:val="18"/>
        <w:szCs w:val="18"/>
        <w:lang w:val="pt-BR"/>
      </w:rPr>
      <w:t>Príloha č.</w:t>
    </w:r>
    <w:r>
      <w:rPr>
        <w:rFonts w:ascii="Times New Roman" w:hAnsi="Times New Roman"/>
        <w:sz w:val="18"/>
        <w:szCs w:val="18"/>
        <w:lang w:val="pt-BR"/>
      </w:rPr>
      <w:t xml:space="preserve"> </w:t>
    </w:r>
    <w:r w:rsidR="00E6671A">
      <w:rPr>
        <w:rFonts w:ascii="Times New Roman" w:hAnsi="Times New Roman"/>
        <w:sz w:val="18"/>
        <w:szCs w:val="18"/>
        <w:lang w:val="pt-BR"/>
      </w:rPr>
      <w:t xml:space="preserve">2 </w:t>
    </w:r>
    <w:r>
      <w:rPr>
        <w:rFonts w:ascii="Times New Roman" w:hAnsi="Times New Roman"/>
        <w:sz w:val="18"/>
        <w:szCs w:val="18"/>
        <w:lang w:val="pt-BR"/>
      </w:rPr>
      <w:t xml:space="preserve">k notifikácii </w:t>
    </w:r>
    <w:r w:rsidR="0010462A" w:rsidRPr="00973C94">
      <w:rPr>
        <w:rFonts w:ascii="Times New Roman" w:hAnsi="Times New Roman"/>
        <w:sz w:val="18"/>
        <w:szCs w:val="18"/>
        <w:lang w:val="pt-BR"/>
      </w:rPr>
      <w:t xml:space="preserve">o zmene, ev. č.: </w:t>
    </w:r>
    <w:r w:rsidR="00E6671A">
      <w:rPr>
        <w:rFonts w:ascii="Times New Roman" w:hAnsi="Times New Roman"/>
        <w:sz w:val="18"/>
        <w:szCs w:val="18"/>
        <w:lang w:val="pt-BR"/>
      </w:rPr>
      <w:t>2018/03393-ZIA</w:t>
    </w:r>
  </w:p>
  <w:p w:rsidR="0010462A" w:rsidRPr="00973C94" w:rsidRDefault="0010462A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3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6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8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1"/>
  </w:num>
  <w:num w:numId="8">
    <w:abstractNumId w:val="20"/>
  </w:num>
  <w:num w:numId="9">
    <w:abstractNumId w:val="2"/>
  </w:num>
  <w:num w:numId="10">
    <w:abstractNumId w:val="16"/>
  </w:num>
  <w:num w:numId="11">
    <w:abstractNumId w:val="5"/>
  </w:num>
  <w:num w:numId="12">
    <w:abstractNumId w:val="17"/>
  </w:num>
  <w:num w:numId="13">
    <w:abstractNumId w:val="19"/>
  </w:num>
  <w:num w:numId="14">
    <w:abstractNumId w:val="21"/>
  </w:num>
  <w:num w:numId="15">
    <w:abstractNumId w:val="9"/>
  </w:num>
  <w:num w:numId="16">
    <w:abstractNumId w:val="6"/>
  </w:num>
  <w:num w:numId="17">
    <w:abstractNumId w:val="14"/>
  </w:num>
  <w:num w:numId="18">
    <w:abstractNumId w:val="1"/>
  </w:num>
  <w:num w:numId="19">
    <w:abstractNumId w:val="10"/>
  </w:num>
  <w:num w:numId="20">
    <w:abstractNumId w:val="3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0910CC"/>
    <w:rsid w:val="000C00E6"/>
    <w:rsid w:val="0010462A"/>
    <w:rsid w:val="001C7AB9"/>
    <w:rsid w:val="001D66CC"/>
    <w:rsid w:val="00205A91"/>
    <w:rsid w:val="004B38F4"/>
    <w:rsid w:val="00574D73"/>
    <w:rsid w:val="00640F9A"/>
    <w:rsid w:val="0084768E"/>
    <w:rsid w:val="008941AD"/>
    <w:rsid w:val="008B4DB5"/>
    <w:rsid w:val="00960A50"/>
    <w:rsid w:val="009716C2"/>
    <w:rsid w:val="00973C94"/>
    <w:rsid w:val="00A91FF6"/>
    <w:rsid w:val="00B34036"/>
    <w:rsid w:val="00B36561"/>
    <w:rsid w:val="00BB678D"/>
    <w:rsid w:val="00C87A4B"/>
    <w:rsid w:val="00E40939"/>
    <w:rsid w:val="00E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C0FD9-E68C-48EB-B50A-59342BB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uiPriority w:val="99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A4BB0-D59C-40C1-8326-D7EF2F69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6253</Words>
  <Characters>35643</Characters>
  <Application>Microsoft Office Word</Application>
  <DocSecurity>0</DocSecurity>
  <Lines>297</Lines>
  <Paragraphs>83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Repiščáková</dc:creator>
  <cp:keywords/>
  <dc:description/>
  <cp:lastModifiedBy>Bolebruchová Monika</cp:lastModifiedBy>
  <cp:revision>3</cp:revision>
  <cp:lastPrinted>2018-08-15T07:13:00Z</cp:lastPrinted>
  <dcterms:created xsi:type="dcterms:W3CDTF">2018-08-15T07:13:00Z</dcterms:created>
  <dcterms:modified xsi:type="dcterms:W3CDTF">2018-08-15T07:13:00Z</dcterms:modified>
</cp:coreProperties>
</file>