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BA" w:rsidRPr="00FC5BFE" w:rsidRDefault="00A72EBA" w:rsidP="00D40A28">
      <w:pPr>
        <w:pStyle w:val="SPCaPILhlavika"/>
        <w:rPr>
          <w:lang w:val="sk-SK"/>
        </w:rPr>
      </w:pPr>
      <w:r w:rsidRPr="00D32133">
        <w:rPr>
          <w:lang w:val="sk-SK"/>
        </w:rPr>
        <w:t>SÚHRN CHARAKTERISTICKÝCH VLASTNOSTÍ LIEKU</w:t>
      </w:r>
    </w:p>
    <w:p w:rsidR="00321620" w:rsidRPr="00D32133" w:rsidRDefault="00321620" w:rsidP="00B86E52">
      <w:pPr>
        <w:pStyle w:val="SPCaPILhlavika"/>
        <w:rPr>
          <w:lang w:val="sk-SK"/>
        </w:rPr>
      </w:pPr>
    </w:p>
    <w:p w:rsidR="00321620" w:rsidRPr="003B679E" w:rsidRDefault="00A72EBA" w:rsidP="00D40A28">
      <w:pPr>
        <w:pStyle w:val="Styl1"/>
        <w:spacing w:before="0" w:after="0"/>
        <w:ind w:left="0" w:firstLine="0"/>
        <w:rPr>
          <w:lang w:val="sk-SK"/>
        </w:rPr>
      </w:pPr>
      <w:r w:rsidRPr="003B679E">
        <w:rPr>
          <w:lang w:val="sk-SK"/>
        </w:rPr>
        <w:t>NÁZOV LIEKU</w:t>
      </w:r>
    </w:p>
    <w:p w:rsidR="00321620" w:rsidRPr="003B679E" w:rsidRDefault="00321620" w:rsidP="00CD060E">
      <w:pPr>
        <w:pStyle w:val="Styl1"/>
        <w:numPr>
          <w:ilvl w:val="0"/>
          <w:numId w:val="0"/>
        </w:numPr>
        <w:spacing w:before="0" w:after="0"/>
        <w:rPr>
          <w:lang w:val="sk-SK"/>
        </w:rPr>
      </w:pPr>
    </w:p>
    <w:p w:rsidR="00A72EBA" w:rsidRPr="003B679E" w:rsidRDefault="008248C7" w:rsidP="00A45256">
      <w:pPr>
        <w:pStyle w:val="Normlndobloku"/>
      </w:pPr>
      <w:r>
        <w:t xml:space="preserve">VERRIA </w:t>
      </w:r>
      <w:r w:rsidR="00A72EBA" w:rsidRPr="003B679E">
        <w:t>50 mg filmom obalené tablety</w:t>
      </w:r>
    </w:p>
    <w:p w:rsidR="00A72EBA" w:rsidRPr="003B679E" w:rsidRDefault="008248C7" w:rsidP="004644D9">
      <w:pPr>
        <w:pStyle w:val="Normlndobloku"/>
      </w:pPr>
      <w:r>
        <w:rPr>
          <w:highlight w:val="lightGray"/>
        </w:rPr>
        <w:t xml:space="preserve">VERRIA </w:t>
      </w:r>
      <w:r w:rsidR="00A72EBA" w:rsidRPr="003B679E">
        <w:rPr>
          <w:highlight w:val="lightGray"/>
        </w:rPr>
        <w:t>200 mg filmom obalené tablety</w:t>
      </w:r>
    </w:p>
    <w:p w:rsidR="00DC4D50" w:rsidRPr="003B679E" w:rsidRDefault="00DC4D50" w:rsidP="004F6A00">
      <w:pPr>
        <w:pStyle w:val="Normlndobloku"/>
      </w:pPr>
    </w:p>
    <w:p w:rsidR="00DC4D50" w:rsidRPr="003B679E" w:rsidRDefault="00DC4D50" w:rsidP="004F6A00">
      <w:pPr>
        <w:pStyle w:val="Normlndobloku"/>
      </w:pPr>
    </w:p>
    <w:p w:rsidR="00A72EBA" w:rsidRPr="003B679E" w:rsidRDefault="00A72EBA" w:rsidP="00CD060E">
      <w:pPr>
        <w:pStyle w:val="Styl1"/>
        <w:spacing w:before="0" w:after="0"/>
        <w:ind w:left="0" w:firstLine="0"/>
        <w:rPr>
          <w:lang w:val="sk-SK"/>
        </w:rPr>
      </w:pPr>
      <w:r w:rsidRPr="003B679E">
        <w:rPr>
          <w:lang w:val="sk-SK"/>
        </w:rPr>
        <w:t>KVALITATÍVNE A KVANTITATÍVNE ZLOŽENIE</w:t>
      </w:r>
    </w:p>
    <w:p w:rsidR="00DC4D50" w:rsidRPr="003B679E" w:rsidRDefault="00DC4D50" w:rsidP="00D32133">
      <w:pPr>
        <w:pStyle w:val="Styl1"/>
        <w:numPr>
          <w:ilvl w:val="0"/>
          <w:numId w:val="0"/>
        </w:numPr>
        <w:spacing w:before="0" w:after="0"/>
        <w:rPr>
          <w:lang w:val="sk-SK"/>
        </w:rPr>
      </w:pPr>
    </w:p>
    <w:p w:rsidR="00A72EBA" w:rsidRPr="00BF2DCE" w:rsidRDefault="008248C7" w:rsidP="004F6A00">
      <w:pPr>
        <w:pStyle w:val="Styl3"/>
      </w:pPr>
      <w:r>
        <w:t xml:space="preserve">VERRIA </w:t>
      </w:r>
      <w:r w:rsidR="00A72EBA" w:rsidRPr="004B210D">
        <w:t>50 mg filmom obalené tablety</w:t>
      </w:r>
    </w:p>
    <w:p w:rsidR="00A72EBA" w:rsidRPr="003B679E" w:rsidRDefault="00A72EBA" w:rsidP="00A45256">
      <w:pPr>
        <w:pStyle w:val="Normlndobloku"/>
      </w:pPr>
      <w:r w:rsidRPr="003B679E">
        <w:t>Jedna tableta obsahuje 50 mg vorikonazolu.</w:t>
      </w:r>
    </w:p>
    <w:p w:rsidR="00961F63" w:rsidRPr="003B679E" w:rsidRDefault="00961F63" w:rsidP="004644D9">
      <w:pPr>
        <w:pStyle w:val="Normlndobloku"/>
      </w:pPr>
    </w:p>
    <w:p w:rsidR="00A72EBA" w:rsidRPr="003B679E" w:rsidRDefault="00A72EBA" w:rsidP="004F6A00">
      <w:pPr>
        <w:pStyle w:val="Normlndobloku"/>
      </w:pPr>
      <w:r w:rsidRPr="003B679E">
        <w:t>Pomocná látka so známym účinkom: monohydrát laktózy 67,8 mg.</w:t>
      </w:r>
    </w:p>
    <w:p w:rsidR="00961F63" w:rsidRPr="003B679E" w:rsidRDefault="00961F63" w:rsidP="004F6A00">
      <w:pPr>
        <w:pStyle w:val="Normlndobloku"/>
      </w:pPr>
    </w:p>
    <w:p w:rsidR="00A72EBA" w:rsidRPr="00BF2DCE" w:rsidRDefault="008248C7" w:rsidP="004F6A00">
      <w:pPr>
        <w:pStyle w:val="Styl3"/>
        <w:rPr>
          <w:highlight w:val="lightGray"/>
        </w:rPr>
      </w:pPr>
      <w:r>
        <w:rPr>
          <w:highlight w:val="lightGray"/>
        </w:rPr>
        <w:t xml:space="preserve">VERRIA </w:t>
      </w:r>
      <w:r w:rsidR="00A72EBA" w:rsidRPr="004B210D">
        <w:rPr>
          <w:highlight w:val="lightGray"/>
        </w:rPr>
        <w:t>200 mg filmom obalené tablety</w:t>
      </w:r>
    </w:p>
    <w:p w:rsidR="00A72EBA" w:rsidRPr="003B679E" w:rsidRDefault="00A72EBA" w:rsidP="00A45256">
      <w:pPr>
        <w:pStyle w:val="Normlndobloku"/>
      </w:pPr>
      <w:r w:rsidRPr="003B679E">
        <w:rPr>
          <w:highlight w:val="lightGray"/>
        </w:rPr>
        <w:t>Jedna tableta obsahuje 200 mg vorikonazolu.</w:t>
      </w:r>
    </w:p>
    <w:p w:rsidR="00961F63" w:rsidRPr="003B679E" w:rsidRDefault="00961F63" w:rsidP="004644D9">
      <w:pPr>
        <w:pStyle w:val="Normlndobloku"/>
      </w:pPr>
    </w:p>
    <w:p w:rsidR="00A72EBA" w:rsidRPr="003B679E" w:rsidRDefault="00A72EBA" w:rsidP="004F6A00">
      <w:pPr>
        <w:pStyle w:val="Normlndobloku"/>
      </w:pPr>
      <w:r w:rsidRPr="003B679E">
        <w:rPr>
          <w:highlight w:val="lightGray"/>
        </w:rPr>
        <w:t>Pomocná látka so známym účinkom: monohydrát laktózy 271,2 mg.</w:t>
      </w:r>
    </w:p>
    <w:p w:rsidR="00961F63" w:rsidRPr="003B679E" w:rsidRDefault="00961F63" w:rsidP="004F6A00">
      <w:pPr>
        <w:pStyle w:val="Normlndobloku"/>
      </w:pPr>
    </w:p>
    <w:p w:rsidR="00A72EBA" w:rsidRPr="003B679E" w:rsidRDefault="00A72EBA" w:rsidP="004F6A00">
      <w:pPr>
        <w:pStyle w:val="Normlndobloku"/>
      </w:pPr>
      <w:r w:rsidRPr="003B679E">
        <w:t>Úplný zoznam pomocných látok, pozri časť 6.1.</w:t>
      </w:r>
    </w:p>
    <w:p w:rsidR="00DC4D50" w:rsidRPr="003B679E" w:rsidRDefault="00DC4D50" w:rsidP="004F6A00">
      <w:pPr>
        <w:pStyle w:val="Normlndobloku"/>
      </w:pPr>
    </w:p>
    <w:p w:rsidR="00DC4D50" w:rsidRPr="003B679E" w:rsidRDefault="00DC4D50" w:rsidP="004F6A00">
      <w:pPr>
        <w:pStyle w:val="Normlndobloku"/>
      </w:pPr>
    </w:p>
    <w:p w:rsidR="00A72EBA" w:rsidRPr="003B679E" w:rsidRDefault="00A72EBA" w:rsidP="00CD060E">
      <w:pPr>
        <w:pStyle w:val="Styl1"/>
        <w:spacing w:before="0" w:after="0"/>
        <w:ind w:left="0" w:firstLine="0"/>
        <w:rPr>
          <w:lang w:val="sk-SK"/>
        </w:rPr>
      </w:pPr>
      <w:r w:rsidRPr="003B679E">
        <w:rPr>
          <w:lang w:val="sk-SK"/>
        </w:rPr>
        <w:t>LIEKOVÁ FORMA</w:t>
      </w:r>
    </w:p>
    <w:p w:rsidR="00961F63" w:rsidRPr="003B679E" w:rsidRDefault="00961F63" w:rsidP="00D32133">
      <w:pPr>
        <w:pStyle w:val="Styl1"/>
        <w:numPr>
          <w:ilvl w:val="0"/>
          <w:numId w:val="0"/>
        </w:numPr>
        <w:spacing w:before="0" w:after="0"/>
        <w:rPr>
          <w:lang w:val="sk-SK"/>
        </w:rPr>
      </w:pPr>
    </w:p>
    <w:p w:rsidR="00A72EBA" w:rsidRPr="003B679E" w:rsidRDefault="00A72EBA" w:rsidP="00A45256">
      <w:pPr>
        <w:pStyle w:val="Normlndobloku"/>
      </w:pPr>
      <w:r w:rsidRPr="003B679E">
        <w:t>Filmom obalená tableta</w:t>
      </w:r>
      <w:r w:rsidR="00E82B3C" w:rsidRPr="003B679E">
        <w:t>.</w:t>
      </w:r>
    </w:p>
    <w:p w:rsidR="00E82B3C" w:rsidRPr="003B679E" w:rsidRDefault="00E82B3C" w:rsidP="004644D9">
      <w:pPr>
        <w:pStyle w:val="Normlndobloku"/>
      </w:pPr>
    </w:p>
    <w:p w:rsidR="00A72EBA" w:rsidRPr="003B679E" w:rsidRDefault="008248C7" w:rsidP="004F6A00">
      <w:pPr>
        <w:pStyle w:val="Normlndobloku"/>
      </w:pPr>
      <w:r>
        <w:t xml:space="preserve">VERRIA </w:t>
      </w:r>
      <w:r w:rsidR="00A72EBA" w:rsidRPr="003B679E">
        <w:t xml:space="preserve">50 mg filmom obalené tablety: biela až takmer biela, okrúhla filmom obalená tableta s priemerom </w:t>
      </w:r>
      <w:r w:rsidR="00E82B3C" w:rsidRPr="003B679E">
        <w:t xml:space="preserve">približne </w:t>
      </w:r>
      <w:r w:rsidR="00A72EBA" w:rsidRPr="003B679E">
        <w:t>7,2 mm.</w:t>
      </w:r>
    </w:p>
    <w:p w:rsidR="00A72EBA" w:rsidRPr="003B679E" w:rsidRDefault="008248C7" w:rsidP="004F6A00">
      <w:pPr>
        <w:pStyle w:val="Normlndobloku"/>
      </w:pPr>
      <w:r>
        <w:rPr>
          <w:highlight w:val="lightGray"/>
        </w:rPr>
        <w:t xml:space="preserve">VERRIA </w:t>
      </w:r>
      <w:r w:rsidR="00A72EBA" w:rsidRPr="003B679E">
        <w:rPr>
          <w:highlight w:val="lightGray"/>
        </w:rPr>
        <w:t>200 mg filmom obalené tablety: biela až takmer biela, filmom obalená tableta v </w:t>
      </w:r>
      <w:proofErr w:type="gramStart"/>
      <w:r w:rsidR="00A72EBA" w:rsidRPr="003B679E">
        <w:rPr>
          <w:highlight w:val="lightGray"/>
        </w:rPr>
        <w:t>tvare</w:t>
      </w:r>
      <w:proofErr w:type="gramEnd"/>
      <w:r w:rsidR="00A72EBA" w:rsidRPr="003B679E">
        <w:rPr>
          <w:highlight w:val="lightGray"/>
        </w:rPr>
        <w:t xml:space="preserve"> kapsuly s veľkosťou </w:t>
      </w:r>
      <w:r w:rsidR="00E82B3C" w:rsidRPr="003B679E">
        <w:rPr>
          <w:highlight w:val="lightGray"/>
        </w:rPr>
        <w:t xml:space="preserve">približne </w:t>
      </w:r>
      <w:r w:rsidR="00A72EBA" w:rsidRPr="003B679E">
        <w:rPr>
          <w:highlight w:val="lightGray"/>
        </w:rPr>
        <w:t>15,9 x 8,0 mm.</w:t>
      </w:r>
    </w:p>
    <w:p w:rsidR="00E82B3C" w:rsidRPr="003B679E" w:rsidRDefault="00E82B3C" w:rsidP="004F6A00">
      <w:pPr>
        <w:pStyle w:val="Normlndobloku"/>
      </w:pPr>
    </w:p>
    <w:p w:rsidR="00E82B3C" w:rsidRPr="003B679E" w:rsidRDefault="00E82B3C" w:rsidP="004F6A00">
      <w:pPr>
        <w:pStyle w:val="Normlndobloku"/>
      </w:pPr>
    </w:p>
    <w:p w:rsidR="00A72EBA" w:rsidRPr="003B679E" w:rsidRDefault="00A72EBA" w:rsidP="00CD060E">
      <w:pPr>
        <w:pStyle w:val="Styl1"/>
        <w:spacing w:before="0" w:after="0"/>
        <w:ind w:left="0" w:firstLine="0"/>
        <w:rPr>
          <w:lang w:val="sk-SK"/>
        </w:rPr>
      </w:pPr>
      <w:r w:rsidRPr="003B679E">
        <w:rPr>
          <w:lang w:val="sk-SK"/>
        </w:rPr>
        <w:t>KLINICKÉ ÚDAJE</w:t>
      </w:r>
    </w:p>
    <w:p w:rsidR="00C36E09" w:rsidRPr="003B679E" w:rsidRDefault="00C36E09" w:rsidP="00D32133">
      <w:pPr>
        <w:pStyle w:val="Styl1"/>
        <w:numPr>
          <w:ilvl w:val="0"/>
          <w:numId w:val="0"/>
        </w:numPr>
        <w:spacing w:before="0" w:after="0"/>
        <w:rPr>
          <w:lang w:val="sk-SK"/>
        </w:rPr>
      </w:pPr>
    </w:p>
    <w:p w:rsidR="00A72EBA" w:rsidRPr="00FC5BFE" w:rsidRDefault="00A72EBA" w:rsidP="003B679E">
      <w:pPr>
        <w:pStyle w:val="Styl2"/>
        <w:numPr>
          <w:ilvl w:val="1"/>
          <w:numId w:val="10"/>
        </w:numPr>
        <w:spacing w:before="0" w:after="0"/>
        <w:ind w:left="0" w:firstLine="0"/>
        <w:rPr>
          <w:szCs w:val="22"/>
          <w:lang w:val="sk-SK"/>
        </w:rPr>
      </w:pPr>
      <w:r w:rsidRPr="00D32133">
        <w:rPr>
          <w:szCs w:val="22"/>
          <w:lang w:val="sk-SK"/>
        </w:rPr>
        <w:t>Terapeutické indikácie</w:t>
      </w:r>
    </w:p>
    <w:p w:rsidR="00C36E09" w:rsidRPr="00FC5BFE" w:rsidRDefault="00C36E09" w:rsidP="003B679E">
      <w:pPr>
        <w:pStyle w:val="Styl2"/>
        <w:numPr>
          <w:ilvl w:val="0"/>
          <w:numId w:val="0"/>
        </w:numPr>
        <w:spacing w:before="0" w:after="0"/>
        <w:rPr>
          <w:szCs w:val="22"/>
          <w:lang w:val="sk-SK"/>
        </w:rPr>
      </w:pPr>
    </w:p>
    <w:p w:rsidR="00A72EBA" w:rsidRPr="003B679E" w:rsidRDefault="00A72EBA" w:rsidP="00A45256">
      <w:pPr>
        <w:pStyle w:val="Normlndobloku"/>
        <w:rPr>
          <w:lang w:eastAsia="sk-SK"/>
        </w:rPr>
      </w:pPr>
      <w:r w:rsidRPr="003B679E">
        <w:rPr>
          <w:lang w:eastAsia="sk-SK"/>
        </w:rPr>
        <w:t>Vorikonazol je širokospektrálne triazolové antimykotikum, indikované dospelý</w:t>
      </w:r>
      <w:r w:rsidR="0097348B" w:rsidRPr="003B679E">
        <w:rPr>
          <w:lang w:eastAsia="sk-SK"/>
        </w:rPr>
        <w:t>m</w:t>
      </w:r>
      <w:r w:rsidRPr="003B679E">
        <w:rPr>
          <w:lang w:eastAsia="sk-SK"/>
        </w:rPr>
        <w:t xml:space="preserve"> a de</w:t>
      </w:r>
      <w:r w:rsidR="0097348B" w:rsidRPr="003B679E">
        <w:rPr>
          <w:lang w:eastAsia="sk-SK"/>
        </w:rPr>
        <w:t>ťom vo veku</w:t>
      </w:r>
      <w:r w:rsidRPr="003B679E">
        <w:rPr>
          <w:lang w:eastAsia="sk-SK"/>
        </w:rPr>
        <w:t xml:space="preserve"> od</w:t>
      </w:r>
      <w:r w:rsidR="0097348B" w:rsidRPr="003B679E">
        <w:rPr>
          <w:lang w:eastAsia="sk-SK"/>
        </w:rPr>
        <w:t> </w:t>
      </w:r>
      <w:r w:rsidRPr="003B679E">
        <w:rPr>
          <w:lang w:eastAsia="sk-SK"/>
        </w:rPr>
        <w:t>2</w:t>
      </w:r>
      <w:r w:rsidR="0097348B" w:rsidRPr="003B679E">
        <w:rPr>
          <w:lang w:eastAsia="sk-SK"/>
        </w:rPr>
        <w:t> </w:t>
      </w:r>
      <w:r w:rsidRPr="003B679E">
        <w:rPr>
          <w:lang w:eastAsia="sk-SK"/>
        </w:rPr>
        <w:t>rokov s nasled</w:t>
      </w:r>
      <w:r w:rsidR="00F73220" w:rsidRPr="003B679E">
        <w:rPr>
          <w:lang w:eastAsia="sk-SK"/>
        </w:rPr>
        <w:t>ovnými</w:t>
      </w:r>
      <w:r w:rsidRPr="003B679E">
        <w:rPr>
          <w:lang w:eastAsia="sk-SK"/>
        </w:rPr>
        <w:t xml:space="preserve"> indikáciami:</w:t>
      </w:r>
    </w:p>
    <w:p w:rsidR="00A72EBA" w:rsidRPr="003B679E" w:rsidRDefault="00A72EBA" w:rsidP="004644D9">
      <w:pPr>
        <w:pStyle w:val="Normlndobloku"/>
        <w:rPr>
          <w:lang w:eastAsia="sk-SK"/>
        </w:rPr>
      </w:pPr>
      <w:r w:rsidRPr="003B679E">
        <w:rPr>
          <w:lang w:eastAsia="sk-SK"/>
        </w:rPr>
        <w:t>Liečba invazívnej aspergilózy.</w:t>
      </w:r>
    </w:p>
    <w:p w:rsidR="00A72EBA" w:rsidRPr="003B679E" w:rsidRDefault="00A72EBA" w:rsidP="004F6A00">
      <w:pPr>
        <w:pStyle w:val="Normlndobloku"/>
        <w:rPr>
          <w:lang w:eastAsia="sk-SK"/>
        </w:rPr>
      </w:pPr>
      <w:r w:rsidRPr="003B679E">
        <w:rPr>
          <w:lang w:eastAsia="sk-SK"/>
        </w:rPr>
        <w:t>Liečba kandidémie u pacientov bez neutropénie.</w:t>
      </w:r>
    </w:p>
    <w:p w:rsidR="00A72EBA" w:rsidRPr="003B679E" w:rsidRDefault="00A72EBA" w:rsidP="004F6A00">
      <w:pPr>
        <w:pStyle w:val="Normlndobloku"/>
        <w:rPr>
          <w:lang w:eastAsia="sk-SK"/>
        </w:rPr>
      </w:pPr>
      <w:r w:rsidRPr="003B679E">
        <w:rPr>
          <w:lang w:eastAsia="sk-SK"/>
        </w:rPr>
        <w:t xml:space="preserve">Liečba závažných </w:t>
      </w:r>
      <w:r w:rsidR="00663B6F" w:rsidRPr="003B679E">
        <w:rPr>
          <w:lang w:eastAsia="sk-SK"/>
        </w:rPr>
        <w:t xml:space="preserve">invazívnych </w:t>
      </w:r>
      <w:r w:rsidRPr="003B679E">
        <w:rPr>
          <w:lang w:eastAsia="sk-SK"/>
        </w:rPr>
        <w:t xml:space="preserve">infekcií vyvolaných </w:t>
      </w:r>
      <w:r w:rsidR="00FC5BFE">
        <w:rPr>
          <w:lang w:eastAsia="sk-SK"/>
        </w:rPr>
        <w:t>druh</w:t>
      </w:r>
      <w:r w:rsidRPr="003B679E">
        <w:rPr>
          <w:lang w:eastAsia="sk-SK"/>
        </w:rPr>
        <w:t xml:space="preserve">mi </w:t>
      </w:r>
      <w:r w:rsidRPr="003B679E">
        <w:rPr>
          <w:i/>
          <w:lang w:eastAsia="sk-SK"/>
        </w:rPr>
        <w:t>Candida</w:t>
      </w:r>
      <w:r w:rsidRPr="003B679E">
        <w:rPr>
          <w:lang w:eastAsia="sk-SK"/>
        </w:rPr>
        <w:t xml:space="preserve"> (vrátane </w:t>
      </w:r>
      <w:r w:rsidRPr="003B679E">
        <w:rPr>
          <w:i/>
          <w:lang w:eastAsia="sk-SK"/>
        </w:rPr>
        <w:t>C. krusei</w:t>
      </w:r>
      <w:r w:rsidRPr="003B679E">
        <w:rPr>
          <w:lang w:eastAsia="sk-SK"/>
        </w:rPr>
        <w:t>) rezistentnými na</w:t>
      </w:r>
      <w:r w:rsidR="00663B6F" w:rsidRPr="003B679E">
        <w:rPr>
          <w:lang w:eastAsia="sk-SK"/>
        </w:rPr>
        <w:t> </w:t>
      </w:r>
      <w:r w:rsidRPr="003B679E">
        <w:rPr>
          <w:lang w:eastAsia="sk-SK"/>
        </w:rPr>
        <w:t>flukonazol.</w:t>
      </w:r>
    </w:p>
    <w:p w:rsidR="00A72EBA" w:rsidRPr="003B679E" w:rsidRDefault="00A72EBA" w:rsidP="004F6A00">
      <w:pPr>
        <w:pStyle w:val="Normlndobloku"/>
        <w:rPr>
          <w:lang w:eastAsia="sk-SK"/>
        </w:rPr>
      </w:pPr>
      <w:r w:rsidRPr="003B679E">
        <w:rPr>
          <w:lang w:eastAsia="sk-SK"/>
        </w:rPr>
        <w:t xml:space="preserve">Liečba závažných mykotických infekcií vyvolaných </w:t>
      </w:r>
      <w:r w:rsidR="00FC5BFE">
        <w:rPr>
          <w:lang w:eastAsia="sk-SK"/>
        </w:rPr>
        <w:t>druh</w:t>
      </w:r>
      <w:r w:rsidRPr="003B679E">
        <w:rPr>
          <w:lang w:eastAsia="sk-SK"/>
        </w:rPr>
        <w:t xml:space="preserve">mi </w:t>
      </w:r>
      <w:r w:rsidRPr="003B679E">
        <w:rPr>
          <w:i/>
          <w:lang w:eastAsia="sk-SK"/>
        </w:rPr>
        <w:t xml:space="preserve">Scedosporium </w:t>
      </w:r>
      <w:r w:rsidRPr="003B679E">
        <w:rPr>
          <w:lang w:eastAsia="sk-SK"/>
        </w:rPr>
        <w:t xml:space="preserve"> a </w:t>
      </w:r>
      <w:r w:rsidRPr="003B679E">
        <w:rPr>
          <w:i/>
          <w:lang w:eastAsia="sk-SK"/>
        </w:rPr>
        <w:t>Fusarium</w:t>
      </w:r>
      <w:r w:rsidRPr="003B679E">
        <w:rPr>
          <w:lang w:eastAsia="sk-SK"/>
        </w:rPr>
        <w:t>.</w:t>
      </w:r>
    </w:p>
    <w:p w:rsidR="00A72EBA" w:rsidRPr="003B679E" w:rsidRDefault="008248C7" w:rsidP="004F6A00">
      <w:pPr>
        <w:pStyle w:val="Normlndobloku"/>
        <w:rPr>
          <w:lang w:eastAsia="sk-SK"/>
        </w:rPr>
      </w:pPr>
      <w:r>
        <w:rPr>
          <w:lang w:eastAsia="sk-SK"/>
        </w:rPr>
        <w:t xml:space="preserve">VERRIA </w:t>
      </w:r>
      <w:r w:rsidR="00A72EBA" w:rsidRPr="003B679E">
        <w:rPr>
          <w:lang w:eastAsia="sk-SK"/>
        </w:rPr>
        <w:t>má byť podávan</w:t>
      </w:r>
      <w:r>
        <w:rPr>
          <w:lang w:eastAsia="sk-SK"/>
        </w:rPr>
        <w:t>á</w:t>
      </w:r>
      <w:r w:rsidR="00A72EBA" w:rsidRPr="003B679E">
        <w:rPr>
          <w:lang w:eastAsia="sk-SK"/>
        </w:rPr>
        <w:t xml:space="preserve"> primárne pacientom s progresívnymi, potenciálne život ohrozujúcimi infekciami.</w:t>
      </w:r>
    </w:p>
    <w:p w:rsidR="00A72EBA" w:rsidRPr="003B679E" w:rsidRDefault="00A72EBA" w:rsidP="004F6A00">
      <w:pPr>
        <w:pStyle w:val="Normlndobloku"/>
        <w:rPr>
          <w:lang w:eastAsia="sk-SK"/>
        </w:rPr>
      </w:pPr>
      <w:r w:rsidRPr="003B679E">
        <w:rPr>
          <w:lang w:eastAsia="sk-SK"/>
        </w:rPr>
        <w:t>Profylaxia invazívnych mykotických infekcií u vysoko rizikových pacientov s alogénnou transplantáciou krvotvorných kmeňových buniek (hematopoietic stem cell transplant HSCT).</w:t>
      </w:r>
    </w:p>
    <w:p w:rsidR="00000000" w:rsidRDefault="00C83CC9">
      <w:pPr>
        <w:rPr>
          <w:lang w:val="cs-CZ"/>
        </w:rPr>
      </w:pPr>
    </w:p>
    <w:p w:rsidR="009262C6" w:rsidRPr="00FC5BFE" w:rsidRDefault="00A72EBA" w:rsidP="003B679E">
      <w:pPr>
        <w:pStyle w:val="Styl2"/>
        <w:numPr>
          <w:ilvl w:val="1"/>
          <w:numId w:val="10"/>
        </w:numPr>
        <w:spacing w:before="0" w:after="0"/>
        <w:ind w:left="0" w:firstLine="0"/>
        <w:rPr>
          <w:szCs w:val="22"/>
          <w:lang w:val="sk-SK"/>
        </w:rPr>
      </w:pPr>
      <w:r w:rsidRPr="00D32133">
        <w:rPr>
          <w:szCs w:val="22"/>
          <w:lang w:val="sk-SK"/>
        </w:rPr>
        <w:lastRenderedPageBreak/>
        <w:t>Dávkovanie a spôsob podávania</w:t>
      </w:r>
    </w:p>
    <w:p w:rsidR="009262C6" w:rsidRPr="00FC5BFE" w:rsidRDefault="009262C6" w:rsidP="003B679E">
      <w:pPr>
        <w:pStyle w:val="Styl2"/>
        <w:numPr>
          <w:ilvl w:val="0"/>
          <w:numId w:val="0"/>
        </w:numPr>
        <w:spacing w:before="0" w:after="0"/>
        <w:rPr>
          <w:szCs w:val="22"/>
          <w:lang w:val="sk-SK"/>
        </w:rPr>
      </w:pPr>
    </w:p>
    <w:p w:rsidR="00A72EBA" w:rsidRPr="00BF2DCE" w:rsidRDefault="00A72EBA" w:rsidP="004F6A00">
      <w:pPr>
        <w:pStyle w:val="Styl3"/>
      </w:pPr>
      <w:r w:rsidRPr="004B210D">
        <w:t>Dávkovanie</w:t>
      </w:r>
    </w:p>
    <w:p w:rsidR="00A72EBA" w:rsidRPr="003B679E" w:rsidRDefault="00A72EBA" w:rsidP="00A45256">
      <w:pPr>
        <w:pStyle w:val="Normlndobloku"/>
      </w:pPr>
      <w:r w:rsidRPr="003B679E">
        <w:t>Poruchy elektrolytov, ako sú hypokaliémia, hypomagneziémia a hypokalciémia, majú byť v prípade potreby monitorované a korigované pred začatím a počas liečby vorikonazolom (pozri časť 4.4).</w:t>
      </w:r>
    </w:p>
    <w:p w:rsidR="00D32133" w:rsidRPr="003B679E" w:rsidRDefault="00D32133" w:rsidP="004644D9">
      <w:pPr>
        <w:pStyle w:val="Normlndobloku"/>
      </w:pPr>
    </w:p>
    <w:p w:rsidR="00D32133" w:rsidRDefault="008248C7" w:rsidP="004F6A00">
      <w:pPr>
        <w:pStyle w:val="Normlndobloku"/>
      </w:pPr>
      <w:r>
        <w:t xml:space="preserve">VERRIA </w:t>
      </w:r>
      <w:r w:rsidR="00D32133" w:rsidRPr="003B679E">
        <w:t>je tiež dostupn</w:t>
      </w:r>
      <w:r>
        <w:t>á</w:t>
      </w:r>
      <w:r w:rsidR="00D32133" w:rsidRPr="003B679E">
        <w:t xml:space="preserve"> ako </w:t>
      </w:r>
      <w:r w:rsidR="00D32133">
        <w:t>200 mg</w:t>
      </w:r>
      <w:r w:rsidR="00D32133" w:rsidRPr="003B679E">
        <w:rPr>
          <w:highlight w:val="lightGray"/>
        </w:rPr>
        <w:t>/50 mg</w:t>
      </w:r>
      <w:r w:rsidR="00D32133">
        <w:t xml:space="preserve"> filmom obalené tablety.</w:t>
      </w:r>
    </w:p>
    <w:p w:rsidR="00D32133" w:rsidRPr="003B679E" w:rsidRDefault="00D32133" w:rsidP="004F6A00">
      <w:pPr>
        <w:pStyle w:val="Normlndobloku"/>
      </w:pPr>
    </w:p>
    <w:p w:rsidR="00A72EBA" w:rsidRPr="00BF2DCE" w:rsidRDefault="00A72EBA" w:rsidP="004F6A00">
      <w:pPr>
        <w:pStyle w:val="Styl3"/>
      </w:pPr>
      <w:r w:rsidRPr="004B210D">
        <w:t>Liečba</w:t>
      </w:r>
    </w:p>
    <w:p w:rsidR="00000000" w:rsidRDefault="00A72EBA">
      <w:pPr>
        <w:pStyle w:val="Styl4"/>
      </w:pPr>
      <w:r w:rsidRPr="003B679E">
        <w:t>Dospelí</w:t>
      </w:r>
    </w:p>
    <w:p w:rsidR="00A72EBA" w:rsidRDefault="00A72EBA" w:rsidP="004F6A00">
      <w:pPr>
        <w:pStyle w:val="Normlndobloku"/>
      </w:pPr>
      <w:r w:rsidRPr="003B679E">
        <w:t>Liečbu je potrebné začať špecifikovaným režimom nasycovacej dávky buď intravenózne alebo perorálne podávaného vorikonazolu s cieľom dosiahnuť prvý deň plazmatické koncentrácie blízke rovnovážnemu stavu. Vďaka vysokej biologickej dostupnosti po perorálnom podaní (96 %; pozri časť 5.2) je prechod medzi intravenóznou a perorálnou aplikáciou, pokiaľ je to klinicky indikované, možný.</w:t>
      </w:r>
    </w:p>
    <w:p w:rsidR="00CB3225" w:rsidRPr="003B679E" w:rsidRDefault="00CB3225" w:rsidP="004F6A00">
      <w:pPr>
        <w:pStyle w:val="Normlndobloku"/>
      </w:pPr>
    </w:p>
    <w:p w:rsidR="00A72EBA" w:rsidRDefault="00A72EBA" w:rsidP="004F6A00">
      <w:pPr>
        <w:pStyle w:val="Normlndobloku"/>
      </w:pPr>
      <w:r w:rsidRPr="003B679E">
        <w:t>Podrobné informácie o odporúčan</w:t>
      </w:r>
      <w:r w:rsidR="003C26A3">
        <w:t>iach</w:t>
      </w:r>
      <w:r w:rsidRPr="003B679E">
        <w:t xml:space="preserve"> dávkovan</w:t>
      </w:r>
      <w:r w:rsidR="007B15AA">
        <w:t>ia</w:t>
      </w:r>
      <w:r w:rsidRPr="003B679E">
        <w:t xml:space="preserve"> </w:t>
      </w:r>
      <w:r w:rsidR="003C26A3">
        <w:t>sú</w:t>
      </w:r>
      <w:r w:rsidRPr="003B679E">
        <w:t xml:space="preserve"> uvedené v nasled</w:t>
      </w:r>
      <w:r w:rsidR="003C26A3">
        <w:t>ovnej</w:t>
      </w:r>
      <w:r w:rsidRPr="003B679E">
        <w:t xml:space="preserve"> tabuľke:</w:t>
      </w:r>
    </w:p>
    <w:p w:rsidR="00CB3225" w:rsidRPr="003B679E" w:rsidRDefault="00CB3225" w:rsidP="004F6A00">
      <w:pPr>
        <w:pStyle w:val="Normlndobl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2378"/>
        <w:gridCol w:w="2378"/>
        <w:gridCol w:w="2378"/>
      </w:tblGrid>
      <w:tr w:rsidR="003C26A3" w:rsidRPr="00D32133" w:rsidTr="0019731D">
        <w:trPr>
          <w:trHeight w:val="252"/>
        </w:trPr>
        <w:tc>
          <w:tcPr>
            <w:tcW w:w="2378" w:type="dxa"/>
            <w:vMerge w:val="restart"/>
            <w:shd w:val="clear" w:color="auto" w:fill="auto"/>
          </w:tcPr>
          <w:p w:rsidR="003C26A3" w:rsidRPr="00D32133" w:rsidRDefault="003C26A3" w:rsidP="00CD060E">
            <w:pPr>
              <w:rPr>
                <w:rFonts w:eastAsia="TimesNewRoman,Bold"/>
                <w:b/>
                <w:bCs/>
                <w:szCs w:val="22"/>
                <w:lang w:val="sk-SK"/>
              </w:rPr>
            </w:pPr>
          </w:p>
        </w:tc>
        <w:tc>
          <w:tcPr>
            <w:tcW w:w="2378" w:type="dxa"/>
            <w:vMerge w:val="restart"/>
            <w:shd w:val="clear" w:color="auto" w:fill="auto"/>
            <w:vAlign w:val="center"/>
          </w:tcPr>
          <w:p w:rsidR="003C26A3" w:rsidRPr="00D32133" w:rsidRDefault="003C26A3" w:rsidP="00D32133">
            <w:pPr>
              <w:rPr>
                <w:rFonts w:eastAsia="TimesNewRoman,Bold"/>
                <w:b/>
                <w:bCs/>
                <w:szCs w:val="22"/>
                <w:lang w:val="sk-SK"/>
              </w:rPr>
            </w:pPr>
            <w:r w:rsidRPr="00D32133">
              <w:rPr>
                <w:rFonts w:eastAsia="TimesNewRoman,Bold"/>
                <w:b/>
                <w:bCs/>
                <w:szCs w:val="22"/>
                <w:lang w:val="sk-SK"/>
              </w:rPr>
              <w:t>Intravenózne</w:t>
            </w:r>
          </w:p>
        </w:tc>
        <w:tc>
          <w:tcPr>
            <w:tcW w:w="4756" w:type="dxa"/>
            <w:gridSpan w:val="2"/>
            <w:shd w:val="clear" w:color="auto" w:fill="auto"/>
          </w:tcPr>
          <w:p w:rsidR="003C26A3" w:rsidRPr="00D32133" w:rsidRDefault="003C26A3" w:rsidP="003B679E">
            <w:pPr>
              <w:rPr>
                <w:rFonts w:eastAsia="TimesNewRoman,Bold"/>
                <w:b/>
                <w:bCs/>
                <w:szCs w:val="22"/>
                <w:lang w:val="sk-SK"/>
              </w:rPr>
            </w:pPr>
            <w:r w:rsidRPr="00D32133">
              <w:rPr>
                <w:rFonts w:eastAsia="TimesNewRoman,Bold"/>
                <w:b/>
                <w:bCs/>
                <w:szCs w:val="22"/>
                <w:lang w:val="sk-SK"/>
              </w:rPr>
              <w:t>Perorálne</w:t>
            </w:r>
          </w:p>
        </w:tc>
      </w:tr>
      <w:tr w:rsidR="003C26A3" w:rsidRPr="00D32133" w:rsidTr="0019731D">
        <w:trPr>
          <w:trHeight w:val="741"/>
        </w:trPr>
        <w:tc>
          <w:tcPr>
            <w:tcW w:w="2378" w:type="dxa"/>
            <w:vMerge/>
            <w:shd w:val="clear" w:color="auto" w:fill="auto"/>
          </w:tcPr>
          <w:p w:rsidR="003C26A3" w:rsidRPr="00D32133" w:rsidRDefault="003C26A3" w:rsidP="00CD060E">
            <w:pPr>
              <w:rPr>
                <w:rFonts w:eastAsia="TimesNewRoman,Bold"/>
                <w:b/>
                <w:bCs/>
                <w:szCs w:val="22"/>
                <w:lang w:val="sk-SK"/>
              </w:rPr>
            </w:pPr>
          </w:p>
        </w:tc>
        <w:tc>
          <w:tcPr>
            <w:tcW w:w="2378" w:type="dxa"/>
            <w:vMerge/>
            <w:shd w:val="clear" w:color="auto" w:fill="auto"/>
          </w:tcPr>
          <w:p w:rsidR="003C26A3" w:rsidRPr="003B679E" w:rsidRDefault="003C26A3">
            <w:pPr>
              <w:rPr>
                <w:rFonts w:eastAsia="TimesNewRoman,Bold"/>
                <w:b/>
                <w:bCs/>
                <w:szCs w:val="22"/>
                <w:lang w:val="sk-SK"/>
              </w:rPr>
            </w:pPr>
          </w:p>
        </w:tc>
        <w:tc>
          <w:tcPr>
            <w:tcW w:w="2378" w:type="dxa"/>
            <w:shd w:val="clear" w:color="auto" w:fill="auto"/>
          </w:tcPr>
          <w:p w:rsidR="003C26A3" w:rsidRPr="003B679E" w:rsidRDefault="003C26A3">
            <w:pPr>
              <w:autoSpaceDE w:val="0"/>
              <w:autoSpaceDN w:val="0"/>
              <w:adjustRightInd w:val="0"/>
              <w:rPr>
                <w:rFonts w:eastAsia="TimesNewRoman"/>
                <w:szCs w:val="22"/>
                <w:lang w:val="sk-SK"/>
              </w:rPr>
            </w:pPr>
            <w:r w:rsidRPr="003B679E">
              <w:rPr>
                <w:rFonts w:eastAsia="TimesNewRoman"/>
                <w:szCs w:val="22"/>
                <w:lang w:val="sk-SK"/>
              </w:rPr>
              <w:t>Pacienti s telesnou hmotnosťou</w:t>
            </w:r>
          </w:p>
          <w:p w:rsidR="003C26A3" w:rsidRPr="003B679E" w:rsidRDefault="003C26A3">
            <w:pPr>
              <w:rPr>
                <w:rFonts w:eastAsia="TimesNewRoman,Bold"/>
                <w:b/>
                <w:bCs/>
                <w:szCs w:val="22"/>
                <w:lang w:val="sk-SK"/>
              </w:rPr>
            </w:pPr>
            <w:r w:rsidRPr="003B679E">
              <w:rPr>
                <w:rFonts w:eastAsia="TimesNewRoman"/>
                <w:szCs w:val="22"/>
                <w:lang w:val="sk-SK"/>
              </w:rPr>
              <w:t>40 kg a viac</w:t>
            </w:r>
          </w:p>
        </w:tc>
        <w:tc>
          <w:tcPr>
            <w:tcW w:w="2378" w:type="dxa"/>
            <w:shd w:val="clear" w:color="auto" w:fill="auto"/>
          </w:tcPr>
          <w:p w:rsidR="003C26A3" w:rsidRPr="003B679E" w:rsidRDefault="003C26A3">
            <w:pPr>
              <w:autoSpaceDE w:val="0"/>
              <w:autoSpaceDN w:val="0"/>
              <w:adjustRightInd w:val="0"/>
              <w:rPr>
                <w:rFonts w:eastAsia="TimesNewRoman"/>
                <w:szCs w:val="22"/>
                <w:lang w:val="sk-SK"/>
              </w:rPr>
            </w:pPr>
            <w:r w:rsidRPr="003B679E">
              <w:rPr>
                <w:rFonts w:eastAsia="TimesNewRoman"/>
                <w:szCs w:val="22"/>
                <w:lang w:val="sk-SK"/>
              </w:rPr>
              <w:t>Pacienti s telesnou hmotnosťou</w:t>
            </w:r>
          </w:p>
          <w:p w:rsidR="003C26A3" w:rsidRPr="003B679E" w:rsidRDefault="003C26A3">
            <w:pPr>
              <w:rPr>
                <w:rFonts w:eastAsia="TimesNewRoman,Bold"/>
                <w:b/>
                <w:bCs/>
                <w:szCs w:val="22"/>
                <w:lang w:val="sk-SK"/>
              </w:rPr>
            </w:pPr>
            <w:r w:rsidRPr="003B679E">
              <w:rPr>
                <w:rFonts w:eastAsia="TimesNewRoman"/>
                <w:szCs w:val="22"/>
                <w:lang w:val="sk-SK"/>
              </w:rPr>
              <w:t>nižšou ako 40 kg*</w:t>
            </w:r>
          </w:p>
        </w:tc>
      </w:tr>
      <w:tr w:rsidR="00A72EBA" w:rsidRPr="00D32133" w:rsidTr="0019731D">
        <w:trPr>
          <w:trHeight w:val="741"/>
        </w:trPr>
        <w:tc>
          <w:tcPr>
            <w:tcW w:w="2378" w:type="dxa"/>
            <w:shd w:val="clear" w:color="auto" w:fill="auto"/>
          </w:tcPr>
          <w:p w:rsidR="00A72EBA" w:rsidRPr="00D32133" w:rsidRDefault="00A72EBA" w:rsidP="00CD060E">
            <w:pPr>
              <w:autoSpaceDE w:val="0"/>
              <w:autoSpaceDN w:val="0"/>
              <w:adjustRightInd w:val="0"/>
              <w:rPr>
                <w:rFonts w:eastAsia="TimesNewRoman,Bold"/>
                <w:b/>
                <w:bCs/>
                <w:szCs w:val="22"/>
                <w:lang w:val="sk-SK"/>
              </w:rPr>
            </w:pPr>
            <w:r w:rsidRPr="00D32133">
              <w:rPr>
                <w:rFonts w:eastAsia="TimesNewRoman,Bold"/>
                <w:b/>
                <w:bCs/>
                <w:szCs w:val="22"/>
                <w:lang w:val="sk-SK"/>
              </w:rPr>
              <w:t>Režim pri</w:t>
            </w:r>
          </w:p>
          <w:p w:rsidR="00A72EBA" w:rsidRPr="00D32133" w:rsidRDefault="00A72EBA" w:rsidP="00D32133">
            <w:pPr>
              <w:autoSpaceDE w:val="0"/>
              <w:autoSpaceDN w:val="0"/>
              <w:adjustRightInd w:val="0"/>
              <w:rPr>
                <w:rFonts w:eastAsia="TimesNewRoman,Bold"/>
                <w:b/>
                <w:bCs/>
                <w:szCs w:val="22"/>
                <w:lang w:val="sk-SK"/>
              </w:rPr>
            </w:pPr>
            <w:r w:rsidRPr="00D32133">
              <w:rPr>
                <w:rFonts w:eastAsia="TimesNewRoman,Bold"/>
                <w:b/>
                <w:bCs/>
                <w:szCs w:val="22"/>
                <w:lang w:val="sk-SK"/>
              </w:rPr>
              <w:t>nasycovanej dávke</w:t>
            </w:r>
          </w:p>
          <w:p w:rsidR="00A72EBA" w:rsidRPr="00FA5CAE" w:rsidRDefault="00A72EBA" w:rsidP="003C26A3">
            <w:pPr>
              <w:rPr>
                <w:rFonts w:eastAsia="TimesNewRoman,Bold"/>
                <w:b/>
                <w:bCs/>
                <w:szCs w:val="22"/>
                <w:lang w:val="sk-SK"/>
              </w:rPr>
            </w:pPr>
            <w:r w:rsidRPr="003C26A3">
              <w:rPr>
                <w:rFonts w:eastAsia="TimesNewRoman,Bold"/>
                <w:b/>
                <w:bCs/>
                <w:szCs w:val="22"/>
                <w:lang w:val="sk-SK"/>
              </w:rPr>
              <w:t>(prvých 24 hodín)</w:t>
            </w:r>
          </w:p>
        </w:tc>
        <w:tc>
          <w:tcPr>
            <w:tcW w:w="2378"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6 mg/kg každých</w:t>
            </w:r>
          </w:p>
          <w:p w:rsidR="00A72EBA" w:rsidRPr="009254AD" w:rsidRDefault="00A72EBA">
            <w:pPr>
              <w:rPr>
                <w:rFonts w:eastAsia="TimesNewRoman,Bold"/>
                <w:b/>
                <w:bCs/>
                <w:szCs w:val="22"/>
                <w:lang w:val="sk-SK"/>
              </w:rPr>
            </w:pPr>
            <w:r w:rsidRPr="00D40A28">
              <w:rPr>
                <w:rFonts w:eastAsia="TimesNewRoman"/>
                <w:szCs w:val="22"/>
                <w:lang w:val="sk-SK"/>
              </w:rPr>
              <w:t>12 hodín</w:t>
            </w:r>
          </w:p>
        </w:tc>
        <w:tc>
          <w:tcPr>
            <w:tcW w:w="2378" w:type="dxa"/>
            <w:shd w:val="clear" w:color="auto" w:fill="auto"/>
          </w:tcPr>
          <w:p w:rsidR="00A72EBA" w:rsidRPr="00324F85" w:rsidRDefault="00A72EBA">
            <w:pPr>
              <w:autoSpaceDE w:val="0"/>
              <w:autoSpaceDN w:val="0"/>
              <w:adjustRightInd w:val="0"/>
              <w:rPr>
                <w:rFonts w:eastAsia="TimesNewRoman"/>
                <w:szCs w:val="22"/>
                <w:lang w:val="sk-SK"/>
              </w:rPr>
            </w:pPr>
            <w:r w:rsidRPr="00B86E52">
              <w:rPr>
                <w:rFonts w:eastAsia="TimesNewRoman"/>
                <w:szCs w:val="22"/>
                <w:lang w:val="sk-SK"/>
              </w:rPr>
              <w:t>400 mg každých</w:t>
            </w:r>
          </w:p>
          <w:p w:rsidR="00A72EBA" w:rsidRPr="00BF2DCE" w:rsidRDefault="00A72EBA">
            <w:pPr>
              <w:rPr>
                <w:rFonts w:eastAsia="TimesNewRoman,Bold"/>
                <w:b/>
                <w:bCs/>
                <w:szCs w:val="22"/>
                <w:lang w:val="sk-SK"/>
              </w:rPr>
            </w:pPr>
            <w:r w:rsidRPr="004B210D">
              <w:rPr>
                <w:rFonts w:eastAsia="TimesNewRoman"/>
                <w:szCs w:val="22"/>
                <w:lang w:val="sk-SK"/>
              </w:rPr>
              <w:t>12 hodín</w:t>
            </w:r>
          </w:p>
        </w:tc>
        <w:tc>
          <w:tcPr>
            <w:tcW w:w="2378" w:type="dxa"/>
            <w:shd w:val="clear" w:color="auto" w:fill="auto"/>
          </w:tcPr>
          <w:p w:rsidR="00A72EBA" w:rsidRPr="00C637EC" w:rsidRDefault="00A72EBA">
            <w:pPr>
              <w:autoSpaceDE w:val="0"/>
              <w:autoSpaceDN w:val="0"/>
              <w:adjustRightInd w:val="0"/>
              <w:rPr>
                <w:rFonts w:eastAsia="TimesNewRoman"/>
                <w:szCs w:val="22"/>
                <w:lang w:val="sk-SK"/>
              </w:rPr>
            </w:pPr>
            <w:r w:rsidRPr="00C637EC">
              <w:rPr>
                <w:rFonts w:eastAsia="TimesNewRoman"/>
                <w:szCs w:val="22"/>
                <w:lang w:val="sk-SK"/>
              </w:rPr>
              <w:t>200 mg každých</w:t>
            </w:r>
          </w:p>
          <w:p w:rsidR="00A72EBA" w:rsidRPr="0029661F" w:rsidRDefault="00A72EBA">
            <w:pPr>
              <w:rPr>
                <w:rFonts w:eastAsia="TimesNewRoman,Bold"/>
                <w:b/>
                <w:bCs/>
                <w:szCs w:val="22"/>
                <w:lang w:val="sk-SK"/>
              </w:rPr>
            </w:pPr>
            <w:r w:rsidRPr="00604E6B">
              <w:rPr>
                <w:rFonts w:eastAsia="TimesNewRoman"/>
                <w:szCs w:val="22"/>
                <w:lang w:val="sk-SK"/>
              </w:rPr>
              <w:t>12 hodín</w:t>
            </w:r>
          </w:p>
        </w:tc>
      </w:tr>
      <w:tr w:rsidR="00A72EBA" w:rsidRPr="00D32133" w:rsidTr="0019731D">
        <w:trPr>
          <w:trHeight w:val="756"/>
        </w:trPr>
        <w:tc>
          <w:tcPr>
            <w:tcW w:w="2378" w:type="dxa"/>
            <w:shd w:val="clear" w:color="auto" w:fill="auto"/>
          </w:tcPr>
          <w:p w:rsidR="00A72EBA" w:rsidRPr="00D32133" w:rsidRDefault="00A72EBA" w:rsidP="00CD060E">
            <w:pPr>
              <w:autoSpaceDE w:val="0"/>
              <w:autoSpaceDN w:val="0"/>
              <w:adjustRightInd w:val="0"/>
              <w:rPr>
                <w:rFonts w:eastAsia="TimesNewRoman,Bold"/>
                <w:b/>
                <w:bCs/>
                <w:szCs w:val="22"/>
                <w:lang w:val="sk-SK"/>
              </w:rPr>
            </w:pPr>
            <w:r w:rsidRPr="00D32133">
              <w:rPr>
                <w:rFonts w:eastAsia="TimesNewRoman,Bold"/>
                <w:b/>
                <w:bCs/>
                <w:szCs w:val="22"/>
                <w:lang w:val="sk-SK"/>
              </w:rPr>
              <w:t>Udržiavacia dávka</w:t>
            </w:r>
          </w:p>
          <w:p w:rsidR="00A72EBA" w:rsidRPr="003C26A3" w:rsidRDefault="00A72EBA" w:rsidP="00D32133">
            <w:pPr>
              <w:autoSpaceDE w:val="0"/>
              <w:autoSpaceDN w:val="0"/>
              <w:adjustRightInd w:val="0"/>
              <w:rPr>
                <w:rFonts w:eastAsia="TimesNewRoman,Bold"/>
                <w:b/>
                <w:bCs/>
                <w:szCs w:val="22"/>
                <w:lang w:val="sk-SK"/>
              </w:rPr>
            </w:pPr>
            <w:r w:rsidRPr="00D32133">
              <w:rPr>
                <w:rFonts w:eastAsia="TimesNewRoman,Bold"/>
                <w:b/>
                <w:bCs/>
                <w:szCs w:val="22"/>
                <w:lang w:val="sk-SK"/>
              </w:rPr>
              <w:t>(po prvých 24 hodinách)</w:t>
            </w:r>
          </w:p>
        </w:tc>
        <w:tc>
          <w:tcPr>
            <w:tcW w:w="2378" w:type="dxa"/>
            <w:shd w:val="clear" w:color="auto" w:fill="auto"/>
          </w:tcPr>
          <w:p w:rsidR="00A72EBA" w:rsidRPr="00FA5CAE" w:rsidRDefault="00A72EBA" w:rsidP="003C26A3">
            <w:pPr>
              <w:rPr>
                <w:rFonts w:eastAsia="TimesNewRoman,Bold"/>
                <w:b/>
                <w:bCs/>
                <w:szCs w:val="22"/>
                <w:lang w:val="sk-SK"/>
              </w:rPr>
            </w:pPr>
            <w:r w:rsidRPr="00FA5CAE">
              <w:rPr>
                <w:rFonts w:eastAsia="TimesNewRoman"/>
                <w:szCs w:val="22"/>
                <w:lang w:val="sk-SK"/>
              </w:rPr>
              <w:t>4 mg/kg dvakrát denne</w:t>
            </w:r>
          </w:p>
        </w:tc>
        <w:tc>
          <w:tcPr>
            <w:tcW w:w="2378" w:type="dxa"/>
            <w:shd w:val="clear" w:color="auto" w:fill="auto"/>
          </w:tcPr>
          <w:p w:rsidR="00A72EBA" w:rsidRPr="00D40A28" w:rsidRDefault="00A72EBA">
            <w:pPr>
              <w:rPr>
                <w:rFonts w:eastAsia="TimesNewRoman,Bold"/>
                <w:b/>
                <w:bCs/>
                <w:szCs w:val="22"/>
                <w:lang w:val="sk-SK"/>
              </w:rPr>
            </w:pPr>
            <w:r w:rsidRPr="00D40A28">
              <w:rPr>
                <w:rFonts w:eastAsia="TimesNewRoman"/>
                <w:szCs w:val="22"/>
                <w:lang w:val="sk-SK"/>
              </w:rPr>
              <w:t>200 mg dvakrát denne</w:t>
            </w:r>
          </w:p>
        </w:tc>
        <w:tc>
          <w:tcPr>
            <w:tcW w:w="2378" w:type="dxa"/>
            <w:shd w:val="clear" w:color="auto" w:fill="auto"/>
          </w:tcPr>
          <w:p w:rsidR="00A72EBA" w:rsidRPr="009254AD" w:rsidRDefault="00A72EBA">
            <w:pPr>
              <w:rPr>
                <w:rFonts w:eastAsia="TimesNewRoman,Bold"/>
                <w:b/>
                <w:bCs/>
                <w:szCs w:val="22"/>
                <w:lang w:val="sk-SK"/>
              </w:rPr>
            </w:pPr>
            <w:r w:rsidRPr="00D40A28">
              <w:rPr>
                <w:rFonts w:eastAsia="TimesNewRoman"/>
                <w:szCs w:val="22"/>
                <w:lang w:val="sk-SK"/>
              </w:rPr>
              <w:t>100 mg dvakrát denne</w:t>
            </w:r>
          </w:p>
        </w:tc>
      </w:tr>
    </w:tbl>
    <w:p w:rsidR="00A72EBA" w:rsidRDefault="00A72EBA" w:rsidP="00A45256">
      <w:pPr>
        <w:pStyle w:val="Normlndobloku"/>
      </w:pPr>
      <w:r w:rsidRPr="003B679E">
        <w:t>*týka sa to i pacientov vo veku 15 rokov a</w:t>
      </w:r>
      <w:r w:rsidR="00FA5CAE">
        <w:t> </w:t>
      </w:r>
      <w:r w:rsidRPr="003B679E">
        <w:t>starších</w:t>
      </w:r>
    </w:p>
    <w:p w:rsidR="00FA5CAE" w:rsidRPr="003B679E" w:rsidRDefault="00FA5CAE" w:rsidP="004644D9">
      <w:pPr>
        <w:pStyle w:val="Normlndobloku"/>
      </w:pPr>
    </w:p>
    <w:p w:rsidR="00A72EBA" w:rsidRPr="005C5884" w:rsidRDefault="00A72EBA" w:rsidP="004F6A00">
      <w:pPr>
        <w:pStyle w:val="Styl5"/>
      </w:pPr>
      <w:r w:rsidRPr="004B210D">
        <w:t xml:space="preserve">Dĺžka </w:t>
      </w:r>
      <w:r w:rsidRPr="00BF2DCE">
        <w:t>trvania liečby</w:t>
      </w:r>
    </w:p>
    <w:p w:rsidR="00A72EBA" w:rsidRDefault="00A72EBA" w:rsidP="00A45256">
      <w:pPr>
        <w:pStyle w:val="Normlndobloku"/>
        <w:rPr>
          <w:lang w:eastAsia="sk-SK"/>
        </w:rPr>
      </w:pPr>
      <w:r w:rsidRPr="003B679E">
        <w:rPr>
          <w:lang w:eastAsia="sk-SK"/>
        </w:rPr>
        <w:t xml:space="preserve">Dĺžka trvania liečby má byť čo najkratšia, v závislosti od </w:t>
      </w:r>
      <w:proofErr w:type="gramStart"/>
      <w:r w:rsidRPr="003B679E">
        <w:rPr>
          <w:lang w:eastAsia="sk-SK"/>
        </w:rPr>
        <w:t>klinickej</w:t>
      </w:r>
      <w:proofErr w:type="gramEnd"/>
      <w:r w:rsidRPr="003B679E">
        <w:rPr>
          <w:lang w:eastAsia="sk-SK"/>
        </w:rPr>
        <w:t xml:space="preserve"> a mykologickej odpovede pacienta. Pri</w:t>
      </w:r>
      <w:r w:rsidR="00354407">
        <w:rPr>
          <w:lang w:eastAsia="sk-SK"/>
        </w:rPr>
        <w:t> </w:t>
      </w:r>
      <w:r w:rsidRPr="003B679E">
        <w:rPr>
          <w:lang w:eastAsia="sk-SK"/>
        </w:rPr>
        <w:t>dlhodobej expozícii vorikonazolu viac ako 180 dní (6 mesiacov) sa vyžaduje starostlivé zhodnotenie pomeru prínosu a rizika (pozri časti 4.4 a 5.1).</w:t>
      </w:r>
    </w:p>
    <w:p w:rsidR="00E70B7A" w:rsidRPr="003B679E" w:rsidRDefault="00E70B7A" w:rsidP="004644D9">
      <w:pPr>
        <w:pStyle w:val="Normlndobloku"/>
      </w:pPr>
    </w:p>
    <w:p w:rsidR="00A72EBA" w:rsidRPr="00BF2DCE" w:rsidRDefault="00A72EBA" w:rsidP="004F6A00">
      <w:pPr>
        <w:pStyle w:val="Styl5"/>
      </w:pPr>
      <w:r w:rsidRPr="004B210D">
        <w:t>Úprava dávky (dospelí)</w:t>
      </w:r>
    </w:p>
    <w:p w:rsidR="00A72EBA" w:rsidRDefault="00A72EBA" w:rsidP="00A45256">
      <w:pPr>
        <w:pStyle w:val="Normlndobloku"/>
      </w:pPr>
      <w:r w:rsidRPr="003B679E">
        <w:t>Ak pacient nereaguje adekvátne na liečbu, možno udržiavaciu dávku zvýšiť na 300 mg dvakrát denne pri</w:t>
      </w:r>
      <w:r w:rsidR="002D5DB4">
        <w:t> </w:t>
      </w:r>
      <w:r w:rsidRPr="003B679E">
        <w:t>perorálnej aplikácii. U pacientov s telesnou hmotnosťou nižšou ako 40 kg sa môže perorálna dávka zvýšiť na 150 mg dvakrát denne.</w:t>
      </w:r>
    </w:p>
    <w:p w:rsidR="00413EE1" w:rsidRPr="003B679E" w:rsidRDefault="00413EE1" w:rsidP="004644D9">
      <w:pPr>
        <w:pStyle w:val="Normlndobloku"/>
      </w:pPr>
    </w:p>
    <w:p w:rsidR="00A72EBA" w:rsidRDefault="00A72EBA" w:rsidP="004F6A00">
      <w:pPr>
        <w:pStyle w:val="Normlndobloku"/>
      </w:pPr>
      <w:r w:rsidRPr="003B679E">
        <w:t>Ak pacient nie je schopný tolerovať liečbu zvýšenou dávkou, znižujte perorálnu dávku po 50 mg na</w:t>
      </w:r>
      <w:r w:rsidR="00F41719">
        <w:t> </w:t>
      </w:r>
      <w:r w:rsidRPr="003B679E">
        <w:t>udržiavaciu dávku 200 mg dvakrát denne (alebo 100 mg dvakrát denne u pacientov s telesnou hmotnosťou nižšou ako 40 kg).</w:t>
      </w:r>
    </w:p>
    <w:p w:rsidR="00413EE1" w:rsidRPr="003B679E" w:rsidRDefault="00413EE1" w:rsidP="004F6A00">
      <w:pPr>
        <w:pStyle w:val="Normlndobloku"/>
      </w:pPr>
    </w:p>
    <w:p w:rsidR="00A72EBA" w:rsidRDefault="00A72EBA" w:rsidP="004F6A00">
      <w:pPr>
        <w:pStyle w:val="Normlndobloku"/>
        <w:rPr>
          <w:lang w:eastAsia="sk-SK"/>
        </w:rPr>
      </w:pPr>
      <w:r w:rsidRPr="003B679E">
        <w:rPr>
          <w:lang w:eastAsia="sk-SK"/>
        </w:rPr>
        <w:t>V prípade použitia na profylaxiu, pozri informácie nižšie.</w:t>
      </w:r>
    </w:p>
    <w:p w:rsidR="00413EE1" w:rsidRPr="003B679E" w:rsidRDefault="00413EE1" w:rsidP="004F6A00">
      <w:pPr>
        <w:pStyle w:val="Normlndobloku"/>
        <w:rPr>
          <w:lang w:eastAsia="sk-SK"/>
        </w:rPr>
      </w:pPr>
    </w:p>
    <w:p w:rsidR="00000000" w:rsidRDefault="00BA4A47">
      <w:pPr>
        <w:pStyle w:val="Styl4"/>
      </w:pPr>
      <w:r>
        <w:t>D</w:t>
      </w:r>
      <w:r w:rsidR="00A72EBA" w:rsidRPr="003B679E">
        <w:t>et</w:t>
      </w:r>
      <w:r>
        <w:t>i</w:t>
      </w:r>
      <w:r w:rsidR="00A72EBA" w:rsidRPr="003B679E">
        <w:t xml:space="preserve"> (</w:t>
      </w:r>
      <w:r w:rsidR="00DE2337">
        <w:t xml:space="preserve">vo veku </w:t>
      </w:r>
      <w:r w:rsidR="00A72EBA" w:rsidRPr="003B679E">
        <w:t>2 až &lt; 12 rokov) a mladší dospievajúci s nízkou telesnou hmotnos</w:t>
      </w:r>
      <w:r w:rsidR="00A72EBA" w:rsidRPr="003B679E">
        <w:rPr>
          <w:rFonts w:hint="eastAsia"/>
        </w:rPr>
        <w:t>ť</w:t>
      </w:r>
      <w:r w:rsidR="00A72EBA" w:rsidRPr="003B679E">
        <w:t>ou (</w:t>
      </w:r>
      <w:r w:rsidR="00DE2337">
        <w:t xml:space="preserve">vo veku </w:t>
      </w:r>
      <w:r w:rsidR="00A72EBA" w:rsidRPr="003B679E">
        <w:t>12 až 14 rokov a &lt; 50 kg)</w:t>
      </w:r>
    </w:p>
    <w:p w:rsidR="00A72EBA" w:rsidRDefault="00A72EBA" w:rsidP="004F6A00">
      <w:pPr>
        <w:pStyle w:val="Normlndobloku"/>
        <w:rPr>
          <w:lang w:eastAsia="sk-SK"/>
        </w:rPr>
      </w:pPr>
      <w:r w:rsidRPr="003B679E">
        <w:rPr>
          <w:lang w:eastAsia="sk-SK"/>
        </w:rPr>
        <w:t>Vorikonazol má byť dávkovaný ako u detí, pretože u týchto mladších dospievajúcich sa vorikonazol metabolizuje skôr ako u detí, než ako u dospelých.</w:t>
      </w:r>
    </w:p>
    <w:p w:rsidR="00413EE1" w:rsidRDefault="00413EE1" w:rsidP="004F6A00">
      <w:pPr>
        <w:pStyle w:val="Normlndobloku"/>
      </w:pPr>
    </w:p>
    <w:p w:rsidR="005729C2" w:rsidRDefault="005729C2" w:rsidP="004F6A00">
      <w:pPr>
        <w:pStyle w:val="Normlndobloku"/>
      </w:pPr>
    </w:p>
    <w:p w:rsidR="005729C2" w:rsidRDefault="005729C2" w:rsidP="004F6A00">
      <w:pPr>
        <w:pStyle w:val="Normlndobloku"/>
      </w:pPr>
    </w:p>
    <w:p w:rsidR="005729C2" w:rsidRPr="003B679E" w:rsidRDefault="005729C2" w:rsidP="004F6A00">
      <w:pPr>
        <w:pStyle w:val="Normlndobloku"/>
      </w:pPr>
    </w:p>
    <w:p w:rsidR="005A1FC2" w:rsidRPr="003B679E" w:rsidRDefault="00A72EBA" w:rsidP="004F6A00">
      <w:pPr>
        <w:pStyle w:val="Normlndobloku"/>
      </w:pPr>
      <w:r w:rsidRPr="003B679E">
        <w:lastRenderedPageBreak/>
        <w:t>Odporúčaný dávkovací režim je nasledovný: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0"/>
        <w:gridCol w:w="3181"/>
        <w:gridCol w:w="3181"/>
      </w:tblGrid>
      <w:tr w:rsidR="00A72EBA" w:rsidRPr="00D32133" w:rsidTr="0019731D">
        <w:trPr>
          <w:trHeight w:val="246"/>
          <w:tblHeader/>
        </w:trPr>
        <w:tc>
          <w:tcPr>
            <w:tcW w:w="3180" w:type="dxa"/>
            <w:shd w:val="clear" w:color="auto" w:fill="auto"/>
          </w:tcPr>
          <w:p w:rsidR="00A72EBA" w:rsidRPr="00D32133" w:rsidRDefault="00A72EBA" w:rsidP="00CD060E">
            <w:pPr>
              <w:rPr>
                <w:szCs w:val="22"/>
                <w:lang w:val="sk-SK"/>
              </w:rPr>
            </w:pPr>
          </w:p>
        </w:tc>
        <w:tc>
          <w:tcPr>
            <w:tcW w:w="3181" w:type="dxa"/>
            <w:shd w:val="clear" w:color="auto" w:fill="auto"/>
          </w:tcPr>
          <w:p w:rsidR="00A72EBA" w:rsidRPr="00D32133" w:rsidRDefault="00A72EBA" w:rsidP="00D32133">
            <w:pPr>
              <w:rPr>
                <w:szCs w:val="22"/>
                <w:lang w:val="sk-SK"/>
              </w:rPr>
            </w:pPr>
            <w:r w:rsidRPr="00D32133">
              <w:rPr>
                <w:rFonts w:eastAsia="TimesNewRoman,Bold"/>
                <w:b/>
                <w:bCs/>
                <w:szCs w:val="22"/>
                <w:lang w:val="sk-SK"/>
              </w:rPr>
              <w:t>Intravenózne</w:t>
            </w:r>
          </w:p>
        </w:tc>
        <w:tc>
          <w:tcPr>
            <w:tcW w:w="3181" w:type="dxa"/>
            <w:shd w:val="clear" w:color="auto" w:fill="auto"/>
          </w:tcPr>
          <w:p w:rsidR="00A72EBA" w:rsidRPr="00D32133" w:rsidRDefault="00A72EBA">
            <w:pPr>
              <w:rPr>
                <w:szCs w:val="22"/>
                <w:lang w:val="sk-SK"/>
              </w:rPr>
            </w:pPr>
            <w:r w:rsidRPr="00D32133">
              <w:rPr>
                <w:rFonts w:eastAsia="TimesNewRoman,Bold"/>
                <w:b/>
                <w:bCs/>
                <w:szCs w:val="22"/>
                <w:lang w:val="sk-SK"/>
              </w:rPr>
              <w:t>Perorálne</w:t>
            </w:r>
          </w:p>
        </w:tc>
      </w:tr>
      <w:tr w:rsidR="00A72EBA" w:rsidRPr="00D32133" w:rsidTr="0019731D">
        <w:trPr>
          <w:trHeight w:val="523"/>
        </w:trPr>
        <w:tc>
          <w:tcPr>
            <w:tcW w:w="3180" w:type="dxa"/>
            <w:shd w:val="clear" w:color="auto" w:fill="auto"/>
          </w:tcPr>
          <w:p w:rsidR="00A72EBA" w:rsidRPr="00D32133" w:rsidRDefault="00A72EBA" w:rsidP="00CD060E">
            <w:pPr>
              <w:autoSpaceDE w:val="0"/>
              <w:autoSpaceDN w:val="0"/>
              <w:adjustRightInd w:val="0"/>
              <w:rPr>
                <w:rFonts w:eastAsia="TimesNewRoman,Bold"/>
                <w:b/>
                <w:bCs/>
                <w:szCs w:val="22"/>
                <w:lang w:val="sk-SK"/>
              </w:rPr>
            </w:pPr>
            <w:r w:rsidRPr="00D32133">
              <w:rPr>
                <w:rFonts w:eastAsia="TimesNewRoman,Bold"/>
                <w:b/>
                <w:bCs/>
                <w:szCs w:val="22"/>
                <w:lang w:val="sk-SK"/>
              </w:rPr>
              <w:t>Režim pri nasycovanej</w:t>
            </w:r>
          </w:p>
          <w:p w:rsidR="00A72EBA" w:rsidRPr="00D32133" w:rsidRDefault="00A72EBA" w:rsidP="00D32133">
            <w:pPr>
              <w:autoSpaceDE w:val="0"/>
              <w:autoSpaceDN w:val="0"/>
              <w:adjustRightInd w:val="0"/>
              <w:rPr>
                <w:szCs w:val="22"/>
                <w:lang w:val="sk-SK"/>
              </w:rPr>
            </w:pPr>
            <w:r w:rsidRPr="00D32133">
              <w:rPr>
                <w:rFonts w:eastAsia="TimesNewRoman,Bold"/>
                <w:b/>
                <w:bCs/>
                <w:szCs w:val="22"/>
                <w:lang w:val="sk-SK"/>
              </w:rPr>
              <w:t>dávke (prvých 24 hodín)</w:t>
            </w:r>
          </w:p>
        </w:tc>
        <w:tc>
          <w:tcPr>
            <w:tcW w:w="3181" w:type="dxa"/>
            <w:shd w:val="clear" w:color="auto" w:fill="auto"/>
          </w:tcPr>
          <w:p w:rsidR="00A72EBA" w:rsidRPr="00D32133" w:rsidRDefault="00A72EBA">
            <w:pPr>
              <w:rPr>
                <w:szCs w:val="22"/>
                <w:lang w:val="sk-SK"/>
              </w:rPr>
            </w:pPr>
            <w:r w:rsidRPr="00D32133">
              <w:rPr>
                <w:rFonts w:eastAsia="TimesNewRoman"/>
                <w:szCs w:val="22"/>
                <w:lang w:val="sk-SK"/>
              </w:rPr>
              <w:t>9 mg/kg každých 12 hodín</w:t>
            </w:r>
          </w:p>
        </w:tc>
        <w:tc>
          <w:tcPr>
            <w:tcW w:w="3181" w:type="dxa"/>
            <w:shd w:val="clear" w:color="auto" w:fill="auto"/>
          </w:tcPr>
          <w:p w:rsidR="00A72EBA" w:rsidRPr="00D32133" w:rsidRDefault="00A72EBA">
            <w:pPr>
              <w:rPr>
                <w:szCs w:val="22"/>
                <w:lang w:val="sk-SK"/>
              </w:rPr>
            </w:pPr>
            <w:r w:rsidRPr="00D32133">
              <w:rPr>
                <w:rFonts w:eastAsia="TimesNewRoman"/>
                <w:szCs w:val="22"/>
                <w:lang w:val="sk-SK"/>
              </w:rPr>
              <w:t>Neodporúča sa</w:t>
            </w:r>
          </w:p>
        </w:tc>
      </w:tr>
      <w:tr w:rsidR="00A72EBA" w:rsidRPr="00D32133" w:rsidTr="0019731D">
        <w:trPr>
          <w:trHeight w:val="784"/>
        </w:trPr>
        <w:tc>
          <w:tcPr>
            <w:tcW w:w="3180" w:type="dxa"/>
            <w:shd w:val="clear" w:color="auto" w:fill="auto"/>
          </w:tcPr>
          <w:p w:rsidR="00A72EBA" w:rsidRPr="00D32133" w:rsidRDefault="00A72EBA" w:rsidP="00CD060E">
            <w:pPr>
              <w:autoSpaceDE w:val="0"/>
              <w:autoSpaceDN w:val="0"/>
              <w:adjustRightInd w:val="0"/>
              <w:rPr>
                <w:rFonts w:eastAsia="TimesNewRoman,Bold"/>
                <w:b/>
                <w:bCs/>
                <w:szCs w:val="22"/>
                <w:lang w:val="sk-SK"/>
              </w:rPr>
            </w:pPr>
            <w:r w:rsidRPr="00D32133">
              <w:rPr>
                <w:rFonts w:eastAsia="TimesNewRoman,Bold"/>
                <w:b/>
                <w:bCs/>
                <w:szCs w:val="22"/>
                <w:lang w:val="sk-SK"/>
              </w:rPr>
              <w:t>Udržiavacia dávka</w:t>
            </w:r>
          </w:p>
          <w:p w:rsidR="00A72EBA" w:rsidRPr="00D32133" w:rsidRDefault="00A72EBA" w:rsidP="00D32133">
            <w:pPr>
              <w:rPr>
                <w:szCs w:val="22"/>
                <w:lang w:val="sk-SK"/>
              </w:rPr>
            </w:pPr>
            <w:r w:rsidRPr="00D32133">
              <w:rPr>
                <w:rFonts w:eastAsia="TimesNewRoman,Bold"/>
                <w:b/>
                <w:bCs/>
                <w:szCs w:val="22"/>
                <w:lang w:val="sk-SK"/>
              </w:rPr>
              <w:t>(po prvých 24 hodinách)</w:t>
            </w:r>
          </w:p>
        </w:tc>
        <w:tc>
          <w:tcPr>
            <w:tcW w:w="3181" w:type="dxa"/>
            <w:shd w:val="clear" w:color="auto" w:fill="auto"/>
          </w:tcPr>
          <w:p w:rsidR="00A72EBA" w:rsidRPr="00D32133" w:rsidRDefault="00A72EBA">
            <w:pPr>
              <w:rPr>
                <w:szCs w:val="22"/>
                <w:lang w:val="sk-SK"/>
              </w:rPr>
            </w:pPr>
            <w:r w:rsidRPr="00D32133">
              <w:rPr>
                <w:rFonts w:eastAsia="TimesNewRoman"/>
                <w:szCs w:val="22"/>
                <w:lang w:val="sk-SK"/>
              </w:rPr>
              <w:t>8 mg/kg dvakrát denne</w:t>
            </w:r>
          </w:p>
        </w:tc>
        <w:tc>
          <w:tcPr>
            <w:tcW w:w="318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9 mg/kg dvakrát denne</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(maximálna dávka je 350 mg</w:t>
            </w:r>
          </w:p>
          <w:p w:rsidR="00A72EBA" w:rsidRPr="003B679E" w:rsidRDefault="00A72EBA">
            <w:pPr>
              <w:rPr>
                <w:szCs w:val="22"/>
                <w:lang w:val="sk-SK"/>
              </w:rPr>
            </w:pPr>
            <w:r w:rsidRPr="003B679E">
              <w:rPr>
                <w:rFonts w:eastAsia="TimesNewRoman"/>
                <w:szCs w:val="22"/>
                <w:lang w:val="sk-SK"/>
              </w:rPr>
              <w:t>dvakrát denne)</w:t>
            </w:r>
          </w:p>
        </w:tc>
      </w:tr>
    </w:tbl>
    <w:p w:rsidR="00A72EBA" w:rsidRDefault="00A72EBA" w:rsidP="00A45256">
      <w:pPr>
        <w:pStyle w:val="Normlndobloku"/>
      </w:pPr>
      <w:r w:rsidRPr="003B679E">
        <w:t xml:space="preserve">Poznámka: Na </w:t>
      </w:r>
      <w:proofErr w:type="gramStart"/>
      <w:r w:rsidRPr="003B679E">
        <w:t>základe</w:t>
      </w:r>
      <w:proofErr w:type="gramEnd"/>
      <w:r w:rsidRPr="003B679E">
        <w:t xml:space="preserve"> analýzy farmakokinetiky u populácie 112 imunokompromitovaných pediatrických pacientov vo veku 2 až &lt; 12 rokov a 26 imunokompromitovaných dospievajúcich pacientov vo veku 12 až &lt; 17 rokov.</w:t>
      </w:r>
    </w:p>
    <w:p w:rsidR="009254AD" w:rsidRPr="003B679E" w:rsidRDefault="009254AD" w:rsidP="004644D9">
      <w:pPr>
        <w:pStyle w:val="Normlndobloku"/>
      </w:pPr>
    </w:p>
    <w:p w:rsidR="00F25BE2" w:rsidRDefault="00A72EBA" w:rsidP="004F6A00">
      <w:pPr>
        <w:pStyle w:val="Normlndobloku"/>
      </w:pPr>
      <w:r w:rsidRPr="003B679E">
        <w:t xml:space="preserve">Odporúča sa začať liečbu intravenóznym režimom a perorálny režim sa má zvážiť len po významnom klinickom zlepšení. Je potrebné poznamenať, že intravenózna dávka 8 mg/kg poskytne približne </w:t>
      </w:r>
    </w:p>
    <w:p w:rsidR="00A72EBA" w:rsidRDefault="00A72EBA" w:rsidP="004F6A00">
      <w:pPr>
        <w:pStyle w:val="Normlndobloku"/>
      </w:pPr>
      <w:proofErr w:type="gramStart"/>
      <w:r w:rsidRPr="003B679E">
        <w:t>2</w:t>
      </w:r>
      <w:r w:rsidR="00F25BE2">
        <w:t>-</w:t>
      </w:r>
      <w:r w:rsidRPr="003B679E">
        <w:t>násobne</w:t>
      </w:r>
      <w:proofErr w:type="gramEnd"/>
      <w:r w:rsidRPr="003B679E">
        <w:t xml:space="preserve"> vyššiu systémovú expozíciu vorikonazolu ako perorálna dávka 9 mg/kg.</w:t>
      </w:r>
    </w:p>
    <w:p w:rsidR="00A954DB" w:rsidRPr="003B679E" w:rsidRDefault="00A954DB" w:rsidP="004F6A00">
      <w:pPr>
        <w:pStyle w:val="Normlndobloku"/>
      </w:pPr>
    </w:p>
    <w:p w:rsidR="00A72EBA" w:rsidRDefault="00A72EBA" w:rsidP="004F6A00">
      <w:pPr>
        <w:pStyle w:val="Normlndobloku"/>
      </w:pPr>
      <w:r w:rsidRPr="003B679E">
        <w:t xml:space="preserve">Tieto odporúčania pre perorálnu dávku u detí sú založené na štúdiách, v ktorých sa vorikonazol podával vo forme </w:t>
      </w:r>
      <w:r w:rsidR="00A954DB">
        <w:t xml:space="preserve">prášku na </w:t>
      </w:r>
      <w:r w:rsidRPr="003B679E">
        <w:t>peroráln</w:t>
      </w:r>
      <w:r w:rsidR="00A954DB">
        <w:t>u</w:t>
      </w:r>
      <w:r w:rsidRPr="003B679E">
        <w:t xml:space="preserve"> suspenzi</w:t>
      </w:r>
      <w:r w:rsidR="00A954DB">
        <w:t>u</w:t>
      </w:r>
      <w:r w:rsidRPr="003B679E">
        <w:t xml:space="preserve">. Bioekvivalencia medzi </w:t>
      </w:r>
      <w:r w:rsidR="00AC54FF">
        <w:t xml:space="preserve">práškom na </w:t>
      </w:r>
      <w:r w:rsidRPr="003B679E">
        <w:t>perorálnu suspenziu a tabletami sa u pediatrickej populácie neštudovala. Vzhľadom na predpokladanú krátku dobu gastroenterálnej pasáže u pediatrických pacientov, sa môže absorpcia tabliet u pediatrických pacientov v porovnaní s dospelými pacientmi líšiť. Preto sa odporúča u detí vo veku 2 až &lt; 12 rokov podávať liek vo</w:t>
      </w:r>
      <w:r w:rsidR="00A0610B">
        <w:t> </w:t>
      </w:r>
      <w:r w:rsidRPr="003B679E">
        <w:t>forme perorálnej suspenzie.</w:t>
      </w:r>
    </w:p>
    <w:p w:rsidR="009254AD" w:rsidRPr="003B679E" w:rsidRDefault="009254AD" w:rsidP="004F6A00">
      <w:pPr>
        <w:pStyle w:val="Normlndobloku"/>
      </w:pPr>
    </w:p>
    <w:p w:rsidR="00000000" w:rsidRDefault="00A72EBA">
      <w:pPr>
        <w:pStyle w:val="Styl4"/>
      </w:pPr>
      <w:r w:rsidRPr="003B679E">
        <w:t>Všetci ostatní dospievajúci (vo veku od 12 do 14 rokov a ≥ 50 kg; od 15 do 17 rokov bez oh</w:t>
      </w:r>
      <w:r w:rsidRPr="003B679E">
        <w:rPr>
          <w:rFonts w:hint="eastAsia"/>
        </w:rPr>
        <w:t>ľ</w:t>
      </w:r>
      <w:r w:rsidRPr="003B679E">
        <w:t>adu na telesnú hmotnos</w:t>
      </w:r>
      <w:r w:rsidRPr="003B679E">
        <w:rPr>
          <w:rFonts w:hint="eastAsia"/>
        </w:rPr>
        <w:t>ť</w:t>
      </w:r>
      <w:r w:rsidRPr="003B679E">
        <w:t>)</w:t>
      </w:r>
    </w:p>
    <w:p w:rsidR="00A72EBA" w:rsidRDefault="00A72EBA" w:rsidP="004F6A00">
      <w:pPr>
        <w:pStyle w:val="Normlndobloku"/>
        <w:rPr>
          <w:lang w:eastAsia="sk-SK"/>
        </w:rPr>
      </w:pPr>
      <w:r w:rsidRPr="003B679E">
        <w:rPr>
          <w:lang w:eastAsia="sk-SK"/>
        </w:rPr>
        <w:t>Vorikonazol sa má dávkovať ako u dospelých.</w:t>
      </w:r>
    </w:p>
    <w:p w:rsidR="00A757AA" w:rsidRPr="003B679E" w:rsidRDefault="00A757AA" w:rsidP="004F6A00">
      <w:pPr>
        <w:pStyle w:val="Normlndobloku"/>
        <w:rPr>
          <w:lang w:eastAsia="sk-SK"/>
        </w:rPr>
      </w:pPr>
    </w:p>
    <w:p w:rsidR="00000000" w:rsidRDefault="00A72EBA">
      <w:pPr>
        <w:pStyle w:val="Styl5"/>
        <w:ind w:left="0" w:firstLine="0"/>
      </w:pPr>
      <w:r w:rsidRPr="004B210D">
        <w:t>Úprava dávkovania (deti [</w:t>
      </w:r>
      <w:r w:rsidR="001112A2">
        <w:t xml:space="preserve">vo veku </w:t>
      </w:r>
      <w:r w:rsidRPr="004B210D">
        <w:t xml:space="preserve">2 až &lt; 12 rokov] a mladí </w:t>
      </w:r>
      <w:r w:rsidRPr="007D21E2">
        <w:t>dospievajúci s nízkou telesnou hmotnosťou [</w:t>
      </w:r>
      <w:r w:rsidR="001112A2">
        <w:t xml:space="preserve">vo veku </w:t>
      </w:r>
      <w:r w:rsidRPr="004B210D">
        <w:t>12 až 14 rokov a &lt; 50 kg])</w:t>
      </w:r>
    </w:p>
    <w:p w:rsidR="00A72EBA" w:rsidRDefault="00A72EBA" w:rsidP="00A45256">
      <w:pPr>
        <w:pStyle w:val="Normlndobloku"/>
      </w:pPr>
      <w:r w:rsidRPr="003B679E">
        <w:t>Ak je odpoveď pacienta na liečbu nedostatočná, dávka sa môže postupne zvyšovať o 1 mg/kg (alebo postupne o 50 mg, ak bola na začiatku podaná maximálna perorálna dávka 350 mg). Ak pacient nie je schopný liečbu tolerovať, je potrebné znižovať dávku postupne o 1 mg/kg (alebo postupne o 50 mg, ak bola na začiatku podaná maximálna perorálna dávka 350 mg).</w:t>
      </w:r>
    </w:p>
    <w:p w:rsidR="00A757AA" w:rsidRPr="003B679E" w:rsidRDefault="00A757AA" w:rsidP="004644D9">
      <w:pPr>
        <w:pStyle w:val="Normlndobloku"/>
      </w:pPr>
    </w:p>
    <w:p w:rsidR="00A72EBA" w:rsidRDefault="00A72EBA" w:rsidP="004F6A00">
      <w:pPr>
        <w:pStyle w:val="Normlndobloku"/>
      </w:pPr>
      <w:r w:rsidRPr="003B679E">
        <w:t>Použitie u pediatrických pacientov vo veku 2 až &lt; 12 rokov s nedostatočnosťou pečene alebo obličiek sa neskúmalo (pozri časti 4.8 a 5.2).</w:t>
      </w:r>
    </w:p>
    <w:p w:rsidR="00A757AA" w:rsidRPr="003B679E" w:rsidRDefault="00A757AA" w:rsidP="004F6A00">
      <w:pPr>
        <w:pStyle w:val="Normlndobloku"/>
      </w:pPr>
    </w:p>
    <w:p w:rsidR="00A72EBA" w:rsidRDefault="00A72EBA" w:rsidP="004F6A00">
      <w:pPr>
        <w:pStyle w:val="Styl3"/>
      </w:pPr>
      <w:r w:rsidRPr="004B210D">
        <w:t>Profylaxia u dospelých a</w:t>
      </w:r>
      <w:r w:rsidR="00A757AA">
        <w:t> </w:t>
      </w:r>
      <w:r w:rsidRPr="004B210D">
        <w:t>detí</w:t>
      </w:r>
    </w:p>
    <w:p w:rsidR="00A72EBA" w:rsidRDefault="00A72EBA" w:rsidP="00A45256">
      <w:pPr>
        <w:pStyle w:val="Normlndobloku"/>
        <w:rPr>
          <w:lang w:eastAsia="sk-SK"/>
        </w:rPr>
      </w:pPr>
      <w:r w:rsidRPr="003B679E">
        <w:rPr>
          <w:lang w:eastAsia="sk-SK"/>
        </w:rPr>
        <w:t>S profylaxiou sa má začať v deň transplantácie a môže sa podávať až po dob</w:t>
      </w:r>
      <w:r w:rsidR="00B02EF0">
        <w:rPr>
          <w:lang w:eastAsia="sk-SK"/>
        </w:rPr>
        <w:t>u</w:t>
      </w:r>
      <w:r w:rsidRPr="003B679E">
        <w:rPr>
          <w:lang w:eastAsia="sk-SK"/>
        </w:rPr>
        <w:t xml:space="preserve"> 100 dní. Profylaxia má byť čo najkratšia v závislosti od rizika vzniku invazívnej mykotickej infekcie (IMI) definovanej neutropéniou alebo imunosupresiou. V profylaxii je možné pokračovať až do 180 dní po transplantácii len v prípade pretrvávajúcej imunosupresie alebo </w:t>
      </w:r>
      <w:r w:rsidR="00FD53C5">
        <w:rPr>
          <w:lang w:eastAsia="sk-SK"/>
        </w:rPr>
        <w:t>ochorením</w:t>
      </w:r>
      <w:r w:rsidRPr="003B679E">
        <w:rPr>
          <w:lang w:eastAsia="sk-SK"/>
        </w:rPr>
        <w:t xml:space="preserve"> spôsoben</w:t>
      </w:r>
      <w:r w:rsidR="00FD53C5">
        <w:rPr>
          <w:lang w:eastAsia="sk-SK"/>
        </w:rPr>
        <w:t>ým</w:t>
      </w:r>
      <w:r w:rsidRPr="003B679E">
        <w:rPr>
          <w:lang w:eastAsia="sk-SK"/>
        </w:rPr>
        <w:t xml:space="preserve"> reakciou štepu proti príjemcovi (graft verzus host disease, </w:t>
      </w:r>
      <w:proofErr w:type="gramStart"/>
      <w:r w:rsidRPr="003B679E">
        <w:rPr>
          <w:lang w:eastAsia="sk-SK"/>
        </w:rPr>
        <w:t>GvHD) (pozri</w:t>
      </w:r>
      <w:proofErr w:type="gramEnd"/>
      <w:r w:rsidRPr="003B679E">
        <w:rPr>
          <w:lang w:eastAsia="sk-SK"/>
        </w:rPr>
        <w:t xml:space="preserve"> časť 5.1).</w:t>
      </w:r>
    </w:p>
    <w:p w:rsidR="00FB559A" w:rsidRPr="003B679E" w:rsidRDefault="00FB559A" w:rsidP="004644D9">
      <w:pPr>
        <w:pStyle w:val="Normlndobloku"/>
        <w:rPr>
          <w:lang w:eastAsia="sk-SK"/>
        </w:rPr>
      </w:pPr>
    </w:p>
    <w:p w:rsidR="00000000" w:rsidRDefault="00A72EBA">
      <w:pPr>
        <w:pStyle w:val="Styl4"/>
      </w:pPr>
      <w:r w:rsidRPr="003B679E">
        <w:t>Dávkovanie</w:t>
      </w:r>
    </w:p>
    <w:p w:rsidR="00A72EBA" w:rsidRDefault="00A72EBA" w:rsidP="004F6A00">
      <w:pPr>
        <w:pStyle w:val="Normlndobloku"/>
        <w:rPr>
          <w:lang w:eastAsia="sk-SK"/>
        </w:rPr>
      </w:pPr>
      <w:r w:rsidRPr="003B679E">
        <w:rPr>
          <w:lang w:eastAsia="sk-SK"/>
        </w:rPr>
        <w:t>Odporúčaný režim dávkovania pri profylaxii je rovnaký ako pri liečbe v príslušných vekových skupinách. Riaďte sa, prosím, vyššie uvedenými tabuľkami pre liečbu.</w:t>
      </w:r>
    </w:p>
    <w:p w:rsidR="00C40CEC" w:rsidRPr="003B679E" w:rsidRDefault="00C40CEC" w:rsidP="004F6A00">
      <w:pPr>
        <w:pStyle w:val="Normlndobloku"/>
      </w:pPr>
    </w:p>
    <w:p w:rsidR="00000000" w:rsidRDefault="00A72EBA">
      <w:pPr>
        <w:pStyle w:val="Styl4"/>
      </w:pPr>
      <w:r w:rsidRPr="003B679E">
        <w:t>D</w:t>
      </w:r>
      <w:r w:rsidRPr="003B679E">
        <w:rPr>
          <w:rFonts w:hint="eastAsia"/>
        </w:rPr>
        <w:t>ĺž</w:t>
      </w:r>
      <w:r w:rsidRPr="003B679E">
        <w:t>ka trvania profylaxie</w:t>
      </w:r>
    </w:p>
    <w:p w:rsidR="00A72EBA" w:rsidRDefault="00A72EBA" w:rsidP="004F6A00">
      <w:pPr>
        <w:pStyle w:val="Normlndobloku"/>
        <w:rPr>
          <w:lang w:eastAsia="sk-SK"/>
        </w:rPr>
      </w:pPr>
      <w:r w:rsidRPr="003B679E">
        <w:rPr>
          <w:lang w:eastAsia="sk-SK"/>
        </w:rPr>
        <w:t>Bezpečnosť a účinnosť užívania vorikonazolu dlhšie ako 180 dní sa v klinických štúdiách dostatočne neskúmali.</w:t>
      </w:r>
    </w:p>
    <w:p w:rsidR="00B7356F" w:rsidRPr="003B679E" w:rsidRDefault="00B7356F" w:rsidP="004F6A00">
      <w:pPr>
        <w:pStyle w:val="Normlndobloku"/>
        <w:rPr>
          <w:lang w:eastAsia="sk-SK"/>
        </w:rPr>
      </w:pPr>
    </w:p>
    <w:p w:rsidR="00A72EBA" w:rsidRDefault="00A72EBA" w:rsidP="004F6A00">
      <w:pPr>
        <w:pStyle w:val="Normlndobloku"/>
        <w:rPr>
          <w:lang w:eastAsia="sk-SK"/>
        </w:rPr>
      </w:pPr>
      <w:r w:rsidRPr="003B679E">
        <w:rPr>
          <w:lang w:eastAsia="sk-SK"/>
        </w:rPr>
        <w:t>Užívanie vorikonazolu v profylaxii dlhšie ako 180 dní (6 mesiacov) vyžaduje starostlivé zhodnotenie pomeru prínosu a rizika (pozri časti 4.4 a 5.1).</w:t>
      </w:r>
    </w:p>
    <w:p w:rsidR="00B7356F" w:rsidRPr="003B679E" w:rsidRDefault="00B7356F" w:rsidP="004F6A00">
      <w:pPr>
        <w:pStyle w:val="Normlndobloku"/>
        <w:rPr>
          <w:lang w:eastAsia="sk-SK"/>
        </w:rPr>
      </w:pPr>
    </w:p>
    <w:p w:rsidR="00A72EBA" w:rsidRDefault="00A72EBA" w:rsidP="004F6A00">
      <w:pPr>
        <w:pStyle w:val="Styl3"/>
        <w:rPr>
          <w:lang w:eastAsia="sk-SK"/>
        </w:rPr>
      </w:pPr>
      <w:r w:rsidRPr="004B210D">
        <w:rPr>
          <w:lang w:eastAsia="sk-SK"/>
        </w:rPr>
        <w:t>Nasled</w:t>
      </w:r>
      <w:r w:rsidR="00B7356F">
        <w:rPr>
          <w:lang w:eastAsia="sk-SK"/>
        </w:rPr>
        <w:t xml:space="preserve">ovné </w:t>
      </w:r>
      <w:r w:rsidRPr="007D21E2">
        <w:rPr>
          <w:lang w:eastAsia="sk-SK"/>
        </w:rPr>
        <w:t>pokyny platia pre liečbu, ako aj pre profylaxiu</w:t>
      </w:r>
    </w:p>
    <w:p w:rsidR="00000000" w:rsidRDefault="00C83CC9">
      <w:pPr>
        <w:pStyle w:val="Normlndobloku"/>
        <w:rPr>
          <w:lang w:eastAsia="sk-SK"/>
        </w:rPr>
      </w:pPr>
    </w:p>
    <w:p w:rsidR="00000000" w:rsidRDefault="00A72EBA">
      <w:pPr>
        <w:pStyle w:val="Styl4"/>
      </w:pPr>
      <w:r w:rsidRPr="003B679E">
        <w:t>Úprava dávkovania</w:t>
      </w:r>
    </w:p>
    <w:p w:rsidR="00A72EBA" w:rsidRDefault="00A72EBA" w:rsidP="004F6A00">
      <w:pPr>
        <w:pStyle w:val="Normlndobloku"/>
        <w:rPr>
          <w:lang w:eastAsia="sk-SK"/>
        </w:rPr>
      </w:pPr>
      <w:r w:rsidRPr="003B679E">
        <w:rPr>
          <w:lang w:eastAsia="sk-SK"/>
        </w:rPr>
        <w:t xml:space="preserve">Pri profylaktickom použití sa neodporúča upravovať dávku v prípade nedostatočnej účinnosti alebo výskytu nežiaducich </w:t>
      </w:r>
      <w:r w:rsidR="003C21DF">
        <w:rPr>
          <w:lang w:eastAsia="sk-SK"/>
        </w:rPr>
        <w:t>udalostí</w:t>
      </w:r>
      <w:r w:rsidRPr="003B679E">
        <w:rPr>
          <w:lang w:eastAsia="sk-SK"/>
        </w:rPr>
        <w:t xml:space="preserve"> súvisiacich s liečbou. V prípade nežiaducich udalostí súvisiacich s liečbou sa musí zvážiť vysadenie vorikonazolu a použitie iných antimykotík (pozri časti 4.4 a 4.8).</w:t>
      </w:r>
    </w:p>
    <w:p w:rsidR="007C41AE" w:rsidRPr="003B679E" w:rsidRDefault="007C41AE" w:rsidP="004F6A00">
      <w:pPr>
        <w:pStyle w:val="Normlndobloku"/>
        <w:rPr>
          <w:lang w:eastAsia="sk-SK"/>
        </w:rPr>
      </w:pPr>
    </w:p>
    <w:p w:rsidR="00A72EBA" w:rsidRPr="007D21E2" w:rsidRDefault="00A72EBA" w:rsidP="004F6A00">
      <w:pPr>
        <w:pStyle w:val="Styl5"/>
      </w:pPr>
      <w:r w:rsidRPr="004B210D">
        <w:t>Úprava dávkovania v prípade súbežného podávania</w:t>
      </w:r>
    </w:p>
    <w:p w:rsidR="00A72EBA" w:rsidRDefault="00A72EBA" w:rsidP="00A45256">
      <w:pPr>
        <w:pStyle w:val="Normlndobloku"/>
      </w:pPr>
      <w:r w:rsidRPr="003B679E">
        <w:t>Fenytoín sa môže podávať súbežne s vorikonazolom, ak sa udržiavacia dávka vorikonazolu zvýši z 200 mg na 400 mg perorálne dvakrát denne (zo 100 mg na 200 mg perorálne dvakrát denne u pacientov s telesnou hmotnosťou nižšou ako 40 kg), pozri časti 4.4 a 4.5.</w:t>
      </w:r>
    </w:p>
    <w:p w:rsidR="008D1149" w:rsidRPr="003B679E" w:rsidRDefault="008D1149" w:rsidP="004644D9">
      <w:pPr>
        <w:pStyle w:val="Normlndobloku"/>
      </w:pPr>
    </w:p>
    <w:p w:rsidR="00A72EBA" w:rsidRDefault="00A72EBA" w:rsidP="004F6A00">
      <w:pPr>
        <w:pStyle w:val="Normlndobloku"/>
      </w:pPr>
      <w:r w:rsidRPr="003B679E">
        <w:t xml:space="preserve">Pokiaľ je to možné, treba sa vyhnúť kombinácii vorikonazolu s rifabutínom. Ak je však podanie kombinácie jednoznačne potrebné, je možné zvýšiť udržiavaciu dávku vorikonazolu z 200 mg na 350 mg perorálne dvakrát denne (zo 100 mg na 200 mg perorálne dvakrát denne u pacientov </w:t>
      </w:r>
      <w:r w:rsidR="00345B9F">
        <w:t>s</w:t>
      </w:r>
      <w:r w:rsidR="00714BDD">
        <w:t xml:space="preserve"> telesnou </w:t>
      </w:r>
      <w:r w:rsidR="00345B9F">
        <w:t xml:space="preserve">hmotnosťou </w:t>
      </w:r>
      <w:r w:rsidRPr="003B679E">
        <w:t>do</w:t>
      </w:r>
      <w:r w:rsidR="00345B9F">
        <w:t> </w:t>
      </w:r>
      <w:r w:rsidRPr="003B679E">
        <w:t>40 kg), pozri časti 4.4 a 4.5.</w:t>
      </w:r>
    </w:p>
    <w:p w:rsidR="00254DB3" w:rsidRPr="003B679E" w:rsidRDefault="00254DB3" w:rsidP="004F6A00">
      <w:pPr>
        <w:pStyle w:val="Normlndobloku"/>
      </w:pPr>
    </w:p>
    <w:p w:rsidR="00A72EBA" w:rsidRDefault="00A72EBA" w:rsidP="004F6A00">
      <w:pPr>
        <w:pStyle w:val="Normlndobloku"/>
      </w:pPr>
      <w:r w:rsidRPr="003B679E">
        <w:t>Efavirenz sa môže podávať súbežne s vorikonazolom, ak sa udržiavacia dávka vorikonazolu zvýši na</w:t>
      </w:r>
      <w:r w:rsidR="00BC201A">
        <w:t> </w:t>
      </w:r>
      <w:r w:rsidRPr="003B679E">
        <w:t xml:space="preserve">400 mg každých 12 hodín a dávka efavirenzu zníži o 50 %, </w:t>
      </w:r>
      <w:proofErr w:type="gramStart"/>
      <w:r w:rsidRPr="003B679E">
        <w:t>t.j.</w:t>
      </w:r>
      <w:proofErr w:type="gramEnd"/>
      <w:r w:rsidRPr="003B679E">
        <w:t xml:space="preserve"> na 300 mg raz denne. Keď sa liečba vorikonazolom skončí, iniciálna dávka efavirenzu sa má vrátiť na pôvodnú </w:t>
      </w:r>
      <w:r w:rsidR="000756D4">
        <w:t>dávku</w:t>
      </w:r>
      <w:r w:rsidRPr="003B679E">
        <w:t xml:space="preserve"> (pozri časti 4.4 a 4.5).</w:t>
      </w:r>
    </w:p>
    <w:p w:rsidR="00487B5B" w:rsidRPr="003B679E" w:rsidRDefault="00487B5B" w:rsidP="004F6A00">
      <w:pPr>
        <w:pStyle w:val="Normlndobloku"/>
      </w:pPr>
    </w:p>
    <w:p w:rsidR="00000000" w:rsidRDefault="00A72EBA">
      <w:pPr>
        <w:pStyle w:val="Styl4"/>
      </w:pPr>
      <w:r w:rsidRPr="003B679E">
        <w:t>Starší pacienti</w:t>
      </w:r>
    </w:p>
    <w:p w:rsidR="00A72EBA" w:rsidRDefault="00A72EBA" w:rsidP="004F6A00">
      <w:pPr>
        <w:pStyle w:val="Normlndobloku"/>
      </w:pPr>
      <w:r w:rsidRPr="003B679E">
        <w:t>U starších pacientov sa nevyžaduje úprava dávkovania (pozri časť 5.2).</w:t>
      </w:r>
    </w:p>
    <w:p w:rsidR="00B65ECA" w:rsidRPr="003B679E" w:rsidRDefault="00B65ECA" w:rsidP="004F6A00">
      <w:pPr>
        <w:pStyle w:val="Normlndobloku"/>
      </w:pPr>
    </w:p>
    <w:p w:rsidR="00000000" w:rsidRDefault="00A72EBA">
      <w:pPr>
        <w:pStyle w:val="Styl4"/>
      </w:pPr>
      <w:r w:rsidRPr="003B679E">
        <w:t>Pacienti s poruchou funkcie obli</w:t>
      </w:r>
      <w:r w:rsidRPr="003B679E">
        <w:rPr>
          <w:rFonts w:hint="eastAsia"/>
        </w:rPr>
        <w:t>č</w:t>
      </w:r>
      <w:r w:rsidRPr="003B679E">
        <w:t>iek</w:t>
      </w:r>
    </w:p>
    <w:p w:rsidR="00A72EBA" w:rsidRDefault="00A72EBA" w:rsidP="004F6A00">
      <w:pPr>
        <w:pStyle w:val="Normlndobloku"/>
      </w:pPr>
      <w:r w:rsidRPr="003B679E">
        <w:t xml:space="preserve">Farmakokinetika perorálne podaného vorikonazolu pri renálnom poškodení nie je ovplyvnená. Preto sa nevyžaduje úprava dávkovania pri perorálnom podávaní u pacientov s miernou až </w:t>
      </w:r>
      <w:r w:rsidR="00EB1C7F">
        <w:t>závažn</w:t>
      </w:r>
      <w:r w:rsidRPr="003B679E">
        <w:t>ou poruchou funkcie obličiek (pozri časť 5.2).</w:t>
      </w:r>
    </w:p>
    <w:p w:rsidR="00FC4FF0" w:rsidRPr="003B679E" w:rsidRDefault="00FC4FF0" w:rsidP="004F6A00">
      <w:pPr>
        <w:pStyle w:val="Normlndobloku"/>
      </w:pPr>
    </w:p>
    <w:p w:rsidR="00A72EBA" w:rsidRDefault="00A72EBA" w:rsidP="004F6A00">
      <w:pPr>
        <w:pStyle w:val="Normlndobloku"/>
      </w:pPr>
      <w:r w:rsidRPr="003B679E">
        <w:t>Vorikonazol je hemodialyzovaný s klírensom 121 </w:t>
      </w:r>
      <w:proofErr w:type="gramStart"/>
      <w:r w:rsidRPr="003B679E">
        <w:t>ml/min. 4-hodinová</w:t>
      </w:r>
      <w:proofErr w:type="gramEnd"/>
      <w:r w:rsidRPr="003B679E">
        <w:t xml:space="preserve"> </w:t>
      </w:r>
      <w:r w:rsidR="00FC4FF0">
        <w:t>hemo</w:t>
      </w:r>
      <w:r w:rsidRPr="003B679E">
        <w:t>dialýza neodstráni adekvátne množstvo vorikonazolu do takej miery, aby bol dôvod na úpravu dávkovania.</w:t>
      </w:r>
    </w:p>
    <w:p w:rsidR="00FC4FF0" w:rsidRPr="003B679E" w:rsidRDefault="00FC4FF0" w:rsidP="004F6A00">
      <w:pPr>
        <w:pStyle w:val="Normlndobloku"/>
      </w:pPr>
    </w:p>
    <w:p w:rsidR="00000000" w:rsidRDefault="00A72EBA">
      <w:pPr>
        <w:pStyle w:val="Styl4"/>
      </w:pPr>
      <w:r w:rsidRPr="003B679E">
        <w:t>Pacienti s poruchou funkcie pe</w:t>
      </w:r>
      <w:r w:rsidRPr="003B679E">
        <w:rPr>
          <w:rFonts w:hint="eastAsia"/>
        </w:rPr>
        <w:t>č</w:t>
      </w:r>
      <w:r w:rsidRPr="003B679E">
        <w:t>ene</w:t>
      </w:r>
    </w:p>
    <w:p w:rsidR="00A72EBA" w:rsidRDefault="00A72EBA" w:rsidP="004F6A00">
      <w:pPr>
        <w:pStyle w:val="Normlndobloku"/>
      </w:pPr>
      <w:r w:rsidRPr="003B679E">
        <w:t>Odporúča sa dodržať štandardný dávkovací režim so zachovaním nasycovanej dávky, ale udržiavaciu dávku vorikonazolu u pacientov s ľahkou a</w:t>
      </w:r>
      <w:r w:rsidR="005A7226">
        <w:t>ž</w:t>
      </w:r>
      <w:r w:rsidRPr="003B679E">
        <w:t xml:space="preserve"> stredne </w:t>
      </w:r>
      <w:r w:rsidR="005A7226">
        <w:t>závažn</w:t>
      </w:r>
      <w:r w:rsidRPr="003B679E">
        <w:t>ou cirhózou (Childovo-Pughovo skóre A a B) treba znížiť na polovicu (pozri časť 5.2).</w:t>
      </w:r>
    </w:p>
    <w:p w:rsidR="008B516A" w:rsidRPr="003B679E" w:rsidRDefault="008B516A" w:rsidP="004F6A00">
      <w:pPr>
        <w:pStyle w:val="Normlndobloku"/>
      </w:pPr>
    </w:p>
    <w:p w:rsidR="00A72EBA" w:rsidRDefault="00A72EBA" w:rsidP="004F6A00">
      <w:pPr>
        <w:pStyle w:val="Normlndobloku"/>
      </w:pPr>
      <w:r w:rsidRPr="003B679E">
        <w:t>Vorikonazol sa neštudoval u pacientov s</w:t>
      </w:r>
      <w:r w:rsidR="00965A7F">
        <w:t>o</w:t>
      </w:r>
      <w:r w:rsidRPr="003B679E">
        <w:t> </w:t>
      </w:r>
      <w:r w:rsidR="00965A7F">
        <w:t>závažn</w:t>
      </w:r>
      <w:r w:rsidRPr="003B679E">
        <w:t>ou chronickou hepatálnou cirhózou (Childovo-Pughovo skóre C).</w:t>
      </w:r>
    </w:p>
    <w:p w:rsidR="00ED6D30" w:rsidRDefault="00ED6D30" w:rsidP="004F6A00">
      <w:pPr>
        <w:pStyle w:val="Normlndobloku"/>
      </w:pPr>
    </w:p>
    <w:p w:rsidR="00A72EBA" w:rsidRPr="003B679E" w:rsidRDefault="00ED6D30" w:rsidP="004F6A00">
      <w:pPr>
        <w:pStyle w:val="Normlndobloku"/>
      </w:pPr>
      <w:r>
        <w:t xml:space="preserve">K dispozícii sú </w:t>
      </w:r>
      <w:r w:rsidR="00A72EBA" w:rsidRPr="003B679E">
        <w:t xml:space="preserve">obmedzené údaje o bezpečnosti používania vorikonazolu u pacientov s abnormálnymi hepatálnymi funkčnými testami (aspartátaminotransferáza [AST], alanínaminotransferáza [ALT], alkalická fosfatáza [ALP] alebo celkový </w:t>
      </w:r>
      <w:proofErr w:type="gramStart"/>
      <w:r w:rsidR="00A72EBA" w:rsidRPr="003B679E">
        <w:t>bilirubín &gt; 5-násobok</w:t>
      </w:r>
      <w:proofErr w:type="gramEnd"/>
      <w:r w:rsidR="00A72EBA" w:rsidRPr="003B679E">
        <w:t xml:space="preserve"> hornej hranice normálu).</w:t>
      </w:r>
    </w:p>
    <w:p w:rsidR="00A72EBA" w:rsidRDefault="00A72EBA" w:rsidP="004F6A00">
      <w:pPr>
        <w:pStyle w:val="Normlndobloku"/>
      </w:pPr>
      <w:r w:rsidRPr="003B679E">
        <w:t>Liečba vorikonazolom sa spája so zvýšenými hepatálnymi funkčnými testami a klinickými prejavmi hepatálneho poškodenia, ako je ikterus, preto sa u pacientov s</w:t>
      </w:r>
      <w:r w:rsidR="00CC0DBB">
        <w:t>o</w:t>
      </w:r>
      <w:r w:rsidRPr="003B679E">
        <w:t xml:space="preserve"> </w:t>
      </w:r>
      <w:r w:rsidR="00CC0DBB">
        <w:t>závažn</w:t>
      </w:r>
      <w:r w:rsidRPr="003B679E">
        <w:t>ým hepatálnym poškodením môže podávať len v tom prípade, keď prínos pre pacienta preváži potenciálne riziko. Pacientov s</w:t>
      </w:r>
      <w:r w:rsidR="00854A04">
        <w:t>o závažnou</w:t>
      </w:r>
      <w:r w:rsidRPr="003B679E">
        <w:t> poruchou funkcie pečene treba starostlivo monitorovať na liekovú toxicitu (pozri časť 4.8).</w:t>
      </w:r>
    </w:p>
    <w:p w:rsidR="00994BE2" w:rsidRPr="003B679E" w:rsidRDefault="00994BE2" w:rsidP="004F6A00">
      <w:pPr>
        <w:pStyle w:val="Normlndobloku"/>
      </w:pPr>
    </w:p>
    <w:p w:rsidR="00000000" w:rsidRDefault="00A72EBA">
      <w:pPr>
        <w:pStyle w:val="Styl4"/>
      </w:pPr>
      <w:r w:rsidRPr="003B679E">
        <w:t>Pediatrická populácia</w:t>
      </w:r>
    </w:p>
    <w:p w:rsidR="00A72EBA" w:rsidRPr="003B679E" w:rsidRDefault="00A72EBA" w:rsidP="004F6A00">
      <w:pPr>
        <w:pStyle w:val="Normlndobloku"/>
      </w:pPr>
      <w:r w:rsidRPr="003B679E">
        <w:t xml:space="preserve">Bezpečnosť a účinnosť lieku </w:t>
      </w:r>
      <w:r w:rsidR="008248C7">
        <w:t xml:space="preserve">VERRIA </w:t>
      </w:r>
      <w:r w:rsidRPr="003B679E">
        <w:t xml:space="preserve">u detí </w:t>
      </w:r>
      <w:r w:rsidR="007C6BB0">
        <w:t>vo veku menej ako</w:t>
      </w:r>
      <w:r w:rsidRPr="003B679E">
        <w:t xml:space="preserve"> 2 roky neboli doteraz stanovené. V súčasnosti sú dostupné údaje opísané v častiach 4.8 a 5.1, ale neumožňujú uviesť odporúčani</w:t>
      </w:r>
      <w:r w:rsidR="008C4A50">
        <w:t>e</w:t>
      </w:r>
      <w:r w:rsidRPr="003B679E">
        <w:t xml:space="preserve"> </w:t>
      </w:r>
      <w:r w:rsidR="008C33D6">
        <w:t>pre</w:t>
      </w:r>
      <w:r w:rsidRPr="003B679E">
        <w:t xml:space="preserve"> dávkovanie.</w:t>
      </w:r>
    </w:p>
    <w:p w:rsidR="00A72EBA" w:rsidRPr="007D21E2" w:rsidRDefault="00A72EBA" w:rsidP="004F6A00">
      <w:pPr>
        <w:pStyle w:val="Styl3"/>
      </w:pPr>
      <w:r w:rsidRPr="004B210D">
        <w:lastRenderedPageBreak/>
        <w:t>Spôsob podávania</w:t>
      </w:r>
    </w:p>
    <w:p w:rsidR="00A72EBA" w:rsidRDefault="008248C7" w:rsidP="00A45256">
      <w:pPr>
        <w:pStyle w:val="Normlndobloku"/>
      </w:pPr>
      <w:r>
        <w:t xml:space="preserve">VERRIA </w:t>
      </w:r>
      <w:r w:rsidR="00064049">
        <w:t>f</w:t>
      </w:r>
      <w:r w:rsidR="00064049" w:rsidRPr="0093256A">
        <w:t xml:space="preserve">ilmom obalené tablety </w:t>
      </w:r>
      <w:r w:rsidR="00A72EBA" w:rsidRPr="003B679E">
        <w:t>je potrebné užívať minimálne jednu hodinu pred jedlom alebo jednu hodinu po jedle.</w:t>
      </w:r>
    </w:p>
    <w:p w:rsidR="000B44E2" w:rsidRPr="003B679E" w:rsidRDefault="000B44E2" w:rsidP="00A45256">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Kontraindikácie</w:t>
      </w:r>
    </w:p>
    <w:p w:rsidR="00000000" w:rsidRDefault="00C83CC9">
      <w:pPr>
        <w:pStyle w:val="Normlndobloku"/>
        <w:rPr>
          <w:szCs w:val="22"/>
          <w:lang w:val="sk-SK"/>
        </w:rPr>
      </w:pPr>
    </w:p>
    <w:p w:rsidR="00A72EBA" w:rsidRDefault="00A72EBA" w:rsidP="00A45256">
      <w:pPr>
        <w:pStyle w:val="Normlndobloku"/>
      </w:pPr>
      <w:r w:rsidRPr="003B679E">
        <w:t xml:space="preserve">Precitlivenosť na liečivo alebo na ktorúkoľvek z pomocných látok </w:t>
      </w:r>
      <w:proofErr w:type="gramStart"/>
      <w:r w:rsidRPr="003B679E">
        <w:t>uvedených v časti</w:t>
      </w:r>
      <w:proofErr w:type="gramEnd"/>
      <w:r w:rsidRPr="003B679E">
        <w:t xml:space="preserve"> 6.1.</w:t>
      </w:r>
    </w:p>
    <w:p w:rsidR="00245AB2" w:rsidRPr="003B679E" w:rsidRDefault="00245AB2" w:rsidP="004644D9">
      <w:pPr>
        <w:pStyle w:val="Normlndobloku"/>
      </w:pPr>
    </w:p>
    <w:p w:rsidR="00A72EBA" w:rsidRDefault="00A72EBA" w:rsidP="004F6A00">
      <w:pPr>
        <w:pStyle w:val="Normlndobloku"/>
      </w:pPr>
      <w:r w:rsidRPr="003B679E">
        <w:t>Sú</w:t>
      </w:r>
      <w:r w:rsidR="00594F36">
        <w:t>bež</w:t>
      </w:r>
      <w:r w:rsidRPr="003B679E">
        <w:t xml:space="preserve">né podávanie s CYP3A4 substrátmi, terfenadínom, astemizolom, cisapridom, pimozidom alebo chinidínom, pretože zvýšené plazmatické koncentrácie týchto liekov môžu spôsobiť predĺženie QTc intervalu a zriedkavý výskyt arytmie typu </w:t>
      </w:r>
      <w:r w:rsidRPr="003B679E">
        <w:rPr>
          <w:rFonts w:eastAsia="TimesNewRoman,Italic"/>
          <w:i/>
          <w:iCs/>
        </w:rPr>
        <w:t xml:space="preserve">torsades de pointes </w:t>
      </w:r>
      <w:r w:rsidRPr="003B679E">
        <w:t>(pozri časť 4.5).</w:t>
      </w:r>
    </w:p>
    <w:p w:rsidR="00136F13" w:rsidRPr="003B679E" w:rsidRDefault="00136F13" w:rsidP="004F6A00">
      <w:pPr>
        <w:pStyle w:val="Normlndobloku"/>
      </w:pPr>
    </w:p>
    <w:p w:rsidR="00136F13" w:rsidRDefault="00A72EBA" w:rsidP="004F6A00">
      <w:pPr>
        <w:pStyle w:val="Normlndobloku"/>
      </w:pPr>
      <w:r w:rsidRPr="003B679E">
        <w:t>Sú</w:t>
      </w:r>
      <w:r w:rsidR="00594F36">
        <w:t>bež</w:t>
      </w:r>
      <w:r w:rsidRPr="003B679E">
        <w:t>né podávanie s rifampicínom, karbamazepínom a fenobarbitalom, pretože tieto lieky pravdepodobne signifikantne znižujú plazmatické koncentrácie vorikonazolu (pozri časť 4.5).</w:t>
      </w:r>
    </w:p>
    <w:p w:rsidR="00294715" w:rsidRPr="003B679E" w:rsidRDefault="00294715" w:rsidP="004F6A00">
      <w:pPr>
        <w:pStyle w:val="Normlndobloku"/>
      </w:pPr>
    </w:p>
    <w:p w:rsidR="00A72EBA" w:rsidRDefault="00A72EBA" w:rsidP="004F6A00">
      <w:pPr>
        <w:pStyle w:val="Normlndobloku"/>
      </w:pPr>
      <w:r w:rsidRPr="003B679E">
        <w:t>Sú</w:t>
      </w:r>
      <w:r w:rsidR="00294715">
        <w:t>bež</w:t>
      </w:r>
      <w:r w:rsidRPr="003B679E">
        <w:t>n</w:t>
      </w:r>
      <w:r w:rsidR="00BD6EF4">
        <w:t>é</w:t>
      </w:r>
      <w:r w:rsidRPr="003B679E">
        <w:t xml:space="preserve"> podávanie štandardných dávok vorikonazolu s dávkami efavirenzu 400 mg jedenkrát denne alebo vyššími je kontraindikované, pretože efavirenz významne znižuje plazmatické koncentrácie vorikonazolu u zdravých jedincov v týchto dávkach. Vorikonazol tiež významne zvyšuje plazmatické koncentrácie efavirenzu (pozri časť 4.5, pri nižších dávkach pozri v časti 4.4).</w:t>
      </w:r>
    </w:p>
    <w:p w:rsidR="00294715" w:rsidRPr="003B679E" w:rsidRDefault="00294715" w:rsidP="004F6A00">
      <w:pPr>
        <w:pStyle w:val="Normlndobloku"/>
      </w:pPr>
    </w:p>
    <w:p w:rsidR="00A72EBA" w:rsidRDefault="00A72EBA" w:rsidP="004F6A00">
      <w:pPr>
        <w:pStyle w:val="Normlndobloku"/>
      </w:pPr>
      <w:r w:rsidRPr="003B679E">
        <w:t>Sú</w:t>
      </w:r>
      <w:r w:rsidR="00294715">
        <w:t>bež</w:t>
      </w:r>
      <w:r w:rsidRPr="003B679E">
        <w:t>n</w:t>
      </w:r>
      <w:r w:rsidR="00BD6EF4">
        <w:t>é</w:t>
      </w:r>
      <w:r w:rsidRPr="003B679E">
        <w:t xml:space="preserve"> podávanie s vysokou dávkou ritonaviru (400 mg a viac dvakrát denne), pretože ritonavir pri tejto dávke významne znižuje plazmatické koncentrácie vorikonazolu u zdravých jedincov (pozri časť 4.5,</w:t>
      </w:r>
      <w:r w:rsidRPr="003B679E" w:rsidDel="0066043C">
        <w:t xml:space="preserve"> </w:t>
      </w:r>
      <w:r w:rsidR="00704AA0">
        <w:t>pri </w:t>
      </w:r>
      <w:r w:rsidRPr="003B679E">
        <w:t>n</w:t>
      </w:r>
      <w:r w:rsidR="00704AA0">
        <w:t>ižších</w:t>
      </w:r>
      <w:r w:rsidRPr="003B679E">
        <w:t xml:space="preserve"> dáv</w:t>
      </w:r>
      <w:r w:rsidR="00704AA0">
        <w:t>kach</w:t>
      </w:r>
      <w:r w:rsidRPr="003B679E">
        <w:t xml:space="preserve"> pozri v časti 4.4).</w:t>
      </w:r>
    </w:p>
    <w:p w:rsidR="004F74CE" w:rsidRPr="003B679E" w:rsidRDefault="004F74CE" w:rsidP="004F6A00">
      <w:pPr>
        <w:pStyle w:val="Normlndobloku"/>
      </w:pPr>
    </w:p>
    <w:p w:rsidR="00A72EBA" w:rsidRDefault="00A72EBA" w:rsidP="004F6A00">
      <w:pPr>
        <w:pStyle w:val="Normlndobloku"/>
      </w:pPr>
      <w:r w:rsidRPr="003B679E">
        <w:t>Sú</w:t>
      </w:r>
      <w:r w:rsidR="004F74CE">
        <w:t>bež</w:t>
      </w:r>
      <w:r w:rsidRPr="003B679E">
        <w:t>né podávanie s námeľovými alkaloidmi (ergotamín, dihydroergotamín), ktoré sú CYP3A4 substrátmi, pretože zvýšené plazmatické koncentrácie týchto liekov môžu viesť k ergotizmu (pozri časť 4.5).</w:t>
      </w:r>
    </w:p>
    <w:p w:rsidR="004F74CE" w:rsidRPr="003B679E" w:rsidRDefault="004F74CE" w:rsidP="004F6A00">
      <w:pPr>
        <w:pStyle w:val="Normlndobloku"/>
      </w:pPr>
    </w:p>
    <w:p w:rsidR="00A72EBA" w:rsidRDefault="00A72EBA" w:rsidP="004F6A00">
      <w:pPr>
        <w:pStyle w:val="Normlndobloku"/>
      </w:pPr>
      <w:r w:rsidRPr="003B679E">
        <w:t>Sú</w:t>
      </w:r>
      <w:r w:rsidR="004F74CE">
        <w:t>bež</w:t>
      </w:r>
      <w:r w:rsidRPr="003B679E">
        <w:t>né podávanie so sirolimusom, pretože vorikonazol pravdepodobne signifikantne zvyšuje plazmatické koncentrácie sirolimusu (pozri časť 4.5).</w:t>
      </w:r>
    </w:p>
    <w:p w:rsidR="004F74CE" w:rsidRPr="003B679E" w:rsidRDefault="004F74CE" w:rsidP="004F6A00">
      <w:pPr>
        <w:pStyle w:val="Normlndobloku"/>
      </w:pPr>
    </w:p>
    <w:p w:rsidR="00A72EBA" w:rsidRDefault="00A72EBA" w:rsidP="004F6A00">
      <w:pPr>
        <w:pStyle w:val="Normlndobloku"/>
      </w:pPr>
      <w:r w:rsidRPr="003B679E">
        <w:t>Sú</w:t>
      </w:r>
      <w:r w:rsidR="004F74CE">
        <w:t>bež</w:t>
      </w:r>
      <w:r w:rsidRPr="003B679E">
        <w:t>né podávanie s ľubovníkom bodkovaným (pozri časť 4.5).</w:t>
      </w:r>
    </w:p>
    <w:p w:rsidR="004F74CE" w:rsidRPr="003B679E" w:rsidRDefault="004F74CE" w:rsidP="004F6A00">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Osobitné upozornenia a opatrenia pri používaní</w:t>
      </w:r>
    </w:p>
    <w:p w:rsidR="00000000" w:rsidRDefault="00C83CC9">
      <w:pPr>
        <w:pStyle w:val="Normlndobloku"/>
        <w:rPr>
          <w:szCs w:val="22"/>
          <w:lang w:val="sk-SK"/>
        </w:rPr>
      </w:pPr>
    </w:p>
    <w:p w:rsidR="00A72EBA" w:rsidRPr="007D21E2" w:rsidRDefault="00A72EBA" w:rsidP="004F6A00">
      <w:pPr>
        <w:pStyle w:val="Styl3"/>
      </w:pPr>
      <w:r w:rsidRPr="004B210D">
        <w:t>Hype</w:t>
      </w:r>
      <w:r w:rsidRPr="007D21E2">
        <w:t>rsenzitivita</w:t>
      </w:r>
    </w:p>
    <w:p w:rsidR="00A72EBA" w:rsidRDefault="00A72EBA" w:rsidP="00A45256">
      <w:pPr>
        <w:pStyle w:val="Normlndobloku"/>
      </w:pPr>
      <w:r w:rsidRPr="003B679E">
        <w:t>Opatrnosť treba zvýšiť pri predpisovaní vorikonazolu pacientom s hypersenzitivitou na iné azoly (pozri tiež časť 4.8).</w:t>
      </w:r>
    </w:p>
    <w:p w:rsidR="00F45F26" w:rsidRPr="003B679E" w:rsidRDefault="00F45F26" w:rsidP="004644D9">
      <w:pPr>
        <w:pStyle w:val="Normlndobloku"/>
      </w:pPr>
    </w:p>
    <w:p w:rsidR="00A72EBA" w:rsidRPr="007D21E2" w:rsidRDefault="00A72EBA" w:rsidP="004F6A00">
      <w:pPr>
        <w:pStyle w:val="Styl3"/>
      </w:pPr>
      <w:r w:rsidRPr="004B210D">
        <w:t>Kardiovaskulárny systém</w:t>
      </w:r>
    </w:p>
    <w:p w:rsidR="00A72EBA" w:rsidRPr="003B679E" w:rsidRDefault="00A72EBA" w:rsidP="00A45256">
      <w:pPr>
        <w:pStyle w:val="Normlndobloku"/>
      </w:pPr>
      <w:r w:rsidRPr="003B679E">
        <w:t xml:space="preserve">Vorikonazol býva spájaný s predĺžením QTc intervalu. Zriedkavé prípady </w:t>
      </w:r>
      <w:r w:rsidRPr="003B679E">
        <w:rPr>
          <w:i/>
        </w:rPr>
        <w:t xml:space="preserve">torsades de pointes </w:t>
      </w:r>
      <w:r w:rsidRPr="003B679E">
        <w:t xml:space="preserve">sa vyskytli u pacientov liečených vorikonazolom, u ktorých boli prítomné rizikové faktory, ako napr. kardiotoxická </w:t>
      </w:r>
      <w:proofErr w:type="gramStart"/>
      <w:r w:rsidRPr="003B679E">
        <w:t>chemoterapia, , kardiomyopatia</w:t>
      </w:r>
      <w:proofErr w:type="gramEnd"/>
      <w:r w:rsidRPr="003B679E">
        <w:t xml:space="preserve">, hypokaliémia </w:t>
      </w:r>
      <w:r w:rsidR="00E644B1" w:rsidRPr="003B679E">
        <w:t xml:space="preserve">v anamnéze </w:t>
      </w:r>
      <w:r w:rsidRPr="003B679E">
        <w:t>a sú</w:t>
      </w:r>
      <w:r w:rsidR="00A77E15">
        <w:t>bež</w:t>
      </w:r>
      <w:r w:rsidRPr="003B679E">
        <w:t>ne boli liečení liekmi, ktoré k týmto stavom mohli prispieť. Vorikonazol sa má opatrne podávať pacientom s ochoreniami, ktoré zvyšujú riziko arytmií, ako sú:</w:t>
      </w:r>
    </w:p>
    <w:p w:rsidR="00000000" w:rsidRDefault="00A72EBA">
      <w:pPr>
        <w:pStyle w:val="Normlndoblokusodrkami"/>
      </w:pPr>
      <w:r w:rsidRPr="003B679E">
        <w:t>Vrodené alebo získané predĺženie QTc intervalu</w:t>
      </w:r>
    </w:p>
    <w:p w:rsidR="00A72EBA" w:rsidRPr="003B679E" w:rsidRDefault="00A72EBA">
      <w:pPr>
        <w:pStyle w:val="Normlndoblokusodrkami"/>
      </w:pPr>
      <w:r w:rsidRPr="003B679E">
        <w:t>Kardiomyopatia, zvlášť keď je prítomné srdcové zlyhávanie</w:t>
      </w:r>
    </w:p>
    <w:p w:rsidR="00A72EBA" w:rsidRPr="003B679E" w:rsidRDefault="00A72EBA">
      <w:pPr>
        <w:pStyle w:val="Normlndoblokusodrkami"/>
      </w:pPr>
      <w:r w:rsidRPr="003B679E">
        <w:t>Sínusová bradykardia</w:t>
      </w:r>
    </w:p>
    <w:p w:rsidR="00A72EBA" w:rsidRPr="003B679E" w:rsidRDefault="00A72EBA">
      <w:pPr>
        <w:pStyle w:val="Normlndoblokusodrkami"/>
      </w:pPr>
      <w:r w:rsidRPr="003B679E">
        <w:t>Prítomné symptomatické arytmie</w:t>
      </w:r>
    </w:p>
    <w:p w:rsidR="00A72EBA" w:rsidRDefault="00A72EBA">
      <w:pPr>
        <w:pStyle w:val="Normlndoblokusodrkami"/>
      </w:pPr>
      <w:r w:rsidRPr="003B679E">
        <w:t>Sú</w:t>
      </w:r>
      <w:r w:rsidR="00A77E15">
        <w:t>bež</w:t>
      </w:r>
      <w:r w:rsidRPr="003B679E">
        <w:t xml:space="preserve">ne užívané lieky, o ktorých je známe, že predlžujú QTc interval. Poruchy elektrolytov, ako napr. hypokaliémia, hypomagneziémia a hypokalciémia sa majú monitorovať a upravovať, ak je to potrebné, pred začatím alebo počas liečby vorikonazolom (pozri časť 4.2). U zdravých dobrovoľníkov bola vykonaná štúdia, ktorá skúmala vplyv jednorazových dávok vorikonazolu až </w:t>
      </w:r>
      <w:r w:rsidRPr="003B679E">
        <w:lastRenderedPageBreak/>
        <w:t xml:space="preserve">po </w:t>
      </w:r>
      <w:r w:rsidR="006806D3">
        <w:t>4-</w:t>
      </w:r>
      <w:r w:rsidRPr="003B679E">
        <w:t xml:space="preserve">násobok bežnej dennej dávky na QTc interval. U žiadneho zo skúšaných </w:t>
      </w:r>
      <w:r w:rsidR="0066088E">
        <w:t>jedinc</w:t>
      </w:r>
      <w:r w:rsidRPr="003B679E">
        <w:t>ov nebol zistený interval presahujúci potenciálne klinicky významnú hranicu 500 ms (pozri časť 5.1).</w:t>
      </w:r>
    </w:p>
    <w:p w:rsidR="00F45F26" w:rsidRPr="003B679E" w:rsidRDefault="00F45F26">
      <w:pPr>
        <w:pStyle w:val="Normlndobloku"/>
      </w:pPr>
    </w:p>
    <w:p w:rsidR="00A72EBA" w:rsidRPr="007D21E2" w:rsidRDefault="00A72EBA" w:rsidP="004F6A00">
      <w:pPr>
        <w:pStyle w:val="Styl3"/>
      </w:pPr>
      <w:r w:rsidRPr="004B210D">
        <w:t>Hepatotoxicita</w:t>
      </w:r>
    </w:p>
    <w:p w:rsidR="00A72EBA" w:rsidRDefault="00A72EBA" w:rsidP="00A45256">
      <w:pPr>
        <w:pStyle w:val="Normlndobloku"/>
      </w:pPr>
      <w:r w:rsidRPr="003B679E">
        <w:t>V klinických skúšaniach sa počas liečby vorikonazolom vyskytli prípady závažn</w:t>
      </w:r>
      <w:r w:rsidR="00546547">
        <w:t>ých</w:t>
      </w:r>
      <w:r w:rsidRPr="003B679E">
        <w:t xml:space="preserve"> hepatálnych reakcií (vrátane </w:t>
      </w:r>
      <w:r w:rsidR="00856F35">
        <w:t xml:space="preserve">klinickej </w:t>
      </w:r>
      <w:r w:rsidRPr="003B679E">
        <w:t>hepatitídy, cholestázy a fulminantného hepatálneho zlyhania vrátane úmrtí). Prípady hepatálnych reakcií sa zaznamenali primárne u pacientov s</w:t>
      </w:r>
      <w:r w:rsidR="00DE1C82">
        <w:t>o</w:t>
      </w:r>
      <w:r w:rsidRPr="003B679E">
        <w:t> </w:t>
      </w:r>
      <w:r w:rsidR="00DE1C82">
        <w:t>závažn</w:t>
      </w:r>
      <w:r w:rsidRPr="003B679E">
        <w:t>ým základným ochorením (prevažne hematologické malignity). Prechodné hepatálne reakcie, vrátane hepatitídy a ikteru, sa vyskytli u pacientov bez ďalších identifikovateľných rizikových faktorov. Porucha pečene bola po prerušení liečby zvyčajne reverzibilná (pozri časť 4.8).</w:t>
      </w:r>
    </w:p>
    <w:p w:rsidR="00F45F26" w:rsidRPr="003B679E" w:rsidRDefault="00F45F26" w:rsidP="004644D9">
      <w:pPr>
        <w:pStyle w:val="Normlndobloku"/>
      </w:pPr>
    </w:p>
    <w:p w:rsidR="00A72EBA" w:rsidRPr="007D21E2" w:rsidRDefault="00A72EBA" w:rsidP="004F6A00">
      <w:pPr>
        <w:pStyle w:val="Styl3"/>
      </w:pPr>
      <w:r w:rsidRPr="004B210D">
        <w:t>Monitorovanie hepatálnych funkcií</w:t>
      </w:r>
    </w:p>
    <w:p w:rsidR="00A72EBA" w:rsidRPr="003B679E" w:rsidRDefault="00A72EBA" w:rsidP="00A45256">
      <w:pPr>
        <w:pStyle w:val="Normlndobloku"/>
      </w:pPr>
      <w:r w:rsidRPr="003B679E">
        <w:t xml:space="preserve">U pacientov liečených vorikonazolom treba dôkladne monitorovať výskyt hepatotoxicity. Klinický manažment má zahŕňať laboratórne vyhodnocovanie funkcie pečene (konkrétne AST a ALT) na začiatku liečby vorikonazolom a minimálne raz týždenne počas prvého mesiaca liečby. Dĺžka liečby má byť čo najkratšia, ak sa však pokračuje v liečbe na </w:t>
      </w:r>
      <w:proofErr w:type="gramStart"/>
      <w:r w:rsidRPr="003B679E">
        <w:t>základe</w:t>
      </w:r>
      <w:proofErr w:type="gramEnd"/>
      <w:r w:rsidRPr="003B679E">
        <w:t xml:space="preserve"> posúdenia pomeru príno</w:t>
      </w:r>
      <w:r w:rsidR="00795B57">
        <w:t>su</w:t>
      </w:r>
      <w:r w:rsidRPr="003B679E">
        <w:t xml:space="preserve"> a rizik</w:t>
      </w:r>
      <w:r w:rsidR="00795B57">
        <w:t>a</w:t>
      </w:r>
      <w:r w:rsidRPr="003B679E">
        <w:t xml:space="preserve"> (pozri časť 4.2), frekvenciu monitorovania je možno znížiť na raz mesačne, ak nedošlo k zmenám v hepatálnych funkčných testoch.</w:t>
      </w:r>
    </w:p>
    <w:p w:rsidR="00A72EBA" w:rsidRDefault="00A72EBA" w:rsidP="004644D9">
      <w:pPr>
        <w:pStyle w:val="Normlndobloku"/>
      </w:pPr>
      <w:r w:rsidRPr="003B679E">
        <w:t xml:space="preserve">Ak sa hepatálne funkčné testy výrazne zvýšia, liečba vorikonazolom sa musí </w:t>
      </w:r>
      <w:r w:rsidR="00546547">
        <w:t>ukonč</w:t>
      </w:r>
      <w:r w:rsidR="00546547" w:rsidRPr="003B679E">
        <w:t>iť</w:t>
      </w:r>
      <w:r w:rsidRPr="003B679E">
        <w:t>, pokiaľ lekárske posúdenie pomeru prínosu a rizika neodôvodní pokračovanie liečby. Monitorovanie hepatálnych funkcií sa musí vykonávať ako u detí, tak aj u dospelých.</w:t>
      </w:r>
    </w:p>
    <w:p w:rsidR="00BC186B" w:rsidRDefault="00BC186B" w:rsidP="004F6A00">
      <w:pPr>
        <w:pStyle w:val="Normlndobloku"/>
      </w:pPr>
    </w:p>
    <w:p w:rsidR="0074621C" w:rsidRDefault="0074621C" w:rsidP="004F6A00">
      <w:pPr>
        <w:pStyle w:val="Styl3"/>
      </w:pPr>
      <w:bookmarkStart w:id="0" w:name="_Hlk500148729"/>
      <w:r>
        <w:t xml:space="preserve">Závažné kožné nežiaduce reakcie </w:t>
      </w:r>
    </w:p>
    <w:p w:rsidR="00000000" w:rsidRDefault="0074621C">
      <w:pPr>
        <w:pStyle w:val="Normlnsodrkami"/>
      </w:pPr>
      <w:r>
        <w:t>Fototoxicita</w:t>
      </w:r>
    </w:p>
    <w:p w:rsidR="00000000" w:rsidRDefault="0074621C">
      <w:pPr>
        <w:pStyle w:val="Normlndobloku"/>
      </w:pPr>
      <w:r>
        <w:t xml:space="preserve">Užívanie vorikonazolu je spojené aj s fototoxicitou, vrátane reakcií ako sú pehy, lentigo a aktinická keratóza a pseudoporfýriou. Odporúča sa, aby sa všetci pacienti vrátane detí počas liečby vorikonazolom vyhýbali expozícii priamemu slnečnému svetlu a používali prostriedky ako ochranný odev a krém na opaľovanie </w:t>
      </w:r>
      <w:r w:rsidRPr="0074621C">
        <w:t>s</w:t>
      </w:r>
      <w:r>
        <w:t> </w:t>
      </w:r>
      <w:r w:rsidRPr="0074621C">
        <w:t>vysokým</w:t>
      </w:r>
      <w:r>
        <w:t xml:space="preserve"> ochranným faktorom (SPF – sun protection factor).  </w:t>
      </w:r>
    </w:p>
    <w:p w:rsidR="00000000" w:rsidRDefault="0074621C">
      <w:pPr>
        <w:pStyle w:val="Normlnsodrkami"/>
      </w:pPr>
      <w:r>
        <w:t>Skvam</w:t>
      </w:r>
      <w:r w:rsidR="00DB5932">
        <w:t>ocelulárny</w:t>
      </w:r>
      <w:r>
        <w:t xml:space="preserve"> karcinóm kože (SCC – squamous cell carcinoma of </w:t>
      </w:r>
      <w:proofErr w:type="gramStart"/>
      <w:r>
        <w:t>the skin</w:t>
      </w:r>
      <w:proofErr w:type="gramEnd"/>
      <w:r>
        <w:t>)</w:t>
      </w:r>
    </w:p>
    <w:p w:rsidR="00000000" w:rsidRDefault="0074621C">
      <w:pPr>
        <w:pStyle w:val="Normlndobloku"/>
      </w:pPr>
      <w:r>
        <w:t>U niektorých pacientov s hlásenými fotoxickými reakciami, bol počas liečby hlásený skvam</w:t>
      </w:r>
      <w:r w:rsidR="00B444CB">
        <w:t>ocelulárny</w:t>
      </w:r>
      <w:r>
        <w:t xml:space="preserve"> karcinóm kože. Ak sa objaví fototoxická reakcia, má sa uskutočniť konzultácia s viacerými odborníkmi, má sa zvážiť ukončenie liečby vorikonazolom a použitie alternatívnych antimykotík a pacienta treba poslať k dermatológovi. Ak sa v užívaní vorikonazolu pokračuje, musí sa systematicky a pravidelne vykonávať dermatologické vyhodnocovanie, aby sa umožnila včasná detekcia a manažment premalígnych lézií. Ak sa zistia premalígne kožné lézie alebo skva</w:t>
      </w:r>
      <w:r w:rsidR="005D1AE8">
        <w:t>mo</w:t>
      </w:r>
      <w:r w:rsidR="00F813A9">
        <w:t>celulárny</w:t>
      </w:r>
      <w:r>
        <w:t xml:space="preserve"> karcinóm kože, vorikonazol sa musí vysadiť (pozri nižšie časť pod Dlhodobou liečbou)</w:t>
      </w:r>
    </w:p>
    <w:p w:rsidR="00000000" w:rsidRDefault="0074621C">
      <w:pPr>
        <w:pStyle w:val="Normlnsodrkami"/>
      </w:pPr>
      <w:r>
        <w:t xml:space="preserve">Exfoliatívne kožné reakcie </w:t>
      </w:r>
    </w:p>
    <w:p w:rsidR="00C43314" w:rsidRDefault="0074621C">
      <w:pPr>
        <w:pStyle w:val="Normlndobloku"/>
      </w:pPr>
      <w:r>
        <w:t xml:space="preserve">Počas liečby vorikonazolom sa u pacientov vyvinuli reakcie ako </w:t>
      </w:r>
      <w:r w:rsidR="0019731D">
        <w:t>Stevensov – Johnsonov syndróm</w:t>
      </w:r>
      <w:r>
        <w:t xml:space="preserve">. </w:t>
      </w:r>
      <w:r w:rsidR="00726C84">
        <w:t>V</w:t>
      </w:r>
      <w:r>
        <w:t> prípade objavenia sa vyrážky musí byť pacient dôsledne monitorovaný a pri progresii kožných lézií sa musí liečba vorikonazolom ukončiť.</w:t>
      </w:r>
    </w:p>
    <w:p w:rsidR="00000000" w:rsidRDefault="00C83CC9">
      <w:pPr>
        <w:pStyle w:val="Normlndobloku"/>
      </w:pPr>
    </w:p>
    <w:p w:rsidR="0074621C" w:rsidRDefault="0074621C" w:rsidP="004F6A00">
      <w:pPr>
        <w:pStyle w:val="Styl3"/>
      </w:pPr>
      <w:r>
        <w:t>Dlhodobá liečba</w:t>
      </w:r>
    </w:p>
    <w:p w:rsidR="00000000" w:rsidRDefault="0074621C">
      <w:pPr>
        <w:pStyle w:val="Normlndobloku"/>
      </w:pPr>
      <w:r w:rsidRPr="00A45256">
        <w:t xml:space="preserve">Pri dlhodobej expozícii (liečba alebo profylaxia) viac ako 180 dní (6 mesiacov) sa vyžaduje starostlivé zhodnotenie pomeru prínosu a rizika a lekári musia preto zvážiť potrebu obmedziť expozíciu </w:t>
      </w:r>
      <w:r w:rsidRPr="004644D9">
        <w:t xml:space="preserve">vorikonazolu (pozri časti 4.2 a 5.1). </w:t>
      </w:r>
    </w:p>
    <w:p w:rsidR="00000000" w:rsidRDefault="0074621C">
      <w:pPr>
        <w:pStyle w:val="Normlndobloku"/>
      </w:pPr>
      <w:r w:rsidRPr="004F6A00">
        <w:t>V súvislosti s dlhodobou liečbou vorikonazolom bol hlásený skvam</w:t>
      </w:r>
      <w:r w:rsidR="005D1AE8">
        <w:t>ocelulárny</w:t>
      </w:r>
      <w:r w:rsidRPr="004F6A00">
        <w:t xml:space="preserve"> karcinóm kože (SCC – squamous cell carcinoma of </w:t>
      </w:r>
      <w:proofErr w:type="gramStart"/>
      <w:r w:rsidRPr="004F6A00">
        <w:t>the skin</w:t>
      </w:r>
      <w:proofErr w:type="gramEnd"/>
      <w:r w:rsidRPr="004F6A00">
        <w:t xml:space="preserve">). </w:t>
      </w:r>
    </w:p>
    <w:p w:rsidR="00000000" w:rsidRDefault="0074621C">
      <w:pPr>
        <w:pStyle w:val="Normlndobloku"/>
      </w:pPr>
      <w:r w:rsidRPr="004F6A00">
        <w:t>Neinfekčná periostitída so zvýšenými hladinami fluoridu a alkalickej fosfatázy boli hlásené u pacientov s transplantátmi. Ak sa u pacienta vyvíja bolesť kostry a rádiologické nálezy sú kompatibilné s periostitídou, treba zvážiť ukončenie liečby vorikonazolom po konzultácii s viacerými lekármi.</w:t>
      </w:r>
      <w:bookmarkEnd w:id="0"/>
    </w:p>
    <w:p w:rsidR="0074621C" w:rsidRPr="00C43314" w:rsidRDefault="0074621C" w:rsidP="004F6A00">
      <w:pPr>
        <w:pStyle w:val="Normlndobloku"/>
      </w:pPr>
    </w:p>
    <w:p w:rsidR="00A72EBA" w:rsidRPr="007D21E2" w:rsidRDefault="00A72EBA" w:rsidP="004F6A00">
      <w:pPr>
        <w:pStyle w:val="Styl3"/>
      </w:pPr>
      <w:r w:rsidRPr="004B210D">
        <w:lastRenderedPageBreak/>
        <w:t>Zrakové nežiaduce reakcie</w:t>
      </w:r>
    </w:p>
    <w:p w:rsidR="00A72EBA" w:rsidRDefault="00A72EBA" w:rsidP="00A45256">
      <w:pPr>
        <w:pStyle w:val="Normlndobloku"/>
      </w:pPr>
      <w:r w:rsidRPr="003B679E">
        <w:t>Boli hlásené prolongované zrakové nežiaduce reakcie, vrátane zahmleného videnia, optickej neuritídy a papiloedému (pozri časť 4.8).</w:t>
      </w:r>
    </w:p>
    <w:p w:rsidR="00BC186B" w:rsidRPr="003B679E" w:rsidRDefault="00BC186B" w:rsidP="004644D9">
      <w:pPr>
        <w:pStyle w:val="Normlndobloku"/>
      </w:pPr>
    </w:p>
    <w:p w:rsidR="00A72EBA" w:rsidRPr="007D21E2" w:rsidRDefault="00A72EBA" w:rsidP="004F6A00">
      <w:pPr>
        <w:pStyle w:val="Styl3"/>
      </w:pPr>
      <w:r w:rsidRPr="004B210D">
        <w:t>Renálne nežiaduce reakcie</w:t>
      </w:r>
    </w:p>
    <w:p w:rsidR="00A72EBA" w:rsidRDefault="00A72EBA" w:rsidP="00A45256">
      <w:pPr>
        <w:pStyle w:val="Normlndobloku"/>
      </w:pPr>
      <w:r w:rsidRPr="003B679E">
        <w:t>U </w:t>
      </w:r>
      <w:r w:rsidR="00651F4D">
        <w:t>závažne</w:t>
      </w:r>
      <w:r w:rsidRPr="003B679E">
        <w:t xml:space="preserve"> chorých pacientov sa počas liečby vorikonazolom pozorovalo akútne renálne zlyhanie. Pacienti liečení vorikonazolom pravdepodobne sú</w:t>
      </w:r>
      <w:r w:rsidR="00BD7F4F">
        <w:t>bež</w:t>
      </w:r>
      <w:r w:rsidRPr="003B679E">
        <w:t>ne užívajú nefrotoxické lieky a zároveň trpia ochoreniami potenciálne vedúcimi k zníženiu renálnych funkcií (pozri časť 4.8).</w:t>
      </w:r>
    </w:p>
    <w:p w:rsidR="00BC186B" w:rsidRPr="003B679E" w:rsidRDefault="00BC186B" w:rsidP="004644D9">
      <w:pPr>
        <w:pStyle w:val="Normlndobloku"/>
      </w:pPr>
    </w:p>
    <w:p w:rsidR="00A72EBA" w:rsidRPr="007D21E2" w:rsidRDefault="00A72EBA" w:rsidP="004F6A00">
      <w:pPr>
        <w:pStyle w:val="Styl3"/>
      </w:pPr>
      <w:r w:rsidRPr="004B210D">
        <w:t>Monitorovanie renálnych funkcií</w:t>
      </w:r>
    </w:p>
    <w:p w:rsidR="00A72EBA" w:rsidRDefault="00A72EBA" w:rsidP="00A45256">
      <w:pPr>
        <w:pStyle w:val="Normlndobloku"/>
      </w:pPr>
      <w:r w:rsidRPr="003B679E">
        <w:t xml:space="preserve">Pacientov treba monitorovať z hľadiska možnosti rozvoja poruchy renálnych funkcií. Monitorovanie má zahŕňať posudzovanie laboratórnych parametrov, predovšetkým koncentrácie sérového kreatinínu. </w:t>
      </w:r>
    </w:p>
    <w:p w:rsidR="00BC186B" w:rsidRPr="003B679E" w:rsidRDefault="00BC186B" w:rsidP="004644D9">
      <w:pPr>
        <w:pStyle w:val="Normlndobloku"/>
      </w:pPr>
    </w:p>
    <w:p w:rsidR="00BC186B" w:rsidRPr="007D21E2" w:rsidRDefault="00A72EBA" w:rsidP="004F6A00">
      <w:pPr>
        <w:pStyle w:val="Styl3"/>
      </w:pPr>
      <w:r w:rsidRPr="004B210D">
        <w:t>Monitorovanie funkcií pankreasu</w:t>
      </w:r>
    </w:p>
    <w:p w:rsidR="00A72EBA" w:rsidRDefault="00A72EBA" w:rsidP="00A45256">
      <w:pPr>
        <w:pStyle w:val="Normlndobloku"/>
      </w:pPr>
      <w:r w:rsidRPr="003B679E">
        <w:t xml:space="preserve">Pacienti, najmä deti, s rizikovými faktormi vzniku akútnej pankreatitídy (napr. nedávna chemoterapia, transplantácia krvotvorných </w:t>
      </w:r>
      <w:r w:rsidR="00EF6C7A">
        <w:t xml:space="preserve">kmeňových </w:t>
      </w:r>
      <w:r w:rsidRPr="003B679E">
        <w:t>buniek (HSCT) majú byť počas liečby vorikonazolom dôkladne monitorovaní. V takomto klinickom prípade je vhodné zvážiť monitorovanie hladín sérovej amylázy alebo lipázy.</w:t>
      </w:r>
    </w:p>
    <w:p w:rsidR="00BC186B" w:rsidRPr="003B679E" w:rsidRDefault="00BC186B" w:rsidP="004644D9">
      <w:pPr>
        <w:pStyle w:val="Normlndobloku"/>
      </w:pPr>
    </w:p>
    <w:p w:rsidR="00A72EBA" w:rsidRPr="007D21E2" w:rsidRDefault="00A72EBA" w:rsidP="004F6A00">
      <w:pPr>
        <w:pStyle w:val="Styl3"/>
      </w:pPr>
      <w:r w:rsidRPr="004B210D">
        <w:t>Pediatrická populácia</w:t>
      </w:r>
    </w:p>
    <w:p w:rsidR="00A72EBA" w:rsidRDefault="00A72EBA" w:rsidP="00A45256">
      <w:pPr>
        <w:pStyle w:val="Normlndobloku"/>
      </w:pPr>
      <w:r w:rsidRPr="003B679E">
        <w:t xml:space="preserve">Bezpečnosť a účinnosť u detí </w:t>
      </w:r>
      <w:r w:rsidR="0082159C">
        <w:t>vo veku menej</w:t>
      </w:r>
      <w:r w:rsidRPr="003B679E">
        <w:t xml:space="preserve"> ako 2 roky nebol</w:t>
      </w:r>
      <w:r w:rsidR="00BC7A90">
        <w:t>i</w:t>
      </w:r>
      <w:r w:rsidRPr="003B679E">
        <w:t xml:space="preserve"> stanoven</w:t>
      </w:r>
      <w:r w:rsidR="00BC7A90">
        <w:t>é</w:t>
      </w:r>
      <w:r w:rsidRPr="003B679E">
        <w:t xml:space="preserve"> (pozri časti 4.8 a 5.1). Vorikonazol je indikovaný pre pediatrických pacientov vo veku 2 roky alebo starších. </w:t>
      </w:r>
      <w:r w:rsidR="00436C3B">
        <w:t xml:space="preserve">U pediatrickej populácie bola </w:t>
      </w:r>
      <w:r w:rsidR="0028271F">
        <w:t>pozorovaná častejšia frekvencia zvýšených hladín</w:t>
      </w:r>
      <w:r w:rsidR="00436C3B">
        <w:t xml:space="preserve"> pečeňových enzýmov (pozri časť 4.8). </w:t>
      </w:r>
      <w:r w:rsidRPr="003B679E">
        <w:t>Hepatálne funkcie sa musia monitorovať ako u detí, tak aj u dospelých. U pediatrických pacientov vo</w:t>
      </w:r>
      <w:r w:rsidR="00F66BC9">
        <w:t> </w:t>
      </w:r>
      <w:r w:rsidRPr="003B679E">
        <w:t>veku 2 až &lt; 12 rokov s malabsorpciou a veľmi nízkou telesnou hmotnosťou vzhľadom na vek môže byť biologická dostupnosť po perorálnom podaní obmedzená. V tomto prípade sa odporúča intravenózne podávanie vorikonazolu.</w:t>
      </w:r>
    </w:p>
    <w:p w:rsidR="00FA7716" w:rsidRPr="003B679E" w:rsidRDefault="00FA7716" w:rsidP="00A45256">
      <w:pPr>
        <w:pStyle w:val="Normlndobloku"/>
      </w:pPr>
    </w:p>
    <w:p w:rsidR="00FA7716" w:rsidRDefault="00FA7716" w:rsidP="00F418D6">
      <w:pPr>
        <w:pStyle w:val="Styl6"/>
      </w:pPr>
      <w:r w:rsidRPr="00FA7716">
        <w:t>Závažné kožné nežiaduce reakcie (vrátane SCC)</w:t>
      </w:r>
    </w:p>
    <w:p w:rsidR="00A72EBA" w:rsidRDefault="00A72EBA" w:rsidP="004644D9">
      <w:pPr>
        <w:pStyle w:val="Normlndobloku"/>
        <w:rPr>
          <w:lang w:eastAsia="sk-SK"/>
        </w:rPr>
      </w:pPr>
      <w:r w:rsidRPr="003B679E">
        <w:rPr>
          <w:lang w:eastAsia="sk-SK"/>
        </w:rPr>
        <w:t xml:space="preserve">Frekvencia výskytu reakcií fototoxicity je vyššia v pediatrickej populácii. Keďže sa hlásil vývoj smerom k SCC, v tejto populácii pacientov sa vyžadujú prísne opatrenia na fotoprotekciu. U detí, u ktorých sa objavia poškodenia spôsobené vplyvom </w:t>
      </w:r>
      <w:r w:rsidR="00AD68A0">
        <w:rPr>
          <w:lang w:eastAsia="sk-SK"/>
        </w:rPr>
        <w:t>fotostárnutia</w:t>
      </w:r>
      <w:r w:rsidRPr="003B679E">
        <w:rPr>
          <w:lang w:eastAsia="sk-SK"/>
        </w:rPr>
        <w:t>, ako sú napr. lentigá alebo pehy, sa odporúča vyhýbanie sa slnku a dermatologické sledovanie, dokonca aj po vysadení liečby.</w:t>
      </w:r>
    </w:p>
    <w:p w:rsidR="004312E2" w:rsidRPr="003B679E" w:rsidRDefault="004312E2" w:rsidP="004644D9">
      <w:pPr>
        <w:pStyle w:val="Normlndobloku"/>
        <w:rPr>
          <w:lang w:eastAsia="sk-SK"/>
        </w:rPr>
      </w:pPr>
    </w:p>
    <w:p w:rsidR="00A72EBA" w:rsidRPr="007D21E2" w:rsidRDefault="00A72EBA" w:rsidP="004F6A00">
      <w:pPr>
        <w:pStyle w:val="Styl3"/>
        <w:rPr>
          <w:lang w:eastAsia="sk-SK"/>
        </w:rPr>
      </w:pPr>
      <w:r w:rsidRPr="004B210D">
        <w:rPr>
          <w:lang w:eastAsia="sk-SK"/>
        </w:rPr>
        <w:t>Profylaxia</w:t>
      </w:r>
    </w:p>
    <w:p w:rsidR="00A72EBA" w:rsidRDefault="00A72EBA" w:rsidP="00A45256">
      <w:pPr>
        <w:pStyle w:val="Normlndobloku"/>
        <w:rPr>
          <w:lang w:eastAsia="sk-SK"/>
        </w:rPr>
      </w:pPr>
      <w:r w:rsidRPr="003B679E">
        <w:rPr>
          <w:lang w:eastAsia="sk-SK"/>
        </w:rPr>
        <w:t>V prípade nežiaducich udalostí súvisiacich s liečbou (hepatotoxicita, závažné kožné reakcie vrátane fototoxicity a SCC, závažné alebo dlhodobé poruchy zraku a periostitída), sa musí zvážiť vysadenie vorikonazolu a použitie alternatívnych antimykotík.</w:t>
      </w:r>
    </w:p>
    <w:p w:rsidR="004312E2" w:rsidRPr="003B679E" w:rsidRDefault="004312E2" w:rsidP="004644D9">
      <w:pPr>
        <w:pStyle w:val="Normlndobloku"/>
      </w:pPr>
    </w:p>
    <w:p w:rsidR="00A72EBA" w:rsidRPr="007D21E2" w:rsidRDefault="00A72EBA" w:rsidP="004F6A00">
      <w:pPr>
        <w:pStyle w:val="Styl3"/>
      </w:pPr>
      <w:r w:rsidRPr="004B210D">
        <w:t>Fenytoín (substrát CYP2C9 a silný induktor CYP450)</w:t>
      </w:r>
    </w:p>
    <w:p w:rsidR="00A72EBA" w:rsidRDefault="00A72EBA" w:rsidP="00A45256">
      <w:pPr>
        <w:pStyle w:val="Normlndobloku"/>
      </w:pPr>
      <w:r w:rsidRPr="003B679E">
        <w:t>Odporúča sa starostlivé monitorovanie hladín fenytoínu pri jeho sú</w:t>
      </w:r>
      <w:r w:rsidR="000C4B53">
        <w:t>bež</w:t>
      </w:r>
      <w:r w:rsidRPr="003B679E">
        <w:t>nom podávaní s vorikonazolom. Sú</w:t>
      </w:r>
      <w:r w:rsidR="00670809">
        <w:t>bež</w:t>
      </w:r>
      <w:r w:rsidRPr="003B679E">
        <w:t>nému podávaniu vorikonazolu a fenytoínu sa treba vyhnúť, ak prínos neprevažuje nad rizikom (pozri časť 4.5).</w:t>
      </w:r>
    </w:p>
    <w:p w:rsidR="004312E2" w:rsidRPr="003B679E" w:rsidRDefault="004312E2" w:rsidP="004644D9">
      <w:pPr>
        <w:pStyle w:val="Normlndobloku"/>
      </w:pPr>
    </w:p>
    <w:p w:rsidR="00A72EBA" w:rsidRPr="007D21E2" w:rsidRDefault="00A72EBA" w:rsidP="004F6A00">
      <w:pPr>
        <w:pStyle w:val="Styl3"/>
      </w:pPr>
      <w:r w:rsidRPr="004B210D">
        <w:t>Efavirenz (induktor CYP450; substrát a inhibítor CYP3A4)</w:t>
      </w:r>
    </w:p>
    <w:p w:rsidR="00A72EBA" w:rsidRDefault="00A72EBA" w:rsidP="00A45256">
      <w:pPr>
        <w:pStyle w:val="Normlndobloku"/>
      </w:pPr>
      <w:r w:rsidRPr="003B679E">
        <w:t>Pri sú</w:t>
      </w:r>
      <w:r w:rsidR="00FC1B13">
        <w:t>bež</w:t>
      </w:r>
      <w:r w:rsidRPr="003B679E">
        <w:t>nom podávaní vorikonazolu s efavirenzom sa dávka vorikonazolu má zvýšiť na 400 mg každých 12 hodín a dávka efavirenzu sa má znížiť na 300 mg každých 24 hodín (pozri časti 4.2, 4.3 a 4.5).</w:t>
      </w:r>
    </w:p>
    <w:p w:rsidR="004312E2" w:rsidRPr="003B679E" w:rsidRDefault="004312E2" w:rsidP="004644D9">
      <w:pPr>
        <w:pStyle w:val="Normlndobloku"/>
      </w:pPr>
    </w:p>
    <w:p w:rsidR="00A72EBA" w:rsidRPr="005C5884" w:rsidRDefault="00A72EBA" w:rsidP="004F6A00">
      <w:pPr>
        <w:pStyle w:val="Styl3"/>
      </w:pPr>
      <w:r w:rsidRPr="004B210D">
        <w:t>Rifabutín (</w:t>
      </w:r>
      <w:r w:rsidRPr="007D21E2">
        <w:t>induktor CYP450)</w:t>
      </w:r>
    </w:p>
    <w:p w:rsidR="00A72EBA" w:rsidRDefault="00A72EBA" w:rsidP="00A45256">
      <w:pPr>
        <w:pStyle w:val="Normlndobloku"/>
      </w:pPr>
      <w:r w:rsidRPr="003B679E">
        <w:t>Pri sú</w:t>
      </w:r>
      <w:r w:rsidR="00EE7A8C">
        <w:t>bež</w:t>
      </w:r>
      <w:r w:rsidRPr="003B679E">
        <w:t>nom podávaní rifabutínu s vorikonazolom sa odporúča starostlivé monitorovanie kompletného krvného obrazu a nežiaducich reakcií (napr. uveitídy). Sú</w:t>
      </w:r>
      <w:r w:rsidR="00070469">
        <w:t>bež</w:t>
      </w:r>
      <w:r w:rsidRPr="003B679E">
        <w:t>nému podávaniu vorikonazolu a rifabutínu sa treba vyhnúť, ak prínos neprevažuje nad rizikom (pozri časť 4.5).</w:t>
      </w:r>
    </w:p>
    <w:p w:rsidR="004312E2" w:rsidRPr="003B679E" w:rsidRDefault="004312E2" w:rsidP="004644D9">
      <w:pPr>
        <w:pStyle w:val="Normlndobloku"/>
      </w:pPr>
    </w:p>
    <w:p w:rsidR="00A72EBA" w:rsidRPr="007D21E2" w:rsidRDefault="00A72EBA" w:rsidP="004F6A00">
      <w:pPr>
        <w:pStyle w:val="Styl3"/>
      </w:pPr>
      <w:r w:rsidRPr="004B210D">
        <w:lastRenderedPageBreak/>
        <w:t>Ritonavir (silný induktor CYP450; inhibít</w:t>
      </w:r>
      <w:r w:rsidRPr="007D21E2">
        <w:t>or a substrát CYP3A4)</w:t>
      </w:r>
    </w:p>
    <w:p w:rsidR="00A72EBA" w:rsidRDefault="00A72EBA" w:rsidP="00A45256">
      <w:pPr>
        <w:pStyle w:val="Normlndobloku"/>
      </w:pPr>
      <w:r w:rsidRPr="003B679E">
        <w:t>Sú</w:t>
      </w:r>
      <w:r w:rsidR="006C0166">
        <w:t>bež</w:t>
      </w:r>
      <w:r w:rsidRPr="003B679E">
        <w:t>nému podávaniu vorikonazolu s nízkou dávkou ritonaviru (100 mg dvakrát denne) je potrebné sa vyhnúť, pokiaľ zhodnotenie prínosu/rizika pre pacienta neodôvodňuje použitie vorikonazolu (pozri časti 4.3 a 4.5).</w:t>
      </w:r>
    </w:p>
    <w:p w:rsidR="004312E2" w:rsidRPr="003B679E" w:rsidRDefault="004312E2" w:rsidP="004644D9">
      <w:pPr>
        <w:pStyle w:val="Normlndobloku"/>
      </w:pPr>
    </w:p>
    <w:p w:rsidR="00A72EBA" w:rsidRPr="007D21E2" w:rsidRDefault="00A72EBA" w:rsidP="004F6A00">
      <w:pPr>
        <w:pStyle w:val="Styl3"/>
      </w:pPr>
      <w:r w:rsidRPr="004B210D">
        <w:t>Everolimus (subst</w:t>
      </w:r>
      <w:r w:rsidRPr="007D21E2">
        <w:t>rát CYP3A4, substrát P-gp)</w:t>
      </w:r>
    </w:p>
    <w:p w:rsidR="00A72EBA" w:rsidRDefault="00A72EBA" w:rsidP="00A45256">
      <w:pPr>
        <w:pStyle w:val="Normlndobloku"/>
      </w:pPr>
      <w:r w:rsidRPr="003B679E">
        <w:t>Sú</w:t>
      </w:r>
      <w:r w:rsidR="006C0166">
        <w:t>bež</w:t>
      </w:r>
      <w:r w:rsidRPr="003B679E">
        <w:t>né podávanie vorikonazolu s everolimusom sa neodporúča, pretože sa očakáva, že vorikonazol signifikantne zvýši koncentrácie everolimusu. V súčasnosti nie sú dostatočné údaje, ktoré by poskytovali odporúčania pre dávkovanie v takejto situácii (pozri časť 4.5).</w:t>
      </w:r>
    </w:p>
    <w:p w:rsidR="004312E2" w:rsidRPr="003B679E" w:rsidRDefault="004312E2" w:rsidP="004644D9">
      <w:pPr>
        <w:pStyle w:val="Normlndobloku"/>
      </w:pPr>
    </w:p>
    <w:p w:rsidR="00A72EBA" w:rsidRPr="007D21E2" w:rsidRDefault="00A72EBA" w:rsidP="004F6A00">
      <w:pPr>
        <w:pStyle w:val="Styl3"/>
      </w:pPr>
      <w:r w:rsidRPr="004B210D">
        <w:t>Metad</w:t>
      </w:r>
      <w:r w:rsidR="006A6174">
        <w:t>ó</w:t>
      </w:r>
      <w:r w:rsidRPr="007D21E2">
        <w:t>n (substrát CYP3A4)</w:t>
      </w:r>
    </w:p>
    <w:p w:rsidR="00A72EBA" w:rsidRDefault="00A72EBA" w:rsidP="00A45256">
      <w:pPr>
        <w:pStyle w:val="Normlndobloku"/>
      </w:pPr>
      <w:r w:rsidRPr="003B679E">
        <w:t>Časté monitorovanie nežiaducich reakcií a toxicity súvisiacich s metad</w:t>
      </w:r>
      <w:r w:rsidR="0065657D">
        <w:t>ó</w:t>
      </w:r>
      <w:r w:rsidRPr="003B679E">
        <w:t>nom, vrátane predĺženia QTc, sa odporúča pri jeho sú</w:t>
      </w:r>
      <w:r w:rsidR="00D21282">
        <w:t>bež</w:t>
      </w:r>
      <w:r w:rsidRPr="003B679E">
        <w:t>nom podávaní s vorikonazolom, keďže sa hladiny metad</w:t>
      </w:r>
      <w:r w:rsidR="00521B10">
        <w:t>ó</w:t>
      </w:r>
      <w:r w:rsidRPr="003B679E">
        <w:t>nu po sú</w:t>
      </w:r>
      <w:r w:rsidR="009F7893">
        <w:t>bež</w:t>
      </w:r>
      <w:r w:rsidRPr="003B679E">
        <w:t>nom podaní s vorikonazolom zvýšili. Môže sa vyžadovať zníženie dávky metad</w:t>
      </w:r>
      <w:r w:rsidR="00CD6623">
        <w:t>ó</w:t>
      </w:r>
      <w:r w:rsidRPr="003B679E">
        <w:t>nu (pozri časť 4.5).</w:t>
      </w:r>
    </w:p>
    <w:p w:rsidR="004312E2" w:rsidRPr="003B679E" w:rsidRDefault="004312E2" w:rsidP="004644D9">
      <w:pPr>
        <w:pStyle w:val="Normlndobloku"/>
      </w:pPr>
    </w:p>
    <w:p w:rsidR="00A72EBA" w:rsidRPr="007D21E2" w:rsidRDefault="00A72EBA" w:rsidP="004F6A00">
      <w:pPr>
        <w:pStyle w:val="Styl3"/>
      </w:pPr>
      <w:r w:rsidRPr="004B210D">
        <w:t>Krátkodobo účinkujúce opiáty (substrát CYP3A4)</w:t>
      </w:r>
    </w:p>
    <w:p w:rsidR="00A72EBA" w:rsidRDefault="00A72EBA" w:rsidP="00A45256">
      <w:pPr>
        <w:pStyle w:val="Normlndobloku"/>
      </w:pPr>
      <w:r w:rsidRPr="003B679E">
        <w:t>Zníženie dávky alfentanilu, fentanylu a iných krátkodobo účinkujúcich opiátov, ktoré majú podobnú štruktúru ako alfentanil a metabolizujú sa pomocou CYP3A4 (napr. sufentanil), sa má zvážiť pri ich sú</w:t>
      </w:r>
      <w:r w:rsidR="002570AB">
        <w:t>bež</w:t>
      </w:r>
      <w:r w:rsidRPr="003B679E">
        <w:t>nom podávaní s vorikonazolom (pozri časť 4.5). Keďže pri sú</w:t>
      </w:r>
      <w:r w:rsidR="007369D3">
        <w:t>bež</w:t>
      </w:r>
      <w:r w:rsidRPr="003B679E">
        <w:t xml:space="preserve">nom podávaní alfentanilu s vorikonazolom je polčas </w:t>
      </w:r>
      <w:proofErr w:type="gramStart"/>
      <w:r w:rsidRPr="003B679E">
        <w:t>alfentanilu 4-násobne</w:t>
      </w:r>
      <w:proofErr w:type="gramEnd"/>
      <w:r w:rsidRPr="003B679E">
        <w:t xml:space="preserve"> predĺžený a v nezávislej publikovanej štúdii viedlo sú</w:t>
      </w:r>
      <w:r w:rsidR="00F6215E">
        <w:t>bež</w:t>
      </w:r>
      <w:r w:rsidRPr="003B679E">
        <w:t>né použitie vorikonazolu s fentanylom k zvýšeniu priemernej hodnoty AUC</w:t>
      </w:r>
      <w:r w:rsidRPr="003B679E">
        <w:rPr>
          <w:vertAlign w:val="subscript"/>
        </w:rPr>
        <w:t>0-∞</w:t>
      </w:r>
      <w:r w:rsidRPr="003B679E">
        <w:t xml:space="preserve"> fentanylu, môže byť potrebné časté monitorovanie nežiaducich reakcií spojených s opiátmi (vrátane dlhšieho obdobia monitorovania respiračných funkcií).</w:t>
      </w:r>
    </w:p>
    <w:p w:rsidR="004312E2" w:rsidRPr="003B679E" w:rsidRDefault="004312E2" w:rsidP="004644D9">
      <w:pPr>
        <w:pStyle w:val="Normlndobloku"/>
      </w:pPr>
    </w:p>
    <w:p w:rsidR="00A72EBA" w:rsidRPr="007D21E2" w:rsidRDefault="00A72EBA" w:rsidP="004F6A00">
      <w:pPr>
        <w:pStyle w:val="Styl3"/>
      </w:pPr>
      <w:r w:rsidRPr="004B210D">
        <w:t>Dlhodobo účinkujúce opiáty (substrát CYP3A4)</w:t>
      </w:r>
    </w:p>
    <w:p w:rsidR="00A72EBA" w:rsidRDefault="00A72EBA" w:rsidP="00A45256">
      <w:pPr>
        <w:pStyle w:val="Normlndobloku"/>
      </w:pPr>
      <w:r w:rsidRPr="003B679E">
        <w:t>Zníženie dávky oxykodónu a iných dlhodobo účinkujúcich opiátov metabolizovaných pomocou CYP3A4 (napr. hydrokodónu) sa má zvážiť pri ich sú</w:t>
      </w:r>
      <w:r w:rsidR="0058712A">
        <w:t>bež</w:t>
      </w:r>
      <w:r w:rsidRPr="003B679E">
        <w:t>nom podávaní s vorikonazolom. Môže byť potrebné časté monitorovanie nežiaducich reakcií spojených s opiátmi (pozri časť 4.5).</w:t>
      </w:r>
    </w:p>
    <w:p w:rsidR="004312E2" w:rsidRPr="003B679E" w:rsidRDefault="004312E2" w:rsidP="004644D9">
      <w:pPr>
        <w:pStyle w:val="Normlndobloku"/>
      </w:pPr>
    </w:p>
    <w:p w:rsidR="00A72EBA" w:rsidRPr="007D21E2" w:rsidRDefault="00A72EBA" w:rsidP="004F6A00">
      <w:pPr>
        <w:pStyle w:val="Styl3"/>
      </w:pPr>
      <w:r w:rsidRPr="004B210D">
        <w:t>Flukonazol (inhibítor CYP2C9, CYP2C19 a CYP3A4)</w:t>
      </w:r>
    </w:p>
    <w:p w:rsidR="00A72EBA" w:rsidRDefault="00A72EBA" w:rsidP="00A45256">
      <w:pPr>
        <w:pStyle w:val="Normlndobloku"/>
      </w:pPr>
      <w:r w:rsidRPr="003B679E">
        <w:t>Sú</w:t>
      </w:r>
      <w:r w:rsidR="00D4594C">
        <w:t>bež</w:t>
      </w:r>
      <w:r w:rsidRPr="003B679E">
        <w:t>né podávanie perorálneho vorikonazolu a perorálneho flukonazolu viedlo k významnému zvýšeniu C</w:t>
      </w:r>
      <w:r w:rsidRPr="003B679E">
        <w:rPr>
          <w:vertAlign w:val="subscript"/>
        </w:rPr>
        <w:t>max</w:t>
      </w:r>
      <w:r w:rsidRPr="003B679E">
        <w:t xml:space="preserve"> a AUC</w:t>
      </w:r>
      <w:r w:rsidRPr="003B679E">
        <w:rPr>
          <w:vertAlign w:val="subscript"/>
        </w:rPr>
        <w:t>τ</w:t>
      </w:r>
      <w:r w:rsidRPr="003B679E">
        <w:t xml:space="preserve"> vorikonazolu u zdravých jedincov. Znížená dávka a/alebo frekvencia vorikonazolu a flukonazolu, ktoré </w:t>
      </w:r>
      <w:r w:rsidR="004B7B9A">
        <w:t>môžu</w:t>
      </w:r>
      <w:r w:rsidRPr="003B679E">
        <w:t xml:space="preserve"> eliminovať tento účinok, neboli stanovené. Monitorovanie nežiaducich reakcií spojených s vorikonazolom sa odporúča, ak sa vorikonazol používa následne po flukonazole (pozri časť 4.5). </w:t>
      </w:r>
    </w:p>
    <w:p w:rsidR="004312E2" w:rsidRPr="003B679E" w:rsidRDefault="004312E2" w:rsidP="00A45256">
      <w:pPr>
        <w:pStyle w:val="Normlndobloku"/>
      </w:pPr>
    </w:p>
    <w:p w:rsidR="00A72EBA" w:rsidRDefault="007F2A87" w:rsidP="004644D9">
      <w:pPr>
        <w:pStyle w:val="Normlndobloku"/>
      </w:pPr>
      <w:r>
        <w:t xml:space="preserve">VERRIA </w:t>
      </w:r>
      <w:r w:rsidR="00F800B9">
        <w:t>tablety</w:t>
      </w:r>
      <w:r w:rsidR="00A72EBA" w:rsidRPr="003B679E">
        <w:t xml:space="preserve"> obsahujú laktózu, a preto sa nemajú podávať pacientom so </w:t>
      </w:r>
      <w:r w:rsidR="00A763C0">
        <w:t>zriedkavý</w:t>
      </w:r>
      <w:r w:rsidR="00A72EBA" w:rsidRPr="003B679E">
        <w:t>mi dedičnými p</w:t>
      </w:r>
      <w:r w:rsidR="00882EC4">
        <w:t>roblém</w:t>
      </w:r>
      <w:r w:rsidR="00A72EBA" w:rsidRPr="003B679E">
        <w:t xml:space="preserve">ami galaktózovej intolerancie, </w:t>
      </w:r>
      <w:r w:rsidR="00882EC4">
        <w:t xml:space="preserve">lapónskeho </w:t>
      </w:r>
      <w:r w:rsidR="00A72EBA" w:rsidRPr="003B679E">
        <w:t>defici</w:t>
      </w:r>
      <w:r w:rsidR="00882EC4">
        <w:t>tu</w:t>
      </w:r>
      <w:r w:rsidR="00A72EBA" w:rsidRPr="003B679E">
        <w:t xml:space="preserve"> laktázy a</w:t>
      </w:r>
      <w:r w:rsidR="00882EC4">
        <w:t>lebo</w:t>
      </w:r>
      <w:r w:rsidR="00A72EBA" w:rsidRPr="003B679E">
        <w:t xml:space="preserve"> glukózo-galaktózovou malabsorpciou.</w:t>
      </w:r>
    </w:p>
    <w:p w:rsidR="004312E2" w:rsidRPr="003B679E" w:rsidRDefault="004312E2" w:rsidP="004F6A00">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 xml:space="preserve">Liekové a iné </w:t>
      </w:r>
      <w:r w:rsidRPr="00CB3225">
        <w:rPr>
          <w:szCs w:val="22"/>
          <w:lang w:val="sk-SK"/>
        </w:rPr>
        <w:t>interakcie</w:t>
      </w:r>
    </w:p>
    <w:p w:rsidR="002570AB" w:rsidRPr="00E70B7A" w:rsidRDefault="002570AB" w:rsidP="003B679E">
      <w:pPr>
        <w:pStyle w:val="Styl2"/>
        <w:numPr>
          <w:ilvl w:val="0"/>
          <w:numId w:val="0"/>
        </w:numPr>
        <w:spacing w:before="0" w:after="0"/>
        <w:rPr>
          <w:szCs w:val="22"/>
          <w:lang w:val="sk-SK"/>
        </w:rPr>
      </w:pPr>
    </w:p>
    <w:p w:rsidR="00A72EBA" w:rsidRPr="003B679E" w:rsidRDefault="00A72EBA" w:rsidP="00A45256">
      <w:pPr>
        <w:pStyle w:val="Normlndobloku"/>
      </w:pPr>
      <w:r w:rsidRPr="003B679E">
        <w:t>Vorikonazol je metabolizovaný izoenzýmami cytochrómu P450, CYP2C19, CYP2C9 a CYP3A4 a inhibuje ich aktivitu. Inhibítory alebo induktory týchto izoenzýmov môžu zvyšovať alebo znižovať plazmatické koncentrácie vorikonazolu a existuje možnosť, že vorikonazol zvyšuje plazmatické koncentrácie látok metabolizovaných týmito izoenzýmami CYP450. Ak nie je špecifikované inak, štúdie liekovej interakcie sa uskutočnili so zdravými dospelými mužmi, s opakovaným dávkovaním perorálneho vorikonazolu 200 mg dvakrát denne až do dosiahnutia rovnovážneho stavu. Tieto výsledky sú relevantné i pre iné populácie pacientov a iné spôsoby pod</w:t>
      </w:r>
      <w:r w:rsidR="005D62BA">
        <w:t>áva</w:t>
      </w:r>
      <w:r w:rsidRPr="003B679E">
        <w:t>nia.</w:t>
      </w:r>
    </w:p>
    <w:p w:rsidR="00A72EBA" w:rsidRPr="003B679E" w:rsidRDefault="00A72EBA" w:rsidP="004644D9">
      <w:pPr>
        <w:pStyle w:val="Normlndobloku"/>
      </w:pPr>
      <w:r w:rsidRPr="003B679E">
        <w:t>Vorikonazol sa má opatrne podávať pacientom sú</w:t>
      </w:r>
      <w:r w:rsidR="0091713B">
        <w:t>bež</w:t>
      </w:r>
      <w:r w:rsidRPr="003B679E">
        <w:t>ne liečený</w:t>
      </w:r>
      <w:r w:rsidR="000249BA">
        <w:t>ch</w:t>
      </w:r>
      <w:r w:rsidRPr="003B679E">
        <w:t xml:space="preserve"> liekmi, o ktorých je známe, že predlžujú QTc interval. Tam, kde prichádza do úvahy tiež možnosť, že vorikonazol môže zvýšiť plazmatické koncentrácie látok metabolizovaných izoenzýmami CYP3A4 (niektoré antihistaminiká, chinidín, cisaprid, pimozid), je ich sú</w:t>
      </w:r>
      <w:r w:rsidR="00E5279F">
        <w:t>bež</w:t>
      </w:r>
      <w:r w:rsidRPr="003B679E">
        <w:t>né podávanie kontraindikované (pozri nižšie a časť 4.3).</w:t>
      </w:r>
    </w:p>
    <w:p w:rsidR="00000000" w:rsidRDefault="00A72EBA">
      <w:pPr>
        <w:pStyle w:val="Styl3"/>
      </w:pPr>
      <w:r w:rsidRPr="003B679E">
        <w:lastRenderedPageBreak/>
        <w:t>Tabuľka interakcií</w:t>
      </w:r>
    </w:p>
    <w:p w:rsidR="00A72EBA" w:rsidRDefault="00A72EBA" w:rsidP="004F6A00">
      <w:pPr>
        <w:pStyle w:val="Normlndobloku"/>
      </w:pPr>
      <w:r w:rsidRPr="003B679E">
        <w:t xml:space="preserve">Interakcie medzi vorikonazolom a inými liekmi sú uvedené v tabuľke nižšie (jedenkrát denne ako „QD“, dvakrát denne ako „BID“, trikrát denne ako „TID“ a neurčené ako „ND“). Smer šípky pre každý farmakokinetický parameter je založený na 90 % intervale spoľahlivosti pomeru geometrických priemerov, ktorý je v rozmedzí (↔), nižšie (↓) alebo vyššie (↑) ako interval 80 – 125 %. Hviezdička (*) naznačuje </w:t>
      </w:r>
      <w:r w:rsidR="001B3F9B">
        <w:t>vzájomn</w:t>
      </w:r>
      <w:r w:rsidRPr="003B679E">
        <w:t>ú interakciu. Skratky AUC</w:t>
      </w:r>
      <w:r w:rsidR="005A0500" w:rsidRPr="005E20FB">
        <w:rPr>
          <w:vertAlign w:val="subscript"/>
        </w:rPr>
        <w:t>τ</w:t>
      </w:r>
      <w:r w:rsidRPr="003B679E">
        <w:t>, AUC</w:t>
      </w:r>
      <w:r w:rsidRPr="003B679E">
        <w:rPr>
          <w:vertAlign w:val="subscript"/>
        </w:rPr>
        <w:t>t</w:t>
      </w:r>
      <w:r w:rsidRPr="003B679E">
        <w:t xml:space="preserve"> a AUC</w:t>
      </w:r>
      <w:r w:rsidRPr="003B679E">
        <w:rPr>
          <w:vertAlign w:val="subscript"/>
        </w:rPr>
        <w:t>0-∞</w:t>
      </w:r>
      <w:r w:rsidRPr="003B679E">
        <w:t xml:space="preserve"> predstavujú plochu pod krivkou v dávkovacom intervale, od času nula do času detekovateľného merania a od času nula do nekonečna, v uvedenom poradí.</w:t>
      </w:r>
    </w:p>
    <w:p w:rsidR="00D069D8" w:rsidRPr="003B679E" w:rsidRDefault="00D069D8" w:rsidP="004F6A00">
      <w:pPr>
        <w:pStyle w:val="Normlndobloku"/>
      </w:pPr>
    </w:p>
    <w:p w:rsidR="00A72EBA" w:rsidRDefault="00A72EBA" w:rsidP="004F6A00">
      <w:pPr>
        <w:pStyle w:val="Normlndobloku"/>
      </w:pPr>
      <w:r w:rsidRPr="003B679E">
        <w:t>Interakcie v tabuľke sú uvedené v nasledovnom poradí: kontraindikácie, tie ktoré vyžadujú úpravu dávky a starostlivé klinické a/alebo biologické sledovanie a nakoniec tie, ktoré nepredstavujú významnú farmakokinetickú interakciu, ale môžu byť klinicky významné v tejto terapeutickej oblasti.</w:t>
      </w:r>
    </w:p>
    <w:p w:rsidR="00753817" w:rsidRPr="003B679E" w:rsidRDefault="00753817" w:rsidP="004F6A00">
      <w:pPr>
        <w:pStyle w:val="Normlndobl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A72EBA" w:rsidRPr="00D32133" w:rsidTr="00C31EEC">
        <w:trPr>
          <w:tblHeader/>
        </w:trPr>
        <w:tc>
          <w:tcPr>
            <w:tcW w:w="3070" w:type="dxa"/>
            <w:shd w:val="clear" w:color="auto" w:fill="auto"/>
          </w:tcPr>
          <w:p w:rsidR="00A72EBA" w:rsidRPr="00D32133" w:rsidRDefault="00A72EBA" w:rsidP="00CD060E">
            <w:pPr>
              <w:autoSpaceDE w:val="0"/>
              <w:autoSpaceDN w:val="0"/>
              <w:adjustRightInd w:val="0"/>
              <w:rPr>
                <w:rFonts w:eastAsia="TimesNewRoman,Bold"/>
                <w:b/>
                <w:bCs/>
                <w:szCs w:val="22"/>
                <w:lang w:val="sk-SK"/>
              </w:rPr>
            </w:pPr>
            <w:r w:rsidRPr="00D32133">
              <w:rPr>
                <w:rFonts w:eastAsia="TimesNewRoman,Bold"/>
                <w:b/>
                <w:bCs/>
                <w:szCs w:val="22"/>
                <w:lang w:val="sk-SK"/>
              </w:rPr>
              <w:t>Liek</w:t>
            </w:r>
          </w:p>
          <w:p w:rsidR="00A72EBA" w:rsidRPr="00D32133" w:rsidRDefault="00A72EBA" w:rsidP="00D32133">
            <w:pPr>
              <w:rPr>
                <w:szCs w:val="22"/>
                <w:lang w:val="sk-SK"/>
              </w:rPr>
            </w:pPr>
            <w:r w:rsidRPr="00D32133">
              <w:rPr>
                <w:rFonts w:eastAsia="TimesNewRoman,BoldItalic"/>
                <w:b/>
                <w:bCs/>
                <w:iCs/>
                <w:szCs w:val="22"/>
                <w:lang w:val="sk-SK"/>
              </w:rPr>
              <w:t>[</w:t>
            </w:r>
            <w:r w:rsidR="00B767E9" w:rsidRPr="00B767E9">
              <w:rPr>
                <w:rFonts w:eastAsia="TimesNewRoman,BoldItalic"/>
                <w:b/>
                <w:bCs/>
                <w:i/>
                <w:iCs/>
                <w:szCs w:val="22"/>
                <w:lang w:val="sk-SK"/>
              </w:rPr>
              <w:t>Mechanizmus interakcie</w:t>
            </w:r>
            <w:r w:rsidRPr="00D32133">
              <w:rPr>
                <w:rFonts w:eastAsia="TimesNewRoman,BoldItalic"/>
                <w:b/>
                <w:bCs/>
                <w:iCs/>
                <w:szCs w:val="22"/>
                <w:lang w:val="sk-SK"/>
              </w:rPr>
              <w:t>]</w:t>
            </w:r>
          </w:p>
        </w:tc>
        <w:tc>
          <w:tcPr>
            <w:tcW w:w="3071" w:type="dxa"/>
            <w:shd w:val="clear" w:color="auto" w:fill="auto"/>
          </w:tcPr>
          <w:p w:rsidR="00A72EBA" w:rsidRPr="00D32133" w:rsidRDefault="00A72EBA">
            <w:pPr>
              <w:autoSpaceDE w:val="0"/>
              <w:autoSpaceDN w:val="0"/>
              <w:adjustRightInd w:val="0"/>
              <w:rPr>
                <w:rFonts w:eastAsia="TimesNewRoman,Bold"/>
                <w:b/>
                <w:bCs/>
                <w:szCs w:val="22"/>
                <w:lang w:val="sk-SK"/>
              </w:rPr>
            </w:pPr>
            <w:r w:rsidRPr="00D32133">
              <w:rPr>
                <w:rFonts w:eastAsia="TimesNewRoman,Bold"/>
                <w:b/>
                <w:bCs/>
                <w:szCs w:val="22"/>
                <w:lang w:val="sk-SK"/>
              </w:rPr>
              <w:t>Interakcia</w:t>
            </w:r>
          </w:p>
          <w:p w:rsidR="00A72EBA" w:rsidRPr="00D32133" w:rsidRDefault="00A72EBA">
            <w:pPr>
              <w:autoSpaceDE w:val="0"/>
              <w:autoSpaceDN w:val="0"/>
              <w:adjustRightInd w:val="0"/>
              <w:rPr>
                <w:rFonts w:eastAsia="TimesNewRoman,Bold"/>
                <w:b/>
                <w:bCs/>
                <w:szCs w:val="22"/>
                <w:lang w:val="sk-SK"/>
              </w:rPr>
            </w:pPr>
            <w:r w:rsidRPr="00D32133">
              <w:rPr>
                <w:rFonts w:eastAsia="TimesNewRoman,Bold"/>
                <w:b/>
                <w:bCs/>
                <w:szCs w:val="22"/>
                <w:lang w:val="sk-SK"/>
              </w:rPr>
              <w:t xml:space="preserve">Zmeny geometrických </w:t>
            </w:r>
          </w:p>
          <w:p w:rsidR="00A72EBA" w:rsidRPr="00D32133" w:rsidRDefault="00A72EBA">
            <w:pPr>
              <w:rPr>
                <w:szCs w:val="22"/>
                <w:lang w:val="sk-SK"/>
              </w:rPr>
            </w:pPr>
            <w:r w:rsidRPr="00D32133">
              <w:rPr>
                <w:rFonts w:eastAsia="TimesNewRoman,Bold"/>
                <w:b/>
                <w:bCs/>
                <w:szCs w:val="22"/>
                <w:lang w:val="sk-SK"/>
              </w:rPr>
              <w:t>priemerov (%)</w:t>
            </w:r>
          </w:p>
        </w:tc>
        <w:tc>
          <w:tcPr>
            <w:tcW w:w="3071" w:type="dxa"/>
            <w:shd w:val="clear" w:color="auto" w:fill="auto"/>
          </w:tcPr>
          <w:p w:rsidR="00A72EBA" w:rsidRPr="00D40A28" w:rsidRDefault="00A72EBA">
            <w:pPr>
              <w:autoSpaceDE w:val="0"/>
              <w:autoSpaceDN w:val="0"/>
              <w:adjustRightInd w:val="0"/>
              <w:rPr>
                <w:rFonts w:eastAsia="TimesNewRoman,Bold"/>
                <w:b/>
                <w:bCs/>
                <w:szCs w:val="22"/>
                <w:lang w:val="sk-SK"/>
              </w:rPr>
            </w:pPr>
            <w:r w:rsidRPr="00D40A28">
              <w:rPr>
                <w:rFonts w:eastAsia="TimesNewRoman,Bold"/>
                <w:b/>
                <w:bCs/>
                <w:szCs w:val="22"/>
                <w:lang w:val="sk-SK"/>
              </w:rPr>
              <w:t>Odporúčania týkajúce sa</w:t>
            </w:r>
          </w:p>
          <w:p w:rsidR="00A72EBA" w:rsidRPr="00D40A28" w:rsidRDefault="00A72EBA">
            <w:pPr>
              <w:rPr>
                <w:szCs w:val="22"/>
                <w:lang w:val="sk-SK"/>
              </w:rPr>
            </w:pPr>
            <w:r w:rsidRPr="00D40A28">
              <w:rPr>
                <w:rFonts w:eastAsia="TimesNewRoman,Bold"/>
                <w:b/>
                <w:bCs/>
                <w:szCs w:val="22"/>
                <w:lang w:val="sk-SK"/>
              </w:rPr>
              <w:t>súbežného podania</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Astemizol, cisaprid, pimozid,</w:t>
            </w:r>
          </w:p>
          <w:p w:rsidR="00A72EBA" w:rsidRPr="00413EE1" w:rsidRDefault="00A72EBA" w:rsidP="00D32133">
            <w:pPr>
              <w:autoSpaceDE w:val="0"/>
              <w:autoSpaceDN w:val="0"/>
              <w:adjustRightInd w:val="0"/>
              <w:rPr>
                <w:rFonts w:eastAsia="TimesNewRoman"/>
                <w:szCs w:val="22"/>
                <w:lang w:val="sk-SK"/>
              </w:rPr>
            </w:pPr>
            <w:r w:rsidRPr="00E70B7A">
              <w:rPr>
                <w:rFonts w:eastAsia="TimesNewRoman"/>
                <w:szCs w:val="22"/>
                <w:lang w:val="sk-SK"/>
              </w:rPr>
              <w:t>chinidín a terfenadín</w:t>
            </w:r>
          </w:p>
          <w:p w:rsidR="00A72EBA" w:rsidRPr="00D32133" w:rsidRDefault="00A72EBA">
            <w:pPr>
              <w:rPr>
                <w:szCs w:val="22"/>
                <w:lang w:val="sk-SK"/>
              </w:rPr>
            </w:pPr>
            <w:r w:rsidRPr="00D32133">
              <w:rPr>
                <w:rFonts w:eastAsia="TimesNewRoman,Italic"/>
                <w:i/>
                <w:iCs/>
                <w:szCs w:val="22"/>
                <w:lang w:val="sk-SK"/>
              </w:rPr>
              <w:t>[substráty CYP3A4]</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Hoci to nebolo skúmané, zvýšené plazmatické koncentrácie</w:t>
            </w:r>
          </w:p>
          <w:p w:rsidR="00A72EBA" w:rsidRPr="004312E2" w:rsidRDefault="00A72EBA">
            <w:pPr>
              <w:autoSpaceDE w:val="0"/>
              <w:autoSpaceDN w:val="0"/>
              <w:adjustRightInd w:val="0"/>
              <w:rPr>
                <w:rFonts w:eastAsia="TimesNewRoman"/>
                <w:szCs w:val="22"/>
                <w:lang w:val="sk-SK"/>
              </w:rPr>
            </w:pPr>
            <w:r w:rsidRPr="004312E2">
              <w:rPr>
                <w:rFonts w:eastAsia="TimesNewRoman"/>
                <w:szCs w:val="22"/>
                <w:lang w:val="sk-SK"/>
              </w:rPr>
              <w:t>týchto liekov môžu vyvolať</w:t>
            </w:r>
          </w:p>
          <w:p w:rsidR="00A72EBA" w:rsidRPr="004C7BA4" w:rsidRDefault="00A72EBA">
            <w:pPr>
              <w:autoSpaceDE w:val="0"/>
              <w:autoSpaceDN w:val="0"/>
              <w:adjustRightInd w:val="0"/>
              <w:rPr>
                <w:rFonts w:eastAsia="TimesNewRoman"/>
                <w:szCs w:val="22"/>
                <w:lang w:val="sk-SK"/>
              </w:rPr>
            </w:pPr>
            <w:r w:rsidRPr="003B679E">
              <w:rPr>
                <w:rFonts w:eastAsia="TimesNewRoman"/>
                <w:szCs w:val="22"/>
                <w:lang w:val="sk-SK"/>
              </w:rPr>
              <w:t xml:space="preserve">predĺženie QTc </w:t>
            </w:r>
            <w:r w:rsidR="004C7BA4">
              <w:rPr>
                <w:rFonts w:eastAsia="TimesNewRoman"/>
                <w:szCs w:val="22"/>
                <w:lang w:val="sk-SK"/>
              </w:rPr>
              <w:t xml:space="preserve">intervalu </w:t>
            </w:r>
            <w:r w:rsidRPr="004C7BA4">
              <w:rPr>
                <w:rFonts w:eastAsia="TimesNewRoman"/>
                <w:szCs w:val="22"/>
                <w:lang w:val="sk-SK"/>
              </w:rPr>
              <w:t xml:space="preserve">a zriedkavý výskyt </w:t>
            </w:r>
            <w:r w:rsidRPr="004C7BA4">
              <w:rPr>
                <w:rFonts w:eastAsia="TimesNewRoman,Italic"/>
                <w:i/>
                <w:iCs/>
                <w:szCs w:val="22"/>
                <w:lang w:val="sk-SK"/>
              </w:rPr>
              <w:t>torsades de pointes</w:t>
            </w:r>
            <w:r w:rsidRPr="004C7BA4">
              <w:rPr>
                <w:rFonts w:eastAsia="TimesNewRoman"/>
                <w:szCs w:val="22"/>
                <w:lang w:val="sk-SK"/>
              </w:rPr>
              <w:t>.</w:t>
            </w:r>
          </w:p>
        </w:tc>
        <w:tc>
          <w:tcPr>
            <w:tcW w:w="3071" w:type="dxa"/>
            <w:shd w:val="clear" w:color="auto" w:fill="auto"/>
          </w:tcPr>
          <w:p w:rsidR="00A72EBA" w:rsidRPr="00F81158" w:rsidRDefault="00A72EBA">
            <w:pPr>
              <w:autoSpaceDE w:val="0"/>
              <w:autoSpaceDN w:val="0"/>
              <w:adjustRightInd w:val="0"/>
              <w:rPr>
                <w:rFonts w:eastAsia="TimesNewRoman,Bold"/>
                <w:b/>
                <w:bCs/>
                <w:szCs w:val="22"/>
                <w:lang w:val="sk-SK"/>
              </w:rPr>
            </w:pPr>
          </w:p>
          <w:p w:rsidR="00A72EBA" w:rsidRPr="001125D4" w:rsidRDefault="00A72EBA">
            <w:pPr>
              <w:autoSpaceDE w:val="0"/>
              <w:autoSpaceDN w:val="0"/>
              <w:adjustRightInd w:val="0"/>
              <w:rPr>
                <w:rFonts w:eastAsia="TimesNewRoman"/>
                <w:szCs w:val="22"/>
                <w:lang w:val="sk-SK"/>
              </w:rPr>
            </w:pPr>
            <w:r w:rsidRPr="00324F85">
              <w:rPr>
                <w:rFonts w:eastAsia="TimesNewRoman,Bold"/>
                <w:b/>
                <w:bCs/>
                <w:szCs w:val="22"/>
                <w:lang w:val="sk-SK"/>
              </w:rPr>
              <w:t xml:space="preserve">Kontraindikované </w:t>
            </w:r>
            <w:r w:rsidRPr="00324F85">
              <w:rPr>
                <w:rFonts w:eastAsia="TimesNewRoman"/>
                <w:szCs w:val="22"/>
                <w:lang w:val="sk-SK"/>
              </w:rPr>
              <w:t>(pozri</w:t>
            </w:r>
          </w:p>
          <w:p w:rsidR="00A72EBA" w:rsidRPr="007D21E2" w:rsidRDefault="00A72EBA">
            <w:pPr>
              <w:rPr>
                <w:szCs w:val="22"/>
                <w:lang w:val="sk-SK"/>
              </w:rPr>
            </w:pPr>
            <w:r w:rsidRPr="004B210D">
              <w:rPr>
                <w:rFonts w:eastAsia="TimesNewRoman"/>
                <w:szCs w:val="22"/>
                <w:lang w:val="sk-SK"/>
              </w:rPr>
              <w:t>časť 4.3)</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Karbamazepín a dlhodobo</w:t>
            </w:r>
          </w:p>
          <w:p w:rsidR="00A72EBA" w:rsidRPr="00D32133" w:rsidRDefault="00A72EBA" w:rsidP="00D32133">
            <w:pPr>
              <w:autoSpaceDE w:val="0"/>
              <w:autoSpaceDN w:val="0"/>
              <w:adjustRightInd w:val="0"/>
              <w:rPr>
                <w:rFonts w:eastAsia="TimesNewRoman"/>
                <w:szCs w:val="22"/>
                <w:lang w:val="sk-SK"/>
              </w:rPr>
            </w:pPr>
            <w:r w:rsidRPr="00CB3225">
              <w:rPr>
                <w:rFonts w:eastAsia="TimesNewRoman"/>
                <w:szCs w:val="22"/>
                <w:lang w:val="sk-SK"/>
              </w:rPr>
              <w:t>pôsobiace barbituráty (napr. fenobarbital, mefobarbital)</w:t>
            </w:r>
          </w:p>
          <w:p w:rsidR="00A72EBA" w:rsidRPr="00D32133" w:rsidRDefault="00A72EBA" w:rsidP="00D32133">
            <w:pPr>
              <w:rPr>
                <w:szCs w:val="22"/>
                <w:lang w:val="sk-SK"/>
              </w:rPr>
            </w:pPr>
            <w:r w:rsidRPr="00D32133">
              <w:rPr>
                <w:rFonts w:eastAsia="TimesNewRoman,Italic"/>
                <w:i/>
                <w:iCs/>
                <w:szCs w:val="22"/>
                <w:lang w:val="sk-SK"/>
              </w:rPr>
              <w:t>[silné induktory CYP450]</w:t>
            </w:r>
          </w:p>
        </w:tc>
        <w:tc>
          <w:tcPr>
            <w:tcW w:w="3071" w:type="dxa"/>
            <w:shd w:val="clear" w:color="auto" w:fill="auto"/>
          </w:tcPr>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Hoci to nebolo skúmané, karbamazepín a dlhodobo</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pôsobiace barbituráty</w:t>
            </w:r>
          </w:p>
          <w:p w:rsidR="00A72EBA" w:rsidRPr="00324F85" w:rsidRDefault="00A72EBA">
            <w:pPr>
              <w:autoSpaceDE w:val="0"/>
              <w:autoSpaceDN w:val="0"/>
              <w:adjustRightInd w:val="0"/>
              <w:rPr>
                <w:rFonts w:eastAsia="TimesNewRoman"/>
                <w:szCs w:val="22"/>
                <w:lang w:val="sk-SK"/>
              </w:rPr>
            </w:pPr>
            <w:r w:rsidRPr="00F81158">
              <w:rPr>
                <w:rFonts w:eastAsia="TimesNewRoman"/>
                <w:szCs w:val="22"/>
                <w:lang w:val="sk-SK"/>
              </w:rPr>
              <w:t>pravdepodobne významne znižujú plazmatické koncentrácie vorikonazolu.</w:t>
            </w:r>
          </w:p>
        </w:tc>
        <w:tc>
          <w:tcPr>
            <w:tcW w:w="3071" w:type="dxa"/>
            <w:shd w:val="clear" w:color="auto" w:fill="auto"/>
          </w:tcPr>
          <w:p w:rsidR="00A72EBA" w:rsidRPr="004B210D" w:rsidRDefault="00A72EBA">
            <w:pPr>
              <w:autoSpaceDE w:val="0"/>
              <w:autoSpaceDN w:val="0"/>
              <w:adjustRightInd w:val="0"/>
              <w:rPr>
                <w:rFonts w:eastAsia="TimesNewRoman,Bold"/>
                <w:b/>
                <w:bCs/>
                <w:szCs w:val="22"/>
                <w:lang w:val="sk-SK"/>
              </w:rPr>
            </w:pPr>
          </w:p>
          <w:p w:rsidR="00A72EBA" w:rsidRPr="0029661F" w:rsidRDefault="00A72EBA">
            <w:pPr>
              <w:autoSpaceDE w:val="0"/>
              <w:autoSpaceDN w:val="0"/>
              <w:adjustRightInd w:val="0"/>
              <w:rPr>
                <w:rFonts w:eastAsia="TimesNewRoman"/>
                <w:szCs w:val="22"/>
                <w:lang w:val="sk-SK"/>
              </w:rPr>
            </w:pPr>
            <w:r w:rsidRPr="00C637EC">
              <w:rPr>
                <w:rFonts w:eastAsia="TimesNewRoman,Bold"/>
                <w:b/>
                <w:bCs/>
                <w:szCs w:val="22"/>
                <w:lang w:val="sk-SK"/>
              </w:rPr>
              <w:t xml:space="preserve">Kontraindikované </w:t>
            </w:r>
            <w:r w:rsidRPr="00604E6B">
              <w:rPr>
                <w:rFonts w:eastAsia="TimesNewRoman"/>
                <w:szCs w:val="22"/>
                <w:lang w:val="sk-SK"/>
              </w:rPr>
              <w:t>(pozri</w:t>
            </w:r>
          </w:p>
          <w:p w:rsidR="00A72EBA" w:rsidRPr="0029661F" w:rsidRDefault="00A72EBA">
            <w:pPr>
              <w:rPr>
                <w:szCs w:val="22"/>
                <w:lang w:val="sk-SK"/>
              </w:rPr>
            </w:pPr>
            <w:r w:rsidRPr="0029661F">
              <w:rPr>
                <w:rFonts w:eastAsia="TimesNewRoman"/>
                <w:szCs w:val="22"/>
                <w:lang w:val="sk-SK"/>
              </w:rPr>
              <w:t>časť 4.3)</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Efavirenz (nenukleozidový</w:t>
            </w:r>
          </w:p>
          <w:p w:rsidR="00A72EBA" w:rsidRPr="00413EE1" w:rsidRDefault="00A72EBA" w:rsidP="00D32133">
            <w:pPr>
              <w:autoSpaceDE w:val="0"/>
              <w:autoSpaceDN w:val="0"/>
              <w:adjustRightInd w:val="0"/>
              <w:rPr>
                <w:rFonts w:eastAsia="TimesNewRoman"/>
                <w:szCs w:val="22"/>
                <w:lang w:val="sk-SK"/>
              </w:rPr>
            </w:pPr>
            <w:r w:rsidRPr="00E70B7A">
              <w:rPr>
                <w:rFonts w:eastAsia="TimesNewRoman"/>
                <w:szCs w:val="22"/>
                <w:lang w:val="sk-SK"/>
              </w:rPr>
              <w:t>inhibítor reverznej</w:t>
            </w:r>
          </w:p>
          <w:p w:rsidR="00A72EBA" w:rsidRPr="00D32133" w:rsidRDefault="00A72EBA">
            <w:pPr>
              <w:autoSpaceDE w:val="0"/>
              <w:autoSpaceDN w:val="0"/>
              <w:adjustRightInd w:val="0"/>
              <w:rPr>
                <w:rFonts w:eastAsia="TimesNewRoman,Italic"/>
                <w:i/>
                <w:iCs/>
                <w:szCs w:val="22"/>
                <w:lang w:val="sk-SK"/>
              </w:rPr>
            </w:pPr>
            <w:r w:rsidRPr="00D32133">
              <w:rPr>
                <w:rFonts w:eastAsia="TimesNewRoman"/>
                <w:szCs w:val="22"/>
                <w:lang w:val="sk-SK"/>
              </w:rPr>
              <w:t xml:space="preserve">transkriptázy) </w:t>
            </w:r>
            <w:r w:rsidRPr="00D32133">
              <w:rPr>
                <w:rFonts w:eastAsia="TimesNewRoman,Italic"/>
                <w:i/>
                <w:iCs/>
                <w:szCs w:val="22"/>
                <w:lang w:val="sk-SK"/>
              </w:rPr>
              <w:t>[induktor</w:t>
            </w:r>
          </w:p>
          <w:p w:rsidR="00A72EBA" w:rsidRPr="00D40A28" w:rsidRDefault="00A72EBA">
            <w:pPr>
              <w:autoSpaceDE w:val="0"/>
              <w:autoSpaceDN w:val="0"/>
              <w:adjustRightInd w:val="0"/>
              <w:rPr>
                <w:rFonts w:eastAsia="TimesNewRoman,Italic"/>
                <w:i/>
                <w:iCs/>
                <w:szCs w:val="22"/>
                <w:lang w:val="sk-SK"/>
              </w:rPr>
            </w:pPr>
            <w:r w:rsidRPr="00D40A28">
              <w:rPr>
                <w:rFonts w:eastAsia="TimesNewRoman,Italic"/>
                <w:i/>
                <w:iCs/>
                <w:szCs w:val="22"/>
                <w:lang w:val="sk-SK"/>
              </w:rPr>
              <w:t>CYP450; inhibítor</w:t>
            </w:r>
          </w:p>
          <w:p w:rsidR="00A72EBA" w:rsidRPr="00BC186B" w:rsidRDefault="00A72EBA">
            <w:pPr>
              <w:autoSpaceDE w:val="0"/>
              <w:autoSpaceDN w:val="0"/>
              <w:adjustRightInd w:val="0"/>
              <w:rPr>
                <w:rFonts w:eastAsia="TimesNewRoman,Italic"/>
                <w:i/>
                <w:iCs/>
                <w:szCs w:val="22"/>
                <w:lang w:val="sk-SK"/>
              </w:rPr>
            </w:pPr>
            <w:r w:rsidRPr="00B86E52">
              <w:rPr>
                <w:rFonts w:eastAsia="TimesNewRoman,Italic"/>
                <w:i/>
                <w:iCs/>
                <w:szCs w:val="22"/>
                <w:lang w:val="sk-SK"/>
              </w:rPr>
              <w:t xml:space="preserve">a substrát </w:t>
            </w:r>
            <w:r w:rsidRPr="00BC186B">
              <w:rPr>
                <w:rFonts w:eastAsia="TimesNewRoman,Italic"/>
                <w:i/>
                <w:iCs/>
                <w:szCs w:val="22"/>
                <w:lang w:val="sk-SK"/>
              </w:rPr>
              <w:t>CYP3A4]</w:t>
            </w:r>
          </w:p>
          <w:p w:rsidR="00A72EBA" w:rsidRPr="00F81158" w:rsidRDefault="00A72EBA">
            <w:pPr>
              <w:autoSpaceDE w:val="0"/>
              <w:autoSpaceDN w:val="0"/>
              <w:adjustRightInd w:val="0"/>
              <w:rPr>
                <w:rFonts w:eastAsia="TimesNewRoman,Italic"/>
                <w:i/>
                <w:iCs/>
                <w:szCs w:val="22"/>
                <w:lang w:val="sk-SK"/>
              </w:rPr>
            </w:pPr>
          </w:p>
          <w:p w:rsidR="00A72EBA" w:rsidRPr="00324F85" w:rsidRDefault="00A72EBA">
            <w:pPr>
              <w:autoSpaceDE w:val="0"/>
              <w:autoSpaceDN w:val="0"/>
              <w:adjustRightInd w:val="0"/>
              <w:rPr>
                <w:rFonts w:eastAsia="TimesNewRoman"/>
                <w:szCs w:val="22"/>
                <w:lang w:val="sk-SK" w:eastAsia="sk-SK"/>
              </w:rPr>
            </w:pPr>
            <w:r w:rsidRPr="00324F85">
              <w:rPr>
                <w:rFonts w:eastAsia="TimesNewRoman"/>
                <w:szCs w:val="22"/>
                <w:lang w:val="sk-SK" w:eastAsia="sk-SK"/>
              </w:rPr>
              <w:t>Efavirenz 400 mg QD,</w:t>
            </w:r>
          </w:p>
          <w:p w:rsidR="00A72EBA" w:rsidRPr="007D21E2" w:rsidRDefault="00A72EBA">
            <w:pPr>
              <w:autoSpaceDE w:val="0"/>
              <w:autoSpaceDN w:val="0"/>
              <w:adjustRightInd w:val="0"/>
              <w:rPr>
                <w:rFonts w:eastAsia="TimesNewRoman"/>
                <w:szCs w:val="22"/>
                <w:lang w:val="sk-SK" w:eastAsia="sk-SK"/>
              </w:rPr>
            </w:pPr>
            <w:r w:rsidRPr="004B210D">
              <w:rPr>
                <w:rFonts w:eastAsia="TimesNewRoman"/>
                <w:szCs w:val="22"/>
                <w:lang w:val="sk-SK" w:eastAsia="sk-SK"/>
              </w:rPr>
              <w:t>súbežne podávaný</w:t>
            </w:r>
          </w:p>
          <w:p w:rsidR="00A72EBA" w:rsidRPr="00604E6B" w:rsidRDefault="00A72EBA">
            <w:pPr>
              <w:autoSpaceDE w:val="0"/>
              <w:autoSpaceDN w:val="0"/>
              <w:adjustRightInd w:val="0"/>
              <w:rPr>
                <w:rFonts w:eastAsia="TimesNewRoman"/>
                <w:szCs w:val="22"/>
                <w:lang w:val="sk-SK" w:eastAsia="sk-SK"/>
              </w:rPr>
            </w:pPr>
            <w:r w:rsidRPr="00C637EC">
              <w:rPr>
                <w:rFonts w:eastAsia="TimesNewRoman"/>
                <w:szCs w:val="22"/>
                <w:lang w:val="sk-SK" w:eastAsia="sk-SK"/>
              </w:rPr>
              <w:t>s vorikonazolom 200 mg</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eastAsia="sk-SK"/>
              </w:rPr>
              <w:t>BID*</w:t>
            </w:r>
          </w:p>
          <w:p w:rsidR="00A72EBA" w:rsidRPr="0029661F"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Efavirenz 300 mg QD,</w:t>
            </w: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súbežne podávaný</w:t>
            </w: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s vorikonazolom 400 mg</w:t>
            </w:r>
          </w:p>
          <w:p w:rsidR="00A72EBA" w:rsidRPr="00D32133" w:rsidRDefault="00A72EBA">
            <w:pPr>
              <w:rPr>
                <w:szCs w:val="22"/>
                <w:lang w:val="sk-SK"/>
              </w:rPr>
            </w:pPr>
            <w:r w:rsidRPr="00D32133">
              <w:rPr>
                <w:rFonts w:eastAsia="TimesNewRoman"/>
                <w:szCs w:val="22"/>
                <w:lang w:val="sk-SK" w:eastAsia="sk-SK"/>
              </w:rPr>
              <w:t>BID*</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p>
          <w:p w:rsidR="00A72EBA" w:rsidRPr="00B86E52"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324F85">
              <w:rPr>
                <w:rFonts w:eastAsia="TimesNewRoman"/>
                <w:szCs w:val="22"/>
                <w:lang w:val="sk-SK"/>
              </w:rPr>
              <w:t>Efavirenz C</w:t>
            </w:r>
            <w:r w:rsidRPr="00324F85">
              <w:rPr>
                <w:rFonts w:eastAsia="TimesNewRoman"/>
                <w:szCs w:val="22"/>
                <w:vertAlign w:val="subscript"/>
                <w:lang w:val="sk-SK"/>
              </w:rPr>
              <w:t>max</w:t>
            </w:r>
            <w:r w:rsidRPr="001125D4">
              <w:rPr>
                <w:rFonts w:eastAsia="TimesNewRoman"/>
                <w:szCs w:val="22"/>
                <w:lang w:val="sk-SK"/>
              </w:rPr>
              <w:t xml:space="preserve"> </w:t>
            </w:r>
            <w:r w:rsidRPr="001125D4">
              <w:rPr>
                <w:rFonts w:eastAsia="TimesNewRoman" w:hint="eastAsia"/>
                <w:szCs w:val="22"/>
                <w:lang w:val="sk-SK"/>
              </w:rPr>
              <w:t>↑</w:t>
            </w:r>
            <w:r w:rsidRPr="00D32133">
              <w:rPr>
                <w:rFonts w:eastAsia="TimesNewRoman"/>
                <w:szCs w:val="22"/>
                <w:lang w:val="sk-SK"/>
              </w:rPr>
              <w:t xml:space="preserve"> 38 %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Efavirenz AUC</w:t>
            </w:r>
            <w:r w:rsidR="00A154AA" w:rsidRPr="00744F05">
              <w:rPr>
                <w:vertAlign w:val="subscript"/>
              </w:rPr>
              <w:t>τ</w:t>
            </w:r>
            <w:r w:rsidRPr="00D32133">
              <w:rPr>
                <w:rFonts w:eastAsia="TimesNewRoman"/>
                <w:szCs w:val="22"/>
                <w:lang w:val="sk-SK"/>
              </w:rPr>
              <w:t xml:space="preserve"> ↑ 44 %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 xml:space="preserve">max </w:t>
            </w:r>
            <w:r w:rsidRPr="00D32133">
              <w:rPr>
                <w:rFonts w:eastAsia="TimesNewRoman" w:hint="eastAsia"/>
                <w:szCs w:val="22"/>
                <w:lang w:val="sk-SK"/>
              </w:rPr>
              <w:t>↓</w:t>
            </w:r>
            <w:r w:rsidRPr="00D32133">
              <w:rPr>
                <w:rFonts w:eastAsia="TimesNewRoman"/>
                <w:szCs w:val="22"/>
                <w:lang w:val="sk-SK"/>
              </w:rPr>
              <w:t xml:space="preserve"> 61 %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A154AA" w:rsidRPr="00744F05">
              <w:rPr>
                <w:vertAlign w:val="subscript"/>
              </w:rPr>
              <w:t>τ</w:t>
            </w:r>
            <w:r w:rsidRPr="00D32133">
              <w:rPr>
                <w:rFonts w:eastAsia="TimesNewRoman"/>
                <w:szCs w:val="22"/>
                <w:lang w:val="sk-SK"/>
              </w:rPr>
              <w:t xml:space="preserve"> ↓ 77 %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porovnaní s efavirenzom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600 mg QD</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Efavirenz C</w:t>
            </w:r>
            <w:r w:rsidRPr="00D32133">
              <w:rPr>
                <w:rFonts w:eastAsia="TimesNewRoman"/>
                <w:szCs w:val="22"/>
                <w:vertAlign w:val="subscript"/>
                <w:lang w:val="sk-SK"/>
              </w:rPr>
              <w:t>max</w:t>
            </w:r>
            <w:r w:rsidRPr="00D32133">
              <w:rPr>
                <w:rFonts w:eastAsia="TimesNewRoman"/>
                <w:szCs w:val="22"/>
                <w:lang w:val="sk-SK"/>
              </w:rPr>
              <w:t xml:space="preserve">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Efavirenz AUC</w:t>
            </w:r>
            <w:r w:rsidR="00A154AA" w:rsidRPr="00744F05">
              <w:rPr>
                <w:vertAlign w:val="subscript"/>
              </w:rPr>
              <w:t>τ</w:t>
            </w:r>
            <w:r w:rsidRPr="00D32133">
              <w:rPr>
                <w:rFonts w:eastAsia="TimesNewRoman"/>
                <w:szCs w:val="22"/>
                <w:lang w:val="sk-SK"/>
              </w:rPr>
              <w:t xml:space="preserve"> ↑ 17 %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porovnaní s vorikonazolom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200 mg BID,</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23 %</w:t>
            </w:r>
          </w:p>
          <w:p w:rsidR="00A72EBA" w:rsidRPr="00CB3225" w:rsidRDefault="00A72EBA">
            <w:pPr>
              <w:rPr>
                <w:rFonts w:eastAsia="TimesNewRoman"/>
                <w:szCs w:val="22"/>
                <w:lang w:val="sk-SK"/>
              </w:rPr>
            </w:pPr>
            <w:r w:rsidRPr="00D32133">
              <w:rPr>
                <w:rFonts w:eastAsia="TimesNewRoman"/>
                <w:szCs w:val="22"/>
                <w:lang w:val="sk-SK"/>
              </w:rPr>
              <w:t>Vorikonazol AUC</w:t>
            </w:r>
            <w:r w:rsidR="00A154AA" w:rsidRPr="00744F05">
              <w:rPr>
                <w:vertAlign w:val="subscript"/>
              </w:rPr>
              <w:t>τ</w:t>
            </w:r>
            <w:r w:rsidRPr="00D32133">
              <w:rPr>
                <w:rFonts w:eastAsia="TimesNewRoman"/>
                <w:szCs w:val="22"/>
                <w:lang w:val="sk-SK"/>
              </w:rPr>
              <w:t xml:space="preserve"> ↓ 7 %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eastAsia="sk-SK"/>
              </w:rPr>
            </w:pPr>
          </w:p>
          <w:p w:rsidR="00A72EBA" w:rsidRPr="00D32133" w:rsidRDefault="00A72EBA">
            <w:pPr>
              <w:autoSpaceDE w:val="0"/>
              <w:autoSpaceDN w:val="0"/>
              <w:adjustRightInd w:val="0"/>
              <w:rPr>
                <w:rFonts w:eastAsia="TimesNewRoman"/>
                <w:szCs w:val="22"/>
                <w:lang w:val="sk-SK" w:eastAsia="sk-SK"/>
              </w:rPr>
            </w:pPr>
          </w:p>
          <w:p w:rsidR="00A72EBA" w:rsidRPr="00D32133" w:rsidRDefault="00A72EBA">
            <w:pPr>
              <w:autoSpaceDE w:val="0"/>
              <w:autoSpaceDN w:val="0"/>
              <w:adjustRightInd w:val="0"/>
              <w:rPr>
                <w:rFonts w:eastAsia="TimesNewRoman"/>
                <w:szCs w:val="22"/>
                <w:lang w:val="sk-SK" w:eastAsia="sk-SK"/>
              </w:rPr>
            </w:pPr>
          </w:p>
          <w:p w:rsidR="00A72EBA" w:rsidRPr="00D32133" w:rsidRDefault="00A72EBA">
            <w:pPr>
              <w:autoSpaceDE w:val="0"/>
              <w:autoSpaceDN w:val="0"/>
              <w:adjustRightInd w:val="0"/>
              <w:rPr>
                <w:rFonts w:eastAsia="TimesNewRoman"/>
                <w:szCs w:val="22"/>
                <w:lang w:val="sk-SK" w:eastAsia="sk-SK"/>
              </w:rPr>
            </w:pP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Použitie štandardných dávok</w:t>
            </w: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vorikonazolu s dávkami</w:t>
            </w: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efavirenzu 400 mg QD alebo</w:t>
            </w:r>
          </w:p>
          <w:p w:rsidR="00A72EBA" w:rsidRPr="00BC186B" w:rsidRDefault="00A72EBA">
            <w:pPr>
              <w:autoSpaceDE w:val="0"/>
              <w:autoSpaceDN w:val="0"/>
              <w:adjustRightInd w:val="0"/>
              <w:rPr>
                <w:rFonts w:eastAsia="TimesNewRoman"/>
                <w:szCs w:val="22"/>
                <w:lang w:val="sk-SK"/>
              </w:rPr>
            </w:pPr>
            <w:r w:rsidRPr="00D40A28">
              <w:rPr>
                <w:rFonts w:eastAsia="TimesNewRoman"/>
                <w:szCs w:val="22"/>
                <w:lang w:val="sk-SK" w:eastAsia="sk-SK"/>
              </w:rPr>
              <w:t xml:space="preserve">vyššími je </w:t>
            </w:r>
            <w:r w:rsidRPr="00D40A28">
              <w:rPr>
                <w:rFonts w:eastAsia="TimesNewRoman,Bold"/>
                <w:b/>
                <w:bCs/>
                <w:szCs w:val="22"/>
                <w:lang w:val="sk-SK" w:eastAsia="sk-SK"/>
              </w:rPr>
              <w:t xml:space="preserve">kontraindikované </w:t>
            </w:r>
            <w:r w:rsidRPr="00B86E52">
              <w:rPr>
                <w:rFonts w:eastAsia="TimesNewRoman"/>
                <w:szCs w:val="22"/>
                <w:lang w:val="sk-SK" w:eastAsia="sk-SK"/>
              </w:rPr>
              <w:t>(pozri časť 4.3).</w:t>
            </w:r>
          </w:p>
          <w:p w:rsidR="00A72EBA" w:rsidRPr="00F81158" w:rsidRDefault="00A72EBA">
            <w:pPr>
              <w:autoSpaceDE w:val="0"/>
              <w:autoSpaceDN w:val="0"/>
              <w:adjustRightInd w:val="0"/>
              <w:rPr>
                <w:rFonts w:eastAsia="TimesNewRoman"/>
                <w:szCs w:val="22"/>
                <w:lang w:val="sk-SK"/>
              </w:rPr>
            </w:pP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Vorikonazol môže byť</w:t>
            </w:r>
          </w:p>
          <w:p w:rsidR="00A72EBA" w:rsidRPr="00C637EC" w:rsidRDefault="00A72EBA">
            <w:pPr>
              <w:autoSpaceDE w:val="0"/>
              <w:autoSpaceDN w:val="0"/>
              <w:adjustRightInd w:val="0"/>
              <w:rPr>
                <w:rFonts w:eastAsia="TimesNewRoman"/>
                <w:szCs w:val="22"/>
                <w:lang w:val="sk-SK"/>
              </w:rPr>
            </w:pPr>
            <w:r w:rsidRPr="004B210D">
              <w:rPr>
                <w:rFonts w:eastAsia="TimesNewRoman"/>
                <w:szCs w:val="22"/>
                <w:lang w:val="sk-SK"/>
              </w:rPr>
              <w:t>súbežne podávaný s efavirenzom, ak udržiavacia dávka vorikonazolu je zvýšená na 400 mg BID a dávka</w:t>
            </w:r>
          </w:p>
          <w:p w:rsidR="00A72EBA" w:rsidRPr="00467E05" w:rsidRDefault="00A72EBA">
            <w:pPr>
              <w:autoSpaceDE w:val="0"/>
              <w:autoSpaceDN w:val="0"/>
              <w:adjustRightInd w:val="0"/>
              <w:rPr>
                <w:rFonts w:eastAsia="TimesNewRoman"/>
                <w:szCs w:val="22"/>
                <w:lang w:val="sk-SK"/>
              </w:rPr>
            </w:pPr>
            <w:r w:rsidRPr="00604E6B">
              <w:rPr>
                <w:rFonts w:eastAsia="TimesNewRoman"/>
                <w:szCs w:val="22"/>
                <w:lang w:val="sk-SK"/>
              </w:rPr>
              <w:t>efavirenzu znížená na 300 mg QD. Po ukončení liečby vorikonazolom, sa má úvodná dávka efavirenzu obnoviť (pozri čas</w:t>
            </w:r>
            <w:r w:rsidR="00A154AA">
              <w:rPr>
                <w:rFonts w:eastAsia="TimesNewRoman"/>
                <w:szCs w:val="22"/>
                <w:lang w:val="sk-SK"/>
              </w:rPr>
              <w:t>ť</w:t>
            </w:r>
            <w:r w:rsidRPr="00F81158">
              <w:rPr>
                <w:rFonts w:eastAsia="TimesNewRoman"/>
                <w:szCs w:val="22"/>
                <w:lang w:val="sk-SK"/>
              </w:rPr>
              <w:t xml:space="preserve"> 4.2 a 4.4).</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szCs w:val="22"/>
                <w:lang w:val="sk-SK"/>
              </w:rPr>
            </w:pPr>
            <w:r w:rsidRPr="00D32133">
              <w:rPr>
                <w:rFonts w:eastAsia="TimesNewRoman"/>
                <w:szCs w:val="22"/>
                <w:lang w:val="sk-SK"/>
              </w:rPr>
              <w:t>Námeľové alkaloidy (napr. ergotamín a dihydroergotamín)</w:t>
            </w:r>
          </w:p>
          <w:p w:rsidR="00A72EBA" w:rsidRPr="00D32133" w:rsidRDefault="00A72EBA" w:rsidP="00D32133">
            <w:pPr>
              <w:rPr>
                <w:szCs w:val="22"/>
                <w:lang w:val="sk-SK"/>
              </w:rPr>
            </w:pPr>
            <w:r w:rsidRPr="00D32133">
              <w:rPr>
                <w:rFonts w:eastAsia="TimesNewRoman,Italic"/>
                <w:i/>
                <w:iCs/>
                <w:szCs w:val="22"/>
                <w:lang w:val="sk-SK"/>
              </w:rPr>
              <w:lastRenderedPageBreak/>
              <w:t>[substráty CYP3A4]</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lastRenderedPageBreak/>
              <w:t>Hoci to nebolo skúmané, vorikonazol pravdepodobne</w:t>
            </w:r>
          </w:p>
          <w:p w:rsidR="00A72EBA" w:rsidRPr="00D40A28" w:rsidRDefault="00A72EBA">
            <w:pPr>
              <w:autoSpaceDE w:val="0"/>
              <w:autoSpaceDN w:val="0"/>
              <w:adjustRightInd w:val="0"/>
              <w:rPr>
                <w:szCs w:val="22"/>
                <w:lang w:val="sk-SK"/>
              </w:rPr>
            </w:pPr>
            <w:r w:rsidRPr="00D40A28">
              <w:rPr>
                <w:rFonts w:eastAsia="TimesNewRoman"/>
                <w:szCs w:val="22"/>
                <w:lang w:val="sk-SK"/>
              </w:rPr>
              <w:t xml:space="preserve">zvyšuje plazmatické </w:t>
            </w:r>
            <w:r w:rsidRPr="00D40A28">
              <w:rPr>
                <w:rFonts w:eastAsia="TimesNewRoman"/>
                <w:szCs w:val="22"/>
                <w:lang w:val="sk-SK"/>
              </w:rPr>
              <w:lastRenderedPageBreak/>
              <w:t>koncentrácie námeľových alkaloidov a vedie k ergotizmu.</w:t>
            </w:r>
          </w:p>
        </w:tc>
        <w:tc>
          <w:tcPr>
            <w:tcW w:w="3071" w:type="dxa"/>
            <w:shd w:val="clear" w:color="auto" w:fill="auto"/>
          </w:tcPr>
          <w:p w:rsidR="00A72EBA" w:rsidRPr="00B86E52" w:rsidRDefault="00A72EBA">
            <w:pPr>
              <w:autoSpaceDE w:val="0"/>
              <w:autoSpaceDN w:val="0"/>
              <w:adjustRightInd w:val="0"/>
              <w:rPr>
                <w:rFonts w:eastAsia="TimesNewRoman,Bold"/>
                <w:b/>
                <w:bCs/>
                <w:szCs w:val="22"/>
                <w:lang w:val="sk-SK"/>
              </w:rPr>
            </w:pPr>
          </w:p>
          <w:p w:rsidR="00A72EBA" w:rsidRPr="00467E05" w:rsidRDefault="00A72EBA">
            <w:pPr>
              <w:autoSpaceDE w:val="0"/>
              <w:autoSpaceDN w:val="0"/>
              <w:adjustRightInd w:val="0"/>
              <w:rPr>
                <w:rFonts w:eastAsia="TimesNewRoman"/>
                <w:szCs w:val="22"/>
                <w:lang w:val="sk-SK"/>
              </w:rPr>
            </w:pPr>
            <w:r w:rsidRPr="00F81158">
              <w:rPr>
                <w:rFonts w:eastAsia="TimesNewRoman,Bold"/>
                <w:b/>
                <w:bCs/>
                <w:szCs w:val="22"/>
                <w:lang w:val="sk-SK"/>
              </w:rPr>
              <w:t xml:space="preserve">Kontraindikované </w:t>
            </w:r>
            <w:r w:rsidRPr="00467E05">
              <w:rPr>
                <w:rFonts w:eastAsia="TimesNewRoman"/>
                <w:szCs w:val="22"/>
                <w:lang w:val="sk-SK"/>
              </w:rPr>
              <w:t>(pozri</w:t>
            </w:r>
          </w:p>
          <w:p w:rsidR="00A72EBA" w:rsidRPr="00324F85" w:rsidRDefault="00A72EBA">
            <w:pPr>
              <w:rPr>
                <w:szCs w:val="22"/>
                <w:lang w:val="sk-SK"/>
              </w:rPr>
            </w:pPr>
            <w:r w:rsidRPr="00324F85">
              <w:rPr>
                <w:rFonts w:eastAsia="TimesNewRoman"/>
                <w:szCs w:val="22"/>
                <w:lang w:val="sk-SK"/>
              </w:rPr>
              <w:t>časť 4.3)</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Rifabutín</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[silný induktor CYP450]</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300 mg QD</w:t>
            </w:r>
          </w:p>
          <w:p w:rsidR="00A72EBA" w:rsidRPr="00D40A28"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300 mg QD (súbežne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podávaný s vorikonazolom</w:t>
            </w:r>
          </w:p>
          <w:p w:rsidR="00A72EBA" w:rsidRPr="00F81158" w:rsidRDefault="00A72EBA">
            <w:pPr>
              <w:autoSpaceDE w:val="0"/>
              <w:autoSpaceDN w:val="0"/>
              <w:adjustRightInd w:val="0"/>
              <w:rPr>
                <w:rFonts w:eastAsia="TimesNewRoman"/>
                <w:szCs w:val="22"/>
                <w:lang w:val="sk-SK"/>
              </w:rPr>
            </w:pPr>
            <w:r w:rsidRPr="00F81158">
              <w:rPr>
                <w:rFonts w:eastAsia="TimesNewRoman"/>
                <w:szCs w:val="22"/>
                <w:lang w:val="sk-SK"/>
              </w:rPr>
              <w:t>350 mg BID)*</w:t>
            </w:r>
          </w:p>
          <w:p w:rsidR="00A72EBA" w:rsidRPr="00324F85" w:rsidRDefault="00A72EBA">
            <w:pPr>
              <w:autoSpaceDE w:val="0"/>
              <w:autoSpaceDN w:val="0"/>
              <w:adjustRightInd w:val="0"/>
              <w:rPr>
                <w:rFonts w:eastAsia="TimesNewRoman"/>
                <w:szCs w:val="22"/>
                <w:lang w:val="sk-SK"/>
              </w:rPr>
            </w:pPr>
          </w:p>
          <w:p w:rsidR="00A72EBA" w:rsidRPr="004B210D" w:rsidRDefault="00A72EBA">
            <w:pPr>
              <w:autoSpaceDE w:val="0"/>
              <w:autoSpaceDN w:val="0"/>
              <w:adjustRightInd w:val="0"/>
              <w:rPr>
                <w:rFonts w:eastAsia="TimesNewRoman"/>
                <w:szCs w:val="22"/>
                <w:lang w:val="sk-SK"/>
              </w:rPr>
            </w:pPr>
          </w:p>
          <w:p w:rsidR="00A72EBA" w:rsidRPr="00C637EC"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300 mg QD (súbežne</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podávaný s vorikonazolom</w:t>
            </w:r>
          </w:p>
          <w:p w:rsidR="00A72EBA" w:rsidRPr="0029661F" w:rsidRDefault="00A72EBA">
            <w:pPr>
              <w:rPr>
                <w:szCs w:val="22"/>
                <w:lang w:val="sk-SK"/>
              </w:rPr>
            </w:pPr>
            <w:r w:rsidRPr="0029661F">
              <w:rPr>
                <w:rFonts w:eastAsia="TimesNewRoman"/>
                <w:szCs w:val="22"/>
                <w:lang w:val="sk-SK"/>
              </w:rPr>
              <w:t>400 mg BID)*</w:t>
            </w:r>
          </w:p>
        </w:tc>
        <w:tc>
          <w:tcPr>
            <w:tcW w:w="3071" w:type="dxa"/>
            <w:shd w:val="clear" w:color="auto" w:fill="auto"/>
          </w:tcPr>
          <w:p w:rsidR="00A72EBA" w:rsidRPr="001E3AD7" w:rsidRDefault="00A72EBA">
            <w:pPr>
              <w:autoSpaceDE w:val="0"/>
              <w:autoSpaceDN w:val="0"/>
              <w:adjustRightInd w:val="0"/>
              <w:rPr>
                <w:rFonts w:eastAsia="TimesNewRoman"/>
                <w:szCs w:val="22"/>
                <w:lang w:val="sk-SK"/>
              </w:rPr>
            </w:pPr>
          </w:p>
          <w:p w:rsidR="00A72EBA" w:rsidRPr="00887C06"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606FAB">
              <w:rPr>
                <w:rFonts w:eastAsia="TimesNewRoman"/>
                <w:szCs w:val="22"/>
                <w:lang w:val="sk-SK"/>
              </w:rPr>
              <w:t>Vorikonazol C</w:t>
            </w:r>
            <w:r w:rsidRPr="00E846EC">
              <w:rPr>
                <w:rFonts w:eastAsia="TimesNewRoman"/>
                <w:szCs w:val="22"/>
                <w:vertAlign w:val="subscript"/>
                <w:lang w:val="sk-SK"/>
              </w:rPr>
              <w:t>max</w:t>
            </w:r>
            <w:r w:rsidRPr="00E846EC">
              <w:rPr>
                <w:rFonts w:eastAsia="TimesNewRoman"/>
                <w:szCs w:val="22"/>
                <w:lang w:val="sk-SK"/>
              </w:rPr>
              <w:t xml:space="preserve"> </w:t>
            </w:r>
            <w:r w:rsidRPr="003B679E">
              <w:rPr>
                <w:rFonts w:eastAsia="TimesNewRoman" w:hint="eastAsia"/>
                <w:szCs w:val="22"/>
                <w:lang w:val="sk-SK"/>
              </w:rPr>
              <w:t>↓</w:t>
            </w:r>
            <w:r w:rsidRPr="00D32133">
              <w:rPr>
                <w:rFonts w:eastAsia="TimesNewRoman"/>
                <w:szCs w:val="22"/>
                <w:lang w:val="sk-SK"/>
              </w:rPr>
              <w:t xml:space="preserve"> 69 %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Vorikonazol AUC</w:t>
            </w:r>
            <w:r w:rsidR="00F81158" w:rsidRPr="00744F05">
              <w:rPr>
                <w:vertAlign w:val="subscript"/>
              </w:rPr>
              <w:t>τ</w:t>
            </w:r>
            <w:r w:rsidRPr="00D32133">
              <w:rPr>
                <w:rFonts w:eastAsia="TimesNewRoman"/>
                <w:szCs w:val="22"/>
                <w:lang w:val="sk-SK"/>
              </w:rPr>
              <w:t xml:space="preserve"> ↓ 78 %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porovnaní s vorikonazolom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200 mg BID,</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4 %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F81158" w:rsidRPr="00744F05">
              <w:rPr>
                <w:vertAlign w:val="subscript"/>
              </w:rPr>
              <w:t>τ</w:t>
            </w:r>
            <w:r w:rsidRPr="00D32133">
              <w:rPr>
                <w:rFonts w:eastAsia="TimesNewRoman"/>
                <w:szCs w:val="22"/>
                <w:lang w:val="sk-SK"/>
              </w:rPr>
              <w:t xml:space="preserve"> ↓ 32 %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Rifabutín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195 %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Rifabutín AUC</w:t>
            </w:r>
            <w:r w:rsidR="00F81158" w:rsidRPr="00744F05">
              <w:rPr>
                <w:vertAlign w:val="subscript"/>
              </w:rPr>
              <w:t>τ</w:t>
            </w:r>
            <w:r w:rsidRPr="00D32133">
              <w:rPr>
                <w:rFonts w:eastAsia="TimesNewRoman"/>
                <w:szCs w:val="22"/>
                <w:lang w:val="sk-SK"/>
              </w:rPr>
              <w:t xml:space="preserve"> ↑ 331 %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porovnaní s vorikonazolom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200 mg BID,</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104 %</w:t>
            </w:r>
          </w:p>
          <w:p w:rsidR="00A72EBA" w:rsidRPr="00CB3225" w:rsidRDefault="00A72EBA">
            <w:pPr>
              <w:rPr>
                <w:szCs w:val="22"/>
                <w:lang w:val="sk-SK"/>
              </w:rPr>
            </w:pPr>
            <w:r w:rsidRPr="00D32133">
              <w:rPr>
                <w:rFonts w:eastAsia="TimesNewRoman"/>
                <w:szCs w:val="22"/>
                <w:lang w:val="sk-SK"/>
              </w:rPr>
              <w:t>Vorikonazol AUC</w:t>
            </w:r>
            <w:r w:rsidR="00F81158" w:rsidRPr="00744F05">
              <w:rPr>
                <w:vertAlign w:val="subscript"/>
              </w:rPr>
              <w:t>τ</w:t>
            </w:r>
            <w:r w:rsidRPr="00D32133">
              <w:rPr>
                <w:rFonts w:eastAsia="TimesNewRoman"/>
                <w:szCs w:val="22"/>
                <w:lang w:val="sk-SK"/>
              </w:rPr>
              <w:t xml:space="preserve"> ↑ 87 %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Súbežnému používaniu</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vorikonazolu a rifabutínu sa</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treba vyhýbať, pokiaľ prínos</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nepreváži riziko. Udržiavacia dávka vorikonazolu sa môže zvýšiť na 5 mg/kg intravenózne</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BID alebo z 200 mg na</w:t>
            </w:r>
            <w:r w:rsidR="008E37DE">
              <w:rPr>
                <w:rFonts w:eastAsia="TimesNewRoman"/>
                <w:szCs w:val="22"/>
                <w:lang w:val="sk-SK"/>
              </w:rPr>
              <w:t> </w:t>
            </w:r>
            <w:r w:rsidRPr="00D32133">
              <w:rPr>
                <w:rFonts w:eastAsia="TimesNewRoman"/>
                <w:szCs w:val="22"/>
                <w:lang w:val="sk-SK"/>
              </w:rPr>
              <w:t>350 mg perorálne BID</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(100 mg na 200</w:t>
            </w:r>
            <w:r w:rsidR="00833A1B">
              <w:rPr>
                <w:rFonts w:eastAsia="TimesNewRoman"/>
                <w:szCs w:val="22"/>
                <w:lang w:val="sk-SK"/>
              </w:rPr>
              <w:t xml:space="preserve"> </w:t>
            </w:r>
            <w:r w:rsidRPr="00D40A28">
              <w:rPr>
                <w:rFonts w:eastAsia="TimesNewRoman"/>
                <w:szCs w:val="22"/>
                <w:lang w:val="sk-SK"/>
              </w:rPr>
              <w:t>mg perorálne</w:t>
            </w:r>
          </w:p>
          <w:p w:rsidR="00A72EBA" w:rsidRPr="00F81158" w:rsidRDefault="00A72EBA">
            <w:pPr>
              <w:autoSpaceDE w:val="0"/>
              <w:autoSpaceDN w:val="0"/>
              <w:adjustRightInd w:val="0"/>
              <w:rPr>
                <w:rFonts w:eastAsia="TimesNewRoman"/>
                <w:szCs w:val="22"/>
                <w:lang w:val="sk-SK"/>
              </w:rPr>
            </w:pPr>
            <w:r w:rsidRPr="00B86E52">
              <w:rPr>
                <w:rFonts w:eastAsia="TimesNewRoman"/>
                <w:szCs w:val="22"/>
                <w:lang w:val="sk-SK"/>
              </w:rPr>
              <w:t>BID u pacientov s telesnou hmotnosťou menej ako 40 kg) (pozri časť 4.2).</w:t>
            </w:r>
          </w:p>
          <w:p w:rsidR="00A72EBA" w:rsidRPr="004B210D" w:rsidRDefault="00A72EBA">
            <w:pPr>
              <w:autoSpaceDE w:val="0"/>
              <w:autoSpaceDN w:val="0"/>
              <w:adjustRightInd w:val="0"/>
              <w:rPr>
                <w:rFonts w:eastAsia="TimesNewRoman"/>
                <w:szCs w:val="22"/>
                <w:lang w:val="sk-SK"/>
              </w:rPr>
            </w:pPr>
            <w:r w:rsidRPr="00324F85">
              <w:rPr>
                <w:rFonts w:eastAsia="TimesNewRoman"/>
                <w:szCs w:val="22"/>
                <w:lang w:val="sk-SK"/>
              </w:rPr>
              <w:t>Pri súbežnom podávaní rifabutínu s vorikonazolom sa odporúča starostlivé sledovanie</w:t>
            </w:r>
          </w:p>
          <w:p w:rsidR="00A72EBA" w:rsidRPr="00C637EC" w:rsidRDefault="00A72EBA">
            <w:pPr>
              <w:autoSpaceDE w:val="0"/>
              <w:autoSpaceDN w:val="0"/>
              <w:adjustRightInd w:val="0"/>
              <w:rPr>
                <w:rFonts w:eastAsia="TimesNewRoman"/>
                <w:szCs w:val="22"/>
                <w:lang w:val="sk-SK"/>
              </w:rPr>
            </w:pPr>
            <w:r w:rsidRPr="00C637EC">
              <w:rPr>
                <w:rFonts w:eastAsia="TimesNewRoman"/>
                <w:szCs w:val="22"/>
                <w:lang w:val="sk-SK"/>
              </w:rPr>
              <w:t>kompletného krvného obrazu</w:t>
            </w: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a nežiaducich reakcií</w:t>
            </w:r>
          </w:p>
          <w:p w:rsidR="00A72EBA" w:rsidRPr="0029661F" w:rsidRDefault="00A72EBA">
            <w:pPr>
              <w:rPr>
                <w:szCs w:val="22"/>
                <w:lang w:val="sk-SK"/>
              </w:rPr>
            </w:pPr>
            <w:r w:rsidRPr="0029661F">
              <w:rPr>
                <w:rFonts w:eastAsia="TimesNewRoman"/>
                <w:szCs w:val="22"/>
                <w:lang w:val="sk-SK"/>
              </w:rPr>
              <w:t>rifabutínu (napr. uveitída).</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Rifampicín (600 mg QD)</w:t>
            </w:r>
          </w:p>
          <w:p w:rsidR="00A72EBA" w:rsidRPr="00E70B7A" w:rsidRDefault="00A72EBA" w:rsidP="00D32133">
            <w:pPr>
              <w:rPr>
                <w:szCs w:val="22"/>
                <w:lang w:val="sk-SK"/>
              </w:rPr>
            </w:pPr>
            <w:r w:rsidRPr="00CB3225">
              <w:rPr>
                <w:rFonts w:eastAsia="TimesNewRoman,Italic"/>
                <w:i/>
                <w:iCs/>
                <w:szCs w:val="22"/>
                <w:lang w:val="sk-SK"/>
              </w:rPr>
              <w:t>[silný induktor CYP450]</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93 %</w:t>
            </w:r>
          </w:p>
          <w:p w:rsidR="00A72EBA" w:rsidRPr="00CB3225" w:rsidRDefault="00A72EBA">
            <w:pPr>
              <w:rPr>
                <w:szCs w:val="22"/>
                <w:lang w:val="sk-SK"/>
              </w:rPr>
            </w:pPr>
            <w:r w:rsidRPr="00D40A28">
              <w:rPr>
                <w:rFonts w:eastAsia="TimesNewRoman"/>
                <w:szCs w:val="22"/>
                <w:lang w:val="sk-SK"/>
              </w:rPr>
              <w:t>Vorikonazol AUC</w:t>
            </w:r>
            <w:r w:rsidR="00F61896" w:rsidRPr="00744F05">
              <w:rPr>
                <w:vertAlign w:val="subscript"/>
              </w:rPr>
              <w:t>τ</w:t>
            </w:r>
            <w:r w:rsidRPr="00D32133">
              <w:rPr>
                <w:rFonts w:eastAsia="TimesNewRoman"/>
                <w:szCs w:val="22"/>
                <w:lang w:val="sk-SK"/>
              </w:rPr>
              <w:t xml:space="preserve"> ↓ 96 %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Bold"/>
                <w:b/>
                <w:bCs/>
                <w:szCs w:val="22"/>
                <w:lang w:val="sk-SK"/>
              </w:rPr>
              <w:t xml:space="preserve">Kontraindikované </w:t>
            </w:r>
            <w:r w:rsidRPr="00D32133">
              <w:rPr>
                <w:rFonts w:eastAsia="TimesNewRoman"/>
                <w:szCs w:val="22"/>
                <w:lang w:val="sk-SK"/>
              </w:rPr>
              <w:t>(pozri</w:t>
            </w:r>
          </w:p>
          <w:p w:rsidR="00A72EBA" w:rsidRPr="00D32133" w:rsidRDefault="00A72EBA">
            <w:pPr>
              <w:rPr>
                <w:szCs w:val="22"/>
                <w:lang w:val="sk-SK"/>
              </w:rPr>
            </w:pPr>
            <w:r w:rsidRPr="00D32133">
              <w:rPr>
                <w:rFonts w:eastAsia="TimesNewRoman"/>
                <w:szCs w:val="22"/>
                <w:lang w:val="sk-SK"/>
              </w:rPr>
              <w:t>časť 4.3)</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Ritonavir (inhibítor proteázy)</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[silný induktor CYP450;</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inhibítor a substrát CYP3A4]</w:t>
            </w:r>
          </w:p>
          <w:p w:rsidR="00A72EBA" w:rsidRPr="00D40A28"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Vysoká dávka (400 mg BID)</w:t>
            </w:r>
          </w:p>
          <w:p w:rsidR="00A72EBA" w:rsidRPr="00B86E52" w:rsidRDefault="00A72EBA">
            <w:pPr>
              <w:rPr>
                <w:rFonts w:eastAsia="TimesNewRoman"/>
                <w:szCs w:val="22"/>
                <w:lang w:val="sk-SK"/>
              </w:rPr>
            </w:pPr>
          </w:p>
          <w:p w:rsidR="00A72EBA" w:rsidRPr="00F81158" w:rsidRDefault="00A72EBA">
            <w:pPr>
              <w:rPr>
                <w:rFonts w:eastAsia="TimesNewRoman"/>
                <w:szCs w:val="22"/>
                <w:lang w:val="sk-SK"/>
              </w:rPr>
            </w:pPr>
          </w:p>
          <w:p w:rsidR="00A72EBA" w:rsidRPr="00BC186B" w:rsidRDefault="00A72EBA">
            <w:pPr>
              <w:rPr>
                <w:rFonts w:eastAsia="TimesNewRoman"/>
                <w:szCs w:val="22"/>
                <w:lang w:val="sk-SK"/>
              </w:rPr>
            </w:pPr>
          </w:p>
          <w:p w:rsidR="00A72EBA" w:rsidRPr="00F81158" w:rsidRDefault="00A72EBA">
            <w:pPr>
              <w:rPr>
                <w:rFonts w:eastAsia="TimesNewRoman"/>
                <w:szCs w:val="22"/>
                <w:lang w:val="sk-SK"/>
              </w:rPr>
            </w:pPr>
          </w:p>
          <w:p w:rsidR="00A72EBA" w:rsidRPr="00324F85" w:rsidRDefault="00A72EBA">
            <w:pPr>
              <w:rPr>
                <w:szCs w:val="22"/>
                <w:lang w:val="sk-SK"/>
              </w:rPr>
            </w:pPr>
            <w:r w:rsidRPr="00324F85">
              <w:rPr>
                <w:rFonts w:eastAsia="TimesNewRoman"/>
                <w:szCs w:val="22"/>
                <w:lang w:val="sk-SK"/>
              </w:rPr>
              <w:t>Nízka dávka (100 mg BID)*</w:t>
            </w:r>
          </w:p>
        </w:tc>
        <w:tc>
          <w:tcPr>
            <w:tcW w:w="3071" w:type="dxa"/>
            <w:shd w:val="clear" w:color="auto" w:fill="auto"/>
          </w:tcPr>
          <w:p w:rsidR="00A72EBA" w:rsidRPr="004B210D" w:rsidRDefault="00A72EBA">
            <w:pPr>
              <w:autoSpaceDE w:val="0"/>
              <w:autoSpaceDN w:val="0"/>
              <w:adjustRightInd w:val="0"/>
              <w:rPr>
                <w:rFonts w:eastAsia="TimesNewRoman"/>
                <w:szCs w:val="22"/>
                <w:lang w:val="sk-SK"/>
              </w:rPr>
            </w:pPr>
          </w:p>
          <w:p w:rsidR="00A72EBA" w:rsidRPr="00C637EC" w:rsidRDefault="00A72EBA">
            <w:pPr>
              <w:autoSpaceDE w:val="0"/>
              <w:autoSpaceDN w:val="0"/>
              <w:adjustRightInd w:val="0"/>
              <w:rPr>
                <w:rFonts w:eastAsia="TimesNewRoman"/>
                <w:szCs w:val="22"/>
                <w:lang w:val="sk-SK"/>
              </w:rPr>
            </w:pPr>
          </w:p>
          <w:p w:rsidR="00A72EBA" w:rsidRPr="00604E6B"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BC186B">
              <w:rPr>
                <w:rFonts w:eastAsia="TimesNewRoman"/>
                <w:szCs w:val="22"/>
                <w:lang w:val="sk-SK"/>
              </w:rPr>
              <w:t>Ritonavir C</w:t>
            </w:r>
            <w:r w:rsidRPr="00BC186B">
              <w:rPr>
                <w:rFonts w:eastAsia="TimesNewRoman"/>
                <w:szCs w:val="22"/>
                <w:vertAlign w:val="subscript"/>
                <w:lang w:val="sk-SK"/>
              </w:rPr>
              <w:t>max</w:t>
            </w:r>
            <w:r w:rsidRPr="00BC186B">
              <w:rPr>
                <w:rFonts w:eastAsia="TimesNewRoman"/>
                <w:szCs w:val="22"/>
                <w:lang w:val="sk-SK"/>
              </w:rPr>
              <w:t xml:space="preserve"> a AUC</w:t>
            </w:r>
            <w:r w:rsidR="00AC06AD" w:rsidRPr="00744F05">
              <w:rPr>
                <w:vertAlign w:val="subscript"/>
              </w:rPr>
              <w:t>τ</w:t>
            </w:r>
            <w:r w:rsidRPr="00D32133">
              <w:rPr>
                <w:rFonts w:eastAsia="TimesNewRoman"/>
                <w:szCs w:val="22"/>
                <w:lang w:val="sk-SK"/>
              </w:rPr>
              <w:t xml:space="preserve">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66 %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AC06AD" w:rsidRPr="00744F05">
              <w:rPr>
                <w:vertAlign w:val="subscript"/>
              </w:rPr>
              <w:t>τ</w:t>
            </w:r>
            <w:r w:rsidRPr="00D32133">
              <w:rPr>
                <w:rFonts w:eastAsia="TimesNewRoman"/>
                <w:szCs w:val="22"/>
                <w:lang w:val="sk-SK"/>
              </w:rPr>
              <w:t xml:space="preserve"> ↓ 82 %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Ritonavir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25 %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Ritonavir AUC</w:t>
            </w:r>
            <w:r w:rsidR="00AC06AD" w:rsidRPr="00744F05">
              <w:rPr>
                <w:vertAlign w:val="subscript"/>
              </w:rPr>
              <w:t>τ</w:t>
            </w:r>
            <w:r w:rsidRPr="00D32133">
              <w:rPr>
                <w:rFonts w:eastAsia="TimesNewRoman"/>
                <w:szCs w:val="22"/>
                <w:lang w:val="sk-SK"/>
              </w:rPr>
              <w:t xml:space="preserve"> ↓13 %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24 %</w:t>
            </w:r>
          </w:p>
          <w:p w:rsidR="00A72EBA" w:rsidRPr="00CB3225" w:rsidRDefault="00A72EBA">
            <w:pPr>
              <w:rPr>
                <w:szCs w:val="22"/>
                <w:lang w:val="sk-SK"/>
              </w:rPr>
            </w:pPr>
            <w:r w:rsidRPr="00D32133">
              <w:rPr>
                <w:rFonts w:eastAsia="TimesNewRoman"/>
                <w:szCs w:val="22"/>
                <w:lang w:val="sk-SK"/>
              </w:rPr>
              <w:t>Vorikonazol AUC</w:t>
            </w:r>
            <w:r w:rsidR="00AC06AD" w:rsidRPr="00744F05">
              <w:rPr>
                <w:vertAlign w:val="subscript"/>
              </w:rPr>
              <w:t>τ</w:t>
            </w:r>
            <w:r w:rsidRPr="00D32133">
              <w:rPr>
                <w:rFonts w:eastAsia="TimesNewRoman"/>
                <w:szCs w:val="22"/>
                <w:lang w:val="sk-SK"/>
              </w:rPr>
              <w:t xml:space="preserve"> ↓ 39 %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Súbežné podávanie</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vorikonazolu a vysokých</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dávok ritonaviru (400 mg</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a vyššie BID) je</w:t>
            </w:r>
          </w:p>
          <w:p w:rsidR="00A72EBA" w:rsidRPr="00D32133" w:rsidRDefault="00A72EBA">
            <w:pPr>
              <w:autoSpaceDE w:val="0"/>
              <w:autoSpaceDN w:val="0"/>
              <w:adjustRightInd w:val="0"/>
              <w:rPr>
                <w:rFonts w:eastAsia="TimesNewRoman"/>
                <w:szCs w:val="22"/>
                <w:lang w:val="sk-SK"/>
              </w:rPr>
            </w:pPr>
            <w:r w:rsidRPr="00D32133">
              <w:rPr>
                <w:rFonts w:eastAsia="TimesNewRoman,Bold"/>
                <w:b/>
                <w:bCs/>
                <w:szCs w:val="22"/>
                <w:lang w:val="sk-SK"/>
              </w:rPr>
              <w:t xml:space="preserve">kontraindikované </w:t>
            </w:r>
            <w:r w:rsidRPr="00D32133">
              <w:rPr>
                <w:rFonts w:eastAsia="TimesNewRoman"/>
                <w:szCs w:val="22"/>
                <w:lang w:val="sk-SK"/>
              </w:rPr>
              <w:t>(pozri</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časť 4.3).</w:t>
            </w:r>
          </w:p>
          <w:p w:rsidR="00A72EBA" w:rsidRPr="00B86E52"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r w:rsidRPr="00F81158">
              <w:rPr>
                <w:rFonts w:eastAsia="TimesNewRoman"/>
                <w:szCs w:val="22"/>
                <w:lang w:val="sk-SK"/>
              </w:rPr>
              <w:t>Súbežnému podávaniu</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vorikonazolu a nízkej dávky</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ritonaviru (100 mg BID) sa</w:t>
            </w:r>
          </w:p>
          <w:p w:rsidR="00A72EBA" w:rsidRPr="00C637EC" w:rsidRDefault="00A72EBA">
            <w:pPr>
              <w:autoSpaceDE w:val="0"/>
              <w:autoSpaceDN w:val="0"/>
              <w:adjustRightInd w:val="0"/>
              <w:rPr>
                <w:rFonts w:eastAsia="TimesNewRoman"/>
                <w:szCs w:val="22"/>
                <w:lang w:val="sk-SK"/>
              </w:rPr>
            </w:pPr>
            <w:r w:rsidRPr="00C637EC">
              <w:rPr>
                <w:rFonts w:eastAsia="TimesNewRoman"/>
                <w:szCs w:val="22"/>
                <w:lang w:val="sk-SK"/>
              </w:rPr>
              <w:t>treba vyhýbať, pokiaľ</w:t>
            </w: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zhodnotenie prínosu/rizika</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pre pacienta odôvodní</w:t>
            </w:r>
          </w:p>
          <w:p w:rsidR="00A72EBA" w:rsidRPr="00D32133" w:rsidRDefault="00A72EBA">
            <w:pPr>
              <w:rPr>
                <w:szCs w:val="22"/>
                <w:lang w:val="sk-SK"/>
              </w:rPr>
            </w:pPr>
            <w:r w:rsidRPr="00D32133">
              <w:rPr>
                <w:rFonts w:eastAsia="TimesNewRoman"/>
                <w:szCs w:val="22"/>
                <w:lang w:val="sk-SK"/>
              </w:rPr>
              <w:t>použitie vorikonazolu.</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Ľubovník bodkovaný</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[induktor CYP450; induktor</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P-gp]</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300 mg TID (súbežne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podávaný s vorikonazolom</w:t>
            </w:r>
          </w:p>
          <w:p w:rsidR="00A72EBA" w:rsidRPr="00F81158" w:rsidRDefault="00A72EBA">
            <w:pPr>
              <w:rPr>
                <w:szCs w:val="22"/>
                <w:lang w:val="sk-SK"/>
              </w:rPr>
            </w:pPr>
            <w:r w:rsidRPr="00F81158">
              <w:rPr>
                <w:rFonts w:eastAsia="TimesNewRoman"/>
                <w:szCs w:val="22"/>
                <w:lang w:val="sk-SK"/>
              </w:rPr>
              <w:t>400 mg jednorazová dávka)</w:t>
            </w:r>
          </w:p>
        </w:tc>
        <w:tc>
          <w:tcPr>
            <w:tcW w:w="3071" w:type="dxa"/>
            <w:shd w:val="clear" w:color="auto" w:fill="auto"/>
          </w:tcPr>
          <w:p w:rsidR="00A72EBA" w:rsidRPr="00324F85"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r w:rsidRPr="004B210D">
              <w:rPr>
                <w:rFonts w:eastAsia="TimesNewRoman"/>
                <w:szCs w:val="22"/>
                <w:lang w:val="sk-SK"/>
              </w:rPr>
              <w:t xml:space="preserve">V nezávislej publikovanej štúdii, vorikonazol </w:t>
            </w:r>
            <w:r w:rsidR="006719B4" w:rsidRPr="0093256A">
              <w:rPr>
                <w:szCs w:val="22"/>
                <w:lang w:val="sk-SK"/>
              </w:rPr>
              <w:t>AUC</w:t>
            </w:r>
            <w:r w:rsidR="006719B4" w:rsidRPr="0093256A">
              <w:rPr>
                <w:szCs w:val="22"/>
                <w:vertAlign w:val="subscript"/>
                <w:lang w:val="sk-SK"/>
              </w:rPr>
              <w:t>0-∞</w:t>
            </w:r>
            <w:r w:rsidR="006719B4" w:rsidRPr="0093256A">
              <w:rPr>
                <w:szCs w:val="22"/>
                <w:lang w:val="sk-SK"/>
              </w:rPr>
              <w:t xml:space="preserve"> </w:t>
            </w:r>
            <w:r w:rsidRPr="00D40A28">
              <w:rPr>
                <w:rFonts w:eastAsia="TimesNewRoman" w:hint="eastAsia"/>
                <w:szCs w:val="22"/>
                <w:lang w:val="sk-SK"/>
              </w:rPr>
              <w:t>↓</w:t>
            </w:r>
            <w:r w:rsidRPr="00D32133">
              <w:rPr>
                <w:rFonts w:eastAsia="TimesNewRoman"/>
                <w:szCs w:val="22"/>
                <w:lang w:val="sk-SK"/>
              </w:rPr>
              <w:t xml:space="preserve"> 59 %</w:t>
            </w:r>
          </w:p>
        </w:tc>
        <w:tc>
          <w:tcPr>
            <w:tcW w:w="3071" w:type="dxa"/>
            <w:shd w:val="clear" w:color="auto" w:fill="auto"/>
          </w:tcPr>
          <w:p w:rsidR="00A72EBA" w:rsidRPr="00D40A28" w:rsidRDefault="00A72EBA">
            <w:pPr>
              <w:autoSpaceDE w:val="0"/>
              <w:autoSpaceDN w:val="0"/>
              <w:adjustRightInd w:val="0"/>
              <w:rPr>
                <w:rFonts w:eastAsia="TimesNewRoman,Bold"/>
                <w:b/>
                <w:bCs/>
                <w:szCs w:val="22"/>
                <w:lang w:val="sk-SK"/>
              </w:rPr>
            </w:pPr>
          </w:p>
          <w:p w:rsidR="00A72EBA" w:rsidRPr="00BC186B" w:rsidRDefault="00A72EBA">
            <w:pPr>
              <w:autoSpaceDE w:val="0"/>
              <w:autoSpaceDN w:val="0"/>
              <w:adjustRightInd w:val="0"/>
              <w:rPr>
                <w:rFonts w:eastAsia="TimesNewRoman"/>
                <w:szCs w:val="22"/>
                <w:lang w:val="sk-SK"/>
              </w:rPr>
            </w:pPr>
            <w:r w:rsidRPr="00B86E52">
              <w:rPr>
                <w:rFonts w:eastAsia="TimesNewRoman,Bold"/>
                <w:b/>
                <w:bCs/>
                <w:szCs w:val="22"/>
                <w:lang w:val="sk-SK"/>
              </w:rPr>
              <w:t xml:space="preserve">Kontraindikované </w:t>
            </w:r>
            <w:r w:rsidRPr="00BC186B">
              <w:rPr>
                <w:rFonts w:eastAsia="TimesNewRoman"/>
                <w:szCs w:val="22"/>
                <w:lang w:val="sk-SK"/>
              </w:rPr>
              <w:t>(pozri</w:t>
            </w:r>
          </w:p>
          <w:p w:rsidR="00A72EBA" w:rsidRPr="00F81158" w:rsidRDefault="00A72EBA">
            <w:pPr>
              <w:rPr>
                <w:szCs w:val="22"/>
                <w:lang w:val="sk-SK"/>
              </w:rPr>
            </w:pPr>
            <w:r w:rsidRPr="00F81158">
              <w:rPr>
                <w:rFonts w:eastAsia="TimesNewRoman"/>
                <w:szCs w:val="22"/>
                <w:lang w:val="sk-SK"/>
              </w:rPr>
              <w:t>časť 4.3)</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Everolimus</w:t>
            </w:r>
          </w:p>
          <w:p w:rsidR="00A72EBA" w:rsidRPr="00D32133"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[substrát</w:t>
            </w:r>
            <w:r w:rsidRPr="00413EE1">
              <w:rPr>
                <w:rFonts w:eastAsia="TimesNewRoman,Italic"/>
                <w:i/>
                <w:iCs/>
                <w:szCs w:val="22"/>
                <w:lang w:val="sk-SK"/>
              </w:rPr>
              <w:t xml:space="preserve"> CYP3A4, substrát</w:t>
            </w:r>
          </w:p>
          <w:p w:rsidR="00A72EBA" w:rsidRPr="00D32133" w:rsidRDefault="00A72EBA">
            <w:pPr>
              <w:rPr>
                <w:szCs w:val="22"/>
                <w:lang w:val="sk-SK"/>
              </w:rPr>
            </w:pPr>
            <w:r w:rsidRPr="00D32133">
              <w:rPr>
                <w:rFonts w:eastAsia="TimesNewRoman,Italic"/>
                <w:i/>
                <w:iCs/>
                <w:szCs w:val="22"/>
                <w:lang w:val="sk-SK"/>
              </w:rPr>
              <w:t>P-gp]</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Hoci to nebolo skúmané, vorikonazol pravdepodobne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významne zvyšuje plazmatické</w:t>
            </w:r>
          </w:p>
          <w:p w:rsidR="00A72EBA" w:rsidRPr="00F81158" w:rsidRDefault="00A72EBA">
            <w:pPr>
              <w:autoSpaceDE w:val="0"/>
              <w:autoSpaceDN w:val="0"/>
              <w:adjustRightInd w:val="0"/>
              <w:rPr>
                <w:rFonts w:eastAsia="TimesNewRoman"/>
                <w:szCs w:val="22"/>
                <w:lang w:val="sk-SK"/>
              </w:rPr>
            </w:pPr>
            <w:r w:rsidRPr="00F81158">
              <w:rPr>
                <w:rFonts w:eastAsia="TimesNewRoman"/>
                <w:szCs w:val="22"/>
                <w:lang w:val="sk-SK"/>
              </w:rPr>
              <w:t>koncentrácie everolimusu.</w:t>
            </w:r>
          </w:p>
        </w:tc>
        <w:tc>
          <w:tcPr>
            <w:tcW w:w="3071" w:type="dxa"/>
            <w:shd w:val="clear" w:color="auto" w:fill="auto"/>
          </w:tcPr>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Súbežné podávanie</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vorikonazolu s everolimusom sa</w:t>
            </w:r>
          </w:p>
          <w:p w:rsidR="00A72EBA" w:rsidRPr="00604E6B" w:rsidRDefault="00A72EBA">
            <w:pPr>
              <w:autoSpaceDE w:val="0"/>
              <w:autoSpaceDN w:val="0"/>
              <w:adjustRightInd w:val="0"/>
              <w:rPr>
                <w:rFonts w:eastAsia="TimesNewRoman"/>
                <w:szCs w:val="22"/>
                <w:lang w:val="sk-SK"/>
              </w:rPr>
            </w:pPr>
            <w:r w:rsidRPr="00C637EC">
              <w:rPr>
                <w:rFonts w:eastAsia="TimesNewRoman"/>
                <w:szCs w:val="22"/>
                <w:lang w:val="sk-SK"/>
              </w:rPr>
              <w:t>neodporúča, keďže sa predpokladá, že vorikonazol</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 xml:space="preserve">významne zvyšuje koncentrácie </w:t>
            </w:r>
            <w:r w:rsidRPr="0029661F">
              <w:rPr>
                <w:rFonts w:eastAsia="TimesNewRoman"/>
                <w:szCs w:val="22"/>
                <w:lang w:val="sk-SK"/>
              </w:rPr>
              <w:lastRenderedPageBreak/>
              <w:t>everolimusu (pozri časť 4.4).</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Flukonazol (200 mg QD)</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[inhibítor CYP2C9, CYP2C19</w:t>
            </w:r>
          </w:p>
          <w:p w:rsidR="00A72EBA" w:rsidRPr="00D32133" w:rsidRDefault="00A72EBA">
            <w:pPr>
              <w:rPr>
                <w:szCs w:val="22"/>
                <w:lang w:val="sk-SK"/>
              </w:rPr>
            </w:pPr>
            <w:r w:rsidRPr="00D32133">
              <w:rPr>
                <w:rFonts w:eastAsia="TimesNewRoman,Italic"/>
                <w:i/>
                <w:iCs/>
                <w:szCs w:val="22"/>
                <w:lang w:val="sk-SK"/>
              </w:rPr>
              <w:t>a CYP3A4]</w:t>
            </w:r>
          </w:p>
        </w:tc>
        <w:tc>
          <w:tcPr>
            <w:tcW w:w="3071" w:type="dxa"/>
            <w:shd w:val="clear" w:color="auto" w:fill="auto"/>
          </w:tcPr>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Vorikonazol C</w:t>
            </w:r>
            <w:r w:rsidRPr="00D40A28">
              <w:rPr>
                <w:rFonts w:eastAsia="TimesNewRoman"/>
                <w:szCs w:val="22"/>
                <w:vertAlign w:val="subscript"/>
                <w:lang w:val="sk-SK"/>
              </w:rPr>
              <w:t>max</w:t>
            </w:r>
            <w:r w:rsidRPr="00A954DB">
              <w:rPr>
                <w:rFonts w:eastAsia="TimesNewRoman" w:hint="eastAsia"/>
                <w:szCs w:val="22"/>
                <w:lang w:val="sk-SK"/>
              </w:rPr>
              <w:t xml:space="preserve"> </w:t>
            </w:r>
            <w:r w:rsidRPr="00A757AA">
              <w:rPr>
                <w:rFonts w:eastAsia="TimesNewRoman" w:hint="eastAsia"/>
                <w:szCs w:val="22"/>
                <w:lang w:val="sk-SK"/>
              </w:rPr>
              <w:t>↑</w:t>
            </w:r>
            <w:r w:rsidRPr="00D32133">
              <w:rPr>
                <w:rFonts w:eastAsia="TimesNewRoman"/>
                <w:szCs w:val="22"/>
                <w:lang w:val="sk-SK"/>
              </w:rPr>
              <w:t xml:space="preserve"> 57 %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Vorikonazol AUC</w:t>
            </w:r>
            <w:r w:rsidR="0088639A" w:rsidRPr="00744F05">
              <w:rPr>
                <w:vertAlign w:val="subscript"/>
              </w:rPr>
              <w:t>τ</w:t>
            </w:r>
            <w:r w:rsidRPr="00D32133">
              <w:rPr>
                <w:rFonts w:eastAsia="TimesNewRoman"/>
                <w:szCs w:val="22"/>
                <w:lang w:val="sk-SK"/>
              </w:rPr>
              <w:t xml:space="preserve"> ↑ 79 %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Flukonazol C</w:t>
            </w:r>
            <w:r w:rsidRPr="00D32133">
              <w:rPr>
                <w:rFonts w:eastAsia="TimesNewRoman"/>
                <w:szCs w:val="22"/>
                <w:vertAlign w:val="subscript"/>
                <w:lang w:val="sk-SK"/>
              </w:rPr>
              <w:t>max</w:t>
            </w:r>
            <w:r w:rsidRPr="00D32133">
              <w:rPr>
                <w:rFonts w:eastAsia="TimesNewRoman"/>
                <w:szCs w:val="22"/>
                <w:lang w:val="sk-SK"/>
              </w:rPr>
              <w:t xml:space="preserve"> ND</w:t>
            </w:r>
          </w:p>
          <w:p w:rsidR="00A72EBA" w:rsidRPr="00CB3225" w:rsidRDefault="00A72EBA">
            <w:pPr>
              <w:rPr>
                <w:szCs w:val="22"/>
                <w:lang w:val="sk-SK"/>
              </w:rPr>
            </w:pPr>
            <w:r w:rsidRPr="00D32133">
              <w:rPr>
                <w:rFonts w:eastAsia="TimesNewRoman"/>
                <w:szCs w:val="22"/>
                <w:lang w:val="sk-SK"/>
              </w:rPr>
              <w:t>Flukonazol AUC</w:t>
            </w:r>
            <w:r w:rsidR="0088639A" w:rsidRPr="00744F05">
              <w:rPr>
                <w:vertAlign w:val="subscript"/>
              </w:rPr>
              <w:t>τ</w:t>
            </w:r>
            <w:r w:rsidRPr="00D32133">
              <w:rPr>
                <w:rFonts w:eastAsia="TimesNewRoman"/>
                <w:szCs w:val="22"/>
                <w:lang w:val="sk-SK"/>
              </w:rPr>
              <w:t xml:space="preserve"> ND</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Znížená dávka a/alebo</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frekvencia pod</w:t>
            </w:r>
            <w:r w:rsidR="002D5FE8">
              <w:rPr>
                <w:rFonts w:eastAsia="TimesNewRoman"/>
                <w:szCs w:val="22"/>
                <w:lang w:val="sk-SK"/>
              </w:rPr>
              <w:t>áva</w:t>
            </w:r>
            <w:r w:rsidRPr="00D32133">
              <w:rPr>
                <w:rFonts w:eastAsia="TimesNewRoman"/>
                <w:szCs w:val="22"/>
                <w:lang w:val="sk-SK"/>
              </w:rPr>
              <w:t>nia vorikonazolu a flukonazolu, ktoré by odstránili tento účinok, sa nestanovili. Ak sa vorikonazol používa následne po flukonazole, odporúča sa sledovanie nežiaducich reakcií</w:t>
            </w:r>
          </w:p>
          <w:p w:rsidR="00A72EBA" w:rsidRPr="00D32133" w:rsidRDefault="00A72EBA">
            <w:pPr>
              <w:rPr>
                <w:szCs w:val="22"/>
                <w:lang w:val="sk-SK"/>
              </w:rPr>
            </w:pPr>
            <w:r w:rsidRPr="00D32133">
              <w:rPr>
                <w:rFonts w:eastAsia="TimesNewRoman"/>
                <w:szCs w:val="22"/>
                <w:lang w:val="sk-SK"/>
              </w:rPr>
              <w:t>súvisiacich s vorikonazolom.</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Fenytoín</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[substrát CYP2C9 a silný</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induktor CYP450]</w:t>
            </w:r>
          </w:p>
          <w:p w:rsidR="00A72EBA" w:rsidRPr="00D40A28"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300 mg QD</w:t>
            </w:r>
          </w:p>
          <w:p w:rsidR="00A72EBA" w:rsidRPr="00A757AA" w:rsidRDefault="00A72EBA">
            <w:pPr>
              <w:autoSpaceDE w:val="0"/>
              <w:autoSpaceDN w:val="0"/>
              <w:adjustRightInd w:val="0"/>
              <w:rPr>
                <w:rFonts w:eastAsia="TimesNewRoman"/>
                <w:szCs w:val="22"/>
                <w:lang w:val="sk-SK"/>
              </w:rPr>
            </w:pPr>
          </w:p>
          <w:p w:rsidR="00A72EBA" w:rsidRPr="00B86E52"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300 mg QD (súbežne</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podávaný s vorikonazolom</w:t>
            </w:r>
          </w:p>
          <w:p w:rsidR="00A72EBA" w:rsidRPr="00C637EC" w:rsidRDefault="00A72EBA">
            <w:pPr>
              <w:rPr>
                <w:szCs w:val="22"/>
                <w:lang w:val="sk-SK"/>
              </w:rPr>
            </w:pPr>
            <w:r w:rsidRPr="00C637EC">
              <w:rPr>
                <w:rFonts w:eastAsia="TimesNewRoman"/>
                <w:szCs w:val="22"/>
                <w:lang w:val="sk-SK"/>
              </w:rPr>
              <w:t>400 mg BID)*</w:t>
            </w:r>
          </w:p>
        </w:tc>
        <w:tc>
          <w:tcPr>
            <w:tcW w:w="3071" w:type="dxa"/>
            <w:shd w:val="clear" w:color="auto" w:fill="auto"/>
          </w:tcPr>
          <w:p w:rsidR="00A72EBA" w:rsidRPr="00604E6B"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29661F">
              <w:rPr>
                <w:rFonts w:eastAsia="TimesNewRoman"/>
                <w:szCs w:val="22"/>
                <w:lang w:val="sk-SK"/>
              </w:rPr>
              <w:t>Vorikonazol C</w:t>
            </w:r>
            <w:r w:rsidRPr="0029661F">
              <w:rPr>
                <w:rFonts w:eastAsia="TimesNewRoman"/>
                <w:szCs w:val="22"/>
                <w:vertAlign w:val="subscript"/>
                <w:lang w:val="sk-SK"/>
              </w:rPr>
              <w:t>max</w:t>
            </w:r>
            <w:r w:rsidRPr="0029661F">
              <w:rPr>
                <w:rFonts w:eastAsia="TimesNewRoman"/>
                <w:szCs w:val="22"/>
                <w:lang w:val="sk-SK"/>
              </w:rPr>
              <w:t xml:space="preserve"> </w:t>
            </w:r>
            <w:r w:rsidRPr="009C6BDA">
              <w:rPr>
                <w:rFonts w:eastAsia="TimesNewRoman" w:hint="eastAsia"/>
                <w:szCs w:val="22"/>
                <w:lang w:val="sk-SK"/>
              </w:rPr>
              <w:t>↓</w:t>
            </w:r>
            <w:r w:rsidRPr="00D32133">
              <w:rPr>
                <w:rFonts w:eastAsia="TimesNewRoman"/>
                <w:szCs w:val="22"/>
                <w:lang w:val="sk-SK"/>
              </w:rPr>
              <w:t xml:space="preserve"> 49 %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Vorikonazol AUC</w:t>
            </w:r>
            <w:r w:rsidR="000832AB" w:rsidRPr="00744F05">
              <w:rPr>
                <w:vertAlign w:val="subscript"/>
              </w:rPr>
              <w:t>τ</w:t>
            </w:r>
            <w:r w:rsidRPr="00D32133">
              <w:rPr>
                <w:rFonts w:eastAsia="TimesNewRoman"/>
                <w:szCs w:val="22"/>
                <w:lang w:val="sk-SK"/>
              </w:rPr>
              <w:t xml:space="preserve"> ↓ 69 %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Fenytoín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67 %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Fenytoín AUC</w:t>
            </w:r>
            <w:r w:rsidR="000832AB" w:rsidRPr="00744F05">
              <w:rPr>
                <w:vertAlign w:val="subscript"/>
              </w:rPr>
              <w:t>τ</w:t>
            </w:r>
            <w:r w:rsidRPr="00D32133">
              <w:rPr>
                <w:rFonts w:eastAsia="TimesNewRoman"/>
                <w:szCs w:val="22"/>
                <w:lang w:val="sk-SK"/>
              </w:rPr>
              <w:t xml:space="preserve"> ↑ 81 %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porovnaní s vorikonazolom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200 mg BID,</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34 %</w:t>
            </w:r>
          </w:p>
          <w:p w:rsidR="00A72EBA" w:rsidRPr="00CB3225" w:rsidRDefault="00A72EBA">
            <w:pPr>
              <w:rPr>
                <w:szCs w:val="22"/>
                <w:lang w:val="sk-SK"/>
              </w:rPr>
            </w:pPr>
            <w:r w:rsidRPr="00D32133">
              <w:rPr>
                <w:rFonts w:eastAsia="TimesNewRoman"/>
                <w:szCs w:val="22"/>
                <w:lang w:val="sk-SK"/>
              </w:rPr>
              <w:t>Vorikonazol AUC</w:t>
            </w:r>
            <w:r w:rsidR="000832AB" w:rsidRPr="00744F05">
              <w:rPr>
                <w:vertAlign w:val="subscript"/>
              </w:rPr>
              <w:t>τ</w:t>
            </w:r>
            <w:r w:rsidRPr="00D32133">
              <w:rPr>
                <w:rFonts w:eastAsia="TimesNewRoman"/>
                <w:szCs w:val="22"/>
                <w:lang w:val="sk-SK"/>
              </w:rPr>
              <w:t xml:space="preserve"> ↑ 39 %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Sú</w:t>
            </w:r>
            <w:r w:rsidR="00880C46">
              <w:rPr>
                <w:rFonts w:eastAsia="TimesNewRoman"/>
                <w:szCs w:val="22"/>
                <w:lang w:val="sk-SK"/>
              </w:rPr>
              <w:t>bež</w:t>
            </w:r>
            <w:r w:rsidRPr="00D32133">
              <w:rPr>
                <w:rFonts w:eastAsia="TimesNewRoman"/>
                <w:szCs w:val="22"/>
                <w:lang w:val="sk-SK"/>
              </w:rPr>
              <w:t>nému používaniu</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vorikonazolu a fenytoínu sa</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treba vyhýbať, pokiaľ prínos</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 xml:space="preserve">prevýši riziko.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Odporúča sa starostlivé sledovanie plazmatických hladín fenytoínu.</w:t>
            </w: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Fenytoín sa môže podávať</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súbežne s vorikonazolom, ak</w:t>
            </w:r>
          </w:p>
          <w:p w:rsidR="00A72EBA" w:rsidRPr="0088639A" w:rsidRDefault="00A72EBA">
            <w:pPr>
              <w:autoSpaceDE w:val="0"/>
              <w:autoSpaceDN w:val="0"/>
              <w:adjustRightInd w:val="0"/>
              <w:rPr>
                <w:rFonts w:eastAsia="TimesNewRoman"/>
                <w:szCs w:val="22"/>
                <w:lang w:val="sk-SK"/>
              </w:rPr>
            </w:pPr>
            <w:r w:rsidRPr="00F81158">
              <w:rPr>
                <w:rFonts w:eastAsia="TimesNewRoman"/>
                <w:szCs w:val="22"/>
                <w:lang w:val="sk-SK"/>
              </w:rPr>
              <w:t>sa udržiavacia dávka</w:t>
            </w:r>
          </w:p>
          <w:p w:rsidR="00A72EBA" w:rsidRPr="00A438E0" w:rsidRDefault="00A72EBA">
            <w:pPr>
              <w:autoSpaceDE w:val="0"/>
              <w:autoSpaceDN w:val="0"/>
              <w:adjustRightInd w:val="0"/>
              <w:rPr>
                <w:rFonts w:eastAsia="TimesNewRoman"/>
                <w:szCs w:val="22"/>
                <w:lang w:val="sk-SK"/>
              </w:rPr>
            </w:pPr>
            <w:r w:rsidRPr="00A438E0">
              <w:rPr>
                <w:rFonts w:eastAsia="TimesNewRoman"/>
                <w:szCs w:val="22"/>
                <w:lang w:val="sk-SK"/>
              </w:rPr>
              <w:t>vorikonazolu zvýši na 5 mg/kg i</w:t>
            </w:r>
            <w:r w:rsidR="00A438E0">
              <w:rPr>
                <w:rFonts w:eastAsia="TimesNewRoman"/>
                <w:szCs w:val="22"/>
                <w:lang w:val="sk-SK"/>
              </w:rPr>
              <w:t xml:space="preserve">ntravenózne </w:t>
            </w:r>
            <w:r w:rsidRPr="00A438E0">
              <w:rPr>
                <w:rFonts w:eastAsia="TimesNewRoman"/>
                <w:szCs w:val="22"/>
                <w:lang w:val="sk-SK"/>
              </w:rPr>
              <w:t>BID alebo z 200 mg na 400 mg perorálne BID (100 mg na 200 mg perorálne BID</w:t>
            </w:r>
          </w:p>
          <w:p w:rsidR="00A72EBA" w:rsidRPr="004B210D" w:rsidRDefault="00A72EBA">
            <w:pPr>
              <w:autoSpaceDE w:val="0"/>
              <w:autoSpaceDN w:val="0"/>
              <w:adjustRightInd w:val="0"/>
              <w:rPr>
                <w:rFonts w:eastAsia="TimesNewRoman"/>
                <w:szCs w:val="22"/>
                <w:lang w:val="sk-SK"/>
              </w:rPr>
            </w:pPr>
            <w:r w:rsidRPr="00324F85">
              <w:rPr>
                <w:rFonts w:eastAsia="TimesNewRoman"/>
                <w:szCs w:val="22"/>
                <w:lang w:val="sk-SK"/>
              </w:rPr>
              <w:t>u pacientov s telesnou hmotnosťou menej ako 40 kg) (pozri časť 4.2).</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Antikoagulanciá</w:t>
            </w:r>
          </w:p>
          <w:p w:rsidR="00A72EBA" w:rsidRPr="00E70B7A" w:rsidRDefault="00A72EBA" w:rsidP="00D32133">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Warfarín (30 mg jednorazová dávka, súbežne podávaný s vorikonazolom 300 mg BID)</w:t>
            </w:r>
          </w:p>
          <w:p w:rsidR="00A72EBA" w:rsidRPr="00D40A28" w:rsidRDefault="00A72EBA">
            <w:pPr>
              <w:autoSpaceDE w:val="0"/>
              <w:autoSpaceDN w:val="0"/>
              <w:adjustRightInd w:val="0"/>
              <w:rPr>
                <w:rFonts w:eastAsia="TimesNewRoman,Italic"/>
                <w:i/>
                <w:iCs/>
                <w:szCs w:val="22"/>
                <w:lang w:val="sk-SK"/>
              </w:rPr>
            </w:pPr>
            <w:r w:rsidRPr="00D40A28">
              <w:rPr>
                <w:rFonts w:eastAsia="TimesNewRoman,Italic"/>
                <w:i/>
                <w:iCs/>
                <w:szCs w:val="22"/>
                <w:lang w:val="sk-SK"/>
              </w:rPr>
              <w:t>[substrát CYP2C9]</w:t>
            </w:r>
          </w:p>
          <w:p w:rsidR="00A72EBA" w:rsidRPr="00B86E52" w:rsidRDefault="00A72EBA">
            <w:pPr>
              <w:autoSpaceDE w:val="0"/>
              <w:autoSpaceDN w:val="0"/>
              <w:adjustRightInd w:val="0"/>
              <w:rPr>
                <w:rFonts w:eastAsia="TimesNewRoman"/>
                <w:szCs w:val="22"/>
                <w:lang w:val="sk-SK"/>
              </w:rPr>
            </w:pPr>
          </w:p>
          <w:p w:rsidR="00A72EBA" w:rsidRPr="0088639A" w:rsidRDefault="00A72EBA">
            <w:pPr>
              <w:autoSpaceDE w:val="0"/>
              <w:autoSpaceDN w:val="0"/>
              <w:adjustRightInd w:val="0"/>
              <w:rPr>
                <w:rFonts w:eastAsia="TimesNewRoman"/>
                <w:szCs w:val="22"/>
                <w:lang w:val="sk-SK"/>
              </w:rPr>
            </w:pPr>
            <w:r w:rsidRPr="00F81158">
              <w:rPr>
                <w:rFonts w:eastAsia="TimesNewRoman"/>
                <w:szCs w:val="22"/>
                <w:lang w:val="sk-SK"/>
              </w:rPr>
              <w:t>Iné perorálne kumaríny</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(napr. fenprokumón,</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acenokumarol)</w:t>
            </w:r>
          </w:p>
          <w:p w:rsidR="00A72EBA" w:rsidRPr="00D32133" w:rsidRDefault="00A72EBA">
            <w:pPr>
              <w:autoSpaceDE w:val="0"/>
              <w:autoSpaceDN w:val="0"/>
              <w:adjustRightInd w:val="0"/>
              <w:rPr>
                <w:szCs w:val="22"/>
                <w:lang w:val="sk-SK"/>
              </w:rPr>
            </w:pPr>
            <w:r w:rsidRPr="00D32133">
              <w:rPr>
                <w:rFonts w:eastAsia="TimesNewRoman,Italic"/>
                <w:i/>
                <w:iCs/>
                <w:szCs w:val="22"/>
                <w:lang w:val="sk-SK"/>
              </w:rPr>
              <w:t>[substráty CYP2C9 a CYP3A4]</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Maximálne zvýšenie</w:t>
            </w:r>
          </w:p>
          <w:p w:rsidR="00A72EBA" w:rsidRPr="0088639A" w:rsidRDefault="00A72EBA">
            <w:pPr>
              <w:autoSpaceDE w:val="0"/>
              <w:autoSpaceDN w:val="0"/>
              <w:adjustRightInd w:val="0"/>
              <w:rPr>
                <w:rFonts w:eastAsia="TimesNewRoman"/>
                <w:szCs w:val="22"/>
                <w:lang w:val="sk-SK"/>
              </w:rPr>
            </w:pPr>
            <w:r w:rsidRPr="00F81158">
              <w:rPr>
                <w:rFonts w:eastAsia="TimesNewRoman"/>
                <w:szCs w:val="22"/>
                <w:lang w:val="sk-SK"/>
              </w:rPr>
              <w:t>protrombínového času bolo</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približne 2-násobné.</w:t>
            </w:r>
          </w:p>
          <w:p w:rsidR="00A72EBA" w:rsidRPr="004B210D" w:rsidRDefault="00A72EBA">
            <w:pPr>
              <w:autoSpaceDE w:val="0"/>
              <w:autoSpaceDN w:val="0"/>
              <w:adjustRightInd w:val="0"/>
              <w:rPr>
                <w:rFonts w:eastAsia="TimesNewRoman"/>
                <w:szCs w:val="22"/>
                <w:lang w:val="sk-SK"/>
              </w:rPr>
            </w:pPr>
          </w:p>
          <w:p w:rsidR="00A72EBA" w:rsidRPr="00C637EC"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Hoci to nebolo skúmané, vorikonazol môže zvyšovať</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plazmatické koncentrácie</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kumarínov, ktoré môžu vyvolať</w:t>
            </w:r>
          </w:p>
          <w:p w:rsidR="00A72EBA" w:rsidRPr="001E3AD7" w:rsidRDefault="00A72EBA">
            <w:pPr>
              <w:autoSpaceDE w:val="0"/>
              <w:autoSpaceDN w:val="0"/>
              <w:adjustRightInd w:val="0"/>
              <w:rPr>
                <w:rFonts w:eastAsia="TimesNewRoman"/>
                <w:szCs w:val="22"/>
                <w:lang w:val="sk-SK"/>
              </w:rPr>
            </w:pPr>
            <w:r w:rsidRPr="001E3AD7">
              <w:rPr>
                <w:rFonts w:eastAsia="TimesNewRoman"/>
                <w:szCs w:val="22"/>
                <w:lang w:val="sk-SK"/>
              </w:rPr>
              <w:t>zvýšenie protrombínového času.</w:t>
            </w:r>
          </w:p>
        </w:tc>
        <w:tc>
          <w:tcPr>
            <w:tcW w:w="3071" w:type="dxa"/>
            <w:shd w:val="clear" w:color="auto" w:fill="auto"/>
          </w:tcPr>
          <w:p w:rsidR="00A72EBA" w:rsidRPr="00887C06" w:rsidRDefault="00A72EBA">
            <w:pPr>
              <w:autoSpaceDE w:val="0"/>
              <w:autoSpaceDN w:val="0"/>
              <w:adjustRightInd w:val="0"/>
              <w:rPr>
                <w:rFonts w:eastAsia="TimesNewRoman"/>
                <w:szCs w:val="22"/>
                <w:lang w:val="sk-SK"/>
              </w:rPr>
            </w:pPr>
          </w:p>
          <w:p w:rsidR="00A72EBA" w:rsidRPr="00606FAB" w:rsidRDefault="00A72EBA">
            <w:pPr>
              <w:autoSpaceDE w:val="0"/>
              <w:autoSpaceDN w:val="0"/>
              <w:adjustRightInd w:val="0"/>
              <w:rPr>
                <w:rFonts w:eastAsia="TimesNewRoman"/>
                <w:szCs w:val="22"/>
                <w:lang w:val="sk-SK"/>
              </w:rPr>
            </w:pPr>
          </w:p>
          <w:p w:rsidR="00A72EBA" w:rsidRPr="00E846EC" w:rsidRDefault="00A72EBA">
            <w:pPr>
              <w:autoSpaceDE w:val="0"/>
              <w:autoSpaceDN w:val="0"/>
              <w:adjustRightInd w:val="0"/>
              <w:rPr>
                <w:rFonts w:eastAsia="TimesNewRoman"/>
                <w:szCs w:val="22"/>
                <w:lang w:val="sk-SK"/>
              </w:rPr>
            </w:pPr>
            <w:r w:rsidRPr="00E846EC">
              <w:rPr>
                <w:rFonts w:eastAsia="TimesNewRoman"/>
                <w:szCs w:val="22"/>
                <w:lang w:val="sk-SK"/>
              </w:rPr>
              <w:t>Odporúča sa starostlivé</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sledovanie protrombínového</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času alebo iných vhodných</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antikoagulačných testov</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a dávka antikoagulancií sa</w:t>
            </w:r>
          </w:p>
          <w:p w:rsidR="00A72EBA" w:rsidRPr="003B679E" w:rsidRDefault="00A72EBA">
            <w:pPr>
              <w:rPr>
                <w:szCs w:val="22"/>
                <w:lang w:val="sk-SK"/>
              </w:rPr>
            </w:pPr>
            <w:r w:rsidRPr="003B679E">
              <w:rPr>
                <w:rFonts w:eastAsia="TimesNewRoman"/>
                <w:szCs w:val="22"/>
                <w:lang w:val="sk-SK"/>
              </w:rPr>
              <w:t>má podľa toho upraviť.</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szCs w:val="22"/>
                <w:lang w:val="sk-SK"/>
              </w:rPr>
            </w:pPr>
            <w:r w:rsidRPr="00D32133">
              <w:rPr>
                <w:rFonts w:eastAsia="TimesNewRoman"/>
                <w:szCs w:val="22"/>
                <w:lang w:val="sk-SK"/>
              </w:rPr>
              <w:t>Benzodiazepíny (napr. midazolam, triazolam,</w:t>
            </w:r>
          </w:p>
          <w:p w:rsidR="00A72EBA" w:rsidRPr="00D32133" w:rsidRDefault="00A72EBA" w:rsidP="00D32133">
            <w:pPr>
              <w:autoSpaceDE w:val="0"/>
              <w:autoSpaceDN w:val="0"/>
              <w:adjustRightInd w:val="0"/>
              <w:rPr>
                <w:rFonts w:eastAsia="TimesNewRoman"/>
                <w:szCs w:val="22"/>
                <w:lang w:val="sk-SK"/>
              </w:rPr>
            </w:pPr>
            <w:r w:rsidRPr="00D32133">
              <w:rPr>
                <w:rFonts w:eastAsia="TimesNewRoman"/>
                <w:szCs w:val="22"/>
                <w:lang w:val="sk-SK"/>
              </w:rPr>
              <w:t>alprazolam)</w:t>
            </w:r>
          </w:p>
          <w:p w:rsidR="00A72EBA" w:rsidRPr="00D32133" w:rsidRDefault="00A72EBA">
            <w:pPr>
              <w:rPr>
                <w:szCs w:val="22"/>
                <w:lang w:val="sk-SK"/>
              </w:rPr>
            </w:pPr>
            <w:r w:rsidRPr="00D32133">
              <w:rPr>
                <w:rFonts w:eastAsia="TimesNewRoman,Italic"/>
                <w:i/>
                <w:iCs/>
                <w:szCs w:val="22"/>
                <w:lang w:val="sk-SK"/>
              </w:rPr>
              <w:t>[substráty CYP3A4]</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Hoci to nebolo klinicky skúmané, vorikonazol pravdepodobne</w:t>
            </w:r>
          </w:p>
          <w:p w:rsidR="00A72EBA" w:rsidRPr="00324F85" w:rsidRDefault="00A72EBA">
            <w:pPr>
              <w:autoSpaceDE w:val="0"/>
              <w:autoSpaceDN w:val="0"/>
              <w:adjustRightInd w:val="0"/>
              <w:rPr>
                <w:szCs w:val="22"/>
                <w:lang w:val="sk-SK"/>
              </w:rPr>
            </w:pPr>
            <w:r w:rsidRPr="00B86E52">
              <w:rPr>
                <w:rFonts w:eastAsia="TimesNewRoman"/>
                <w:szCs w:val="22"/>
                <w:lang w:val="sk-SK"/>
              </w:rPr>
              <w:t xml:space="preserve">zvyšuje plazmatické koncentrácie benzodiazepínov, ktoré sú </w:t>
            </w:r>
            <w:r w:rsidRPr="00F81158">
              <w:rPr>
                <w:rFonts w:eastAsia="TimesNewRoman"/>
                <w:szCs w:val="22"/>
                <w:lang w:val="sk-SK"/>
              </w:rPr>
              <w:t>metabolizované CYP3A4 a spôsobuje predĺžený sedatívny účinok.</w:t>
            </w:r>
          </w:p>
        </w:tc>
        <w:tc>
          <w:tcPr>
            <w:tcW w:w="3071" w:type="dxa"/>
            <w:shd w:val="clear" w:color="auto" w:fill="auto"/>
          </w:tcPr>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Je potrebné zvá</w:t>
            </w:r>
            <w:r w:rsidRPr="007D21E2">
              <w:rPr>
                <w:rFonts w:eastAsia="TimesNewRoman"/>
                <w:szCs w:val="22"/>
                <w:lang w:val="sk-SK"/>
              </w:rPr>
              <w:t>žiť zníženie</w:t>
            </w:r>
          </w:p>
          <w:p w:rsidR="00A72EBA" w:rsidRPr="00C637EC" w:rsidRDefault="00A72EBA">
            <w:pPr>
              <w:rPr>
                <w:szCs w:val="22"/>
                <w:lang w:val="sk-SK"/>
              </w:rPr>
            </w:pPr>
            <w:r w:rsidRPr="00C637EC">
              <w:rPr>
                <w:rFonts w:eastAsia="TimesNewRoman"/>
                <w:szCs w:val="22"/>
                <w:lang w:val="sk-SK"/>
              </w:rPr>
              <w:t>dávky benzodiazepínov.</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Imunosupresíva</w:t>
            </w:r>
          </w:p>
          <w:p w:rsidR="00A72EBA" w:rsidRPr="00D32133"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lastRenderedPageBreak/>
              <w:t xml:space="preserve">[substráty </w:t>
            </w:r>
            <w:r w:rsidRPr="00413EE1">
              <w:rPr>
                <w:rFonts w:eastAsia="TimesNewRoman,Italic"/>
                <w:i/>
                <w:iCs/>
                <w:szCs w:val="22"/>
                <w:lang w:val="sk-SK"/>
              </w:rPr>
              <w:t>CYP3A4]</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Sirolimus (2 mg jednorazová</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dávka)</w:t>
            </w:r>
          </w:p>
          <w:p w:rsidR="00A72EBA" w:rsidRPr="00B86E52"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p>
          <w:p w:rsidR="00A72EBA" w:rsidRPr="00324F85" w:rsidRDefault="00A72EBA">
            <w:pPr>
              <w:autoSpaceDE w:val="0"/>
              <w:autoSpaceDN w:val="0"/>
              <w:adjustRightInd w:val="0"/>
              <w:rPr>
                <w:rFonts w:eastAsia="TimesNewRoman"/>
                <w:szCs w:val="22"/>
                <w:lang w:val="sk-SK"/>
              </w:rPr>
            </w:pP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 xml:space="preserve">Cyklosporín (u stabilizovaných </w:t>
            </w:r>
            <w:r w:rsidRPr="00A438E0">
              <w:rPr>
                <w:rFonts w:eastAsia="TimesNewRoman"/>
                <w:szCs w:val="22"/>
                <w:lang w:val="sk-SK"/>
              </w:rPr>
              <w:t xml:space="preserve">príjemcov transplantovanej obličky </w:t>
            </w:r>
            <w:r w:rsidRPr="00324F85">
              <w:rPr>
                <w:rFonts w:eastAsia="TimesNewRoman"/>
                <w:szCs w:val="22"/>
                <w:lang w:val="sk-SK"/>
              </w:rPr>
              <w:t>užívajúcich chronickú</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cyklosporínovú liečbu)</w:t>
            </w:r>
          </w:p>
          <w:p w:rsidR="00A72EBA" w:rsidRPr="00C637EC" w:rsidRDefault="00A72EBA">
            <w:pPr>
              <w:autoSpaceDE w:val="0"/>
              <w:autoSpaceDN w:val="0"/>
              <w:adjustRightInd w:val="0"/>
              <w:rPr>
                <w:rFonts w:eastAsia="TimesNewRoman"/>
                <w:szCs w:val="22"/>
                <w:lang w:val="sk-SK"/>
              </w:rPr>
            </w:pPr>
          </w:p>
          <w:p w:rsidR="00A72EBA" w:rsidRPr="00604E6B" w:rsidRDefault="00A72EBA">
            <w:pPr>
              <w:autoSpaceDE w:val="0"/>
              <w:autoSpaceDN w:val="0"/>
              <w:adjustRightInd w:val="0"/>
              <w:rPr>
                <w:rFonts w:eastAsia="TimesNewRoman"/>
                <w:szCs w:val="22"/>
                <w:lang w:val="sk-SK"/>
              </w:rPr>
            </w:pPr>
          </w:p>
          <w:p w:rsidR="00A72EBA" w:rsidRPr="007D21E2" w:rsidRDefault="00A72EBA">
            <w:pPr>
              <w:autoSpaceDE w:val="0"/>
              <w:autoSpaceDN w:val="0"/>
              <w:adjustRightInd w:val="0"/>
              <w:rPr>
                <w:rFonts w:eastAsia="TimesNewRoman"/>
                <w:szCs w:val="22"/>
                <w:lang w:val="sk-SK"/>
              </w:rPr>
            </w:pPr>
          </w:p>
          <w:p w:rsidR="00A72EBA" w:rsidRPr="00C637EC" w:rsidRDefault="00A72EBA">
            <w:pPr>
              <w:autoSpaceDE w:val="0"/>
              <w:autoSpaceDN w:val="0"/>
              <w:adjustRightInd w:val="0"/>
              <w:rPr>
                <w:rFonts w:eastAsia="TimesNewRoman"/>
                <w:szCs w:val="22"/>
                <w:lang w:val="sk-SK"/>
              </w:rPr>
            </w:pPr>
          </w:p>
          <w:p w:rsidR="00A72EBA" w:rsidRPr="00604E6B"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p>
          <w:p w:rsidR="00A72EBA" w:rsidRPr="001E3AD7" w:rsidRDefault="00A72EBA">
            <w:pPr>
              <w:autoSpaceDE w:val="0"/>
              <w:autoSpaceDN w:val="0"/>
              <w:adjustRightInd w:val="0"/>
              <w:rPr>
                <w:rFonts w:eastAsia="TimesNewRoman"/>
                <w:szCs w:val="22"/>
                <w:lang w:val="sk-SK"/>
              </w:rPr>
            </w:pPr>
            <w:r w:rsidRPr="001E3AD7">
              <w:rPr>
                <w:rFonts w:eastAsia="TimesNewRoman"/>
                <w:szCs w:val="22"/>
                <w:lang w:val="sk-SK"/>
              </w:rPr>
              <w:t>Takrolimus (0,1 mg/kg</w:t>
            </w:r>
          </w:p>
          <w:p w:rsidR="00A72EBA" w:rsidRPr="00887C06" w:rsidRDefault="00A72EBA">
            <w:pPr>
              <w:rPr>
                <w:szCs w:val="22"/>
                <w:lang w:val="sk-SK"/>
              </w:rPr>
            </w:pPr>
            <w:r w:rsidRPr="00887C06">
              <w:rPr>
                <w:rFonts w:eastAsia="TimesNewRoman"/>
                <w:szCs w:val="22"/>
                <w:lang w:val="sk-SK"/>
              </w:rPr>
              <w:t>jednorazová dávka)</w:t>
            </w:r>
          </w:p>
        </w:tc>
        <w:tc>
          <w:tcPr>
            <w:tcW w:w="3071" w:type="dxa"/>
            <w:shd w:val="clear" w:color="auto" w:fill="auto"/>
          </w:tcPr>
          <w:p w:rsidR="00A72EBA" w:rsidRPr="00606FAB" w:rsidRDefault="00A72EBA">
            <w:pPr>
              <w:autoSpaceDE w:val="0"/>
              <w:autoSpaceDN w:val="0"/>
              <w:adjustRightInd w:val="0"/>
              <w:rPr>
                <w:rFonts w:eastAsia="TimesNewRoman"/>
                <w:szCs w:val="22"/>
                <w:lang w:val="sk-SK"/>
              </w:rPr>
            </w:pPr>
          </w:p>
          <w:p w:rsidR="00A72EBA" w:rsidRPr="00E846EC" w:rsidRDefault="00A72EBA">
            <w:pPr>
              <w:autoSpaceDE w:val="0"/>
              <w:autoSpaceDN w:val="0"/>
              <w:adjustRightInd w:val="0"/>
              <w:rPr>
                <w:rFonts w:eastAsia="TimesNewRoman"/>
                <w:szCs w:val="22"/>
                <w:lang w:val="sk-SK"/>
              </w:rPr>
            </w:pPr>
          </w:p>
          <w:p w:rsidR="00A72EBA" w:rsidRPr="003B679E" w:rsidRDefault="00A72EBA">
            <w:pPr>
              <w:autoSpaceDE w:val="0"/>
              <w:autoSpaceDN w:val="0"/>
              <w:adjustRightInd w:val="0"/>
              <w:rPr>
                <w:rFonts w:eastAsia="TimesNewRoman"/>
                <w:szCs w:val="22"/>
                <w:lang w:val="sk-SK"/>
              </w:rPr>
            </w:pP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V nezávislej publikovanej štúdii,</w:t>
            </w:r>
          </w:p>
          <w:p w:rsidR="00A72EBA" w:rsidRPr="00CB3225" w:rsidRDefault="00A72EBA">
            <w:pPr>
              <w:autoSpaceDE w:val="0"/>
              <w:autoSpaceDN w:val="0"/>
              <w:adjustRightInd w:val="0"/>
              <w:rPr>
                <w:rFonts w:eastAsia="TimesNewRoman"/>
                <w:szCs w:val="22"/>
                <w:lang w:val="sk-SK"/>
              </w:rPr>
            </w:pPr>
            <w:r w:rsidRPr="003B679E">
              <w:rPr>
                <w:rFonts w:eastAsia="TimesNewRoman"/>
                <w:szCs w:val="22"/>
                <w:lang w:val="sk-SK"/>
              </w:rPr>
              <w:t>Sirolimus C</w:t>
            </w:r>
            <w:r w:rsidRPr="003B679E">
              <w:rPr>
                <w:rFonts w:eastAsia="TimesNewRoman"/>
                <w:szCs w:val="22"/>
                <w:vertAlign w:val="subscript"/>
                <w:lang w:val="sk-SK"/>
              </w:rPr>
              <w:t>max</w:t>
            </w:r>
            <w:r w:rsidRPr="003B679E">
              <w:rPr>
                <w:rFonts w:eastAsia="TimesNewRoman"/>
                <w:szCs w:val="22"/>
                <w:lang w:val="sk-SK"/>
              </w:rPr>
              <w:t xml:space="preserve"> </w:t>
            </w:r>
            <w:r w:rsidRPr="003B679E">
              <w:rPr>
                <w:rFonts w:eastAsia="TimesNewRoman" w:hint="eastAsia"/>
                <w:szCs w:val="22"/>
                <w:lang w:val="sk-SK"/>
              </w:rPr>
              <w:t>↑</w:t>
            </w:r>
            <w:r w:rsidRPr="00D32133">
              <w:rPr>
                <w:rFonts w:eastAsia="TimesNewRoman"/>
                <w:szCs w:val="22"/>
                <w:lang w:val="sk-SK"/>
              </w:rPr>
              <w:t xml:space="preserve"> 6,6-krát</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 xml:space="preserve">Sirolimus </w:t>
            </w:r>
            <w:r w:rsidR="000A2A2B" w:rsidRPr="0093256A">
              <w:rPr>
                <w:szCs w:val="22"/>
                <w:lang w:val="sk-SK"/>
              </w:rPr>
              <w:t>AUC</w:t>
            </w:r>
            <w:r w:rsidR="000A2A2B" w:rsidRPr="0093256A">
              <w:rPr>
                <w:szCs w:val="22"/>
                <w:vertAlign w:val="subscript"/>
                <w:lang w:val="sk-SK"/>
              </w:rPr>
              <w:t>0-∞</w:t>
            </w:r>
            <w:r w:rsidR="000A2A2B" w:rsidRPr="0093256A">
              <w:rPr>
                <w:szCs w:val="22"/>
                <w:lang w:val="sk-SK"/>
              </w:rPr>
              <w:t xml:space="preserve"> </w:t>
            </w:r>
            <w:r w:rsidRPr="00D40A28">
              <w:rPr>
                <w:rFonts w:eastAsia="TimesNewRoman" w:hint="eastAsia"/>
                <w:szCs w:val="22"/>
                <w:lang w:val="sk-SK"/>
              </w:rPr>
              <w:t>↑</w:t>
            </w:r>
            <w:r w:rsidRPr="00D32133">
              <w:rPr>
                <w:rFonts w:eastAsia="TimesNewRoman"/>
                <w:szCs w:val="22"/>
                <w:lang w:val="sk-SK"/>
              </w:rPr>
              <w:t xml:space="preserve"> 11-krát</w:t>
            </w:r>
          </w:p>
          <w:p w:rsidR="00A72EBA" w:rsidRPr="00D40A28"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Cyklosporín C</w:t>
            </w:r>
            <w:r w:rsidRPr="00A954DB">
              <w:rPr>
                <w:rFonts w:eastAsia="TimesNewRoman"/>
                <w:szCs w:val="22"/>
                <w:vertAlign w:val="subscript"/>
                <w:lang w:val="sk-SK"/>
              </w:rPr>
              <w:t>max</w:t>
            </w:r>
            <w:r w:rsidRPr="00A757AA">
              <w:rPr>
                <w:rFonts w:eastAsia="TimesNewRoman" w:hint="eastAsia"/>
                <w:szCs w:val="22"/>
                <w:lang w:val="sk-SK"/>
              </w:rPr>
              <w:t xml:space="preserve"> </w:t>
            </w:r>
            <w:r w:rsidRPr="00C40CEC">
              <w:rPr>
                <w:rFonts w:eastAsia="TimesNewRoman" w:hint="eastAsia"/>
                <w:szCs w:val="22"/>
                <w:lang w:val="sk-SK"/>
              </w:rPr>
              <w:t>↑</w:t>
            </w:r>
            <w:r w:rsidRPr="00D32133">
              <w:rPr>
                <w:rFonts w:eastAsia="TimesNewRoman"/>
                <w:szCs w:val="22"/>
                <w:lang w:val="sk-SK"/>
              </w:rPr>
              <w:t xml:space="preserve"> 13 %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Cyklosporín AUC</w:t>
            </w:r>
            <w:r w:rsidR="00A438E0" w:rsidRPr="00744F05">
              <w:rPr>
                <w:vertAlign w:val="subscript"/>
              </w:rPr>
              <w:t>τ</w:t>
            </w:r>
            <w:r w:rsidRPr="00D32133">
              <w:rPr>
                <w:rFonts w:eastAsia="TimesNewRoman"/>
                <w:szCs w:val="22"/>
                <w:lang w:val="sk-SK"/>
              </w:rPr>
              <w:t xml:space="preserve"> ↑ 70 %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p>
          <w:p w:rsidR="00A72EBA" w:rsidRPr="00B86E52"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F81158">
              <w:rPr>
                <w:rFonts w:eastAsia="TimesNewRoman"/>
                <w:szCs w:val="22"/>
                <w:lang w:val="sk-SK"/>
              </w:rPr>
              <w:t>Takrolimus C</w:t>
            </w:r>
            <w:r w:rsidRPr="00A438E0">
              <w:rPr>
                <w:rFonts w:eastAsia="TimesNewRoman"/>
                <w:szCs w:val="22"/>
                <w:vertAlign w:val="subscript"/>
                <w:lang w:val="sk-SK"/>
              </w:rPr>
              <w:t>max</w:t>
            </w:r>
            <w:r w:rsidRPr="00A438E0">
              <w:rPr>
                <w:rFonts w:eastAsia="TimesNewRoman"/>
                <w:szCs w:val="22"/>
                <w:lang w:val="sk-SK"/>
              </w:rPr>
              <w:t xml:space="preserve"> </w:t>
            </w:r>
            <w:r w:rsidR="00C80635">
              <w:rPr>
                <w:rFonts w:eastAsia="TimesNewRoman"/>
                <w:szCs w:val="22"/>
                <w:lang w:val="sk-SK"/>
              </w:rPr>
              <w:t>↑ 117 %</w:t>
            </w:r>
          </w:p>
          <w:p w:rsidR="00A72EBA" w:rsidRPr="00CB3225" w:rsidRDefault="00A72EBA">
            <w:pPr>
              <w:rPr>
                <w:szCs w:val="22"/>
                <w:lang w:val="sk-SK"/>
              </w:rPr>
            </w:pPr>
            <w:r w:rsidRPr="00CB3225">
              <w:rPr>
                <w:rFonts w:eastAsia="TimesNewRoman"/>
                <w:szCs w:val="22"/>
                <w:lang w:val="sk-SK"/>
              </w:rPr>
              <w:t>Takrolimus AUC</w:t>
            </w:r>
            <w:r w:rsidR="00C80635" w:rsidRPr="00744F05">
              <w:rPr>
                <w:vertAlign w:val="subscript"/>
              </w:rPr>
              <w:t>τ</w:t>
            </w:r>
            <w:r w:rsidRPr="00D32133">
              <w:rPr>
                <w:rFonts w:eastAsia="TimesNewRoman"/>
                <w:szCs w:val="22"/>
                <w:lang w:val="sk-SK"/>
              </w:rPr>
              <w:t xml:space="preserve"> ↑ 221 %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Súbežné podávanie</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vorikonazolu a sirolimu</w:t>
            </w:r>
            <w:r w:rsidR="003069ED">
              <w:rPr>
                <w:rFonts w:eastAsia="TimesNewRoman"/>
                <w:szCs w:val="22"/>
                <w:lang w:val="sk-SK"/>
              </w:rPr>
              <w:t>su</w:t>
            </w:r>
            <w:r w:rsidRPr="00D32133">
              <w:rPr>
                <w:rFonts w:eastAsia="TimesNewRoman"/>
                <w:szCs w:val="22"/>
                <w:lang w:val="sk-SK"/>
              </w:rPr>
              <w:t xml:space="preserve"> je</w:t>
            </w:r>
          </w:p>
          <w:p w:rsidR="00A72EBA" w:rsidRPr="00D32133" w:rsidRDefault="00A72EBA">
            <w:pPr>
              <w:autoSpaceDE w:val="0"/>
              <w:autoSpaceDN w:val="0"/>
              <w:adjustRightInd w:val="0"/>
              <w:rPr>
                <w:rFonts w:eastAsia="TimesNewRoman"/>
                <w:szCs w:val="22"/>
                <w:lang w:val="sk-SK"/>
              </w:rPr>
            </w:pPr>
            <w:r w:rsidRPr="00D32133">
              <w:rPr>
                <w:rFonts w:eastAsia="TimesNewRoman,Bold"/>
                <w:b/>
                <w:bCs/>
                <w:szCs w:val="22"/>
                <w:lang w:val="sk-SK"/>
              </w:rPr>
              <w:t xml:space="preserve">kontraindikované </w:t>
            </w:r>
            <w:r w:rsidRPr="00D32133">
              <w:rPr>
                <w:rFonts w:eastAsia="TimesNewRoman"/>
                <w:szCs w:val="22"/>
                <w:lang w:val="sk-SK"/>
              </w:rPr>
              <w:t>(pozri</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časť 4.3).</w:t>
            </w:r>
          </w:p>
          <w:p w:rsidR="00A72EBA" w:rsidRPr="00D40A28"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Na začiatku liečby</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vorikonazolom u pacientov</w:t>
            </w:r>
          </w:p>
          <w:p w:rsidR="00A72EBA" w:rsidRPr="00A438E0" w:rsidRDefault="00A72EBA">
            <w:pPr>
              <w:autoSpaceDE w:val="0"/>
              <w:autoSpaceDN w:val="0"/>
              <w:adjustRightInd w:val="0"/>
              <w:rPr>
                <w:rFonts w:eastAsia="TimesNewRoman"/>
                <w:szCs w:val="22"/>
                <w:lang w:val="sk-SK"/>
              </w:rPr>
            </w:pPr>
            <w:r w:rsidRPr="00F81158">
              <w:rPr>
                <w:rFonts w:eastAsia="TimesNewRoman"/>
                <w:szCs w:val="22"/>
                <w:lang w:val="sk-SK"/>
              </w:rPr>
              <w:t>už liečených cyklosporínom</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sa odporúča, aby sa dávka</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cyklosporínu znížila na</w:t>
            </w:r>
          </w:p>
          <w:p w:rsidR="00A72EBA" w:rsidRPr="00324F85" w:rsidRDefault="00A72EBA">
            <w:pPr>
              <w:autoSpaceDE w:val="0"/>
              <w:autoSpaceDN w:val="0"/>
              <w:adjustRightInd w:val="0"/>
              <w:rPr>
                <w:rFonts w:eastAsia="TimesNewRoman"/>
                <w:szCs w:val="22"/>
                <w:lang w:val="sk-SK"/>
              </w:rPr>
            </w:pPr>
            <w:r w:rsidRPr="00C637EC">
              <w:rPr>
                <w:rFonts w:eastAsia="TimesNewRoman"/>
                <w:szCs w:val="22"/>
                <w:lang w:val="sk-SK"/>
              </w:rPr>
              <w:t xml:space="preserve">polovicu a hladina cyklosporínu sa dôkladne sledovala. Zvýšené hladiny cyklosporínu boli spojené s nefrotoxicitou. </w:t>
            </w:r>
            <w:r w:rsidRPr="00C637EC">
              <w:rPr>
                <w:rFonts w:eastAsia="TimesNewRoman"/>
                <w:szCs w:val="22"/>
                <w:u w:val="single"/>
                <w:lang w:val="sk-SK"/>
              </w:rPr>
              <w:t>Pri</w:t>
            </w:r>
            <w:r w:rsidR="00FA7839">
              <w:rPr>
                <w:rFonts w:eastAsia="TimesNewRoman"/>
                <w:szCs w:val="22"/>
                <w:u w:val="single"/>
                <w:lang w:val="sk-SK"/>
              </w:rPr>
              <w:t> </w:t>
            </w:r>
            <w:r w:rsidRPr="00C80635">
              <w:rPr>
                <w:rFonts w:eastAsia="TimesNewRoman"/>
                <w:szCs w:val="22"/>
                <w:u w:val="single"/>
                <w:lang w:val="sk-SK"/>
              </w:rPr>
              <w:t>vysadení</w:t>
            </w:r>
            <w:r w:rsidRPr="00C80635">
              <w:rPr>
                <w:rFonts w:eastAsia="TimesNewRoman"/>
                <w:szCs w:val="22"/>
                <w:lang w:val="sk-SK"/>
              </w:rPr>
              <w:t xml:space="preserve"> </w:t>
            </w:r>
            <w:r w:rsidRPr="00C80635">
              <w:rPr>
                <w:rFonts w:eastAsia="TimesNewRoman"/>
                <w:szCs w:val="22"/>
                <w:u w:val="single"/>
                <w:lang w:val="sk-SK"/>
              </w:rPr>
              <w:t>vorikonazolu sa musia</w:t>
            </w:r>
          </w:p>
          <w:p w:rsidR="00A72EBA" w:rsidRPr="007D21E2" w:rsidRDefault="00A72EBA">
            <w:pPr>
              <w:autoSpaceDE w:val="0"/>
              <w:autoSpaceDN w:val="0"/>
              <w:adjustRightInd w:val="0"/>
              <w:rPr>
                <w:rFonts w:eastAsia="TimesNewRoman"/>
                <w:szCs w:val="22"/>
                <w:u w:val="single"/>
                <w:lang w:val="sk-SK"/>
              </w:rPr>
            </w:pPr>
            <w:r w:rsidRPr="004B210D">
              <w:rPr>
                <w:rFonts w:eastAsia="TimesNewRoman"/>
                <w:szCs w:val="22"/>
                <w:u w:val="single"/>
                <w:lang w:val="sk-SK"/>
              </w:rPr>
              <w:t>starostlivo sledovať hladiny</w:t>
            </w:r>
          </w:p>
          <w:p w:rsidR="00A72EBA" w:rsidRPr="00C637EC" w:rsidRDefault="00A72EBA">
            <w:pPr>
              <w:autoSpaceDE w:val="0"/>
              <w:autoSpaceDN w:val="0"/>
              <w:adjustRightInd w:val="0"/>
              <w:rPr>
                <w:rFonts w:eastAsia="TimesNewRoman"/>
                <w:szCs w:val="22"/>
                <w:u w:val="single"/>
                <w:lang w:val="sk-SK"/>
              </w:rPr>
            </w:pPr>
            <w:r w:rsidRPr="00C637EC">
              <w:rPr>
                <w:rFonts w:eastAsia="TimesNewRoman"/>
                <w:szCs w:val="22"/>
                <w:u w:val="single"/>
                <w:lang w:val="sk-SK"/>
              </w:rPr>
              <w:t>cyklosporínu a dávka sa musí</w:t>
            </w:r>
          </w:p>
          <w:p w:rsidR="00A72EBA" w:rsidRPr="0029661F" w:rsidRDefault="00A72EBA">
            <w:pPr>
              <w:autoSpaceDE w:val="0"/>
              <w:autoSpaceDN w:val="0"/>
              <w:adjustRightInd w:val="0"/>
              <w:rPr>
                <w:rFonts w:eastAsia="TimesNewRoman"/>
                <w:szCs w:val="22"/>
                <w:lang w:val="sk-SK"/>
              </w:rPr>
            </w:pPr>
            <w:r w:rsidRPr="00604E6B">
              <w:rPr>
                <w:rFonts w:eastAsia="TimesNewRoman"/>
                <w:szCs w:val="22"/>
                <w:u w:val="single"/>
                <w:lang w:val="sk-SK"/>
              </w:rPr>
              <w:t>zvýšiť podľa potreby</w:t>
            </w:r>
            <w:r w:rsidRPr="0029661F">
              <w:rPr>
                <w:rFonts w:eastAsia="TimesNewRoman"/>
                <w:szCs w:val="22"/>
                <w:lang w:val="sk-SK"/>
              </w:rPr>
              <w:t>.</w:t>
            </w:r>
          </w:p>
          <w:p w:rsidR="00A72EBA" w:rsidRPr="0029661F" w:rsidRDefault="00A72EBA">
            <w:pPr>
              <w:autoSpaceDE w:val="0"/>
              <w:autoSpaceDN w:val="0"/>
              <w:adjustRightInd w:val="0"/>
              <w:rPr>
                <w:rFonts w:eastAsia="TimesNewRoman"/>
                <w:szCs w:val="22"/>
                <w:lang w:val="sk-SK"/>
              </w:rPr>
            </w:pP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Na začiatku liečby</w:t>
            </w:r>
          </w:p>
          <w:p w:rsidR="00A72EBA" w:rsidRPr="001E3AD7" w:rsidRDefault="00A72EBA">
            <w:pPr>
              <w:autoSpaceDE w:val="0"/>
              <w:autoSpaceDN w:val="0"/>
              <w:adjustRightInd w:val="0"/>
              <w:rPr>
                <w:rFonts w:eastAsia="TimesNewRoman"/>
                <w:szCs w:val="22"/>
                <w:lang w:val="sk-SK"/>
              </w:rPr>
            </w:pPr>
            <w:r w:rsidRPr="001E3AD7">
              <w:rPr>
                <w:rFonts w:eastAsia="TimesNewRoman"/>
                <w:szCs w:val="22"/>
                <w:lang w:val="sk-SK"/>
              </w:rPr>
              <w:t>vorikonazolom u pacientov</w:t>
            </w:r>
          </w:p>
          <w:p w:rsidR="00A72EBA" w:rsidRPr="00887C06" w:rsidRDefault="00A72EBA">
            <w:pPr>
              <w:autoSpaceDE w:val="0"/>
              <w:autoSpaceDN w:val="0"/>
              <w:adjustRightInd w:val="0"/>
              <w:rPr>
                <w:rFonts w:eastAsia="TimesNewRoman"/>
                <w:szCs w:val="22"/>
                <w:lang w:val="sk-SK"/>
              </w:rPr>
            </w:pPr>
            <w:r w:rsidRPr="00887C06">
              <w:rPr>
                <w:rFonts w:eastAsia="TimesNewRoman"/>
                <w:szCs w:val="22"/>
                <w:lang w:val="sk-SK"/>
              </w:rPr>
              <w:t>už liečených takrolimusom</w:t>
            </w:r>
          </w:p>
          <w:p w:rsidR="00A72EBA" w:rsidRPr="00E846EC" w:rsidRDefault="00A72EBA">
            <w:pPr>
              <w:autoSpaceDE w:val="0"/>
              <w:autoSpaceDN w:val="0"/>
              <w:adjustRightInd w:val="0"/>
              <w:rPr>
                <w:rFonts w:eastAsia="TimesNewRoman"/>
                <w:szCs w:val="22"/>
                <w:lang w:val="sk-SK"/>
              </w:rPr>
            </w:pPr>
            <w:r w:rsidRPr="00606FAB">
              <w:rPr>
                <w:rFonts w:eastAsia="TimesNewRoman"/>
                <w:szCs w:val="22"/>
                <w:lang w:val="sk-SK"/>
              </w:rPr>
              <w:t>sa odporúča, aby sa dávka</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takrolimusu znížila na tretinu</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pôvodnej dávky a hladina</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takrolimusu sa dôkladne</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sledovala. Zvýšené hladiny</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takrolimusu boli spojené</w:t>
            </w:r>
          </w:p>
          <w:p w:rsidR="00A72EBA" w:rsidRPr="003B679E" w:rsidRDefault="00A72EBA">
            <w:pPr>
              <w:autoSpaceDE w:val="0"/>
              <w:autoSpaceDN w:val="0"/>
              <w:adjustRightInd w:val="0"/>
              <w:rPr>
                <w:rFonts w:eastAsia="TimesNewRoman"/>
                <w:szCs w:val="22"/>
                <w:u w:val="single"/>
                <w:lang w:val="sk-SK"/>
              </w:rPr>
            </w:pPr>
            <w:r w:rsidRPr="003B679E">
              <w:rPr>
                <w:rFonts w:eastAsia="TimesNewRoman"/>
                <w:szCs w:val="22"/>
                <w:lang w:val="sk-SK"/>
              </w:rPr>
              <w:t xml:space="preserve">s nefrotoxicitou. </w:t>
            </w:r>
            <w:r w:rsidRPr="003B679E">
              <w:rPr>
                <w:rFonts w:eastAsia="TimesNewRoman"/>
                <w:szCs w:val="22"/>
                <w:u w:val="single"/>
                <w:lang w:val="sk-SK"/>
              </w:rPr>
              <w:t>Pri vysadení</w:t>
            </w:r>
          </w:p>
          <w:p w:rsidR="00A72EBA" w:rsidRPr="003B679E" w:rsidRDefault="00A72EBA">
            <w:pPr>
              <w:autoSpaceDE w:val="0"/>
              <w:autoSpaceDN w:val="0"/>
              <w:adjustRightInd w:val="0"/>
              <w:rPr>
                <w:rFonts w:eastAsia="TimesNewRoman"/>
                <w:szCs w:val="22"/>
                <w:u w:val="single"/>
                <w:lang w:val="sk-SK"/>
              </w:rPr>
            </w:pPr>
            <w:r w:rsidRPr="003B679E">
              <w:rPr>
                <w:rFonts w:eastAsia="TimesNewRoman"/>
                <w:szCs w:val="22"/>
                <w:u w:val="single"/>
                <w:lang w:val="sk-SK"/>
              </w:rPr>
              <w:t>vorikonazolu sa musia</w:t>
            </w:r>
          </w:p>
          <w:p w:rsidR="00A72EBA" w:rsidRPr="003B679E" w:rsidRDefault="00A72EBA">
            <w:pPr>
              <w:autoSpaceDE w:val="0"/>
              <w:autoSpaceDN w:val="0"/>
              <w:adjustRightInd w:val="0"/>
              <w:rPr>
                <w:rFonts w:eastAsia="TimesNewRoman"/>
                <w:szCs w:val="22"/>
                <w:u w:val="single"/>
                <w:lang w:val="sk-SK"/>
              </w:rPr>
            </w:pPr>
            <w:r w:rsidRPr="003B679E">
              <w:rPr>
                <w:rFonts w:eastAsia="TimesNewRoman"/>
                <w:szCs w:val="22"/>
                <w:u w:val="single"/>
                <w:lang w:val="sk-SK"/>
              </w:rPr>
              <w:t>starostlivo sledovať hladiny</w:t>
            </w:r>
          </w:p>
          <w:p w:rsidR="00A72EBA" w:rsidRPr="003B679E" w:rsidRDefault="00A72EBA">
            <w:pPr>
              <w:autoSpaceDE w:val="0"/>
              <w:autoSpaceDN w:val="0"/>
              <w:adjustRightInd w:val="0"/>
              <w:rPr>
                <w:rFonts w:eastAsia="TimesNewRoman"/>
                <w:szCs w:val="22"/>
                <w:u w:val="single"/>
                <w:lang w:val="sk-SK"/>
              </w:rPr>
            </w:pPr>
            <w:r w:rsidRPr="003B679E">
              <w:rPr>
                <w:rFonts w:eastAsia="TimesNewRoman"/>
                <w:szCs w:val="22"/>
                <w:u w:val="single"/>
                <w:lang w:val="sk-SK"/>
              </w:rPr>
              <w:t>takrolimusu a dávka sa musí</w:t>
            </w:r>
          </w:p>
          <w:p w:rsidR="00A72EBA" w:rsidRPr="003B679E" w:rsidRDefault="00A72EBA">
            <w:pPr>
              <w:rPr>
                <w:szCs w:val="22"/>
                <w:lang w:val="sk-SK"/>
              </w:rPr>
            </w:pPr>
            <w:r w:rsidRPr="003B679E">
              <w:rPr>
                <w:rFonts w:eastAsia="TimesNewRoman"/>
                <w:szCs w:val="22"/>
                <w:u w:val="single"/>
                <w:lang w:val="sk-SK"/>
              </w:rPr>
              <w:t>zvýšiť podľa potreby</w:t>
            </w:r>
            <w:r w:rsidRPr="003B679E">
              <w:rPr>
                <w:rFonts w:eastAsia="TimesNewRoman"/>
                <w:szCs w:val="22"/>
                <w:lang w:val="sk-SK"/>
              </w:rPr>
              <w:t>.</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Dlhodobo pôsobiace opiáty</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[substráty CYP3A4]</w:t>
            </w: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szCs w:val="22"/>
                <w:lang w:val="sk-SK"/>
              </w:rPr>
            </w:pPr>
            <w:r w:rsidRPr="00D32133">
              <w:rPr>
                <w:rFonts w:eastAsia="TimesNewRoman"/>
                <w:szCs w:val="22"/>
                <w:lang w:val="sk-SK"/>
              </w:rPr>
              <w:t>Oxykodón (10 mg jednorazová dávka)</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p>
          <w:p w:rsidR="00A72EBA" w:rsidRPr="00B86E52" w:rsidRDefault="00A72EBA">
            <w:pPr>
              <w:autoSpaceDE w:val="0"/>
              <w:autoSpaceDN w:val="0"/>
              <w:adjustRightInd w:val="0"/>
              <w:rPr>
                <w:rFonts w:eastAsia="TimesNewRoman"/>
                <w:szCs w:val="22"/>
                <w:lang w:val="sk-SK"/>
              </w:rPr>
            </w:pPr>
          </w:p>
          <w:p w:rsidR="00A72EBA" w:rsidRPr="00324F85" w:rsidRDefault="00A72EBA">
            <w:pPr>
              <w:autoSpaceDE w:val="0"/>
              <w:autoSpaceDN w:val="0"/>
              <w:adjustRightInd w:val="0"/>
              <w:rPr>
                <w:rFonts w:eastAsia="TimesNewRoman"/>
                <w:szCs w:val="22"/>
                <w:lang w:val="sk-SK"/>
              </w:rPr>
            </w:pPr>
            <w:r w:rsidRPr="00F81158">
              <w:rPr>
                <w:rFonts w:eastAsia="TimesNewRoman"/>
                <w:szCs w:val="22"/>
                <w:lang w:val="sk-SK"/>
              </w:rPr>
              <w:t>V nezávislej publikovanej štúdii,</w:t>
            </w:r>
          </w:p>
          <w:p w:rsidR="00A72EBA" w:rsidRPr="00CB3225" w:rsidRDefault="00A72EBA">
            <w:pPr>
              <w:autoSpaceDE w:val="0"/>
              <w:autoSpaceDN w:val="0"/>
              <w:adjustRightInd w:val="0"/>
              <w:rPr>
                <w:rFonts w:eastAsia="TimesNewRoman"/>
                <w:szCs w:val="22"/>
                <w:lang w:val="sk-SK"/>
              </w:rPr>
            </w:pPr>
            <w:r w:rsidRPr="004B210D">
              <w:rPr>
                <w:rFonts w:eastAsia="TimesNewRoman"/>
                <w:szCs w:val="22"/>
                <w:lang w:val="sk-SK"/>
              </w:rPr>
              <w:t>Oxykodón C</w:t>
            </w:r>
            <w:r w:rsidRPr="007D21E2">
              <w:rPr>
                <w:rFonts w:eastAsia="TimesNewRoman"/>
                <w:szCs w:val="22"/>
                <w:vertAlign w:val="subscript"/>
                <w:lang w:val="sk-SK"/>
              </w:rPr>
              <w:t>max</w:t>
            </w:r>
            <w:r w:rsidRPr="007D21E2">
              <w:rPr>
                <w:rFonts w:eastAsia="TimesNewRoman"/>
                <w:szCs w:val="22"/>
                <w:lang w:val="sk-SK"/>
              </w:rPr>
              <w:t xml:space="preserve"> </w:t>
            </w:r>
            <w:r w:rsidRPr="007D21E2">
              <w:rPr>
                <w:rFonts w:eastAsia="TimesNewRoman" w:hint="eastAsia"/>
                <w:szCs w:val="22"/>
                <w:lang w:val="sk-SK"/>
              </w:rPr>
              <w:t>↑</w:t>
            </w:r>
            <w:r w:rsidRPr="00D32133">
              <w:rPr>
                <w:rFonts w:eastAsia="TimesNewRoman"/>
                <w:szCs w:val="22"/>
                <w:lang w:val="sk-SK"/>
              </w:rPr>
              <w:t xml:space="preserve"> 1,7-krát</w:t>
            </w:r>
          </w:p>
          <w:p w:rsidR="00A72EBA" w:rsidRPr="00CB3225" w:rsidRDefault="00A72EBA">
            <w:pPr>
              <w:rPr>
                <w:szCs w:val="22"/>
                <w:lang w:val="sk-SK"/>
              </w:rPr>
            </w:pPr>
            <w:r w:rsidRPr="00E70B7A">
              <w:rPr>
                <w:rFonts w:eastAsia="TimesNewRoman"/>
                <w:szCs w:val="22"/>
                <w:lang w:val="sk-SK"/>
              </w:rPr>
              <w:t xml:space="preserve">Oxykodón </w:t>
            </w:r>
            <w:r w:rsidR="000A2A2B" w:rsidRPr="0093256A">
              <w:rPr>
                <w:szCs w:val="22"/>
                <w:lang w:val="sk-SK"/>
              </w:rPr>
              <w:t>AUC</w:t>
            </w:r>
            <w:r w:rsidR="000A2A2B" w:rsidRPr="0093256A">
              <w:rPr>
                <w:szCs w:val="22"/>
                <w:vertAlign w:val="subscript"/>
                <w:lang w:val="sk-SK"/>
              </w:rPr>
              <w:t>0-∞</w:t>
            </w:r>
            <w:r w:rsidRPr="00D32133">
              <w:rPr>
                <w:rFonts w:eastAsia="TimesNewRoman"/>
                <w:szCs w:val="22"/>
                <w:lang w:val="sk-SK"/>
              </w:rPr>
              <w:t xml:space="preserve"> </w:t>
            </w:r>
            <w:r w:rsidRPr="00D40A28">
              <w:rPr>
                <w:rFonts w:eastAsia="TimesNewRoman" w:hint="eastAsia"/>
                <w:szCs w:val="22"/>
                <w:lang w:val="sk-SK"/>
              </w:rPr>
              <w:t>↑</w:t>
            </w:r>
            <w:r w:rsidRPr="00D32133">
              <w:rPr>
                <w:rFonts w:eastAsia="TimesNewRoman"/>
                <w:szCs w:val="22"/>
                <w:lang w:val="sk-SK"/>
              </w:rPr>
              <w:t xml:space="preserve"> 3,6-krát</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Je potrebné zvážiť zníženie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dávky oxykodónu a iných</w:t>
            </w:r>
          </w:p>
          <w:p w:rsidR="00A72EBA" w:rsidRPr="00A438E0" w:rsidRDefault="00A72EBA">
            <w:pPr>
              <w:autoSpaceDE w:val="0"/>
              <w:autoSpaceDN w:val="0"/>
              <w:adjustRightInd w:val="0"/>
              <w:rPr>
                <w:rFonts w:eastAsia="TimesNewRoman"/>
                <w:szCs w:val="22"/>
                <w:lang w:val="sk-SK"/>
              </w:rPr>
            </w:pPr>
            <w:r w:rsidRPr="00F81158">
              <w:rPr>
                <w:rFonts w:eastAsia="TimesNewRoman"/>
                <w:szCs w:val="22"/>
                <w:lang w:val="sk-SK"/>
              </w:rPr>
              <w:t>dlhodobo pôsobiacich</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opiátov metabolizovaných</w:t>
            </w:r>
          </w:p>
          <w:p w:rsidR="00A72EBA" w:rsidRPr="00D32133" w:rsidRDefault="00A72EBA">
            <w:pPr>
              <w:autoSpaceDE w:val="0"/>
              <w:autoSpaceDN w:val="0"/>
              <w:adjustRightInd w:val="0"/>
              <w:rPr>
                <w:rFonts w:eastAsia="TimesNewRoman"/>
                <w:szCs w:val="22"/>
                <w:lang w:val="sk-SK"/>
              </w:rPr>
            </w:pPr>
            <w:r w:rsidRPr="004B210D">
              <w:rPr>
                <w:rFonts w:eastAsia="TimesNewRoman"/>
                <w:szCs w:val="22"/>
                <w:lang w:val="sk-SK"/>
              </w:rPr>
              <w:t>CYP3A4 (napr. hydrokodón). Môže byť nevyhnutné časté sledovanie nežiaducich reakcií</w:t>
            </w:r>
          </w:p>
          <w:p w:rsidR="00A72EBA" w:rsidRPr="00D32133" w:rsidRDefault="00A72EBA">
            <w:pPr>
              <w:rPr>
                <w:szCs w:val="22"/>
                <w:lang w:val="sk-SK"/>
              </w:rPr>
            </w:pPr>
            <w:r w:rsidRPr="00D32133">
              <w:rPr>
                <w:rFonts w:eastAsia="TimesNewRoman"/>
                <w:szCs w:val="22"/>
                <w:lang w:val="sk-SK"/>
              </w:rPr>
              <w:t>spojených s opiátmi.</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Metad</w:t>
            </w:r>
            <w:r w:rsidR="00603993">
              <w:rPr>
                <w:rFonts w:eastAsia="TimesNewRoman"/>
                <w:szCs w:val="22"/>
                <w:lang w:val="sk-SK"/>
              </w:rPr>
              <w:t>ó</w:t>
            </w:r>
            <w:r w:rsidRPr="00D32133">
              <w:rPr>
                <w:rFonts w:eastAsia="TimesNewRoman"/>
                <w:szCs w:val="22"/>
                <w:lang w:val="sk-SK"/>
              </w:rPr>
              <w:t>n (32 – 100 mg QD)</w:t>
            </w:r>
          </w:p>
          <w:p w:rsidR="00A72EBA" w:rsidRPr="00413EE1" w:rsidRDefault="00A72EBA" w:rsidP="00D32133">
            <w:pPr>
              <w:autoSpaceDE w:val="0"/>
              <w:autoSpaceDN w:val="0"/>
              <w:adjustRightInd w:val="0"/>
              <w:rPr>
                <w:rFonts w:eastAsia="TimesNewRoman"/>
                <w:szCs w:val="22"/>
                <w:lang w:val="sk-SK"/>
              </w:rPr>
            </w:pPr>
            <w:r w:rsidRPr="00E70B7A">
              <w:rPr>
                <w:rFonts w:eastAsia="TimesNewRoman,Italic"/>
                <w:i/>
                <w:iCs/>
                <w:szCs w:val="22"/>
                <w:lang w:val="sk-SK"/>
              </w:rPr>
              <w:t xml:space="preserve">[substrát CYP3A4]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R-metad</w:t>
            </w:r>
            <w:r w:rsidR="00603993">
              <w:rPr>
                <w:rFonts w:eastAsia="TimesNewRoman"/>
                <w:szCs w:val="22"/>
                <w:lang w:val="sk-SK"/>
              </w:rPr>
              <w:t>ó</w:t>
            </w:r>
            <w:r w:rsidRPr="00D32133">
              <w:rPr>
                <w:rFonts w:eastAsia="TimesNewRoman"/>
                <w:szCs w:val="22"/>
                <w:lang w:val="sk-SK"/>
              </w:rPr>
              <w:t xml:space="preserve">n (aktívny) </w:t>
            </w:r>
          </w:p>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C</w:t>
            </w:r>
            <w:r w:rsidRPr="00D40A28">
              <w:rPr>
                <w:rFonts w:eastAsia="TimesNewRoman"/>
                <w:szCs w:val="22"/>
                <w:vertAlign w:val="subscript"/>
                <w:lang w:val="sk-SK"/>
              </w:rPr>
              <w:t>max</w:t>
            </w:r>
            <w:r w:rsidRPr="00A954DB">
              <w:rPr>
                <w:rFonts w:eastAsia="TimesNewRoman" w:hint="eastAsia"/>
                <w:szCs w:val="22"/>
                <w:lang w:val="sk-SK"/>
              </w:rPr>
              <w:t xml:space="preserve"> </w:t>
            </w:r>
            <w:r w:rsidRPr="00A757AA">
              <w:rPr>
                <w:rFonts w:eastAsia="TimesNewRoman" w:hint="eastAsia"/>
                <w:szCs w:val="22"/>
                <w:lang w:val="sk-SK"/>
              </w:rPr>
              <w:t>↑</w:t>
            </w:r>
            <w:r w:rsidRPr="00D32133">
              <w:rPr>
                <w:rFonts w:eastAsia="TimesNewRoman"/>
                <w:szCs w:val="22"/>
                <w:lang w:val="sk-SK"/>
              </w:rPr>
              <w:t xml:space="preserve"> 31 %</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R-metad</w:t>
            </w:r>
            <w:r w:rsidR="00603993">
              <w:rPr>
                <w:rFonts w:eastAsia="TimesNewRoman"/>
                <w:szCs w:val="22"/>
                <w:lang w:val="sk-SK"/>
              </w:rPr>
              <w:t>ó</w:t>
            </w:r>
            <w:r w:rsidRPr="00D40A28">
              <w:rPr>
                <w:rFonts w:eastAsia="TimesNewRoman"/>
                <w:szCs w:val="22"/>
                <w:lang w:val="sk-SK"/>
              </w:rPr>
              <w:t xml:space="preserve">n (aktívny) </w:t>
            </w:r>
          </w:p>
          <w:p w:rsidR="00A72EBA" w:rsidRPr="00E70B7A" w:rsidRDefault="00A72EBA">
            <w:pPr>
              <w:autoSpaceDE w:val="0"/>
              <w:autoSpaceDN w:val="0"/>
              <w:adjustRightInd w:val="0"/>
              <w:rPr>
                <w:rFonts w:eastAsia="TimesNewRoman"/>
                <w:szCs w:val="22"/>
                <w:lang w:val="sk-SK"/>
              </w:rPr>
            </w:pPr>
            <w:r w:rsidRPr="00D32133">
              <w:rPr>
                <w:rFonts w:eastAsia="TimesNewRoman"/>
                <w:szCs w:val="22"/>
                <w:lang w:val="sk-SK"/>
              </w:rPr>
              <w:t>AUC</w:t>
            </w:r>
            <w:r w:rsidR="004F0446" w:rsidRPr="00744F05">
              <w:rPr>
                <w:vertAlign w:val="subscript"/>
              </w:rPr>
              <w:t>τ</w:t>
            </w:r>
            <w:r w:rsidRPr="00D32133">
              <w:rPr>
                <w:rFonts w:eastAsia="TimesNewRoman"/>
                <w:szCs w:val="22"/>
                <w:vertAlign w:val="subscript"/>
                <w:lang w:val="sk-SK"/>
              </w:rPr>
              <w:t xml:space="preserve"> </w:t>
            </w:r>
            <w:r w:rsidRPr="00CB3225">
              <w:rPr>
                <w:rFonts w:eastAsia="TimesNewRoman"/>
                <w:szCs w:val="22"/>
                <w:lang w:val="sk-SK"/>
              </w:rPr>
              <w:t>↑ 47 %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S-metad</w:t>
            </w:r>
            <w:r w:rsidR="00603993">
              <w:rPr>
                <w:rFonts w:eastAsia="TimesNewRoman"/>
                <w:szCs w:val="22"/>
                <w:lang w:val="sk-SK"/>
              </w:rPr>
              <w:t>ó</w:t>
            </w:r>
            <w:r w:rsidRPr="00D32133">
              <w:rPr>
                <w:rFonts w:eastAsia="TimesNewRoman"/>
                <w:szCs w:val="22"/>
                <w:lang w:val="sk-SK"/>
              </w:rPr>
              <w:t>n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65 %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lastRenderedPageBreak/>
              <w:t>S-metad</w:t>
            </w:r>
            <w:r w:rsidR="00603993">
              <w:rPr>
                <w:rFonts w:eastAsia="TimesNewRoman"/>
                <w:szCs w:val="22"/>
                <w:lang w:val="sk-SK"/>
              </w:rPr>
              <w:t>ó</w:t>
            </w:r>
            <w:r w:rsidRPr="00D32133">
              <w:rPr>
                <w:rFonts w:eastAsia="TimesNewRoman"/>
                <w:szCs w:val="22"/>
                <w:lang w:val="sk-SK"/>
              </w:rPr>
              <w:t>n AUC</w:t>
            </w:r>
            <w:r w:rsidR="0042687F" w:rsidRPr="00744F05">
              <w:rPr>
                <w:vertAlign w:val="subscript"/>
              </w:rPr>
              <w:t>τ</w:t>
            </w:r>
            <w:r w:rsidRPr="00D32133">
              <w:rPr>
                <w:rFonts w:eastAsia="TimesNewRoman"/>
                <w:szCs w:val="22"/>
                <w:lang w:val="sk-SK"/>
              </w:rPr>
              <w:t xml:space="preserve"> ↑ 103 %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lastRenderedPageBreak/>
              <w:t>Odporúča sa časté sledovanie</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nežiaducich reakcií a toxicity</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spojených s metad</w:t>
            </w:r>
            <w:r w:rsidR="005B5CA3">
              <w:rPr>
                <w:rFonts w:eastAsia="TimesNewRoman"/>
                <w:szCs w:val="22"/>
                <w:lang w:val="sk-SK"/>
              </w:rPr>
              <w:t>ó</w:t>
            </w:r>
            <w:r w:rsidRPr="00D32133">
              <w:rPr>
                <w:rFonts w:eastAsia="TimesNewRoman"/>
                <w:szCs w:val="22"/>
                <w:lang w:val="sk-SK"/>
              </w:rPr>
              <w:t>nom,</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vrátane predĺženia QT</w:t>
            </w:r>
            <w:r w:rsidR="00BF51BB">
              <w:rPr>
                <w:rFonts w:eastAsia="TimesNewRoman"/>
                <w:szCs w:val="22"/>
                <w:lang w:val="sk-SK"/>
              </w:rPr>
              <w:t>c intervalu</w:t>
            </w:r>
            <w:r w:rsidRPr="00D32133">
              <w:rPr>
                <w:rFonts w:eastAsia="TimesNewRoman"/>
                <w:szCs w:val="22"/>
                <w:lang w:val="sk-SK"/>
              </w:rPr>
              <w:t>. Môže byť potrebné zníženie dávky metad</w:t>
            </w:r>
            <w:r w:rsidR="0099103D">
              <w:rPr>
                <w:rFonts w:eastAsia="TimesNewRoman"/>
                <w:szCs w:val="22"/>
                <w:lang w:val="sk-SK"/>
              </w:rPr>
              <w:t>ó</w:t>
            </w:r>
            <w:r w:rsidRPr="00D32133">
              <w:rPr>
                <w:rFonts w:eastAsia="TimesNewRoman"/>
                <w:szCs w:val="22"/>
                <w:lang w:val="sk-SK"/>
              </w:rPr>
              <w:t>nu.</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Nesteroidové antiflogistiká</w:t>
            </w:r>
          </w:p>
          <w:p w:rsidR="00A72EBA" w:rsidRPr="00D32133" w:rsidRDefault="00A72EBA" w:rsidP="00D32133">
            <w:pPr>
              <w:autoSpaceDE w:val="0"/>
              <w:autoSpaceDN w:val="0"/>
              <w:adjustRightInd w:val="0"/>
              <w:rPr>
                <w:rFonts w:eastAsia="TimesNewRoman,Italic"/>
                <w:i/>
                <w:iCs/>
                <w:szCs w:val="22"/>
                <w:lang w:val="sk-SK"/>
              </w:rPr>
            </w:pPr>
            <w:r w:rsidRPr="00E70B7A">
              <w:rPr>
                <w:rFonts w:eastAsia="TimesNewRoman"/>
                <w:szCs w:val="22"/>
                <w:lang w:val="sk-SK"/>
              </w:rPr>
              <w:t xml:space="preserve">(NSAID) </w:t>
            </w:r>
            <w:r w:rsidRPr="00413EE1">
              <w:rPr>
                <w:rFonts w:eastAsia="TimesNewRoman,Italic"/>
                <w:i/>
                <w:iCs/>
                <w:szCs w:val="22"/>
                <w:lang w:val="sk-SK"/>
              </w:rPr>
              <w:t>[substráty CYP2C9]</w:t>
            </w: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r w:rsidRPr="00D32133">
              <w:rPr>
                <w:rFonts w:eastAsia="TimesNewRoman"/>
                <w:szCs w:val="22"/>
                <w:lang w:val="sk-SK"/>
              </w:rPr>
              <w:t>Ibuprofen (400 mg jednorazová dávka)</w:t>
            </w:r>
          </w:p>
          <w:p w:rsidR="00A72EBA" w:rsidRPr="00D40A28"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r w:rsidRPr="00B86E52">
              <w:rPr>
                <w:rFonts w:eastAsia="TimesNewRoman"/>
                <w:szCs w:val="22"/>
                <w:lang w:val="sk-SK"/>
              </w:rPr>
              <w:t>Diklofenak (50 mg jednorazová dávka)</w:t>
            </w:r>
          </w:p>
        </w:tc>
        <w:tc>
          <w:tcPr>
            <w:tcW w:w="3071" w:type="dxa"/>
            <w:shd w:val="clear" w:color="auto" w:fill="auto"/>
          </w:tcPr>
          <w:p w:rsidR="00A72EBA" w:rsidRPr="00324F85" w:rsidRDefault="00A72EBA">
            <w:pPr>
              <w:autoSpaceDE w:val="0"/>
              <w:autoSpaceDN w:val="0"/>
              <w:adjustRightInd w:val="0"/>
              <w:rPr>
                <w:rFonts w:eastAsia="TimesNewRoman"/>
                <w:szCs w:val="22"/>
                <w:lang w:val="sk-SK"/>
              </w:rPr>
            </w:pPr>
          </w:p>
          <w:p w:rsidR="00A72EBA" w:rsidRPr="004B210D" w:rsidRDefault="00A72EBA">
            <w:pPr>
              <w:autoSpaceDE w:val="0"/>
              <w:autoSpaceDN w:val="0"/>
              <w:adjustRightInd w:val="0"/>
              <w:rPr>
                <w:rFonts w:eastAsia="TimesNewRoman"/>
                <w:szCs w:val="22"/>
                <w:lang w:val="sk-SK"/>
              </w:rPr>
            </w:pPr>
          </w:p>
          <w:p w:rsidR="00A72EBA" w:rsidRPr="00C637EC" w:rsidRDefault="00A72EBA">
            <w:pPr>
              <w:autoSpaceDE w:val="0"/>
              <w:autoSpaceDN w:val="0"/>
              <w:adjustRightInd w:val="0"/>
              <w:rPr>
                <w:rFonts w:eastAsia="TimesNewRoman"/>
                <w:szCs w:val="22"/>
                <w:lang w:val="sk-SK"/>
              </w:rPr>
            </w:pPr>
          </w:p>
          <w:p w:rsidR="00A72EBA" w:rsidRPr="00020B24" w:rsidRDefault="00A72EBA">
            <w:pPr>
              <w:autoSpaceDE w:val="0"/>
              <w:autoSpaceDN w:val="0"/>
              <w:adjustRightInd w:val="0"/>
              <w:rPr>
                <w:rFonts w:eastAsia="TimesNewRoman"/>
                <w:szCs w:val="22"/>
                <w:lang w:val="sk-SK"/>
              </w:rPr>
            </w:pPr>
            <w:r w:rsidRPr="00604E6B">
              <w:rPr>
                <w:rFonts w:eastAsia="TimesNewRoman"/>
                <w:szCs w:val="22"/>
                <w:lang w:val="sk-SK"/>
              </w:rPr>
              <w:t>S-Ibuprofen C</w:t>
            </w:r>
            <w:r w:rsidRPr="0029661F">
              <w:rPr>
                <w:rFonts w:eastAsia="TimesNewRoman"/>
                <w:szCs w:val="22"/>
                <w:vertAlign w:val="subscript"/>
                <w:lang w:val="sk-SK"/>
              </w:rPr>
              <w:t>max</w:t>
            </w:r>
            <w:r w:rsidRPr="0029661F">
              <w:rPr>
                <w:rFonts w:eastAsia="TimesNewRoman"/>
                <w:szCs w:val="22"/>
                <w:lang w:val="sk-SK"/>
              </w:rPr>
              <w:t xml:space="preserve"> a</w:t>
            </w:r>
            <w:r w:rsidRPr="00020B24">
              <w:rPr>
                <w:rFonts w:eastAsia="TimesNewRoman"/>
                <w:szCs w:val="22"/>
                <w:lang w:val="sk-SK"/>
              </w:rPr>
              <w:t xml:space="preserve"> 20 %</w:t>
            </w:r>
          </w:p>
          <w:p w:rsidR="00A72EBA" w:rsidRPr="00020B24" w:rsidRDefault="00A72EBA">
            <w:pPr>
              <w:autoSpaceDE w:val="0"/>
              <w:autoSpaceDN w:val="0"/>
              <w:adjustRightInd w:val="0"/>
              <w:rPr>
                <w:rFonts w:eastAsia="TimesNewRoman"/>
                <w:szCs w:val="22"/>
                <w:lang w:val="sk-SK"/>
              </w:rPr>
            </w:pPr>
            <w:r w:rsidRPr="006052D5">
              <w:rPr>
                <w:rFonts w:eastAsia="TimesNewRoman"/>
                <w:szCs w:val="22"/>
                <w:lang w:val="sk-SK"/>
              </w:rPr>
              <w:t xml:space="preserve">S-Ibuprofen </w:t>
            </w:r>
            <w:r w:rsidR="00D31D53" w:rsidRPr="0093256A">
              <w:rPr>
                <w:szCs w:val="22"/>
                <w:lang w:val="sk-SK"/>
              </w:rPr>
              <w:t>AUC</w:t>
            </w:r>
            <w:r w:rsidR="00D31D53" w:rsidRPr="0093256A">
              <w:rPr>
                <w:szCs w:val="22"/>
                <w:vertAlign w:val="subscript"/>
                <w:lang w:val="sk-SK"/>
              </w:rPr>
              <w:t>0-∞</w:t>
            </w:r>
            <w:r w:rsidRPr="006052D5">
              <w:rPr>
                <w:rFonts w:eastAsia="TimesNewRoman"/>
                <w:szCs w:val="22"/>
                <w:lang w:val="sk-SK"/>
              </w:rPr>
              <w:t xml:space="preserve"> </w:t>
            </w:r>
            <w:r w:rsidRPr="00020B24">
              <w:rPr>
                <w:rFonts w:eastAsia="TimesNewRoman" w:hint="eastAsia"/>
                <w:szCs w:val="22"/>
                <w:lang w:val="sk-SK"/>
              </w:rPr>
              <w:t>↑</w:t>
            </w:r>
            <w:r w:rsidRPr="00020B24">
              <w:rPr>
                <w:rFonts w:eastAsia="TimesNewRoman"/>
                <w:szCs w:val="22"/>
                <w:lang w:val="sk-SK"/>
              </w:rPr>
              <w:t xml:space="preserve"> 100 %</w:t>
            </w:r>
          </w:p>
          <w:p w:rsidR="00A72EBA" w:rsidRPr="00020B24" w:rsidRDefault="00A72EBA">
            <w:pPr>
              <w:autoSpaceDE w:val="0"/>
              <w:autoSpaceDN w:val="0"/>
              <w:adjustRightInd w:val="0"/>
              <w:rPr>
                <w:rFonts w:eastAsia="TimesNewRoman"/>
                <w:szCs w:val="22"/>
                <w:lang w:val="sk-SK"/>
              </w:rPr>
            </w:pPr>
          </w:p>
          <w:p w:rsidR="00077723" w:rsidRPr="006052D5" w:rsidRDefault="00A72EBA" w:rsidP="00077723">
            <w:pPr>
              <w:autoSpaceDE w:val="0"/>
              <w:autoSpaceDN w:val="0"/>
              <w:adjustRightInd w:val="0"/>
              <w:rPr>
                <w:rFonts w:eastAsia="TimesNewRoman"/>
                <w:szCs w:val="22"/>
                <w:lang w:val="sk-SK"/>
              </w:rPr>
            </w:pPr>
            <w:r w:rsidRPr="00020B24">
              <w:rPr>
                <w:rFonts w:eastAsia="TimesNewRoman"/>
                <w:szCs w:val="22"/>
                <w:lang w:val="sk-SK"/>
              </w:rPr>
              <w:t>Diklofenak C</w:t>
            </w:r>
            <w:r w:rsidRPr="00020B24">
              <w:rPr>
                <w:rFonts w:eastAsia="TimesNewRoman"/>
                <w:szCs w:val="22"/>
                <w:vertAlign w:val="subscript"/>
                <w:lang w:val="sk-SK"/>
              </w:rPr>
              <w:t>max</w:t>
            </w:r>
            <w:r w:rsidRPr="00020B24">
              <w:rPr>
                <w:rFonts w:eastAsia="TimesNewRoman"/>
                <w:szCs w:val="22"/>
                <w:lang w:val="sk-SK"/>
              </w:rPr>
              <w:t xml:space="preserve"> </w:t>
            </w:r>
            <w:r w:rsidR="00077723" w:rsidRPr="00020B24">
              <w:rPr>
                <w:rFonts w:eastAsia="TimesNewRoman" w:hint="eastAsia"/>
                <w:szCs w:val="22"/>
                <w:lang w:val="sk-SK"/>
              </w:rPr>
              <w:t>↑</w:t>
            </w:r>
            <w:r w:rsidR="00020B24">
              <w:rPr>
                <w:rFonts w:eastAsia="TimesNewRoman"/>
                <w:szCs w:val="22"/>
                <w:lang w:val="sk-SK"/>
              </w:rPr>
              <w:t xml:space="preserve"> </w:t>
            </w:r>
            <w:r w:rsidR="00077723" w:rsidRPr="00020B24">
              <w:rPr>
                <w:rFonts w:eastAsia="TimesNewRoman"/>
                <w:szCs w:val="22"/>
                <w:lang w:val="sk-SK"/>
              </w:rPr>
              <w:t>114 %</w:t>
            </w:r>
          </w:p>
          <w:p w:rsidR="00A72EBA" w:rsidRPr="00077723" w:rsidRDefault="00A72EBA">
            <w:pPr>
              <w:autoSpaceDE w:val="0"/>
              <w:autoSpaceDN w:val="0"/>
              <w:adjustRightInd w:val="0"/>
              <w:rPr>
                <w:rFonts w:eastAsia="TimesNewRoman"/>
                <w:szCs w:val="22"/>
                <w:lang w:val="sk-SK"/>
              </w:rPr>
            </w:pPr>
          </w:p>
          <w:p w:rsidR="006052D5" w:rsidRPr="000A2A2B" w:rsidRDefault="00A72EBA">
            <w:pPr>
              <w:autoSpaceDE w:val="0"/>
              <w:autoSpaceDN w:val="0"/>
              <w:adjustRightInd w:val="0"/>
              <w:rPr>
                <w:rFonts w:eastAsia="TimesNewRoman"/>
                <w:szCs w:val="22"/>
                <w:lang w:val="sk-SK"/>
              </w:rPr>
            </w:pPr>
            <w:r w:rsidRPr="006052D5">
              <w:rPr>
                <w:rFonts w:eastAsia="TimesNewRoman"/>
                <w:szCs w:val="22"/>
                <w:lang w:val="sk-SK"/>
              </w:rPr>
              <w:t xml:space="preserve">Diklofenak </w:t>
            </w:r>
            <w:r w:rsidR="00D31D53" w:rsidRPr="0093256A">
              <w:rPr>
                <w:szCs w:val="22"/>
                <w:lang w:val="sk-SK"/>
              </w:rPr>
              <w:t>AUC</w:t>
            </w:r>
            <w:r w:rsidR="00D31D53" w:rsidRPr="0093256A">
              <w:rPr>
                <w:szCs w:val="22"/>
                <w:vertAlign w:val="subscript"/>
                <w:lang w:val="sk-SK"/>
              </w:rPr>
              <w:t>0-∞</w:t>
            </w:r>
            <w:r w:rsidR="00D31D53" w:rsidRPr="0093256A">
              <w:rPr>
                <w:szCs w:val="22"/>
                <w:lang w:val="sk-SK"/>
              </w:rPr>
              <w:t xml:space="preserve"> </w:t>
            </w:r>
            <w:r w:rsidR="006052D5" w:rsidRPr="006052D5">
              <w:rPr>
                <w:rFonts w:eastAsia="TimesNewRoman" w:hint="eastAsia"/>
                <w:szCs w:val="22"/>
                <w:lang w:val="sk-SK"/>
              </w:rPr>
              <w:t>↑</w:t>
            </w:r>
            <w:r w:rsidR="006052D5">
              <w:rPr>
                <w:rFonts w:eastAsia="TimesNewRoman"/>
                <w:szCs w:val="22"/>
                <w:lang w:val="sk-SK"/>
              </w:rPr>
              <w:t xml:space="preserve"> </w:t>
            </w:r>
            <w:r w:rsidR="006052D5" w:rsidRPr="006052D5">
              <w:rPr>
                <w:rFonts w:eastAsia="TimesNewRoman"/>
                <w:szCs w:val="22"/>
                <w:lang w:val="sk-SK"/>
              </w:rPr>
              <w:t>78 %</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p>
          <w:p w:rsidR="00A72EBA" w:rsidRPr="00A757AA" w:rsidRDefault="00A72EBA">
            <w:pPr>
              <w:autoSpaceDE w:val="0"/>
              <w:autoSpaceDN w:val="0"/>
              <w:adjustRightInd w:val="0"/>
              <w:rPr>
                <w:rFonts w:eastAsia="TimesNewRoman"/>
                <w:szCs w:val="22"/>
                <w:lang w:val="sk-SK"/>
              </w:rPr>
            </w:pPr>
            <w:r w:rsidRPr="00D40A28">
              <w:rPr>
                <w:rFonts w:eastAsia="TimesNewRoman"/>
                <w:szCs w:val="22"/>
                <w:lang w:val="sk-SK"/>
              </w:rPr>
              <w:t xml:space="preserve">Odporúča </w:t>
            </w:r>
            <w:r w:rsidRPr="00A954DB">
              <w:rPr>
                <w:rFonts w:eastAsia="TimesNewRoman"/>
                <w:szCs w:val="22"/>
                <w:lang w:val="sk-SK"/>
              </w:rPr>
              <w:t>sa časté sledovanie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nežiaducich reakcií a toxicity</w:t>
            </w:r>
          </w:p>
          <w:p w:rsidR="00A72EBA" w:rsidRPr="00A438E0" w:rsidRDefault="00A72EBA">
            <w:pPr>
              <w:autoSpaceDE w:val="0"/>
              <w:autoSpaceDN w:val="0"/>
              <w:adjustRightInd w:val="0"/>
              <w:rPr>
                <w:rFonts w:eastAsia="TimesNewRoman"/>
                <w:szCs w:val="22"/>
                <w:lang w:val="sk-SK"/>
              </w:rPr>
            </w:pPr>
            <w:r w:rsidRPr="00F81158">
              <w:rPr>
                <w:rFonts w:eastAsia="TimesNewRoman"/>
                <w:szCs w:val="22"/>
                <w:lang w:val="sk-SK"/>
              </w:rPr>
              <w:t>spojenej s NSAID. Môže byť</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potrebné zníženie dávky</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NSAID.</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Omeprazol (40 mg QD)*</w:t>
            </w:r>
          </w:p>
          <w:p w:rsidR="00A72EBA" w:rsidRPr="00D32133"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 xml:space="preserve">[inhibítor CYP2C19; </w:t>
            </w:r>
            <w:r w:rsidRPr="00413EE1">
              <w:rPr>
                <w:rFonts w:eastAsia="TimesNewRoman,Italic"/>
                <w:i/>
                <w:iCs/>
                <w:szCs w:val="22"/>
                <w:lang w:val="sk-SK"/>
              </w:rPr>
              <w:t>substrát</w:t>
            </w:r>
          </w:p>
          <w:p w:rsidR="00A72EBA" w:rsidRPr="00D32133" w:rsidRDefault="00A72EBA">
            <w:pPr>
              <w:autoSpaceDE w:val="0"/>
              <w:autoSpaceDN w:val="0"/>
              <w:adjustRightInd w:val="0"/>
              <w:rPr>
                <w:rFonts w:eastAsia="TimesNewRoman"/>
                <w:szCs w:val="22"/>
                <w:lang w:val="sk-SK"/>
              </w:rPr>
            </w:pPr>
            <w:r w:rsidRPr="00D32133">
              <w:rPr>
                <w:rFonts w:eastAsia="TimesNewRoman,Italic"/>
                <w:i/>
                <w:iCs/>
                <w:szCs w:val="22"/>
                <w:lang w:val="sk-SK"/>
              </w:rPr>
              <w:t>CYP2C19 a CYP3A4]</w:t>
            </w:r>
          </w:p>
        </w:tc>
        <w:tc>
          <w:tcPr>
            <w:tcW w:w="3071" w:type="dxa"/>
            <w:shd w:val="clear" w:color="auto" w:fill="auto"/>
          </w:tcPr>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Omeprazol C</w:t>
            </w:r>
            <w:r w:rsidRPr="00D40A28">
              <w:rPr>
                <w:rFonts w:eastAsia="TimesNewRoman"/>
                <w:szCs w:val="22"/>
                <w:vertAlign w:val="subscript"/>
                <w:lang w:val="sk-SK"/>
              </w:rPr>
              <w:t>max</w:t>
            </w:r>
            <w:r w:rsidRPr="00A954DB">
              <w:rPr>
                <w:rFonts w:eastAsia="TimesNewRoman" w:hint="eastAsia"/>
                <w:szCs w:val="22"/>
                <w:lang w:val="sk-SK"/>
              </w:rPr>
              <w:t xml:space="preserve"> </w:t>
            </w:r>
            <w:r w:rsidRPr="00A757AA">
              <w:rPr>
                <w:rFonts w:eastAsia="TimesNewRoman" w:hint="eastAsia"/>
                <w:szCs w:val="22"/>
                <w:lang w:val="sk-SK"/>
              </w:rPr>
              <w:t>↑</w:t>
            </w:r>
            <w:r w:rsidRPr="00D32133">
              <w:rPr>
                <w:rFonts w:eastAsia="TimesNewRoman"/>
                <w:szCs w:val="22"/>
                <w:lang w:val="sk-SK"/>
              </w:rPr>
              <w:t xml:space="preserve"> 116 %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Omeprazol AUC</w:t>
            </w:r>
            <w:r w:rsidR="00E56865" w:rsidRPr="00744F05">
              <w:rPr>
                <w:vertAlign w:val="subscript"/>
              </w:rPr>
              <w:t>τ</w:t>
            </w:r>
            <w:r w:rsidRPr="00D32133">
              <w:rPr>
                <w:rFonts w:eastAsia="TimesNewRoman"/>
                <w:szCs w:val="22"/>
                <w:lang w:val="sk-SK"/>
              </w:rPr>
              <w:t xml:space="preserve"> ↑ 280 %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15 %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E56865" w:rsidRPr="00744F05">
              <w:rPr>
                <w:vertAlign w:val="subscript"/>
              </w:rPr>
              <w:t>τ</w:t>
            </w:r>
            <w:r w:rsidRPr="00D32133">
              <w:rPr>
                <w:rFonts w:eastAsia="TimesNewRoman"/>
                <w:szCs w:val="22"/>
                <w:lang w:val="sk-SK"/>
              </w:rPr>
              <w:t xml:space="preserve"> ↑ 41 %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Iné inhibítory protónovej pumpy, ktoré sú substrátmi CYP2C19, môžu byť tiež inhibované vorikonazolom a môžu mať za následok zvýšené plazmatické koncentrácie týchto liekov.</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Neodporúča sa úprava dávky</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vorikonazolu.</w:t>
            </w: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r w:rsidRPr="00D32133">
              <w:rPr>
                <w:rFonts w:eastAsia="TimesNewRoman"/>
                <w:szCs w:val="22"/>
                <w:lang w:val="sk-SK"/>
              </w:rPr>
              <w:t>Na začiatku liečby vorikonazolom u pacientov</w:t>
            </w:r>
          </w:p>
          <w:p w:rsidR="00A72EBA" w:rsidRPr="00A438E0" w:rsidRDefault="00D71FCE">
            <w:pPr>
              <w:autoSpaceDE w:val="0"/>
              <w:autoSpaceDN w:val="0"/>
              <w:adjustRightInd w:val="0"/>
              <w:rPr>
                <w:rFonts w:eastAsia="TimesNewRoman"/>
                <w:szCs w:val="22"/>
                <w:lang w:val="sk-SK"/>
              </w:rPr>
            </w:pPr>
            <w:r>
              <w:rPr>
                <w:rFonts w:eastAsia="TimesNewRoman"/>
                <w:szCs w:val="22"/>
                <w:lang w:val="sk-SK"/>
              </w:rPr>
              <w:t xml:space="preserve">už </w:t>
            </w:r>
            <w:r w:rsidR="00A72EBA" w:rsidRPr="00D40A28">
              <w:rPr>
                <w:rFonts w:eastAsia="TimesNewRoman"/>
                <w:szCs w:val="22"/>
                <w:lang w:val="sk-SK"/>
              </w:rPr>
              <w:t>užívajúcich dávky omeprazolu 40 mg alebo vyššie sa odporúča znížiť dávku omeprazolu na</w:t>
            </w:r>
            <w:r w:rsidR="008D5B76">
              <w:rPr>
                <w:rFonts w:eastAsia="TimesNewRoman"/>
                <w:szCs w:val="22"/>
                <w:lang w:val="sk-SK"/>
              </w:rPr>
              <w:t> </w:t>
            </w:r>
            <w:r w:rsidR="00A72EBA" w:rsidRPr="00F81158">
              <w:rPr>
                <w:rFonts w:eastAsia="TimesNewRoman"/>
                <w:szCs w:val="22"/>
                <w:lang w:val="sk-SK"/>
              </w:rPr>
              <w:t>polovicu.</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Perorálne kontraceptíva*</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[substrát CYP3A4; inhibítor</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CYP2C19]</w:t>
            </w:r>
          </w:p>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Noretisterón/etinylestradiol</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(1 mg/0,035 mg QD)</w:t>
            </w:r>
          </w:p>
        </w:tc>
        <w:tc>
          <w:tcPr>
            <w:tcW w:w="3071" w:type="dxa"/>
            <w:shd w:val="clear" w:color="auto" w:fill="auto"/>
          </w:tcPr>
          <w:p w:rsidR="00A72EBA" w:rsidRPr="00CB3225" w:rsidRDefault="00A72EBA">
            <w:pPr>
              <w:autoSpaceDE w:val="0"/>
              <w:autoSpaceDN w:val="0"/>
              <w:adjustRightInd w:val="0"/>
              <w:rPr>
                <w:rFonts w:eastAsia="TimesNewRoman"/>
                <w:szCs w:val="22"/>
                <w:lang w:val="sk-SK"/>
              </w:rPr>
            </w:pPr>
            <w:r w:rsidRPr="00F81158">
              <w:rPr>
                <w:rFonts w:eastAsia="TimesNewRoman"/>
                <w:szCs w:val="22"/>
                <w:lang w:val="sk-SK"/>
              </w:rPr>
              <w:t>Etinylestradiol C</w:t>
            </w:r>
            <w:r w:rsidRPr="00A438E0">
              <w:rPr>
                <w:rFonts w:eastAsia="TimesNewRoman"/>
                <w:szCs w:val="22"/>
                <w:vertAlign w:val="subscript"/>
                <w:lang w:val="sk-SK"/>
              </w:rPr>
              <w:t>max</w:t>
            </w:r>
            <w:r w:rsidRPr="00FA7839">
              <w:rPr>
                <w:rFonts w:eastAsia="TimesNewRoman" w:hint="eastAsia"/>
                <w:szCs w:val="22"/>
                <w:lang w:val="sk-SK"/>
              </w:rPr>
              <w:t xml:space="preserve"> </w:t>
            </w:r>
            <w:r w:rsidRPr="00603993">
              <w:rPr>
                <w:rFonts w:eastAsia="TimesNewRoman" w:hint="eastAsia"/>
                <w:szCs w:val="22"/>
                <w:lang w:val="sk-SK"/>
              </w:rPr>
              <w:t>↑</w:t>
            </w:r>
            <w:r w:rsidRPr="00D32133">
              <w:rPr>
                <w:rFonts w:eastAsia="TimesNewRoman"/>
                <w:szCs w:val="22"/>
                <w:lang w:val="sk-SK"/>
              </w:rPr>
              <w:t xml:space="preserve"> 36 %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Etinylestradiol AUC</w:t>
            </w:r>
            <w:r w:rsidR="00E56865" w:rsidRPr="00744F05">
              <w:rPr>
                <w:vertAlign w:val="subscript"/>
              </w:rPr>
              <w:t>τ</w:t>
            </w:r>
            <w:r w:rsidRPr="00D32133">
              <w:rPr>
                <w:rFonts w:eastAsia="TimesNewRoman"/>
                <w:szCs w:val="22"/>
                <w:lang w:val="sk-SK"/>
              </w:rPr>
              <w:t xml:space="preserve"> ↑ 61 %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Noretisterón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15 %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Noretisterón AUC</w:t>
            </w:r>
            <w:r w:rsidR="00E56865" w:rsidRPr="00744F05">
              <w:rPr>
                <w:vertAlign w:val="subscript"/>
              </w:rPr>
              <w:t>τ</w:t>
            </w:r>
            <w:r w:rsidRPr="00D32133">
              <w:rPr>
                <w:rFonts w:eastAsia="TimesNewRoman"/>
                <w:szCs w:val="22"/>
                <w:lang w:val="sk-SK"/>
              </w:rPr>
              <w:t xml:space="preserve"> ↑ 53 %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14 %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E56865" w:rsidRPr="00744F05">
              <w:rPr>
                <w:vertAlign w:val="subscript"/>
              </w:rPr>
              <w:t>τ</w:t>
            </w:r>
            <w:r w:rsidRPr="00D32133">
              <w:rPr>
                <w:rFonts w:eastAsia="TimesNewRoman"/>
                <w:szCs w:val="22"/>
                <w:lang w:val="sk-SK"/>
              </w:rPr>
              <w:t xml:space="preserve"> ↑ 46 %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Okrem sledovania nežiaducich reakcií spojených s vorikonazolom sa odporúča sledovanie aj nežiaducich reakcií spojených s perorálnymi</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kontraceptívami.</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Krátkodobo pôsobiace opiáty</w:t>
            </w:r>
          </w:p>
          <w:p w:rsidR="00A72EBA" w:rsidRPr="00413EE1"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[substráty CYP3A4]</w:t>
            </w:r>
          </w:p>
          <w:p w:rsidR="00A72EBA" w:rsidRPr="00D32133"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32133">
              <w:rPr>
                <w:rFonts w:eastAsia="TimesNewRoman"/>
                <w:szCs w:val="22"/>
                <w:lang w:val="sk-SK"/>
              </w:rPr>
              <w:t>Alfentanil (20 μg/kg jednorazová dávka, so</w:t>
            </w:r>
            <w:r w:rsidR="009677C8">
              <w:rPr>
                <w:rFonts w:eastAsia="TimesNewRoman"/>
                <w:szCs w:val="22"/>
                <w:lang w:val="sk-SK"/>
              </w:rPr>
              <w:t> </w:t>
            </w:r>
            <w:r w:rsidRPr="00D40A28">
              <w:rPr>
                <w:rFonts w:eastAsia="TimesNewRoman"/>
                <w:szCs w:val="22"/>
                <w:lang w:val="sk-SK"/>
              </w:rPr>
              <w:t>súbežným naloxónom)</w:t>
            </w:r>
          </w:p>
          <w:p w:rsidR="00A72EBA" w:rsidRPr="00B86E52"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Fentanyl (5</w:t>
            </w:r>
            <w:r w:rsidR="009677C8" w:rsidRPr="00D32133">
              <w:rPr>
                <w:rFonts w:eastAsia="TimesNewRoman"/>
                <w:szCs w:val="22"/>
                <w:lang w:val="sk-SK"/>
              </w:rPr>
              <w:t> μ</w:t>
            </w:r>
            <w:r w:rsidRPr="00D32133">
              <w:rPr>
                <w:rFonts w:eastAsia="TimesNewRoman"/>
                <w:szCs w:val="22"/>
                <w:lang w:val="sk-SK"/>
              </w:rPr>
              <w:t>g/kg jednorazová dávka)</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 nezávislej publikovanej štúdii,</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Alfentanil AUC</w:t>
            </w:r>
            <w:r w:rsidRPr="00D32133">
              <w:rPr>
                <w:rFonts w:eastAsia="TimesNewRoman" w:hint="eastAsia"/>
                <w:szCs w:val="22"/>
                <w:vertAlign w:val="subscript"/>
                <w:lang w:val="sk-SK"/>
              </w:rPr>
              <w:t>0-</w:t>
            </w:r>
            <w:r w:rsidRPr="00D32133">
              <w:rPr>
                <w:rFonts w:eastAsia="TimesNewRoman" w:hint="eastAsia"/>
                <w:szCs w:val="22"/>
                <w:vertAlign w:val="subscript"/>
                <w:lang w:val="sk-SK"/>
              </w:rPr>
              <w:t>∞</w:t>
            </w:r>
            <w:r w:rsidRPr="00D32133">
              <w:rPr>
                <w:rFonts w:eastAsia="TimesNewRoman"/>
                <w:szCs w:val="22"/>
                <w:lang w:val="sk-SK"/>
              </w:rPr>
              <w:t xml:space="preserve"> </w:t>
            </w:r>
            <w:r w:rsidRPr="00D32133">
              <w:rPr>
                <w:rFonts w:eastAsia="TimesNewRoman" w:hint="eastAsia"/>
                <w:szCs w:val="22"/>
                <w:lang w:val="sk-SK"/>
              </w:rPr>
              <w:t>↑</w:t>
            </w:r>
            <w:r w:rsidRPr="00D32133">
              <w:rPr>
                <w:rFonts w:eastAsia="TimesNewRoman"/>
                <w:szCs w:val="22"/>
                <w:lang w:val="sk-SK"/>
              </w:rPr>
              <w:t xml:space="preserve"> 6-krát</w:t>
            </w:r>
          </w:p>
          <w:p w:rsidR="00A72EBA" w:rsidRPr="00D32133" w:rsidRDefault="00A72EBA">
            <w:pPr>
              <w:autoSpaceDE w:val="0"/>
              <w:autoSpaceDN w:val="0"/>
              <w:adjustRightInd w:val="0"/>
              <w:rPr>
                <w:rFonts w:eastAsia="TimesNewRoman"/>
                <w:szCs w:val="22"/>
                <w:lang w:val="sk-SK"/>
              </w:rPr>
            </w:pPr>
          </w:p>
          <w:p w:rsidR="00A72EBA" w:rsidRPr="00D40A28" w:rsidRDefault="00A72EBA">
            <w:pPr>
              <w:autoSpaceDE w:val="0"/>
              <w:autoSpaceDN w:val="0"/>
              <w:adjustRightInd w:val="0"/>
              <w:rPr>
                <w:rFonts w:eastAsia="TimesNewRoman"/>
                <w:szCs w:val="22"/>
                <w:lang w:val="sk-SK"/>
              </w:rPr>
            </w:pPr>
            <w:r w:rsidRPr="00D32133">
              <w:rPr>
                <w:rFonts w:eastAsia="TimesNewRoman"/>
                <w:szCs w:val="22"/>
                <w:lang w:val="sk-SK"/>
              </w:rPr>
              <w:t>V nezávislej publikovanej štúdii,</w:t>
            </w:r>
          </w:p>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Fentanyl AUC</w:t>
            </w:r>
            <w:r w:rsidR="0005653F" w:rsidRPr="00D32133">
              <w:rPr>
                <w:rFonts w:eastAsia="TimesNewRoman" w:hint="eastAsia"/>
                <w:szCs w:val="22"/>
                <w:vertAlign w:val="subscript"/>
                <w:lang w:val="sk-SK"/>
              </w:rPr>
              <w:t>0-</w:t>
            </w:r>
            <w:r w:rsidR="0005653F" w:rsidRPr="00D32133">
              <w:rPr>
                <w:rFonts w:eastAsia="TimesNewRoman" w:hint="eastAsia"/>
                <w:szCs w:val="22"/>
                <w:vertAlign w:val="subscript"/>
                <w:lang w:val="sk-SK"/>
              </w:rPr>
              <w:t>∞</w:t>
            </w:r>
            <w:r w:rsidR="0005653F" w:rsidRPr="00D32133">
              <w:rPr>
                <w:rFonts w:eastAsia="TimesNewRoman"/>
                <w:szCs w:val="22"/>
                <w:lang w:val="sk-SK"/>
              </w:rPr>
              <w:t xml:space="preserve"> </w:t>
            </w:r>
            <w:r w:rsidRPr="00D32133">
              <w:rPr>
                <w:rFonts w:eastAsia="TimesNewRoman"/>
                <w:szCs w:val="22"/>
                <w:lang w:val="sk-SK"/>
              </w:rPr>
              <w:t xml:space="preserve"> </w:t>
            </w:r>
            <w:r w:rsidRPr="00D40A28">
              <w:rPr>
                <w:rFonts w:eastAsia="TimesNewRoman" w:hint="eastAsia"/>
                <w:szCs w:val="22"/>
                <w:lang w:val="sk-SK"/>
              </w:rPr>
              <w:t>↑</w:t>
            </w:r>
            <w:r w:rsidRPr="00D32133">
              <w:rPr>
                <w:rFonts w:eastAsia="TimesNewRoman"/>
                <w:szCs w:val="22"/>
                <w:lang w:val="sk-SK"/>
              </w:rPr>
              <w:t xml:space="preserve"> 1,34-krát</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Je potrebné zvážiť zníženie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dávky alfentanilu, fentanylu</w:t>
            </w:r>
          </w:p>
          <w:p w:rsidR="00A72EBA" w:rsidRPr="00A438E0" w:rsidRDefault="00A72EBA">
            <w:pPr>
              <w:autoSpaceDE w:val="0"/>
              <w:autoSpaceDN w:val="0"/>
              <w:adjustRightInd w:val="0"/>
              <w:rPr>
                <w:rFonts w:eastAsia="TimesNewRoman"/>
                <w:szCs w:val="22"/>
                <w:lang w:val="sk-SK"/>
              </w:rPr>
            </w:pPr>
            <w:r w:rsidRPr="00F81158">
              <w:rPr>
                <w:rFonts w:eastAsia="TimesNewRoman"/>
                <w:szCs w:val="22"/>
                <w:lang w:val="sk-SK"/>
              </w:rPr>
              <w:t>a iných krátkodobo</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pôsobiacich opiátov</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s podobnou štruktúrou ako</w:t>
            </w:r>
          </w:p>
          <w:p w:rsidR="00A72EBA" w:rsidRPr="00C637EC" w:rsidRDefault="00A72EBA">
            <w:pPr>
              <w:autoSpaceDE w:val="0"/>
              <w:autoSpaceDN w:val="0"/>
              <w:adjustRightInd w:val="0"/>
              <w:rPr>
                <w:rFonts w:eastAsia="TimesNewRoman"/>
                <w:szCs w:val="22"/>
                <w:lang w:val="sk-SK"/>
              </w:rPr>
            </w:pPr>
            <w:r w:rsidRPr="00C637EC">
              <w:rPr>
                <w:rFonts w:eastAsia="TimesNewRoman"/>
                <w:szCs w:val="22"/>
                <w:lang w:val="sk-SK"/>
              </w:rPr>
              <w:t>alfentanil a metabolizovaných</w:t>
            </w: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CYP3A4 (napr. sufentanil).</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Odporúča sa rozšírené</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a časté sledovanie respiračnej</w:t>
            </w:r>
          </w:p>
          <w:p w:rsidR="00A72EBA" w:rsidRPr="001E3AD7" w:rsidRDefault="00A72EBA">
            <w:pPr>
              <w:autoSpaceDE w:val="0"/>
              <w:autoSpaceDN w:val="0"/>
              <w:adjustRightInd w:val="0"/>
              <w:rPr>
                <w:rFonts w:eastAsia="TimesNewRoman"/>
                <w:szCs w:val="22"/>
                <w:lang w:val="sk-SK"/>
              </w:rPr>
            </w:pPr>
            <w:r w:rsidRPr="001E3AD7">
              <w:rPr>
                <w:rFonts w:eastAsia="TimesNewRoman"/>
                <w:szCs w:val="22"/>
                <w:lang w:val="sk-SK"/>
              </w:rPr>
              <w:t>depresie a iných nežiaducich</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reakcií súvisiacich s opiátmi.</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Statíny (napr. lovastatín)</w:t>
            </w:r>
          </w:p>
          <w:p w:rsidR="00A72EBA" w:rsidRPr="00413EE1" w:rsidRDefault="00A72EBA" w:rsidP="00D32133">
            <w:pPr>
              <w:autoSpaceDE w:val="0"/>
              <w:autoSpaceDN w:val="0"/>
              <w:adjustRightInd w:val="0"/>
              <w:rPr>
                <w:rFonts w:eastAsia="TimesNewRoman"/>
                <w:szCs w:val="22"/>
                <w:lang w:val="sk-SK"/>
              </w:rPr>
            </w:pPr>
            <w:r w:rsidRPr="00E70B7A">
              <w:rPr>
                <w:rFonts w:eastAsia="TimesNewRoman,Italic"/>
                <w:i/>
                <w:iCs/>
                <w:szCs w:val="22"/>
                <w:lang w:val="sk-SK"/>
              </w:rPr>
              <w:t>[substráty CYP3A4]</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Hoci to nebolo klinicky skúmané, vorikonazol pravdepodobne zvyšuje plazmatické koncentrácie statínov, ktoré sú metabolizované CYP3A4 a m</w:t>
            </w:r>
            <w:r w:rsidR="00F20D6D">
              <w:rPr>
                <w:rFonts w:eastAsia="TimesNewRoman"/>
                <w:szCs w:val="22"/>
                <w:lang w:val="sk-SK"/>
              </w:rPr>
              <w:t>ôže</w:t>
            </w:r>
            <w:r w:rsidRPr="00D32133">
              <w:rPr>
                <w:rFonts w:eastAsia="TimesNewRoman"/>
                <w:szCs w:val="22"/>
                <w:lang w:val="sk-SK"/>
              </w:rPr>
              <w:t xml:space="preserve"> viesť k rabdomyolýze.</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Je potrebné zvážiť zníženie</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dávky statínov.</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szCs w:val="22"/>
                <w:lang w:val="sk-SK"/>
              </w:rPr>
            </w:pPr>
            <w:r w:rsidRPr="00D32133">
              <w:rPr>
                <w:rFonts w:eastAsia="TimesNewRoman"/>
                <w:szCs w:val="22"/>
                <w:lang w:val="sk-SK"/>
              </w:rPr>
              <w:t>Deriváty sulfonylmočoviny (napr. tolbutamid, glipizid, glyburid)</w:t>
            </w:r>
          </w:p>
          <w:p w:rsidR="00A72EBA" w:rsidRPr="00D32133" w:rsidRDefault="00A72EBA" w:rsidP="009262C6">
            <w:pPr>
              <w:autoSpaceDE w:val="0"/>
              <w:autoSpaceDN w:val="0"/>
              <w:adjustRightInd w:val="0"/>
              <w:rPr>
                <w:rFonts w:eastAsia="TimesNewRoman"/>
                <w:szCs w:val="22"/>
                <w:lang w:val="sk-SK"/>
              </w:rPr>
            </w:pPr>
            <w:r w:rsidRPr="00D32133">
              <w:rPr>
                <w:rFonts w:eastAsia="TimesNewRoman,Italic"/>
                <w:i/>
                <w:iCs/>
                <w:szCs w:val="22"/>
                <w:lang w:val="sk-SK"/>
              </w:rPr>
              <w:lastRenderedPageBreak/>
              <w:t>[substráty CYP2C9]</w:t>
            </w:r>
          </w:p>
        </w:tc>
        <w:tc>
          <w:tcPr>
            <w:tcW w:w="3071" w:type="dxa"/>
            <w:shd w:val="clear" w:color="auto" w:fill="auto"/>
          </w:tcPr>
          <w:p w:rsidR="00A72EBA" w:rsidRPr="00B86E52" w:rsidRDefault="00A72EBA" w:rsidP="00D32133">
            <w:pPr>
              <w:autoSpaceDE w:val="0"/>
              <w:autoSpaceDN w:val="0"/>
              <w:adjustRightInd w:val="0"/>
              <w:rPr>
                <w:rFonts w:eastAsia="TimesNewRoman"/>
                <w:szCs w:val="22"/>
                <w:lang w:val="sk-SK"/>
              </w:rPr>
            </w:pPr>
            <w:r w:rsidRPr="00D40A28">
              <w:rPr>
                <w:rFonts w:eastAsia="TimesNewRoman"/>
                <w:szCs w:val="22"/>
                <w:lang w:val="sk-SK"/>
              </w:rPr>
              <w:lastRenderedPageBreak/>
              <w:t xml:space="preserve">Hoci to nebolo skúmané, vorikonazol pravdepodobne zvyšuje plazmatické </w:t>
            </w:r>
            <w:r w:rsidRPr="00D40A28">
              <w:rPr>
                <w:rFonts w:eastAsia="TimesNewRoman"/>
                <w:szCs w:val="22"/>
                <w:lang w:val="sk-SK"/>
              </w:rPr>
              <w:lastRenderedPageBreak/>
              <w:t xml:space="preserve">koncentrácie </w:t>
            </w:r>
            <w:r w:rsidR="001377A2">
              <w:rPr>
                <w:rFonts w:eastAsia="TimesNewRoman"/>
                <w:szCs w:val="22"/>
                <w:lang w:val="sk-SK"/>
              </w:rPr>
              <w:t xml:space="preserve">derivátov </w:t>
            </w:r>
            <w:r w:rsidRPr="00D40A28">
              <w:rPr>
                <w:rFonts w:eastAsia="TimesNewRoman"/>
                <w:szCs w:val="22"/>
                <w:lang w:val="sk-SK"/>
              </w:rPr>
              <w:t>sulfonylmočov</w:t>
            </w:r>
            <w:r w:rsidR="001377A2">
              <w:rPr>
                <w:rFonts w:eastAsia="TimesNewRoman"/>
                <w:szCs w:val="22"/>
                <w:lang w:val="sk-SK"/>
              </w:rPr>
              <w:t>iny</w:t>
            </w:r>
            <w:r w:rsidRPr="00D40A28">
              <w:rPr>
                <w:rFonts w:eastAsia="TimesNewRoman"/>
                <w:szCs w:val="22"/>
                <w:lang w:val="sk-SK"/>
              </w:rPr>
              <w:t xml:space="preserve"> a spôsobuje hypoglykémiu.</w:t>
            </w:r>
          </w:p>
        </w:tc>
        <w:tc>
          <w:tcPr>
            <w:tcW w:w="3071" w:type="dxa"/>
            <w:shd w:val="clear" w:color="auto" w:fill="auto"/>
          </w:tcPr>
          <w:p w:rsidR="00A72EBA" w:rsidRPr="00A438E0" w:rsidRDefault="00A72EBA">
            <w:pPr>
              <w:autoSpaceDE w:val="0"/>
              <w:autoSpaceDN w:val="0"/>
              <w:adjustRightInd w:val="0"/>
              <w:rPr>
                <w:rFonts w:eastAsia="TimesNewRoman"/>
                <w:szCs w:val="22"/>
                <w:lang w:val="sk-SK"/>
              </w:rPr>
            </w:pPr>
            <w:r w:rsidRPr="00F81158">
              <w:rPr>
                <w:rFonts w:eastAsia="TimesNewRoman"/>
                <w:szCs w:val="22"/>
                <w:lang w:val="sk-SK"/>
              </w:rPr>
              <w:lastRenderedPageBreak/>
              <w:t>Odporúča sa starostlivé</w:t>
            </w:r>
          </w:p>
          <w:p w:rsidR="00A72EBA" w:rsidRPr="00324F85" w:rsidRDefault="00A72EBA">
            <w:pPr>
              <w:autoSpaceDE w:val="0"/>
              <w:autoSpaceDN w:val="0"/>
              <w:adjustRightInd w:val="0"/>
              <w:rPr>
                <w:rFonts w:eastAsia="TimesNewRoman"/>
                <w:szCs w:val="22"/>
                <w:lang w:val="sk-SK"/>
              </w:rPr>
            </w:pPr>
            <w:r w:rsidRPr="00324F85">
              <w:rPr>
                <w:rFonts w:eastAsia="TimesNewRoman"/>
                <w:szCs w:val="22"/>
                <w:lang w:val="sk-SK"/>
              </w:rPr>
              <w:t>sledovanie glukózy v krvi. Je</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potrebné zvážiť zníženie</w:t>
            </w:r>
          </w:p>
          <w:p w:rsidR="00A72EBA" w:rsidRPr="00AE65A4" w:rsidRDefault="00A72EBA">
            <w:pPr>
              <w:autoSpaceDE w:val="0"/>
              <w:autoSpaceDN w:val="0"/>
              <w:adjustRightInd w:val="0"/>
              <w:rPr>
                <w:rFonts w:eastAsia="TimesNewRoman"/>
                <w:szCs w:val="22"/>
                <w:lang w:val="sk-SK"/>
              </w:rPr>
            </w:pPr>
            <w:r w:rsidRPr="00C637EC">
              <w:rPr>
                <w:rFonts w:eastAsia="TimesNewRoman"/>
                <w:szCs w:val="22"/>
                <w:lang w:val="sk-SK"/>
              </w:rPr>
              <w:lastRenderedPageBreak/>
              <w:t>dávky</w:t>
            </w:r>
            <w:r w:rsidR="00AE65A4">
              <w:rPr>
                <w:rFonts w:eastAsia="TimesNewRoman"/>
                <w:szCs w:val="22"/>
                <w:lang w:val="sk-SK"/>
              </w:rPr>
              <w:t xml:space="preserve"> derivátov </w:t>
            </w:r>
            <w:r w:rsidRPr="00AE65A4">
              <w:rPr>
                <w:rFonts w:eastAsia="TimesNewRoman"/>
                <w:szCs w:val="22"/>
                <w:lang w:val="sk-SK"/>
              </w:rPr>
              <w:t xml:space="preserve"> sulfonylmočov</w:t>
            </w:r>
            <w:r w:rsidR="00AE65A4">
              <w:rPr>
                <w:rFonts w:eastAsia="TimesNewRoman"/>
                <w:szCs w:val="22"/>
                <w:lang w:val="sk-SK"/>
              </w:rPr>
              <w:t>iny</w:t>
            </w:r>
            <w:r w:rsidRPr="00AE65A4">
              <w:rPr>
                <w:rFonts w:eastAsia="TimesNewRoman"/>
                <w:szCs w:val="22"/>
                <w:lang w:val="sk-SK"/>
              </w:rPr>
              <w:t>.</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Vinka alkaloidy (napr. vinkristín a vinblastín)</w:t>
            </w:r>
          </w:p>
          <w:p w:rsidR="00A72EBA" w:rsidRPr="00D32133" w:rsidRDefault="00A72EBA" w:rsidP="00D32133">
            <w:pPr>
              <w:autoSpaceDE w:val="0"/>
              <w:autoSpaceDN w:val="0"/>
              <w:adjustRightInd w:val="0"/>
              <w:rPr>
                <w:rFonts w:eastAsia="TimesNewRoman"/>
                <w:szCs w:val="22"/>
                <w:lang w:val="sk-SK"/>
              </w:rPr>
            </w:pPr>
            <w:r w:rsidRPr="00D32133">
              <w:rPr>
                <w:rFonts w:eastAsia="TimesNewRoman,Italic"/>
                <w:i/>
                <w:iCs/>
                <w:szCs w:val="22"/>
                <w:lang w:val="sk-SK"/>
              </w:rPr>
              <w:t>[substráty CYP3A4]</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Hoci to nebolo skúmané, vorikonazol pravdepodobne zvyšuje plazmatické koncentrácie vinka alkaloidov a vedie k neurotoxicite.</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Je potrebné zvážiť zníženie</w:t>
            </w:r>
          </w:p>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dávky vinka alkaloidov.</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Iné inhibítory HIV proteázy</w:t>
            </w:r>
          </w:p>
          <w:p w:rsidR="00A72EBA" w:rsidRPr="00413EE1" w:rsidRDefault="00A72EBA" w:rsidP="00D32133">
            <w:pPr>
              <w:autoSpaceDE w:val="0"/>
              <w:autoSpaceDN w:val="0"/>
              <w:adjustRightInd w:val="0"/>
              <w:rPr>
                <w:rFonts w:eastAsia="TimesNewRoman"/>
                <w:szCs w:val="22"/>
                <w:lang w:val="sk-SK"/>
              </w:rPr>
            </w:pPr>
            <w:r w:rsidRPr="00E70B7A">
              <w:rPr>
                <w:rFonts w:eastAsia="TimesNewRoman"/>
                <w:szCs w:val="22"/>
                <w:lang w:val="sk-SK"/>
              </w:rPr>
              <w:t>(napr. sachinavir, amprenavir</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a nelfinavir)*</w:t>
            </w:r>
          </w:p>
          <w:p w:rsidR="00A72EBA" w:rsidRPr="00A954DB" w:rsidRDefault="00A72EBA">
            <w:pPr>
              <w:autoSpaceDE w:val="0"/>
              <w:autoSpaceDN w:val="0"/>
              <w:adjustRightInd w:val="0"/>
              <w:rPr>
                <w:rFonts w:eastAsia="TimesNewRoman,Italic"/>
                <w:i/>
                <w:iCs/>
                <w:szCs w:val="22"/>
                <w:lang w:val="sk-SK"/>
              </w:rPr>
            </w:pPr>
            <w:r w:rsidRPr="00D40A28">
              <w:rPr>
                <w:rFonts w:eastAsia="TimesNewRoman,Italic"/>
                <w:i/>
                <w:iCs/>
                <w:szCs w:val="22"/>
                <w:lang w:val="sk-SK"/>
              </w:rPr>
              <w:t>[substráty a inhibítory</w:t>
            </w:r>
          </w:p>
          <w:p w:rsidR="00A72EBA" w:rsidRPr="00BC186B" w:rsidRDefault="00A72EBA">
            <w:pPr>
              <w:autoSpaceDE w:val="0"/>
              <w:autoSpaceDN w:val="0"/>
              <w:adjustRightInd w:val="0"/>
              <w:rPr>
                <w:rFonts w:eastAsia="TimesNewRoman"/>
                <w:szCs w:val="22"/>
                <w:lang w:val="sk-SK"/>
              </w:rPr>
            </w:pPr>
            <w:r w:rsidRPr="00B86E52">
              <w:rPr>
                <w:rFonts w:eastAsia="TimesNewRoman,Italic"/>
                <w:i/>
                <w:iCs/>
                <w:szCs w:val="22"/>
                <w:lang w:val="sk-SK"/>
              </w:rPr>
              <w:t>CYP3A4]</w:t>
            </w:r>
          </w:p>
        </w:tc>
        <w:tc>
          <w:tcPr>
            <w:tcW w:w="3071" w:type="dxa"/>
            <w:shd w:val="clear" w:color="auto" w:fill="auto"/>
          </w:tcPr>
          <w:p w:rsidR="00A72EBA" w:rsidRPr="00FA7839" w:rsidRDefault="00A72EBA">
            <w:pPr>
              <w:autoSpaceDE w:val="0"/>
              <w:autoSpaceDN w:val="0"/>
              <w:adjustRightInd w:val="0"/>
              <w:rPr>
                <w:rFonts w:eastAsia="TimesNewRoman,Italic"/>
                <w:i/>
                <w:iCs/>
                <w:szCs w:val="22"/>
                <w:lang w:val="sk-SK"/>
              </w:rPr>
            </w:pPr>
            <w:r w:rsidRPr="00F81158">
              <w:rPr>
                <w:rFonts w:eastAsia="TimesNewRoman"/>
                <w:szCs w:val="22"/>
                <w:lang w:val="sk-SK"/>
              </w:rPr>
              <w:t xml:space="preserve">Klinicky sa neskúmala. </w:t>
            </w:r>
            <w:r w:rsidRPr="00A438E0">
              <w:rPr>
                <w:rFonts w:eastAsia="TimesNewRoman,Italic"/>
                <w:i/>
                <w:iCs/>
                <w:szCs w:val="22"/>
                <w:lang w:val="sk-SK"/>
              </w:rPr>
              <w:t>In vitro</w:t>
            </w:r>
          </w:p>
          <w:p w:rsidR="00A72EBA" w:rsidRPr="00C637EC" w:rsidRDefault="00A72EBA">
            <w:pPr>
              <w:autoSpaceDE w:val="0"/>
              <w:autoSpaceDN w:val="0"/>
              <w:adjustRightInd w:val="0"/>
              <w:rPr>
                <w:rFonts w:eastAsia="TimesNewRoman"/>
                <w:szCs w:val="22"/>
                <w:lang w:val="sk-SK"/>
              </w:rPr>
            </w:pPr>
            <w:r w:rsidRPr="00324F85">
              <w:rPr>
                <w:rFonts w:eastAsia="TimesNewRoman"/>
                <w:szCs w:val="22"/>
                <w:lang w:val="sk-SK"/>
              </w:rPr>
              <w:t xml:space="preserve">štúdie preukazujú, že vorikonazol môže inhibovať metabolizmus inhibítorov HIV proteázy a metabolizmus </w:t>
            </w:r>
            <w:r w:rsidRPr="004B210D">
              <w:rPr>
                <w:rFonts w:eastAsia="TimesNewRoman"/>
                <w:szCs w:val="22"/>
                <w:lang w:val="sk-SK"/>
              </w:rPr>
              <w:t>vorikonazolu môže byť tiež inhibovaný inhibítormi HIV proteázy.</w:t>
            </w:r>
          </w:p>
        </w:tc>
        <w:tc>
          <w:tcPr>
            <w:tcW w:w="3071" w:type="dxa"/>
            <w:shd w:val="clear" w:color="auto" w:fill="auto"/>
          </w:tcPr>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Starostlivé sledovanie</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akéhokoľvek výskytu</w:t>
            </w:r>
          </w:p>
          <w:p w:rsidR="00A72EBA" w:rsidRPr="009C6BDA" w:rsidRDefault="00A72EBA">
            <w:pPr>
              <w:autoSpaceDE w:val="0"/>
              <w:autoSpaceDN w:val="0"/>
              <w:adjustRightInd w:val="0"/>
              <w:rPr>
                <w:rFonts w:eastAsia="TimesNewRoman"/>
                <w:szCs w:val="22"/>
                <w:lang w:val="sk-SK"/>
              </w:rPr>
            </w:pPr>
            <w:r w:rsidRPr="0029661F">
              <w:rPr>
                <w:rFonts w:eastAsia="TimesNewRoman"/>
                <w:szCs w:val="22"/>
                <w:lang w:val="sk-SK"/>
              </w:rPr>
              <w:t>toxicity liečiva a/alebo</w:t>
            </w:r>
          </w:p>
          <w:p w:rsidR="00A72EBA" w:rsidRPr="001E3AD7" w:rsidRDefault="00A72EBA">
            <w:pPr>
              <w:autoSpaceDE w:val="0"/>
              <w:autoSpaceDN w:val="0"/>
              <w:adjustRightInd w:val="0"/>
              <w:rPr>
                <w:rFonts w:eastAsia="TimesNewRoman"/>
                <w:szCs w:val="22"/>
                <w:lang w:val="sk-SK"/>
              </w:rPr>
            </w:pPr>
            <w:r w:rsidRPr="001E3AD7">
              <w:rPr>
                <w:rFonts w:eastAsia="TimesNewRoman"/>
                <w:szCs w:val="22"/>
                <w:lang w:val="sk-SK"/>
              </w:rPr>
              <w:t>chýbajúceho účinku a môže</w:t>
            </w:r>
          </w:p>
          <w:p w:rsidR="00A72EBA" w:rsidRPr="00887C06" w:rsidRDefault="00A72EBA">
            <w:pPr>
              <w:autoSpaceDE w:val="0"/>
              <w:autoSpaceDN w:val="0"/>
              <w:adjustRightInd w:val="0"/>
              <w:rPr>
                <w:rFonts w:eastAsia="TimesNewRoman"/>
                <w:szCs w:val="22"/>
                <w:lang w:val="sk-SK"/>
              </w:rPr>
            </w:pPr>
            <w:r w:rsidRPr="00887C06">
              <w:rPr>
                <w:rFonts w:eastAsia="TimesNewRoman"/>
                <w:szCs w:val="22"/>
                <w:lang w:val="sk-SK"/>
              </w:rPr>
              <w:t>byť potrebná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Iné nenukleozidové inhibítory</w:t>
            </w:r>
          </w:p>
          <w:p w:rsidR="00A72EBA" w:rsidRPr="00413EE1" w:rsidRDefault="00A72EBA" w:rsidP="00D32133">
            <w:pPr>
              <w:autoSpaceDE w:val="0"/>
              <w:autoSpaceDN w:val="0"/>
              <w:adjustRightInd w:val="0"/>
              <w:rPr>
                <w:rFonts w:eastAsia="TimesNewRoman"/>
                <w:szCs w:val="22"/>
                <w:lang w:val="sk-SK"/>
              </w:rPr>
            </w:pPr>
            <w:r w:rsidRPr="00E70B7A">
              <w:rPr>
                <w:rFonts w:eastAsia="TimesNewRoman"/>
                <w:szCs w:val="22"/>
                <w:lang w:val="sk-SK"/>
              </w:rPr>
              <w:t>reverznej transkriptázy</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(NNRTI) (napr. delavirdín,</w:t>
            </w:r>
          </w:p>
          <w:p w:rsidR="00A72EBA" w:rsidRPr="00487B5B" w:rsidRDefault="00A72EBA">
            <w:pPr>
              <w:autoSpaceDE w:val="0"/>
              <w:autoSpaceDN w:val="0"/>
              <w:adjustRightInd w:val="0"/>
              <w:rPr>
                <w:rFonts w:eastAsia="TimesNewRoman"/>
                <w:szCs w:val="22"/>
                <w:lang w:val="sk-SK"/>
              </w:rPr>
            </w:pPr>
            <w:r w:rsidRPr="00B7356F">
              <w:rPr>
                <w:rFonts w:eastAsia="TimesNewRoman"/>
                <w:szCs w:val="22"/>
                <w:lang w:val="sk-SK"/>
              </w:rPr>
              <w:t>nevirapín)*</w:t>
            </w:r>
          </w:p>
          <w:p w:rsidR="00A72EBA" w:rsidRPr="00BC186B" w:rsidRDefault="00A72EBA">
            <w:pPr>
              <w:autoSpaceDE w:val="0"/>
              <w:autoSpaceDN w:val="0"/>
              <w:adjustRightInd w:val="0"/>
              <w:rPr>
                <w:rFonts w:eastAsia="TimesNewRoman,Italic"/>
                <w:i/>
                <w:iCs/>
                <w:szCs w:val="22"/>
                <w:lang w:val="sk-SK"/>
              </w:rPr>
            </w:pPr>
            <w:r w:rsidRPr="00B86E52">
              <w:rPr>
                <w:rFonts w:eastAsia="TimesNewRoman,Italic"/>
                <w:i/>
                <w:iCs/>
                <w:szCs w:val="22"/>
                <w:lang w:val="sk-SK"/>
              </w:rPr>
              <w:t>[substráty CYP3A4, inhibítory</w:t>
            </w:r>
          </w:p>
          <w:p w:rsidR="00A72EBA" w:rsidRPr="00A438E0" w:rsidRDefault="00A72EBA">
            <w:pPr>
              <w:autoSpaceDE w:val="0"/>
              <w:autoSpaceDN w:val="0"/>
              <w:adjustRightInd w:val="0"/>
              <w:rPr>
                <w:rFonts w:eastAsia="TimesNewRoman"/>
                <w:szCs w:val="22"/>
                <w:lang w:val="sk-SK"/>
              </w:rPr>
            </w:pPr>
            <w:r w:rsidRPr="00F81158">
              <w:rPr>
                <w:rFonts w:eastAsia="TimesNewRoman,Italic"/>
                <w:i/>
                <w:iCs/>
                <w:szCs w:val="22"/>
                <w:lang w:val="sk-SK"/>
              </w:rPr>
              <w:t>alebo induktory CYP450]</w:t>
            </w:r>
          </w:p>
        </w:tc>
        <w:tc>
          <w:tcPr>
            <w:tcW w:w="3071" w:type="dxa"/>
            <w:shd w:val="clear" w:color="auto" w:fill="auto"/>
          </w:tcPr>
          <w:p w:rsidR="00A72EBA" w:rsidRPr="00324F85" w:rsidRDefault="00A72EBA">
            <w:pPr>
              <w:autoSpaceDE w:val="0"/>
              <w:autoSpaceDN w:val="0"/>
              <w:adjustRightInd w:val="0"/>
              <w:rPr>
                <w:rFonts w:eastAsia="TimesNewRoman,Italic"/>
                <w:i/>
                <w:iCs/>
                <w:szCs w:val="22"/>
                <w:lang w:val="sk-SK"/>
              </w:rPr>
            </w:pPr>
            <w:r w:rsidRPr="00324F85">
              <w:rPr>
                <w:rFonts w:eastAsia="TimesNewRoman"/>
                <w:szCs w:val="22"/>
                <w:lang w:val="sk-SK"/>
              </w:rPr>
              <w:t xml:space="preserve">Klinicky sa neskúmala. </w:t>
            </w:r>
            <w:r w:rsidRPr="00324F85">
              <w:rPr>
                <w:rFonts w:eastAsia="TimesNewRoman,Italic"/>
                <w:i/>
                <w:iCs/>
                <w:szCs w:val="22"/>
                <w:lang w:val="sk-SK"/>
              </w:rPr>
              <w:t>In vitro</w:t>
            </w:r>
          </w:p>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štúdie preukazujú, že</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metabolizmus vorikonazolu môže byť inhibovaný NNRTI</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a vorikonazol môže inhibovať</w:t>
            </w:r>
          </w:p>
          <w:p w:rsidR="00A72EBA" w:rsidRPr="003B679E" w:rsidRDefault="00A72EBA">
            <w:pPr>
              <w:autoSpaceDE w:val="0"/>
              <w:autoSpaceDN w:val="0"/>
              <w:adjustRightInd w:val="0"/>
              <w:rPr>
                <w:rFonts w:eastAsia="TimesNewRoman"/>
                <w:szCs w:val="22"/>
                <w:lang w:val="sk-SK"/>
              </w:rPr>
            </w:pPr>
            <w:r w:rsidRPr="003B679E">
              <w:rPr>
                <w:rFonts w:eastAsia="TimesNewRoman"/>
                <w:szCs w:val="22"/>
                <w:lang w:val="sk-SK"/>
              </w:rPr>
              <w:t>metabolizmus NNRTI.</w:t>
            </w:r>
          </w:p>
          <w:p w:rsidR="00A72EBA" w:rsidRPr="00324F85" w:rsidRDefault="00A72EBA">
            <w:pPr>
              <w:autoSpaceDE w:val="0"/>
              <w:autoSpaceDN w:val="0"/>
              <w:adjustRightInd w:val="0"/>
              <w:rPr>
                <w:rFonts w:eastAsia="TimesNewRoman"/>
                <w:szCs w:val="22"/>
                <w:lang w:val="sk-SK"/>
              </w:rPr>
            </w:pPr>
            <w:r w:rsidRPr="003B679E">
              <w:rPr>
                <w:rFonts w:eastAsia="TimesNewRoman"/>
                <w:szCs w:val="22"/>
                <w:lang w:val="sk-SK"/>
              </w:rPr>
              <w:t>Vplyv efavirenzu na</w:t>
            </w:r>
            <w:r w:rsidR="0021219C">
              <w:rPr>
                <w:rFonts w:eastAsia="TimesNewRoman"/>
                <w:szCs w:val="22"/>
                <w:lang w:val="sk-SK"/>
              </w:rPr>
              <w:t> </w:t>
            </w:r>
            <w:r w:rsidRPr="00535775">
              <w:rPr>
                <w:rFonts w:eastAsia="TimesNewRoman"/>
                <w:szCs w:val="22"/>
                <w:lang w:val="sk-SK"/>
              </w:rPr>
              <w:t>vorikonazol naznačuje, že metabolizmus vorikonazolu môže byť indukovaný NNRTI.</w:t>
            </w:r>
          </w:p>
        </w:tc>
        <w:tc>
          <w:tcPr>
            <w:tcW w:w="3071" w:type="dxa"/>
            <w:shd w:val="clear" w:color="auto" w:fill="auto"/>
          </w:tcPr>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Starostlivé sledovanie</w:t>
            </w:r>
          </w:p>
          <w:p w:rsidR="00A72EBA" w:rsidRPr="00C637EC" w:rsidRDefault="00A72EBA">
            <w:pPr>
              <w:autoSpaceDE w:val="0"/>
              <w:autoSpaceDN w:val="0"/>
              <w:adjustRightInd w:val="0"/>
              <w:rPr>
                <w:rFonts w:eastAsia="TimesNewRoman"/>
                <w:szCs w:val="22"/>
                <w:lang w:val="sk-SK"/>
              </w:rPr>
            </w:pPr>
            <w:r w:rsidRPr="00C637EC">
              <w:rPr>
                <w:rFonts w:eastAsia="TimesNewRoman"/>
                <w:szCs w:val="22"/>
                <w:lang w:val="sk-SK"/>
              </w:rPr>
              <w:t>akéhokoľvek výskytu</w:t>
            </w:r>
          </w:p>
          <w:p w:rsidR="00A72EBA" w:rsidRPr="0029661F" w:rsidRDefault="00A72EBA">
            <w:pPr>
              <w:autoSpaceDE w:val="0"/>
              <w:autoSpaceDN w:val="0"/>
              <w:adjustRightInd w:val="0"/>
              <w:rPr>
                <w:rFonts w:eastAsia="TimesNewRoman"/>
                <w:szCs w:val="22"/>
                <w:lang w:val="sk-SK"/>
              </w:rPr>
            </w:pPr>
            <w:r w:rsidRPr="00604E6B">
              <w:rPr>
                <w:rFonts w:eastAsia="TimesNewRoman"/>
                <w:szCs w:val="22"/>
                <w:lang w:val="sk-SK"/>
              </w:rPr>
              <w:t>toxicity liečiva a/alebo</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chýbajúceho účinku a môže</w:t>
            </w:r>
          </w:p>
          <w:p w:rsidR="00A72EBA" w:rsidRPr="0029661F" w:rsidRDefault="00A72EBA">
            <w:pPr>
              <w:autoSpaceDE w:val="0"/>
              <w:autoSpaceDN w:val="0"/>
              <w:adjustRightInd w:val="0"/>
              <w:rPr>
                <w:rFonts w:eastAsia="TimesNewRoman"/>
                <w:szCs w:val="22"/>
                <w:lang w:val="sk-SK"/>
              </w:rPr>
            </w:pPr>
            <w:r w:rsidRPr="0029661F">
              <w:rPr>
                <w:rFonts w:eastAsia="TimesNewRoman"/>
                <w:szCs w:val="22"/>
                <w:lang w:val="sk-SK"/>
              </w:rPr>
              <w:t>byť potrebná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Cimetidín (400 mg BID)</w:t>
            </w:r>
          </w:p>
          <w:p w:rsidR="00A72EBA" w:rsidRPr="00D32133" w:rsidRDefault="00A72EBA" w:rsidP="00D32133">
            <w:pPr>
              <w:autoSpaceDE w:val="0"/>
              <w:autoSpaceDN w:val="0"/>
              <w:adjustRightInd w:val="0"/>
              <w:rPr>
                <w:rFonts w:eastAsia="TimesNewRoman,Italic"/>
                <w:i/>
                <w:iCs/>
                <w:szCs w:val="22"/>
                <w:lang w:val="sk-SK"/>
              </w:rPr>
            </w:pPr>
            <w:r w:rsidRPr="00E70B7A">
              <w:rPr>
                <w:rFonts w:eastAsia="TimesNewRoman,Italic"/>
                <w:i/>
                <w:iCs/>
                <w:szCs w:val="22"/>
                <w:lang w:val="sk-SK"/>
              </w:rPr>
              <w:t xml:space="preserve">[nešpecifický </w:t>
            </w:r>
            <w:r w:rsidRPr="00413EE1">
              <w:rPr>
                <w:rFonts w:eastAsia="TimesNewRoman,Italic"/>
                <w:i/>
                <w:iCs/>
                <w:szCs w:val="22"/>
                <w:lang w:val="sk-SK"/>
              </w:rPr>
              <w:t>inhibítor</w:t>
            </w:r>
          </w:p>
          <w:p w:rsidR="00A72EBA" w:rsidRPr="00D32133" w:rsidRDefault="00A72EBA">
            <w:pPr>
              <w:autoSpaceDE w:val="0"/>
              <w:autoSpaceDN w:val="0"/>
              <w:adjustRightInd w:val="0"/>
              <w:rPr>
                <w:rFonts w:eastAsia="TimesNewRoman"/>
                <w:szCs w:val="22"/>
                <w:lang w:val="sk-SK"/>
              </w:rPr>
            </w:pPr>
            <w:r w:rsidRPr="00D32133">
              <w:rPr>
                <w:rFonts w:eastAsia="TimesNewRoman,Italic"/>
                <w:i/>
                <w:iCs/>
                <w:szCs w:val="22"/>
                <w:lang w:val="sk-SK"/>
              </w:rPr>
              <w:t>CYP450 a zvyšuje pH žalúdka]</w:t>
            </w:r>
          </w:p>
        </w:tc>
        <w:tc>
          <w:tcPr>
            <w:tcW w:w="3071" w:type="dxa"/>
            <w:shd w:val="clear" w:color="auto" w:fill="auto"/>
          </w:tcPr>
          <w:p w:rsidR="00A72EBA" w:rsidRPr="00CB3225" w:rsidRDefault="00A72EBA">
            <w:pPr>
              <w:autoSpaceDE w:val="0"/>
              <w:autoSpaceDN w:val="0"/>
              <w:adjustRightInd w:val="0"/>
              <w:rPr>
                <w:rFonts w:eastAsia="TimesNewRoman"/>
                <w:szCs w:val="22"/>
                <w:lang w:val="sk-SK"/>
              </w:rPr>
            </w:pPr>
            <w:r w:rsidRPr="00D40A28">
              <w:rPr>
                <w:rFonts w:eastAsia="TimesNewRoman"/>
                <w:szCs w:val="22"/>
                <w:lang w:val="sk-SK"/>
              </w:rPr>
              <w:t>Vorikonazol C</w:t>
            </w:r>
            <w:r w:rsidRPr="00D40A28">
              <w:rPr>
                <w:rFonts w:eastAsia="TimesNewRoman"/>
                <w:szCs w:val="22"/>
                <w:vertAlign w:val="subscript"/>
                <w:lang w:val="sk-SK"/>
              </w:rPr>
              <w:t>max</w:t>
            </w:r>
            <w:r w:rsidRPr="00A954DB">
              <w:rPr>
                <w:rFonts w:eastAsia="TimesNewRoman" w:hint="eastAsia"/>
                <w:szCs w:val="22"/>
                <w:lang w:val="sk-SK"/>
              </w:rPr>
              <w:t xml:space="preserve"> </w:t>
            </w:r>
            <w:r w:rsidRPr="00A757AA">
              <w:rPr>
                <w:rFonts w:eastAsia="TimesNewRoman" w:hint="eastAsia"/>
                <w:szCs w:val="22"/>
                <w:lang w:val="sk-SK"/>
              </w:rPr>
              <w:t>↑</w:t>
            </w:r>
            <w:r w:rsidRPr="00D32133">
              <w:rPr>
                <w:rFonts w:eastAsia="TimesNewRoman"/>
                <w:szCs w:val="22"/>
                <w:lang w:val="sk-SK"/>
              </w:rPr>
              <w:t xml:space="preserve"> 18 %</w:t>
            </w:r>
          </w:p>
          <w:p w:rsidR="00A72EBA" w:rsidRPr="00CB3225" w:rsidRDefault="00A72EBA">
            <w:pPr>
              <w:autoSpaceDE w:val="0"/>
              <w:autoSpaceDN w:val="0"/>
              <w:adjustRightInd w:val="0"/>
              <w:rPr>
                <w:rFonts w:eastAsia="TimesNewRoman"/>
                <w:szCs w:val="22"/>
                <w:lang w:val="sk-SK"/>
              </w:rPr>
            </w:pPr>
            <w:r w:rsidRPr="00E70B7A">
              <w:rPr>
                <w:rFonts w:eastAsia="TimesNewRoman"/>
                <w:szCs w:val="22"/>
                <w:lang w:val="sk-SK"/>
              </w:rPr>
              <w:t>Vorikonazol AUC</w:t>
            </w:r>
            <w:r w:rsidR="00535775" w:rsidRPr="00744F05">
              <w:rPr>
                <w:vertAlign w:val="subscript"/>
              </w:rPr>
              <w:t>τ</w:t>
            </w:r>
            <w:r w:rsidRPr="00D32133">
              <w:rPr>
                <w:rFonts w:eastAsia="TimesNewRoman"/>
                <w:szCs w:val="22"/>
                <w:lang w:val="sk-SK"/>
              </w:rPr>
              <w:t xml:space="preserve"> ↑ 23 %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Žiadna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Digoxín (0,25 mg QD)</w:t>
            </w:r>
          </w:p>
          <w:p w:rsidR="00A72EBA" w:rsidRPr="00413EE1" w:rsidRDefault="00A72EBA" w:rsidP="00D32133">
            <w:pPr>
              <w:autoSpaceDE w:val="0"/>
              <w:autoSpaceDN w:val="0"/>
              <w:adjustRightInd w:val="0"/>
              <w:rPr>
                <w:rFonts w:eastAsia="TimesNewRoman"/>
                <w:szCs w:val="22"/>
                <w:lang w:val="sk-SK"/>
              </w:rPr>
            </w:pPr>
            <w:r w:rsidRPr="00E70B7A">
              <w:rPr>
                <w:rFonts w:eastAsia="TimesNewRoman,Italic"/>
                <w:i/>
                <w:iCs/>
                <w:szCs w:val="22"/>
                <w:lang w:val="sk-SK"/>
              </w:rPr>
              <w:t>[substrát P-gp]</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Digoxín C</w:t>
            </w:r>
            <w:r w:rsidRPr="00D32133">
              <w:rPr>
                <w:rFonts w:eastAsia="TimesNewRoman"/>
                <w:szCs w:val="22"/>
                <w:vertAlign w:val="subscript"/>
                <w:lang w:val="sk-SK"/>
              </w:rPr>
              <w:t>max</w:t>
            </w:r>
            <w:r w:rsidRPr="00D32133">
              <w:rPr>
                <w:rFonts w:eastAsia="TimesNewRoman"/>
                <w:szCs w:val="22"/>
                <w:lang w:val="sk-SK"/>
              </w:rPr>
              <w:t xml:space="preserve">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Digoxín AUC</w:t>
            </w:r>
            <w:r w:rsidR="00535775" w:rsidRPr="00744F05">
              <w:rPr>
                <w:vertAlign w:val="subscript"/>
              </w:rPr>
              <w:t>τ</w:t>
            </w:r>
            <w:r w:rsidRPr="00D32133">
              <w:rPr>
                <w:rFonts w:eastAsia="TimesNewRoman"/>
                <w:szCs w:val="22"/>
                <w:lang w:val="sk-SK"/>
              </w:rPr>
              <w:t xml:space="preserve">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Žiadna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Indinavir (800 mg TID)</w:t>
            </w:r>
          </w:p>
          <w:p w:rsidR="00A72EBA" w:rsidRPr="00413EE1" w:rsidRDefault="00A72EBA" w:rsidP="00D32133">
            <w:pPr>
              <w:autoSpaceDE w:val="0"/>
              <w:autoSpaceDN w:val="0"/>
              <w:adjustRightInd w:val="0"/>
              <w:rPr>
                <w:rFonts w:eastAsia="TimesNewRoman"/>
                <w:szCs w:val="22"/>
                <w:lang w:val="sk-SK"/>
              </w:rPr>
            </w:pPr>
            <w:r w:rsidRPr="00E70B7A">
              <w:rPr>
                <w:rFonts w:eastAsia="TimesNewRoman,Italic"/>
                <w:i/>
                <w:iCs/>
                <w:szCs w:val="22"/>
                <w:lang w:val="sk-SK"/>
              </w:rPr>
              <w:t>[inhibítor a substrát CYP3A4]</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Indinavir C</w:t>
            </w:r>
            <w:r w:rsidRPr="00D32133">
              <w:rPr>
                <w:rFonts w:eastAsia="TimesNewRoman"/>
                <w:szCs w:val="22"/>
                <w:vertAlign w:val="subscript"/>
                <w:lang w:val="sk-SK"/>
              </w:rPr>
              <w:t>max</w:t>
            </w:r>
            <w:r w:rsidRPr="00D32133">
              <w:rPr>
                <w:rFonts w:eastAsia="TimesNewRoman"/>
                <w:szCs w:val="22"/>
                <w:lang w:val="sk-SK"/>
              </w:rPr>
              <w:t xml:space="preserve">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Indinavir AUC</w:t>
            </w:r>
            <w:r w:rsidR="00535775" w:rsidRPr="00744F05">
              <w:rPr>
                <w:vertAlign w:val="subscript"/>
              </w:rPr>
              <w:t>τ</w:t>
            </w:r>
            <w:r w:rsidRPr="00D32133">
              <w:rPr>
                <w:rFonts w:eastAsia="TimesNewRoman"/>
                <w:szCs w:val="22"/>
                <w:lang w:val="sk-SK"/>
              </w:rPr>
              <w:t xml:space="preserve"> ↔</w:t>
            </w: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w:t>
            </w: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AUC</w:t>
            </w:r>
            <w:r w:rsidR="00535775" w:rsidRPr="00744F05">
              <w:rPr>
                <w:vertAlign w:val="subscript"/>
              </w:rPr>
              <w:t>τ</w:t>
            </w:r>
            <w:r w:rsidRPr="00D32133">
              <w:rPr>
                <w:rFonts w:eastAsia="TimesNewRoman"/>
                <w:szCs w:val="22"/>
                <w:lang w:val="sk-SK"/>
              </w:rPr>
              <w:t xml:space="preserve">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Žiadna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Makrolidové antibiotiká</w:t>
            </w:r>
          </w:p>
          <w:p w:rsidR="00A72EBA" w:rsidRPr="00E70B7A" w:rsidRDefault="00A72EBA" w:rsidP="00D32133">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Erytromycín (1 g BID)</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[inhibítor CYP3A4]</w:t>
            </w:r>
          </w:p>
          <w:p w:rsidR="00A72EBA" w:rsidRPr="00D40A28" w:rsidRDefault="00A72EBA">
            <w:pPr>
              <w:autoSpaceDE w:val="0"/>
              <w:autoSpaceDN w:val="0"/>
              <w:adjustRightInd w:val="0"/>
              <w:rPr>
                <w:rFonts w:eastAsia="TimesNewRoman"/>
                <w:szCs w:val="22"/>
                <w:lang w:val="sk-SK"/>
              </w:rPr>
            </w:pPr>
          </w:p>
          <w:p w:rsidR="00A72EBA" w:rsidRPr="00A954DB" w:rsidRDefault="00A72EBA">
            <w:pPr>
              <w:autoSpaceDE w:val="0"/>
              <w:autoSpaceDN w:val="0"/>
              <w:adjustRightInd w:val="0"/>
              <w:rPr>
                <w:rFonts w:eastAsia="TimesNewRoman"/>
                <w:szCs w:val="22"/>
                <w:lang w:val="sk-SK"/>
              </w:rPr>
            </w:pPr>
            <w:r w:rsidRPr="00D40A28">
              <w:rPr>
                <w:rFonts w:eastAsia="TimesNewRoman"/>
                <w:szCs w:val="22"/>
                <w:lang w:val="sk-SK"/>
              </w:rPr>
              <w:t>Azitromycín (500 mg QD)</w:t>
            </w:r>
          </w:p>
        </w:tc>
        <w:tc>
          <w:tcPr>
            <w:tcW w:w="3071" w:type="dxa"/>
            <w:shd w:val="clear" w:color="auto" w:fill="auto"/>
          </w:tcPr>
          <w:p w:rsidR="00A72EBA" w:rsidRPr="00B86E52" w:rsidRDefault="00A72EBA">
            <w:pPr>
              <w:autoSpaceDE w:val="0"/>
              <w:autoSpaceDN w:val="0"/>
              <w:adjustRightInd w:val="0"/>
              <w:rPr>
                <w:rFonts w:eastAsia="TimesNewRoman"/>
                <w:szCs w:val="22"/>
                <w:lang w:val="sk-SK"/>
              </w:rPr>
            </w:pPr>
          </w:p>
          <w:p w:rsidR="00A72EBA" w:rsidRPr="00F81158"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A438E0">
              <w:rPr>
                <w:rFonts w:eastAsia="TimesNewRoman"/>
                <w:szCs w:val="22"/>
                <w:lang w:val="sk-SK"/>
              </w:rPr>
              <w:t>Vorikonazol C</w:t>
            </w:r>
            <w:r w:rsidRPr="00FA7839">
              <w:rPr>
                <w:rFonts w:eastAsia="TimesNewRoman"/>
                <w:szCs w:val="22"/>
                <w:vertAlign w:val="subscript"/>
                <w:lang w:val="sk-SK"/>
              </w:rPr>
              <w:t>max</w:t>
            </w:r>
            <w:r w:rsidRPr="00077723">
              <w:rPr>
                <w:rFonts w:eastAsia="TimesNewRoman"/>
                <w:szCs w:val="22"/>
                <w:lang w:val="sk-SK"/>
              </w:rPr>
              <w:t xml:space="preserve"> a AUC</w:t>
            </w:r>
            <w:r w:rsidR="00F42A51" w:rsidRPr="00744F05">
              <w:rPr>
                <w:vertAlign w:val="subscript"/>
              </w:rPr>
              <w:t>τ</w:t>
            </w:r>
            <w:r w:rsidRPr="00D32133">
              <w:rPr>
                <w:rFonts w:eastAsia="TimesNewRoman"/>
                <w:szCs w:val="22"/>
                <w:lang w:val="sk-SK"/>
              </w:rPr>
              <w:t xml:space="preserve"> ↔</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p>
          <w:p w:rsidR="00A72EBA" w:rsidRPr="00CB3225" w:rsidRDefault="00A72EBA">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a AUC</w:t>
            </w:r>
            <w:r w:rsidR="00F42A51" w:rsidRPr="00744F05">
              <w:rPr>
                <w:vertAlign w:val="subscript"/>
              </w:rPr>
              <w:t>τ</w:t>
            </w:r>
            <w:r w:rsidR="00F42A51">
              <w:rPr>
                <w:rFonts w:eastAsia="TimesNewRoman"/>
                <w:szCs w:val="22"/>
                <w:lang w:val="sk-SK"/>
              </w:rPr>
              <w:t xml:space="preserve"> </w:t>
            </w:r>
            <w:r w:rsidRPr="00D32133">
              <w:rPr>
                <w:rFonts w:eastAsia="TimesNewRoman"/>
                <w:szCs w:val="22"/>
                <w:lang w:val="sk-SK"/>
              </w:rPr>
              <w:t>↔</w:t>
            </w:r>
          </w:p>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Vplyv vorikonazolu na</w:t>
            </w:r>
            <w:r w:rsidR="0077118C">
              <w:rPr>
                <w:vertAlign w:val="subscript"/>
                <w:lang w:val="sk-SK"/>
              </w:rPr>
              <w:t> </w:t>
            </w:r>
            <w:r w:rsidRPr="00D32133">
              <w:rPr>
                <w:rFonts w:eastAsia="TimesNewRoman"/>
                <w:szCs w:val="22"/>
                <w:lang w:val="sk-SK"/>
              </w:rPr>
              <w:t>erytromycín alebo azitromycín nie je známy.</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p>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Žiadna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Mykofenolová kyselina (1 g</w:t>
            </w:r>
          </w:p>
          <w:p w:rsidR="00A72EBA" w:rsidRPr="00413EE1" w:rsidRDefault="00A72EBA" w:rsidP="00D32133">
            <w:pPr>
              <w:autoSpaceDE w:val="0"/>
              <w:autoSpaceDN w:val="0"/>
              <w:adjustRightInd w:val="0"/>
              <w:rPr>
                <w:rFonts w:eastAsia="TimesNewRoman"/>
                <w:szCs w:val="22"/>
                <w:lang w:val="sk-SK"/>
              </w:rPr>
            </w:pPr>
            <w:r w:rsidRPr="00E70B7A">
              <w:rPr>
                <w:rFonts w:eastAsia="TimesNewRoman"/>
                <w:szCs w:val="22"/>
                <w:lang w:val="sk-SK"/>
              </w:rPr>
              <w:t>jednorazová dávka)</w:t>
            </w:r>
          </w:p>
          <w:p w:rsidR="00A72EBA" w:rsidRPr="00D32133" w:rsidRDefault="00A72EBA">
            <w:pPr>
              <w:autoSpaceDE w:val="0"/>
              <w:autoSpaceDN w:val="0"/>
              <w:adjustRightInd w:val="0"/>
              <w:rPr>
                <w:rFonts w:eastAsia="TimesNewRoman,Italic"/>
                <w:i/>
                <w:iCs/>
                <w:szCs w:val="22"/>
                <w:lang w:val="sk-SK"/>
              </w:rPr>
            </w:pPr>
            <w:r w:rsidRPr="00D32133">
              <w:rPr>
                <w:rFonts w:eastAsia="TimesNewRoman,Italic"/>
                <w:i/>
                <w:iCs/>
                <w:szCs w:val="22"/>
                <w:lang w:val="sk-SK"/>
              </w:rPr>
              <w:t>[substrát UDP-glukuronyl</w:t>
            </w:r>
          </w:p>
          <w:p w:rsidR="00A72EBA" w:rsidRPr="00D40A28" w:rsidRDefault="00A72EBA">
            <w:pPr>
              <w:autoSpaceDE w:val="0"/>
              <w:autoSpaceDN w:val="0"/>
              <w:adjustRightInd w:val="0"/>
              <w:rPr>
                <w:rFonts w:eastAsia="TimesNewRoman"/>
                <w:szCs w:val="22"/>
                <w:lang w:val="sk-SK"/>
              </w:rPr>
            </w:pPr>
            <w:r w:rsidRPr="00D40A28">
              <w:rPr>
                <w:rFonts w:eastAsia="TimesNewRoman,Italic"/>
                <w:i/>
                <w:iCs/>
                <w:szCs w:val="22"/>
                <w:lang w:val="sk-SK"/>
              </w:rPr>
              <w:t>transferázy]</w:t>
            </w:r>
          </w:p>
        </w:tc>
        <w:tc>
          <w:tcPr>
            <w:tcW w:w="3071" w:type="dxa"/>
            <w:shd w:val="clear" w:color="auto" w:fill="auto"/>
          </w:tcPr>
          <w:p w:rsidR="00A72EBA" w:rsidRPr="00BC186B" w:rsidRDefault="00A72EBA">
            <w:pPr>
              <w:autoSpaceDE w:val="0"/>
              <w:autoSpaceDN w:val="0"/>
              <w:adjustRightInd w:val="0"/>
              <w:rPr>
                <w:rFonts w:eastAsia="TimesNewRoman"/>
                <w:szCs w:val="22"/>
                <w:lang w:val="sk-SK"/>
              </w:rPr>
            </w:pPr>
            <w:r w:rsidRPr="00B86E52">
              <w:rPr>
                <w:rFonts w:eastAsia="TimesNewRoman"/>
                <w:szCs w:val="22"/>
                <w:lang w:val="sk-SK"/>
              </w:rPr>
              <w:t>Mykofenolová kyselina C</w:t>
            </w:r>
            <w:r w:rsidRPr="00BC186B">
              <w:rPr>
                <w:rFonts w:eastAsia="TimesNewRoman"/>
                <w:szCs w:val="22"/>
                <w:vertAlign w:val="subscript"/>
                <w:lang w:val="sk-SK"/>
              </w:rPr>
              <w:t>max</w:t>
            </w:r>
            <w:r w:rsidRPr="00BC186B">
              <w:rPr>
                <w:rFonts w:eastAsia="TimesNewRoman"/>
                <w:szCs w:val="22"/>
                <w:lang w:val="sk-SK"/>
              </w:rPr>
              <w:t xml:space="preserve"> ↔</w:t>
            </w:r>
          </w:p>
          <w:p w:rsidR="00A72EBA" w:rsidRPr="00324F85" w:rsidRDefault="00A72EBA">
            <w:pPr>
              <w:autoSpaceDE w:val="0"/>
              <w:autoSpaceDN w:val="0"/>
              <w:adjustRightInd w:val="0"/>
              <w:rPr>
                <w:rFonts w:eastAsia="TimesNewRoman"/>
                <w:szCs w:val="22"/>
                <w:lang w:val="sk-SK"/>
              </w:rPr>
            </w:pPr>
            <w:r w:rsidRPr="00F81158">
              <w:rPr>
                <w:rFonts w:eastAsia="TimesNewRoman"/>
                <w:szCs w:val="22"/>
                <w:lang w:val="sk-SK"/>
              </w:rPr>
              <w:t>Mykofenolová kyselina AUC</w:t>
            </w:r>
            <w:r w:rsidRPr="00A438E0">
              <w:rPr>
                <w:rFonts w:eastAsia="TimesNewRoman"/>
                <w:szCs w:val="22"/>
                <w:vertAlign w:val="subscript"/>
                <w:lang w:val="sk-SK"/>
              </w:rPr>
              <w:t>t</w:t>
            </w:r>
            <w:r w:rsidRPr="00FA7839">
              <w:rPr>
                <w:rFonts w:eastAsia="TimesNewRoman"/>
                <w:szCs w:val="22"/>
                <w:lang w:val="sk-SK"/>
              </w:rPr>
              <w:t>↔</w:t>
            </w:r>
          </w:p>
        </w:tc>
        <w:tc>
          <w:tcPr>
            <w:tcW w:w="3071" w:type="dxa"/>
            <w:shd w:val="clear" w:color="auto" w:fill="auto"/>
          </w:tcPr>
          <w:p w:rsidR="00A72EBA" w:rsidRPr="007D21E2" w:rsidRDefault="00A72EBA">
            <w:pPr>
              <w:autoSpaceDE w:val="0"/>
              <w:autoSpaceDN w:val="0"/>
              <w:adjustRightInd w:val="0"/>
              <w:rPr>
                <w:rFonts w:eastAsia="TimesNewRoman"/>
                <w:szCs w:val="22"/>
                <w:lang w:val="sk-SK"/>
              </w:rPr>
            </w:pPr>
            <w:r w:rsidRPr="004B210D">
              <w:rPr>
                <w:rFonts w:eastAsia="TimesNewRoman"/>
                <w:szCs w:val="22"/>
                <w:lang w:val="sk-SK"/>
              </w:rPr>
              <w:t>Žiadna úprava dávky</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szCs w:val="22"/>
                <w:lang w:val="sk-SK"/>
              </w:rPr>
            </w:pPr>
            <w:r w:rsidRPr="00D32133">
              <w:rPr>
                <w:rFonts w:eastAsia="TimesNewRoman"/>
                <w:szCs w:val="22"/>
                <w:lang w:val="sk-SK"/>
              </w:rPr>
              <w:lastRenderedPageBreak/>
              <w:t xml:space="preserve">Prednizolón </w:t>
            </w:r>
            <w:r w:rsidRPr="00CB3225">
              <w:rPr>
                <w:rFonts w:eastAsia="TimesNewRoman"/>
                <w:szCs w:val="22"/>
                <w:lang w:val="sk-SK"/>
              </w:rPr>
              <w:t>(60 mg jednorazová dávka)</w:t>
            </w:r>
          </w:p>
          <w:p w:rsidR="00A72EBA" w:rsidRPr="00D32133" w:rsidRDefault="00A72EBA" w:rsidP="009262C6">
            <w:pPr>
              <w:autoSpaceDE w:val="0"/>
              <w:autoSpaceDN w:val="0"/>
              <w:adjustRightInd w:val="0"/>
              <w:rPr>
                <w:rFonts w:eastAsia="TimesNewRoman"/>
                <w:szCs w:val="22"/>
                <w:lang w:val="sk-SK"/>
              </w:rPr>
            </w:pPr>
            <w:r w:rsidRPr="00D32133">
              <w:rPr>
                <w:rFonts w:eastAsia="TimesNewRoman,Italic"/>
                <w:i/>
                <w:iCs/>
                <w:szCs w:val="22"/>
                <w:lang w:val="sk-SK"/>
              </w:rPr>
              <w:t>[substrát CYP3A4]</w:t>
            </w:r>
          </w:p>
        </w:tc>
        <w:tc>
          <w:tcPr>
            <w:tcW w:w="3071" w:type="dxa"/>
            <w:shd w:val="clear" w:color="auto" w:fill="auto"/>
          </w:tcPr>
          <w:p w:rsidR="00A72EBA" w:rsidRPr="00CB3225" w:rsidRDefault="00A72EBA" w:rsidP="00D32133">
            <w:pPr>
              <w:autoSpaceDE w:val="0"/>
              <w:autoSpaceDN w:val="0"/>
              <w:adjustRightInd w:val="0"/>
              <w:rPr>
                <w:rFonts w:eastAsia="TimesNewRoman"/>
                <w:szCs w:val="22"/>
                <w:lang w:val="sk-SK"/>
              </w:rPr>
            </w:pPr>
            <w:r w:rsidRPr="00D40A28">
              <w:rPr>
                <w:rFonts w:eastAsia="TimesNewRoman"/>
                <w:szCs w:val="22"/>
                <w:lang w:val="sk-SK"/>
              </w:rPr>
              <w:t>Prednizolón C</w:t>
            </w:r>
            <w:r w:rsidRPr="00D40A28">
              <w:rPr>
                <w:rFonts w:eastAsia="TimesNewRoman"/>
                <w:szCs w:val="22"/>
                <w:vertAlign w:val="subscript"/>
                <w:lang w:val="sk-SK"/>
              </w:rPr>
              <w:t>max</w:t>
            </w:r>
            <w:r w:rsidRPr="00A954DB">
              <w:rPr>
                <w:rFonts w:eastAsia="TimesNewRoman" w:hint="eastAsia"/>
                <w:szCs w:val="22"/>
                <w:lang w:val="sk-SK"/>
              </w:rPr>
              <w:t xml:space="preserve"> </w:t>
            </w:r>
            <w:r w:rsidRPr="00A757AA">
              <w:rPr>
                <w:rFonts w:eastAsia="TimesNewRoman" w:hint="eastAsia"/>
                <w:szCs w:val="22"/>
                <w:lang w:val="sk-SK"/>
              </w:rPr>
              <w:t>↑</w:t>
            </w:r>
            <w:r w:rsidRPr="00D32133">
              <w:rPr>
                <w:rFonts w:eastAsia="TimesNewRoman"/>
                <w:szCs w:val="22"/>
                <w:lang w:val="sk-SK"/>
              </w:rPr>
              <w:t xml:space="preserve"> 11 %</w:t>
            </w:r>
          </w:p>
          <w:p w:rsidR="00A72EBA" w:rsidRPr="00CB3225" w:rsidRDefault="00A72EBA" w:rsidP="00CB3225">
            <w:pPr>
              <w:autoSpaceDE w:val="0"/>
              <w:autoSpaceDN w:val="0"/>
              <w:adjustRightInd w:val="0"/>
              <w:rPr>
                <w:rFonts w:eastAsia="TimesNewRoman"/>
                <w:szCs w:val="22"/>
                <w:lang w:val="sk-SK"/>
              </w:rPr>
            </w:pPr>
            <w:r w:rsidRPr="00E70B7A">
              <w:rPr>
                <w:rFonts w:eastAsia="TimesNewRoman"/>
                <w:szCs w:val="22"/>
                <w:lang w:val="sk-SK"/>
              </w:rPr>
              <w:t>Prednizolón AUC</w:t>
            </w:r>
            <w:r w:rsidR="00C7642E" w:rsidRPr="00D32133">
              <w:rPr>
                <w:rFonts w:eastAsia="TimesNewRoman" w:hint="eastAsia"/>
                <w:szCs w:val="22"/>
                <w:vertAlign w:val="subscript"/>
                <w:lang w:val="sk-SK"/>
              </w:rPr>
              <w:t>0-</w:t>
            </w:r>
            <w:r w:rsidR="00C7642E" w:rsidRPr="00D32133">
              <w:rPr>
                <w:rFonts w:eastAsia="TimesNewRoman" w:hint="eastAsia"/>
                <w:szCs w:val="22"/>
                <w:vertAlign w:val="subscript"/>
                <w:lang w:val="sk-SK"/>
              </w:rPr>
              <w:t>∞</w:t>
            </w:r>
            <w:r w:rsidR="00C7642E" w:rsidRPr="00D32133">
              <w:rPr>
                <w:rFonts w:eastAsia="TimesNewRoman"/>
                <w:szCs w:val="22"/>
                <w:lang w:val="sk-SK"/>
              </w:rPr>
              <w:t xml:space="preserve"> </w:t>
            </w:r>
            <w:r w:rsidRPr="00D40A28">
              <w:rPr>
                <w:rFonts w:eastAsia="TimesNewRoman" w:hint="eastAsia"/>
                <w:szCs w:val="22"/>
                <w:lang w:val="sk-SK"/>
              </w:rPr>
              <w:t>↑</w:t>
            </w:r>
            <w:r w:rsidRPr="00D32133">
              <w:rPr>
                <w:rFonts w:eastAsia="TimesNewRoman"/>
                <w:szCs w:val="22"/>
                <w:lang w:val="sk-SK"/>
              </w:rPr>
              <w:t xml:space="preserve"> 34 %</w:t>
            </w:r>
          </w:p>
        </w:tc>
        <w:tc>
          <w:tcPr>
            <w:tcW w:w="3071" w:type="dxa"/>
            <w:shd w:val="clear" w:color="auto" w:fill="auto"/>
          </w:tcPr>
          <w:p w:rsidR="00A72EBA" w:rsidRPr="00D40A28" w:rsidRDefault="00A72EBA">
            <w:pPr>
              <w:autoSpaceDE w:val="0"/>
              <w:autoSpaceDN w:val="0"/>
              <w:adjustRightInd w:val="0"/>
              <w:rPr>
                <w:rFonts w:eastAsia="TimesNewRoman"/>
                <w:szCs w:val="22"/>
                <w:lang w:val="sk-SK"/>
              </w:rPr>
            </w:pPr>
            <w:r w:rsidRPr="00D40A28">
              <w:rPr>
                <w:rFonts w:eastAsia="TimesNewRoman"/>
                <w:szCs w:val="22"/>
                <w:lang w:val="sk-SK"/>
              </w:rPr>
              <w:t>Žiadna úprava dávky</w:t>
            </w:r>
          </w:p>
        </w:tc>
      </w:tr>
      <w:tr w:rsidR="00A72EBA" w:rsidRPr="00D32133" w:rsidTr="0019731D">
        <w:tc>
          <w:tcPr>
            <w:tcW w:w="3070" w:type="dxa"/>
            <w:shd w:val="clear" w:color="auto" w:fill="auto"/>
          </w:tcPr>
          <w:p w:rsidR="00A72EBA" w:rsidRPr="00CB3225" w:rsidRDefault="00A72EBA" w:rsidP="00CD060E">
            <w:pPr>
              <w:autoSpaceDE w:val="0"/>
              <w:autoSpaceDN w:val="0"/>
              <w:adjustRightInd w:val="0"/>
              <w:rPr>
                <w:rFonts w:eastAsia="TimesNewRoman"/>
                <w:szCs w:val="22"/>
                <w:lang w:val="sk-SK"/>
              </w:rPr>
            </w:pPr>
            <w:r w:rsidRPr="00D32133">
              <w:rPr>
                <w:rFonts w:eastAsia="TimesNewRoman"/>
                <w:szCs w:val="22"/>
                <w:lang w:val="sk-SK"/>
              </w:rPr>
              <w:t>Ranitidín (150 mg BID)</w:t>
            </w:r>
          </w:p>
          <w:p w:rsidR="00A72EBA" w:rsidRPr="00413EE1" w:rsidRDefault="00A72EBA" w:rsidP="00D32133">
            <w:pPr>
              <w:autoSpaceDE w:val="0"/>
              <w:autoSpaceDN w:val="0"/>
              <w:adjustRightInd w:val="0"/>
              <w:rPr>
                <w:rFonts w:eastAsia="TimesNewRoman"/>
                <w:szCs w:val="22"/>
                <w:lang w:val="sk-SK"/>
              </w:rPr>
            </w:pPr>
            <w:r w:rsidRPr="00E70B7A">
              <w:rPr>
                <w:rFonts w:eastAsia="TimesNewRoman,Italic"/>
                <w:i/>
                <w:iCs/>
                <w:szCs w:val="22"/>
                <w:lang w:val="sk-SK"/>
              </w:rPr>
              <w:t>[zvyšuje pH žalúdka]</w:t>
            </w:r>
          </w:p>
        </w:tc>
        <w:tc>
          <w:tcPr>
            <w:tcW w:w="3071" w:type="dxa"/>
            <w:shd w:val="clear" w:color="auto" w:fill="auto"/>
          </w:tcPr>
          <w:p w:rsidR="00A72EBA" w:rsidRPr="00CB3225" w:rsidRDefault="00A72EBA" w:rsidP="00CB3225">
            <w:pPr>
              <w:autoSpaceDE w:val="0"/>
              <w:autoSpaceDN w:val="0"/>
              <w:adjustRightInd w:val="0"/>
              <w:rPr>
                <w:rFonts w:eastAsia="TimesNewRoman"/>
                <w:szCs w:val="22"/>
                <w:lang w:val="sk-SK"/>
              </w:rPr>
            </w:pPr>
            <w:r w:rsidRPr="00D32133">
              <w:rPr>
                <w:rFonts w:eastAsia="TimesNewRoman"/>
                <w:szCs w:val="22"/>
                <w:lang w:val="sk-SK"/>
              </w:rPr>
              <w:t>Vorikonazol C</w:t>
            </w:r>
            <w:r w:rsidRPr="00D32133">
              <w:rPr>
                <w:rFonts w:eastAsia="TimesNewRoman"/>
                <w:szCs w:val="22"/>
                <w:vertAlign w:val="subscript"/>
                <w:lang w:val="sk-SK"/>
              </w:rPr>
              <w:t>max</w:t>
            </w:r>
            <w:r w:rsidRPr="00D32133">
              <w:rPr>
                <w:rFonts w:eastAsia="TimesNewRoman"/>
                <w:szCs w:val="22"/>
                <w:lang w:val="sk-SK"/>
              </w:rPr>
              <w:t xml:space="preserve"> a AUC</w:t>
            </w:r>
            <w:r w:rsidR="00A726F8" w:rsidRPr="00744F05">
              <w:rPr>
                <w:vertAlign w:val="subscript"/>
              </w:rPr>
              <w:t>τ</w:t>
            </w:r>
            <w:r w:rsidRPr="00D32133">
              <w:rPr>
                <w:rFonts w:eastAsia="TimesNewRoman"/>
                <w:szCs w:val="22"/>
                <w:lang w:val="sk-SK"/>
              </w:rPr>
              <w:t xml:space="preserve"> ↔</w:t>
            </w:r>
          </w:p>
        </w:tc>
        <w:tc>
          <w:tcPr>
            <w:tcW w:w="3071" w:type="dxa"/>
            <w:shd w:val="clear" w:color="auto" w:fill="auto"/>
          </w:tcPr>
          <w:p w:rsidR="00A72EBA" w:rsidRPr="00D32133" w:rsidRDefault="00A72EBA">
            <w:pPr>
              <w:autoSpaceDE w:val="0"/>
              <w:autoSpaceDN w:val="0"/>
              <w:adjustRightInd w:val="0"/>
              <w:rPr>
                <w:rFonts w:eastAsia="TimesNewRoman"/>
                <w:szCs w:val="22"/>
                <w:lang w:val="sk-SK"/>
              </w:rPr>
            </w:pPr>
            <w:r w:rsidRPr="00D32133">
              <w:rPr>
                <w:rFonts w:eastAsia="TimesNewRoman"/>
                <w:szCs w:val="22"/>
                <w:lang w:val="sk-SK"/>
              </w:rPr>
              <w:t>Žiadna úprava dávky</w:t>
            </w:r>
          </w:p>
        </w:tc>
      </w:tr>
    </w:tbl>
    <w:p w:rsidR="00A72EBA" w:rsidRPr="003B679E" w:rsidRDefault="00A72EBA" w:rsidP="00A45256">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Fertilita, gravidita a</w:t>
      </w:r>
      <w:r w:rsidR="000B66ED">
        <w:rPr>
          <w:szCs w:val="22"/>
          <w:lang w:val="sk-SK"/>
        </w:rPr>
        <w:t> </w:t>
      </w:r>
      <w:r w:rsidRPr="00D32133">
        <w:rPr>
          <w:szCs w:val="22"/>
          <w:lang w:val="sk-SK"/>
        </w:rPr>
        <w:t>laktácia</w:t>
      </w:r>
    </w:p>
    <w:p w:rsidR="000B66ED" w:rsidRPr="00CB3225" w:rsidRDefault="000B66ED" w:rsidP="003B679E">
      <w:pPr>
        <w:pStyle w:val="Styl2"/>
        <w:numPr>
          <w:ilvl w:val="0"/>
          <w:numId w:val="0"/>
        </w:numPr>
        <w:spacing w:before="0" w:after="0"/>
        <w:rPr>
          <w:szCs w:val="22"/>
          <w:lang w:val="sk-SK"/>
        </w:rPr>
      </w:pPr>
    </w:p>
    <w:p w:rsidR="00A72EBA" w:rsidRPr="007D21E2" w:rsidRDefault="00A72EBA" w:rsidP="004F6A00">
      <w:pPr>
        <w:pStyle w:val="Styl3"/>
      </w:pPr>
      <w:r w:rsidRPr="004B210D">
        <w:t>Gravidita</w:t>
      </w:r>
    </w:p>
    <w:p w:rsidR="00A72EBA" w:rsidRPr="003B679E" w:rsidRDefault="00324F85" w:rsidP="00A45256">
      <w:pPr>
        <w:pStyle w:val="Normlndobloku"/>
      </w:pPr>
      <w:r>
        <w:t>Nie je k dispozícii dostatok informácii o</w:t>
      </w:r>
      <w:r w:rsidR="00A72EBA" w:rsidRPr="003B679E">
        <w:t> použití vorikonazolu u gravidných žien.</w:t>
      </w:r>
    </w:p>
    <w:p w:rsidR="00A72EBA" w:rsidRPr="003B679E" w:rsidRDefault="00A72EBA" w:rsidP="004644D9">
      <w:pPr>
        <w:pStyle w:val="Normlndobloku"/>
      </w:pPr>
      <w:r w:rsidRPr="003B679E">
        <w:t xml:space="preserve">Štúdie na zvieratách preukázali reprodukčnú toxicitu (pozri časť 5.3). Potenciálne riziko pre </w:t>
      </w:r>
      <w:r w:rsidR="00CC010F">
        <w:t>ľudí</w:t>
      </w:r>
      <w:r w:rsidRPr="003B679E">
        <w:t xml:space="preserve"> nie je známe.</w:t>
      </w:r>
    </w:p>
    <w:p w:rsidR="00A72EBA" w:rsidRDefault="00A72EBA" w:rsidP="004F6A00">
      <w:pPr>
        <w:pStyle w:val="Normlndobloku"/>
      </w:pPr>
      <w:r w:rsidRPr="003B679E">
        <w:t>Ak prínos pre matku jednoznačne neprevažuje nad možným rizikom pre plod, nesmie sa vorikonazol počas gravidity užívať.</w:t>
      </w:r>
    </w:p>
    <w:p w:rsidR="000B66ED" w:rsidRPr="003B679E" w:rsidRDefault="000B66ED" w:rsidP="004F6A00">
      <w:pPr>
        <w:pStyle w:val="Normlndobloku"/>
      </w:pPr>
    </w:p>
    <w:p w:rsidR="00000000" w:rsidRDefault="00A72EBA">
      <w:pPr>
        <w:pStyle w:val="Styl3"/>
      </w:pPr>
      <w:r w:rsidRPr="003B679E">
        <w:t>Ženy vo fertilnom veku</w:t>
      </w:r>
    </w:p>
    <w:p w:rsidR="00A72EBA" w:rsidRDefault="00A72EBA" w:rsidP="004F6A00">
      <w:pPr>
        <w:pStyle w:val="Normlndobloku"/>
      </w:pPr>
      <w:r w:rsidRPr="003B679E">
        <w:t>Ženy vo fertilnom veku musia počas liečby vždy užívať účinné kontraceptíva.</w:t>
      </w:r>
    </w:p>
    <w:p w:rsidR="000B66ED" w:rsidRPr="003B679E" w:rsidRDefault="000B66ED" w:rsidP="004F6A00">
      <w:pPr>
        <w:pStyle w:val="Normlndobloku"/>
      </w:pPr>
    </w:p>
    <w:p w:rsidR="00A72EBA" w:rsidRPr="007D21E2" w:rsidRDefault="00A72EBA" w:rsidP="004F6A00">
      <w:pPr>
        <w:pStyle w:val="Styl3"/>
      </w:pPr>
      <w:r w:rsidRPr="004B210D">
        <w:t>Dojčenie</w:t>
      </w:r>
    </w:p>
    <w:p w:rsidR="00A72EBA" w:rsidRDefault="00A72EBA" w:rsidP="00A45256">
      <w:pPr>
        <w:pStyle w:val="Normlndobloku"/>
      </w:pPr>
      <w:r w:rsidRPr="003B679E">
        <w:t>Vylučovanie vorikonazolu do materského mlieka sa neskúmal</w:t>
      </w:r>
      <w:r w:rsidR="00D94759">
        <w:t>o</w:t>
      </w:r>
      <w:r w:rsidRPr="003B679E">
        <w:t>. Na začiatku liečby vorikonazolom sa musí prerušiť dojčenie.</w:t>
      </w:r>
    </w:p>
    <w:p w:rsidR="000B66ED" w:rsidRPr="003B679E" w:rsidRDefault="000B66ED" w:rsidP="004644D9">
      <w:pPr>
        <w:pStyle w:val="Normlndobloku"/>
      </w:pPr>
    </w:p>
    <w:p w:rsidR="00A72EBA" w:rsidRPr="007D21E2" w:rsidRDefault="00A72EBA" w:rsidP="004F6A00">
      <w:pPr>
        <w:pStyle w:val="Styl3"/>
      </w:pPr>
      <w:r w:rsidRPr="004B210D">
        <w:t>Fertilita</w:t>
      </w:r>
    </w:p>
    <w:p w:rsidR="00A72EBA" w:rsidRDefault="00A72EBA" w:rsidP="00A45256">
      <w:pPr>
        <w:pStyle w:val="Normlndobloku"/>
      </w:pPr>
      <w:r w:rsidRPr="003B679E">
        <w:t>V štúdii na zvieratách sa nepreukázalo poškodenie plodnosti u samcov a samíc potkanov (pozri časť 5.3).</w:t>
      </w:r>
    </w:p>
    <w:p w:rsidR="000B66ED" w:rsidRPr="003B679E" w:rsidRDefault="000B66ED"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Ovplyvnenie schopnosti viesť vozidlá a obsluhovať stroje</w:t>
      </w:r>
    </w:p>
    <w:p w:rsidR="00507FD0" w:rsidRPr="00CB3225" w:rsidRDefault="00507FD0" w:rsidP="003B679E">
      <w:pPr>
        <w:pStyle w:val="Styl2"/>
        <w:numPr>
          <w:ilvl w:val="0"/>
          <w:numId w:val="0"/>
        </w:numPr>
        <w:spacing w:before="0" w:after="0"/>
        <w:rPr>
          <w:szCs w:val="22"/>
          <w:lang w:val="sk-SK"/>
        </w:rPr>
      </w:pPr>
    </w:p>
    <w:p w:rsidR="00A72EBA" w:rsidRDefault="007F2A87" w:rsidP="00A45256">
      <w:pPr>
        <w:pStyle w:val="Normlndobloku"/>
      </w:pPr>
      <w:r>
        <w:t>VERRIA</w:t>
      </w:r>
      <w:r w:rsidRPr="003B679E">
        <w:t xml:space="preserve"> </w:t>
      </w:r>
      <w:r w:rsidR="00A72EBA" w:rsidRPr="003B679E">
        <w:t>má mierny vplyv na schopnosť viesť vozidlá a obsluhovať stroje. Môže vyvolávať prechodné a reverzibilné zmeny videnia vrátane rozmazaného videnia, zmenenej/zvýšenej vizuálnej percepcie a/alebo fotofóbie. Pacienti sa musia vyhnúť potenciálne riskantným činnostiam, ako je vedenie vozidla alebo obsluha strojov, pokiaľ pociťujú uvedené príznaky.</w:t>
      </w:r>
    </w:p>
    <w:p w:rsidR="00507FD0" w:rsidRPr="003B679E" w:rsidRDefault="00507FD0"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Nežiaduce účinky</w:t>
      </w:r>
    </w:p>
    <w:p w:rsidR="00507FD0" w:rsidRPr="00CB3225" w:rsidRDefault="00507FD0" w:rsidP="003B679E">
      <w:pPr>
        <w:pStyle w:val="Styl2"/>
        <w:numPr>
          <w:ilvl w:val="0"/>
          <w:numId w:val="0"/>
        </w:numPr>
        <w:spacing w:before="0" w:after="0"/>
        <w:rPr>
          <w:szCs w:val="22"/>
          <w:lang w:val="sk-SK"/>
        </w:rPr>
      </w:pPr>
    </w:p>
    <w:p w:rsidR="00A72EBA" w:rsidRPr="007D21E2" w:rsidRDefault="00A72EBA" w:rsidP="004F6A00">
      <w:pPr>
        <w:pStyle w:val="Styl3"/>
      </w:pPr>
      <w:r w:rsidRPr="004B210D">
        <w:t xml:space="preserve">Súhrn bezpečnostného profilu </w:t>
      </w:r>
    </w:p>
    <w:p w:rsidR="00A72EBA" w:rsidRDefault="00A72EBA" w:rsidP="00A45256">
      <w:pPr>
        <w:pStyle w:val="Normlndobloku"/>
      </w:pPr>
      <w:r w:rsidRPr="003B679E">
        <w:t xml:space="preserve">Bezpečnostný profil vorikonazolu </w:t>
      </w:r>
      <w:r w:rsidR="00A16EDE">
        <w:t xml:space="preserve">u dospelých </w:t>
      </w:r>
      <w:r w:rsidRPr="003B679E">
        <w:t>je podložený integrovanou bezpečnostnou databázou s vyše 2 000 jedincami (</w:t>
      </w:r>
      <w:r w:rsidR="005D62F4">
        <w:t xml:space="preserve">vrátane </w:t>
      </w:r>
      <w:r w:rsidRPr="003B679E">
        <w:t>1</w:t>
      </w:r>
      <w:r w:rsidR="00A16EDE">
        <w:t> </w:t>
      </w:r>
      <w:r w:rsidRPr="003B679E">
        <w:t>6</w:t>
      </w:r>
      <w:r w:rsidR="00A16EDE">
        <w:t>03 dospelých</w:t>
      </w:r>
      <w:r w:rsidRPr="003B679E">
        <w:t xml:space="preserve"> pacientov v </w:t>
      </w:r>
      <w:r w:rsidR="005D62F4">
        <w:t>terapeutick</w:t>
      </w:r>
      <w:r w:rsidRPr="003B679E">
        <w:t xml:space="preserve">ých </w:t>
      </w:r>
      <w:r w:rsidR="00912434">
        <w:t>štúdiách</w:t>
      </w:r>
      <w:r w:rsidRPr="003B679E">
        <w:t>)</w:t>
      </w:r>
      <w:r w:rsidR="007B7B6A">
        <w:t xml:space="preserve"> a </w:t>
      </w:r>
      <w:r w:rsidR="00AA2D24">
        <w:t>ď</w:t>
      </w:r>
      <w:r w:rsidR="008A4AE4">
        <w:t>alšími</w:t>
      </w:r>
      <w:r w:rsidR="007B7B6A">
        <w:t xml:space="preserve"> </w:t>
      </w:r>
      <w:r w:rsidR="005E571E">
        <w:t>270 dospel</w:t>
      </w:r>
      <w:r w:rsidR="008A4AE4">
        <w:t>ými</w:t>
      </w:r>
      <w:r w:rsidR="007B7B6A">
        <w:t xml:space="preserve"> v</w:t>
      </w:r>
      <w:r w:rsidR="005651D5">
        <w:t> </w:t>
      </w:r>
      <w:r w:rsidR="00912434">
        <w:t>štúdiách</w:t>
      </w:r>
      <w:r w:rsidR="005651D5">
        <w:t xml:space="preserve"> profylaxie</w:t>
      </w:r>
      <w:r w:rsidRPr="003B679E">
        <w:t>. To predstavuje heterogénnu populáciu zahŕňajúcu pacientov s hematologickými malignitami, pacientov infikovaných vírusom HIV s ezofageálnou kandidózou a refraktérnymi mykotickými infekciami, pacientov bez neutropénie s kandidémiou alebo aspergilózou a zdravých dobrovoľníkov.</w:t>
      </w:r>
    </w:p>
    <w:p w:rsidR="00366162" w:rsidRPr="003B679E" w:rsidRDefault="00366162" w:rsidP="004644D9">
      <w:pPr>
        <w:pStyle w:val="Normlndobloku"/>
      </w:pPr>
    </w:p>
    <w:p w:rsidR="00A72EBA" w:rsidRDefault="00A72EBA" w:rsidP="004F6A00">
      <w:pPr>
        <w:pStyle w:val="Normlndobloku"/>
      </w:pPr>
      <w:r w:rsidRPr="003B679E">
        <w:t xml:space="preserve">Najčastejšie hlásenými nežiaducimi reakciami boli poruchy videnia, pyrexia, vyrážka, vracanie, nauzea, hnačka, bolesť hlavy, periférny edém, </w:t>
      </w:r>
      <w:r w:rsidRPr="003B679E">
        <w:rPr>
          <w:lang w:eastAsia="sk-SK"/>
        </w:rPr>
        <w:t>abnormálne výsledky vyšetrení funkcie pečene, respiračná tieseň</w:t>
      </w:r>
      <w:r w:rsidRPr="003B679E">
        <w:t xml:space="preserve"> a abdominálna bolesť.</w:t>
      </w:r>
    </w:p>
    <w:p w:rsidR="00366162" w:rsidRPr="003B679E" w:rsidRDefault="00366162" w:rsidP="004F6A00">
      <w:pPr>
        <w:pStyle w:val="Normlndobloku"/>
      </w:pPr>
    </w:p>
    <w:p w:rsidR="00A72EBA" w:rsidRDefault="00A72EBA" w:rsidP="004F6A00">
      <w:pPr>
        <w:pStyle w:val="Normlndobloku"/>
      </w:pPr>
      <w:r w:rsidRPr="003B679E">
        <w:t xml:space="preserve">Závažnosť týchto nežiaducich reakcií bola vo všeobecnosti mierneho až stredne </w:t>
      </w:r>
      <w:r w:rsidR="00366162">
        <w:t>závažn</w:t>
      </w:r>
      <w:r w:rsidRPr="003B679E">
        <w:t>ého stupňa. Nezistili sa žiadne klinicky významné rozdiely, keď sa bezpečnostné údaje analyzovali podľa veku, rasy alebo pohlavia.</w:t>
      </w:r>
    </w:p>
    <w:p w:rsidR="00ED3A6A" w:rsidRPr="003B679E" w:rsidRDefault="00ED3A6A" w:rsidP="004F6A00">
      <w:pPr>
        <w:pStyle w:val="Normlndobloku"/>
      </w:pPr>
    </w:p>
    <w:p w:rsidR="00000000" w:rsidRDefault="00A72EBA">
      <w:pPr>
        <w:pStyle w:val="Styl3"/>
      </w:pPr>
      <w:r w:rsidRPr="003B679E">
        <w:lastRenderedPageBreak/>
        <w:t>Zoznam nežiaducich reakcií uvedených v tabuľke</w:t>
      </w:r>
    </w:p>
    <w:p w:rsidR="00A72EBA" w:rsidRDefault="00A72EBA" w:rsidP="004F6A00">
      <w:pPr>
        <w:pStyle w:val="Normlndobloku"/>
      </w:pPr>
      <w:r w:rsidRPr="003B679E">
        <w:t xml:space="preserve">Vzhľadom na to, že väčšina </w:t>
      </w:r>
      <w:r w:rsidR="00C51D93">
        <w:t>štúdií</w:t>
      </w:r>
      <w:r w:rsidRPr="003B679E">
        <w:t xml:space="preserve"> bola otvoreného typu, v nasle</w:t>
      </w:r>
      <w:r w:rsidR="00736236">
        <w:t>dovnej</w:t>
      </w:r>
      <w:r w:rsidRPr="003B679E">
        <w:t xml:space="preserve"> tabuľke</w:t>
      </w:r>
      <w:r w:rsidR="00882AFB">
        <w:t xml:space="preserve"> nižšie</w:t>
      </w:r>
      <w:r w:rsidRPr="003B679E">
        <w:t xml:space="preserve"> sú uvedené všetky nežiaduce </w:t>
      </w:r>
      <w:r w:rsidR="00882AFB">
        <w:t>reakcie</w:t>
      </w:r>
      <w:r w:rsidR="006270B0">
        <w:t xml:space="preserve"> a ich frekvencie v kategóriách podľa frekvencie u 1 873</w:t>
      </w:r>
      <w:r w:rsidR="006270B0" w:rsidRPr="006270B0">
        <w:t xml:space="preserve"> </w:t>
      </w:r>
      <w:r w:rsidR="006270B0" w:rsidRPr="00841817">
        <w:t xml:space="preserve">dospelých osôb </w:t>
      </w:r>
      <w:r w:rsidR="00640BB6">
        <w:t>zo spojenia</w:t>
      </w:r>
      <w:r w:rsidR="00D46745">
        <w:t xml:space="preserve"> </w:t>
      </w:r>
      <w:r w:rsidR="006270B0" w:rsidRPr="00841817">
        <w:t>terapeutických (1 603) a profylaktických (270)</w:t>
      </w:r>
      <w:r w:rsidR="00912434">
        <w:t xml:space="preserve"> </w:t>
      </w:r>
      <w:r w:rsidR="006270B0" w:rsidRPr="00841817">
        <w:t>štúd</w:t>
      </w:r>
      <w:r w:rsidR="00C01CE9">
        <w:t>ií</w:t>
      </w:r>
      <w:r w:rsidRPr="003B679E">
        <w:t>, ktoré</w:t>
      </w:r>
      <w:r w:rsidR="00882AFB">
        <w:t xml:space="preserve"> môžu</w:t>
      </w:r>
      <w:r w:rsidRPr="003B679E">
        <w:t xml:space="preserve"> kauzálne súvisieť s</w:t>
      </w:r>
      <w:r w:rsidR="001A497E">
        <w:t> </w:t>
      </w:r>
      <w:r w:rsidRPr="003B679E">
        <w:t>liečbou</w:t>
      </w:r>
      <w:r w:rsidR="001A497E">
        <w:t xml:space="preserve"> vorikonazolom</w:t>
      </w:r>
      <w:r w:rsidR="006270B0">
        <w:t xml:space="preserve">, </w:t>
      </w:r>
      <w:r w:rsidRPr="003B679E">
        <w:t>a to podľa jednotlivých orgánových systémov.</w:t>
      </w:r>
    </w:p>
    <w:p w:rsidR="00683D20" w:rsidRPr="003B679E" w:rsidRDefault="00683D20" w:rsidP="004F6A00">
      <w:pPr>
        <w:pStyle w:val="Normlndobloku"/>
      </w:pPr>
    </w:p>
    <w:p w:rsidR="00272D63" w:rsidRPr="00DF1646" w:rsidRDefault="00A72EBA" w:rsidP="00F418D6">
      <w:pPr>
        <w:pStyle w:val="Normlndobloku"/>
        <w:rPr>
          <w:noProof/>
        </w:rPr>
      </w:pPr>
      <w:r w:rsidRPr="003B679E">
        <w:rPr>
          <w:szCs w:val="22"/>
          <w:lang w:val="sk-SK"/>
        </w:rPr>
        <w:t>Kategórie frekvencie sú vyjadrené ako</w:t>
      </w:r>
      <w:r w:rsidR="00227C1F">
        <w:rPr>
          <w:szCs w:val="22"/>
          <w:lang w:val="sk-SK"/>
        </w:rPr>
        <w:t>:</w:t>
      </w:r>
      <w:r w:rsidRPr="003B679E">
        <w:rPr>
          <w:szCs w:val="22"/>
          <w:lang w:val="sk-SK"/>
        </w:rPr>
        <w:t xml:space="preserve"> veľmi časté </w:t>
      </w:r>
      <w:r w:rsidR="00272D63" w:rsidRPr="00DF1646">
        <w:rPr>
          <w:noProof/>
        </w:rPr>
        <w:t>(</w:t>
      </w:r>
      <w:r w:rsidR="00B44963">
        <w:rPr>
          <w:noProof/>
        </w:rPr>
        <w:t>≥</w:t>
      </w:r>
      <w:r w:rsidR="00B03272" w:rsidRPr="00F418D6">
        <w:t xml:space="preserve"> </w:t>
      </w:r>
      <w:r w:rsidR="00272D63" w:rsidRPr="00DF1646">
        <w:rPr>
          <w:noProof/>
        </w:rPr>
        <w:t>1/10); časté (</w:t>
      </w:r>
      <w:r w:rsidR="00B44963">
        <w:rPr>
          <w:noProof/>
        </w:rPr>
        <w:t>≥</w:t>
      </w:r>
      <w:r w:rsidR="00B03272" w:rsidRPr="00F418D6">
        <w:t xml:space="preserve"> </w:t>
      </w:r>
      <w:r w:rsidR="00272D63" w:rsidRPr="00DF1646">
        <w:rPr>
          <w:noProof/>
        </w:rPr>
        <w:t>1/100 až &lt; 1/10); menej časté (</w:t>
      </w:r>
      <w:r w:rsidR="00B44963">
        <w:rPr>
          <w:noProof/>
        </w:rPr>
        <w:t>≥</w:t>
      </w:r>
      <w:r w:rsidR="00B03272" w:rsidRPr="00F418D6">
        <w:t> </w:t>
      </w:r>
      <w:r w:rsidR="00272D63" w:rsidRPr="00DF1646">
        <w:rPr>
          <w:noProof/>
        </w:rPr>
        <w:t>1/1</w:t>
      </w:r>
      <w:r w:rsidR="00227C1F">
        <w:rPr>
          <w:noProof/>
          <w:lang w:val="sk-SK"/>
        </w:rPr>
        <w:t> </w:t>
      </w:r>
      <w:r w:rsidR="00272D63" w:rsidRPr="00DF1646">
        <w:rPr>
          <w:noProof/>
        </w:rPr>
        <w:t>000 až &lt; 1/100); zriedkavé (</w:t>
      </w:r>
      <w:r w:rsidR="00B44963">
        <w:rPr>
          <w:noProof/>
        </w:rPr>
        <w:t>≥</w:t>
      </w:r>
      <w:r w:rsidR="00B03272" w:rsidRPr="00F418D6">
        <w:t> </w:t>
      </w:r>
      <w:r w:rsidR="00272D63" w:rsidRPr="00DF1646">
        <w:rPr>
          <w:noProof/>
        </w:rPr>
        <w:t>1/10</w:t>
      </w:r>
      <w:r w:rsidR="00227C1F">
        <w:rPr>
          <w:noProof/>
          <w:lang w:val="sk-SK"/>
        </w:rPr>
        <w:t> </w:t>
      </w:r>
      <w:r w:rsidR="00272D63" w:rsidRPr="00DF1646">
        <w:rPr>
          <w:noProof/>
        </w:rPr>
        <w:t>000 až &lt; 1/1</w:t>
      </w:r>
      <w:r w:rsidR="00227C1F">
        <w:rPr>
          <w:noProof/>
          <w:lang w:val="sk-SK"/>
        </w:rPr>
        <w:t> </w:t>
      </w:r>
      <w:r w:rsidR="00272D63" w:rsidRPr="00DF1646">
        <w:rPr>
          <w:noProof/>
        </w:rPr>
        <w:t>000); veľmi zriedkavé (&lt; 1/10</w:t>
      </w:r>
      <w:r w:rsidR="00227C1F">
        <w:rPr>
          <w:noProof/>
          <w:lang w:val="sk-SK"/>
        </w:rPr>
        <w:t> </w:t>
      </w:r>
      <w:r w:rsidR="00272D63" w:rsidRPr="00DF1646">
        <w:rPr>
          <w:noProof/>
        </w:rPr>
        <w:t>000); neznáme (</w:t>
      </w:r>
      <w:r w:rsidR="00227C1F">
        <w:rPr>
          <w:noProof/>
          <w:lang w:val="sk-SK"/>
        </w:rPr>
        <w:t xml:space="preserve">nemožno ich odhadnúť </w:t>
      </w:r>
      <w:r w:rsidR="00272D63" w:rsidRPr="00DF1646">
        <w:rPr>
          <w:noProof/>
        </w:rPr>
        <w:t>z dostupných údajov).</w:t>
      </w:r>
    </w:p>
    <w:p w:rsidR="00272D63" w:rsidRDefault="00272D63" w:rsidP="00A45256">
      <w:pPr>
        <w:pStyle w:val="Normlndobloku"/>
      </w:pPr>
    </w:p>
    <w:p w:rsidR="00A72EBA" w:rsidRPr="003B679E" w:rsidRDefault="00A72EBA" w:rsidP="004644D9">
      <w:pPr>
        <w:pStyle w:val="Normlndobloku"/>
      </w:pPr>
      <w:r w:rsidRPr="003B679E">
        <w:t xml:space="preserve">V rámci jednotlivých </w:t>
      </w:r>
      <w:r w:rsidR="00556030">
        <w:t>frekvenčných</w:t>
      </w:r>
      <w:r w:rsidRPr="003B679E">
        <w:t xml:space="preserve"> </w:t>
      </w:r>
      <w:r w:rsidR="00556030">
        <w:t>kategórií</w:t>
      </w:r>
      <w:r w:rsidRPr="003B679E">
        <w:t xml:space="preserve"> sú nežiaduce účinky </w:t>
      </w:r>
      <w:proofErr w:type="gramStart"/>
      <w:r w:rsidRPr="003B679E">
        <w:t>uv</w:t>
      </w:r>
      <w:r w:rsidR="00556030">
        <w:t>ede</w:t>
      </w:r>
      <w:r w:rsidRPr="003B679E">
        <w:t>né v poradí</w:t>
      </w:r>
      <w:proofErr w:type="gramEnd"/>
      <w:r w:rsidRPr="003B679E">
        <w:t xml:space="preserve"> klesajúcej závažnosti.</w:t>
      </w:r>
    </w:p>
    <w:p w:rsidR="00A72EBA" w:rsidRDefault="00A72EBA" w:rsidP="004F6A00">
      <w:pPr>
        <w:pStyle w:val="Normlndobloku"/>
      </w:pPr>
      <w:r w:rsidRPr="003B679E">
        <w:t>Nežiaduce účinky hlásené u </w:t>
      </w:r>
      <w:r w:rsidR="00556030">
        <w:t>jedincov</w:t>
      </w:r>
      <w:r w:rsidRPr="003B679E">
        <w:t xml:space="preserve"> užívajúcich vorikonazol:</w:t>
      </w:r>
    </w:p>
    <w:p w:rsidR="00556030" w:rsidRPr="003B679E" w:rsidRDefault="00556030" w:rsidP="004F6A00">
      <w:pPr>
        <w:pStyle w:val="Normlndobloku"/>
      </w:pPr>
    </w:p>
    <w:tbl>
      <w:tblPr>
        <w:tblStyle w:val="Mriekatabuky"/>
        <w:tblW w:w="9646" w:type="dxa"/>
        <w:tblLayout w:type="fixed"/>
        <w:tblLook w:val="04A0"/>
      </w:tblPr>
      <w:tblGrid>
        <w:gridCol w:w="1951"/>
        <w:gridCol w:w="1134"/>
        <w:gridCol w:w="1843"/>
        <w:gridCol w:w="1701"/>
        <w:gridCol w:w="1701"/>
        <w:gridCol w:w="1316"/>
      </w:tblGrid>
      <w:tr w:rsidR="00A72EBA" w:rsidRPr="00E35E86" w:rsidTr="00E35E86">
        <w:trPr>
          <w:trHeight w:val="182"/>
          <w:tblHeader/>
        </w:trPr>
        <w:tc>
          <w:tcPr>
            <w:tcW w:w="1951" w:type="dxa"/>
          </w:tcPr>
          <w:p w:rsidR="00A72EBA" w:rsidRPr="00E35E86" w:rsidRDefault="00B767E9" w:rsidP="004F6A00">
            <w:pPr>
              <w:pStyle w:val="Normlndobloku"/>
              <w:rPr>
                <w:b/>
              </w:rPr>
            </w:pPr>
            <w:r w:rsidRPr="00B767E9">
              <w:rPr>
                <w:b/>
              </w:rPr>
              <w:t xml:space="preserve">Trieda orgánových systémov </w:t>
            </w:r>
          </w:p>
        </w:tc>
        <w:tc>
          <w:tcPr>
            <w:tcW w:w="1134" w:type="dxa"/>
          </w:tcPr>
          <w:p w:rsidR="00A72EBA" w:rsidRPr="00E35E86" w:rsidRDefault="00B767E9" w:rsidP="004F6A00">
            <w:pPr>
              <w:pStyle w:val="Normlndobloku"/>
              <w:rPr>
                <w:b/>
              </w:rPr>
            </w:pPr>
            <w:r w:rsidRPr="00B767E9">
              <w:rPr>
                <w:b/>
              </w:rPr>
              <w:t>Veľmi časté 1/10</w:t>
            </w:r>
          </w:p>
        </w:tc>
        <w:tc>
          <w:tcPr>
            <w:tcW w:w="1843" w:type="dxa"/>
          </w:tcPr>
          <w:p w:rsidR="00A72EBA" w:rsidRPr="00E35E86" w:rsidRDefault="00B767E9" w:rsidP="004F6A00">
            <w:pPr>
              <w:pStyle w:val="Normlndobloku"/>
              <w:rPr>
                <w:b/>
              </w:rPr>
            </w:pPr>
            <w:r w:rsidRPr="00B767E9">
              <w:rPr>
                <w:b/>
              </w:rPr>
              <w:t>Časté ≥ 1/100 až &lt; 1/10</w:t>
            </w:r>
          </w:p>
        </w:tc>
        <w:tc>
          <w:tcPr>
            <w:tcW w:w="1701" w:type="dxa"/>
          </w:tcPr>
          <w:p w:rsidR="00A72EBA" w:rsidRPr="00E35E86" w:rsidRDefault="00B767E9" w:rsidP="004F6A00">
            <w:pPr>
              <w:pStyle w:val="Normlndobloku"/>
              <w:rPr>
                <w:b/>
              </w:rPr>
            </w:pPr>
            <w:r w:rsidRPr="00B767E9">
              <w:rPr>
                <w:b/>
              </w:rPr>
              <w:t>Menej časté ≥ 1/1 000 až &lt; 1/100</w:t>
            </w:r>
          </w:p>
        </w:tc>
        <w:tc>
          <w:tcPr>
            <w:tcW w:w="1701" w:type="dxa"/>
          </w:tcPr>
          <w:p w:rsidR="00A72EBA" w:rsidRPr="00E35E86" w:rsidRDefault="00B767E9" w:rsidP="004F6A00">
            <w:pPr>
              <w:pStyle w:val="Normlndobloku"/>
              <w:rPr>
                <w:b/>
              </w:rPr>
            </w:pPr>
            <w:r w:rsidRPr="00B767E9">
              <w:rPr>
                <w:b/>
              </w:rPr>
              <w:t>Zriedkavé ≥ 1/10 000 až &lt;1/1 000</w:t>
            </w:r>
          </w:p>
        </w:tc>
        <w:tc>
          <w:tcPr>
            <w:tcW w:w="1316" w:type="dxa"/>
          </w:tcPr>
          <w:p w:rsidR="00A72EBA" w:rsidRPr="00E35E86" w:rsidRDefault="00B767E9" w:rsidP="004F6A00">
            <w:pPr>
              <w:pStyle w:val="Normlndobloku"/>
              <w:rPr>
                <w:b/>
              </w:rPr>
            </w:pPr>
            <w:r w:rsidRPr="00B767E9">
              <w:rPr>
                <w:b/>
              </w:rPr>
              <w:t>Neznáme (nemožno ich odhadnúť z dostup-ných údajov)</w:t>
            </w:r>
          </w:p>
        </w:tc>
      </w:tr>
      <w:tr w:rsidR="00A72EBA" w:rsidRPr="00D32133" w:rsidTr="003B679E">
        <w:trPr>
          <w:trHeight w:val="182"/>
        </w:trPr>
        <w:tc>
          <w:tcPr>
            <w:tcW w:w="1951" w:type="dxa"/>
          </w:tcPr>
          <w:p w:rsidR="00A72EBA" w:rsidRPr="003B679E" w:rsidRDefault="00A72EBA" w:rsidP="00A45256">
            <w:pPr>
              <w:pStyle w:val="Normlndobloku"/>
            </w:pPr>
            <w:r w:rsidRPr="003B679E">
              <w:t>Infekcie a nákazy</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sinusitída</w:t>
            </w:r>
          </w:p>
        </w:tc>
        <w:tc>
          <w:tcPr>
            <w:tcW w:w="1701" w:type="dxa"/>
          </w:tcPr>
          <w:p w:rsidR="00A72EBA" w:rsidRPr="003B679E" w:rsidRDefault="00A72EBA" w:rsidP="004F6A00">
            <w:pPr>
              <w:pStyle w:val="Normlndobloku"/>
            </w:pPr>
            <w:r w:rsidRPr="003B679E">
              <w:t>pseudo-membranózna kolitída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Benígne a malígne nádory, vrátane nešpecifikovaných novotvarov (cysty a polypy)</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p>
        </w:tc>
        <w:tc>
          <w:tcPr>
            <w:tcW w:w="1701" w:type="dxa"/>
          </w:tcPr>
          <w:p w:rsidR="00A72EBA" w:rsidRPr="003B679E" w:rsidRDefault="00A72EBA" w:rsidP="004F6A00">
            <w:pPr>
              <w:pStyle w:val="Normlndobloku"/>
            </w:pP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r w:rsidRPr="003B679E">
              <w:t>skvamózny bunkový karcinóm kože*</w:t>
            </w:r>
          </w:p>
        </w:tc>
      </w:tr>
      <w:tr w:rsidR="00A72EBA" w:rsidRPr="00D32133" w:rsidTr="003B679E">
        <w:trPr>
          <w:trHeight w:val="182"/>
        </w:trPr>
        <w:tc>
          <w:tcPr>
            <w:tcW w:w="1951" w:type="dxa"/>
          </w:tcPr>
          <w:p w:rsidR="00A72EBA" w:rsidRPr="003B679E" w:rsidRDefault="00A72EBA" w:rsidP="00A45256">
            <w:pPr>
              <w:pStyle w:val="Normlndobloku"/>
            </w:pPr>
            <w:r w:rsidRPr="003B679E">
              <w:t>Poruchy krvi a lymfatického systému</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agranulocytóza</w:t>
            </w:r>
            <w:r w:rsidRPr="003B679E">
              <w:rPr>
                <w:vertAlign w:val="superscript"/>
              </w:rPr>
              <w:t>1</w:t>
            </w:r>
            <w:r w:rsidRPr="003B679E">
              <w:t>, pancytopénia, trombocytopénia</w:t>
            </w:r>
            <w:r w:rsidRPr="003B679E">
              <w:rPr>
                <w:vertAlign w:val="superscript"/>
              </w:rPr>
              <w:t>2</w:t>
            </w:r>
            <w:r w:rsidRPr="003B679E">
              <w:t>, leukopénia, anémia</w:t>
            </w:r>
          </w:p>
        </w:tc>
        <w:tc>
          <w:tcPr>
            <w:tcW w:w="1701" w:type="dxa"/>
          </w:tcPr>
          <w:p w:rsidR="00A72EBA" w:rsidRPr="003B679E" w:rsidRDefault="00A72EBA" w:rsidP="004F6A00">
            <w:pPr>
              <w:pStyle w:val="Normlndobloku"/>
            </w:pPr>
            <w:r w:rsidRPr="003B679E">
              <w:t>zlyhanie kostnej drene, lymfadenopatia, eo</w:t>
            </w:r>
            <w:r w:rsidR="00B661A9">
              <w:t>z</w:t>
            </w:r>
            <w:r w:rsidRPr="003B679E">
              <w:t>inofília</w:t>
            </w:r>
          </w:p>
        </w:tc>
        <w:tc>
          <w:tcPr>
            <w:tcW w:w="1701" w:type="dxa"/>
          </w:tcPr>
          <w:p w:rsidR="00A72EBA" w:rsidRPr="003B679E" w:rsidRDefault="00A72EBA" w:rsidP="004F6A00">
            <w:pPr>
              <w:pStyle w:val="Normlndobloku"/>
            </w:pPr>
            <w:r w:rsidRPr="003B679E">
              <w:t>diseminovaná intravaskulárna koagulácia</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imunitného systému</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p>
        </w:tc>
        <w:tc>
          <w:tcPr>
            <w:tcW w:w="1701" w:type="dxa"/>
          </w:tcPr>
          <w:p w:rsidR="00A72EBA" w:rsidRPr="003B679E" w:rsidRDefault="00A72EBA" w:rsidP="004F6A00">
            <w:pPr>
              <w:pStyle w:val="Normlndobloku"/>
            </w:pPr>
            <w:r w:rsidRPr="003B679E">
              <w:t>hypersen</w:t>
            </w:r>
            <w:r w:rsidR="00A410F9">
              <w:t>z</w:t>
            </w:r>
            <w:r w:rsidRPr="003B679E">
              <w:t>itivita</w:t>
            </w:r>
          </w:p>
        </w:tc>
        <w:tc>
          <w:tcPr>
            <w:tcW w:w="1701" w:type="dxa"/>
          </w:tcPr>
          <w:p w:rsidR="00A72EBA" w:rsidRPr="003B679E" w:rsidRDefault="00A72EBA" w:rsidP="004F6A00">
            <w:pPr>
              <w:pStyle w:val="Normlndobloku"/>
            </w:pPr>
            <w:r w:rsidRPr="003B679E">
              <w:t>anafylaktoidná reakcia</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endokrinného systému</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p>
        </w:tc>
        <w:tc>
          <w:tcPr>
            <w:tcW w:w="1701" w:type="dxa"/>
          </w:tcPr>
          <w:p w:rsidR="00A72EBA" w:rsidRPr="003B679E" w:rsidRDefault="00A72EBA" w:rsidP="004F6A00">
            <w:pPr>
              <w:pStyle w:val="Normlndobloku"/>
            </w:pPr>
            <w:r w:rsidRPr="003B679E">
              <w:t>adrenálna insuficiencia, hypotyr</w:t>
            </w:r>
            <w:r w:rsidR="007F43F7">
              <w:t>oidiz-mus</w:t>
            </w:r>
          </w:p>
        </w:tc>
        <w:tc>
          <w:tcPr>
            <w:tcW w:w="1701" w:type="dxa"/>
          </w:tcPr>
          <w:p w:rsidR="00A72EBA" w:rsidRPr="003B679E" w:rsidRDefault="007A3E69" w:rsidP="004F6A00">
            <w:pPr>
              <w:pStyle w:val="Normlndobloku"/>
            </w:pPr>
            <w:r>
              <w:t>h</w:t>
            </w:r>
            <w:r w:rsidR="00A72EBA" w:rsidRPr="003B679E">
              <w:t>ypertyr</w:t>
            </w:r>
            <w:r>
              <w:t>oidiz-mus</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metabolizmu a výživy</w:t>
            </w:r>
          </w:p>
        </w:tc>
        <w:tc>
          <w:tcPr>
            <w:tcW w:w="1134" w:type="dxa"/>
          </w:tcPr>
          <w:p w:rsidR="00A72EBA" w:rsidRPr="003B679E" w:rsidRDefault="00A72EBA" w:rsidP="00F76A56">
            <w:pPr>
              <w:pStyle w:val="Normlndobloku"/>
            </w:pPr>
            <w:r w:rsidRPr="003B679E">
              <w:t>periférny edém</w:t>
            </w:r>
          </w:p>
        </w:tc>
        <w:tc>
          <w:tcPr>
            <w:tcW w:w="1843" w:type="dxa"/>
          </w:tcPr>
          <w:p w:rsidR="00A72EBA" w:rsidRPr="003B679E" w:rsidRDefault="00A72EBA" w:rsidP="004644D9">
            <w:pPr>
              <w:pStyle w:val="Normlndobloku"/>
            </w:pPr>
            <w:r w:rsidRPr="003B679E">
              <w:t>hypoglykémia, hypokaliémia, hyponatriémia</w:t>
            </w:r>
          </w:p>
        </w:tc>
        <w:tc>
          <w:tcPr>
            <w:tcW w:w="1701" w:type="dxa"/>
          </w:tcPr>
          <w:p w:rsidR="00A72EBA" w:rsidRPr="003B679E" w:rsidRDefault="00A72EBA" w:rsidP="004F6A00">
            <w:pPr>
              <w:pStyle w:val="Normlndobloku"/>
            </w:pP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Psychické poruchy</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depresia, halucinácie, úzkosť, insomnia, agitovanosť, stav zmätenosti</w:t>
            </w:r>
          </w:p>
        </w:tc>
        <w:tc>
          <w:tcPr>
            <w:tcW w:w="1701" w:type="dxa"/>
          </w:tcPr>
          <w:p w:rsidR="00A72EBA" w:rsidRPr="003B679E" w:rsidRDefault="00A72EBA" w:rsidP="004F6A00">
            <w:pPr>
              <w:pStyle w:val="Normlndobloku"/>
            </w:pP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nervového systému</w:t>
            </w:r>
          </w:p>
        </w:tc>
        <w:tc>
          <w:tcPr>
            <w:tcW w:w="1134" w:type="dxa"/>
          </w:tcPr>
          <w:p w:rsidR="00A72EBA" w:rsidRPr="003B679E" w:rsidRDefault="00A72EBA" w:rsidP="00F76A56">
            <w:pPr>
              <w:pStyle w:val="Normlndobloku"/>
            </w:pPr>
            <w:r w:rsidRPr="003B679E">
              <w:t>bolesť hlavy</w:t>
            </w:r>
          </w:p>
        </w:tc>
        <w:tc>
          <w:tcPr>
            <w:tcW w:w="1843" w:type="dxa"/>
          </w:tcPr>
          <w:p w:rsidR="00A72EBA" w:rsidRPr="003B679E" w:rsidRDefault="00A72EBA" w:rsidP="004644D9">
            <w:pPr>
              <w:pStyle w:val="Normlndobloku"/>
            </w:pPr>
            <w:r w:rsidRPr="003B679E">
              <w:t>kŕče, synkopa, tremor, hypertóni</w:t>
            </w:r>
            <w:r w:rsidR="00360BE2">
              <w:t>a</w:t>
            </w:r>
            <w:r w:rsidRPr="003B679E">
              <w:rPr>
                <w:vertAlign w:val="superscript"/>
              </w:rPr>
              <w:t>3</w:t>
            </w:r>
            <w:r w:rsidRPr="003B679E">
              <w:t xml:space="preserve">, parestézia, somnolencia, </w:t>
            </w:r>
            <w:r w:rsidRPr="003B679E">
              <w:lastRenderedPageBreak/>
              <w:t>závrat</w:t>
            </w:r>
          </w:p>
        </w:tc>
        <w:tc>
          <w:tcPr>
            <w:tcW w:w="1701" w:type="dxa"/>
          </w:tcPr>
          <w:p w:rsidR="00A72EBA" w:rsidRPr="003B679E" w:rsidRDefault="00A72EBA" w:rsidP="004F6A00">
            <w:pPr>
              <w:pStyle w:val="Normlndobloku"/>
            </w:pPr>
            <w:r w:rsidRPr="003B679E">
              <w:lastRenderedPageBreak/>
              <w:t>edém mozgu, encefalopatia</w:t>
            </w:r>
            <w:r w:rsidRPr="003B679E">
              <w:rPr>
                <w:vertAlign w:val="superscript"/>
              </w:rPr>
              <w:t>4</w:t>
            </w:r>
            <w:r w:rsidRPr="003B679E">
              <w:t>, extrapyramidál</w:t>
            </w:r>
            <w:r w:rsidR="00C11C13">
              <w:t>-</w:t>
            </w:r>
            <w:r w:rsidRPr="003B679E">
              <w:t>na porucha</w:t>
            </w:r>
            <w:r w:rsidRPr="003B679E">
              <w:rPr>
                <w:vertAlign w:val="superscript"/>
              </w:rPr>
              <w:t>5</w:t>
            </w:r>
            <w:r w:rsidRPr="003B679E">
              <w:t xml:space="preserve">, periférna </w:t>
            </w:r>
            <w:r w:rsidRPr="003B679E">
              <w:lastRenderedPageBreak/>
              <w:t>neuropatia, ataxia, hypestézia, dysgeúzia</w:t>
            </w:r>
          </w:p>
        </w:tc>
        <w:tc>
          <w:tcPr>
            <w:tcW w:w="1701" w:type="dxa"/>
          </w:tcPr>
          <w:p w:rsidR="00A72EBA" w:rsidRPr="003B679E" w:rsidRDefault="00A72EBA" w:rsidP="004F6A00">
            <w:pPr>
              <w:pStyle w:val="Normlndobloku"/>
            </w:pPr>
            <w:r w:rsidRPr="003B679E">
              <w:lastRenderedPageBreak/>
              <w:t xml:space="preserve">hepatálna encefalopatia, Guillainov-Barrého syndróm, </w:t>
            </w:r>
            <w:r w:rsidRPr="003B679E">
              <w:lastRenderedPageBreak/>
              <w:t>nystagmus</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lastRenderedPageBreak/>
              <w:t>Poruchy oka</w:t>
            </w:r>
          </w:p>
        </w:tc>
        <w:tc>
          <w:tcPr>
            <w:tcW w:w="1134" w:type="dxa"/>
          </w:tcPr>
          <w:p w:rsidR="00A72EBA" w:rsidRPr="003B679E" w:rsidRDefault="00A72EBA" w:rsidP="00F76A56">
            <w:pPr>
              <w:pStyle w:val="Normlndobloku"/>
            </w:pPr>
            <w:r w:rsidRPr="003B679E">
              <w:t>porucha zraku</w:t>
            </w:r>
            <w:r w:rsidRPr="003B679E">
              <w:rPr>
                <w:vertAlign w:val="superscript"/>
              </w:rPr>
              <w:t>6</w:t>
            </w:r>
          </w:p>
        </w:tc>
        <w:tc>
          <w:tcPr>
            <w:tcW w:w="1843" w:type="dxa"/>
          </w:tcPr>
          <w:p w:rsidR="00A72EBA" w:rsidRPr="003B679E" w:rsidRDefault="00A72EBA" w:rsidP="004644D9">
            <w:pPr>
              <w:pStyle w:val="Normlndobloku"/>
            </w:pPr>
            <w:r w:rsidRPr="003B679E">
              <w:t>retinálne krvácanie</w:t>
            </w:r>
          </w:p>
        </w:tc>
        <w:tc>
          <w:tcPr>
            <w:tcW w:w="1701" w:type="dxa"/>
          </w:tcPr>
          <w:p w:rsidR="00A72EBA" w:rsidRPr="003B679E" w:rsidRDefault="00A72EBA" w:rsidP="004F6A00">
            <w:pPr>
              <w:pStyle w:val="Normlndobloku"/>
            </w:pPr>
            <w:r w:rsidRPr="003B679E">
              <w:t>porucha optického nervu</w:t>
            </w:r>
            <w:r w:rsidRPr="003B679E">
              <w:rPr>
                <w:vertAlign w:val="superscript"/>
              </w:rPr>
              <w:t>7</w:t>
            </w:r>
            <w:r w:rsidRPr="003B679E">
              <w:t>, papiloedém</w:t>
            </w:r>
            <w:r w:rsidRPr="003B679E">
              <w:rPr>
                <w:vertAlign w:val="superscript"/>
              </w:rPr>
              <w:t>8</w:t>
            </w:r>
            <w:r w:rsidRPr="003B679E">
              <w:t>, okulogyrická kríza, diplopia, skleritída, blefaritída</w:t>
            </w:r>
          </w:p>
        </w:tc>
        <w:tc>
          <w:tcPr>
            <w:tcW w:w="1701" w:type="dxa"/>
          </w:tcPr>
          <w:p w:rsidR="00A72EBA" w:rsidRPr="003B679E" w:rsidRDefault="00A72EBA" w:rsidP="004F6A00">
            <w:pPr>
              <w:pStyle w:val="Normlndobloku"/>
            </w:pPr>
            <w:r w:rsidRPr="003B679E">
              <w:t>atrofia optického nervu, zákal rohovky</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ucha a labyrintu</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p>
        </w:tc>
        <w:tc>
          <w:tcPr>
            <w:tcW w:w="1701" w:type="dxa"/>
          </w:tcPr>
          <w:p w:rsidR="00A72EBA" w:rsidRPr="003B679E" w:rsidRDefault="00A72EBA" w:rsidP="004F6A00">
            <w:pPr>
              <w:pStyle w:val="Normlndobloku"/>
            </w:pPr>
            <w:r w:rsidRPr="003B679E">
              <w:t>hypoakúzia, vertigo, tinnitus</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srdca a srdcovej činnosti</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supra-ventrikulárna arytmia, tachykardia, bradykardia</w:t>
            </w:r>
          </w:p>
        </w:tc>
        <w:tc>
          <w:tcPr>
            <w:tcW w:w="1701" w:type="dxa"/>
          </w:tcPr>
          <w:p w:rsidR="00A72EBA" w:rsidRPr="003B679E" w:rsidRDefault="00A72EBA" w:rsidP="004F6A00">
            <w:pPr>
              <w:pStyle w:val="Normlndobloku"/>
            </w:pPr>
            <w:r w:rsidRPr="003B679E">
              <w:t>ventrikulárna fibrilácia, ventrikulárne extrasystoly, ventrikulárna tachykardia, predĺžený QT</w:t>
            </w:r>
            <w:r w:rsidR="00384C04">
              <w:t>c</w:t>
            </w:r>
            <w:r w:rsidRPr="003B679E">
              <w:t xml:space="preserve"> interval na</w:t>
            </w:r>
            <w:r w:rsidR="00AE69B1">
              <w:t> </w:t>
            </w:r>
            <w:r w:rsidRPr="003B679E">
              <w:t>elektrokar</w:t>
            </w:r>
            <w:r w:rsidR="00AE69B1">
              <w:t>-</w:t>
            </w:r>
            <w:r w:rsidRPr="003B679E">
              <w:t>diograme, supraventriku</w:t>
            </w:r>
            <w:r w:rsidR="003B7EED">
              <w:t>-</w:t>
            </w:r>
            <w:r w:rsidRPr="003B679E">
              <w:t>lárna tachykardia</w:t>
            </w:r>
          </w:p>
        </w:tc>
        <w:tc>
          <w:tcPr>
            <w:tcW w:w="1701" w:type="dxa"/>
          </w:tcPr>
          <w:p w:rsidR="00A72EBA" w:rsidRPr="003B679E" w:rsidRDefault="00A72EBA" w:rsidP="004F6A00">
            <w:pPr>
              <w:pStyle w:val="Normlndobloku"/>
            </w:pPr>
            <w:r w:rsidRPr="003B679E">
              <w:rPr>
                <w:i/>
              </w:rPr>
              <w:t xml:space="preserve">torsades de pointes, </w:t>
            </w:r>
            <w:r w:rsidRPr="003B679E">
              <w:t>kompletná atrioventrikulár</w:t>
            </w:r>
            <w:r w:rsidR="003B7EED">
              <w:t>-</w:t>
            </w:r>
            <w:r w:rsidRPr="003B679E">
              <w:t>na blokáda, blokáda ramienka, nodálny rytmus</w:t>
            </w: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ciev</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hypotenzia, flebitída</w:t>
            </w:r>
          </w:p>
        </w:tc>
        <w:tc>
          <w:tcPr>
            <w:tcW w:w="1701" w:type="dxa"/>
          </w:tcPr>
          <w:p w:rsidR="00A72EBA" w:rsidRPr="003B679E" w:rsidRDefault="00A72EBA" w:rsidP="004F6A00">
            <w:pPr>
              <w:pStyle w:val="Normlndobloku"/>
            </w:pPr>
            <w:r w:rsidRPr="003B679E">
              <w:t>tromboflebitída, lymfangitída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dýchacej sústavy, hrudníka a mediastína</w:t>
            </w:r>
          </w:p>
        </w:tc>
        <w:tc>
          <w:tcPr>
            <w:tcW w:w="1134" w:type="dxa"/>
          </w:tcPr>
          <w:p w:rsidR="00A72EBA" w:rsidRPr="003B679E" w:rsidRDefault="00A72EBA" w:rsidP="00F76A56">
            <w:pPr>
              <w:pStyle w:val="Normlndobloku"/>
            </w:pPr>
            <w:r w:rsidRPr="003B679E">
              <w:t>respiračná tieseň</w:t>
            </w:r>
            <w:r w:rsidRPr="003B679E">
              <w:rPr>
                <w:vertAlign w:val="superscript"/>
              </w:rPr>
              <w:t>9</w:t>
            </w:r>
          </w:p>
        </w:tc>
        <w:tc>
          <w:tcPr>
            <w:tcW w:w="1843" w:type="dxa"/>
          </w:tcPr>
          <w:p w:rsidR="00A72EBA" w:rsidRPr="003B679E" w:rsidRDefault="00A72EBA" w:rsidP="004644D9">
            <w:pPr>
              <w:pStyle w:val="Normlndobloku"/>
            </w:pPr>
            <w:r w:rsidRPr="003B679E">
              <w:t>akútny syndróm respiračnej tiesne, pľúcny edém</w:t>
            </w:r>
          </w:p>
        </w:tc>
        <w:tc>
          <w:tcPr>
            <w:tcW w:w="1701" w:type="dxa"/>
          </w:tcPr>
          <w:p w:rsidR="00A72EBA" w:rsidRPr="003B679E" w:rsidRDefault="00A72EBA" w:rsidP="004F6A00">
            <w:pPr>
              <w:pStyle w:val="Normlndobloku"/>
            </w:pP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gastrointestinálne</w:t>
            </w:r>
            <w:r w:rsidR="003B7EED">
              <w:t>-</w:t>
            </w:r>
            <w:r w:rsidRPr="003B679E">
              <w:t>ho traktu</w:t>
            </w:r>
          </w:p>
        </w:tc>
        <w:tc>
          <w:tcPr>
            <w:tcW w:w="1134" w:type="dxa"/>
          </w:tcPr>
          <w:p w:rsidR="00A72EBA" w:rsidRPr="003B679E" w:rsidRDefault="00A72EBA" w:rsidP="00F76A56">
            <w:pPr>
              <w:pStyle w:val="Normlndobloku"/>
            </w:pPr>
            <w:r w:rsidRPr="003B679E">
              <w:t>hnačka, vracanie, bolesť brucha, nauzea</w:t>
            </w:r>
          </w:p>
        </w:tc>
        <w:tc>
          <w:tcPr>
            <w:tcW w:w="1843" w:type="dxa"/>
          </w:tcPr>
          <w:p w:rsidR="00A72EBA" w:rsidRPr="003B679E" w:rsidRDefault="00A72EBA" w:rsidP="004644D9">
            <w:pPr>
              <w:pStyle w:val="Normlndobloku"/>
            </w:pPr>
            <w:r w:rsidRPr="003B679E">
              <w:t>cheilitída, dyspepsia, obstipácia, gingivitída</w:t>
            </w:r>
          </w:p>
        </w:tc>
        <w:tc>
          <w:tcPr>
            <w:tcW w:w="1701" w:type="dxa"/>
          </w:tcPr>
          <w:p w:rsidR="00A72EBA" w:rsidRPr="003B679E" w:rsidRDefault="00A72EBA" w:rsidP="004F6A00">
            <w:pPr>
              <w:pStyle w:val="Normlndobloku"/>
            </w:pPr>
            <w:r w:rsidRPr="003B679E">
              <w:t>peritonitída, pankreatitída, opuchnutý jazyk, duodenitída, gastroenteritída, glositída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Poruchy pečene a žlčových ciest</w:t>
            </w:r>
          </w:p>
        </w:tc>
        <w:tc>
          <w:tcPr>
            <w:tcW w:w="1134" w:type="dxa"/>
          </w:tcPr>
          <w:p w:rsidR="00A72EBA" w:rsidRPr="003B679E" w:rsidRDefault="003B7EED" w:rsidP="00F76A56">
            <w:pPr>
              <w:pStyle w:val="Normlndobloku"/>
            </w:pPr>
            <w:r w:rsidRPr="003B7EED">
              <w:t>A</w:t>
            </w:r>
            <w:r w:rsidR="00A72EBA" w:rsidRPr="003B679E">
              <w:t>bnor</w:t>
            </w:r>
            <w:r>
              <w:t>-</w:t>
            </w:r>
            <w:r w:rsidR="00A72EBA" w:rsidRPr="003B679E">
              <w:t>málne výsledky vyšetrení funkcie pečene</w:t>
            </w:r>
          </w:p>
        </w:tc>
        <w:tc>
          <w:tcPr>
            <w:tcW w:w="1843" w:type="dxa"/>
          </w:tcPr>
          <w:p w:rsidR="00A72EBA" w:rsidRPr="003B679E" w:rsidRDefault="00A72EBA" w:rsidP="004644D9">
            <w:pPr>
              <w:pStyle w:val="Normlndobloku"/>
            </w:pPr>
            <w:r w:rsidRPr="003B679E">
              <w:t>ikterus, cholestatický ikterus, hepatitída</w:t>
            </w:r>
            <w:r w:rsidRPr="003B679E">
              <w:rPr>
                <w:vertAlign w:val="superscript"/>
              </w:rPr>
              <w:t>10</w:t>
            </w:r>
          </w:p>
        </w:tc>
        <w:tc>
          <w:tcPr>
            <w:tcW w:w="1701" w:type="dxa"/>
          </w:tcPr>
          <w:p w:rsidR="00A72EBA" w:rsidRPr="003B679E" w:rsidRDefault="00A72EBA" w:rsidP="004F6A00">
            <w:pPr>
              <w:pStyle w:val="Normlndobloku"/>
            </w:pPr>
            <w:r w:rsidRPr="003B679E">
              <w:t>zlyhanie pečene, hepatomegália, cholecystitída, cholelitiáza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lastRenderedPageBreak/>
              <w:t>Poruchy kože a podkožného tkaniva</w:t>
            </w:r>
          </w:p>
        </w:tc>
        <w:tc>
          <w:tcPr>
            <w:tcW w:w="1134" w:type="dxa"/>
          </w:tcPr>
          <w:p w:rsidR="00A72EBA" w:rsidRPr="003B679E" w:rsidRDefault="00A72EBA" w:rsidP="00F76A56">
            <w:pPr>
              <w:pStyle w:val="Normlndobloku"/>
            </w:pPr>
            <w:r w:rsidRPr="003B679E">
              <w:t>vyrážka</w:t>
            </w:r>
          </w:p>
        </w:tc>
        <w:tc>
          <w:tcPr>
            <w:tcW w:w="1843" w:type="dxa"/>
          </w:tcPr>
          <w:p w:rsidR="00A72EBA" w:rsidRPr="003B679E" w:rsidRDefault="00A72EBA" w:rsidP="004644D9">
            <w:pPr>
              <w:pStyle w:val="Normlndobloku"/>
            </w:pPr>
            <w:r w:rsidRPr="003B679E">
              <w:t>exfoliatívna dermatitída, alopécia, makulopapulózna vyrážka, pruritus, erytém</w:t>
            </w:r>
          </w:p>
        </w:tc>
        <w:tc>
          <w:tcPr>
            <w:tcW w:w="1701" w:type="dxa"/>
          </w:tcPr>
          <w:p w:rsidR="00A72EBA" w:rsidRPr="003B679E" w:rsidRDefault="00A72EBA" w:rsidP="004F6A00">
            <w:pPr>
              <w:pStyle w:val="Normlndobloku"/>
            </w:pPr>
            <w:r w:rsidRPr="003B679E">
              <w:t>Stevensov-Johnsonov syndróm, fototoxicita, purpura, urtikária, alergická dermatitida, papulózna vyrážka, makulózna vyrážka, ekzém</w:t>
            </w:r>
          </w:p>
        </w:tc>
        <w:tc>
          <w:tcPr>
            <w:tcW w:w="1701" w:type="dxa"/>
          </w:tcPr>
          <w:p w:rsidR="00A72EBA" w:rsidRPr="003B679E" w:rsidRDefault="00A72EBA" w:rsidP="004F6A00">
            <w:pPr>
              <w:pStyle w:val="Normlndobloku"/>
            </w:pPr>
            <w:r w:rsidRPr="003B679E">
              <w:t>toxická epidermálna nekrolýza, angioedém, aktinická keratóza*, pseudoporfýria, multiformný erytém, psoriáza, kožné erupcie po užití lieku</w:t>
            </w:r>
          </w:p>
        </w:tc>
        <w:tc>
          <w:tcPr>
            <w:tcW w:w="1316" w:type="dxa"/>
          </w:tcPr>
          <w:p w:rsidR="00A72EBA" w:rsidRPr="003B679E" w:rsidRDefault="00A72EBA" w:rsidP="004F6A00">
            <w:pPr>
              <w:pStyle w:val="Normlndobloku"/>
            </w:pPr>
            <w:r w:rsidRPr="003B679E">
              <w:t>kožný</w:t>
            </w:r>
            <w:r w:rsidRPr="003B679E">
              <w:rPr>
                <w:i/>
              </w:rPr>
              <w:t xml:space="preserve"> lupus erythematosus</w:t>
            </w:r>
            <w:r w:rsidRPr="003B679E">
              <w:t>*, ephelides*, lentigo*</w:t>
            </w:r>
          </w:p>
        </w:tc>
      </w:tr>
      <w:tr w:rsidR="00A72EBA" w:rsidRPr="00D32133" w:rsidTr="003B679E">
        <w:trPr>
          <w:trHeight w:val="182"/>
        </w:trPr>
        <w:tc>
          <w:tcPr>
            <w:tcW w:w="1951" w:type="dxa"/>
          </w:tcPr>
          <w:p w:rsidR="00A72EBA" w:rsidRPr="003B679E" w:rsidRDefault="00A72EBA" w:rsidP="00A45256">
            <w:pPr>
              <w:pStyle w:val="Normlndobloku"/>
            </w:pPr>
            <w:r w:rsidRPr="003B679E">
              <w:t>Poruchy kostrovej a svalovej sústavy a spojivového tkaniva</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bolesť chrbta</w:t>
            </w:r>
          </w:p>
        </w:tc>
        <w:tc>
          <w:tcPr>
            <w:tcW w:w="1701" w:type="dxa"/>
          </w:tcPr>
          <w:p w:rsidR="00A72EBA" w:rsidRPr="003B679E" w:rsidRDefault="00A72EBA" w:rsidP="004F6A00">
            <w:pPr>
              <w:pStyle w:val="Normlndobloku"/>
            </w:pPr>
            <w:r w:rsidRPr="003B679E">
              <w:t>artritída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r w:rsidRPr="003B679E">
              <w:t>periostitída*</w:t>
            </w:r>
          </w:p>
        </w:tc>
      </w:tr>
      <w:tr w:rsidR="00A72EBA" w:rsidRPr="00D32133" w:rsidTr="003B679E">
        <w:trPr>
          <w:trHeight w:val="182"/>
        </w:trPr>
        <w:tc>
          <w:tcPr>
            <w:tcW w:w="1951" w:type="dxa"/>
          </w:tcPr>
          <w:p w:rsidR="00A72EBA" w:rsidRPr="003B679E" w:rsidRDefault="00A72EBA" w:rsidP="00A45256">
            <w:pPr>
              <w:pStyle w:val="Normlndobloku"/>
            </w:pPr>
            <w:r w:rsidRPr="003B679E">
              <w:t>Poruchy obličiek a močových ciest</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akútne zlyhanie obličiek, hematúria</w:t>
            </w:r>
          </w:p>
        </w:tc>
        <w:tc>
          <w:tcPr>
            <w:tcW w:w="1701" w:type="dxa"/>
          </w:tcPr>
          <w:p w:rsidR="00A72EBA" w:rsidRPr="003B679E" w:rsidRDefault="00A72EBA" w:rsidP="004F6A00">
            <w:pPr>
              <w:pStyle w:val="Normlndobloku"/>
            </w:pPr>
            <w:r w:rsidRPr="003B679E">
              <w:t>nekróza renálnych tubulov, proteinúria, nefritída</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Celkové poruchy a reakcie v mieste podania</w:t>
            </w:r>
          </w:p>
        </w:tc>
        <w:tc>
          <w:tcPr>
            <w:tcW w:w="1134" w:type="dxa"/>
          </w:tcPr>
          <w:p w:rsidR="00A72EBA" w:rsidRPr="003B679E" w:rsidRDefault="00A72EBA" w:rsidP="00F76A56">
            <w:pPr>
              <w:pStyle w:val="Normlndobloku"/>
            </w:pPr>
            <w:r w:rsidRPr="003B679E">
              <w:t>pyrexia</w:t>
            </w:r>
          </w:p>
        </w:tc>
        <w:tc>
          <w:tcPr>
            <w:tcW w:w="1843" w:type="dxa"/>
          </w:tcPr>
          <w:p w:rsidR="00A72EBA" w:rsidRPr="003B679E" w:rsidRDefault="00A72EBA" w:rsidP="004644D9">
            <w:pPr>
              <w:pStyle w:val="Normlndobloku"/>
            </w:pPr>
            <w:r w:rsidRPr="003B679E">
              <w:t>bolesť na hrudníku, edém tváre</w:t>
            </w:r>
            <w:r w:rsidRPr="003B679E">
              <w:rPr>
                <w:vertAlign w:val="superscript"/>
              </w:rPr>
              <w:t>11</w:t>
            </w:r>
            <w:r w:rsidRPr="003B679E">
              <w:t>, asténia, zimnica</w:t>
            </w:r>
          </w:p>
        </w:tc>
        <w:tc>
          <w:tcPr>
            <w:tcW w:w="1701" w:type="dxa"/>
          </w:tcPr>
          <w:p w:rsidR="00A72EBA" w:rsidRPr="003B679E" w:rsidRDefault="00A72EBA" w:rsidP="004F6A00">
            <w:pPr>
              <w:pStyle w:val="Normlndobloku"/>
            </w:pPr>
            <w:r w:rsidRPr="003B679E">
              <w:t>reakcia v mieste podania infúzie, ochorenie podobné chrípke</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r w:rsidR="00A72EBA" w:rsidRPr="00D32133" w:rsidTr="003B679E">
        <w:trPr>
          <w:trHeight w:val="182"/>
        </w:trPr>
        <w:tc>
          <w:tcPr>
            <w:tcW w:w="1951" w:type="dxa"/>
          </w:tcPr>
          <w:p w:rsidR="00A72EBA" w:rsidRPr="003B679E" w:rsidRDefault="00A72EBA" w:rsidP="00A45256">
            <w:pPr>
              <w:pStyle w:val="Normlndobloku"/>
            </w:pPr>
            <w:r w:rsidRPr="003B679E">
              <w:t>Laboratórne a funkčné vyšetrenia</w:t>
            </w:r>
          </w:p>
        </w:tc>
        <w:tc>
          <w:tcPr>
            <w:tcW w:w="1134" w:type="dxa"/>
          </w:tcPr>
          <w:p w:rsidR="00A72EBA" w:rsidRPr="003B679E" w:rsidRDefault="00A72EBA" w:rsidP="00F76A56">
            <w:pPr>
              <w:pStyle w:val="Normlndobloku"/>
            </w:pPr>
          </w:p>
        </w:tc>
        <w:tc>
          <w:tcPr>
            <w:tcW w:w="1843" w:type="dxa"/>
          </w:tcPr>
          <w:p w:rsidR="00A72EBA" w:rsidRPr="003B679E" w:rsidRDefault="00A72EBA" w:rsidP="004644D9">
            <w:pPr>
              <w:pStyle w:val="Normlndobloku"/>
            </w:pPr>
            <w:r w:rsidRPr="003B679E">
              <w:t>zvýšená hladina kreatinínu v krvi</w:t>
            </w:r>
          </w:p>
        </w:tc>
        <w:tc>
          <w:tcPr>
            <w:tcW w:w="1701" w:type="dxa"/>
          </w:tcPr>
          <w:p w:rsidR="00A72EBA" w:rsidRPr="003B679E" w:rsidRDefault="00A72EBA" w:rsidP="004F6A00">
            <w:pPr>
              <w:pStyle w:val="Normlndobloku"/>
            </w:pPr>
            <w:r w:rsidRPr="003B679E">
              <w:t>zvýšená hladina urey v krvi, zvýšená hladina cholesterolu v krvi</w:t>
            </w:r>
          </w:p>
        </w:tc>
        <w:tc>
          <w:tcPr>
            <w:tcW w:w="1701" w:type="dxa"/>
          </w:tcPr>
          <w:p w:rsidR="00A72EBA" w:rsidRPr="003B679E" w:rsidRDefault="00A72EBA" w:rsidP="004F6A00">
            <w:pPr>
              <w:pStyle w:val="Normlndobloku"/>
            </w:pPr>
          </w:p>
        </w:tc>
        <w:tc>
          <w:tcPr>
            <w:tcW w:w="1316" w:type="dxa"/>
          </w:tcPr>
          <w:p w:rsidR="00A72EBA" w:rsidRPr="003B679E" w:rsidRDefault="00A72EBA" w:rsidP="004F6A00">
            <w:pPr>
              <w:pStyle w:val="Normlndobloku"/>
            </w:pPr>
          </w:p>
        </w:tc>
      </w:tr>
    </w:tbl>
    <w:p w:rsidR="00A72EBA" w:rsidRPr="002A27E3" w:rsidRDefault="00B767E9" w:rsidP="004F6A00">
      <w:pPr>
        <w:pStyle w:val="Styl3"/>
        <w:rPr>
          <w:noProof/>
          <w:u w:val="none"/>
        </w:rPr>
      </w:pPr>
      <w:r w:rsidRPr="00B767E9">
        <w:rPr>
          <w:noProof/>
          <w:u w:val="none"/>
        </w:rPr>
        <w:lastRenderedPageBreak/>
        <w:t>*Nežiaduce reakcie identifikované po uvedení lieku na trh.</w:t>
      </w:r>
    </w:p>
    <w:p w:rsidR="00A72EBA" w:rsidRPr="002A27E3" w:rsidRDefault="00B767E9" w:rsidP="004F6A00">
      <w:pPr>
        <w:pStyle w:val="Styl3"/>
        <w:rPr>
          <w:noProof/>
          <w:u w:val="none"/>
        </w:rPr>
      </w:pPr>
      <w:r w:rsidRPr="00B767E9">
        <w:rPr>
          <w:noProof/>
          <w:u w:val="none"/>
          <w:vertAlign w:val="superscript"/>
        </w:rPr>
        <w:t>1</w:t>
      </w:r>
      <w:r w:rsidRPr="00B767E9">
        <w:rPr>
          <w:noProof/>
          <w:u w:val="none"/>
        </w:rPr>
        <w:t xml:space="preserve"> Zahŕňa febrilnú neutropéniu a neutropéniu.</w:t>
      </w:r>
    </w:p>
    <w:p w:rsidR="00A72EBA" w:rsidRPr="002A27E3" w:rsidRDefault="00B767E9" w:rsidP="004F6A00">
      <w:pPr>
        <w:pStyle w:val="Styl3"/>
        <w:rPr>
          <w:noProof/>
          <w:u w:val="none"/>
        </w:rPr>
      </w:pPr>
      <w:r w:rsidRPr="00B767E9">
        <w:rPr>
          <w:noProof/>
          <w:u w:val="none"/>
          <w:vertAlign w:val="superscript"/>
        </w:rPr>
        <w:t>2</w:t>
      </w:r>
      <w:r w:rsidRPr="00B767E9">
        <w:rPr>
          <w:noProof/>
          <w:u w:val="none"/>
        </w:rPr>
        <w:t xml:space="preserve"> Zahŕňa imunitnú trombocytopenickú purpuru.</w:t>
      </w:r>
    </w:p>
    <w:p w:rsidR="00A72EBA" w:rsidRPr="002A27E3" w:rsidRDefault="00B767E9" w:rsidP="004F6A00">
      <w:pPr>
        <w:pStyle w:val="Styl3"/>
        <w:rPr>
          <w:noProof/>
          <w:u w:val="none"/>
        </w:rPr>
      </w:pPr>
      <w:r w:rsidRPr="00B767E9">
        <w:rPr>
          <w:noProof/>
          <w:u w:val="none"/>
          <w:vertAlign w:val="superscript"/>
        </w:rPr>
        <w:t>3</w:t>
      </w:r>
      <w:r w:rsidRPr="00B767E9">
        <w:rPr>
          <w:noProof/>
          <w:u w:val="none"/>
        </w:rPr>
        <w:t xml:space="preserve"> Zahŕňa nuchálnu rigiditu a tetániu.</w:t>
      </w:r>
    </w:p>
    <w:p w:rsidR="00A72EBA" w:rsidRPr="002A27E3" w:rsidRDefault="00B767E9" w:rsidP="004F6A00">
      <w:pPr>
        <w:pStyle w:val="Styl3"/>
        <w:rPr>
          <w:noProof/>
          <w:u w:val="none"/>
        </w:rPr>
      </w:pPr>
      <w:r w:rsidRPr="00B767E9">
        <w:rPr>
          <w:noProof/>
          <w:u w:val="none"/>
          <w:vertAlign w:val="superscript"/>
        </w:rPr>
        <w:t>4</w:t>
      </w:r>
      <w:r w:rsidRPr="00B767E9">
        <w:rPr>
          <w:noProof/>
          <w:u w:val="none"/>
        </w:rPr>
        <w:t xml:space="preserve"> Zahŕňa hypoxicko-ischemickú encefalopatiu a metabolickú encefalopatiu.</w:t>
      </w:r>
    </w:p>
    <w:p w:rsidR="00A72EBA" w:rsidRPr="002A27E3" w:rsidRDefault="00B767E9" w:rsidP="004F6A00">
      <w:pPr>
        <w:pStyle w:val="Styl3"/>
        <w:rPr>
          <w:noProof/>
          <w:u w:val="none"/>
        </w:rPr>
      </w:pPr>
      <w:r w:rsidRPr="00B767E9">
        <w:rPr>
          <w:noProof/>
          <w:u w:val="none"/>
          <w:vertAlign w:val="superscript"/>
        </w:rPr>
        <w:t>5</w:t>
      </w:r>
      <w:r w:rsidRPr="00B767E9">
        <w:rPr>
          <w:noProof/>
          <w:u w:val="none"/>
        </w:rPr>
        <w:t xml:space="preserve"> Zahŕňa akatíziu a parkinsonizmus.</w:t>
      </w:r>
    </w:p>
    <w:p w:rsidR="00A72EBA" w:rsidRPr="002A27E3" w:rsidRDefault="00B767E9" w:rsidP="004F6A00">
      <w:pPr>
        <w:pStyle w:val="Styl3"/>
        <w:rPr>
          <w:noProof/>
          <w:u w:val="none"/>
        </w:rPr>
      </w:pPr>
      <w:r w:rsidRPr="00B767E9">
        <w:rPr>
          <w:noProof/>
          <w:u w:val="none"/>
          <w:vertAlign w:val="superscript"/>
        </w:rPr>
        <w:t>6</w:t>
      </w:r>
      <w:r w:rsidRPr="00B767E9">
        <w:rPr>
          <w:noProof/>
          <w:u w:val="none"/>
        </w:rPr>
        <w:t xml:space="preserve"> Pozri odsek „Poruchy zraku“ v časti 4.8.</w:t>
      </w:r>
    </w:p>
    <w:p w:rsidR="00A72EBA" w:rsidRPr="002A27E3" w:rsidRDefault="00B767E9" w:rsidP="004F6A00">
      <w:pPr>
        <w:pStyle w:val="Styl3"/>
        <w:rPr>
          <w:noProof/>
          <w:u w:val="none"/>
        </w:rPr>
      </w:pPr>
      <w:r w:rsidRPr="00B767E9">
        <w:rPr>
          <w:noProof/>
          <w:u w:val="none"/>
          <w:vertAlign w:val="superscript"/>
        </w:rPr>
        <w:t>7</w:t>
      </w:r>
      <w:r w:rsidRPr="00B767E9">
        <w:rPr>
          <w:noProof/>
          <w:u w:val="none"/>
        </w:rPr>
        <w:t xml:space="preserve"> Po uvedení lieku na trh bola hlásená prolongovaná optická neuritída. Pozri časť 4.4.</w:t>
      </w:r>
    </w:p>
    <w:p w:rsidR="00A72EBA" w:rsidRPr="002A27E3" w:rsidRDefault="00B767E9" w:rsidP="004F6A00">
      <w:pPr>
        <w:pStyle w:val="Styl3"/>
        <w:rPr>
          <w:noProof/>
          <w:u w:val="none"/>
        </w:rPr>
      </w:pPr>
      <w:r w:rsidRPr="00B767E9">
        <w:rPr>
          <w:noProof/>
          <w:u w:val="none"/>
          <w:vertAlign w:val="superscript"/>
        </w:rPr>
        <w:t>8</w:t>
      </w:r>
      <w:r w:rsidRPr="00B767E9">
        <w:rPr>
          <w:noProof/>
          <w:u w:val="none"/>
        </w:rPr>
        <w:t xml:space="preserve"> Pozri časť 4.4.</w:t>
      </w:r>
    </w:p>
    <w:p w:rsidR="00A72EBA" w:rsidRPr="002A27E3" w:rsidRDefault="00B767E9" w:rsidP="004F6A00">
      <w:pPr>
        <w:pStyle w:val="Styl3"/>
        <w:rPr>
          <w:noProof/>
          <w:u w:val="none"/>
        </w:rPr>
      </w:pPr>
      <w:r w:rsidRPr="00B767E9">
        <w:rPr>
          <w:noProof/>
          <w:u w:val="none"/>
          <w:vertAlign w:val="superscript"/>
        </w:rPr>
        <w:t>9</w:t>
      </w:r>
      <w:r w:rsidRPr="00B767E9">
        <w:rPr>
          <w:noProof/>
          <w:u w:val="none"/>
        </w:rPr>
        <w:t xml:space="preserve"> Zahŕňa dyspnoe a dyspnoe po námahe.</w:t>
      </w:r>
    </w:p>
    <w:p w:rsidR="00A72EBA" w:rsidRPr="002A27E3" w:rsidRDefault="00B767E9" w:rsidP="004F6A00">
      <w:pPr>
        <w:pStyle w:val="Styl3"/>
        <w:rPr>
          <w:noProof/>
          <w:u w:val="none"/>
        </w:rPr>
      </w:pPr>
      <w:r w:rsidRPr="00B767E9">
        <w:rPr>
          <w:noProof/>
          <w:u w:val="none"/>
          <w:vertAlign w:val="superscript"/>
        </w:rPr>
        <w:t>10</w:t>
      </w:r>
      <w:r w:rsidRPr="00B767E9">
        <w:rPr>
          <w:noProof/>
          <w:u w:val="none"/>
        </w:rPr>
        <w:t xml:space="preserve"> Zahŕňa poškodenie pečene vyvolané užitím lieku, toxickú hepatitídu, hepatocelulárne poškodenie a hepatotoxicitu.</w:t>
      </w:r>
    </w:p>
    <w:p w:rsidR="00A72EBA" w:rsidRPr="002A27E3" w:rsidRDefault="00B767E9" w:rsidP="004F6A00">
      <w:pPr>
        <w:pStyle w:val="Styl3"/>
        <w:rPr>
          <w:noProof/>
          <w:u w:val="none"/>
        </w:rPr>
      </w:pPr>
      <w:r w:rsidRPr="00B767E9">
        <w:rPr>
          <w:noProof/>
          <w:u w:val="none"/>
          <w:vertAlign w:val="superscript"/>
        </w:rPr>
        <w:t>11</w:t>
      </w:r>
      <w:r w:rsidRPr="00B767E9">
        <w:rPr>
          <w:noProof/>
          <w:u w:val="none"/>
        </w:rPr>
        <w:t xml:space="preserve"> Zahŕňa periorbitálny edém, edém pery a edém úst.</w:t>
      </w:r>
    </w:p>
    <w:p w:rsidR="003E2ADB" w:rsidRPr="004B210D" w:rsidRDefault="003E2ADB" w:rsidP="004F6A00">
      <w:pPr>
        <w:pStyle w:val="Styl3"/>
      </w:pPr>
    </w:p>
    <w:p w:rsidR="00A72EBA" w:rsidRDefault="00A72EBA" w:rsidP="004F6A00">
      <w:pPr>
        <w:pStyle w:val="Styl3"/>
      </w:pPr>
      <w:r w:rsidRPr="00D32133">
        <w:t>Opis vybraných nežiaducich reakcií</w:t>
      </w:r>
    </w:p>
    <w:p w:rsidR="003E2ADB" w:rsidRPr="004B210D" w:rsidRDefault="003E2ADB" w:rsidP="004F6A00">
      <w:pPr>
        <w:pStyle w:val="Styl3"/>
      </w:pPr>
    </w:p>
    <w:p w:rsidR="00000000" w:rsidRDefault="00A72EBA">
      <w:pPr>
        <w:pStyle w:val="Styl4"/>
        <w:rPr>
          <w:noProof/>
        </w:rPr>
      </w:pPr>
      <w:r w:rsidRPr="003B679E">
        <w:rPr>
          <w:noProof/>
        </w:rPr>
        <w:t>Poruchy zraku</w:t>
      </w:r>
    </w:p>
    <w:p w:rsidR="00A72EBA" w:rsidRPr="003B679E" w:rsidRDefault="00A72EBA" w:rsidP="004644D9">
      <w:pPr>
        <w:pStyle w:val="Normlndobloku"/>
        <w:rPr>
          <w:noProof/>
        </w:rPr>
      </w:pPr>
      <w:r w:rsidRPr="003B679E">
        <w:rPr>
          <w:noProof/>
        </w:rPr>
        <w:t>Po</w:t>
      </w:r>
      <w:r w:rsidR="008145FC">
        <w:rPr>
          <w:noProof/>
        </w:rPr>
        <w:t>ruchy</w:t>
      </w:r>
      <w:r w:rsidRPr="003B679E">
        <w:rPr>
          <w:noProof/>
        </w:rPr>
        <w:t xml:space="preserve"> zraku (vrátane rozmazaného videnia, fotofóbie, chloropsie, chromatopsie, farbosleposti, cyanopsie, poruchy oka, h</w:t>
      </w:r>
      <w:r w:rsidRPr="003B679E">
        <w:t>alo videnia, šeroslepoty, oscilopsie, fotopsie, scintilujúceho skotómu, zníženia zrakovej ostrosti, vizuálnej jasnosti, defektu zorného poľa, zákalu v sklovci, a xantopsie)</w:t>
      </w:r>
      <w:r w:rsidRPr="003B679E">
        <w:rPr>
          <w:noProof/>
        </w:rPr>
        <w:t xml:space="preserve"> pri vorikonazole boli v klinických skúšaniach veľmi časté. Tieto poruchy videnia boli prechodné a plne reverzibilné, väčšina z nich spontánne odznela v priebehu 60 minút, pričom neboli pozorované žiadne klinicky významné dlhodobé účinky na zrak. S opakovanými dávkami vorikonazolu dochádzalo dokázateľne k zmierneniu ťažkostí. Poruchy zraku boli všeobecne mierne, zriedka viedli k prerušeniu liečby a nezanechávali dlhodobé následky. Poruchy zraku môžu súvisieť s vyššími plazmatickými koncentráciami a/alebo dávkami.</w:t>
      </w:r>
    </w:p>
    <w:p w:rsidR="00A72EBA" w:rsidRPr="003B679E" w:rsidRDefault="00A72EBA" w:rsidP="004F6A00">
      <w:pPr>
        <w:pStyle w:val="Normlndobloku"/>
        <w:rPr>
          <w:noProof/>
        </w:rPr>
      </w:pPr>
      <w:r w:rsidRPr="003B679E">
        <w:rPr>
          <w:noProof/>
        </w:rPr>
        <w:t>Mechanizmus účinku nie je známy, hoci miestom účinku je najpravdepodobnejšie retina. V štúdii so</w:t>
      </w:r>
      <w:r w:rsidR="00DE71A0">
        <w:rPr>
          <w:noProof/>
        </w:rPr>
        <w:t> </w:t>
      </w:r>
      <w:r w:rsidRPr="003B679E">
        <w:rPr>
          <w:noProof/>
        </w:rPr>
        <w:t>zdravými dobrovoľníkmi zameranej na účinok vorikonazolu na retinálnu funkciu sa zistilo, že vorikonazol spôsoboval pokles vlnovej amplitúdy na elektroretinograme (ERG). ERG meria elektrické prúdy v retine. ERG zmeny neprogredovali počas 29 dní liečby a po vysadení vorikonazolu boli plne reverzibilné.</w:t>
      </w:r>
    </w:p>
    <w:p w:rsidR="00A72EBA" w:rsidRDefault="00A72EBA" w:rsidP="004F6A00">
      <w:pPr>
        <w:pStyle w:val="Normlndobloku"/>
        <w:rPr>
          <w:lang w:eastAsia="sk-SK"/>
        </w:rPr>
      </w:pPr>
      <w:r w:rsidRPr="003B679E">
        <w:rPr>
          <w:lang w:eastAsia="sk-SK"/>
        </w:rPr>
        <w:t xml:space="preserve">Po uvedení lieku na trh boli hlásené prolongované zrakové nežiaduce </w:t>
      </w:r>
      <w:r w:rsidR="00972240">
        <w:rPr>
          <w:lang w:eastAsia="sk-SK"/>
        </w:rPr>
        <w:t>udalosti</w:t>
      </w:r>
      <w:r w:rsidRPr="003B679E">
        <w:rPr>
          <w:lang w:eastAsia="sk-SK"/>
        </w:rPr>
        <w:t xml:space="preserve"> (pozri časť 4.4).</w:t>
      </w:r>
    </w:p>
    <w:p w:rsidR="004B210D" w:rsidRPr="003B679E" w:rsidRDefault="004B210D" w:rsidP="004F6A00">
      <w:pPr>
        <w:pStyle w:val="Normlndobloku"/>
        <w:rPr>
          <w:lang w:eastAsia="sk-SK"/>
        </w:rPr>
      </w:pPr>
    </w:p>
    <w:p w:rsidR="00000000" w:rsidRDefault="00A72EBA">
      <w:pPr>
        <w:pStyle w:val="Styl4"/>
        <w:rPr>
          <w:noProof/>
        </w:rPr>
      </w:pPr>
      <w:r w:rsidRPr="003B679E">
        <w:rPr>
          <w:noProof/>
        </w:rPr>
        <w:t>Dermatologické reakcie</w:t>
      </w:r>
    </w:p>
    <w:p w:rsidR="00A72EBA" w:rsidRPr="003B679E" w:rsidRDefault="00A72EBA" w:rsidP="004F6A00">
      <w:pPr>
        <w:pStyle w:val="Normlndobloku"/>
        <w:rPr>
          <w:noProof/>
        </w:rPr>
      </w:pPr>
      <w:r w:rsidRPr="003B679E">
        <w:rPr>
          <w:noProof/>
        </w:rPr>
        <w:t>V klinických skúšaniach u pacientov liečených vorikonazolom boli dermatologické reakcie veľmi časté, ale títo pacienti mali závažné základné ochoreni</w:t>
      </w:r>
      <w:r w:rsidR="00B50372">
        <w:rPr>
          <w:noProof/>
        </w:rPr>
        <w:t>a</w:t>
      </w:r>
      <w:r w:rsidRPr="003B679E">
        <w:rPr>
          <w:noProof/>
        </w:rPr>
        <w:t xml:space="preserve"> a sú</w:t>
      </w:r>
      <w:r w:rsidR="005C6BAC">
        <w:rPr>
          <w:noProof/>
        </w:rPr>
        <w:t>bež</w:t>
      </w:r>
      <w:r w:rsidRPr="003B679E">
        <w:rPr>
          <w:noProof/>
        </w:rPr>
        <w:t xml:space="preserve">ne užívali viaceré lieky. Väčšina kožných vyrážok bola mierneho až stredne </w:t>
      </w:r>
      <w:r w:rsidR="009C605B">
        <w:rPr>
          <w:noProof/>
        </w:rPr>
        <w:t>závažn</w:t>
      </w:r>
      <w:r w:rsidRPr="003B679E">
        <w:rPr>
          <w:noProof/>
        </w:rPr>
        <w:t>ého stupňa. U pacientov sa počas liečby vorikonazolom vzácne vyvinul</w:t>
      </w:r>
      <w:r w:rsidR="00361397">
        <w:rPr>
          <w:noProof/>
        </w:rPr>
        <w:t>i</w:t>
      </w:r>
      <w:r w:rsidRPr="003B679E">
        <w:rPr>
          <w:noProof/>
        </w:rPr>
        <w:t xml:space="preserve"> </w:t>
      </w:r>
      <w:r w:rsidR="00757F3B">
        <w:rPr>
          <w:noProof/>
        </w:rPr>
        <w:t>závažn</w:t>
      </w:r>
      <w:r w:rsidR="00361397">
        <w:rPr>
          <w:noProof/>
        </w:rPr>
        <w:t>é</w:t>
      </w:r>
      <w:r w:rsidRPr="003B679E">
        <w:rPr>
          <w:noProof/>
        </w:rPr>
        <w:t xml:space="preserve"> kožn</w:t>
      </w:r>
      <w:r w:rsidR="00361397">
        <w:rPr>
          <w:noProof/>
        </w:rPr>
        <w:t>é</w:t>
      </w:r>
      <w:r w:rsidRPr="003B679E">
        <w:rPr>
          <w:noProof/>
        </w:rPr>
        <w:t xml:space="preserve"> reakci</w:t>
      </w:r>
      <w:r w:rsidR="00361397">
        <w:rPr>
          <w:noProof/>
        </w:rPr>
        <w:t>e</w:t>
      </w:r>
      <w:r w:rsidRPr="003B679E">
        <w:rPr>
          <w:noProof/>
        </w:rPr>
        <w:t xml:space="preserve"> vrátane Stevensovho-Johnsonovho syndrómu (menej často), toxickej epidermálnej nekrolýzy (zriedkavo) a multiformného erytému (zriedkavo).</w:t>
      </w:r>
    </w:p>
    <w:p w:rsidR="00A72EBA" w:rsidRPr="003B679E" w:rsidRDefault="00A72EBA" w:rsidP="004F6A00">
      <w:pPr>
        <w:pStyle w:val="Normlndobloku"/>
        <w:rPr>
          <w:noProof/>
        </w:rPr>
      </w:pPr>
      <w:r w:rsidRPr="003B679E">
        <w:rPr>
          <w:noProof/>
        </w:rPr>
        <w:t>Ak sa u pacienta vyvinie vyrážka, treba ho dôkladne monitorovať a vorikonazol vysadiť, ak kožné lézie progredujú. Boli popísané reakcie fotosenzitivity, ako sú ephelides, lentigo a aktinická keratóza, najmä počas dlhodobej liečby (pozri časť 4.4).</w:t>
      </w:r>
    </w:p>
    <w:p w:rsidR="00A72EBA" w:rsidRDefault="00A72EBA" w:rsidP="004F6A00">
      <w:pPr>
        <w:pStyle w:val="Normlndobloku"/>
        <w:rPr>
          <w:noProof/>
        </w:rPr>
      </w:pPr>
      <w:r w:rsidRPr="003B679E">
        <w:rPr>
          <w:noProof/>
        </w:rPr>
        <w:t>Boli hlásené prípady skvam</w:t>
      </w:r>
      <w:r w:rsidR="00231BCE">
        <w:rPr>
          <w:noProof/>
        </w:rPr>
        <w:t>ocelulárneho</w:t>
      </w:r>
      <w:r w:rsidRPr="003B679E">
        <w:rPr>
          <w:noProof/>
        </w:rPr>
        <w:t xml:space="preserve"> karcinómu kože u pacientov dlhodobo liečených vorikonazolom; mechanizmus účinku sa nezistil (pozri časť 4.4).</w:t>
      </w:r>
    </w:p>
    <w:p w:rsidR="004B210D" w:rsidRPr="003B679E" w:rsidRDefault="004B210D" w:rsidP="004F6A00">
      <w:pPr>
        <w:pStyle w:val="Normlndobloku"/>
        <w:rPr>
          <w:noProof/>
        </w:rPr>
      </w:pPr>
    </w:p>
    <w:p w:rsidR="00000000" w:rsidRDefault="00A72EBA">
      <w:pPr>
        <w:pStyle w:val="Styl4"/>
        <w:rPr>
          <w:noProof/>
        </w:rPr>
      </w:pPr>
      <w:r w:rsidRPr="003B679E">
        <w:rPr>
          <w:noProof/>
        </w:rPr>
        <w:t>Hepatálne funkčné testy</w:t>
      </w:r>
    </w:p>
    <w:p w:rsidR="00A72EBA" w:rsidRPr="003B679E" w:rsidRDefault="00A72EBA" w:rsidP="004F6A00">
      <w:pPr>
        <w:pStyle w:val="Normlndobloku"/>
        <w:rPr>
          <w:noProof/>
        </w:rPr>
      </w:pPr>
      <w:r w:rsidRPr="003B679E">
        <w:rPr>
          <w:noProof/>
        </w:rPr>
        <w:t>Celková incidencia zvýšenia aminotransferáz</w:t>
      </w:r>
      <w:r w:rsidR="00E85A55">
        <w:rPr>
          <w:noProof/>
        </w:rPr>
        <w:t>y</w:t>
      </w:r>
      <w:r w:rsidRPr="003B679E">
        <w:rPr>
          <w:noProof/>
        </w:rPr>
        <w:t xml:space="preserve"> na viac ako </w:t>
      </w:r>
      <w:r w:rsidR="005B702D">
        <w:rPr>
          <w:noProof/>
        </w:rPr>
        <w:t>3-</w:t>
      </w:r>
      <w:r w:rsidRPr="003B679E">
        <w:rPr>
          <w:noProof/>
        </w:rPr>
        <w:t>násobok ULN (ktorá nebola nutne spojená s nežiaduc</w:t>
      </w:r>
      <w:r w:rsidR="00E13C16">
        <w:rPr>
          <w:noProof/>
        </w:rPr>
        <w:t>ou</w:t>
      </w:r>
      <w:r w:rsidRPr="003B679E">
        <w:rPr>
          <w:noProof/>
        </w:rPr>
        <w:t xml:space="preserve"> </w:t>
      </w:r>
      <w:r w:rsidR="00E13C16">
        <w:rPr>
          <w:noProof/>
        </w:rPr>
        <w:t>udalosťou</w:t>
      </w:r>
      <w:r w:rsidRPr="003B679E">
        <w:rPr>
          <w:noProof/>
        </w:rPr>
        <w:t xml:space="preserve">) dosiahla v klinickom programe hodnotenia vorikonazolu 18,0 % (319/1 768) u dospelých pacientov a 25,8 % (73/283) u pediatrických pacientov, ktorí užívali vorikonazol v rámci </w:t>
      </w:r>
      <w:r w:rsidR="00F204F6">
        <w:rPr>
          <w:noProof/>
        </w:rPr>
        <w:t>spoje</w:t>
      </w:r>
      <w:r w:rsidRPr="003B679E">
        <w:rPr>
          <w:noProof/>
        </w:rPr>
        <w:t xml:space="preserve">ných terapeutických a profylaktických štúdií. Výskyt abnormálnych hepatálnych funkčných testov bol spojený s vyššími plazmatickými koncentráciami a/alebo dávkami. Väčšina abnormálnych pečeňových </w:t>
      </w:r>
      <w:r w:rsidR="006F04CB">
        <w:rPr>
          <w:noProof/>
        </w:rPr>
        <w:t xml:space="preserve">funkčných </w:t>
      </w:r>
      <w:r w:rsidRPr="003B679E">
        <w:rPr>
          <w:noProof/>
        </w:rPr>
        <w:t>testov sa normalizovala buď počas liečby bez úpravy dávkovania, alebo po úprave dávkovania vrátane prerušenia liečby.</w:t>
      </w:r>
    </w:p>
    <w:p w:rsidR="00A72EBA" w:rsidRDefault="00A72EBA" w:rsidP="004F6A00">
      <w:pPr>
        <w:pStyle w:val="Normlndobloku"/>
        <w:rPr>
          <w:noProof/>
        </w:rPr>
      </w:pPr>
      <w:r w:rsidRPr="003B679E">
        <w:rPr>
          <w:noProof/>
        </w:rPr>
        <w:lastRenderedPageBreak/>
        <w:t>Počas liečby vorikonazolom dochádzalo k závažným prejavom hepatotoxicity u pacientov s iným závažným základným ochorením. Tieto zahrňovali ikterus a vzácne prípady hepatitídy a hepatálneho zlyhania vedúceho k smrti (pozri časť 4.4).</w:t>
      </w:r>
    </w:p>
    <w:p w:rsidR="00FF6E72" w:rsidRPr="003B679E" w:rsidRDefault="00FF6E72" w:rsidP="004F6A00">
      <w:pPr>
        <w:pStyle w:val="Normlndobloku"/>
        <w:rPr>
          <w:noProof/>
        </w:rPr>
      </w:pPr>
    </w:p>
    <w:p w:rsidR="00000000" w:rsidRDefault="00A72EBA">
      <w:pPr>
        <w:pStyle w:val="Styl4"/>
        <w:rPr>
          <w:lang w:eastAsia="sk-SK"/>
        </w:rPr>
      </w:pPr>
      <w:r w:rsidRPr="003B679E">
        <w:rPr>
          <w:lang w:eastAsia="sk-SK"/>
        </w:rPr>
        <w:t>Profylaxia</w:t>
      </w:r>
    </w:p>
    <w:p w:rsidR="00A72EBA" w:rsidRDefault="00A72EBA" w:rsidP="004F6A00">
      <w:pPr>
        <w:pStyle w:val="Normlndobloku"/>
        <w:rPr>
          <w:lang w:eastAsia="sk-SK"/>
        </w:rPr>
      </w:pPr>
      <w:r w:rsidRPr="003B679E">
        <w:rPr>
          <w:lang w:eastAsia="sk-SK"/>
        </w:rPr>
        <w:t>V otvorenej, komparatívnej, multicentrickej štúdii porovnávajúcej vorikonazol a itrakonazol ako primárnu profylaxiu u dospelých a dospievajúcich pacientov, ktorí boli príjemcami alogénnej HSCT bez</w:t>
      </w:r>
      <w:r w:rsidR="006F04CB">
        <w:rPr>
          <w:lang w:eastAsia="sk-SK"/>
        </w:rPr>
        <w:t> </w:t>
      </w:r>
      <w:r w:rsidRPr="003B679E">
        <w:rPr>
          <w:lang w:eastAsia="sk-SK"/>
        </w:rPr>
        <w:t>predchádzajúcej dokázanej alebo pravdepodobnej IMI, sa trvalé vysadenie vorikonazolu z dôvodu výskytu nežiaducich účinkov hlásilo u 39,3 % jedincov verzus 39,6 % jedincov v skupine s itrakonazolom. Hepatálne nežiaduce účinky vzniknuté počas liečby viedli k trvalému vysadeniu skúšaného lieku u 50 jedincov (21,4 %) liečených vorikonazolom a u 18 jedincov (7,1 %) liečených itrakonazolom.</w:t>
      </w:r>
    </w:p>
    <w:p w:rsidR="00FF6E72" w:rsidRPr="003B679E" w:rsidRDefault="00FF6E72" w:rsidP="004F6A00">
      <w:pPr>
        <w:pStyle w:val="Normlndobloku"/>
        <w:rPr>
          <w:noProof/>
        </w:rPr>
      </w:pPr>
    </w:p>
    <w:p w:rsidR="00000000" w:rsidRDefault="00A72EBA">
      <w:pPr>
        <w:pStyle w:val="Styl4"/>
        <w:rPr>
          <w:noProof/>
        </w:rPr>
      </w:pPr>
      <w:r w:rsidRPr="003B679E">
        <w:rPr>
          <w:noProof/>
        </w:rPr>
        <w:t>Pediatrická populácia</w:t>
      </w:r>
    </w:p>
    <w:p w:rsidR="00A72EBA" w:rsidRDefault="00A72EBA" w:rsidP="004F6A00">
      <w:pPr>
        <w:pStyle w:val="Normlndobloku"/>
        <w:rPr>
          <w:noProof/>
        </w:rPr>
      </w:pPr>
      <w:r w:rsidRPr="003B679E">
        <w:rPr>
          <w:noProof/>
        </w:rPr>
        <w:t xml:space="preserve">Bezpečnosť vorikonazolu sa skúmala u 288 </w:t>
      </w:r>
      <w:r w:rsidR="00980A5C">
        <w:rPr>
          <w:noProof/>
        </w:rPr>
        <w:t>pediatrick</w:t>
      </w:r>
      <w:r w:rsidRPr="003B679E">
        <w:rPr>
          <w:noProof/>
        </w:rPr>
        <w:t xml:space="preserve">ých pacientov vo veku 2 až &lt; 12 rokov (169) a 12 až &lt; 18 rokov (119), ktorí užívali vorikonazol na profylaktické (183) alebo terapeutické (105) účely v klinických skúšaniach. Bezpečnosť vorikonazolu sa skúmala aj u ďalších 158 pediatrických pacientov vo veku 2 až &lt; 12 rokov v rámci programov umožňujúcich poskytnúť pacientovi liek z humanitárnych dôvodov. Celkovo bol bezpečnostný profil vorikonazolu v pediatrickej populácii podobný ako u dospelých. U pediatrických pacientov sa však ako nežiaduci účinok v klinických skúšaniach častejšie hlásilo zvýšenie hladín pečeňových enzýmov v porovnaní s dospelými (zvýšenie transamináz u 14,2 % pediatrických pacientov v porovnaní s 5,3 % dospelých). Údaje po uvedení lieku na trh naznačujú, že u pediatrickej populácie </w:t>
      </w:r>
      <w:r w:rsidR="00312FB6">
        <w:rPr>
          <w:noProof/>
        </w:rPr>
        <w:t>môže</w:t>
      </w:r>
      <w:r w:rsidRPr="003B679E">
        <w:rPr>
          <w:noProof/>
        </w:rPr>
        <w:t xml:space="preserve"> byť vyšší výskyt kožných reakcií (zvlášť erytému) v porovnaní s dospelými. U 22 pacientov </w:t>
      </w:r>
      <w:r w:rsidR="00D65F22">
        <w:rPr>
          <w:noProof/>
        </w:rPr>
        <w:t>vo veku menej</w:t>
      </w:r>
      <w:r w:rsidRPr="003B679E">
        <w:rPr>
          <w:noProof/>
        </w:rPr>
        <w:t xml:space="preserve"> ako 2 roky, ktorí dostávali vorikonazol v programoch umožňujúcich poskytnúť pacientovi liek z humanitárnych dôvodov, boli hlásené nasled</w:t>
      </w:r>
      <w:r w:rsidR="00AB7E25">
        <w:rPr>
          <w:noProof/>
        </w:rPr>
        <w:t>ovné</w:t>
      </w:r>
      <w:r w:rsidRPr="003B679E">
        <w:rPr>
          <w:noProof/>
        </w:rPr>
        <w:t xml:space="preserve"> nežiaduce </w:t>
      </w:r>
      <w:r w:rsidR="000654AE">
        <w:rPr>
          <w:noProof/>
        </w:rPr>
        <w:t>reakcie</w:t>
      </w:r>
      <w:r w:rsidRPr="003B679E">
        <w:rPr>
          <w:noProof/>
        </w:rPr>
        <w:t xml:space="preserve"> (u ktorých sa súvislosť s vorikonazolom nedala vylúčiť): fotosenzitívna reakcia (1), arytmia (1), pankreatitída (1), zvýšen</w:t>
      </w:r>
      <w:r w:rsidR="001F70B7">
        <w:rPr>
          <w:noProof/>
        </w:rPr>
        <w:t>á hladina</w:t>
      </w:r>
      <w:r w:rsidRPr="003B679E">
        <w:rPr>
          <w:noProof/>
        </w:rPr>
        <w:t xml:space="preserve"> bilirubín</w:t>
      </w:r>
      <w:r w:rsidR="001F70B7">
        <w:rPr>
          <w:noProof/>
        </w:rPr>
        <w:t>u</w:t>
      </w:r>
      <w:r w:rsidRPr="003B679E">
        <w:rPr>
          <w:noProof/>
        </w:rPr>
        <w:t xml:space="preserve"> v krvi (1), zvýšené</w:t>
      </w:r>
      <w:r w:rsidR="001F70B7">
        <w:rPr>
          <w:noProof/>
        </w:rPr>
        <w:t xml:space="preserve"> hladiny</w:t>
      </w:r>
      <w:r w:rsidRPr="003B679E">
        <w:rPr>
          <w:noProof/>
        </w:rPr>
        <w:t xml:space="preserve"> pečeňov</w:t>
      </w:r>
      <w:r w:rsidR="001F70B7">
        <w:rPr>
          <w:noProof/>
        </w:rPr>
        <w:t>ých</w:t>
      </w:r>
      <w:r w:rsidRPr="003B679E">
        <w:rPr>
          <w:noProof/>
        </w:rPr>
        <w:t xml:space="preserve"> enzým</w:t>
      </w:r>
      <w:r w:rsidR="001F70B7">
        <w:rPr>
          <w:noProof/>
        </w:rPr>
        <w:t>ov</w:t>
      </w:r>
      <w:r w:rsidRPr="003B679E">
        <w:rPr>
          <w:noProof/>
        </w:rPr>
        <w:t xml:space="preserve"> (1), vyrážka (1) a papiloedém (1). Po uvedení lieku na trh sa objavili hlásenia o výskyte pankreatitídy u pediatrických pacientov.</w:t>
      </w:r>
    </w:p>
    <w:p w:rsidR="00FF6E72" w:rsidRPr="003B679E" w:rsidRDefault="00FF6E72" w:rsidP="004F6A00">
      <w:pPr>
        <w:pStyle w:val="Normlndobloku"/>
        <w:rPr>
          <w:noProof/>
        </w:rPr>
      </w:pPr>
    </w:p>
    <w:p w:rsidR="00A72EBA" w:rsidRPr="004B210D" w:rsidRDefault="00A72EBA" w:rsidP="004F6A00">
      <w:pPr>
        <w:pStyle w:val="Styl3"/>
      </w:pPr>
      <w:r w:rsidRPr="004B210D">
        <w:t>Hlásenie podozrení na nežiaduce reakcie</w:t>
      </w:r>
    </w:p>
    <w:p w:rsidR="00A72EBA" w:rsidRDefault="00A72EBA" w:rsidP="00A45256">
      <w:pPr>
        <w:pStyle w:val="Normlndobloku"/>
      </w:pPr>
      <w:r w:rsidRPr="003B679E">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B679E">
        <w:rPr>
          <w:highlight w:val="lightGray"/>
        </w:rPr>
        <w:t>národné centrum hlásenia uvedené v </w:t>
      </w:r>
      <w:hyperlink r:id="rId8" w:history="1">
        <w:r w:rsidRPr="003B679E">
          <w:rPr>
            <w:rStyle w:val="Hypertextovprepojenie"/>
            <w:szCs w:val="22"/>
            <w:highlight w:val="lightGray"/>
            <w:lang w:val="sk-SK"/>
          </w:rPr>
          <w:t>Prílohe V</w:t>
        </w:r>
      </w:hyperlink>
      <w:r w:rsidRPr="003B679E">
        <w:rPr>
          <w:highlight w:val="lightGray"/>
        </w:rPr>
        <w:t>.</w:t>
      </w:r>
    </w:p>
    <w:p w:rsidR="00FF6E72" w:rsidRPr="003B679E" w:rsidRDefault="00FF6E72"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Predávkovanie</w:t>
      </w:r>
    </w:p>
    <w:p w:rsidR="008633A7" w:rsidRPr="00CB3225" w:rsidRDefault="008633A7" w:rsidP="003B679E">
      <w:pPr>
        <w:pStyle w:val="Styl2"/>
        <w:numPr>
          <w:ilvl w:val="0"/>
          <w:numId w:val="0"/>
        </w:numPr>
        <w:spacing w:before="0" w:after="0"/>
        <w:rPr>
          <w:szCs w:val="22"/>
          <w:lang w:val="sk-SK"/>
        </w:rPr>
      </w:pPr>
    </w:p>
    <w:p w:rsidR="00A72EBA" w:rsidRDefault="00A72EBA" w:rsidP="00A45256">
      <w:pPr>
        <w:pStyle w:val="Normlndobloku"/>
        <w:rPr>
          <w:noProof/>
        </w:rPr>
      </w:pPr>
      <w:r w:rsidRPr="003B679E">
        <w:rPr>
          <w:noProof/>
        </w:rPr>
        <w:t xml:space="preserve">V klinických skúšaniach boli zaznamenané 3 prípady náhodného predávkovania. Všetky sa vyskytli u pediatrických pacientov po intravenóznom podaní až do päťnásobku odporúčanej dávky vorikonazolu. Hlásený bol jeden prípad </w:t>
      </w:r>
      <w:r w:rsidR="00A942C6">
        <w:rPr>
          <w:noProof/>
        </w:rPr>
        <w:t xml:space="preserve">nežiaducej reakcie </w:t>
      </w:r>
      <w:r w:rsidRPr="003B679E">
        <w:rPr>
          <w:noProof/>
        </w:rPr>
        <w:t>fotofóbie trvajúcej 10 minút.</w:t>
      </w:r>
    </w:p>
    <w:p w:rsidR="00D24AA4" w:rsidRPr="003B679E" w:rsidRDefault="00D24AA4" w:rsidP="004644D9">
      <w:pPr>
        <w:pStyle w:val="Normlndobloku"/>
        <w:rPr>
          <w:noProof/>
        </w:rPr>
      </w:pPr>
    </w:p>
    <w:p w:rsidR="00A72EBA" w:rsidRDefault="00A72EBA" w:rsidP="004F6A00">
      <w:pPr>
        <w:pStyle w:val="Normlndobloku"/>
        <w:rPr>
          <w:noProof/>
        </w:rPr>
      </w:pPr>
      <w:r w:rsidRPr="003B679E">
        <w:rPr>
          <w:noProof/>
        </w:rPr>
        <w:t>Antidotum vorikonazolu nie je známe.</w:t>
      </w:r>
    </w:p>
    <w:p w:rsidR="00D24AA4" w:rsidRPr="003B679E" w:rsidRDefault="00D24AA4" w:rsidP="004F6A00">
      <w:pPr>
        <w:pStyle w:val="Normlndobloku"/>
        <w:rPr>
          <w:noProof/>
        </w:rPr>
      </w:pPr>
    </w:p>
    <w:p w:rsidR="00A72EBA" w:rsidRDefault="00A72EBA" w:rsidP="004F6A00">
      <w:pPr>
        <w:pStyle w:val="Normlndobloku"/>
        <w:rPr>
          <w:noProof/>
        </w:rPr>
      </w:pPr>
      <w:r w:rsidRPr="003B679E">
        <w:rPr>
          <w:noProof/>
        </w:rPr>
        <w:t xml:space="preserve">Vorikonazol sa hemodialyzuje s klírensom </w:t>
      </w:r>
      <w:r w:rsidRPr="003B679E">
        <w:t>121</w:t>
      </w:r>
      <w:r w:rsidR="00A942C6">
        <w:t xml:space="preserve"> </w:t>
      </w:r>
      <w:r w:rsidRPr="003B679E">
        <w:t>ml</w:t>
      </w:r>
      <w:r w:rsidRPr="003B679E">
        <w:rPr>
          <w:noProof/>
        </w:rPr>
        <w:t>/min. Pri predávkovaní môže hemodialýza pomôcť pri</w:t>
      </w:r>
      <w:r w:rsidR="00A942C6">
        <w:rPr>
          <w:noProof/>
        </w:rPr>
        <w:t> </w:t>
      </w:r>
      <w:r w:rsidRPr="003B679E">
        <w:rPr>
          <w:noProof/>
        </w:rPr>
        <w:t>eliminácii vorikonazolu z organizmu.</w:t>
      </w:r>
    </w:p>
    <w:p w:rsidR="00D24AA4" w:rsidRDefault="00D24AA4" w:rsidP="004F6A00">
      <w:pPr>
        <w:pStyle w:val="Normlndobloku"/>
        <w:rPr>
          <w:noProof/>
        </w:rPr>
      </w:pPr>
    </w:p>
    <w:p w:rsidR="00D24AA4" w:rsidRPr="003B679E" w:rsidRDefault="00D24AA4" w:rsidP="004F6A00">
      <w:pPr>
        <w:pStyle w:val="Normlndobloku"/>
        <w:rPr>
          <w:noProof/>
        </w:rPr>
      </w:pPr>
    </w:p>
    <w:p w:rsidR="00A72EBA" w:rsidRDefault="00A72EBA" w:rsidP="00CD060E">
      <w:pPr>
        <w:pStyle w:val="Styl1"/>
        <w:spacing w:before="0" w:after="0"/>
        <w:ind w:left="0" w:firstLine="0"/>
        <w:rPr>
          <w:lang w:val="sk-SK"/>
        </w:rPr>
      </w:pPr>
      <w:r w:rsidRPr="003B679E">
        <w:rPr>
          <w:lang w:val="sk-SK"/>
        </w:rPr>
        <w:t>FARMAKOLOGICKÉ VLASTNOSTI</w:t>
      </w:r>
    </w:p>
    <w:p w:rsidR="00D24AA4" w:rsidRPr="003B679E" w:rsidRDefault="00D24AA4" w:rsidP="00D24AA4">
      <w:pPr>
        <w:pStyle w:val="Styl1"/>
        <w:numPr>
          <w:ilvl w:val="0"/>
          <w:numId w:val="0"/>
        </w:numPr>
        <w:spacing w:before="0" w:after="0"/>
        <w:rPr>
          <w:lang w:val="sk-SK"/>
        </w:rPr>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Farmakodynamické vlastnosti</w:t>
      </w:r>
    </w:p>
    <w:p w:rsidR="00D24AA4" w:rsidRPr="00CB3225" w:rsidRDefault="00D24AA4" w:rsidP="003B679E">
      <w:pPr>
        <w:pStyle w:val="Styl2"/>
        <w:numPr>
          <w:ilvl w:val="0"/>
          <w:numId w:val="0"/>
        </w:numPr>
        <w:spacing w:before="0" w:after="0"/>
        <w:rPr>
          <w:szCs w:val="22"/>
          <w:lang w:val="sk-SK"/>
        </w:rPr>
      </w:pPr>
    </w:p>
    <w:p w:rsidR="00A72EBA" w:rsidRPr="003B679E" w:rsidRDefault="00A72EBA" w:rsidP="00A45256">
      <w:pPr>
        <w:pStyle w:val="Normlndobloku"/>
      </w:pPr>
      <w:r w:rsidRPr="003B679E">
        <w:t>Farmakoterapeutická skupina: Antimykotik</w:t>
      </w:r>
      <w:r w:rsidR="00DB2073">
        <w:t>á</w:t>
      </w:r>
      <w:r w:rsidRPr="003B679E">
        <w:t xml:space="preserve"> na systémové použitie</w:t>
      </w:r>
      <w:r w:rsidR="00441C10">
        <w:t xml:space="preserve">, </w:t>
      </w:r>
      <w:r w:rsidRPr="003B679E">
        <w:t>triazolové deriváty,</w:t>
      </w:r>
      <w:r w:rsidR="00DB2073">
        <w:t xml:space="preserve"> </w:t>
      </w:r>
      <w:r w:rsidRPr="003B679E">
        <w:t>ATC kód: J02AC03</w:t>
      </w:r>
    </w:p>
    <w:p w:rsidR="00A72EBA" w:rsidRPr="004B210D" w:rsidRDefault="00A72EBA" w:rsidP="004F6A00">
      <w:pPr>
        <w:pStyle w:val="Styl3"/>
      </w:pPr>
      <w:r w:rsidRPr="004B210D">
        <w:lastRenderedPageBreak/>
        <w:t>Mechanizmus účinku</w:t>
      </w:r>
    </w:p>
    <w:p w:rsidR="00A72EBA" w:rsidRDefault="00A72EBA" w:rsidP="00A45256">
      <w:pPr>
        <w:pStyle w:val="Normlndobloku"/>
        <w:rPr>
          <w:noProof/>
        </w:rPr>
      </w:pPr>
      <w:r w:rsidRPr="003B679E">
        <w:rPr>
          <w:noProof/>
        </w:rPr>
        <w:t xml:space="preserve">Vorikonazol je triazolové antimykotikum. Hlavný </w:t>
      </w:r>
      <w:r w:rsidR="00FA3A75">
        <w:rPr>
          <w:noProof/>
        </w:rPr>
        <w:t>mechanizmus</w:t>
      </w:r>
      <w:r w:rsidRPr="003B679E">
        <w:rPr>
          <w:noProof/>
        </w:rPr>
        <w:t xml:space="preserve"> účinku vorikonazolu spočíva v inhibícii </w:t>
      </w:r>
      <w:r w:rsidR="00B51654">
        <w:rPr>
          <w:noProof/>
        </w:rPr>
        <w:t xml:space="preserve">demetylácie </w:t>
      </w:r>
      <w:r w:rsidRPr="003B679E">
        <w:rPr>
          <w:noProof/>
        </w:rPr>
        <w:t>mykotick</w:t>
      </w:r>
      <w:r w:rsidR="00B51654">
        <w:rPr>
          <w:noProof/>
        </w:rPr>
        <w:t>ého</w:t>
      </w:r>
      <w:r w:rsidRPr="003B679E">
        <w:rPr>
          <w:noProof/>
        </w:rPr>
        <w:t xml:space="preserve"> 14-alfa-lanosterol</w:t>
      </w:r>
      <w:r w:rsidR="00B51654">
        <w:rPr>
          <w:noProof/>
        </w:rPr>
        <w:t>u</w:t>
      </w:r>
      <w:r w:rsidRPr="003B679E">
        <w:rPr>
          <w:noProof/>
        </w:rPr>
        <w:t xml:space="preserve"> sprostredkovanej cytochrómom P450, nevyhnutného kroku v biosyntéze ergosterolu. Kumulácia 14-alfa-metylsterolov koreluje s následným nedostatkom ergosterolu v membráne mykotických buniek a môže byť zodpovedná za antimykotický účinok vorikonazolu. Ukázalo sa, že vorikonazol je selektívnejší pre mykotické enzýmy cytochrómu P450 ako rôzne enzýmové systémy cytochrómu P450 cicavcov.</w:t>
      </w:r>
    </w:p>
    <w:p w:rsidR="002A2429" w:rsidRPr="003B679E" w:rsidRDefault="002A2429" w:rsidP="004644D9">
      <w:pPr>
        <w:pStyle w:val="Normlndobloku"/>
        <w:rPr>
          <w:noProof/>
        </w:rPr>
      </w:pPr>
    </w:p>
    <w:p w:rsidR="00A72EBA" w:rsidRPr="004B210D" w:rsidRDefault="00A72EBA" w:rsidP="004F6A00">
      <w:pPr>
        <w:pStyle w:val="Styl3"/>
        <w:rPr>
          <w:noProof/>
        </w:rPr>
      </w:pPr>
      <w:r w:rsidRPr="004B210D">
        <w:rPr>
          <w:noProof/>
        </w:rPr>
        <w:t>Farmakokinetický/farmakodynamický vzťah</w:t>
      </w:r>
    </w:p>
    <w:p w:rsidR="00A72EBA" w:rsidRDefault="00A72EBA" w:rsidP="00A45256">
      <w:pPr>
        <w:pStyle w:val="Normlndobloku"/>
        <w:rPr>
          <w:noProof/>
        </w:rPr>
      </w:pPr>
      <w:r w:rsidRPr="003B679E">
        <w:rPr>
          <w:noProof/>
        </w:rPr>
        <w:t>V 10 terapeutických štúdiách bola stredná hodnota priemerných a maximálnych plazmatických koncentrácií u individuálnych jedincov vo všetkých  štúdiách 2 425 ng/ml (interkvartilový rozsah 1 193 až 4 380 ng/ml) a 3 742 ng/ml (interkvartilový rozsah 2 027 až 6 302 ng/ml). V terapeutických štúdiách sa nenašla pozitívna asociácia medzi strednými, maximálnymi alebo minimálnymi plazmatickými koncentráciami vorikonazolu a jeho účinnosťou a v štúdiách profylaxie sa tento vzťah neskúmal.</w:t>
      </w:r>
    </w:p>
    <w:p w:rsidR="007C3290" w:rsidRPr="003B679E" w:rsidRDefault="007C3290" w:rsidP="004644D9">
      <w:pPr>
        <w:pStyle w:val="Normlndobloku"/>
        <w:rPr>
          <w:noProof/>
        </w:rPr>
      </w:pPr>
    </w:p>
    <w:p w:rsidR="00A72EBA" w:rsidRDefault="00A72EBA" w:rsidP="004F6A00">
      <w:pPr>
        <w:pStyle w:val="Normlndobloku"/>
        <w:rPr>
          <w:noProof/>
        </w:rPr>
      </w:pPr>
      <w:r w:rsidRPr="003B679E">
        <w:rPr>
          <w:noProof/>
        </w:rPr>
        <w:t xml:space="preserve">Farmakokineticko-farmakodynamické analýzy údajov z klinických skúšaní preukázali pozitívnu asociáciu medzi plazmatickými koncentráciami vorikonazolu a abnormálnymi výsledkami hepatálnych </w:t>
      </w:r>
      <w:r w:rsidR="00DE2D73">
        <w:rPr>
          <w:noProof/>
        </w:rPr>
        <w:t xml:space="preserve">funkčných </w:t>
      </w:r>
      <w:r w:rsidRPr="003B679E">
        <w:rPr>
          <w:noProof/>
        </w:rPr>
        <w:t>testov, ako i poruchami zraku. Úpravy dávky sa v štúdiách profylaxie neskúmali.</w:t>
      </w:r>
    </w:p>
    <w:p w:rsidR="002A2429" w:rsidRPr="003B679E" w:rsidRDefault="002A2429" w:rsidP="004F6A00">
      <w:pPr>
        <w:pStyle w:val="Normlndobloku"/>
        <w:rPr>
          <w:noProof/>
        </w:rPr>
      </w:pPr>
    </w:p>
    <w:p w:rsidR="00A72EBA" w:rsidRPr="004B210D" w:rsidRDefault="00A72EBA" w:rsidP="004F6A00">
      <w:pPr>
        <w:pStyle w:val="Styl3"/>
        <w:rPr>
          <w:noProof/>
        </w:rPr>
      </w:pPr>
      <w:r w:rsidRPr="004B210D">
        <w:rPr>
          <w:noProof/>
        </w:rPr>
        <w:t>Klinická účinnosť a bezpečnosť</w:t>
      </w:r>
    </w:p>
    <w:p w:rsidR="00A72EBA" w:rsidRDefault="00A72EBA" w:rsidP="00A45256">
      <w:pPr>
        <w:pStyle w:val="Normlndobloku"/>
        <w:rPr>
          <w:noProof/>
        </w:rPr>
      </w:pPr>
      <w:r w:rsidRPr="003B679E">
        <w:rPr>
          <w:rFonts w:eastAsia="TimesNewRoman,Italic"/>
          <w:i/>
          <w:iCs/>
          <w:noProof/>
        </w:rPr>
        <w:t xml:space="preserve">In vitro </w:t>
      </w:r>
      <w:r w:rsidRPr="003B679E">
        <w:rPr>
          <w:noProof/>
        </w:rPr>
        <w:t>vorikonazol vykazuje širokospektrálnu antimykotickú aktivitu</w:t>
      </w:r>
      <w:r w:rsidR="00CE478A">
        <w:rPr>
          <w:noProof/>
        </w:rPr>
        <w:t xml:space="preserve"> </w:t>
      </w:r>
      <w:r w:rsidR="00887C06">
        <w:rPr>
          <w:noProof/>
        </w:rPr>
        <w:t>s </w:t>
      </w:r>
      <w:r w:rsidR="00CE478A">
        <w:rPr>
          <w:noProof/>
        </w:rPr>
        <w:t>antimykotickou účinnosťou</w:t>
      </w:r>
      <w:r w:rsidRPr="003B679E">
        <w:rPr>
          <w:noProof/>
        </w:rPr>
        <w:t xml:space="preserve"> voči </w:t>
      </w:r>
      <w:r w:rsidR="00BF2DCE">
        <w:rPr>
          <w:noProof/>
        </w:rPr>
        <w:t>druhom</w:t>
      </w:r>
      <w:r w:rsidRPr="003B679E">
        <w:rPr>
          <w:noProof/>
        </w:rPr>
        <w:t xml:space="preserve"> </w:t>
      </w:r>
      <w:r w:rsidRPr="003B679E">
        <w:rPr>
          <w:rFonts w:eastAsia="TimesNewRoman,Italic"/>
          <w:i/>
          <w:iCs/>
          <w:noProof/>
        </w:rPr>
        <w:t xml:space="preserve">Candida </w:t>
      </w:r>
      <w:r w:rsidRPr="003B679E">
        <w:rPr>
          <w:noProof/>
        </w:rPr>
        <w:t xml:space="preserve">(vrátane flukonazol-rezistentnej </w:t>
      </w:r>
      <w:r w:rsidRPr="003B679E">
        <w:rPr>
          <w:rFonts w:eastAsia="TimesNewRoman,Italic"/>
          <w:i/>
          <w:iCs/>
          <w:noProof/>
        </w:rPr>
        <w:t xml:space="preserve">C. krusei </w:t>
      </w:r>
      <w:r w:rsidRPr="003B679E">
        <w:rPr>
          <w:noProof/>
        </w:rPr>
        <w:t xml:space="preserve">a rezistentnými kmeňmi </w:t>
      </w:r>
      <w:r w:rsidRPr="003B679E">
        <w:rPr>
          <w:rFonts w:eastAsia="TimesNewRoman,Italic"/>
          <w:i/>
          <w:iCs/>
          <w:noProof/>
        </w:rPr>
        <w:t xml:space="preserve">C. glabrata </w:t>
      </w:r>
      <w:r w:rsidRPr="003B679E">
        <w:rPr>
          <w:noProof/>
        </w:rPr>
        <w:t>a </w:t>
      </w:r>
      <w:r w:rsidRPr="003B679E">
        <w:rPr>
          <w:rFonts w:eastAsia="TimesNewRoman,Italic"/>
          <w:i/>
          <w:iCs/>
          <w:noProof/>
        </w:rPr>
        <w:t>C. albicans</w:t>
      </w:r>
      <w:r w:rsidRPr="003B679E">
        <w:rPr>
          <w:noProof/>
        </w:rPr>
        <w:t xml:space="preserve">) a fungicídnu aktivitu voči všetkým testovaným druhom </w:t>
      </w:r>
      <w:r w:rsidRPr="003B679E">
        <w:rPr>
          <w:rFonts w:eastAsia="TimesNewRoman,Italic"/>
          <w:i/>
          <w:iCs/>
          <w:noProof/>
        </w:rPr>
        <w:t xml:space="preserve">Aspergillus. </w:t>
      </w:r>
      <w:r w:rsidRPr="003B679E">
        <w:rPr>
          <w:noProof/>
        </w:rPr>
        <w:t xml:space="preserve">Navyše vorikonazol vykazuje </w:t>
      </w:r>
      <w:r w:rsidRPr="003B679E">
        <w:rPr>
          <w:rFonts w:eastAsia="TimesNewRoman,Italic"/>
          <w:i/>
          <w:iCs/>
          <w:noProof/>
        </w:rPr>
        <w:t xml:space="preserve">in vitro </w:t>
      </w:r>
      <w:r w:rsidRPr="003B679E">
        <w:rPr>
          <w:noProof/>
        </w:rPr>
        <w:t xml:space="preserve">fungicídnu aktivitu voči menej častým mykotickým patogénom vrátane </w:t>
      </w:r>
      <w:r w:rsidRPr="003B679E">
        <w:rPr>
          <w:rFonts w:eastAsia="TimesNewRoman,Italic"/>
          <w:i/>
          <w:iCs/>
          <w:noProof/>
        </w:rPr>
        <w:t xml:space="preserve">Scedosporium </w:t>
      </w:r>
      <w:r w:rsidRPr="003B679E">
        <w:rPr>
          <w:noProof/>
        </w:rPr>
        <w:t xml:space="preserve">alebo </w:t>
      </w:r>
      <w:r w:rsidRPr="003B679E">
        <w:rPr>
          <w:rFonts w:eastAsia="TimesNewRoman,Italic"/>
          <w:i/>
          <w:iCs/>
          <w:noProof/>
        </w:rPr>
        <w:t>Fusarium</w:t>
      </w:r>
      <w:r w:rsidRPr="003B679E">
        <w:rPr>
          <w:noProof/>
        </w:rPr>
        <w:t>, ktoré majú limitovanú citlivosť na existujúce antimykotiká.</w:t>
      </w:r>
    </w:p>
    <w:p w:rsidR="007C3290" w:rsidRPr="003B679E" w:rsidRDefault="007C3290" w:rsidP="004644D9">
      <w:pPr>
        <w:pStyle w:val="Normlndobloku"/>
        <w:rPr>
          <w:noProof/>
        </w:rPr>
      </w:pPr>
    </w:p>
    <w:p w:rsidR="00A72EBA" w:rsidRDefault="00A72EBA" w:rsidP="004F6A00">
      <w:pPr>
        <w:pStyle w:val="Normlndobloku"/>
        <w:rPr>
          <w:noProof/>
        </w:rPr>
      </w:pPr>
      <w:r w:rsidRPr="003B679E">
        <w:rPr>
          <w:noProof/>
        </w:rPr>
        <w:t xml:space="preserve">Klinická účinnosť definovaná ako parciálna alebo komplexná odpoveď, sa potvrdila voči </w:t>
      </w:r>
      <w:r w:rsidR="007C3290">
        <w:rPr>
          <w:noProof/>
        </w:rPr>
        <w:t>druhu</w:t>
      </w:r>
      <w:r w:rsidRPr="003B679E">
        <w:rPr>
          <w:noProof/>
        </w:rPr>
        <w:t xml:space="preserve"> Aspergillus vrátane A. flavus, A. fumigatus, A. terreus, A. niger, A. nidulans, </w:t>
      </w:r>
      <w:r w:rsidR="007C3290">
        <w:rPr>
          <w:noProof/>
        </w:rPr>
        <w:t>druh</w:t>
      </w:r>
      <w:r w:rsidRPr="003B679E">
        <w:rPr>
          <w:noProof/>
        </w:rPr>
        <w:t xml:space="preserve">u Candida vrátane C. albicans, C. glabrata, C. krusei, C. parapsilosis a C. tropicalis a obmedzenému počtu C. dubliniensis, C. inconspicua a C. guilliermondii, </w:t>
      </w:r>
      <w:r w:rsidR="007C3290">
        <w:rPr>
          <w:noProof/>
        </w:rPr>
        <w:t>druh</w:t>
      </w:r>
      <w:r w:rsidRPr="003B679E">
        <w:rPr>
          <w:noProof/>
        </w:rPr>
        <w:t>u Scedosporium vrátane druhov S. apiospermum, S. prolificans a </w:t>
      </w:r>
      <w:r w:rsidR="007C3290">
        <w:rPr>
          <w:noProof/>
        </w:rPr>
        <w:t>druh</w:t>
      </w:r>
      <w:r w:rsidRPr="003B679E">
        <w:rPr>
          <w:noProof/>
        </w:rPr>
        <w:t>u Fusarium.</w:t>
      </w:r>
    </w:p>
    <w:p w:rsidR="007D21E2" w:rsidRPr="003B679E" w:rsidRDefault="007D21E2" w:rsidP="004F6A00">
      <w:pPr>
        <w:pStyle w:val="Normlndobloku"/>
        <w:rPr>
          <w:noProof/>
        </w:rPr>
      </w:pPr>
    </w:p>
    <w:p w:rsidR="00A72EBA" w:rsidRDefault="00A72EBA" w:rsidP="004F6A00">
      <w:pPr>
        <w:pStyle w:val="Normlndobloku"/>
        <w:rPr>
          <w:noProof/>
        </w:rPr>
      </w:pPr>
      <w:r w:rsidRPr="003B679E">
        <w:rPr>
          <w:noProof/>
        </w:rPr>
        <w:t>Ďalšie liečené mykotické infekcie (často buď s parciálnou alebo kompletnou odpoveďou</w:t>
      </w:r>
      <w:r w:rsidR="007D21E2">
        <w:rPr>
          <w:noProof/>
        </w:rPr>
        <w:t>)</w:t>
      </w:r>
      <w:r w:rsidRPr="003B679E">
        <w:rPr>
          <w:noProof/>
        </w:rPr>
        <w:t xml:space="preserve">, zahŕňali izolované prípady infekcií druhu </w:t>
      </w:r>
      <w:r w:rsidRPr="003B679E">
        <w:rPr>
          <w:rFonts w:eastAsia="TimesNewRoman,Italic"/>
          <w:i/>
          <w:iCs/>
          <w:noProof/>
        </w:rPr>
        <w:t>Alternaria</w:t>
      </w:r>
      <w:r w:rsidRPr="003B679E">
        <w:rPr>
          <w:noProof/>
        </w:rPr>
        <w:t xml:space="preserve">, </w:t>
      </w:r>
      <w:r w:rsidRPr="003B679E">
        <w:rPr>
          <w:rFonts w:eastAsia="TimesNewRoman,Italic"/>
          <w:i/>
          <w:iCs/>
          <w:noProof/>
        </w:rPr>
        <w:t>Blastomyces dermatitidis</w:t>
      </w:r>
      <w:r w:rsidRPr="003B679E">
        <w:rPr>
          <w:noProof/>
        </w:rPr>
        <w:t xml:space="preserve">, </w:t>
      </w:r>
      <w:r w:rsidRPr="003B679E">
        <w:rPr>
          <w:rFonts w:eastAsia="TimesNewRoman,Italic"/>
          <w:i/>
          <w:iCs/>
          <w:noProof/>
        </w:rPr>
        <w:t>Blastoschizomyces capitatus</w:t>
      </w:r>
      <w:r w:rsidRPr="003B679E">
        <w:rPr>
          <w:noProof/>
        </w:rPr>
        <w:t xml:space="preserve">, druhu </w:t>
      </w:r>
      <w:r w:rsidRPr="003B679E">
        <w:rPr>
          <w:rFonts w:eastAsia="TimesNewRoman,Italic"/>
          <w:i/>
          <w:iCs/>
          <w:noProof/>
        </w:rPr>
        <w:t>Cladosporium</w:t>
      </w:r>
      <w:r w:rsidRPr="003B679E">
        <w:rPr>
          <w:noProof/>
        </w:rPr>
        <w:t xml:space="preserve">, </w:t>
      </w:r>
      <w:r w:rsidRPr="003B679E">
        <w:rPr>
          <w:rFonts w:eastAsia="TimesNewRoman,Italic"/>
          <w:i/>
          <w:iCs/>
          <w:noProof/>
        </w:rPr>
        <w:t>Coccidioides immitis</w:t>
      </w:r>
      <w:r w:rsidRPr="003B679E">
        <w:rPr>
          <w:noProof/>
        </w:rPr>
        <w:t xml:space="preserve">, </w:t>
      </w:r>
      <w:r w:rsidRPr="003B679E">
        <w:rPr>
          <w:rFonts w:eastAsia="TimesNewRoman,Italic"/>
          <w:i/>
          <w:iCs/>
          <w:noProof/>
        </w:rPr>
        <w:t>Conidiobolus coronatus</w:t>
      </w:r>
      <w:r w:rsidRPr="003B679E">
        <w:rPr>
          <w:noProof/>
        </w:rPr>
        <w:t xml:space="preserve">, </w:t>
      </w:r>
      <w:r w:rsidRPr="003B679E">
        <w:rPr>
          <w:rFonts w:eastAsia="TimesNewRoman,Italic"/>
          <w:i/>
          <w:iCs/>
          <w:noProof/>
        </w:rPr>
        <w:t>Cryptococcus neoformans</w:t>
      </w:r>
      <w:r w:rsidRPr="003B679E">
        <w:rPr>
          <w:noProof/>
        </w:rPr>
        <w:t>,</w:t>
      </w:r>
      <w:r w:rsidRPr="003B679E">
        <w:rPr>
          <w:rFonts w:eastAsia="TimesNewRoman,Italic"/>
          <w:i/>
          <w:iCs/>
          <w:noProof/>
        </w:rPr>
        <w:t xml:space="preserve"> Exserohilum rostratum</w:t>
      </w:r>
      <w:r w:rsidRPr="003B679E">
        <w:rPr>
          <w:noProof/>
        </w:rPr>
        <w:t xml:space="preserve">, </w:t>
      </w:r>
      <w:r w:rsidRPr="003B679E">
        <w:rPr>
          <w:rFonts w:eastAsia="TimesNewRoman,Italic"/>
          <w:i/>
          <w:iCs/>
          <w:noProof/>
        </w:rPr>
        <w:t>Exophiala spinifera</w:t>
      </w:r>
      <w:r w:rsidRPr="003B679E">
        <w:rPr>
          <w:noProof/>
        </w:rPr>
        <w:t xml:space="preserve">, </w:t>
      </w:r>
      <w:r w:rsidRPr="003B679E">
        <w:rPr>
          <w:rFonts w:eastAsia="TimesNewRoman,Italic"/>
          <w:i/>
          <w:iCs/>
          <w:noProof/>
        </w:rPr>
        <w:t>Fonsecaea pedrosoi</w:t>
      </w:r>
      <w:r w:rsidRPr="003B679E">
        <w:rPr>
          <w:noProof/>
        </w:rPr>
        <w:t xml:space="preserve">, </w:t>
      </w:r>
      <w:r w:rsidRPr="003B679E">
        <w:rPr>
          <w:rFonts w:eastAsia="TimesNewRoman,Italic"/>
          <w:i/>
          <w:iCs/>
          <w:noProof/>
        </w:rPr>
        <w:t>Madurella mycetomatis</w:t>
      </w:r>
      <w:r w:rsidRPr="003B679E">
        <w:rPr>
          <w:noProof/>
        </w:rPr>
        <w:t xml:space="preserve">, </w:t>
      </w:r>
      <w:r w:rsidRPr="003B679E">
        <w:rPr>
          <w:rFonts w:eastAsia="TimesNewRoman,Italic"/>
          <w:i/>
          <w:iCs/>
          <w:noProof/>
        </w:rPr>
        <w:t>Paecilomyces lilacinus</w:t>
      </w:r>
      <w:r w:rsidRPr="003B679E">
        <w:rPr>
          <w:noProof/>
        </w:rPr>
        <w:t xml:space="preserve">, </w:t>
      </w:r>
      <w:r w:rsidR="007D21E2">
        <w:rPr>
          <w:noProof/>
        </w:rPr>
        <w:t>druh</w:t>
      </w:r>
      <w:r w:rsidRPr="003B679E">
        <w:rPr>
          <w:noProof/>
        </w:rPr>
        <w:t xml:space="preserve">u </w:t>
      </w:r>
      <w:r w:rsidRPr="003B679E">
        <w:rPr>
          <w:rFonts w:eastAsia="TimesNewRoman,Italic"/>
          <w:i/>
          <w:iCs/>
          <w:noProof/>
        </w:rPr>
        <w:t xml:space="preserve">Penicillium </w:t>
      </w:r>
      <w:r w:rsidRPr="003B679E">
        <w:rPr>
          <w:noProof/>
        </w:rPr>
        <w:t xml:space="preserve">vrátane </w:t>
      </w:r>
      <w:r w:rsidRPr="003B679E">
        <w:rPr>
          <w:rFonts w:eastAsia="TimesNewRoman,Italic"/>
          <w:i/>
          <w:iCs/>
          <w:noProof/>
        </w:rPr>
        <w:t>P. marneffei</w:t>
      </w:r>
      <w:r w:rsidRPr="003B679E">
        <w:rPr>
          <w:noProof/>
        </w:rPr>
        <w:t xml:space="preserve">, </w:t>
      </w:r>
      <w:r w:rsidRPr="003B679E">
        <w:rPr>
          <w:rFonts w:eastAsia="TimesNewRoman,Italic"/>
          <w:i/>
          <w:iCs/>
          <w:noProof/>
        </w:rPr>
        <w:t>Phialophora richardsiae</w:t>
      </w:r>
      <w:r w:rsidRPr="003B679E">
        <w:rPr>
          <w:noProof/>
        </w:rPr>
        <w:t xml:space="preserve">, </w:t>
      </w:r>
      <w:r w:rsidRPr="003B679E">
        <w:rPr>
          <w:rFonts w:eastAsia="TimesNewRoman,Italic"/>
          <w:i/>
          <w:iCs/>
          <w:noProof/>
        </w:rPr>
        <w:t xml:space="preserve">Scopulariopsis brevicaulis </w:t>
      </w:r>
      <w:r w:rsidRPr="003B679E">
        <w:rPr>
          <w:noProof/>
        </w:rPr>
        <w:t>a </w:t>
      </w:r>
      <w:r w:rsidR="007D21E2">
        <w:rPr>
          <w:noProof/>
        </w:rPr>
        <w:t>druh</w:t>
      </w:r>
      <w:r w:rsidRPr="003B679E">
        <w:rPr>
          <w:noProof/>
        </w:rPr>
        <w:t xml:space="preserve">u </w:t>
      </w:r>
      <w:r w:rsidRPr="003B679E">
        <w:rPr>
          <w:rFonts w:eastAsia="TimesNewRoman,Italic"/>
          <w:i/>
          <w:iCs/>
          <w:noProof/>
        </w:rPr>
        <w:t xml:space="preserve">Trichosporon </w:t>
      </w:r>
      <w:r w:rsidRPr="003B679E">
        <w:rPr>
          <w:noProof/>
        </w:rPr>
        <w:t xml:space="preserve">vrátane </w:t>
      </w:r>
      <w:r w:rsidRPr="003B679E">
        <w:rPr>
          <w:rFonts w:eastAsia="TimesNewRoman,Italic"/>
          <w:i/>
          <w:iCs/>
          <w:noProof/>
        </w:rPr>
        <w:t>T. beigelii</w:t>
      </w:r>
      <w:r w:rsidRPr="003B679E">
        <w:rPr>
          <w:noProof/>
        </w:rPr>
        <w:t>.</w:t>
      </w:r>
    </w:p>
    <w:p w:rsidR="007D21E2" w:rsidRPr="003B679E" w:rsidRDefault="007D21E2" w:rsidP="004F6A00">
      <w:pPr>
        <w:pStyle w:val="Normlndobloku"/>
        <w:rPr>
          <w:noProof/>
        </w:rPr>
      </w:pPr>
    </w:p>
    <w:p w:rsidR="00A72EBA" w:rsidRPr="003B679E" w:rsidRDefault="00A72EBA" w:rsidP="004F6A00">
      <w:pPr>
        <w:pStyle w:val="Normlndobloku"/>
        <w:rPr>
          <w:noProof/>
        </w:rPr>
      </w:pPr>
      <w:r w:rsidRPr="003B679E">
        <w:rPr>
          <w:rFonts w:eastAsia="TimesNewRoman,Italic"/>
          <w:i/>
          <w:iCs/>
          <w:noProof/>
        </w:rPr>
        <w:t xml:space="preserve">In vitro </w:t>
      </w:r>
      <w:r w:rsidRPr="003B679E">
        <w:rPr>
          <w:noProof/>
        </w:rPr>
        <w:t>sa pozorovala aktivita u nasled</w:t>
      </w:r>
      <w:r w:rsidR="007D21E2">
        <w:rPr>
          <w:noProof/>
        </w:rPr>
        <w:t>ovných</w:t>
      </w:r>
      <w:r w:rsidRPr="003B679E">
        <w:rPr>
          <w:noProof/>
        </w:rPr>
        <w:t xml:space="preserve"> klinicky izolovaných druhov </w:t>
      </w:r>
      <w:r w:rsidRPr="003B679E">
        <w:rPr>
          <w:rFonts w:eastAsia="TimesNewRoman,Italic"/>
          <w:i/>
          <w:iCs/>
          <w:noProof/>
        </w:rPr>
        <w:t>Acremonium</w:t>
      </w:r>
      <w:r w:rsidRPr="003B679E">
        <w:rPr>
          <w:noProof/>
        </w:rPr>
        <w:t xml:space="preserve">, </w:t>
      </w:r>
      <w:r w:rsidRPr="003B679E">
        <w:rPr>
          <w:rFonts w:eastAsia="TimesNewRoman,Italic"/>
          <w:i/>
          <w:iCs/>
          <w:noProof/>
        </w:rPr>
        <w:t>Alternaria</w:t>
      </w:r>
      <w:r w:rsidRPr="003B679E">
        <w:rPr>
          <w:noProof/>
        </w:rPr>
        <w:t xml:space="preserve">, </w:t>
      </w:r>
      <w:r w:rsidRPr="003B679E">
        <w:rPr>
          <w:rFonts w:eastAsia="TimesNewRoman,Italic"/>
          <w:i/>
          <w:iCs/>
          <w:noProof/>
        </w:rPr>
        <w:t>Bipolaris</w:t>
      </w:r>
      <w:r w:rsidRPr="003B679E">
        <w:rPr>
          <w:noProof/>
        </w:rPr>
        <w:t xml:space="preserve">, </w:t>
      </w:r>
      <w:r w:rsidRPr="003B679E">
        <w:rPr>
          <w:rFonts w:eastAsia="TimesNewRoman,Italic"/>
          <w:i/>
          <w:iCs/>
          <w:noProof/>
        </w:rPr>
        <w:t xml:space="preserve">Cladophialophora </w:t>
      </w:r>
      <w:r w:rsidRPr="003B679E">
        <w:rPr>
          <w:noProof/>
        </w:rPr>
        <w:t>a </w:t>
      </w:r>
      <w:r w:rsidRPr="003B679E">
        <w:rPr>
          <w:rFonts w:eastAsia="TimesNewRoman,Italic"/>
          <w:i/>
          <w:iCs/>
          <w:noProof/>
        </w:rPr>
        <w:t>Histoplasma capsulatum</w:t>
      </w:r>
      <w:r w:rsidRPr="003B679E">
        <w:rPr>
          <w:noProof/>
        </w:rPr>
        <w:t>, pričom väčšina kmeňov bola inhibovaná vorikonazolom v rozmedzí koncentrácií od 0,05 do 2 </w:t>
      </w:r>
      <w:r w:rsidR="007D21E2" w:rsidRPr="00F418D6">
        <w:t>µ</w:t>
      </w:r>
      <w:r w:rsidRPr="003B679E">
        <w:rPr>
          <w:noProof/>
        </w:rPr>
        <w:t>g/ml.</w:t>
      </w:r>
    </w:p>
    <w:p w:rsidR="00A72EBA" w:rsidRDefault="00A72EBA" w:rsidP="004F6A00">
      <w:pPr>
        <w:pStyle w:val="Normlndobloku"/>
        <w:rPr>
          <w:rFonts w:eastAsia="TimesNewRoman,Italic"/>
          <w:i/>
          <w:iCs/>
          <w:noProof/>
        </w:rPr>
      </w:pPr>
      <w:r w:rsidRPr="003B679E">
        <w:rPr>
          <w:rFonts w:eastAsia="TimesNewRoman,Italic"/>
          <w:i/>
          <w:iCs/>
          <w:noProof/>
        </w:rPr>
        <w:t xml:space="preserve">In vitro </w:t>
      </w:r>
      <w:r w:rsidRPr="003B679E">
        <w:rPr>
          <w:noProof/>
        </w:rPr>
        <w:t>sa potvrdila aktivita voči nasled</w:t>
      </w:r>
      <w:r w:rsidR="00276ED8">
        <w:rPr>
          <w:noProof/>
        </w:rPr>
        <w:t>ovným</w:t>
      </w:r>
      <w:r w:rsidRPr="003B679E">
        <w:rPr>
          <w:noProof/>
        </w:rPr>
        <w:t xml:space="preserve"> patogénom, ale nie je známa klinická významnosť: </w:t>
      </w:r>
      <w:r w:rsidRPr="003B679E">
        <w:rPr>
          <w:rFonts w:eastAsia="TimesNewRoman,Italic"/>
          <w:i/>
          <w:iCs/>
          <w:noProof/>
        </w:rPr>
        <w:t xml:space="preserve">Curvularia spp. </w:t>
      </w:r>
      <w:r w:rsidRPr="003B679E">
        <w:rPr>
          <w:noProof/>
        </w:rPr>
        <w:t>a </w:t>
      </w:r>
      <w:r w:rsidRPr="003B679E">
        <w:rPr>
          <w:rFonts w:eastAsia="TimesNewRoman,Italic"/>
          <w:i/>
          <w:iCs/>
          <w:noProof/>
        </w:rPr>
        <w:t>Sporothrix spp.</w:t>
      </w:r>
    </w:p>
    <w:p w:rsidR="002A2429" w:rsidRPr="003B679E" w:rsidRDefault="002A2429" w:rsidP="004F6A00">
      <w:pPr>
        <w:pStyle w:val="Normlndobloku"/>
        <w:rPr>
          <w:noProof/>
        </w:rPr>
      </w:pPr>
    </w:p>
    <w:p w:rsidR="00A72EBA" w:rsidRPr="004B210D" w:rsidRDefault="00A72EBA" w:rsidP="004F6A00">
      <w:pPr>
        <w:pStyle w:val="Styl3"/>
        <w:rPr>
          <w:noProof/>
        </w:rPr>
      </w:pPr>
      <w:r w:rsidRPr="004B210D">
        <w:rPr>
          <w:noProof/>
        </w:rPr>
        <w:t>Hraničné hodnoty</w:t>
      </w:r>
    </w:p>
    <w:p w:rsidR="00876B72" w:rsidRDefault="00A72EBA" w:rsidP="00A45256">
      <w:pPr>
        <w:pStyle w:val="Normlndobloku"/>
        <w:rPr>
          <w:noProof/>
        </w:rPr>
      </w:pPr>
      <w:r w:rsidRPr="003B679E">
        <w:rPr>
          <w:noProof/>
        </w:rPr>
        <w:t>Vzorky pre myko</w:t>
      </w:r>
      <w:r w:rsidR="0068081D">
        <w:rPr>
          <w:noProof/>
        </w:rPr>
        <w:t>ti</w:t>
      </w:r>
      <w:r w:rsidRPr="003B679E">
        <w:rPr>
          <w:noProof/>
        </w:rPr>
        <w:t xml:space="preserve">cké kultivačné vyšetrenie, ako i ďalšie </w:t>
      </w:r>
      <w:r w:rsidR="00133AF1">
        <w:rPr>
          <w:noProof/>
        </w:rPr>
        <w:t xml:space="preserve">relevantné </w:t>
      </w:r>
      <w:r w:rsidRPr="003B679E">
        <w:rPr>
          <w:noProof/>
        </w:rPr>
        <w:t>laboratórne vyšetrenia (sérológia, histopatológia) sa musia vykonať pred začiatkom liečby, aby sa mohli izolovať a identifikovať pôvodcovia infekcie. Liečba sa môže začať aj pred získaním výsledk</w:t>
      </w:r>
      <w:r w:rsidR="006A0390">
        <w:rPr>
          <w:noProof/>
        </w:rPr>
        <w:t>ov z</w:t>
      </w:r>
      <w:r w:rsidRPr="003B679E">
        <w:rPr>
          <w:noProof/>
        </w:rPr>
        <w:t xml:space="preserve"> kultiváci</w:t>
      </w:r>
      <w:r w:rsidR="008F6A0D">
        <w:rPr>
          <w:noProof/>
        </w:rPr>
        <w:t>í</w:t>
      </w:r>
      <w:r w:rsidRPr="003B679E">
        <w:rPr>
          <w:noProof/>
        </w:rPr>
        <w:t xml:space="preserve"> a ďalších laboratórnych </w:t>
      </w:r>
      <w:r w:rsidR="00DC4322">
        <w:rPr>
          <w:rFonts w:eastAsia="TimesNewRoman,Italic"/>
          <w:noProof/>
        </w:rPr>
        <w:t>vyšetrení,</w:t>
      </w:r>
      <w:r w:rsidR="008F6A0D">
        <w:rPr>
          <w:rFonts w:eastAsia="TimesNewRoman,Italic"/>
          <w:noProof/>
        </w:rPr>
        <w:t xml:space="preserve"> </w:t>
      </w:r>
      <w:r w:rsidRPr="003B679E">
        <w:rPr>
          <w:noProof/>
        </w:rPr>
        <w:t>avšak po ich získaní sa má antiinfekčná liečba upraviť podľa výsled</w:t>
      </w:r>
      <w:r w:rsidR="00A2025E">
        <w:rPr>
          <w:noProof/>
        </w:rPr>
        <w:t>kov</w:t>
      </w:r>
      <w:r w:rsidR="00876B72">
        <w:rPr>
          <w:noProof/>
        </w:rPr>
        <w:t>.</w:t>
      </w:r>
    </w:p>
    <w:p w:rsidR="00A72EBA" w:rsidRPr="003B679E" w:rsidRDefault="00A72EBA" w:rsidP="004644D9">
      <w:pPr>
        <w:pStyle w:val="Normlndobloku"/>
        <w:rPr>
          <w:noProof/>
        </w:rPr>
      </w:pPr>
    </w:p>
    <w:p w:rsidR="00A72EBA" w:rsidRDefault="00A72EBA" w:rsidP="004F6A00">
      <w:pPr>
        <w:pStyle w:val="Normlndobloku"/>
        <w:rPr>
          <w:noProof/>
        </w:rPr>
      </w:pPr>
      <w:r w:rsidRPr="003B679E">
        <w:rPr>
          <w:noProof/>
        </w:rPr>
        <w:lastRenderedPageBreak/>
        <w:t xml:space="preserve">Druhy najčastejšie zapríčiňujúce infekcie u ľudí zahŕňajú </w:t>
      </w:r>
      <w:r w:rsidRPr="003B679E">
        <w:rPr>
          <w:rFonts w:eastAsia="TimesNewRoman,Italic"/>
          <w:i/>
          <w:iCs/>
          <w:noProof/>
        </w:rPr>
        <w:t xml:space="preserve">C. albicans, C. parapsilosis, C. tropicalis, C. glabrata </w:t>
      </w:r>
      <w:r w:rsidRPr="003B679E">
        <w:rPr>
          <w:noProof/>
        </w:rPr>
        <w:t>a </w:t>
      </w:r>
      <w:r w:rsidRPr="003B679E">
        <w:rPr>
          <w:rFonts w:eastAsia="TimesNewRoman,Italic"/>
          <w:i/>
          <w:iCs/>
          <w:noProof/>
        </w:rPr>
        <w:t>C. krusei</w:t>
      </w:r>
      <w:r w:rsidRPr="003B679E">
        <w:rPr>
          <w:noProof/>
        </w:rPr>
        <w:t>.</w:t>
      </w:r>
      <w:r w:rsidR="00DC4322">
        <w:rPr>
          <w:noProof/>
        </w:rPr>
        <w:t>, pre ktoré sú m</w:t>
      </w:r>
      <w:r w:rsidRPr="003B679E">
        <w:rPr>
          <w:noProof/>
        </w:rPr>
        <w:t>inimálne inhibičné koncentrácie (MIC) vorikonazolu zvyčajne nižšie ako 1 mg/l.</w:t>
      </w:r>
    </w:p>
    <w:p w:rsidR="00AE3D88" w:rsidRPr="003B679E" w:rsidRDefault="00AE3D88" w:rsidP="004F6A00">
      <w:pPr>
        <w:pStyle w:val="Normlndobloku"/>
        <w:rPr>
          <w:noProof/>
        </w:rPr>
      </w:pPr>
    </w:p>
    <w:p w:rsidR="00A72EBA" w:rsidRDefault="00A72EBA" w:rsidP="004F6A00">
      <w:pPr>
        <w:pStyle w:val="Normlndobloku"/>
        <w:rPr>
          <w:noProof/>
        </w:rPr>
      </w:pPr>
      <w:r w:rsidRPr="003B679E">
        <w:rPr>
          <w:noProof/>
        </w:rPr>
        <w:t xml:space="preserve">Avšak </w:t>
      </w:r>
      <w:r w:rsidRPr="003B679E">
        <w:rPr>
          <w:rFonts w:eastAsia="TimesNewRoman,Italic"/>
          <w:i/>
          <w:iCs/>
          <w:noProof/>
        </w:rPr>
        <w:t xml:space="preserve">in vitro </w:t>
      </w:r>
      <w:r w:rsidRPr="003B679E">
        <w:rPr>
          <w:noProof/>
        </w:rPr>
        <w:t xml:space="preserve">aktivita vorikonazolu voči druhom </w:t>
      </w:r>
      <w:r w:rsidRPr="003B679E">
        <w:rPr>
          <w:rFonts w:eastAsia="TimesNewRoman,Italic"/>
          <w:i/>
          <w:iCs/>
          <w:noProof/>
        </w:rPr>
        <w:t xml:space="preserve">Candida </w:t>
      </w:r>
      <w:r w:rsidRPr="003B679E">
        <w:rPr>
          <w:noProof/>
        </w:rPr>
        <w:t xml:space="preserve">nie je jednotná. Konkrétne v prípade </w:t>
      </w:r>
      <w:r w:rsidRPr="003B679E">
        <w:rPr>
          <w:rFonts w:eastAsia="TimesNewRoman,Italic"/>
          <w:i/>
          <w:iCs/>
          <w:noProof/>
        </w:rPr>
        <w:t xml:space="preserve">C. glabrata </w:t>
      </w:r>
      <w:r w:rsidRPr="003B679E">
        <w:rPr>
          <w:noProof/>
        </w:rPr>
        <w:t xml:space="preserve">sú MIC vorikonazolu pre izoláty rezistentné na flukonazol úmerne vyššie ako MIC pre izoláty citlivé na flukonazol. Preto je potrebné pokúsiť sa náležite identifikovať </w:t>
      </w:r>
      <w:r w:rsidRPr="003B679E">
        <w:rPr>
          <w:rFonts w:eastAsia="TimesNewRoman,Italic"/>
          <w:i/>
          <w:iCs/>
          <w:noProof/>
        </w:rPr>
        <w:t xml:space="preserve">Candidu </w:t>
      </w:r>
      <w:r w:rsidRPr="003B679E">
        <w:rPr>
          <w:noProof/>
        </w:rPr>
        <w:t>až na úroveň druhu. Ak je dostupné testovanie antimykotickej citlivosti, môžu sa výsledky MIC interpretovať pomocou kritérií pre</w:t>
      </w:r>
      <w:r w:rsidR="00423F9C">
        <w:rPr>
          <w:noProof/>
        </w:rPr>
        <w:t> </w:t>
      </w:r>
      <w:r w:rsidRPr="003B679E">
        <w:rPr>
          <w:noProof/>
        </w:rPr>
        <w:t>hraničné hodnoty stanovené Európskym výborom pre testovanie antimikrobiálnej citlivosti (EUCAST).</w:t>
      </w:r>
    </w:p>
    <w:p w:rsidR="00833F48" w:rsidRPr="003B679E" w:rsidRDefault="00833F48" w:rsidP="004F6A00">
      <w:pPr>
        <w:pStyle w:val="Normlndobloku"/>
        <w:rPr>
          <w:noProof/>
        </w:rPr>
      </w:pPr>
    </w:p>
    <w:p w:rsidR="00A72EBA" w:rsidRPr="004B210D" w:rsidRDefault="00A72EBA" w:rsidP="004F6A00">
      <w:pPr>
        <w:pStyle w:val="Styl3"/>
        <w:rPr>
          <w:noProof/>
        </w:rPr>
      </w:pPr>
      <w:r w:rsidRPr="004B210D">
        <w:rPr>
          <w:noProof/>
        </w:rPr>
        <w:t>Hraničné hodnoty podľa EUCAST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A72EBA" w:rsidRPr="00D32133" w:rsidTr="0019731D">
        <w:tc>
          <w:tcPr>
            <w:tcW w:w="3070" w:type="dxa"/>
            <w:vMerge w:val="restart"/>
            <w:shd w:val="clear" w:color="auto" w:fill="auto"/>
          </w:tcPr>
          <w:p w:rsidR="00A72EBA" w:rsidRPr="00D32133" w:rsidRDefault="00A72EBA" w:rsidP="00CD060E">
            <w:pPr>
              <w:autoSpaceDE w:val="0"/>
              <w:autoSpaceDN w:val="0"/>
              <w:adjustRightInd w:val="0"/>
              <w:rPr>
                <w:rFonts w:eastAsia="TimesNewRoman,Bold"/>
                <w:b/>
                <w:bCs/>
                <w:noProof/>
                <w:szCs w:val="22"/>
                <w:lang w:val="sk-SK"/>
              </w:rPr>
            </w:pPr>
          </w:p>
          <w:p w:rsidR="00A72EBA" w:rsidRPr="00E70B7A" w:rsidRDefault="00A72EBA" w:rsidP="00D32133">
            <w:pPr>
              <w:autoSpaceDE w:val="0"/>
              <w:autoSpaceDN w:val="0"/>
              <w:adjustRightInd w:val="0"/>
              <w:rPr>
                <w:rFonts w:eastAsia="TimesNewRoman"/>
                <w:noProof/>
                <w:szCs w:val="22"/>
                <w:lang w:val="sk-SK"/>
              </w:rPr>
            </w:pPr>
            <w:r w:rsidRPr="00CB3225">
              <w:rPr>
                <w:rFonts w:eastAsia="TimesNewRoman,Bold"/>
                <w:b/>
                <w:bCs/>
                <w:noProof/>
                <w:szCs w:val="22"/>
                <w:lang w:val="sk-SK"/>
              </w:rPr>
              <w:t>Druhy Candida</w:t>
            </w:r>
          </w:p>
        </w:tc>
        <w:tc>
          <w:tcPr>
            <w:tcW w:w="6142" w:type="dxa"/>
            <w:gridSpan w:val="2"/>
            <w:shd w:val="clear" w:color="auto" w:fill="auto"/>
          </w:tcPr>
          <w:p w:rsidR="00A72EBA" w:rsidRPr="003B679E" w:rsidRDefault="00A72EBA">
            <w:pPr>
              <w:autoSpaceDE w:val="0"/>
              <w:autoSpaceDN w:val="0"/>
              <w:adjustRightInd w:val="0"/>
              <w:rPr>
                <w:rFonts w:eastAsia="TimesNewRoman"/>
                <w:noProof/>
                <w:szCs w:val="22"/>
                <w:lang w:val="sk-SK"/>
              </w:rPr>
            </w:pPr>
            <w:r w:rsidRPr="003B679E">
              <w:rPr>
                <w:rFonts w:eastAsia="TimesNewRoman,Bold"/>
                <w:b/>
                <w:bCs/>
                <w:noProof/>
                <w:szCs w:val="22"/>
                <w:lang w:val="sk-SK"/>
              </w:rPr>
              <w:t>Hraničné hodnoty MIC (mg/l)</w:t>
            </w:r>
          </w:p>
        </w:tc>
      </w:tr>
      <w:tr w:rsidR="00A72EBA" w:rsidRPr="00D32133" w:rsidTr="0019731D">
        <w:tc>
          <w:tcPr>
            <w:tcW w:w="3070" w:type="dxa"/>
            <w:vMerge/>
            <w:shd w:val="clear" w:color="auto" w:fill="auto"/>
          </w:tcPr>
          <w:p w:rsidR="00A72EBA" w:rsidRPr="003B679E" w:rsidRDefault="00A72EBA">
            <w:pPr>
              <w:autoSpaceDE w:val="0"/>
              <w:autoSpaceDN w:val="0"/>
              <w:adjustRightInd w:val="0"/>
              <w:rPr>
                <w:rFonts w:eastAsia="TimesNewRoman"/>
                <w:noProof/>
                <w:szCs w:val="22"/>
                <w:lang w:val="sk-SK"/>
              </w:rPr>
            </w:pPr>
          </w:p>
        </w:tc>
        <w:tc>
          <w:tcPr>
            <w:tcW w:w="3071" w:type="dxa"/>
            <w:shd w:val="clear" w:color="auto" w:fill="auto"/>
          </w:tcPr>
          <w:p w:rsidR="00A72EBA" w:rsidRPr="003B679E" w:rsidRDefault="00A72EBA">
            <w:pPr>
              <w:autoSpaceDE w:val="0"/>
              <w:autoSpaceDN w:val="0"/>
              <w:adjustRightInd w:val="0"/>
              <w:rPr>
                <w:rFonts w:eastAsia="TimesNewRoman"/>
                <w:noProof/>
                <w:szCs w:val="22"/>
                <w:lang w:val="sk-SK"/>
              </w:rPr>
            </w:pPr>
            <w:r w:rsidRPr="003B679E">
              <w:rPr>
                <w:rFonts w:eastAsia="TimesNewRoman,Bold"/>
                <w:b/>
                <w:bCs/>
                <w:noProof/>
                <w:szCs w:val="22"/>
                <w:lang w:val="sk-SK"/>
              </w:rPr>
              <w:t>≤ C (citlivé)</w:t>
            </w:r>
          </w:p>
        </w:tc>
        <w:tc>
          <w:tcPr>
            <w:tcW w:w="3071" w:type="dxa"/>
            <w:shd w:val="clear" w:color="auto" w:fill="auto"/>
          </w:tcPr>
          <w:p w:rsidR="00A72EBA" w:rsidRPr="003B679E" w:rsidRDefault="00A72EBA">
            <w:pPr>
              <w:autoSpaceDE w:val="0"/>
              <w:autoSpaceDN w:val="0"/>
              <w:adjustRightInd w:val="0"/>
              <w:rPr>
                <w:rFonts w:eastAsia="TimesNewRoman"/>
                <w:noProof/>
                <w:szCs w:val="22"/>
                <w:lang w:val="sk-SK"/>
              </w:rPr>
            </w:pPr>
            <w:r w:rsidRPr="003B679E">
              <w:rPr>
                <w:rFonts w:eastAsia="TimesNewRoman,Bold"/>
                <w:b/>
                <w:bCs/>
                <w:noProof/>
                <w:szCs w:val="22"/>
                <w:lang w:val="sk-SK"/>
              </w:rPr>
              <w:t>&gt; R (rezistentné)</w:t>
            </w:r>
          </w:p>
        </w:tc>
      </w:tr>
      <w:tr w:rsidR="00A72EBA" w:rsidRPr="00D32133" w:rsidTr="0019731D">
        <w:tc>
          <w:tcPr>
            <w:tcW w:w="3070" w:type="dxa"/>
            <w:shd w:val="clear" w:color="auto" w:fill="auto"/>
          </w:tcPr>
          <w:p w:rsidR="00A72EBA" w:rsidRPr="00E70B7A"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Candida albicans</w:t>
            </w:r>
            <w:r w:rsidRPr="00CB3225">
              <w:rPr>
                <w:rFonts w:eastAsia="TimesNewRoman,Italic"/>
                <w:i/>
                <w:iCs/>
                <w:noProof/>
                <w:szCs w:val="22"/>
                <w:vertAlign w:val="superscript"/>
                <w:lang w:val="sk-SK"/>
              </w:rPr>
              <w:t>1</w:t>
            </w:r>
          </w:p>
        </w:tc>
        <w:tc>
          <w:tcPr>
            <w:tcW w:w="3071" w:type="dxa"/>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0,125</w:t>
            </w:r>
          </w:p>
        </w:tc>
        <w:tc>
          <w:tcPr>
            <w:tcW w:w="3071" w:type="dxa"/>
            <w:shd w:val="clear" w:color="auto" w:fill="auto"/>
          </w:tcPr>
          <w:p w:rsidR="00A72EBA" w:rsidRPr="00D32133" w:rsidRDefault="00A72EBA">
            <w:pPr>
              <w:autoSpaceDE w:val="0"/>
              <w:autoSpaceDN w:val="0"/>
              <w:adjustRightInd w:val="0"/>
              <w:rPr>
                <w:rFonts w:eastAsia="TimesNewRoman"/>
                <w:noProof/>
                <w:szCs w:val="22"/>
                <w:lang w:val="sk-SK"/>
              </w:rPr>
            </w:pPr>
            <w:r w:rsidRPr="00D32133">
              <w:rPr>
                <w:rFonts w:eastAsia="TimesNewRoman"/>
                <w:noProof/>
                <w:szCs w:val="22"/>
                <w:lang w:val="sk-SK"/>
              </w:rPr>
              <w:t>0,125</w:t>
            </w:r>
          </w:p>
        </w:tc>
      </w:tr>
      <w:tr w:rsidR="00A72EBA" w:rsidRPr="00D32133" w:rsidTr="0019731D">
        <w:tc>
          <w:tcPr>
            <w:tcW w:w="3070" w:type="dxa"/>
            <w:shd w:val="clear" w:color="auto" w:fill="auto"/>
          </w:tcPr>
          <w:p w:rsidR="00A72EBA" w:rsidRPr="00E70B7A"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Candida tropicalis</w:t>
            </w:r>
            <w:r w:rsidRPr="00CB3225">
              <w:rPr>
                <w:rFonts w:eastAsia="TimesNewRoman,Italic"/>
                <w:i/>
                <w:iCs/>
                <w:noProof/>
                <w:szCs w:val="22"/>
                <w:vertAlign w:val="superscript"/>
                <w:lang w:val="sk-SK"/>
              </w:rPr>
              <w:t>1</w:t>
            </w:r>
          </w:p>
        </w:tc>
        <w:tc>
          <w:tcPr>
            <w:tcW w:w="3071" w:type="dxa"/>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0,125</w:t>
            </w:r>
          </w:p>
        </w:tc>
        <w:tc>
          <w:tcPr>
            <w:tcW w:w="3071" w:type="dxa"/>
            <w:shd w:val="clear" w:color="auto" w:fill="auto"/>
          </w:tcPr>
          <w:p w:rsidR="00A72EBA" w:rsidRPr="00D32133" w:rsidRDefault="00A72EBA">
            <w:pPr>
              <w:autoSpaceDE w:val="0"/>
              <w:autoSpaceDN w:val="0"/>
              <w:adjustRightInd w:val="0"/>
              <w:rPr>
                <w:rFonts w:eastAsia="TimesNewRoman"/>
                <w:noProof/>
                <w:szCs w:val="22"/>
                <w:lang w:val="sk-SK"/>
              </w:rPr>
            </w:pPr>
            <w:r w:rsidRPr="00D32133">
              <w:rPr>
                <w:rFonts w:eastAsia="TimesNewRoman"/>
                <w:noProof/>
                <w:szCs w:val="22"/>
                <w:lang w:val="sk-SK"/>
              </w:rPr>
              <w:t>0,125</w:t>
            </w:r>
          </w:p>
        </w:tc>
      </w:tr>
      <w:tr w:rsidR="00A72EBA" w:rsidRPr="00D32133" w:rsidTr="0019731D">
        <w:tc>
          <w:tcPr>
            <w:tcW w:w="3070" w:type="dxa"/>
            <w:shd w:val="clear" w:color="auto" w:fill="auto"/>
          </w:tcPr>
          <w:p w:rsidR="00A72EBA" w:rsidRPr="00E70B7A"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Candida parapsilosis</w:t>
            </w:r>
            <w:r w:rsidRPr="00CB3225">
              <w:rPr>
                <w:rFonts w:eastAsia="TimesNewRoman,Italic"/>
                <w:i/>
                <w:iCs/>
                <w:noProof/>
                <w:szCs w:val="22"/>
                <w:vertAlign w:val="superscript"/>
                <w:lang w:val="sk-SK"/>
              </w:rPr>
              <w:t>1</w:t>
            </w:r>
          </w:p>
        </w:tc>
        <w:tc>
          <w:tcPr>
            <w:tcW w:w="3071" w:type="dxa"/>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0,125</w:t>
            </w:r>
          </w:p>
        </w:tc>
        <w:tc>
          <w:tcPr>
            <w:tcW w:w="3071" w:type="dxa"/>
            <w:shd w:val="clear" w:color="auto" w:fill="auto"/>
          </w:tcPr>
          <w:p w:rsidR="00A72EBA" w:rsidRPr="00D32133" w:rsidRDefault="00A72EBA">
            <w:pPr>
              <w:autoSpaceDE w:val="0"/>
              <w:autoSpaceDN w:val="0"/>
              <w:adjustRightInd w:val="0"/>
              <w:rPr>
                <w:rFonts w:eastAsia="TimesNewRoman"/>
                <w:noProof/>
                <w:szCs w:val="22"/>
                <w:lang w:val="sk-SK"/>
              </w:rPr>
            </w:pPr>
            <w:r w:rsidRPr="00D32133">
              <w:rPr>
                <w:rFonts w:eastAsia="TimesNewRoman"/>
                <w:noProof/>
                <w:szCs w:val="22"/>
                <w:lang w:val="sk-SK"/>
              </w:rPr>
              <w:t>0,125</w:t>
            </w:r>
          </w:p>
        </w:tc>
      </w:tr>
      <w:tr w:rsidR="00A72EBA" w:rsidRPr="00D32133" w:rsidTr="0019731D">
        <w:tc>
          <w:tcPr>
            <w:tcW w:w="3070" w:type="dxa"/>
            <w:shd w:val="clear" w:color="auto" w:fill="auto"/>
          </w:tcPr>
          <w:p w:rsidR="00A72EBA" w:rsidRPr="00E70B7A"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Candida glabrata</w:t>
            </w:r>
            <w:r w:rsidRPr="00CB3225">
              <w:rPr>
                <w:rFonts w:eastAsia="TimesNewRoman,BoldItalic"/>
                <w:bCs/>
                <w:i/>
                <w:iCs/>
                <w:noProof/>
                <w:szCs w:val="22"/>
                <w:vertAlign w:val="superscript"/>
                <w:lang w:val="sk-SK"/>
              </w:rPr>
              <w:t>2</w:t>
            </w:r>
          </w:p>
        </w:tc>
        <w:tc>
          <w:tcPr>
            <w:tcW w:w="6142" w:type="dxa"/>
            <w:gridSpan w:val="2"/>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Nedostatočný dôkaz</w:t>
            </w:r>
          </w:p>
        </w:tc>
      </w:tr>
      <w:tr w:rsidR="00A72EBA" w:rsidRPr="00D32133" w:rsidTr="0019731D">
        <w:tc>
          <w:tcPr>
            <w:tcW w:w="3070" w:type="dxa"/>
            <w:shd w:val="clear" w:color="auto" w:fill="auto"/>
          </w:tcPr>
          <w:p w:rsidR="00A72EBA" w:rsidRPr="00D32133"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 xml:space="preserve">Candida </w:t>
            </w:r>
            <w:r w:rsidRPr="00CB3225">
              <w:rPr>
                <w:rFonts w:eastAsia="TimesNewRoman,Italic"/>
                <w:i/>
                <w:iCs/>
                <w:noProof/>
                <w:szCs w:val="22"/>
                <w:lang w:val="sk-SK"/>
              </w:rPr>
              <w:t>krusei</w:t>
            </w:r>
            <w:r w:rsidRPr="00E70B7A">
              <w:rPr>
                <w:rFonts w:eastAsia="TimesNewRoman,BoldItalic"/>
                <w:bCs/>
                <w:i/>
                <w:iCs/>
                <w:noProof/>
                <w:szCs w:val="22"/>
                <w:vertAlign w:val="superscript"/>
                <w:lang w:val="sk-SK"/>
              </w:rPr>
              <w:t>3</w:t>
            </w:r>
          </w:p>
        </w:tc>
        <w:tc>
          <w:tcPr>
            <w:tcW w:w="6142" w:type="dxa"/>
            <w:gridSpan w:val="2"/>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Nedostatočný dôkaz</w:t>
            </w:r>
          </w:p>
        </w:tc>
      </w:tr>
      <w:tr w:rsidR="00A72EBA" w:rsidRPr="00D32133" w:rsidTr="0019731D">
        <w:tc>
          <w:tcPr>
            <w:tcW w:w="3070" w:type="dxa"/>
            <w:shd w:val="clear" w:color="auto" w:fill="auto"/>
          </w:tcPr>
          <w:p w:rsidR="00A72EBA" w:rsidRPr="00E70B7A" w:rsidRDefault="00A72EBA" w:rsidP="00CD060E">
            <w:pPr>
              <w:autoSpaceDE w:val="0"/>
              <w:autoSpaceDN w:val="0"/>
              <w:adjustRightInd w:val="0"/>
              <w:rPr>
                <w:rFonts w:eastAsia="TimesNewRoman"/>
                <w:noProof/>
                <w:szCs w:val="22"/>
                <w:lang w:val="sk-SK"/>
              </w:rPr>
            </w:pPr>
            <w:r w:rsidRPr="00D32133">
              <w:rPr>
                <w:rFonts w:eastAsia="TimesNewRoman,Italic"/>
                <w:i/>
                <w:iCs/>
                <w:noProof/>
                <w:szCs w:val="22"/>
                <w:lang w:val="sk-SK"/>
              </w:rPr>
              <w:t>Ostatné Candida spp.</w:t>
            </w:r>
            <w:r w:rsidRPr="00CB3225">
              <w:rPr>
                <w:rFonts w:eastAsia="TimesNewRoman,BoldItalic"/>
                <w:bCs/>
                <w:i/>
                <w:iCs/>
                <w:noProof/>
                <w:szCs w:val="22"/>
                <w:vertAlign w:val="superscript"/>
                <w:lang w:val="sk-SK"/>
              </w:rPr>
              <w:t>4</w:t>
            </w:r>
          </w:p>
        </w:tc>
        <w:tc>
          <w:tcPr>
            <w:tcW w:w="6142" w:type="dxa"/>
            <w:gridSpan w:val="2"/>
            <w:shd w:val="clear" w:color="auto" w:fill="auto"/>
          </w:tcPr>
          <w:p w:rsidR="00A72EBA" w:rsidRPr="00D32133" w:rsidRDefault="00A72EBA" w:rsidP="00D32133">
            <w:pPr>
              <w:autoSpaceDE w:val="0"/>
              <w:autoSpaceDN w:val="0"/>
              <w:adjustRightInd w:val="0"/>
              <w:rPr>
                <w:rFonts w:eastAsia="TimesNewRoman"/>
                <w:noProof/>
                <w:szCs w:val="22"/>
                <w:lang w:val="sk-SK"/>
              </w:rPr>
            </w:pPr>
            <w:r w:rsidRPr="00D32133">
              <w:rPr>
                <w:rFonts w:eastAsia="TimesNewRoman"/>
                <w:noProof/>
                <w:szCs w:val="22"/>
                <w:lang w:val="sk-SK"/>
              </w:rPr>
              <w:t>Nedostatočný dôkaz</w:t>
            </w:r>
          </w:p>
        </w:tc>
      </w:tr>
      <w:tr w:rsidR="00A72EBA" w:rsidRPr="00D32133" w:rsidTr="0019731D">
        <w:tc>
          <w:tcPr>
            <w:tcW w:w="9212" w:type="dxa"/>
            <w:gridSpan w:val="3"/>
            <w:shd w:val="clear" w:color="auto" w:fill="auto"/>
          </w:tcPr>
          <w:p w:rsidR="00A72EBA" w:rsidRPr="003B679E" w:rsidRDefault="00A72EBA" w:rsidP="00A45256">
            <w:pPr>
              <w:pStyle w:val="Normlndobloku"/>
              <w:rPr>
                <w:noProof/>
              </w:rPr>
            </w:pPr>
            <w:r w:rsidRPr="003B679E">
              <w:rPr>
                <w:rFonts w:eastAsia="TimesNewRoman,Bold"/>
                <w:bCs/>
                <w:noProof/>
                <w:vertAlign w:val="superscript"/>
              </w:rPr>
              <w:t>1</w:t>
            </w:r>
            <w:r w:rsidRPr="00F418D6">
              <w:t xml:space="preserve"> </w:t>
            </w:r>
            <w:r w:rsidRPr="003B679E">
              <w:rPr>
                <w:noProof/>
              </w:rPr>
              <w:t>Kmene s hodnotami MIC vyššími ako hraničné hodnoty s označením „citlivé (C)” sú zriedkavé alebo ešte nehlásené. Identifikácia a testy na antimikrobiálnu citlivosť každého takéhoto izolátu sa musia opakovať a ak sa výsledok potvrdí, izolát sa má poslať do referenčného laboratória.</w:t>
            </w:r>
          </w:p>
          <w:p w:rsidR="00A72EBA" w:rsidRPr="003B679E" w:rsidRDefault="00A72EBA" w:rsidP="00F76A56">
            <w:pPr>
              <w:pStyle w:val="Normlndobloku"/>
              <w:rPr>
                <w:noProof/>
              </w:rPr>
            </w:pPr>
            <w:r w:rsidRPr="003B679E">
              <w:rPr>
                <w:rFonts w:eastAsia="TimesNewRoman,Bold"/>
                <w:bCs/>
                <w:noProof/>
                <w:vertAlign w:val="superscript"/>
              </w:rPr>
              <w:t>2</w:t>
            </w:r>
            <w:r w:rsidRPr="00F418D6">
              <w:t xml:space="preserve"> </w:t>
            </w:r>
            <w:r w:rsidRPr="003B679E">
              <w:rPr>
                <w:noProof/>
              </w:rPr>
              <w:t xml:space="preserve">V klinických štúdiách bola odpoveď na vorikonazol u pacientov s infekciami spôsobenými </w:t>
            </w:r>
            <w:r w:rsidRPr="003B679E">
              <w:rPr>
                <w:rFonts w:eastAsia="TimesNewRoman,Italic"/>
                <w:i/>
                <w:iCs/>
                <w:noProof/>
              </w:rPr>
              <w:t xml:space="preserve">C. glabrata </w:t>
            </w:r>
            <w:r w:rsidRPr="003B679E">
              <w:rPr>
                <w:noProof/>
              </w:rPr>
              <w:t>o 21 % nižšia v porovnaní s </w:t>
            </w:r>
            <w:r w:rsidRPr="003B679E">
              <w:rPr>
                <w:rFonts w:eastAsia="TimesNewRoman,Italic"/>
                <w:i/>
                <w:iCs/>
                <w:noProof/>
              </w:rPr>
              <w:t xml:space="preserve">C. albicans, C. parapsilosis </w:t>
            </w:r>
            <w:r w:rsidRPr="003B679E">
              <w:rPr>
                <w:rFonts w:eastAsia="TimesNewRoman,Italic"/>
                <w:iCs/>
                <w:noProof/>
              </w:rPr>
              <w:t>a</w:t>
            </w:r>
            <w:r w:rsidRPr="003B679E">
              <w:rPr>
                <w:rFonts w:eastAsia="TimesNewRoman,Italic"/>
                <w:i/>
                <w:iCs/>
                <w:noProof/>
              </w:rPr>
              <w:t> C. tropicalis</w:t>
            </w:r>
            <w:r w:rsidRPr="003B679E">
              <w:rPr>
                <w:noProof/>
              </w:rPr>
              <w:t xml:space="preserve">. Táto znížená odpoveď však nekorelovala so zvýšenými </w:t>
            </w:r>
            <w:r w:rsidR="00D25E9A">
              <w:rPr>
                <w:noProof/>
              </w:rPr>
              <w:t xml:space="preserve">hodnotami </w:t>
            </w:r>
            <w:r w:rsidRPr="003B679E">
              <w:rPr>
                <w:noProof/>
              </w:rPr>
              <w:t>MIC.</w:t>
            </w:r>
          </w:p>
          <w:p w:rsidR="00A72EBA" w:rsidRPr="003B679E" w:rsidRDefault="00A72EBA" w:rsidP="004644D9">
            <w:pPr>
              <w:pStyle w:val="Normlndobloku"/>
              <w:rPr>
                <w:noProof/>
              </w:rPr>
            </w:pPr>
            <w:r w:rsidRPr="003B679E">
              <w:rPr>
                <w:rFonts w:eastAsia="TimesNewRoman,Bold"/>
                <w:bCs/>
                <w:noProof/>
                <w:vertAlign w:val="superscript"/>
              </w:rPr>
              <w:t>3</w:t>
            </w:r>
            <w:r w:rsidRPr="00F418D6">
              <w:t xml:space="preserve"> </w:t>
            </w:r>
            <w:r w:rsidRPr="003B679E">
              <w:rPr>
                <w:noProof/>
              </w:rPr>
              <w:t xml:space="preserve">V klinických štúdiách bola odpoveď na vorikonazol u infekcií spôsobených </w:t>
            </w:r>
            <w:r w:rsidRPr="003B679E">
              <w:rPr>
                <w:rFonts w:eastAsia="TimesNewRoman,Italic"/>
                <w:i/>
                <w:iCs/>
                <w:noProof/>
              </w:rPr>
              <w:t xml:space="preserve">C. krusei </w:t>
            </w:r>
            <w:r w:rsidRPr="003B679E">
              <w:rPr>
                <w:noProof/>
              </w:rPr>
              <w:t>podobná ako u </w:t>
            </w:r>
            <w:r w:rsidRPr="003B679E">
              <w:rPr>
                <w:rFonts w:eastAsia="TimesNewRoman,Italic"/>
                <w:i/>
                <w:iCs/>
                <w:noProof/>
              </w:rPr>
              <w:t xml:space="preserve">C. albicans, C. parapsilosis </w:t>
            </w:r>
            <w:r w:rsidRPr="003B679E">
              <w:rPr>
                <w:noProof/>
              </w:rPr>
              <w:t>a </w:t>
            </w:r>
            <w:r w:rsidRPr="003B679E">
              <w:rPr>
                <w:rFonts w:eastAsia="TimesNewRoman,Italic"/>
                <w:i/>
                <w:iCs/>
                <w:noProof/>
              </w:rPr>
              <w:t>C. tropicalis</w:t>
            </w:r>
            <w:r w:rsidRPr="003B679E">
              <w:rPr>
                <w:noProof/>
              </w:rPr>
              <w:t xml:space="preserve">. Avšak vzhľadom na to, že pre EUCAST analýzu bolo k dispozícii len 9 prípadov, nie je v súčasnosti dostatočný dôkaz na stanovenie klinických hraničných hodnôt pre </w:t>
            </w:r>
            <w:r w:rsidRPr="003B679E">
              <w:rPr>
                <w:rFonts w:eastAsia="TimesNewRoman,Italic"/>
                <w:i/>
                <w:iCs/>
                <w:noProof/>
              </w:rPr>
              <w:t>C. krusei</w:t>
            </w:r>
            <w:r w:rsidRPr="003B679E">
              <w:rPr>
                <w:noProof/>
              </w:rPr>
              <w:t>.</w:t>
            </w:r>
          </w:p>
          <w:p w:rsidR="00A72EBA" w:rsidRPr="003B679E" w:rsidRDefault="00A72EBA" w:rsidP="004F6A00">
            <w:pPr>
              <w:pStyle w:val="Normlndobloku"/>
              <w:rPr>
                <w:noProof/>
              </w:rPr>
            </w:pPr>
            <w:r w:rsidRPr="003B679E">
              <w:rPr>
                <w:rFonts w:eastAsia="TimesNewRoman,Bold"/>
                <w:bCs/>
                <w:noProof/>
                <w:vertAlign w:val="superscript"/>
              </w:rPr>
              <w:t>4</w:t>
            </w:r>
            <w:r w:rsidRPr="00F418D6">
              <w:t xml:space="preserve"> </w:t>
            </w:r>
            <w:r w:rsidRPr="003B679E">
              <w:rPr>
                <w:noProof/>
              </w:rPr>
              <w:t>EUCAST nestanovil hraničné hodnoty vorikonazolu pre nešpecifikované druhy Candida.</w:t>
            </w:r>
          </w:p>
        </w:tc>
      </w:tr>
    </w:tbl>
    <w:p w:rsidR="00A72EBA" w:rsidRPr="00D32133" w:rsidRDefault="00A72EBA" w:rsidP="00CD060E">
      <w:pPr>
        <w:autoSpaceDE w:val="0"/>
        <w:autoSpaceDN w:val="0"/>
        <w:adjustRightInd w:val="0"/>
        <w:rPr>
          <w:rFonts w:eastAsia="TimesNewRoman"/>
          <w:noProof/>
          <w:szCs w:val="22"/>
          <w:lang w:val="sk-SK"/>
        </w:rPr>
      </w:pPr>
    </w:p>
    <w:p w:rsidR="00A72EBA" w:rsidRPr="004B210D" w:rsidRDefault="00A72EBA" w:rsidP="004F6A00">
      <w:pPr>
        <w:pStyle w:val="Styl3"/>
        <w:rPr>
          <w:noProof/>
        </w:rPr>
      </w:pPr>
      <w:r w:rsidRPr="004B210D">
        <w:rPr>
          <w:noProof/>
        </w:rPr>
        <w:t>Klinické skúsenosti</w:t>
      </w:r>
    </w:p>
    <w:p w:rsidR="00A72EBA" w:rsidRDefault="00A72EBA" w:rsidP="00A45256">
      <w:pPr>
        <w:pStyle w:val="Normlndobloku"/>
        <w:rPr>
          <w:noProof/>
        </w:rPr>
      </w:pPr>
      <w:r w:rsidRPr="003B679E">
        <w:rPr>
          <w:noProof/>
        </w:rPr>
        <w:t>Úspešn</w:t>
      </w:r>
      <w:r w:rsidR="00DF5AE4">
        <w:rPr>
          <w:noProof/>
        </w:rPr>
        <w:t>ý</w:t>
      </w:r>
      <w:r w:rsidRPr="003B679E">
        <w:rPr>
          <w:noProof/>
        </w:rPr>
        <w:t xml:space="preserve"> </w:t>
      </w:r>
      <w:r w:rsidR="00DF5AE4">
        <w:rPr>
          <w:noProof/>
        </w:rPr>
        <w:t>výsledok</w:t>
      </w:r>
      <w:r w:rsidRPr="003B679E">
        <w:rPr>
          <w:noProof/>
        </w:rPr>
        <w:t xml:space="preserve"> v tejto časti je definovaná ako kompletná alebo čiastočná odpoveď.</w:t>
      </w:r>
    </w:p>
    <w:p w:rsidR="00330C20" w:rsidRPr="003B679E" w:rsidRDefault="00330C20" w:rsidP="004644D9">
      <w:pPr>
        <w:pStyle w:val="Normlndobloku"/>
        <w:rPr>
          <w:noProof/>
        </w:rPr>
      </w:pPr>
    </w:p>
    <w:p w:rsidR="00A72EBA" w:rsidRPr="00FF6E72" w:rsidRDefault="00A72EBA" w:rsidP="004F6A00">
      <w:pPr>
        <w:pStyle w:val="Styl3"/>
        <w:rPr>
          <w:noProof/>
        </w:rPr>
      </w:pPr>
      <w:r w:rsidRPr="004B210D">
        <w:rPr>
          <w:noProof/>
        </w:rPr>
        <w:t xml:space="preserve">Infekcie spôsobené hubami </w:t>
      </w:r>
      <w:r w:rsidRPr="004B210D">
        <w:rPr>
          <w:rFonts w:eastAsia="TimesNewRoman,Italic"/>
          <w:i/>
          <w:iCs/>
          <w:noProof/>
        </w:rPr>
        <w:t xml:space="preserve">Aspergillus </w:t>
      </w:r>
      <w:r w:rsidRPr="004B210D">
        <w:rPr>
          <w:noProof/>
        </w:rPr>
        <w:t>– účinnosť u pacientov s aspergilózou so zlou prognózou</w:t>
      </w:r>
    </w:p>
    <w:p w:rsidR="00A72EBA" w:rsidRDefault="00A72EBA" w:rsidP="00A45256">
      <w:pPr>
        <w:pStyle w:val="Normlndobloku"/>
        <w:rPr>
          <w:noProof/>
        </w:rPr>
      </w:pPr>
      <w:r w:rsidRPr="003B679E">
        <w:rPr>
          <w:noProof/>
        </w:rPr>
        <w:t xml:space="preserve">Vorikonazol vykazuje </w:t>
      </w:r>
      <w:r w:rsidRPr="003B679E">
        <w:rPr>
          <w:rFonts w:eastAsia="TimesNewRoman,Italic"/>
          <w:i/>
          <w:iCs/>
          <w:noProof/>
        </w:rPr>
        <w:t xml:space="preserve">in vitro </w:t>
      </w:r>
      <w:r w:rsidRPr="003B679E">
        <w:rPr>
          <w:noProof/>
        </w:rPr>
        <w:t xml:space="preserve">fungicídnu účinnosť voči </w:t>
      </w:r>
      <w:r w:rsidR="00483DBB">
        <w:rPr>
          <w:noProof/>
        </w:rPr>
        <w:t>druh</w:t>
      </w:r>
      <w:r w:rsidRPr="003B679E">
        <w:rPr>
          <w:noProof/>
        </w:rPr>
        <w:t xml:space="preserve">u </w:t>
      </w:r>
      <w:r w:rsidRPr="003B679E">
        <w:rPr>
          <w:rFonts w:eastAsia="TimesNewRoman,Italic"/>
          <w:i/>
          <w:iCs/>
          <w:noProof/>
        </w:rPr>
        <w:t>Aspergillus</w:t>
      </w:r>
      <w:r w:rsidRPr="003B679E">
        <w:rPr>
          <w:noProof/>
        </w:rPr>
        <w:t>. V otvorenej, randomizovanej, multicentrickej štúdii s 277 imunokompromitovanými pacientami liečenými 12 týždňov sa porovnával benefit účinnos</w:t>
      </w:r>
      <w:r w:rsidR="002D6A62">
        <w:rPr>
          <w:noProof/>
        </w:rPr>
        <w:t>ti</w:t>
      </w:r>
      <w:r w:rsidRPr="003B679E">
        <w:rPr>
          <w:noProof/>
        </w:rPr>
        <w:t xml:space="preserve"> a prežívani</w:t>
      </w:r>
      <w:r w:rsidR="002D6A62">
        <w:rPr>
          <w:noProof/>
        </w:rPr>
        <w:t>a</w:t>
      </w:r>
      <w:r w:rsidRPr="003B679E">
        <w:rPr>
          <w:noProof/>
        </w:rPr>
        <w:t xml:space="preserve"> vorikonazolu oproti konvenčnej liečbe amfotericínom B na primárnu liečbu akútnej invazívnej aspergilózy. Vorikonazol sa podával intravenózne so začiatočnou dávkou 6 mg/kg každých 12 hodín počas prvých 24 hodín s následnou udržiavacou dávkou 4 mg/kg každých 12 hodín minimálne počas 7 dní. Potom sa mohlo prejsť na perorálnu liečbu s dávkou 200 mg každých 12 hodín. Stredná dĺžka trvania intravenóznej liečby vorikonazolom bola 10 dní (v rozmedzí 2 – 85 dní). Po</w:t>
      </w:r>
      <w:r w:rsidR="00B0079B">
        <w:rPr>
          <w:noProof/>
        </w:rPr>
        <w:t> </w:t>
      </w:r>
      <w:r w:rsidRPr="003B679E">
        <w:rPr>
          <w:noProof/>
        </w:rPr>
        <w:t>intravenóznej liečbe vorikonazolom, stredná dĺžka trvania perorálnej liečby vorikonazolom bola 76 dní (v rozmedzí 2 – 232 dní).</w:t>
      </w:r>
    </w:p>
    <w:p w:rsidR="0000262C" w:rsidRPr="003B679E" w:rsidRDefault="0000262C" w:rsidP="004644D9">
      <w:pPr>
        <w:pStyle w:val="Normlndobloku"/>
        <w:rPr>
          <w:noProof/>
        </w:rPr>
      </w:pPr>
    </w:p>
    <w:p w:rsidR="00A72EBA" w:rsidRPr="003B679E" w:rsidRDefault="00A72EBA" w:rsidP="004F6A00">
      <w:pPr>
        <w:pStyle w:val="Normlndobloku"/>
        <w:rPr>
          <w:noProof/>
        </w:rPr>
      </w:pPr>
      <w:r w:rsidRPr="003B679E">
        <w:rPr>
          <w:noProof/>
        </w:rPr>
        <w:t>Dostatočná celková odpoveď (úpln</w:t>
      </w:r>
      <w:r w:rsidR="002B5910">
        <w:rPr>
          <w:noProof/>
        </w:rPr>
        <w:t>é</w:t>
      </w:r>
      <w:r w:rsidRPr="003B679E">
        <w:rPr>
          <w:noProof/>
        </w:rPr>
        <w:t xml:space="preserve"> alebo čiastočn</w:t>
      </w:r>
      <w:r w:rsidR="002B5910">
        <w:rPr>
          <w:noProof/>
        </w:rPr>
        <w:t>é</w:t>
      </w:r>
      <w:r w:rsidRPr="003B679E">
        <w:rPr>
          <w:noProof/>
        </w:rPr>
        <w:t xml:space="preserve"> </w:t>
      </w:r>
      <w:r w:rsidR="001411E7">
        <w:rPr>
          <w:noProof/>
        </w:rPr>
        <w:t>vymiznutie</w:t>
      </w:r>
      <w:r w:rsidRPr="003B679E">
        <w:rPr>
          <w:noProof/>
        </w:rPr>
        <w:t xml:space="preserve"> všetkých symptómov a</w:t>
      </w:r>
      <w:r w:rsidR="00A25CE4">
        <w:rPr>
          <w:noProof/>
        </w:rPr>
        <w:t> </w:t>
      </w:r>
      <w:r w:rsidRPr="003B679E">
        <w:rPr>
          <w:noProof/>
        </w:rPr>
        <w:t>prejavov</w:t>
      </w:r>
      <w:r w:rsidR="00A25CE4">
        <w:rPr>
          <w:noProof/>
        </w:rPr>
        <w:t>,</w:t>
      </w:r>
      <w:r w:rsidRPr="003B679E">
        <w:rPr>
          <w:noProof/>
        </w:rPr>
        <w:t xml:space="preserve"> ktoré možno boli pripisované ochoreniu</w:t>
      </w:r>
      <w:r w:rsidR="00012B4D">
        <w:rPr>
          <w:noProof/>
        </w:rPr>
        <w:t>,</w:t>
      </w:r>
      <w:r w:rsidRPr="003B679E">
        <w:rPr>
          <w:noProof/>
        </w:rPr>
        <w:t xml:space="preserve"> i</w:t>
      </w:r>
      <w:r w:rsidRPr="003B679E">
        <w:rPr>
          <w:i/>
          <w:noProof/>
        </w:rPr>
        <w:t> </w:t>
      </w:r>
      <w:r w:rsidRPr="003B679E">
        <w:rPr>
          <w:noProof/>
        </w:rPr>
        <w:t>rádiografických/bronchoskopických abnormalít detegovaných na</w:t>
      </w:r>
      <w:r w:rsidR="00012B4D">
        <w:rPr>
          <w:noProof/>
        </w:rPr>
        <w:t> </w:t>
      </w:r>
      <w:r w:rsidRPr="003B679E">
        <w:rPr>
          <w:noProof/>
        </w:rPr>
        <w:t xml:space="preserve">začiatku) sa pozorovala u 53 % pacientov liečených vorikonazolom v porovnaní </w:t>
      </w:r>
      <w:r w:rsidRPr="003B679E">
        <w:t>s 31</w:t>
      </w:r>
      <w:r w:rsidRPr="003B679E">
        <w:rPr>
          <w:noProof/>
        </w:rPr>
        <w:t xml:space="preserve"> % pacientov liečených porovnávaným liekom. 84-dňový stupeň prežívania pri vorikonazole bol </w:t>
      </w:r>
      <w:r w:rsidR="0005489C">
        <w:rPr>
          <w:noProof/>
        </w:rPr>
        <w:t xml:space="preserve">štatisticky </w:t>
      </w:r>
      <w:r w:rsidRPr="003B679E">
        <w:rPr>
          <w:noProof/>
        </w:rPr>
        <w:t xml:space="preserve">signifikantne vyšší oproti porovnávanému lieku a klinicky a štatisticky signifikantný benefit bol dokázaný v prospech vorikonazolu aj pre časový interval </w:t>
      </w:r>
      <w:r w:rsidR="00412D05">
        <w:rPr>
          <w:noProof/>
        </w:rPr>
        <w:t>d</w:t>
      </w:r>
      <w:r w:rsidRPr="003B679E">
        <w:rPr>
          <w:noProof/>
        </w:rPr>
        <w:t>o smr</w:t>
      </w:r>
      <w:r w:rsidR="00412D05">
        <w:rPr>
          <w:noProof/>
        </w:rPr>
        <w:t>ti</w:t>
      </w:r>
      <w:r w:rsidRPr="003B679E">
        <w:rPr>
          <w:noProof/>
        </w:rPr>
        <w:t xml:space="preserve"> a časový interval </w:t>
      </w:r>
      <w:r w:rsidR="0005489C">
        <w:rPr>
          <w:noProof/>
        </w:rPr>
        <w:t>d</w:t>
      </w:r>
      <w:r w:rsidRPr="003B679E">
        <w:rPr>
          <w:noProof/>
        </w:rPr>
        <w:t>o prerušeni</w:t>
      </w:r>
      <w:r w:rsidR="00C726B1">
        <w:rPr>
          <w:noProof/>
        </w:rPr>
        <w:t>a</w:t>
      </w:r>
      <w:r w:rsidRPr="003B679E">
        <w:rPr>
          <w:noProof/>
        </w:rPr>
        <w:t xml:space="preserve"> liečby z dôvodu toxicity.</w:t>
      </w:r>
    </w:p>
    <w:p w:rsidR="00A72EBA" w:rsidRDefault="00A72EBA" w:rsidP="004F6A00">
      <w:pPr>
        <w:pStyle w:val="Normlndobloku"/>
        <w:rPr>
          <w:noProof/>
        </w:rPr>
      </w:pPr>
      <w:r w:rsidRPr="003B679E">
        <w:rPr>
          <w:noProof/>
        </w:rPr>
        <w:lastRenderedPageBreak/>
        <w:t xml:space="preserve">Táto štúdia potvrdila skoršie zistenia z prospektívnej štúdie, kde sa zistil pozitívny výsledok liečby u pacientov s  rizikovými faktormi nepriaznivej prognózy vrátane </w:t>
      </w:r>
      <w:r w:rsidRPr="00F418D6">
        <w:t>choroby z reakcie štepu proti hostiteľovi</w:t>
      </w:r>
      <w:r w:rsidRPr="003B679E">
        <w:rPr>
          <w:noProof/>
        </w:rPr>
        <w:t xml:space="preserve"> (graft versus host) a predovšetkým infekcií mozgu (za normálnych okolností s takmer 100 % mortalitou).</w:t>
      </w:r>
    </w:p>
    <w:p w:rsidR="00367F3E" w:rsidRPr="003B679E" w:rsidRDefault="00367F3E" w:rsidP="004F6A00">
      <w:pPr>
        <w:pStyle w:val="Normlndobloku"/>
        <w:rPr>
          <w:noProof/>
        </w:rPr>
      </w:pPr>
    </w:p>
    <w:p w:rsidR="00A72EBA" w:rsidRDefault="00A72EBA" w:rsidP="004F6A00">
      <w:pPr>
        <w:pStyle w:val="Normlndobloku"/>
        <w:rPr>
          <w:noProof/>
        </w:rPr>
      </w:pPr>
      <w:r w:rsidRPr="003B679E">
        <w:rPr>
          <w:noProof/>
        </w:rPr>
        <w:t>Štúdie zahrňovali aspergilózu mozgu, sínusov, pľúc a diseminovanú aspergilózu u pacientov po</w:t>
      </w:r>
      <w:r w:rsidR="008E2555">
        <w:rPr>
          <w:noProof/>
        </w:rPr>
        <w:t> </w:t>
      </w:r>
      <w:r w:rsidRPr="003B679E">
        <w:rPr>
          <w:noProof/>
        </w:rPr>
        <w:t>transplantácii kostnej drene a solídnych orgánov, s hematologickými malignitami, rakovinou a AIDS.</w:t>
      </w:r>
    </w:p>
    <w:p w:rsidR="00FA3A75" w:rsidRPr="003B679E" w:rsidRDefault="00FA3A75" w:rsidP="004F6A00">
      <w:pPr>
        <w:pStyle w:val="Normlndobloku"/>
        <w:rPr>
          <w:noProof/>
        </w:rPr>
      </w:pPr>
    </w:p>
    <w:p w:rsidR="00A72EBA" w:rsidRPr="004B210D" w:rsidRDefault="00A72EBA" w:rsidP="004F6A00">
      <w:pPr>
        <w:pStyle w:val="Styl3"/>
        <w:rPr>
          <w:noProof/>
        </w:rPr>
      </w:pPr>
      <w:r w:rsidRPr="004B210D">
        <w:rPr>
          <w:noProof/>
        </w:rPr>
        <w:t>Kandidémia u pacientov bez neutropénie</w:t>
      </w:r>
    </w:p>
    <w:p w:rsidR="00A72EBA" w:rsidRDefault="00A72EBA" w:rsidP="00A45256">
      <w:pPr>
        <w:pStyle w:val="Normlndobloku"/>
        <w:rPr>
          <w:noProof/>
        </w:rPr>
      </w:pPr>
      <w:r w:rsidRPr="003B679E">
        <w:rPr>
          <w:noProof/>
        </w:rPr>
        <w:t>Účinnosť vorikonazolu v porovnaní s </w:t>
      </w:r>
      <w:r w:rsidR="00F928FE">
        <w:rPr>
          <w:noProof/>
        </w:rPr>
        <w:t>režimom</w:t>
      </w:r>
      <w:r w:rsidRPr="003B679E">
        <w:rPr>
          <w:noProof/>
        </w:rPr>
        <w:t xml:space="preserve"> amfotericínu B s následným podávaním flukonazolu v primárnej liečbe kandidémie bola preukázaná v</w:t>
      </w:r>
      <w:r w:rsidR="001408F5">
        <w:rPr>
          <w:noProof/>
        </w:rPr>
        <w:t> </w:t>
      </w:r>
      <w:r w:rsidRPr="003B679E">
        <w:rPr>
          <w:noProof/>
        </w:rPr>
        <w:t>otvorenej</w:t>
      </w:r>
      <w:r w:rsidR="001408F5">
        <w:rPr>
          <w:noProof/>
        </w:rPr>
        <w:t>,</w:t>
      </w:r>
      <w:r w:rsidRPr="003B679E">
        <w:rPr>
          <w:noProof/>
        </w:rPr>
        <w:t xml:space="preserve"> porovnávacej štúdii. Do štúdie bolo zaradených 370 pacientov bez neutropénie (</w:t>
      </w:r>
      <w:r w:rsidR="002D3B32">
        <w:rPr>
          <w:noProof/>
        </w:rPr>
        <w:t>vo veku viac</w:t>
      </w:r>
      <w:r w:rsidRPr="003B679E">
        <w:rPr>
          <w:noProof/>
        </w:rPr>
        <w:t xml:space="preserve"> ako 12 rokov) s dokumentovanou kandidémiou, z ktorých 248 bolo liečených vorikonazolom. 9 jedincov v skupine s vorikonazolom a 5 v skupine s amfotericínom B s následným podávaním flukonazolu malo tiež mykologicky dokázanú infekciu v hlbokých tkanivách. Pacienti so zlyhaním obličiek boli </w:t>
      </w:r>
      <w:r w:rsidRPr="003B679E">
        <w:t>z tejto</w:t>
      </w:r>
      <w:r w:rsidRPr="003B679E">
        <w:rPr>
          <w:noProof/>
        </w:rPr>
        <w:t xml:space="preserve"> štúdie vyradení. Stredná dĺžka liečby bola 15 dní v oboch liečených ramenách. V primárnej analýze bola úspešná odpoveď na základe posúdenia Komisiou </w:t>
      </w:r>
      <w:r w:rsidR="004B1A84">
        <w:rPr>
          <w:noProof/>
        </w:rPr>
        <w:t>pre vyhodnotenie</w:t>
      </w:r>
      <w:r w:rsidRPr="003B679E">
        <w:rPr>
          <w:noProof/>
        </w:rPr>
        <w:t xml:space="preserve"> údajov (DRC - Data Review Committee), zaslepenou voči liečbe použitej v štúdii, definovaná ako vyliečenie/zlepšenie všetkých klinických prejavov a príznakov infekcie s eradikáciou </w:t>
      </w:r>
      <w:r w:rsidRPr="003B679E">
        <w:rPr>
          <w:rFonts w:eastAsia="TimesNewRoman,Italic"/>
          <w:i/>
          <w:iCs/>
          <w:noProof/>
        </w:rPr>
        <w:t xml:space="preserve">Candidy </w:t>
      </w:r>
      <w:r w:rsidRPr="003B679E">
        <w:rPr>
          <w:noProof/>
        </w:rPr>
        <w:t>z krvi a infikovaných miest v hlbokých tkanivách 12 týždňov po ukončení liečby (EOT - end of therapy). Pacienti, ktorí nemali vyhodnotenie v 12. týždni po EOT, sa považovali za</w:t>
      </w:r>
      <w:r w:rsidR="00084F63">
        <w:rPr>
          <w:noProof/>
        </w:rPr>
        <w:t> </w:t>
      </w:r>
      <w:r w:rsidRPr="003B679E">
        <w:rPr>
          <w:noProof/>
        </w:rPr>
        <w:t>neúspech liečby. Táto analýza ukázala úspešnú odpoveď u 41 % pacientov v oboch liečených ramenách.</w:t>
      </w:r>
    </w:p>
    <w:p w:rsidR="00875DE9" w:rsidRPr="003B679E" w:rsidRDefault="00875DE9" w:rsidP="004644D9">
      <w:pPr>
        <w:pStyle w:val="Normlndobloku"/>
        <w:rPr>
          <w:noProof/>
        </w:rPr>
      </w:pPr>
    </w:p>
    <w:p w:rsidR="00A72EBA" w:rsidRDefault="00A72EBA" w:rsidP="004F6A00">
      <w:pPr>
        <w:pStyle w:val="Normlndobloku"/>
        <w:rPr>
          <w:noProof/>
        </w:rPr>
      </w:pPr>
      <w:r w:rsidRPr="003B679E">
        <w:rPr>
          <w:noProof/>
        </w:rPr>
        <w:t>V sekundárnej analýze, ktorá využívala posúdenia DRC v najneskôr hodnotiteľnom časovom bode (EOT alebo v 2., 6. alebo 12. týždni po EOT), bol výskyt úspešnej odpovede pri vorikonazole 65 % a</w:t>
      </w:r>
      <w:r w:rsidR="00F928FE">
        <w:rPr>
          <w:noProof/>
        </w:rPr>
        <w:t> </w:t>
      </w:r>
      <w:r w:rsidRPr="003B679E">
        <w:rPr>
          <w:noProof/>
        </w:rPr>
        <w:t>pri</w:t>
      </w:r>
      <w:r w:rsidR="00F928FE">
        <w:rPr>
          <w:noProof/>
        </w:rPr>
        <w:t> režime</w:t>
      </w:r>
      <w:r w:rsidRPr="003B679E">
        <w:rPr>
          <w:noProof/>
        </w:rPr>
        <w:t xml:space="preserve"> amfotericínu B s následným podávaním flukonazolu 71 %.</w:t>
      </w:r>
    </w:p>
    <w:p w:rsidR="00F928FE" w:rsidRPr="003B679E" w:rsidRDefault="00F928FE" w:rsidP="004F6A00">
      <w:pPr>
        <w:pStyle w:val="Normlndobloku"/>
        <w:rPr>
          <w:noProof/>
        </w:rPr>
      </w:pPr>
    </w:p>
    <w:p w:rsidR="00A72EBA" w:rsidRDefault="00A72EBA" w:rsidP="004F6A00">
      <w:pPr>
        <w:pStyle w:val="Normlndobloku"/>
        <w:rPr>
          <w:noProof/>
        </w:rPr>
      </w:pPr>
      <w:r w:rsidRPr="003B679E">
        <w:rPr>
          <w:noProof/>
        </w:rPr>
        <w:t>Posúdenie úspešného výsledku skúšajúcim v každom z týchto časových bodov ukazuje nasled</w:t>
      </w:r>
      <w:r w:rsidR="00F928FE">
        <w:rPr>
          <w:noProof/>
        </w:rPr>
        <w:t>ovná</w:t>
      </w:r>
      <w:r w:rsidRPr="003B679E">
        <w:rPr>
          <w:noProof/>
        </w:rPr>
        <w:t xml:space="preserve"> tabuľka.</w:t>
      </w:r>
    </w:p>
    <w:p w:rsidR="00FA3A75" w:rsidRPr="003B679E" w:rsidRDefault="00FA3A75" w:rsidP="004F6A00">
      <w:pPr>
        <w:pStyle w:val="Normlndobloku"/>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7"/>
        <w:gridCol w:w="2675"/>
        <w:gridCol w:w="3442"/>
      </w:tblGrid>
      <w:tr w:rsidR="00A72EBA" w:rsidRPr="00D32133" w:rsidTr="0019731D">
        <w:trPr>
          <w:trHeight w:val="597"/>
        </w:trPr>
        <w:tc>
          <w:tcPr>
            <w:tcW w:w="3347" w:type="dxa"/>
            <w:shd w:val="clear" w:color="auto" w:fill="auto"/>
          </w:tcPr>
          <w:p w:rsidR="00A72EBA" w:rsidRPr="00CB3225" w:rsidRDefault="00A72EBA" w:rsidP="00CD060E">
            <w:pPr>
              <w:autoSpaceDE w:val="0"/>
              <w:autoSpaceDN w:val="0"/>
              <w:adjustRightInd w:val="0"/>
              <w:rPr>
                <w:rFonts w:eastAsia="TimesNewRoman,Bold"/>
                <w:b/>
                <w:bCs/>
                <w:noProof/>
                <w:szCs w:val="22"/>
                <w:lang w:val="sk-SK"/>
              </w:rPr>
            </w:pPr>
            <w:r w:rsidRPr="00D32133">
              <w:rPr>
                <w:rFonts w:eastAsia="TimesNewRoman,Bold"/>
                <w:b/>
                <w:bCs/>
                <w:noProof/>
                <w:szCs w:val="22"/>
                <w:lang w:val="sk-SK"/>
              </w:rPr>
              <w:t>Časový bod</w:t>
            </w:r>
          </w:p>
        </w:tc>
        <w:tc>
          <w:tcPr>
            <w:tcW w:w="2675" w:type="dxa"/>
            <w:shd w:val="clear" w:color="auto" w:fill="auto"/>
          </w:tcPr>
          <w:p w:rsidR="00A72EBA" w:rsidRPr="00A954DB" w:rsidRDefault="00A72EBA" w:rsidP="00D32133">
            <w:pPr>
              <w:autoSpaceDE w:val="0"/>
              <w:autoSpaceDN w:val="0"/>
              <w:adjustRightInd w:val="0"/>
              <w:rPr>
                <w:rFonts w:eastAsia="TimesNewRoman,Bold"/>
                <w:b/>
                <w:bCs/>
                <w:noProof/>
                <w:szCs w:val="22"/>
                <w:lang w:val="sk-SK"/>
              </w:rPr>
            </w:pPr>
            <w:r w:rsidRPr="00E70B7A">
              <w:rPr>
                <w:rFonts w:eastAsia="TimesNewRoman,Bold"/>
                <w:b/>
                <w:bCs/>
                <w:noProof/>
                <w:szCs w:val="22"/>
                <w:lang w:val="sk-SK"/>
              </w:rPr>
              <w:t>vorikonazol</w:t>
            </w:r>
          </w:p>
          <w:p w:rsidR="00A72EBA" w:rsidRPr="00CC010F" w:rsidRDefault="00A72EBA">
            <w:pPr>
              <w:autoSpaceDE w:val="0"/>
              <w:autoSpaceDN w:val="0"/>
              <w:adjustRightInd w:val="0"/>
              <w:rPr>
                <w:rFonts w:eastAsia="TimesNewRoman,Bold"/>
                <w:b/>
                <w:bCs/>
                <w:noProof/>
                <w:szCs w:val="22"/>
                <w:lang w:val="sk-SK"/>
              </w:rPr>
            </w:pPr>
            <w:r w:rsidRPr="00324F85">
              <w:rPr>
                <w:rFonts w:eastAsia="TimesNewRoman,Bold"/>
                <w:b/>
                <w:bCs/>
                <w:noProof/>
                <w:szCs w:val="22"/>
                <w:lang w:val="sk-SK"/>
              </w:rPr>
              <w:t>(n = 248)</w:t>
            </w:r>
          </w:p>
        </w:tc>
        <w:tc>
          <w:tcPr>
            <w:tcW w:w="3442" w:type="dxa"/>
            <w:shd w:val="clear" w:color="auto" w:fill="auto"/>
          </w:tcPr>
          <w:p w:rsidR="00A72EBA" w:rsidRPr="00D32133" w:rsidRDefault="00A72EBA">
            <w:pPr>
              <w:autoSpaceDE w:val="0"/>
              <w:autoSpaceDN w:val="0"/>
              <w:adjustRightInd w:val="0"/>
              <w:rPr>
                <w:rFonts w:eastAsia="TimesNewRoman,Bold"/>
                <w:b/>
                <w:bCs/>
                <w:noProof/>
                <w:szCs w:val="22"/>
                <w:lang w:val="sk-SK"/>
              </w:rPr>
            </w:pPr>
            <w:r w:rsidRPr="00FF6E72">
              <w:rPr>
                <w:rFonts w:eastAsia="TimesNewRoman,Bold"/>
                <w:b/>
                <w:bCs/>
                <w:noProof/>
                <w:szCs w:val="22"/>
                <w:lang w:val="sk-SK"/>
              </w:rPr>
              <w:t xml:space="preserve">amfotericín B </w:t>
            </w:r>
            <w:r w:rsidRPr="001F70B7">
              <w:rPr>
                <w:rFonts w:eastAsia="TimesNewRoman,Bold" w:hint="eastAsia"/>
                <w:b/>
                <w:bCs/>
                <w:noProof/>
                <w:szCs w:val="22"/>
                <w:lang w:val="sk-SK"/>
              </w:rPr>
              <w:t>→</w:t>
            </w:r>
            <w:r w:rsidR="00F928FE">
              <w:rPr>
                <w:rFonts w:eastAsia="TimesNewRoman,Bold"/>
                <w:b/>
                <w:bCs/>
                <w:noProof/>
                <w:szCs w:val="22"/>
                <w:lang w:val="sk-SK"/>
              </w:rPr>
              <w:t xml:space="preserve"> </w:t>
            </w:r>
            <w:r w:rsidRPr="00D24AA4">
              <w:rPr>
                <w:rFonts w:eastAsia="TimesNewRoman,Bold"/>
                <w:b/>
                <w:bCs/>
                <w:noProof/>
                <w:szCs w:val="22"/>
                <w:lang w:val="sk-SK"/>
              </w:rPr>
              <w:t>flukonazol</w:t>
            </w:r>
          </w:p>
          <w:p w:rsidR="00A72EBA" w:rsidRPr="00D40A28" w:rsidRDefault="00A72EBA">
            <w:pPr>
              <w:autoSpaceDE w:val="0"/>
              <w:autoSpaceDN w:val="0"/>
              <w:adjustRightInd w:val="0"/>
              <w:rPr>
                <w:rFonts w:eastAsia="TimesNewRoman,Bold"/>
                <w:b/>
                <w:bCs/>
                <w:noProof/>
                <w:szCs w:val="22"/>
                <w:lang w:val="sk-SK"/>
              </w:rPr>
            </w:pPr>
            <w:r w:rsidRPr="00D40A28">
              <w:rPr>
                <w:rFonts w:eastAsia="TimesNewRoman,Bold"/>
                <w:b/>
                <w:bCs/>
                <w:noProof/>
                <w:szCs w:val="22"/>
                <w:lang w:val="sk-SK"/>
              </w:rPr>
              <w:t>(n = 122)</w:t>
            </w:r>
          </w:p>
        </w:tc>
      </w:tr>
      <w:tr w:rsidR="00A72EBA" w:rsidRPr="00D32133" w:rsidTr="0019731D">
        <w:trPr>
          <w:trHeight w:val="250"/>
        </w:trPr>
        <w:tc>
          <w:tcPr>
            <w:tcW w:w="3347" w:type="dxa"/>
            <w:shd w:val="clear" w:color="auto" w:fill="auto"/>
          </w:tcPr>
          <w:p w:rsidR="00A72EBA" w:rsidRPr="00CB3225" w:rsidRDefault="00A72EBA" w:rsidP="00CD060E">
            <w:pPr>
              <w:autoSpaceDE w:val="0"/>
              <w:autoSpaceDN w:val="0"/>
              <w:adjustRightInd w:val="0"/>
              <w:rPr>
                <w:rFonts w:eastAsia="TimesNewRoman,Bold"/>
                <w:bCs/>
                <w:noProof/>
                <w:szCs w:val="22"/>
                <w:lang w:val="sk-SK"/>
              </w:rPr>
            </w:pPr>
            <w:r w:rsidRPr="00D32133">
              <w:rPr>
                <w:rFonts w:eastAsia="TimesNewRoman,BoldItalic"/>
                <w:bCs/>
                <w:iCs/>
                <w:noProof/>
                <w:szCs w:val="22"/>
                <w:lang w:val="sk-SK"/>
              </w:rPr>
              <w:t>EOT</w:t>
            </w:r>
          </w:p>
        </w:tc>
        <w:tc>
          <w:tcPr>
            <w:tcW w:w="2675" w:type="dxa"/>
            <w:shd w:val="clear" w:color="auto" w:fill="auto"/>
          </w:tcPr>
          <w:p w:rsidR="00A72EBA" w:rsidRPr="00D32133" w:rsidRDefault="00A72EBA" w:rsidP="00D32133">
            <w:pPr>
              <w:autoSpaceDE w:val="0"/>
              <w:autoSpaceDN w:val="0"/>
              <w:adjustRightInd w:val="0"/>
              <w:rPr>
                <w:rFonts w:eastAsia="TimesNewRoman,Bold"/>
                <w:bCs/>
                <w:noProof/>
                <w:szCs w:val="22"/>
                <w:lang w:val="sk-SK"/>
              </w:rPr>
            </w:pPr>
            <w:r w:rsidRPr="00E70B7A">
              <w:rPr>
                <w:rFonts w:eastAsia="TimesNewRoman,BoldItalic"/>
                <w:bCs/>
                <w:iCs/>
                <w:noProof/>
                <w:szCs w:val="22"/>
                <w:lang w:val="sk-SK"/>
              </w:rPr>
              <w:t>178 (72 %)</w:t>
            </w:r>
          </w:p>
        </w:tc>
        <w:tc>
          <w:tcPr>
            <w:tcW w:w="3442" w:type="dxa"/>
            <w:shd w:val="clear" w:color="auto" w:fill="auto"/>
          </w:tcPr>
          <w:p w:rsidR="00A72EBA" w:rsidRPr="00D32133" w:rsidRDefault="00A72EBA">
            <w:pPr>
              <w:autoSpaceDE w:val="0"/>
              <w:autoSpaceDN w:val="0"/>
              <w:adjustRightInd w:val="0"/>
              <w:rPr>
                <w:rFonts w:eastAsia="TimesNewRoman,Bold"/>
                <w:bCs/>
                <w:noProof/>
                <w:szCs w:val="22"/>
                <w:lang w:val="sk-SK"/>
              </w:rPr>
            </w:pPr>
            <w:r w:rsidRPr="00D32133">
              <w:rPr>
                <w:rFonts w:eastAsia="TimesNewRoman,BoldItalic"/>
                <w:bCs/>
                <w:iCs/>
                <w:noProof/>
                <w:szCs w:val="22"/>
                <w:lang w:val="sk-SK"/>
              </w:rPr>
              <w:t>88 (72 %)</w:t>
            </w:r>
          </w:p>
        </w:tc>
      </w:tr>
      <w:tr w:rsidR="00A72EBA" w:rsidRPr="00D32133" w:rsidTr="0019731D">
        <w:trPr>
          <w:trHeight w:val="250"/>
        </w:trPr>
        <w:tc>
          <w:tcPr>
            <w:tcW w:w="3347" w:type="dxa"/>
            <w:shd w:val="clear" w:color="auto" w:fill="auto"/>
          </w:tcPr>
          <w:p w:rsidR="00A72EBA" w:rsidRPr="00CB3225" w:rsidRDefault="00A72EBA" w:rsidP="00CD060E">
            <w:pPr>
              <w:autoSpaceDE w:val="0"/>
              <w:autoSpaceDN w:val="0"/>
              <w:adjustRightInd w:val="0"/>
              <w:rPr>
                <w:rFonts w:eastAsia="TimesNewRoman,Bold"/>
                <w:bCs/>
                <w:noProof/>
                <w:szCs w:val="22"/>
                <w:lang w:val="sk-SK"/>
              </w:rPr>
            </w:pPr>
            <w:r w:rsidRPr="00D32133">
              <w:rPr>
                <w:rFonts w:eastAsia="TimesNewRoman,BoldItalic"/>
                <w:bCs/>
                <w:iCs/>
                <w:noProof/>
                <w:szCs w:val="22"/>
                <w:lang w:val="sk-SK"/>
              </w:rPr>
              <w:t>2. týždeň po EOT</w:t>
            </w:r>
          </w:p>
        </w:tc>
        <w:tc>
          <w:tcPr>
            <w:tcW w:w="2675" w:type="dxa"/>
            <w:shd w:val="clear" w:color="auto" w:fill="auto"/>
          </w:tcPr>
          <w:p w:rsidR="00A72EBA" w:rsidRPr="00D32133" w:rsidRDefault="00A72EBA" w:rsidP="00D32133">
            <w:pPr>
              <w:autoSpaceDE w:val="0"/>
              <w:autoSpaceDN w:val="0"/>
              <w:adjustRightInd w:val="0"/>
              <w:rPr>
                <w:rFonts w:eastAsia="TimesNewRoman,Bold"/>
                <w:bCs/>
                <w:noProof/>
                <w:szCs w:val="22"/>
                <w:lang w:val="sk-SK"/>
              </w:rPr>
            </w:pPr>
            <w:r w:rsidRPr="00E70B7A">
              <w:rPr>
                <w:rFonts w:eastAsia="TimesNewRoman,BoldItalic"/>
                <w:bCs/>
                <w:iCs/>
                <w:noProof/>
                <w:szCs w:val="22"/>
                <w:lang w:val="sk-SK"/>
              </w:rPr>
              <w:t>125 (50 %)</w:t>
            </w:r>
          </w:p>
        </w:tc>
        <w:tc>
          <w:tcPr>
            <w:tcW w:w="3442" w:type="dxa"/>
            <w:shd w:val="clear" w:color="auto" w:fill="auto"/>
          </w:tcPr>
          <w:p w:rsidR="00A72EBA" w:rsidRPr="00D32133" w:rsidRDefault="00A72EBA">
            <w:pPr>
              <w:autoSpaceDE w:val="0"/>
              <w:autoSpaceDN w:val="0"/>
              <w:adjustRightInd w:val="0"/>
              <w:rPr>
                <w:rFonts w:eastAsia="TimesNewRoman,Bold"/>
                <w:bCs/>
                <w:noProof/>
                <w:szCs w:val="22"/>
                <w:lang w:val="sk-SK"/>
              </w:rPr>
            </w:pPr>
            <w:r w:rsidRPr="00D32133">
              <w:rPr>
                <w:rFonts w:eastAsia="TimesNewRoman,BoldItalic"/>
                <w:bCs/>
                <w:iCs/>
                <w:noProof/>
                <w:szCs w:val="22"/>
                <w:lang w:val="sk-SK"/>
              </w:rPr>
              <w:t>62 (51 %)</w:t>
            </w:r>
          </w:p>
        </w:tc>
      </w:tr>
      <w:tr w:rsidR="00A72EBA" w:rsidRPr="00D32133" w:rsidTr="0019731D">
        <w:trPr>
          <w:trHeight w:val="239"/>
        </w:trPr>
        <w:tc>
          <w:tcPr>
            <w:tcW w:w="3347" w:type="dxa"/>
            <w:shd w:val="clear" w:color="auto" w:fill="auto"/>
          </w:tcPr>
          <w:p w:rsidR="00A72EBA" w:rsidRPr="00CB3225" w:rsidRDefault="00A72EBA" w:rsidP="00CD060E">
            <w:pPr>
              <w:autoSpaceDE w:val="0"/>
              <w:autoSpaceDN w:val="0"/>
              <w:adjustRightInd w:val="0"/>
              <w:rPr>
                <w:rFonts w:eastAsia="TimesNewRoman,Bold"/>
                <w:bCs/>
                <w:noProof/>
                <w:szCs w:val="22"/>
                <w:lang w:val="sk-SK"/>
              </w:rPr>
            </w:pPr>
            <w:r w:rsidRPr="00D32133">
              <w:rPr>
                <w:rFonts w:eastAsia="TimesNewRoman,BoldItalic"/>
                <w:bCs/>
                <w:iCs/>
                <w:noProof/>
                <w:szCs w:val="22"/>
                <w:lang w:val="sk-SK"/>
              </w:rPr>
              <w:t>6. týždeň po EOT</w:t>
            </w:r>
          </w:p>
        </w:tc>
        <w:tc>
          <w:tcPr>
            <w:tcW w:w="2675" w:type="dxa"/>
            <w:shd w:val="clear" w:color="auto" w:fill="auto"/>
          </w:tcPr>
          <w:p w:rsidR="00A72EBA" w:rsidRPr="00D32133" w:rsidRDefault="00A72EBA" w:rsidP="00D32133">
            <w:pPr>
              <w:autoSpaceDE w:val="0"/>
              <w:autoSpaceDN w:val="0"/>
              <w:adjustRightInd w:val="0"/>
              <w:rPr>
                <w:rFonts w:eastAsia="TimesNewRoman,Bold"/>
                <w:bCs/>
                <w:noProof/>
                <w:szCs w:val="22"/>
                <w:lang w:val="sk-SK"/>
              </w:rPr>
            </w:pPr>
            <w:r w:rsidRPr="00E70B7A">
              <w:rPr>
                <w:rFonts w:eastAsia="TimesNewRoman,BoldItalic"/>
                <w:bCs/>
                <w:iCs/>
                <w:noProof/>
                <w:szCs w:val="22"/>
                <w:lang w:val="sk-SK"/>
              </w:rPr>
              <w:t>104 (42 %)</w:t>
            </w:r>
          </w:p>
        </w:tc>
        <w:tc>
          <w:tcPr>
            <w:tcW w:w="3442" w:type="dxa"/>
            <w:shd w:val="clear" w:color="auto" w:fill="auto"/>
          </w:tcPr>
          <w:p w:rsidR="00A72EBA" w:rsidRPr="00D32133" w:rsidRDefault="00A72EBA">
            <w:pPr>
              <w:autoSpaceDE w:val="0"/>
              <w:autoSpaceDN w:val="0"/>
              <w:adjustRightInd w:val="0"/>
              <w:rPr>
                <w:rFonts w:eastAsia="TimesNewRoman,Bold"/>
                <w:bCs/>
                <w:noProof/>
                <w:szCs w:val="22"/>
                <w:lang w:val="sk-SK"/>
              </w:rPr>
            </w:pPr>
            <w:r w:rsidRPr="00D32133">
              <w:rPr>
                <w:rFonts w:eastAsia="TimesNewRoman,BoldItalic"/>
                <w:bCs/>
                <w:iCs/>
                <w:noProof/>
                <w:szCs w:val="22"/>
                <w:lang w:val="sk-SK"/>
              </w:rPr>
              <w:t>55 (45 %)</w:t>
            </w:r>
          </w:p>
        </w:tc>
      </w:tr>
      <w:tr w:rsidR="00A72EBA" w:rsidRPr="00D32133" w:rsidTr="0019731D">
        <w:trPr>
          <w:trHeight w:val="262"/>
        </w:trPr>
        <w:tc>
          <w:tcPr>
            <w:tcW w:w="3347" w:type="dxa"/>
            <w:shd w:val="clear" w:color="auto" w:fill="auto"/>
          </w:tcPr>
          <w:p w:rsidR="00A72EBA" w:rsidRPr="00CB3225" w:rsidRDefault="00A72EBA" w:rsidP="00CD060E">
            <w:pPr>
              <w:autoSpaceDE w:val="0"/>
              <w:autoSpaceDN w:val="0"/>
              <w:adjustRightInd w:val="0"/>
              <w:rPr>
                <w:rFonts w:eastAsia="TimesNewRoman,Bold"/>
                <w:bCs/>
                <w:noProof/>
                <w:szCs w:val="22"/>
                <w:lang w:val="sk-SK"/>
              </w:rPr>
            </w:pPr>
            <w:r w:rsidRPr="00D32133">
              <w:rPr>
                <w:rFonts w:eastAsia="TimesNewRoman,BoldItalic"/>
                <w:bCs/>
                <w:iCs/>
                <w:noProof/>
                <w:szCs w:val="22"/>
                <w:lang w:val="sk-SK"/>
              </w:rPr>
              <w:t>12. týždeň po EOT</w:t>
            </w:r>
          </w:p>
        </w:tc>
        <w:tc>
          <w:tcPr>
            <w:tcW w:w="2675" w:type="dxa"/>
            <w:shd w:val="clear" w:color="auto" w:fill="auto"/>
          </w:tcPr>
          <w:p w:rsidR="00A72EBA" w:rsidRPr="00D32133" w:rsidRDefault="00A72EBA" w:rsidP="00D32133">
            <w:pPr>
              <w:autoSpaceDE w:val="0"/>
              <w:autoSpaceDN w:val="0"/>
              <w:adjustRightInd w:val="0"/>
              <w:rPr>
                <w:rFonts w:eastAsia="TimesNewRoman,Bold"/>
                <w:bCs/>
                <w:noProof/>
                <w:szCs w:val="22"/>
                <w:lang w:val="sk-SK"/>
              </w:rPr>
            </w:pPr>
            <w:r w:rsidRPr="00E70B7A">
              <w:rPr>
                <w:rFonts w:eastAsia="TimesNewRoman,BoldItalic"/>
                <w:bCs/>
                <w:iCs/>
                <w:noProof/>
                <w:szCs w:val="22"/>
                <w:lang w:val="sk-SK"/>
              </w:rPr>
              <w:t>104 (42 %)</w:t>
            </w:r>
          </w:p>
        </w:tc>
        <w:tc>
          <w:tcPr>
            <w:tcW w:w="3442" w:type="dxa"/>
            <w:shd w:val="clear" w:color="auto" w:fill="auto"/>
          </w:tcPr>
          <w:p w:rsidR="00A72EBA" w:rsidRPr="00D32133" w:rsidRDefault="00A72EBA">
            <w:pPr>
              <w:autoSpaceDE w:val="0"/>
              <w:autoSpaceDN w:val="0"/>
              <w:adjustRightInd w:val="0"/>
              <w:rPr>
                <w:rFonts w:eastAsia="TimesNewRoman,Bold"/>
                <w:bCs/>
                <w:noProof/>
                <w:szCs w:val="22"/>
                <w:lang w:val="sk-SK"/>
              </w:rPr>
            </w:pPr>
            <w:r w:rsidRPr="00D32133">
              <w:rPr>
                <w:rFonts w:eastAsia="TimesNewRoman,BoldItalic"/>
                <w:bCs/>
                <w:iCs/>
                <w:noProof/>
                <w:szCs w:val="22"/>
                <w:lang w:val="sk-SK"/>
              </w:rPr>
              <w:t>51 (42 %)</w:t>
            </w:r>
          </w:p>
        </w:tc>
      </w:tr>
    </w:tbl>
    <w:p w:rsidR="00A72EBA" w:rsidRPr="00D32133" w:rsidRDefault="00A72EBA" w:rsidP="00CD060E">
      <w:pPr>
        <w:autoSpaceDE w:val="0"/>
        <w:autoSpaceDN w:val="0"/>
        <w:adjustRightInd w:val="0"/>
        <w:rPr>
          <w:rFonts w:eastAsia="TimesNewRoman,Bold"/>
          <w:b/>
          <w:bCs/>
          <w:noProof/>
          <w:szCs w:val="22"/>
          <w:lang w:val="sk-SK"/>
        </w:rPr>
      </w:pPr>
    </w:p>
    <w:p w:rsidR="00A72EBA" w:rsidRPr="004B210D" w:rsidRDefault="00A72EBA" w:rsidP="004F6A00">
      <w:pPr>
        <w:pStyle w:val="Styl3"/>
        <w:rPr>
          <w:rFonts w:eastAsia="TimesNewRoman,Italic"/>
          <w:i/>
          <w:iCs/>
          <w:noProof/>
        </w:rPr>
      </w:pPr>
      <w:r w:rsidRPr="004B210D">
        <w:rPr>
          <w:noProof/>
        </w:rPr>
        <w:t xml:space="preserve">Závažná refraktérna infekcia spôsobená </w:t>
      </w:r>
      <w:r w:rsidR="00BE7ACA">
        <w:rPr>
          <w:noProof/>
        </w:rPr>
        <w:t>druhmi</w:t>
      </w:r>
      <w:r w:rsidRPr="004B210D">
        <w:rPr>
          <w:noProof/>
        </w:rPr>
        <w:t xml:space="preserve"> </w:t>
      </w:r>
      <w:r w:rsidRPr="004B210D">
        <w:rPr>
          <w:rFonts w:eastAsia="TimesNewRoman,Italic"/>
          <w:i/>
          <w:iCs/>
          <w:noProof/>
        </w:rPr>
        <w:t>Candida</w:t>
      </w:r>
    </w:p>
    <w:p w:rsidR="00A72EBA" w:rsidRPr="003B679E" w:rsidRDefault="00A72EBA" w:rsidP="00A45256">
      <w:pPr>
        <w:pStyle w:val="Normlndobloku"/>
        <w:rPr>
          <w:rFonts w:eastAsia="TimesNewRoman,Italic"/>
          <w:i/>
          <w:iCs/>
          <w:noProof/>
        </w:rPr>
      </w:pPr>
      <w:r w:rsidRPr="003B679E">
        <w:rPr>
          <w:noProof/>
        </w:rPr>
        <w:t xml:space="preserve">Štúdie sa zúčastnilo 55 pacientov so závažnou refraktérnou systémovou infekciou </w:t>
      </w:r>
      <w:r w:rsidR="00BE7ACA">
        <w:rPr>
          <w:noProof/>
        </w:rPr>
        <w:t>druhmi</w:t>
      </w:r>
      <w:r w:rsidR="0072308D">
        <w:rPr>
          <w:noProof/>
        </w:rPr>
        <w:t xml:space="preserve"> </w:t>
      </w:r>
      <w:r w:rsidR="0072308D" w:rsidRPr="003B679E">
        <w:rPr>
          <w:i/>
          <w:noProof/>
        </w:rPr>
        <w:t>Candida</w:t>
      </w:r>
      <w:r w:rsidR="0072308D">
        <w:rPr>
          <w:i/>
          <w:noProof/>
        </w:rPr>
        <w:t xml:space="preserve"> </w:t>
      </w:r>
      <w:r w:rsidRPr="003B679E">
        <w:rPr>
          <w:noProof/>
        </w:rPr>
        <w:t xml:space="preserve">(vrátane kandidémie, diseminovanej a inej invazívnej kandidózy), u ktorých predchádzajúca </w:t>
      </w:r>
      <w:r w:rsidR="000D3823">
        <w:rPr>
          <w:noProof/>
        </w:rPr>
        <w:t>antimykotická</w:t>
      </w:r>
      <w:r w:rsidRPr="003B679E">
        <w:rPr>
          <w:noProof/>
        </w:rPr>
        <w:t xml:space="preserve"> liečba, predovšetkým flukonazolom, bola neefektívna. </w:t>
      </w:r>
      <w:r w:rsidR="003A0826">
        <w:rPr>
          <w:noProof/>
        </w:rPr>
        <w:t>Úspešná odpoveď</w:t>
      </w:r>
      <w:r w:rsidRPr="003B679E">
        <w:rPr>
          <w:noProof/>
        </w:rPr>
        <w:t xml:space="preserve"> sa pozoroval</w:t>
      </w:r>
      <w:r w:rsidR="00061557">
        <w:rPr>
          <w:noProof/>
        </w:rPr>
        <w:t xml:space="preserve">a </w:t>
      </w:r>
      <w:r w:rsidRPr="003B679E">
        <w:rPr>
          <w:noProof/>
        </w:rPr>
        <w:t>u 24 pacientov (15 s úplnou, 9 s parciálnou odpoveďou). U </w:t>
      </w:r>
      <w:r w:rsidR="003A0826">
        <w:rPr>
          <w:noProof/>
        </w:rPr>
        <w:t>druhov</w:t>
      </w:r>
      <w:r w:rsidRPr="003B679E">
        <w:rPr>
          <w:noProof/>
        </w:rPr>
        <w:t xml:space="preserve"> </w:t>
      </w:r>
      <w:r w:rsidRPr="003B679E">
        <w:rPr>
          <w:rFonts w:eastAsia="TimesNewRoman,Italic"/>
          <w:i/>
          <w:iCs/>
          <w:noProof/>
        </w:rPr>
        <w:t xml:space="preserve">non-albicans </w:t>
      </w:r>
      <w:r w:rsidR="00AC67FF">
        <w:rPr>
          <w:noProof/>
        </w:rPr>
        <w:t>rezistentných na </w:t>
      </w:r>
      <w:r w:rsidR="003A0826">
        <w:rPr>
          <w:noProof/>
        </w:rPr>
        <w:t>flukonazol</w:t>
      </w:r>
      <w:r w:rsidRPr="003B679E">
        <w:rPr>
          <w:noProof/>
        </w:rPr>
        <w:t xml:space="preserve"> sa pozoroval úspešný výsledok u 3/3 infekcií vyvolaných </w:t>
      </w:r>
      <w:r w:rsidRPr="003B679E">
        <w:rPr>
          <w:rFonts w:eastAsia="TimesNewRoman,Italic"/>
          <w:i/>
          <w:iCs/>
          <w:noProof/>
        </w:rPr>
        <w:t xml:space="preserve">C. krusei </w:t>
      </w:r>
      <w:r w:rsidRPr="003B679E">
        <w:rPr>
          <w:noProof/>
        </w:rPr>
        <w:t xml:space="preserve">(s kompletnou odpoveďou) a 6/8 infekcií vyvolaných </w:t>
      </w:r>
      <w:r w:rsidRPr="003B679E">
        <w:rPr>
          <w:rFonts w:eastAsia="TimesNewRoman,Italic"/>
          <w:i/>
          <w:iCs/>
          <w:noProof/>
        </w:rPr>
        <w:t xml:space="preserve">C. glabrata </w:t>
      </w:r>
      <w:r w:rsidRPr="003B679E">
        <w:rPr>
          <w:noProof/>
        </w:rPr>
        <w:t>(5 s úplnou, 1 s parciálnou odpoveďou). Klinická účinnosť bola podporená limitovanými údajmi citlivosti.</w:t>
      </w:r>
    </w:p>
    <w:p w:rsidR="00FA3A75" w:rsidRPr="003B679E" w:rsidRDefault="00FA3A75" w:rsidP="004644D9">
      <w:pPr>
        <w:pStyle w:val="Normlndobloku"/>
        <w:rPr>
          <w:noProof/>
        </w:rPr>
      </w:pPr>
    </w:p>
    <w:p w:rsidR="00A72EBA" w:rsidRPr="00FF6E72" w:rsidRDefault="00A72EBA" w:rsidP="004F6A00">
      <w:pPr>
        <w:pStyle w:val="Styl3"/>
        <w:rPr>
          <w:rFonts w:eastAsia="TimesNewRoman,Italic"/>
          <w:i/>
          <w:iCs/>
          <w:noProof/>
        </w:rPr>
      </w:pPr>
      <w:r w:rsidRPr="004B210D">
        <w:rPr>
          <w:noProof/>
        </w:rPr>
        <w:t xml:space="preserve">Infekcie spôsobené </w:t>
      </w:r>
      <w:r w:rsidR="00970D19">
        <w:rPr>
          <w:noProof/>
        </w:rPr>
        <w:t>druhmi</w:t>
      </w:r>
      <w:r w:rsidRPr="004B210D">
        <w:rPr>
          <w:noProof/>
        </w:rPr>
        <w:t xml:space="preserve"> </w:t>
      </w:r>
      <w:r w:rsidRPr="004B210D">
        <w:rPr>
          <w:rFonts w:eastAsia="TimesNewRoman,Italic"/>
          <w:i/>
          <w:iCs/>
          <w:noProof/>
        </w:rPr>
        <w:t xml:space="preserve">Scedosporium </w:t>
      </w:r>
      <w:r w:rsidRPr="004B210D">
        <w:rPr>
          <w:noProof/>
        </w:rPr>
        <w:t xml:space="preserve">a </w:t>
      </w:r>
      <w:r w:rsidRPr="00FF6E72">
        <w:rPr>
          <w:rFonts w:eastAsia="TimesNewRoman,Italic"/>
          <w:i/>
          <w:iCs/>
          <w:noProof/>
        </w:rPr>
        <w:t>Fusarium</w:t>
      </w:r>
    </w:p>
    <w:p w:rsidR="00A72EBA" w:rsidRDefault="00A72EBA" w:rsidP="00A45256">
      <w:pPr>
        <w:pStyle w:val="Normlndobloku"/>
        <w:rPr>
          <w:noProof/>
        </w:rPr>
      </w:pPr>
      <w:r w:rsidRPr="003B679E">
        <w:rPr>
          <w:noProof/>
        </w:rPr>
        <w:t>Vorikonazol sa ukázal ako účinný voči nasled</w:t>
      </w:r>
      <w:r w:rsidR="00C20E03">
        <w:rPr>
          <w:noProof/>
        </w:rPr>
        <w:t>ovným</w:t>
      </w:r>
      <w:r w:rsidRPr="003B679E">
        <w:rPr>
          <w:noProof/>
        </w:rPr>
        <w:t xml:space="preserve"> vzácnym mykotickým patogénom:</w:t>
      </w:r>
    </w:p>
    <w:p w:rsidR="00C20E03" w:rsidRPr="003B679E" w:rsidRDefault="00C20E03" w:rsidP="004644D9">
      <w:pPr>
        <w:pStyle w:val="Normlndobloku"/>
        <w:rPr>
          <w:noProof/>
        </w:rPr>
      </w:pPr>
    </w:p>
    <w:p w:rsidR="00A72EBA" w:rsidRDefault="00A72EBA" w:rsidP="004F6A00">
      <w:pPr>
        <w:pStyle w:val="Normlndobloku"/>
        <w:rPr>
          <w:rFonts w:eastAsia="TimesNewRoman,Italic"/>
          <w:i/>
          <w:iCs/>
          <w:noProof/>
        </w:rPr>
      </w:pPr>
      <w:r w:rsidRPr="003B679E">
        <w:rPr>
          <w:rFonts w:eastAsia="TimesNewRoman,Italic"/>
          <w:iCs/>
          <w:noProof/>
        </w:rPr>
        <w:t>Druh</w:t>
      </w:r>
      <w:r w:rsidR="00BC4956">
        <w:rPr>
          <w:rFonts w:eastAsia="TimesNewRoman,Italic"/>
          <w:iCs/>
          <w:noProof/>
        </w:rPr>
        <w:t>y</w:t>
      </w:r>
      <w:r w:rsidRPr="003B679E">
        <w:rPr>
          <w:rFonts w:eastAsia="TimesNewRoman,Italic"/>
          <w:i/>
          <w:iCs/>
          <w:noProof/>
        </w:rPr>
        <w:t xml:space="preserve"> Scedosporium</w:t>
      </w:r>
      <w:r w:rsidRPr="003B679E">
        <w:rPr>
          <w:noProof/>
        </w:rPr>
        <w:t xml:space="preserve">: </w:t>
      </w:r>
      <w:r w:rsidR="00513D9F">
        <w:rPr>
          <w:noProof/>
        </w:rPr>
        <w:t>Úspešná odpoveď</w:t>
      </w:r>
      <w:r w:rsidRPr="003B679E">
        <w:rPr>
          <w:noProof/>
        </w:rPr>
        <w:t xml:space="preserve"> </w:t>
      </w:r>
      <w:r w:rsidR="00406098">
        <w:rPr>
          <w:noProof/>
        </w:rPr>
        <w:t xml:space="preserve">na liečbu vorikonazolom </w:t>
      </w:r>
      <w:r w:rsidRPr="003B679E">
        <w:rPr>
          <w:noProof/>
        </w:rPr>
        <w:t>sa pozoroval</w:t>
      </w:r>
      <w:r w:rsidR="00513D9F">
        <w:rPr>
          <w:noProof/>
        </w:rPr>
        <w:t>a</w:t>
      </w:r>
      <w:r w:rsidRPr="003B679E">
        <w:rPr>
          <w:noProof/>
        </w:rPr>
        <w:t xml:space="preserve"> u 16 (6 s úplnou odpoveďou, 10 s parciálnou odpoveďou) z 28 pacientov s infekciou spôsobenou </w:t>
      </w:r>
      <w:r w:rsidRPr="003B679E">
        <w:rPr>
          <w:rFonts w:eastAsia="TimesNewRoman,Italic"/>
          <w:i/>
          <w:iCs/>
          <w:noProof/>
        </w:rPr>
        <w:t xml:space="preserve">S. apiospermum </w:t>
      </w:r>
      <w:r w:rsidRPr="003B679E">
        <w:rPr>
          <w:noProof/>
        </w:rPr>
        <w:t xml:space="preserve">a u 2 (obaja s parciálnou odpoveďou) zo 7 pacientov s infekciou spôsobenou </w:t>
      </w:r>
      <w:r w:rsidRPr="003B679E">
        <w:rPr>
          <w:rFonts w:eastAsia="TimesNewRoman,Italic"/>
          <w:i/>
          <w:iCs/>
          <w:noProof/>
        </w:rPr>
        <w:t>S. prolificans</w:t>
      </w:r>
      <w:r w:rsidRPr="003B679E">
        <w:rPr>
          <w:noProof/>
        </w:rPr>
        <w:t xml:space="preserve">. Navyše, sa </w:t>
      </w:r>
      <w:r w:rsidRPr="003B679E">
        <w:rPr>
          <w:noProof/>
        </w:rPr>
        <w:lastRenderedPageBreak/>
        <w:t>pozorovala úspešná odpoveď u 1 z 3 pacientov infikovaných viac ako jedným patogénom vrátane druh</w:t>
      </w:r>
      <w:r w:rsidR="00513D9F">
        <w:rPr>
          <w:noProof/>
        </w:rPr>
        <w:t>u</w:t>
      </w:r>
      <w:r w:rsidRPr="003B679E">
        <w:rPr>
          <w:noProof/>
        </w:rPr>
        <w:t xml:space="preserve"> </w:t>
      </w:r>
      <w:r w:rsidRPr="003B679E">
        <w:rPr>
          <w:rFonts w:eastAsia="TimesNewRoman,Italic"/>
          <w:i/>
          <w:iCs/>
          <w:noProof/>
        </w:rPr>
        <w:t>Scedosporiu</w:t>
      </w:r>
      <w:r w:rsidR="00513D9F">
        <w:rPr>
          <w:rFonts w:eastAsia="TimesNewRoman,Italic"/>
          <w:i/>
          <w:iCs/>
          <w:noProof/>
        </w:rPr>
        <w:t>m</w:t>
      </w:r>
      <w:r w:rsidRPr="003B679E">
        <w:rPr>
          <w:rFonts w:eastAsia="TimesNewRoman,Italic"/>
          <w:i/>
          <w:iCs/>
          <w:noProof/>
        </w:rPr>
        <w:t>.</w:t>
      </w:r>
    </w:p>
    <w:p w:rsidR="003E63F1" w:rsidRPr="003B679E" w:rsidRDefault="003E63F1" w:rsidP="004F6A00">
      <w:pPr>
        <w:pStyle w:val="Normlndobloku"/>
        <w:rPr>
          <w:noProof/>
        </w:rPr>
      </w:pPr>
    </w:p>
    <w:p w:rsidR="00A72EBA" w:rsidRDefault="00A72EBA" w:rsidP="004F6A00">
      <w:pPr>
        <w:pStyle w:val="Normlndobloku"/>
        <w:rPr>
          <w:noProof/>
        </w:rPr>
      </w:pPr>
      <w:r w:rsidRPr="003B679E">
        <w:rPr>
          <w:rFonts w:eastAsia="TimesNewRoman,Italic"/>
          <w:iCs/>
          <w:noProof/>
        </w:rPr>
        <w:t>Druh</w:t>
      </w:r>
      <w:r w:rsidR="00BC4956">
        <w:rPr>
          <w:rFonts w:eastAsia="TimesNewRoman,Italic"/>
          <w:iCs/>
          <w:noProof/>
        </w:rPr>
        <w:t>y</w:t>
      </w:r>
      <w:r w:rsidRPr="003B679E">
        <w:rPr>
          <w:rFonts w:eastAsia="TimesNewRoman,Italic"/>
          <w:i/>
          <w:iCs/>
          <w:noProof/>
        </w:rPr>
        <w:t xml:space="preserve"> Fusarium</w:t>
      </w:r>
      <w:r w:rsidRPr="003B679E">
        <w:rPr>
          <w:noProof/>
        </w:rPr>
        <w:t>.: Sedem (3 s úplnou, 4 s parciálnou odpoveďou) zo 17 pacientov bolo úspešne liečených vorikonazolom. Z uvedených 7 pacientov mali 3 očnú infekciu, 1 sínusovú (dutiny) a 3 diseminovanú infekciu. Ďalší 4 pacienti s fuzariózou mali infekciu vyvolanú niekoľkými patogénmi; 2 z nich sa vyliečili.</w:t>
      </w:r>
    </w:p>
    <w:p w:rsidR="006613F4" w:rsidRPr="003B679E" w:rsidRDefault="006613F4" w:rsidP="004F6A00">
      <w:pPr>
        <w:pStyle w:val="Normlndobloku"/>
        <w:rPr>
          <w:noProof/>
        </w:rPr>
      </w:pPr>
    </w:p>
    <w:p w:rsidR="00A72EBA" w:rsidRDefault="00A72EBA" w:rsidP="004F6A00">
      <w:pPr>
        <w:pStyle w:val="Normlndobloku"/>
        <w:rPr>
          <w:noProof/>
        </w:rPr>
      </w:pPr>
      <w:r w:rsidRPr="003B679E">
        <w:rPr>
          <w:noProof/>
        </w:rPr>
        <w:t>Väčšina vyššie uvedených pacientov so vzácnymi infekciami užívajúcich vorikonazol netolerovala predchádzajúcu antimykotickú liečbu, alebo bola na ňu refraktérna.</w:t>
      </w:r>
    </w:p>
    <w:p w:rsidR="00FA3A75" w:rsidRPr="003B679E" w:rsidRDefault="00FA3A75" w:rsidP="004F6A00">
      <w:pPr>
        <w:pStyle w:val="Normlndobloku"/>
        <w:rPr>
          <w:lang w:eastAsia="sk-SK"/>
        </w:rPr>
      </w:pPr>
    </w:p>
    <w:p w:rsidR="00000000" w:rsidRDefault="00A72EBA">
      <w:pPr>
        <w:pStyle w:val="Styl3"/>
        <w:ind w:left="0" w:firstLine="0"/>
        <w:rPr>
          <w:lang w:eastAsia="sk-SK"/>
        </w:rPr>
      </w:pPr>
      <w:r w:rsidRPr="004B210D">
        <w:rPr>
          <w:lang w:eastAsia="sk-SK"/>
        </w:rPr>
        <w:t>Primárna profylaxia invazívnych mykotických infekcií – účinnosť u príjemcov HSCT (hematopoietic stem cell transplant) bez predchádzajúcej dokázanej alebo pravdepodobnej IMI</w:t>
      </w:r>
    </w:p>
    <w:p w:rsidR="00A72EBA" w:rsidRDefault="00A72EBA" w:rsidP="00A45256">
      <w:pPr>
        <w:pStyle w:val="Normlndobloku"/>
        <w:rPr>
          <w:lang w:eastAsia="sk-SK"/>
        </w:rPr>
      </w:pPr>
      <w:r w:rsidRPr="003B679E">
        <w:rPr>
          <w:lang w:eastAsia="sk-SK"/>
        </w:rPr>
        <w:t xml:space="preserve">Vorikonazol ako primárna profylaxia sa porovnával s itrakonazolom v otvorenej, komparatívnej, multicentrickej štúdii </w:t>
      </w:r>
      <w:r w:rsidR="002860CE">
        <w:rPr>
          <w:lang w:eastAsia="sk-SK"/>
        </w:rPr>
        <w:t xml:space="preserve">u </w:t>
      </w:r>
      <w:r w:rsidRPr="003B679E">
        <w:rPr>
          <w:lang w:eastAsia="sk-SK"/>
        </w:rPr>
        <w:t>dospelých a dospievajúcich pacientov, ktorí boli príjemcovia alogénnej HSCT bez</w:t>
      </w:r>
      <w:r w:rsidR="00D62176">
        <w:rPr>
          <w:lang w:eastAsia="sk-SK"/>
        </w:rPr>
        <w:t> </w:t>
      </w:r>
      <w:r w:rsidRPr="003B679E">
        <w:rPr>
          <w:lang w:eastAsia="sk-SK"/>
        </w:rPr>
        <w:t>predchádzajúcej dokázanej alebo pravdepodobnej I</w:t>
      </w:r>
      <w:r w:rsidR="004C0EDF">
        <w:rPr>
          <w:lang w:eastAsia="sk-SK"/>
        </w:rPr>
        <w:t>M</w:t>
      </w:r>
      <w:r w:rsidRPr="003B679E">
        <w:rPr>
          <w:lang w:eastAsia="sk-SK"/>
        </w:rPr>
        <w:t>I. Úspešnosť sa definovala ako schopnosť pokračovať v profylaxii skúšaným liekom 100 dní po HSCT (bez prerušenia na dobu &gt; 14 dní) a miera prežívania bez dokázanej alebo pravdepodobnej IMI počas 180 dní po HSCT. Upravená skupina so</w:t>
      </w:r>
      <w:r w:rsidR="00EA2687">
        <w:rPr>
          <w:lang w:eastAsia="sk-SK"/>
        </w:rPr>
        <w:t> </w:t>
      </w:r>
      <w:r w:rsidRPr="003B679E">
        <w:rPr>
          <w:lang w:eastAsia="sk-SK"/>
        </w:rPr>
        <w:t>zámerom liečiť sa (MITT, modified intent-to-treat) zahŕňala 465 príjemcov alogénnej HSCT so 45 % pacientov, ktorí mali AML. Zo všetkých pacientov 58 % podliehalo myeloablatívnym prípravným režimom. Profylaxia skúšaným liekom sa začala okamžite po HSCT: 224 pacientov dostávalo vorikonazol a 241 pacientov dostávalo itrakonazol. Medián dĺžky trvania profylaxie skúšaným liekom v skupine MITT bol 96 dní pri vorikonazole a 68 dní pri itrakonazole.</w:t>
      </w:r>
    </w:p>
    <w:p w:rsidR="00D00632" w:rsidRPr="003B679E" w:rsidRDefault="00D00632" w:rsidP="004644D9">
      <w:pPr>
        <w:pStyle w:val="Normlndobloku"/>
        <w:rPr>
          <w:lang w:eastAsia="sk-SK"/>
        </w:rPr>
      </w:pPr>
    </w:p>
    <w:p w:rsidR="00A72EBA" w:rsidRDefault="00A72EBA" w:rsidP="004F6A00">
      <w:pPr>
        <w:pStyle w:val="Normlndobloku"/>
        <w:rPr>
          <w:lang w:eastAsia="sk-SK"/>
        </w:rPr>
      </w:pPr>
      <w:r w:rsidRPr="003B679E">
        <w:rPr>
          <w:lang w:eastAsia="sk-SK"/>
        </w:rPr>
        <w:t xml:space="preserve">Miera úspešnosti a ďalšie sekundárne </w:t>
      </w:r>
      <w:r w:rsidR="00D00632">
        <w:rPr>
          <w:lang w:eastAsia="sk-SK"/>
        </w:rPr>
        <w:t>konc</w:t>
      </w:r>
      <w:r w:rsidRPr="003B679E">
        <w:rPr>
          <w:lang w:eastAsia="sk-SK"/>
        </w:rPr>
        <w:t>ové ukazovatele sú uvedené v tabuľke nižšie:</w:t>
      </w:r>
    </w:p>
    <w:p w:rsidR="004C6936" w:rsidRPr="003B679E" w:rsidRDefault="004C6936" w:rsidP="004F6A00">
      <w:pPr>
        <w:pStyle w:val="Normlndobloku"/>
        <w:rPr>
          <w:lang w:eastAsia="sk-SK"/>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405"/>
        <w:gridCol w:w="1430"/>
        <w:gridCol w:w="2547"/>
        <w:gridCol w:w="1134"/>
      </w:tblGrid>
      <w:tr w:rsidR="00A72EBA" w:rsidRPr="00D32133" w:rsidTr="0019731D">
        <w:tc>
          <w:tcPr>
            <w:tcW w:w="2802" w:type="dxa"/>
            <w:shd w:val="clear" w:color="auto" w:fill="auto"/>
          </w:tcPr>
          <w:p w:rsidR="00A72EBA" w:rsidRPr="00CB3225" w:rsidRDefault="004C6936" w:rsidP="00CD060E">
            <w:pPr>
              <w:autoSpaceDE w:val="0"/>
              <w:autoSpaceDN w:val="0"/>
              <w:adjustRightInd w:val="0"/>
              <w:rPr>
                <w:rFonts w:eastAsia="TimesNewRoman,Bold"/>
                <w:b/>
                <w:bCs/>
                <w:szCs w:val="22"/>
                <w:lang w:val="sk-SK" w:eastAsia="sk-SK"/>
              </w:rPr>
            </w:pPr>
            <w:r>
              <w:rPr>
                <w:rFonts w:eastAsia="TimesNewRoman,Bold"/>
                <w:b/>
                <w:bCs/>
                <w:szCs w:val="22"/>
                <w:lang w:val="sk-SK" w:eastAsia="sk-SK"/>
              </w:rPr>
              <w:t>Konc</w:t>
            </w:r>
            <w:r w:rsidR="00A72EBA" w:rsidRPr="00D32133">
              <w:rPr>
                <w:rFonts w:eastAsia="TimesNewRoman,Bold"/>
                <w:b/>
                <w:bCs/>
                <w:szCs w:val="22"/>
                <w:lang w:val="sk-SK" w:eastAsia="sk-SK"/>
              </w:rPr>
              <w:t xml:space="preserve">ové ukazovatele štúdie </w:t>
            </w:r>
          </w:p>
        </w:tc>
        <w:tc>
          <w:tcPr>
            <w:tcW w:w="1405" w:type="dxa"/>
            <w:shd w:val="clear" w:color="auto" w:fill="auto"/>
          </w:tcPr>
          <w:p w:rsidR="00A72EBA" w:rsidRPr="004F74CE" w:rsidRDefault="00A72EBA" w:rsidP="00D32133">
            <w:pPr>
              <w:autoSpaceDE w:val="0"/>
              <w:autoSpaceDN w:val="0"/>
              <w:adjustRightInd w:val="0"/>
              <w:rPr>
                <w:rFonts w:eastAsia="TimesNewRoman,Bold"/>
                <w:b/>
                <w:bCs/>
                <w:szCs w:val="22"/>
                <w:lang w:val="sk-SK" w:eastAsia="sk-SK"/>
              </w:rPr>
            </w:pPr>
            <w:r w:rsidRPr="00D32133">
              <w:rPr>
                <w:rFonts w:eastAsia="TimesNewRoman,Bold"/>
                <w:b/>
                <w:bCs/>
                <w:szCs w:val="22"/>
                <w:lang w:val="sk-SK" w:eastAsia="sk-SK"/>
              </w:rPr>
              <w:t>vorikonazol n = 224</w:t>
            </w:r>
          </w:p>
        </w:tc>
        <w:tc>
          <w:tcPr>
            <w:tcW w:w="1430" w:type="dxa"/>
            <w:shd w:val="clear" w:color="auto" w:fill="auto"/>
          </w:tcPr>
          <w:p w:rsidR="00A72EBA" w:rsidRPr="00BC186B" w:rsidRDefault="00A72EBA" w:rsidP="00D32133">
            <w:pPr>
              <w:autoSpaceDE w:val="0"/>
              <w:autoSpaceDN w:val="0"/>
              <w:adjustRightInd w:val="0"/>
              <w:rPr>
                <w:rFonts w:eastAsia="TimesNewRoman,Bold"/>
                <w:b/>
                <w:bCs/>
                <w:szCs w:val="22"/>
                <w:lang w:val="sk-SK" w:eastAsia="sk-SK"/>
              </w:rPr>
            </w:pPr>
            <w:r w:rsidRPr="00B86E52">
              <w:rPr>
                <w:rFonts w:eastAsia="TimesNewRoman,Bold"/>
                <w:b/>
                <w:bCs/>
                <w:szCs w:val="22"/>
                <w:lang w:val="sk-SK" w:eastAsia="sk-SK"/>
              </w:rPr>
              <w:t>itrakonazol</w:t>
            </w:r>
          </w:p>
          <w:p w:rsidR="00A72EBA" w:rsidRPr="005C5884" w:rsidRDefault="00A72EBA">
            <w:pPr>
              <w:autoSpaceDE w:val="0"/>
              <w:autoSpaceDN w:val="0"/>
              <w:adjustRightInd w:val="0"/>
              <w:rPr>
                <w:rFonts w:eastAsia="TimesNewRoman,Bold"/>
                <w:b/>
                <w:bCs/>
                <w:szCs w:val="22"/>
                <w:lang w:val="sk-SK" w:eastAsia="sk-SK"/>
              </w:rPr>
            </w:pPr>
            <w:r w:rsidRPr="005C5884">
              <w:rPr>
                <w:rFonts w:eastAsia="TimesNewRoman,Bold"/>
                <w:b/>
                <w:bCs/>
                <w:szCs w:val="22"/>
                <w:lang w:val="sk-SK" w:eastAsia="sk-SK"/>
              </w:rPr>
              <w:t>n = 241</w:t>
            </w:r>
          </w:p>
        </w:tc>
        <w:tc>
          <w:tcPr>
            <w:tcW w:w="2547" w:type="dxa"/>
            <w:shd w:val="clear" w:color="auto" w:fill="auto"/>
          </w:tcPr>
          <w:p w:rsidR="00A72EBA" w:rsidRPr="005C5884" w:rsidRDefault="00A72EBA">
            <w:pPr>
              <w:autoSpaceDE w:val="0"/>
              <w:autoSpaceDN w:val="0"/>
              <w:adjustRightInd w:val="0"/>
              <w:rPr>
                <w:rFonts w:eastAsia="TimesNewRoman,Bold"/>
                <w:b/>
                <w:bCs/>
                <w:szCs w:val="22"/>
                <w:lang w:val="sk-SK" w:eastAsia="sk-SK"/>
              </w:rPr>
            </w:pPr>
            <w:r w:rsidRPr="005C5884">
              <w:rPr>
                <w:rFonts w:eastAsia="TimesNewRoman,Bold"/>
                <w:b/>
                <w:bCs/>
                <w:szCs w:val="22"/>
                <w:lang w:val="sk-SK" w:eastAsia="sk-SK"/>
              </w:rPr>
              <w:t>rozdiel v podieloch a</w:t>
            </w:r>
          </w:p>
          <w:p w:rsidR="00A72EBA" w:rsidRPr="00C637EC" w:rsidRDefault="00A72EBA">
            <w:pPr>
              <w:autoSpaceDE w:val="0"/>
              <w:autoSpaceDN w:val="0"/>
              <w:adjustRightInd w:val="0"/>
              <w:rPr>
                <w:rFonts w:eastAsia="TimesNewRoman,Bold"/>
                <w:b/>
                <w:bCs/>
                <w:szCs w:val="22"/>
                <w:lang w:val="sk-SK" w:eastAsia="sk-SK"/>
              </w:rPr>
            </w:pPr>
            <w:r w:rsidRPr="00C637EC">
              <w:rPr>
                <w:rFonts w:eastAsia="TimesNewRoman,Bold"/>
                <w:b/>
                <w:bCs/>
                <w:szCs w:val="22"/>
                <w:lang w:val="sk-SK" w:eastAsia="sk-SK"/>
              </w:rPr>
              <w:t>95 % interval</w:t>
            </w:r>
          </w:p>
          <w:p w:rsidR="00A72EBA" w:rsidRPr="0029661F" w:rsidRDefault="00A72EBA">
            <w:pPr>
              <w:autoSpaceDE w:val="0"/>
              <w:autoSpaceDN w:val="0"/>
              <w:adjustRightInd w:val="0"/>
              <w:rPr>
                <w:rFonts w:eastAsia="TimesNewRoman,Bold"/>
                <w:b/>
                <w:bCs/>
                <w:szCs w:val="22"/>
                <w:lang w:val="sk-SK" w:eastAsia="sk-SK"/>
              </w:rPr>
            </w:pPr>
            <w:r w:rsidRPr="00604E6B">
              <w:rPr>
                <w:rFonts w:eastAsia="TimesNewRoman,Bold"/>
                <w:b/>
                <w:bCs/>
                <w:szCs w:val="22"/>
                <w:lang w:val="sk-SK" w:eastAsia="sk-SK"/>
              </w:rPr>
              <w:t>spoľahlivosti (IS)</w:t>
            </w:r>
          </w:p>
        </w:tc>
        <w:tc>
          <w:tcPr>
            <w:tcW w:w="1134" w:type="dxa"/>
            <w:shd w:val="clear" w:color="auto" w:fill="auto"/>
          </w:tcPr>
          <w:p w:rsidR="00A72EBA" w:rsidRPr="0029661F" w:rsidRDefault="00A72EBA">
            <w:pPr>
              <w:autoSpaceDE w:val="0"/>
              <w:autoSpaceDN w:val="0"/>
              <w:adjustRightInd w:val="0"/>
              <w:rPr>
                <w:rFonts w:eastAsia="TimesNewRoman,Bold"/>
                <w:b/>
                <w:bCs/>
                <w:szCs w:val="22"/>
                <w:lang w:val="sk-SK" w:eastAsia="sk-SK"/>
              </w:rPr>
            </w:pPr>
            <w:r w:rsidRPr="0029661F">
              <w:rPr>
                <w:rFonts w:eastAsia="TimesNewRoman,Bold"/>
                <w:b/>
                <w:bCs/>
                <w:szCs w:val="22"/>
                <w:lang w:val="sk-SK" w:eastAsia="sk-SK"/>
              </w:rPr>
              <w:t>hodnota</w:t>
            </w:r>
          </w:p>
          <w:p w:rsidR="00A72EBA" w:rsidRPr="0029661F" w:rsidRDefault="00A72EBA">
            <w:pPr>
              <w:autoSpaceDE w:val="0"/>
              <w:autoSpaceDN w:val="0"/>
              <w:adjustRightInd w:val="0"/>
              <w:rPr>
                <w:rFonts w:eastAsia="TimesNewRoman,Bold"/>
                <w:b/>
                <w:bCs/>
                <w:szCs w:val="22"/>
                <w:lang w:val="sk-SK" w:eastAsia="sk-SK"/>
              </w:rPr>
            </w:pPr>
            <w:r w:rsidRPr="0029661F">
              <w:rPr>
                <w:rFonts w:eastAsia="TimesNewRoman,Bold"/>
                <w:b/>
                <w:bCs/>
                <w:szCs w:val="22"/>
                <w:lang w:val="sk-SK" w:eastAsia="sk-SK"/>
              </w:rPr>
              <w:t>p</w:t>
            </w:r>
          </w:p>
        </w:tc>
      </w:tr>
      <w:tr w:rsidR="00A72EBA" w:rsidRPr="00D32133" w:rsidTr="0019731D">
        <w:tc>
          <w:tcPr>
            <w:tcW w:w="2802" w:type="dxa"/>
            <w:shd w:val="clear" w:color="auto" w:fill="auto"/>
          </w:tcPr>
          <w:p w:rsidR="00A72EBA" w:rsidRPr="00CB3225"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Úspešnosť v 180. dni*</w:t>
            </w:r>
          </w:p>
        </w:tc>
        <w:tc>
          <w:tcPr>
            <w:tcW w:w="1405"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109 (48,7 %)</w:t>
            </w:r>
          </w:p>
        </w:tc>
        <w:tc>
          <w:tcPr>
            <w:tcW w:w="1430"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80 (33,2 %)</w:t>
            </w:r>
          </w:p>
        </w:tc>
        <w:tc>
          <w:tcPr>
            <w:tcW w:w="2547" w:type="dxa"/>
            <w:shd w:val="clear" w:color="auto" w:fill="auto"/>
          </w:tcPr>
          <w:p w:rsidR="00A72EBA" w:rsidRPr="00D40A28" w:rsidRDefault="00A72EBA">
            <w:pPr>
              <w:autoSpaceDE w:val="0"/>
              <w:autoSpaceDN w:val="0"/>
              <w:adjustRightInd w:val="0"/>
              <w:rPr>
                <w:rFonts w:eastAsia="TimesNewRoman"/>
                <w:szCs w:val="22"/>
                <w:lang w:val="sk-SK" w:eastAsia="sk-SK"/>
              </w:rPr>
            </w:pPr>
            <w:r w:rsidRPr="00D40A28">
              <w:rPr>
                <w:rFonts w:eastAsia="TimesNewRoman"/>
                <w:szCs w:val="22"/>
                <w:lang w:val="sk-SK" w:eastAsia="sk-SK"/>
              </w:rPr>
              <w:t>16,4 % (7,7 %; 25,1 %)**</w:t>
            </w:r>
          </w:p>
        </w:tc>
        <w:tc>
          <w:tcPr>
            <w:tcW w:w="1134"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0,0002**</w:t>
            </w:r>
          </w:p>
        </w:tc>
      </w:tr>
      <w:tr w:rsidR="00A72EBA" w:rsidRPr="00D32133" w:rsidTr="0019731D">
        <w:tc>
          <w:tcPr>
            <w:tcW w:w="2802" w:type="dxa"/>
            <w:shd w:val="clear" w:color="auto" w:fill="auto"/>
          </w:tcPr>
          <w:p w:rsidR="00A72EBA" w:rsidRPr="00CB3225"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Úspešnosť v 100. dni</w:t>
            </w:r>
          </w:p>
        </w:tc>
        <w:tc>
          <w:tcPr>
            <w:tcW w:w="1405"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121 (54,0 %)</w:t>
            </w:r>
          </w:p>
        </w:tc>
        <w:tc>
          <w:tcPr>
            <w:tcW w:w="1430"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96 (39,8 %)</w:t>
            </w:r>
          </w:p>
        </w:tc>
        <w:tc>
          <w:tcPr>
            <w:tcW w:w="2547"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15,4 % (6,6 %; 24,2 %)**</w:t>
            </w:r>
          </w:p>
        </w:tc>
        <w:tc>
          <w:tcPr>
            <w:tcW w:w="1134"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0,0006**</w:t>
            </w:r>
          </w:p>
        </w:tc>
      </w:tr>
      <w:tr w:rsidR="00A72EBA" w:rsidRPr="00D32133" w:rsidTr="0019731D">
        <w:tc>
          <w:tcPr>
            <w:tcW w:w="2802" w:type="dxa"/>
            <w:shd w:val="clear" w:color="auto" w:fill="auto"/>
          </w:tcPr>
          <w:p w:rsidR="00A72EBA" w:rsidRPr="00CB3225" w:rsidRDefault="00A72EBA" w:rsidP="00CD060E">
            <w:pPr>
              <w:autoSpaceDE w:val="0"/>
              <w:autoSpaceDN w:val="0"/>
              <w:adjustRightInd w:val="0"/>
              <w:rPr>
                <w:rFonts w:eastAsia="TimesNewRoman"/>
                <w:szCs w:val="22"/>
                <w:lang w:val="sk-SK" w:eastAsia="sk-SK"/>
              </w:rPr>
            </w:pPr>
            <w:r w:rsidRPr="00D32133">
              <w:rPr>
                <w:rFonts w:eastAsia="TimesNewRoman"/>
                <w:szCs w:val="22"/>
                <w:lang w:val="sk-SK" w:eastAsia="sk-SK"/>
              </w:rPr>
              <w:t>Ukončených aspoň 100 dní</w:t>
            </w:r>
          </w:p>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profylaxie skúšaným liekom</w:t>
            </w:r>
          </w:p>
        </w:tc>
        <w:tc>
          <w:tcPr>
            <w:tcW w:w="1405" w:type="dxa"/>
            <w:shd w:val="clear" w:color="auto" w:fill="auto"/>
          </w:tcPr>
          <w:p w:rsidR="00A72EBA" w:rsidRPr="003B679E"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120 (53,6 %)</w:t>
            </w:r>
          </w:p>
        </w:tc>
        <w:tc>
          <w:tcPr>
            <w:tcW w:w="1430"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94 (39,0 %)</w:t>
            </w:r>
          </w:p>
        </w:tc>
        <w:tc>
          <w:tcPr>
            <w:tcW w:w="2547"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14,6 % (5,6 %; 23,5 %)</w:t>
            </w:r>
          </w:p>
        </w:tc>
        <w:tc>
          <w:tcPr>
            <w:tcW w:w="1134" w:type="dxa"/>
            <w:shd w:val="clear" w:color="auto" w:fill="auto"/>
          </w:tcPr>
          <w:p w:rsidR="00A72EBA" w:rsidRPr="00CC010F" w:rsidRDefault="00A72EBA">
            <w:pPr>
              <w:autoSpaceDE w:val="0"/>
              <w:autoSpaceDN w:val="0"/>
              <w:adjustRightInd w:val="0"/>
              <w:rPr>
                <w:rFonts w:eastAsia="TimesNewRoman,Bold"/>
                <w:b/>
                <w:bCs/>
                <w:szCs w:val="22"/>
                <w:lang w:val="sk-SK" w:eastAsia="sk-SK"/>
              </w:rPr>
            </w:pPr>
            <w:r w:rsidRPr="00324F85">
              <w:rPr>
                <w:rFonts w:eastAsia="TimesNewRoman"/>
                <w:szCs w:val="22"/>
                <w:lang w:val="sk-SK" w:eastAsia="sk-SK"/>
              </w:rPr>
              <w:t>0,0015</w:t>
            </w:r>
          </w:p>
        </w:tc>
      </w:tr>
      <w:tr w:rsidR="00A72EBA" w:rsidRPr="00D32133" w:rsidTr="0019731D">
        <w:tc>
          <w:tcPr>
            <w:tcW w:w="2802" w:type="dxa"/>
            <w:shd w:val="clear" w:color="auto" w:fill="auto"/>
          </w:tcPr>
          <w:p w:rsidR="00A72EBA" w:rsidRPr="00D32133"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P</w:t>
            </w:r>
            <w:r w:rsidR="005C5884">
              <w:rPr>
                <w:rFonts w:eastAsia="TimesNewRoman"/>
                <w:szCs w:val="22"/>
                <w:lang w:val="sk-SK" w:eastAsia="sk-SK"/>
              </w:rPr>
              <w:t xml:space="preserve">režilo </w:t>
            </w:r>
            <w:r w:rsidRPr="00D32133">
              <w:rPr>
                <w:rFonts w:eastAsia="TimesNewRoman"/>
                <w:szCs w:val="22"/>
                <w:lang w:val="sk-SK" w:eastAsia="sk-SK"/>
              </w:rPr>
              <w:t>do</w:t>
            </w:r>
            <w:r w:rsidR="000D30D7">
              <w:rPr>
                <w:rFonts w:eastAsia="TimesNewRoman"/>
                <w:szCs w:val="22"/>
                <w:lang w:val="sk-SK" w:eastAsia="sk-SK"/>
              </w:rPr>
              <w:t> </w:t>
            </w:r>
            <w:r w:rsidRPr="00D32133">
              <w:rPr>
                <w:rFonts w:eastAsia="TimesNewRoman"/>
                <w:szCs w:val="22"/>
                <w:lang w:val="sk-SK" w:eastAsia="sk-SK"/>
              </w:rPr>
              <w:t>180. dňa</w:t>
            </w:r>
          </w:p>
        </w:tc>
        <w:tc>
          <w:tcPr>
            <w:tcW w:w="1405"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D32133">
              <w:rPr>
                <w:rFonts w:eastAsia="TimesNewRoman"/>
                <w:szCs w:val="22"/>
                <w:lang w:val="sk-SK" w:eastAsia="sk-SK"/>
              </w:rPr>
              <w:t>184 (82,1 %)</w:t>
            </w:r>
          </w:p>
        </w:tc>
        <w:tc>
          <w:tcPr>
            <w:tcW w:w="1430"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197 (81,7 %)</w:t>
            </w:r>
          </w:p>
        </w:tc>
        <w:tc>
          <w:tcPr>
            <w:tcW w:w="2547"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0,4 % (-6,6 %; 7,4 %)</w:t>
            </w:r>
          </w:p>
        </w:tc>
        <w:tc>
          <w:tcPr>
            <w:tcW w:w="1134"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0,9107</w:t>
            </w:r>
          </w:p>
        </w:tc>
      </w:tr>
      <w:tr w:rsidR="00A72EBA" w:rsidRPr="00D32133" w:rsidTr="0019731D">
        <w:tc>
          <w:tcPr>
            <w:tcW w:w="2802" w:type="dxa"/>
            <w:shd w:val="clear" w:color="auto" w:fill="auto"/>
          </w:tcPr>
          <w:p w:rsidR="00A72EBA" w:rsidRPr="00CB3225" w:rsidRDefault="005C5884" w:rsidP="00CD060E">
            <w:pPr>
              <w:autoSpaceDE w:val="0"/>
              <w:autoSpaceDN w:val="0"/>
              <w:adjustRightInd w:val="0"/>
              <w:rPr>
                <w:rFonts w:eastAsia="TimesNewRoman"/>
                <w:szCs w:val="22"/>
                <w:lang w:val="sk-SK" w:eastAsia="sk-SK"/>
              </w:rPr>
            </w:pPr>
            <w:r>
              <w:rPr>
                <w:rFonts w:eastAsia="TimesNewRoman"/>
                <w:szCs w:val="22"/>
                <w:lang w:val="sk-SK" w:eastAsia="sk-SK"/>
              </w:rPr>
              <w:t>Vyvinula sa</w:t>
            </w:r>
          </w:p>
          <w:p w:rsidR="00A72EBA" w:rsidRPr="00D32133" w:rsidRDefault="00A72EBA" w:rsidP="00D32133">
            <w:pPr>
              <w:autoSpaceDE w:val="0"/>
              <w:autoSpaceDN w:val="0"/>
              <w:adjustRightInd w:val="0"/>
              <w:rPr>
                <w:rFonts w:eastAsia="TimesNewRoman"/>
                <w:szCs w:val="22"/>
                <w:lang w:val="sk-SK" w:eastAsia="sk-SK"/>
              </w:rPr>
            </w:pPr>
            <w:r w:rsidRPr="00413EE1">
              <w:rPr>
                <w:rFonts w:eastAsia="TimesNewRoman"/>
                <w:szCs w:val="22"/>
                <w:lang w:val="sk-SK" w:eastAsia="sk-SK"/>
              </w:rPr>
              <w:t>dokázan</w:t>
            </w:r>
            <w:r w:rsidR="005C5884">
              <w:rPr>
                <w:rFonts w:eastAsia="TimesNewRoman"/>
                <w:szCs w:val="22"/>
                <w:lang w:val="sk-SK" w:eastAsia="sk-SK"/>
              </w:rPr>
              <w:t>á</w:t>
            </w:r>
            <w:r w:rsidRPr="00413EE1">
              <w:rPr>
                <w:rFonts w:eastAsia="TimesNewRoman"/>
                <w:szCs w:val="22"/>
                <w:lang w:val="sk-SK" w:eastAsia="sk-SK"/>
              </w:rPr>
              <w:t xml:space="preserve"> alebo</w:t>
            </w:r>
          </w:p>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pravdepodobn</w:t>
            </w:r>
            <w:r w:rsidR="005C5884">
              <w:rPr>
                <w:rFonts w:eastAsia="TimesNewRoman"/>
                <w:szCs w:val="22"/>
                <w:lang w:val="sk-SK" w:eastAsia="sk-SK"/>
              </w:rPr>
              <w:t>á</w:t>
            </w:r>
            <w:r w:rsidRPr="00D32133">
              <w:rPr>
                <w:rFonts w:eastAsia="TimesNewRoman"/>
                <w:szCs w:val="22"/>
                <w:lang w:val="sk-SK" w:eastAsia="sk-SK"/>
              </w:rPr>
              <w:t xml:space="preserve"> I</w:t>
            </w:r>
            <w:r w:rsidR="0073668A">
              <w:rPr>
                <w:rFonts w:eastAsia="TimesNewRoman"/>
                <w:szCs w:val="22"/>
                <w:lang w:val="sk-SK" w:eastAsia="sk-SK"/>
              </w:rPr>
              <w:t>M</w:t>
            </w:r>
            <w:r w:rsidRPr="00D32133">
              <w:rPr>
                <w:rFonts w:eastAsia="TimesNewRoman"/>
                <w:szCs w:val="22"/>
                <w:lang w:val="sk-SK" w:eastAsia="sk-SK"/>
              </w:rPr>
              <w:t>I do</w:t>
            </w:r>
            <w:r w:rsidR="0073668A">
              <w:rPr>
                <w:rFonts w:eastAsia="TimesNewRoman"/>
                <w:szCs w:val="22"/>
                <w:lang w:val="sk-SK" w:eastAsia="sk-SK"/>
              </w:rPr>
              <w:t> </w:t>
            </w:r>
            <w:r w:rsidRPr="00D32133">
              <w:rPr>
                <w:rFonts w:eastAsia="TimesNewRoman"/>
                <w:szCs w:val="22"/>
                <w:lang w:val="sk-SK" w:eastAsia="sk-SK"/>
              </w:rPr>
              <w:t>180. dňa</w:t>
            </w:r>
          </w:p>
        </w:tc>
        <w:tc>
          <w:tcPr>
            <w:tcW w:w="1405"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3 (1,3 %)</w:t>
            </w:r>
          </w:p>
        </w:tc>
        <w:tc>
          <w:tcPr>
            <w:tcW w:w="1430"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5 (2,1 %)</w:t>
            </w:r>
          </w:p>
        </w:tc>
        <w:tc>
          <w:tcPr>
            <w:tcW w:w="2547" w:type="dxa"/>
            <w:shd w:val="clear" w:color="auto" w:fill="auto"/>
          </w:tcPr>
          <w:p w:rsidR="00A72EBA" w:rsidRPr="00B661A9" w:rsidRDefault="00A72EBA">
            <w:pPr>
              <w:autoSpaceDE w:val="0"/>
              <w:autoSpaceDN w:val="0"/>
              <w:adjustRightInd w:val="0"/>
              <w:rPr>
                <w:rFonts w:eastAsia="TimesNewRoman,Bold"/>
                <w:b/>
                <w:bCs/>
                <w:szCs w:val="22"/>
                <w:lang w:val="sk-SK" w:eastAsia="sk-SK"/>
              </w:rPr>
            </w:pPr>
            <w:r w:rsidRPr="00CC010F">
              <w:rPr>
                <w:rFonts w:eastAsia="TimesNewRoman"/>
                <w:szCs w:val="22"/>
                <w:lang w:val="sk-SK" w:eastAsia="sk-SK"/>
              </w:rPr>
              <w:t>-0,7 % (-3,1 %; 1,6 %)</w:t>
            </w:r>
          </w:p>
        </w:tc>
        <w:tc>
          <w:tcPr>
            <w:tcW w:w="1134" w:type="dxa"/>
            <w:shd w:val="clear" w:color="auto" w:fill="auto"/>
          </w:tcPr>
          <w:p w:rsidR="00A72EBA" w:rsidRPr="004B210D" w:rsidRDefault="00A72EBA">
            <w:pPr>
              <w:autoSpaceDE w:val="0"/>
              <w:autoSpaceDN w:val="0"/>
              <w:adjustRightInd w:val="0"/>
              <w:rPr>
                <w:rFonts w:eastAsia="TimesNewRoman,Bold"/>
                <w:b/>
                <w:bCs/>
                <w:szCs w:val="22"/>
                <w:lang w:val="sk-SK" w:eastAsia="sk-SK"/>
              </w:rPr>
            </w:pPr>
            <w:r w:rsidRPr="004B210D">
              <w:rPr>
                <w:rFonts w:eastAsia="TimesNewRoman"/>
                <w:szCs w:val="22"/>
                <w:lang w:val="sk-SK" w:eastAsia="sk-SK"/>
              </w:rPr>
              <w:t>0,5390</w:t>
            </w:r>
          </w:p>
        </w:tc>
      </w:tr>
      <w:tr w:rsidR="00A72EBA" w:rsidRPr="00D32133" w:rsidTr="0019731D">
        <w:tc>
          <w:tcPr>
            <w:tcW w:w="2802" w:type="dxa"/>
            <w:shd w:val="clear" w:color="auto" w:fill="auto"/>
          </w:tcPr>
          <w:p w:rsidR="00A72EBA" w:rsidRPr="00CB3225" w:rsidRDefault="005C5884" w:rsidP="00CD060E">
            <w:pPr>
              <w:autoSpaceDE w:val="0"/>
              <w:autoSpaceDN w:val="0"/>
              <w:adjustRightInd w:val="0"/>
              <w:rPr>
                <w:rFonts w:eastAsia="TimesNewRoman"/>
                <w:szCs w:val="22"/>
                <w:lang w:val="sk-SK" w:eastAsia="sk-SK"/>
              </w:rPr>
            </w:pPr>
            <w:r>
              <w:rPr>
                <w:rFonts w:eastAsia="TimesNewRoman"/>
                <w:szCs w:val="22"/>
                <w:lang w:val="sk-SK" w:eastAsia="sk-SK"/>
              </w:rPr>
              <w:t>Vyvinula sa</w:t>
            </w:r>
          </w:p>
          <w:p w:rsidR="00A72EBA" w:rsidRPr="00D32133" w:rsidRDefault="00A72EBA" w:rsidP="00D32133">
            <w:pPr>
              <w:autoSpaceDE w:val="0"/>
              <w:autoSpaceDN w:val="0"/>
              <w:adjustRightInd w:val="0"/>
              <w:rPr>
                <w:rFonts w:eastAsia="TimesNewRoman"/>
                <w:szCs w:val="22"/>
                <w:lang w:val="sk-SK" w:eastAsia="sk-SK"/>
              </w:rPr>
            </w:pPr>
            <w:r w:rsidRPr="00413EE1">
              <w:rPr>
                <w:rFonts w:eastAsia="TimesNewRoman"/>
                <w:szCs w:val="22"/>
                <w:lang w:val="sk-SK" w:eastAsia="sk-SK"/>
              </w:rPr>
              <w:t>dokázan</w:t>
            </w:r>
            <w:r w:rsidR="005C5884">
              <w:rPr>
                <w:rFonts w:eastAsia="TimesNewRoman"/>
                <w:szCs w:val="22"/>
                <w:lang w:val="sk-SK" w:eastAsia="sk-SK"/>
              </w:rPr>
              <w:t>á</w:t>
            </w:r>
            <w:r w:rsidRPr="00413EE1">
              <w:rPr>
                <w:rFonts w:eastAsia="TimesNewRoman"/>
                <w:szCs w:val="22"/>
                <w:lang w:val="sk-SK" w:eastAsia="sk-SK"/>
              </w:rPr>
              <w:t xml:space="preserve"> alebo</w:t>
            </w:r>
          </w:p>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pravdepodobn</w:t>
            </w:r>
            <w:r w:rsidR="005C5884">
              <w:rPr>
                <w:rFonts w:eastAsia="TimesNewRoman"/>
                <w:szCs w:val="22"/>
                <w:lang w:val="sk-SK" w:eastAsia="sk-SK"/>
              </w:rPr>
              <w:t>á</w:t>
            </w:r>
            <w:r w:rsidRPr="00D32133">
              <w:rPr>
                <w:rFonts w:eastAsia="TimesNewRoman"/>
                <w:szCs w:val="22"/>
                <w:lang w:val="sk-SK" w:eastAsia="sk-SK"/>
              </w:rPr>
              <w:t xml:space="preserve"> I</w:t>
            </w:r>
            <w:r w:rsidR="0073668A">
              <w:rPr>
                <w:rFonts w:eastAsia="TimesNewRoman"/>
                <w:szCs w:val="22"/>
                <w:lang w:val="sk-SK" w:eastAsia="sk-SK"/>
              </w:rPr>
              <w:t>M</w:t>
            </w:r>
            <w:r w:rsidRPr="00D32133">
              <w:rPr>
                <w:rFonts w:eastAsia="TimesNewRoman"/>
                <w:szCs w:val="22"/>
                <w:lang w:val="sk-SK" w:eastAsia="sk-SK"/>
              </w:rPr>
              <w:t xml:space="preserve">I do 100. </w:t>
            </w:r>
            <w:r w:rsidR="005C5884">
              <w:rPr>
                <w:rFonts w:eastAsia="TimesNewRoman"/>
                <w:szCs w:val="22"/>
                <w:lang w:val="sk-SK" w:eastAsia="sk-SK"/>
              </w:rPr>
              <w:t>d</w:t>
            </w:r>
            <w:r w:rsidRPr="00D32133">
              <w:rPr>
                <w:rFonts w:eastAsia="TimesNewRoman"/>
                <w:szCs w:val="22"/>
                <w:lang w:val="sk-SK" w:eastAsia="sk-SK"/>
              </w:rPr>
              <w:t>ňa</w:t>
            </w:r>
          </w:p>
        </w:tc>
        <w:tc>
          <w:tcPr>
            <w:tcW w:w="1405"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2 (0,9 %)</w:t>
            </w:r>
          </w:p>
        </w:tc>
        <w:tc>
          <w:tcPr>
            <w:tcW w:w="1430" w:type="dxa"/>
            <w:shd w:val="clear" w:color="auto" w:fill="auto"/>
          </w:tcPr>
          <w:p w:rsidR="00A72EBA" w:rsidRPr="00BC186B" w:rsidRDefault="00A72EBA">
            <w:pPr>
              <w:autoSpaceDE w:val="0"/>
              <w:autoSpaceDN w:val="0"/>
              <w:adjustRightInd w:val="0"/>
              <w:rPr>
                <w:rFonts w:eastAsia="TimesNewRoman,Bold"/>
                <w:b/>
                <w:bCs/>
                <w:szCs w:val="22"/>
                <w:lang w:val="sk-SK" w:eastAsia="sk-SK"/>
              </w:rPr>
            </w:pPr>
            <w:r w:rsidRPr="00B86E52">
              <w:rPr>
                <w:rFonts w:eastAsia="TimesNewRoman"/>
                <w:szCs w:val="22"/>
                <w:lang w:val="sk-SK" w:eastAsia="sk-SK"/>
              </w:rPr>
              <w:t>4 (1,7 %)</w:t>
            </w:r>
          </w:p>
        </w:tc>
        <w:tc>
          <w:tcPr>
            <w:tcW w:w="2547" w:type="dxa"/>
            <w:shd w:val="clear" w:color="auto" w:fill="auto"/>
          </w:tcPr>
          <w:p w:rsidR="00A72EBA" w:rsidRPr="00CC010F" w:rsidRDefault="00A72EBA">
            <w:pPr>
              <w:autoSpaceDE w:val="0"/>
              <w:autoSpaceDN w:val="0"/>
              <w:adjustRightInd w:val="0"/>
              <w:rPr>
                <w:rFonts w:eastAsia="TimesNewRoman,Bold"/>
                <w:b/>
                <w:bCs/>
                <w:szCs w:val="22"/>
                <w:lang w:val="sk-SK" w:eastAsia="sk-SK"/>
              </w:rPr>
            </w:pPr>
            <w:r w:rsidRPr="00324F85">
              <w:rPr>
                <w:rFonts w:eastAsia="TimesNewRoman"/>
                <w:szCs w:val="22"/>
                <w:lang w:val="sk-SK" w:eastAsia="sk-SK"/>
              </w:rPr>
              <w:t>-0,8 % (-2,8 %; 1,3 %)</w:t>
            </w:r>
          </w:p>
        </w:tc>
        <w:tc>
          <w:tcPr>
            <w:tcW w:w="1134" w:type="dxa"/>
            <w:shd w:val="clear" w:color="auto" w:fill="auto"/>
          </w:tcPr>
          <w:p w:rsidR="00A72EBA" w:rsidRPr="004B210D" w:rsidRDefault="00A72EBA">
            <w:pPr>
              <w:autoSpaceDE w:val="0"/>
              <w:autoSpaceDN w:val="0"/>
              <w:adjustRightInd w:val="0"/>
              <w:rPr>
                <w:rFonts w:eastAsia="TimesNewRoman"/>
                <w:szCs w:val="22"/>
                <w:lang w:val="sk-SK" w:eastAsia="sk-SK"/>
              </w:rPr>
            </w:pPr>
            <w:r w:rsidRPr="004B210D">
              <w:rPr>
                <w:rFonts w:eastAsia="TimesNewRoman"/>
                <w:szCs w:val="22"/>
                <w:lang w:val="sk-SK" w:eastAsia="sk-SK"/>
              </w:rPr>
              <w:t>0,4589</w:t>
            </w:r>
          </w:p>
          <w:p w:rsidR="00A72EBA" w:rsidRPr="00C637EC" w:rsidRDefault="00A72EBA">
            <w:pPr>
              <w:autoSpaceDE w:val="0"/>
              <w:autoSpaceDN w:val="0"/>
              <w:adjustRightInd w:val="0"/>
              <w:rPr>
                <w:rFonts w:eastAsia="TimesNewRoman,Bold"/>
                <w:b/>
                <w:bCs/>
                <w:szCs w:val="22"/>
                <w:lang w:val="sk-SK" w:eastAsia="sk-SK"/>
              </w:rPr>
            </w:pPr>
          </w:p>
        </w:tc>
      </w:tr>
      <w:tr w:rsidR="00A72EBA" w:rsidRPr="00D32133" w:rsidTr="0019731D">
        <w:tc>
          <w:tcPr>
            <w:tcW w:w="2802" w:type="dxa"/>
            <w:shd w:val="clear" w:color="auto" w:fill="auto"/>
          </w:tcPr>
          <w:p w:rsidR="00A72EBA" w:rsidRPr="00CB3225" w:rsidRDefault="005C5884" w:rsidP="00CD060E">
            <w:pPr>
              <w:autoSpaceDE w:val="0"/>
              <w:autoSpaceDN w:val="0"/>
              <w:adjustRightInd w:val="0"/>
              <w:rPr>
                <w:rFonts w:eastAsia="TimesNewRoman"/>
                <w:szCs w:val="22"/>
                <w:lang w:val="sk-SK" w:eastAsia="sk-SK"/>
              </w:rPr>
            </w:pPr>
            <w:r>
              <w:rPr>
                <w:rFonts w:eastAsia="TimesNewRoman"/>
                <w:szCs w:val="22"/>
                <w:lang w:val="sk-SK" w:eastAsia="sk-SK"/>
              </w:rPr>
              <w:t>Vyvinula sa</w:t>
            </w:r>
          </w:p>
          <w:p w:rsidR="00A72EBA" w:rsidRPr="00D32133" w:rsidRDefault="00A72EBA" w:rsidP="00D32133">
            <w:pPr>
              <w:autoSpaceDE w:val="0"/>
              <w:autoSpaceDN w:val="0"/>
              <w:adjustRightInd w:val="0"/>
              <w:rPr>
                <w:rFonts w:eastAsia="TimesNewRoman"/>
                <w:szCs w:val="22"/>
                <w:lang w:val="sk-SK" w:eastAsia="sk-SK"/>
              </w:rPr>
            </w:pPr>
            <w:r w:rsidRPr="00413EE1">
              <w:rPr>
                <w:rFonts w:eastAsia="TimesNewRoman"/>
                <w:szCs w:val="22"/>
                <w:lang w:val="sk-SK" w:eastAsia="sk-SK"/>
              </w:rPr>
              <w:t>dokázan</w:t>
            </w:r>
            <w:r w:rsidR="005C5884">
              <w:rPr>
                <w:rFonts w:eastAsia="TimesNewRoman"/>
                <w:szCs w:val="22"/>
                <w:lang w:val="sk-SK" w:eastAsia="sk-SK"/>
              </w:rPr>
              <w:t>á</w:t>
            </w:r>
            <w:r w:rsidRPr="00413EE1">
              <w:rPr>
                <w:rFonts w:eastAsia="TimesNewRoman"/>
                <w:szCs w:val="22"/>
                <w:lang w:val="sk-SK" w:eastAsia="sk-SK"/>
              </w:rPr>
              <w:t xml:space="preserve"> alebo</w:t>
            </w:r>
          </w:p>
          <w:p w:rsidR="00A72EBA" w:rsidRPr="00D32133" w:rsidRDefault="00A72EBA">
            <w:pPr>
              <w:autoSpaceDE w:val="0"/>
              <w:autoSpaceDN w:val="0"/>
              <w:adjustRightInd w:val="0"/>
              <w:rPr>
                <w:rFonts w:eastAsia="TimesNewRoman"/>
                <w:szCs w:val="22"/>
                <w:lang w:val="sk-SK" w:eastAsia="sk-SK"/>
              </w:rPr>
            </w:pPr>
            <w:r w:rsidRPr="00D32133">
              <w:rPr>
                <w:rFonts w:eastAsia="TimesNewRoman"/>
                <w:szCs w:val="22"/>
                <w:lang w:val="sk-SK" w:eastAsia="sk-SK"/>
              </w:rPr>
              <w:t>pravdepodobn</w:t>
            </w:r>
            <w:r w:rsidR="005C5884">
              <w:rPr>
                <w:rFonts w:eastAsia="TimesNewRoman"/>
                <w:szCs w:val="22"/>
                <w:lang w:val="sk-SK" w:eastAsia="sk-SK"/>
              </w:rPr>
              <w:t>á</w:t>
            </w:r>
            <w:r w:rsidRPr="00D32133">
              <w:rPr>
                <w:rFonts w:eastAsia="TimesNewRoman"/>
                <w:szCs w:val="22"/>
                <w:lang w:val="sk-SK" w:eastAsia="sk-SK"/>
              </w:rPr>
              <w:t xml:space="preserve"> I</w:t>
            </w:r>
            <w:r w:rsidR="0073668A">
              <w:rPr>
                <w:rFonts w:eastAsia="TimesNewRoman"/>
                <w:szCs w:val="22"/>
                <w:lang w:val="sk-SK" w:eastAsia="sk-SK"/>
              </w:rPr>
              <w:t>M</w:t>
            </w:r>
            <w:r w:rsidRPr="00D32133">
              <w:rPr>
                <w:rFonts w:eastAsia="TimesNewRoman"/>
                <w:szCs w:val="22"/>
                <w:lang w:val="sk-SK" w:eastAsia="sk-SK"/>
              </w:rPr>
              <w:t>I počas</w:t>
            </w:r>
          </w:p>
          <w:p w:rsidR="00A72EBA" w:rsidRPr="00D40A28" w:rsidRDefault="00A72EBA">
            <w:pPr>
              <w:autoSpaceDE w:val="0"/>
              <w:autoSpaceDN w:val="0"/>
              <w:adjustRightInd w:val="0"/>
              <w:rPr>
                <w:rFonts w:eastAsia="TimesNewRoman"/>
                <w:szCs w:val="22"/>
                <w:lang w:val="sk-SK" w:eastAsia="sk-SK"/>
              </w:rPr>
            </w:pPr>
            <w:r w:rsidRPr="00D40A28">
              <w:rPr>
                <w:rFonts w:eastAsia="TimesNewRoman"/>
                <w:szCs w:val="22"/>
                <w:lang w:val="sk-SK" w:eastAsia="sk-SK"/>
              </w:rPr>
              <w:t>užívania skúšaného lieku</w:t>
            </w:r>
          </w:p>
        </w:tc>
        <w:tc>
          <w:tcPr>
            <w:tcW w:w="1405" w:type="dxa"/>
            <w:shd w:val="clear" w:color="auto" w:fill="auto"/>
          </w:tcPr>
          <w:p w:rsidR="00A72EBA" w:rsidRPr="00BC186B" w:rsidRDefault="00A72EBA">
            <w:pPr>
              <w:autoSpaceDE w:val="0"/>
              <w:autoSpaceDN w:val="0"/>
              <w:adjustRightInd w:val="0"/>
              <w:rPr>
                <w:rFonts w:eastAsia="TimesNewRoman"/>
                <w:szCs w:val="22"/>
                <w:lang w:val="sk-SK" w:eastAsia="sk-SK"/>
              </w:rPr>
            </w:pPr>
            <w:r w:rsidRPr="00B86E52">
              <w:rPr>
                <w:rFonts w:eastAsia="TimesNewRoman"/>
                <w:szCs w:val="22"/>
                <w:lang w:val="sk-SK" w:eastAsia="sk-SK"/>
              </w:rPr>
              <w:t>0</w:t>
            </w:r>
          </w:p>
        </w:tc>
        <w:tc>
          <w:tcPr>
            <w:tcW w:w="1430" w:type="dxa"/>
            <w:shd w:val="clear" w:color="auto" w:fill="auto"/>
          </w:tcPr>
          <w:p w:rsidR="00A72EBA" w:rsidRPr="00CC010F" w:rsidRDefault="00A72EBA">
            <w:pPr>
              <w:autoSpaceDE w:val="0"/>
              <w:autoSpaceDN w:val="0"/>
              <w:adjustRightInd w:val="0"/>
              <w:rPr>
                <w:rFonts w:eastAsia="TimesNewRoman"/>
                <w:szCs w:val="22"/>
                <w:lang w:val="sk-SK" w:eastAsia="sk-SK"/>
              </w:rPr>
            </w:pPr>
            <w:r w:rsidRPr="00324F85">
              <w:rPr>
                <w:rFonts w:eastAsia="TimesNewRoman"/>
                <w:szCs w:val="22"/>
                <w:lang w:val="sk-SK" w:eastAsia="sk-SK"/>
              </w:rPr>
              <w:t>3 (1,2 %)</w:t>
            </w:r>
          </w:p>
        </w:tc>
        <w:tc>
          <w:tcPr>
            <w:tcW w:w="2547" w:type="dxa"/>
            <w:shd w:val="clear" w:color="auto" w:fill="auto"/>
          </w:tcPr>
          <w:p w:rsidR="00A72EBA" w:rsidRPr="004B210D" w:rsidRDefault="00A72EBA">
            <w:pPr>
              <w:autoSpaceDE w:val="0"/>
              <w:autoSpaceDN w:val="0"/>
              <w:adjustRightInd w:val="0"/>
              <w:rPr>
                <w:rFonts w:eastAsia="TimesNewRoman"/>
                <w:szCs w:val="22"/>
                <w:lang w:val="sk-SK" w:eastAsia="sk-SK"/>
              </w:rPr>
            </w:pPr>
            <w:r w:rsidRPr="004B210D">
              <w:rPr>
                <w:rFonts w:eastAsia="TimesNewRoman"/>
                <w:szCs w:val="22"/>
                <w:lang w:val="sk-SK" w:eastAsia="sk-SK"/>
              </w:rPr>
              <w:t>-1,2 % (-2,6 %; 0,2 %)</w:t>
            </w:r>
          </w:p>
        </w:tc>
        <w:tc>
          <w:tcPr>
            <w:tcW w:w="1134" w:type="dxa"/>
            <w:shd w:val="clear" w:color="auto" w:fill="auto"/>
          </w:tcPr>
          <w:p w:rsidR="00A72EBA" w:rsidRPr="00C637EC" w:rsidRDefault="00A72EBA">
            <w:pPr>
              <w:autoSpaceDE w:val="0"/>
              <w:autoSpaceDN w:val="0"/>
              <w:adjustRightInd w:val="0"/>
              <w:rPr>
                <w:rFonts w:eastAsia="TimesNewRoman"/>
                <w:szCs w:val="22"/>
                <w:lang w:val="sk-SK" w:eastAsia="sk-SK"/>
              </w:rPr>
            </w:pPr>
            <w:r w:rsidRPr="00C637EC">
              <w:rPr>
                <w:rFonts w:eastAsia="TimesNewRoman"/>
                <w:szCs w:val="22"/>
                <w:lang w:val="sk-SK" w:eastAsia="sk-SK"/>
              </w:rPr>
              <w:t>0,0813</w:t>
            </w:r>
          </w:p>
        </w:tc>
      </w:tr>
    </w:tbl>
    <w:p w:rsidR="00A72EBA" w:rsidRPr="003B679E" w:rsidRDefault="00A72EBA" w:rsidP="00A45256">
      <w:pPr>
        <w:pStyle w:val="Normlndobloku"/>
        <w:rPr>
          <w:lang w:eastAsia="sk-SK"/>
        </w:rPr>
      </w:pPr>
      <w:r w:rsidRPr="003B679E">
        <w:rPr>
          <w:lang w:eastAsia="sk-SK"/>
        </w:rPr>
        <w:t xml:space="preserve">* Primárny </w:t>
      </w:r>
      <w:r w:rsidR="00F60C2F">
        <w:rPr>
          <w:lang w:eastAsia="sk-SK"/>
        </w:rPr>
        <w:t>konc</w:t>
      </w:r>
      <w:r w:rsidRPr="003B679E">
        <w:rPr>
          <w:lang w:eastAsia="sk-SK"/>
        </w:rPr>
        <w:t>ový ukazovateľ štúdie</w:t>
      </w:r>
    </w:p>
    <w:p w:rsidR="00A72EBA" w:rsidRDefault="00A72EBA" w:rsidP="004644D9">
      <w:pPr>
        <w:pStyle w:val="Normlndobloku"/>
        <w:rPr>
          <w:lang w:eastAsia="sk-SK"/>
        </w:rPr>
      </w:pPr>
      <w:r w:rsidRPr="003B679E">
        <w:rPr>
          <w:lang w:eastAsia="sk-SK"/>
        </w:rPr>
        <w:t>** Rozdiel v po</w:t>
      </w:r>
      <w:r w:rsidR="007E4B79">
        <w:rPr>
          <w:lang w:eastAsia="sk-SK"/>
        </w:rPr>
        <w:t>dieloch</w:t>
      </w:r>
      <w:r w:rsidRPr="003B679E">
        <w:rPr>
          <w:lang w:eastAsia="sk-SK"/>
        </w:rPr>
        <w:t>, 95 % IS a hodnoty p získané po úprave pri randomizácii</w:t>
      </w:r>
    </w:p>
    <w:p w:rsidR="00F60C2F" w:rsidRPr="003B679E" w:rsidRDefault="00F60C2F" w:rsidP="004F6A00">
      <w:pPr>
        <w:pStyle w:val="Normlndobloku"/>
        <w:rPr>
          <w:lang w:eastAsia="sk-SK"/>
        </w:rPr>
      </w:pPr>
    </w:p>
    <w:p w:rsidR="00A72EBA" w:rsidRDefault="00A72EBA" w:rsidP="004F6A00">
      <w:pPr>
        <w:pStyle w:val="Normlndobloku"/>
        <w:rPr>
          <w:lang w:eastAsia="sk-SK"/>
        </w:rPr>
      </w:pPr>
      <w:r w:rsidRPr="003B679E">
        <w:rPr>
          <w:lang w:eastAsia="sk-SK"/>
        </w:rPr>
        <w:t xml:space="preserve">Prielomová miera IMI do 180. dňa a primárny </w:t>
      </w:r>
      <w:r w:rsidR="00B14DF8">
        <w:rPr>
          <w:lang w:eastAsia="sk-SK"/>
        </w:rPr>
        <w:t>konc</w:t>
      </w:r>
      <w:r w:rsidRPr="003B679E">
        <w:rPr>
          <w:lang w:eastAsia="sk-SK"/>
        </w:rPr>
        <w:t>ový ukazovateľ štúdie, ktorým je úspešnosť v 180. dni u pacientov s AML a myeloablatívnymi prípravnými režimami v uvedenom poradí, je uvedená v tabuľke nižšie:</w:t>
      </w:r>
    </w:p>
    <w:p w:rsidR="00B14DF8" w:rsidRPr="003B679E" w:rsidRDefault="00B14DF8" w:rsidP="004F6A00">
      <w:pPr>
        <w:pStyle w:val="Normlndobloku"/>
        <w:rPr>
          <w:lang w:eastAsia="sk-SK"/>
        </w:rPr>
      </w:pPr>
    </w:p>
    <w:p w:rsidR="00A72EBA" w:rsidRPr="00CB3225" w:rsidRDefault="00A72EBA" w:rsidP="00CD060E">
      <w:pPr>
        <w:autoSpaceDE w:val="0"/>
        <w:autoSpaceDN w:val="0"/>
        <w:adjustRightInd w:val="0"/>
        <w:rPr>
          <w:rFonts w:eastAsia="TimesNewRoman"/>
          <w:noProof/>
          <w:szCs w:val="22"/>
          <w:lang w:val="sk-SK"/>
        </w:rPr>
      </w:pPr>
      <w:r w:rsidRPr="00D32133">
        <w:rPr>
          <w:rFonts w:eastAsia="TimesNewRoman,Bold"/>
          <w:b/>
          <w:bCs/>
          <w:szCs w:val="22"/>
          <w:lang w:val="sk-SK" w:eastAsia="sk-SK"/>
        </w:rPr>
        <w:t>AML</w:t>
      </w:r>
    </w:p>
    <w:p w:rsidR="00A72EBA" w:rsidRPr="00413EE1" w:rsidRDefault="00A72EBA" w:rsidP="00D32133">
      <w:pPr>
        <w:autoSpaceDE w:val="0"/>
        <w:autoSpaceDN w:val="0"/>
        <w:adjustRightInd w:val="0"/>
        <w:rPr>
          <w:rFonts w:eastAsia="TimesNewRoman"/>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349"/>
        <w:gridCol w:w="1292"/>
        <w:gridCol w:w="2819"/>
      </w:tblGrid>
      <w:tr w:rsidR="00A72EBA" w:rsidRPr="00D32133" w:rsidTr="0019731D">
        <w:tc>
          <w:tcPr>
            <w:tcW w:w="3085" w:type="dxa"/>
            <w:shd w:val="clear" w:color="auto" w:fill="auto"/>
          </w:tcPr>
          <w:p w:rsidR="00A72EBA" w:rsidRPr="00D32133" w:rsidRDefault="00E93D6A">
            <w:pPr>
              <w:autoSpaceDE w:val="0"/>
              <w:autoSpaceDN w:val="0"/>
              <w:adjustRightInd w:val="0"/>
              <w:rPr>
                <w:rFonts w:eastAsia="TimesNewRoman,Bold"/>
                <w:b/>
                <w:bCs/>
                <w:szCs w:val="22"/>
                <w:lang w:val="sk-SK" w:eastAsia="sk-SK"/>
              </w:rPr>
            </w:pPr>
            <w:r>
              <w:rPr>
                <w:rFonts w:eastAsia="TimesNewRoman,Bold"/>
                <w:b/>
                <w:bCs/>
                <w:szCs w:val="22"/>
                <w:lang w:val="sk-SK" w:eastAsia="sk-SK"/>
              </w:rPr>
              <w:t>Konc</w:t>
            </w:r>
            <w:r w:rsidR="00A72EBA" w:rsidRPr="00D32133">
              <w:rPr>
                <w:rFonts w:eastAsia="TimesNewRoman,Bold"/>
                <w:b/>
                <w:bCs/>
                <w:szCs w:val="22"/>
                <w:lang w:val="sk-SK" w:eastAsia="sk-SK"/>
              </w:rPr>
              <w:t>ové ukazovatele štúdie</w:t>
            </w:r>
          </w:p>
        </w:tc>
        <w:tc>
          <w:tcPr>
            <w:tcW w:w="1349" w:type="dxa"/>
            <w:shd w:val="clear" w:color="auto" w:fill="auto"/>
          </w:tcPr>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vorikonazol</w:t>
            </w:r>
          </w:p>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(n = 98)</w:t>
            </w:r>
          </w:p>
        </w:tc>
        <w:tc>
          <w:tcPr>
            <w:tcW w:w="1292" w:type="dxa"/>
            <w:shd w:val="clear" w:color="auto" w:fill="auto"/>
          </w:tcPr>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itrakonazol</w:t>
            </w:r>
          </w:p>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(n = 109)</w:t>
            </w:r>
          </w:p>
        </w:tc>
        <w:tc>
          <w:tcPr>
            <w:tcW w:w="2819" w:type="dxa"/>
            <w:shd w:val="clear" w:color="auto" w:fill="auto"/>
          </w:tcPr>
          <w:p w:rsidR="00A72EBA" w:rsidRPr="00FA1D7F"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rozdiel v po</w:t>
            </w:r>
            <w:r w:rsidRPr="00FA1D7F">
              <w:rPr>
                <w:rFonts w:eastAsia="TimesNewRoman,Bold"/>
                <w:b/>
                <w:bCs/>
                <w:szCs w:val="22"/>
                <w:lang w:val="sk-SK" w:eastAsia="sk-SK"/>
              </w:rPr>
              <w:t>dieloch a 95 %</w:t>
            </w:r>
          </w:p>
          <w:p w:rsidR="00A72EBA" w:rsidRPr="00C637EC" w:rsidRDefault="00A72EBA">
            <w:pPr>
              <w:autoSpaceDE w:val="0"/>
              <w:autoSpaceDN w:val="0"/>
              <w:adjustRightInd w:val="0"/>
              <w:rPr>
                <w:rFonts w:eastAsia="TimesNewRoman,Bold"/>
                <w:b/>
                <w:bCs/>
                <w:szCs w:val="22"/>
                <w:lang w:val="sk-SK" w:eastAsia="sk-SK"/>
              </w:rPr>
            </w:pPr>
            <w:r w:rsidRPr="00C637EC">
              <w:rPr>
                <w:rFonts w:eastAsia="TimesNewRoman,Bold"/>
                <w:b/>
                <w:bCs/>
                <w:szCs w:val="22"/>
                <w:lang w:val="sk-SK" w:eastAsia="sk-SK"/>
              </w:rPr>
              <w:t>interval spoľahlivosti (IS)</w:t>
            </w:r>
          </w:p>
        </w:tc>
      </w:tr>
      <w:tr w:rsidR="00A72EBA" w:rsidRPr="00D32133" w:rsidTr="0019731D">
        <w:tc>
          <w:tcPr>
            <w:tcW w:w="3085" w:type="dxa"/>
            <w:shd w:val="clear" w:color="auto" w:fill="auto"/>
          </w:tcPr>
          <w:p w:rsidR="00A72EBA" w:rsidRPr="00CB3225"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Prielomov</w:t>
            </w:r>
            <w:r w:rsidR="00C91CCF">
              <w:rPr>
                <w:rFonts w:eastAsia="TimesNewRoman"/>
                <w:szCs w:val="22"/>
                <w:lang w:val="sk-SK" w:eastAsia="sk-SK"/>
              </w:rPr>
              <w:t>ý</w:t>
            </w:r>
            <w:r w:rsidRPr="00D32133">
              <w:rPr>
                <w:rFonts w:eastAsia="TimesNewRoman"/>
                <w:szCs w:val="22"/>
                <w:lang w:val="sk-SK" w:eastAsia="sk-SK"/>
              </w:rPr>
              <w:t xml:space="preserve"> 180. </w:t>
            </w:r>
            <w:r w:rsidR="00450019">
              <w:rPr>
                <w:rFonts w:eastAsia="TimesNewRoman"/>
                <w:szCs w:val="22"/>
                <w:lang w:val="sk-SK" w:eastAsia="sk-SK"/>
              </w:rPr>
              <w:t>d</w:t>
            </w:r>
            <w:r w:rsidRPr="00D32133">
              <w:rPr>
                <w:rFonts w:eastAsia="TimesNewRoman"/>
                <w:szCs w:val="22"/>
                <w:lang w:val="sk-SK" w:eastAsia="sk-SK"/>
              </w:rPr>
              <w:t>eň</w:t>
            </w:r>
            <w:r w:rsidR="00C91CCF">
              <w:rPr>
                <w:rFonts w:eastAsia="TimesNewRoman"/>
                <w:szCs w:val="22"/>
                <w:lang w:val="sk-SK" w:eastAsia="sk-SK"/>
              </w:rPr>
              <w:t xml:space="preserve"> IMI</w:t>
            </w:r>
          </w:p>
        </w:tc>
        <w:tc>
          <w:tcPr>
            <w:tcW w:w="1349"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1 (1,0 %)</w:t>
            </w:r>
          </w:p>
        </w:tc>
        <w:tc>
          <w:tcPr>
            <w:tcW w:w="1292"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2 (1,8 %)</w:t>
            </w:r>
          </w:p>
        </w:tc>
        <w:tc>
          <w:tcPr>
            <w:tcW w:w="2819"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-0,8 % (-4,0 %; 2,4 %) **</w:t>
            </w:r>
          </w:p>
        </w:tc>
      </w:tr>
      <w:tr w:rsidR="00A72EBA" w:rsidRPr="00D32133" w:rsidTr="0019731D">
        <w:tc>
          <w:tcPr>
            <w:tcW w:w="3085" w:type="dxa"/>
            <w:shd w:val="clear" w:color="auto" w:fill="auto"/>
          </w:tcPr>
          <w:p w:rsidR="00A72EBA" w:rsidRPr="00CB3225"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Úspešnosť v 180. dni*</w:t>
            </w:r>
          </w:p>
        </w:tc>
        <w:tc>
          <w:tcPr>
            <w:tcW w:w="1349"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55 (56,1 %)</w:t>
            </w:r>
          </w:p>
        </w:tc>
        <w:tc>
          <w:tcPr>
            <w:tcW w:w="1292"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45 (41,3 %)</w:t>
            </w:r>
          </w:p>
        </w:tc>
        <w:tc>
          <w:tcPr>
            <w:tcW w:w="2819"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14,7 % (1,7 %; 27,7 %)***</w:t>
            </w:r>
          </w:p>
        </w:tc>
      </w:tr>
    </w:tbl>
    <w:p w:rsidR="00A72EBA" w:rsidRPr="003B679E" w:rsidRDefault="00A72EBA" w:rsidP="00A45256">
      <w:pPr>
        <w:pStyle w:val="Normlndobloku"/>
        <w:rPr>
          <w:lang w:eastAsia="sk-SK"/>
        </w:rPr>
      </w:pPr>
      <w:r w:rsidRPr="003B679E">
        <w:rPr>
          <w:lang w:eastAsia="sk-SK"/>
        </w:rPr>
        <w:t xml:space="preserve">* Primárny </w:t>
      </w:r>
      <w:r w:rsidR="00E93D6A">
        <w:rPr>
          <w:lang w:eastAsia="sk-SK"/>
        </w:rPr>
        <w:t>konc</w:t>
      </w:r>
      <w:r w:rsidRPr="003B679E">
        <w:rPr>
          <w:lang w:eastAsia="sk-SK"/>
        </w:rPr>
        <w:t>ový ukazovateľ štúdie</w:t>
      </w:r>
    </w:p>
    <w:p w:rsidR="00A72EBA" w:rsidRPr="003B679E" w:rsidRDefault="00A72EBA" w:rsidP="004644D9">
      <w:pPr>
        <w:pStyle w:val="Normlndobloku"/>
        <w:rPr>
          <w:lang w:eastAsia="sk-SK"/>
        </w:rPr>
      </w:pPr>
      <w:r w:rsidRPr="003B679E">
        <w:rPr>
          <w:lang w:eastAsia="sk-SK"/>
        </w:rPr>
        <w:t>** S použitím hranice 5</w:t>
      </w:r>
      <w:r w:rsidRPr="003B679E">
        <w:t> </w:t>
      </w:r>
      <w:r w:rsidRPr="003B679E">
        <w:rPr>
          <w:lang w:eastAsia="sk-SK"/>
        </w:rPr>
        <w:t>% sa preukázala noninferiorita</w:t>
      </w:r>
    </w:p>
    <w:p w:rsidR="00A72EBA" w:rsidRDefault="00A72EBA" w:rsidP="004F6A00">
      <w:pPr>
        <w:pStyle w:val="Normlndobloku"/>
        <w:rPr>
          <w:lang w:eastAsia="sk-SK"/>
        </w:rPr>
      </w:pPr>
      <w:r w:rsidRPr="003B679E">
        <w:rPr>
          <w:lang w:eastAsia="sk-SK"/>
        </w:rPr>
        <w:t>*** Rozdiel v po</w:t>
      </w:r>
      <w:r w:rsidR="007E4B79">
        <w:rPr>
          <w:lang w:eastAsia="sk-SK"/>
        </w:rPr>
        <w:t>dieloch</w:t>
      </w:r>
      <w:r w:rsidRPr="003B679E">
        <w:rPr>
          <w:lang w:eastAsia="sk-SK"/>
        </w:rPr>
        <w:t xml:space="preserve"> a 95 % IS získané po úprave pri randomizácii</w:t>
      </w:r>
    </w:p>
    <w:p w:rsidR="005F069E" w:rsidRPr="003B679E" w:rsidRDefault="005F069E" w:rsidP="004F6A00">
      <w:pPr>
        <w:pStyle w:val="Normlndobloku"/>
        <w:rPr>
          <w:lang w:eastAsia="sk-SK"/>
        </w:rPr>
      </w:pPr>
    </w:p>
    <w:p w:rsidR="00A72EBA" w:rsidRDefault="00A72EBA" w:rsidP="004F6A00">
      <w:pPr>
        <w:pStyle w:val="Normlndobloku"/>
        <w:rPr>
          <w:lang w:eastAsia="sk-SK"/>
        </w:rPr>
      </w:pPr>
      <w:r w:rsidRPr="003B679E">
        <w:rPr>
          <w:lang w:eastAsia="sk-SK"/>
        </w:rPr>
        <w:t>Myeloablatívne prípravné režimy</w:t>
      </w:r>
    </w:p>
    <w:p w:rsidR="005F069E" w:rsidRPr="003B679E" w:rsidRDefault="005F069E" w:rsidP="004F6A00">
      <w:pPr>
        <w:pStyle w:val="Normlndobloku"/>
        <w:rPr>
          <w:lang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349"/>
        <w:gridCol w:w="1292"/>
        <w:gridCol w:w="2819"/>
      </w:tblGrid>
      <w:tr w:rsidR="00A72EBA" w:rsidRPr="00D32133" w:rsidTr="0019731D">
        <w:tc>
          <w:tcPr>
            <w:tcW w:w="3085" w:type="dxa"/>
            <w:shd w:val="clear" w:color="auto" w:fill="auto"/>
          </w:tcPr>
          <w:p w:rsidR="00A72EBA" w:rsidRPr="00CB3225" w:rsidRDefault="005F069E" w:rsidP="00CD060E">
            <w:pPr>
              <w:autoSpaceDE w:val="0"/>
              <w:autoSpaceDN w:val="0"/>
              <w:adjustRightInd w:val="0"/>
              <w:rPr>
                <w:rFonts w:eastAsia="TimesNewRoman,Bold"/>
                <w:b/>
                <w:bCs/>
                <w:szCs w:val="22"/>
                <w:lang w:val="sk-SK" w:eastAsia="sk-SK"/>
              </w:rPr>
            </w:pPr>
            <w:r>
              <w:rPr>
                <w:rFonts w:eastAsia="TimesNewRoman,Bold"/>
                <w:b/>
                <w:bCs/>
                <w:szCs w:val="22"/>
                <w:lang w:val="sk-SK" w:eastAsia="sk-SK"/>
              </w:rPr>
              <w:t>Konc</w:t>
            </w:r>
            <w:r w:rsidR="00A72EBA" w:rsidRPr="00D32133">
              <w:rPr>
                <w:rFonts w:eastAsia="TimesNewRoman,Bold"/>
                <w:b/>
                <w:bCs/>
                <w:szCs w:val="22"/>
                <w:lang w:val="sk-SK" w:eastAsia="sk-SK"/>
              </w:rPr>
              <w:t>ové ukazovatele štúdie</w:t>
            </w:r>
          </w:p>
        </w:tc>
        <w:tc>
          <w:tcPr>
            <w:tcW w:w="1349" w:type="dxa"/>
            <w:shd w:val="clear" w:color="auto" w:fill="auto"/>
          </w:tcPr>
          <w:p w:rsidR="00A72EBA" w:rsidRPr="003B679E" w:rsidRDefault="00A72EBA" w:rsidP="00D32133">
            <w:pPr>
              <w:autoSpaceDE w:val="0"/>
              <w:autoSpaceDN w:val="0"/>
              <w:adjustRightInd w:val="0"/>
              <w:rPr>
                <w:rFonts w:eastAsia="TimesNewRoman,Bold"/>
                <w:b/>
                <w:bCs/>
                <w:szCs w:val="22"/>
                <w:lang w:val="sk-SK" w:eastAsia="sk-SK"/>
              </w:rPr>
            </w:pPr>
            <w:r w:rsidRPr="00413EE1">
              <w:rPr>
                <w:rFonts w:eastAsia="TimesNewRoman,Bold"/>
                <w:b/>
                <w:bCs/>
                <w:szCs w:val="22"/>
                <w:lang w:val="sk-SK" w:eastAsia="sk-SK"/>
              </w:rPr>
              <w:t>vorikonazol</w:t>
            </w:r>
          </w:p>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(n = 125)</w:t>
            </w:r>
          </w:p>
        </w:tc>
        <w:tc>
          <w:tcPr>
            <w:tcW w:w="1292" w:type="dxa"/>
            <w:shd w:val="clear" w:color="auto" w:fill="auto"/>
          </w:tcPr>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itrakonazol</w:t>
            </w:r>
          </w:p>
          <w:p w:rsidR="00A72EBA" w:rsidRPr="003B679E"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(n = 143)</w:t>
            </w:r>
          </w:p>
        </w:tc>
        <w:tc>
          <w:tcPr>
            <w:tcW w:w="2819" w:type="dxa"/>
            <w:shd w:val="clear" w:color="auto" w:fill="auto"/>
          </w:tcPr>
          <w:p w:rsidR="00A72EBA" w:rsidRPr="00FA1D7F" w:rsidRDefault="00A72EBA">
            <w:pPr>
              <w:autoSpaceDE w:val="0"/>
              <w:autoSpaceDN w:val="0"/>
              <w:adjustRightInd w:val="0"/>
              <w:rPr>
                <w:rFonts w:eastAsia="TimesNewRoman,Bold"/>
                <w:b/>
                <w:bCs/>
                <w:szCs w:val="22"/>
                <w:lang w:val="sk-SK" w:eastAsia="sk-SK"/>
              </w:rPr>
            </w:pPr>
            <w:r w:rsidRPr="003B679E">
              <w:rPr>
                <w:rFonts w:eastAsia="TimesNewRoman,Bold"/>
                <w:b/>
                <w:bCs/>
                <w:szCs w:val="22"/>
                <w:lang w:val="sk-SK" w:eastAsia="sk-SK"/>
              </w:rPr>
              <w:t>rozdiel v po</w:t>
            </w:r>
            <w:r w:rsidRPr="00FA1D7F">
              <w:rPr>
                <w:rFonts w:eastAsia="TimesNewRoman,Bold"/>
                <w:b/>
                <w:bCs/>
                <w:szCs w:val="22"/>
                <w:lang w:val="sk-SK" w:eastAsia="sk-SK"/>
              </w:rPr>
              <w:t>dieloch a 95 %</w:t>
            </w:r>
          </w:p>
          <w:p w:rsidR="00A72EBA" w:rsidRPr="00C637EC" w:rsidRDefault="00A72EBA">
            <w:pPr>
              <w:autoSpaceDE w:val="0"/>
              <w:autoSpaceDN w:val="0"/>
              <w:adjustRightInd w:val="0"/>
              <w:rPr>
                <w:rFonts w:eastAsia="TimesNewRoman,Bold"/>
                <w:b/>
                <w:bCs/>
                <w:szCs w:val="22"/>
                <w:lang w:val="sk-SK" w:eastAsia="sk-SK"/>
              </w:rPr>
            </w:pPr>
            <w:r w:rsidRPr="00C637EC">
              <w:rPr>
                <w:rFonts w:eastAsia="TimesNewRoman,Bold"/>
                <w:b/>
                <w:bCs/>
                <w:szCs w:val="22"/>
                <w:lang w:val="sk-SK" w:eastAsia="sk-SK"/>
              </w:rPr>
              <w:t>interval spoľahlivosti (IS)</w:t>
            </w:r>
          </w:p>
        </w:tc>
      </w:tr>
      <w:tr w:rsidR="00A72EBA" w:rsidRPr="00D32133" w:rsidTr="0019731D">
        <w:tc>
          <w:tcPr>
            <w:tcW w:w="3085" w:type="dxa"/>
            <w:shd w:val="clear" w:color="auto" w:fill="auto"/>
          </w:tcPr>
          <w:p w:rsidR="00A72EBA" w:rsidRPr="00CB3225"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Prielomov</w:t>
            </w:r>
            <w:r w:rsidR="00C91CCF">
              <w:rPr>
                <w:rFonts w:eastAsia="TimesNewRoman"/>
                <w:szCs w:val="22"/>
                <w:lang w:val="sk-SK" w:eastAsia="sk-SK"/>
              </w:rPr>
              <w:t xml:space="preserve">ý </w:t>
            </w:r>
            <w:r w:rsidRPr="00D32133">
              <w:rPr>
                <w:rFonts w:eastAsia="TimesNewRoman"/>
                <w:szCs w:val="22"/>
                <w:lang w:val="sk-SK" w:eastAsia="sk-SK"/>
              </w:rPr>
              <w:t xml:space="preserve">180. </w:t>
            </w:r>
            <w:r w:rsidR="00450019">
              <w:rPr>
                <w:rFonts w:eastAsia="TimesNewRoman"/>
                <w:szCs w:val="22"/>
                <w:lang w:val="sk-SK" w:eastAsia="sk-SK"/>
              </w:rPr>
              <w:t>d</w:t>
            </w:r>
            <w:r w:rsidRPr="00D32133">
              <w:rPr>
                <w:rFonts w:eastAsia="TimesNewRoman"/>
                <w:szCs w:val="22"/>
                <w:lang w:val="sk-SK" w:eastAsia="sk-SK"/>
              </w:rPr>
              <w:t>eň</w:t>
            </w:r>
            <w:r w:rsidR="00C91CCF">
              <w:rPr>
                <w:rFonts w:eastAsia="TimesNewRoman"/>
                <w:szCs w:val="22"/>
                <w:lang w:val="sk-SK" w:eastAsia="sk-SK"/>
              </w:rPr>
              <w:t xml:space="preserve"> IMI</w:t>
            </w:r>
          </w:p>
        </w:tc>
        <w:tc>
          <w:tcPr>
            <w:tcW w:w="1349"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413EE1">
              <w:rPr>
                <w:rFonts w:eastAsia="TimesNewRoman"/>
                <w:szCs w:val="22"/>
                <w:lang w:val="sk-SK" w:eastAsia="sk-SK"/>
              </w:rPr>
              <w:t>2 (1,6 %)</w:t>
            </w:r>
          </w:p>
        </w:tc>
        <w:tc>
          <w:tcPr>
            <w:tcW w:w="1292"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3 (2,1 %)</w:t>
            </w:r>
          </w:p>
        </w:tc>
        <w:tc>
          <w:tcPr>
            <w:tcW w:w="2819"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-0,5 % (-3,7 %; 2,7 %) **</w:t>
            </w:r>
          </w:p>
        </w:tc>
      </w:tr>
      <w:tr w:rsidR="00A72EBA" w:rsidRPr="00D32133" w:rsidTr="0019731D">
        <w:tc>
          <w:tcPr>
            <w:tcW w:w="3085" w:type="dxa"/>
            <w:shd w:val="clear" w:color="auto" w:fill="auto"/>
          </w:tcPr>
          <w:p w:rsidR="00A72EBA" w:rsidRPr="00413EE1" w:rsidRDefault="00A72EBA" w:rsidP="00CD060E">
            <w:pPr>
              <w:autoSpaceDE w:val="0"/>
              <w:autoSpaceDN w:val="0"/>
              <w:adjustRightInd w:val="0"/>
              <w:rPr>
                <w:rFonts w:eastAsia="TimesNewRoman,Bold"/>
                <w:b/>
                <w:bCs/>
                <w:szCs w:val="22"/>
                <w:lang w:val="sk-SK" w:eastAsia="sk-SK"/>
              </w:rPr>
            </w:pPr>
            <w:r w:rsidRPr="00D32133">
              <w:rPr>
                <w:rFonts w:eastAsia="TimesNewRoman"/>
                <w:szCs w:val="22"/>
                <w:lang w:val="sk-SK" w:eastAsia="sk-SK"/>
              </w:rPr>
              <w:t xml:space="preserve">Úspešnosť </w:t>
            </w:r>
            <w:r w:rsidRPr="00CB3225">
              <w:rPr>
                <w:rFonts w:eastAsia="TimesNewRoman"/>
                <w:szCs w:val="22"/>
                <w:lang w:val="sk-SK" w:eastAsia="sk-SK"/>
              </w:rPr>
              <w:t>v 180. dni*</w:t>
            </w:r>
          </w:p>
        </w:tc>
        <w:tc>
          <w:tcPr>
            <w:tcW w:w="1349" w:type="dxa"/>
            <w:shd w:val="clear" w:color="auto" w:fill="auto"/>
          </w:tcPr>
          <w:p w:rsidR="00A72EBA" w:rsidRPr="00D32133" w:rsidRDefault="00A72EBA" w:rsidP="00D32133">
            <w:pPr>
              <w:autoSpaceDE w:val="0"/>
              <w:autoSpaceDN w:val="0"/>
              <w:adjustRightInd w:val="0"/>
              <w:rPr>
                <w:rFonts w:eastAsia="TimesNewRoman,Bold"/>
                <w:b/>
                <w:bCs/>
                <w:szCs w:val="22"/>
                <w:lang w:val="sk-SK" w:eastAsia="sk-SK"/>
              </w:rPr>
            </w:pPr>
            <w:r w:rsidRPr="00D32133">
              <w:rPr>
                <w:rFonts w:eastAsia="TimesNewRoman"/>
                <w:szCs w:val="22"/>
                <w:lang w:val="sk-SK" w:eastAsia="sk-SK"/>
              </w:rPr>
              <w:t>70 (56,0 %)</w:t>
            </w:r>
          </w:p>
        </w:tc>
        <w:tc>
          <w:tcPr>
            <w:tcW w:w="1292" w:type="dxa"/>
            <w:shd w:val="clear" w:color="auto" w:fill="auto"/>
          </w:tcPr>
          <w:p w:rsidR="00A72EBA" w:rsidRPr="00D32133" w:rsidRDefault="00A72EBA">
            <w:pPr>
              <w:autoSpaceDE w:val="0"/>
              <w:autoSpaceDN w:val="0"/>
              <w:adjustRightInd w:val="0"/>
              <w:rPr>
                <w:rFonts w:eastAsia="TimesNewRoman,Bold"/>
                <w:b/>
                <w:bCs/>
                <w:szCs w:val="22"/>
                <w:lang w:val="sk-SK" w:eastAsia="sk-SK"/>
              </w:rPr>
            </w:pPr>
            <w:r w:rsidRPr="00D32133">
              <w:rPr>
                <w:rFonts w:eastAsia="TimesNewRoman"/>
                <w:szCs w:val="22"/>
                <w:lang w:val="sk-SK" w:eastAsia="sk-SK"/>
              </w:rPr>
              <w:t>53 (37,1 %)</w:t>
            </w:r>
          </w:p>
        </w:tc>
        <w:tc>
          <w:tcPr>
            <w:tcW w:w="2819" w:type="dxa"/>
            <w:shd w:val="clear" w:color="auto" w:fill="auto"/>
          </w:tcPr>
          <w:p w:rsidR="00A72EBA" w:rsidRPr="00D40A28" w:rsidRDefault="00A72EBA">
            <w:pPr>
              <w:autoSpaceDE w:val="0"/>
              <w:autoSpaceDN w:val="0"/>
              <w:adjustRightInd w:val="0"/>
              <w:rPr>
                <w:rFonts w:eastAsia="TimesNewRoman,Bold"/>
                <w:b/>
                <w:bCs/>
                <w:szCs w:val="22"/>
                <w:lang w:val="sk-SK" w:eastAsia="sk-SK"/>
              </w:rPr>
            </w:pPr>
            <w:r w:rsidRPr="00D40A28">
              <w:rPr>
                <w:rFonts w:eastAsia="TimesNewRoman"/>
                <w:szCs w:val="22"/>
                <w:lang w:val="sk-SK" w:eastAsia="sk-SK"/>
              </w:rPr>
              <w:t>20,1 % (8,5 %; 31,7 %)***</w:t>
            </w:r>
          </w:p>
        </w:tc>
      </w:tr>
    </w:tbl>
    <w:p w:rsidR="00A72EBA" w:rsidRPr="003B679E" w:rsidRDefault="00A72EBA" w:rsidP="00A45256">
      <w:pPr>
        <w:pStyle w:val="Normlndobloku"/>
        <w:rPr>
          <w:lang w:eastAsia="sk-SK"/>
        </w:rPr>
      </w:pPr>
      <w:r w:rsidRPr="003B679E">
        <w:rPr>
          <w:lang w:eastAsia="sk-SK"/>
        </w:rPr>
        <w:t xml:space="preserve">* Primárny </w:t>
      </w:r>
      <w:r w:rsidR="005F069E">
        <w:rPr>
          <w:lang w:eastAsia="sk-SK"/>
        </w:rPr>
        <w:t>konc</w:t>
      </w:r>
      <w:r w:rsidRPr="003B679E">
        <w:rPr>
          <w:lang w:eastAsia="sk-SK"/>
        </w:rPr>
        <w:t>ový ukazovateľ štúdie</w:t>
      </w:r>
    </w:p>
    <w:p w:rsidR="00A72EBA" w:rsidRPr="003B679E" w:rsidRDefault="00A72EBA" w:rsidP="004644D9">
      <w:pPr>
        <w:pStyle w:val="Normlndobloku"/>
        <w:rPr>
          <w:lang w:eastAsia="sk-SK"/>
        </w:rPr>
      </w:pPr>
      <w:r w:rsidRPr="003B679E">
        <w:rPr>
          <w:lang w:eastAsia="sk-SK"/>
        </w:rPr>
        <w:t>** S použitím hranice 5 % sa preukázala noninferiorita</w:t>
      </w:r>
    </w:p>
    <w:p w:rsidR="00A72EBA" w:rsidRDefault="00A72EBA" w:rsidP="004F6A00">
      <w:pPr>
        <w:pStyle w:val="Normlndobloku"/>
        <w:rPr>
          <w:lang w:eastAsia="sk-SK"/>
        </w:rPr>
      </w:pPr>
      <w:r w:rsidRPr="003B679E">
        <w:rPr>
          <w:lang w:eastAsia="sk-SK"/>
        </w:rPr>
        <w:t>*** Rozdiel v po</w:t>
      </w:r>
      <w:r w:rsidR="007E4B79">
        <w:rPr>
          <w:lang w:eastAsia="sk-SK"/>
        </w:rPr>
        <w:t>dieloch</w:t>
      </w:r>
      <w:r w:rsidRPr="003B679E">
        <w:rPr>
          <w:lang w:eastAsia="sk-SK"/>
        </w:rPr>
        <w:t xml:space="preserve"> a 95 % IS získané po úprave pri randomizácii</w:t>
      </w:r>
    </w:p>
    <w:p w:rsidR="00FA3A75" w:rsidRPr="003B679E" w:rsidRDefault="00FA3A75" w:rsidP="004F6A00">
      <w:pPr>
        <w:pStyle w:val="Normlndobloku"/>
        <w:rPr>
          <w:noProof/>
        </w:rPr>
      </w:pPr>
    </w:p>
    <w:p w:rsidR="00A72EBA" w:rsidRPr="00C637EC" w:rsidRDefault="00A72EBA" w:rsidP="004F6A00">
      <w:pPr>
        <w:pStyle w:val="Styl3"/>
        <w:rPr>
          <w:lang w:eastAsia="sk-SK"/>
        </w:rPr>
      </w:pPr>
      <w:r w:rsidRPr="004B210D">
        <w:rPr>
          <w:lang w:eastAsia="sk-SK"/>
        </w:rPr>
        <w:t>Sekundárna profylaxia IMI – účinnosť u pacientov, ktorí sú príjemcami HSCT s predchádzajúcou dokázanou alebo pravdepodobnou IMI</w:t>
      </w:r>
    </w:p>
    <w:p w:rsidR="00A72EBA" w:rsidRDefault="00A72EBA" w:rsidP="00A45256">
      <w:pPr>
        <w:pStyle w:val="Normlndobloku"/>
        <w:rPr>
          <w:lang w:eastAsia="sk-SK"/>
        </w:rPr>
      </w:pPr>
      <w:r w:rsidRPr="003B679E">
        <w:rPr>
          <w:lang w:eastAsia="sk-SK"/>
        </w:rPr>
        <w:t xml:space="preserve">Vorikonazol ako sekundárna profylaxia sa skúmal v otvorenej, nekomparatívnej, multicentrickej štúdii </w:t>
      </w:r>
      <w:r w:rsidR="00C637EC">
        <w:rPr>
          <w:lang w:eastAsia="sk-SK"/>
        </w:rPr>
        <w:t>u </w:t>
      </w:r>
      <w:r w:rsidRPr="003B679E">
        <w:rPr>
          <w:lang w:eastAsia="sk-SK"/>
        </w:rPr>
        <w:t xml:space="preserve">dospelých pacientov, ktorí boli príjemcami alogénnej HSCT s predchádzajúcou dokázanou alebo pravdepodobnou IMI. Primárnym </w:t>
      </w:r>
      <w:r w:rsidR="00774C97">
        <w:rPr>
          <w:lang w:eastAsia="sk-SK"/>
        </w:rPr>
        <w:t>konc</w:t>
      </w:r>
      <w:r w:rsidRPr="003B679E">
        <w:rPr>
          <w:lang w:eastAsia="sk-SK"/>
        </w:rPr>
        <w:t>ovým ukazovateľom bola miera výskytu dokázanej alebo pravdepodobnej IMI počas prvého roka po HSCT. Skupina MITT zahŕňala 40 pacientov s predchádzajúcou IMI vrátane 31 pacientov s apergilózou, 5 pacientov s kandidózou a 4 pacientov s inou IMI. Medián dĺžky trvania profylaxie skúšaným liekom v skupine MITT bol 95,5 dní.</w:t>
      </w:r>
    </w:p>
    <w:p w:rsidR="00D94550" w:rsidRPr="003B679E" w:rsidRDefault="00D94550" w:rsidP="004644D9">
      <w:pPr>
        <w:pStyle w:val="Normlndobloku"/>
        <w:rPr>
          <w:lang w:eastAsia="sk-SK"/>
        </w:rPr>
      </w:pPr>
    </w:p>
    <w:p w:rsidR="00426558" w:rsidRDefault="00A72EBA" w:rsidP="004644D9">
      <w:pPr>
        <w:pStyle w:val="Normlndobloku"/>
        <w:rPr>
          <w:lang w:eastAsia="sk-SK"/>
        </w:rPr>
      </w:pPr>
      <w:r w:rsidRPr="003B679E">
        <w:rPr>
          <w:lang w:eastAsia="sk-SK"/>
        </w:rPr>
        <w:t>Dokázané alebo pravdepodobné IMI sa objavili u 7,5 % (3/40) pacientov počas prvého roka po HSCT</w:t>
      </w:r>
      <w:r w:rsidR="00F834B4">
        <w:rPr>
          <w:lang w:eastAsia="sk-SK"/>
        </w:rPr>
        <w:t>, vrátane</w:t>
      </w:r>
      <w:r w:rsidRPr="003B679E">
        <w:rPr>
          <w:lang w:eastAsia="sk-SK"/>
        </w:rPr>
        <w:t xml:space="preserve"> 1 prípad</w:t>
      </w:r>
      <w:r w:rsidR="00F834B4">
        <w:rPr>
          <w:lang w:eastAsia="sk-SK"/>
        </w:rPr>
        <w:t>u</w:t>
      </w:r>
      <w:r w:rsidRPr="003B679E">
        <w:rPr>
          <w:lang w:eastAsia="sk-SK"/>
        </w:rPr>
        <w:t xml:space="preserve"> kandidémie, 1 prípad</w:t>
      </w:r>
      <w:r w:rsidR="00F834B4">
        <w:rPr>
          <w:lang w:eastAsia="sk-SK"/>
        </w:rPr>
        <w:t>u</w:t>
      </w:r>
      <w:r w:rsidRPr="003B679E">
        <w:rPr>
          <w:lang w:eastAsia="sk-SK"/>
        </w:rPr>
        <w:t xml:space="preserve"> scedosporiózy</w:t>
      </w:r>
      <w:r w:rsidRPr="003B679E">
        <w:rPr>
          <w:rFonts w:eastAsia="TimesNewRoman,Italic"/>
          <w:i/>
          <w:iCs/>
          <w:lang w:eastAsia="sk-SK"/>
        </w:rPr>
        <w:t xml:space="preserve"> </w:t>
      </w:r>
      <w:r w:rsidRPr="003B679E">
        <w:rPr>
          <w:lang w:eastAsia="sk-SK"/>
        </w:rPr>
        <w:t>(v obidvoch prípadoch sa jednalo o relapsy predchádzajúcej IMI) a 1 prípad</w:t>
      </w:r>
      <w:r w:rsidR="00F834B4">
        <w:rPr>
          <w:lang w:eastAsia="sk-SK"/>
        </w:rPr>
        <w:t>u</w:t>
      </w:r>
      <w:r w:rsidRPr="003B679E">
        <w:rPr>
          <w:lang w:eastAsia="sk-SK"/>
        </w:rPr>
        <w:t xml:space="preserve"> zygomykózy. Miera prežívania v 180. dni bola 80,0 % (32/40) a </w:t>
      </w:r>
    </w:p>
    <w:p w:rsidR="00A72EBA" w:rsidRDefault="00A72EBA" w:rsidP="004F6A00">
      <w:pPr>
        <w:pStyle w:val="Normlndobloku"/>
        <w:rPr>
          <w:lang w:eastAsia="sk-SK"/>
        </w:rPr>
      </w:pPr>
      <w:r w:rsidRPr="003B679E">
        <w:rPr>
          <w:lang w:eastAsia="sk-SK"/>
        </w:rPr>
        <w:t>v 1. roku bola 70,0 % (28/40).</w:t>
      </w:r>
    </w:p>
    <w:p w:rsidR="00FA3A75" w:rsidRPr="003B679E" w:rsidRDefault="00FA3A75" w:rsidP="004F6A00">
      <w:pPr>
        <w:pStyle w:val="Normlndobloku"/>
        <w:rPr>
          <w:lang w:eastAsia="sk-SK"/>
        </w:rPr>
      </w:pPr>
    </w:p>
    <w:p w:rsidR="00A72EBA" w:rsidRPr="004B210D" w:rsidRDefault="00A72EBA" w:rsidP="004F6A00">
      <w:pPr>
        <w:pStyle w:val="Styl3"/>
        <w:rPr>
          <w:noProof/>
        </w:rPr>
      </w:pPr>
      <w:r w:rsidRPr="004B210D">
        <w:rPr>
          <w:noProof/>
        </w:rPr>
        <w:t>Dĺžka liečby</w:t>
      </w:r>
    </w:p>
    <w:p w:rsidR="00A72EBA" w:rsidRDefault="00A72EBA" w:rsidP="00A45256">
      <w:pPr>
        <w:pStyle w:val="Normlndobloku"/>
        <w:rPr>
          <w:noProof/>
        </w:rPr>
      </w:pPr>
      <w:r w:rsidRPr="003B679E">
        <w:rPr>
          <w:noProof/>
        </w:rPr>
        <w:t>V klinických skúšaniach užívalo 705 pacientov vorikonazol dlhšie ako 12 týždňov a 164 pacientov dlhšie ako 6 mesiacov.</w:t>
      </w:r>
    </w:p>
    <w:p w:rsidR="00FA3A75" w:rsidRPr="003B679E" w:rsidRDefault="00FA3A75" w:rsidP="004644D9">
      <w:pPr>
        <w:pStyle w:val="Normlndobloku"/>
        <w:rPr>
          <w:noProof/>
        </w:rPr>
      </w:pPr>
    </w:p>
    <w:p w:rsidR="00A72EBA" w:rsidRPr="004B210D" w:rsidRDefault="00A72EBA" w:rsidP="004F6A00">
      <w:pPr>
        <w:pStyle w:val="Styl3"/>
        <w:rPr>
          <w:noProof/>
        </w:rPr>
      </w:pPr>
      <w:r w:rsidRPr="004B210D">
        <w:rPr>
          <w:noProof/>
        </w:rPr>
        <w:t>Pediatrická populácia</w:t>
      </w:r>
    </w:p>
    <w:p w:rsidR="00A72EBA" w:rsidRDefault="00A72EBA" w:rsidP="00A45256">
      <w:pPr>
        <w:pStyle w:val="Normlndobloku"/>
        <w:rPr>
          <w:noProof/>
        </w:rPr>
      </w:pPr>
      <w:r w:rsidRPr="003B679E">
        <w:rPr>
          <w:noProof/>
        </w:rPr>
        <w:t>Vorikonazolom sa liečilo 53</w:t>
      </w:r>
      <w:r w:rsidR="006626EE">
        <w:rPr>
          <w:noProof/>
        </w:rPr>
        <w:t xml:space="preserve"> </w:t>
      </w:r>
      <w:r w:rsidRPr="003B679E">
        <w:rPr>
          <w:noProof/>
        </w:rPr>
        <w:t>pediatrických pacientov vo veku od 2 až &lt; 18 rokov v dvoch prospektívnych, otvorených, nekomparatívnych, multicentrických klinických skúšaniach. Do jednej štúdie bolo zaradených 31 pacientov s možnou, dokázanou alebo pravdepodobnou invazívnou aspergilózou (IA), z ktorých 14 pacientov malo dokázanú alebo pravdepodobnú IA a boli zahrnutí do MITT analýz účinnosti. Do druhej štúdie bolo zaradených 22 pacientov s invazívnou kandidózou vrátane kandidémie (ICC) a ezofageáln</w:t>
      </w:r>
      <w:r w:rsidR="00C30443">
        <w:rPr>
          <w:noProof/>
        </w:rPr>
        <w:t>ej</w:t>
      </w:r>
      <w:r w:rsidRPr="003B679E">
        <w:rPr>
          <w:noProof/>
        </w:rPr>
        <w:t xml:space="preserve"> kandidóz</w:t>
      </w:r>
      <w:r w:rsidR="00C30443">
        <w:rPr>
          <w:noProof/>
        </w:rPr>
        <w:t>y</w:t>
      </w:r>
      <w:r w:rsidRPr="003B679E">
        <w:rPr>
          <w:noProof/>
        </w:rPr>
        <w:t xml:space="preserve"> (EC) vyžadujúcich buď primárnu alebo záchrannú liečbu, z ktorých 17 bolo zahrnutých do</w:t>
      </w:r>
      <w:r w:rsidR="002F2F84">
        <w:rPr>
          <w:noProof/>
        </w:rPr>
        <w:t> </w:t>
      </w:r>
      <w:r w:rsidRPr="003B679E">
        <w:rPr>
          <w:noProof/>
        </w:rPr>
        <w:t>MITT analýz účinnosti. U pacientov s IA bol celkový výskyt globálnej odpovede v 6 týždni 64,3 % (9/14), výskyt globálnej odpovede bol 40 % (2/5) u pacientov vo veku od 2 až &lt; 12 rokov a 77,8 % (7/9) u pacientov vo veku od 12 až &lt; 18 rokov. Výskyt globálnej odpovede bol 85,7 % (6/7) v bode EOT, t.j. v bode ukončenia liečby (EOT) u pacientov s ICC a 70 % (7/10) v bode EOT u pacientov s EC. Celkový výskyt odpovede (u pacientov s ICC aj EC) bol 88,9 % (8/9) u pacientov vo veku od 2 až &gt; 12 rokov a 62,5 % (5/8) u pacientov vo veku od 12 až &gt; 18 rokov.</w:t>
      </w:r>
    </w:p>
    <w:p w:rsidR="00FA3A75" w:rsidRPr="003B679E" w:rsidRDefault="00FA3A75" w:rsidP="004644D9">
      <w:pPr>
        <w:pStyle w:val="Normlndobloku"/>
        <w:rPr>
          <w:noProof/>
        </w:rPr>
      </w:pPr>
    </w:p>
    <w:p w:rsidR="00A72EBA" w:rsidRPr="004B210D" w:rsidRDefault="00A72EBA" w:rsidP="004F6A00">
      <w:pPr>
        <w:pStyle w:val="Styl3"/>
        <w:rPr>
          <w:noProof/>
        </w:rPr>
      </w:pPr>
      <w:r w:rsidRPr="004B210D">
        <w:rPr>
          <w:noProof/>
        </w:rPr>
        <w:lastRenderedPageBreak/>
        <w:t>Klinické štúdie zamerané na skúmanie QTc intervalu</w:t>
      </w:r>
    </w:p>
    <w:p w:rsidR="00EF7A6B" w:rsidRPr="00DF1646" w:rsidRDefault="00A72EBA" w:rsidP="00F418D6">
      <w:pPr>
        <w:pStyle w:val="Normlndobloku"/>
        <w:rPr>
          <w:rFonts w:eastAsia="TimesNewRoman"/>
          <w:noProof/>
        </w:rPr>
      </w:pPr>
      <w:r w:rsidRPr="003B679E">
        <w:rPr>
          <w:noProof/>
        </w:rPr>
        <w:t xml:space="preserve">Placebom kontrolovaná, randomizovaná, jednodávková, skrížená štúdia zameraná na vyhodnotenie vplyvu na QTc interval u zdravých dobrovoľníkov bola vykonaná s tromi perorálnymi dávkami vorikonazolu a jednou dávkou ketokonazolu. Jednotlivé priemerné maximálne predĺženia QTc </w:t>
      </w:r>
      <w:r w:rsidR="00EF7A6B">
        <w:rPr>
          <w:noProof/>
        </w:rPr>
        <w:t xml:space="preserve">intervalu </w:t>
      </w:r>
      <w:r w:rsidRPr="003B679E">
        <w:rPr>
          <w:noProof/>
        </w:rPr>
        <w:t xml:space="preserve">v porovnaní s placebom oproti východiskovým hodnotám po 800 mg, 1 200 mg a 1 600 mg vorikonazolu boli 5,1 ms, 4,8 ms a 8,2 ms, v uvedenom poradí, a 7,0 ms v prípade 800 mg ketokonazolu. U žiadneho zo skúšaných </w:t>
      </w:r>
      <w:r w:rsidR="00252D01">
        <w:rPr>
          <w:noProof/>
        </w:rPr>
        <w:t>jedinc</w:t>
      </w:r>
      <w:r w:rsidRPr="003B679E">
        <w:rPr>
          <w:noProof/>
        </w:rPr>
        <w:t>ov v žiadnej skupine ne</w:t>
      </w:r>
      <w:r w:rsidR="00EF7A6B">
        <w:rPr>
          <w:noProof/>
        </w:rPr>
        <w:t>do</w:t>
      </w:r>
      <w:r w:rsidRPr="003B679E">
        <w:rPr>
          <w:noProof/>
        </w:rPr>
        <w:t xml:space="preserve">šlo k predĺženiu QTc intervalu </w:t>
      </w:r>
      <w:r w:rsidR="00EF7A6B" w:rsidRPr="00DF1646">
        <w:rPr>
          <w:rFonts w:eastAsia="TimesNewRoman"/>
          <w:noProof/>
        </w:rPr>
        <w:t xml:space="preserve">o </w:t>
      </w:r>
      <w:r w:rsidR="00B44963">
        <w:rPr>
          <w:rFonts w:eastAsia="TimesNewRoman"/>
          <w:noProof/>
        </w:rPr>
        <w:t>≥</w:t>
      </w:r>
      <w:r w:rsidR="00EF7A6B" w:rsidRPr="00DF1646">
        <w:rPr>
          <w:rFonts w:eastAsia="TimesNewRoman"/>
          <w:noProof/>
        </w:rPr>
        <w:t xml:space="preserve"> 60 m</w:t>
      </w:r>
      <w:r w:rsidR="00EF7A6B">
        <w:rPr>
          <w:rFonts w:eastAsia="TimesNewRoman"/>
          <w:noProof/>
        </w:rPr>
        <w:t>s voči východiskovej hodnote. U </w:t>
      </w:r>
      <w:r w:rsidR="00EF7A6B" w:rsidRPr="00DF1646">
        <w:rPr>
          <w:rFonts w:eastAsia="TimesNewRoman"/>
          <w:noProof/>
        </w:rPr>
        <w:t xml:space="preserve">žiadneho zo skúšaných </w:t>
      </w:r>
      <w:r w:rsidR="00EF7A6B">
        <w:rPr>
          <w:rFonts w:eastAsia="TimesNewRoman"/>
          <w:noProof/>
        </w:rPr>
        <w:t>jedinc</w:t>
      </w:r>
      <w:r w:rsidR="00EF7A6B" w:rsidRPr="00DF1646">
        <w:rPr>
          <w:rFonts w:eastAsia="TimesNewRoman"/>
          <w:noProof/>
        </w:rPr>
        <w:t xml:space="preserve">ov nebol zaznamenaný interval presahujúci potenciálne klinicky významnú </w:t>
      </w:r>
      <w:r w:rsidR="00A60C5D">
        <w:rPr>
          <w:rFonts w:eastAsia="TimesNewRoman"/>
          <w:noProof/>
        </w:rPr>
        <w:t>hranicu 500 </w:t>
      </w:r>
      <w:r w:rsidR="00EF7A6B" w:rsidRPr="00DF1646">
        <w:rPr>
          <w:rFonts w:eastAsia="TimesNewRoman"/>
          <w:noProof/>
        </w:rPr>
        <w:t>ms.</w:t>
      </w:r>
    </w:p>
    <w:p w:rsidR="00FA3A75" w:rsidRPr="003B679E" w:rsidRDefault="00FA3A75" w:rsidP="00A45256">
      <w:pPr>
        <w:pStyle w:val="Normlndobloku"/>
        <w:rPr>
          <w:noProof/>
        </w:rPr>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Farmakokinetické vlastnosti</w:t>
      </w:r>
    </w:p>
    <w:p w:rsidR="00FA3A75" w:rsidRPr="00CB3225" w:rsidRDefault="00FA3A75" w:rsidP="003B679E">
      <w:pPr>
        <w:pStyle w:val="Styl2"/>
        <w:numPr>
          <w:ilvl w:val="0"/>
          <w:numId w:val="0"/>
        </w:numPr>
        <w:spacing w:before="0" w:after="0"/>
        <w:rPr>
          <w:szCs w:val="22"/>
          <w:lang w:val="sk-SK"/>
        </w:rPr>
      </w:pPr>
    </w:p>
    <w:p w:rsidR="00A72EBA" w:rsidRPr="004B210D" w:rsidRDefault="00A72EBA" w:rsidP="004F6A00">
      <w:pPr>
        <w:pStyle w:val="Styl3"/>
        <w:rPr>
          <w:noProof/>
        </w:rPr>
      </w:pPr>
      <w:r w:rsidRPr="004B210D">
        <w:rPr>
          <w:noProof/>
        </w:rPr>
        <w:t>Všeobecná farmakokinetická charakteristika</w:t>
      </w:r>
    </w:p>
    <w:p w:rsidR="00A72EBA" w:rsidRDefault="00A72EBA" w:rsidP="00A45256">
      <w:pPr>
        <w:pStyle w:val="Normlndobloku"/>
        <w:rPr>
          <w:noProof/>
        </w:rPr>
      </w:pPr>
      <w:r w:rsidRPr="003B679E">
        <w:rPr>
          <w:noProof/>
        </w:rPr>
        <w:t>Farmakokinetika vorikonazolu bola stanovená u zdravých jedincov, špeciáln</w:t>
      </w:r>
      <w:r w:rsidR="00E846EC">
        <w:rPr>
          <w:noProof/>
        </w:rPr>
        <w:t>ych</w:t>
      </w:r>
      <w:r w:rsidRPr="003B679E">
        <w:rPr>
          <w:noProof/>
        </w:rPr>
        <w:t xml:space="preserve"> populáci</w:t>
      </w:r>
      <w:r w:rsidR="00E846EC">
        <w:rPr>
          <w:noProof/>
        </w:rPr>
        <w:t>í</w:t>
      </w:r>
      <w:r w:rsidRPr="003B679E">
        <w:rPr>
          <w:noProof/>
        </w:rPr>
        <w:t xml:space="preserve"> a pacientov. Počas perorálneho podávania 200 mg alebo </w:t>
      </w:r>
      <w:r w:rsidRPr="003B679E">
        <w:t>300 mg</w:t>
      </w:r>
      <w:r w:rsidRPr="003B679E">
        <w:rPr>
          <w:noProof/>
        </w:rPr>
        <w:t xml:space="preserve"> dvakrát denne počas 14 dní u pacientov s rizikom aspergilózy (prevažne u pacientov s malígnymi novotvarmi lymfatického alebo hematopoetického tkaniva) boli zistené farmakokinetické </w:t>
      </w:r>
      <w:r w:rsidR="00BA5CEA">
        <w:rPr>
          <w:noProof/>
        </w:rPr>
        <w:t>vlastnosti</w:t>
      </w:r>
      <w:r w:rsidRPr="003B679E">
        <w:rPr>
          <w:noProof/>
        </w:rPr>
        <w:t> rýchl</w:t>
      </w:r>
      <w:r w:rsidR="00B55C66">
        <w:rPr>
          <w:noProof/>
        </w:rPr>
        <w:t>ej</w:t>
      </w:r>
      <w:r w:rsidRPr="003B679E">
        <w:rPr>
          <w:noProof/>
        </w:rPr>
        <w:t xml:space="preserve"> a </w:t>
      </w:r>
      <w:r w:rsidR="00B55C66">
        <w:rPr>
          <w:noProof/>
        </w:rPr>
        <w:t>pravidelnej</w:t>
      </w:r>
      <w:r w:rsidRPr="003B679E">
        <w:rPr>
          <w:noProof/>
        </w:rPr>
        <w:t xml:space="preserve"> absorpci</w:t>
      </w:r>
      <w:r w:rsidR="00B55C66">
        <w:rPr>
          <w:noProof/>
        </w:rPr>
        <w:t>e</w:t>
      </w:r>
      <w:r w:rsidRPr="003B679E">
        <w:rPr>
          <w:noProof/>
        </w:rPr>
        <w:t>, akumuláci</w:t>
      </w:r>
      <w:r w:rsidR="00B55C66">
        <w:rPr>
          <w:noProof/>
        </w:rPr>
        <w:t>e</w:t>
      </w:r>
      <w:r w:rsidRPr="003B679E">
        <w:rPr>
          <w:noProof/>
        </w:rPr>
        <w:t xml:space="preserve"> a nelineárn</w:t>
      </w:r>
      <w:r w:rsidR="00B55C66">
        <w:rPr>
          <w:noProof/>
        </w:rPr>
        <w:t>ej</w:t>
      </w:r>
      <w:r w:rsidRPr="003B679E">
        <w:rPr>
          <w:noProof/>
        </w:rPr>
        <w:t xml:space="preserve"> farmakokinetik</w:t>
      </w:r>
      <w:r w:rsidR="00B55C66">
        <w:rPr>
          <w:noProof/>
        </w:rPr>
        <w:t>y</w:t>
      </w:r>
      <w:r w:rsidRPr="003B679E">
        <w:rPr>
          <w:noProof/>
        </w:rPr>
        <w:t>, v súlade s </w:t>
      </w:r>
      <w:r w:rsidR="00BA5CEA">
        <w:rPr>
          <w:noProof/>
        </w:rPr>
        <w:t>vlastnosťami</w:t>
      </w:r>
      <w:r w:rsidRPr="003B679E">
        <w:rPr>
          <w:noProof/>
        </w:rPr>
        <w:t xml:space="preserve"> </w:t>
      </w:r>
      <w:r w:rsidR="00BA5CEA">
        <w:rPr>
          <w:noProof/>
        </w:rPr>
        <w:t>pozorova</w:t>
      </w:r>
      <w:r w:rsidRPr="003B679E">
        <w:rPr>
          <w:noProof/>
        </w:rPr>
        <w:t>nými u zdravých jedincov.</w:t>
      </w:r>
    </w:p>
    <w:p w:rsidR="0055535F" w:rsidRPr="003B679E" w:rsidRDefault="0055535F" w:rsidP="004644D9">
      <w:pPr>
        <w:pStyle w:val="Normlndobloku"/>
        <w:rPr>
          <w:noProof/>
        </w:rPr>
      </w:pPr>
    </w:p>
    <w:p w:rsidR="00ED3B17" w:rsidRDefault="00A72EBA" w:rsidP="004F6A00">
      <w:pPr>
        <w:pStyle w:val="Normlndobloku"/>
        <w:rPr>
          <w:noProof/>
        </w:rPr>
      </w:pPr>
      <w:r w:rsidRPr="003B679E">
        <w:rPr>
          <w:noProof/>
        </w:rPr>
        <w:t xml:space="preserve">Farmakokinetika vorikonazolu je nelineárneho typu vzhľadom na saturáciu jeho metabolizmu. So stúpajúcou dávkou sa pozoruje väčší ako proporcionálny vzostup expozície. Odhaduje sa, že v priemere vzostup perorálnej dávky z 200 mg dvakrát denne na 300 mg dvakrát denne vedie </w:t>
      </w:r>
    </w:p>
    <w:p w:rsidR="00A72EBA" w:rsidRDefault="00A72EBA" w:rsidP="004F6A00">
      <w:pPr>
        <w:pStyle w:val="Normlndobloku"/>
        <w:rPr>
          <w:noProof/>
        </w:rPr>
      </w:pPr>
      <w:r w:rsidRPr="003B679E">
        <w:rPr>
          <w:noProof/>
        </w:rPr>
        <w:t>k 2,5-násobnému vzostupu expozície (AUC</w:t>
      </w:r>
      <w:r w:rsidRPr="003B679E">
        <w:rPr>
          <w:noProof/>
          <w:vertAlign w:val="subscript"/>
        </w:rPr>
        <w:t>τ</w:t>
      </w:r>
      <w:r w:rsidRPr="003B679E">
        <w:rPr>
          <w:noProof/>
        </w:rPr>
        <w:t>). Pri perorálnej udržiavacej dávke 200 mg (alebo 100 mg u pacientov s menej ako 40 kg) sa dosiahne expozícia vorikonazolu, ktorá je podobná expozícii pri</w:t>
      </w:r>
      <w:r w:rsidR="0076384D">
        <w:rPr>
          <w:noProof/>
        </w:rPr>
        <w:t> </w:t>
      </w:r>
      <w:r w:rsidRPr="003B679E">
        <w:rPr>
          <w:noProof/>
        </w:rPr>
        <w:t>intravenóznej dávke 3 mg/kg. Pri perorálnej udržiavacej dávke 300 mg (alebo 150 mg u pacientov s menej ako 40 kg) sa dosiahne expozícia, ktorá je podobná expozícii pri intravenóznej dávke 4 mg/kg. Pri</w:t>
      </w:r>
      <w:r w:rsidR="0049594D">
        <w:rPr>
          <w:noProof/>
        </w:rPr>
        <w:t> </w:t>
      </w:r>
      <w:r w:rsidRPr="003B679E">
        <w:rPr>
          <w:noProof/>
        </w:rPr>
        <w:t>dodržaní odporúčaného intravenózneho a perorálneho nasycovacieho dávkovania sa dosiahnu plazmatické koncentrácie blízke rovnovážnemu stavu počas prvých 24 hodín. Bez nasycovac</w:t>
      </w:r>
      <w:r w:rsidR="0078463B">
        <w:rPr>
          <w:noProof/>
        </w:rPr>
        <w:t xml:space="preserve">ej dávky dochádza k hromadeniu pri podaní dávky dvakrát denne, pričom väčšina jedincov dosiahne </w:t>
      </w:r>
      <w:r w:rsidRPr="003B679E">
        <w:rPr>
          <w:noProof/>
        </w:rPr>
        <w:t>rovnovážn</w:t>
      </w:r>
      <w:r w:rsidR="0078463B">
        <w:rPr>
          <w:noProof/>
        </w:rPr>
        <w:t>y</w:t>
      </w:r>
      <w:r w:rsidRPr="003B679E">
        <w:rPr>
          <w:noProof/>
        </w:rPr>
        <w:t xml:space="preserve"> stav</w:t>
      </w:r>
      <w:r w:rsidR="0078463B">
        <w:rPr>
          <w:noProof/>
        </w:rPr>
        <w:t xml:space="preserve"> plazmatických</w:t>
      </w:r>
      <w:r w:rsidRPr="003B679E">
        <w:rPr>
          <w:noProof/>
        </w:rPr>
        <w:t xml:space="preserve"> koncentrácií vorikonazolu na 6.deň.</w:t>
      </w:r>
    </w:p>
    <w:p w:rsidR="008C7885" w:rsidRPr="003B679E" w:rsidRDefault="008C7885" w:rsidP="004F6A00">
      <w:pPr>
        <w:pStyle w:val="Normlndobloku"/>
        <w:rPr>
          <w:noProof/>
        </w:rPr>
      </w:pPr>
    </w:p>
    <w:p w:rsidR="00A72EBA" w:rsidRPr="004B210D" w:rsidRDefault="00A72EBA" w:rsidP="004F6A00">
      <w:pPr>
        <w:pStyle w:val="Styl3"/>
        <w:rPr>
          <w:noProof/>
        </w:rPr>
      </w:pPr>
      <w:r w:rsidRPr="004B210D">
        <w:rPr>
          <w:noProof/>
        </w:rPr>
        <w:t>Absorpcia</w:t>
      </w:r>
    </w:p>
    <w:p w:rsidR="00A72EBA" w:rsidRDefault="00A72EBA" w:rsidP="00A45256">
      <w:pPr>
        <w:pStyle w:val="Normlndobloku"/>
        <w:rPr>
          <w:noProof/>
        </w:rPr>
      </w:pPr>
      <w:r w:rsidRPr="003B679E">
        <w:rPr>
          <w:noProof/>
        </w:rPr>
        <w:t>Vorikonazol sa absorbuje rýchlo a takmer úplne po perorálnom podaní, pričom maximálne plazmatické koncentrácie (C</w:t>
      </w:r>
      <w:r w:rsidRPr="003B679E">
        <w:rPr>
          <w:noProof/>
          <w:vertAlign w:val="subscript"/>
        </w:rPr>
        <w:t>max</w:t>
      </w:r>
      <w:r w:rsidRPr="003B679E">
        <w:rPr>
          <w:noProof/>
        </w:rPr>
        <w:t>) dosiahne počas 1 – 2 hod</w:t>
      </w:r>
      <w:r w:rsidR="00E56DDA">
        <w:rPr>
          <w:noProof/>
        </w:rPr>
        <w:t>ín</w:t>
      </w:r>
      <w:r w:rsidRPr="003B679E">
        <w:rPr>
          <w:noProof/>
        </w:rPr>
        <w:t xml:space="preserve"> po podaní dávky. Absolútna biologická dostupnosť vorikonazolu pri perorálnom podaní sa odhaduje na 96 %. Pri podávaní opakovaných dávkach vorikonazolu spolu s jedlom s vysokým obsahom tuku dochádza k redukcii C</w:t>
      </w:r>
      <w:r w:rsidRPr="003B679E">
        <w:rPr>
          <w:noProof/>
          <w:vertAlign w:val="subscript"/>
        </w:rPr>
        <w:t>max</w:t>
      </w:r>
      <w:r w:rsidRPr="003B679E">
        <w:rPr>
          <w:noProof/>
        </w:rPr>
        <w:t xml:space="preserve"> o 34 % a AUC</w:t>
      </w:r>
      <w:r w:rsidRPr="003B679E">
        <w:rPr>
          <w:noProof/>
          <w:vertAlign w:val="subscript"/>
        </w:rPr>
        <w:t>τ</w:t>
      </w:r>
      <w:r w:rsidRPr="003B679E">
        <w:rPr>
          <w:noProof/>
        </w:rPr>
        <w:t xml:space="preserve"> o 24 %. Absorpciu vorikonazolu neovplyvňuj</w:t>
      </w:r>
      <w:r w:rsidR="009B390A">
        <w:rPr>
          <w:noProof/>
        </w:rPr>
        <w:t>ú</w:t>
      </w:r>
      <w:r w:rsidRPr="003B679E">
        <w:rPr>
          <w:noProof/>
        </w:rPr>
        <w:t xml:space="preserve"> zmen</w:t>
      </w:r>
      <w:r w:rsidR="009B390A">
        <w:rPr>
          <w:noProof/>
        </w:rPr>
        <w:t>y</w:t>
      </w:r>
      <w:r w:rsidRPr="003B679E">
        <w:rPr>
          <w:noProof/>
        </w:rPr>
        <w:t xml:space="preserve"> pH v žalúdku.</w:t>
      </w:r>
    </w:p>
    <w:p w:rsidR="008C7885" w:rsidRPr="003B679E" w:rsidRDefault="008C7885" w:rsidP="004644D9">
      <w:pPr>
        <w:pStyle w:val="Normlndobloku"/>
        <w:rPr>
          <w:noProof/>
        </w:rPr>
      </w:pPr>
    </w:p>
    <w:p w:rsidR="00A72EBA" w:rsidRPr="004B210D" w:rsidRDefault="00A72EBA" w:rsidP="004F6A00">
      <w:pPr>
        <w:pStyle w:val="Styl3"/>
        <w:rPr>
          <w:noProof/>
        </w:rPr>
      </w:pPr>
      <w:r w:rsidRPr="004B210D">
        <w:rPr>
          <w:noProof/>
        </w:rPr>
        <w:t>Distribúcia</w:t>
      </w:r>
    </w:p>
    <w:p w:rsidR="00A72EBA" w:rsidRDefault="00A72EBA" w:rsidP="00A45256">
      <w:pPr>
        <w:pStyle w:val="Normlndobloku"/>
        <w:rPr>
          <w:noProof/>
        </w:rPr>
      </w:pPr>
      <w:r w:rsidRPr="003B679E">
        <w:rPr>
          <w:noProof/>
        </w:rPr>
        <w:t>Distribučný objem vorikonazolu v rovnovážnom stave sa odhaduje na 4,6 l/kg, čo svedčí o extenzívnej distribúcii do tkanív. Väzba na plazmatické proteíny sa odhaduje na 58 %. Vzorky cerebrospinálneho moku od 8 pacientov získané v programe umožňujúc</w:t>
      </w:r>
      <w:r w:rsidR="00403374">
        <w:rPr>
          <w:noProof/>
        </w:rPr>
        <w:t>om</w:t>
      </w:r>
      <w:r w:rsidRPr="003B679E">
        <w:rPr>
          <w:noProof/>
        </w:rPr>
        <w:t xml:space="preserve"> poskytnúť pacientovi liek z humanitárnych dôvodov </w:t>
      </w:r>
      <w:r w:rsidR="002F585D">
        <w:rPr>
          <w:noProof/>
        </w:rPr>
        <w:t>preu</w:t>
      </w:r>
      <w:r w:rsidRPr="003B679E">
        <w:rPr>
          <w:noProof/>
        </w:rPr>
        <w:t>k</w:t>
      </w:r>
      <w:r w:rsidR="002F585D">
        <w:rPr>
          <w:noProof/>
        </w:rPr>
        <w:t>áza</w:t>
      </w:r>
      <w:r w:rsidRPr="003B679E">
        <w:rPr>
          <w:noProof/>
        </w:rPr>
        <w:t xml:space="preserve">li detegovateľné </w:t>
      </w:r>
      <w:r w:rsidR="002F585D">
        <w:rPr>
          <w:noProof/>
        </w:rPr>
        <w:t>koncentrácie</w:t>
      </w:r>
      <w:r w:rsidRPr="003B679E">
        <w:rPr>
          <w:noProof/>
        </w:rPr>
        <w:t xml:space="preserve"> vorikonazolu u všetkých pacientov.</w:t>
      </w:r>
    </w:p>
    <w:p w:rsidR="008C7885" w:rsidRPr="003B679E" w:rsidRDefault="008C7885" w:rsidP="004644D9">
      <w:pPr>
        <w:pStyle w:val="Normlndobloku"/>
        <w:rPr>
          <w:noProof/>
        </w:rPr>
      </w:pPr>
    </w:p>
    <w:p w:rsidR="00A72EBA" w:rsidRPr="004B210D" w:rsidRDefault="00A72EBA" w:rsidP="004F6A00">
      <w:pPr>
        <w:pStyle w:val="Styl3"/>
        <w:rPr>
          <w:noProof/>
        </w:rPr>
      </w:pPr>
      <w:r w:rsidRPr="004B210D">
        <w:rPr>
          <w:noProof/>
        </w:rPr>
        <w:t>Biotransformácia</w:t>
      </w:r>
    </w:p>
    <w:p w:rsidR="00A72EBA" w:rsidRDefault="00A72EBA" w:rsidP="00A45256">
      <w:pPr>
        <w:pStyle w:val="Normlndobloku"/>
        <w:rPr>
          <w:noProof/>
        </w:rPr>
      </w:pPr>
      <w:r w:rsidRPr="003B679E">
        <w:rPr>
          <w:noProof/>
        </w:rPr>
        <w:t xml:space="preserve">Štúdie </w:t>
      </w:r>
      <w:r w:rsidRPr="003B679E">
        <w:rPr>
          <w:rFonts w:eastAsia="TimesNewRoman,Italic"/>
          <w:i/>
          <w:iCs/>
          <w:noProof/>
        </w:rPr>
        <w:t xml:space="preserve">in vitro </w:t>
      </w:r>
      <w:r w:rsidRPr="003B679E">
        <w:rPr>
          <w:noProof/>
        </w:rPr>
        <w:t>ukázali, že vorikonazol sa metabolizuje izoenzýmami CYP2C19, CYP2C9 a CYP3A4 pečeňového cytochrómu P450.</w:t>
      </w:r>
    </w:p>
    <w:p w:rsidR="00D910BC" w:rsidRPr="003B679E" w:rsidRDefault="00D910BC" w:rsidP="004644D9">
      <w:pPr>
        <w:pStyle w:val="Normlndobloku"/>
        <w:rPr>
          <w:noProof/>
        </w:rPr>
      </w:pPr>
    </w:p>
    <w:p w:rsidR="00A72EBA" w:rsidRDefault="00A72EBA" w:rsidP="004F6A00">
      <w:pPr>
        <w:pStyle w:val="Normlndobloku"/>
        <w:rPr>
          <w:noProof/>
        </w:rPr>
      </w:pPr>
      <w:r w:rsidRPr="003B679E">
        <w:rPr>
          <w:noProof/>
        </w:rPr>
        <w:t>Interindividuálna variabilita farmakokinetiky vorikonazolu je vysoká.</w:t>
      </w:r>
    </w:p>
    <w:p w:rsidR="00D910BC" w:rsidRPr="003B679E" w:rsidRDefault="00D910BC" w:rsidP="004F6A00">
      <w:pPr>
        <w:pStyle w:val="Normlndobloku"/>
        <w:rPr>
          <w:noProof/>
        </w:rPr>
      </w:pPr>
    </w:p>
    <w:p w:rsidR="00703427" w:rsidRDefault="00A72EBA" w:rsidP="004F6A00">
      <w:pPr>
        <w:pStyle w:val="Normlndobloku"/>
        <w:rPr>
          <w:noProof/>
        </w:rPr>
      </w:pPr>
      <w:r w:rsidRPr="003B679E">
        <w:rPr>
          <w:rFonts w:eastAsia="TimesNewRoman,Italic"/>
          <w:i/>
          <w:iCs/>
          <w:noProof/>
        </w:rPr>
        <w:t xml:space="preserve">In vivo </w:t>
      </w:r>
      <w:r w:rsidRPr="003B679E">
        <w:rPr>
          <w:noProof/>
        </w:rPr>
        <w:t xml:space="preserve">štúdie ukázali, že CYP2C19 zohráva významnú úlohu v metabolizme vorikonazolu. Tento enzým vykazuje genetický polymorfizmus. Napríklad u 15 – 20 % ázijskej populácie možno očakávať, že budú </w:t>
      </w:r>
      <w:r w:rsidRPr="003B679E">
        <w:rPr>
          <w:noProof/>
        </w:rPr>
        <w:lastRenderedPageBreak/>
        <w:t xml:space="preserve">slabí metabolizéri. U belochov a černochov je prevalencia slabých metabolizérov 3 – 5 %. Štúdie vykonané s bielymi a japonskými zdravými jedincami ukázali, že slabí metabolizéri majú v priemere </w:t>
      </w:r>
    </w:p>
    <w:p w:rsidR="00A72EBA" w:rsidRDefault="00A72EBA" w:rsidP="004F6A00">
      <w:pPr>
        <w:pStyle w:val="Normlndobloku"/>
        <w:rPr>
          <w:noProof/>
        </w:rPr>
      </w:pPr>
      <w:r w:rsidRPr="003B679E">
        <w:rPr>
          <w:noProof/>
        </w:rPr>
        <w:t>4-násobne vyššiu expozíciu (AUC</w:t>
      </w:r>
      <w:r w:rsidRPr="003B679E">
        <w:rPr>
          <w:noProof/>
          <w:vertAlign w:val="subscript"/>
        </w:rPr>
        <w:t>τ</w:t>
      </w:r>
      <w:r w:rsidRPr="003B679E">
        <w:rPr>
          <w:noProof/>
        </w:rPr>
        <w:t>) vorikonazolu v porovnaní s homozygotnými extenzívnymi metabolizérmi. Jedinci, ktorí sú heterozygotní extenzívni metabolizéri majú zase v priemere 2-násobne vyššiu expozíciu vorikonazolu ako homozygotní extenzívni metabolizéri.</w:t>
      </w:r>
    </w:p>
    <w:p w:rsidR="00D910BC" w:rsidRPr="003B679E" w:rsidRDefault="00D910BC" w:rsidP="004F6A00">
      <w:pPr>
        <w:pStyle w:val="Normlndobloku"/>
        <w:rPr>
          <w:noProof/>
        </w:rPr>
      </w:pPr>
    </w:p>
    <w:p w:rsidR="00A72EBA" w:rsidRDefault="00A72EBA" w:rsidP="004F6A00">
      <w:pPr>
        <w:pStyle w:val="Normlndobloku"/>
        <w:rPr>
          <w:noProof/>
        </w:rPr>
      </w:pPr>
      <w:r w:rsidRPr="003B679E">
        <w:rPr>
          <w:noProof/>
        </w:rPr>
        <w:t>Hlavný metabolit vorikonazolu je N-oxid, ktorý je zodpovedný za 72 % cirkulujúcich rádioaktívne značených metabolitov v plazme. Tento metabolit má minimálnu antimykotickú aktivitu a neprispieva k celkovej účinnosti vorikonazolu.</w:t>
      </w:r>
    </w:p>
    <w:p w:rsidR="00D910BC" w:rsidRPr="003B679E" w:rsidRDefault="00D910BC" w:rsidP="004F6A00">
      <w:pPr>
        <w:pStyle w:val="Normlndobloku"/>
        <w:rPr>
          <w:noProof/>
        </w:rPr>
      </w:pPr>
    </w:p>
    <w:p w:rsidR="00A72EBA" w:rsidRPr="004B210D" w:rsidRDefault="00A72EBA" w:rsidP="004F6A00">
      <w:pPr>
        <w:pStyle w:val="Styl3"/>
        <w:rPr>
          <w:noProof/>
        </w:rPr>
      </w:pPr>
      <w:r w:rsidRPr="004B210D">
        <w:rPr>
          <w:noProof/>
        </w:rPr>
        <w:t>Eliminácia</w:t>
      </w:r>
    </w:p>
    <w:p w:rsidR="00A72EBA" w:rsidRDefault="00A72EBA" w:rsidP="00A45256">
      <w:pPr>
        <w:pStyle w:val="Normlndobloku"/>
        <w:rPr>
          <w:noProof/>
        </w:rPr>
      </w:pPr>
      <w:r w:rsidRPr="003B679E">
        <w:rPr>
          <w:noProof/>
        </w:rPr>
        <w:t>Vorikonazol sa eliminuje cestou hepatálneho metabolizmu, pričom menej ako 2 % z podanej dávky sa vylučuje v nezmenenej forme močom.</w:t>
      </w:r>
    </w:p>
    <w:p w:rsidR="00CC213F" w:rsidRPr="003B679E" w:rsidRDefault="00CC213F" w:rsidP="004644D9">
      <w:pPr>
        <w:pStyle w:val="Normlndobloku"/>
        <w:rPr>
          <w:noProof/>
        </w:rPr>
      </w:pPr>
    </w:p>
    <w:p w:rsidR="00A72EBA" w:rsidRDefault="00A72EBA" w:rsidP="004F6A00">
      <w:pPr>
        <w:pStyle w:val="Normlndobloku"/>
        <w:rPr>
          <w:noProof/>
        </w:rPr>
      </w:pPr>
      <w:r w:rsidRPr="003B679E">
        <w:rPr>
          <w:noProof/>
        </w:rPr>
        <w:t>Po podaní rádioaktívne označeného vorikonazolu sa približne 80 % rádioaktivity deteguje v moči po</w:t>
      </w:r>
      <w:r w:rsidR="002D4F5F">
        <w:rPr>
          <w:noProof/>
        </w:rPr>
        <w:t> </w:t>
      </w:r>
      <w:r w:rsidRPr="003B679E">
        <w:rPr>
          <w:noProof/>
        </w:rPr>
        <w:t>opakovaných intravenóznych dávkach a 83 % v moči po opakovaných perorálnych dávkach. Väčšina (&gt; 94 %) celkovej rádioaktivity sa vylúči počas prvých 96 hodín po perorálnom aj intravenóznom podaní.</w:t>
      </w:r>
    </w:p>
    <w:p w:rsidR="00CC213F" w:rsidRPr="003B679E" w:rsidRDefault="00CC213F" w:rsidP="004F6A00">
      <w:pPr>
        <w:pStyle w:val="Normlndobloku"/>
        <w:rPr>
          <w:noProof/>
        </w:rPr>
      </w:pPr>
    </w:p>
    <w:p w:rsidR="00A72EBA" w:rsidRDefault="00A72EBA" w:rsidP="004F6A00">
      <w:pPr>
        <w:pStyle w:val="Normlndobloku"/>
        <w:rPr>
          <w:noProof/>
        </w:rPr>
      </w:pPr>
      <w:r w:rsidRPr="003B679E">
        <w:rPr>
          <w:noProof/>
        </w:rPr>
        <w:t>Terminálny polčas vorikonazolu závisí od dávky a je približne 6 hodín pri perorálnej dávke 200 mg. Vzhľadom na nelineárnu farmakokinetiku nie je terminálny polčas užitočný v predikcii akumulácie alebo eliminácie vorikonazolu.</w:t>
      </w:r>
    </w:p>
    <w:p w:rsidR="00392085" w:rsidRPr="003B679E" w:rsidRDefault="00392085" w:rsidP="004F6A00">
      <w:pPr>
        <w:pStyle w:val="Normlndobloku"/>
        <w:rPr>
          <w:noProof/>
        </w:rPr>
      </w:pPr>
    </w:p>
    <w:p w:rsidR="00A72EBA" w:rsidRDefault="00A72EBA" w:rsidP="004F6A00">
      <w:pPr>
        <w:pStyle w:val="Styl3"/>
        <w:rPr>
          <w:noProof/>
        </w:rPr>
      </w:pPr>
      <w:r w:rsidRPr="004B210D">
        <w:rPr>
          <w:noProof/>
        </w:rPr>
        <w:t>Farmakokinetika v špeciálnych skupinách pacientov</w:t>
      </w:r>
    </w:p>
    <w:p w:rsidR="00392085" w:rsidRPr="004B210D" w:rsidRDefault="00392085" w:rsidP="004F6A00">
      <w:pPr>
        <w:pStyle w:val="Styl3"/>
        <w:rPr>
          <w:noProof/>
        </w:rPr>
      </w:pPr>
    </w:p>
    <w:p w:rsidR="00000000" w:rsidRDefault="00A72EBA">
      <w:pPr>
        <w:pStyle w:val="Styl4"/>
        <w:rPr>
          <w:noProof/>
        </w:rPr>
      </w:pPr>
      <w:r w:rsidRPr="00D32133">
        <w:rPr>
          <w:noProof/>
        </w:rPr>
        <w:t>Pohlavie</w:t>
      </w:r>
    </w:p>
    <w:p w:rsidR="00A72EBA" w:rsidRDefault="00A72EBA" w:rsidP="00A45256">
      <w:pPr>
        <w:pStyle w:val="Normlndobloku"/>
        <w:rPr>
          <w:noProof/>
        </w:rPr>
      </w:pPr>
      <w:r w:rsidRPr="003B679E">
        <w:rPr>
          <w:noProof/>
        </w:rPr>
        <w:t>V štúdii s opakovaným perorálnym podávaním vorikonazolu mladým zdravým ženám boli hodnoty C</w:t>
      </w:r>
      <w:r w:rsidRPr="003B679E">
        <w:rPr>
          <w:noProof/>
          <w:vertAlign w:val="subscript"/>
        </w:rPr>
        <w:t>max</w:t>
      </w:r>
      <w:r w:rsidRPr="003B679E">
        <w:rPr>
          <w:noProof/>
        </w:rPr>
        <w:t xml:space="preserve"> o 83 % a AUC</w:t>
      </w:r>
      <w:r w:rsidRPr="003B679E">
        <w:rPr>
          <w:noProof/>
          <w:vertAlign w:val="subscript"/>
        </w:rPr>
        <w:t>τ</w:t>
      </w:r>
      <w:r w:rsidRPr="003B679E">
        <w:rPr>
          <w:noProof/>
        </w:rPr>
        <w:t xml:space="preserve"> o 113 % vyššie ako u mladých zdravých mužov (</w:t>
      </w:r>
      <w:r w:rsidR="00E359D6">
        <w:rPr>
          <w:noProof/>
        </w:rPr>
        <w:t xml:space="preserve">vo veku </w:t>
      </w:r>
      <w:r w:rsidRPr="003B679E">
        <w:rPr>
          <w:noProof/>
        </w:rPr>
        <w:t>18 – 45 rokov). V rovnakej štúdii sa nezistili signifikantné rozdiely v C</w:t>
      </w:r>
      <w:r w:rsidRPr="003B679E">
        <w:rPr>
          <w:noProof/>
          <w:vertAlign w:val="subscript"/>
        </w:rPr>
        <w:t>max</w:t>
      </w:r>
      <w:r w:rsidRPr="003B679E">
        <w:rPr>
          <w:noProof/>
        </w:rPr>
        <w:t xml:space="preserve"> a AUC</w:t>
      </w:r>
      <w:r w:rsidRPr="003B679E">
        <w:rPr>
          <w:noProof/>
          <w:vertAlign w:val="subscript"/>
        </w:rPr>
        <w:t>τ</w:t>
      </w:r>
      <w:r w:rsidRPr="003B679E">
        <w:rPr>
          <w:noProof/>
        </w:rPr>
        <w:t xml:space="preserve"> medzi zdravými staršími mužmi a zdravými staršími ženami </w:t>
      </w:r>
      <w:r w:rsidR="006027CC" w:rsidRPr="00DF1646">
        <w:rPr>
          <w:rFonts w:eastAsia="TimesNewRoman"/>
          <w:noProof/>
        </w:rPr>
        <w:t>(</w:t>
      </w:r>
      <w:r w:rsidR="006027CC">
        <w:rPr>
          <w:rFonts w:eastAsia="TimesNewRoman"/>
          <w:noProof/>
        </w:rPr>
        <w:t xml:space="preserve">vo veku </w:t>
      </w:r>
      <w:r w:rsidR="00FB2252">
        <w:rPr>
          <w:rFonts w:eastAsia="TimesNewRoman"/>
          <w:noProof/>
        </w:rPr>
        <w:t>≥</w:t>
      </w:r>
      <w:r w:rsidR="006027CC" w:rsidRPr="00DF1646">
        <w:rPr>
          <w:rFonts w:eastAsia="TimesNewRoman"/>
          <w:noProof/>
        </w:rPr>
        <w:t xml:space="preserve"> 65 rokov)</w:t>
      </w:r>
      <w:r w:rsidR="006027CC">
        <w:rPr>
          <w:rFonts w:eastAsia="TimesNewRoman"/>
          <w:noProof/>
        </w:rPr>
        <w:t>.</w:t>
      </w:r>
    </w:p>
    <w:p w:rsidR="00C05761" w:rsidRPr="003B679E" w:rsidRDefault="00C05761" w:rsidP="004644D9">
      <w:pPr>
        <w:pStyle w:val="Normlndobloku"/>
        <w:rPr>
          <w:noProof/>
        </w:rPr>
      </w:pPr>
    </w:p>
    <w:p w:rsidR="00A72EBA" w:rsidRDefault="00A72EBA" w:rsidP="004644D9">
      <w:pPr>
        <w:pStyle w:val="Normlndobloku"/>
        <w:rPr>
          <w:noProof/>
        </w:rPr>
      </w:pPr>
      <w:r w:rsidRPr="003B679E">
        <w:rPr>
          <w:noProof/>
        </w:rPr>
        <w:t>V klinickom programe sa nevykon</w:t>
      </w:r>
      <w:r w:rsidR="005755D8">
        <w:rPr>
          <w:noProof/>
        </w:rPr>
        <w:t>a</w:t>
      </w:r>
      <w:r w:rsidRPr="003B679E">
        <w:rPr>
          <w:noProof/>
        </w:rPr>
        <w:t>la žiadna úprava dávkovania na základe pohlavia. Bezpečnostný profil a plazmatické koncentrácie boli podobné u mužov i žien. Preto nie je nutné upravovať dávkovanie na základe pohlavia.</w:t>
      </w:r>
    </w:p>
    <w:p w:rsidR="00C05761" w:rsidRPr="003B679E" w:rsidRDefault="00C05761" w:rsidP="004F6A00">
      <w:pPr>
        <w:pStyle w:val="Normlndobloku"/>
        <w:rPr>
          <w:noProof/>
        </w:rPr>
      </w:pPr>
    </w:p>
    <w:p w:rsidR="00000000" w:rsidRDefault="00A72EBA">
      <w:pPr>
        <w:pStyle w:val="Styl4"/>
        <w:rPr>
          <w:noProof/>
        </w:rPr>
      </w:pPr>
      <w:r w:rsidRPr="004B210D">
        <w:rPr>
          <w:noProof/>
        </w:rPr>
        <w:t>Starší pacienti</w:t>
      </w:r>
    </w:p>
    <w:p w:rsidR="00604E6B" w:rsidRPr="003B679E" w:rsidRDefault="00A72EBA" w:rsidP="00604E6B">
      <w:pPr>
        <w:autoSpaceDE w:val="0"/>
        <w:autoSpaceDN w:val="0"/>
        <w:adjustRightInd w:val="0"/>
        <w:rPr>
          <w:rFonts w:eastAsia="TimesNewRoman"/>
          <w:noProof/>
          <w:szCs w:val="22"/>
          <w:lang w:val="sk-SK"/>
        </w:rPr>
      </w:pPr>
      <w:r w:rsidRPr="003B679E">
        <w:rPr>
          <w:noProof/>
          <w:szCs w:val="22"/>
          <w:lang w:val="sk-SK"/>
        </w:rPr>
        <w:t xml:space="preserve">V štúdii s opakovaným perorálnym podávaním vorikonazolu zdravým starším mužom </w:t>
      </w:r>
      <w:r w:rsidR="00973848" w:rsidRPr="00DF1646">
        <w:rPr>
          <w:rFonts w:eastAsia="TimesNewRoman"/>
          <w:noProof/>
        </w:rPr>
        <w:t>(</w:t>
      </w:r>
      <w:r w:rsidR="009E597E">
        <w:rPr>
          <w:rFonts w:eastAsia="TimesNewRoman"/>
          <w:noProof/>
        </w:rPr>
        <w:t xml:space="preserve">vo veku </w:t>
      </w:r>
      <w:r w:rsidR="004A305F">
        <w:rPr>
          <w:rFonts w:eastAsia="TimesNewRoman"/>
          <w:noProof/>
        </w:rPr>
        <w:t>≥</w:t>
      </w:r>
      <w:r w:rsidR="004A104D">
        <w:rPr>
          <w:rFonts w:eastAsia="TimesNewRoman"/>
          <w:noProof/>
        </w:rPr>
        <w:t> 65 </w:t>
      </w:r>
      <w:r w:rsidR="00973848" w:rsidRPr="00DF1646">
        <w:rPr>
          <w:rFonts w:eastAsia="TimesNewRoman"/>
          <w:noProof/>
        </w:rPr>
        <w:t>rokov) boli C</w:t>
      </w:r>
      <w:r w:rsidRPr="003B679E">
        <w:rPr>
          <w:noProof/>
          <w:szCs w:val="22"/>
          <w:vertAlign w:val="subscript"/>
          <w:lang w:val="sk-SK"/>
        </w:rPr>
        <w:t>max</w:t>
      </w:r>
      <w:r w:rsidRPr="003B679E">
        <w:rPr>
          <w:noProof/>
          <w:szCs w:val="22"/>
          <w:lang w:val="sk-SK"/>
        </w:rPr>
        <w:t xml:space="preserve"> o 61 % a AUC</w:t>
      </w:r>
      <w:r w:rsidRPr="003B679E">
        <w:rPr>
          <w:noProof/>
          <w:szCs w:val="22"/>
          <w:vertAlign w:val="subscript"/>
          <w:lang w:val="sk-SK"/>
        </w:rPr>
        <w:t>τ</w:t>
      </w:r>
      <w:r w:rsidRPr="003B679E">
        <w:rPr>
          <w:noProof/>
          <w:szCs w:val="22"/>
          <w:lang w:val="sk-SK"/>
        </w:rPr>
        <w:t xml:space="preserve"> o 86 % vyššie ako u zdravých mladých mužov (</w:t>
      </w:r>
      <w:r w:rsidR="001F481D">
        <w:rPr>
          <w:noProof/>
          <w:szCs w:val="22"/>
          <w:lang w:val="sk-SK"/>
        </w:rPr>
        <w:t xml:space="preserve">vo veku </w:t>
      </w:r>
      <w:r w:rsidRPr="003B679E">
        <w:rPr>
          <w:noProof/>
          <w:szCs w:val="22"/>
          <w:lang w:val="sk-SK"/>
        </w:rPr>
        <w:t xml:space="preserve">18 – 45 rokov). Medzi zdravými staršími ženami </w:t>
      </w:r>
      <w:r w:rsidR="00604E6B" w:rsidRPr="00604E6B">
        <w:rPr>
          <w:rFonts w:eastAsia="TimesNewRoman"/>
          <w:noProof/>
          <w:szCs w:val="22"/>
        </w:rPr>
        <w:t>(</w:t>
      </w:r>
      <w:r w:rsidR="005755D8">
        <w:rPr>
          <w:rFonts w:eastAsia="TimesNewRoman"/>
          <w:noProof/>
          <w:szCs w:val="22"/>
          <w:lang w:val="sk-SK"/>
        </w:rPr>
        <w:t xml:space="preserve">vo veku </w:t>
      </w:r>
      <w:r w:rsidR="004A305F">
        <w:rPr>
          <w:rFonts w:eastAsia="TimesNewRoman"/>
          <w:noProof/>
        </w:rPr>
        <w:t>≥</w:t>
      </w:r>
      <w:r w:rsidR="00604E6B" w:rsidRPr="00F418D6">
        <w:rPr>
          <w:rStyle w:val="NormlndoblokuChar"/>
        </w:rPr>
        <w:t xml:space="preserve"> </w:t>
      </w:r>
      <w:r w:rsidR="00604E6B" w:rsidRPr="00604E6B">
        <w:rPr>
          <w:rFonts w:eastAsia="TimesNewRoman"/>
          <w:noProof/>
          <w:szCs w:val="22"/>
        </w:rPr>
        <w:t>65 rokov) a zdravými mladými ženami (</w:t>
      </w:r>
      <w:r w:rsidR="005755D8">
        <w:rPr>
          <w:rFonts w:eastAsia="TimesNewRoman"/>
          <w:noProof/>
          <w:szCs w:val="22"/>
          <w:lang w:val="sk-SK"/>
        </w:rPr>
        <w:t xml:space="preserve">vo veku </w:t>
      </w:r>
      <w:r w:rsidR="00604E6B" w:rsidRPr="00604E6B">
        <w:rPr>
          <w:rFonts w:eastAsia="TimesNewRoman"/>
          <w:noProof/>
          <w:szCs w:val="22"/>
        </w:rPr>
        <w:t>18 – 45 rokov) sa nezistili žiadne</w:t>
      </w:r>
      <w:r w:rsidR="00604E6B" w:rsidRPr="005755D8">
        <w:rPr>
          <w:rFonts w:eastAsia="TimesNewRoman"/>
          <w:noProof/>
          <w:szCs w:val="22"/>
        </w:rPr>
        <w:t xml:space="preserve"> významné rozdiely v C</w:t>
      </w:r>
      <w:r w:rsidR="00604E6B" w:rsidRPr="005755D8">
        <w:rPr>
          <w:rFonts w:eastAsia="TimesNewRoman"/>
          <w:noProof/>
          <w:szCs w:val="22"/>
          <w:vertAlign w:val="subscript"/>
        </w:rPr>
        <w:t>max</w:t>
      </w:r>
      <w:r w:rsidR="00604E6B" w:rsidRPr="005755D8">
        <w:rPr>
          <w:rFonts w:eastAsia="TimesNewRoman"/>
          <w:noProof/>
          <w:szCs w:val="22"/>
        </w:rPr>
        <w:t xml:space="preserve"> a AUCτ.</w:t>
      </w:r>
    </w:p>
    <w:p w:rsidR="00C05761" w:rsidRPr="003B679E" w:rsidRDefault="00604E6B" w:rsidP="00A45256">
      <w:pPr>
        <w:pStyle w:val="Normlndobloku"/>
        <w:rPr>
          <w:noProof/>
        </w:rPr>
      </w:pPr>
      <w:r w:rsidRPr="00604E6B" w:rsidDel="00604E6B">
        <w:rPr>
          <w:noProof/>
        </w:rPr>
        <w:t xml:space="preserve"> </w:t>
      </w:r>
    </w:p>
    <w:p w:rsidR="00A72EBA" w:rsidRDefault="00A72EBA" w:rsidP="00A45256">
      <w:pPr>
        <w:pStyle w:val="Normlndobloku"/>
        <w:rPr>
          <w:noProof/>
        </w:rPr>
      </w:pPr>
      <w:r w:rsidRPr="003B679E">
        <w:rPr>
          <w:noProof/>
        </w:rPr>
        <w:t>V terapeutických štúdiách sa ne</w:t>
      </w:r>
      <w:r w:rsidR="005755D8">
        <w:rPr>
          <w:noProof/>
        </w:rPr>
        <w:t>vykona</w:t>
      </w:r>
      <w:r w:rsidRPr="003B679E">
        <w:rPr>
          <w:noProof/>
        </w:rPr>
        <w:t xml:space="preserve">la </w:t>
      </w:r>
      <w:r w:rsidR="009308DE">
        <w:rPr>
          <w:noProof/>
        </w:rPr>
        <w:t xml:space="preserve">žiadna </w:t>
      </w:r>
      <w:r w:rsidRPr="003B679E">
        <w:rPr>
          <w:noProof/>
        </w:rPr>
        <w:t>úprava dávkovania vzhľadom na vek. Pozoroval sa vzťah medzi plazmatick</w:t>
      </w:r>
      <w:r w:rsidR="009C3BA9">
        <w:rPr>
          <w:noProof/>
        </w:rPr>
        <w:t>ými</w:t>
      </w:r>
      <w:r w:rsidRPr="003B679E">
        <w:rPr>
          <w:noProof/>
        </w:rPr>
        <w:t xml:space="preserve"> koncentráci</w:t>
      </w:r>
      <w:r w:rsidR="009C3BA9">
        <w:rPr>
          <w:noProof/>
        </w:rPr>
        <w:t>ami</w:t>
      </w:r>
      <w:r w:rsidRPr="003B679E">
        <w:rPr>
          <w:noProof/>
        </w:rPr>
        <w:t xml:space="preserve"> a vekom. Bezpečnostný profil vorikonazolu u mladých i starších pacientov bol podobný, a preto nie je potrebná úprava dávkovania u starších ľudí (pozri časť 4.2).</w:t>
      </w:r>
    </w:p>
    <w:p w:rsidR="00392085" w:rsidRPr="003B679E" w:rsidRDefault="00392085" w:rsidP="004644D9">
      <w:pPr>
        <w:pStyle w:val="Normlndobloku"/>
        <w:rPr>
          <w:noProof/>
        </w:rPr>
      </w:pPr>
    </w:p>
    <w:p w:rsidR="00000000" w:rsidRDefault="00A72EBA">
      <w:pPr>
        <w:pStyle w:val="Styl4"/>
        <w:rPr>
          <w:noProof/>
        </w:rPr>
      </w:pPr>
      <w:r w:rsidRPr="004B210D">
        <w:rPr>
          <w:noProof/>
        </w:rPr>
        <w:t>Pediatrická populácia</w:t>
      </w:r>
    </w:p>
    <w:p w:rsidR="00A72EBA" w:rsidRPr="003B679E" w:rsidRDefault="00A72EBA" w:rsidP="00A45256">
      <w:pPr>
        <w:pStyle w:val="Normlndobloku"/>
        <w:rPr>
          <w:noProof/>
        </w:rPr>
      </w:pPr>
      <w:r w:rsidRPr="003B679E">
        <w:rPr>
          <w:noProof/>
        </w:rPr>
        <w:t xml:space="preserve">Odporúčané dávky u detí a dospievajúcich pacientov sú založené na analýze farmakokinetických údajov získaných u populácie 112 imunokompromitovaných pediatrických pacientov vo veku od 2 až &lt; 12 rokov a 26 imunokompromitovaných dospievajúcich pacientov vo veku od 12 až &lt; 17 rokov. Viacnásobné intravenózne dávky 3, 4, 6, 7 a 8 mg/kg dvakrát denne a viacnásobné perorálne dávky (pri použití prášku na perorálnu suspenziu) 4 mg/kg, 6 mg/kg a 200 mg dvakrát denne boli hodnotené v 3 pediatrických farmakokinetických štúdiách. Intravenózne nasycovacie dávky 6 mg/kg </w:t>
      </w:r>
      <w:r w:rsidR="006F6EC9">
        <w:rPr>
          <w:noProof/>
        </w:rPr>
        <w:t xml:space="preserve">podané </w:t>
      </w:r>
      <w:r w:rsidR="006F6EC9" w:rsidRPr="003B679E">
        <w:rPr>
          <w:rFonts w:eastAsia="TimesNewRoman,Italic"/>
          <w:iCs/>
          <w:noProof/>
        </w:rPr>
        <w:t>intravenózne</w:t>
      </w:r>
      <w:r w:rsidRPr="003B679E">
        <w:rPr>
          <w:rFonts w:eastAsia="TimesNewRoman,Italic"/>
          <w:iCs/>
          <w:noProof/>
        </w:rPr>
        <w:t xml:space="preserve"> </w:t>
      </w:r>
      <w:r w:rsidRPr="003B679E">
        <w:rPr>
          <w:noProof/>
        </w:rPr>
        <w:t xml:space="preserve">dvakrát denne 1. deň, po ktorých nasleduje intravenózna dávka 4 mg/kg dvakrát denne a perorálne tablety 300 mg </w:t>
      </w:r>
      <w:r w:rsidRPr="003B679E">
        <w:rPr>
          <w:noProof/>
        </w:rPr>
        <w:lastRenderedPageBreak/>
        <w:t>dvakrát denne boli hodnotené v jednej farmakokinetickej štúdii s dospievajúcimi pacientmi. Väčšia interindividuálna variabilita sa pozorovala u pediatrických pacientov v porovnaní s dospelými.</w:t>
      </w:r>
    </w:p>
    <w:p w:rsidR="00A72EBA" w:rsidRDefault="00A72EBA" w:rsidP="004644D9">
      <w:pPr>
        <w:pStyle w:val="Normlndobloku"/>
        <w:rPr>
          <w:noProof/>
        </w:rPr>
      </w:pPr>
      <w:r w:rsidRPr="003B679E">
        <w:rPr>
          <w:noProof/>
        </w:rPr>
        <w:t>Porovnanie farmakokinetických údajov pediatrickej a dospelej populácie naznačovali, že predpokladaná celková expozícia (AUC</w:t>
      </w:r>
      <w:r w:rsidRPr="003B679E">
        <w:rPr>
          <w:noProof/>
          <w:vertAlign w:val="subscript"/>
        </w:rPr>
        <w:t>τ</w:t>
      </w:r>
      <w:r w:rsidRPr="003B679E">
        <w:rPr>
          <w:noProof/>
        </w:rPr>
        <w:t xml:space="preserve">) u detí po podaní nasycovacej dávky 9 mg/kg </w:t>
      </w:r>
      <w:r w:rsidR="005D01AE">
        <w:rPr>
          <w:rFonts w:eastAsia="TimesNewRoman,Italic"/>
          <w:iCs/>
          <w:noProof/>
        </w:rPr>
        <w:t xml:space="preserve">intravenózne </w:t>
      </w:r>
      <w:r w:rsidRPr="003B679E">
        <w:rPr>
          <w:noProof/>
        </w:rPr>
        <w:t>bola porovnateľná s expozíciou u dospelých po</w:t>
      </w:r>
      <w:r w:rsidR="00EB6874">
        <w:rPr>
          <w:rFonts w:eastAsia="TimesNewRoman,Italic"/>
          <w:iCs/>
          <w:noProof/>
        </w:rPr>
        <w:t xml:space="preserve"> intravenóznom podaní</w:t>
      </w:r>
      <w:r w:rsidRPr="003B679E">
        <w:rPr>
          <w:rFonts w:eastAsia="TimesNewRoman,Italic"/>
          <w:i/>
          <w:iCs/>
          <w:noProof/>
        </w:rPr>
        <w:t xml:space="preserve"> </w:t>
      </w:r>
      <w:r w:rsidRPr="003B679E">
        <w:rPr>
          <w:noProof/>
        </w:rPr>
        <w:t>nasycovacej dávk</w:t>
      </w:r>
      <w:r w:rsidR="006038B6">
        <w:rPr>
          <w:noProof/>
        </w:rPr>
        <w:t>y</w:t>
      </w:r>
      <w:r w:rsidRPr="003B679E">
        <w:rPr>
          <w:noProof/>
        </w:rPr>
        <w:t xml:space="preserve"> 6 mg/kg. Predpokladané celkové expozície u detí po </w:t>
      </w:r>
      <w:r w:rsidR="00DA229C">
        <w:rPr>
          <w:rFonts w:eastAsia="TimesNewRoman,Italic"/>
          <w:iCs/>
          <w:noProof/>
        </w:rPr>
        <w:t>intravenózne podaných</w:t>
      </w:r>
      <w:r w:rsidRPr="003B679E">
        <w:rPr>
          <w:rFonts w:eastAsia="TimesNewRoman,Italic"/>
          <w:i/>
          <w:iCs/>
          <w:noProof/>
        </w:rPr>
        <w:t xml:space="preserve"> </w:t>
      </w:r>
      <w:r w:rsidRPr="003B679E">
        <w:rPr>
          <w:noProof/>
        </w:rPr>
        <w:t xml:space="preserve">udržiavacích dávkach 4 a 8 mg/kg dvakrát denne boli porovnateľné s expozíciami u dospelých po </w:t>
      </w:r>
      <w:r w:rsidR="001A7A13">
        <w:rPr>
          <w:rFonts w:eastAsia="TimesNewRoman,Italic"/>
          <w:iCs/>
          <w:noProof/>
        </w:rPr>
        <w:t>intravenózne</w:t>
      </w:r>
      <w:r w:rsidR="00DA229C">
        <w:rPr>
          <w:rFonts w:eastAsia="TimesNewRoman,Italic"/>
          <w:iCs/>
          <w:noProof/>
        </w:rPr>
        <w:t xml:space="preserve"> podanej </w:t>
      </w:r>
      <w:r w:rsidRPr="003B679E">
        <w:rPr>
          <w:noProof/>
        </w:rPr>
        <w:t>dávke 3 a 4 mg/kg dvakrát denne, v uvedenom poradí. Predpokladaná celková expozícia u detí po perorálnej udržiavacej dávke 9 mg/kg (maximálne 350 mg) dvakrát denne bola porovnateľná s expozíciou u dospelých po perorálnej dávke 200 mg dvakrát denne. Intravenózna dávka 8 mg/kg poskytne približne 2-násobne vyššiu expozíciu vorikonazolu ako perorálna dávka 9 mg/kg.</w:t>
      </w:r>
    </w:p>
    <w:p w:rsidR="006644FC" w:rsidRPr="003B679E" w:rsidRDefault="006644FC" w:rsidP="004F6A00">
      <w:pPr>
        <w:pStyle w:val="Normlndobloku"/>
        <w:rPr>
          <w:noProof/>
        </w:rPr>
      </w:pPr>
    </w:p>
    <w:p w:rsidR="00A72EBA" w:rsidRDefault="00A72EBA" w:rsidP="004F6A00">
      <w:pPr>
        <w:pStyle w:val="Normlndobloku"/>
        <w:rPr>
          <w:noProof/>
        </w:rPr>
      </w:pPr>
      <w:r w:rsidRPr="003B679E">
        <w:rPr>
          <w:noProof/>
        </w:rPr>
        <w:t xml:space="preserve">Vyššia intravenózna udržiavacia dávka u pediatrických pacientov </w:t>
      </w:r>
      <w:r w:rsidRPr="003B679E">
        <w:t>v porovnaní</w:t>
      </w:r>
      <w:r w:rsidRPr="003B679E">
        <w:rPr>
          <w:noProof/>
        </w:rPr>
        <w:t xml:space="preserve"> s dospelými súvisí s vyššou eliminačnou kapacitou u pediatrických pacientov danou väčším pomerom hmotnosti pečene ku telesnej hmotnosti tela. Avšak biologická dostupnosť po perorálnom podaní môže byť u pediatrických pacientov s malabsorpciou alebo veľmi nízkou telesnou hmotnosťou vzhľadom na vek obmedzená. V tomto prípade sa odporúča intravenózne podávanie vorikonazolu.</w:t>
      </w:r>
    </w:p>
    <w:p w:rsidR="006644FC" w:rsidRPr="003B679E" w:rsidRDefault="006644FC" w:rsidP="004F6A00">
      <w:pPr>
        <w:pStyle w:val="Normlndobloku"/>
        <w:rPr>
          <w:noProof/>
        </w:rPr>
      </w:pPr>
    </w:p>
    <w:p w:rsidR="00A72EBA" w:rsidRDefault="00A72EBA" w:rsidP="004F6A00">
      <w:pPr>
        <w:pStyle w:val="Normlndobloku"/>
        <w:rPr>
          <w:noProof/>
        </w:rPr>
      </w:pPr>
      <w:r w:rsidRPr="003B679E">
        <w:rPr>
          <w:noProof/>
        </w:rPr>
        <w:t xml:space="preserve">Expozície vorikonazolu u väčšiny dospievajúcich pacientov boli porovnateľné s expozíciami u dospelých, u ktorých sa aplikovali tie isté dávkovacie režimy. Nižšia expozícia vorikonazolu sa však pozorovala u niektorých mladých dospievajúcich s nízkou telesnou hmotnosťou v porovnaní s dospelými. Je pravdepodobné, že metabolizmus vorikonazolu u týchto </w:t>
      </w:r>
      <w:r w:rsidR="005B6746">
        <w:rPr>
          <w:noProof/>
        </w:rPr>
        <w:t>jedincov</w:t>
      </w:r>
      <w:r w:rsidRPr="003B679E">
        <w:rPr>
          <w:noProof/>
        </w:rPr>
        <w:t xml:space="preserve"> môže byť viac podobný metabolizmu u detí ako u dospelých. Na základe farmakokinetickej analýzy populácie majú dospievajúci vo veku od 12 až 14 rokov s telesnou hmotnosťou nižšou ako 50 kg dostávať detské dávky (pozri časť 4.2).</w:t>
      </w:r>
    </w:p>
    <w:p w:rsidR="006644FC" w:rsidRPr="003B679E" w:rsidRDefault="006644FC" w:rsidP="004F6A00">
      <w:pPr>
        <w:pStyle w:val="Normlndobloku"/>
        <w:rPr>
          <w:noProof/>
        </w:rPr>
      </w:pPr>
    </w:p>
    <w:p w:rsidR="00000000" w:rsidRDefault="00A72EBA">
      <w:pPr>
        <w:pStyle w:val="Styl4"/>
        <w:rPr>
          <w:noProof/>
        </w:rPr>
      </w:pPr>
      <w:r w:rsidRPr="004B210D">
        <w:rPr>
          <w:noProof/>
        </w:rPr>
        <w:t>Porucha funkcie obličiek</w:t>
      </w:r>
    </w:p>
    <w:p w:rsidR="00A72EBA" w:rsidRDefault="00A72EBA" w:rsidP="00A45256">
      <w:pPr>
        <w:pStyle w:val="Normlndobloku"/>
        <w:rPr>
          <w:noProof/>
        </w:rPr>
      </w:pPr>
      <w:r w:rsidRPr="003B679E">
        <w:rPr>
          <w:noProof/>
        </w:rPr>
        <w:t>V štúdii s jednorazovou perorálnou dávkou (200 mg) u jedincov s normálnou renálnou funkciou a s miernym (klírens kreatinínu 41 – 60 ml/min) až závažným (klírens kreatinínu &lt; 20 ml/min) renálnym poškodením nebola farmakokinetika vorikonazolu renálnym poškodením signifikantne ovplyvnená. Väzba vorikonazolu na plazmatické proteíny bola podobná u </w:t>
      </w:r>
      <w:r w:rsidR="009C4E19">
        <w:rPr>
          <w:noProof/>
        </w:rPr>
        <w:t>jedinc</w:t>
      </w:r>
      <w:r w:rsidRPr="003B679E">
        <w:rPr>
          <w:noProof/>
        </w:rPr>
        <w:t xml:space="preserve">ov s rôznym stupňom poškodenia obličiek </w:t>
      </w:r>
      <w:r w:rsidR="00FC0A89">
        <w:rPr>
          <w:noProof/>
        </w:rPr>
        <w:t xml:space="preserve">(pozri </w:t>
      </w:r>
      <w:r w:rsidRPr="003B679E">
        <w:rPr>
          <w:noProof/>
        </w:rPr>
        <w:t>časti 4.2 a 4.4.</w:t>
      </w:r>
      <w:r w:rsidR="00FC0A89">
        <w:rPr>
          <w:noProof/>
        </w:rPr>
        <w:t>).</w:t>
      </w:r>
    </w:p>
    <w:p w:rsidR="006644FC" w:rsidRPr="003B679E" w:rsidRDefault="006644FC" w:rsidP="004644D9">
      <w:pPr>
        <w:pStyle w:val="Normlndobloku"/>
        <w:rPr>
          <w:noProof/>
        </w:rPr>
      </w:pPr>
    </w:p>
    <w:p w:rsidR="00000000" w:rsidRDefault="00A72EBA">
      <w:pPr>
        <w:pStyle w:val="Styl4"/>
        <w:rPr>
          <w:noProof/>
        </w:rPr>
      </w:pPr>
      <w:r w:rsidRPr="004B210D">
        <w:rPr>
          <w:noProof/>
        </w:rPr>
        <w:t>Porucha funkcie pečene</w:t>
      </w:r>
    </w:p>
    <w:p w:rsidR="00A72EBA" w:rsidRDefault="00A72EBA" w:rsidP="00A45256">
      <w:pPr>
        <w:pStyle w:val="Normlndobloku"/>
        <w:rPr>
          <w:noProof/>
        </w:rPr>
      </w:pPr>
      <w:r w:rsidRPr="003B679E">
        <w:rPr>
          <w:noProof/>
        </w:rPr>
        <w:t xml:space="preserve">Po jednej perorálnej dávke (200 mg) bola AUC o 233 % vyššia u jedincov s miernou až stredne </w:t>
      </w:r>
      <w:r w:rsidR="00B36B09">
        <w:rPr>
          <w:noProof/>
        </w:rPr>
        <w:t>závažn</w:t>
      </w:r>
      <w:r w:rsidRPr="003B679E">
        <w:rPr>
          <w:noProof/>
        </w:rPr>
        <w:t>ou cirhózou pečene (Childovo-Pughovo skóre A a B) v porovnaní s</w:t>
      </w:r>
      <w:r w:rsidR="00B36B09">
        <w:rPr>
          <w:noProof/>
        </w:rPr>
        <w:t> </w:t>
      </w:r>
      <w:r w:rsidRPr="003B679E">
        <w:rPr>
          <w:noProof/>
        </w:rPr>
        <w:t>jedincami</w:t>
      </w:r>
      <w:r w:rsidR="00B36B09">
        <w:rPr>
          <w:noProof/>
        </w:rPr>
        <w:t xml:space="preserve"> s normálnou funkciou pečene</w:t>
      </w:r>
      <w:r w:rsidRPr="003B679E">
        <w:rPr>
          <w:noProof/>
        </w:rPr>
        <w:t>. Porucha funkcie pečene neovplyvnila väzbu vorikonazolu na plazmatické proteíny.</w:t>
      </w:r>
    </w:p>
    <w:p w:rsidR="006644FC" w:rsidRPr="003B679E" w:rsidRDefault="006644FC" w:rsidP="004644D9">
      <w:pPr>
        <w:pStyle w:val="Normlndobloku"/>
        <w:rPr>
          <w:noProof/>
        </w:rPr>
      </w:pPr>
    </w:p>
    <w:p w:rsidR="00A72EBA" w:rsidRDefault="00A72EBA" w:rsidP="004F6A00">
      <w:pPr>
        <w:pStyle w:val="Normlndobloku"/>
        <w:rPr>
          <w:noProof/>
        </w:rPr>
      </w:pPr>
      <w:r w:rsidRPr="003B679E">
        <w:rPr>
          <w:noProof/>
        </w:rPr>
        <w:t>V štúdii s opakovaným perorálnym podávaním vorikonazolu bola AUC</w:t>
      </w:r>
      <w:r w:rsidRPr="003B679E">
        <w:rPr>
          <w:noProof/>
          <w:vertAlign w:val="subscript"/>
        </w:rPr>
        <w:t>τ</w:t>
      </w:r>
      <w:r w:rsidRPr="003B679E">
        <w:rPr>
          <w:noProof/>
        </w:rPr>
        <w:t xml:space="preserve"> podobná u </w:t>
      </w:r>
      <w:r w:rsidR="00395515">
        <w:rPr>
          <w:noProof/>
        </w:rPr>
        <w:t>jedinc</w:t>
      </w:r>
      <w:r w:rsidRPr="003B679E">
        <w:rPr>
          <w:noProof/>
        </w:rPr>
        <w:t xml:space="preserve">ov so stredne </w:t>
      </w:r>
      <w:r w:rsidR="006D370A">
        <w:rPr>
          <w:noProof/>
        </w:rPr>
        <w:t>závažn</w:t>
      </w:r>
      <w:r w:rsidRPr="003B679E">
        <w:rPr>
          <w:noProof/>
        </w:rPr>
        <w:t>ou cirhózou pečene (Childovo-Pughovo skóre B), ktorí dostávali udržiavaciu dávku 100 mg dvakrát denne a u jedincov s normálnou funkciou pečene, ktorí dostávali 200 mg dvakrát denne. Farmakokinetické údaje o pacientoch s</w:t>
      </w:r>
      <w:r w:rsidR="00C218F1">
        <w:rPr>
          <w:noProof/>
        </w:rPr>
        <w:t>o</w:t>
      </w:r>
      <w:r w:rsidRPr="003B679E">
        <w:rPr>
          <w:noProof/>
        </w:rPr>
        <w:t> </w:t>
      </w:r>
      <w:r w:rsidR="00C218F1">
        <w:rPr>
          <w:noProof/>
        </w:rPr>
        <w:t>závažn</w:t>
      </w:r>
      <w:r w:rsidRPr="003B679E">
        <w:rPr>
          <w:noProof/>
        </w:rPr>
        <w:t>ou cirhózou pečene (Childovo-Pughovo skóre C) nie sú k dispozícii (pozri časti 4.2 a 4.4).</w:t>
      </w:r>
    </w:p>
    <w:p w:rsidR="006644FC" w:rsidRPr="003B679E" w:rsidRDefault="006644FC" w:rsidP="004F6A00">
      <w:pPr>
        <w:pStyle w:val="Normlndobloku"/>
        <w:rPr>
          <w:noProof/>
        </w:rPr>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Predklinické údaje o</w:t>
      </w:r>
      <w:r w:rsidR="006644FC">
        <w:rPr>
          <w:szCs w:val="22"/>
          <w:lang w:val="sk-SK"/>
        </w:rPr>
        <w:t> </w:t>
      </w:r>
      <w:r w:rsidRPr="00D32133">
        <w:rPr>
          <w:szCs w:val="22"/>
          <w:lang w:val="sk-SK"/>
        </w:rPr>
        <w:t>bezpečnosti</w:t>
      </w:r>
    </w:p>
    <w:p w:rsidR="006644FC" w:rsidRPr="00CB3225" w:rsidRDefault="006644FC" w:rsidP="003B679E">
      <w:pPr>
        <w:pStyle w:val="Styl2"/>
        <w:numPr>
          <w:ilvl w:val="0"/>
          <w:numId w:val="0"/>
        </w:numPr>
        <w:spacing w:before="0" w:after="0"/>
        <w:rPr>
          <w:szCs w:val="22"/>
          <w:lang w:val="sk-SK"/>
        </w:rPr>
      </w:pPr>
    </w:p>
    <w:p w:rsidR="00A72EBA" w:rsidRDefault="00A72EBA" w:rsidP="00A45256">
      <w:pPr>
        <w:pStyle w:val="Normlndobloku"/>
        <w:rPr>
          <w:noProof/>
        </w:rPr>
      </w:pPr>
      <w:r w:rsidRPr="003B679E">
        <w:rPr>
          <w:noProof/>
        </w:rPr>
        <w:t xml:space="preserve">Štúdie zamerané na sledovanie toxicity vorikonazolu pri opakovanom podávaní ukázali, že cieľovým orgánom je pečeň. </w:t>
      </w:r>
      <w:r w:rsidR="00227224">
        <w:rPr>
          <w:noProof/>
        </w:rPr>
        <w:t>K h</w:t>
      </w:r>
      <w:r w:rsidRPr="003B679E">
        <w:rPr>
          <w:noProof/>
        </w:rPr>
        <w:t>epatotoxicit</w:t>
      </w:r>
      <w:r w:rsidR="00227224">
        <w:rPr>
          <w:noProof/>
        </w:rPr>
        <w:t>e dochádzalo</w:t>
      </w:r>
      <w:r w:rsidRPr="003B679E">
        <w:rPr>
          <w:noProof/>
        </w:rPr>
        <w:t xml:space="preserve"> pri plazmatických </w:t>
      </w:r>
      <w:r w:rsidR="00CE5739">
        <w:rPr>
          <w:noProof/>
        </w:rPr>
        <w:t>expozíciách</w:t>
      </w:r>
      <w:r w:rsidRPr="003B679E">
        <w:rPr>
          <w:noProof/>
        </w:rPr>
        <w:t xml:space="preserve"> </w:t>
      </w:r>
      <w:r w:rsidR="004B5232">
        <w:rPr>
          <w:noProof/>
        </w:rPr>
        <w:t>podobn</w:t>
      </w:r>
      <w:r w:rsidR="00227224">
        <w:rPr>
          <w:noProof/>
        </w:rPr>
        <w:t>ých ako </w:t>
      </w:r>
      <w:r w:rsidRPr="003B679E">
        <w:rPr>
          <w:noProof/>
        </w:rPr>
        <w:t>pri</w:t>
      </w:r>
      <w:r w:rsidR="00227224">
        <w:rPr>
          <w:noProof/>
        </w:rPr>
        <w:t> </w:t>
      </w:r>
      <w:r w:rsidRPr="003B679E">
        <w:rPr>
          <w:noProof/>
        </w:rPr>
        <w:t xml:space="preserve">terapeutických dávkach u ľudí, ako </w:t>
      </w:r>
      <w:r w:rsidR="00227224">
        <w:rPr>
          <w:noProof/>
        </w:rPr>
        <w:t xml:space="preserve">to je aj </w:t>
      </w:r>
      <w:r w:rsidRPr="003B679E">
        <w:rPr>
          <w:noProof/>
        </w:rPr>
        <w:t>pri iných antimykotikách. Na potkanoch, myšiach a psoch indukoval vorikonazol aj minimálne zmeny na nadobličkách. Obvyklé farmakologické štúdie bezpečnosti, genotoxicity alebo karcinogénneho potenciálu neodhalili žiadne osobitné riziko pre</w:t>
      </w:r>
      <w:r w:rsidR="0029661F">
        <w:rPr>
          <w:noProof/>
        </w:rPr>
        <w:t> </w:t>
      </w:r>
      <w:r w:rsidRPr="003B679E">
        <w:rPr>
          <w:noProof/>
        </w:rPr>
        <w:t>ľudí.</w:t>
      </w:r>
    </w:p>
    <w:p w:rsidR="002506CC" w:rsidRPr="003B679E" w:rsidRDefault="002506CC" w:rsidP="004644D9">
      <w:pPr>
        <w:pStyle w:val="Normlndobloku"/>
        <w:rPr>
          <w:noProof/>
        </w:rPr>
      </w:pPr>
    </w:p>
    <w:p w:rsidR="00A72EBA" w:rsidRDefault="00A72EBA" w:rsidP="004F6A00">
      <w:pPr>
        <w:pStyle w:val="Normlndobloku"/>
        <w:rPr>
          <w:noProof/>
        </w:rPr>
      </w:pPr>
      <w:r w:rsidRPr="003B679E">
        <w:rPr>
          <w:noProof/>
        </w:rPr>
        <w:t>V reprodukčných štúdiách sa vorikonazol ukázal ako teratogénny u potkanov a embryotoxický u králikov pri rovnakej systémovej expozícii, aká sa dosiahne u ľudí pri terapeutických dávkach. V prenatáln</w:t>
      </w:r>
      <w:r w:rsidR="00B93288">
        <w:rPr>
          <w:noProof/>
        </w:rPr>
        <w:t>ej</w:t>
      </w:r>
      <w:r w:rsidRPr="003B679E">
        <w:rPr>
          <w:noProof/>
        </w:rPr>
        <w:t xml:space="preserve"> </w:t>
      </w:r>
      <w:r w:rsidRPr="003B679E">
        <w:rPr>
          <w:noProof/>
        </w:rPr>
        <w:lastRenderedPageBreak/>
        <w:t>a postnatáln</w:t>
      </w:r>
      <w:r w:rsidR="00B93288">
        <w:rPr>
          <w:noProof/>
        </w:rPr>
        <w:t>ej</w:t>
      </w:r>
      <w:r w:rsidRPr="003B679E">
        <w:rPr>
          <w:noProof/>
        </w:rPr>
        <w:t xml:space="preserve"> vývojov</w:t>
      </w:r>
      <w:r w:rsidR="00B93288">
        <w:rPr>
          <w:noProof/>
        </w:rPr>
        <w:t>ej</w:t>
      </w:r>
      <w:r w:rsidRPr="003B679E">
        <w:rPr>
          <w:noProof/>
        </w:rPr>
        <w:t xml:space="preserve"> štúdi</w:t>
      </w:r>
      <w:r w:rsidR="00B93288">
        <w:rPr>
          <w:noProof/>
        </w:rPr>
        <w:t>i</w:t>
      </w:r>
      <w:r w:rsidRPr="003B679E">
        <w:rPr>
          <w:noProof/>
        </w:rPr>
        <w:t xml:space="preserve"> na potkanoch pri expozíciách nižších ako u ľudí, ktoré sa dosiahnu pri terapeutických dávkach, vorikonazol predlžoval gestáciu a p</w:t>
      </w:r>
      <w:r w:rsidR="00D003DC">
        <w:rPr>
          <w:noProof/>
        </w:rPr>
        <w:t>ôrod</w:t>
      </w:r>
      <w:r w:rsidRPr="003B679E">
        <w:rPr>
          <w:noProof/>
        </w:rPr>
        <w:t xml:space="preserve"> a bol príčinou </w:t>
      </w:r>
      <w:r w:rsidR="00B93288">
        <w:rPr>
          <w:noProof/>
        </w:rPr>
        <w:t>dystokie</w:t>
      </w:r>
      <w:r w:rsidRPr="003B679E">
        <w:rPr>
          <w:noProof/>
        </w:rPr>
        <w:t xml:space="preserve"> s následkami maternálnej mortality a znižoval perinatálne prežívanie mláďat. Účinok na pôrod je pravdepodobne mediovaný mechanizmami </w:t>
      </w:r>
      <w:r w:rsidR="00D003DC">
        <w:rPr>
          <w:noProof/>
        </w:rPr>
        <w:t xml:space="preserve">špecifickými pre živočíšny druh </w:t>
      </w:r>
      <w:r w:rsidRPr="003B679E">
        <w:rPr>
          <w:noProof/>
        </w:rPr>
        <w:t xml:space="preserve">zahrňujúcimi zníženie hladiny estradiolu, čo je </w:t>
      </w:r>
      <w:r w:rsidR="006A634F">
        <w:rPr>
          <w:noProof/>
        </w:rPr>
        <w:t>v</w:t>
      </w:r>
      <w:r w:rsidRPr="003B679E">
        <w:rPr>
          <w:noProof/>
        </w:rPr>
        <w:t xml:space="preserve"> súlade s účinkami pozorovanými aj pri iných azolových antimykotikách. Podávanie vorikonazolu nevyvolalo poškodenie plodnosti samcov a samíc potkanov pri</w:t>
      </w:r>
      <w:r w:rsidR="004D0E45">
        <w:rPr>
          <w:noProof/>
        </w:rPr>
        <w:t> </w:t>
      </w:r>
      <w:r w:rsidRPr="003B679E">
        <w:rPr>
          <w:noProof/>
        </w:rPr>
        <w:t>expozíciách podobných tým, ktoré sa získali u ľudí v terapeutických dávkach.</w:t>
      </w:r>
    </w:p>
    <w:p w:rsidR="002506CC" w:rsidRDefault="002506CC" w:rsidP="004F6A00">
      <w:pPr>
        <w:pStyle w:val="Normlndobloku"/>
        <w:rPr>
          <w:noProof/>
        </w:rPr>
      </w:pPr>
    </w:p>
    <w:p w:rsidR="002506CC" w:rsidRPr="003B679E" w:rsidRDefault="002506CC" w:rsidP="004F6A00">
      <w:pPr>
        <w:pStyle w:val="Normlndobloku"/>
        <w:rPr>
          <w:noProof/>
        </w:rPr>
      </w:pPr>
    </w:p>
    <w:p w:rsidR="00A72EBA" w:rsidRDefault="00A72EBA" w:rsidP="00CD060E">
      <w:pPr>
        <w:pStyle w:val="Styl1"/>
        <w:spacing w:before="0" w:after="0"/>
        <w:ind w:left="0" w:firstLine="0"/>
        <w:rPr>
          <w:lang w:val="sk-SK"/>
        </w:rPr>
      </w:pPr>
      <w:r w:rsidRPr="003B679E">
        <w:rPr>
          <w:lang w:val="sk-SK"/>
        </w:rPr>
        <w:t>FARMACEUTICKÉ INFORMÁCIE</w:t>
      </w:r>
    </w:p>
    <w:p w:rsidR="002506CC" w:rsidRPr="003B679E" w:rsidRDefault="002506CC" w:rsidP="002506CC">
      <w:pPr>
        <w:pStyle w:val="Styl1"/>
        <w:numPr>
          <w:ilvl w:val="0"/>
          <w:numId w:val="0"/>
        </w:numPr>
        <w:spacing w:before="0" w:after="0"/>
        <w:rPr>
          <w:lang w:val="sk-SK"/>
        </w:rPr>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Zoznam pomocných látok</w:t>
      </w:r>
    </w:p>
    <w:p w:rsidR="002506CC" w:rsidRPr="00CB3225" w:rsidRDefault="002506CC" w:rsidP="003B679E">
      <w:pPr>
        <w:pStyle w:val="Styl2"/>
        <w:numPr>
          <w:ilvl w:val="0"/>
          <w:numId w:val="0"/>
        </w:numPr>
        <w:spacing w:before="0" w:after="0"/>
        <w:rPr>
          <w:szCs w:val="22"/>
          <w:lang w:val="sk-SK"/>
        </w:rPr>
      </w:pPr>
    </w:p>
    <w:p w:rsidR="00A72EBA" w:rsidRPr="004B210D" w:rsidRDefault="00A72EBA" w:rsidP="004F6A00">
      <w:pPr>
        <w:pStyle w:val="Styl3"/>
      </w:pPr>
      <w:r w:rsidRPr="004B210D">
        <w:t>Jadro tablety</w:t>
      </w:r>
    </w:p>
    <w:p w:rsidR="00A72EBA" w:rsidRPr="003B679E" w:rsidRDefault="00A72EBA" w:rsidP="00A45256">
      <w:pPr>
        <w:pStyle w:val="Normlndobloku"/>
      </w:pPr>
      <w:r w:rsidRPr="003B679E">
        <w:t>Monohydrát laktózy</w:t>
      </w:r>
    </w:p>
    <w:p w:rsidR="00A72EBA" w:rsidRPr="003B679E" w:rsidRDefault="00A72EBA" w:rsidP="004644D9">
      <w:pPr>
        <w:pStyle w:val="Normlndobloku"/>
      </w:pPr>
      <w:r w:rsidRPr="003B679E">
        <w:t>Predželat</w:t>
      </w:r>
      <w:r w:rsidR="00986CF4">
        <w:t>i</w:t>
      </w:r>
      <w:r w:rsidRPr="003B679E">
        <w:t>novaný škrob (kukuričný škrob)</w:t>
      </w:r>
    </w:p>
    <w:p w:rsidR="00A72EBA" w:rsidRPr="003B679E" w:rsidRDefault="00A72EBA" w:rsidP="004F6A00">
      <w:pPr>
        <w:pStyle w:val="Normlndobloku"/>
      </w:pPr>
      <w:r w:rsidRPr="003B679E">
        <w:t>Sodná soľ kroskarmelózy</w:t>
      </w:r>
    </w:p>
    <w:p w:rsidR="00A72EBA" w:rsidRPr="003B679E" w:rsidRDefault="00A72EBA" w:rsidP="004F6A00">
      <w:pPr>
        <w:pStyle w:val="Normlndobloku"/>
      </w:pPr>
      <w:r w:rsidRPr="003B679E">
        <w:t>Povidón (K 30)</w:t>
      </w:r>
    </w:p>
    <w:p w:rsidR="00A72EBA" w:rsidRDefault="00986CF4" w:rsidP="004F6A00">
      <w:pPr>
        <w:pStyle w:val="Normlndobloku"/>
      </w:pPr>
      <w:r>
        <w:t>Stearan horečnatý</w:t>
      </w:r>
    </w:p>
    <w:p w:rsidR="00A15A00" w:rsidRPr="003B679E" w:rsidRDefault="00A15A00" w:rsidP="004F6A00">
      <w:pPr>
        <w:pStyle w:val="Normlndobloku"/>
      </w:pPr>
    </w:p>
    <w:p w:rsidR="00A72EBA" w:rsidRPr="004B210D" w:rsidRDefault="00A72EBA" w:rsidP="004F6A00">
      <w:pPr>
        <w:pStyle w:val="Styl3"/>
      </w:pPr>
      <w:r w:rsidRPr="004B210D">
        <w:t>Obal tablety</w:t>
      </w:r>
    </w:p>
    <w:p w:rsidR="00A72EBA" w:rsidRPr="003B679E" w:rsidRDefault="00A72EBA" w:rsidP="00A45256">
      <w:pPr>
        <w:pStyle w:val="Normlndobloku"/>
      </w:pPr>
      <w:r w:rsidRPr="003B679E">
        <w:t>Obalová sústava Opadry® II - 31K58875 biela</w:t>
      </w:r>
    </w:p>
    <w:p w:rsidR="00A72EBA" w:rsidRPr="003B679E" w:rsidRDefault="00A72EBA" w:rsidP="004644D9">
      <w:pPr>
        <w:pStyle w:val="Normlndobloku"/>
      </w:pPr>
      <w:r w:rsidRPr="003B679E">
        <w:t>Skladajúca sa z týchto zložiek:</w:t>
      </w:r>
    </w:p>
    <w:p w:rsidR="00A72EBA" w:rsidRPr="003B679E" w:rsidRDefault="00A72EBA" w:rsidP="004F6A00">
      <w:pPr>
        <w:pStyle w:val="Normlndobloku"/>
      </w:pPr>
      <w:r w:rsidRPr="003B679E">
        <w:t>Monohydrát laktózy</w:t>
      </w:r>
    </w:p>
    <w:p w:rsidR="00A72EBA" w:rsidRPr="003B679E" w:rsidRDefault="00A72EBA" w:rsidP="004F6A00">
      <w:pPr>
        <w:pStyle w:val="Normlndobloku"/>
      </w:pPr>
      <w:r w:rsidRPr="003B679E">
        <w:t>Hypromelóza (E464)</w:t>
      </w:r>
    </w:p>
    <w:p w:rsidR="00A72EBA" w:rsidRPr="003B679E" w:rsidRDefault="00A72EBA" w:rsidP="004F6A00">
      <w:pPr>
        <w:pStyle w:val="Normlndobloku"/>
      </w:pPr>
      <w:r w:rsidRPr="003B679E">
        <w:t>Oxid titaničitý (E171)</w:t>
      </w:r>
    </w:p>
    <w:p w:rsidR="00A72EBA" w:rsidRDefault="00A72EBA" w:rsidP="004F6A00">
      <w:pPr>
        <w:pStyle w:val="Normlndobloku"/>
      </w:pPr>
      <w:r w:rsidRPr="003B679E">
        <w:t>Triacetín</w:t>
      </w:r>
    </w:p>
    <w:p w:rsidR="00572040" w:rsidRPr="003B679E" w:rsidRDefault="00572040" w:rsidP="004F6A00">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Inkompatibility</w:t>
      </w:r>
    </w:p>
    <w:p w:rsidR="00572040" w:rsidRPr="00CB3225" w:rsidRDefault="00572040" w:rsidP="003B679E">
      <w:pPr>
        <w:pStyle w:val="Styl2"/>
        <w:numPr>
          <w:ilvl w:val="0"/>
          <w:numId w:val="0"/>
        </w:numPr>
        <w:spacing w:before="0" w:after="0"/>
        <w:rPr>
          <w:szCs w:val="22"/>
          <w:lang w:val="sk-SK"/>
        </w:rPr>
      </w:pPr>
    </w:p>
    <w:p w:rsidR="00A72EBA" w:rsidRDefault="00A72EBA" w:rsidP="00A45256">
      <w:pPr>
        <w:pStyle w:val="Normlndobloku"/>
      </w:pPr>
      <w:r w:rsidRPr="003B679E">
        <w:t>Neaplikovateľné.</w:t>
      </w:r>
    </w:p>
    <w:p w:rsidR="00572040" w:rsidRPr="003B679E" w:rsidRDefault="00572040"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Čas použiteľnosti</w:t>
      </w:r>
    </w:p>
    <w:p w:rsidR="00572040" w:rsidRPr="00CB3225" w:rsidRDefault="00572040" w:rsidP="003B679E">
      <w:pPr>
        <w:pStyle w:val="Styl2"/>
        <w:numPr>
          <w:ilvl w:val="0"/>
          <w:numId w:val="0"/>
        </w:numPr>
        <w:spacing w:before="0" w:after="0"/>
        <w:rPr>
          <w:szCs w:val="22"/>
          <w:lang w:val="sk-SK"/>
        </w:rPr>
      </w:pPr>
    </w:p>
    <w:p w:rsidR="00A72EBA" w:rsidRDefault="00A72EBA" w:rsidP="00A45256">
      <w:pPr>
        <w:pStyle w:val="Normlndobloku"/>
      </w:pPr>
      <w:r w:rsidRPr="003B679E">
        <w:t>3 roky</w:t>
      </w:r>
    </w:p>
    <w:p w:rsidR="00572040" w:rsidRPr="003B679E" w:rsidRDefault="00572040"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Špeciálne upozornenia na uchovávanie</w:t>
      </w:r>
    </w:p>
    <w:p w:rsidR="00572040" w:rsidRPr="00CB3225" w:rsidRDefault="00572040" w:rsidP="003B679E">
      <w:pPr>
        <w:pStyle w:val="Styl2"/>
        <w:numPr>
          <w:ilvl w:val="0"/>
          <w:numId w:val="0"/>
        </w:numPr>
        <w:spacing w:before="0" w:after="0"/>
        <w:rPr>
          <w:szCs w:val="22"/>
          <w:lang w:val="sk-SK"/>
        </w:rPr>
      </w:pPr>
    </w:p>
    <w:p w:rsidR="00A72EBA" w:rsidRDefault="00A72EBA" w:rsidP="00A45256">
      <w:pPr>
        <w:pStyle w:val="Normlndobloku"/>
      </w:pPr>
      <w:r w:rsidRPr="003B679E">
        <w:t>Uchovávajte v pôvodnom obale na ochranu pred vlhkosťou.</w:t>
      </w:r>
    </w:p>
    <w:p w:rsidR="00572040" w:rsidRDefault="000F5E45" w:rsidP="004644D9">
      <w:pPr>
        <w:pStyle w:val="Normlndobloku"/>
      </w:pPr>
      <w:r>
        <w:t>Tento liek nevyžaduje žiadne zvláštne teplotné podmienky na uchovávanie.</w:t>
      </w:r>
    </w:p>
    <w:p w:rsidR="000F5E45" w:rsidRPr="003B679E" w:rsidRDefault="000F5E45" w:rsidP="004644D9">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Druh obalu a obsah balenia</w:t>
      </w:r>
    </w:p>
    <w:p w:rsidR="00572040" w:rsidRPr="00CB3225" w:rsidRDefault="00572040" w:rsidP="003B679E">
      <w:pPr>
        <w:pStyle w:val="Styl2"/>
        <w:numPr>
          <w:ilvl w:val="0"/>
          <w:numId w:val="0"/>
        </w:numPr>
        <w:spacing w:before="0" w:after="0"/>
        <w:rPr>
          <w:szCs w:val="22"/>
          <w:lang w:val="sk-SK"/>
        </w:rPr>
      </w:pPr>
    </w:p>
    <w:p w:rsidR="00A72EBA" w:rsidRDefault="00A72EBA" w:rsidP="00A45256">
      <w:pPr>
        <w:pStyle w:val="Normlndobloku"/>
      </w:pPr>
      <w:r w:rsidRPr="003B679E">
        <w:t>PVC/Al blister v škatuľkách po 2, 10, 14, 20, 28, 30, 50, 56 a 100 filmom obalených tabliet.</w:t>
      </w:r>
    </w:p>
    <w:p w:rsidR="00572040" w:rsidRPr="003B679E" w:rsidRDefault="00572040" w:rsidP="004644D9">
      <w:pPr>
        <w:pStyle w:val="Normlndobloku"/>
      </w:pPr>
    </w:p>
    <w:p w:rsidR="00A72EBA" w:rsidRDefault="00A72EBA" w:rsidP="004F6A00">
      <w:pPr>
        <w:pStyle w:val="Normlndobloku"/>
      </w:pPr>
      <w:r w:rsidRPr="003B679E">
        <w:t>Na trh nemusia byť uvedené všetky veľkosti balenia.</w:t>
      </w:r>
    </w:p>
    <w:p w:rsidR="00572040" w:rsidRPr="003B679E" w:rsidRDefault="00572040" w:rsidP="004F6A00">
      <w:pPr>
        <w:pStyle w:val="Normlndobloku"/>
      </w:pPr>
    </w:p>
    <w:p w:rsidR="00A72EBA" w:rsidRDefault="00A72EBA" w:rsidP="003B679E">
      <w:pPr>
        <w:pStyle w:val="Styl2"/>
        <w:numPr>
          <w:ilvl w:val="1"/>
          <w:numId w:val="10"/>
        </w:numPr>
        <w:spacing w:before="0" w:after="0"/>
        <w:ind w:left="0" w:firstLine="0"/>
        <w:rPr>
          <w:szCs w:val="22"/>
          <w:lang w:val="sk-SK"/>
        </w:rPr>
      </w:pPr>
      <w:r w:rsidRPr="00D32133">
        <w:rPr>
          <w:szCs w:val="22"/>
          <w:lang w:val="sk-SK"/>
        </w:rPr>
        <w:t>Špeciálne opatrenia na likvidáciu</w:t>
      </w:r>
    </w:p>
    <w:p w:rsidR="00572040" w:rsidRPr="00CB3225" w:rsidRDefault="00572040" w:rsidP="003B679E">
      <w:pPr>
        <w:pStyle w:val="Styl2"/>
        <w:numPr>
          <w:ilvl w:val="0"/>
          <w:numId w:val="0"/>
        </w:numPr>
        <w:spacing w:before="0" w:after="0"/>
        <w:rPr>
          <w:szCs w:val="22"/>
          <w:lang w:val="sk-SK"/>
        </w:rPr>
      </w:pPr>
    </w:p>
    <w:p w:rsidR="00A72EBA" w:rsidRDefault="00A72EBA" w:rsidP="00A45256">
      <w:pPr>
        <w:pStyle w:val="Normlndobloku"/>
      </w:pPr>
      <w:r w:rsidRPr="003B679E">
        <w:t>Žiadne zvláštne požiadavky</w:t>
      </w:r>
      <w:r w:rsidR="000F5E45">
        <w:t xml:space="preserve"> na likvidáciu</w:t>
      </w:r>
      <w:r w:rsidRPr="003B679E">
        <w:t>.</w:t>
      </w:r>
    </w:p>
    <w:p w:rsidR="00572040" w:rsidRDefault="00572040" w:rsidP="004644D9">
      <w:pPr>
        <w:pStyle w:val="Normlndobloku"/>
      </w:pPr>
    </w:p>
    <w:p w:rsidR="00572040" w:rsidRPr="003B679E" w:rsidRDefault="00572040" w:rsidP="004F6A00">
      <w:pPr>
        <w:pStyle w:val="Normlndobloku"/>
      </w:pPr>
    </w:p>
    <w:p w:rsidR="00A72EBA" w:rsidRDefault="00A72EBA" w:rsidP="00CD060E">
      <w:pPr>
        <w:pStyle w:val="Styl1"/>
        <w:spacing w:before="0" w:after="0"/>
        <w:ind w:left="0" w:firstLine="0"/>
        <w:rPr>
          <w:lang w:val="sk-SK"/>
        </w:rPr>
      </w:pPr>
      <w:r w:rsidRPr="003B679E">
        <w:rPr>
          <w:lang w:val="sk-SK"/>
        </w:rPr>
        <w:lastRenderedPageBreak/>
        <w:t>DRŽITEĽ ROZHODNUTIA O</w:t>
      </w:r>
      <w:r w:rsidR="00572040">
        <w:rPr>
          <w:lang w:val="sk-SK"/>
        </w:rPr>
        <w:t> </w:t>
      </w:r>
      <w:r w:rsidRPr="003B679E">
        <w:rPr>
          <w:lang w:val="sk-SK"/>
        </w:rPr>
        <w:t>REGISTRÁCII</w:t>
      </w:r>
    </w:p>
    <w:p w:rsidR="00572040" w:rsidRPr="003B679E" w:rsidRDefault="00572040" w:rsidP="00572040">
      <w:pPr>
        <w:pStyle w:val="Styl1"/>
        <w:numPr>
          <w:ilvl w:val="0"/>
          <w:numId w:val="0"/>
        </w:numPr>
        <w:spacing w:before="0" w:after="0"/>
        <w:rPr>
          <w:lang w:val="sk-SK"/>
        </w:rPr>
      </w:pPr>
    </w:p>
    <w:p w:rsidR="00572040" w:rsidRDefault="00A72EBA" w:rsidP="00A45256">
      <w:pPr>
        <w:pStyle w:val="Normlndobloku"/>
      </w:pPr>
      <w:r w:rsidRPr="003B679E">
        <w:t>MEDOCHEMIE Ltd.</w:t>
      </w:r>
    </w:p>
    <w:p w:rsidR="00572040" w:rsidRDefault="00A72EBA" w:rsidP="004644D9">
      <w:pPr>
        <w:pStyle w:val="Normlndobloku"/>
      </w:pPr>
      <w:r w:rsidRPr="003B679E">
        <w:t>1-10 Constantinoupoleos Street</w:t>
      </w:r>
    </w:p>
    <w:p w:rsidR="00572040" w:rsidRDefault="00A72EBA" w:rsidP="004F6A00">
      <w:pPr>
        <w:pStyle w:val="Normlndobloku"/>
      </w:pPr>
      <w:r w:rsidRPr="003B679E">
        <w:t>3011 Limassol</w:t>
      </w:r>
    </w:p>
    <w:p w:rsidR="00A72EBA" w:rsidRDefault="00A72EBA" w:rsidP="004F6A00">
      <w:pPr>
        <w:pStyle w:val="Normlndobloku"/>
      </w:pPr>
      <w:r w:rsidRPr="003B679E">
        <w:t>Cyprus</w:t>
      </w:r>
    </w:p>
    <w:p w:rsidR="00572040" w:rsidRDefault="00572040" w:rsidP="004F6A00">
      <w:pPr>
        <w:pStyle w:val="Normlndobloku"/>
      </w:pPr>
    </w:p>
    <w:p w:rsidR="00572040" w:rsidRPr="003B679E" w:rsidRDefault="00572040" w:rsidP="004F6A00">
      <w:pPr>
        <w:pStyle w:val="Normlndobloku"/>
      </w:pPr>
    </w:p>
    <w:p w:rsidR="00A72EBA" w:rsidRDefault="00A72EBA" w:rsidP="00413EE1">
      <w:pPr>
        <w:pStyle w:val="Styl1"/>
        <w:spacing w:before="0" w:after="0"/>
        <w:ind w:left="0" w:firstLine="0"/>
        <w:rPr>
          <w:lang w:val="sk-SK"/>
        </w:rPr>
      </w:pPr>
      <w:r w:rsidRPr="003B679E">
        <w:rPr>
          <w:lang w:val="sk-SK"/>
        </w:rPr>
        <w:t>REGISTRAČNÉ ČÍSLA</w:t>
      </w:r>
    </w:p>
    <w:p w:rsidR="00572040" w:rsidRPr="003B679E" w:rsidRDefault="00572040" w:rsidP="00572040">
      <w:pPr>
        <w:pStyle w:val="Styl1"/>
        <w:numPr>
          <w:ilvl w:val="0"/>
          <w:numId w:val="0"/>
        </w:numPr>
        <w:spacing w:before="0" w:after="0"/>
        <w:rPr>
          <w:lang w:val="sk-SK"/>
        </w:rPr>
      </w:pPr>
    </w:p>
    <w:p w:rsidR="00A72EBA" w:rsidRPr="003B679E" w:rsidRDefault="008248C7" w:rsidP="00A45256">
      <w:pPr>
        <w:pStyle w:val="Normlndobloku"/>
      </w:pPr>
      <w:r>
        <w:t xml:space="preserve">VERRIA </w:t>
      </w:r>
      <w:r w:rsidR="00A72EBA" w:rsidRPr="003B679E">
        <w:t>50 mg filmom obalené tablety:</w:t>
      </w:r>
      <w:r w:rsidR="00EA570F">
        <w:t xml:space="preserve"> </w:t>
      </w:r>
      <w:r w:rsidR="00EA570F" w:rsidRPr="00EA570F">
        <w:t>26/0026/17-S</w:t>
      </w:r>
    </w:p>
    <w:p w:rsidR="00A72EBA" w:rsidRDefault="008248C7" w:rsidP="004644D9">
      <w:pPr>
        <w:pStyle w:val="Normlndobloku"/>
      </w:pPr>
      <w:r>
        <w:t xml:space="preserve">VERRIA </w:t>
      </w:r>
      <w:r w:rsidR="00A72EBA" w:rsidRPr="003B679E">
        <w:t>200 mg filmom obalené tablety:</w:t>
      </w:r>
      <w:r w:rsidR="00EA570F" w:rsidRPr="00EA570F">
        <w:t xml:space="preserve"> 26/0027/17-S</w:t>
      </w:r>
    </w:p>
    <w:p w:rsidR="00572040" w:rsidRDefault="00572040" w:rsidP="004F6A00">
      <w:pPr>
        <w:pStyle w:val="Normlndobloku"/>
      </w:pPr>
    </w:p>
    <w:p w:rsidR="00572040" w:rsidRPr="003B679E" w:rsidRDefault="00572040" w:rsidP="004F6A00">
      <w:pPr>
        <w:pStyle w:val="Normlndobloku"/>
      </w:pPr>
    </w:p>
    <w:p w:rsidR="00A72EBA" w:rsidRDefault="00A72EBA" w:rsidP="00D40A28">
      <w:pPr>
        <w:pStyle w:val="Styl1"/>
        <w:spacing w:before="0" w:after="0"/>
        <w:ind w:left="0" w:firstLine="0"/>
        <w:rPr>
          <w:lang w:val="sk-SK"/>
        </w:rPr>
      </w:pPr>
      <w:r w:rsidRPr="003B679E">
        <w:rPr>
          <w:lang w:val="sk-SK"/>
        </w:rPr>
        <w:t>DÁTUM PRVEJ REGISTRÁCIE/PREDĹŽENIA REGISTRÁCIE</w:t>
      </w:r>
    </w:p>
    <w:p w:rsidR="00572040" w:rsidRPr="003B679E" w:rsidRDefault="00572040" w:rsidP="00572040">
      <w:pPr>
        <w:pStyle w:val="Styl1"/>
        <w:numPr>
          <w:ilvl w:val="0"/>
          <w:numId w:val="0"/>
        </w:numPr>
        <w:spacing w:before="0" w:after="0"/>
        <w:rPr>
          <w:lang w:val="sk-SK"/>
        </w:rPr>
      </w:pPr>
    </w:p>
    <w:p w:rsidR="00000000" w:rsidRDefault="00A72EBA">
      <w:pPr>
        <w:pStyle w:val="Normlndobloku"/>
      </w:pPr>
      <w:r w:rsidRPr="003B679E">
        <w:t>Dátum prvej registrácie:</w:t>
      </w:r>
      <w:r w:rsidR="00010377">
        <w:t xml:space="preserve"> 14. februára 2017</w:t>
      </w:r>
    </w:p>
    <w:p w:rsidR="00000000" w:rsidRDefault="00010377">
      <w:pPr>
        <w:pStyle w:val="Normlndobloku"/>
      </w:pPr>
      <w:r>
        <w:t xml:space="preserve">Dátum posledného predĺženia registrácie: </w:t>
      </w:r>
    </w:p>
    <w:p w:rsidR="00000000" w:rsidRDefault="00C83CC9">
      <w:pPr>
        <w:pStyle w:val="Normlndobloku"/>
      </w:pPr>
    </w:p>
    <w:p w:rsidR="00000000" w:rsidRDefault="00572040">
      <w:pPr>
        <w:pStyle w:val="Normlndobloku"/>
      </w:pPr>
      <w:r>
        <w:tab/>
      </w:r>
    </w:p>
    <w:p w:rsidR="00A72EBA" w:rsidRPr="003B679E" w:rsidRDefault="00A72EBA" w:rsidP="00CD060E">
      <w:pPr>
        <w:pStyle w:val="Styl1"/>
        <w:spacing w:before="0" w:after="0"/>
        <w:ind w:left="0" w:firstLine="0"/>
        <w:rPr>
          <w:lang w:val="sk-SK"/>
        </w:rPr>
      </w:pPr>
      <w:r w:rsidRPr="003B679E">
        <w:rPr>
          <w:lang w:val="sk-SK"/>
        </w:rPr>
        <w:t>DÁTUM REVÍZIE TEXTU</w:t>
      </w:r>
    </w:p>
    <w:p w:rsidR="00A72EBA" w:rsidRPr="003B679E" w:rsidRDefault="00A72EBA" w:rsidP="00A45256">
      <w:pPr>
        <w:pStyle w:val="Normlndobloku"/>
      </w:pPr>
    </w:p>
    <w:p w:rsidR="004277C7" w:rsidRPr="003B679E" w:rsidRDefault="00FC0FC8" w:rsidP="00CD060E">
      <w:pPr>
        <w:rPr>
          <w:szCs w:val="22"/>
          <w:lang w:val="sk-SK"/>
        </w:rPr>
      </w:pPr>
      <w:r>
        <w:rPr>
          <w:szCs w:val="22"/>
          <w:lang w:val="sk-SK"/>
        </w:rPr>
        <w:t>09/2018</w:t>
      </w:r>
    </w:p>
    <w:sectPr w:rsidR="004277C7" w:rsidRPr="003B679E" w:rsidSect="00FC0FC8">
      <w:headerReference w:type="default" r:id="rId9"/>
      <w:footerReference w:type="even" r:id="rId10"/>
      <w:footerReference w:type="default" r:id="rId11"/>
      <w:headerReference w:type="first" r:id="rId12"/>
      <w:footerReference w:type="first" r:id="rId13"/>
      <w:pgSz w:w="12240" w:h="15840" w:code="1"/>
      <w:pgMar w:top="1134" w:right="1418" w:bottom="1134" w:left="1418" w:header="737" w:footer="737"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CC9" w:rsidRDefault="00C83CC9">
      <w:r>
        <w:separator/>
      </w:r>
    </w:p>
  </w:endnote>
  <w:endnote w:type="continuationSeparator" w:id="0">
    <w:p w:rsidR="00C83CC9" w:rsidRDefault="00C83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imes">
    <w:panose1 w:val="02020603060405020304"/>
    <w:charset w:val="EE"/>
    <w:family w:val="roman"/>
    <w:pitch w:val="variable"/>
    <w:sig w:usb0="00000007" w:usb1="00000000" w:usb2="00000000" w:usb3="00000000" w:csb0="00000093"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61002A87" w:usb1="80000000" w:usb2="00000008" w:usb3="00000000" w:csb0="000101FF" w:csb1="00000000"/>
  </w:font>
  <w:font w:name="TimesNewRoman,Bold">
    <w:altName w:val="Times New Roman"/>
    <w:panose1 w:val="00000000000000000000"/>
    <w:charset w:val="00"/>
    <w:family w:val="auto"/>
    <w:notTrueType/>
    <w:pitch w:val="default"/>
    <w:sig w:usb0="00000007" w:usb1="00000000" w:usb2="00000000" w:usb3="00000000" w:csb0="00000003"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E8" w:rsidRDefault="00B767E9" w:rsidP="0019731D">
    <w:pPr>
      <w:pStyle w:val="Pta"/>
      <w:framePr w:wrap="around" w:vAnchor="text" w:hAnchor="margin" w:xAlign="right" w:y="1"/>
      <w:rPr>
        <w:rStyle w:val="slostrany"/>
      </w:rPr>
    </w:pPr>
    <w:r>
      <w:rPr>
        <w:rStyle w:val="slostrany"/>
      </w:rPr>
      <w:fldChar w:fldCharType="begin"/>
    </w:r>
    <w:r w:rsidR="005D1AE8">
      <w:rPr>
        <w:rStyle w:val="slostrany"/>
      </w:rPr>
      <w:instrText xml:space="preserve">PAGE  </w:instrText>
    </w:r>
    <w:r>
      <w:rPr>
        <w:rStyle w:val="slostrany"/>
      </w:rPr>
      <w:fldChar w:fldCharType="end"/>
    </w:r>
  </w:p>
  <w:p w:rsidR="005D1AE8" w:rsidRDefault="005D1AE8" w:rsidP="0019731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556514"/>
      <w:docPartObj>
        <w:docPartGallery w:val="Page Numbers (Bottom of Page)"/>
        <w:docPartUnique/>
      </w:docPartObj>
    </w:sdtPr>
    <w:sdtEndPr>
      <w:rPr>
        <w:szCs w:val="22"/>
      </w:rPr>
    </w:sdtEndPr>
    <w:sdtContent>
      <w:p w:rsidR="005D1AE8" w:rsidRPr="004644D9" w:rsidRDefault="00B767E9" w:rsidP="004644D9">
        <w:pPr>
          <w:pStyle w:val="Pta"/>
          <w:jc w:val="center"/>
          <w:rPr>
            <w:szCs w:val="22"/>
          </w:rPr>
        </w:pPr>
        <w:r w:rsidRPr="004F6A00">
          <w:rPr>
            <w:szCs w:val="22"/>
          </w:rPr>
          <w:fldChar w:fldCharType="begin"/>
        </w:r>
        <w:r w:rsidR="005D1AE8" w:rsidRPr="004F6A00">
          <w:rPr>
            <w:szCs w:val="22"/>
          </w:rPr>
          <w:instrText>PAGE   \* MERGEFORMAT</w:instrText>
        </w:r>
        <w:r w:rsidRPr="004F6A00">
          <w:rPr>
            <w:szCs w:val="22"/>
          </w:rPr>
          <w:fldChar w:fldCharType="separate"/>
        </w:r>
        <w:r w:rsidR="009264A5" w:rsidRPr="009264A5">
          <w:rPr>
            <w:noProof/>
            <w:szCs w:val="22"/>
            <w:lang w:val="sk-SK"/>
          </w:rPr>
          <w:t>1</w:t>
        </w:r>
        <w:r w:rsidRPr="004F6A00">
          <w:rPr>
            <w:szCs w:val="22"/>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378496"/>
      <w:docPartObj>
        <w:docPartGallery w:val="Page Numbers (Bottom of Page)"/>
        <w:docPartUnique/>
      </w:docPartObj>
    </w:sdtPr>
    <w:sdtEndPr>
      <w:rPr>
        <w:szCs w:val="22"/>
      </w:rPr>
    </w:sdtEndPr>
    <w:sdtContent>
      <w:p w:rsidR="005D1AE8" w:rsidRPr="004F6A00" w:rsidRDefault="00B767E9" w:rsidP="004F6A00">
        <w:pPr>
          <w:pStyle w:val="Pta"/>
          <w:jc w:val="center"/>
          <w:rPr>
            <w:szCs w:val="22"/>
          </w:rPr>
        </w:pPr>
        <w:r w:rsidRPr="004F6A00">
          <w:rPr>
            <w:szCs w:val="22"/>
          </w:rPr>
          <w:fldChar w:fldCharType="begin"/>
        </w:r>
        <w:r w:rsidR="005D1AE8" w:rsidRPr="004F6A00">
          <w:rPr>
            <w:szCs w:val="22"/>
          </w:rPr>
          <w:instrText>PAGE   \* MERGEFORMAT</w:instrText>
        </w:r>
        <w:r w:rsidRPr="004F6A00">
          <w:rPr>
            <w:szCs w:val="22"/>
          </w:rPr>
          <w:fldChar w:fldCharType="separate"/>
        </w:r>
        <w:r w:rsidR="005D1AE8" w:rsidRPr="00FC0FC8">
          <w:rPr>
            <w:noProof/>
            <w:szCs w:val="22"/>
            <w:lang w:val="sk-SK"/>
          </w:rPr>
          <w:t>1</w:t>
        </w:r>
        <w:r w:rsidRPr="004F6A00">
          <w:rPr>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CC9" w:rsidRDefault="00C83CC9">
      <w:r>
        <w:separator/>
      </w:r>
    </w:p>
  </w:footnote>
  <w:footnote w:type="continuationSeparator" w:id="0">
    <w:p w:rsidR="00C83CC9" w:rsidRDefault="00C83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E8" w:rsidRDefault="005D1AE8" w:rsidP="00FC0FC8">
    <w:pPr>
      <w:outlineLvl w:val="0"/>
      <w:rPr>
        <w:noProof/>
        <w:sz w:val="18"/>
        <w:szCs w:val="18"/>
        <w:lang w:val="sk-SK" w:eastAsia="en-GB"/>
      </w:rPr>
    </w:pPr>
    <w:r w:rsidRPr="005D1C99">
      <w:rPr>
        <w:noProof/>
        <w:sz w:val="18"/>
        <w:szCs w:val="18"/>
        <w:lang w:val="sk-SK" w:eastAsia="en-GB"/>
      </w:rPr>
      <w:t>Schválený text k rozhodnutiu o predĺžení, ev. č.:</w:t>
    </w:r>
    <w:r>
      <w:rPr>
        <w:noProof/>
        <w:sz w:val="18"/>
        <w:szCs w:val="18"/>
        <w:lang w:val="sk-SK" w:eastAsia="en-GB"/>
      </w:rPr>
      <w:t xml:space="preserve"> 2017/03324-PRE, 2017/03325-PRE</w:t>
    </w:r>
  </w:p>
  <w:p w:rsidR="005D1AE8" w:rsidRDefault="005D1AE8">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E8" w:rsidRDefault="005D1AE8" w:rsidP="0019731D">
    <w:pPr>
      <w:outlineLvl w:val="0"/>
      <w:rPr>
        <w:sz w:val="18"/>
        <w:szCs w:val="18"/>
        <w:lang w:val="sk-SK"/>
      </w:rPr>
    </w:pPr>
  </w:p>
  <w:p w:rsidR="005D1AE8" w:rsidRDefault="005D1AE8" w:rsidP="0019731D">
    <w:pPr>
      <w:outlineLvl w:val="0"/>
      <w:rPr>
        <w:noProof/>
        <w:sz w:val="18"/>
        <w:szCs w:val="18"/>
        <w:lang w:val="sk-SK" w:eastAsia="en-GB"/>
      </w:rPr>
    </w:pPr>
    <w:bookmarkStart w:id="1" w:name="_GoBack"/>
    <w:bookmarkEnd w:id="1"/>
    <w:r w:rsidRPr="005D1C99">
      <w:rPr>
        <w:noProof/>
        <w:sz w:val="18"/>
        <w:szCs w:val="18"/>
        <w:lang w:val="sk-SK" w:eastAsia="en-GB"/>
      </w:rPr>
      <w:t>Schválený text k rozhodnutiu o predĺžení, ev. č.:</w:t>
    </w:r>
    <w:r>
      <w:rPr>
        <w:noProof/>
        <w:sz w:val="18"/>
        <w:szCs w:val="18"/>
        <w:lang w:val="sk-SK" w:eastAsia="en-GB"/>
      </w:rPr>
      <w:t xml:space="preserve"> 2017/03324-PRE, 2017/03325-PRE</w:t>
    </w:r>
  </w:p>
  <w:p w:rsidR="005D1AE8" w:rsidRPr="0017401B" w:rsidRDefault="005D1AE8" w:rsidP="0019731D">
    <w:pPr>
      <w:outlineLvl w:val="0"/>
      <w:rPr>
        <w:noProof/>
        <w:sz w:val="18"/>
        <w:szCs w:val="18"/>
        <w:lang w:val="sk-SK" w:eastAsia="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FDE"/>
    <w:multiLevelType w:val="multilevel"/>
    <w:tmpl w:val="198427F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741604D"/>
    <w:multiLevelType w:val="hybridMultilevel"/>
    <w:tmpl w:val="ECAC0E66"/>
    <w:lvl w:ilvl="0" w:tplc="4A227F10">
      <w:numFmt w:val="bullet"/>
      <w:lvlText w:val="-"/>
      <w:lvlJc w:val="left"/>
      <w:pPr>
        <w:tabs>
          <w:tab w:val="num" w:pos="720"/>
        </w:tabs>
        <w:ind w:left="720" w:hanging="36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4C7DB5"/>
    <w:multiLevelType w:val="hybridMultilevel"/>
    <w:tmpl w:val="07B6556C"/>
    <w:lvl w:ilvl="0" w:tplc="A5BA7072">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6C972C6"/>
    <w:multiLevelType w:val="multilevel"/>
    <w:tmpl w:val="ADDAFD8A"/>
    <w:lvl w:ilvl="0">
      <w:numFmt w:val="bullet"/>
      <w:lvlText w:val="-"/>
      <w:lvlJc w:val="left"/>
      <w:pPr>
        <w:tabs>
          <w:tab w:val="num" w:pos="360"/>
        </w:tabs>
        <w:ind w:left="360" w:hanging="360"/>
      </w:pPr>
      <w:rPr>
        <w:rFonts w:ascii="Arial" w:eastAsia="Times New Roman" w:hAnsi="Arial" w:cs="Arial"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8880BA3"/>
    <w:multiLevelType w:val="hybridMultilevel"/>
    <w:tmpl w:val="94843926"/>
    <w:lvl w:ilvl="0" w:tplc="663A4272">
      <w:start w:val="1"/>
      <w:numFmt w:val="bullet"/>
      <w:pStyle w:val="Normlnsodrkami"/>
      <w:lvlText w:val=""/>
      <w:lvlJc w:val="left"/>
      <w:pPr>
        <w:ind w:left="720" w:hanging="360"/>
      </w:pPr>
      <w:rPr>
        <w:rFonts w:ascii="Symbol" w:hAnsi="Symbol" w:hint="default"/>
      </w:rPr>
    </w:lvl>
    <w:lvl w:ilvl="1" w:tplc="D8B2DCCE">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BEF0F49"/>
    <w:multiLevelType w:val="multilevel"/>
    <w:tmpl w:val="9670B2CC"/>
    <w:lvl w:ilvl="0">
      <w:start w:val="1"/>
      <w:numFmt w:val="bullet"/>
      <w:lvlText w:val="o"/>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E877145"/>
    <w:multiLevelType w:val="singleLevel"/>
    <w:tmpl w:val="BFCC93E6"/>
    <w:lvl w:ilvl="0">
      <w:start w:val="1"/>
      <w:numFmt w:val="bullet"/>
      <w:lvlText w:val=""/>
      <w:lvlJc w:val="left"/>
      <w:pPr>
        <w:ind w:left="1211" w:hanging="360"/>
      </w:pPr>
      <w:rPr>
        <w:rFonts w:ascii="Symbol" w:hAnsi="Symbol" w:hint="default"/>
        <w:sz w:val="22"/>
      </w:rPr>
    </w:lvl>
  </w:abstractNum>
  <w:abstractNum w:abstractNumId="7">
    <w:nsid w:val="42766939"/>
    <w:multiLevelType w:val="multilevel"/>
    <w:tmpl w:val="0A862524"/>
    <w:lvl w:ilvl="0">
      <w:start w:val="1"/>
      <w:numFmt w:val="decimal"/>
      <w:lvlText w:val="%1."/>
      <w:lvlJc w:val="left"/>
      <w:pPr>
        <w:ind w:left="360" w:hanging="360"/>
      </w:pPr>
      <w:rPr>
        <w:rFonts w:hint="default"/>
      </w:rPr>
    </w:lvl>
    <w:lvl w:ilvl="1">
      <w:start w:val="1"/>
      <w:numFmt w:val="decimal"/>
      <w:pStyle w:val="Styl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35574D"/>
    <w:multiLevelType w:val="multilevel"/>
    <w:tmpl w:val="C0DC4D94"/>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AAD4AA7"/>
    <w:multiLevelType w:val="multilevel"/>
    <w:tmpl w:val="AB0211EA"/>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2"/>
  </w:num>
  <w:num w:numId="10">
    <w:abstractNumId w:val="10"/>
  </w:num>
  <w:num w:numId="11">
    <w:abstractNumId w:val="10"/>
  </w:num>
  <w:num w:numId="12">
    <w:abstractNumId w:val="2"/>
  </w:num>
  <w:num w:numId="13">
    <w:abstractNumId w:val="6"/>
  </w:num>
  <w:num w:numId="14">
    <w:abstractNumId w:val="10"/>
  </w:num>
  <w:num w:numId="15">
    <w:abstractNumId w:val="10"/>
  </w:num>
  <w:num w:numId="16">
    <w:abstractNumId w:val="6"/>
  </w:num>
  <w:num w:numId="17">
    <w:abstractNumId w:val="10"/>
  </w:num>
  <w:num w:numId="18">
    <w:abstractNumId w:val="10"/>
  </w:num>
  <w:num w:numId="19">
    <w:abstractNumId w:val="6"/>
  </w:num>
  <w:num w:numId="20">
    <w:abstractNumId w:val="6"/>
  </w:num>
  <w:num w:numId="21">
    <w:abstractNumId w:val="2"/>
  </w:num>
  <w:num w:numId="22">
    <w:abstractNumId w:val="10"/>
  </w:num>
  <w:num w:numId="23">
    <w:abstractNumId w:val="2"/>
  </w:num>
  <w:num w:numId="24">
    <w:abstractNumId w:val="10"/>
  </w:num>
  <w:num w:numId="25">
    <w:abstractNumId w:val="10"/>
  </w:num>
  <w:num w:numId="26">
    <w:abstractNumId w:val="2"/>
  </w:num>
  <w:num w:numId="27">
    <w:abstractNumId w:val="10"/>
  </w:num>
  <w:num w:numId="28">
    <w:abstractNumId w:val="7"/>
  </w:num>
  <w:num w:numId="29">
    <w:abstractNumId w:val="7"/>
  </w:num>
  <w:num w:numId="30">
    <w:abstractNumId w:val="9"/>
  </w:num>
  <w:num w:numId="31">
    <w:abstractNumId w:val="5"/>
  </w:num>
  <w:num w:numId="32">
    <w:abstractNumId w:val="1"/>
  </w:num>
  <w:num w:numId="33">
    <w:abstractNumId w:val="4"/>
  </w:num>
  <w:num w:numId="34">
    <w:abstractNumId w:val="0"/>
  </w:num>
  <w:num w:numId="35">
    <w:abstractNumId w:val="8"/>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nka Kváčová">
    <w15:presenceInfo w15:providerId="AD" w15:userId="S-1-5-21-2883121066-1603970394-1633130217-1116"/>
  </w15:person>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1F08"/>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72EBA"/>
    <w:rsid w:val="0000262C"/>
    <w:rsid w:val="00010377"/>
    <w:rsid w:val="00012B4D"/>
    <w:rsid w:val="00013D0E"/>
    <w:rsid w:val="00020B24"/>
    <w:rsid w:val="000249BA"/>
    <w:rsid w:val="00027A29"/>
    <w:rsid w:val="00031B6D"/>
    <w:rsid w:val="0005002F"/>
    <w:rsid w:val="000522A2"/>
    <w:rsid w:val="0005489C"/>
    <w:rsid w:val="0005653F"/>
    <w:rsid w:val="00061557"/>
    <w:rsid w:val="00064049"/>
    <w:rsid w:val="000654AE"/>
    <w:rsid w:val="000674C5"/>
    <w:rsid w:val="00070469"/>
    <w:rsid w:val="000756D4"/>
    <w:rsid w:val="00077723"/>
    <w:rsid w:val="000832AB"/>
    <w:rsid w:val="00084F63"/>
    <w:rsid w:val="00085BD9"/>
    <w:rsid w:val="000A2A2B"/>
    <w:rsid w:val="000B44E2"/>
    <w:rsid w:val="000B66ED"/>
    <w:rsid w:val="000C3EE4"/>
    <w:rsid w:val="000C4B53"/>
    <w:rsid w:val="000C5F61"/>
    <w:rsid w:val="000D30D7"/>
    <w:rsid w:val="000D3823"/>
    <w:rsid w:val="000D6A7D"/>
    <w:rsid w:val="000F088C"/>
    <w:rsid w:val="000F5E45"/>
    <w:rsid w:val="000F70BD"/>
    <w:rsid w:val="001112A2"/>
    <w:rsid w:val="001125D4"/>
    <w:rsid w:val="00133AF1"/>
    <w:rsid w:val="00136F13"/>
    <w:rsid w:val="001377A2"/>
    <w:rsid w:val="001408F5"/>
    <w:rsid w:val="001411E7"/>
    <w:rsid w:val="001430E4"/>
    <w:rsid w:val="00164810"/>
    <w:rsid w:val="0017435D"/>
    <w:rsid w:val="0018300B"/>
    <w:rsid w:val="00191880"/>
    <w:rsid w:val="0019731D"/>
    <w:rsid w:val="001A497E"/>
    <w:rsid w:val="001A506E"/>
    <w:rsid w:val="001A7A13"/>
    <w:rsid w:val="001B39E9"/>
    <w:rsid w:val="001B3F9B"/>
    <w:rsid w:val="001E3AD7"/>
    <w:rsid w:val="001F2033"/>
    <w:rsid w:val="001F481D"/>
    <w:rsid w:val="001F6499"/>
    <w:rsid w:val="001F70B7"/>
    <w:rsid w:val="002026FA"/>
    <w:rsid w:val="00207709"/>
    <w:rsid w:val="002102E7"/>
    <w:rsid w:val="0021219C"/>
    <w:rsid w:val="00227224"/>
    <w:rsid w:val="00227C1F"/>
    <w:rsid w:val="00231BCE"/>
    <w:rsid w:val="00240DE3"/>
    <w:rsid w:val="00245AB2"/>
    <w:rsid w:val="002506CC"/>
    <w:rsid w:val="00252D01"/>
    <w:rsid w:val="00254DB3"/>
    <w:rsid w:val="002570AB"/>
    <w:rsid w:val="00260226"/>
    <w:rsid w:val="00262756"/>
    <w:rsid w:val="00263C87"/>
    <w:rsid w:val="00272D63"/>
    <w:rsid w:val="00276ED8"/>
    <w:rsid w:val="002821EE"/>
    <w:rsid w:val="0028271F"/>
    <w:rsid w:val="002860CE"/>
    <w:rsid w:val="00294715"/>
    <w:rsid w:val="0029661F"/>
    <w:rsid w:val="002A02EB"/>
    <w:rsid w:val="002A054E"/>
    <w:rsid w:val="002A2429"/>
    <w:rsid w:val="002A27E3"/>
    <w:rsid w:val="002A34F5"/>
    <w:rsid w:val="002B5910"/>
    <w:rsid w:val="002C04FC"/>
    <w:rsid w:val="002C13A8"/>
    <w:rsid w:val="002D3B32"/>
    <w:rsid w:val="002D4F5F"/>
    <w:rsid w:val="002D5DB4"/>
    <w:rsid w:val="002D5FE8"/>
    <w:rsid w:val="002D6A62"/>
    <w:rsid w:val="002E0E41"/>
    <w:rsid w:val="002E1519"/>
    <w:rsid w:val="002F2F84"/>
    <w:rsid w:val="002F585D"/>
    <w:rsid w:val="00303CB8"/>
    <w:rsid w:val="003069ED"/>
    <w:rsid w:val="00306EF9"/>
    <w:rsid w:val="003128EC"/>
    <w:rsid w:val="00312FB6"/>
    <w:rsid w:val="00313052"/>
    <w:rsid w:val="00321620"/>
    <w:rsid w:val="00324F85"/>
    <w:rsid w:val="00330C20"/>
    <w:rsid w:val="00330F96"/>
    <w:rsid w:val="00345B9F"/>
    <w:rsid w:val="00354407"/>
    <w:rsid w:val="00360BE2"/>
    <w:rsid w:val="00361397"/>
    <w:rsid w:val="00366162"/>
    <w:rsid w:val="00367F3E"/>
    <w:rsid w:val="0038447E"/>
    <w:rsid w:val="00384C04"/>
    <w:rsid w:val="00391DFF"/>
    <w:rsid w:val="00392085"/>
    <w:rsid w:val="00395515"/>
    <w:rsid w:val="003A0826"/>
    <w:rsid w:val="003B193E"/>
    <w:rsid w:val="003B679E"/>
    <w:rsid w:val="003B7EED"/>
    <w:rsid w:val="003C21DF"/>
    <w:rsid w:val="003C26A3"/>
    <w:rsid w:val="003C66F5"/>
    <w:rsid w:val="003D0B24"/>
    <w:rsid w:val="003D2983"/>
    <w:rsid w:val="003E2ADB"/>
    <w:rsid w:val="003E63F1"/>
    <w:rsid w:val="003F5BB7"/>
    <w:rsid w:val="0040088E"/>
    <w:rsid w:val="00403374"/>
    <w:rsid w:val="00406098"/>
    <w:rsid w:val="004103D1"/>
    <w:rsid w:val="00412D05"/>
    <w:rsid w:val="00413EE1"/>
    <w:rsid w:val="00423F9C"/>
    <w:rsid w:val="00426558"/>
    <w:rsid w:val="0042687F"/>
    <w:rsid w:val="004277C7"/>
    <w:rsid w:val="004312E2"/>
    <w:rsid w:val="00436C3B"/>
    <w:rsid w:val="00441C10"/>
    <w:rsid w:val="004439D9"/>
    <w:rsid w:val="00450019"/>
    <w:rsid w:val="00462AD0"/>
    <w:rsid w:val="00462EB6"/>
    <w:rsid w:val="004644D9"/>
    <w:rsid w:val="00467E05"/>
    <w:rsid w:val="00483DBB"/>
    <w:rsid w:val="00487B5B"/>
    <w:rsid w:val="0049594D"/>
    <w:rsid w:val="004A05F0"/>
    <w:rsid w:val="004A104D"/>
    <w:rsid w:val="004A305F"/>
    <w:rsid w:val="004A4A11"/>
    <w:rsid w:val="004A5579"/>
    <w:rsid w:val="004B1A84"/>
    <w:rsid w:val="004B210D"/>
    <w:rsid w:val="004B5232"/>
    <w:rsid w:val="004B7B9A"/>
    <w:rsid w:val="004C0C4A"/>
    <w:rsid w:val="004C0EDF"/>
    <w:rsid w:val="004C6936"/>
    <w:rsid w:val="004C7BA4"/>
    <w:rsid w:val="004D0E45"/>
    <w:rsid w:val="004D3AC8"/>
    <w:rsid w:val="004D6617"/>
    <w:rsid w:val="004E6501"/>
    <w:rsid w:val="004E7CF5"/>
    <w:rsid w:val="004F0446"/>
    <w:rsid w:val="004F6A00"/>
    <w:rsid w:val="004F74CE"/>
    <w:rsid w:val="00505BAF"/>
    <w:rsid w:val="00507382"/>
    <w:rsid w:val="00507FD0"/>
    <w:rsid w:val="00513D9F"/>
    <w:rsid w:val="00521B10"/>
    <w:rsid w:val="00532B60"/>
    <w:rsid w:val="00532EF9"/>
    <w:rsid w:val="005334DD"/>
    <w:rsid w:val="00535775"/>
    <w:rsid w:val="005367BB"/>
    <w:rsid w:val="00546547"/>
    <w:rsid w:val="005473C6"/>
    <w:rsid w:val="005525BD"/>
    <w:rsid w:val="0055535F"/>
    <w:rsid w:val="00556030"/>
    <w:rsid w:val="005651D5"/>
    <w:rsid w:val="00572040"/>
    <w:rsid w:val="005729C2"/>
    <w:rsid w:val="00574477"/>
    <w:rsid w:val="005755D8"/>
    <w:rsid w:val="00576A2B"/>
    <w:rsid w:val="00576ADE"/>
    <w:rsid w:val="00582136"/>
    <w:rsid w:val="0058712A"/>
    <w:rsid w:val="00594F36"/>
    <w:rsid w:val="005A0500"/>
    <w:rsid w:val="005A1FC2"/>
    <w:rsid w:val="005A7226"/>
    <w:rsid w:val="005B5CA3"/>
    <w:rsid w:val="005B6746"/>
    <w:rsid w:val="005B702D"/>
    <w:rsid w:val="005C0884"/>
    <w:rsid w:val="005C1E79"/>
    <w:rsid w:val="005C5884"/>
    <w:rsid w:val="005C6BAC"/>
    <w:rsid w:val="005D01AE"/>
    <w:rsid w:val="005D1AE8"/>
    <w:rsid w:val="005D1C99"/>
    <w:rsid w:val="005D1E68"/>
    <w:rsid w:val="005D62BA"/>
    <w:rsid w:val="005D62F4"/>
    <w:rsid w:val="005E4FA3"/>
    <w:rsid w:val="005E571E"/>
    <w:rsid w:val="005F069E"/>
    <w:rsid w:val="005F293E"/>
    <w:rsid w:val="006027CC"/>
    <w:rsid w:val="006038B6"/>
    <w:rsid w:val="00603993"/>
    <w:rsid w:val="006041A8"/>
    <w:rsid w:val="00604E6B"/>
    <w:rsid w:val="006052D5"/>
    <w:rsid w:val="00606FAB"/>
    <w:rsid w:val="006233BC"/>
    <w:rsid w:val="006270B0"/>
    <w:rsid w:val="006335D2"/>
    <w:rsid w:val="00640BB6"/>
    <w:rsid w:val="00645D41"/>
    <w:rsid w:val="00651F4D"/>
    <w:rsid w:val="0065657D"/>
    <w:rsid w:val="00656DD6"/>
    <w:rsid w:val="0066088E"/>
    <w:rsid w:val="006613F4"/>
    <w:rsid w:val="006626EE"/>
    <w:rsid w:val="00663B6F"/>
    <w:rsid w:val="006644FC"/>
    <w:rsid w:val="00665ECA"/>
    <w:rsid w:val="00670809"/>
    <w:rsid w:val="006719B4"/>
    <w:rsid w:val="006806D3"/>
    <w:rsid w:val="0068081D"/>
    <w:rsid w:val="00683D20"/>
    <w:rsid w:val="006A0390"/>
    <w:rsid w:val="006A6174"/>
    <w:rsid w:val="006A61C8"/>
    <w:rsid w:val="006A634F"/>
    <w:rsid w:val="006C0166"/>
    <w:rsid w:val="006C292E"/>
    <w:rsid w:val="006D370A"/>
    <w:rsid w:val="006E1501"/>
    <w:rsid w:val="006E7B1D"/>
    <w:rsid w:val="006F04CB"/>
    <w:rsid w:val="006F6EC9"/>
    <w:rsid w:val="0070042A"/>
    <w:rsid w:val="00703427"/>
    <w:rsid w:val="00704AA0"/>
    <w:rsid w:val="00706E8C"/>
    <w:rsid w:val="00714BDD"/>
    <w:rsid w:val="00717B89"/>
    <w:rsid w:val="0072308D"/>
    <w:rsid w:val="00726C84"/>
    <w:rsid w:val="00736236"/>
    <w:rsid w:val="0073668A"/>
    <w:rsid w:val="007369D3"/>
    <w:rsid w:val="0074621C"/>
    <w:rsid w:val="00753817"/>
    <w:rsid w:val="00755B95"/>
    <w:rsid w:val="00757F3B"/>
    <w:rsid w:val="0076384D"/>
    <w:rsid w:val="007702A6"/>
    <w:rsid w:val="007710AB"/>
    <w:rsid w:val="0077118C"/>
    <w:rsid w:val="00774C97"/>
    <w:rsid w:val="0078278C"/>
    <w:rsid w:val="0078463B"/>
    <w:rsid w:val="00792FE9"/>
    <w:rsid w:val="00795B57"/>
    <w:rsid w:val="007A3E69"/>
    <w:rsid w:val="007B15AA"/>
    <w:rsid w:val="007B7B6A"/>
    <w:rsid w:val="007C3290"/>
    <w:rsid w:val="007C3B7B"/>
    <w:rsid w:val="007C41AE"/>
    <w:rsid w:val="007C6BB0"/>
    <w:rsid w:val="007C78DA"/>
    <w:rsid w:val="007D0909"/>
    <w:rsid w:val="007D21E2"/>
    <w:rsid w:val="007E21BE"/>
    <w:rsid w:val="007E4B79"/>
    <w:rsid w:val="007E7F57"/>
    <w:rsid w:val="007F2A87"/>
    <w:rsid w:val="007F43F7"/>
    <w:rsid w:val="007F68FF"/>
    <w:rsid w:val="008052F1"/>
    <w:rsid w:val="008145FC"/>
    <w:rsid w:val="0082159C"/>
    <w:rsid w:val="008248C7"/>
    <w:rsid w:val="008320DE"/>
    <w:rsid w:val="00833A1B"/>
    <w:rsid w:val="00833F48"/>
    <w:rsid w:val="00854A04"/>
    <w:rsid w:val="00856F35"/>
    <w:rsid w:val="00857055"/>
    <w:rsid w:val="008633A7"/>
    <w:rsid w:val="0086616A"/>
    <w:rsid w:val="00875DE9"/>
    <w:rsid w:val="00876B72"/>
    <w:rsid w:val="00880C46"/>
    <w:rsid w:val="00882AFB"/>
    <w:rsid w:val="00882EC4"/>
    <w:rsid w:val="0088639A"/>
    <w:rsid w:val="00886F0B"/>
    <w:rsid w:val="00887C06"/>
    <w:rsid w:val="00896C94"/>
    <w:rsid w:val="008A42EF"/>
    <w:rsid w:val="008A4AE4"/>
    <w:rsid w:val="008B516A"/>
    <w:rsid w:val="008C33D6"/>
    <w:rsid w:val="008C4A50"/>
    <w:rsid w:val="008C7885"/>
    <w:rsid w:val="008D1149"/>
    <w:rsid w:val="008D5B76"/>
    <w:rsid w:val="008E1955"/>
    <w:rsid w:val="008E2555"/>
    <w:rsid w:val="008E37DE"/>
    <w:rsid w:val="008E5926"/>
    <w:rsid w:val="008F6A0D"/>
    <w:rsid w:val="00901C40"/>
    <w:rsid w:val="00912434"/>
    <w:rsid w:val="00913EA7"/>
    <w:rsid w:val="0091713B"/>
    <w:rsid w:val="009254AD"/>
    <w:rsid w:val="009262C6"/>
    <w:rsid w:val="009264A5"/>
    <w:rsid w:val="009308DE"/>
    <w:rsid w:val="00931FD1"/>
    <w:rsid w:val="00942ECA"/>
    <w:rsid w:val="00955CBA"/>
    <w:rsid w:val="00961F63"/>
    <w:rsid w:val="00965A7F"/>
    <w:rsid w:val="009677C8"/>
    <w:rsid w:val="00970D19"/>
    <w:rsid w:val="00970F1E"/>
    <w:rsid w:val="00972240"/>
    <w:rsid w:val="0097348B"/>
    <w:rsid w:val="00973848"/>
    <w:rsid w:val="00973E21"/>
    <w:rsid w:val="009766E6"/>
    <w:rsid w:val="00980A5C"/>
    <w:rsid w:val="00986CF4"/>
    <w:rsid w:val="0099103D"/>
    <w:rsid w:val="00994BE2"/>
    <w:rsid w:val="009A42AE"/>
    <w:rsid w:val="009B2F41"/>
    <w:rsid w:val="009B390A"/>
    <w:rsid w:val="009B46FD"/>
    <w:rsid w:val="009C3BA9"/>
    <w:rsid w:val="009C4E19"/>
    <w:rsid w:val="009C605B"/>
    <w:rsid w:val="009C6BDA"/>
    <w:rsid w:val="009E597E"/>
    <w:rsid w:val="009E638C"/>
    <w:rsid w:val="009F7893"/>
    <w:rsid w:val="00A0610B"/>
    <w:rsid w:val="00A154AA"/>
    <w:rsid w:val="00A15A00"/>
    <w:rsid w:val="00A163CD"/>
    <w:rsid w:val="00A16EDE"/>
    <w:rsid w:val="00A2025E"/>
    <w:rsid w:val="00A2114C"/>
    <w:rsid w:val="00A25CE4"/>
    <w:rsid w:val="00A410F9"/>
    <w:rsid w:val="00A4378E"/>
    <w:rsid w:val="00A438E0"/>
    <w:rsid w:val="00A45256"/>
    <w:rsid w:val="00A60C5D"/>
    <w:rsid w:val="00A726F8"/>
    <w:rsid w:val="00A72EBA"/>
    <w:rsid w:val="00A757AA"/>
    <w:rsid w:val="00A763C0"/>
    <w:rsid w:val="00A77E15"/>
    <w:rsid w:val="00A9122D"/>
    <w:rsid w:val="00A942C6"/>
    <w:rsid w:val="00A954DB"/>
    <w:rsid w:val="00AA2D24"/>
    <w:rsid w:val="00AA3EFD"/>
    <w:rsid w:val="00AB762A"/>
    <w:rsid w:val="00AB7E25"/>
    <w:rsid w:val="00AC06AD"/>
    <w:rsid w:val="00AC54FF"/>
    <w:rsid w:val="00AC67FF"/>
    <w:rsid w:val="00AD68A0"/>
    <w:rsid w:val="00AD743B"/>
    <w:rsid w:val="00AE376B"/>
    <w:rsid w:val="00AE3D88"/>
    <w:rsid w:val="00AE65A4"/>
    <w:rsid w:val="00AE69B1"/>
    <w:rsid w:val="00B0079B"/>
    <w:rsid w:val="00B02EF0"/>
    <w:rsid w:val="00B03272"/>
    <w:rsid w:val="00B047F9"/>
    <w:rsid w:val="00B14DF8"/>
    <w:rsid w:val="00B21E11"/>
    <w:rsid w:val="00B23906"/>
    <w:rsid w:val="00B36955"/>
    <w:rsid w:val="00B36B09"/>
    <w:rsid w:val="00B427D4"/>
    <w:rsid w:val="00B43192"/>
    <w:rsid w:val="00B444CB"/>
    <w:rsid w:val="00B44963"/>
    <w:rsid w:val="00B45135"/>
    <w:rsid w:val="00B453C5"/>
    <w:rsid w:val="00B50372"/>
    <w:rsid w:val="00B5144A"/>
    <w:rsid w:val="00B51654"/>
    <w:rsid w:val="00B55C66"/>
    <w:rsid w:val="00B60096"/>
    <w:rsid w:val="00B6274C"/>
    <w:rsid w:val="00B65ECA"/>
    <w:rsid w:val="00B661A9"/>
    <w:rsid w:val="00B6654D"/>
    <w:rsid w:val="00B7356F"/>
    <w:rsid w:val="00B73DEF"/>
    <w:rsid w:val="00B767E9"/>
    <w:rsid w:val="00B8263B"/>
    <w:rsid w:val="00B86E52"/>
    <w:rsid w:val="00B93288"/>
    <w:rsid w:val="00BA4A47"/>
    <w:rsid w:val="00BA5CEA"/>
    <w:rsid w:val="00BC186B"/>
    <w:rsid w:val="00BC201A"/>
    <w:rsid w:val="00BC4956"/>
    <w:rsid w:val="00BC7A90"/>
    <w:rsid w:val="00BD581E"/>
    <w:rsid w:val="00BD6EF4"/>
    <w:rsid w:val="00BD7F4F"/>
    <w:rsid w:val="00BE194C"/>
    <w:rsid w:val="00BE7ACA"/>
    <w:rsid w:val="00BF2DCE"/>
    <w:rsid w:val="00BF39C4"/>
    <w:rsid w:val="00BF51BB"/>
    <w:rsid w:val="00BF7994"/>
    <w:rsid w:val="00C01CE9"/>
    <w:rsid w:val="00C05761"/>
    <w:rsid w:val="00C10BCB"/>
    <w:rsid w:val="00C11C13"/>
    <w:rsid w:val="00C164B9"/>
    <w:rsid w:val="00C20E03"/>
    <w:rsid w:val="00C216C1"/>
    <w:rsid w:val="00C218F1"/>
    <w:rsid w:val="00C30443"/>
    <w:rsid w:val="00C31EEC"/>
    <w:rsid w:val="00C36E09"/>
    <w:rsid w:val="00C40CEC"/>
    <w:rsid w:val="00C43314"/>
    <w:rsid w:val="00C43364"/>
    <w:rsid w:val="00C50703"/>
    <w:rsid w:val="00C51D93"/>
    <w:rsid w:val="00C52E38"/>
    <w:rsid w:val="00C562C8"/>
    <w:rsid w:val="00C62B50"/>
    <w:rsid w:val="00C637EC"/>
    <w:rsid w:val="00C63DDD"/>
    <w:rsid w:val="00C64D6C"/>
    <w:rsid w:val="00C726B1"/>
    <w:rsid w:val="00C7642E"/>
    <w:rsid w:val="00C77793"/>
    <w:rsid w:val="00C80635"/>
    <w:rsid w:val="00C83CC9"/>
    <w:rsid w:val="00C85379"/>
    <w:rsid w:val="00C91CCF"/>
    <w:rsid w:val="00CB3225"/>
    <w:rsid w:val="00CC010F"/>
    <w:rsid w:val="00CC0DBB"/>
    <w:rsid w:val="00CC213F"/>
    <w:rsid w:val="00CD060E"/>
    <w:rsid w:val="00CD134A"/>
    <w:rsid w:val="00CD4003"/>
    <w:rsid w:val="00CD41E7"/>
    <w:rsid w:val="00CD6623"/>
    <w:rsid w:val="00CE381A"/>
    <w:rsid w:val="00CE478A"/>
    <w:rsid w:val="00CE5739"/>
    <w:rsid w:val="00D003DC"/>
    <w:rsid w:val="00D00632"/>
    <w:rsid w:val="00D069D8"/>
    <w:rsid w:val="00D119CE"/>
    <w:rsid w:val="00D21282"/>
    <w:rsid w:val="00D24AA4"/>
    <w:rsid w:val="00D25E9A"/>
    <w:rsid w:val="00D3009E"/>
    <w:rsid w:val="00D31D53"/>
    <w:rsid w:val="00D32133"/>
    <w:rsid w:val="00D36A18"/>
    <w:rsid w:val="00D40A28"/>
    <w:rsid w:val="00D4594C"/>
    <w:rsid w:val="00D46745"/>
    <w:rsid w:val="00D62176"/>
    <w:rsid w:val="00D62E0B"/>
    <w:rsid w:val="00D633D2"/>
    <w:rsid w:val="00D65F22"/>
    <w:rsid w:val="00D71FCE"/>
    <w:rsid w:val="00D7389C"/>
    <w:rsid w:val="00D84B5A"/>
    <w:rsid w:val="00D910BC"/>
    <w:rsid w:val="00D9126E"/>
    <w:rsid w:val="00D94550"/>
    <w:rsid w:val="00D94759"/>
    <w:rsid w:val="00DA229C"/>
    <w:rsid w:val="00DB2073"/>
    <w:rsid w:val="00DB5932"/>
    <w:rsid w:val="00DC31A9"/>
    <w:rsid w:val="00DC4322"/>
    <w:rsid w:val="00DC4D50"/>
    <w:rsid w:val="00DD4D69"/>
    <w:rsid w:val="00DD7696"/>
    <w:rsid w:val="00DE1C82"/>
    <w:rsid w:val="00DE2337"/>
    <w:rsid w:val="00DE2D73"/>
    <w:rsid w:val="00DE4A6E"/>
    <w:rsid w:val="00DE71A0"/>
    <w:rsid w:val="00DF5AE4"/>
    <w:rsid w:val="00DF5B61"/>
    <w:rsid w:val="00E04E29"/>
    <w:rsid w:val="00E13C16"/>
    <w:rsid w:val="00E252FA"/>
    <w:rsid w:val="00E311C8"/>
    <w:rsid w:val="00E359D6"/>
    <w:rsid w:val="00E35E86"/>
    <w:rsid w:val="00E51E8B"/>
    <w:rsid w:val="00E5279F"/>
    <w:rsid w:val="00E54D2E"/>
    <w:rsid w:val="00E56865"/>
    <w:rsid w:val="00E56DDA"/>
    <w:rsid w:val="00E644B1"/>
    <w:rsid w:val="00E70B7A"/>
    <w:rsid w:val="00E72C68"/>
    <w:rsid w:val="00E81460"/>
    <w:rsid w:val="00E82B3C"/>
    <w:rsid w:val="00E846EC"/>
    <w:rsid w:val="00E85A55"/>
    <w:rsid w:val="00E93D6A"/>
    <w:rsid w:val="00E968E4"/>
    <w:rsid w:val="00EA2687"/>
    <w:rsid w:val="00EA570F"/>
    <w:rsid w:val="00EB1C7F"/>
    <w:rsid w:val="00EB54B2"/>
    <w:rsid w:val="00EB6874"/>
    <w:rsid w:val="00ED3A6A"/>
    <w:rsid w:val="00ED3B17"/>
    <w:rsid w:val="00ED6D30"/>
    <w:rsid w:val="00EE40A4"/>
    <w:rsid w:val="00EE7A8C"/>
    <w:rsid w:val="00EF32DF"/>
    <w:rsid w:val="00EF6C7A"/>
    <w:rsid w:val="00EF7A6B"/>
    <w:rsid w:val="00F176D6"/>
    <w:rsid w:val="00F204F6"/>
    <w:rsid w:val="00F20D6D"/>
    <w:rsid w:val="00F25370"/>
    <w:rsid w:val="00F25BE2"/>
    <w:rsid w:val="00F25BF7"/>
    <w:rsid w:val="00F27303"/>
    <w:rsid w:val="00F3154C"/>
    <w:rsid w:val="00F31668"/>
    <w:rsid w:val="00F333FE"/>
    <w:rsid w:val="00F37A39"/>
    <w:rsid w:val="00F41719"/>
    <w:rsid w:val="00F418D6"/>
    <w:rsid w:val="00F421B7"/>
    <w:rsid w:val="00F42A51"/>
    <w:rsid w:val="00F431EE"/>
    <w:rsid w:val="00F44A05"/>
    <w:rsid w:val="00F45F26"/>
    <w:rsid w:val="00F60821"/>
    <w:rsid w:val="00F60C2F"/>
    <w:rsid w:val="00F61896"/>
    <w:rsid w:val="00F61CFF"/>
    <w:rsid w:val="00F6215E"/>
    <w:rsid w:val="00F65266"/>
    <w:rsid w:val="00F66BC9"/>
    <w:rsid w:val="00F73220"/>
    <w:rsid w:val="00F76A56"/>
    <w:rsid w:val="00F800B9"/>
    <w:rsid w:val="00F81158"/>
    <w:rsid w:val="00F813A9"/>
    <w:rsid w:val="00F81C91"/>
    <w:rsid w:val="00F82B98"/>
    <w:rsid w:val="00F834B4"/>
    <w:rsid w:val="00F928FE"/>
    <w:rsid w:val="00F968E8"/>
    <w:rsid w:val="00F96C87"/>
    <w:rsid w:val="00FA1D7F"/>
    <w:rsid w:val="00FA3A75"/>
    <w:rsid w:val="00FA5CAE"/>
    <w:rsid w:val="00FA7716"/>
    <w:rsid w:val="00FA7839"/>
    <w:rsid w:val="00FB2252"/>
    <w:rsid w:val="00FB559A"/>
    <w:rsid w:val="00FB7835"/>
    <w:rsid w:val="00FC0A89"/>
    <w:rsid w:val="00FC0FC8"/>
    <w:rsid w:val="00FC1B13"/>
    <w:rsid w:val="00FC4FF0"/>
    <w:rsid w:val="00FC5BFE"/>
    <w:rsid w:val="00FC6E2D"/>
    <w:rsid w:val="00FC7DE0"/>
    <w:rsid w:val="00FD53C5"/>
    <w:rsid w:val="00FE3233"/>
    <w:rsid w:val="00FE3469"/>
    <w:rsid w:val="00FF6612"/>
    <w:rsid w:val="00FF6E72"/>
    <w:rsid w:val="00FF7CE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Body Text Indent 2"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HTML Address"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7716"/>
    <w:rPr>
      <w:sz w:val="22"/>
      <w:szCs w:val="24"/>
      <w:lang w:val="el-GR" w:eastAsia="el-GR"/>
    </w:rPr>
  </w:style>
  <w:style w:type="paragraph" w:styleId="Nadpis1">
    <w:name w:val="heading 1"/>
    <w:basedOn w:val="Normlny"/>
    <w:next w:val="Normlny"/>
    <w:link w:val="Nadpis1Char"/>
    <w:qFormat/>
    <w:rsid w:val="00505BAF"/>
    <w:pPr>
      <w:keepNext/>
      <w:outlineLvl w:val="0"/>
    </w:pPr>
    <w:rPr>
      <w:rFonts w:cs="Arial"/>
      <w:b/>
      <w:sz w:val="24"/>
    </w:rPr>
  </w:style>
  <w:style w:type="paragraph" w:styleId="Nadpis2">
    <w:name w:val="heading 2"/>
    <w:basedOn w:val="Normlny"/>
    <w:next w:val="Normlny"/>
    <w:link w:val="Nadpis2Char"/>
    <w:qFormat/>
    <w:rsid w:val="00505BAF"/>
    <w:pPr>
      <w:keepNext/>
      <w:outlineLvl w:val="1"/>
    </w:pPr>
    <w:rPr>
      <w:rFonts w:eastAsiaTheme="majorEastAsia" w:cstheme="majorBidi"/>
      <w:i/>
      <w:sz w:val="24"/>
    </w:rPr>
  </w:style>
  <w:style w:type="paragraph" w:styleId="Nadpis3">
    <w:name w:val="heading 3"/>
    <w:basedOn w:val="Normlny"/>
    <w:next w:val="Normlny"/>
    <w:link w:val="Nadpis3Char"/>
    <w:qFormat/>
    <w:rsid w:val="00505BAF"/>
    <w:pPr>
      <w:keepNext/>
      <w:jc w:val="right"/>
      <w:outlineLvl w:val="2"/>
    </w:pPr>
    <w:rPr>
      <w:i/>
      <w:sz w:val="24"/>
    </w:rPr>
  </w:style>
  <w:style w:type="paragraph" w:styleId="Nadpis4">
    <w:name w:val="heading 4"/>
    <w:basedOn w:val="Normlny"/>
    <w:next w:val="Normlny"/>
    <w:link w:val="Nadpis4Char"/>
    <w:qFormat/>
    <w:rsid w:val="00505BAF"/>
    <w:pPr>
      <w:keepNext/>
      <w:jc w:val="right"/>
      <w:outlineLvl w:val="3"/>
    </w:pPr>
    <w:rPr>
      <w:sz w:val="24"/>
    </w:rPr>
  </w:style>
  <w:style w:type="paragraph" w:styleId="Nadpis5">
    <w:name w:val="heading 5"/>
    <w:basedOn w:val="Normlny"/>
    <w:next w:val="Normlny"/>
    <w:link w:val="Nadpis5Char"/>
    <w:uiPriority w:val="9"/>
    <w:qFormat/>
    <w:rsid w:val="00505BAF"/>
    <w:pPr>
      <w:keepNext/>
      <w:outlineLvl w:val="4"/>
    </w:pPr>
    <w:rPr>
      <w:rFonts w:eastAsiaTheme="minorEastAsia" w:cstheme="minorBidi"/>
      <w:i/>
    </w:rPr>
  </w:style>
  <w:style w:type="paragraph" w:styleId="Nadpis6">
    <w:name w:val="heading 6"/>
    <w:basedOn w:val="Normlny"/>
    <w:next w:val="Normlny"/>
    <w:link w:val="Nadpis6Char"/>
    <w:uiPriority w:val="9"/>
    <w:qFormat/>
    <w:rsid w:val="00505BAF"/>
    <w:pPr>
      <w:keepNext/>
      <w:jc w:val="both"/>
      <w:outlineLvl w:val="5"/>
    </w:pPr>
    <w:rPr>
      <w:rFonts w:eastAsiaTheme="minorEastAsia" w:cstheme="minorBidi"/>
      <w:sz w:val="24"/>
    </w:rPr>
  </w:style>
  <w:style w:type="paragraph" w:styleId="Nadpis7">
    <w:name w:val="heading 7"/>
    <w:basedOn w:val="Normlny"/>
    <w:next w:val="Normlny"/>
    <w:link w:val="Nadpis7Char"/>
    <w:qFormat/>
    <w:rsid w:val="00505BAF"/>
    <w:pPr>
      <w:keepNext/>
      <w:outlineLvl w:val="6"/>
    </w:pPr>
    <w:rPr>
      <w:rFonts w:ascii="Arial" w:hAnsi="Arial"/>
      <w:i/>
    </w:rPr>
  </w:style>
  <w:style w:type="paragraph" w:styleId="Nadpis8">
    <w:name w:val="heading 8"/>
    <w:basedOn w:val="Normlny"/>
    <w:next w:val="Normlny"/>
    <w:link w:val="Nadpis8Char"/>
    <w:qFormat/>
    <w:rsid w:val="00505BAF"/>
    <w:pPr>
      <w:keepNext/>
      <w:spacing w:before="120"/>
      <w:outlineLvl w:val="7"/>
    </w:pPr>
    <w:rPr>
      <w:rFonts w:eastAsiaTheme="minorEastAsia" w:cstheme="minorBidi"/>
      <w:b/>
      <w:bCs/>
      <w:sz w:val="24"/>
      <w:u w:val="single"/>
    </w:rPr>
  </w:style>
  <w:style w:type="paragraph" w:styleId="Nadpis9">
    <w:name w:val="heading 9"/>
    <w:basedOn w:val="Normlny"/>
    <w:next w:val="Normlny"/>
    <w:link w:val="Nadpis9Char"/>
    <w:qFormat/>
    <w:rsid w:val="00505BAF"/>
    <w:pPr>
      <w:keepNext/>
      <w:outlineLvl w:val="8"/>
    </w:pPr>
    <w:rPr>
      <w:rFonts w:eastAsiaTheme="majorEastAsia" w:cstheme="majorBidi"/>
      <w:b/>
      <w:bCs/>
      <w:i/>
      <w:iCs/>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4">
    <w:name w:val="Styl4"/>
    <w:basedOn w:val="Normlndobloku"/>
    <w:autoRedefine/>
    <w:qFormat/>
    <w:rsid w:val="00755B95"/>
    <w:pPr>
      <w:jc w:val="left"/>
    </w:pPr>
    <w:rPr>
      <w:rFonts w:ascii="Times" w:hAnsi="Times"/>
      <w:i/>
    </w:rPr>
  </w:style>
  <w:style w:type="paragraph" w:customStyle="1" w:styleId="Normlndobloku">
    <w:name w:val="Normální do bloku"/>
    <w:basedOn w:val="Normlny"/>
    <w:link w:val="NormlndoblokuChar"/>
    <w:autoRedefine/>
    <w:rsid w:val="00C43314"/>
    <w:pPr>
      <w:suppressAutoHyphens/>
      <w:jc w:val="both"/>
    </w:pPr>
    <w:rPr>
      <w:rFonts w:eastAsia="Calibri"/>
      <w:lang w:val="cs-CZ"/>
    </w:rPr>
  </w:style>
  <w:style w:type="character" w:customStyle="1" w:styleId="Nadpis1Char">
    <w:name w:val="Nadpis 1 Char"/>
    <w:basedOn w:val="Predvolenpsmoodseku"/>
    <w:link w:val="Nadpis1"/>
    <w:rsid w:val="002E1519"/>
    <w:rPr>
      <w:rFonts w:cs="Arial"/>
      <w:b/>
      <w:sz w:val="24"/>
      <w:lang w:val="en-US" w:eastAsia="sk-SK"/>
    </w:rPr>
  </w:style>
  <w:style w:type="character" w:customStyle="1" w:styleId="NormlndoblokuChar">
    <w:name w:val="Normální do bloku Char"/>
    <w:link w:val="Normlndobloku"/>
    <w:rsid w:val="00C43314"/>
    <w:rPr>
      <w:rFonts w:eastAsia="Calibri"/>
      <w:sz w:val="22"/>
      <w:szCs w:val="24"/>
      <w:lang w:val="cs-CZ" w:eastAsia="el-GR"/>
    </w:rPr>
  </w:style>
  <w:style w:type="paragraph" w:customStyle="1" w:styleId="Normlndoblokusodrkami">
    <w:name w:val="Normální do bloku s odrážkami"/>
    <w:basedOn w:val="Normlndobloku"/>
    <w:next w:val="Normlndobloku"/>
    <w:autoRedefine/>
    <w:qFormat/>
    <w:rsid w:val="00B86E52"/>
    <w:pPr>
      <w:numPr>
        <w:numId w:val="9"/>
      </w:numPr>
      <w:ind w:left="709" w:hanging="709"/>
      <w:jc w:val="left"/>
    </w:pPr>
    <w:rPr>
      <w:noProof/>
    </w:rPr>
  </w:style>
  <w:style w:type="paragraph" w:customStyle="1" w:styleId="Styl1">
    <w:name w:val="Styl1"/>
    <w:basedOn w:val="Normlny"/>
    <w:link w:val="Styl1Char"/>
    <w:autoRedefine/>
    <w:rsid w:val="00321620"/>
    <w:pPr>
      <w:keepNext/>
      <w:numPr>
        <w:numId w:val="10"/>
      </w:numPr>
      <w:spacing w:before="480" w:after="120"/>
      <w:ind w:left="357" w:hanging="357"/>
    </w:pPr>
    <w:rPr>
      <w:b/>
      <w:bCs/>
      <w:lang w:val="cs-CZ"/>
    </w:rPr>
  </w:style>
  <w:style w:type="paragraph" w:customStyle="1" w:styleId="Styl2">
    <w:name w:val="Styl2"/>
    <w:basedOn w:val="Normlny"/>
    <w:autoRedefine/>
    <w:rsid w:val="004A05F0"/>
    <w:pPr>
      <w:keepNext/>
      <w:numPr>
        <w:ilvl w:val="1"/>
        <w:numId w:val="29"/>
      </w:numPr>
      <w:spacing w:before="120" w:after="120"/>
    </w:pPr>
    <w:rPr>
      <w:b/>
      <w:bCs/>
      <w:lang w:val="cs-CZ"/>
    </w:rPr>
  </w:style>
  <w:style w:type="paragraph" w:customStyle="1" w:styleId="Styl2-2">
    <w:name w:val="Styl2-2"/>
    <w:basedOn w:val="Styl2"/>
    <w:next w:val="Normlny"/>
    <w:autoRedefine/>
    <w:qFormat/>
    <w:rsid w:val="00755B95"/>
    <w:rPr>
      <w:lang w:val="en-GB"/>
    </w:rPr>
  </w:style>
  <w:style w:type="paragraph" w:customStyle="1" w:styleId="Styl3">
    <w:name w:val="Styl3"/>
    <w:basedOn w:val="Normlny"/>
    <w:link w:val="Styl3Char"/>
    <w:autoRedefine/>
    <w:rsid w:val="007D0909"/>
    <w:pPr>
      <w:keepNext/>
      <w:tabs>
        <w:tab w:val="left" w:pos="6946"/>
      </w:tabs>
      <w:ind w:left="142" w:hanging="142"/>
    </w:pPr>
    <w:rPr>
      <w:rFonts w:eastAsia="Calibri"/>
      <w:u w:val="single"/>
      <w:lang w:val="cs-CZ"/>
    </w:rPr>
  </w:style>
  <w:style w:type="character" w:customStyle="1" w:styleId="Nadpis2Char">
    <w:name w:val="Nadpis 2 Char"/>
    <w:link w:val="Nadpis2"/>
    <w:rsid w:val="002E1519"/>
    <w:rPr>
      <w:rFonts w:eastAsiaTheme="majorEastAsia" w:cstheme="majorBidi"/>
      <w:i/>
      <w:sz w:val="24"/>
      <w:lang w:val="en-US" w:eastAsia="sk-SK"/>
    </w:rPr>
  </w:style>
  <w:style w:type="character" w:customStyle="1" w:styleId="Nadpis3Char">
    <w:name w:val="Nadpis 3 Char"/>
    <w:link w:val="Nadpis3"/>
    <w:rsid w:val="002E1519"/>
    <w:rPr>
      <w:i/>
      <w:sz w:val="24"/>
      <w:lang w:val="en-US" w:eastAsia="sk-SK"/>
    </w:rPr>
  </w:style>
  <w:style w:type="character" w:customStyle="1" w:styleId="Nadpis4Char">
    <w:name w:val="Nadpis 4 Char"/>
    <w:link w:val="Nadpis4"/>
    <w:rsid w:val="002E1519"/>
    <w:rPr>
      <w:sz w:val="24"/>
      <w:lang w:val="en-US" w:eastAsia="sk-SK"/>
    </w:rPr>
  </w:style>
  <w:style w:type="character" w:customStyle="1" w:styleId="Nadpis5Char">
    <w:name w:val="Nadpis 5 Char"/>
    <w:link w:val="Nadpis5"/>
    <w:uiPriority w:val="9"/>
    <w:rsid w:val="002E1519"/>
    <w:rPr>
      <w:rFonts w:eastAsiaTheme="minorEastAsia" w:cstheme="minorBidi"/>
      <w:i/>
      <w:sz w:val="22"/>
      <w:lang w:val="en-US" w:eastAsia="sk-SK"/>
    </w:rPr>
  </w:style>
  <w:style w:type="character" w:customStyle="1" w:styleId="Nadpis6Char">
    <w:name w:val="Nadpis 6 Char"/>
    <w:link w:val="Nadpis6"/>
    <w:uiPriority w:val="9"/>
    <w:rsid w:val="002E1519"/>
    <w:rPr>
      <w:rFonts w:eastAsiaTheme="minorEastAsia" w:cstheme="minorBidi"/>
      <w:sz w:val="24"/>
      <w:lang w:eastAsia="sk-SK"/>
    </w:rPr>
  </w:style>
  <w:style w:type="character" w:customStyle="1" w:styleId="Nadpis7Char">
    <w:name w:val="Nadpis 7 Char"/>
    <w:basedOn w:val="Predvolenpsmoodseku"/>
    <w:link w:val="Nadpis7"/>
    <w:rsid w:val="002E1519"/>
    <w:rPr>
      <w:rFonts w:ascii="Arial" w:hAnsi="Arial"/>
      <w:i/>
      <w:sz w:val="22"/>
      <w:lang w:val="en-US" w:eastAsia="sk-SK"/>
    </w:rPr>
  </w:style>
  <w:style w:type="character" w:customStyle="1" w:styleId="Nadpis8Char">
    <w:name w:val="Nadpis 8 Char"/>
    <w:link w:val="Nadpis8"/>
    <w:rsid w:val="002E1519"/>
    <w:rPr>
      <w:rFonts w:eastAsiaTheme="minorEastAsia" w:cstheme="minorBidi"/>
      <w:b/>
      <w:bCs/>
      <w:sz w:val="24"/>
      <w:szCs w:val="24"/>
      <w:u w:val="single"/>
      <w:lang w:val="en-US"/>
    </w:rPr>
  </w:style>
  <w:style w:type="character" w:customStyle="1" w:styleId="Nadpis9Char">
    <w:name w:val="Nadpis 9 Char"/>
    <w:link w:val="Nadpis9"/>
    <w:rsid w:val="002E1519"/>
    <w:rPr>
      <w:rFonts w:eastAsiaTheme="majorEastAsia" w:cstheme="majorBidi"/>
      <w:b/>
      <w:bCs/>
      <w:i/>
      <w:iCs/>
      <w:sz w:val="24"/>
      <w:szCs w:val="24"/>
      <w:lang w:val="en-US"/>
    </w:rPr>
  </w:style>
  <w:style w:type="character" w:customStyle="1" w:styleId="Styl3Char">
    <w:name w:val="Styl3 Char"/>
    <w:link w:val="Styl3"/>
    <w:rsid w:val="007D0909"/>
    <w:rPr>
      <w:rFonts w:eastAsia="Calibri"/>
      <w:sz w:val="22"/>
      <w:szCs w:val="24"/>
      <w:u w:val="single"/>
      <w:lang w:val="cs-CZ" w:eastAsia="el-GR"/>
    </w:rPr>
  </w:style>
  <w:style w:type="character" w:styleId="slostrany">
    <w:name w:val="page number"/>
    <w:basedOn w:val="Predvolenpsmoodseku"/>
    <w:rsid w:val="00942ECA"/>
  </w:style>
  <w:style w:type="paragraph" w:customStyle="1" w:styleId="Hlavika1">
    <w:name w:val="Hlavička1"/>
    <w:basedOn w:val="Normlny"/>
    <w:autoRedefine/>
    <w:rsid w:val="00164810"/>
    <w:rPr>
      <w:bCs/>
      <w:sz w:val="18"/>
    </w:rPr>
  </w:style>
  <w:style w:type="character" w:styleId="Hypertextovprepojenie">
    <w:name w:val="Hyperlink"/>
    <w:rsid w:val="00942ECA"/>
    <w:rPr>
      <w:color w:val="0000FF"/>
      <w:u w:val="single"/>
    </w:rPr>
  </w:style>
  <w:style w:type="paragraph" w:styleId="Pta">
    <w:name w:val="footer"/>
    <w:basedOn w:val="Normlny"/>
    <w:link w:val="PtaChar"/>
    <w:uiPriority w:val="99"/>
    <w:rsid w:val="00942ECA"/>
    <w:pPr>
      <w:tabs>
        <w:tab w:val="center" w:pos="4153"/>
        <w:tab w:val="right" w:pos="8306"/>
      </w:tabs>
    </w:pPr>
  </w:style>
  <w:style w:type="character" w:customStyle="1" w:styleId="PtaChar">
    <w:name w:val="Päta Char"/>
    <w:basedOn w:val="Predvolenpsmoodseku"/>
    <w:link w:val="Pta"/>
    <w:uiPriority w:val="99"/>
    <w:rsid w:val="00942ECA"/>
    <w:rPr>
      <w:rFonts w:ascii="Times New Roman" w:hAnsi="Times New Roman"/>
      <w:sz w:val="22"/>
      <w:szCs w:val="24"/>
      <w:lang w:eastAsia="sk-SK"/>
    </w:rPr>
  </w:style>
  <w:style w:type="paragraph" w:customStyle="1" w:styleId="SPCaPILhlavika">
    <w:name w:val="SPC a PIL hlavička"/>
    <w:basedOn w:val="Normlny"/>
    <w:autoRedefine/>
    <w:qFormat/>
    <w:rsid w:val="00D40A28"/>
    <w:pPr>
      <w:jc w:val="center"/>
    </w:pPr>
    <w:rPr>
      <w:b/>
      <w:szCs w:val="22"/>
    </w:rPr>
  </w:style>
  <w:style w:type="character" w:customStyle="1" w:styleId="Bacil">
    <w:name w:val="Bacil"/>
    <w:qFormat/>
    <w:rsid w:val="00A72EBA"/>
    <w:rPr>
      <w:i/>
    </w:rPr>
  </w:style>
  <w:style w:type="paragraph" w:customStyle="1" w:styleId="Odrky2">
    <w:name w:val="Odrážky 2"/>
    <w:basedOn w:val="Normlndoblokusodrkami"/>
    <w:autoRedefine/>
    <w:qFormat/>
    <w:rsid w:val="00A72EBA"/>
    <w:pPr>
      <w:numPr>
        <w:numId w:val="30"/>
      </w:numPr>
    </w:pPr>
    <w:rPr>
      <w:lang w:val="sk-SK"/>
    </w:rPr>
  </w:style>
  <w:style w:type="character" w:customStyle="1" w:styleId="atn">
    <w:name w:val="atn"/>
    <w:rsid w:val="00A72EBA"/>
  </w:style>
  <w:style w:type="paragraph" w:customStyle="1" w:styleId="Default">
    <w:name w:val="Default"/>
    <w:rsid w:val="00A72EBA"/>
    <w:pPr>
      <w:autoSpaceDE w:val="0"/>
      <w:autoSpaceDN w:val="0"/>
      <w:adjustRightInd w:val="0"/>
    </w:pPr>
    <w:rPr>
      <w:color w:val="000000"/>
      <w:sz w:val="24"/>
      <w:szCs w:val="24"/>
      <w:lang w:val="cs-CZ" w:eastAsia="cs-CZ"/>
    </w:rPr>
  </w:style>
  <w:style w:type="paragraph" w:customStyle="1" w:styleId="Tabulkynormlndoblokuzarovnndoleva">
    <w:name w:val="Tabulky = normální do bloku + zarovnání doleva"/>
    <w:basedOn w:val="Normlndobloku"/>
    <w:autoRedefine/>
    <w:rsid w:val="00A72EBA"/>
    <w:pPr>
      <w:jc w:val="left"/>
    </w:pPr>
    <w:rPr>
      <w:rFonts w:ascii="TimesNewRoman" w:hAnsi="TimesNewRoman"/>
      <w:lang w:val="sk-SK"/>
    </w:rPr>
  </w:style>
  <w:style w:type="paragraph" w:customStyle="1" w:styleId="Nadpisuvnittabulky">
    <w:name w:val="Nadpis uvnitř tabulky"/>
    <w:basedOn w:val="Tabulkynormlndoblokuzarovnndoleva"/>
    <w:autoRedefine/>
    <w:qFormat/>
    <w:rsid w:val="00A72EBA"/>
    <w:pPr>
      <w:spacing w:before="120"/>
    </w:pPr>
    <w:rPr>
      <w:b/>
    </w:rPr>
  </w:style>
  <w:style w:type="paragraph" w:styleId="Nzov">
    <w:name w:val="Title"/>
    <w:basedOn w:val="Normlny"/>
    <w:link w:val="NzovChar"/>
    <w:qFormat/>
    <w:rsid w:val="00A72EBA"/>
    <w:pPr>
      <w:spacing w:before="240" w:after="60"/>
      <w:jc w:val="center"/>
      <w:outlineLvl w:val="0"/>
    </w:pPr>
    <w:rPr>
      <w:rFonts w:ascii="Arial" w:hAnsi="Arial" w:cs="Arial"/>
      <w:b/>
      <w:bCs/>
      <w:kern w:val="28"/>
      <w:sz w:val="32"/>
      <w:szCs w:val="32"/>
    </w:rPr>
  </w:style>
  <w:style w:type="character" w:customStyle="1" w:styleId="NzovChar">
    <w:name w:val="Názov Char"/>
    <w:basedOn w:val="Predvolenpsmoodseku"/>
    <w:link w:val="Nzov"/>
    <w:rsid w:val="00A72EBA"/>
    <w:rPr>
      <w:rFonts w:ascii="Arial" w:hAnsi="Arial" w:cs="Arial"/>
      <w:b/>
      <w:bCs/>
      <w:kern w:val="28"/>
      <w:sz w:val="32"/>
      <w:szCs w:val="32"/>
      <w:lang w:val="el-GR" w:eastAsia="el-GR"/>
    </w:rPr>
  </w:style>
  <w:style w:type="character" w:styleId="Odkaznakomentr">
    <w:name w:val="annotation reference"/>
    <w:basedOn w:val="Predvolenpsmoodseku"/>
    <w:uiPriority w:val="99"/>
    <w:unhideWhenUsed/>
    <w:rsid w:val="00A72EBA"/>
    <w:rPr>
      <w:sz w:val="16"/>
      <w:szCs w:val="16"/>
    </w:rPr>
  </w:style>
  <w:style w:type="paragraph" w:styleId="Textkomentra">
    <w:name w:val="annotation text"/>
    <w:basedOn w:val="Normlny"/>
    <w:link w:val="TextkomentraChar"/>
    <w:uiPriority w:val="99"/>
    <w:unhideWhenUsed/>
    <w:rsid w:val="00A72EBA"/>
    <w:rPr>
      <w:sz w:val="20"/>
      <w:szCs w:val="20"/>
    </w:rPr>
  </w:style>
  <w:style w:type="character" w:customStyle="1" w:styleId="TextkomentraChar">
    <w:name w:val="Text komentára Char"/>
    <w:basedOn w:val="Predvolenpsmoodseku"/>
    <w:link w:val="Textkomentra"/>
    <w:uiPriority w:val="99"/>
    <w:rsid w:val="00A72EBA"/>
    <w:rPr>
      <w:lang w:val="el-GR" w:eastAsia="el-GR"/>
    </w:rPr>
  </w:style>
  <w:style w:type="paragraph" w:styleId="Predmetkomentra">
    <w:name w:val="annotation subject"/>
    <w:basedOn w:val="Textkomentra"/>
    <w:next w:val="Textkomentra"/>
    <w:link w:val="PredmetkomentraChar"/>
    <w:uiPriority w:val="99"/>
    <w:rsid w:val="00A72EBA"/>
    <w:pPr>
      <w:spacing w:after="200"/>
    </w:pPr>
    <w:rPr>
      <w:rFonts w:ascii="Calibri" w:hAnsi="Calibri"/>
      <w:b/>
      <w:bCs/>
      <w:lang w:val="en-GB"/>
    </w:rPr>
  </w:style>
  <w:style w:type="character" w:customStyle="1" w:styleId="PredmetkomentraChar">
    <w:name w:val="Predmet komentára Char"/>
    <w:basedOn w:val="TextkomentraChar"/>
    <w:link w:val="Predmetkomentra"/>
    <w:uiPriority w:val="99"/>
    <w:rsid w:val="00A72EBA"/>
    <w:rPr>
      <w:rFonts w:ascii="Calibri" w:hAnsi="Calibri"/>
      <w:b/>
      <w:bCs/>
      <w:lang w:val="en-GB" w:eastAsia="el-GR"/>
    </w:rPr>
  </w:style>
  <w:style w:type="paragraph" w:customStyle="1" w:styleId="SPCnadpis">
    <w:name w:val="SPC nadpis"/>
    <w:basedOn w:val="Nadpis1"/>
    <w:rsid w:val="00A72EBA"/>
    <w:pPr>
      <w:keepNext w:val="0"/>
      <w:keepLines/>
      <w:spacing w:before="480" w:after="120"/>
      <w:ind w:left="357" w:hanging="357"/>
    </w:pPr>
    <w:rPr>
      <w:rFonts w:cs="Times New Roman"/>
      <w:bCs/>
      <w:color w:val="365F91"/>
      <w:sz w:val="22"/>
      <w:szCs w:val="28"/>
      <w:lang w:val="en-US"/>
    </w:rPr>
  </w:style>
  <w:style w:type="paragraph" w:customStyle="1" w:styleId="Styl2PIL">
    <w:name w:val="Styl2 PIL"/>
    <w:basedOn w:val="Normlny"/>
    <w:autoRedefine/>
    <w:rsid w:val="00A72EBA"/>
    <w:pPr>
      <w:keepNext/>
      <w:spacing w:before="240" w:after="120"/>
    </w:pPr>
    <w:rPr>
      <w:b/>
      <w:bCs/>
    </w:rPr>
  </w:style>
  <w:style w:type="paragraph" w:styleId="Textbubliny">
    <w:name w:val="Balloon Text"/>
    <w:basedOn w:val="Normlny"/>
    <w:link w:val="TextbublinyChar"/>
    <w:uiPriority w:val="99"/>
    <w:semiHidden/>
    <w:unhideWhenUsed/>
    <w:rsid w:val="00A72EBA"/>
    <w:rPr>
      <w:rFonts w:ascii="Tahoma" w:hAnsi="Tahoma" w:cs="Tahoma"/>
      <w:sz w:val="16"/>
      <w:szCs w:val="16"/>
    </w:rPr>
  </w:style>
  <w:style w:type="character" w:customStyle="1" w:styleId="TextbublinyChar">
    <w:name w:val="Text bubliny Char"/>
    <w:basedOn w:val="Predvolenpsmoodseku"/>
    <w:link w:val="Textbubliny"/>
    <w:uiPriority w:val="99"/>
    <w:semiHidden/>
    <w:rsid w:val="00A72EBA"/>
    <w:rPr>
      <w:rFonts w:ascii="Tahoma" w:hAnsi="Tahoma" w:cs="Tahoma"/>
      <w:sz w:val="16"/>
      <w:szCs w:val="16"/>
      <w:lang w:val="el-GR" w:eastAsia="el-GR"/>
    </w:rPr>
  </w:style>
  <w:style w:type="paragraph" w:styleId="Hlavika">
    <w:name w:val="header"/>
    <w:basedOn w:val="Normlny"/>
    <w:link w:val="HlavikaChar"/>
    <w:uiPriority w:val="99"/>
    <w:unhideWhenUsed/>
    <w:rsid w:val="00A72EBA"/>
    <w:pPr>
      <w:tabs>
        <w:tab w:val="center" w:pos="4536"/>
        <w:tab w:val="right" w:pos="9072"/>
      </w:tabs>
    </w:pPr>
  </w:style>
  <w:style w:type="character" w:customStyle="1" w:styleId="HlavikaChar">
    <w:name w:val="Hlavička Char"/>
    <w:basedOn w:val="Predvolenpsmoodseku"/>
    <w:link w:val="Hlavika"/>
    <w:uiPriority w:val="99"/>
    <w:rsid w:val="00A72EBA"/>
    <w:rPr>
      <w:sz w:val="22"/>
      <w:szCs w:val="24"/>
      <w:lang w:val="el-GR" w:eastAsia="el-GR"/>
    </w:rPr>
  </w:style>
  <w:style w:type="paragraph" w:customStyle="1" w:styleId="Styl1PIL">
    <w:name w:val="Styl1 PIL"/>
    <w:basedOn w:val="Normlny"/>
    <w:autoRedefine/>
    <w:rsid w:val="00A72EBA"/>
    <w:pPr>
      <w:keepNext/>
      <w:tabs>
        <w:tab w:val="num" w:pos="360"/>
      </w:tabs>
      <w:spacing w:before="360" w:after="240"/>
      <w:ind w:left="360" w:hanging="360"/>
    </w:pPr>
    <w:rPr>
      <w:b/>
      <w:bCs/>
    </w:rPr>
  </w:style>
  <w:style w:type="paragraph" w:styleId="AdresaHTML">
    <w:name w:val="HTML Address"/>
    <w:basedOn w:val="Normlny"/>
    <w:link w:val="AdresaHTMLChar"/>
    <w:uiPriority w:val="99"/>
    <w:unhideWhenUsed/>
    <w:rsid w:val="00A72EBA"/>
    <w:rPr>
      <w:i/>
      <w:iCs/>
    </w:rPr>
  </w:style>
  <w:style w:type="character" w:customStyle="1" w:styleId="AdresaHTMLChar">
    <w:name w:val="Adresa HTML Char"/>
    <w:basedOn w:val="Predvolenpsmoodseku"/>
    <w:link w:val="AdresaHTML"/>
    <w:uiPriority w:val="99"/>
    <w:rsid w:val="00A72EBA"/>
    <w:rPr>
      <w:i/>
      <w:iCs/>
      <w:sz w:val="22"/>
      <w:szCs w:val="24"/>
      <w:lang w:val="el-GR" w:eastAsia="el-GR"/>
    </w:rPr>
  </w:style>
  <w:style w:type="character" w:customStyle="1" w:styleId="Styl1Char">
    <w:name w:val="Styl1 Char"/>
    <w:link w:val="Styl1"/>
    <w:rsid w:val="00321620"/>
    <w:rPr>
      <w:b/>
      <w:bCs/>
      <w:sz w:val="22"/>
      <w:szCs w:val="24"/>
      <w:lang w:val="cs-CZ" w:eastAsia="el-GR"/>
    </w:rPr>
  </w:style>
  <w:style w:type="table" w:styleId="Mriekatabuky">
    <w:name w:val="Table Grid"/>
    <w:basedOn w:val="Normlnatabuka"/>
    <w:uiPriority w:val="59"/>
    <w:rsid w:val="00A72EBA"/>
    <w:rPr>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A72EBA"/>
    <w:rPr>
      <w:sz w:val="22"/>
      <w:szCs w:val="24"/>
      <w:lang w:val="el-GR" w:eastAsia="el-GR"/>
    </w:rPr>
  </w:style>
  <w:style w:type="paragraph" w:styleId="Zarkazkladnhotextu">
    <w:name w:val="Body Text Indent"/>
    <w:basedOn w:val="Normlny"/>
    <w:link w:val="ZarkazkladnhotextuChar"/>
    <w:rsid w:val="00A72EBA"/>
    <w:pPr>
      <w:widowControl w:val="0"/>
      <w:ind w:left="426" w:hanging="426"/>
      <w:jc w:val="both"/>
    </w:pPr>
    <w:rPr>
      <w:b/>
      <w:szCs w:val="20"/>
      <w:lang w:val="en-GB" w:eastAsia="en-US"/>
    </w:rPr>
  </w:style>
  <w:style w:type="character" w:customStyle="1" w:styleId="ZarkazkladnhotextuChar">
    <w:name w:val="Zarážka základného textu Char"/>
    <w:basedOn w:val="Predvolenpsmoodseku"/>
    <w:link w:val="Zarkazkladnhotextu"/>
    <w:rsid w:val="00A72EBA"/>
    <w:rPr>
      <w:b/>
      <w:sz w:val="22"/>
      <w:lang w:val="en-GB"/>
    </w:rPr>
  </w:style>
  <w:style w:type="paragraph" w:styleId="Zarkazkladnhotextu2">
    <w:name w:val="Body Text Indent 2"/>
    <w:basedOn w:val="Normlny"/>
    <w:link w:val="Zarkazkladnhotextu2Char"/>
    <w:uiPriority w:val="99"/>
    <w:unhideWhenUsed/>
    <w:rsid w:val="00A72EBA"/>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72EBA"/>
    <w:rPr>
      <w:sz w:val="22"/>
      <w:szCs w:val="24"/>
      <w:lang w:val="el-GR" w:eastAsia="el-GR"/>
    </w:rPr>
  </w:style>
  <w:style w:type="paragraph" w:styleId="Zkladntext">
    <w:name w:val="Body Text"/>
    <w:basedOn w:val="Normlny"/>
    <w:link w:val="ZkladntextChar"/>
    <w:uiPriority w:val="99"/>
    <w:semiHidden/>
    <w:unhideWhenUsed/>
    <w:rsid w:val="00A72EBA"/>
    <w:pPr>
      <w:spacing w:after="120"/>
    </w:pPr>
  </w:style>
  <w:style w:type="character" w:customStyle="1" w:styleId="ZkladntextChar">
    <w:name w:val="Základný text Char"/>
    <w:basedOn w:val="Predvolenpsmoodseku"/>
    <w:link w:val="Zkladntext"/>
    <w:uiPriority w:val="99"/>
    <w:semiHidden/>
    <w:rsid w:val="00A72EBA"/>
    <w:rPr>
      <w:sz w:val="22"/>
      <w:szCs w:val="24"/>
      <w:lang w:val="el-GR" w:eastAsia="el-GR"/>
    </w:rPr>
  </w:style>
  <w:style w:type="paragraph" w:styleId="Zkladntext2">
    <w:name w:val="Body Text 2"/>
    <w:basedOn w:val="Normlny"/>
    <w:link w:val="Zkladntext2Char"/>
    <w:uiPriority w:val="99"/>
    <w:semiHidden/>
    <w:unhideWhenUsed/>
    <w:rsid w:val="00A72EBA"/>
    <w:pPr>
      <w:spacing w:after="120" w:line="480" w:lineRule="auto"/>
    </w:pPr>
  </w:style>
  <w:style w:type="character" w:customStyle="1" w:styleId="Zkladntext2Char">
    <w:name w:val="Základný text 2 Char"/>
    <w:basedOn w:val="Predvolenpsmoodseku"/>
    <w:link w:val="Zkladntext2"/>
    <w:uiPriority w:val="99"/>
    <w:semiHidden/>
    <w:rsid w:val="00A72EBA"/>
    <w:rPr>
      <w:sz w:val="22"/>
      <w:szCs w:val="24"/>
      <w:lang w:val="el-GR" w:eastAsia="el-GR"/>
    </w:rPr>
  </w:style>
  <w:style w:type="paragraph" w:styleId="Oznaitext">
    <w:name w:val="Block Text"/>
    <w:basedOn w:val="Normlny"/>
    <w:rsid w:val="00A72EBA"/>
    <w:pPr>
      <w:widowControl w:val="0"/>
      <w:ind w:left="426" w:right="-426" w:hanging="426"/>
      <w:jc w:val="both"/>
    </w:pPr>
    <w:rPr>
      <w:sz w:val="24"/>
      <w:szCs w:val="20"/>
      <w:lang w:val="sk-SK" w:eastAsia="en-US"/>
    </w:rPr>
  </w:style>
  <w:style w:type="paragraph" w:customStyle="1" w:styleId="EMEAEnBodyText">
    <w:name w:val="EMEA En Body Text"/>
    <w:basedOn w:val="Normlny"/>
    <w:rsid w:val="00A72EBA"/>
    <w:pPr>
      <w:spacing w:before="120" w:after="120"/>
      <w:jc w:val="both"/>
    </w:pPr>
    <w:rPr>
      <w:szCs w:val="20"/>
      <w:lang w:val="en-US" w:eastAsia="en-US"/>
    </w:rPr>
  </w:style>
  <w:style w:type="paragraph" w:customStyle="1" w:styleId="Normlnsodrkami">
    <w:name w:val="Normální s odrážkami"/>
    <w:basedOn w:val="Normlny"/>
    <w:rsid w:val="00A72EBA"/>
    <w:pPr>
      <w:numPr>
        <w:numId w:val="33"/>
      </w:numPr>
    </w:pPr>
    <w:rPr>
      <w:rFonts w:eastAsia="Calibri"/>
      <w:szCs w:val="22"/>
      <w:lang w:val="cs-CZ" w:eastAsia="en-US"/>
    </w:rPr>
  </w:style>
  <w:style w:type="paragraph" w:styleId="Zkladntext3">
    <w:name w:val="Body Text 3"/>
    <w:basedOn w:val="Normlny"/>
    <w:link w:val="Zkladntext3Char"/>
    <w:uiPriority w:val="99"/>
    <w:unhideWhenUsed/>
    <w:rsid w:val="00A72EBA"/>
    <w:pPr>
      <w:spacing w:after="120"/>
    </w:pPr>
    <w:rPr>
      <w:sz w:val="16"/>
      <w:szCs w:val="16"/>
    </w:rPr>
  </w:style>
  <w:style w:type="character" w:customStyle="1" w:styleId="Zkladntext3Char">
    <w:name w:val="Základný text 3 Char"/>
    <w:basedOn w:val="Predvolenpsmoodseku"/>
    <w:link w:val="Zkladntext3"/>
    <w:uiPriority w:val="99"/>
    <w:rsid w:val="00A72EBA"/>
    <w:rPr>
      <w:sz w:val="16"/>
      <w:szCs w:val="16"/>
      <w:lang w:val="el-GR" w:eastAsia="el-GR"/>
    </w:rPr>
  </w:style>
  <w:style w:type="character" w:customStyle="1" w:styleId="st1">
    <w:name w:val="st1"/>
    <w:basedOn w:val="Predvolenpsmoodseku"/>
    <w:rsid w:val="00A72EBA"/>
  </w:style>
  <w:style w:type="character" w:styleId="Zvraznenie">
    <w:name w:val="Emphasis"/>
    <w:basedOn w:val="Predvolenpsmoodseku"/>
    <w:uiPriority w:val="20"/>
    <w:qFormat/>
    <w:rsid w:val="00A72EBA"/>
    <w:rPr>
      <w:b/>
      <w:bCs/>
      <w:i w:val="0"/>
      <w:iCs w:val="0"/>
    </w:rPr>
  </w:style>
  <w:style w:type="paragraph" w:customStyle="1" w:styleId="Styl5">
    <w:name w:val="Styl5"/>
    <w:basedOn w:val="Styl3"/>
    <w:link w:val="Styl5Char"/>
    <w:qFormat/>
    <w:rsid w:val="00A72EBA"/>
    <w:rPr>
      <w:i/>
    </w:rPr>
  </w:style>
  <w:style w:type="character" w:customStyle="1" w:styleId="Styl5Char">
    <w:name w:val="Styl5 Char"/>
    <w:basedOn w:val="Styl3Char"/>
    <w:link w:val="Styl5"/>
    <w:rsid w:val="00A72EBA"/>
    <w:rPr>
      <w:rFonts w:eastAsia="Calibri"/>
      <w:i/>
      <w:sz w:val="22"/>
      <w:szCs w:val="24"/>
      <w:u w:val="single"/>
      <w:lang w:val="cs-CZ" w:eastAsia="el-GR"/>
    </w:rPr>
  </w:style>
  <w:style w:type="character" w:styleId="PouitHypertextovPrepojenie">
    <w:name w:val="FollowedHyperlink"/>
    <w:basedOn w:val="Predvolenpsmoodseku"/>
    <w:rsid w:val="00F82B98"/>
    <w:rPr>
      <w:color w:val="800080" w:themeColor="followedHyperlink"/>
      <w:u w:val="single"/>
    </w:rPr>
  </w:style>
  <w:style w:type="paragraph" w:styleId="Odsekzoznamu">
    <w:name w:val="List Paragraph"/>
    <w:basedOn w:val="Normlny"/>
    <w:uiPriority w:val="34"/>
    <w:qFormat/>
    <w:rsid w:val="00604E6B"/>
    <w:pPr>
      <w:spacing w:after="200" w:line="276" w:lineRule="auto"/>
      <w:ind w:left="720"/>
      <w:contextualSpacing/>
    </w:pPr>
    <w:rPr>
      <w:rFonts w:ascii="Calibri" w:eastAsia="Calibri" w:hAnsi="Calibri"/>
      <w:szCs w:val="22"/>
      <w:lang w:val="sk-SK" w:eastAsia="en-US"/>
    </w:rPr>
  </w:style>
  <w:style w:type="paragraph" w:customStyle="1" w:styleId="Styl6">
    <w:name w:val="Styl6"/>
    <w:basedOn w:val="Normlndoblokusodrkami"/>
    <w:qFormat/>
    <w:rsid w:val="00FA7716"/>
    <w:rPr>
      <w:u w:val="single"/>
      <w:lang w:eastAsia="sk-SK"/>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21338-B76A-4201-B802-B7635674B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30</Pages>
  <Words>11799</Words>
  <Characters>67257</Characters>
  <Application>Microsoft Office Word</Application>
  <DocSecurity>0</DocSecurity>
  <Lines>560</Lines>
  <Paragraphs>157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78899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Šeböková</dc:creator>
  <cp:lastModifiedBy> Jana Repiščáková</cp:lastModifiedBy>
  <cp:revision>61</cp:revision>
  <dcterms:created xsi:type="dcterms:W3CDTF">2017-12-04T09:41:00Z</dcterms:created>
  <dcterms:modified xsi:type="dcterms:W3CDTF">2018-09-06T12:09:00Z</dcterms:modified>
</cp:coreProperties>
</file>