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C0" w:rsidRPr="00A72672" w:rsidRDefault="00884EC0" w:rsidP="00884EC0">
      <w:pPr>
        <w:jc w:val="center"/>
        <w:outlineLvl w:val="0"/>
      </w:pPr>
      <w:r w:rsidRPr="00A72672">
        <w:rPr>
          <w:b/>
        </w:rPr>
        <w:t>SÚHRN CHARAKTERISTICKÝCH VLASTNOSTÍ LIEKU</w:t>
      </w:r>
    </w:p>
    <w:p w:rsidR="007D41F9" w:rsidRPr="00884EC0" w:rsidRDefault="007D41F9" w:rsidP="007D41F9">
      <w:pPr>
        <w:rPr>
          <w:sz w:val="18"/>
        </w:rPr>
      </w:pPr>
    </w:p>
    <w:p w:rsidR="007D41F9" w:rsidRDefault="007D41F9" w:rsidP="007D41F9">
      <w:pPr>
        <w:rPr>
          <w:b/>
          <w:szCs w:val="22"/>
        </w:rPr>
      </w:pPr>
    </w:p>
    <w:p w:rsidR="007D41F9" w:rsidRDefault="007D41F9" w:rsidP="007D41F9">
      <w:pPr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:rsidR="007D41F9" w:rsidRDefault="007D41F9" w:rsidP="007D41F9">
      <w:pPr>
        <w:rPr>
          <w:szCs w:val="22"/>
        </w:rPr>
      </w:pPr>
    </w:p>
    <w:p w:rsidR="007D41F9" w:rsidRPr="00AF6E69" w:rsidRDefault="007D41F9" w:rsidP="007D41F9">
      <w:pPr>
        <w:rPr>
          <w:szCs w:val="22"/>
        </w:rPr>
      </w:pPr>
      <w:r w:rsidRPr="00AF6E69">
        <w:rPr>
          <w:szCs w:val="22"/>
        </w:rPr>
        <w:t>UNILAT 50 mikrogramov/ml</w:t>
      </w:r>
      <w:r>
        <w:rPr>
          <w:szCs w:val="22"/>
        </w:rPr>
        <w:t xml:space="preserve"> o</w:t>
      </w:r>
      <w:r w:rsidRPr="003F130F">
        <w:rPr>
          <w:szCs w:val="22"/>
        </w:rPr>
        <w:t>čná roztoková instilácia</w:t>
      </w:r>
    </w:p>
    <w:p w:rsidR="007D41F9" w:rsidRDefault="007D41F9" w:rsidP="007D41F9">
      <w:pPr>
        <w:rPr>
          <w:szCs w:val="22"/>
        </w:rPr>
      </w:pPr>
    </w:p>
    <w:p w:rsidR="007D41F9" w:rsidRDefault="007D41F9" w:rsidP="007D41F9">
      <w:pPr>
        <w:rPr>
          <w:szCs w:val="22"/>
        </w:rPr>
      </w:pPr>
    </w:p>
    <w:p w:rsidR="007D41F9" w:rsidRDefault="007D41F9" w:rsidP="007D41F9">
      <w:pPr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:rsidR="007D41F9" w:rsidRDefault="007D41F9" w:rsidP="007D41F9">
      <w:pPr>
        <w:ind w:left="0" w:firstLine="0"/>
      </w:pP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1 ml očnej roztokovej instilácie obsahuje 50 mikrogramov latanoprostu. </w:t>
      </w: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1 kvapka obsahuje približne 1,5 mikrogramu latanoprostu.</w:t>
      </w: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Pomocná látka</w:t>
      </w:r>
      <w:r w:rsidR="004D5668">
        <w:rPr>
          <w:szCs w:val="22"/>
        </w:rPr>
        <w:t xml:space="preserve"> so známym účinkom</w:t>
      </w:r>
      <w:r w:rsidRPr="003F130F">
        <w:rPr>
          <w:szCs w:val="22"/>
        </w:rPr>
        <w:t xml:space="preserve">: </w:t>
      </w:r>
      <w:r w:rsidR="004D5668">
        <w:rPr>
          <w:szCs w:val="22"/>
        </w:rPr>
        <w:t>roztok b</w:t>
      </w:r>
      <w:r w:rsidRPr="003F130F">
        <w:rPr>
          <w:szCs w:val="22"/>
        </w:rPr>
        <w:t>enzalkóniumchlorid</w:t>
      </w:r>
      <w:r w:rsidR="004D5668">
        <w:rPr>
          <w:szCs w:val="22"/>
        </w:rPr>
        <w:t>u</w:t>
      </w:r>
      <w:r w:rsidRPr="003F130F">
        <w:rPr>
          <w:szCs w:val="22"/>
        </w:rPr>
        <w:t xml:space="preserve"> 0,</w:t>
      </w:r>
      <w:r w:rsidR="004D5668">
        <w:rPr>
          <w:szCs w:val="22"/>
        </w:rPr>
        <w:t>20</w:t>
      </w:r>
      <w:r w:rsidRPr="003F130F">
        <w:rPr>
          <w:szCs w:val="22"/>
        </w:rPr>
        <w:t xml:space="preserve"> mg/ml</w:t>
      </w:r>
      <w:r>
        <w:rPr>
          <w:szCs w:val="22"/>
        </w:rPr>
        <w:t xml:space="preserve"> </w:t>
      </w: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Úplný zoznam pomocných látok, pozri časť 6.1.</w:t>
      </w:r>
    </w:p>
    <w:p w:rsidR="007D41F9" w:rsidRDefault="007D41F9" w:rsidP="007D41F9">
      <w:pPr>
        <w:pStyle w:val="EMEAEnBodyText"/>
        <w:autoSpaceDE w:val="0"/>
        <w:autoSpaceDN w:val="0"/>
        <w:adjustRightInd w:val="0"/>
        <w:spacing w:before="0"/>
        <w:rPr>
          <w:lang w:val="sk-SK"/>
        </w:rPr>
      </w:pPr>
    </w:p>
    <w:p w:rsidR="007D41F9" w:rsidRDefault="007D41F9" w:rsidP="007D41F9">
      <w:pPr>
        <w:rPr>
          <w:szCs w:val="22"/>
        </w:rPr>
      </w:pPr>
    </w:p>
    <w:p w:rsidR="007D41F9" w:rsidRDefault="007D41F9" w:rsidP="007D41F9">
      <w:pPr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7D41F9" w:rsidRDefault="007D41F9" w:rsidP="007D41F9"/>
    <w:p w:rsidR="007D41F9" w:rsidRPr="003F130F" w:rsidRDefault="007D41F9" w:rsidP="00A93EE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Očná roztoková instilácia</w:t>
      </w:r>
      <w:r>
        <w:rPr>
          <w:szCs w:val="22"/>
        </w:rPr>
        <w:t>.</w:t>
      </w:r>
    </w:p>
    <w:p w:rsidR="007D41F9" w:rsidRPr="003F130F" w:rsidRDefault="007D41F9" w:rsidP="00A93EE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A93EE9" w:rsidRDefault="007D41F9" w:rsidP="00A93EE9">
      <w:pPr>
        <w:ind w:left="0" w:firstLine="0"/>
        <w:rPr>
          <w:szCs w:val="22"/>
        </w:rPr>
      </w:pPr>
      <w:r w:rsidRPr="003F130F">
        <w:rPr>
          <w:szCs w:val="22"/>
        </w:rPr>
        <w:t>Roztok</w:t>
      </w:r>
      <w:r w:rsidRPr="003F130F">
        <w:rPr>
          <w:i/>
          <w:szCs w:val="22"/>
        </w:rPr>
        <w:t xml:space="preserve"> </w:t>
      </w:r>
      <w:r w:rsidRPr="003F130F">
        <w:rPr>
          <w:szCs w:val="22"/>
        </w:rPr>
        <w:t>je číra, bezfarebná tekutina</w:t>
      </w:r>
      <w:r>
        <w:rPr>
          <w:szCs w:val="22"/>
        </w:rPr>
        <w:t xml:space="preserve">, bez cudzorodých častíc s pH približne 6,6 a osmolalitou </w:t>
      </w:r>
    </w:p>
    <w:p w:rsidR="007D41F9" w:rsidRDefault="007D41F9" w:rsidP="00A93EE9">
      <w:pPr>
        <w:ind w:left="0" w:firstLine="0"/>
        <w:rPr>
          <w:szCs w:val="22"/>
        </w:rPr>
      </w:pPr>
      <w:r>
        <w:rPr>
          <w:szCs w:val="22"/>
        </w:rPr>
        <w:t xml:space="preserve">288 </w:t>
      </w:r>
      <w:r w:rsidRPr="003F130F">
        <w:rPr>
          <w:szCs w:val="22"/>
        </w:rPr>
        <w:t>mOsm/kg</w:t>
      </w:r>
      <w:r>
        <w:rPr>
          <w:szCs w:val="22"/>
        </w:rPr>
        <w:t>.</w:t>
      </w:r>
    </w:p>
    <w:p w:rsidR="007D41F9" w:rsidRDefault="007D41F9" w:rsidP="007D41F9">
      <w:pPr>
        <w:rPr>
          <w:szCs w:val="22"/>
        </w:rPr>
      </w:pPr>
    </w:p>
    <w:p w:rsidR="004D5668" w:rsidRDefault="004D5668" w:rsidP="007D41F9">
      <w:pPr>
        <w:rPr>
          <w:b/>
          <w:caps/>
          <w:szCs w:val="22"/>
        </w:rPr>
      </w:pPr>
    </w:p>
    <w:p w:rsidR="007D41F9" w:rsidRDefault="007D41F9" w:rsidP="007D41F9">
      <w:pPr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:rsidR="007D41F9" w:rsidRDefault="007D41F9" w:rsidP="007D41F9">
      <w:pPr>
        <w:rPr>
          <w:szCs w:val="22"/>
        </w:rPr>
      </w:pPr>
    </w:p>
    <w:p w:rsidR="007D41F9" w:rsidRDefault="007D41F9" w:rsidP="007D41F9">
      <w:pPr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:rsidR="007D41F9" w:rsidRDefault="007D41F9" w:rsidP="00A93EE9">
      <w:pPr>
        <w:rPr>
          <w:szCs w:val="22"/>
        </w:rPr>
      </w:pPr>
    </w:p>
    <w:p w:rsidR="007D41F9" w:rsidRPr="003754A9" w:rsidRDefault="007D41F9" w:rsidP="00A93EE9">
      <w:pPr>
        <w:ind w:left="0" w:firstLine="0"/>
        <w:rPr>
          <w:szCs w:val="22"/>
        </w:rPr>
      </w:pPr>
      <w:r w:rsidRPr="003754A9">
        <w:rPr>
          <w:szCs w:val="22"/>
        </w:rPr>
        <w:t>Zníženie zvýšeného vnútroočného tlaku u pacientov s glaukómom s otvoreným uhlom a očnou hypertenziou.</w:t>
      </w:r>
    </w:p>
    <w:p w:rsidR="007D41F9" w:rsidRDefault="007D41F9" w:rsidP="00A93EE9">
      <w:pPr>
        <w:rPr>
          <w:szCs w:val="22"/>
        </w:rPr>
      </w:pPr>
    </w:p>
    <w:p w:rsidR="000C2959" w:rsidRDefault="000E7FFB" w:rsidP="00A93EE9">
      <w:pPr>
        <w:rPr>
          <w:szCs w:val="22"/>
        </w:rPr>
      </w:pPr>
      <w:r>
        <w:rPr>
          <w:szCs w:val="22"/>
        </w:rPr>
        <w:t>Zníženie zvýšeného vnútroočného tlaku</w:t>
      </w:r>
      <w:r w:rsidR="000C2959">
        <w:rPr>
          <w:szCs w:val="22"/>
        </w:rPr>
        <w:t xml:space="preserve"> u pediatrických pacientov so zvýšeným vnútroočným tlakom</w:t>
      </w:r>
    </w:p>
    <w:p w:rsidR="000E7FFB" w:rsidRDefault="000C2959" w:rsidP="00A93EE9">
      <w:pPr>
        <w:rPr>
          <w:szCs w:val="22"/>
        </w:rPr>
      </w:pPr>
      <w:r>
        <w:rPr>
          <w:szCs w:val="22"/>
        </w:rPr>
        <w:t>a pediatrickým glaukómom.</w:t>
      </w:r>
    </w:p>
    <w:p w:rsidR="007D41F9" w:rsidRDefault="007D41F9" w:rsidP="00A93EE9">
      <w:pPr>
        <w:rPr>
          <w:szCs w:val="22"/>
        </w:rPr>
      </w:pPr>
    </w:p>
    <w:p w:rsidR="007D41F9" w:rsidRDefault="007D41F9" w:rsidP="007D41F9">
      <w:pPr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 spôsob podávania</w:t>
      </w:r>
    </w:p>
    <w:p w:rsidR="007D41F9" w:rsidRDefault="007D41F9" w:rsidP="00884EC0">
      <w:pPr>
        <w:rPr>
          <w:szCs w:val="22"/>
        </w:rPr>
      </w:pPr>
    </w:p>
    <w:p w:rsidR="00303186" w:rsidRDefault="00303186" w:rsidP="007D41F9">
      <w:pPr>
        <w:pStyle w:val="Zkladntext"/>
        <w:rPr>
          <w:noProof/>
          <w:u w:val="single"/>
        </w:rPr>
      </w:pPr>
      <w:r w:rsidRPr="008C27D3">
        <w:rPr>
          <w:noProof/>
          <w:u w:val="single"/>
        </w:rPr>
        <w:t>Dávkovanie</w:t>
      </w:r>
    </w:p>
    <w:p w:rsidR="00303186" w:rsidRDefault="00303186" w:rsidP="007D41F9">
      <w:pPr>
        <w:pStyle w:val="Zkladntext"/>
        <w:rPr>
          <w:noProof/>
        </w:rPr>
      </w:pPr>
    </w:p>
    <w:p w:rsidR="007D41F9" w:rsidRPr="00303186" w:rsidRDefault="007D41F9" w:rsidP="007D41F9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  <w:r w:rsidRPr="00303186">
        <w:rPr>
          <w:i/>
          <w:szCs w:val="22"/>
        </w:rPr>
        <w:t xml:space="preserve">Odporúčané dávkovanie </w:t>
      </w:r>
      <w:r w:rsidR="000C2959">
        <w:rPr>
          <w:i/>
          <w:szCs w:val="22"/>
        </w:rPr>
        <w:t>pre</w:t>
      </w:r>
      <w:r w:rsidRPr="00303186">
        <w:rPr>
          <w:i/>
          <w:szCs w:val="22"/>
        </w:rPr>
        <w:t> dospelých (vrátane starších pacientov):</w:t>
      </w:r>
    </w:p>
    <w:p w:rsidR="007D41F9" w:rsidRPr="003F130F" w:rsidRDefault="009F6AFA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Odporúč</w:t>
      </w:r>
      <w:r>
        <w:rPr>
          <w:szCs w:val="22"/>
        </w:rPr>
        <w:t>ané</w:t>
      </w:r>
      <w:r w:rsidR="000C2959">
        <w:rPr>
          <w:szCs w:val="22"/>
        </w:rPr>
        <w:t xml:space="preserve"> dávkovanie je </w:t>
      </w:r>
      <w:r w:rsidR="007D41F9" w:rsidRPr="003F130F">
        <w:rPr>
          <w:szCs w:val="22"/>
        </w:rPr>
        <w:t xml:space="preserve">1 kvapka do postihnutého oka (očí) jedenkrát denne. Optimálny účinok sa dosiahne, ak sa </w:t>
      </w:r>
      <w:r w:rsidR="007D41F9">
        <w:rPr>
          <w:szCs w:val="22"/>
        </w:rPr>
        <w:t>UNILAT</w:t>
      </w:r>
      <w:r w:rsidR="007D41F9" w:rsidRPr="003F130F">
        <w:rPr>
          <w:szCs w:val="22"/>
        </w:rPr>
        <w:t xml:space="preserve"> podáva večer.</w:t>
      </w:r>
    </w:p>
    <w:p w:rsidR="007D41F9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7D41F9">
      <w:pPr>
        <w:ind w:left="0" w:firstLine="0"/>
        <w:jc w:val="both"/>
        <w:rPr>
          <w:szCs w:val="22"/>
        </w:rPr>
      </w:pPr>
      <w:r w:rsidRPr="003754A9">
        <w:rPr>
          <w:szCs w:val="22"/>
        </w:rPr>
        <w:t xml:space="preserve">Dávka </w:t>
      </w:r>
      <w:r>
        <w:rPr>
          <w:szCs w:val="22"/>
        </w:rPr>
        <w:t>lieku UNILAT</w:t>
      </w:r>
      <w:r w:rsidRPr="003754A9">
        <w:rPr>
          <w:szCs w:val="22"/>
        </w:rPr>
        <w:t xml:space="preserve"> nemá prekročiť dávku jedenkrát denne, pretože sa dokázalo, že častejšie podávanie znižuje jeho účinok na zníženie vnútroočného tlaku.</w:t>
      </w:r>
    </w:p>
    <w:p w:rsidR="007D41F9" w:rsidRPr="003754A9" w:rsidRDefault="007D41F9" w:rsidP="007D41F9">
      <w:pPr>
        <w:ind w:left="0" w:firstLine="0"/>
        <w:jc w:val="both"/>
        <w:rPr>
          <w:szCs w:val="22"/>
        </w:rPr>
      </w:pPr>
    </w:p>
    <w:p w:rsidR="007D41F9" w:rsidRDefault="007D41F9" w:rsidP="007D41F9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  <w:r w:rsidRPr="003F130F">
        <w:rPr>
          <w:szCs w:val="22"/>
        </w:rPr>
        <w:t>Ak sa zabudne dávka podať, liečba má pokračovať nasledujúcou dávkou ako zvyčajne.</w:t>
      </w:r>
    </w:p>
    <w:p w:rsidR="007D41F9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0C2959" w:rsidRDefault="000C2959" w:rsidP="007D41F9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  <w:r w:rsidRPr="0011400A">
        <w:rPr>
          <w:bCs/>
          <w:szCs w:val="22"/>
          <w:u w:val="single"/>
        </w:rPr>
        <w:t>Spôsob podávania:</w:t>
      </w:r>
      <w:r w:rsidRPr="009223E8">
        <w:rPr>
          <w:bCs/>
          <w:szCs w:val="22"/>
        </w:rPr>
        <w:t xml:space="preserve"> </w:t>
      </w:r>
      <w:r w:rsidR="008037CE">
        <w:rPr>
          <w:bCs/>
          <w:szCs w:val="22"/>
        </w:rPr>
        <w:t>podanie do oka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Tak ako v prípade iných očných instilácií</w:t>
      </w:r>
      <w:r w:rsidR="00145B98">
        <w:rPr>
          <w:szCs w:val="22"/>
        </w:rPr>
        <w:t xml:space="preserve"> </w:t>
      </w:r>
      <w:r w:rsidR="00E94E12">
        <w:rPr>
          <w:szCs w:val="22"/>
        </w:rPr>
        <w:t>sa</w:t>
      </w:r>
      <w:r w:rsidR="00145B98">
        <w:rPr>
          <w:szCs w:val="22"/>
        </w:rPr>
        <w:t xml:space="preserve"> </w:t>
      </w:r>
      <w:r w:rsidRPr="003F130F">
        <w:rPr>
          <w:szCs w:val="22"/>
        </w:rPr>
        <w:t>pre zníženie možnej systémovej absorpcie odporúča stlačiť slzný v</w:t>
      </w:r>
      <w:r>
        <w:rPr>
          <w:szCs w:val="22"/>
        </w:rPr>
        <w:t>a</w:t>
      </w:r>
      <w:r w:rsidRPr="003F130F">
        <w:rPr>
          <w:szCs w:val="22"/>
        </w:rPr>
        <w:t xml:space="preserve">čok v mediálnom kútiku oka (oklúzia slzného bodu – </w:t>
      </w:r>
      <w:r w:rsidRPr="00145B98">
        <w:rPr>
          <w:i/>
          <w:szCs w:val="22"/>
        </w:rPr>
        <w:t>punct</w:t>
      </w:r>
      <w:r w:rsidR="00E94E12" w:rsidRPr="00145B98">
        <w:rPr>
          <w:i/>
          <w:szCs w:val="22"/>
        </w:rPr>
        <w:t>um lacrimalis</w:t>
      </w:r>
      <w:r w:rsidRPr="003F130F">
        <w:rPr>
          <w:szCs w:val="22"/>
        </w:rPr>
        <w:t>) počas 1 minúty. Má sa tak urobiť ihneď po instilácii každej kvapky.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AB31B1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lastRenderedPageBreak/>
        <w:t>Pred instiláciou kvapiek sa majú k</w:t>
      </w:r>
      <w:r w:rsidR="007D41F9" w:rsidRPr="003F130F">
        <w:rPr>
          <w:szCs w:val="22"/>
        </w:rPr>
        <w:t xml:space="preserve">ontaktné šošovky </w:t>
      </w:r>
      <w:r>
        <w:rPr>
          <w:szCs w:val="22"/>
        </w:rPr>
        <w:t xml:space="preserve">z očí vybrať a znovu sa môžu </w:t>
      </w:r>
      <w:r w:rsidR="000C2959">
        <w:rPr>
          <w:szCs w:val="22"/>
        </w:rPr>
        <w:t>vložiť po 15 minútach.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Ak sa lokálne používa viac ako jeden očný liek, časový odstup medzi liekmi má byť aspoň 5 minút. 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</w:p>
    <w:p w:rsidR="007D41F9" w:rsidRPr="003F130F" w:rsidRDefault="00E94E12" w:rsidP="00B875D8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  <w:r>
        <w:rPr>
          <w:i/>
          <w:szCs w:val="22"/>
        </w:rPr>
        <w:t>Pediatrická populácia</w:t>
      </w:r>
    </w:p>
    <w:p w:rsidR="007D41F9" w:rsidRDefault="00303186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color w:val="000000"/>
          <w:szCs w:val="22"/>
          <w:lang w:eastAsia="pl-PL"/>
        </w:rPr>
        <w:t>UNILAT</w:t>
      </w:r>
      <w:r w:rsidRPr="00560047">
        <w:rPr>
          <w:color w:val="000000"/>
          <w:szCs w:val="22"/>
          <w:lang w:eastAsia="pl-PL"/>
        </w:rPr>
        <w:t xml:space="preserve"> očná roztoková instilácia sa môže používať u</w:t>
      </w:r>
      <w:r w:rsidR="00E94E12">
        <w:rPr>
          <w:color w:val="000000"/>
          <w:szCs w:val="22"/>
          <w:lang w:eastAsia="pl-PL"/>
        </w:rPr>
        <w:t> pediatrických pacientov</w:t>
      </w:r>
      <w:r w:rsidRPr="00560047">
        <w:rPr>
          <w:color w:val="000000"/>
          <w:szCs w:val="22"/>
          <w:lang w:eastAsia="pl-PL"/>
        </w:rPr>
        <w:t xml:space="preserve"> v tom istom dávkovaní ako u dospelých. </w:t>
      </w:r>
      <w:r w:rsidRPr="00560047">
        <w:rPr>
          <w:color w:val="000000"/>
          <w:szCs w:val="22"/>
          <w:lang w:val="pl-PL" w:eastAsia="pl-PL"/>
        </w:rPr>
        <w:t xml:space="preserve">Pre skupinu predčasne narodených detí (menej než 36 týždňov gestačného veku) nie sú </w:t>
      </w:r>
      <w:r w:rsidR="00E94E12">
        <w:rPr>
          <w:color w:val="000000"/>
          <w:szCs w:val="22"/>
          <w:lang w:val="pl-PL" w:eastAsia="pl-PL"/>
        </w:rPr>
        <w:t xml:space="preserve">k dispozícii žiadne </w:t>
      </w:r>
      <w:r w:rsidRPr="00560047">
        <w:rPr>
          <w:color w:val="000000"/>
          <w:szCs w:val="22"/>
          <w:lang w:val="pl-PL" w:eastAsia="pl-PL"/>
        </w:rPr>
        <w:t>údaje</w:t>
      </w:r>
      <w:r w:rsidR="00E94E12">
        <w:rPr>
          <w:color w:val="000000"/>
          <w:szCs w:val="22"/>
          <w:lang w:val="pl-PL" w:eastAsia="pl-PL"/>
        </w:rPr>
        <w:t>.</w:t>
      </w:r>
      <w:r w:rsidRPr="00560047">
        <w:rPr>
          <w:color w:val="000000"/>
          <w:szCs w:val="22"/>
          <w:lang w:val="pl-PL" w:eastAsia="pl-PL"/>
        </w:rPr>
        <w:t xml:space="preserve"> Údaje vo vekovej skupine &lt; 1 rok (4 pacienti) sú veľmi obmedzené (pozri časť 5.1).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 xml:space="preserve">Kontraindikácie </w:t>
      </w:r>
    </w:p>
    <w:p w:rsidR="007D41F9" w:rsidRDefault="007D41F9" w:rsidP="00B875D8">
      <w:pPr>
        <w:rPr>
          <w:szCs w:val="22"/>
        </w:rPr>
      </w:pP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Precitlivenosť na liečivo</w:t>
      </w:r>
      <w:r>
        <w:rPr>
          <w:szCs w:val="22"/>
        </w:rPr>
        <w:t xml:space="preserve"> </w:t>
      </w:r>
      <w:r w:rsidRPr="003F130F">
        <w:rPr>
          <w:szCs w:val="22"/>
        </w:rPr>
        <w:t>alebo na ktorúkoľvek z pomocných látok</w:t>
      </w:r>
      <w:r w:rsidR="00303186" w:rsidRPr="00303186">
        <w:rPr>
          <w:szCs w:val="22"/>
        </w:rPr>
        <w:t xml:space="preserve"> </w:t>
      </w:r>
      <w:r w:rsidR="00303186">
        <w:rPr>
          <w:szCs w:val="22"/>
        </w:rPr>
        <w:t>uvedených v časti 6.1.</w:t>
      </w:r>
    </w:p>
    <w:p w:rsidR="007D41F9" w:rsidRDefault="007D41F9" w:rsidP="00B875D8">
      <w:pPr>
        <w:rPr>
          <w:szCs w:val="22"/>
        </w:rPr>
      </w:pPr>
    </w:p>
    <w:p w:rsidR="007D41F9" w:rsidRDefault="007D41F9" w:rsidP="00B875D8">
      <w:pPr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a opatrenia pri používaní</w:t>
      </w:r>
    </w:p>
    <w:p w:rsidR="007D41F9" w:rsidRDefault="007D41F9" w:rsidP="00B875D8">
      <w:pPr>
        <w:rPr>
          <w:szCs w:val="22"/>
        </w:rPr>
      </w:pPr>
    </w:p>
    <w:p w:rsidR="007D41F9" w:rsidRPr="003754A9" w:rsidRDefault="007D41F9" w:rsidP="00B875D8">
      <w:pPr>
        <w:ind w:left="0" w:firstLine="0"/>
        <w:rPr>
          <w:szCs w:val="22"/>
        </w:rPr>
      </w:pPr>
      <w:r>
        <w:rPr>
          <w:szCs w:val="22"/>
        </w:rPr>
        <w:t>UNILAT</w:t>
      </w:r>
      <w:r w:rsidRPr="003754A9">
        <w:rPr>
          <w:szCs w:val="22"/>
        </w:rPr>
        <w:t xml:space="preserve"> môže postupne meniť </w:t>
      </w:r>
      <w:r w:rsidR="00E94E12">
        <w:rPr>
          <w:szCs w:val="22"/>
        </w:rPr>
        <w:t>farbu</w:t>
      </w:r>
      <w:r w:rsidRPr="003754A9">
        <w:rPr>
          <w:szCs w:val="22"/>
        </w:rPr>
        <w:t xml:space="preserve"> oka zvýšením množstva hnedého pigmentu v dúhovke.</w:t>
      </w:r>
      <w:r>
        <w:rPr>
          <w:szCs w:val="22"/>
        </w:rPr>
        <w:t xml:space="preserve"> </w:t>
      </w:r>
      <w:r w:rsidRPr="003754A9">
        <w:rPr>
          <w:szCs w:val="22"/>
        </w:rPr>
        <w:t>Pred začiatkom liečby musia byť pacienti informovaní o možnej trvalej zmene farby oka. Unilaterálna liečba môže viesť k trvalej heterochrómii.</w:t>
      </w:r>
    </w:p>
    <w:p w:rsidR="007D41F9" w:rsidRDefault="007D41F9" w:rsidP="00B875D8">
      <w:pPr>
        <w:rPr>
          <w:szCs w:val="22"/>
        </w:rPr>
      </w:pPr>
    </w:p>
    <w:p w:rsidR="007D41F9" w:rsidRPr="003754A9" w:rsidRDefault="007D41F9" w:rsidP="00B875D8">
      <w:pPr>
        <w:ind w:left="0" w:firstLine="0"/>
        <w:rPr>
          <w:szCs w:val="22"/>
        </w:rPr>
      </w:pPr>
      <w:r w:rsidRPr="003F130F">
        <w:rPr>
          <w:szCs w:val="22"/>
        </w:rPr>
        <w:t xml:space="preserve">Táto zmena farby oka sa pozorovala prevažne u pacientov, ktorí mali zmiešanú farbu dúhoviek ako je modro-hnedá, šedo-hnedá, zeleno-hnedá alebo žlto-hnedá. </w:t>
      </w:r>
      <w:r w:rsidR="00E94E12">
        <w:rPr>
          <w:szCs w:val="22"/>
        </w:rPr>
        <w:t>V štúdiách s latanoprostom dochádza k nástupu zmeny</w:t>
      </w:r>
      <w:r w:rsidRPr="003754A9">
        <w:rPr>
          <w:szCs w:val="22"/>
        </w:rPr>
        <w:t xml:space="preserve"> obvykle počas prvých 8 mesiacov liečby</w:t>
      </w:r>
      <w:r>
        <w:rPr>
          <w:szCs w:val="22"/>
        </w:rPr>
        <w:t xml:space="preserve">, </w:t>
      </w:r>
      <w:hyperlink r:id="rId8" w:history="1">
        <w:r w:rsidRPr="007A1CCA">
          <w:rPr>
            <w:szCs w:val="22"/>
          </w:rPr>
          <w:t>zriedka</w:t>
        </w:r>
        <w:r w:rsidR="00E94E12">
          <w:rPr>
            <w:szCs w:val="22"/>
          </w:rPr>
          <w:t>vo</w:t>
        </w:r>
      </w:hyperlink>
      <w:r w:rsidR="00E94E12">
        <w:rPr>
          <w:szCs w:val="22"/>
        </w:rPr>
        <w:t xml:space="preserve"> počas druhého alebo tretieho roka, a po štvrtom roku liečby sa zmena nepozorovala.</w:t>
      </w:r>
      <w:r w:rsidR="009F6AFA">
        <w:rPr>
          <w:szCs w:val="22"/>
        </w:rPr>
        <w:t xml:space="preserve"> </w:t>
      </w:r>
      <w:r w:rsidR="00B40820">
        <w:rPr>
          <w:szCs w:val="22"/>
        </w:rPr>
        <w:t xml:space="preserve">Miera progresie pigmentácie dúhovky sa časom znižuje a stabilizuje sa po piatich rokoch. Účinok zvýšenej pigmentácie sa po 5 rokoch nehodnotil. </w:t>
      </w:r>
      <w:r>
        <w:rPr>
          <w:szCs w:val="22"/>
        </w:rPr>
        <w:t xml:space="preserve"> </w:t>
      </w:r>
      <w:r w:rsidRPr="003754A9">
        <w:rPr>
          <w:szCs w:val="22"/>
        </w:rPr>
        <w:t>V</w:t>
      </w:r>
      <w:r w:rsidR="00B40820">
        <w:rPr>
          <w:szCs w:val="22"/>
        </w:rPr>
        <w:t xml:space="preserve"> otvorenej 5-ročnej bezpečnostnej štúdii s latanoprostom sa u 33 % pacientov prejavila pigmentácia dúhovky (pozri časť 4.8). </w:t>
      </w:r>
      <w:r w:rsidRPr="003754A9">
        <w:rPr>
          <w:szCs w:val="22"/>
        </w:rPr>
        <w:t xml:space="preserve">Táto zmena </w:t>
      </w:r>
      <w:r w:rsidR="00B40820">
        <w:rPr>
          <w:szCs w:val="22"/>
        </w:rPr>
        <w:t xml:space="preserve">farby </w:t>
      </w:r>
      <w:r w:rsidRPr="003754A9">
        <w:rPr>
          <w:szCs w:val="22"/>
        </w:rPr>
        <w:t>dúhovky bola vo väčšine prípadov</w:t>
      </w:r>
      <w:r w:rsidR="00B40820">
        <w:rPr>
          <w:szCs w:val="22"/>
        </w:rPr>
        <w:t xml:space="preserve"> mierna</w:t>
      </w:r>
      <w:r w:rsidRPr="003754A9">
        <w:rPr>
          <w:szCs w:val="22"/>
        </w:rPr>
        <w:t xml:space="preserve"> a často nebola klinicky pozorovaná.</w:t>
      </w:r>
      <w:r>
        <w:rPr>
          <w:szCs w:val="22"/>
        </w:rPr>
        <w:t xml:space="preserve"> </w:t>
      </w:r>
      <w:r w:rsidRPr="003754A9">
        <w:rPr>
          <w:szCs w:val="22"/>
        </w:rPr>
        <w:t>Incidencia u pacientov so zmiešaným sfarbením dúhov</w:t>
      </w:r>
      <w:r w:rsidR="00B40820">
        <w:rPr>
          <w:szCs w:val="22"/>
        </w:rPr>
        <w:t>ky</w:t>
      </w:r>
      <w:r w:rsidRPr="003754A9">
        <w:rPr>
          <w:szCs w:val="22"/>
        </w:rPr>
        <w:t xml:space="preserve"> sa pohybovala </w:t>
      </w:r>
      <w:r w:rsidR="00B40820">
        <w:rPr>
          <w:szCs w:val="22"/>
        </w:rPr>
        <w:t xml:space="preserve">v rozmedzí </w:t>
      </w:r>
      <w:r w:rsidRPr="003754A9">
        <w:rPr>
          <w:szCs w:val="22"/>
        </w:rPr>
        <w:t xml:space="preserve">od 7 do 85 %, </w:t>
      </w:r>
      <w:r w:rsidR="00B40820">
        <w:rPr>
          <w:szCs w:val="22"/>
        </w:rPr>
        <w:t xml:space="preserve">pričom najvyšší výskyt sa zaznamenal </w:t>
      </w:r>
      <w:r w:rsidRPr="003754A9">
        <w:rPr>
          <w:szCs w:val="22"/>
        </w:rPr>
        <w:t>u pacien</w:t>
      </w:r>
      <w:r>
        <w:rPr>
          <w:szCs w:val="22"/>
        </w:rPr>
        <w:t>ov</w:t>
      </w:r>
      <w:r w:rsidRPr="003754A9">
        <w:rPr>
          <w:szCs w:val="22"/>
        </w:rPr>
        <w:t xml:space="preserve"> so žlto-hnedými dúhovkami</w:t>
      </w:r>
      <w:r w:rsidR="00B40820">
        <w:rPr>
          <w:szCs w:val="22"/>
        </w:rPr>
        <w:t>.</w:t>
      </w:r>
      <w:r w:rsidRPr="003754A9">
        <w:rPr>
          <w:szCs w:val="22"/>
        </w:rPr>
        <w:t xml:space="preserve"> 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U pacientov s homogénne modrými očami neboli pozorované žiadne zmeny</w:t>
      </w:r>
      <w:r w:rsidR="00B40820">
        <w:rPr>
          <w:szCs w:val="22"/>
        </w:rPr>
        <w:t xml:space="preserve"> farby oka</w:t>
      </w:r>
      <w:r w:rsidRPr="003F130F">
        <w:rPr>
          <w:szCs w:val="22"/>
        </w:rPr>
        <w:t xml:space="preserve"> a u pacientov s homogénne šedými, zelenými alebo hnedými očami boli zmeny pozorované len zriedka</w:t>
      </w:r>
      <w:r w:rsidR="00B40820">
        <w:rPr>
          <w:szCs w:val="22"/>
        </w:rPr>
        <w:t>vo</w:t>
      </w:r>
      <w:r w:rsidRPr="003F130F">
        <w:rPr>
          <w:szCs w:val="22"/>
        </w:rPr>
        <w:t>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754A9" w:rsidRDefault="007D41F9" w:rsidP="00B875D8">
      <w:pPr>
        <w:ind w:left="0" w:firstLine="0"/>
        <w:rPr>
          <w:szCs w:val="22"/>
        </w:rPr>
      </w:pPr>
      <w:r w:rsidRPr="003754A9">
        <w:rPr>
          <w:szCs w:val="22"/>
        </w:rPr>
        <w:t>K zmene farby dochádza v dôsledku zvýšeného obsahu melanínu v stromálnych melanocytoch dúhovky, a nie kvôli zvýšenému počtu melanocytov. Typická je hnedá pigmentácia okolo zreníc, ktorá sa koncentricky šíri k periférii postihnutých očí, ale celá dúhovka alebo jej časti môžu byť viac hnedé. Po prerušení liečby sa nepozorovalo ďalšie zvýšenie hnedej pigmentácie dúhovky. Doposiaľ sa v klinických skúškach nezistil</w:t>
      </w:r>
      <w:r w:rsidR="00B40820">
        <w:rPr>
          <w:szCs w:val="22"/>
        </w:rPr>
        <w:t>a súvislosť</w:t>
      </w:r>
      <w:r w:rsidRPr="003754A9">
        <w:rPr>
          <w:szCs w:val="22"/>
        </w:rPr>
        <w:t xml:space="preserve"> so žiadnymi symptómami alebo patologickými zmenami.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Liečbou nie sú ovplyvnené ani pehy, ani névy na dúhovke. V klinických skúškach nebola pozorovaná akumulácia pigmentu v trabekulárnej sieťovine alebo na inom mieste v prednej komore.</w:t>
      </w:r>
    </w:p>
    <w:p w:rsidR="007D41F9" w:rsidRDefault="007D41F9" w:rsidP="00884EC0">
      <w:pPr>
        <w:pStyle w:val="Zarkazkladnhotextu"/>
        <w:spacing w:after="0"/>
        <w:ind w:left="0" w:firstLine="0"/>
        <w:rPr>
          <w:szCs w:val="22"/>
        </w:rPr>
      </w:pPr>
      <w:r>
        <w:rPr>
          <w:szCs w:val="22"/>
        </w:rPr>
        <w:t>Na základe k</w:t>
      </w:r>
      <w:r w:rsidRPr="00DD694C">
        <w:rPr>
          <w:szCs w:val="22"/>
        </w:rPr>
        <w:t>linick</w:t>
      </w:r>
      <w:r>
        <w:rPr>
          <w:szCs w:val="22"/>
        </w:rPr>
        <w:t>ých</w:t>
      </w:r>
      <w:r w:rsidRPr="00DD694C">
        <w:rPr>
          <w:szCs w:val="22"/>
        </w:rPr>
        <w:t xml:space="preserve"> skúsenost</w:t>
      </w:r>
      <w:r>
        <w:rPr>
          <w:szCs w:val="22"/>
        </w:rPr>
        <w:t xml:space="preserve">í </w:t>
      </w:r>
      <w:r w:rsidR="00D934E7">
        <w:rPr>
          <w:szCs w:val="22"/>
        </w:rPr>
        <w:t xml:space="preserve">získaných počas 5 rokov </w:t>
      </w:r>
      <w:r>
        <w:rPr>
          <w:szCs w:val="22"/>
        </w:rPr>
        <w:t>sa nepreukázalo</w:t>
      </w:r>
      <w:r w:rsidRPr="00DD694C">
        <w:rPr>
          <w:szCs w:val="22"/>
        </w:rPr>
        <w:t xml:space="preserve">, že </w:t>
      </w:r>
      <w:r w:rsidR="00D934E7">
        <w:rPr>
          <w:szCs w:val="22"/>
        </w:rPr>
        <w:t xml:space="preserve">by </w:t>
      </w:r>
      <w:r>
        <w:rPr>
          <w:szCs w:val="22"/>
        </w:rPr>
        <w:t>z</w:t>
      </w:r>
      <w:r w:rsidRPr="00DD694C">
        <w:rPr>
          <w:szCs w:val="22"/>
        </w:rPr>
        <w:t xml:space="preserve">výšená pigmentácia dúhovky </w:t>
      </w:r>
      <w:r w:rsidR="00D934E7">
        <w:rPr>
          <w:szCs w:val="22"/>
        </w:rPr>
        <w:t>mala</w:t>
      </w:r>
      <w:r w:rsidRPr="00DD694C">
        <w:rPr>
          <w:szCs w:val="22"/>
        </w:rPr>
        <w:t xml:space="preserve"> nejaké negatívne klinické následky</w:t>
      </w:r>
      <w:r>
        <w:rPr>
          <w:szCs w:val="22"/>
        </w:rPr>
        <w:t>.</w:t>
      </w:r>
      <w:r w:rsidRPr="00DD694C">
        <w:rPr>
          <w:szCs w:val="22"/>
        </w:rPr>
        <w:t xml:space="preserve"> </w:t>
      </w:r>
      <w:r>
        <w:rPr>
          <w:szCs w:val="22"/>
        </w:rPr>
        <w:t>S</w:t>
      </w:r>
      <w:r w:rsidRPr="00DD694C">
        <w:rPr>
          <w:szCs w:val="22"/>
        </w:rPr>
        <w:t xml:space="preserve"> podávaním </w:t>
      </w:r>
      <w:r>
        <w:rPr>
          <w:szCs w:val="22"/>
        </w:rPr>
        <w:t>UNILAT</w:t>
      </w:r>
      <w:r w:rsidRPr="00DD694C">
        <w:rPr>
          <w:szCs w:val="22"/>
        </w:rPr>
        <w:t xml:space="preserve">u sa môže pokračovať aj v prípade pigmentácie dúhovky. Pacienti však musia byť pravidelne monitorovaní, a ak si to vyžaduje klinický stav, liečba </w:t>
      </w:r>
      <w:r>
        <w:rPr>
          <w:szCs w:val="22"/>
        </w:rPr>
        <w:t>UNILATom</w:t>
      </w:r>
      <w:r w:rsidRPr="00DD694C">
        <w:rPr>
          <w:szCs w:val="22"/>
        </w:rPr>
        <w:t xml:space="preserve"> sa môže prerušiť.</w:t>
      </w:r>
    </w:p>
    <w:p w:rsidR="00303186" w:rsidRPr="00DD694C" w:rsidRDefault="00303186" w:rsidP="00884EC0">
      <w:pPr>
        <w:pStyle w:val="Zarkazkladnhotextu"/>
        <w:spacing w:after="0"/>
        <w:ind w:left="0" w:firstLine="0"/>
        <w:rPr>
          <w:szCs w:val="22"/>
        </w:rPr>
      </w:pPr>
    </w:p>
    <w:p w:rsidR="007D41F9" w:rsidRPr="003754A9" w:rsidRDefault="007D41F9" w:rsidP="00B875D8">
      <w:pPr>
        <w:ind w:left="0" w:firstLine="0"/>
        <w:rPr>
          <w:szCs w:val="22"/>
        </w:rPr>
      </w:pPr>
      <w:r w:rsidRPr="003754A9">
        <w:rPr>
          <w:szCs w:val="22"/>
        </w:rPr>
        <w:t>Skúsenosti s používaním latanoprostu v prípade chronického glaukómu so zatvoreným uhlom, glaukómu s otvoreným uhlom u pseudo</w:t>
      </w:r>
      <w:r w:rsidR="009F6AFA">
        <w:rPr>
          <w:szCs w:val="22"/>
        </w:rPr>
        <w:t>a</w:t>
      </w:r>
      <w:r w:rsidRPr="003754A9">
        <w:rPr>
          <w:szCs w:val="22"/>
        </w:rPr>
        <w:t>fakických pacientov a u pacientov s pigmentovým glaukómom sú limitované. S používaním latanoprostu v prípade zápalového a neovaskulárneho glaukómu</w:t>
      </w:r>
      <w:r w:rsidR="00860D17">
        <w:rPr>
          <w:szCs w:val="22"/>
        </w:rPr>
        <w:t xml:space="preserve"> a</w:t>
      </w:r>
      <w:r w:rsidRPr="003754A9">
        <w:rPr>
          <w:szCs w:val="22"/>
        </w:rPr>
        <w:t xml:space="preserve"> zápalových očných ochorení</w:t>
      </w:r>
      <w:r w:rsidR="009F6AFA">
        <w:rPr>
          <w:szCs w:val="22"/>
        </w:rPr>
        <w:t xml:space="preserve"> </w:t>
      </w:r>
      <w:r w:rsidRPr="003754A9">
        <w:rPr>
          <w:szCs w:val="22"/>
        </w:rPr>
        <w:t xml:space="preserve">nie sú </w:t>
      </w:r>
      <w:r w:rsidR="00860D17">
        <w:rPr>
          <w:szCs w:val="22"/>
        </w:rPr>
        <w:t xml:space="preserve">žiadne </w:t>
      </w:r>
      <w:r w:rsidRPr="003754A9">
        <w:rPr>
          <w:szCs w:val="22"/>
        </w:rPr>
        <w:t>skúsenosti. Latanoprost nemá</w:t>
      </w:r>
      <w:r w:rsidRPr="003754A9">
        <w:rPr>
          <w:szCs w:val="22"/>
          <w:vertAlign w:val="superscript"/>
        </w:rPr>
        <w:t xml:space="preserve"> </w:t>
      </w:r>
      <w:r w:rsidRPr="003754A9">
        <w:rPr>
          <w:szCs w:val="22"/>
        </w:rPr>
        <w:t xml:space="preserve">žiadny alebo len malý účinok na zrenicu, ale v prípade akútneho záchvatu pri glaukóme so zatvoreným uhlom skúsenosti nie sú. Preto sa odporúča v týchto prípadoch používať </w:t>
      </w:r>
      <w:r>
        <w:rPr>
          <w:szCs w:val="22"/>
        </w:rPr>
        <w:t>UNILAT</w:t>
      </w:r>
      <w:r w:rsidRPr="003754A9">
        <w:rPr>
          <w:szCs w:val="22"/>
        </w:rPr>
        <w:t xml:space="preserve"> s opatrnosťou, pokiaľ sa nezíska viac skúseností.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754A9" w:rsidRDefault="007D41F9" w:rsidP="00B875D8">
      <w:pPr>
        <w:ind w:left="0" w:firstLine="0"/>
        <w:rPr>
          <w:szCs w:val="22"/>
        </w:rPr>
      </w:pPr>
      <w:r w:rsidRPr="003754A9">
        <w:rPr>
          <w:szCs w:val="22"/>
        </w:rPr>
        <w:lastRenderedPageBreak/>
        <w:t xml:space="preserve">Skúsenosti s používaním latanoprostu v perioperačnom období pri chirurgickom zákroku na odstránenie katarakty sú obmedzené. </w:t>
      </w:r>
      <w:r>
        <w:rPr>
          <w:szCs w:val="22"/>
        </w:rPr>
        <w:t>UNILAT</w:t>
      </w:r>
      <w:r w:rsidRPr="003754A9">
        <w:rPr>
          <w:szCs w:val="22"/>
        </w:rPr>
        <w:t xml:space="preserve"> sa musí u týchto pacientov používať s opatrnosťou.</w:t>
      </w:r>
    </w:p>
    <w:p w:rsidR="00860D17" w:rsidRDefault="00860D17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Vyskytli sa hlásenia o makulárnom edéme (pozri časť 4.8) hlavne u afakických pacientov, u pseudo</w:t>
      </w:r>
      <w:r w:rsidR="00816AD1">
        <w:rPr>
          <w:szCs w:val="22"/>
        </w:rPr>
        <w:t>a</w:t>
      </w:r>
      <w:r w:rsidRPr="003F130F">
        <w:rPr>
          <w:szCs w:val="22"/>
        </w:rPr>
        <w:t xml:space="preserve">fakických pacientov s ruptúrou zadnej časti puzdra šošovky alebo šošovkami v prednej očnej komore, alebo u pacientov so známymi rizikovými faktormi cystoidného makulárneho edému (ako je diabetická retinopatia a oklúzia retinálnej cievy). </w:t>
      </w:r>
      <w:r>
        <w:rPr>
          <w:szCs w:val="22"/>
        </w:rPr>
        <w:t>UNILAT</w:t>
      </w:r>
      <w:r w:rsidRPr="003F130F">
        <w:rPr>
          <w:szCs w:val="22"/>
        </w:rPr>
        <w:t xml:space="preserve"> sa musí používať s opatrnosťou u afakických pacientov, u pseudo</w:t>
      </w:r>
      <w:r w:rsidR="00816AD1">
        <w:rPr>
          <w:szCs w:val="22"/>
        </w:rPr>
        <w:t>a</w:t>
      </w:r>
      <w:r w:rsidRPr="003F130F">
        <w:rPr>
          <w:szCs w:val="22"/>
        </w:rPr>
        <w:t>fakických pacientov s ruptúrou zadnej časti puzdra šošovky alebo šošovkami v prednej očnej komore, alebo u pacientov so známymi rizikovými faktormi cystoidného makulárneho edému.</w:t>
      </w:r>
    </w:p>
    <w:p w:rsidR="00E93335" w:rsidRDefault="00E93335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3335" w:rsidRDefault="00E93335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D45D8">
        <w:rPr>
          <w:szCs w:val="22"/>
        </w:rPr>
        <w:t xml:space="preserve">UNILAT sa má používať </w:t>
      </w:r>
      <w:r>
        <w:rPr>
          <w:szCs w:val="22"/>
        </w:rPr>
        <w:t>s opatrnosťou</w:t>
      </w:r>
      <w:r w:rsidRPr="003D45D8">
        <w:rPr>
          <w:szCs w:val="22"/>
        </w:rPr>
        <w:t xml:space="preserve"> u pacientov s anamnézou herpetickej keratitídy a</w:t>
      </w:r>
      <w:r>
        <w:rPr>
          <w:szCs w:val="22"/>
        </w:rPr>
        <w:t xml:space="preserve"> používaniu sa má vyhnúť v </w:t>
      </w:r>
      <w:r w:rsidRPr="003D45D8">
        <w:rPr>
          <w:szCs w:val="22"/>
        </w:rPr>
        <w:t>prípadoch aktívnej keratitídy</w:t>
      </w:r>
      <w:r>
        <w:rPr>
          <w:szCs w:val="22"/>
        </w:rPr>
        <w:t xml:space="preserve"> vyvolanej vírusom herpes simplex</w:t>
      </w:r>
      <w:r w:rsidRPr="003D45D8">
        <w:rPr>
          <w:szCs w:val="22"/>
        </w:rPr>
        <w:t xml:space="preserve"> a u pacientov s anamnézou rekurentnej herpetickej keratitídy špecificky spojenej s  analógmi</w:t>
      </w:r>
      <w:r>
        <w:rPr>
          <w:szCs w:val="22"/>
        </w:rPr>
        <w:t xml:space="preserve"> prostaglandínu.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U pacientov so známou predispozíciou rizikových faktorov na iritídu/uveitídu sa </w:t>
      </w:r>
      <w:r>
        <w:rPr>
          <w:szCs w:val="22"/>
        </w:rPr>
        <w:t>UNILAT</w:t>
      </w:r>
      <w:r w:rsidRPr="003F130F">
        <w:rPr>
          <w:szCs w:val="22"/>
        </w:rPr>
        <w:t xml:space="preserve"> musí používať s opatrnosťou.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DD694C" w:rsidRDefault="007D41F9" w:rsidP="00B875D8">
      <w:pPr>
        <w:ind w:left="0" w:firstLine="0"/>
        <w:rPr>
          <w:szCs w:val="22"/>
        </w:rPr>
      </w:pPr>
      <w:r w:rsidRPr="00DD694C">
        <w:rPr>
          <w:szCs w:val="22"/>
        </w:rPr>
        <w:t>Skúsenosti u pacientov s astmou sú obmedzené, ale v pos</w:t>
      </w:r>
      <w:r>
        <w:rPr>
          <w:szCs w:val="22"/>
        </w:rPr>
        <w:t>t</w:t>
      </w:r>
      <w:r w:rsidRPr="00DD694C">
        <w:rPr>
          <w:szCs w:val="22"/>
        </w:rPr>
        <w:t>marketingových štúdiách boli hlásené prípady zhoršenia astmy a/alebo dyspnoe. Preto musia byť astmatickí pacienti liečení s opatrnosťou, pokiaľ nebudú k dispozícii dostatočné skúsenosti (pozri časť 4.8).</w:t>
      </w: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Pozorovali sa zmeny sfarbenia periorbitálnej pokožky</w:t>
      </w:r>
      <w:r>
        <w:rPr>
          <w:szCs w:val="22"/>
        </w:rPr>
        <w:t>,</w:t>
      </w:r>
      <w:r w:rsidRPr="003F130F">
        <w:rPr>
          <w:szCs w:val="22"/>
        </w:rPr>
        <w:t xml:space="preserve"> väčšina hlásení bola u japonských pacientov. Súčasné skúsenosti ukazujú, že zmeny sfarbenia periorbitálnej pokožky nie sú trvalé a v niektorých prípadoch vymiznú počas pokračovania liečby </w:t>
      </w:r>
      <w:r>
        <w:rPr>
          <w:szCs w:val="22"/>
        </w:rPr>
        <w:t>l</w:t>
      </w:r>
      <w:r w:rsidRPr="003F130F">
        <w:rPr>
          <w:szCs w:val="22"/>
        </w:rPr>
        <w:t>atanoprostom.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ind w:left="0" w:firstLine="0"/>
        <w:rPr>
          <w:szCs w:val="22"/>
        </w:rPr>
      </w:pPr>
      <w:r w:rsidRPr="003F130F">
        <w:rPr>
          <w:szCs w:val="22"/>
        </w:rPr>
        <w:t>Latanoprost môže postupne meniť očné riasy a jemné chĺpky liečeného oka a okolitých oblast</w:t>
      </w:r>
      <w:r>
        <w:rPr>
          <w:szCs w:val="22"/>
        </w:rPr>
        <w:t>í</w:t>
      </w:r>
      <w:r w:rsidRPr="003F130F">
        <w:rPr>
          <w:szCs w:val="22"/>
        </w:rPr>
        <w:t xml:space="preserve">, pričom tieto zmeny zahŕňajú </w:t>
      </w:r>
      <w:r w:rsidR="006A6A85">
        <w:rPr>
          <w:szCs w:val="22"/>
        </w:rPr>
        <w:t xml:space="preserve">predĺženie, zhrubnutie, zvýšenie pigmentácie, </w:t>
      </w:r>
      <w:r w:rsidRPr="003F130F">
        <w:rPr>
          <w:szCs w:val="22"/>
        </w:rPr>
        <w:t xml:space="preserve"> poč</w:t>
      </w:r>
      <w:r w:rsidR="006A6A85">
        <w:rPr>
          <w:szCs w:val="22"/>
        </w:rPr>
        <w:t>tu</w:t>
      </w:r>
      <w:r w:rsidRPr="003F130F">
        <w:rPr>
          <w:szCs w:val="22"/>
        </w:rPr>
        <w:t xml:space="preserve"> </w:t>
      </w:r>
      <w:r w:rsidR="006A6A85">
        <w:rPr>
          <w:szCs w:val="22"/>
        </w:rPr>
        <w:t xml:space="preserve">očných </w:t>
      </w:r>
      <w:r w:rsidRPr="003F130F">
        <w:rPr>
          <w:szCs w:val="22"/>
        </w:rPr>
        <w:t xml:space="preserve">rias alebo vlasov a nesprávny rast očných rias. Tieto zmeny sú reverzibilné po </w:t>
      </w:r>
      <w:r w:rsidR="006A6A85">
        <w:rPr>
          <w:szCs w:val="22"/>
        </w:rPr>
        <w:t>ukončení</w:t>
      </w:r>
      <w:r w:rsidRPr="003F130F">
        <w:rPr>
          <w:szCs w:val="22"/>
        </w:rPr>
        <w:t xml:space="preserve"> liečby. </w:t>
      </w:r>
    </w:p>
    <w:p w:rsidR="00B144CE" w:rsidRDefault="00B144CE" w:rsidP="00B875D8">
      <w:pPr>
        <w:ind w:left="0" w:firstLine="0"/>
        <w:rPr>
          <w:szCs w:val="22"/>
        </w:rPr>
      </w:pPr>
    </w:p>
    <w:p w:rsidR="004B098C" w:rsidRDefault="00B144CE" w:rsidP="00B875D8">
      <w:pPr>
        <w:ind w:left="0" w:firstLine="0"/>
        <w:rPr>
          <w:szCs w:val="22"/>
        </w:rPr>
      </w:pPr>
      <w:r>
        <w:rPr>
          <w:szCs w:val="22"/>
        </w:rPr>
        <w:t>UNILAT</w:t>
      </w:r>
      <w:r w:rsidRPr="003F130F">
        <w:rPr>
          <w:szCs w:val="22"/>
        </w:rPr>
        <w:t xml:space="preserve"> obsahuje benzalkóniumchlorid, ktorý </w:t>
      </w:r>
      <w:r w:rsidR="001D1417">
        <w:rPr>
          <w:szCs w:val="22"/>
        </w:rPr>
        <w:t>sa bežne používa ako konzervačná látka v očných liekoch.</w:t>
      </w:r>
      <w:r>
        <w:rPr>
          <w:szCs w:val="22"/>
        </w:rPr>
        <w:t xml:space="preserve"> </w:t>
      </w:r>
      <w:r w:rsidRPr="003F130F">
        <w:rPr>
          <w:szCs w:val="22"/>
        </w:rPr>
        <w:t>Bol</w:t>
      </w:r>
      <w:r>
        <w:rPr>
          <w:szCs w:val="22"/>
        </w:rPr>
        <w:t>i</w:t>
      </w:r>
      <w:r w:rsidRPr="003F130F">
        <w:rPr>
          <w:szCs w:val="22"/>
        </w:rPr>
        <w:t xml:space="preserve"> hlásené</w:t>
      </w:r>
      <w:r>
        <w:rPr>
          <w:szCs w:val="22"/>
        </w:rPr>
        <w:t xml:space="preserve"> prípady</w:t>
      </w:r>
      <w:r w:rsidRPr="003F130F">
        <w:rPr>
          <w:szCs w:val="22"/>
        </w:rPr>
        <w:t>, že benzalkóniumchlorid spôsobil bod</w:t>
      </w:r>
      <w:r>
        <w:rPr>
          <w:szCs w:val="22"/>
        </w:rPr>
        <w:t>kovitú</w:t>
      </w:r>
      <w:r w:rsidRPr="003F130F">
        <w:rPr>
          <w:szCs w:val="22"/>
        </w:rPr>
        <w:t xml:space="preserve"> keratopatiu a/alebo toxickú ulceróznu keratopatiu</w:t>
      </w:r>
      <w:r w:rsidR="001D1417">
        <w:rPr>
          <w:szCs w:val="22"/>
        </w:rPr>
        <w:t>, môže spôsobiť podráždenie oka a je známe, že  spôsobuje zmenu farby mäkkých kontaktných šošoviek</w:t>
      </w:r>
      <w:r>
        <w:rPr>
          <w:szCs w:val="22"/>
        </w:rPr>
        <w:t xml:space="preserve">. </w:t>
      </w:r>
      <w:r w:rsidRPr="003F130F">
        <w:rPr>
          <w:szCs w:val="22"/>
        </w:rPr>
        <w:t xml:space="preserve">Pozorné sledovanie je potrebné pri častom alebo dlhodobom </w:t>
      </w:r>
      <w:r>
        <w:rPr>
          <w:szCs w:val="22"/>
        </w:rPr>
        <w:t>po</w:t>
      </w:r>
      <w:r w:rsidRPr="003F130F">
        <w:rPr>
          <w:szCs w:val="22"/>
        </w:rPr>
        <w:t xml:space="preserve">užívaní </w:t>
      </w:r>
      <w:r>
        <w:rPr>
          <w:szCs w:val="22"/>
        </w:rPr>
        <w:t>UNILAT</w:t>
      </w:r>
      <w:r w:rsidR="001D1417">
        <w:rPr>
          <w:szCs w:val="22"/>
        </w:rPr>
        <w:t>U</w:t>
      </w:r>
      <w:r w:rsidRPr="003F130F">
        <w:rPr>
          <w:szCs w:val="22"/>
        </w:rPr>
        <w:t xml:space="preserve"> u pacientov so suchými očami alebo </w:t>
      </w:r>
      <w:r>
        <w:rPr>
          <w:szCs w:val="22"/>
        </w:rPr>
        <w:t xml:space="preserve">pri stavoch s oslabenou rohovkou. </w:t>
      </w:r>
      <w:r w:rsidR="001D1417">
        <w:rPr>
          <w:szCs w:val="22"/>
        </w:rPr>
        <w:t>Kontaktné šošovky môžu absorbovať benzalkóniumchlorid a preto p</w:t>
      </w:r>
      <w:r>
        <w:rPr>
          <w:szCs w:val="22"/>
        </w:rPr>
        <w:t xml:space="preserve">red podaním </w:t>
      </w:r>
      <w:r w:rsidR="001D1417">
        <w:rPr>
          <w:szCs w:val="22"/>
        </w:rPr>
        <w:t>UNILATU</w:t>
      </w:r>
      <w:r>
        <w:rPr>
          <w:szCs w:val="22"/>
        </w:rPr>
        <w:t xml:space="preserve"> </w:t>
      </w:r>
      <w:r w:rsidR="00C262CE">
        <w:rPr>
          <w:szCs w:val="22"/>
        </w:rPr>
        <w:t xml:space="preserve">si pacient musí </w:t>
      </w:r>
      <w:r>
        <w:rPr>
          <w:szCs w:val="22"/>
        </w:rPr>
        <w:t xml:space="preserve">kontaktné šošovky z oka vybrať a počkať aspoň 15 minút pred ich opätovným vložením (pozri časť 4.2). </w:t>
      </w:r>
    </w:p>
    <w:p w:rsidR="00872FFC" w:rsidRDefault="00872FFC" w:rsidP="00B875D8">
      <w:pPr>
        <w:ind w:left="0" w:firstLine="0"/>
        <w:rPr>
          <w:szCs w:val="22"/>
        </w:rPr>
      </w:pPr>
    </w:p>
    <w:p w:rsidR="004B098C" w:rsidRPr="00560047" w:rsidRDefault="006A6A85" w:rsidP="00B875D8">
      <w:pPr>
        <w:pStyle w:val="Default"/>
        <w:ind w:left="440" w:hanging="440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Pediatrická populácia:</w:t>
      </w:r>
      <w:r w:rsidR="004B098C" w:rsidRPr="00560047">
        <w:rPr>
          <w:i/>
          <w:iCs/>
          <w:sz w:val="22"/>
          <w:szCs w:val="22"/>
          <w:lang w:val="sk-SK"/>
        </w:rPr>
        <w:t xml:space="preserve"> </w:t>
      </w:r>
    </w:p>
    <w:p w:rsidR="004B098C" w:rsidRPr="00560047" w:rsidRDefault="004B098C" w:rsidP="00B875D8">
      <w:pPr>
        <w:pStyle w:val="Textvysvetlivky1"/>
        <w:ind w:right="40"/>
        <w:rPr>
          <w:color w:val="000000"/>
          <w:sz w:val="22"/>
          <w:szCs w:val="22"/>
          <w:lang w:val="sk-SK"/>
        </w:rPr>
      </w:pPr>
      <w:r w:rsidRPr="00560047">
        <w:rPr>
          <w:color w:val="000000"/>
          <w:sz w:val="22"/>
          <w:szCs w:val="22"/>
          <w:lang w:val="sk-SK"/>
        </w:rPr>
        <w:t xml:space="preserve">Údaje o účinnosti a bezpečnosti vo vekovej skupine &lt; 1 rok (4 pacienti) sú veľmi obmedzené (pozri časť 5.1). K dispozícii nie sú žiadne údaje pre predčasne narodené deti (menej než 36 týždňov gestačného veku). </w:t>
      </w:r>
    </w:p>
    <w:p w:rsidR="004B098C" w:rsidRPr="00560047" w:rsidRDefault="004B098C" w:rsidP="00B875D8">
      <w:pPr>
        <w:pStyle w:val="Default"/>
        <w:ind w:right="40"/>
        <w:rPr>
          <w:sz w:val="22"/>
          <w:szCs w:val="22"/>
          <w:lang w:val="sk-SK"/>
        </w:rPr>
      </w:pPr>
      <w:r w:rsidRPr="00560047">
        <w:rPr>
          <w:sz w:val="22"/>
          <w:szCs w:val="22"/>
          <w:lang w:val="sk-SK"/>
        </w:rPr>
        <w:t xml:space="preserve">U detí od 0 do &lt; 3 rokov veku s prevažne primárnym vrodeným glaukómom (Primary Congenital Glaucoma, PCG), zostáva chirurgický zákrok (napríklad trabekulotómia/goniotómia) liečbou prvej línie. </w:t>
      </w:r>
    </w:p>
    <w:p w:rsidR="004B098C" w:rsidRDefault="004B098C" w:rsidP="00B875D8">
      <w:pPr>
        <w:ind w:left="0" w:firstLine="0"/>
        <w:rPr>
          <w:szCs w:val="22"/>
        </w:rPr>
      </w:pPr>
      <w:r>
        <w:rPr>
          <w:szCs w:val="22"/>
        </w:rPr>
        <w:t>Bezpečnosť pri dlhodobom používaní u detí nebola doteraz stanovená.</w:t>
      </w:r>
    </w:p>
    <w:p w:rsidR="004B098C" w:rsidRDefault="004B098C" w:rsidP="00B875D8">
      <w:pPr>
        <w:ind w:left="0" w:firstLine="0"/>
        <w:rPr>
          <w:szCs w:val="22"/>
        </w:rPr>
      </w:pPr>
    </w:p>
    <w:p w:rsidR="007D41F9" w:rsidRDefault="007D41F9" w:rsidP="00B875D8">
      <w:pPr>
        <w:ind w:left="0" w:firstLine="0"/>
        <w:rPr>
          <w:b/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Liekové a iné interakcie</w:t>
      </w:r>
    </w:p>
    <w:p w:rsidR="007D41F9" w:rsidRDefault="007D41F9" w:rsidP="00B875D8">
      <w:pPr>
        <w:rPr>
          <w:szCs w:val="22"/>
        </w:rPr>
      </w:pP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Konečné údaje o liekových interakciách nie sú k dispozícii.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Boli hlásené paradoxné zvýšenia vnútroočného tlaku po súbežnom očnom podaní dvoch analógov prostaglandínov. Preto sa použitie dvoch alebo viacerých prostaglandínov, analógov prostaglandínov alebo derivátov prostaglandínov neodporúča.</w:t>
      </w:r>
    </w:p>
    <w:p w:rsidR="00B144CE" w:rsidRPr="003F130F" w:rsidRDefault="00B144CE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4B098C" w:rsidRDefault="00B144CE" w:rsidP="00B875D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Pediatrická populácia:</w:t>
      </w:r>
      <w:r w:rsidR="004B098C">
        <w:rPr>
          <w:i/>
          <w:iCs/>
          <w:sz w:val="22"/>
          <w:szCs w:val="22"/>
        </w:rPr>
        <w:t xml:space="preserve"> </w:t>
      </w:r>
    </w:p>
    <w:p w:rsidR="007D41F9" w:rsidRPr="00DD694C" w:rsidRDefault="004B098C" w:rsidP="00B875D8">
      <w:pPr>
        <w:ind w:left="0" w:firstLine="0"/>
        <w:rPr>
          <w:szCs w:val="22"/>
        </w:rPr>
      </w:pPr>
      <w:r>
        <w:rPr>
          <w:szCs w:val="22"/>
        </w:rPr>
        <w:t>Interakčné štúdie sa uskutočnili len u dospelých.</w:t>
      </w:r>
    </w:p>
    <w:p w:rsidR="007D41F9" w:rsidRDefault="007D41F9" w:rsidP="00B875D8">
      <w:pPr>
        <w:rPr>
          <w:szCs w:val="22"/>
        </w:rPr>
      </w:pPr>
    </w:p>
    <w:p w:rsidR="007D41F9" w:rsidRDefault="007D41F9" w:rsidP="00B875D8">
      <w:pPr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4B098C">
        <w:rPr>
          <w:b/>
          <w:szCs w:val="22"/>
        </w:rPr>
        <w:t>Fertilita,</w:t>
      </w:r>
      <w:r w:rsidR="00B144CE">
        <w:rPr>
          <w:b/>
          <w:szCs w:val="22"/>
        </w:rPr>
        <w:t xml:space="preserve"> </w:t>
      </w:r>
      <w:r w:rsidR="004B098C">
        <w:rPr>
          <w:b/>
          <w:szCs w:val="22"/>
        </w:rPr>
        <w:t xml:space="preserve">gravidita </w:t>
      </w:r>
      <w:r>
        <w:rPr>
          <w:b/>
          <w:szCs w:val="22"/>
        </w:rPr>
        <w:t>a laktácia</w:t>
      </w:r>
    </w:p>
    <w:p w:rsidR="007D41F9" w:rsidRDefault="007D41F9" w:rsidP="00B875D8">
      <w:pPr>
        <w:rPr>
          <w:szCs w:val="22"/>
        </w:rPr>
      </w:pPr>
    </w:p>
    <w:p w:rsidR="00B144CE" w:rsidRPr="0011400A" w:rsidRDefault="00B144CE" w:rsidP="00B875D8">
      <w:pPr>
        <w:pStyle w:val="Zkladntext2"/>
        <w:spacing w:after="0" w:line="240" w:lineRule="auto"/>
        <w:ind w:left="0" w:firstLine="0"/>
        <w:rPr>
          <w:szCs w:val="22"/>
          <w:u w:val="single"/>
        </w:rPr>
      </w:pPr>
      <w:r w:rsidRPr="0011400A">
        <w:rPr>
          <w:szCs w:val="22"/>
          <w:u w:val="single"/>
        </w:rPr>
        <w:t>Fertilita</w:t>
      </w:r>
    </w:p>
    <w:p w:rsidR="00B144CE" w:rsidRDefault="00B144CE" w:rsidP="00B875D8">
      <w:pPr>
        <w:rPr>
          <w:szCs w:val="22"/>
        </w:rPr>
      </w:pPr>
      <w:r>
        <w:rPr>
          <w:szCs w:val="22"/>
        </w:rPr>
        <w:t xml:space="preserve">V štúdiách </w:t>
      </w:r>
      <w:r w:rsidR="00816AD1">
        <w:rPr>
          <w:szCs w:val="22"/>
        </w:rPr>
        <w:t>na zvieratách</w:t>
      </w:r>
      <w:r>
        <w:rPr>
          <w:szCs w:val="22"/>
        </w:rPr>
        <w:t xml:space="preserve"> sa nezistilo, že by latanoprost mal nejaký vplyv na fertilitu samcov alebo</w:t>
      </w:r>
    </w:p>
    <w:p w:rsidR="00B144CE" w:rsidRDefault="00B144CE" w:rsidP="00B875D8">
      <w:pPr>
        <w:rPr>
          <w:szCs w:val="22"/>
        </w:rPr>
      </w:pPr>
      <w:r>
        <w:rPr>
          <w:szCs w:val="22"/>
        </w:rPr>
        <w:t>samíc (pori časť 5.3).</w:t>
      </w:r>
    </w:p>
    <w:p w:rsidR="00B144CE" w:rsidRDefault="00B144CE" w:rsidP="00B875D8">
      <w:pPr>
        <w:rPr>
          <w:bCs/>
          <w:szCs w:val="22"/>
          <w:u w:val="single"/>
        </w:rPr>
      </w:pPr>
    </w:p>
    <w:p w:rsidR="007D41F9" w:rsidRPr="00B144CE" w:rsidRDefault="007D41F9" w:rsidP="00B875D8">
      <w:pPr>
        <w:rPr>
          <w:bCs/>
          <w:szCs w:val="22"/>
          <w:u w:val="single"/>
        </w:rPr>
      </w:pPr>
      <w:r w:rsidRPr="00B144CE">
        <w:rPr>
          <w:bCs/>
          <w:szCs w:val="22"/>
          <w:u w:val="single"/>
        </w:rPr>
        <w:t>Gravidita</w:t>
      </w:r>
    </w:p>
    <w:p w:rsidR="007D41F9" w:rsidRDefault="007D41F9" w:rsidP="00B875D8">
      <w:pPr>
        <w:pStyle w:val="Zkladntext2"/>
        <w:spacing w:after="0" w:line="240" w:lineRule="auto"/>
        <w:ind w:left="0" w:firstLine="0"/>
        <w:rPr>
          <w:szCs w:val="22"/>
        </w:rPr>
      </w:pPr>
      <w:r w:rsidRPr="00DD694C">
        <w:rPr>
          <w:szCs w:val="22"/>
        </w:rPr>
        <w:t>Bezpečnosť použitia lieku počas gravidity u ľudí nebola stanovená. Má potenciálne rizikové farmakologické účinky na priebeh gravidity, na plod a</w:t>
      </w:r>
      <w:r w:rsidR="000A123E">
        <w:rPr>
          <w:szCs w:val="22"/>
        </w:rPr>
        <w:t> </w:t>
      </w:r>
      <w:r w:rsidRPr="00DD694C">
        <w:rPr>
          <w:szCs w:val="22"/>
        </w:rPr>
        <w:t>novorodenca</w:t>
      </w:r>
      <w:r w:rsidR="000A123E">
        <w:rPr>
          <w:szCs w:val="22"/>
        </w:rPr>
        <w:t>.</w:t>
      </w:r>
      <w:r w:rsidRPr="00DD694C">
        <w:rPr>
          <w:szCs w:val="22"/>
        </w:rPr>
        <w:t xml:space="preserve"> </w:t>
      </w:r>
      <w:r w:rsidR="000A123E">
        <w:rPr>
          <w:szCs w:val="22"/>
        </w:rPr>
        <w:t>P</w:t>
      </w:r>
      <w:r w:rsidRPr="00DD694C">
        <w:rPr>
          <w:szCs w:val="22"/>
        </w:rPr>
        <w:t xml:space="preserve">reto </w:t>
      </w:r>
      <w:r>
        <w:rPr>
          <w:szCs w:val="22"/>
        </w:rPr>
        <w:t xml:space="preserve"> sa</w:t>
      </w:r>
      <w:r w:rsidRPr="00DD694C">
        <w:rPr>
          <w:szCs w:val="22"/>
        </w:rPr>
        <w:t xml:space="preserve"> </w:t>
      </w:r>
      <w:r>
        <w:rPr>
          <w:szCs w:val="22"/>
        </w:rPr>
        <w:t xml:space="preserve">UNILAT </w:t>
      </w:r>
      <w:r w:rsidRPr="00DD694C">
        <w:rPr>
          <w:szCs w:val="22"/>
        </w:rPr>
        <w:t xml:space="preserve"> </w:t>
      </w:r>
      <w:r>
        <w:rPr>
          <w:szCs w:val="22"/>
        </w:rPr>
        <w:t>ne</w:t>
      </w:r>
      <w:r w:rsidR="000A123E">
        <w:rPr>
          <w:szCs w:val="22"/>
        </w:rPr>
        <w:t>smie</w:t>
      </w:r>
      <w:r>
        <w:rPr>
          <w:szCs w:val="22"/>
        </w:rPr>
        <w:t xml:space="preserve"> používať </w:t>
      </w:r>
      <w:r w:rsidRPr="00DD694C">
        <w:rPr>
          <w:szCs w:val="22"/>
        </w:rPr>
        <w:t>počas gravidity</w:t>
      </w:r>
      <w:r>
        <w:rPr>
          <w:szCs w:val="22"/>
        </w:rPr>
        <w:t xml:space="preserve">. </w:t>
      </w:r>
    </w:p>
    <w:p w:rsidR="007D41F9" w:rsidRDefault="007D41F9" w:rsidP="00B875D8">
      <w:pPr>
        <w:pStyle w:val="Zkladntext2"/>
        <w:spacing w:after="0" w:line="240" w:lineRule="auto"/>
        <w:ind w:left="0" w:firstLine="0"/>
        <w:rPr>
          <w:szCs w:val="22"/>
        </w:rPr>
      </w:pPr>
    </w:p>
    <w:p w:rsidR="007D41F9" w:rsidRPr="00B144CE" w:rsidRDefault="007D41F9" w:rsidP="00B875D8">
      <w:pPr>
        <w:rPr>
          <w:bCs/>
          <w:szCs w:val="22"/>
          <w:u w:val="single"/>
        </w:rPr>
      </w:pPr>
      <w:r w:rsidRPr="00B144CE">
        <w:rPr>
          <w:bCs/>
          <w:szCs w:val="22"/>
          <w:u w:val="single"/>
        </w:rPr>
        <w:t>Laktácia</w:t>
      </w:r>
    </w:p>
    <w:p w:rsidR="007D41F9" w:rsidRPr="003F130F" w:rsidRDefault="007D41F9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Latanoprost a jeho metabolity môžu prechádzať do materského mlieka, a preto sa </w:t>
      </w:r>
      <w:r>
        <w:rPr>
          <w:szCs w:val="22"/>
        </w:rPr>
        <w:t>UNILAT</w:t>
      </w:r>
      <w:r w:rsidRPr="003F130F">
        <w:rPr>
          <w:szCs w:val="22"/>
        </w:rPr>
        <w:t xml:space="preserve"> nesmie používať u dojčiacich žien alebo sa dojčenie musí ukončiť.</w:t>
      </w:r>
    </w:p>
    <w:p w:rsidR="00967F2E" w:rsidRDefault="00967F2E" w:rsidP="00B875D8">
      <w:pPr>
        <w:rPr>
          <w:b/>
          <w:szCs w:val="22"/>
        </w:rPr>
      </w:pPr>
    </w:p>
    <w:p w:rsidR="007D41F9" w:rsidRDefault="007D41F9" w:rsidP="00B875D8">
      <w:pPr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 obsluhovať stroje</w:t>
      </w:r>
    </w:p>
    <w:p w:rsidR="007D41F9" w:rsidRDefault="007D41F9" w:rsidP="00B875D8">
      <w:pPr>
        <w:rPr>
          <w:szCs w:val="22"/>
        </w:rPr>
      </w:pPr>
    </w:p>
    <w:p w:rsidR="007D41F9" w:rsidRPr="003F130F" w:rsidRDefault="000A123E" w:rsidP="00B875D8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Nevykonali sa žiadne štúdie o účinkoch na schopnosť viesť vozidlá a obsluhovať stroje.</w:t>
      </w:r>
      <w:r w:rsidR="007D41F9" w:rsidRPr="003F130F">
        <w:rPr>
          <w:szCs w:val="22"/>
        </w:rPr>
        <w:t>Tak ako pri iných očných liekoch, instilácia očných kvapiek môže spôsobiť prechodné neostré videnie.</w:t>
      </w:r>
    </w:p>
    <w:p w:rsidR="007D41F9" w:rsidRDefault="004B098C" w:rsidP="00B875D8">
      <w:pPr>
        <w:rPr>
          <w:szCs w:val="22"/>
        </w:rPr>
      </w:pPr>
      <w:r w:rsidRPr="007E5546">
        <w:rPr>
          <w:szCs w:val="22"/>
        </w:rPr>
        <w:t>Pokým tieto príznaky nepominú nesmie pacient viesť vozidlo a obsluhovať stroje.</w:t>
      </w:r>
    </w:p>
    <w:p w:rsidR="007D41F9" w:rsidRDefault="007D41F9" w:rsidP="00B875D8">
      <w:pPr>
        <w:rPr>
          <w:szCs w:val="22"/>
        </w:rPr>
      </w:pPr>
    </w:p>
    <w:p w:rsidR="007D41F9" w:rsidRDefault="007D41F9" w:rsidP="00B875D8">
      <w:pPr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:rsidR="007D41F9" w:rsidRDefault="007D41F9" w:rsidP="00B503A7">
      <w:pPr>
        <w:ind w:left="0" w:firstLine="0"/>
        <w:rPr>
          <w:szCs w:val="22"/>
        </w:rPr>
      </w:pPr>
    </w:p>
    <w:p w:rsidR="000A123E" w:rsidRPr="000A123E" w:rsidRDefault="000A123E" w:rsidP="00B503A7">
      <w:pPr>
        <w:ind w:left="0" w:firstLine="0"/>
        <w:rPr>
          <w:szCs w:val="22"/>
          <w:u w:val="single"/>
        </w:rPr>
      </w:pPr>
      <w:r w:rsidRPr="000A123E">
        <w:rPr>
          <w:szCs w:val="22"/>
          <w:u w:val="single"/>
        </w:rPr>
        <w:t>Zhrnutie bezpečnostného profilu</w:t>
      </w:r>
    </w:p>
    <w:p w:rsidR="007D41F9" w:rsidRPr="00DD694C" w:rsidRDefault="007D41F9" w:rsidP="00B503A7">
      <w:pPr>
        <w:ind w:left="0" w:firstLine="0"/>
        <w:rPr>
          <w:szCs w:val="22"/>
        </w:rPr>
      </w:pPr>
      <w:r w:rsidRPr="00DD694C">
        <w:rPr>
          <w:szCs w:val="22"/>
        </w:rPr>
        <w:t xml:space="preserve">Väčšina pozorovaných nežiaducich účinkov súvisela s očným systémom. V 5 ročnej otvorenej štúdii bezpečnosti latanoprostu sa u 33 % pacientov vyvinula pigmentácia dúhovky (pozri časť 4.4). Ostatné očné vedľajšie účinky sú zvyčajne prechodné a vznikajú v závislosti od </w:t>
      </w:r>
      <w:r>
        <w:rPr>
          <w:szCs w:val="22"/>
        </w:rPr>
        <w:t>dĺžky podávania.</w:t>
      </w:r>
    </w:p>
    <w:p w:rsidR="007D41F9" w:rsidRPr="00DD694C" w:rsidRDefault="007D41F9" w:rsidP="00B503A7">
      <w:pPr>
        <w:rPr>
          <w:szCs w:val="22"/>
        </w:rPr>
      </w:pPr>
    </w:p>
    <w:p w:rsidR="00177630" w:rsidRDefault="00177630" w:rsidP="00B503A7">
      <w:pPr>
        <w:ind w:left="0" w:firstLine="0"/>
        <w:rPr>
          <w:szCs w:val="22"/>
          <w:u w:val="single"/>
        </w:rPr>
      </w:pPr>
      <w:r w:rsidRPr="00177630">
        <w:rPr>
          <w:szCs w:val="22"/>
          <w:u w:val="single"/>
        </w:rPr>
        <w:t>Zoznam nežiaducich účinkov</w:t>
      </w:r>
    </w:p>
    <w:p w:rsidR="00177630" w:rsidRPr="00177630" w:rsidRDefault="00177630" w:rsidP="00B503A7">
      <w:pPr>
        <w:ind w:left="360" w:firstLine="0"/>
        <w:rPr>
          <w:szCs w:val="22"/>
          <w:u w:val="single"/>
        </w:rPr>
      </w:pPr>
    </w:p>
    <w:p w:rsidR="007D41F9" w:rsidRPr="00DD694C" w:rsidRDefault="007D41F9" w:rsidP="00B503A7">
      <w:pPr>
        <w:rPr>
          <w:szCs w:val="22"/>
        </w:rPr>
      </w:pPr>
      <w:r w:rsidRPr="00DD694C">
        <w:rPr>
          <w:szCs w:val="22"/>
        </w:rPr>
        <w:t xml:space="preserve">Nežiaduce účinky </w:t>
      </w:r>
      <w:r>
        <w:rPr>
          <w:szCs w:val="22"/>
        </w:rPr>
        <w:t xml:space="preserve">sú </w:t>
      </w:r>
      <w:r w:rsidR="000A123E">
        <w:rPr>
          <w:szCs w:val="22"/>
        </w:rPr>
        <w:t xml:space="preserve">kategorizované </w:t>
      </w:r>
      <w:r w:rsidRPr="00DD694C">
        <w:rPr>
          <w:szCs w:val="22"/>
        </w:rPr>
        <w:t xml:space="preserve">podľa nasledujúcich </w:t>
      </w:r>
      <w:r w:rsidR="00177630">
        <w:rPr>
          <w:szCs w:val="22"/>
        </w:rPr>
        <w:t>frekvencií</w:t>
      </w:r>
      <w:r w:rsidRPr="00DD694C">
        <w:rPr>
          <w:szCs w:val="22"/>
        </w:rPr>
        <w:t>:</w:t>
      </w:r>
    </w:p>
    <w:p w:rsidR="007D41F9" w:rsidRDefault="007D41F9" w:rsidP="00B503A7">
      <w:pPr>
        <w:ind w:left="0" w:firstLine="0"/>
        <w:rPr>
          <w:szCs w:val="22"/>
        </w:rPr>
      </w:pPr>
      <w:r w:rsidRPr="00DD694C">
        <w:rPr>
          <w:szCs w:val="22"/>
        </w:rPr>
        <w:t>veľmi časté (</w:t>
      </w:r>
      <w:r w:rsidRPr="00DD694C">
        <w:rPr>
          <w:szCs w:val="22"/>
        </w:rPr>
        <w:fldChar w:fldCharType="begin"/>
      </w:r>
      <w:r w:rsidRPr="00DD694C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DD694C">
        <w:rPr>
          <w:szCs w:val="22"/>
        </w:rPr>
        <w:fldChar w:fldCharType="separate"/>
      </w:r>
      <w:r w:rsidR="00CF6E29">
        <w:rPr>
          <w:szCs w:val="22"/>
        </w:rPr>
        <w:fldChar w:fldCharType="begin"/>
      </w:r>
      <w:r w:rsidR="00CF6E29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>
        <w:rPr>
          <w:szCs w:val="22"/>
        </w:rPr>
        <w:fldChar w:fldCharType="separate"/>
      </w:r>
      <w:r w:rsidR="00E46201">
        <w:rPr>
          <w:szCs w:val="22"/>
        </w:rPr>
        <w:fldChar w:fldCharType="begin"/>
      </w:r>
      <w:r w:rsidR="00E46201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>
        <w:rPr>
          <w:szCs w:val="22"/>
        </w:rPr>
        <w:fldChar w:fldCharType="separate"/>
      </w:r>
      <w:r w:rsidR="00813893">
        <w:rPr>
          <w:szCs w:val="22"/>
        </w:rPr>
        <w:fldChar w:fldCharType="begin"/>
      </w:r>
      <w:r w:rsidR="00813893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>
        <w:rPr>
          <w:szCs w:val="22"/>
        </w:rPr>
        <w:fldChar w:fldCharType="separate"/>
      </w:r>
      <w:r w:rsidR="00884EC0">
        <w:rPr>
          <w:szCs w:val="22"/>
        </w:rPr>
        <w:fldChar w:fldCharType="begin"/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fldChar w:fldCharType="separate"/>
      </w:r>
      <w:r w:rsidR="00884EC0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EATER-THAN OR EQUAL TO (8805)" style="width:8.75pt;height:8.15pt;mso-wrap-distance-left:1.5pt;mso-wrap-distance-right:1.5pt">
            <v:imagedata r:id="rId9" r:href="rId10"/>
          </v:shape>
        </w:pict>
      </w:r>
      <w:r w:rsidR="00884EC0">
        <w:rPr>
          <w:szCs w:val="22"/>
        </w:rPr>
        <w:fldChar w:fldCharType="end"/>
      </w:r>
      <w:r w:rsidR="00813893">
        <w:rPr>
          <w:szCs w:val="22"/>
        </w:rPr>
        <w:fldChar w:fldCharType="end"/>
      </w:r>
      <w:r w:rsidR="00E46201">
        <w:rPr>
          <w:szCs w:val="22"/>
        </w:rPr>
        <w:fldChar w:fldCharType="end"/>
      </w:r>
      <w:r w:rsidR="00CF6E29">
        <w:rPr>
          <w:szCs w:val="22"/>
        </w:rPr>
        <w:fldChar w:fldCharType="end"/>
      </w:r>
      <w:r w:rsidRPr="00DD694C">
        <w:rPr>
          <w:szCs w:val="22"/>
        </w:rPr>
        <w:fldChar w:fldCharType="end"/>
      </w:r>
      <w:r w:rsidRPr="00DD694C">
        <w:rPr>
          <w:szCs w:val="22"/>
        </w:rPr>
        <w:t> 1/10), časté (</w:t>
      </w:r>
      <w:r w:rsidRPr="00DD694C">
        <w:rPr>
          <w:szCs w:val="22"/>
        </w:rPr>
        <w:fldChar w:fldCharType="begin"/>
      </w:r>
      <w:r w:rsidRPr="00DD694C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DD694C">
        <w:rPr>
          <w:szCs w:val="22"/>
        </w:rPr>
        <w:fldChar w:fldCharType="separate"/>
      </w:r>
      <w:r w:rsidR="00CF6E29">
        <w:rPr>
          <w:szCs w:val="22"/>
        </w:rPr>
        <w:fldChar w:fldCharType="begin"/>
      </w:r>
      <w:r w:rsidR="00CF6E29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>
        <w:rPr>
          <w:szCs w:val="22"/>
        </w:rPr>
        <w:fldChar w:fldCharType="separate"/>
      </w:r>
      <w:r w:rsidR="00E46201">
        <w:rPr>
          <w:szCs w:val="22"/>
        </w:rPr>
        <w:fldChar w:fldCharType="begin"/>
      </w:r>
      <w:r w:rsidR="00E46201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>
        <w:rPr>
          <w:szCs w:val="22"/>
        </w:rPr>
        <w:fldChar w:fldCharType="separate"/>
      </w:r>
      <w:r w:rsidR="00813893">
        <w:rPr>
          <w:szCs w:val="22"/>
        </w:rPr>
        <w:fldChar w:fldCharType="begin"/>
      </w:r>
      <w:r w:rsidR="00813893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>
        <w:rPr>
          <w:szCs w:val="22"/>
        </w:rPr>
        <w:fldChar w:fldCharType="separate"/>
      </w:r>
      <w:r w:rsidR="00884EC0">
        <w:rPr>
          <w:szCs w:val="22"/>
        </w:rPr>
        <w:fldChar w:fldCharType="begin"/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fldChar w:fldCharType="separate"/>
      </w:r>
      <w:r w:rsidR="00884EC0">
        <w:rPr>
          <w:szCs w:val="22"/>
        </w:rPr>
        <w:pict>
          <v:shape id="_x0000_i1026" type="#_x0000_t75" alt="GREATER-THAN OR EQUAL TO (8805)" style="width:8.75pt;height:8.75pt;mso-wrap-distance-left:1.5pt;mso-wrap-distance-right:1.5pt">
            <v:imagedata r:id="rId9" r:href="rId11"/>
          </v:shape>
        </w:pict>
      </w:r>
      <w:r w:rsidR="00884EC0">
        <w:rPr>
          <w:szCs w:val="22"/>
        </w:rPr>
        <w:fldChar w:fldCharType="end"/>
      </w:r>
      <w:r w:rsidR="00813893">
        <w:rPr>
          <w:szCs w:val="22"/>
        </w:rPr>
        <w:fldChar w:fldCharType="end"/>
      </w:r>
      <w:r w:rsidR="00E46201">
        <w:rPr>
          <w:szCs w:val="22"/>
        </w:rPr>
        <w:fldChar w:fldCharType="end"/>
      </w:r>
      <w:r w:rsidR="00CF6E29">
        <w:rPr>
          <w:szCs w:val="22"/>
        </w:rPr>
        <w:fldChar w:fldCharType="end"/>
      </w:r>
      <w:r w:rsidRPr="00DD694C">
        <w:rPr>
          <w:szCs w:val="22"/>
        </w:rPr>
        <w:fldChar w:fldCharType="end"/>
      </w:r>
      <w:r w:rsidRPr="00DD694C">
        <w:rPr>
          <w:szCs w:val="22"/>
        </w:rPr>
        <w:t>1/100 a</w:t>
      </w:r>
      <w:r>
        <w:rPr>
          <w:szCs w:val="22"/>
        </w:rPr>
        <w:t>ž</w:t>
      </w:r>
      <w:r w:rsidRPr="00DD694C">
        <w:rPr>
          <w:szCs w:val="22"/>
        </w:rPr>
        <w:t xml:space="preserve"> &lt; 1/10), menej časté (</w:t>
      </w:r>
      <w:r w:rsidRPr="00DD694C">
        <w:rPr>
          <w:szCs w:val="22"/>
        </w:rPr>
        <w:fldChar w:fldCharType="begin"/>
      </w:r>
      <w:r w:rsidRPr="00DD694C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DD694C">
        <w:rPr>
          <w:szCs w:val="22"/>
        </w:rPr>
        <w:fldChar w:fldCharType="separate"/>
      </w:r>
      <w:r w:rsidR="00CF6E29">
        <w:rPr>
          <w:szCs w:val="22"/>
        </w:rPr>
        <w:fldChar w:fldCharType="begin"/>
      </w:r>
      <w:r w:rsidR="00CF6E29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>
        <w:rPr>
          <w:szCs w:val="22"/>
        </w:rPr>
        <w:fldChar w:fldCharType="separate"/>
      </w:r>
      <w:r w:rsidR="00E46201">
        <w:rPr>
          <w:szCs w:val="22"/>
        </w:rPr>
        <w:fldChar w:fldCharType="begin"/>
      </w:r>
      <w:r w:rsidR="00E46201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>
        <w:rPr>
          <w:szCs w:val="22"/>
        </w:rPr>
        <w:fldChar w:fldCharType="separate"/>
      </w:r>
      <w:r w:rsidR="00813893">
        <w:rPr>
          <w:szCs w:val="22"/>
        </w:rPr>
        <w:fldChar w:fldCharType="begin"/>
      </w:r>
      <w:r w:rsidR="00813893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>
        <w:rPr>
          <w:szCs w:val="22"/>
        </w:rPr>
        <w:fldChar w:fldCharType="separate"/>
      </w:r>
      <w:r w:rsidR="00884EC0">
        <w:rPr>
          <w:szCs w:val="22"/>
        </w:rPr>
        <w:fldChar w:fldCharType="begin"/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fldChar w:fldCharType="separate"/>
      </w:r>
      <w:r w:rsidR="00884EC0">
        <w:rPr>
          <w:szCs w:val="22"/>
        </w:rPr>
        <w:pict>
          <v:shape id="_x0000_i1027" type="#_x0000_t75" alt="GREATER-THAN OR EQUAL TO (8805)" style="width:8.75pt;height:8.75pt;mso-wrap-distance-left:1.5pt;mso-wrap-distance-right:1.5pt">
            <v:imagedata r:id="rId9" r:href="rId12"/>
          </v:shape>
        </w:pict>
      </w:r>
      <w:r w:rsidR="00884EC0">
        <w:rPr>
          <w:szCs w:val="22"/>
        </w:rPr>
        <w:fldChar w:fldCharType="end"/>
      </w:r>
      <w:r w:rsidR="00813893">
        <w:rPr>
          <w:szCs w:val="22"/>
        </w:rPr>
        <w:fldChar w:fldCharType="end"/>
      </w:r>
      <w:r w:rsidR="00E46201">
        <w:rPr>
          <w:szCs w:val="22"/>
        </w:rPr>
        <w:fldChar w:fldCharType="end"/>
      </w:r>
      <w:r w:rsidR="00CF6E29">
        <w:rPr>
          <w:szCs w:val="22"/>
        </w:rPr>
        <w:fldChar w:fldCharType="end"/>
      </w:r>
      <w:r w:rsidRPr="00DD694C">
        <w:rPr>
          <w:szCs w:val="22"/>
        </w:rPr>
        <w:fldChar w:fldCharType="end"/>
      </w:r>
      <w:r w:rsidRPr="00DD694C">
        <w:rPr>
          <w:szCs w:val="22"/>
        </w:rPr>
        <w:t> 1/1000 a</w:t>
      </w:r>
      <w:r>
        <w:rPr>
          <w:szCs w:val="22"/>
        </w:rPr>
        <w:t>ž</w:t>
      </w:r>
      <w:r w:rsidRPr="00DD694C">
        <w:rPr>
          <w:szCs w:val="22"/>
        </w:rPr>
        <w:t xml:space="preserve"> &lt; 1/100), zriedkavé (</w:t>
      </w:r>
      <w:r w:rsidRPr="00DD694C">
        <w:rPr>
          <w:szCs w:val="22"/>
        </w:rPr>
        <w:fldChar w:fldCharType="begin"/>
      </w:r>
      <w:r w:rsidRPr="00DD694C">
        <w:rPr>
          <w:szCs w:val="22"/>
        </w:rPr>
        <w:instrText xml:space="preserve"> INCLUDEPICTURE "http://emc.medicines.org.uk/emc/assets/c/html/DisplayImage.asp?Ref=09000/09043/SPC.9043.10.xml&amp;Key=/emc/assets/o/images/entities/GREATER-THAN_OR_EQUAL_TO.gif" \* MERGEFORMATINET </w:instrText>
      </w:r>
      <w:r w:rsidRPr="00DD694C">
        <w:rPr>
          <w:szCs w:val="22"/>
        </w:rPr>
        <w:fldChar w:fldCharType="separate"/>
      </w:r>
      <w:r w:rsidR="00CF6E29">
        <w:rPr>
          <w:szCs w:val="22"/>
        </w:rPr>
        <w:fldChar w:fldCharType="begin"/>
      </w:r>
      <w:r w:rsidR="00CF6E29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CF6E29">
        <w:rPr>
          <w:szCs w:val="22"/>
        </w:rPr>
        <w:fldChar w:fldCharType="separate"/>
      </w:r>
      <w:r w:rsidR="00E46201">
        <w:rPr>
          <w:szCs w:val="22"/>
        </w:rPr>
        <w:fldChar w:fldCharType="begin"/>
      </w:r>
      <w:r w:rsidR="00E46201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E46201">
        <w:rPr>
          <w:szCs w:val="22"/>
        </w:rPr>
        <w:fldChar w:fldCharType="separate"/>
      </w:r>
      <w:r w:rsidR="00813893">
        <w:rPr>
          <w:szCs w:val="22"/>
        </w:rPr>
        <w:fldChar w:fldCharType="begin"/>
      </w:r>
      <w:r w:rsidR="00813893">
        <w:rPr>
          <w:szCs w:val="22"/>
        </w:rPr>
        <w:instrText xml:space="preserve"> INCLUDEPICTURE  "http://emc.medicines.org.uk/emc/assets/c/html/DisplayImage.asp?Ref=09000/09043/SPC.9043.10.xml&amp;Key=/emc/assets/o/images/entities/GREATER-THAN_OR_EQUAL_TO.gif" \* MERGEFORMATINET </w:instrText>
      </w:r>
      <w:r w:rsidR="00813893">
        <w:rPr>
          <w:szCs w:val="22"/>
        </w:rPr>
        <w:fldChar w:fldCharType="separate"/>
      </w:r>
      <w:r w:rsidR="00884EC0">
        <w:rPr>
          <w:szCs w:val="22"/>
        </w:rPr>
        <w:fldChar w:fldCharType="begin"/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instrText>INCLUDEPICTURE  "http://emc.medicines.org.uk/emc/assets/c/html/DisplayImage.asp?Ref=09000/09043/SPC.9043.10.xml&amp;Key=/emc/assets/o/images/entities/GREATER-THAN_OR_EQUAL_TO.gif" \* MERGEFORMATINET</w:instrText>
      </w:r>
      <w:r w:rsidR="00884EC0">
        <w:rPr>
          <w:szCs w:val="22"/>
        </w:rPr>
        <w:instrText xml:space="preserve"> </w:instrText>
      </w:r>
      <w:r w:rsidR="00884EC0">
        <w:rPr>
          <w:szCs w:val="22"/>
        </w:rPr>
        <w:fldChar w:fldCharType="separate"/>
      </w:r>
      <w:r w:rsidR="00884EC0">
        <w:rPr>
          <w:szCs w:val="22"/>
        </w:rPr>
        <w:pict>
          <v:shape id="_x0000_i1028" type="#_x0000_t75" alt="GREATER-THAN OR EQUAL TO (8805)" style="width:8.75pt;height:8.75pt;mso-wrap-distance-left:1.5pt;mso-wrap-distance-right:1.5pt">
            <v:imagedata r:id="rId9" r:href="rId13"/>
          </v:shape>
        </w:pict>
      </w:r>
      <w:r w:rsidR="00884EC0">
        <w:rPr>
          <w:szCs w:val="22"/>
        </w:rPr>
        <w:fldChar w:fldCharType="end"/>
      </w:r>
      <w:r w:rsidR="00813893">
        <w:rPr>
          <w:szCs w:val="22"/>
        </w:rPr>
        <w:fldChar w:fldCharType="end"/>
      </w:r>
      <w:r w:rsidR="00E46201">
        <w:rPr>
          <w:szCs w:val="22"/>
        </w:rPr>
        <w:fldChar w:fldCharType="end"/>
      </w:r>
      <w:r w:rsidR="00CF6E29">
        <w:rPr>
          <w:szCs w:val="22"/>
        </w:rPr>
        <w:fldChar w:fldCharType="end"/>
      </w:r>
      <w:r w:rsidRPr="00DD694C">
        <w:rPr>
          <w:szCs w:val="22"/>
        </w:rPr>
        <w:fldChar w:fldCharType="end"/>
      </w:r>
      <w:r w:rsidRPr="00DD694C">
        <w:rPr>
          <w:szCs w:val="22"/>
        </w:rPr>
        <w:t> 1/10</w:t>
      </w:r>
      <w:r>
        <w:rPr>
          <w:szCs w:val="22"/>
        </w:rPr>
        <w:t xml:space="preserve"> </w:t>
      </w:r>
      <w:r w:rsidRPr="00DD694C">
        <w:rPr>
          <w:szCs w:val="22"/>
        </w:rPr>
        <w:t xml:space="preserve">000 </w:t>
      </w:r>
      <w:r>
        <w:rPr>
          <w:szCs w:val="22"/>
        </w:rPr>
        <w:t>až</w:t>
      </w:r>
      <w:r w:rsidRPr="00DD694C">
        <w:rPr>
          <w:szCs w:val="22"/>
        </w:rPr>
        <w:t xml:space="preserve"> &lt; 1/1000), veľmi zriedkavé (&lt; 1/10</w:t>
      </w:r>
      <w:r>
        <w:rPr>
          <w:szCs w:val="22"/>
        </w:rPr>
        <w:t xml:space="preserve"> </w:t>
      </w:r>
      <w:r w:rsidRPr="00DD694C">
        <w:rPr>
          <w:szCs w:val="22"/>
        </w:rPr>
        <w:t xml:space="preserve">000) a neznáme (nie je možné ich odhadnúť z dostupných údajov). </w:t>
      </w:r>
    </w:p>
    <w:p w:rsidR="007D41F9" w:rsidRDefault="007D41F9" w:rsidP="00B503A7">
      <w:pPr>
        <w:ind w:left="0" w:firstLine="0"/>
        <w:rPr>
          <w:szCs w:val="22"/>
        </w:rPr>
      </w:pPr>
    </w:p>
    <w:p w:rsidR="007D41F9" w:rsidRDefault="007D41F9" w:rsidP="00B503A7">
      <w:pPr>
        <w:ind w:left="0" w:firstLine="0"/>
        <w:rPr>
          <w:szCs w:val="22"/>
        </w:rPr>
      </w:pPr>
      <w:r w:rsidRPr="00DD694C">
        <w:rPr>
          <w:szCs w:val="22"/>
        </w:rPr>
        <w:t xml:space="preserve">Frekvencie </w:t>
      </w:r>
      <w:r w:rsidR="000A123E">
        <w:rPr>
          <w:szCs w:val="22"/>
        </w:rPr>
        <w:t>pre udalosti hlásené po uvedení lieku na trh</w:t>
      </w:r>
      <w:r w:rsidRPr="00DD694C">
        <w:rPr>
          <w:szCs w:val="22"/>
        </w:rPr>
        <w:t xml:space="preserve"> nie sú známe.</w:t>
      </w:r>
    </w:p>
    <w:p w:rsidR="004B098C" w:rsidRPr="00DD694C" w:rsidRDefault="004B098C" w:rsidP="00B503A7">
      <w:pPr>
        <w:ind w:left="0" w:firstLine="0"/>
        <w:rPr>
          <w:szCs w:val="22"/>
        </w:rPr>
      </w:pPr>
    </w:p>
    <w:p w:rsidR="004B098C" w:rsidRPr="0028439B" w:rsidRDefault="004B098C" w:rsidP="004B098C">
      <w:pPr>
        <w:rPr>
          <w:i/>
        </w:rPr>
      </w:pPr>
      <w:r w:rsidRPr="0028439B">
        <w:rPr>
          <w:i/>
        </w:rPr>
        <w:t>Infekcie a</w:t>
      </w:r>
      <w:r w:rsidR="0028439B">
        <w:rPr>
          <w:i/>
        </w:rPr>
        <w:t> </w:t>
      </w:r>
      <w:r w:rsidRPr="0028439B">
        <w:rPr>
          <w:i/>
        </w:rPr>
        <w:t>nákazy</w:t>
      </w:r>
      <w:r w:rsidR="0028439B">
        <w:rPr>
          <w:i/>
        </w:rPr>
        <w:t>:</w:t>
      </w:r>
    </w:p>
    <w:p w:rsidR="007D41F9" w:rsidRDefault="004B098C" w:rsidP="004B098C">
      <w:r w:rsidRPr="0028439B">
        <w:t>Neznáme:</w:t>
      </w:r>
      <w:r w:rsidRPr="007E5546">
        <w:t xml:space="preserve"> herpetická keratitída</w:t>
      </w:r>
    </w:p>
    <w:p w:rsidR="004B098C" w:rsidRDefault="004B098C" w:rsidP="004B098C">
      <w:pPr>
        <w:rPr>
          <w:i/>
          <w:color w:val="008000"/>
        </w:rPr>
      </w:pPr>
    </w:p>
    <w:p w:rsidR="0028439B" w:rsidRDefault="0028439B" w:rsidP="007D41F9">
      <w:pPr>
        <w:jc w:val="both"/>
        <w:rPr>
          <w:i/>
          <w:szCs w:val="22"/>
        </w:rPr>
      </w:pPr>
      <w:r>
        <w:rPr>
          <w:i/>
          <w:szCs w:val="22"/>
        </w:rPr>
        <w:t>Poruchy nervového systému:</w:t>
      </w:r>
    </w:p>
    <w:p w:rsidR="0028439B" w:rsidRPr="0028439B" w:rsidRDefault="0028439B" w:rsidP="007D41F9">
      <w:pPr>
        <w:jc w:val="both"/>
        <w:rPr>
          <w:szCs w:val="22"/>
        </w:rPr>
      </w:pPr>
      <w:r w:rsidRPr="0011400A">
        <w:t>Neznáme:</w:t>
      </w:r>
      <w:r>
        <w:t xml:space="preserve"> bolesť hlavy, závrat</w:t>
      </w:r>
    </w:p>
    <w:p w:rsidR="0028439B" w:rsidRDefault="0028439B" w:rsidP="007D41F9">
      <w:pPr>
        <w:jc w:val="both"/>
        <w:rPr>
          <w:i/>
          <w:szCs w:val="22"/>
          <w:u w:val="single"/>
        </w:rPr>
      </w:pPr>
    </w:p>
    <w:p w:rsidR="007D41F9" w:rsidRPr="0028439B" w:rsidRDefault="007D41F9" w:rsidP="007D41F9">
      <w:pPr>
        <w:jc w:val="both"/>
        <w:rPr>
          <w:i/>
          <w:szCs w:val="22"/>
        </w:rPr>
      </w:pPr>
      <w:r w:rsidRPr="0028439B">
        <w:rPr>
          <w:i/>
          <w:szCs w:val="22"/>
        </w:rPr>
        <w:t>Poruchy oka</w:t>
      </w:r>
      <w:r w:rsidR="005B3AD4">
        <w:rPr>
          <w:i/>
          <w:szCs w:val="22"/>
        </w:rPr>
        <w:t>:</w:t>
      </w:r>
    </w:p>
    <w:p w:rsidR="007D41F9" w:rsidRDefault="007D41F9" w:rsidP="00A6143E">
      <w:pPr>
        <w:ind w:left="0" w:firstLine="0"/>
        <w:rPr>
          <w:szCs w:val="22"/>
        </w:rPr>
      </w:pPr>
      <w:r w:rsidRPr="0028439B">
        <w:rPr>
          <w:szCs w:val="22"/>
        </w:rPr>
        <w:t>Veľmi časté: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>zvýšená pigmentácia dúhovky</w:t>
      </w:r>
      <w:r>
        <w:rPr>
          <w:szCs w:val="22"/>
        </w:rPr>
        <w:t>,</w:t>
      </w:r>
      <w:r w:rsidRPr="003754A9">
        <w:rPr>
          <w:szCs w:val="22"/>
        </w:rPr>
        <w:t xml:space="preserve"> </w:t>
      </w:r>
      <w:r>
        <w:rPr>
          <w:szCs w:val="22"/>
        </w:rPr>
        <w:t>s</w:t>
      </w:r>
      <w:r w:rsidRPr="00DD694C">
        <w:rPr>
          <w:szCs w:val="22"/>
        </w:rPr>
        <w:t>lab</w:t>
      </w:r>
      <w:r>
        <w:rPr>
          <w:szCs w:val="22"/>
        </w:rPr>
        <w:t>á</w:t>
      </w:r>
      <w:r w:rsidRPr="00DD694C">
        <w:rPr>
          <w:szCs w:val="22"/>
        </w:rPr>
        <w:t xml:space="preserve"> až miern</w:t>
      </w:r>
      <w:r>
        <w:rPr>
          <w:szCs w:val="22"/>
        </w:rPr>
        <w:t>a</w:t>
      </w:r>
      <w:r w:rsidRPr="00DD694C">
        <w:rPr>
          <w:szCs w:val="22"/>
        </w:rPr>
        <w:t xml:space="preserve"> konju</w:t>
      </w:r>
      <w:r>
        <w:rPr>
          <w:szCs w:val="22"/>
        </w:rPr>
        <w:t>n</w:t>
      </w:r>
      <w:r w:rsidRPr="00DD694C">
        <w:rPr>
          <w:szCs w:val="22"/>
        </w:rPr>
        <w:t>kt</w:t>
      </w:r>
      <w:r>
        <w:rPr>
          <w:szCs w:val="22"/>
        </w:rPr>
        <w:t>i</w:t>
      </w:r>
      <w:r w:rsidRPr="00DD694C">
        <w:rPr>
          <w:szCs w:val="22"/>
        </w:rPr>
        <w:t>v</w:t>
      </w:r>
      <w:r>
        <w:rPr>
          <w:szCs w:val="22"/>
        </w:rPr>
        <w:t>ál</w:t>
      </w:r>
      <w:r w:rsidRPr="00DD694C">
        <w:rPr>
          <w:szCs w:val="22"/>
        </w:rPr>
        <w:t xml:space="preserve">na </w:t>
      </w:r>
      <w:r w:rsidRPr="0086372C">
        <w:rPr>
          <w:szCs w:val="22"/>
        </w:rPr>
        <w:t>hyperémia,</w:t>
      </w:r>
      <w:r>
        <w:rPr>
          <w:szCs w:val="22"/>
        </w:rPr>
        <w:t xml:space="preserve"> podráždenie </w:t>
      </w:r>
      <w:r w:rsidRPr="003F130F">
        <w:rPr>
          <w:szCs w:val="22"/>
        </w:rPr>
        <w:t xml:space="preserve">oka (pálenie, pocit piesku v očiach, svrbenie, pichanie a pocit cudzieho </w:t>
      </w:r>
      <w:r>
        <w:rPr>
          <w:szCs w:val="22"/>
        </w:rPr>
        <w:t>telieska</w:t>
      </w:r>
      <w:r w:rsidRPr="003F130F">
        <w:rPr>
          <w:szCs w:val="22"/>
        </w:rPr>
        <w:t xml:space="preserve"> v oku); zmeny očných rias a jemných chĺpkov</w:t>
      </w:r>
      <w:r>
        <w:rPr>
          <w:szCs w:val="22"/>
        </w:rPr>
        <w:t xml:space="preserve"> (</w:t>
      </w:r>
      <w:r w:rsidRPr="003F130F">
        <w:rPr>
          <w:szCs w:val="22"/>
        </w:rPr>
        <w:t>predĺženie</w:t>
      </w:r>
      <w:r>
        <w:rPr>
          <w:szCs w:val="22"/>
        </w:rPr>
        <w:t>,</w:t>
      </w:r>
      <w:r w:rsidRPr="003F130F">
        <w:rPr>
          <w:szCs w:val="22"/>
        </w:rPr>
        <w:t xml:space="preserve"> zhrubnutie, stmavnutie, zvýšenie počtu rias) (prevažná väčšina hlásení </w:t>
      </w:r>
      <w:r w:rsidR="00816AD1">
        <w:rPr>
          <w:szCs w:val="22"/>
        </w:rPr>
        <w:t xml:space="preserve">bola </w:t>
      </w:r>
      <w:r w:rsidRPr="003F130F">
        <w:rPr>
          <w:szCs w:val="22"/>
        </w:rPr>
        <w:t>u japonskej populácie)</w:t>
      </w:r>
      <w:r>
        <w:rPr>
          <w:szCs w:val="22"/>
        </w:rPr>
        <w:t>.</w:t>
      </w:r>
    </w:p>
    <w:p w:rsidR="007D41F9" w:rsidRDefault="007D41F9" w:rsidP="00A6143E">
      <w:pPr>
        <w:ind w:left="0" w:firstLine="0"/>
        <w:rPr>
          <w:szCs w:val="22"/>
        </w:rPr>
      </w:pPr>
      <w:r w:rsidRPr="0028439B">
        <w:rPr>
          <w:szCs w:val="22"/>
        </w:rPr>
        <w:t>Časté:</w:t>
      </w:r>
      <w:r w:rsidRPr="003754A9">
        <w:rPr>
          <w:i/>
          <w:szCs w:val="22"/>
        </w:rPr>
        <w:t xml:space="preserve"> </w:t>
      </w:r>
      <w:r>
        <w:rPr>
          <w:szCs w:val="22"/>
        </w:rPr>
        <w:t>p</w:t>
      </w:r>
      <w:r w:rsidRPr="003F130F">
        <w:rPr>
          <w:szCs w:val="22"/>
        </w:rPr>
        <w:t xml:space="preserve">rechodné bodkovité </w:t>
      </w:r>
      <w:r w:rsidRPr="003F130F">
        <w:rPr>
          <w:iCs/>
          <w:szCs w:val="22"/>
        </w:rPr>
        <w:t>epitelové erózie</w:t>
      </w:r>
      <w:r w:rsidRPr="003F130F">
        <w:rPr>
          <w:szCs w:val="22"/>
        </w:rPr>
        <w:t>, väčšinou bez symptómov</w:t>
      </w:r>
      <w:r w:rsidR="00080ABE">
        <w:rPr>
          <w:szCs w:val="22"/>
        </w:rPr>
        <w:t>;</w:t>
      </w:r>
      <w:r w:rsidRPr="003F130F">
        <w:rPr>
          <w:szCs w:val="22"/>
        </w:rPr>
        <w:t xml:space="preserve"> blefaritída</w:t>
      </w:r>
      <w:r w:rsidR="00080ABE">
        <w:rPr>
          <w:szCs w:val="22"/>
        </w:rPr>
        <w:t>;</w:t>
      </w:r>
      <w:r w:rsidRPr="003F130F">
        <w:rPr>
          <w:szCs w:val="22"/>
        </w:rPr>
        <w:t xml:space="preserve"> bolesť oka</w:t>
      </w:r>
      <w:r w:rsidR="00080ABE">
        <w:rPr>
          <w:szCs w:val="22"/>
        </w:rPr>
        <w:t>, fotofóbia</w:t>
      </w:r>
      <w:r w:rsidRPr="003754A9">
        <w:rPr>
          <w:szCs w:val="22"/>
        </w:rPr>
        <w:t>.</w:t>
      </w:r>
    </w:p>
    <w:p w:rsidR="007D41F9" w:rsidRDefault="007D41F9" w:rsidP="00A6143E">
      <w:pPr>
        <w:rPr>
          <w:szCs w:val="22"/>
        </w:rPr>
      </w:pPr>
      <w:r w:rsidRPr="00080ABE">
        <w:rPr>
          <w:szCs w:val="22"/>
        </w:rPr>
        <w:t>Menej časté: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>e</w:t>
      </w:r>
      <w:r w:rsidRPr="003F130F">
        <w:rPr>
          <w:szCs w:val="22"/>
        </w:rPr>
        <w:t>dém viečka</w:t>
      </w:r>
      <w:r>
        <w:rPr>
          <w:szCs w:val="22"/>
        </w:rPr>
        <w:t>,</w:t>
      </w:r>
      <w:r w:rsidRPr="003F130F">
        <w:rPr>
          <w:szCs w:val="22"/>
        </w:rPr>
        <w:t xml:space="preserve"> suché oči</w:t>
      </w:r>
      <w:r>
        <w:rPr>
          <w:szCs w:val="22"/>
        </w:rPr>
        <w:t>,</w:t>
      </w:r>
      <w:r w:rsidRPr="003F130F">
        <w:rPr>
          <w:szCs w:val="22"/>
        </w:rPr>
        <w:t xml:space="preserve"> keratitída; rozmazané videnie</w:t>
      </w:r>
      <w:r>
        <w:rPr>
          <w:szCs w:val="22"/>
        </w:rPr>
        <w:t>,</w:t>
      </w:r>
      <w:r w:rsidRPr="003F130F">
        <w:rPr>
          <w:szCs w:val="22"/>
        </w:rPr>
        <w:t xml:space="preserve"> konjunktivitída</w:t>
      </w:r>
      <w:r>
        <w:rPr>
          <w:szCs w:val="22"/>
        </w:rPr>
        <w:t>.</w:t>
      </w:r>
      <w:r w:rsidRPr="003754A9">
        <w:rPr>
          <w:szCs w:val="22"/>
        </w:rPr>
        <w:t xml:space="preserve"> </w:t>
      </w:r>
    </w:p>
    <w:p w:rsidR="007D41F9" w:rsidRDefault="007D41F9" w:rsidP="006C5EA3">
      <w:pPr>
        <w:ind w:left="0" w:firstLine="0"/>
        <w:rPr>
          <w:szCs w:val="22"/>
        </w:rPr>
      </w:pPr>
      <w:r w:rsidRPr="00080ABE">
        <w:rPr>
          <w:szCs w:val="22"/>
        </w:rPr>
        <w:lastRenderedPageBreak/>
        <w:t>Zriedkavé: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>iritída</w:t>
      </w:r>
      <w:r>
        <w:rPr>
          <w:szCs w:val="22"/>
        </w:rPr>
        <w:t>,</w:t>
      </w:r>
      <w:r w:rsidRPr="003754A9">
        <w:rPr>
          <w:szCs w:val="22"/>
        </w:rPr>
        <w:t xml:space="preserve"> uveitída</w:t>
      </w:r>
      <w:r>
        <w:rPr>
          <w:szCs w:val="22"/>
        </w:rPr>
        <w:t xml:space="preserve"> (</w:t>
      </w:r>
      <w:r w:rsidRPr="003F130F">
        <w:rPr>
          <w:szCs w:val="22"/>
        </w:rPr>
        <w:t>väčšina hlásení u pacientov so známou predispozíciou rizikových faktorov); makulárny edém; symptomatický korneálny edém a erózi</w:t>
      </w:r>
      <w:r w:rsidR="00080ABE">
        <w:rPr>
          <w:szCs w:val="22"/>
        </w:rPr>
        <w:t>e</w:t>
      </w:r>
      <w:r w:rsidRPr="003F130F">
        <w:rPr>
          <w:szCs w:val="22"/>
        </w:rPr>
        <w:t>; periorbitálny edém; zlým smerom rastúce očné riasy spôsobujúce podráždenie oka; dvojitý ciliárny rad pri otvorení Meibomových žľiaz (distichiáza</w:t>
      </w:r>
      <w:r w:rsidR="004B098C" w:rsidRPr="003F130F">
        <w:rPr>
          <w:szCs w:val="22"/>
        </w:rPr>
        <w:t>)</w:t>
      </w:r>
      <w:r w:rsidR="00080ABE">
        <w:rPr>
          <w:szCs w:val="22"/>
        </w:rPr>
        <w:t>.</w:t>
      </w:r>
    </w:p>
    <w:p w:rsidR="004B098C" w:rsidRDefault="004B098C" w:rsidP="006C5EA3">
      <w:r w:rsidRPr="00080ABE">
        <w:t>Veľmi zriedkavé:</w:t>
      </w:r>
      <w:r w:rsidRPr="007E5546">
        <w:rPr>
          <w:i/>
        </w:rPr>
        <w:t xml:space="preserve"> </w:t>
      </w:r>
      <w:r w:rsidRPr="007E5546">
        <w:t>periorbitálne zmeny a zmeny mihalníc vedúce k</w:t>
      </w:r>
      <w:r w:rsidR="00080ABE">
        <w:t> </w:t>
      </w:r>
      <w:r w:rsidRPr="007E5546">
        <w:t>preh</w:t>
      </w:r>
      <w:r w:rsidR="00080ABE">
        <w:t>ĺbeniu sulcu horného</w:t>
      </w:r>
      <w:r w:rsidR="00A6143E">
        <w:t xml:space="preserve"> </w:t>
      </w:r>
      <w:r w:rsidR="00080ABE">
        <w:t>viečka.</w:t>
      </w:r>
      <w:r w:rsidRPr="007E5546">
        <w:t xml:space="preserve"> </w:t>
      </w:r>
    </w:p>
    <w:p w:rsidR="004B098C" w:rsidRPr="003754A9" w:rsidRDefault="004B098C" w:rsidP="006C5EA3">
      <w:pPr>
        <w:ind w:left="0" w:firstLine="0"/>
        <w:rPr>
          <w:szCs w:val="22"/>
        </w:rPr>
      </w:pPr>
      <w:r w:rsidRPr="00080ABE">
        <w:t>Neznáme:</w:t>
      </w:r>
      <w:r w:rsidRPr="007E5546">
        <w:rPr>
          <w:i/>
        </w:rPr>
        <w:t xml:space="preserve"> </w:t>
      </w:r>
      <w:r w:rsidRPr="007E5546">
        <w:t>cysta dúhovky</w:t>
      </w:r>
    </w:p>
    <w:p w:rsidR="007D41F9" w:rsidRDefault="007D41F9" w:rsidP="006C5EA3">
      <w:pPr>
        <w:rPr>
          <w:i/>
          <w:color w:val="008000"/>
        </w:rPr>
      </w:pPr>
    </w:p>
    <w:p w:rsidR="007D41F9" w:rsidRPr="0028439B" w:rsidRDefault="007D41F9" w:rsidP="006C5EA3">
      <w:pPr>
        <w:rPr>
          <w:i/>
          <w:szCs w:val="22"/>
        </w:rPr>
      </w:pPr>
      <w:r w:rsidRPr="0028439B">
        <w:rPr>
          <w:i/>
          <w:szCs w:val="22"/>
        </w:rPr>
        <w:t>Poruchy srdca a srdcovej činnosti</w:t>
      </w:r>
      <w:r w:rsidR="0028439B">
        <w:rPr>
          <w:i/>
          <w:szCs w:val="22"/>
        </w:rPr>
        <w:t>:</w:t>
      </w:r>
    </w:p>
    <w:p w:rsidR="007D41F9" w:rsidRPr="003754A9" w:rsidRDefault="007D41F9" w:rsidP="006C5EA3">
      <w:pPr>
        <w:rPr>
          <w:szCs w:val="22"/>
        </w:rPr>
      </w:pPr>
      <w:r w:rsidRPr="00080ABE">
        <w:rPr>
          <w:szCs w:val="22"/>
        </w:rPr>
        <w:t>Veľmi zriedkavé:</w:t>
      </w:r>
      <w:r w:rsidRPr="003754A9">
        <w:rPr>
          <w:i/>
          <w:szCs w:val="22"/>
        </w:rPr>
        <w:t xml:space="preserve"> </w:t>
      </w:r>
      <w:r w:rsidR="00080ABE" w:rsidRPr="00872FFC">
        <w:rPr>
          <w:szCs w:val="22"/>
        </w:rPr>
        <w:t>nestabilná</w:t>
      </w:r>
      <w:r w:rsidRPr="003754A9">
        <w:rPr>
          <w:szCs w:val="22"/>
        </w:rPr>
        <w:t xml:space="preserve"> angín</w:t>
      </w:r>
      <w:r w:rsidR="00080ABE">
        <w:rPr>
          <w:szCs w:val="22"/>
        </w:rPr>
        <w:t>a</w:t>
      </w:r>
      <w:r w:rsidRPr="003754A9">
        <w:rPr>
          <w:szCs w:val="22"/>
        </w:rPr>
        <w:t xml:space="preserve"> </w:t>
      </w:r>
      <w:r>
        <w:rPr>
          <w:szCs w:val="22"/>
        </w:rPr>
        <w:t>pe</w:t>
      </w:r>
      <w:r w:rsidR="001D1417">
        <w:rPr>
          <w:szCs w:val="22"/>
        </w:rPr>
        <w:t>k</w:t>
      </w:r>
      <w:r>
        <w:rPr>
          <w:szCs w:val="22"/>
        </w:rPr>
        <w:t>toris</w:t>
      </w:r>
    </w:p>
    <w:p w:rsidR="007D41F9" w:rsidRDefault="00080ABE" w:rsidP="006C5EA3">
      <w:pPr>
        <w:rPr>
          <w:szCs w:val="22"/>
        </w:rPr>
      </w:pPr>
      <w:r>
        <w:rPr>
          <w:szCs w:val="22"/>
        </w:rPr>
        <w:t>Neznáme: palpitácie</w:t>
      </w:r>
    </w:p>
    <w:p w:rsidR="00080ABE" w:rsidRPr="003754A9" w:rsidRDefault="00080ABE" w:rsidP="006C5EA3">
      <w:pPr>
        <w:rPr>
          <w:szCs w:val="22"/>
        </w:rPr>
      </w:pPr>
    </w:p>
    <w:p w:rsidR="007D41F9" w:rsidRPr="0028439B" w:rsidRDefault="007D41F9" w:rsidP="006C5EA3">
      <w:pPr>
        <w:rPr>
          <w:i/>
          <w:szCs w:val="22"/>
        </w:rPr>
      </w:pPr>
      <w:r w:rsidRPr="0028439B">
        <w:rPr>
          <w:i/>
          <w:szCs w:val="22"/>
        </w:rPr>
        <w:t>Poruchy dýchacej sústavy, hrudníka a</w:t>
      </w:r>
      <w:r w:rsidR="0028439B">
        <w:rPr>
          <w:i/>
          <w:szCs w:val="22"/>
        </w:rPr>
        <w:t> </w:t>
      </w:r>
      <w:r w:rsidRPr="0028439B">
        <w:rPr>
          <w:i/>
          <w:szCs w:val="22"/>
        </w:rPr>
        <w:t>mediast</w:t>
      </w:r>
      <w:r w:rsidR="0028439B" w:rsidRPr="0028439B">
        <w:rPr>
          <w:i/>
          <w:szCs w:val="22"/>
        </w:rPr>
        <w:t>í</w:t>
      </w:r>
      <w:r w:rsidRPr="0028439B">
        <w:rPr>
          <w:i/>
          <w:szCs w:val="22"/>
        </w:rPr>
        <w:t>na</w:t>
      </w:r>
      <w:r w:rsidR="0028439B">
        <w:rPr>
          <w:i/>
          <w:szCs w:val="22"/>
        </w:rPr>
        <w:t>:</w:t>
      </w:r>
    </w:p>
    <w:p w:rsidR="007D41F9" w:rsidRPr="003754A9" w:rsidRDefault="007D41F9" w:rsidP="006C5EA3">
      <w:pPr>
        <w:rPr>
          <w:szCs w:val="22"/>
        </w:rPr>
      </w:pPr>
      <w:r w:rsidRPr="00080ABE">
        <w:rPr>
          <w:szCs w:val="22"/>
        </w:rPr>
        <w:t>Zriedkavé: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>astma, zhoršenie astmy a dyspnoe</w:t>
      </w:r>
    </w:p>
    <w:p w:rsidR="007D41F9" w:rsidRPr="003754A9" w:rsidRDefault="007D41F9" w:rsidP="006C5EA3">
      <w:pPr>
        <w:rPr>
          <w:szCs w:val="22"/>
        </w:rPr>
      </w:pPr>
    </w:p>
    <w:p w:rsidR="007D41F9" w:rsidRPr="0028439B" w:rsidRDefault="007D41F9" w:rsidP="006C5EA3">
      <w:pPr>
        <w:rPr>
          <w:i/>
          <w:szCs w:val="22"/>
        </w:rPr>
      </w:pPr>
      <w:r w:rsidRPr="0028439B">
        <w:rPr>
          <w:i/>
          <w:szCs w:val="22"/>
        </w:rPr>
        <w:t>Poruchy kože a podkožného tkaniva</w:t>
      </w:r>
      <w:r w:rsidR="0028439B">
        <w:rPr>
          <w:i/>
          <w:szCs w:val="22"/>
        </w:rPr>
        <w:t>:</w:t>
      </w:r>
    </w:p>
    <w:p w:rsidR="007D41F9" w:rsidRPr="003754A9" w:rsidRDefault="007D41F9" w:rsidP="006C5EA3">
      <w:pPr>
        <w:rPr>
          <w:szCs w:val="22"/>
        </w:rPr>
      </w:pPr>
      <w:r w:rsidRPr="00080ABE">
        <w:rPr>
          <w:szCs w:val="22"/>
        </w:rPr>
        <w:t>Menej časté: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>kožná vyrážka</w:t>
      </w:r>
    </w:p>
    <w:p w:rsidR="00080ABE" w:rsidRDefault="007D41F9" w:rsidP="006C5EA3">
      <w:pPr>
        <w:ind w:left="1080" w:hanging="1080"/>
        <w:rPr>
          <w:szCs w:val="22"/>
        </w:rPr>
      </w:pPr>
      <w:r w:rsidRPr="00080ABE">
        <w:rPr>
          <w:szCs w:val="22"/>
        </w:rPr>
        <w:t>Zriedkavé:</w:t>
      </w:r>
      <w:r w:rsidRPr="00A50260">
        <w:rPr>
          <w:szCs w:val="22"/>
        </w:rPr>
        <w:t xml:space="preserve"> </w:t>
      </w:r>
      <w:r w:rsidR="00080ABE">
        <w:rPr>
          <w:szCs w:val="22"/>
        </w:rPr>
        <w:t>l</w:t>
      </w:r>
      <w:r w:rsidRPr="003F130F">
        <w:rPr>
          <w:szCs w:val="22"/>
        </w:rPr>
        <w:t>okalizované kožné reakcie na očných viečkach; stma</w:t>
      </w:r>
      <w:r>
        <w:rPr>
          <w:szCs w:val="22"/>
        </w:rPr>
        <w:t>vnutie pal</w:t>
      </w:r>
      <w:r w:rsidR="000B5633">
        <w:rPr>
          <w:szCs w:val="22"/>
        </w:rPr>
        <w:t>p</w:t>
      </w:r>
      <w:r>
        <w:rPr>
          <w:szCs w:val="22"/>
        </w:rPr>
        <w:t>ebrálnej kože očných</w:t>
      </w:r>
    </w:p>
    <w:p w:rsidR="007D41F9" w:rsidRPr="003754A9" w:rsidRDefault="007D41F9" w:rsidP="006C5EA3">
      <w:pPr>
        <w:ind w:left="1080" w:hanging="1080"/>
        <w:rPr>
          <w:szCs w:val="22"/>
        </w:rPr>
      </w:pPr>
      <w:r w:rsidRPr="003F130F">
        <w:rPr>
          <w:szCs w:val="22"/>
        </w:rPr>
        <w:t>viečok</w:t>
      </w:r>
      <w:r>
        <w:rPr>
          <w:szCs w:val="22"/>
        </w:rPr>
        <w:t>.</w:t>
      </w:r>
    </w:p>
    <w:p w:rsidR="000B5633" w:rsidRDefault="000B5633" w:rsidP="006C5EA3">
      <w:pPr>
        <w:rPr>
          <w:i/>
          <w:szCs w:val="22"/>
        </w:rPr>
      </w:pPr>
    </w:p>
    <w:p w:rsidR="0028439B" w:rsidRPr="0028439B" w:rsidRDefault="0028439B" w:rsidP="006C5EA3">
      <w:pPr>
        <w:rPr>
          <w:i/>
          <w:szCs w:val="22"/>
        </w:rPr>
      </w:pPr>
      <w:r>
        <w:rPr>
          <w:i/>
          <w:szCs w:val="22"/>
        </w:rPr>
        <w:t>Poruchy kostrovej a svalovej sústavy a spojivového tkaniva:</w:t>
      </w:r>
    </w:p>
    <w:p w:rsidR="0028439B" w:rsidRDefault="00080ABE" w:rsidP="006C5EA3">
      <w:pPr>
        <w:rPr>
          <w:i/>
          <w:szCs w:val="22"/>
          <w:u w:val="single"/>
        </w:rPr>
      </w:pPr>
      <w:r>
        <w:rPr>
          <w:szCs w:val="22"/>
        </w:rPr>
        <w:t>Neznáme: myalgia, artralgia</w:t>
      </w:r>
      <w:r>
        <w:rPr>
          <w:i/>
          <w:szCs w:val="22"/>
          <w:u w:val="single"/>
        </w:rPr>
        <w:br/>
      </w:r>
    </w:p>
    <w:p w:rsidR="007D41F9" w:rsidRPr="0028439B" w:rsidRDefault="007D41F9" w:rsidP="006C5EA3">
      <w:pPr>
        <w:rPr>
          <w:i/>
          <w:szCs w:val="22"/>
        </w:rPr>
      </w:pPr>
      <w:r w:rsidRPr="0028439B">
        <w:rPr>
          <w:i/>
          <w:szCs w:val="22"/>
        </w:rPr>
        <w:t>Celkové poruchy a reakcie v mieste podania</w:t>
      </w:r>
      <w:r w:rsidR="0028439B">
        <w:rPr>
          <w:i/>
          <w:szCs w:val="22"/>
        </w:rPr>
        <w:t>:</w:t>
      </w:r>
    </w:p>
    <w:p w:rsidR="007D41F9" w:rsidRDefault="007D41F9" w:rsidP="006C5EA3">
      <w:pPr>
        <w:rPr>
          <w:szCs w:val="22"/>
        </w:rPr>
      </w:pPr>
      <w:r w:rsidRPr="00080ABE">
        <w:rPr>
          <w:szCs w:val="22"/>
        </w:rPr>
        <w:t>Veľmi zriedkavé:</w:t>
      </w:r>
      <w:r w:rsidRPr="003754A9">
        <w:rPr>
          <w:i/>
          <w:szCs w:val="22"/>
        </w:rPr>
        <w:t xml:space="preserve"> </w:t>
      </w:r>
      <w:r w:rsidRPr="003754A9">
        <w:rPr>
          <w:szCs w:val="22"/>
        </w:rPr>
        <w:t xml:space="preserve">bolesť </w:t>
      </w:r>
      <w:r w:rsidR="00BE5648">
        <w:rPr>
          <w:szCs w:val="22"/>
        </w:rPr>
        <w:t>na</w:t>
      </w:r>
      <w:r w:rsidRPr="003754A9">
        <w:rPr>
          <w:szCs w:val="22"/>
        </w:rPr>
        <w:t xml:space="preserve"> hrudníku</w:t>
      </w:r>
    </w:p>
    <w:p w:rsidR="00BE5648" w:rsidRDefault="00BE5648" w:rsidP="006C5EA3">
      <w:pPr>
        <w:rPr>
          <w:szCs w:val="22"/>
        </w:rPr>
      </w:pPr>
    </w:p>
    <w:p w:rsidR="00E11739" w:rsidRPr="00E11739" w:rsidRDefault="00E11739" w:rsidP="00E11739">
      <w:pPr>
        <w:rPr>
          <w:szCs w:val="22"/>
        </w:rPr>
      </w:pPr>
      <w:r w:rsidRPr="00E11739">
        <w:rPr>
          <w:szCs w:val="22"/>
        </w:rPr>
        <w:t>V súvislosti s používaním očných kvapiek</w:t>
      </w:r>
      <w:r>
        <w:rPr>
          <w:szCs w:val="22"/>
        </w:rPr>
        <w:t xml:space="preserve"> </w:t>
      </w:r>
      <w:r w:rsidRPr="00E11739">
        <w:rPr>
          <w:szCs w:val="22"/>
        </w:rPr>
        <w:t>obsahujúcich fosforečnany boli veľmi zriedkavo u</w:t>
      </w:r>
    </w:p>
    <w:p w:rsidR="00E11739" w:rsidRDefault="00E11739" w:rsidP="00E11739">
      <w:pPr>
        <w:rPr>
          <w:szCs w:val="22"/>
        </w:rPr>
      </w:pPr>
      <w:r w:rsidRPr="00E11739">
        <w:rPr>
          <w:szCs w:val="22"/>
        </w:rPr>
        <w:t>niektorých pacientov so závažne poškodenými</w:t>
      </w:r>
      <w:r>
        <w:rPr>
          <w:szCs w:val="22"/>
        </w:rPr>
        <w:t xml:space="preserve"> </w:t>
      </w:r>
      <w:r w:rsidRPr="00E11739">
        <w:rPr>
          <w:szCs w:val="22"/>
        </w:rPr>
        <w:t>rohovka</w:t>
      </w:r>
      <w:r>
        <w:rPr>
          <w:szCs w:val="22"/>
        </w:rPr>
        <w:t xml:space="preserve">mi hlásené prípady kalcifikácie </w:t>
      </w:r>
    </w:p>
    <w:p w:rsidR="00BE5648" w:rsidRPr="003754A9" w:rsidRDefault="00E11739" w:rsidP="006C5EA3">
      <w:pPr>
        <w:rPr>
          <w:szCs w:val="22"/>
        </w:rPr>
      </w:pPr>
      <w:r w:rsidRPr="00E11739">
        <w:rPr>
          <w:szCs w:val="22"/>
        </w:rPr>
        <w:t>rohovky.</w:t>
      </w:r>
    </w:p>
    <w:p w:rsidR="007D41F9" w:rsidRPr="00884EC0" w:rsidRDefault="007D41F9" w:rsidP="006C5EA3"/>
    <w:p w:rsidR="0057737A" w:rsidRPr="000B5633" w:rsidRDefault="0057737A" w:rsidP="006C5EA3">
      <w:pPr>
        <w:ind w:left="0" w:firstLine="0"/>
        <w:rPr>
          <w:i/>
          <w:u w:val="single"/>
        </w:rPr>
      </w:pPr>
      <w:r w:rsidRPr="000B5633">
        <w:rPr>
          <w:i/>
          <w:u w:val="single"/>
        </w:rPr>
        <w:t>Popis vybraných nežiaducich účinkov</w:t>
      </w:r>
    </w:p>
    <w:p w:rsidR="00B31483" w:rsidRPr="000B5633" w:rsidRDefault="00B31483" w:rsidP="00B31483">
      <w:pPr>
        <w:ind w:left="0" w:firstLine="0"/>
      </w:pPr>
      <w:r w:rsidRPr="000B5633">
        <w:t>Informácie nie sú dostupné.</w:t>
      </w:r>
    </w:p>
    <w:p w:rsidR="007D41F9" w:rsidRDefault="007D41F9" w:rsidP="007D41F9">
      <w:pPr>
        <w:rPr>
          <w:i/>
          <w:color w:val="008000"/>
        </w:rPr>
      </w:pPr>
    </w:p>
    <w:p w:rsidR="00E960B9" w:rsidRDefault="00B562E5" w:rsidP="006C5EA3">
      <w:pPr>
        <w:pStyle w:val="Default"/>
        <w:jc w:val="both"/>
        <w:rPr>
          <w:sz w:val="22"/>
          <w:szCs w:val="22"/>
        </w:rPr>
      </w:pPr>
      <w:r w:rsidRPr="00B562E5">
        <w:rPr>
          <w:i/>
          <w:iCs/>
          <w:sz w:val="22"/>
          <w:szCs w:val="22"/>
          <w:u w:val="single"/>
        </w:rPr>
        <w:t>Pediatrická populácia</w:t>
      </w:r>
      <w:r w:rsidR="00E960B9">
        <w:rPr>
          <w:i/>
          <w:iCs/>
          <w:sz w:val="22"/>
          <w:szCs w:val="22"/>
        </w:rPr>
        <w:t xml:space="preserve"> </w:t>
      </w:r>
    </w:p>
    <w:p w:rsidR="00E960B9" w:rsidRDefault="00E960B9" w:rsidP="00E960B9">
      <w:pPr>
        <w:jc w:val="both"/>
        <w:rPr>
          <w:szCs w:val="22"/>
        </w:rPr>
      </w:pPr>
      <w:r>
        <w:rPr>
          <w:szCs w:val="22"/>
        </w:rPr>
        <w:t>V dvoch krátkodobých klinických štúdiách (≤ 12 týždňov) so zaradenými 93 (</w:t>
      </w:r>
      <w:smartTag w:uri="urn:schemas-microsoft-com:office:smarttags" w:element="metricconverter">
        <w:smartTagPr>
          <w:attr w:name="ProductID" w:val="25 a"/>
        </w:smartTagPr>
        <w:r>
          <w:rPr>
            <w:szCs w:val="22"/>
          </w:rPr>
          <w:t>25 a</w:t>
        </w:r>
      </w:smartTag>
      <w:r>
        <w:rPr>
          <w:szCs w:val="22"/>
        </w:rPr>
        <w:t xml:space="preserve"> 68) pediatrickými</w:t>
      </w:r>
    </w:p>
    <w:p w:rsidR="00E960B9" w:rsidRDefault="00E960B9" w:rsidP="00E960B9">
      <w:pPr>
        <w:jc w:val="both"/>
        <w:rPr>
          <w:szCs w:val="22"/>
        </w:rPr>
      </w:pPr>
      <w:r>
        <w:rPr>
          <w:szCs w:val="22"/>
        </w:rPr>
        <w:t xml:space="preserve">pacientmi bol bezpečnostný profil podobný ako u dospelých a neidentifikovali sa žiadne nové </w:t>
      </w:r>
    </w:p>
    <w:p w:rsidR="00E960B9" w:rsidRDefault="00E960B9" w:rsidP="00E960B9">
      <w:pPr>
        <w:jc w:val="both"/>
        <w:rPr>
          <w:szCs w:val="22"/>
        </w:rPr>
      </w:pPr>
      <w:r>
        <w:rPr>
          <w:szCs w:val="22"/>
        </w:rPr>
        <w:t xml:space="preserve">nežiaduce účinky. Krátkodobé bezpečnostné profily v rozličných detských podskupinách boli tiež </w:t>
      </w:r>
    </w:p>
    <w:p w:rsidR="00E960B9" w:rsidRDefault="00E960B9" w:rsidP="00E960B9">
      <w:pPr>
        <w:jc w:val="both"/>
        <w:rPr>
          <w:szCs w:val="22"/>
        </w:rPr>
      </w:pPr>
      <w:r>
        <w:rPr>
          <w:szCs w:val="22"/>
        </w:rPr>
        <w:t xml:space="preserve">podobné (pozri časť 5.1). Nežiaduce udalosti pozorované častejšie u detí a dospievajúcich v porovnaní </w:t>
      </w:r>
    </w:p>
    <w:p w:rsidR="00E960B9" w:rsidRDefault="00E960B9" w:rsidP="00E960B9">
      <w:pPr>
        <w:rPr>
          <w:szCs w:val="22"/>
        </w:rPr>
      </w:pPr>
      <w:r>
        <w:rPr>
          <w:szCs w:val="22"/>
        </w:rPr>
        <w:t>s dospelými sú nazofaryngitída a pyrexia.</w:t>
      </w:r>
    </w:p>
    <w:p w:rsidR="0028439B" w:rsidRDefault="0028439B" w:rsidP="00E960B9">
      <w:pPr>
        <w:rPr>
          <w:szCs w:val="22"/>
        </w:rPr>
      </w:pPr>
    </w:p>
    <w:p w:rsidR="0028439B" w:rsidRPr="00884EC0" w:rsidRDefault="0028439B" w:rsidP="0028439B">
      <w:pPr>
        <w:rPr>
          <w:szCs w:val="22"/>
          <w:u w:val="single"/>
        </w:rPr>
      </w:pPr>
      <w:r w:rsidRPr="00884EC0">
        <w:rPr>
          <w:szCs w:val="22"/>
          <w:u w:val="single"/>
        </w:rPr>
        <w:t>Hlásenie podozrení na nežiaduce reakcie</w:t>
      </w:r>
    </w:p>
    <w:p w:rsidR="0028439B" w:rsidRDefault="0028439B" w:rsidP="0028439B">
      <w:pPr>
        <w:rPr>
          <w:szCs w:val="22"/>
        </w:rPr>
      </w:pPr>
      <w:r w:rsidRPr="0028439B">
        <w:rPr>
          <w:szCs w:val="22"/>
        </w:rPr>
        <w:t>Hlásenie podozrení na nežiaduce reakcie po registrácii lieku je dôležité. Umožňuje priebežné</w:t>
      </w:r>
    </w:p>
    <w:p w:rsidR="0028439B" w:rsidRDefault="0028439B" w:rsidP="0028439B">
      <w:pPr>
        <w:rPr>
          <w:szCs w:val="22"/>
        </w:rPr>
      </w:pPr>
      <w:r w:rsidRPr="0028439B">
        <w:rPr>
          <w:szCs w:val="22"/>
        </w:rPr>
        <w:t>monitorovanie pomeru prínosu a rizika lieku. Od zdravotníckych pracovníkov sa vyžaduje, aby hlásili</w:t>
      </w:r>
    </w:p>
    <w:p w:rsidR="0028439B" w:rsidRPr="00884EC0" w:rsidRDefault="0028439B" w:rsidP="00C229DD">
      <w:pPr>
        <w:rPr>
          <w:i/>
        </w:rPr>
      </w:pPr>
      <w:r w:rsidRPr="00884EC0">
        <w:rPr>
          <w:szCs w:val="22"/>
        </w:rPr>
        <w:t xml:space="preserve">akékoľvek podozrenia na nežiaduce reakcie </w:t>
      </w:r>
      <w:bookmarkStart w:id="0" w:name="OLE_LINK27"/>
      <w:bookmarkStart w:id="1" w:name="OLE_LINK68"/>
      <w:bookmarkStart w:id="2" w:name="OLE_LINK69"/>
      <w:r w:rsidR="00C229DD" w:rsidRPr="00884EC0">
        <w:rPr>
          <w:noProof/>
          <w:szCs w:val="22"/>
        </w:rPr>
        <w:t xml:space="preserve">na </w:t>
      </w:r>
      <w:r w:rsidR="00C229DD" w:rsidRPr="00884EC0">
        <w:rPr>
          <w:noProof/>
          <w:szCs w:val="22"/>
          <w:highlight w:val="lightGray"/>
        </w:rPr>
        <w:t>národné centrum hlásenia uvedené v</w:t>
      </w:r>
      <w:bookmarkEnd w:id="0"/>
      <w:bookmarkEnd w:id="1"/>
      <w:bookmarkEnd w:id="2"/>
      <w:r w:rsidR="00C229DD" w:rsidRPr="00884EC0">
        <w:rPr>
          <w:noProof/>
          <w:szCs w:val="22"/>
          <w:highlight w:val="lightGray"/>
        </w:rPr>
        <w:t> </w:t>
      </w:r>
      <w:hyperlink r:id="rId14" w:history="1">
        <w:r w:rsidR="00C229DD" w:rsidRPr="00884EC0">
          <w:rPr>
            <w:rStyle w:val="Hypertextovprepojenie"/>
            <w:color w:val="auto"/>
            <w:highlight w:val="lightGray"/>
          </w:rPr>
          <w:t>Prílohe V</w:t>
        </w:r>
      </w:hyperlink>
      <w:r w:rsidR="00C229DD" w:rsidRPr="00884EC0">
        <w:rPr>
          <w:noProof/>
          <w:szCs w:val="22"/>
        </w:rPr>
        <w:t>.</w:t>
      </w:r>
    </w:p>
    <w:p w:rsidR="007D41F9" w:rsidRPr="00884EC0" w:rsidRDefault="007D41F9" w:rsidP="007D41F9">
      <w:pPr>
        <w:rPr>
          <w:i/>
        </w:rPr>
      </w:pPr>
    </w:p>
    <w:p w:rsidR="007D41F9" w:rsidRPr="00884EC0" w:rsidRDefault="007D41F9" w:rsidP="007D41F9">
      <w:pPr>
        <w:rPr>
          <w:szCs w:val="22"/>
        </w:rPr>
      </w:pPr>
      <w:r w:rsidRPr="00884EC0">
        <w:rPr>
          <w:b/>
          <w:szCs w:val="22"/>
        </w:rPr>
        <w:t>4.9</w:t>
      </w:r>
      <w:r w:rsidRPr="00884EC0">
        <w:rPr>
          <w:b/>
          <w:szCs w:val="22"/>
        </w:rPr>
        <w:tab/>
        <w:t>Predávkovanie</w:t>
      </w:r>
    </w:p>
    <w:p w:rsidR="007D41F9" w:rsidRPr="00884EC0" w:rsidRDefault="007D41F9" w:rsidP="007D41F9">
      <w:pPr>
        <w:rPr>
          <w:szCs w:val="22"/>
        </w:rPr>
      </w:pPr>
    </w:p>
    <w:p w:rsidR="007D41F9" w:rsidRPr="00DD694C" w:rsidRDefault="007D41F9" w:rsidP="0037334B">
      <w:pPr>
        <w:pStyle w:val="Zkladntext2"/>
        <w:spacing w:after="0" w:line="240" w:lineRule="auto"/>
        <w:ind w:left="0" w:hanging="27"/>
        <w:rPr>
          <w:szCs w:val="22"/>
        </w:rPr>
      </w:pPr>
      <w:r w:rsidRPr="00DD694C">
        <w:rPr>
          <w:szCs w:val="22"/>
        </w:rPr>
        <w:t>Okrem podráždenia oka a </w:t>
      </w:r>
      <w:r w:rsidRPr="00FE5BBB">
        <w:rPr>
          <w:szCs w:val="22"/>
        </w:rPr>
        <w:t>konju</w:t>
      </w:r>
      <w:r>
        <w:rPr>
          <w:szCs w:val="22"/>
        </w:rPr>
        <w:t>n</w:t>
      </w:r>
      <w:r w:rsidRPr="00FE5BBB">
        <w:rPr>
          <w:szCs w:val="22"/>
        </w:rPr>
        <w:t>ktiválnej</w:t>
      </w:r>
      <w:r w:rsidRPr="00DD694C">
        <w:rPr>
          <w:szCs w:val="22"/>
        </w:rPr>
        <w:t xml:space="preserve"> hyperémie nie sú známe žiadne iné očné nežiaduce účinky pri predávkovaní latanoprostom.</w:t>
      </w:r>
    </w:p>
    <w:p w:rsidR="007D41F9" w:rsidRDefault="007D41F9" w:rsidP="0037334B">
      <w:pPr>
        <w:rPr>
          <w:szCs w:val="22"/>
        </w:rPr>
      </w:pPr>
    </w:p>
    <w:p w:rsidR="007D41F9" w:rsidRPr="003F130F" w:rsidRDefault="007D41F9" w:rsidP="0037334B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V prípade náhodného prehltnutia </w:t>
      </w:r>
      <w:r>
        <w:rPr>
          <w:szCs w:val="22"/>
        </w:rPr>
        <w:t>UNILATu</w:t>
      </w:r>
      <w:r w:rsidRPr="003F130F">
        <w:rPr>
          <w:szCs w:val="22"/>
        </w:rPr>
        <w:t xml:space="preserve"> môžu byť užitočné nasledujúce informácie:</w:t>
      </w:r>
    </w:p>
    <w:p w:rsidR="007D41F9" w:rsidRPr="003F130F" w:rsidRDefault="00BE5648" w:rsidP="0037334B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J</w:t>
      </w:r>
      <w:r w:rsidR="007D41F9" w:rsidRPr="003F130F">
        <w:rPr>
          <w:szCs w:val="22"/>
        </w:rPr>
        <w:t>edna fľaš</w:t>
      </w:r>
      <w:r w:rsidR="00BA333E">
        <w:rPr>
          <w:szCs w:val="22"/>
        </w:rPr>
        <w:t>tička</w:t>
      </w:r>
      <w:r w:rsidR="007D41F9" w:rsidRPr="003F130F">
        <w:rPr>
          <w:szCs w:val="22"/>
        </w:rPr>
        <w:t xml:space="preserve"> obsahuje 125 mikrogramov latanoprostu. Viac ako 90 % sa metabolizuje počas prvého prechodu pečeňou. Intravenózna infúzia dávky 3 </w:t>
      </w:r>
      <w:r w:rsidR="007D41F9" w:rsidRPr="003F130F">
        <w:rPr>
          <w:szCs w:val="22"/>
        </w:rPr>
        <w:sym w:font="Symbol" w:char="F06D"/>
      </w:r>
      <w:r w:rsidR="007D41F9" w:rsidRPr="003F130F">
        <w:rPr>
          <w:szCs w:val="22"/>
        </w:rPr>
        <w:t xml:space="preserve">g/kg u zdravých dobrovoľníkov </w:t>
      </w:r>
      <w:r w:rsidR="00CC4DA2">
        <w:rPr>
          <w:szCs w:val="22"/>
        </w:rPr>
        <w:t xml:space="preserve">spôsobila 200-krát vyššiu hodnotu plazmatickej koncentrácie ako počas klinickej liečby a </w:t>
      </w:r>
      <w:r w:rsidR="007D41F9" w:rsidRPr="003F130F">
        <w:rPr>
          <w:szCs w:val="22"/>
        </w:rPr>
        <w:t>nevyvolala žiadne symptómy, ale dávka 5,5</w:t>
      </w:r>
      <w:r w:rsidR="007D41F9" w:rsidRPr="003F130F">
        <w:rPr>
          <w:szCs w:val="22"/>
        </w:rPr>
        <w:noBreakHyphen/>
        <w:t>10 </w:t>
      </w:r>
      <w:r w:rsidR="007D41F9" w:rsidRPr="003F130F">
        <w:rPr>
          <w:szCs w:val="22"/>
        </w:rPr>
        <w:sym w:font="Symbol" w:char="F06D"/>
      </w:r>
      <w:r w:rsidR="007D41F9" w:rsidRPr="003F130F">
        <w:rPr>
          <w:szCs w:val="22"/>
        </w:rPr>
        <w:t xml:space="preserve">g/kg spôsobila nauzeu, bolesti brucha, závraty, únavu, návaly horúčavy a potenie. </w:t>
      </w:r>
      <w:r w:rsidR="007D41F9" w:rsidRPr="003F130F">
        <w:rPr>
          <w:szCs w:val="22"/>
        </w:rPr>
        <w:lastRenderedPageBreak/>
        <w:t>U opíc sa podával latanoprost intravenóznou infúziou v dávkach do 500 </w:t>
      </w:r>
      <w:r w:rsidR="007D41F9" w:rsidRPr="003F130F">
        <w:rPr>
          <w:szCs w:val="22"/>
        </w:rPr>
        <w:sym w:font="Symbol" w:char="F06D"/>
      </w:r>
      <w:r w:rsidR="007D41F9" w:rsidRPr="003F130F">
        <w:rPr>
          <w:szCs w:val="22"/>
        </w:rPr>
        <w:t>g/kg bez výrazných účinkov na kardiovaskulárny systém.</w:t>
      </w:r>
    </w:p>
    <w:p w:rsidR="007D41F9" w:rsidRDefault="007D41F9" w:rsidP="0037334B">
      <w:pPr>
        <w:rPr>
          <w:szCs w:val="22"/>
        </w:rPr>
      </w:pPr>
    </w:p>
    <w:p w:rsidR="007D41F9" w:rsidRPr="00DD694C" w:rsidRDefault="007D41F9" w:rsidP="0037334B">
      <w:pPr>
        <w:ind w:left="0" w:firstLine="0"/>
        <w:rPr>
          <w:szCs w:val="22"/>
        </w:rPr>
      </w:pPr>
      <w:r w:rsidRPr="00DD694C">
        <w:rPr>
          <w:szCs w:val="22"/>
        </w:rPr>
        <w:t>Intravenózne podanie latanoprostu u opíc bolo spojené s prechodnou bronchokonstrikciou. Avšak u pacientov so stredne ťažkou bronchiálnou astmou latanoprost podaný lokálne do očí v dávke zodpovedajúcej 7</w:t>
      </w:r>
      <w:r w:rsidRPr="00DD694C">
        <w:rPr>
          <w:szCs w:val="22"/>
        </w:rPr>
        <w:noBreakHyphen/>
        <w:t>násobku klinickej dávky latanoprostu</w:t>
      </w:r>
      <w:r w:rsidRPr="00DD694C">
        <w:rPr>
          <w:szCs w:val="22"/>
          <w:vertAlign w:val="superscript"/>
        </w:rPr>
        <w:t xml:space="preserve"> </w:t>
      </w:r>
      <w:r w:rsidRPr="00DD694C">
        <w:rPr>
          <w:szCs w:val="22"/>
        </w:rPr>
        <w:t>nevyvolal bronchokonstrikciu.</w:t>
      </w:r>
    </w:p>
    <w:p w:rsidR="007D41F9" w:rsidRDefault="007D41F9" w:rsidP="0037334B">
      <w:pPr>
        <w:rPr>
          <w:szCs w:val="22"/>
        </w:rPr>
      </w:pPr>
    </w:p>
    <w:p w:rsidR="007D41F9" w:rsidRDefault="007D41F9" w:rsidP="0037334B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V prípade predávkovania </w:t>
      </w:r>
      <w:r>
        <w:rPr>
          <w:szCs w:val="22"/>
        </w:rPr>
        <w:t>UNILATom</w:t>
      </w:r>
      <w:r w:rsidRPr="003F130F">
        <w:rPr>
          <w:szCs w:val="22"/>
        </w:rPr>
        <w:t xml:space="preserve"> má byť liečba symptomatická.</w:t>
      </w:r>
    </w:p>
    <w:p w:rsidR="007D41F9" w:rsidRPr="003F130F" w:rsidRDefault="007D41F9" w:rsidP="0037334B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7D41F9">
      <w:pPr>
        <w:rPr>
          <w:szCs w:val="22"/>
        </w:rPr>
      </w:pPr>
    </w:p>
    <w:p w:rsidR="007D41F9" w:rsidRDefault="007D41F9" w:rsidP="007D41F9">
      <w:pPr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7D41F9" w:rsidRDefault="007D41F9" w:rsidP="007D41F9">
      <w:pPr>
        <w:rPr>
          <w:bCs/>
          <w:szCs w:val="22"/>
        </w:rPr>
      </w:pPr>
    </w:p>
    <w:p w:rsidR="007D41F9" w:rsidRDefault="007D41F9" w:rsidP="007D41F9">
      <w:pPr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Farmakodynamické vlastnosti</w:t>
      </w:r>
    </w:p>
    <w:p w:rsidR="007D41F9" w:rsidRDefault="007D41F9" w:rsidP="007D41F9">
      <w:pPr>
        <w:rPr>
          <w:szCs w:val="22"/>
        </w:rPr>
      </w:pP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 xml:space="preserve">Farmakoterapeutická skupina: </w:t>
      </w:r>
      <w:r w:rsidRPr="003F130F">
        <w:rPr>
          <w:szCs w:val="22"/>
        </w:rPr>
        <w:t>antiglaukomatiká a</w:t>
      </w:r>
      <w:r w:rsidR="00766A96">
        <w:rPr>
          <w:szCs w:val="22"/>
        </w:rPr>
        <w:t> </w:t>
      </w:r>
      <w:r w:rsidRPr="003F130F">
        <w:rPr>
          <w:szCs w:val="22"/>
        </w:rPr>
        <w:t>miotiká</w:t>
      </w:r>
      <w:r w:rsidR="00766A96">
        <w:rPr>
          <w:szCs w:val="22"/>
        </w:rPr>
        <w:t xml:space="preserve">, </w:t>
      </w:r>
      <w:r w:rsidRPr="003F130F">
        <w:rPr>
          <w:szCs w:val="22"/>
        </w:rPr>
        <w:t xml:space="preserve">prostaglandínové analógy </w:t>
      </w:r>
    </w:p>
    <w:p w:rsidR="007D41F9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ATC kód: S01EE01 </w:t>
      </w:r>
    </w:p>
    <w:p w:rsidR="00E960B9" w:rsidRPr="003F130F" w:rsidRDefault="00E960B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E960B9" w:rsidP="00582DBE">
      <w:pPr>
        <w:outlineLvl w:val="0"/>
        <w:rPr>
          <w:szCs w:val="22"/>
        </w:rPr>
      </w:pPr>
      <w:r w:rsidRPr="00BD5356">
        <w:rPr>
          <w:szCs w:val="22"/>
          <w:u w:val="single"/>
        </w:rPr>
        <w:t>Spôsob účinku</w:t>
      </w: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Liečivo latanoprost, analóg prostaglandínu F</w:t>
      </w:r>
      <w:r w:rsidRPr="003F130F">
        <w:rPr>
          <w:szCs w:val="22"/>
          <w:vertAlign w:val="subscript"/>
        </w:rPr>
        <w:t>2</w:t>
      </w:r>
      <w:r w:rsidRPr="003F130F">
        <w:rPr>
          <w:szCs w:val="22"/>
          <w:vertAlign w:val="subscript"/>
        </w:rPr>
        <w:sym w:font="Symbol" w:char="F061"/>
      </w:r>
      <w:r w:rsidRPr="003F130F">
        <w:rPr>
          <w:szCs w:val="22"/>
        </w:rPr>
        <w:t>, je selektívny agonista prostaglandínového FP receptora, ktorý znižuje vnútroočný tlak zvýšením odtoku komorového moku. Zníženie vnútroočného tlaku u ľudí sa začína asi 3-4 hodiny po podaní a maximálny účinok sa dosahuje po 8-12 hodinách. Zníženie tlaku pretrváva najmenej počas 24 hodín.</w:t>
      </w:r>
    </w:p>
    <w:p w:rsidR="007D41F9" w:rsidRDefault="007D41F9" w:rsidP="00582DBE">
      <w:pPr>
        <w:rPr>
          <w:szCs w:val="22"/>
        </w:rPr>
      </w:pP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Štúdie </w:t>
      </w:r>
      <w:r w:rsidR="00816AD1">
        <w:rPr>
          <w:szCs w:val="22"/>
        </w:rPr>
        <w:t>na</w:t>
      </w:r>
      <w:r w:rsidRPr="003F130F">
        <w:rPr>
          <w:szCs w:val="22"/>
        </w:rPr>
        <w:t> zvierat</w:t>
      </w:r>
      <w:r w:rsidR="00816AD1">
        <w:rPr>
          <w:szCs w:val="22"/>
        </w:rPr>
        <w:t>ách</w:t>
      </w:r>
      <w:r w:rsidRPr="003F130F">
        <w:rPr>
          <w:szCs w:val="22"/>
        </w:rPr>
        <w:t xml:space="preserve"> a u ľudí dokazujú, že hlavným mechanizmom účinku je zvýšenie uveosklerálneho odtoku, hoci u ľudí boli hlásené údaje o miernom zvýšení kapacity odtoku (zníženie odtokovej rezistencie).</w:t>
      </w:r>
    </w:p>
    <w:p w:rsidR="00E960B9" w:rsidRPr="003F130F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E960B9" w:rsidP="00582DBE">
      <w:pPr>
        <w:rPr>
          <w:szCs w:val="22"/>
        </w:rPr>
      </w:pPr>
      <w:r w:rsidRPr="00BD5356">
        <w:rPr>
          <w:szCs w:val="22"/>
          <w:u w:val="single"/>
        </w:rPr>
        <w:t>Klinická účinnosť a bezpečnosť</w:t>
      </w: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Pivotné štúdie dokázali, že </w:t>
      </w:r>
      <w:r>
        <w:rPr>
          <w:szCs w:val="22"/>
        </w:rPr>
        <w:t>latanoprost</w:t>
      </w:r>
      <w:r w:rsidRPr="003F130F">
        <w:rPr>
          <w:szCs w:val="22"/>
        </w:rPr>
        <w:t xml:space="preserve"> je účinný v monoterapii. Boli uskutočnené ďalšie klinické skúšky zamerané na použitie v kombinácii. Patria sem aj štúdie, ktoré dokazujú, že latanoprost je účinný v kombinácii s beta-blokátormi (timolol). Krátkodobé štúdie (1 alebo 2 týždne) ukazujú, že účinok latanoprostu je aditívny v kombinácii s adrenergnými agonistami (dipivefrín), perorálnymi inhibítormi karboanhydrázy (acetazolamid) a prinajmenšom čiastočne aditívny s cholinergnými agonistami (pilokarpín).</w:t>
      </w:r>
    </w:p>
    <w:p w:rsidR="007D41F9" w:rsidRDefault="007D41F9" w:rsidP="00582DBE">
      <w:pPr>
        <w:rPr>
          <w:szCs w:val="22"/>
        </w:rPr>
      </w:pP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Klinické skúšky dokázali, že latanoprost nemá významný účinok na produkciu komorového moku. Nepreukázal sa vplyv latanoprostu na hematookulárnu bariéru.</w:t>
      </w:r>
    </w:p>
    <w:p w:rsidR="00E960B9" w:rsidRPr="003F130F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Pri použití klinickej dávky u </w:t>
      </w:r>
      <w:r w:rsidR="00816AD1">
        <w:rPr>
          <w:szCs w:val="22"/>
        </w:rPr>
        <w:t>testovaných</w:t>
      </w:r>
      <w:r w:rsidRPr="003F130F">
        <w:rPr>
          <w:szCs w:val="22"/>
        </w:rPr>
        <w:t xml:space="preserve"> opíc latanoprost nemá žiadne alebo len zanedbateľné účinky na vnútroočnú cirkuláciu krvi. Avšak počas lokálnej liečby sa môže vyskytnúť mierna až stredne ťažká konjunktiválna alebo episklerálna hyperémia.</w:t>
      </w:r>
    </w:p>
    <w:p w:rsidR="007D41F9" w:rsidRDefault="007D41F9" w:rsidP="00582DBE">
      <w:pPr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Chronická liečba latanoprostom u opíc, ktoré podstúpili extrakapsulárnu extrakciu šošovky</w:t>
      </w:r>
      <w:r>
        <w:rPr>
          <w:szCs w:val="22"/>
        </w:rPr>
        <w:t xml:space="preserve">, </w:t>
      </w:r>
      <w:r w:rsidRPr="003F130F">
        <w:rPr>
          <w:szCs w:val="22"/>
        </w:rPr>
        <w:t xml:space="preserve"> neovplyvňovala retinálne krvné cievy, čo sa dokázalo fluoresceínovou angiografiou.</w:t>
      </w:r>
    </w:p>
    <w:p w:rsidR="007D41F9" w:rsidRPr="003F130F" w:rsidRDefault="007D41F9" w:rsidP="007D41F9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Počas krátkodobej liečby u ľudí latanoprost nevyvolával únik fluoresceínu do zadného segmentu pseudo</w:t>
      </w:r>
      <w:r w:rsidR="00816AD1">
        <w:rPr>
          <w:szCs w:val="22"/>
        </w:rPr>
        <w:t>a</w:t>
      </w:r>
      <w:r w:rsidRPr="003F130F">
        <w:rPr>
          <w:szCs w:val="22"/>
        </w:rPr>
        <w:t>fakických očí.</w:t>
      </w:r>
    </w:p>
    <w:p w:rsidR="007D41F9" w:rsidRDefault="007D41F9" w:rsidP="00582DBE">
      <w:pPr>
        <w:rPr>
          <w:szCs w:val="22"/>
        </w:rPr>
      </w:pP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Zistilo sa, že latanoprost v klinických dávkach nemá signifikantné farmakologické účinky na kardiovaskulárny alebo respiračný systém.</w:t>
      </w: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Pr="00560047" w:rsidRDefault="00140758" w:rsidP="00582DBE">
      <w:pPr>
        <w:pStyle w:val="Default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Pediatrická populácia:</w:t>
      </w:r>
      <w:r w:rsidR="00E960B9" w:rsidRPr="00560047">
        <w:rPr>
          <w:i/>
          <w:iCs/>
          <w:sz w:val="22"/>
          <w:szCs w:val="22"/>
          <w:lang w:val="sk-SK"/>
        </w:rPr>
        <w:t xml:space="preserve"> </w:t>
      </w:r>
    </w:p>
    <w:p w:rsidR="00E960B9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560047">
        <w:rPr>
          <w:szCs w:val="22"/>
        </w:rPr>
        <w:t xml:space="preserve">Účinnosť latanoprostu u pediatrických pacientov ≤18 rokov sa dokázala v 12-týždňovej, dvojito zaslepenej klinickej štúdii porovnávajúcej latanoprost s timololom u 107 pacientov s diagnózou očnej </w:t>
      </w:r>
      <w:r w:rsidRPr="00560047">
        <w:rPr>
          <w:szCs w:val="22"/>
        </w:rPr>
        <w:lastRenderedPageBreak/>
        <w:t xml:space="preserve">hypertenzie alebo detského glaukómu. Novorodenci museli dosiahnuť minimálne 36 týždňov gestačného veku. Pacienti dostávali latanoprost 0,005 % raz denne, alebo timolol 0,5 % (alebo voliteľne 0,25 % pre deti mladšie ako 3 roky) dvakrát denne. Primárnym cieľom bolo priemerné zníženie vnútroočného tlaku (VOT) v 12. týždni od začiatku liečby. Priemerné zníženia VOT v skupine užívajúcej latanoprost a skupine užívajúcej timolol boli podobné. Vo všetkých sledovaných vekových podskupinách (od 0 do &lt; 3 rokov, od 3 do &lt; 12 rokov a od 12 do 18 rokov) bolo priemerné zníženie VOT v 12. týždni v latanoprostovej skupine podobné ako v timololovej. Avšak v klinickej pediatrickej štúdii sa účinnosť latanoprostu v podskupine od 0 do &lt;3 rokov stanovila zo sledovania iba 13 pacientov a vo vekovej skupine 0 až </w:t>
      </w:r>
      <w:r w:rsidR="00FB784C">
        <w:rPr>
          <w:szCs w:val="22"/>
        </w:rPr>
        <w:t xml:space="preserve">&lt; </w:t>
      </w:r>
      <w:r w:rsidRPr="00560047">
        <w:rPr>
          <w:szCs w:val="22"/>
        </w:rPr>
        <w:t xml:space="preserve">1rok reprezentovanej 4 pacientmi sa nepreukázala významná účinnosť. Pre skupinu predčasne narodených detí (menej než 36 týždňov gestačného veku) nie sú </w:t>
      </w:r>
      <w:r w:rsidR="00FB784C">
        <w:rPr>
          <w:szCs w:val="22"/>
        </w:rPr>
        <w:t>k dispozícii žiadne</w:t>
      </w:r>
      <w:r w:rsidRPr="00560047">
        <w:rPr>
          <w:szCs w:val="22"/>
        </w:rPr>
        <w:t xml:space="preserve"> údaje.</w:t>
      </w:r>
    </w:p>
    <w:p w:rsidR="00E960B9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Pr="00560047" w:rsidRDefault="00E960B9" w:rsidP="00582DBE">
      <w:pPr>
        <w:pStyle w:val="Default"/>
        <w:rPr>
          <w:sz w:val="22"/>
          <w:szCs w:val="22"/>
          <w:lang w:val="sk-SK"/>
        </w:rPr>
      </w:pPr>
      <w:r w:rsidRPr="00560047">
        <w:rPr>
          <w:sz w:val="22"/>
          <w:szCs w:val="22"/>
          <w:lang w:val="sk-SK"/>
        </w:rPr>
        <w:t>Zníženie VOT bolo podobné v podskupine pacientov s primárnym kongenitálnym</w:t>
      </w:r>
      <w:r w:rsidR="00FB784C">
        <w:rPr>
          <w:sz w:val="22"/>
          <w:szCs w:val="22"/>
          <w:lang w:val="sk-SK"/>
        </w:rPr>
        <w:t xml:space="preserve">/detským </w:t>
      </w:r>
      <w:r w:rsidRPr="00560047">
        <w:rPr>
          <w:sz w:val="22"/>
          <w:szCs w:val="22"/>
          <w:lang w:val="sk-SK"/>
        </w:rPr>
        <w:t xml:space="preserve"> glaukómom (PCG) pre latanoprostovú aj timololovú skupinu. V non-PCG podskupine (</w:t>
      </w:r>
      <w:r w:rsidR="00FB784C">
        <w:rPr>
          <w:sz w:val="22"/>
          <w:szCs w:val="22"/>
          <w:lang w:val="sk-SK"/>
        </w:rPr>
        <w:t xml:space="preserve">napr. </w:t>
      </w:r>
      <w:r w:rsidRPr="00560047">
        <w:rPr>
          <w:sz w:val="22"/>
          <w:szCs w:val="22"/>
          <w:lang w:val="sk-SK"/>
        </w:rPr>
        <w:t xml:space="preserve">juvenilný glaukóm s otvoreným uhlom, glaukóm u afakických očí) boli výsledky podobné ako v PCG podskupine. </w:t>
      </w:r>
    </w:p>
    <w:p w:rsidR="00E960B9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E960B9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Účinok na VOT sa prejavil po prvom týždni liečby</w:t>
      </w:r>
      <w:r w:rsidR="00FB784C">
        <w:rPr>
          <w:szCs w:val="22"/>
        </w:rPr>
        <w:t xml:space="preserve"> (pozri tabuľku)</w:t>
      </w:r>
      <w:r>
        <w:rPr>
          <w:szCs w:val="22"/>
        </w:rPr>
        <w:t xml:space="preserve"> a pretrvával </w:t>
      </w:r>
      <w:r w:rsidR="00FB784C">
        <w:rPr>
          <w:szCs w:val="22"/>
        </w:rPr>
        <w:t xml:space="preserve">počas 12 týždňov štúdie, </w:t>
      </w:r>
      <w:r>
        <w:rPr>
          <w:szCs w:val="22"/>
        </w:rPr>
        <w:t>ako u</w:t>
      </w:r>
      <w:r w:rsidR="00FB784C">
        <w:rPr>
          <w:szCs w:val="22"/>
        </w:rPr>
        <w:t> </w:t>
      </w:r>
      <w:r>
        <w:rPr>
          <w:szCs w:val="22"/>
        </w:rPr>
        <w:t>dospelých</w:t>
      </w:r>
      <w:r w:rsidR="00FB784C">
        <w:rPr>
          <w:szCs w:val="22"/>
        </w:rPr>
        <w:t>.</w:t>
      </w:r>
    </w:p>
    <w:p w:rsidR="00E960B9" w:rsidRDefault="00E960B9" w:rsidP="00E960B9">
      <w:pPr>
        <w:numPr>
          <w:ilvl w:val="12"/>
          <w:numId w:val="0"/>
        </w:numPr>
        <w:tabs>
          <w:tab w:val="left" w:pos="0"/>
        </w:tabs>
        <w:jc w:val="both"/>
        <w:rPr>
          <w:szCs w:val="22"/>
        </w:rPr>
      </w:pPr>
    </w:p>
    <w:tbl>
      <w:tblPr>
        <w:tblW w:w="8111" w:type="dxa"/>
        <w:tblInd w:w="108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1453"/>
        <w:gridCol w:w="1453"/>
        <w:gridCol w:w="1331"/>
        <w:gridCol w:w="1211"/>
      </w:tblGrid>
      <w:tr w:rsidR="00E960B9" w:rsidTr="00B90A0E">
        <w:trPr>
          <w:trHeight w:val="152"/>
        </w:trPr>
        <w:tc>
          <w:tcPr>
            <w:tcW w:w="811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960B9" w:rsidRPr="00A50DC8" w:rsidRDefault="00E960B9" w:rsidP="00B90A0E">
            <w:pPr>
              <w:pStyle w:val="TableText"/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A50DC8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Tabuľka: Zníženie VOT (mmHg) v 12. týždni, rozdelené podľa druhu liečby a diagnózy na začiatku </w:t>
            </w:r>
          </w:p>
        </w:tc>
      </w:tr>
      <w:tr w:rsidR="00E960B9" w:rsidTr="00B90A0E">
        <w:trPr>
          <w:trHeight w:val="288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Latanoprost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N=53</w:t>
            </w:r>
          </w:p>
        </w:tc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Timolol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N=54 </w:t>
            </w:r>
          </w:p>
        </w:tc>
      </w:tr>
      <w:tr w:rsidR="00E960B9" w:rsidTr="00B90A0E">
        <w:trPr>
          <w:trHeight w:val="150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FB78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 na začiatku (</w:t>
            </w:r>
            <w:r w:rsidR="00FB784C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27,3 (0,75) </w:t>
            </w:r>
          </w:p>
        </w:tc>
        <w:tc>
          <w:tcPr>
            <w:tcW w:w="254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27,8 (0,84) </w:t>
            </w:r>
          </w:p>
        </w:tc>
      </w:tr>
      <w:tr w:rsidR="00E960B9" w:rsidTr="00B90A0E">
        <w:trPr>
          <w:trHeight w:val="283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FB78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Zmena v 12. týždni oproti začiatku</w:t>
            </w:r>
            <w:r>
              <w:rPr>
                <w:position w:val="8"/>
                <w:sz w:val="22"/>
                <w:szCs w:val="22"/>
                <w:vertAlign w:val="superscript"/>
              </w:rPr>
              <w:t>†</w:t>
            </w:r>
            <w:r>
              <w:rPr>
                <w:sz w:val="22"/>
                <w:szCs w:val="22"/>
              </w:rPr>
              <w:t>(</w:t>
            </w:r>
            <w:r w:rsidR="00FB784C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0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-7,18 (0,81) </w:t>
            </w:r>
          </w:p>
        </w:tc>
        <w:tc>
          <w:tcPr>
            <w:tcW w:w="2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-5,72 (0,81) </w:t>
            </w:r>
          </w:p>
        </w:tc>
      </w:tr>
      <w:tr w:rsidR="00E960B9" w:rsidTr="00B90A0E">
        <w:trPr>
          <w:trHeight w:val="152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B90A0E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hodnota p </w:t>
            </w:r>
            <w:r>
              <w:rPr>
                <w:sz w:val="22"/>
                <w:szCs w:val="22"/>
              </w:rPr>
              <w:t xml:space="preserve">vs. timolol </w:t>
            </w:r>
          </w:p>
        </w:tc>
        <w:tc>
          <w:tcPr>
            <w:tcW w:w="5447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0,2056 </w:t>
            </w:r>
          </w:p>
        </w:tc>
      </w:tr>
      <w:tr w:rsidR="00E960B9" w:rsidTr="00B90A0E">
        <w:trPr>
          <w:trHeight w:val="288"/>
        </w:trPr>
        <w:tc>
          <w:tcPr>
            <w:tcW w:w="26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16AD1" w:rsidRDefault="00E960B9" w:rsidP="00B90A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PCG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N=28 </w:t>
            </w:r>
          </w:p>
        </w:tc>
        <w:tc>
          <w:tcPr>
            <w:tcW w:w="290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Non-PCG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N=25 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PCG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N=26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Non-PCG </w:t>
            </w:r>
          </w:p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N=28 </w:t>
            </w:r>
          </w:p>
        </w:tc>
      </w:tr>
      <w:tr w:rsidR="00E960B9" w:rsidTr="00B90A0E">
        <w:trPr>
          <w:trHeight w:val="150"/>
        </w:trPr>
        <w:tc>
          <w:tcPr>
            <w:tcW w:w="26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960B9" w:rsidRDefault="00E960B9" w:rsidP="00FB78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 na začiatku (</w:t>
            </w:r>
            <w:r w:rsidR="00FB784C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26,5 (0,72)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 (1,37)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 (0,95)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29,1 (1,33) </w:t>
            </w:r>
          </w:p>
        </w:tc>
      </w:tr>
      <w:tr w:rsidR="00E960B9" w:rsidTr="00B90A0E">
        <w:trPr>
          <w:trHeight w:val="283"/>
        </w:trPr>
        <w:tc>
          <w:tcPr>
            <w:tcW w:w="2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0B9" w:rsidRDefault="00E960B9" w:rsidP="00FB78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Zmena v 12. týždni oproti začiatku</w:t>
            </w:r>
            <w:r>
              <w:rPr>
                <w:position w:val="8"/>
                <w:sz w:val="22"/>
                <w:szCs w:val="22"/>
                <w:vertAlign w:val="superscript"/>
              </w:rPr>
              <w:t>†</w:t>
            </w:r>
            <w:r>
              <w:rPr>
                <w:sz w:val="22"/>
                <w:szCs w:val="22"/>
              </w:rPr>
              <w:t>(</w:t>
            </w:r>
            <w:r w:rsidR="00FB784C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-5,90 (0,98)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-8,66 (1,25)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-5,34 (1,02)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-6,02 (1,18) </w:t>
            </w:r>
          </w:p>
        </w:tc>
      </w:tr>
      <w:tr w:rsidR="00E960B9" w:rsidTr="00B90A0E">
        <w:trPr>
          <w:trHeight w:val="152"/>
        </w:trPr>
        <w:tc>
          <w:tcPr>
            <w:tcW w:w="26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B90A0E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hodnota p </w:t>
            </w:r>
            <w:r>
              <w:rPr>
                <w:sz w:val="22"/>
                <w:szCs w:val="22"/>
              </w:rPr>
              <w:t xml:space="preserve">vs. timolol 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0,6957 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0,1317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0B9" w:rsidRDefault="00E960B9" w:rsidP="00B90A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E960B9" w:rsidRDefault="00FB784C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SE</w:t>
      </w:r>
      <w:r w:rsidR="00E960B9">
        <w:rPr>
          <w:szCs w:val="22"/>
        </w:rPr>
        <w:t xml:space="preserve">: </w:t>
      </w:r>
      <w:r>
        <w:rPr>
          <w:szCs w:val="22"/>
        </w:rPr>
        <w:t>š</w:t>
      </w:r>
      <w:r w:rsidR="00E960B9">
        <w:rPr>
          <w:szCs w:val="22"/>
        </w:rPr>
        <w:t>tandardná chyba</w:t>
      </w:r>
      <w:r>
        <w:rPr>
          <w:szCs w:val="22"/>
        </w:rPr>
        <w:t xml:space="preserve"> (standard error)</w:t>
      </w:r>
    </w:p>
    <w:p w:rsidR="007D41F9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position w:val="8"/>
          <w:szCs w:val="22"/>
          <w:vertAlign w:val="superscript"/>
        </w:rPr>
        <w:t>†</w:t>
      </w:r>
      <w:r>
        <w:rPr>
          <w:szCs w:val="22"/>
        </w:rPr>
        <w:t>Odhad upravený podľa analýzy modelu očakávanej hodnoty (ANCOVA).</w:t>
      </w:r>
    </w:p>
    <w:p w:rsidR="00E960B9" w:rsidRPr="003F130F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582DBE">
      <w:pPr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vlastnosti</w:t>
      </w:r>
    </w:p>
    <w:p w:rsidR="007D41F9" w:rsidRDefault="007D41F9" w:rsidP="00582DBE">
      <w:pPr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Latanoprost (molekulárna hmotnosť 432,58) je izopropylesterový prekurzor, ktorý je po podaní </w:t>
      </w:r>
      <w:r w:rsidRPr="003F130F">
        <w:rPr>
          <w:i/>
          <w:szCs w:val="22"/>
        </w:rPr>
        <w:t>per se</w:t>
      </w:r>
      <w:r w:rsidRPr="003F130F">
        <w:rPr>
          <w:szCs w:val="22"/>
        </w:rPr>
        <w:t xml:space="preserve"> inaktívny, ale po hydrolýze na kyselinu latanoprostu sa stáva biologicky aktívny.</w:t>
      </w: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Prekurzor sa dobre absorbuje cez rohovku a všetko liečivo, ktoré vstupuje do komorového moku sa hydrolyzuje počas prechodu rohovkou. </w:t>
      </w:r>
    </w:p>
    <w:p w:rsidR="00E960B9" w:rsidRPr="003F130F" w:rsidRDefault="00E960B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Štúdie u ľudí ukazujú, že maximálna koncentrácia v komorovom moku sa dosahuje asi o 2 hodiny po lokálnom podaní. Po lokálnom podaní u opíc sa latanoprost primárne distribuuje do predného segmentu, spojoviek a do očných viečok. Len malé množstvo lieku sa dostane do zadného segmentu.</w:t>
      </w: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Kyselina latanoprostu sa prakticky v očiach nemetabolizuje. Ukázalo sa, že hlavné miesto</w:t>
      </w:r>
      <w:r>
        <w:rPr>
          <w:szCs w:val="22"/>
        </w:rPr>
        <w:t xml:space="preserve"> </w:t>
      </w:r>
      <w:r w:rsidRPr="003F130F">
        <w:rPr>
          <w:szCs w:val="22"/>
        </w:rPr>
        <w:t>metabolizmu je pečeň. Plazmatický polčas u  ľudí je 17 minút. Hlavné metabolity 1,2-dinor- a 1,2,3,4-tetranorové metabolity nevykazujú žiadnu alebo len slabú biologickú aktivitu v štúdiách na zvieratách a vylučujú sa predovšetkým močom.</w:t>
      </w:r>
    </w:p>
    <w:p w:rsidR="007D41F9" w:rsidRDefault="007D41F9" w:rsidP="00582DBE">
      <w:pPr>
        <w:rPr>
          <w:szCs w:val="22"/>
        </w:rPr>
      </w:pPr>
    </w:p>
    <w:p w:rsidR="00E960B9" w:rsidRPr="00A50DC8" w:rsidRDefault="00916B26" w:rsidP="00582DBE">
      <w:pPr>
        <w:pStyle w:val="Default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Pediatrická populácia:</w:t>
      </w:r>
      <w:r w:rsidR="00E960B9" w:rsidRPr="00A50DC8">
        <w:rPr>
          <w:i/>
          <w:iCs/>
          <w:sz w:val="22"/>
          <w:szCs w:val="22"/>
          <w:lang w:val="sk-SK"/>
        </w:rPr>
        <w:t xml:space="preserve"> </w:t>
      </w:r>
    </w:p>
    <w:p w:rsidR="00E960B9" w:rsidRPr="00A50DC8" w:rsidRDefault="00E960B9" w:rsidP="00582DBE">
      <w:pPr>
        <w:pStyle w:val="Default"/>
        <w:rPr>
          <w:sz w:val="22"/>
          <w:szCs w:val="22"/>
          <w:lang w:val="sk-SK"/>
        </w:rPr>
      </w:pPr>
      <w:r w:rsidRPr="00A50DC8">
        <w:rPr>
          <w:sz w:val="22"/>
          <w:szCs w:val="22"/>
          <w:lang w:val="sk-SK"/>
        </w:rPr>
        <w:t>U 22 dospelých a 25 pediatrických pacientov (od 0 do &lt;</w:t>
      </w:r>
      <w:r w:rsidR="00D6775D">
        <w:rPr>
          <w:sz w:val="22"/>
          <w:szCs w:val="22"/>
          <w:lang w:val="sk-SK"/>
        </w:rPr>
        <w:t xml:space="preserve"> </w:t>
      </w:r>
      <w:r w:rsidRPr="00A50DC8">
        <w:rPr>
          <w:sz w:val="22"/>
          <w:szCs w:val="22"/>
          <w:lang w:val="sk-SK"/>
        </w:rPr>
        <w:t>18 rokov) s očnou hypertenziou alebo glaukómom sa uskutočnila otvorená farmakokinetická štúdia plazmatických koncentrácií latanoprostovej kyseliny. Všetky vekové skupiny užívali latanoprost 0,005% jednu kvapku denne do každého oka počas minimálne dvoch týždňov. Systémová expozícia latanoprostovou kyselinou bola oproti dospelým približne 2-krát vyššia v skupine detí od 3 do &lt;</w:t>
      </w:r>
      <w:r w:rsidR="00D6775D">
        <w:rPr>
          <w:sz w:val="22"/>
          <w:szCs w:val="22"/>
          <w:lang w:val="sk-SK"/>
        </w:rPr>
        <w:t xml:space="preserve"> </w:t>
      </w:r>
      <w:r w:rsidRPr="00A50DC8">
        <w:rPr>
          <w:sz w:val="22"/>
          <w:szCs w:val="22"/>
          <w:lang w:val="sk-SK"/>
        </w:rPr>
        <w:t>12 rokov a 6-krát vyššia v skupine detí</w:t>
      </w:r>
      <w:r w:rsidR="00D6775D">
        <w:rPr>
          <w:sz w:val="22"/>
          <w:szCs w:val="22"/>
          <w:lang w:val="sk-SK"/>
        </w:rPr>
        <w:t xml:space="preserve"> vo veku </w:t>
      </w:r>
      <w:r w:rsidRPr="00A50DC8">
        <w:rPr>
          <w:sz w:val="22"/>
          <w:szCs w:val="22"/>
          <w:lang w:val="sk-SK"/>
        </w:rPr>
        <w:t>&lt;</w:t>
      </w:r>
      <w:r w:rsidR="00D6775D">
        <w:rPr>
          <w:sz w:val="22"/>
          <w:szCs w:val="22"/>
          <w:lang w:val="sk-SK"/>
        </w:rPr>
        <w:t xml:space="preserve"> </w:t>
      </w:r>
      <w:r w:rsidRPr="00A50DC8">
        <w:rPr>
          <w:sz w:val="22"/>
          <w:szCs w:val="22"/>
          <w:lang w:val="sk-SK"/>
        </w:rPr>
        <w:t>3 rokov v porovnaní s dospelými, avšak široký interval bezpečnosti pre systémové nežiaduce účinky sa zachoval (pozri časť 4.9). Priemerný čas do dosiahnutia maximáln</w:t>
      </w:r>
      <w:r w:rsidR="00D6775D">
        <w:rPr>
          <w:sz w:val="22"/>
          <w:szCs w:val="22"/>
          <w:lang w:val="sk-SK"/>
        </w:rPr>
        <w:t>ej</w:t>
      </w:r>
      <w:r w:rsidRPr="00A50DC8">
        <w:rPr>
          <w:sz w:val="22"/>
          <w:szCs w:val="22"/>
          <w:lang w:val="sk-SK"/>
        </w:rPr>
        <w:t xml:space="preserve"> plazmatick</w:t>
      </w:r>
      <w:r w:rsidR="00D6775D">
        <w:rPr>
          <w:sz w:val="22"/>
          <w:szCs w:val="22"/>
          <w:lang w:val="sk-SK"/>
        </w:rPr>
        <w:t>ej</w:t>
      </w:r>
      <w:r w:rsidRPr="00A50DC8">
        <w:rPr>
          <w:sz w:val="22"/>
          <w:szCs w:val="22"/>
          <w:lang w:val="sk-SK"/>
        </w:rPr>
        <w:t xml:space="preserve"> koncentráci</w:t>
      </w:r>
      <w:r w:rsidR="00D6775D">
        <w:rPr>
          <w:sz w:val="22"/>
          <w:szCs w:val="22"/>
          <w:lang w:val="sk-SK"/>
        </w:rPr>
        <w:t>e</w:t>
      </w:r>
      <w:r w:rsidRPr="00A50DC8">
        <w:rPr>
          <w:sz w:val="22"/>
          <w:szCs w:val="22"/>
          <w:lang w:val="sk-SK"/>
        </w:rPr>
        <w:t xml:space="preserve"> bol u všetkých vekových skupín 5 minút po podaní. </w:t>
      </w:r>
    </w:p>
    <w:p w:rsidR="00E960B9" w:rsidRDefault="00E960B9" w:rsidP="00582DBE">
      <w:pPr>
        <w:rPr>
          <w:szCs w:val="22"/>
        </w:rPr>
      </w:pPr>
      <w:r w:rsidRPr="00A50DC8">
        <w:rPr>
          <w:szCs w:val="22"/>
        </w:rPr>
        <w:t>Priemerný polčas eliminácie z plazmy bol krátky (&lt;</w:t>
      </w:r>
      <w:r w:rsidR="00D6775D">
        <w:rPr>
          <w:szCs w:val="22"/>
        </w:rPr>
        <w:t xml:space="preserve"> </w:t>
      </w:r>
      <w:r w:rsidRPr="00A50DC8">
        <w:rPr>
          <w:szCs w:val="22"/>
        </w:rPr>
        <w:t xml:space="preserve">20 minút) a podobný pre pediatrických a </w:t>
      </w:r>
    </w:p>
    <w:p w:rsidR="00E960B9" w:rsidRDefault="00E960B9" w:rsidP="00582DBE">
      <w:pPr>
        <w:rPr>
          <w:szCs w:val="22"/>
        </w:rPr>
      </w:pPr>
      <w:r w:rsidRPr="00A50DC8">
        <w:rPr>
          <w:szCs w:val="22"/>
        </w:rPr>
        <w:t xml:space="preserve">dospelých pacientov a nemal za následok akumuláciu latanoprostovej kyseliny za podmienok </w:t>
      </w:r>
    </w:p>
    <w:p w:rsidR="007D41F9" w:rsidRDefault="00E960B9" w:rsidP="00582DBE">
      <w:pPr>
        <w:rPr>
          <w:szCs w:val="22"/>
        </w:rPr>
      </w:pPr>
      <w:r w:rsidRPr="00A50DC8">
        <w:rPr>
          <w:szCs w:val="22"/>
        </w:rPr>
        <w:t>rovnovážneho stavu v systémovej cirkulácii</w:t>
      </w:r>
      <w:r w:rsidR="00D6775D">
        <w:rPr>
          <w:szCs w:val="22"/>
        </w:rPr>
        <w:t>.</w:t>
      </w:r>
    </w:p>
    <w:p w:rsidR="00E960B9" w:rsidRDefault="00E960B9" w:rsidP="00582DBE">
      <w:pPr>
        <w:rPr>
          <w:szCs w:val="22"/>
        </w:rPr>
      </w:pPr>
    </w:p>
    <w:p w:rsidR="007D41F9" w:rsidRDefault="007D41F9" w:rsidP="00582DBE">
      <w:pPr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 bezpečnosti</w:t>
      </w:r>
    </w:p>
    <w:p w:rsidR="007D41F9" w:rsidRDefault="007D41F9" w:rsidP="00582DBE">
      <w:pPr>
        <w:rPr>
          <w:szCs w:val="22"/>
        </w:rPr>
      </w:pPr>
    </w:p>
    <w:p w:rsidR="007D41F9" w:rsidRPr="003754A9" w:rsidRDefault="007D41F9" w:rsidP="00582DBE">
      <w:pPr>
        <w:ind w:left="0" w:firstLine="0"/>
        <w:rPr>
          <w:szCs w:val="22"/>
        </w:rPr>
      </w:pPr>
      <w:r w:rsidRPr="003754A9">
        <w:rPr>
          <w:szCs w:val="22"/>
        </w:rPr>
        <w:t>Očná aj systémová toxicita latanoprostu bola skúmaná u niekoľkých živočíšnych druhov. Vo všeobecnosti je latanoprost dobre tolerovaný a dávka spôsobujúca systémovú toxicitu je 1000-krát vyššia ako bežná klinická dávka. Ukázalo sa, že vysoké dávky latanoprostu, približne 100-násobok klinickej dávky/kg telesnej hmotnosti, podávané intravenózne opiciam bez anestézy spôsobujú zvýšenie respiračnej frekvencie pravdepodobne v dôsledku krátkotrvajúcej bronchokonstrikcie. V štúdiách na zvieratách sa neukázalo, že by mal latanoprost alergizujúce vlastnosti.</w:t>
      </w:r>
    </w:p>
    <w:p w:rsidR="007D41F9" w:rsidRDefault="007D41F9" w:rsidP="00582DBE">
      <w:pPr>
        <w:rPr>
          <w:szCs w:val="22"/>
        </w:rPr>
      </w:pP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Nepozorovali sa očné toxické účinky pri dávkach do 100 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g/oko/deň u králikov alebo u opíc (klinická dávka je približne 1,5 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g/oko/deň). Avšak ukázalo sa, že latanoprost u opíc indukuje zvýšenú pigmentáciu dúhovky.</w:t>
      </w:r>
      <w:r>
        <w:rPr>
          <w:szCs w:val="22"/>
        </w:rPr>
        <w:t xml:space="preserve"> </w:t>
      </w:r>
      <w:r w:rsidRPr="003F130F">
        <w:rPr>
          <w:szCs w:val="22"/>
        </w:rPr>
        <w:t>Mechanizmus zvýšenej pigmentácie sa pripisuje stimulácii produkcie melanínu v melanocytoch dúhovky bez pozorovania proliferatívnych zmien. Zmena farby dúhovky môže byť trvalá.</w:t>
      </w: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Štúdie chronickej očnej toxicity dokázali, že podávanie latanoprostu v dávke 6 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g/oko/deň indukovalo zväčšenie očnej štrbiny. Tento účinok je reverzibilný a vyskytuje sa pri dávkach presahujúcich úroveň klinickej dávky. Tento účinok nebol pozorovaný u ľudí.</w:t>
      </w:r>
    </w:p>
    <w:p w:rsidR="007D41F9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582DBE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Ukázalo sa, že latanoprost má negatívne výsledky reverzných mutačných testov u baktérií, génového mutačného testu u lymfómu myší a mikronukleálneho testu u myší. Chromozomálne aberácie boli pozorované v humánnych lymfocytoch </w:t>
      </w:r>
      <w:r w:rsidRPr="003F130F">
        <w:rPr>
          <w:i/>
          <w:szCs w:val="22"/>
        </w:rPr>
        <w:t>in vitro</w:t>
      </w:r>
      <w:r w:rsidRPr="003F130F">
        <w:rPr>
          <w:szCs w:val="22"/>
        </w:rPr>
        <w:t>. Podobné účinky boli pozorované pri  prirodzene sa vyskytujúcom prostaglandíne F</w:t>
      </w:r>
      <w:r w:rsidRPr="003F130F">
        <w:rPr>
          <w:szCs w:val="22"/>
          <w:vertAlign w:val="subscript"/>
        </w:rPr>
        <w:t>2</w:t>
      </w:r>
      <w:r w:rsidRPr="003F130F">
        <w:rPr>
          <w:szCs w:val="22"/>
          <w:vertAlign w:val="subscript"/>
        </w:rPr>
        <w:sym w:font="Symbol" w:char="F061"/>
      </w:r>
      <w:r w:rsidRPr="003F130F">
        <w:rPr>
          <w:szCs w:val="22"/>
        </w:rPr>
        <w:t xml:space="preserve"> a ukazuje sa, že ide o  tzv „class ef</w:t>
      </w:r>
      <w:r w:rsidR="00850BC7">
        <w:rPr>
          <w:szCs w:val="22"/>
        </w:rPr>
        <w:t>f</w:t>
      </w:r>
      <w:r w:rsidRPr="003F130F">
        <w:rPr>
          <w:szCs w:val="22"/>
        </w:rPr>
        <w:t>ect“.</w:t>
      </w:r>
    </w:p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Ďalšie štúdie na mutagenitu s </w:t>
      </w:r>
      <w:r w:rsidRPr="003F130F">
        <w:rPr>
          <w:i/>
          <w:szCs w:val="22"/>
        </w:rPr>
        <w:t>in vitro/in vivo</w:t>
      </w:r>
      <w:r w:rsidRPr="003F130F">
        <w:rPr>
          <w:szCs w:val="22"/>
        </w:rPr>
        <w:t xml:space="preserve"> mimoriadnou DNA syntézou u potkanov boli negatívne a dokazujú, že latanoprost nemá mutagénnu toxicitu. Štúdie na karcinogenitu u myší a potkanov boli negatívne.</w:t>
      </w:r>
    </w:p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 xml:space="preserve">V štúdiách </w:t>
      </w:r>
      <w:r w:rsidR="00850BC7">
        <w:rPr>
          <w:szCs w:val="22"/>
        </w:rPr>
        <w:t>na</w:t>
      </w:r>
      <w:r w:rsidRPr="003F130F">
        <w:rPr>
          <w:szCs w:val="22"/>
        </w:rPr>
        <w:t> zvierat</w:t>
      </w:r>
      <w:r w:rsidR="00850BC7">
        <w:rPr>
          <w:szCs w:val="22"/>
        </w:rPr>
        <w:t>ách</w:t>
      </w:r>
      <w:r w:rsidRPr="003F130F">
        <w:rPr>
          <w:szCs w:val="22"/>
        </w:rPr>
        <w:t xml:space="preserve"> sa nezistil žiadny účinok latanoprostu na fertilitu samcov alebo sam</w:t>
      </w:r>
      <w:r w:rsidR="00014E8F">
        <w:rPr>
          <w:szCs w:val="22"/>
        </w:rPr>
        <w:t>íc</w:t>
      </w:r>
      <w:r w:rsidRPr="003F130F">
        <w:rPr>
          <w:szCs w:val="22"/>
        </w:rPr>
        <w:t>. V štúdii embryotoxicity u potkanov nebola pozorovaná embryotoxicita pri intravenóznych dávkach (5, 50 a 250 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g/kg/deň) latanoprostu. Avšak dávky latanoprostu 5 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g/kg/deň a viac indukovali embryoletálne účinky u králikov.</w:t>
      </w: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Dávka 5 </w:t>
      </w:r>
      <w:r w:rsidRPr="003F130F">
        <w:rPr>
          <w:szCs w:val="22"/>
        </w:rPr>
        <w:sym w:font="Symbol" w:char="F06D"/>
      </w:r>
      <w:r w:rsidRPr="003F130F">
        <w:rPr>
          <w:szCs w:val="22"/>
        </w:rPr>
        <w:t>g/kg/deň (približne 100-násobok klinickej dávky) spôsobila preukázanú embryofetálnu toxicitu charakterizovanú zvýšeným výskytom neskorej resorpcie plodu a potratov ako aj nižšej hmotnosti plodu.</w:t>
      </w:r>
    </w:p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F130F">
        <w:rPr>
          <w:szCs w:val="22"/>
        </w:rPr>
        <w:t>Teratogénny potenciál sa nezistil.</w:t>
      </w:r>
    </w:p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:rsidR="007D41F9" w:rsidRDefault="007D41F9" w:rsidP="007071C3">
      <w:pPr>
        <w:rPr>
          <w:szCs w:val="22"/>
        </w:rPr>
      </w:pPr>
    </w:p>
    <w:p w:rsidR="007D41F9" w:rsidRDefault="007D41F9" w:rsidP="007071C3">
      <w:pPr>
        <w:rPr>
          <w:b/>
          <w:szCs w:val="22"/>
        </w:rPr>
      </w:pPr>
      <w:r>
        <w:rPr>
          <w:b/>
          <w:szCs w:val="22"/>
        </w:rPr>
        <w:lastRenderedPageBreak/>
        <w:t>6.</w:t>
      </w:r>
      <w:r>
        <w:rPr>
          <w:b/>
          <w:szCs w:val="22"/>
        </w:rPr>
        <w:tab/>
        <w:t>FARMACEUTICKÉ INFORMÁCIE</w:t>
      </w:r>
    </w:p>
    <w:p w:rsidR="007D41F9" w:rsidRDefault="007D41F9" w:rsidP="007071C3">
      <w:pPr>
        <w:rPr>
          <w:szCs w:val="22"/>
        </w:rPr>
      </w:pPr>
    </w:p>
    <w:p w:rsidR="007D41F9" w:rsidRDefault="007D41F9" w:rsidP="007071C3">
      <w:pPr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7D41F9" w:rsidRDefault="007D41F9" w:rsidP="007071C3"/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c</w:t>
      </w:r>
      <w:r w:rsidRPr="003F130F">
        <w:rPr>
          <w:szCs w:val="22"/>
        </w:rPr>
        <w:t xml:space="preserve">hlorid sodný </w:t>
      </w:r>
    </w:p>
    <w:p w:rsidR="007D41F9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rPr>
          <w:szCs w:val="22"/>
        </w:rPr>
        <w:t>roztok b</w:t>
      </w:r>
      <w:r w:rsidRPr="003F130F">
        <w:rPr>
          <w:szCs w:val="22"/>
        </w:rPr>
        <w:t>enzalkóniumchlorid</w:t>
      </w:r>
      <w:r>
        <w:rPr>
          <w:szCs w:val="22"/>
        </w:rPr>
        <w:t>u</w:t>
      </w:r>
    </w:p>
    <w:p w:rsidR="007D41F9" w:rsidRDefault="00F06C2A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>
        <w:t>dihydrogenfosforečnan sodný,</w:t>
      </w:r>
      <w:r>
        <w:rPr>
          <w:szCs w:val="22"/>
        </w:rPr>
        <w:t xml:space="preserve"> </w:t>
      </w:r>
      <w:r w:rsidR="007D41F9">
        <w:rPr>
          <w:szCs w:val="22"/>
        </w:rPr>
        <w:t>m</w:t>
      </w:r>
      <w:r w:rsidR="007D41F9" w:rsidRPr="003E7775">
        <w:rPr>
          <w:szCs w:val="22"/>
        </w:rPr>
        <w:t>onohydrát, E339a</w:t>
      </w:r>
      <w:r w:rsidR="007D41F9" w:rsidRPr="003F130F">
        <w:rPr>
          <w:szCs w:val="22"/>
        </w:rPr>
        <w:br/>
      </w:r>
      <w:r>
        <w:t xml:space="preserve">hydrogenfosforečnan sodný, </w:t>
      </w:r>
      <w:r w:rsidR="007D41F9" w:rsidRPr="003E7775">
        <w:rPr>
          <w:szCs w:val="22"/>
        </w:rPr>
        <w:t>bezvodý, E339b</w:t>
      </w:r>
    </w:p>
    <w:p w:rsidR="007D41F9" w:rsidRPr="003E7775" w:rsidRDefault="007D41F9" w:rsidP="007071C3">
      <w:pPr>
        <w:ind w:right="-2"/>
        <w:rPr>
          <w:szCs w:val="22"/>
        </w:rPr>
      </w:pPr>
      <w:r w:rsidRPr="003E7775">
        <w:rPr>
          <w:szCs w:val="22"/>
        </w:rPr>
        <w:t xml:space="preserve">kyselina chlorovodíková na </w:t>
      </w:r>
      <w:r w:rsidR="00F06C2A">
        <w:rPr>
          <w:szCs w:val="22"/>
        </w:rPr>
        <w:t xml:space="preserve">úpravu </w:t>
      </w:r>
      <w:r w:rsidRPr="003E7775">
        <w:rPr>
          <w:szCs w:val="22"/>
        </w:rPr>
        <w:t>pH,</w:t>
      </w:r>
    </w:p>
    <w:p w:rsidR="007D41F9" w:rsidRPr="003E7775" w:rsidRDefault="007D41F9" w:rsidP="007071C3">
      <w:pPr>
        <w:ind w:right="-2"/>
        <w:rPr>
          <w:szCs w:val="22"/>
        </w:rPr>
      </w:pPr>
      <w:r w:rsidRPr="003E7775">
        <w:rPr>
          <w:szCs w:val="22"/>
        </w:rPr>
        <w:t xml:space="preserve">hydroxid sodný na </w:t>
      </w:r>
      <w:r w:rsidR="00F06C2A">
        <w:rPr>
          <w:szCs w:val="22"/>
        </w:rPr>
        <w:t xml:space="preserve">úpravu </w:t>
      </w:r>
      <w:r w:rsidRPr="003E7775">
        <w:rPr>
          <w:szCs w:val="22"/>
        </w:rPr>
        <w:t>pH,</w:t>
      </w:r>
    </w:p>
    <w:p w:rsidR="007D41F9" w:rsidRPr="003F130F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3E7775">
        <w:rPr>
          <w:szCs w:val="22"/>
        </w:rPr>
        <w:t>voda na injekci</w:t>
      </w:r>
      <w:r w:rsidR="00F06C2A">
        <w:rPr>
          <w:szCs w:val="22"/>
        </w:rPr>
        <w:t>e</w:t>
      </w:r>
    </w:p>
    <w:p w:rsidR="007D41F9" w:rsidRDefault="007D41F9" w:rsidP="007071C3">
      <w:pPr>
        <w:rPr>
          <w:szCs w:val="22"/>
        </w:rPr>
      </w:pPr>
    </w:p>
    <w:p w:rsidR="007D41F9" w:rsidRDefault="007D41F9" w:rsidP="007071C3">
      <w:pPr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:rsidR="007D41F9" w:rsidRDefault="007D41F9" w:rsidP="007071C3">
      <w:pPr>
        <w:rPr>
          <w:szCs w:val="22"/>
        </w:rPr>
      </w:pPr>
    </w:p>
    <w:p w:rsidR="007D41F9" w:rsidRPr="003754A9" w:rsidRDefault="007D41F9" w:rsidP="007071C3">
      <w:pPr>
        <w:ind w:left="0" w:firstLine="0"/>
        <w:rPr>
          <w:szCs w:val="22"/>
        </w:rPr>
      </w:pPr>
      <w:r w:rsidRPr="003754A9">
        <w:rPr>
          <w:szCs w:val="22"/>
        </w:rPr>
        <w:t xml:space="preserve">Štúdie </w:t>
      </w:r>
      <w:r w:rsidRPr="003754A9">
        <w:rPr>
          <w:i/>
          <w:szCs w:val="22"/>
        </w:rPr>
        <w:t>in vitro</w:t>
      </w:r>
      <w:r w:rsidRPr="003754A9">
        <w:rPr>
          <w:szCs w:val="22"/>
        </w:rPr>
        <w:t xml:space="preserve"> ukázali, že ak sa latanoprost kombinuje s očnými instiláciami obsahujúcimi tiomerzal, dochádza ku precipitácii. Pri použití takýchto liekov má byť časový odstup medzi podaním jednotlivých očných instilácií aspoň päť minút. </w:t>
      </w:r>
    </w:p>
    <w:p w:rsidR="007D41F9" w:rsidRPr="00884EC0" w:rsidRDefault="007D41F9" w:rsidP="007071C3">
      <w:pPr>
        <w:rPr>
          <w:szCs w:val="22"/>
        </w:rPr>
      </w:pPr>
    </w:p>
    <w:p w:rsidR="007D41F9" w:rsidRPr="00884EC0" w:rsidRDefault="007D41F9" w:rsidP="007071C3">
      <w:pPr>
        <w:rPr>
          <w:szCs w:val="22"/>
        </w:rPr>
      </w:pPr>
      <w:r w:rsidRPr="00884EC0">
        <w:rPr>
          <w:b/>
          <w:szCs w:val="22"/>
        </w:rPr>
        <w:t>6.3</w:t>
      </w:r>
      <w:r w:rsidRPr="00884EC0">
        <w:rPr>
          <w:b/>
          <w:szCs w:val="22"/>
        </w:rPr>
        <w:tab/>
        <w:t>Čas použiteľnosti</w:t>
      </w:r>
    </w:p>
    <w:p w:rsidR="007D41F9" w:rsidRPr="00884EC0" w:rsidRDefault="007D41F9" w:rsidP="007071C3">
      <w:pPr>
        <w:rPr>
          <w:szCs w:val="22"/>
        </w:rPr>
      </w:pPr>
    </w:p>
    <w:p w:rsidR="007D41F9" w:rsidRPr="00884EC0" w:rsidRDefault="007D41F9" w:rsidP="007071C3">
      <w:pPr>
        <w:numPr>
          <w:ilvl w:val="12"/>
          <w:numId w:val="0"/>
        </w:numPr>
        <w:tabs>
          <w:tab w:val="left" w:pos="0"/>
        </w:tabs>
        <w:rPr>
          <w:b/>
          <w:szCs w:val="22"/>
        </w:rPr>
      </w:pPr>
      <w:r w:rsidRPr="00884EC0">
        <w:rPr>
          <w:bCs/>
          <w:szCs w:val="22"/>
        </w:rPr>
        <w:t>Čas použiteľnosti: 3</w:t>
      </w:r>
      <w:r w:rsidR="00CA008E" w:rsidRPr="00884EC0">
        <w:rPr>
          <w:bCs/>
          <w:szCs w:val="22"/>
        </w:rPr>
        <w:t xml:space="preserve"> roky</w:t>
      </w:r>
    </w:p>
    <w:p w:rsidR="007D41F9" w:rsidRPr="00884EC0" w:rsidRDefault="007D41F9" w:rsidP="007071C3">
      <w:pPr>
        <w:rPr>
          <w:szCs w:val="22"/>
        </w:rPr>
      </w:pPr>
      <w:r w:rsidRPr="00884EC0">
        <w:rPr>
          <w:bCs/>
          <w:szCs w:val="22"/>
        </w:rPr>
        <w:t>Čas použiteľnosti po prvom otvorení fľaštičky:</w:t>
      </w:r>
      <w:r w:rsidRPr="00884EC0">
        <w:rPr>
          <w:szCs w:val="22"/>
        </w:rPr>
        <w:t xml:space="preserve"> </w:t>
      </w:r>
      <w:r w:rsidR="00CC4DA2" w:rsidRPr="00884EC0">
        <w:rPr>
          <w:szCs w:val="22"/>
        </w:rPr>
        <w:t>28 dní</w:t>
      </w:r>
      <w:r w:rsidRPr="00884EC0">
        <w:rPr>
          <w:b/>
          <w:bCs/>
          <w:szCs w:val="22"/>
        </w:rPr>
        <w:t xml:space="preserve"> </w:t>
      </w:r>
      <w:r w:rsidRPr="00884EC0">
        <w:rPr>
          <w:szCs w:val="22"/>
        </w:rPr>
        <w:t xml:space="preserve"> </w:t>
      </w:r>
    </w:p>
    <w:p w:rsidR="007D41F9" w:rsidRPr="00884EC0" w:rsidRDefault="007D41F9" w:rsidP="007071C3"/>
    <w:p w:rsidR="007D41F9" w:rsidRPr="00884EC0" w:rsidRDefault="007D41F9" w:rsidP="007071C3">
      <w:pPr>
        <w:rPr>
          <w:szCs w:val="22"/>
        </w:rPr>
      </w:pPr>
      <w:r w:rsidRPr="00884EC0">
        <w:rPr>
          <w:b/>
          <w:szCs w:val="22"/>
        </w:rPr>
        <w:t>6.4</w:t>
      </w:r>
      <w:r w:rsidRPr="00884EC0">
        <w:rPr>
          <w:b/>
          <w:szCs w:val="22"/>
        </w:rPr>
        <w:tab/>
        <w:t>Špeciálne upozornenia na uchovávanie</w:t>
      </w:r>
    </w:p>
    <w:p w:rsidR="007D41F9" w:rsidRPr="00884EC0" w:rsidRDefault="007D41F9" w:rsidP="007071C3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D41F9" w:rsidRPr="00884EC0" w:rsidRDefault="007D41F9" w:rsidP="007071C3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84EC0">
        <w:rPr>
          <w:noProof/>
          <w:szCs w:val="22"/>
          <w:u w:val="single"/>
        </w:rPr>
        <w:t>Pred prvým otvorením</w:t>
      </w:r>
      <w:r w:rsidRPr="00884EC0">
        <w:rPr>
          <w:noProof/>
          <w:szCs w:val="22"/>
        </w:rPr>
        <w:t>: liek skladujte v chladničke (2ºC - 8ºC ). Chráňte pred mrazom. Fľaštičku uchovávajte vo vonkajšom obale na ochranu pred svetlom.</w:t>
      </w:r>
    </w:p>
    <w:p w:rsidR="007D41F9" w:rsidRPr="00884EC0" w:rsidRDefault="007D41F9" w:rsidP="007071C3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D41F9" w:rsidRPr="00AB0F9D" w:rsidRDefault="007D41F9" w:rsidP="007071C3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5C0F83">
        <w:rPr>
          <w:noProof/>
          <w:szCs w:val="22"/>
          <w:u w:val="single"/>
        </w:rPr>
        <w:t>Po prvom otvorení</w:t>
      </w:r>
      <w:r w:rsidRPr="00AB0F9D">
        <w:rPr>
          <w:noProof/>
          <w:szCs w:val="22"/>
        </w:rPr>
        <w:t xml:space="preserve">: 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AB0F9D">
          <w:rPr>
            <w:noProof/>
            <w:szCs w:val="22"/>
          </w:rPr>
          <w:t>25 °C</w:t>
        </w:r>
      </w:smartTag>
      <w:r w:rsidRPr="00AB0F9D">
        <w:rPr>
          <w:noProof/>
          <w:szCs w:val="22"/>
        </w:rPr>
        <w:t>.</w:t>
      </w:r>
    </w:p>
    <w:p w:rsidR="007D41F9" w:rsidRPr="00AB0F9D" w:rsidRDefault="007D41F9" w:rsidP="007071C3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AB0F9D">
        <w:rPr>
          <w:noProof/>
          <w:szCs w:val="22"/>
        </w:rPr>
        <w:t>Liek nepoužívajte dlhšie ako 28 dní od prvého otvorenia.</w:t>
      </w:r>
    </w:p>
    <w:p w:rsidR="007D41F9" w:rsidRDefault="007D41F9" w:rsidP="007071C3"/>
    <w:p w:rsidR="007D41F9" w:rsidRDefault="007D41F9" w:rsidP="007071C3">
      <w:pPr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 obsah balenia</w:t>
      </w:r>
      <w:r>
        <w:rPr>
          <w:b/>
          <w:color w:val="0000FF"/>
          <w:szCs w:val="22"/>
        </w:rPr>
        <w:t xml:space="preserve"> </w:t>
      </w:r>
    </w:p>
    <w:p w:rsidR="007D41F9" w:rsidRPr="00884EC0" w:rsidRDefault="007D41F9" w:rsidP="007071C3">
      <w:pPr>
        <w:rPr>
          <w:szCs w:val="22"/>
        </w:rPr>
      </w:pPr>
    </w:p>
    <w:p w:rsidR="007D41F9" w:rsidRPr="00884EC0" w:rsidRDefault="007D41F9" w:rsidP="007071C3">
      <w:pPr>
        <w:pStyle w:val="Zkladntext"/>
        <w:rPr>
          <w:noProof/>
          <w:szCs w:val="22"/>
        </w:rPr>
      </w:pPr>
      <w:r w:rsidRPr="00884EC0">
        <w:rPr>
          <w:noProof/>
          <w:szCs w:val="22"/>
        </w:rPr>
        <w:t>Polyetylénová fľaštička s kvapkadlom, polypropylénový uzáver so závitom a bezpečnostným prúžkom z polyetylénu, etiketa. Fľaštičky sa balia do papierových skladačiek spolu s písomnou informáciou pre používateľa lieku.</w:t>
      </w:r>
    </w:p>
    <w:p w:rsidR="007D41F9" w:rsidRPr="00884EC0" w:rsidRDefault="007D41F9" w:rsidP="007071C3">
      <w:pPr>
        <w:rPr>
          <w:szCs w:val="22"/>
        </w:rPr>
      </w:pPr>
    </w:p>
    <w:p w:rsidR="007D41F9" w:rsidRPr="00884EC0" w:rsidRDefault="007D41F9" w:rsidP="007071C3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884EC0">
        <w:rPr>
          <w:szCs w:val="22"/>
        </w:rPr>
        <w:t>Jedna fľaštička obsahuje 2,5 ml očnej roztokovej instilácie, čo zodpovedá približne 80 kvapkám roztoku.</w:t>
      </w:r>
    </w:p>
    <w:p w:rsidR="007D41F9" w:rsidRPr="00884EC0" w:rsidRDefault="007D41F9" w:rsidP="007071C3"/>
    <w:p w:rsidR="007D41F9" w:rsidRPr="00884EC0" w:rsidRDefault="007D41F9" w:rsidP="007071C3">
      <w:pPr>
        <w:rPr>
          <w:szCs w:val="22"/>
        </w:rPr>
      </w:pPr>
      <w:r w:rsidRPr="00884EC0">
        <w:rPr>
          <w:b/>
          <w:bCs/>
          <w:iCs/>
          <w:szCs w:val="22"/>
        </w:rPr>
        <w:t>Veľkosť balenia:</w:t>
      </w:r>
      <w:r w:rsidRPr="00884EC0">
        <w:rPr>
          <w:szCs w:val="22"/>
        </w:rPr>
        <w:t xml:space="preserve"> </w:t>
      </w:r>
      <w:r w:rsidRPr="00884EC0">
        <w:rPr>
          <w:szCs w:val="22"/>
        </w:rPr>
        <w:tab/>
        <w:t>1 x 2,5 ml</w:t>
      </w:r>
    </w:p>
    <w:p w:rsidR="007D41F9" w:rsidRPr="00884EC0" w:rsidRDefault="007D41F9" w:rsidP="007071C3">
      <w:pPr>
        <w:ind w:left="1557" w:firstLine="567"/>
        <w:rPr>
          <w:szCs w:val="22"/>
        </w:rPr>
      </w:pPr>
      <w:r w:rsidRPr="00884EC0">
        <w:rPr>
          <w:szCs w:val="22"/>
        </w:rPr>
        <w:t>3 x 2,5 ml</w:t>
      </w:r>
    </w:p>
    <w:p w:rsidR="007D41F9" w:rsidRPr="00884EC0" w:rsidRDefault="007D41F9" w:rsidP="007071C3"/>
    <w:p w:rsidR="007D41F9" w:rsidRPr="003F130F" w:rsidRDefault="007D41F9" w:rsidP="007071C3">
      <w:pPr>
        <w:rPr>
          <w:szCs w:val="22"/>
        </w:rPr>
      </w:pPr>
      <w:r w:rsidRPr="003F130F">
        <w:rPr>
          <w:szCs w:val="22"/>
        </w:rPr>
        <w:t>N</w:t>
      </w:r>
      <w:r w:rsidR="00CC4DA2">
        <w:rPr>
          <w:szCs w:val="22"/>
        </w:rPr>
        <w:t>a trh nemusia byť uvedené všetky veľkosti balenia.</w:t>
      </w:r>
    </w:p>
    <w:p w:rsidR="007D41F9" w:rsidRDefault="007D41F9" w:rsidP="007D41F9"/>
    <w:p w:rsidR="007D41F9" w:rsidRDefault="007D41F9" w:rsidP="007D41F9"/>
    <w:p w:rsidR="007D41F9" w:rsidRDefault="007D41F9" w:rsidP="007071C3">
      <w:pPr>
        <w:rPr>
          <w:b/>
          <w:bCs/>
          <w:noProof/>
          <w:lang w:val="pl-PL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>
        <w:rPr>
          <w:b/>
          <w:bCs/>
          <w:noProof/>
          <w:lang w:val="pl-PL"/>
        </w:rPr>
        <w:t>Špeciálne opatrenia na likvidáciu</w:t>
      </w:r>
      <w:r>
        <w:rPr>
          <w:b/>
          <w:szCs w:val="22"/>
        </w:rPr>
        <w:t xml:space="preserve"> </w:t>
      </w:r>
      <w:r>
        <w:rPr>
          <w:b/>
          <w:bCs/>
          <w:noProof/>
          <w:lang w:val="pl-PL"/>
        </w:rPr>
        <w:t>a iné zaobchádzanie s liekom</w:t>
      </w:r>
    </w:p>
    <w:p w:rsidR="007D41F9" w:rsidRDefault="007D41F9" w:rsidP="007071C3">
      <w:pPr>
        <w:rPr>
          <w:b/>
          <w:bCs/>
          <w:noProof/>
          <w:lang w:val="pl-PL"/>
        </w:rPr>
      </w:pPr>
    </w:p>
    <w:p w:rsidR="0047184C" w:rsidRDefault="00F06C2A" w:rsidP="007071C3">
      <w:pPr>
        <w:ind w:left="0" w:firstLine="0"/>
      </w:pPr>
      <w:r w:rsidRPr="00A72672">
        <w:t>Všetok nepoužitý liek alebo odpad vzniknutý z</w:t>
      </w:r>
      <w:r>
        <w:t> </w:t>
      </w:r>
      <w:r w:rsidRPr="00BF5AB0">
        <w:t>lieku sa má zlikvidovať v súlade s</w:t>
      </w:r>
      <w:r w:rsidR="0047184C">
        <w:t> </w:t>
      </w:r>
      <w:r w:rsidRPr="00BF5AB0">
        <w:t>národnými</w:t>
      </w:r>
    </w:p>
    <w:p w:rsidR="007D41F9" w:rsidRDefault="00BE31F8" w:rsidP="007071C3">
      <w:pPr>
        <w:rPr>
          <w:szCs w:val="22"/>
        </w:rPr>
      </w:pPr>
      <w:r>
        <w:t>p</w:t>
      </w:r>
      <w:r w:rsidR="00F06C2A" w:rsidRPr="00BF5AB0">
        <w:t>ožiadavkami</w:t>
      </w:r>
      <w:r w:rsidR="00967F2E">
        <w:t>.</w:t>
      </w:r>
      <w:r w:rsidR="00F06C2A" w:rsidDel="00F06C2A">
        <w:rPr>
          <w:noProof/>
        </w:rPr>
        <w:t xml:space="preserve"> </w:t>
      </w:r>
    </w:p>
    <w:p w:rsidR="004D5668" w:rsidRDefault="004D5668" w:rsidP="007071C3">
      <w:pPr>
        <w:rPr>
          <w:b/>
          <w:szCs w:val="22"/>
        </w:rPr>
      </w:pPr>
    </w:p>
    <w:p w:rsidR="00356072" w:rsidRDefault="00356072" w:rsidP="007071C3">
      <w:pPr>
        <w:rPr>
          <w:b/>
          <w:szCs w:val="22"/>
        </w:rPr>
      </w:pPr>
    </w:p>
    <w:p w:rsidR="007D41F9" w:rsidRDefault="007D41F9" w:rsidP="00884EC0">
      <w:pPr>
        <w:keepNext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 REGISTRÁCII</w:t>
      </w:r>
    </w:p>
    <w:p w:rsidR="007D41F9" w:rsidRDefault="007D41F9" w:rsidP="00884EC0">
      <w:pPr>
        <w:keepNext/>
        <w:rPr>
          <w:szCs w:val="22"/>
        </w:rPr>
      </w:pPr>
    </w:p>
    <w:p w:rsidR="007D41F9" w:rsidRPr="00D71275" w:rsidRDefault="007D41F9" w:rsidP="00884EC0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D71275">
        <w:rPr>
          <w:noProof/>
          <w:szCs w:val="22"/>
        </w:rPr>
        <w:t>UNIMED PHARMA spol. s r.o. Oriešková11, 821 05, BRATISLAVA, Slovenská republika</w:t>
      </w:r>
    </w:p>
    <w:p w:rsidR="00E960B9" w:rsidRPr="002226DB" w:rsidRDefault="00E960B9" w:rsidP="00884EC0">
      <w:pPr>
        <w:keepNext/>
        <w:rPr>
          <w:noProof/>
          <w:szCs w:val="22"/>
        </w:rPr>
      </w:pPr>
      <w:r w:rsidRPr="002226DB">
        <w:rPr>
          <w:noProof/>
          <w:szCs w:val="22"/>
        </w:rPr>
        <w:lastRenderedPageBreak/>
        <w:t>Tel.: +421 2 4333 3786</w:t>
      </w:r>
    </w:p>
    <w:p w:rsidR="00E960B9" w:rsidRPr="002226DB" w:rsidRDefault="00E960B9" w:rsidP="00884EC0">
      <w:pPr>
        <w:keepNext/>
        <w:rPr>
          <w:noProof/>
          <w:szCs w:val="22"/>
        </w:rPr>
      </w:pPr>
      <w:r w:rsidRPr="002226DB">
        <w:rPr>
          <w:noProof/>
          <w:szCs w:val="22"/>
        </w:rPr>
        <w:t>Fax: +421 2 4363 8743</w:t>
      </w:r>
    </w:p>
    <w:p w:rsidR="00E960B9" w:rsidRPr="002226DB" w:rsidRDefault="00E960B9" w:rsidP="00884EC0">
      <w:pPr>
        <w:keepNext/>
        <w:rPr>
          <w:noProof/>
          <w:szCs w:val="22"/>
        </w:rPr>
      </w:pPr>
      <w:r w:rsidRPr="002226DB">
        <w:rPr>
          <w:noProof/>
          <w:szCs w:val="22"/>
        </w:rPr>
        <w:t xml:space="preserve">e-mail: </w:t>
      </w:r>
      <w:hyperlink r:id="rId15" w:history="1">
        <w:r w:rsidRPr="002226DB">
          <w:rPr>
            <w:noProof/>
            <w:szCs w:val="22"/>
          </w:rPr>
          <w:t>unimedpharma@unimedpharma.sk</w:t>
        </w:r>
      </w:hyperlink>
    </w:p>
    <w:p w:rsidR="00E960B9" w:rsidRPr="00A87B42" w:rsidRDefault="00884EC0" w:rsidP="007071C3">
      <w:pPr>
        <w:rPr>
          <w:szCs w:val="22"/>
        </w:rPr>
      </w:pPr>
      <w:hyperlink r:id="rId16" w:history="1">
        <w:r w:rsidR="00E960B9" w:rsidRPr="002226DB">
          <w:rPr>
            <w:noProof/>
            <w:szCs w:val="22"/>
          </w:rPr>
          <w:t>www.unimedpharma.eu</w:t>
        </w:r>
      </w:hyperlink>
    </w:p>
    <w:p w:rsidR="007D41F9" w:rsidRDefault="007D41F9" w:rsidP="007071C3">
      <w:pPr>
        <w:ind w:left="0" w:firstLine="0"/>
        <w:rPr>
          <w:szCs w:val="22"/>
        </w:rPr>
      </w:pPr>
    </w:p>
    <w:p w:rsidR="000A5416" w:rsidRPr="00884EC0" w:rsidRDefault="000A5416" w:rsidP="007071C3">
      <w:pPr>
        <w:rPr>
          <w:szCs w:val="22"/>
        </w:rPr>
      </w:pPr>
    </w:p>
    <w:p w:rsidR="007D41F9" w:rsidRDefault="007D41F9" w:rsidP="007071C3">
      <w:pPr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 xml:space="preserve">REGISTRAČNÉ ČÍSLO </w:t>
      </w:r>
    </w:p>
    <w:p w:rsidR="007D41F9" w:rsidRDefault="007D41F9" w:rsidP="007D41F9">
      <w:pPr>
        <w:rPr>
          <w:i/>
        </w:rPr>
      </w:pPr>
    </w:p>
    <w:p w:rsidR="007D41F9" w:rsidRPr="007D41F9" w:rsidRDefault="007D41F9" w:rsidP="007D41F9">
      <w:r>
        <w:t>64/0542/09-S</w:t>
      </w:r>
    </w:p>
    <w:p w:rsidR="007D41F9" w:rsidRPr="00884EC0" w:rsidRDefault="007D41F9" w:rsidP="007D41F9">
      <w:pPr>
        <w:rPr>
          <w:szCs w:val="22"/>
        </w:rPr>
      </w:pPr>
    </w:p>
    <w:p w:rsidR="004D5668" w:rsidRPr="00884EC0" w:rsidRDefault="004D5668" w:rsidP="007D41F9">
      <w:pPr>
        <w:rPr>
          <w:szCs w:val="22"/>
        </w:rPr>
      </w:pPr>
    </w:p>
    <w:p w:rsidR="007D41F9" w:rsidRDefault="007D41F9" w:rsidP="007D41F9">
      <w:pPr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 PREDĹŽENIA REGISTRÁCIE</w:t>
      </w:r>
    </w:p>
    <w:p w:rsidR="00E960B9" w:rsidRPr="00884EC0" w:rsidRDefault="00E960B9" w:rsidP="007D41F9">
      <w:pPr>
        <w:rPr>
          <w:szCs w:val="22"/>
        </w:rPr>
      </w:pPr>
    </w:p>
    <w:p w:rsidR="00E960B9" w:rsidRPr="00884EC0" w:rsidRDefault="00E960B9" w:rsidP="00E960B9">
      <w:pPr>
        <w:rPr>
          <w:szCs w:val="22"/>
        </w:rPr>
      </w:pPr>
      <w:r w:rsidRPr="00884EC0">
        <w:rPr>
          <w:szCs w:val="22"/>
        </w:rPr>
        <w:t>Dátum prvej registrácie:</w:t>
      </w:r>
      <w:r w:rsidR="00BA733C" w:rsidRPr="00884EC0">
        <w:rPr>
          <w:szCs w:val="22"/>
        </w:rPr>
        <w:t xml:space="preserve"> 16.</w:t>
      </w:r>
      <w:r w:rsidR="00F06C2A" w:rsidRPr="00884EC0">
        <w:rPr>
          <w:szCs w:val="22"/>
        </w:rPr>
        <w:t xml:space="preserve"> septembra </w:t>
      </w:r>
      <w:r w:rsidR="00BA733C" w:rsidRPr="00884EC0">
        <w:rPr>
          <w:szCs w:val="22"/>
        </w:rPr>
        <w:t>2009</w:t>
      </w:r>
    </w:p>
    <w:p w:rsidR="007D41F9" w:rsidRPr="00884EC0" w:rsidRDefault="00E960B9" w:rsidP="00E960B9">
      <w:pPr>
        <w:rPr>
          <w:szCs w:val="22"/>
        </w:rPr>
      </w:pPr>
      <w:r w:rsidRPr="00884EC0">
        <w:rPr>
          <w:szCs w:val="22"/>
        </w:rPr>
        <w:t xml:space="preserve">Dátum posledného </w:t>
      </w:r>
      <w:r w:rsidR="004D5668" w:rsidRPr="00884EC0">
        <w:rPr>
          <w:szCs w:val="22"/>
        </w:rPr>
        <w:t>predĺženia</w:t>
      </w:r>
      <w:r w:rsidR="00555B8E" w:rsidRPr="00884EC0">
        <w:rPr>
          <w:szCs w:val="22"/>
        </w:rPr>
        <w:t xml:space="preserve"> registrácie</w:t>
      </w:r>
      <w:r w:rsidRPr="00884EC0">
        <w:rPr>
          <w:szCs w:val="22"/>
        </w:rPr>
        <w:t>:</w:t>
      </w:r>
      <w:r w:rsidR="008C6EB8" w:rsidRPr="00884EC0">
        <w:rPr>
          <w:szCs w:val="22"/>
        </w:rPr>
        <w:t xml:space="preserve"> 23.</w:t>
      </w:r>
      <w:r w:rsidR="00F06C2A" w:rsidRPr="00884EC0">
        <w:rPr>
          <w:szCs w:val="22"/>
        </w:rPr>
        <w:t xml:space="preserve"> decembra </w:t>
      </w:r>
      <w:r w:rsidR="008C6EB8" w:rsidRPr="00884EC0">
        <w:rPr>
          <w:szCs w:val="22"/>
        </w:rPr>
        <w:t>2014</w:t>
      </w:r>
    </w:p>
    <w:p w:rsidR="007D41F9" w:rsidRPr="00884EC0" w:rsidRDefault="007D41F9" w:rsidP="007D41F9">
      <w:pPr>
        <w:rPr>
          <w:szCs w:val="22"/>
        </w:rPr>
      </w:pPr>
    </w:p>
    <w:p w:rsidR="004D5668" w:rsidRPr="00884EC0" w:rsidRDefault="004D5668" w:rsidP="007D41F9">
      <w:pPr>
        <w:rPr>
          <w:szCs w:val="22"/>
        </w:rPr>
      </w:pPr>
    </w:p>
    <w:p w:rsidR="007D41F9" w:rsidRDefault="007D41F9" w:rsidP="007D41F9">
      <w:pPr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7D41F9" w:rsidRDefault="007D41F9" w:rsidP="007D41F9">
      <w:pPr>
        <w:rPr>
          <w:noProof/>
          <w:szCs w:val="22"/>
        </w:rPr>
      </w:pPr>
    </w:p>
    <w:p w:rsidR="007D41F9" w:rsidRPr="000A5416" w:rsidRDefault="00F06C2A" w:rsidP="007D41F9">
      <w:pPr>
        <w:ind w:left="0" w:right="-2" w:firstLine="0"/>
        <w:rPr>
          <w:noProof/>
          <w:szCs w:val="22"/>
        </w:rPr>
      </w:pPr>
      <w:r>
        <w:rPr>
          <w:noProof/>
          <w:szCs w:val="22"/>
        </w:rPr>
        <w:t>September</w:t>
      </w:r>
      <w:bookmarkStart w:id="3" w:name="_GoBack"/>
      <w:r>
        <w:rPr>
          <w:noProof/>
          <w:szCs w:val="22"/>
        </w:rPr>
        <w:t xml:space="preserve"> </w:t>
      </w:r>
      <w:bookmarkEnd w:id="3"/>
      <w:r>
        <w:rPr>
          <w:noProof/>
          <w:szCs w:val="22"/>
        </w:rPr>
        <w:t>2018</w:t>
      </w:r>
    </w:p>
    <w:sectPr w:rsidR="007D41F9" w:rsidRPr="000A541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93" w:rsidRDefault="00813893" w:rsidP="003440FE">
      <w:r>
        <w:separator/>
      </w:r>
    </w:p>
  </w:endnote>
  <w:endnote w:type="continuationSeparator" w:id="0">
    <w:p w:rsidR="00813893" w:rsidRDefault="00813893" w:rsidP="003440FE">
      <w:r>
        <w:continuationSeparator/>
      </w:r>
    </w:p>
  </w:endnote>
  <w:endnote w:type="continuationNotice" w:id="1">
    <w:p w:rsidR="00813893" w:rsidRDefault="00813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3812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06C2A" w:rsidRPr="00884EC0" w:rsidRDefault="00F06C2A">
        <w:pPr>
          <w:pStyle w:val="Pta"/>
          <w:jc w:val="center"/>
          <w:rPr>
            <w:sz w:val="18"/>
            <w:szCs w:val="18"/>
          </w:rPr>
        </w:pPr>
        <w:r w:rsidRPr="00884EC0">
          <w:rPr>
            <w:sz w:val="18"/>
            <w:szCs w:val="18"/>
          </w:rPr>
          <w:fldChar w:fldCharType="begin"/>
        </w:r>
        <w:r w:rsidRPr="00884EC0">
          <w:rPr>
            <w:sz w:val="18"/>
            <w:szCs w:val="18"/>
          </w:rPr>
          <w:instrText>PAGE   \* MERGEFORMAT</w:instrText>
        </w:r>
        <w:r w:rsidRPr="00884EC0">
          <w:rPr>
            <w:sz w:val="18"/>
            <w:szCs w:val="18"/>
          </w:rPr>
          <w:fldChar w:fldCharType="separate"/>
        </w:r>
        <w:r w:rsidR="00884EC0">
          <w:rPr>
            <w:noProof/>
            <w:sz w:val="18"/>
            <w:szCs w:val="18"/>
          </w:rPr>
          <w:t>8</w:t>
        </w:r>
        <w:r w:rsidRPr="00884EC0">
          <w:rPr>
            <w:sz w:val="18"/>
            <w:szCs w:val="18"/>
          </w:rPr>
          <w:fldChar w:fldCharType="end"/>
        </w:r>
      </w:p>
    </w:sdtContent>
  </w:sdt>
  <w:p w:rsidR="001D1417" w:rsidRDefault="001D1417" w:rsidP="00884E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93" w:rsidRDefault="00813893" w:rsidP="003440FE">
      <w:r>
        <w:separator/>
      </w:r>
    </w:p>
  </w:footnote>
  <w:footnote w:type="continuationSeparator" w:id="0">
    <w:p w:rsidR="00813893" w:rsidRDefault="00813893" w:rsidP="003440FE">
      <w:r>
        <w:continuationSeparator/>
      </w:r>
    </w:p>
  </w:footnote>
  <w:footnote w:type="continuationNotice" w:id="1">
    <w:p w:rsidR="00813893" w:rsidRDefault="008138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FE" w:rsidRDefault="003440FE" w:rsidP="00884EC0">
    <w:pPr>
      <w:pStyle w:val="Hlavika"/>
    </w:pPr>
    <w:bookmarkStart w:id="4" w:name="OLE_LINK18"/>
    <w:bookmarkStart w:id="5" w:name="OLE_LINK19"/>
    <w:bookmarkStart w:id="6" w:name="OLE_LINK20"/>
    <w:r>
      <w:rPr>
        <w:bCs/>
        <w:sz w:val="18"/>
        <w:szCs w:val="18"/>
      </w:rPr>
      <w:t>Príloha č.1 k notifikácii o zmene, ev. č.:</w:t>
    </w:r>
    <w:bookmarkEnd w:id="4"/>
    <w:bookmarkEnd w:id="5"/>
    <w:bookmarkEnd w:id="6"/>
    <w:r w:rsidR="001D1417">
      <w:rPr>
        <w:bCs/>
        <w:sz w:val="18"/>
        <w:szCs w:val="18"/>
      </w:rPr>
      <w:t xml:space="preserve"> 2018/04235-ZIB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CFF"/>
    <w:multiLevelType w:val="hybridMultilevel"/>
    <w:tmpl w:val="2F66B26A"/>
    <w:lvl w:ilvl="0" w:tplc="442EE6D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1F9"/>
    <w:rsid w:val="000013F7"/>
    <w:rsid w:val="0000349F"/>
    <w:rsid w:val="00003CCB"/>
    <w:rsid w:val="00012552"/>
    <w:rsid w:val="00012B17"/>
    <w:rsid w:val="00014E8F"/>
    <w:rsid w:val="00016063"/>
    <w:rsid w:val="00016E08"/>
    <w:rsid w:val="00021197"/>
    <w:rsid w:val="00022124"/>
    <w:rsid w:val="00022A76"/>
    <w:rsid w:val="00025EE4"/>
    <w:rsid w:val="000315DB"/>
    <w:rsid w:val="00036422"/>
    <w:rsid w:val="000372BF"/>
    <w:rsid w:val="00041C12"/>
    <w:rsid w:val="00055A5E"/>
    <w:rsid w:val="000578BD"/>
    <w:rsid w:val="000620C5"/>
    <w:rsid w:val="00066567"/>
    <w:rsid w:val="00075B42"/>
    <w:rsid w:val="00076034"/>
    <w:rsid w:val="00080ABE"/>
    <w:rsid w:val="00081D53"/>
    <w:rsid w:val="00085AE3"/>
    <w:rsid w:val="0009293A"/>
    <w:rsid w:val="00096637"/>
    <w:rsid w:val="000A123E"/>
    <w:rsid w:val="000A4AEA"/>
    <w:rsid w:val="000A5416"/>
    <w:rsid w:val="000A5D86"/>
    <w:rsid w:val="000A67DA"/>
    <w:rsid w:val="000B11B5"/>
    <w:rsid w:val="000B1340"/>
    <w:rsid w:val="000B28AD"/>
    <w:rsid w:val="000B5633"/>
    <w:rsid w:val="000B5B9E"/>
    <w:rsid w:val="000B7FDC"/>
    <w:rsid w:val="000C2959"/>
    <w:rsid w:val="000D2027"/>
    <w:rsid w:val="000D5E33"/>
    <w:rsid w:val="000E0FBD"/>
    <w:rsid w:val="000E2589"/>
    <w:rsid w:val="000E3679"/>
    <w:rsid w:val="000E4711"/>
    <w:rsid w:val="000E482D"/>
    <w:rsid w:val="000E5AEB"/>
    <w:rsid w:val="000E72C8"/>
    <w:rsid w:val="000E7FFB"/>
    <w:rsid w:val="000F0761"/>
    <w:rsid w:val="000F7E27"/>
    <w:rsid w:val="0010027C"/>
    <w:rsid w:val="00101484"/>
    <w:rsid w:val="001042D9"/>
    <w:rsid w:val="00107166"/>
    <w:rsid w:val="001110F3"/>
    <w:rsid w:val="00113C7C"/>
    <w:rsid w:val="00113E0D"/>
    <w:rsid w:val="00120503"/>
    <w:rsid w:val="001210D7"/>
    <w:rsid w:val="001217D9"/>
    <w:rsid w:val="001243E2"/>
    <w:rsid w:val="00124A84"/>
    <w:rsid w:val="00130E0F"/>
    <w:rsid w:val="001325E9"/>
    <w:rsid w:val="00132DD2"/>
    <w:rsid w:val="001339FF"/>
    <w:rsid w:val="00134965"/>
    <w:rsid w:val="0013542E"/>
    <w:rsid w:val="00137432"/>
    <w:rsid w:val="00137640"/>
    <w:rsid w:val="0014064E"/>
    <w:rsid w:val="00140758"/>
    <w:rsid w:val="00141F17"/>
    <w:rsid w:val="00145B98"/>
    <w:rsid w:val="001510EA"/>
    <w:rsid w:val="00151210"/>
    <w:rsid w:val="00153D5F"/>
    <w:rsid w:val="00153E6F"/>
    <w:rsid w:val="0015681C"/>
    <w:rsid w:val="00163A54"/>
    <w:rsid w:val="00164A27"/>
    <w:rsid w:val="001659E3"/>
    <w:rsid w:val="00167515"/>
    <w:rsid w:val="00167F67"/>
    <w:rsid w:val="00173C2E"/>
    <w:rsid w:val="00177630"/>
    <w:rsid w:val="00184BB6"/>
    <w:rsid w:val="00185A29"/>
    <w:rsid w:val="00186D65"/>
    <w:rsid w:val="00186F05"/>
    <w:rsid w:val="00186F87"/>
    <w:rsid w:val="00187362"/>
    <w:rsid w:val="00191574"/>
    <w:rsid w:val="001A2394"/>
    <w:rsid w:val="001A31BA"/>
    <w:rsid w:val="001A3B47"/>
    <w:rsid w:val="001B4C5C"/>
    <w:rsid w:val="001B79A6"/>
    <w:rsid w:val="001C0A8A"/>
    <w:rsid w:val="001C5BA2"/>
    <w:rsid w:val="001D1417"/>
    <w:rsid w:val="001D1A2B"/>
    <w:rsid w:val="001D2E81"/>
    <w:rsid w:val="001D60FD"/>
    <w:rsid w:val="001D767C"/>
    <w:rsid w:val="001E1C5A"/>
    <w:rsid w:val="001E2322"/>
    <w:rsid w:val="001E3A3B"/>
    <w:rsid w:val="001E4544"/>
    <w:rsid w:val="001F0957"/>
    <w:rsid w:val="001F2E96"/>
    <w:rsid w:val="001F2F17"/>
    <w:rsid w:val="001F3891"/>
    <w:rsid w:val="001F3FEC"/>
    <w:rsid w:val="001F622A"/>
    <w:rsid w:val="001F7C3B"/>
    <w:rsid w:val="00201072"/>
    <w:rsid w:val="00211F4A"/>
    <w:rsid w:val="00213E02"/>
    <w:rsid w:val="00214580"/>
    <w:rsid w:val="00215110"/>
    <w:rsid w:val="00215CE5"/>
    <w:rsid w:val="0021712B"/>
    <w:rsid w:val="00217AF4"/>
    <w:rsid w:val="002247FC"/>
    <w:rsid w:val="002277F1"/>
    <w:rsid w:val="002325A4"/>
    <w:rsid w:val="00232B36"/>
    <w:rsid w:val="00237E74"/>
    <w:rsid w:val="0024144D"/>
    <w:rsid w:val="00241A66"/>
    <w:rsid w:val="002423FA"/>
    <w:rsid w:val="00250830"/>
    <w:rsid w:val="00261353"/>
    <w:rsid w:val="002811F3"/>
    <w:rsid w:val="0028439B"/>
    <w:rsid w:val="00284C21"/>
    <w:rsid w:val="00285AC5"/>
    <w:rsid w:val="00294782"/>
    <w:rsid w:val="0029521F"/>
    <w:rsid w:val="0029628F"/>
    <w:rsid w:val="002A5406"/>
    <w:rsid w:val="002A6986"/>
    <w:rsid w:val="002B12F4"/>
    <w:rsid w:val="002B3DEA"/>
    <w:rsid w:val="002B4783"/>
    <w:rsid w:val="002B5B48"/>
    <w:rsid w:val="002C1F82"/>
    <w:rsid w:val="002C66F6"/>
    <w:rsid w:val="002D0012"/>
    <w:rsid w:val="002E08BC"/>
    <w:rsid w:val="002E21F5"/>
    <w:rsid w:val="002E4B0C"/>
    <w:rsid w:val="002F1105"/>
    <w:rsid w:val="002F5430"/>
    <w:rsid w:val="002F7552"/>
    <w:rsid w:val="002F7FFD"/>
    <w:rsid w:val="00303186"/>
    <w:rsid w:val="003058D0"/>
    <w:rsid w:val="00307D9F"/>
    <w:rsid w:val="0031177B"/>
    <w:rsid w:val="00317655"/>
    <w:rsid w:val="003207DB"/>
    <w:rsid w:val="003214BD"/>
    <w:rsid w:val="003235C7"/>
    <w:rsid w:val="0032395E"/>
    <w:rsid w:val="003246B1"/>
    <w:rsid w:val="0033099D"/>
    <w:rsid w:val="00331F10"/>
    <w:rsid w:val="003331E8"/>
    <w:rsid w:val="003333CD"/>
    <w:rsid w:val="00334627"/>
    <w:rsid w:val="0033557B"/>
    <w:rsid w:val="00336A0C"/>
    <w:rsid w:val="00342816"/>
    <w:rsid w:val="00342DFE"/>
    <w:rsid w:val="003440FE"/>
    <w:rsid w:val="00346249"/>
    <w:rsid w:val="00347728"/>
    <w:rsid w:val="00352567"/>
    <w:rsid w:val="00353422"/>
    <w:rsid w:val="00356072"/>
    <w:rsid w:val="00357A36"/>
    <w:rsid w:val="0036755B"/>
    <w:rsid w:val="0037334B"/>
    <w:rsid w:val="00377B98"/>
    <w:rsid w:val="003805CF"/>
    <w:rsid w:val="00381FF9"/>
    <w:rsid w:val="00382B76"/>
    <w:rsid w:val="00392189"/>
    <w:rsid w:val="003929BC"/>
    <w:rsid w:val="003970CE"/>
    <w:rsid w:val="003A00C0"/>
    <w:rsid w:val="003B070C"/>
    <w:rsid w:val="003B3124"/>
    <w:rsid w:val="003C1289"/>
    <w:rsid w:val="003D357F"/>
    <w:rsid w:val="003E12BF"/>
    <w:rsid w:val="003E1B91"/>
    <w:rsid w:val="003E3513"/>
    <w:rsid w:val="003E3B9F"/>
    <w:rsid w:val="003E4B42"/>
    <w:rsid w:val="003E7D0F"/>
    <w:rsid w:val="003F0C09"/>
    <w:rsid w:val="003F21DE"/>
    <w:rsid w:val="003F2638"/>
    <w:rsid w:val="003F5C41"/>
    <w:rsid w:val="003F6563"/>
    <w:rsid w:val="003F72F4"/>
    <w:rsid w:val="00404C15"/>
    <w:rsid w:val="004055D4"/>
    <w:rsid w:val="00406E13"/>
    <w:rsid w:val="004076A4"/>
    <w:rsid w:val="00411614"/>
    <w:rsid w:val="0041410F"/>
    <w:rsid w:val="0041638F"/>
    <w:rsid w:val="0042049B"/>
    <w:rsid w:val="00422A3C"/>
    <w:rsid w:val="00423A49"/>
    <w:rsid w:val="00427416"/>
    <w:rsid w:val="0043366B"/>
    <w:rsid w:val="00433F46"/>
    <w:rsid w:val="004364A8"/>
    <w:rsid w:val="0044525C"/>
    <w:rsid w:val="0044766F"/>
    <w:rsid w:val="004530A2"/>
    <w:rsid w:val="004553A3"/>
    <w:rsid w:val="0046070D"/>
    <w:rsid w:val="004654BC"/>
    <w:rsid w:val="00466493"/>
    <w:rsid w:val="0046788D"/>
    <w:rsid w:val="0047184C"/>
    <w:rsid w:val="00472511"/>
    <w:rsid w:val="00473283"/>
    <w:rsid w:val="004735D9"/>
    <w:rsid w:val="00473E7B"/>
    <w:rsid w:val="00474A44"/>
    <w:rsid w:val="00477B78"/>
    <w:rsid w:val="0048448D"/>
    <w:rsid w:val="00485C82"/>
    <w:rsid w:val="00486803"/>
    <w:rsid w:val="0049110C"/>
    <w:rsid w:val="00493901"/>
    <w:rsid w:val="004A0295"/>
    <w:rsid w:val="004A679C"/>
    <w:rsid w:val="004B098C"/>
    <w:rsid w:val="004B13E6"/>
    <w:rsid w:val="004B2E0C"/>
    <w:rsid w:val="004B3183"/>
    <w:rsid w:val="004B434E"/>
    <w:rsid w:val="004C5956"/>
    <w:rsid w:val="004D0D97"/>
    <w:rsid w:val="004D101D"/>
    <w:rsid w:val="004D13CF"/>
    <w:rsid w:val="004D22DD"/>
    <w:rsid w:val="004D5668"/>
    <w:rsid w:val="004D600D"/>
    <w:rsid w:val="004E7FDC"/>
    <w:rsid w:val="004F1205"/>
    <w:rsid w:val="00501536"/>
    <w:rsid w:val="0050648A"/>
    <w:rsid w:val="00512BFE"/>
    <w:rsid w:val="00512DAA"/>
    <w:rsid w:val="00513D2E"/>
    <w:rsid w:val="0053350B"/>
    <w:rsid w:val="0053537A"/>
    <w:rsid w:val="00536CD1"/>
    <w:rsid w:val="00537E3F"/>
    <w:rsid w:val="00545A42"/>
    <w:rsid w:val="00552C9C"/>
    <w:rsid w:val="0055466C"/>
    <w:rsid w:val="00555B8E"/>
    <w:rsid w:val="005604A7"/>
    <w:rsid w:val="005623B5"/>
    <w:rsid w:val="005670A8"/>
    <w:rsid w:val="005714AD"/>
    <w:rsid w:val="00572EAA"/>
    <w:rsid w:val="005732BA"/>
    <w:rsid w:val="00574499"/>
    <w:rsid w:val="00576317"/>
    <w:rsid w:val="0057737A"/>
    <w:rsid w:val="00580056"/>
    <w:rsid w:val="00582DBE"/>
    <w:rsid w:val="0059178A"/>
    <w:rsid w:val="005A01CA"/>
    <w:rsid w:val="005A164C"/>
    <w:rsid w:val="005A177F"/>
    <w:rsid w:val="005A6DDF"/>
    <w:rsid w:val="005B1D1A"/>
    <w:rsid w:val="005B3AD4"/>
    <w:rsid w:val="005C2B2D"/>
    <w:rsid w:val="005C3486"/>
    <w:rsid w:val="005C3542"/>
    <w:rsid w:val="005C46A4"/>
    <w:rsid w:val="005C4B6D"/>
    <w:rsid w:val="005C6FB2"/>
    <w:rsid w:val="005D2B31"/>
    <w:rsid w:val="005D3091"/>
    <w:rsid w:val="005D723E"/>
    <w:rsid w:val="005F252B"/>
    <w:rsid w:val="0060646D"/>
    <w:rsid w:val="00606DC1"/>
    <w:rsid w:val="00610721"/>
    <w:rsid w:val="0062049D"/>
    <w:rsid w:val="006236E6"/>
    <w:rsid w:val="00624B03"/>
    <w:rsid w:val="00626210"/>
    <w:rsid w:val="006276FE"/>
    <w:rsid w:val="00633ED4"/>
    <w:rsid w:val="006340A0"/>
    <w:rsid w:val="006340FC"/>
    <w:rsid w:val="00634343"/>
    <w:rsid w:val="00634C6C"/>
    <w:rsid w:val="0064054C"/>
    <w:rsid w:val="006422E8"/>
    <w:rsid w:val="006426B7"/>
    <w:rsid w:val="00643CB9"/>
    <w:rsid w:val="00646C98"/>
    <w:rsid w:val="006470C5"/>
    <w:rsid w:val="006479D3"/>
    <w:rsid w:val="006526AC"/>
    <w:rsid w:val="00653B19"/>
    <w:rsid w:val="00660425"/>
    <w:rsid w:val="00667214"/>
    <w:rsid w:val="0066744C"/>
    <w:rsid w:val="00667C9A"/>
    <w:rsid w:val="00667E6B"/>
    <w:rsid w:val="006749B9"/>
    <w:rsid w:val="006765E7"/>
    <w:rsid w:val="00680859"/>
    <w:rsid w:val="00680C8F"/>
    <w:rsid w:val="00681585"/>
    <w:rsid w:val="00684D21"/>
    <w:rsid w:val="00691780"/>
    <w:rsid w:val="00693986"/>
    <w:rsid w:val="00693B8F"/>
    <w:rsid w:val="006A2087"/>
    <w:rsid w:val="006A43A3"/>
    <w:rsid w:val="006A50D0"/>
    <w:rsid w:val="006A5A00"/>
    <w:rsid w:val="006A6A85"/>
    <w:rsid w:val="006B168F"/>
    <w:rsid w:val="006B6B7D"/>
    <w:rsid w:val="006C2E54"/>
    <w:rsid w:val="006C4C53"/>
    <w:rsid w:val="006C5EA3"/>
    <w:rsid w:val="006C6B56"/>
    <w:rsid w:val="006D098B"/>
    <w:rsid w:val="006D0DD1"/>
    <w:rsid w:val="006D5038"/>
    <w:rsid w:val="006D639B"/>
    <w:rsid w:val="006E2239"/>
    <w:rsid w:val="006F1128"/>
    <w:rsid w:val="006F22A1"/>
    <w:rsid w:val="006F328F"/>
    <w:rsid w:val="006F733C"/>
    <w:rsid w:val="006F7361"/>
    <w:rsid w:val="0070662B"/>
    <w:rsid w:val="007071C3"/>
    <w:rsid w:val="007122A7"/>
    <w:rsid w:val="00713955"/>
    <w:rsid w:val="00715A4B"/>
    <w:rsid w:val="0071657C"/>
    <w:rsid w:val="00727037"/>
    <w:rsid w:val="00730E66"/>
    <w:rsid w:val="00730FED"/>
    <w:rsid w:val="00731D79"/>
    <w:rsid w:val="00731F3A"/>
    <w:rsid w:val="007377FD"/>
    <w:rsid w:val="00737F2E"/>
    <w:rsid w:val="00740C9B"/>
    <w:rsid w:val="00743652"/>
    <w:rsid w:val="00743ABC"/>
    <w:rsid w:val="00751FB8"/>
    <w:rsid w:val="00760C2C"/>
    <w:rsid w:val="00764A03"/>
    <w:rsid w:val="00766A96"/>
    <w:rsid w:val="00767628"/>
    <w:rsid w:val="00767D42"/>
    <w:rsid w:val="00770B60"/>
    <w:rsid w:val="0077481E"/>
    <w:rsid w:val="00775456"/>
    <w:rsid w:val="00775E9D"/>
    <w:rsid w:val="00782CD8"/>
    <w:rsid w:val="00783C56"/>
    <w:rsid w:val="007853FC"/>
    <w:rsid w:val="00785768"/>
    <w:rsid w:val="00785F3A"/>
    <w:rsid w:val="00786378"/>
    <w:rsid w:val="00786972"/>
    <w:rsid w:val="00793C8B"/>
    <w:rsid w:val="00795F22"/>
    <w:rsid w:val="007960D7"/>
    <w:rsid w:val="007A0B9C"/>
    <w:rsid w:val="007A63FF"/>
    <w:rsid w:val="007A69E1"/>
    <w:rsid w:val="007A6AE5"/>
    <w:rsid w:val="007B0236"/>
    <w:rsid w:val="007B0B2E"/>
    <w:rsid w:val="007B0DE4"/>
    <w:rsid w:val="007B299B"/>
    <w:rsid w:val="007B5F91"/>
    <w:rsid w:val="007B754C"/>
    <w:rsid w:val="007B7B2E"/>
    <w:rsid w:val="007C0D97"/>
    <w:rsid w:val="007C197C"/>
    <w:rsid w:val="007C412F"/>
    <w:rsid w:val="007C581D"/>
    <w:rsid w:val="007D12D9"/>
    <w:rsid w:val="007D30A7"/>
    <w:rsid w:val="007D3E09"/>
    <w:rsid w:val="007D3EAA"/>
    <w:rsid w:val="007D41F9"/>
    <w:rsid w:val="007E0190"/>
    <w:rsid w:val="007E058A"/>
    <w:rsid w:val="007E1E42"/>
    <w:rsid w:val="007E39F3"/>
    <w:rsid w:val="007E4462"/>
    <w:rsid w:val="007F50A5"/>
    <w:rsid w:val="007F6653"/>
    <w:rsid w:val="007F6A47"/>
    <w:rsid w:val="007F7201"/>
    <w:rsid w:val="00800175"/>
    <w:rsid w:val="008037CE"/>
    <w:rsid w:val="00813893"/>
    <w:rsid w:val="00816AD1"/>
    <w:rsid w:val="008309F4"/>
    <w:rsid w:val="00831866"/>
    <w:rsid w:val="00834283"/>
    <w:rsid w:val="00834FAB"/>
    <w:rsid w:val="00836C52"/>
    <w:rsid w:val="008417AE"/>
    <w:rsid w:val="00843E54"/>
    <w:rsid w:val="00850056"/>
    <w:rsid w:val="008503B4"/>
    <w:rsid w:val="00850BC7"/>
    <w:rsid w:val="00850EC1"/>
    <w:rsid w:val="00860D17"/>
    <w:rsid w:val="00870D04"/>
    <w:rsid w:val="00871E08"/>
    <w:rsid w:val="00872FFC"/>
    <w:rsid w:val="00873A0C"/>
    <w:rsid w:val="008775A1"/>
    <w:rsid w:val="008805C5"/>
    <w:rsid w:val="00881256"/>
    <w:rsid w:val="00884EC0"/>
    <w:rsid w:val="0088625B"/>
    <w:rsid w:val="0089363D"/>
    <w:rsid w:val="00895B31"/>
    <w:rsid w:val="008A391F"/>
    <w:rsid w:val="008A420D"/>
    <w:rsid w:val="008A7A52"/>
    <w:rsid w:val="008B05B6"/>
    <w:rsid w:val="008B3D5E"/>
    <w:rsid w:val="008B560C"/>
    <w:rsid w:val="008B5808"/>
    <w:rsid w:val="008C1089"/>
    <w:rsid w:val="008C17B2"/>
    <w:rsid w:val="008C6EB8"/>
    <w:rsid w:val="008D0ABB"/>
    <w:rsid w:val="008D2341"/>
    <w:rsid w:val="008D2841"/>
    <w:rsid w:val="008D47FF"/>
    <w:rsid w:val="008E0861"/>
    <w:rsid w:val="008E1E08"/>
    <w:rsid w:val="008E50EC"/>
    <w:rsid w:val="008F1366"/>
    <w:rsid w:val="008F1C18"/>
    <w:rsid w:val="008F2FD6"/>
    <w:rsid w:val="008F6D7C"/>
    <w:rsid w:val="00902292"/>
    <w:rsid w:val="009033C0"/>
    <w:rsid w:val="0090381D"/>
    <w:rsid w:val="009124F6"/>
    <w:rsid w:val="00914E6B"/>
    <w:rsid w:val="00915BC7"/>
    <w:rsid w:val="009160CB"/>
    <w:rsid w:val="00916B26"/>
    <w:rsid w:val="00926A41"/>
    <w:rsid w:val="009279B5"/>
    <w:rsid w:val="00932E55"/>
    <w:rsid w:val="00933AF9"/>
    <w:rsid w:val="009344C3"/>
    <w:rsid w:val="0093469F"/>
    <w:rsid w:val="00935E9C"/>
    <w:rsid w:val="00937241"/>
    <w:rsid w:val="00937B26"/>
    <w:rsid w:val="009413C0"/>
    <w:rsid w:val="00942884"/>
    <w:rsid w:val="00944F58"/>
    <w:rsid w:val="0095034D"/>
    <w:rsid w:val="009543E3"/>
    <w:rsid w:val="009600FB"/>
    <w:rsid w:val="00960AED"/>
    <w:rsid w:val="009627ED"/>
    <w:rsid w:val="00965F7A"/>
    <w:rsid w:val="00966D02"/>
    <w:rsid w:val="00967F2E"/>
    <w:rsid w:val="00970928"/>
    <w:rsid w:val="00971AA3"/>
    <w:rsid w:val="00973AE4"/>
    <w:rsid w:val="00981E1D"/>
    <w:rsid w:val="009838E5"/>
    <w:rsid w:val="00983BF8"/>
    <w:rsid w:val="00985EA7"/>
    <w:rsid w:val="009947B1"/>
    <w:rsid w:val="00995846"/>
    <w:rsid w:val="009A0BA5"/>
    <w:rsid w:val="009A427D"/>
    <w:rsid w:val="009B370C"/>
    <w:rsid w:val="009C1979"/>
    <w:rsid w:val="009C31A2"/>
    <w:rsid w:val="009C39E5"/>
    <w:rsid w:val="009D3107"/>
    <w:rsid w:val="009E7D45"/>
    <w:rsid w:val="009F4001"/>
    <w:rsid w:val="009F6A0F"/>
    <w:rsid w:val="009F6AA9"/>
    <w:rsid w:val="009F6AFA"/>
    <w:rsid w:val="009F7E41"/>
    <w:rsid w:val="00A0216C"/>
    <w:rsid w:val="00A03F1A"/>
    <w:rsid w:val="00A04BC8"/>
    <w:rsid w:val="00A06441"/>
    <w:rsid w:val="00A12CC6"/>
    <w:rsid w:val="00A14A79"/>
    <w:rsid w:val="00A15999"/>
    <w:rsid w:val="00A15EF1"/>
    <w:rsid w:val="00A21239"/>
    <w:rsid w:val="00A23243"/>
    <w:rsid w:val="00A2501A"/>
    <w:rsid w:val="00A2589A"/>
    <w:rsid w:val="00A265B1"/>
    <w:rsid w:val="00A27463"/>
    <w:rsid w:val="00A32E92"/>
    <w:rsid w:val="00A33475"/>
    <w:rsid w:val="00A33FD6"/>
    <w:rsid w:val="00A355F1"/>
    <w:rsid w:val="00A35F0E"/>
    <w:rsid w:val="00A37526"/>
    <w:rsid w:val="00A4166B"/>
    <w:rsid w:val="00A42B44"/>
    <w:rsid w:val="00A46C68"/>
    <w:rsid w:val="00A5044D"/>
    <w:rsid w:val="00A514B6"/>
    <w:rsid w:val="00A53B5C"/>
    <w:rsid w:val="00A6143E"/>
    <w:rsid w:val="00A64274"/>
    <w:rsid w:val="00A645EF"/>
    <w:rsid w:val="00A70E00"/>
    <w:rsid w:val="00A71E01"/>
    <w:rsid w:val="00A73BC1"/>
    <w:rsid w:val="00A74D7B"/>
    <w:rsid w:val="00A751A2"/>
    <w:rsid w:val="00A76309"/>
    <w:rsid w:val="00A76B8B"/>
    <w:rsid w:val="00A84BEE"/>
    <w:rsid w:val="00A85922"/>
    <w:rsid w:val="00A91354"/>
    <w:rsid w:val="00A93EE9"/>
    <w:rsid w:val="00AA2CCF"/>
    <w:rsid w:val="00AB0151"/>
    <w:rsid w:val="00AB1DDE"/>
    <w:rsid w:val="00AB31B1"/>
    <w:rsid w:val="00AB5FDC"/>
    <w:rsid w:val="00AB7665"/>
    <w:rsid w:val="00AC4B94"/>
    <w:rsid w:val="00AC618F"/>
    <w:rsid w:val="00AD1CB9"/>
    <w:rsid w:val="00AE6702"/>
    <w:rsid w:val="00AE7C64"/>
    <w:rsid w:val="00AF399A"/>
    <w:rsid w:val="00B00099"/>
    <w:rsid w:val="00B00D7E"/>
    <w:rsid w:val="00B01684"/>
    <w:rsid w:val="00B06FD5"/>
    <w:rsid w:val="00B13784"/>
    <w:rsid w:val="00B144CE"/>
    <w:rsid w:val="00B169D0"/>
    <w:rsid w:val="00B17EAB"/>
    <w:rsid w:val="00B20433"/>
    <w:rsid w:val="00B26688"/>
    <w:rsid w:val="00B27840"/>
    <w:rsid w:val="00B31483"/>
    <w:rsid w:val="00B37ED4"/>
    <w:rsid w:val="00B40797"/>
    <w:rsid w:val="00B40820"/>
    <w:rsid w:val="00B4123A"/>
    <w:rsid w:val="00B42D43"/>
    <w:rsid w:val="00B503A7"/>
    <w:rsid w:val="00B52881"/>
    <w:rsid w:val="00B53209"/>
    <w:rsid w:val="00B53F94"/>
    <w:rsid w:val="00B562E5"/>
    <w:rsid w:val="00B5630A"/>
    <w:rsid w:val="00B60429"/>
    <w:rsid w:val="00B60D77"/>
    <w:rsid w:val="00B64DA7"/>
    <w:rsid w:val="00B71F59"/>
    <w:rsid w:val="00B72472"/>
    <w:rsid w:val="00B729F0"/>
    <w:rsid w:val="00B7422D"/>
    <w:rsid w:val="00B83557"/>
    <w:rsid w:val="00B86E8E"/>
    <w:rsid w:val="00B875D8"/>
    <w:rsid w:val="00B90A0E"/>
    <w:rsid w:val="00B94DB8"/>
    <w:rsid w:val="00B97749"/>
    <w:rsid w:val="00BA333E"/>
    <w:rsid w:val="00BA3930"/>
    <w:rsid w:val="00BA6250"/>
    <w:rsid w:val="00BA733C"/>
    <w:rsid w:val="00BB23E7"/>
    <w:rsid w:val="00BB3303"/>
    <w:rsid w:val="00BD1FC1"/>
    <w:rsid w:val="00BD2B46"/>
    <w:rsid w:val="00BD74EA"/>
    <w:rsid w:val="00BE0699"/>
    <w:rsid w:val="00BE21D5"/>
    <w:rsid w:val="00BE31F8"/>
    <w:rsid w:val="00BE3D94"/>
    <w:rsid w:val="00BE5648"/>
    <w:rsid w:val="00BF2467"/>
    <w:rsid w:val="00BF2F94"/>
    <w:rsid w:val="00BF78DA"/>
    <w:rsid w:val="00BF7AE3"/>
    <w:rsid w:val="00C06896"/>
    <w:rsid w:val="00C068B0"/>
    <w:rsid w:val="00C14B34"/>
    <w:rsid w:val="00C151E5"/>
    <w:rsid w:val="00C153D6"/>
    <w:rsid w:val="00C17AAB"/>
    <w:rsid w:val="00C229DD"/>
    <w:rsid w:val="00C22A4D"/>
    <w:rsid w:val="00C22E8F"/>
    <w:rsid w:val="00C24115"/>
    <w:rsid w:val="00C243ED"/>
    <w:rsid w:val="00C262CE"/>
    <w:rsid w:val="00C3075A"/>
    <w:rsid w:val="00C342CB"/>
    <w:rsid w:val="00C34A82"/>
    <w:rsid w:val="00C37EE3"/>
    <w:rsid w:val="00C419B7"/>
    <w:rsid w:val="00C4483A"/>
    <w:rsid w:val="00C507B4"/>
    <w:rsid w:val="00C55F5B"/>
    <w:rsid w:val="00C5754D"/>
    <w:rsid w:val="00C61E4E"/>
    <w:rsid w:val="00C625C2"/>
    <w:rsid w:val="00C64121"/>
    <w:rsid w:val="00C70FFD"/>
    <w:rsid w:val="00C71649"/>
    <w:rsid w:val="00C75E2E"/>
    <w:rsid w:val="00C77124"/>
    <w:rsid w:val="00C80804"/>
    <w:rsid w:val="00C82625"/>
    <w:rsid w:val="00C8303A"/>
    <w:rsid w:val="00C83E57"/>
    <w:rsid w:val="00C91C9A"/>
    <w:rsid w:val="00C92C90"/>
    <w:rsid w:val="00C93218"/>
    <w:rsid w:val="00C93E6C"/>
    <w:rsid w:val="00C9408B"/>
    <w:rsid w:val="00CA008E"/>
    <w:rsid w:val="00CA08F6"/>
    <w:rsid w:val="00CA095D"/>
    <w:rsid w:val="00CA16D7"/>
    <w:rsid w:val="00CA2713"/>
    <w:rsid w:val="00CA4D48"/>
    <w:rsid w:val="00CA53F9"/>
    <w:rsid w:val="00CA7229"/>
    <w:rsid w:val="00CB11B9"/>
    <w:rsid w:val="00CB12E3"/>
    <w:rsid w:val="00CB7351"/>
    <w:rsid w:val="00CC2D51"/>
    <w:rsid w:val="00CC41B8"/>
    <w:rsid w:val="00CC4DA2"/>
    <w:rsid w:val="00CC4DEB"/>
    <w:rsid w:val="00CC63FA"/>
    <w:rsid w:val="00CD1448"/>
    <w:rsid w:val="00CD3E20"/>
    <w:rsid w:val="00CD64B4"/>
    <w:rsid w:val="00CD6E28"/>
    <w:rsid w:val="00CD755E"/>
    <w:rsid w:val="00CE3A8B"/>
    <w:rsid w:val="00CE4A1F"/>
    <w:rsid w:val="00CE6243"/>
    <w:rsid w:val="00CE6757"/>
    <w:rsid w:val="00CF6E29"/>
    <w:rsid w:val="00CF76E6"/>
    <w:rsid w:val="00CF7A5A"/>
    <w:rsid w:val="00D017B2"/>
    <w:rsid w:val="00D05902"/>
    <w:rsid w:val="00D063D2"/>
    <w:rsid w:val="00D10AE6"/>
    <w:rsid w:val="00D12829"/>
    <w:rsid w:val="00D12F40"/>
    <w:rsid w:val="00D14AFC"/>
    <w:rsid w:val="00D261D3"/>
    <w:rsid w:val="00D27389"/>
    <w:rsid w:val="00D3482A"/>
    <w:rsid w:val="00D350EF"/>
    <w:rsid w:val="00D4273A"/>
    <w:rsid w:val="00D440F9"/>
    <w:rsid w:val="00D46E9D"/>
    <w:rsid w:val="00D476BA"/>
    <w:rsid w:val="00D51121"/>
    <w:rsid w:val="00D546A1"/>
    <w:rsid w:val="00D5750C"/>
    <w:rsid w:val="00D57574"/>
    <w:rsid w:val="00D62D9D"/>
    <w:rsid w:val="00D632CD"/>
    <w:rsid w:val="00D6775D"/>
    <w:rsid w:val="00D737C4"/>
    <w:rsid w:val="00D823B0"/>
    <w:rsid w:val="00D877FC"/>
    <w:rsid w:val="00D87820"/>
    <w:rsid w:val="00D934E7"/>
    <w:rsid w:val="00D94773"/>
    <w:rsid w:val="00D97778"/>
    <w:rsid w:val="00DA1343"/>
    <w:rsid w:val="00DA219E"/>
    <w:rsid w:val="00DA67D5"/>
    <w:rsid w:val="00DB14BA"/>
    <w:rsid w:val="00DB2F02"/>
    <w:rsid w:val="00DB4C4B"/>
    <w:rsid w:val="00DC095D"/>
    <w:rsid w:val="00DC09F8"/>
    <w:rsid w:val="00DC6A74"/>
    <w:rsid w:val="00DC7CB2"/>
    <w:rsid w:val="00DD2D73"/>
    <w:rsid w:val="00DD2E4E"/>
    <w:rsid w:val="00DE7ADF"/>
    <w:rsid w:val="00DE7BEF"/>
    <w:rsid w:val="00DF0C46"/>
    <w:rsid w:val="00DF361F"/>
    <w:rsid w:val="00DF3A3B"/>
    <w:rsid w:val="00DF5C92"/>
    <w:rsid w:val="00DF61FB"/>
    <w:rsid w:val="00E04830"/>
    <w:rsid w:val="00E05F0E"/>
    <w:rsid w:val="00E06058"/>
    <w:rsid w:val="00E10D53"/>
    <w:rsid w:val="00E11739"/>
    <w:rsid w:val="00E12A36"/>
    <w:rsid w:val="00E139CE"/>
    <w:rsid w:val="00E1437B"/>
    <w:rsid w:val="00E14A4E"/>
    <w:rsid w:val="00E14FB7"/>
    <w:rsid w:val="00E16756"/>
    <w:rsid w:val="00E171B0"/>
    <w:rsid w:val="00E171FC"/>
    <w:rsid w:val="00E17C7F"/>
    <w:rsid w:val="00E258BA"/>
    <w:rsid w:val="00E25C14"/>
    <w:rsid w:val="00E26797"/>
    <w:rsid w:val="00E3770D"/>
    <w:rsid w:val="00E413BA"/>
    <w:rsid w:val="00E41C51"/>
    <w:rsid w:val="00E428F7"/>
    <w:rsid w:val="00E44D71"/>
    <w:rsid w:val="00E46201"/>
    <w:rsid w:val="00E53417"/>
    <w:rsid w:val="00E53D7A"/>
    <w:rsid w:val="00E55B10"/>
    <w:rsid w:val="00E57D6D"/>
    <w:rsid w:val="00E6013C"/>
    <w:rsid w:val="00E71C90"/>
    <w:rsid w:val="00E7571D"/>
    <w:rsid w:val="00E761A5"/>
    <w:rsid w:val="00E7790D"/>
    <w:rsid w:val="00E829DD"/>
    <w:rsid w:val="00E83239"/>
    <w:rsid w:val="00E838E3"/>
    <w:rsid w:val="00E86622"/>
    <w:rsid w:val="00E93335"/>
    <w:rsid w:val="00E94E12"/>
    <w:rsid w:val="00E95A66"/>
    <w:rsid w:val="00E960B9"/>
    <w:rsid w:val="00EA069E"/>
    <w:rsid w:val="00EA0EE0"/>
    <w:rsid w:val="00EA5B61"/>
    <w:rsid w:val="00EB7E57"/>
    <w:rsid w:val="00EC41E7"/>
    <w:rsid w:val="00EC771E"/>
    <w:rsid w:val="00EC7E23"/>
    <w:rsid w:val="00ED0FD4"/>
    <w:rsid w:val="00ED2F66"/>
    <w:rsid w:val="00EE1ACE"/>
    <w:rsid w:val="00EE47FC"/>
    <w:rsid w:val="00EE6195"/>
    <w:rsid w:val="00EE6B63"/>
    <w:rsid w:val="00EF2177"/>
    <w:rsid w:val="00EF4096"/>
    <w:rsid w:val="00EF70A5"/>
    <w:rsid w:val="00F01904"/>
    <w:rsid w:val="00F04195"/>
    <w:rsid w:val="00F06C2A"/>
    <w:rsid w:val="00F07154"/>
    <w:rsid w:val="00F10EBC"/>
    <w:rsid w:val="00F12A03"/>
    <w:rsid w:val="00F13547"/>
    <w:rsid w:val="00F2226B"/>
    <w:rsid w:val="00F24A2C"/>
    <w:rsid w:val="00F24E7B"/>
    <w:rsid w:val="00F25039"/>
    <w:rsid w:val="00F3265E"/>
    <w:rsid w:val="00F33E05"/>
    <w:rsid w:val="00F348FA"/>
    <w:rsid w:val="00F3578F"/>
    <w:rsid w:val="00F358B8"/>
    <w:rsid w:val="00F376A4"/>
    <w:rsid w:val="00F47033"/>
    <w:rsid w:val="00F50BF8"/>
    <w:rsid w:val="00F52E3B"/>
    <w:rsid w:val="00F56905"/>
    <w:rsid w:val="00F56C0D"/>
    <w:rsid w:val="00F57A1F"/>
    <w:rsid w:val="00F6083D"/>
    <w:rsid w:val="00F60A07"/>
    <w:rsid w:val="00F61013"/>
    <w:rsid w:val="00F610DB"/>
    <w:rsid w:val="00F62078"/>
    <w:rsid w:val="00F66CDF"/>
    <w:rsid w:val="00F74E35"/>
    <w:rsid w:val="00F75FA0"/>
    <w:rsid w:val="00F805DE"/>
    <w:rsid w:val="00F82478"/>
    <w:rsid w:val="00F83266"/>
    <w:rsid w:val="00F866FE"/>
    <w:rsid w:val="00F90741"/>
    <w:rsid w:val="00F9619E"/>
    <w:rsid w:val="00F96593"/>
    <w:rsid w:val="00FA1917"/>
    <w:rsid w:val="00FA4449"/>
    <w:rsid w:val="00FA5A1B"/>
    <w:rsid w:val="00FA767E"/>
    <w:rsid w:val="00FB2805"/>
    <w:rsid w:val="00FB784C"/>
    <w:rsid w:val="00FC264C"/>
    <w:rsid w:val="00FC7DDD"/>
    <w:rsid w:val="00FC7E15"/>
    <w:rsid w:val="00FD0309"/>
    <w:rsid w:val="00FD557E"/>
    <w:rsid w:val="00FD6112"/>
    <w:rsid w:val="00FE0D45"/>
    <w:rsid w:val="00FE19B1"/>
    <w:rsid w:val="00FE1B72"/>
    <w:rsid w:val="00FE28E4"/>
    <w:rsid w:val="00FE4D87"/>
    <w:rsid w:val="00FE74C5"/>
    <w:rsid w:val="00FF01F4"/>
    <w:rsid w:val="00FF2D98"/>
    <w:rsid w:val="00FF62AD"/>
    <w:rsid w:val="00FF665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D41F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D41F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D41F9"/>
    <w:pPr>
      <w:ind w:left="0" w:firstLine="0"/>
    </w:pPr>
  </w:style>
  <w:style w:type="paragraph" w:styleId="Zarkazkladnhotextu">
    <w:name w:val="Body Text Indent"/>
    <w:basedOn w:val="Normlny"/>
    <w:rsid w:val="007D41F9"/>
    <w:pPr>
      <w:spacing w:after="120"/>
      <w:ind w:left="283"/>
    </w:pPr>
  </w:style>
  <w:style w:type="paragraph" w:styleId="Zkladntext2">
    <w:name w:val="Body Text 2"/>
    <w:basedOn w:val="Normlny"/>
    <w:rsid w:val="007D41F9"/>
    <w:pPr>
      <w:spacing w:after="120" w:line="480" w:lineRule="auto"/>
    </w:pPr>
  </w:style>
  <w:style w:type="paragraph" w:styleId="Textbubliny">
    <w:name w:val="Balloon Text"/>
    <w:basedOn w:val="Normlny"/>
    <w:link w:val="TextbublinyChar"/>
    <w:rsid w:val="00303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3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098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Textvysvetlivky1">
    <w:name w:val="Text vysvetlivky1"/>
    <w:basedOn w:val="Default"/>
    <w:next w:val="Default"/>
    <w:uiPriority w:val="99"/>
    <w:rsid w:val="004B098C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E960B9"/>
    <w:rPr>
      <w:color w:val="auto"/>
    </w:rPr>
  </w:style>
  <w:style w:type="character" w:styleId="Hypertextovprepojenie">
    <w:name w:val="Hyperlink"/>
    <w:rsid w:val="00C229DD"/>
    <w:rPr>
      <w:color w:val="0000FF"/>
      <w:u w:val="single"/>
    </w:rPr>
  </w:style>
  <w:style w:type="character" w:styleId="PouitHypertextovPrepojenie">
    <w:name w:val="FollowedHyperlink"/>
    <w:rsid w:val="004E7FDC"/>
    <w:rPr>
      <w:color w:val="800080"/>
      <w:u w:val="single"/>
    </w:rPr>
  </w:style>
  <w:style w:type="paragraph" w:styleId="Hlavika">
    <w:name w:val="header"/>
    <w:basedOn w:val="Normlny"/>
    <w:link w:val="HlavikaChar"/>
    <w:rsid w:val="003440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40FE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3440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440FE"/>
    <w:rPr>
      <w:sz w:val="22"/>
      <w:szCs w:val="24"/>
    </w:rPr>
  </w:style>
  <w:style w:type="character" w:styleId="Odkaznakomentr">
    <w:name w:val="annotation reference"/>
    <w:basedOn w:val="Predvolenpsmoodseku"/>
    <w:rsid w:val="001D14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14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417"/>
  </w:style>
  <w:style w:type="paragraph" w:styleId="Predmetkomentra">
    <w:name w:val="annotation subject"/>
    <w:basedOn w:val="Textkomentra"/>
    <w:next w:val="Textkomentra"/>
    <w:link w:val="PredmetkomentraChar"/>
    <w:rsid w:val="001D14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D41F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D41F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D41F9"/>
    <w:pPr>
      <w:ind w:left="0" w:firstLine="0"/>
    </w:pPr>
  </w:style>
  <w:style w:type="paragraph" w:styleId="Zarkazkladnhotextu">
    <w:name w:val="Body Text Indent"/>
    <w:basedOn w:val="Normlny"/>
    <w:rsid w:val="007D41F9"/>
    <w:pPr>
      <w:spacing w:after="120"/>
      <w:ind w:left="283"/>
    </w:pPr>
  </w:style>
  <w:style w:type="paragraph" w:styleId="Zkladntext2">
    <w:name w:val="Body Text 2"/>
    <w:basedOn w:val="Normlny"/>
    <w:rsid w:val="007D41F9"/>
    <w:pPr>
      <w:spacing w:after="120" w:line="480" w:lineRule="auto"/>
    </w:pPr>
  </w:style>
  <w:style w:type="paragraph" w:styleId="Textbubliny">
    <w:name w:val="Balloon Text"/>
    <w:basedOn w:val="Normlny"/>
    <w:link w:val="TextbublinyChar"/>
    <w:rsid w:val="00303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3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098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Textvysvetlivky1">
    <w:name w:val="Text vysvetlivky1"/>
    <w:basedOn w:val="Default"/>
    <w:next w:val="Default"/>
    <w:uiPriority w:val="99"/>
    <w:rsid w:val="004B098C"/>
    <w:rPr>
      <w:color w:val="auto"/>
    </w:rPr>
  </w:style>
  <w:style w:type="paragraph" w:customStyle="1" w:styleId="TableText">
    <w:name w:val="TableText"/>
    <w:basedOn w:val="Default"/>
    <w:next w:val="Default"/>
    <w:uiPriority w:val="99"/>
    <w:rsid w:val="00E960B9"/>
    <w:rPr>
      <w:color w:val="auto"/>
    </w:rPr>
  </w:style>
  <w:style w:type="character" w:styleId="Hypertextovprepojenie">
    <w:name w:val="Hyperlink"/>
    <w:rsid w:val="00C229DD"/>
    <w:rPr>
      <w:color w:val="0000FF"/>
      <w:u w:val="single"/>
    </w:rPr>
  </w:style>
  <w:style w:type="character" w:styleId="PouitHypertextovPrepojenie">
    <w:name w:val="FollowedHyperlink"/>
    <w:rsid w:val="004E7FDC"/>
    <w:rPr>
      <w:color w:val="800080"/>
      <w:u w:val="single"/>
    </w:rPr>
  </w:style>
  <w:style w:type="paragraph" w:styleId="Hlavika">
    <w:name w:val="header"/>
    <w:basedOn w:val="Normlny"/>
    <w:link w:val="HlavikaChar"/>
    <w:rsid w:val="003440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40FE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3440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440FE"/>
    <w:rPr>
      <w:sz w:val="22"/>
      <w:szCs w:val="24"/>
    </w:rPr>
  </w:style>
  <w:style w:type="character" w:styleId="Odkaznakomentr">
    <w:name w:val="annotation reference"/>
    <w:basedOn w:val="Predvolenpsmoodseku"/>
    <w:rsid w:val="001D14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14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417"/>
  </w:style>
  <w:style w:type="paragraph" w:styleId="Predmetkomentra">
    <w:name w:val="annotation subject"/>
    <w:basedOn w:val="Textkomentra"/>
    <w:next w:val="Textkomentra"/>
    <w:link w:val="PredmetkomentraChar"/>
    <w:rsid w:val="001D14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.azet.sk/?q=zriedkakedy&amp;l=sk-en" TargetMode="External"/><Relationship Id="rId13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http://emc.medicines.org.uk/emc/assets/c/html/DisplayImage.asp?Ref=09000/09043/SPC.9043.10.xml&amp;Key=/emc/assets/o/images/entities/GREATER-THAN_OR_EQUAL_TO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4321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28898</CharactersWithSpaces>
  <SharedDoc>false</SharedDoc>
  <HLinks>
    <vt:vector size="30" baseType="variant">
      <vt:variant>
        <vt:i4>7667753</vt:i4>
      </vt:variant>
      <vt:variant>
        <vt:i4>24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21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http://slovnik.azet.sk/?q=zriedkakedy&amp;l=sk-en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bolebruchova</dc:creator>
  <cp:lastModifiedBy>Natalia </cp:lastModifiedBy>
  <cp:revision>2</cp:revision>
  <cp:lastPrinted>2013-08-14T08:21:00Z</cp:lastPrinted>
  <dcterms:created xsi:type="dcterms:W3CDTF">2018-09-17T11:16:00Z</dcterms:created>
  <dcterms:modified xsi:type="dcterms:W3CDTF">2018-09-17T11:16:00Z</dcterms:modified>
</cp:coreProperties>
</file>