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00" w:rsidRPr="004E0735" w:rsidRDefault="00BE0B00" w:rsidP="00BE0B00">
      <w:pPr>
        <w:jc w:val="center"/>
        <w:rPr>
          <w:rFonts w:ascii="Times New Roman" w:hAnsi="Times New Roman"/>
          <w:b/>
        </w:rPr>
      </w:pPr>
      <w:r w:rsidRPr="004E0735">
        <w:rPr>
          <w:rFonts w:ascii="Times New Roman" w:hAnsi="Times New Roman"/>
          <w:b/>
        </w:rPr>
        <w:t>SÚHRN CHARAKTERISTICKÝCH VLASTNOSTÍ LIEKU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1. </w:t>
      </w:r>
      <w:r w:rsidRPr="004E0735">
        <w:rPr>
          <w:rFonts w:ascii="Times New Roman" w:hAnsi="Times New Roman"/>
          <w:b/>
          <w:bCs/>
          <w:color w:val="000000"/>
        </w:rPr>
        <w:tab/>
        <w:t>NÁZOV LIEKU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040616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75 mg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040616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150 mg</w:t>
      </w:r>
      <w:r w:rsidR="00BE0B00" w:rsidRPr="004E0735">
        <w:rPr>
          <w:rFonts w:ascii="Times New Roman" w:hAnsi="Times New Roman"/>
          <w:color w:val="000000"/>
        </w:rPr>
        <w:tab/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040616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300 mg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4E0735">
        <w:rPr>
          <w:rFonts w:ascii="Times New Roman" w:hAnsi="Times New Roman"/>
          <w:bCs/>
          <w:color w:val="000000"/>
        </w:rPr>
        <w:t>tvrdé kapsuly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2. </w:t>
      </w:r>
      <w:r w:rsidRPr="004E0735">
        <w:rPr>
          <w:rFonts w:ascii="Times New Roman" w:hAnsi="Times New Roman"/>
          <w:b/>
          <w:bCs/>
          <w:color w:val="000000"/>
        </w:rPr>
        <w:tab/>
        <w:t>KVALITATÍVNE A KVANTITATÍVNE ZLOŽENIE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Každá tvrdá kapsula obsahuje 75 mg pregabalínu.</w:t>
      </w:r>
    </w:p>
    <w:p w:rsidR="00040616" w:rsidRPr="004E0735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Pomocná látka so známym účinkom</w:t>
      </w:r>
    </w:p>
    <w:p w:rsidR="00040616" w:rsidRPr="004E0735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Každá kapsula obsahuje 8,25 mg </w:t>
      </w:r>
      <w:r w:rsidR="00070658" w:rsidRPr="004E0735">
        <w:rPr>
          <w:rFonts w:ascii="Times New Roman" w:hAnsi="Times New Roman"/>
          <w:color w:val="000000"/>
        </w:rPr>
        <w:t xml:space="preserve">monohydrátu </w:t>
      </w:r>
      <w:r w:rsidRPr="004E0735">
        <w:rPr>
          <w:rFonts w:ascii="Times New Roman" w:hAnsi="Times New Roman"/>
          <w:color w:val="000000"/>
        </w:rPr>
        <w:t>laktózy.</w:t>
      </w:r>
    </w:p>
    <w:p w:rsidR="00040616" w:rsidRPr="004E0735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Každá tvrdá kapsula obsahuje 150 mg pregabalínu.</w:t>
      </w:r>
    </w:p>
    <w:p w:rsidR="00040616" w:rsidRPr="004E0735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Pomocná látka so známym účinkom</w:t>
      </w:r>
    </w:p>
    <w:p w:rsidR="00040616" w:rsidRPr="004E0735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Každá kapsula obsahuje 16,5 mg</w:t>
      </w:r>
      <w:r w:rsidR="007878E4" w:rsidRPr="004E0735">
        <w:rPr>
          <w:rFonts w:ascii="Times New Roman" w:hAnsi="Times New Roman"/>
          <w:color w:val="000000"/>
        </w:rPr>
        <w:t xml:space="preserve"> monohydrátu</w:t>
      </w:r>
      <w:r w:rsidRPr="004E0735">
        <w:rPr>
          <w:rFonts w:ascii="Times New Roman" w:hAnsi="Times New Roman"/>
          <w:color w:val="000000"/>
        </w:rPr>
        <w:t xml:space="preserve"> laktózy.</w:t>
      </w:r>
    </w:p>
    <w:p w:rsidR="00040616" w:rsidRPr="004E0735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Každá tvrdá kapsula obsahuje 300 mg pregabalínu.</w:t>
      </w:r>
    </w:p>
    <w:p w:rsidR="00040616" w:rsidRPr="004E0735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Pomocná látka so známym účinkom</w:t>
      </w:r>
    </w:p>
    <w:p w:rsidR="00040616" w:rsidRPr="004E0735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Každá kapsula obsahuje 33,0 mg </w:t>
      </w:r>
      <w:r w:rsidR="007878E4" w:rsidRPr="004E0735">
        <w:rPr>
          <w:rFonts w:ascii="Times New Roman" w:hAnsi="Times New Roman"/>
          <w:color w:val="000000"/>
        </w:rPr>
        <w:t xml:space="preserve">monohydrátu </w:t>
      </w:r>
      <w:r w:rsidRPr="004E0735">
        <w:rPr>
          <w:rFonts w:ascii="Times New Roman" w:hAnsi="Times New Roman"/>
          <w:color w:val="000000"/>
        </w:rPr>
        <w:t>laktózy.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Úplný zoznam pomocných látok, pozri časť 6.1.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3. </w:t>
      </w:r>
      <w:r w:rsidRPr="004E0735">
        <w:rPr>
          <w:rFonts w:ascii="Times New Roman" w:hAnsi="Times New Roman"/>
          <w:b/>
          <w:bCs/>
          <w:color w:val="000000"/>
        </w:rPr>
        <w:tab/>
        <w:t>LIEKOVÁ FORMA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Tvrdá kapsula</w:t>
      </w:r>
      <w:r w:rsidR="00257BD0" w:rsidRPr="004E0735">
        <w:rPr>
          <w:rFonts w:ascii="Times New Roman" w:hAnsi="Times New Roman"/>
          <w:color w:val="000000"/>
        </w:rPr>
        <w:t>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57BD0" w:rsidRPr="004E0735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75 mg kapsula je biela a </w:t>
      </w:r>
      <w:r w:rsidR="00257BD0" w:rsidRPr="004E0735">
        <w:rPr>
          <w:rFonts w:ascii="Times New Roman" w:hAnsi="Times New Roman"/>
          <w:color w:val="000000"/>
        </w:rPr>
        <w:t>oranžová, veľkosti 4 (</w:t>
      </w:r>
      <w:r w:rsidRPr="004E0735">
        <w:rPr>
          <w:rFonts w:ascii="Times New Roman" w:hAnsi="Times New Roman"/>
          <w:color w:val="000000"/>
        </w:rPr>
        <w:t xml:space="preserve">približne </w:t>
      </w:r>
      <w:r w:rsidR="00257BD0" w:rsidRPr="004E0735">
        <w:rPr>
          <w:rFonts w:ascii="Times New Roman" w:hAnsi="Times New Roman"/>
          <w:color w:val="000000"/>
        </w:rPr>
        <w:t>14 mm)</w:t>
      </w:r>
      <w:r w:rsidRPr="004E0735">
        <w:rPr>
          <w:rFonts w:ascii="Times New Roman" w:hAnsi="Times New Roman"/>
          <w:color w:val="000000"/>
        </w:rPr>
        <w:t>.</w:t>
      </w:r>
    </w:p>
    <w:p w:rsidR="00257BD0" w:rsidRPr="004E0735" w:rsidRDefault="00257BD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color w:val="000000"/>
        </w:rPr>
        <w:t>150 mg kapsula je biela, veľkosti 2 (</w:t>
      </w:r>
      <w:r w:rsidR="00040616" w:rsidRPr="004E0735">
        <w:rPr>
          <w:rFonts w:ascii="Times New Roman" w:hAnsi="Times New Roman"/>
          <w:color w:val="000000"/>
        </w:rPr>
        <w:t xml:space="preserve">približne </w:t>
      </w:r>
      <w:r w:rsidRPr="004E0735">
        <w:rPr>
          <w:rFonts w:ascii="Times New Roman" w:hAnsi="Times New Roman"/>
          <w:color w:val="000000"/>
        </w:rPr>
        <w:t>18 mm)</w:t>
      </w:r>
      <w:r w:rsidR="00040616" w:rsidRPr="004E0735">
        <w:rPr>
          <w:rFonts w:ascii="Times New Roman" w:hAnsi="Times New Roman"/>
          <w:color w:val="000000"/>
        </w:rPr>
        <w:t>.</w:t>
      </w:r>
    </w:p>
    <w:p w:rsidR="00257BD0" w:rsidRPr="004E0735" w:rsidRDefault="00257BD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color w:val="000000"/>
        </w:rPr>
        <w:t>300 mg kapsula je biel</w:t>
      </w:r>
      <w:r w:rsidR="00040616" w:rsidRPr="004E0735">
        <w:rPr>
          <w:rFonts w:ascii="Times New Roman" w:hAnsi="Times New Roman"/>
          <w:color w:val="000000"/>
        </w:rPr>
        <w:t>a a o</w:t>
      </w:r>
      <w:r w:rsidRPr="004E0735">
        <w:rPr>
          <w:rFonts w:ascii="Times New Roman" w:hAnsi="Times New Roman"/>
          <w:color w:val="000000"/>
        </w:rPr>
        <w:t>ranžová, veľkosti 0 (</w:t>
      </w:r>
      <w:r w:rsidR="00040616" w:rsidRPr="004E0735">
        <w:rPr>
          <w:rFonts w:ascii="Times New Roman" w:hAnsi="Times New Roman"/>
          <w:color w:val="000000"/>
        </w:rPr>
        <w:t xml:space="preserve">približne </w:t>
      </w:r>
      <w:r w:rsidRPr="004E0735">
        <w:rPr>
          <w:rFonts w:ascii="Times New Roman" w:hAnsi="Times New Roman"/>
          <w:color w:val="000000"/>
        </w:rPr>
        <w:t>2</w:t>
      </w:r>
      <w:r w:rsidR="00040616" w:rsidRPr="004E0735">
        <w:rPr>
          <w:rFonts w:ascii="Times New Roman" w:hAnsi="Times New Roman"/>
          <w:color w:val="000000"/>
        </w:rPr>
        <w:t>2</w:t>
      </w:r>
      <w:r w:rsidRPr="004E0735">
        <w:rPr>
          <w:rFonts w:ascii="Times New Roman" w:hAnsi="Times New Roman"/>
          <w:color w:val="000000"/>
        </w:rPr>
        <w:t xml:space="preserve"> mm</w:t>
      </w:r>
      <w:r w:rsidR="00040616" w:rsidRPr="004E0735">
        <w:rPr>
          <w:rFonts w:ascii="Times New Roman" w:hAnsi="Times New Roman"/>
          <w:color w:val="000000"/>
        </w:rPr>
        <w:t>).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 </w:t>
      </w:r>
      <w:r w:rsidRPr="004E0735">
        <w:rPr>
          <w:rFonts w:ascii="Times New Roman" w:hAnsi="Times New Roman"/>
          <w:b/>
          <w:bCs/>
          <w:color w:val="000000"/>
        </w:rPr>
        <w:tab/>
        <w:t>KLINICKÉ ÚDAJE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4.1 </w:t>
      </w:r>
      <w:r w:rsidRPr="004E0735">
        <w:rPr>
          <w:rFonts w:ascii="Times New Roman" w:hAnsi="Times New Roman"/>
          <w:b/>
          <w:bCs/>
          <w:color w:val="000000"/>
        </w:rPr>
        <w:tab/>
        <w:t>Terapeutické indikácie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Neuropatická bolesť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53386C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je indikovan</w:t>
      </w:r>
      <w:r w:rsidRPr="004E0735">
        <w:rPr>
          <w:rFonts w:ascii="Times New Roman" w:hAnsi="Times New Roman"/>
          <w:color w:val="000000"/>
        </w:rPr>
        <w:t>ý</w:t>
      </w:r>
      <w:r w:rsidR="00BE0B00" w:rsidRPr="004E0735">
        <w:rPr>
          <w:rFonts w:ascii="Times New Roman" w:hAnsi="Times New Roman"/>
          <w:color w:val="000000"/>
        </w:rPr>
        <w:t xml:space="preserve"> na liečbu periférnej a centrálnej neuropatickej bolesti u dospelých.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Epilepsia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53386C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je indikovan</w:t>
      </w:r>
      <w:r w:rsidRPr="004E0735">
        <w:rPr>
          <w:rFonts w:ascii="Times New Roman" w:hAnsi="Times New Roman"/>
          <w:color w:val="000000"/>
        </w:rPr>
        <w:t>ý</w:t>
      </w:r>
      <w:r w:rsidR="00BE0B00" w:rsidRPr="004E0735">
        <w:rPr>
          <w:rFonts w:ascii="Times New Roman" w:hAnsi="Times New Roman"/>
          <w:color w:val="000000"/>
        </w:rPr>
        <w:t xml:space="preserve"> ako prídavná liečba u dospelých s parciálnymi záchvatmi s</w:t>
      </w:r>
      <w:r w:rsidR="00257BD0" w:rsidRPr="004E0735">
        <w:rPr>
          <w:rFonts w:ascii="Times New Roman" w:hAnsi="Times New Roman"/>
          <w:color w:val="000000"/>
        </w:rPr>
        <w:t>o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257BD0" w:rsidRPr="004E0735">
        <w:rPr>
          <w:rFonts w:ascii="Times New Roman" w:hAnsi="Times New Roman"/>
          <w:color w:val="000000"/>
        </w:rPr>
        <w:t>sekundárnou generalizáciou a</w:t>
      </w:r>
      <w:r w:rsidR="00BE0B00" w:rsidRPr="004E0735">
        <w:rPr>
          <w:rFonts w:ascii="Times New Roman" w:hAnsi="Times New Roman"/>
          <w:color w:val="000000"/>
        </w:rPr>
        <w:t>lebo bez</w:t>
      </w:r>
      <w:r w:rsidR="00257BD0" w:rsidRPr="004E0735">
        <w:rPr>
          <w:rFonts w:ascii="Times New Roman" w:hAnsi="Times New Roman"/>
          <w:color w:val="000000"/>
        </w:rPr>
        <w:t xml:space="preserve"> nej.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Generalizovaná úzkostná porucha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53386C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je indikovan</w:t>
      </w:r>
      <w:r w:rsidRPr="004E0735">
        <w:rPr>
          <w:rFonts w:ascii="Times New Roman" w:hAnsi="Times New Roman"/>
          <w:color w:val="000000"/>
        </w:rPr>
        <w:t>ý</w:t>
      </w:r>
      <w:r w:rsidR="00BE0B00" w:rsidRPr="004E0735">
        <w:rPr>
          <w:rFonts w:ascii="Times New Roman" w:hAnsi="Times New Roman"/>
          <w:color w:val="000000"/>
        </w:rPr>
        <w:t xml:space="preserve"> na liečbu generalizovanej úzkostnej poruchy (GAD = Generalised Anxiety</w:t>
      </w:r>
      <w:r w:rsidRPr="004E0735">
        <w:rPr>
          <w:rFonts w:ascii="Times New Roman" w:hAnsi="Times New Roman"/>
          <w:color w:val="000000"/>
        </w:rPr>
        <w:t xml:space="preserve"> </w:t>
      </w:r>
      <w:r w:rsidR="00BE0B00" w:rsidRPr="004E0735">
        <w:rPr>
          <w:rFonts w:ascii="Times New Roman" w:hAnsi="Times New Roman"/>
          <w:color w:val="000000"/>
        </w:rPr>
        <w:t>Disorder) u dospelých.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4.2 </w:t>
      </w:r>
      <w:r w:rsidR="00257BD0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Dávkovanie a spôsob podávania</w:t>
      </w:r>
    </w:p>
    <w:p w:rsidR="00257BD0" w:rsidRPr="004E0735" w:rsidRDefault="00257BD0" w:rsidP="004E0735">
      <w:pPr>
        <w:keepNext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Dávkovanie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Rozsah dávkovania je 150 až 600 mg denne, podáva sa rozdelene v dvoch alebo troch dávkach.</w:t>
      </w:r>
    </w:p>
    <w:p w:rsidR="00097A5A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Neuropatická bolesť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Liečbu pregabalínom možno začať dávkou 150 mg denne, ktorá sa podáva rozdelená v dvoch alebo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troch dávkach. Podľa individuálnej odpovede pacienta a tolerancie možno dávku po 3 až 7-dňovom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intervale zvýšiť na 300 mg denne a ak je to potrebné, až na maximálnu dávku 600 mg denne po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ďalšom 7-dňovom intervale.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Epilepsia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Liečbu pregabalínom možno začať dávkou 150 mg denne, ktorá sa podáva rozdelená v dvoch alebo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troch dávkach. Podľa individuálnej odpovede pacienta a tolerancie možno dávku po 1 týždni zvýšiť na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300 mg denne. Maximálnu dennú dávku 600 mg možno dosiahnuť po ďalšom týždni.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Generalizovaná úzkostná porucha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Rozsah dávkovania je 150 až 600 mg denne, podáva sa rozdelene v dvoch alebo troch dávkach.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Potreba liečby sa musí pravidelne opakovane posúdiť.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Liečbu pregabalínom možno začať dávkou 150 mg denne. Podľa individuálnej odpovede pacienta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tolerancie možno dávku po 1 týždni zvýšiť na 300 mg denne. Po ďalšom týždni možno dávku zvýšiť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na 450 mg denne. Maximálnu dennú dávku 600 mg možno dosiahnuť po ďalšom týždni.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Prerušenie liečby pregabalínom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súlade so súčasnou klinickou praxou, ak sa musí liečba pregabalínom prerušiť, odporúča sa, aby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to urobilo postupne počas minimálne 1 týždňa bez ohľadu na indikáciu (pozri časti 4.4 a 4.8).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 xml:space="preserve">Pacienti s </w:t>
      </w:r>
      <w:r w:rsidR="00063ABA" w:rsidRPr="004E0735">
        <w:rPr>
          <w:rFonts w:ascii="Times New Roman" w:hAnsi="Times New Roman"/>
          <w:i/>
          <w:iCs/>
          <w:color w:val="000000"/>
        </w:rPr>
        <w:t xml:space="preserve">poruchou </w:t>
      </w:r>
      <w:r w:rsidRPr="004E0735">
        <w:rPr>
          <w:rFonts w:ascii="Times New Roman" w:hAnsi="Times New Roman"/>
          <w:i/>
          <w:iCs/>
          <w:color w:val="000000"/>
        </w:rPr>
        <w:t>funkcie obličiek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zo systémovej cirkulácie primárne eliminuje v nezmenenej forme renálnou exkréciou.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Keďže klírens pregabalínu je priamo úmerný klírensu kreatinínu (pozri časť 5.2), dávka u pacientov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poškodenými renálnymi funkciami sa musí znižovať individuálne podľa klírensu kreatinínu (CLcr),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ako je uvedené v tabuľke 1 použitím nasledovného vzorca:</w:t>
      </w:r>
    </w:p>
    <w:p w:rsidR="006819A3" w:rsidRPr="004E0735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819A3" w:rsidRPr="004E0735" w:rsidRDefault="006819A3" w:rsidP="006819A3">
      <w:pPr>
        <w:suppressAutoHyphens/>
        <w:spacing w:line="240" w:lineRule="auto"/>
        <w:jc w:val="center"/>
        <w:rPr>
          <w:rFonts w:ascii="Times New Roman" w:hAnsi="Times New Roman"/>
          <w:bCs/>
          <w:iCs/>
        </w:rPr>
      </w:pPr>
      <w:r w:rsidRPr="004E0735">
        <w:rPr>
          <w:rFonts w:ascii="Times New Roman" w:hAnsi="Times New Roman"/>
          <w:bCs/>
          <w:iCs/>
        </w:rPr>
        <w:t>CL</w:t>
      </w:r>
      <w:r w:rsidRPr="004E0735">
        <w:rPr>
          <w:rFonts w:ascii="Times New Roman" w:hAnsi="Times New Roman"/>
          <w:bCs/>
          <w:iCs/>
          <w:vertAlign w:val="subscript"/>
        </w:rPr>
        <w:t>cr</w:t>
      </w:r>
      <w:r w:rsidRPr="004E0735">
        <w:rPr>
          <w:rFonts w:ascii="Times New Roman" w:hAnsi="Times New Roman"/>
          <w:bCs/>
          <w:iCs/>
        </w:rPr>
        <w:t>(ml/min) =</w:t>
      </w:r>
      <w:r w:rsidRPr="004E0735">
        <w:rPr>
          <w:rFonts w:ascii="Times New Roman" w:hAnsi="Times New Roman"/>
          <w:bCs/>
          <w:i/>
          <w:iCs/>
        </w:rPr>
        <w:t xml:space="preserve"> </w:t>
      </w:r>
      <w:r w:rsidRPr="004E0735">
        <w:rPr>
          <w:rFonts w:ascii="Times New Roman" w:hAnsi="Times New Roman"/>
          <w:bCs/>
          <w:iCs/>
        </w:rPr>
        <w:fldChar w:fldCharType="begin"/>
      </w:r>
      <w:r w:rsidRPr="004E0735">
        <w:rPr>
          <w:rFonts w:ascii="Times New Roman" w:hAnsi="Times New Roman"/>
          <w:bCs/>
          <w:iCs/>
        </w:rPr>
        <w:instrText xml:space="preserve"> QUOTE </w:instrText>
      </w:r>
      <w:r w:rsidR="004E0735" w:rsidRPr="004E0735">
        <w:rPr>
          <w:rFonts w:ascii="Times New Roman" w:hAnsi="Times New Roman"/>
          <w:position w:val="-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E0B00&quot;/&gt;&lt;wsp:rsid wsp:val=&quot;00092B1D&quot;/&gt;&lt;wsp:rsid wsp:val=&quot;00113435&quot;/&gt;&lt;wsp:rsid wsp:val=&quot;00257BD0&quot;/&gt;&lt;wsp:rsid wsp:val=&quot;006819A3&quot;/&gt;&lt;wsp:rsid wsp:val=&quot;00BE0B00&quot;/&gt;&lt;/wsp:rsids&gt;&lt;/w:docPr&gt;&lt;w:body&gt;&lt;wx:sect&gt;&lt;w:p wsp:rsidR=&quot;00000000&quot; wsp:rsidRDefault=&quot;00092B1D&quot; wsp:rsidP=&quot;00092B1D&quot;&gt;&lt;m:oMathPara&gt;&lt;m:oMath&gt;&lt;m:d&gt;&lt;m:dPr&gt;&lt;m:begChr m:val=&quot;[&quot;/&gt;&lt;m:endChr m:val=&quot;]&quot;/&gt;&lt;m:ctrlPr&gt;&lt;w:rPr&gt;&lt;w:rFonts w:ascii=&quot;Cambria Math&quot; w:h-ansi=&quot;Cambria Math&quot;/&gt;&lt;wx:font wx:val=&quot;Cambria Math&quot;/&gt;&lt;w:b-cs/&gt;&lt;w:i-cs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b-cs/&gt;&lt;w:i-cs/&gt;&lt;/w:rPr&gt;&lt;/m:ctrlPr&gt;&lt;/m:mPr&gt;&lt;m:mr&gt;&lt;m:e&gt;&lt;m:f&gt;&lt;m:fPr&gt;&lt;m:ctrlPr&gt;&lt;w:rPr&gt;&lt;w:rFonts w:ascii=&quot;Cambria Math&quot; w:h-ansi=&quot;Cambria Math&quot;/&gt;&lt;wx:font wx:val=&quot;Cambria Math&quot;/&gt;&lt;w:b-cs/&gt;&lt;w:i-cs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.23 Ă— &lt;/m:t&gt;&lt;/m:r&gt;&lt;m:d&gt;&lt;m:dPr&gt;&lt;m:begChr m:val=&quot;[&quot;/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140 â€“&lt;/m:t&gt;&lt;/m:r&gt;&lt;m:r&gt;&lt;m:rPr&gt;&lt;m:sty m:val=&quot;p&quot;/&gt;&lt;/m:rPr&gt;&lt;w:rPr&gt;&lt;w:rFonts w:ascii=&quot;Cambria Math&quot; w:h-ansi=&quot;Cambria Math&quot;/&gt;&lt;wx:font wx:val=&quot;Cambria Math&quot;/&gt;&lt;/w:rPr&gt;&lt;m:t&gt;vek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begChr m:val=&quot;&quot;/&gt;&lt;m:endChr m:val=&quot;]&quot;/&gt;&lt;m:ctrlPr&gt;&lt;w:rPr&gt;&lt;w:rFonts w:ascii=&quot;Cambria Math&quot; w:h-ansi=&quot;Cambria Math&quot;/&gt;&lt;wx:font wx:val=&quot;Cambria Math&quot;/&gt;&lt;w:b-cs/&gt;&lt;w:i/&gt;&lt;w:i-cs/&gt;&lt;/w:rPr&gt;&lt;/m:ctrlPr&gt;&lt;/m:dPr&gt;&lt;m:e&gt;&lt;m:d&gt;&lt;m:dPr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roky&lt;/m:t&gt;&lt;/m:r&gt;&lt;/m:e&gt;&lt;/m:d&gt;&lt;/m:e&gt;&lt;/m:d&gt;&lt;m:r&gt;&lt;m:rPr&gt;&lt;m:sty m:val=&quot;p&quot;/&gt;&lt;/m:rPr&gt;&lt;w:rPr&gt;&lt;w:rFonts w:ascii=&quot;Cambria Math&quot; w:h-ansi=&quot;Cambria Math&quot;/&gt;&lt;wx:font wx:val=&quot;Cambria Math&quot;/&gt;&lt;/w:rPr&gt;&lt;m:t&gt; x  &lt;/m:t&gt;&lt;/m:r&gt;&lt;m:r&gt;&lt;m:rPr&gt;&lt;m:sty m:val=&quot;p&quot;/&gt;&lt;/m:rPr&gt;&lt;w:rPr&gt;&lt;w:rFonts w:ascii=&quot;Cambria Math&quot; w:h-ansi=&quot;Cambria Math&quot;/&gt;&lt;wx:font wx:val=&quot;Cambria Math&quot;/&gt;&lt;/w:rPr&gt;&lt;m:t&gt;hmotnosĹĄ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kg&lt;/m:t&gt;&lt;/m:r&gt;&lt;/m:e&gt;&lt;/m:d&gt;&lt;/m:e&gt;&lt;/m:d&gt;&lt;/m:e&gt;&lt;/m:d&gt;&lt;/m:num&gt;&lt;m:den&gt;&lt;m:r&gt;&lt;m:rPr&gt;&lt;m:sty m:val=&quot;p&quot;/&gt;&lt;/m:rPr&gt;&lt;w:rPr&gt;&lt;w:rFonts w:ascii=&quot;Cambria Math&quot; w:h-ansi=&quot;Cambria Math&quot;/&gt;&lt;wx:font wx:val=&quot;Cambria Math&quot;/&gt;&lt;/w:rPr&gt;&lt;m:t&gt;kreatinĂ­n v sĂ©re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w:rPr&gt;&lt;w:rFonts w:ascii=&quot;Cambria Math&quot; w:h-ansi=&quot;Cambria Math&quot;/&gt;&lt;wx:font wx:val=&quot;Cambria Math&quot;/&gt;&lt;w:i/&gt;&lt;/w:rPr&gt;&lt;m:t&gt;Âµ&lt;/m:t&gt;&lt;/m:r&gt;&lt;m:r&gt;&lt;m:rPr&gt;&lt;m:sty m:val=&quot;p&quot;/&gt;&lt;/m:rPr&gt;&lt;w:rPr&gt;&lt;w:rFonts w:ascii=&quot;Cambria Math&quot; w:h-ansi=&quot;Cambria Math&quot;/&gt;&lt;wx:font wx:val=&quot;Cambria Math&quot;/&gt;&lt;/w:rPr&gt;&lt;m:t&gt;mol/l&lt;/m:t&gt;&lt;/m:r&gt;&lt;/m:e&gt;&lt;/m:d&gt;&lt;/m:e&gt;&lt;/m:d&gt;&lt;/m:den&gt;&lt;/m:f&gt;&lt;/m:e&gt;&lt;/m:mr&gt;&lt;/m:m&gt;&lt;/m:e&gt;&lt;/m:d&gt;&lt;m:r&gt;&lt;m:rPr&gt;&lt;m:sty m:val=&quot;p&quot;/&gt;&lt;/m:rPr&gt;&lt;w:rPr&gt;&lt;w:rFonts w:ascii=&quot;Cambria Math&quot; w:h-ansi=&quot;Cambria Math&quot;/&gt;&lt;wx:font wx:val=&quot;Cambria Math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7" o:title="" chromakey="white"/>
          </v:shape>
        </w:pict>
      </w:r>
      <w:r w:rsidRPr="004E0735">
        <w:rPr>
          <w:rFonts w:ascii="Times New Roman" w:hAnsi="Times New Roman"/>
          <w:bCs/>
          <w:iCs/>
        </w:rPr>
        <w:instrText xml:space="preserve"> </w:instrText>
      </w:r>
      <w:r w:rsidRPr="004E0735">
        <w:rPr>
          <w:rFonts w:ascii="Times New Roman" w:hAnsi="Times New Roman"/>
          <w:bCs/>
          <w:iCs/>
        </w:rPr>
        <w:fldChar w:fldCharType="separate"/>
      </w:r>
      <w:r w:rsidR="004E0735" w:rsidRPr="004E0735">
        <w:rPr>
          <w:rFonts w:ascii="Times New Roman" w:hAnsi="Times New Roman"/>
          <w:position w:val="-21"/>
        </w:rPr>
        <w:pict>
          <v:shape id="_x0000_i1026" type="#_x0000_t75" style="width:165.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E0B00&quot;/&gt;&lt;wsp:rsid wsp:val=&quot;00092B1D&quot;/&gt;&lt;wsp:rsid wsp:val=&quot;00113435&quot;/&gt;&lt;wsp:rsid wsp:val=&quot;00257BD0&quot;/&gt;&lt;wsp:rsid wsp:val=&quot;006819A3&quot;/&gt;&lt;wsp:rsid wsp:val=&quot;00BE0B00&quot;/&gt;&lt;/wsp:rsids&gt;&lt;/w:docPr&gt;&lt;w:body&gt;&lt;wx:sect&gt;&lt;w:p wsp:rsidR=&quot;00000000&quot; wsp:rsidRDefault=&quot;00092B1D&quot; wsp:rsidP=&quot;00092B1D&quot;&gt;&lt;m:oMathPara&gt;&lt;m:oMath&gt;&lt;m:d&gt;&lt;m:dPr&gt;&lt;m:begChr m:val=&quot;[&quot;/&gt;&lt;m:endChr m:val=&quot;]&quot;/&gt;&lt;m:ctrlPr&gt;&lt;w:rPr&gt;&lt;w:rFonts w:ascii=&quot;Cambria Math&quot; w:h-ansi=&quot;Cambria Math&quot;/&gt;&lt;wx:font wx:val=&quot;Cambria Math&quot;/&gt;&lt;w:b-cs/&gt;&lt;w:i-cs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b-cs/&gt;&lt;w:i-cs/&gt;&lt;/w:rPr&gt;&lt;/m:ctrlPr&gt;&lt;/m:mPr&gt;&lt;m:mr&gt;&lt;m:e&gt;&lt;m:f&gt;&lt;m:fPr&gt;&lt;m:ctrlPr&gt;&lt;w:rPr&gt;&lt;w:rFonts w:ascii=&quot;Cambria Math&quot; w:h-ansi=&quot;Cambria Math&quot;/&gt;&lt;wx:font wx:val=&quot;Cambria Math&quot;/&gt;&lt;w:b-cs/&gt;&lt;w:i-cs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.23 Ă— &lt;/m:t&gt;&lt;/m:r&gt;&lt;m:d&gt;&lt;m:dPr&gt;&lt;m:begChr m:val=&quot;[&quot;/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140 â€“&lt;/m:t&gt;&lt;/m:r&gt;&lt;m:r&gt;&lt;m:rPr&gt;&lt;m:sty m:val=&quot;p&quot;/&gt;&lt;/m:rPr&gt;&lt;w:rPr&gt;&lt;w:rFonts w:ascii=&quot;Cambria Math&quot; w:h-ansi=&quot;Cambria Math&quot;/&gt;&lt;wx:font wx:val=&quot;Cambria Math&quot;/&gt;&lt;/w:rPr&gt;&lt;m:t&gt;vek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begChr m:val=&quot;&quot;/&gt;&lt;m:endChr m:val=&quot;]&quot;/&gt;&lt;m:ctrlPr&gt;&lt;w:rPr&gt;&lt;w:rFonts w:ascii=&quot;Cambria Math&quot; w:h-ansi=&quot;Cambria Math&quot;/&gt;&lt;wx:font wx:val=&quot;Cambria Math&quot;/&gt;&lt;w:b-cs/&gt;&lt;w:i/&gt;&lt;w:i-cs/&gt;&lt;/w:rPr&gt;&lt;/m:ctrlPr&gt;&lt;/m:dPr&gt;&lt;m:e&gt;&lt;m:d&gt;&lt;m:dPr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roky&lt;/m:t&gt;&lt;/m:r&gt;&lt;/m:e&gt;&lt;/m:d&gt;&lt;/m:e&gt;&lt;/m:d&gt;&lt;m:r&gt;&lt;m:rPr&gt;&lt;m:sty m:val=&quot;p&quot;/&gt;&lt;/m:rPr&gt;&lt;w:rPr&gt;&lt;w:rFonts w:ascii=&quot;Cambria Math&quot; w:h-ansi=&quot;Cambria Math&quot;/&gt;&lt;wx:font wx:val=&quot;Cambria Math&quot;/&gt;&lt;/w:rPr&gt;&lt;m:t&gt; x  &lt;/m:t&gt;&lt;/m:r&gt;&lt;m:r&gt;&lt;m:rPr&gt;&lt;m:sty m:val=&quot;p&quot;/&gt;&lt;/m:rPr&gt;&lt;w:rPr&gt;&lt;w:rFonts w:ascii=&quot;Cambria Math&quot; w:h-ansi=&quot;Cambria Math&quot;/&gt;&lt;wx:font wx:val=&quot;Cambria Math&quot;/&gt;&lt;/w:rPr&gt;&lt;m:t&gt;hmotnosĹĄ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kg&lt;/m:t&gt;&lt;/m:r&gt;&lt;/m:e&gt;&lt;/m:d&gt;&lt;/m:e&gt;&lt;/m:d&gt;&lt;/m:e&gt;&lt;/m:d&gt;&lt;/m:num&gt;&lt;m:den&gt;&lt;m:r&gt;&lt;m:rPr&gt;&lt;m:sty m:val=&quot;p&quot;/&gt;&lt;/m:rPr&gt;&lt;w:rPr&gt;&lt;w:rFonts w:ascii=&quot;Cambria Math&quot; w:h-ansi=&quot;Cambria Math&quot;/&gt;&lt;wx:font wx:val=&quot;Cambria Math&quot;/&gt;&lt;/w:rPr&gt;&lt;m:t&gt;kreatinĂ­n v sĂ©re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w:rPr&gt;&lt;w:rFonts w:ascii=&quot;Cambria Math&quot; w:h-ansi=&quot;Cambria Math&quot;/&gt;&lt;wx:font wx:val=&quot;Cambria Math&quot;/&gt;&lt;w:i/&gt;&lt;/w:rPr&gt;&lt;m:t&gt;Âµ&lt;/m:t&gt;&lt;/m:r&gt;&lt;m:r&gt;&lt;m:rPr&gt;&lt;m:sty m:val=&quot;p&quot;/&gt;&lt;/m:rPr&gt;&lt;w:rPr&gt;&lt;w:rFonts w:ascii=&quot;Cambria Math&quot; w:h-ansi=&quot;Cambria Math&quot;/&gt;&lt;wx:font wx:val=&quot;Cambria Math&quot;/&gt;&lt;/w:rPr&gt;&lt;m:t&gt;mol/l&lt;/m:t&gt;&lt;/m:r&gt;&lt;/m:e&gt;&lt;/m:d&gt;&lt;/m:e&gt;&lt;/m:d&gt;&lt;/m:den&gt;&lt;/m:f&gt;&lt;/m:e&gt;&lt;/m:mr&gt;&lt;/m:m&gt;&lt;/m:e&gt;&lt;/m:d&gt;&lt;m:r&gt;&lt;m:rPr&gt;&lt;m:sty m:val=&quot;p&quot;/&gt;&lt;/m:rPr&gt;&lt;w:rPr&gt;&lt;w:rFonts w:ascii=&quot;Cambria Math&quot; w:h-ansi=&quot;Cambria Math&quot;/&gt;&lt;wx:font wx:val=&quot;Cambria Math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7" o:title="" chromakey="white"/>
          </v:shape>
        </w:pict>
      </w:r>
      <w:r w:rsidRPr="004E0735">
        <w:rPr>
          <w:rFonts w:ascii="Times New Roman" w:hAnsi="Times New Roman"/>
          <w:bCs/>
          <w:iCs/>
        </w:rPr>
        <w:fldChar w:fldCharType="end"/>
      </w:r>
      <w:r w:rsidRPr="004E0735">
        <w:rPr>
          <w:rFonts w:ascii="Times New Roman" w:hAnsi="Times New Roman"/>
          <w:bCs/>
          <w:iCs/>
        </w:rPr>
        <w:t>(x 0,85 u žien)</w:t>
      </w:r>
    </w:p>
    <w:p w:rsidR="006819A3" w:rsidRPr="004E0735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možno efektívne odstrániť z plazmy hemodialýzou (50 % lieku počas 4 hodín).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U hemodialyzovaných pacientov sa denná dávka pregabalínu musí upraviť podľa renálnych </w:t>
      </w:r>
      <w:r w:rsidR="006819A3" w:rsidRPr="004E0735">
        <w:rPr>
          <w:rFonts w:ascii="Times New Roman" w:hAnsi="Times New Roman"/>
          <w:color w:val="000000"/>
        </w:rPr>
        <w:t xml:space="preserve">funkcií </w:t>
      </w:r>
      <w:r w:rsidRPr="004E0735">
        <w:rPr>
          <w:rFonts w:ascii="Times New Roman" w:hAnsi="Times New Roman"/>
          <w:color w:val="000000"/>
        </w:rPr>
        <w:t>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 dennej dávke treba pridať doplnkovú dávku okamžite po každej 4-hodinovej hemodialýze (pozri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tabuľku 1).</w:t>
      </w:r>
    </w:p>
    <w:p w:rsidR="006819A3" w:rsidRPr="004E0735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819A3" w:rsidRPr="004E0735" w:rsidRDefault="006819A3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i/>
          <w:position w:val="-1"/>
        </w:rPr>
        <w:t>Tabuľka</w:t>
      </w:r>
      <w:r w:rsidRPr="004E0735">
        <w:rPr>
          <w:rFonts w:ascii="Times New Roman" w:hAnsi="Times New Roman"/>
          <w:i/>
          <w:spacing w:val="-2"/>
          <w:position w:val="-1"/>
        </w:rPr>
        <w:t xml:space="preserve"> </w:t>
      </w:r>
      <w:r w:rsidRPr="004E0735">
        <w:rPr>
          <w:rFonts w:ascii="Times New Roman" w:hAnsi="Times New Roman"/>
          <w:i/>
          <w:position w:val="-1"/>
        </w:rPr>
        <w:t>1</w:t>
      </w:r>
      <w:r w:rsidRPr="004E0735">
        <w:rPr>
          <w:rFonts w:ascii="Times New Roman" w:hAnsi="Times New Roman"/>
          <w:position w:val="-1"/>
        </w:rPr>
        <w:t xml:space="preserve"> </w:t>
      </w:r>
      <w:r w:rsidRPr="004E0735">
        <w:rPr>
          <w:rFonts w:ascii="Times New Roman" w:hAnsi="Times New Roman"/>
          <w:position w:val="-1"/>
        </w:rPr>
        <w:tab/>
      </w:r>
      <w:r w:rsidRPr="004E0735">
        <w:rPr>
          <w:rFonts w:ascii="Times New Roman" w:hAnsi="Times New Roman"/>
          <w:position w:val="-1"/>
        </w:rPr>
        <w:tab/>
      </w:r>
      <w:r w:rsidRPr="004E0735">
        <w:rPr>
          <w:rFonts w:ascii="Times New Roman" w:hAnsi="Times New Roman"/>
          <w:color w:val="000000"/>
        </w:rPr>
        <w:t>Úprava dávky pregabalínu podľa renálnych funkcií</w:t>
      </w:r>
    </w:p>
    <w:p w:rsidR="006819A3" w:rsidRPr="004E0735" w:rsidRDefault="006819A3" w:rsidP="004E0735">
      <w:pPr>
        <w:keepNext/>
        <w:spacing w:line="249" w:lineRule="exact"/>
        <w:ind w:right="-20"/>
        <w:rPr>
          <w:rFonts w:ascii="Times New Roman" w:hAnsi="Times New Roman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704"/>
        <w:gridCol w:w="1600"/>
        <w:gridCol w:w="2551"/>
      </w:tblGrid>
      <w:tr w:rsidR="006819A3" w:rsidRPr="004E0735" w:rsidTr="00E70C3F">
        <w:trPr>
          <w:trHeight w:hRule="exact" w:val="773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4E0735">
            <w:pPr>
              <w:keepNext/>
              <w:spacing w:before="1" w:line="254" w:lineRule="exact"/>
              <w:ind w:left="100" w:right="108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  <w:color w:val="000000"/>
              </w:rPr>
              <w:t>Klírens kreatinínu</w:t>
            </w:r>
            <w:r w:rsidRPr="004E0735">
              <w:rPr>
                <w:rFonts w:ascii="Times New Roman" w:hAnsi="Times New Roman"/>
              </w:rPr>
              <w:t xml:space="preserve"> (C</w:t>
            </w:r>
            <w:r w:rsidRPr="004E0735">
              <w:rPr>
                <w:rFonts w:ascii="Times New Roman" w:hAnsi="Times New Roman"/>
                <w:spacing w:val="-1"/>
              </w:rPr>
              <w:t>L</w:t>
            </w:r>
            <w:r w:rsidRPr="004E0735">
              <w:rPr>
                <w:rFonts w:ascii="Times New Roman" w:hAnsi="Times New Roman"/>
                <w:spacing w:val="1"/>
                <w:position w:val="-3"/>
              </w:rPr>
              <w:t>c</w:t>
            </w:r>
            <w:r w:rsidRPr="004E0735">
              <w:rPr>
                <w:rFonts w:ascii="Times New Roman" w:hAnsi="Times New Roman"/>
                <w:spacing w:val="-1"/>
                <w:position w:val="-3"/>
              </w:rPr>
              <w:t>r</w:t>
            </w:r>
            <w:r w:rsidRPr="004E0735">
              <w:rPr>
                <w:rFonts w:ascii="Times New Roman" w:hAnsi="Times New Roman"/>
              </w:rPr>
              <w:t>) (ml/min)</w:t>
            </w:r>
          </w:p>
        </w:tc>
        <w:tc>
          <w:tcPr>
            <w:tcW w:w="3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4E0735">
            <w:pPr>
              <w:keepNext/>
              <w:spacing w:line="240" w:lineRule="auto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  <w:color w:val="000000"/>
              </w:rPr>
              <w:t>Celková denná dávka pregabalínu*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4E073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Dávkovací režim</w:t>
            </w:r>
          </w:p>
          <w:p w:rsidR="006819A3" w:rsidRPr="004E0735" w:rsidRDefault="006819A3" w:rsidP="004E0735">
            <w:pPr>
              <w:keepNext/>
              <w:spacing w:line="240" w:lineRule="auto"/>
              <w:ind w:left="97" w:right="-20"/>
              <w:rPr>
                <w:rFonts w:ascii="Times New Roman" w:hAnsi="Times New Roman"/>
              </w:rPr>
            </w:pPr>
          </w:p>
        </w:tc>
      </w:tr>
      <w:tr w:rsidR="006819A3" w:rsidRPr="004E0735" w:rsidTr="00E70C3F">
        <w:trPr>
          <w:trHeight w:hRule="exact" w:val="776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Úvodná dávka</w:t>
            </w:r>
          </w:p>
          <w:p w:rsidR="006819A3" w:rsidRPr="004E0735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(mg/deň)</w:t>
            </w:r>
          </w:p>
          <w:p w:rsidR="006819A3" w:rsidRPr="004E0735" w:rsidRDefault="006819A3" w:rsidP="00FD4273">
            <w:pPr>
              <w:spacing w:before="1" w:line="240" w:lineRule="auto"/>
              <w:ind w:left="100" w:right="-20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Maximálna dávka</w:t>
            </w:r>
          </w:p>
          <w:p w:rsidR="006819A3" w:rsidRPr="004E0735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(mg/deň)</w:t>
            </w:r>
          </w:p>
          <w:p w:rsidR="006819A3" w:rsidRPr="004E0735" w:rsidRDefault="006819A3" w:rsidP="00FD4273">
            <w:pPr>
              <w:spacing w:before="1" w:line="240" w:lineRule="auto"/>
              <w:ind w:left="100" w:right="-2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rPr>
                <w:rFonts w:ascii="Times New Roman" w:hAnsi="Times New Roman"/>
              </w:rPr>
            </w:pPr>
          </w:p>
        </w:tc>
      </w:tr>
      <w:tr w:rsidR="006819A3" w:rsidRPr="004E0735" w:rsidTr="00E70C3F">
        <w:trPr>
          <w:trHeight w:hRule="exact" w:val="26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≥</w:t>
            </w:r>
            <w:r w:rsidRPr="004E0735">
              <w:rPr>
                <w:rFonts w:ascii="Times New Roman" w:hAnsi="Times New Roman"/>
                <w:spacing w:val="1"/>
              </w:rPr>
              <w:t xml:space="preserve"> </w:t>
            </w:r>
            <w:r w:rsidRPr="004E0735">
              <w:rPr>
                <w:rFonts w:ascii="Times New Roman" w:hAnsi="Times New Roman"/>
              </w:rPr>
              <w:t>60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150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600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6819A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  <w:spacing w:val="2"/>
              </w:rPr>
              <w:t>B</w:t>
            </w:r>
            <w:r w:rsidRPr="004E0735">
              <w:rPr>
                <w:rFonts w:ascii="Times New Roman" w:hAnsi="Times New Roman"/>
                <w:spacing w:val="-4"/>
              </w:rPr>
              <w:t>I</w:t>
            </w:r>
            <w:r w:rsidRPr="004E0735">
              <w:rPr>
                <w:rFonts w:ascii="Times New Roman" w:hAnsi="Times New Roman"/>
              </w:rPr>
              <w:t>D alebo TID</w:t>
            </w:r>
          </w:p>
        </w:tc>
      </w:tr>
      <w:tr w:rsidR="006819A3" w:rsidRPr="004E0735" w:rsidTr="00E70C3F">
        <w:trPr>
          <w:trHeight w:hRule="exact" w:val="26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≥30</w:t>
            </w:r>
            <w:r w:rsidRPr="004E0735">
              <w:rPr>
                <w:rFonts w:ascii="Times New Roman" w:hAnsi="Times New Roman"/>
                <w:spacing w:val="1"/>
              </w:rPr>
              <w:t xml:space="preserve"> </w:t>
            </w:r>
            <w:r w:rsidRPr="004E0735">
              <w:rPr>
                <w:rFonts w:ascii="Times New Roman" w:hAnsi="Times New Roman"/>
              </w:rPr>
              <w:t>-</w:t>
            </w:r>
            <w:r w:rsidRPr="004E0735">
              <w:rPr>
                <w:rFonts w:ascii="Times New Roman" w:hAnsi="Times New Roman"/>
                <w:spacing w:val="-4"/>
              </w:rPr>
              <w:t xml:space="preserve"> </w:t>
            </w:r>
            <w:r w:rsidRPr="004E0735">
              <w:rPr>
                <w:rFonts w:ascii="Times New Roman" w:hAnsi="Times New Roman"/>
              </w:rPr>
              <w:t>&lt;60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75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300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6819A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  <w:spacing w:val="2"/>
              </w:rPr>
              <w:t>B</w:t>
            </w:r>
            <w:r w:rsidRPr="004E0735">
              <w:rPr>
                <w:rFonts w:ascii="Times New Roman" w:hAnsi="Times New Roman"/>
                <w:spacing w:val="-4"/>
              </w:rPr>
              <w:t>I</w:t>
            </w:r>
            <w:r w:rsidRPr="004E0735">
              <w:rPr>
                <w:rFonts w:ascii="Times New Roman" w:hAnsi="Times New Roman"/>
              </w:rPr>
              <w:t>D alebo TID</w:t>
            </w:r>
          </w:p>
        </w:tc>
      </w:tr>
      <w:tr w:rsidR="006819A3" w:rsidRPr="004E0735" w:rsidTr="00E70C3F">
        <w:trPr>
          <w:trHeight w:hRule="exact" w:val="313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≥15</w:t>
            </w:r>
            <w:r w:rsidRPr="004E0735">
              <w:rPr>
                <w:rFonts w:ascii="Times New Roman" w:hAnsi="Times New Roman"/>
                <w:spacing w:val="1"/>
              </w:rPr>
              <w:t xml:space="preserve"> </w:t>
            </w:r>
            <w:r w:rsidRPr="004E0735">
              <w:rPr>
                <w:rFonts w:ascii="Times New Roman" w:hAnsi="Times New Roman"/>
              </w:rPr>
              <w:t>-</w:t>
            </w:r>
            <w:r w:rsidRPr="004E0735">
              <w:rPr>
                <w:rFonts w:ascii="Times New Roman" w:hAnsi="Times New Roman"/>
                <w:spacing w:val="-4"/>
              </w:rPr>
              <w:t xml:space="preserve"> </w:t>
            </w:r>
            <w:r w:rsidRPr="004E0735">
              <w:rPr>
                <w:rFonts w:ascii="Times New Roman" w:hAnsi="Times New Roman"/>
              </w:rPr>
              <w:t>&lt;30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25 – 50**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150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Jedenkrát denne alebo</w:t>
            </w:r>
            <w:r w:rsidRPr="004E0735">
              <w:rPr>
                <w:rFonts w:ascii="Times New Roman" w:hAnsi="Times New Roman"/>
                <w:spacing w:val="-1"/>
              </w:rPr>
              <w:t xml:space="preserve"> </w:t>
            </w:r>
            <w:r w:rsidRPr="004E0735">
              <w:rPr>
                <w:rFonts w:ascii="Times New Roman" w:hAnsi="Times New Roman"/>
              </w:rPr>
              <w:t>BID</w:t>
            </w:r>
          </w:p>
        </w:tc>
      </w:tr>
      <w:tr w:rsidR="006819A3" w:rsidRPr="004E0735" w:rsidTr="00E70C3F">
        <w:trPr>
          <w:trHeight w:hRule="exact" w:val="28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&lt; 15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25**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Jedenkrát denne</w:t>
            </w:r>
          </w:p>
        </w:tc>
      </w:tr>
      <w:tr w:rsidR="006819A3" w:rsidRPr="004E0735" w:rsidTr="00E70C3F">
        <w:trPr>
          <w:trHeight w:hRule="exact" w:val="269"/>
        </w:trPr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D85" w:rsidRPr="004E0735" w:rsidRDefault="00E75D85" w:rsidP="00E75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Doplnkové dávkovanie po hemodialýze (mg)</w:t>
            </w:r>
          </w:p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</w:p>
        </w:tc>
      </w:tr>
      <w:tr w:rsidR="006819A3" w:rsidRPr="004E0735" w:rsidTr="00E70C3F">
        <w:trPr>
          <w:trHeight w:hRule="exact" w:val="266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25**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100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E75D85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  <w:color w:val="000000"/>
              </w:rPr>
              <w:t>Jedna dávka</w:t>
            </w:r>
            <w:r w:rsidRPr="004E0735">
              <w:rPr>
                <w:rFonts w:ascii="Times New Roman" w:hAnsi="Times New Roman"/>
                <w:color w:val="000000"/>
                <w:vertAlign w:val="superscript"/>
              </w:rPr>
              <w:t>+</w:t>
            </w:r>
          </w:p>
        </w:tc>
      </w:tr>
    </w:tbl>
    <w:p w:rsidR="006819A3" w:rsidRPr="004E0735" w:rsidRDefault="006819A3" w:rsidP="006819A3">
      <w:pPr>
        <w:spacing w:before="15" w:line="200" w:lineRule="exact"/>
        <w:rPr>
          <w:rFonts w:ascii="Times New Roman" w:hAnsi="Times New Roman"/>
        </w:rPr>
      </w:pPr>
    </w:p>
    <w:p w:rsidR="00E75D85" w:rsidRPr="004E0735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lastRenderedPageBreak/>
        <w:t>TID = tri rozdelené dávky</w:t>
      </w:r>
    </w:p>
    <w:p w:rsidR="00E75D85" w:rsidRPr="004E0735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BID = dve rozdelené dávky</w:t>
      </w:r>
    </w:p>
    <w:p w:rsidR="00E75D85" w:rsidRPr="004E0735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*   Celková denná dávka (mg/deň) sa má rozdeliť podľa dávkovacieho režimu a vyjadriť v mg/dávka</w:t>
      </w:r>
    </w:p>
    <w:p w:rsidR="00E75D85" w:rsidRPr="004E0735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</w:rPr>
        <w:t xml:space="preserve">** </w:t>
      </w:r>
      <w:r w:rsidR="00097A5A" w:rsidRPr="004E0735">
        <w:rPr>
          <w:rFonts w:ascii="Times New Roman" w:hAnsi="Times New Roman"/>
        </w:rPr>
        <w:t>Pregabalin STADA</w:t>
      </w:r>
      <w:r w:rsidR="00851234" w:rsidRPr="004E0735">
        <w:rPr>
          <w:rFonts w:ascii="Times New Roman" w:hAnsi="Times New Roman"/>
        </w:rPr>
        <w:t xml:space="preserve"> </w:t>
      </w:r>
      <w:r w:rsidR="00851234" w:rsidRPr="004E0735">
        <w:rPr>
          <w:rFonts w:ascii="Times New Roman" w:hAnsi="Times New Roman"/>
          <w:color w:val="000000"/>
        </w:rPr>
        <w:t>Arzneimittel</w:t>
      </w:r>
      <w:r w:rsidRPr="004E0735">
        <w:rPr>
          <w:rFonts w:ascii="Times New Roman" w:hAnsi="Times New Roman"/>
        </w:rPr>
        <w:t xml:space="preserve"> 25 mg nie je zaregistrovan</w:t>
      </w:r>
      <w:r w:rsidR="00097A5A" w:rsidRPr="004E0735">
        <w:rPr>
          <w:rFonts w:ascii="Times New Roman" w:hAnsi="Times New Roman"/>
        </w:rPr>
        <w:t>ý</w:t>
      </w:r>
      <w:r w:rsidRPr="004E0735">
        <w:rPr>
          <w:rFonts w:ascii="Times New Roman" w:hAnsi="Times New Roman"/>
        </w:rPr>
        <w:t>, táto sila však môže byť dostu</w:t>
      </w:r>
      <w:r w:rsidR="00097A5A" w:rsidRPr="004E0735">
        <w:rPr>
          <w:rFonts w:ascii="Times New Roman" w:hAnsi="Times New Roman"/>
        </w:rPr>
        <w:t xml:space="preserve">pná v iných liekoch s liečivom </w:t>
      </w:r>
      <w:r w:rsidRPr="004E0735">
        <w:rPr>
          <w:rFonts w:ascii="Times New Roman" w:hAnsi="Times New Roman"/>
        </w:rPr>
        <w:t>pregabalín.</w:t>
      </w:r>
    </w:p>
    <w:p w:rsidR="00E75D85" w:rsidRPr="004E0735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  <w:vertAlign w:val="superscript"/>
        </w:rPr>
        <w:t>+</w:t>
      </w:r>
      <w:r w:rsidRPr="004E0735">
        <w:rPr>
          <w:rFonts w:ascii="Times New Roman" w:hAnsi="Times New Roman"/>
          <w:color w:val="000000"/>
        </w:rPr>
        <w:t xml:space="preserve">   Doplnková dávka je jedna dodatočná dávka</w:t>
      </w:r>
    </w:p>
    <w:p w:rsidR="006819A3" w:rsidRPr="004E0735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Pacienti s</w:t>
      </w:r>
      <w:r w:rsidR="0053386C" w:rsidRPr="004E0735">
        <w:rPr>
          <w:rFonts w:ascii="Times New Roman" w:hAnsi="Times New Roman"/>
          <w:i/>
          <w:iCs/>
          <w:color w:val="000000"/>
        </w:rPr>
        <w:t> poruchou funkcie</w:t>
      </w:r>
      <w:r w:rsidRPr="004E0735">
        <w:rPr>
          <w:rFonts w:ascii="Times New Roman" w:hAnsi="Times New Roman"/>
          <w:i/>
          <w:iCs/>
          <w:color w:val="000000"/>
        </w:rPr>
        <w:t xml:space="preserve"> pečene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Nevyžaduje sa žiadna úprava dávky u pacientov s</w:t>
      </w:r>
      <w:r w:rsidR="0053386C" w:rsidRPr="004E0735">
        <w:rPr>
          <w:rFonts w:ascii="Times New Roman" w:hAnsi="Times New Roman"/>
          <w:color w:val="000000"/>
        </w:rPr>
        <w:t> poruchou funkcie</w:t>
      </w:r>
      <w:r w:rsidRPr="004E0735">
        <w:rPr>
          <w:rFonts w:ascii="Times New Roman" w:hAnsi="Times New Roman"/>
          <w:color w:val="000000"/>
        </w:rPr>
        <w:t xml:space="preserve"> pečene (pozri časť 5.2).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E75D85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Pediatrická populácia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Bezpečnosť a účinnosť </w:t>
      </w:r>
      <w:r w:rsidR="00063ABA" w:rsidRPr="004E0735">
        <w:rPr>
          <w:rFonts w:ascii="Times New Roman" w:hAnsi="Times New Roman"/>
          <w:color w:val="000000"/>
        </w:rPr>
        <w:t>p</w:t>
      </w:r>
      <w:r w:rsidR="00097A5A" w:rsidRPr="004E0735">
        <w:rPr>
          <w:rFonts w:ascii="Times New Roman" w:hAnsi="Times New Roman"/>
          <w:color w:val="000000"/>
        </w:rPr>
        <w:t xml:space="preserve">regabalinu </w:t>
      </w:r>
      <w:r w:rsidRPr="004E0735">
        <w:rPr>
          <w:rFonts w:ascii="Times New Roman" w:hAnsi="Times New Roman"/>
          <w:color w:val="000000"/>
        </w:rPr>
        <w:t>u detí mladších ako 12 rokov</w:t>
      </w:r>
      <w:r w:rsidR="00E75D85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a u dospievajúcich (vo veku 12 - 17 rokov) neboli stanovené. Údaje dostupné v súčasnosti sú uvedené</w:t>
      </w:r>
      <w:r w:rsidR="00E75D85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v časti</w:t>
      </w:r>
      <w:r w:rsidR="00E75D85" w:rsidRPr="004E0735">
        <w:rPr>
          <w:rFonts w:ascii="Times New Roman" w:hAnsi="Times New Roman"/>
          <w:color w:val="000000"/>
        </w:rPr>
        <w:t>ach</w:t>
      </w:r>
      <w:r w:rsidRPr="004E0735">
        <w:rPr>
          <w:rFonts w:ascii="Times New Roman" w:hAnsi="Times New Roman"/>
          <w:color w:val="000000"/>
        </w:rPr>
        <w:t xml:space="preserve"> 4.8, 5.1 a 5.2, ale nie je možné </w:t>
      </w:r>
      <w:r w:rsidR="00E75D85" w:rsidRPr="004E0735">
        <w:rPr>
          <w:rFonts w:ascii="Times New Roman" w:hAnsi="Times New Roman"/>
          <w:color w:val="000000"/>
        </w:rPr>
        <w:t>dať</w:t>
      </w:r>
      <w:r w:rsidRPr="004E0735">
        <w:rPr>
          <w:rFonts w:ascii="Times New Roman" w:hAnsi="Times New Roman"/>
          <w:color w:val="000000"/>
        </w:rPr>
        <w:t xml:space="preserve"> odporúčanie týkajúce sa dávkovania.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Starší ľudia</w:t>
      </w:r>
      <w:r w:rsidR="00BE0B00" w:rsidRPr="004E0735">
        <w:rPr>
          <w:rFonts w:ascii="Times New Roman" w:hAnsi="Times New Roman"/>
          <w:i/>
          <w:iCs/>
          <w:color w:val="000000"/>
        </w:rPr>
        <w:t xml:space="preserve"> 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Starší pacienti </w:t>
      </w:r>
      <w:r w:rsidR="00E75D85" w:rsidRPr="004E0735">
        <w:rPr>
          <w:rFonts w:ascii="Times New Roman" w:hAnsi="Times New Roman"/>
          <w:color w:val="000000"/>
        </w:rPr>
        <w:t xml:space="preserve">si </w:t>
      </w:r>
      <w:r w:rsidRPr="004E0735">
        <w:rPr>
          <w:rFonts w:ascii="Times New Roman" w:hAnsi="Times New Roman"/>
          <w:color w:val="000000"/>
        </w:rPr>
        <w:t>môžu vyžadovať zníženie dávky pregabalínu z dôvodu zníženej renálnej funkcie (pozri</w:t>
      </w:r>
      <w:r w:rsidR="00E75D85" w:rsidRPr="004E0735">
        <w:rPr>
          <w:rFonts w:ascii="Times New Roman" w:hAnsi="Times New Roman"/>
          <w:color w:val="000000"/>
        </w:rPr>
        <w:t xml:space="preserve"> </w:t>
      </w:r>
      <w:r w:rsidR="0053386C" w:rsidRPr="004E0735">
        <w:rPr>
          <w:rFonts w:ascii="Times New Roman" w:hAnsi="Times New Roman"/>
          <w:color w:val="000000"/>
        </w:rPr>
        <w:t>časť 5.2</w:t>
      </w:r>
      <w:r w:rsidRPr="004E0735">
        <w:rPr>
          <w:rFonts w:ascii="Times New Roman" w:hAnsi="Times New Roman"/>
          <w:color w:val="000000"/>
        </w:rPr>
        <w:t>).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Spôsob pod</w:t>
      </w:r>
      <w:r w:rsidR="00E75D85" w:rsidRPr="004E0735">
        <w:rPr>
          <w:rFonts w:ascii="Times New Roman" w:hAnsi="Times New Roman"/>
          <w:color w:val="000000"/>
          <w:u w:val="single"/>
        </w:rPr>
        <w:t>á</w:t>
      </w:r>
      <w:r w:rsidRPr="004E0735">
        <w:rPr>
          <w:rFonts w:ascii="Times New Roman" w:hAnsi="Times New Roman"/>
          <w:color w:val="000000"/>
          <w:u w:val="single"/>
        </w:rPr>
        <w:t>vania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063ABA" w:rsidRPr="004E0735">
        <w:rPr>
          <w:rFonts w:ascii="Times New Roman" w:hAnsi="Times New Roman"/>
          <w:color w:val="000000"/>
        </w:rPr>
        <w:t xml:space="preserve"> Arzneimittel</w:t>
      </w:r>
      <w:r w:rsidR="00BE0B00" w:rsidRPr="004E0735">
        <w:rPr>
          <w:rFonts w:ascii="Times New Roman" w:hAnsi="Times New Roman"/>
          <w:color w:val="000000"/>
        </w:rPr>
        <w:t xml:space="preserve"> sa môže užívať s jedlom alebo bez jedla.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063ABA" w:rsidRPr="004E0735">
        <w:rPr>
          <w:rFonts w:ascii="Times New Roman" w:hAnsi="Times New Roman"/>
          <w:color w:val="000000"/>
        </w:rPr>
        <w:t xml:space="preserve"> Arzneimittel</w:t>
      </w:r>
      <w:r w:rsidR="00BE0B00" w:rsidRPr="004E0735">
        <w:rPr>
          <w:rFonts w:ascii="Times New Roman" w:hAnsi="Times New Roman"/>
          <w:color w:val="000000"/>
        </w:rPr>
        <w:t xml:space="preserve"> je určen</w:t>
      </w:r>
      <w:r w:rsidRPr="004E0735">
        <w:rPr>
          <w:rFonts w:ascii="Times New Roman" w:hAnsi="Times New Roman"/>
          <w:color w:val="000000"/>
        </w:rPr>
        <w:t>ý</w:t>
      </w:r>
      <w:r w:rsidR="00BE0B00" w:rsidRPr="004E0735">
        <w:rPr>
          <w:rFonts w:ascii="Times New Roman" w:hAnsi="Times New Roman"/>
          <w:color w:val="000000"/>
        </w:rPr>
        <w:t xml:space="preserve"> iba na perorálne použitie.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4.3 </w:t>
      </w:r>
      <w:r w:rsidR="00E75D85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Kontraindikácie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Precitlivenosť na liečivo alebo na ktorúkoľvek z pomocných látok uvedených v časti 6.1.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4.4 </w:t>
      </w:r>
      <w:r w:rsidR="00E75D85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Osobitné upozornenia a opatrenia pri používaní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Diabetickí pacienti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Podľa súčasnej klinickej praxe u niektorých diabetických pacientov s prírastkom hmotnosti počas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liečby pregabalínom môže byť potrebné upraviť hypoglykemickú liečbu.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Reakcie z precitlivenosti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uvedení lieku na trh boli zaznamenané hlásenia o rekciách z precitlivenosti vrátane prípadov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angioedému. Liečba pregabalínom sa musí okamžite ukončiť, ak sa vyskytnú príznaky angioedému,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ako sú faciálny, periorálny opuch alebo opuch horných dýchacích ciest.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Závrat, somnolencia, strata vedomia, zmätenosť a mentálne poškodenie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Liečba pregabalínom sa dáva do súvisu so závratom a somnolenciou, ktoré mohli zvýšiť výskyt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náhodných zranení (pádom) u staršej populácie. Existujú tiež hlásenia po uvedení lieku na trh o strate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vedomia, zmätenosti a mentálnom poškodení. Preto pacientom sa má poradiť, aby boli opatrní, pokým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 neoboznámia s možnými účinkami lieku.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Účinky spojené s videním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kontrolovaných klinických skúšaniach hlásila väčšia časť pacientov liečených pregabalínom ako</w:t>
      </w:r>
    </w:p>
    <w:p w:rsidR="00BE0B00" w:rsidRPr="004E0735" w:rsidRDefault="00BE0B00" w:rsidP="00BB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pacientov</w:t>
      </w:r>
      <w:r w:rsidR="00BB13CE" w:rsidRPr="004E0735">
        <w:rPr>
          <w:rFonts w:ascii="Times New Roman" w:hAnsi="Times New Roman"/>
          <w:color w:val="000000"/>
        </w:rPr>
        <w:t>, ktorým sa podávalo placebo</w:t>
      </w:r>
      <w:r w:rsidRPr="004E0735">
        <w:rPr>
          <w:rFonts w:ascii="Times New Roman" w:hAnsi="Times New Roman"/>
          <w:color w:val="000000"/>
        </w:rPr>
        <w:t xml:space="preserve"> rozmazané videnie, ktoré vo väčšine prípadov ustúpilo pri pokračovaní</w:t>
      </w:r>
      <w:r w:rsidR="00BB13CE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dávkovania. V klinických štúdiách, v ktorých bolo zahrnuté aj oftalmologické vyšetrenie, bol výskyt</w:t>
      </w:r>
      <w:r w:rsidR="00BB13CE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zníženia zrakovej ostrosti a zmien zorného poľa väčší u pacientov liečených pregabalínom ako</w:t>
      </w:r>
      <w:r w:rsidR="00BB13CE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u pacientov</w:t>
      </w:r>
      <w:r w:rsidR="00BB13CE" w:rsidRPr="004E0735">
        <w:rPr>
          <w:rFonts w:ascii="Times New Roman" w:hAnsi="Times New Roman"/>
          <w:color w:val="000000"/>
        </w:rPr>
        <w:t>, ktorým sa podávalo placebo</w:t>
      </w:r>
      <w:r w:rsidRPr="004E0735">
        <w:rPr>
          <w:rFonts w:ascii="Times New Roman" w:hAnsi="Times New Roman"/>
          <w:color w:val="000000"/>
        </w:rPr>
        <w:t>; výskyt zmien na očnom pozadí bol väčší u</w:t>
      </w:r>
      <w:r w:rsidR="00BB13CE" w:rsidRPr="004E0735">
        <w:rPr>
          <w:rFonts w:ascii="Times New Roman" w:hAnsi="Times New Roman"/>
          <w:color w:val="000000"/>
        </w:rPr>
        <w:t> </w:t>
      </w:r>
      <w:r w:rsidRPr="004E0735">
        <w:rPr>
          <w:rFonts w:ascii="Times New Roman" w:hAnsi="Times New Roman"/>
          <w:color w:val="000000"/>
        </w:rPr>
        <w:t>pacientov</w:t>
      </w:r>
      <w:r w:rsidR="00BB13CE" w:rsidRPr="004E0735">
        <w:rPr>
          <w:rFonts w:ascii="Times New Roman" w:hAnsi="Times New Roman"/>
          <w:color w:val="000000"/>
        </w:rPr>
        <w:t>,</w:t>
      </w:r>
      <w:r w:rsidRPr="004E0735">
        <w:rPr>
          <w:rFonts w:ascii="Times New Roman" w:hAnsi="Times New Roman"/>
          <w:color w:val="000000"/>
        </w:rPr>
        <w:t xml:space="preserve"> </w:t>
      </w:r>
      <w:r w:rsidR="00BB13CE" w:rsidRPr="004E0735">
        <w:rPr>
          <w:rFonts w:ascii="Times New Roman" w:hAnsi="Times New Roman"/>
          <w:color w:val="000000"/>
        </w:rPr>
        <w:t xml:space="preserve"> ktorým sa podávalo placebo </w:t>
      </w:r>
      <w:r w:rsidRPr="004E0735">
        <w:rPr>
          <w:rFonts w:ascii="Times New Roman" w:hAnsi="Times New Roman"/>
          <w:color w:val="000000"/>
        </w:rPr>
        <w:t>(pozri časť 5.1).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Po uvedení lieku na trh boli tiež hlásené nežiaduce reakcie </w:t>
      </w:r>
      <w:r w:rsidR="00BB13CE" w:rsidRPr="004E0735">
        <w:rPr>
          <w:rFonts w:ascii="Times New Roman" w:hAnsi="Times New Roman"/>
          <w:color w:val="000000"/>
        </w:rPr>
        <w:t>v súvislosti so zrakom</w:t>
      </w:r>
      <w:r w:rsidRPr="004E0735">
        <w:rPr>
          <w:rFonts w:ascii="Times New Roman" w:hAnsi="Times New Roman"/>
          <w:color w:val="000000"/>
        </w:rPr>
        <w:t>, vrátane straty zraku, rozmazaného</w:t>
      </w:r>
      <w:r w:rsidR="00BB13CE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videnia alebo iných zmien zrakovej ostrosti, z ktorých mnohé boli prechodné. Prerušenie liečby</w:t>
      </w:r>
      <w:r w:rsidR="00BB13CE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pregabalínom môže viesť k vymiznutiu alebo zlepšeniu týchto zrakových príznakov.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lastRenderedPageBreak/>
        <w:t>Renálne zlyhanie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Boli hlásené prípady renálneho zlyhania a v niektorých prípadoch prerušenie liečby pregabalínom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viedlo k reverzibilite tejto nežiaducej reakcie.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Vysadenie súčasne podávaných antiepileptík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Nie sú dostatočné údaje týkajúce sa vysadenia súčasne podávaných antiepileptík, </w:t>
      </w:r>
      <w:r w:rsidR="00A41C98" w:rsidRPr="004E0735">
        <w:rPr>
          <w:rFonts w:ascii="Times New Roman" w:hAnsi="Times New Roman"/>
          <w:color w:val="000000"/>
        </w:rPr>
        <w:t xml:space="preserve">len čo </w:t>
      </w:r>
      <w:r w:rsidRPr="004E0735">
        <w:rPr>
          <w:rFonts w:ascii="Times New Roman" w:hAnsi="Times New Roman"/>
          <w:color w:val="000000"/>
        </w:rPr>
        <w:t>sa po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pridaní pregabalínu dosiahne kontrola záchvatu tak, aby bolo možné podávať pregabalín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monoterapii.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Abstinenčné príznaky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ukončení krátkodobej a dlhodobej liečby pregabalínom boli u niektorých pacientov pozorované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abstinenčné príznaky. Uvádzajú sa nasledujúce účinky: insomnia, bolesť hlavy, nauzea, úzkosť,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hnačka, chrípkový syndróm, nervozita, depresia, bolesť, kŕče, hyperhidróza a závrat, naznačujúce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fyzickú závislosť. Pacient má byť o tom informovaný na začiatku liečby.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Počas užívania pregabalínu alebo krátko po ukončení liečby pregabalínom sa môžu vyskytnúť kŕče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vrátane </w:t>
      </w:r>
      <w:r w:rsidR="00BB13CE" w:rsidRPr="004E0735">
        <w:rPr>
          <w:rFonts w:ascii="Times New Roman" w:hAnsi="Times New Roman"/>
          <w:color w:val="000000"/>
        </w:rPr>
        <w:t>status epilepticus</w:t>
      </w:r>
      <w:r w:rsidRPr="004E0735">
        <w:rPr>
          <w:rFonts w:ascii="Times New Roman" w:hAnsi="Times New Roman"/>
          <w:color w:val="000000"/>
        </w:rPr>
        <w:t xml:space="preserve"> a záchvatov typu grand mal.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Čo sa týka ukončenia dlhodobej liečby pregabalínom, údaje naznačujú, že výskyt a závažnosť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abstinenčných príznakov môžu byť závislé od dávky.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Kongestívne srdcové zlyhanie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uvedení lieku na trh boli hlásené prípady kongestívneho srdcového zlyhania u niektorých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pacientov dostávajúcich pregabalín. Tieto reakcie sú najčastejšie pozorované u starších pacientov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kardiovaskulárnymi ochoreniami počas liečby pregabalínom na neuropatickú indikáciu. Pregabalín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 má u týchto pacientov podávať s opatrnosťou. Ukončenie podávania pregabalínu môže viesť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 odzneniu reakcie.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Liečba centrálnej neuropatickej bolesti v dôsledku poškodenia miechy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 liečbe centrálnej neuropatickej bolesti v dôsledku poškodenia miechy sa zaznamenal zvýšený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výskyt nežiaducich reakcií všeobecne, nežiaducich reakcií centrálnej nervovej sústavy a zvlášť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somnolencie. Môže sa to pripísať aditívnemu účinku sprievodnej liečby (napr. spazmolytikami)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potrebnej pri tomto ochorení. Toto sa má zvážiť pri predpisovaní pregabalínu pri tomto ochorení.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Samovražedné myšlienky a správanie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Samovražedné myšlienky a správanie boli hlásené u pacientov liečených antiepileptikami pri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niekoľkých </w:t>
      </w:r>
      <w:r w:rsidR="00A41C98" w:rsidRPr="004E0735">
        <w:rPr>
          <w:rFonts w:ascii="Times New Roman" w:hAnsi="Times New Roman"/>
          <w:color w:val="000000"/>
        </w:rPr>
        <w:t>indikáciách. Meta</w:t>
      </w:r>
      <w:r w:rsidRPr="004E0735">
        <w:rPr>
          <w:rFonts w:ascii="Times New Roman" w:hAnsi="Times New Roman"/>
          <w:color w:val="000000"/>
        </w:rPr>
        <w:t>analýza randomizovaných placebom kontrolovaných štúdií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antiepileptík tiež ukázala </w:t>
      </w:r>
      <w:r w:rsidR="00BB13CE" w:rsidRPr="004E0735">
        <w:rPr>
          <w:rFonts w:ascii="Times New Roman" w:hAnsi="Times New Roman"/>
          <w:color w:val="000000"/>
        </w:rPr>
        <w:t>malé zvýšenie</w:t>
      </w:r>
      <w:r w:rsidRPr="004E0735">
        <w:rPr>
          <w:rFonts w:ascii="Times New Roman" w:hAnsi="Times New Roman"/>
          <w:color w:val="000000"/>
        </w:rPr>
        <w:t xml:space="preserve"> </w:t>
      </w:r>
      <w:r w:rsidR="00BB13CE" w:rsidRPr="004E0735">
        <w:rPr>
          <w:rFonts w:ascii="Times New Roman" w:hAnsi="Times New Roman"/>
          <w:color w:val="000000"/>
        </w:rPr>
        <w:t xml:space="preserve">rizika </w:t>
      </w:r>
      <w:r w:rsidRPr="004E0735">
        <w:rPr>
          <w:rFonts w:ascii="Times New Roman" w:hAnsi="Times New Roman"/>
          <w:color w:val="000000"/>
        </w:rPr>
        <w:t>samovražedných myšlienok a správania. Mechanizmus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tohto rizika nie je známy a dostupné údaje nevylučujú možnosť zvýšeného rizika u pregabalínu.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Pacienti majú byť preto sledovaní kvôli </w:t>
      </w:r>
      <w:r w:rsidR="009060A9" w:rsidRPr="004E0735">
        <w:rPr>
          <w:rFonts w:ascii="Times New Roman" w:hAnsi="Times New Roman"/>
          <w:color w:val="000000"/>
        </w:rPr>
        <w:t xml:space="preserve">prejavom </w:t>
      </w:r>
      <w:r w:rsidRPr="004E0735">
        <w:rPr>
          <w:rFonts w:ascii="Times New Roman" w:hAnsi="Times New Roman"/>
          <w:color w:val="000000"/>
        </w:rPr>
        <w:t>samovražedných myšlienok a správania a má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nich zvážiť vhodná liečba. Pacienti (a ich opatrovatelia) majú byť upozornení, aby vyhľadali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lekársku pomoc, ak sa </w:t>
      </w:r>
      <w:r w:rsidR="009060A9" w:rsidRPr="004E0735">
        <w:rPr>
          <w:rFonts w:ascii="Times New Roman" w:hAnsi="Times New Roman"/>
          <w:color w:val="000000"/>
        </w:rPr>
        <w:t xml:space="preserve">prejavy </w:t>
      </w:r>
      <w:r w:rsidRPr="004E0735">
        <w:rPr>
          <w:rFonts w:ascii="Times New Roman" w:hAnsi="Times New Roman"/>
          <w:color w:val="000000"/>
        </w:rPr>
        <w:t>samovražedných myšlienok alebo správania objavia.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Zhoršená funkcia dolného tráviaceho traktu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uvedení lieku na trh boli hlásené prípady týkajúce sa zhoršenej funkcie dolného tráviaceho traktu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(napr. intestinálna obštrukcia, paralytický ileus, obstipácia), keď sa pregabalín podával spolu s liekmi,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ktoré môžu spôsobovať obstipáciu, ako sú napr. opioidné analgetiká. Keď sa bude pregabalín užívať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kombinácii s opioidmi, môžu sa zvážiť opatrenia na predchádzanie obstipácii (zvlášť u žien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starších pacientov).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1F4B0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Nesprávne užívanie, potenciál pre zneužitie</w:t>
      </w:r>
      <w:r w:rsidR="00BE0B00" w:rsidRPr="004E0735">
        <w:rPr>
          <w:rFonts w:ascii="Times New Roman" w:hAnsi="Times New Roman"/>
          <w:i/>
          <w:iCs/>
          <w:color w:val="000000"/>
        </w:rPr>
        <w:t xml:space="preserve"> alebo závislosť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Boli hlásené prípady </w:t>
      </w:r>
      <w:r w:rsidR="001F4B0F" w:rsidRPr="004E0735">
        <w:rPr>
          <w:rFonts w:ascii="Times New Roman" w:hAnsi="Times New Roman"/>
          <w:color w:val="000000"/>
        </w:rPr>
        <w:t>nesprávneho užívania</w:t>
      </w:r>
      <w:r w:rsidRPr="004E0735">
        <w:rPr>
          <w:rFonts w:ascii="Times New Roman" w:hAnsi="Times New Roman"/>
          <w:color w:val="000000"/>
        </w:rPr>
        <w:t xml:space="preserve">, </w:t>
      </w:r>
      <w:r w:rsidR="001F4B0F" w:rsidRPr="004E0735">
        <w:rPr>
          <w:rFonts w:ascii="Times New Roman" w:hAnsi="Times New Roman"/>
          <w:color w:val="000000"/>
        </w:rPr>
        <w:t>zne</w:t>
      </w:r>
      <w:r w:rsidRPr="004E0735">
        <w:rPr>
          <w:rFonts w:ascii="Times New Roman" w:hAnsi="Times New Roman"/>
          <w:color w:val="000000"/>
        </w:rPr>
        <w:t>užívania liekov a závislosti. Treba byť opatrný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pacientov s anamnézou nadmerného užívania návykových látok a u takýchto pacientov majú byť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sledované príznaky </w:t>
      </w:r>
      <w:r w:rsidR="001F4B0F" w:rsidRPr="004E0735">
        <w:rPr>
          <w:rFonts w:ascii="Times New Roman" w:hAnsi="Times New Roman"/>
          <w:color w:val="000000"/>
        </w:rPr>
        <w:t xml:space="preserve">nesprávneho užívania </w:t>
      </w:r>
      <w:r w:rsidRPr="004E0735">
        <w:rPr>
          <w:rFonts w:ascii="Times New Roman" w:hAnsi="Times New Roman"/>
          <w:color w:val="000000"/>
        </w:rPr>
        <w:t xml:space="preserve">pregabalínu, </w:t>
      </w:r>
      <w:r w:rsidR="001F4B0F" w:rsidRPr="004E0735">
        <w:rPr>
          <w:rFonts w:ascii="Times New Roman" w:hAnsi="Times New Roman"/>
          <w:color w:val="000000"/>
        </w:rPr>
        <w:t>zneužívania</w:t>
      </w:r>
      <w:r w:rsidRPr="004E0735">
        <w:rPr>
          <w:rFonts w:ascii="Times New Roman" w:hAnsi="Times New Roman"/>
          <w:color w:val="000000"/>
        </w:rPr>
        <w:t xml:space="preserve"> alebo závislosti (boli hlásené rozvoj</w:t>
      </w:r>
      <w:r w:rsidR="001F4B0F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 xml:space="preserve">tolerancie, </w:t>
      </w:r>
      <w:r w:rsidR="00A41C98" w:rsidRPr="004E0735">
        <w:rPr>
          <w:rFonts w:ascii="Times New Roman" w:hAnsi="Times New Roman"/>
          <w:color w:val="000000"/>
        </w:rPr>
        <w:t>zvyšovanie</w:t>
      </w:r>
      <w:r w:rsidRPr="004E0735">
        <w:rPr>
          <w:rFonts w:ascii="Times New Roman" w:hAnsi="Times New Roman"/>
          <w:color w:val="000000"/>
        </w:rPr>
        <w:t xml:space="preserve"> dávky, správanie vedúce k užitiu lieku).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Encefalopatia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Boli hlásené prípady encefalopatie, hlavne u pacientov s pridruženými stavmi, ktoré môžu vyvolať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encefalopatiu.</w:t>
      </w:r>
    </w:p>
    <w:p w:rsidR="0053386C" w:rsidRPr="004E0735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3386C" w:rsidRPr="004E0735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Intolerancia laktózy</w:t>
      </w:r>
    </w:p>
    <w:p w:rsidR="0053386C" w:rsidRPr="004E0735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Tento liek obsahuje laktózu. </w:t>
      </w:r>
      <w:r w:rsidRPr="004E0735">
        <w:rPr>
          <w:rFonts w:ascii="Times New Roman" w:hAnsi="Times New Roman"/>
          <w:lang w:val="pt-PT"/>
        </w:rPr>
        <w:t xml:space="preserve">Pacienti so zriedkavými dedičnými problémami </w:t>
      </w:r>
      <w:r w:rsidRPr="004E0735">
        <w:rPr>
          <w:rFonts w:ascii="Times New Roman" w:hAnsi="Times New Roman"/>
        </w:rPr>
        <w:t xml:space="preserve">galaktózovej intolerancie, </w:t>
      </w:r>
      <w:r w:rsidR="007A6E01" w:rsidRPr="004E0735">
        <w:rPr>
          <w:rFonts w:ascii="Times New Roman" w:hAnsi="Times New Roman"/>
        </w:rPr>
        <w:t xml:space="preserve">celkovým </w:t>
      </w:r>
      <w:r w:rsidRPr="004E0735">
        <w:rPr>
          <w:rFonts w:ascii="Times New Roman" w:hAnsi="Times New Roman"/>
        </w:rPr>
        <w:t>deficit</w:t>
      </w:r>
      <w:r w:rsidR="007A6E01" w:rsidRPr="004E0735">
        <w:rPr>
          <w:rFonts w:ascii="Times New Roman" w:hAnsi="Times New Roman"/>
        </w:rPr>
        <w:t>om</w:t>
      </w:r>
      <w:r w:rsidRPr="004E0735">
        <w:rPr>
          <w:rFonts w:ascii="Times New Roman" w:hAnsi="Times New Roman"/>
        </w:rPr>
        <w:t xml:space="preserve"> laktázy alebo glukózo-galaktózov</w:t>
      </w:r>
      <w:r w:rsidR="007A6E01" w:rsidRPr="004E0735">
        <w:rPr>
          <w:rFonts w:ascii="Times New Roman" w:hAnsi="Times New Roman"/>
        </w:rPr>
        <w:t>ou</w:t>
      </w:r>
      <w:r w:rsidRPr="004E0735">
        <w:rPr>
          <w:rFonts w:ascii="Times New Roman" w:hAnsi="Times New Roman"/>
        </w:rPr>
        <w:t xml:space="preserve"> malabsorpci</w:t>
      </w:r>
      <w:r w:rsidR="007A6E01" w:rsidRPr="004E0735">
        <w:rPr>
          <w:rFonts w:ascii="Times New Roman" w:hAnsi="Times New Roman"/>
        </w:rPr>
        <w:t>ou</w:t>
      </w:r>
      <w:r w:rsidRPr="004E0735">
        <w:rPr>
          <w:rFonts w:ascii="Times New Roman" w:hAnsi="Times New Roman"/>
        </w:rPr>
        <w:t xml:space="preserve"> nesmú</w:t>
      </w:r>
      <w:r w:rsidRPr="004E0735">
        <w:rPr>
          <w:rFonts w:ascii="Times New Roman" w:hAnsi="Times New Roman"/>
          <w:lang w:val="pt-PT"/>
        </w:rPr>
        <w:t xml:space="preserve"> užívať tento liek.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4.5 </w:t>
      </w:r>
      <w:r w:rsidR="00A41C9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Liekové a iné interakcie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Keď</w:t>
      </w:r>
      <w:r w:rsidR="00BE0B00" w:rsidRPr="004E0735">
        <w:rPr>
          <w:rFonts w:ascii="Times New Roman" w:hAnsi="Times New Roman"/>
          <w:color w:val="000000"/>
        </w:rPr>
        <w:t>že pregabalín sa vylučuje prevažne v nezmenenej forme močom, podlieha zanedbateľnému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metabolizmu u ľudí (</w:t>
      </w:r>
      <w:r w:rsidR="00A24349" w:rsidRPr="004E0735">
        <w:rPr>
          <w:rFonts w:ascii="Times New Roman" w:hAnsi="Times New Roman"/>
          <w:color w:val="000000"/>
        </w:rPr>
        <w:sym w:font="Symbol" w:char="F03C"/>
      </w:r>
      <w:r w:rsidRPr="004E0735">
        <w:rPr>
          <w:rFonts w:ascii="Times New Roman" w:hAnsi="Times New Roman"/>
          <w:color w:val="000000"/>
        </w:rPr>
        <w:t xml:space="preserve"> 2 % dávky zachytenej v moči vo forme metabolitov), neinhibuje liekový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metabolizmus </w:t>
      </w:r>
      <w:r w:rsidRPr="004E0735">
        <w:rPr>
          <w:rFonts w:ascii="Times New Roman" w:hAnsi="Times New Roman"/>
          <w:i/>
          <w:iCs/>
          <w:color w:val="000000"/>
        </w:rPr>
        <w:t xml:space="preserve">in vitro </w:t>
      </w:r>
      <w:r w:rsidRPr="004E0735">
        <w:rPr>
          <w:rFonts w:ascii="Times New Roman" w:hAnsi="Times New Roman"/>
          <w:color w:val="000000"/>
        </w:rPr>
        <w:t>a neviaže sa na plazmatické proteíny, je nepravdepodobné, že by spôsobil alebo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bol sám subjektom farmakokinetických interakcií.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In vivo štúdie a populačná farmakokinetická analýza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Podobne</w:t>
      </w:r>
      <w:r w:rsidR="00A24349" w:rsidRPr="004E0735">
        <w:rPr>
          <w:rFonts w:ascii="Times New Roman" w:hAnsi="Times New Roman"/>
          <w:color w:val="000000"/>
        </w:rPr>
        <w:t xml:space="preserve"> sa</w:t>
      </w:r>
      <w:r w:rsidRPr="004E0735">
        <w:rPr>
          <w:rFonts w:ascii="Times New Roman" w:hAnsi="Times New Roman"/>
          <w:color w:val="000000"/>
        </w:rPr>
        <w:t xml:space="preserve"> v </w:t>
      </w:r>
      <w:r w:rsidRPr="004E0735">
        <w:rPr>
          <w:rFonts w:ascii="Times New Roman" w:hAnsi="Times New Roman"/>
          <w:i/>
          <w:iCs/>
          <w:color w:val="000000"/>
        </w:rPr>
        <w:t xml:space="preserve">in vivo </w:t>
      </w:r>
      <w:r w:rsidRPr="004E0735">
        <w:rPr>
          <w:rFonts w:ascii="Times New Roman" w:hAnsi="Times New Roman"/>
          <w:color w:val="000000"/>
        </w:rPr>
        <w:t>štúdiách nepozorovali žiadne klinicky relevantné farmakokinetické interakcie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medzi pregabalínom a fenytoínom, karbamazepínom, kyselinou valproovou, lamotrigínom,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gabapentínom, lorazepamom, oxykodónom alebo etanolom. Populačná farmakokinetická analýza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ukázala, že perorálne antidiabetiká, diuretiká, inzulín, fenobarbital, tiagabín a topiramát nemali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klinicky významný účinok na klírens pregabalínu.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Perorálne kontraceptíva, noretisterón a/alebo etinylestradiol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Súbežné podávanie pregabalínu s perorálnymi kontraceptívami noretisterónom a/alebo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etinylestradiolom nemá vplyv na farmakokinetiku v rovnovážnom stave žiadnej z týchto látok.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Lieky ovplyvňujúce centrálny nervový systém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môže zosilňovať účinky etanolu a lorazepamu. Opakované perorálne dávky pregabalínu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podávané súbežne s oxykodónom, lorazepamom alebo etanolom v kontrolovaných klinických štúdiách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neviedli ku klinicky významným účinkom na dýchanie. Po uvedení lieku na trh existujú hlásenia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o respiračnom zlyhaní a kóme u pacientov užívajúcich pregabalín a iné lieky utlmujúce centrálny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nerovový systém (CNS). Ukazuje sa, že pregabalín má aditívny efekt pri poškodení kognitívnej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hrubej motorickej funkcie spôsobenej oxykodónom.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 xml:space="preserve">Interakcie a </w:t>
      </w:r>
      <w:r w:rsidR="00A24349" w:rsidRPr="004E0735">
        <w:rPr>
          <w:rFonts w:ascii="Times New Roman" w:hAnsi="Times New Roman"/>
          <w:i/>
          <w:iCs/>
          <w:color w:val="000000"/>
        </w:rPr>
        <w:t>starší ľudia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Žiadne špecifické štúdie farmakodynamických interakcií sa nevykonali u starších dobrovoľníkov.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Interakčné štúdie sa uskutočnili len u dospelých.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4.6 </w:t>
      </w:r>
      <w:r w:rsidR="00A24349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Fertilita, gravidita a laktácia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4E0735">
        <w:rPr>
          <w:rFonts w:ascii="Times New Roman" w:hAnsi="Times New Roman"/>
          <w:iCs/>
          <w:color w:val="000000"/>
          <w:u w:val="single"/>
        </w:rPr>
        <w:t xml:space="preserve">Ženy v reprodukčnom veku / </w:t>
      </w:r>
      <w:r w:rsidR="0053386C" w:rsidRPr="004E0735">
        <w:rPr>
          <w:rFonts w:ascii="Times New Roman" w:hAnsi="Times New Roman"/>
          <w:iCs/>
          <w:color w:val="000000"/>
          <w:u w:val="single"/>
        </w:rPr>
        <w:t>a</w:t>
      </w:r>
      <w:r w:rsidRPr="004E0735">
        <w:rPr>
          <w:rFonts w:ascii="Times New Roman" w:hAnsi="Times New Roman"/>
          <w:iCs/>
          <w:color w:val="000000"/>
          <w:u w:val="single"/>
        </w:rPr>
        <w:t>ntikoncepcia u mužov a žien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Keďže potenciálne riziko pre ľudí nie je známe, ženy vo fertilnom veku musia používať účinnú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antikoncepciu.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4E0735">
        <w:rPr>
          <w:rFonts w:ascii="Times New Roman" w:hAnsi="Times New Roman"/>
          <w:iCs/>
          <w:color w:val="000000"/>
          <w:u w:val="single"/>
        </w:rPr>
        <w:t>Gravidita</w:t>
      </w: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Nie sú k dispozícii dostatočné údaje o použití pregabalínu u gravidných žien.</w:t>
      </w:r>
      <w:r w:rsidR="00A24349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Štúdie na zvieratách preukázali reprodukčnú toxicitu (pozri časť 5.3). Nie je známe potenciálne riziko</w:t>
      </w:r>
      <w:r w:rsidR="00A24349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pre ľudí.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Pregabalin </w:t>
      </w:r>
      <w:r w:rsidR="00BE0B00" w:rsidRPr="004E0735">
        <w:rPr>
          <w:rFonts w:ascii="Times New Roman" w:hAnsi="Times New Roman"/>
          <w:color w:val="000000"/>
        </w:rPr>
        <w:t xml:space="preserve"> sa má užívať počas gravidity iba v nevyhnutných prípadoch (ak prínos pre matku jednoznačne</w:t>
      </w:r>
      <w:r w:rsidRPr="004E0735">
        <w:rPr>
          <w:rFonts w:ascii="Times New Roman" w:hAnsi="Times New Roman"/>
          <w:color w:val="000000"/>
        </w:rPr>
        <w:t xml:space="preserve"> </w:t>
      </w:r>
      <w:r w:rsidR="00BE0B00" w:rsidRPr="004E0735">
        <w:rPr>
          <w:rFonts w:ascii="Times New Roman" w:hAnsi="Times New Roman"/>
          <w:color w:val="000000"/>
        </w:rPr>
        <w:t>preváži potenciálne riziko pre plod).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4E0735">
        <w:rPr>
          <w:rFonts w:ascii="Times New Roman" w:hAnsi="Times New Roman"/>
          <w:iCs/>
          <w:color w:val="000000"/>
          <w:u w:val="single"/>
        </w:rPr>
        <w:t>Dojčenie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vylučuje do ľudského materského mlieka (pozri časť 5.2). Účinok pregabalínu na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novorodencov/dojčatá nie je známy. Rozhodnutie, či ukončiť dojčenie alebo ukončiť liečbu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lastRenderedPageBreak/>
        <w:t>pregabalínom, sa má urobiť po zvážení prínosu dojčenia pre dieťa a prínosu liečby pre ženu.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4E0735">
        <w:rPr>
          <w:rFonts w:ascii="Times New Roman" w:hAnsi="Times New Roman"/>
          <w:iCs/>
          <w:color w:val="000000"/>
          <w:u w:val="single"/>
        </w:rPr>
        <w:t>Fertilita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Nie sú k dispozícii klinické údaje o účinkoch pregabalínu na ženskú fertilitu.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klinickom skúšaní hodnotiacom účinok pregabalínu na pohyblivosť spermií boli zdraví muži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vystavení pregabalínu v dávke 600 mg/deň. Po 3 mesiacoch liečby sa nezistili žiadne účinky na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pohyblivosť spermií.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Štúdia fertility na samičkách potkanov preukázala nežiaduce účinky na reprodukciu. Štúdie fertility na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samčekoch potkanov preukázali nežiaduce účinky na reprodukciu a vývin. Klinický význam týchto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zistení nie je známy (pozri časť 5.3).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4.7 </w:t>
      </w:r>
      <w:r w:rsidR="00A24349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Ovplyvnenie schopnosti viesť vozidlá a obsluhovať stroje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</w:t>
      </w:r>
      <w:r w:rsidR="0053386C" w:rsidRPr="004E0735">
        <w:rPr>
          <w:rFonts w:ascii="Times New Roman" w:hAnsi="Times New Roman"/>
          <w:color w:val="000000"/>
        </w:rPr>
        <w:t>í</w:t>
      </w:r>
      <w:r w:rsidRPr="004E0735">
        <w:rPr>
          <w:rFonts w:ascii="Times New Roman" w:hAnsi="Times New Roman"/>
          <w:color w:val="000000"/>
        </w:rPr>
        <w:t xml:space="preserve">n </w:t>
      </w:r>
      <w:r w:rsidR="00BE0B00" w:rsidRPr="004E0735">
        <w:rPr>
          <w:rFonts w:ascii="Times New Roman" w:hAnsi="Times New Roman"/>
          <w:color w:val="000000"/>
        </w:rPr>
        <w:t xml:space="preserve">môže mať malý alebo mierny vplyv na schopnosť viesť vozidlá a obsluhovať stroje. </w:t>
      </w:r>
      <w:r w:rsidRPr="004E0735">
        <w:rPr>
          <w:rFonts w:ascii="Times New Roman" w:hAnsi="Times New Roman"/>
          <w:color w:val="000000"/>
        </w:rPr>
        <w:t>Pregabal</w:t>
      </w:r>
      <w:r w:rsidR="0053386C" w:rsidRPr="004E0735">
        <w:rPr>
          <w:rFonts w:ascii="Times New Roman" w:hAnsi="Times New Roman"/>
          <w:color w:val="000000"/>
        </w:rPr>
        <w:t>í</w:t>
      </w:r>
      <w:r w:rsidRPr="004E0735">
        <w:rPr>
          <w:rFonts w:ascii="Times New Roman" w:hAnsi="Times New Roman"/>
          <w:color w:val="000000"/>
        </w:rPr>
        <w:t xml:space="preserve">n </w:t>
      </w:r>
      <w:r w:rsidR="00BE0B00" w:rsidRPr="004E0735">
        <w:rPr>
          <w:rFonts w:ascii="Times New Roman" w:hAnsi="Times New Roman"/>
          <w:color w:val="000000"/>
        </w:rPr>
        <w:t>môže vyvolať závraty a ospalosť, a preto môže ovplyvniť schopnosť viesť vozidlá alebo obsluhovať</w:t>
      </w:r>
      <w:r w:rsidRPr="004E0735">
        <w:rPr>
          <w:rFonts w:ascii="Times New Roman" w:hAnsi="Times New Roman"/>
          <w:color w:val="000000"/>
        </w:rPr>
        <w:t xml:space="preserve"> </w:t>
      </w:r>
      <w:r w:rsidR="00BE0B00" w:rsidRPr="004E0735">
        <w:rPr>
          <w:rFonts w:ascii="Times New Roman" w:hAnsi="Times New Roman"/>
          <w:color w:val="000000"/>
        </w:rPr>
        <w:t>stroje. Pacientom treba poradiť, aby neviedli vozidlá, neobsluhovali zložité stroje alebo sa nezapájali</w:t>
      </w:r>
      <w:r w:rsidRPr="004E0735">
        <w:rPr>
          <w:rFonts w:ascii="Times New Roman" w:hAnsi="Times New Roman"/>
          <w:color w:val="000000"/>
        </w:rPr>
        <w:t xml:space="preserve"> </w:t>
      </w:r>
      <w:r w:rsidR="00BE0B00" w:rsidRPr="004E0735">
        <w:rPr>
          <w:rFonts w:ascii="Times New Roman" w:hAnsi="Times New Roman"/>
          <w:color w:val="000000"/>
        </w:rPr>
        <w:t>do iných potenciálne nebezpečných činností, pokiaľ nie je isté, či tento liek neovplyvňuje ich</w:t>
      </w:r>
      <w:r w:rsidRPr="004E0735">
        <w:rPr>
          <w:rFonts w:ascii="Times New Roman" w:hAnsi="Times New Roman"/>
          <w:color w:val="000000"/>
        </w:rPr>
        <w:t xml:space="preserve"> </w:t>
      </w:r>
      <w:r w:rsidR="00BE0B00" w:rsidRPr="004E0735">
        <w:rPr>
          <w:rFonts w:ascii="Times New Roman" w:hAnsi="Times New Roman"/>
          <w:color w:val="000000"/>
        </w:rPr>
        <w:t>schopnosť vykonávať uvedené činnosti.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4.8 </w:t>
      </w:r>
      <w:r w:rsidR="00A24349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Nežiaduce účinky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Klinický program s pregabalínom zahrňoval viac ako 8 900 pacientov užívajúcich pregabalín,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z ktorých viac ako </w:t>
      </w:r>
      <w:r w:rsidR="0053386C" w:rsidRPr="004E0735">
        <w:rPr>
          <w:rFonts w:ascii="Times New Roman" w:hAnsi="Times New Roman"/>
          <w:color w:val="000000"/>
        </w:rPr>
        <w:t>5 600 bolo zaradených v dvojito za</w:t>
      </w:r>
      <w:r w:rsidRPr="004E0735">
        <w:rPr>
          <w:rFonts w:ascii="Times New Roman" w:hAnsi="Times New Roman"/>
          <w:color w:val="000000"/>
        </w:rPr>
        <w:t>slep</w:t>
      </w:r>
      <w:r w:rsidR="0053386C" w:rsidRPr="004E0735">
        <w:rPr>
          <w:rFonts w:ascii="Times New Roman" w:hAnsi="Times New Roman"/>
          <w:color w:val="000000"/>
        </w:rPr>
        <w:t>en</w:t>
      </w:r>
      <w:r w:rsidRPr="004E0735">
        <w:rPr>
          <w:rFonts w:ascii="Times New Roman" w:hAnsi="Times New Roman"/>
          <w:color w:val="000000"/>
        </w:rPr>
        <w:t>ých placebom kontrolovaných štúdiách.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Najčastejšie hlásenými nežiaducimi reakciami boli závraty a somnolencia. Nežiaduce reakcie boli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zvyčajne ľahkej až strednej intenzity. Vo všetkých kontrolovaných štúdiách boli nežiaduce reakcie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príčinou prerušenia liečby u 12 % pacientov užívajúcich pregabalín a u 5 % pacientov užívajúcich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placebo. Najčastejšími nežiaducimi reakciami vedúcimi k prerušeniu liečby v skupinách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pregabalínom boli závraty a somnolencia.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tabuľke 2 nižšie sú všetky nežiaduce reakcie, ktoré sa vyskytli častejšie než pri placebe a viac než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jedného pacienta, zoradené podľa triedy a frekvencie (veľmi časté (</w:t>
      </w:r>
      <w:r w:rsidR="00A24349" w:rsidRPr="004E0735">
        <w:rPr>
          <w:rFonts w:ascii="Times New Roman" w:hAnsi="Times New Roman"/>
          <w:color w:val="000000"/>
        </w:rPr>
        <w:t>≥</w:t>
      </w:r>
      <w:r w:rsidRPr="004E0735">
        <w:rPr>
          <w:rFonts w:ascii="Times New Roman" w:hAnsi="Times New Roman"/>
          <w:color w:val="000000"/>
        </w:rPr>
        <w:t xml:space="preserve"> 1/10); časté (</w:t>
      </w:r>
      <w:r w:rsidR="00A24349" w:rsidRPr="004E0735">
        <w:rPr>
          <w:rFonts w:ascii="Times New Roman" w:hAnsi="Times New Roman"/>
          <w:color w:val="000000"/>
        </w:rPr>
        <w:t>≥</w:t>
      </w:r>
      <w:r w:rsidRPr="004E0735">
        <w:rPr>
          <w:rFonts w:ascii="Times New Roman" w:hAnsi="Times New Roman"/>
          <w:color w:val="000000"/>
        </w:rPr>
        <w:t xml:space="preserve"> 1/100 až</w:t>
      </w:r>
    </w:p>
    <w:p w:rsidR="00BE0B00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sym w:font="Symbol" w:char="F03C"/>
      </w:r>
      <w:r w:rsidR="00BE0B00" w:rsidRPr="004E0735">
        <w:rPr>
          <w:rFonts w:ascii="Times New Roman" w:hAnsi="Times New Roman"/>
          <w:color w:val="000000"/>
        </w:rPr>
        <w:t xml:space="preserve"> 1/10); menej časté (</w:t>
      </w:r>
      <w:r w:rsidRPr="004E0735">
        <w:rPr>
          <w:rFonts w:ascii="Times New Roman" w:hAnsi="Times New Roman"/>
          <w:color w:val="000000"/>
        </w:rPr>
        <w:t>≥</w:t>
      </w:r>
      <w:r w:rsidR="00BE0B00" w:rsidRPr="004E0735">
        <w:rPr>
          <w:rFonts w:ascii="Times New Roman" w:hAnsi="Times New Roman"/>
          <w:color w:val="000000"/>
        </w:rPr>
        <w:t xml:space="preserve"> 1/1 000 až </w:t>
      </w:r>
      <w:r w:rsidRPr="004E0735">
        <w:rPr>
          <w:rFonts w:ascii="Times New Roman" w:hAnsi="Times New Roman"/>
          <w:color w:val="000000"/>
        </w:rPr>
        <w:sym w:font="Symbol" w:char="F03C"/>
      </w:r>
      <w:r w:rsidR="00BE0B00" w:rsidRPr="004E0735">
        <w:rPr>
          <w:rFonts w:ascii="Times New Roman" w:hAnsi="Times New Roman"/>
          <w:color w:val="000000"/>
        </w:rPr>
        <w:t xml:space="preserve"> 1/100); zriedkavé (</w:t>
      </w:r>
      <w:r w:rsidRPr="004E0735">
        <w:rPr>
          <w:rFonts w:ascii="Times New Roman" w:hAnsi="Times New Roman"/>
          <w:color w:val="000000"/>
        </w:rPr>
        <w:t>≥</w:t>
      </w:r>
      <w:r w:rsidR="00BE0B00" w:rsidRPr="004E0735">
        <w:rPr>
          <w:rFonts w:ascii="Times New Roman" w:hAnsi="Times New Roman"/>
          <w:color w:val="000000"/>
        </w:rPr>
        <w:t xml:space="preserve">1/10 000 až </w:t>
      </w:r>
      <w:r w:rsidRPr="004E0735">
        <w:rPr>
          <w:rFonts w:ascii="Times New Roman" w:hAnsi="Times New Roman"/>
          <w:color w:val="000000"/>
        </w:rPr>
        <w:sym w:font="Symbol" w:char="F03C"/>
      </w:r>
      <w:r w:rsidR="00BE0B00" w:rsidRPr="004E0735">
        <w:rPr>
          <w:rFonts w:ascii="Times New Roman" w:hAnsi="Times New Roman"/>
          <w:color w:val="000000"/>
        </w:rPr>
        <w:t xml:space="preserve"> 1/1 000); veľmi zriedkavé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(&lt; 1/10 000), neznáme (z dostupných údajov)). V rámci jednotlivých skupín</w:t>
      </w:r>
      <w:r w:rsidR="0053386C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frekvencií sú nežiaduce účinky usporiadané v poradí klesajúcej závažnosti.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Uvedené nežiaduce reakcie môžu tiež súvisieť so základným ochorením a/alebo sprievodnou liečbou.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 liečbe centrálnej neuropatickej bolesti v dôsledku poškodenia miechy sa zaznamenal zvýšený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výskyt nežiaducich reakcií všeobecne, CNS nežiaducich reakcií a zvlášť somnolencie (pozri časť 4.4).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Ďalšie reakcie hlásené na základe skúseností po uvedení lieku na trh sú zaradené v zozname nižšie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kurzívou.</w:t>
      </w:r>
    </w:p>
    <w:p w:rsidR="0053386C" w:rsidRPr="004E0735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3386C" w:rsidRPr="004E0735" w:rsidRDefault="0053386C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4E0735">
        <w:rPr>
          <w:rFonts w:ascii="Times New Roman" w:hAnsi="Times New Roman"/>
          <w:b/>
          <w:color w:val="000000"/>
        </w:rPr>
        <w:t>Tabuľka 2: Nežiaduce liekové reakcie na pregabalín</w:t>
      </w:r>
    </w:p>
    <w:p w:rsidR="00A24349" w:rsidRPr="004E0735" w:rsidRDefault="00A24349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644"/>
      </w:tblGrid>
      <w:tr w:rsidR="00A24349" w:rsidRPr="004E0735" w:rsidTr="0067132C">
        <w:trPr>
          <w:tblHeader/>
        </w:trPr>
        <w:tc>
          <w:tcPr>
            <w:tcW w:w="4642" w:type="dxa"/>
            <w:shd w:val="clear" w:color="auto" w:fill="auto"/>
          </w:tcPr>
          <w:p w:rsidR="00A24349" w:rsidRPr="004E0735" w:rsidRDefault="00A24349" w:rsidP="004E073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color w:val="000000"/>
              </w:rPr>
              <w:t>Trieda orgánových</w:t>
            </w:r>
          </w:p>
          <w:p w:rsidR="00A24349" w:rsidRPr="004E0735" w:rsidRDefault="00A24349" w:rsidP="004E0735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systémov </w:t>
            </w:r>
          </w:p>
        </w:tc>
        <w:tc>
          <w:tcPr>
            <w:tcW w:w="4644" w:type="dxa"/>
            <w:shd w:val="clear" w:color="auto" w:fill="auto"/>
          </w:tcPr>
          <w:p w:rsidR="00F70849" w:rsidRPr="004E0735" w:rsidRDefault="00F70849" w:rsidP="004E073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color w:val="000000"/>
              </w:rPr>
              <w:t>Nežiaduce reakcie lieku</w:t>
            </w:r>
          </w:p>
          <w:p w:rsidR="00A24349" w:rsidRPr="004E0735" w:rsidRDefault="00A24349" w:rsidP="004E0735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24349" w:rsidRPr="004E0735" w:rsidTr="0067132C">
        <w:trPr>
          <w:trHeight w:val="666"/>
        </w:trPr>
        <w:tc>
          <w:tcPr>
            <w:tcW w:w="4642" w:type="dxa"/>
            <w:shd w:val="clear" w:color="auto" w:fill="auto"/>
          </w:tcPr>
          <w:p w:rsidR="0019505A" w:rsidRPr="004E0735" w:rsidRDefault="0019505A" w:rsidP="001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Infekcie a nákazy</w:t>
            </w:r>
            <w:r w:rsidRPr="004E0735" w:rsidDel="001718CA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 xml:space="preserve"> </w:t>
            </w:r>
          </w:p>
          <w:p w:rsidR="00A24349" w:rsidRPr="004E0735" w:rsidRDefault="0019505A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bCs/>
                <w:color w:val="000000"/>
              </w:rPr>
              <w:t>Časté</w:t>
            </w:r>
          </w:p>
        </w:tc>
        <w:tc>
          <w:tcPr>
            <w:tcW w:w="4644" w:type="dxa"/>
            <w:shd w:val="clear" w:color="auto" w:fill="auto"/>
          </w:tcPr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A243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Nazofaryngitída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19505A" w:rsidRPr="004E0735" w:rsidRDefault="0019505A" w:rsidP="001950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i/>
              </w:rPr>
              <w:t>Poruchy krvi a lymfatického systému</w:t>
            </w:r>
          </w:p>
          <w:p w:rsidR="00A24349" w:rsidRPr="004E0735" w:rsidRDefault="0019505A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Neutropénia</w:t>
            </w:r>
          </w:p>
          <w:p w:rsidR="0067132C" w:rsidRPr="004E0735" w:rsidRDefault="0067132C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67132C" w:rsidRPr="004E0735" w:rsidRDefault="0067132C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Poruchy imunitného systému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Menej časté </w:t>
            </w:r>
          </w:p>
          <w:p w:rsidR="00A243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F70849" w:rsidRPr="004E0735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 New Roman" w:hAnsi="Times New Roman"/>
                <w:i/>
              </w:rPr>
              <w:lastRenderedPageBreak/>
              <w:t>Hypersen</w:t>
            </w:r>
            <w:r w:rsidR="00F70849" w:rsidRPr="004E0735">
              <w:rPr>
                <w:rFonts w:ascii="Times New Roman" w:eastAsia="Times New Roman" w:hAnsi="Times New Roman"/>
                <w:i/>
              </w:rPr>
              <w:t>z</w:t>
            </w:r>
            <w:r w:rsidRPr="004E0735">
              <w:rPr>
                <w:rFonts w:ascii="Times New Roman" w:eastAsia="Times New Roman" w:hAnsi="Times New Roman"/>
                <w:i/>
              </w:rPr>
              <w:t>itivit</w:t>
            </w:r>
            <w:r w:rsidR="00F70849" w:rsidRPr="004E0735">
              <w:rPr>
                <w:rFonts w:ascii="Times New Roman" w:eastAsia="Times New Roman" w:hAnsi="Times New Roman"/>
                <w:i/>
              </w:rPr>
              <w:t>a</w:t>
            </w:r>
          </w:p>
          <w:p w:rsidR="00A243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E0735">
              <w:rPr>
                <w:rFonts w:ascii="Times New Roman" w:eastAsia="Times New Roman" w:hAnsi="Times New Roman"/>
                <w:i/>
                <w:iCs/>
                <w:color w:val="000000"/>
              </w:rPr>
              <w:t>Angioedém, alergická reakcia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lastRenderedPageBreak/>
              <w:t>Poruchy metabolizmu a výživy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Časté 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Zvýšená chuť do jedla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  <w:p w:rsidR="00A24349" w:rsidRPr="004E0735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Anorexia, hypoglykémia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Psychické poruchy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Časté 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A243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Euforická nálada, zmätenosť, iritabilita, dezorientácia, insomnia, pokles libida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Halucinácie, panický atak, nepokoj, agitovanosť, depresia, depresívna nálada, povznášajúca nálada, </w:t>
            </w:r>
            <w:r w:rsidRPr="004E0735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agresivita, </w:t>
            </w:r>
            <w:r w:rsidRPr="004E0735">
              <w:rPr>
                <w:rFonts w:ascii="Times New Roman" w:eastAsia="Times New Roman" w:hAnsi="Times New Roman"/>
                <w:color w:val="000000"/>
              </w:rPr>
              <w:t>kolísanie nálady, depersonalizácia, ťažkosti s vyhľadávaním slov, abnormálne sny, vzostup libida, anorgazmia, apatia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Strata zábran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nervového systému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Veľmi časté </w:t>
            </w:r>
          </w:p>
          <w:p w:rsidR="00376FD7" w:rsidRPr="004E0735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F70849" w:rsidRPr="004E0735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376FD7" w:rsidRPr="004E0735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376FD7" w:rsidRPr="004E0735" w:rsidRDefault="00376FD7" w:rsidP="00DC3DB9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376FD7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</w:t>
            </w:r>
            <w:r w:rsidR="00F70849" w:rsidRPr="004E0735">
              <w:rPr>
                <w:rFonts w:ascii="Times New Roman" w:eastAsia="TimesNewRoman" w:hAnsi="Times New Roman"/>
                <w:lang w:eastAsia="sk-SK"/>
              </w:rPr>
              <w:t>ávraty, somnolencia, bolesť hlavy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Ataxia, porucha koordinácie, tremor, dyzartria, amnézia, poruchy pamäti, porucha koncentrácie, parestézia, hypestézia, sedácia, porucha rovnováhy, letargia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Cs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Synkopa, stupor, myoklonus, 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strata vedomia</w:t>
            </w:r>
            <w:r w:rsidRPr="004E0735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 xml:space="preserve">psychomotorická hyperaktivita, dyskinéza, posturálne závraty, intenčný tremor, nystagmus, kognitívne poruchy, 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mentálne poškodenie</w:t>
            </w:r>
            <w:r w:rsidRPr="004E0735">
              <w:rPr>
                <w:rFonts w:ascii="Times New Roman" w:eastAsia="TimesNewRoman,Bold" w:hAnsi="Times New Roman"/>
                <w:iCs/>
                <w:lang w:eastAsia="sk-SK"/>
              </w:rPr>
              <w:t>, p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 xml:space="preserve">orucha reči, hyporeflexia, hyperestézia, pocit pálenia, strata chuti, 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pocit nepohody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376FD7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Kŕče</w:t>
            </w:r>
            <w:r w:rsidRPr="004E0735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parosmia, hypokinéza, dysgrafia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oka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376FD7" w:rsidRPr="004E0735" w:rsidRDefault="00376FD7" w:rsidP="00376FD7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Zahmlené videnie, diplopia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  <w:p w:rsidR="00376FD7" w:rsidRPr="004E0735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Strata periférneho videnia, poruchy videnia, opuch očí, defekty v zornom poli, zníženie zrakovej ostrosti, bolesti oka, astenopia,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fotopsia, suché oči, zvýšená lakrimácia, podráždenie očí</w:t>
            </w:r>
          </w:p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Strata zraku, keratitída</w:t>
            </w:r>
            <w:r w:rsidRPr="004E0735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oscilopsia, porušené hĺbkové videnie, mydriáza, strabizmus, porušená zraková ostrosť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ucha a labyrintu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376FD7" w:rsidRPr="004E0735" w:rsidRDefault="00376FD7" w:rsidP="00376FD7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</w:rPr>
              <w:t>Vertigo</w:t>
            </w:r>
          </w:p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</w:rPr>
              <w:t>Hypera</w:t>
            </w:r>
            <w:r w:rsidR="00376FD7" w:rsidRPr="004E0735">
              <w:rPr>
                <w:rFonts w:ascii="Times New Roman" w:eastAsia="Times New Roman" w:hAnsi="Times New Roman"/>
              </w:rPr>
              <w:t>kúzia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srdca a srdcovej činnosti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5B62C5" w:rsidRPr="004E0735" w:rsidRDefault="005B62C5" w:rsidP="005B62C5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4E0735" w:rsidRDefault="005B62C5" w:rsidP="005B62C5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5B62C5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  <w:p w:rsidR="00A24349" w:rsidRPr="004E0735" w:rsidRDefault="00A24349" w:rsidP="005B62C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Tachykardia, AV blokáda 1. stupňa, sínusová bradykardia,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 kongestívne srdcové zlyhanie</w:t>
            </w:r>
          </w:p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4E0735" w:rsidRDefault="005B62C5" w:rsidP="0067132C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Predĺženie QT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 xml:space="preserve">, sínusová tachykardia, sínusová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lastRenderedPageBreak/>
              <w:t>arytmia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lastRenderedPageBreak/>
              <w:t>Poruchy ciev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5B62C5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Hypotenzia, hypertenzia, návaly horúčavy, sčervenenie, periférny</w:t>
            </w:r>
            <w:r w:rsidR="00B9593F" w:rsidRPr="004E0735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pocit chladu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dýchacej sústavy, hrudníka a mediastína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Menej časté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 </w:t>
            </w:r>
          </w:p>
          <w:p w:rsidR="00A24349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4E0735" w:rsidRDefault="00A24349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 New Roman" w:hAnsi="Times New Roman"/>
                <w:lang w:val="en-US"/>
              </w:rPr>
              <w:t xml:space="preserve">Dyspnoe,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 xml:space="preserve">epistaxa, kašeľ, upchatie nosa, rinitída, chrápanie, </w:t>
            </w:r>
            <w:r w:rsidR="0019505A" w:rsidRPr="004E0735">
              <w:rPr>
                <w:rFonts w:ascii="Times New Roman" w:eastAsia="TimesNewRoman" w:hAnsi="Times New Roman"/>
                <w:lang w:eastAsia="sk-SK"/>
              </w:rPr>
              <w:t xml:space="preserve">sucho v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>nos</w:t>
            </w:r>
            <w:r w:rsidR="0019505A" w:rsidRPr="004E0735">
              <w:rPr>
                <w:rFonts w:ascii="Times New Roman" w:eastAsia="TimesNewRoman" w:hAnsi="Times New Roman"/>
                <w:lang w:eastAsia="sk-SK"/>
              </w:rPr>
              <w:t>e</w:t>
            </w: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A24349" w:rsidRPr="004E0735" w:rsidRDefault="005B62C5" w:rsidP="005B62C5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Pľúcny edém,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zovreté hrdlo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gastrointestinálneho traktu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4E0735" w:rsidRDefault="00B9593F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V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 xml:space="preserve">racanie, </w:t>
            </w:r>
            <w:r w:rsidR="005B62C5"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nauzea,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 xml:space="preserve">obstipácia, </w:t>
            </w:r>
            <w:r w:rsidR="005B62C5"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hnačka,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>flatulencia, abdominálna distenzia, sucho v ústach</w:t>
            </w: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4E0735" w:rsidRDefault="00B9593F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G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>astroezofageálna refluxová choroba, zvýšená salivácia, znížená citlivosť v ústach</w:t>
            </w: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 New Roman" w:hAnsi="Times New Roman"/>
              </w:rPr>
              <w:t xml:space="preserve">Ascites,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 xml:space="preserve">pankreatitída, </w:t>
            </w:r>
            <w:r w:rsidR="005B62C5"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opuchnutý jazyk,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>dysfágia</w:t>
            </w:r>
          </w:p>
        </w:tc>
      </w:tr>
      <w:tr w:rsidR="0067132C" w:rsidRPr="004E0735" w:rsidTr="0067132C">
        <w:tc>
          <w:tcPr>
            <w:tcW w:w="4642" w:type="dxa"/>
            <w:shd w:val="clear" w:color="auto" w:fill="auto"/>
          </w:tcPr>
          <w:p w:rsidR="0067132C" w:rsidRPr="004E0735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pečene a žlčových ciest</w:t>
            </w:r>
          </w:p>
          <w:p w:rsidR="0067132C" w:rsidRPr="004E0735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 xml:space="preserve">Menej časté </w:t>
            </w:r>
          </w:p>
          <w:p w:rsidR="0067132C" w:rsidRPr="004E0735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 xml:space="preserve">Zriedkavé </w:t>
            </w:r>
          </w:p>
          <w:p w:rsidR="0067132C" w:rsidRPr="004E0735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 xml:space="preserve">Veľmi zriedkavé </w:t>
            </w:r>
          </w:p>
          <w:p w:rsidR="0067132C" w:rsidRPr="004E0735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</w:p>
        </w:tc>
        <w:tc>
          <w:tcPr>
            <w:tcW w:w="4644" w:type="dxa"/>
            <w:shd w:val="clear" w:color="auto" w:fill="auto"/>
          </w:tcPr>
          <w:p w:rsidR="0067132C" w:rsidRPr="004E0735" w:rsidRDefault="0067132C" w:rsidP="005B6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132C" w:rsidRPr="004E0735" w:rsidRDefault="0067132C" w:rsidP="005B62C5">
            <w:pPr>
              <w:spacing w:after="0" w:line="240" w:lineRule="auto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 xml:space="preserve">Zvýšené hladiny pečeňových enzýmov* </w:t>
            </w:r>
          </w:p>
          <w:p w:rsidR="0067132C" w:rsidRPr="004E0735" w:rsidRDefault="0067132C" w:rsidP="005B62C5">
            <w:pPr>
              <w:spacing w:after="0" w:line="240" w:lineRule="auto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Žltačka</w:t>
            </w:r>
          </w:p>
          <w:p w:rsidR="0067132C" w:rsidRPr="004E0735" w:rsidRDefault="0067132C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hAnsi="Times New Roman"/>
              </w:rPr>
              <w:t>Zlyhanie pečene, hepatitída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kože a podkožného tkaniva</w:t>
            </w: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903B43" w:rsidRPr="004E0735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Papulózny exantém, žihľavka, hyperhidróza, 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pruritus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  <w:p w:rsidR="00903B43" w:rsidRPr="004E0735" w:rsidRDefault="00903B43" w:rsidP="00903B43">
            <w:pPr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</w:p>
          <w:p w:rsidR="00A24349" w:rsidRPr="004E0735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Stevensov-Johnsonov syndróm,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studený pot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kostrovej a svalovej sústavy a spojivového tkaniva</w:t>
            </w: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Zriedkavé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Svalové kŕče, artralgia, bolesti chrbta, bolesti v končatinách, cervikálny spazmus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Opuch kĺbov, myalgia, svalové zášklby, bolesť šije, svalová</w:t>
            </w:r>
            <w:r w:rsidR="0019505A" w:rsidRPr="004E0735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stuhnutosť</w:t>
            </w:r>
          </w:p>
          <w:p w:rsidR="00903B43" w:rsidRPr="004E0735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Rabdomyolýza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obličiek a močových ciest</w:t>
            </w: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B9593F" w:rsidRPr="004E0735" w:rsidRDefault="00B9593F" w:rsidP="00B9593F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Močová inkontinencia, dyzúria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Renálne zlyhanie, oligúria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, retencia moču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reprodukčného systému a prsníkov</w:t>
            </w:r>
          </w:p>
          <w:p w:rsidR="00B9593F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B9593F" w:rsidRPr="004E0735" w:rsidRDefault="00B9593F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4E0735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Erektilná dysfunkcia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4E0735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Sexuálna dysfunkcia, oneskorená ejakulácia, dysmenorea, bolesť prsníkov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Amenorea, výtok z prsníkov, zväčšenie prsníkov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, gynekomastia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Celkové poruchy a reakcie v mieste podania</w:t>
            </w:r>
          </w:p>
          <w:p w:rsidR="00903B43" w:rsidRPr="004E0735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4E0735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Periférny edém, edém, abnormálna chôdza, padanie, pocit opitosti, abnormálny pocit, únava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A24349" w:rsidRPr="004E0735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Generalizovaný edém, 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edém tváre,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pocit</w:t>
            </w:r>
            <w:r w:rsidR="0019505A" w:rsidRPr="004E0735">
              <w:rPr>
                <w:rFonts w:ascii="Times New Roman" w:eastAsia="TimesNewRoman" w:hAnsi="Times New Roman"/>
                <w:lang w:eastAsia="sk-SK"/>
              </w:rPr>
              <w:t xml:space="preserve"> napätia na hrudníku, bolesť, pyrexia, smäd, triaška, asténia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lastRenderedPageBreak/>
              <w:t>Laboratórne a funkčné vyšetrenia</w:t>
            </w:r>
          </w:p>
          <w:p w:rsidR="00B9593F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B9593F" w:rsidRPr="004E0735" w:rsidRDefault="00B9593F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4E0735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Zvýšená hmotnosť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4E0735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Zvýšená kreatínfosfokináza v krvi, zvýšená glukóza v krvi, znížený počet trombocytov, zvýšený kreatinín v krvi, znížený draslík v krvi, znížená hmotnosť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Znížený počet leukocytov v krvi</w:t>
            </w:r>
          </w:p>
        </w:tc>
      </w:tr>
    </w:tbl>
    <w:p w:rsidR="00B9593F" w:rsidRPr="004E0735" w:rsidRDefault="0067132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* Zvýšená hladina alanínaminotransferázy, zvýšená hladina aspartátaminotransferázy (AST).</w:t>
      </w:r>
    </w:p>
    <w:p w:rsidR="0067132C" w:rsidRPr="004E0735" w:rsidRDefault="0067132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ukončení krátkodobej a dlhodobej liečby pregabalínom sa u niektorých pacientov pozorovali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abstinenčné príznaky. Uvádzajú sa nasledujúce reakcie: insomnia, bolesť hlavy, nauzea, úzkosť,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hnačka, chrípkový syndróm, kŕče, nervozita, depresia, bolesť</w:t>
      </w:r>
      <w:r w:rsidRPr="004E0735">
        <w:rPr>
          <w:rFonts w:ascii="Times New Roman" w:hAnsi="Times New Roman"/>
          <w:b/>
          <w:bCs/>
          <w:color w:val="000000"/>
        </w:rPr>
        <w:t xml:space="preserve">, </w:t>
      </w:r>
      <w:r w:rsidRPr="004E0735">
        <w:rPr>
          <w:rFonts w:ascii="Times New Roman" w:hAnsi="Times New Roman"/>
          <w:color w:val="000000"/>
        </w:rPr>
        <w:t>hyperhidróza a závrat, naznačujúce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fyzickú závislosť. Pacient má byť o tejto skutočnosti informovaný na začiatku liečby.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5F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Čo sa týka ukončenia dlhodobej liečby pregabalínom, údaje naznačujú, že výskyt a závažnosť</w:t>
      </w:r>
    </w:p>
    <w:p w:rsidR="00BE0B00" w:rsidRPr="004E0735" w:rsidRDefault="00BE0B00" w:rsidP="005F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abstinenčných príznakov môžu byť závislé od dávky.</w:t>
      </w:r>
    </w:p>
    <w:p w:rsidR="00B9593F" w:rsidRPr="004E0735" w:rsidRDefault="00B9593F" w:rsidP="00F236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B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Pediatrická populácia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Bezpečnostný profil pregabalínu pozorovaný v troch pediatrických štúdiách s pacientmi s parciálnymi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záchvatmi s</w:t>
      </w:r>
      <w:r w:rsidR="00F23675" w:rsidRPr="004E0735">
        <w:rPr>
          <w:rFonts w:ascii="Times New Roman" w:hAnsi="Times New Roman"/>
        </w:rPr>
        <w:t>o sekundárnou generalizáciou alebo</w:t>
      </w:r>
      <w:r w:rsidRPr="004E0735">
        <w:rPr>
          <w:rFonts w:ascii="Times New Roman" w:hAnsi="Times New Roman"/>
        </w:rPr>
        <w:t xml:space="preserve"> bez </w:t>
      </w:r>
      <w:r w:rsidR="00F23675" w:rsidRPr="004E0735">
        <w:rPr>
          <w:rFonts w:ascii="Times New Roman" w:hAnsi="Times New Roman"/>
        </w:rPr>
        <w:t xml:space="preserve"> nej </w:t>
      </w:r>
      <w:r w:rsidRPr="004E0735">
        <w:rPr>
          <w:rFonts w:ascii="Times New Roman" w:hAnsi="Times New Roman"/>
        </w:rPr>
        <w:t>(12-týždňová štúdia účinnosti a bezpečnosti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u pacientov s výskytom parciálnych záchvatov, n = 295; štúdie farmakokinetiky a znášanlivosti, n =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65; a 1-ročná otvorená nadväzujúca štúdia bezpečnosti, n = 54) bol podobný bezpečnostnému profilu,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ktorý sa pozoroval v štúdiách u dospelých pacientov s epilepsiou. Najčastejšie nežiaduce udalosti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pozorované v 12-týždňovej štúdii s liečbou pregabalínom boli ospalosť, pyrexia, infekcia horných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dýchacích ciest, zvýšená chuť do jedla, zvýšená telesná hmotnosť a nazofaryngitída (pozri časti 4.2,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5.1 a 5.2).</w:t>
      </w:r>
    </w:p>
    <w:p w:rsidR="00B9593F" w:rsidRPr="004E0735" w:rsidRDefault="00B9593F" w:rsidP="004B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B2FC8" w:rsidRPr="004E0735" w:rsidRDefault="004B2FC8" w:rsidP="004E0735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u w:val="single"/>
        </w:rPr>
      </w:pPr>
      <w:r w:rsidRPr="004E0735">
        <w:rPr>
          <w:rFonts w:ascii="Times New Roman" w:hAnsi="Times New Roman"/>
          <w:u w:val="single"/>
        </w:rPr>
        <w:t>Hlásenie podozrení na nežiaduce reakcie</w:t>
      </w:r>
    </w:p>
    <w:p w:rsidR="004B2FC8" w:rsidRPr="004E0735" w:rsidRDefault="004B2FC8" w:rsidP="004E0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Hypertextovprepojenie"/>
          <w:rFonts w:ascii="Times New Roman" w:hAnsi="Times New Roman"/>
        </w:rPr>
      </w:pPr>
      <w:r w:rsidRPr="004E0735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4E0735">
        <w:rPr>
          <w:rFonts w:ascii="Times New Roman" w:hAnsi="Times New Roman"/>
          <w:shd w:val="clear" w:color="auto" w:fill="C0C0C0"/>
        </w:rPr>
        <w:t>národné centrum hlásenia uvedené v </w:t>
      </w:r>
      <w:hyperlink r:id="rId8" w:history="1">
        <w:r w:rsidRPr="004E0735">
          <w:rPr>
            <w:rStyle w:val="Hypertextovprepojenie"/>
            <w:rFonts w:ascii="Times New Roman" w:hAnsi="Times New Roman"/>
            <w:shd w:val="clear" w:color="auto" w:fill="C0C0C0"/>
          </w:rPr>
          <w:t>Prílohe V</w:t>
        </w:r>
      </w:hyperlink>
      <w:r w:rsidRPr="004E0735">
        <w:rPr>
          <w:rStyle w:val="Hypertextovprepojenie"/>
          <w:rFonts w:ascii="Times New Roman" w:hAnsi="Times New Roman"/>
        </w:rPr>
        <w:t>.</w:t>
      </w:r>
    </w:p>
    <w:p w:rsidR="00B9593F" w:rsidRPr="004E0735" w:rsidRDefault="00B9593F" w:rsidP="0097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97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>4.9</w:t>
      </w:r>
      <w:r w:rsidR="00B9593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 xml:space="preserve"> Predávkovanie</w:t>
      </w:r>
    </w:p>
    <w:p w:rsidR="00B9593F" w:rsidRPr="004E0735" w:rsidRDefault="00B9593F" w:rsidP="0097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97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uvedení lieku na trh najčastejšie hlásené nežiaduce reakcie pozorované po predávkovaní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pregabalínom zahŕňali ospalosť, stavy zmätenosti, agitovanosť a nepokoj.</w:t>
      </w:r>
      <w:r w:rsidR="00A60839" w:rsidRPr="004E0735">
        <w:rPr>
          <w:rFonts w:ascii="Times New Roman" w:hAnsi="Times New Roman"/>
          <w:color w:val="000000"/>
        </w:rPr>
        <w:t xml:space="preserve"> Boli hlásené aj záchvaty.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zriedkavých prípadoch bola hlásená kóma.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Liečba predávkovania pregabalínom musí zahrňovať štandardné podporné opatrenia a môže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zahrňovať podľa potreby aj hemodialýzu (pozri časť 4.2 Tabuľka 1).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lastRenderedPageBreak/>
        <w:t xml:space="preserve">5.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FARMAKOLOGICKÉ VLASTNOSTI</w:t>
      </w:r>
    </w:p>
    <w:p w:rsidR="00B9593F" w:rsidRPr="004E0735" w:rsidRDefault="00B9593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5.1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Farmakodynamické vlastnosti</w:t>
      </w:r>
    </w:p>
    <w:p w:rsidR="00B9593F" w:rsidRPr="004E0735" w:rsidRDefault="00B9593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Farmakoterapeutická skupina: </w:t>
      </w:r>
      <w:r w:rsidR="008D15FE" w:rsidRPr="004E0735">
        <w:rPr>
          <w:rFonts w:ascii="Times New Roman" w:hAnsi="Times New Roman"/>
          <w:color w:val="000000"/>
        </w:rPr>
        <w:t>Antiepileptiká</w:t>
      </w:r>
      <w:r w:rsidRPr="004E0735">
        <w:rPr>
          <w:rFonts w:ascii="Times New Roman" w:hAnsi="Times New Roman"/>
          <w:color w:val="000000"/>
        </w:rPr>
        <w:t>, iné antiepileptiká, ATC kód: N03AX16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Liečivo pregabalín je analógom gamaaminomaslovej kyseliny </w:t>
      </w:r>
      <w:r w:rsidR="00845A82" w:rsidRPr="004E0735">
        <w:rPr>
          <w:rFonts w:ascii="Times New Roman" w:hAnsi="Times New Roman"/>
          <w:color w:val="000000"/>
        </w:rPr>
        <w:t>((</w:t>
      </w:r>
      <w:r w:rsidRPr="004E0735">
        <w:rPr>
          <w:rFonts w:ascii="Times New Roman" w:hAnsi="Times New Roman"/>
          <w:color w:val="000000"/>
        </w:rPr>
        <w:t>S)-3-(aminometyl)-5-metylhexánová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kyselina</w:t>
      </w:r>
      <w:r w:rsidR="00845A82" w:rsidRPr="004E0735">
        <w:rPr>
          <w:rFonts w:ascii="Times New Roman" w:hAnsi="Times New Roman"/>
          <w:color w:val="000000"/>
        </w:rPr>
        <w:t>).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Mechanizmus účinku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viaže na auxiliárne podjednotky (</w:t>
      </w:r>
      <w:r w:rsidR="00FB4DD8" w:rsidRPr="004E0735">
        <w:rPr>
          <w:rFonts w:ascii="Times New Roman" w:hAnsi="Times New Roman"/>
          <w:color w:val="000000"/>
          <w:lang w:val="en-GB"/>
        </w:rPr>
        <w:t>α</w:t>
      </w:r>
      <w:r w:rsidR="00FB4DD8" w:rsidRPr="004E0735">
        <w:rPr>
          <w:rFonts w:ascii="Times New Roman" w:hAnsi="Times New Roman"/>
          <w:color w:val="000000"/>
          <w:vertAlign w:val="subscript"/>
          <w:lang w:val="en-GB"/>
        </w:rPr>
        <w:t>2</w:t>
      </w:r>
      <w:r w:rsidR="00FB4DD8" w:rsidRPr="004E0735">
        <w:rPr>
          <w:rFonts w:ascii="Times New Roman" w:hAnsi="Times New Roman"/>
          <w:color w:val="000000"/>
          <w:lang w:val="en-GB"/>
        </w:rPr>
        <w:t xml:space="preserve">-δ </w:t>
      </w:r>
      <w:r w:rsidRPr="004E0735">
        <w:rPr>
          <w:rFonts w:ascii="Times New Roman" w:hAnsi="Times New Roman"/>
          <w:color w:val="000000"/>
        </w:rPr>
        <w:t xml:space="preserve">proteíny) napäťovo </w:t>
      </w:r>
      <w:r w:rsidR="00FB4DD8" w:rsidRPr="004E0735">
        <w:rPr>
          <w:rFonts w:ascii="Times New Roman" w:hAnsi="Times New Roman"/>
          <w:color w:val="000000"/>
        </w:rPr>
        <w:t xml:space="preserve">riadených </w:t>
      </w:r>
      <w:r w:rsidRPr="004E0735">
        <w:rPr>
          <w:rFonts w:ascii="Times New Roman" w:hAnsi="Times New Roman"/>
          <w:color w:val="000000"/>
        </w:rPr>
        <w:t>kalciových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kanálov v centrálnom nervovom systéme.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Klinická účinnosť a bezpečnosť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Neuropatická bolesť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Účinnosť bola dokázaná v klinických skúšaniach u diabetickej neuropatie, postherpetickej neuralgie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poškodenia miechy. Účinnosť sa neštudovala na ostatných modeloch neuropatickej bolesti.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študoval v 10 kontrolovaných klinických skúšaniach v trvaní až do 13 týždňov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dávkovaním dvakrát denne (BID) a až do 8 týždňov s dávkovaním trikrát denne (TID). Celkové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profily bezpečnosti a účinnosti pri BID a TID dávkovacích režimoch boli podobné.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klinických skúšaniach v trvaní až do 12 týždňov sa u periférnej ako aj centrálnej neuropatickej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bolesti pozorovalo zníženie bolesti v 1. týždni a pretrvávalo počas celého obdobia liečby.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kontrolovaných klinických skúšaniach u periférnej neuropatickej bolesti 35 % pregabalínom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liečených pacientov a 18 % pacientov užívajúcich placebo dosiahlo 50 % zlepšenie v skóre bolesti.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prípade pacientov, u ktorých sa neprejavila ospalosť, sa takéto zlepšenie pozorovalo u 33 %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pacientov liečených pregabalínom a u 18 % pacientov užívajúcich placebo. V prípade pacientov,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ktorých sa prejavila ospalosť, bola miera odpovede na liečbu pregabalínom 48 % a na placebo 16 %.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kontrolných klinických skúšaniach u centrálnej neuropatickej bolesti 22 % pacientov liečených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pregabalínom a 7 % pacientov užívajúcich placebo dosiahlo 50 % zlepšenie v skóre bolesti.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Epilepsia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 w:rsidRPr="004E0735">
        <w:rPr>
          <w:rFonts w:ascii="Times New Roman" w:hAnsi="Times New Roman"/>
          <w:i/>
          <w:color w:val="000000"/>
          <w:u w:val="single"/>
        </w:rPr>
        <w:t>Prídavná liečba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študoval v 3 kontrolovaných klinických skúšaniach v trvaní 12 týždňov s dávkovaním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BID alebo dávkovaním TID. Celkové profily bezpečnosti a účinnosti pri BID a TID dávkovacích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režimoch boli podobné.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Zníženie frekvencie záchvatov sa pozorovalo v 1. týždni.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B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Pediatrická populácia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Účinnosť a bezpečnosť pregabalínu ako doplnkovej liečby pri epilepsii u pediatrických pacientov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mladších ako 12 rokov a dospievajúcich nebola stanovená. Nežiaduce udalosti pozorované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vo farmakokinetickej štúdii a štúdii znášanlivosti, do ktorých boli zaradení pacienti vo veku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od 3 mesiacov do 16 rokov (n = 65) s výskytom parciálnych záchvatov, boli podobné tým, ktoré sa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pozorovali u dospelých. Výsledky z 12-týždňovej, placebom kontrolovanej štúdie s 295 pediatrickými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pacientmi vo veku 4 až 16 rokov zameranej na zhodnotenie účinnosti a bezpečnosti pregabalínu ako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podpornej terapie pri liečbe parciálnych záchvatov a z 1-ročnej otvorenej štúdie bezpečnosti u 54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pediatrických pacientov vo veku od 3 mesiacov do 16 rokov s epilepsiou naznačujú, že nežiaduce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udalosti pyrexie a infekcií horných dýchacích ciest sa pozorovali častejšie ako v štúdiách u dospelých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pacientov s epilepsiou (pozri časti 4.2, 4.8 a 5.2).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V 12-týždňovej, placebom kontrolovanej štúdii bol pediatrickým pacientom podaný pregabalín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v dávke 2,5 mg/kg/deň (maximálne 150 mg/deň), pregabalín v dávke 10 mg/kg/deň (maximálne 600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mg/deň) alebo placebo. Percentuálny podiel jedincov, u ktorých nastalo najmenej 50 % zníženie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výskytu parciálnych záchvatov v porovnaní so začiatkom bol 40,6 % jedincov liečených pregabalínom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v dávke 10 mg/kg/deň (p = 0,0068 oproti placebu), 29,1 % jedincov liečených pregabalínom v dávke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2,5 mg/kg/deň (p = 0,2600 oproti placebu) a 22,6 % jedincov, ktorí dostávali placebo.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 w:rsidRPr="004E0735">
        <w:rPr>
          <w:rFonts w:ascii="Times New Roman" w:hAnsi="Times New Roman"/>
          <w:i/>
          <w:color w:val="000000"/>
          <w:u w:val="single"/>
        </w:rPr>
        <w:t>Monoterapia (novodiagnostikovaní pacienti)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 xml:space="preserve">Pregabalín sa študoval v 1 kontrolovanom klinickom skúšaní v trvaní 56 týždňov s dávkovaním BID. </w:t>
      </w:r>
      <w:r w:rsidR="00E70C3F" w:rsidRPr="004E0735">
        <w:rPr>
          <w:rFonts w:ascii="Times New Roman" w:hAnsi="Times New Roman"/>
          <w:b/>
          <w:lang w:val="en-GB"/>
        </w:rPr>
        <w:t xml:space="preserve"> </w:t>
      </w:r>
      <w:r w:rsidR="00E70C3F" w:rsidRPr="004E0735">
        <w:rPr>
          <w:rFonts w:ascii="Times New Roman" w:hAnsi="Times New Roman"/>
          <w:lang w:val="en-GB"/>
        </w:rPr>
        <w:t>Pregabalin nedosiahol non-inferioritu oproti lamotriginu</w:t>
      </w:r>
      <w:r w:rsidRPr="004E0735">
        <w:rPr>
          <w:rFonts w:ascii="Times New Roman" w:hAnsi="Times New Roman"/>
        </w:rPr>
        <w:t>, čo sa týka dosiahnutia 6-mesačného obdobia bez záchvatov na konci sledovania. Pregabalín a lamotrigín boli podobne bezpečné a dobre tolerované.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Generalizovaná úzkostná porucha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študoval v 6 kontrolovaných klinických skúšaniach v trvaní 4 – 6 týždňov, v štúdii so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staršími osobami v trvaní 8 týždňov a v dlhodobej štúdii zameranej na prevenciu relapsu s dvojito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zaslepenou fázou zameranou na prevenciu relapsu v trvaní 6 mesiacov.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Ústup príznakov GAD vyjadrených Hamiltonovou škálou úzkosti (Hamilton Anxiety Rating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Scale = HAM-A) sa pozoroval v 1. týždni.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kontrolovaných klinických skúšaniach (v trvaní 4 – 8 týždňov) 52 % pacientov liečených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pregabalínom a 38 % pacientov v skupine s placebom malo aspoň 50 % zlepšenie celkového HAM-A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skóre od začiatku až po koniec sledovania.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kontrolovaných klinických skúšaniach hlásila väčšia časť pacientov liečených pregabalínom ako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pacientov </w:t>
      </w:r>
      <w:r w:rsidR="00FD5974" w:rsidRPr="004E0735">
        <w:rPr>
          <w:rFonts w:ascii="Times New Roman" w:hAnsi="Times New Roman"/>
          <w:color w:val="000000"/>
        </w:rPr>
        <w:t xml:space="preserve">užívajúcich </w:t>
      </w:r>
      <w:r w:rsidRPr="004E0735">
        <w:rPr>
          <w:rFonts w:ascii="Times New Roman" w:hAnsi="Times New Roman"/>
          <w:color w:val="000000"/>
        </w:rPr>
        <w:t>placebo rozmazané videnie, ktoré vo väčšine prípadov ustúpilo pri pokračovaní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dávkovaní. Oftalmologické vyšetrenie (vrátane vyšetrenia zrakovej ostrosti, formálneho vyšetrenia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zorného poľa a vyšetrenia očného pozadia pri rozšírených zreniciach) sa vykonalo u viac ako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3 600 pacientov v rámci kontrolovaných klinických skúšaní. U týchto pacientov bola zraková ostrosť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znížená u 6,5 % pacientov liečených pregabalínom a 4,8 % pacientov </w:t>
      </w:r>
      <w:r w:rsidR="00FD5974" w:rsidRPr="004E0735">
        <w:rPr>
          <w:rFonts w:ascii="Times New Roman" w:hAnsi="Times New Roman"/>
          <w:color w:val="000000"/>
        </w:rPr>
        <w:t>užívajúcich</w:t>
      </w:r>
      <w:r w:rsidRPr="004E0735">
        <w:rPr>
          <w:rFonts w:ascii="Times New Roman" w:hAnsi="Times New Roman"/>
          <w:color w:val="000000"/>
        </w:rPr>
        <w:t xml:space="preserve"> placebo. Zmeny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zrakového poľa sa zistili u 12,4 % pacientov liečených pregabalínom a 11,7 % pacientov </w:t>
      </w:r>
      <w:r w:rsidR="00FD5974" w:rsidRPr="004E0735">
        <w:rPr>
          <w:rFonts w:ascii="Times New Roman" w:hAnsi="Times New Roman"/>
          <w:color w:val="000000"/>
        </w:rPr>
        <w:t>užívajúcich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placebo. Zmeny na očnom pozadí sa pozorovali u 1,7 % pacientov liečených pregabalínom a 2,1 %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pacientov </w:t>
      </w:r>
      <w:r w:rsidR="00FD5974" w:rsidRPr="004E0735">
        <w:rPr>
          <w:rFonts w:ascii="Times New Roman" w:hAnsi="Times New Roman"/>
          <w:color w:val="000000"/>
        </w:rPr>
        <w:t>užívajúcich</w:t>
      </w:r>
      <w:r w:rsidRPr="004E0735">
        <w:rPr>
          <w:rFonts w:ascii="Times New Roman" w:hAnsi="Times New Roman"/>
          <w:color w:val="000000"/>
        </w:rPr>
        <w:t xml:space="preserve"> placebo.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5.2 </w:t>
      </w:r>
      <w:r w:rsidR="00B9593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Farmakokinetické vlastnosti</w:t>
      </w:r>
    </w:p>
    <w:p w:rsidR="00B9593F" w:rsidRPr="004E0735" w:rsidRDefault="00B9593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Farmakokinetika pregabalínu v rovnovážnom stave je podobná u zdravých dobrovoľníkov, pacientov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epilepsiou užívajúcich antiepileptiká a pacientov s chronickou bolesťou.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Absorpcia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pri podaní nalačno rýchlo vstrebáva, maximálne plazmatické koncentrácie sa dosiahnu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do 1 hodiny po podaní jednorazovej aj viacnásobnej dávky. Biologická dostupnosť pregabalínu po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perorálnom podaní sa odhaduje na </w:t>
      </w:r>
      <w:r w:rsidR="00B9593F" w:rsidRPr="004E0735">
        <w:rPr>
          <w:rFonts w:ascii="Times New Roman" w:hAnsi="Times New Roman"/>
          <w:color w:val="000000"/>
        </w:rPr>
        <w:t>≥</w:t>
      </w:r>
      <w:r w:rsidRPr="004E0735">
        <w:rPr>
          <w:rFonts w:ascii="Times New Roman" w:hAnsi="Times New Roman"/>
          <w:color w:val="000000"/>
        </w:rPr>
        <w:t xml:space="preserve"> 90 % a je nezávislá na dávke. Po opakovanom podaní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rovnovážny stav dosiahne počas 24 až 48 hodín. Rýchlosť absorpcie pregabalínu sa zníži, keď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podáva s jedlom, čo sa prejaví poklesom C</w:t>
      </w:r>
      <w:r w:rsidRPr="004E0735">
        <w:rPr>
          <w:rFonts w:ascii="Times New Roman" w:hAnsi="Times New Roman"/>
          <w:color w:val="000000"/>
          <w:vertAlign w:val="subscript"/>
        </w:rPr>
        <w:t>max</w:t>
      </w:r>
      <w:r w:rsidRPr="004E0735">
        <w:rPr>
          <w:rFonts w:ascii="Times New Roman" w:hAnsi="Times New Roman"/>
          <w:color w:val="000000"/>
        </w:rPr>
        <w:t xml:space="preserve"> približne o 25 – 30 % a predĺžením t</w:t>
      </w:r>
      <w:r w:rsidRPr="004E0735">
        <w:rPr>
          <w:rFonts w:ascii="Times New Roman" w:hAnsi="Times New Roman"/>
          <w:color w:val="000000"/>
          <w:vertAlign w:val="subscript"/>
        </w:rPr>
        <w:t>max</w:t>
      </w:r>
      <w:r w:rsidRPr="004E0735">
        <w:rPr>
          <w:rFonts w:ascii="Times New Roman" w:hAnsi="Times New Roman"/>
          <w:color w:val="000000"/>
        </w:rPr>
        <w:t xml:space="preserve"> na približne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2,5 hodiny. Avšak podávanie pregabalínu s jedlom nemá klinicky signifikantný účinok na mieru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absorpcie pregabalínu.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Distribúcia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predklinických štúdiách sa potvrdil prienik pregabalínu cez hematoencefalickú bariéru u myší,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potkanov a opíc. Bolo dokázané, že pregabalín prechádza cez placentu u potkanov a nachádza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mlieku laktujúcich potkanov. U človeka je zdanlivý distribučný objem pregabalínu po perorálnom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podaní približne 0,56 l/kg. Pregabalín sa neviaže na plazmatické proteíny.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lastRenderedPageBreak/>
        <w:t>Biotransformácia</w:t>
      </w: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u človeka podlieha zanedbateľnému metabolizmu. Po podaní dávky rádionuklidom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značeného pregabalínu približne 98 % rádioaktivity stanovenej v moči predstavoval nezmenený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pregabalín. N-metylovaný derivát pregabalínu, hlavný metabolit pregabalínu v moči, predstavoval</w:t>
      </w:r>
    </w:p>
    <w:p w:rsidR="00420108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0,9 %. V predklinických štúdiách sa nezistila racemizácia S-</w:t>
      </w:r>
      <w:r w:rsidR="00DC110C" w:rsidRPr="004E0735">
        <w:rPr>
          <w:rFonts w:ascii="Times New Roman" w:hAnsi="Times New Roman"/>
          <w:color w:val="000000"/>
        </w:rPr>
        <w:t xml:space="preserve">enantioméru </w:t>
      </w:r>
      <w:r w:rsidRPr="004E0735">
        <w:rPr>
          <w:rFonts w:ascii="Times New Roman" w:hAnsi="Times New Roman"/>
          <w:color w:val="000000"/>
        </w:rPr>
        <w:t>pregabalínu na</w:t>
      </w:r>
      <w:r w:rsidR="00420108" w:rsidRPr="004E0735">
        <w:rPr>
          <w:rFonts w:ascii="Times New Roman" w:hAnsi="Times New Roman"/>
          <w:color w:val="000000"/>
        </w:rPr>
        <w:t xml:space="preserve"> 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R-</w:t>
      </w:r>
      <w:r w:rsidR="00DC110C" w:rsidRPr="004E0735">
        <w:rPr>
          <w:rFonts w:ascii="Times New Roman" w:hAnsi="Times New Roman"/>
          <w:color w:val="000000"/>
        </w:rPr>
        <w:t>enantiomér</w:t>
      </w:r>
      <w:r w:rsidRPr="004E0735">
        <w:rPr>
          <w:rFonts w:ascii="Times New Roman" w:hAnsi="Times New Roman"/>
          <w:color w:val="000000"/>
        </w:rPr>
        <w:t>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Eliminácia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eliminuje zo systémovej cirkulácie primárne renálnou exkréciou v nezmenenej forme.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Priemerný eliminačný polčas je 6,3 hodiny. Plazmatický klírens a renálny klírens pregabalínu sú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priamo úmerné klírensu kreatinínu (pozri časť 5.2 Poškodenie funkcie obličiek).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Je potrebné upraviť dávku u pacientov so zníženými renálnymi funkciami alebo u hemodialyzovaných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pacientov (pozri časť 4.2 Tabuľka 1).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Linearita / nelinearita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Farmakokinetika pregabalínu je lineárna v odporúčanom rozsahu denných dávok. Interindivuduálna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farmakokinetická variabilita pregabalínu je nízka (&lt; 20 %). Farmakokinetiku pri opakovaných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dávkach možno predpovedať z údajov pri jednej dávke. Preto nie je potrebné bežné monitorovanie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plazmatických koncentrácií pregabalínu.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Pohlavie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Klinické skúšania potvrdili, že pohlavie nemá klinicky signifikantný vplyv na plazmatické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koncentrácie pregabalínu.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Porucha funkcie</w:t>
      </w:r>
      <w:r w:rsidR="00BE0B00" w:rsidRPr="004E0735">
        <w:rPr>
          <w:rFonts w:ascii="Times New Roman" w:hAnsi="Times New Roman"/>
          <w:color w:val="000000"/>
          <w:u w:val="single"/>
        </w:rPr>
        <w:t xml:space="preserve"> obličiek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Klírens pregabalínu je priamo úmerný klírensu kreatinínu. Okrem toho sa pregabalín účinne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odstraňuje z plazmy hemodialýzou (po 4-hodinovej hemodialýze klesnú plazmatické koncentrácie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pregabalínu asi o 50 %). Vzhľadom na to, že eliminácia obličkami je hlavným spôsobom eliminácie,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je potrebné zníženie dávky u pacientov s </w:t>
      </w:r>
      <w:r w:rsidR="008F2BCA" w:rsidRPr="004E0735">
        <w:rPr>
          <w:rFonts w:ascii="Times New Roman" w:hAnsi="Times New Roman"/>
          <w:color w:val="000000"/>
        </w:rPr>
        <w:t>poruchou</w:t>
      </w:r>
      <w:r w:rsidRPr="004E0735">
        <w:rPr>
          <w:rFonts w:ascii="Times New Roman" w:hAnsi="Times New Roman"/>
          <w:color w:val="000000"/>
        </w:rPr>
        <w:t xml:space="preserve"> funkcie obličiek a doplnková dávka po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hemodialýze (pozri časť 4.2 Tabuľka 1).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Porucha funkcie</w:t>
      </w:r>
      <w:r w:rsidR="00BE0B00" w:rsidRPr="004E0735">
        <w:rPr>
          <w:rFonts w:ascii="Times New Roman" w:hAnsi="Times New Roman"/>
          <w:color w:val="000000"/>
          <w:u w:val="single"/>
        </w:rPr>
        <w:t xml:space="preserve"> pečene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Neboli vykonané žiadne špecifické farmakokinetické štúdie u pacientov s poškodenými pečeňovými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funkciami. Keďže pregabalín nepodlieha signifikantnému metabolizmu a vylučuje sa prednostne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nezmenenej forme močom, neočakáva sa, že by poškodenie pečeňových funkcií signifikantne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menilo plazmatické koncentrácie pregabalínu.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Pediatrická populácia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Farmakokinetika pregabalínu bola vyhodnocovaná u pediatrických pacientov s epilepsiou (vekové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skupiny: 1 až 23 mesiacov, 2 až 6 rokov, 7 až 11 rokov a 12 až 16 rokov) pri hladinách dávky 2,5; 5;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10 a 15 mg/kg/deň vo farmakokinetickej štúdii a štúdii znášanlivosti.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perorálnom podaní pregabalínu u pediatrických pacientov nalačno, bol čas do dosiahnutia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maximálnej plazmatickej koncentrácie vo všeobecnosti podobný v rámci všetkých vekových skupín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dosiahol sa 0,5 hodiny až 2 hodiny po podaní dávky.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Parametre C</w:t>
      </w:r>
      <w:r w:rsidRPr="004E0735">
        <w:rPr>
          <w:rFonts w:ascii="Times New Roman" w:hAnsi="Times New Roman"/>
          <w:color w:val="000000"/>
          <w:vertAlign w:val="subscript"/>
        </w:rPr>
        <w:t>max</w:t>
      </w:r>
      <w:r w:rsidRPr="004E0735">
        <w:rPr>
          <w:rFonts w:ascii="Times New Roman" w:hAnsi="Times New Roman"/>
          <w:color w:val="000000"/>
        </w:rPr>
        <w:t xml:space="preserve"> a AUC pregabalínu sa zvyšovali priamo úmerne so zvyšujúcou sa dávkou v rámci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každej vekovej skupiny. AUC bola nižšia o 30 % u pediatrických pacientov s telesnou hmotnosťou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menej ako 30 kg z dôvodu klírensu upraveného na základe telesnej hmotnosti zvýšeného o 43 %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týchto pacientov v porovnaní s pacientmi s telesnou hmotnosťou ≥ 30 kg.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Terminálny polčas pregabalínu sa pohyboval v priemere od 3 do 4 hodín u pediatrických pacientov vo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veku do 6 rokov a od 4 do 6 hodín u tých, ktorí boli vo veku 7 rokov a starší.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Analýza populačnej farmakokinetiky preukázala, že klírens kreatinínu bol významným vedľajším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parametrom klírensu pregabalínu po perorálnom podaní, telesná hmotnosť bola významným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lastRenderedPageBreak/>
        <w:t>vedľajším parametrom zdanlivého distribučného objemu pregabalínu po perorálnom podaní a tieto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vzťahy boli podobné u pediatrických a dospelých pacientov.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Farmakokinetika pregabalínu u pacientov mladších ako 3 mesiace nebola skúmaná (pozri časti 4.2,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4.8 a 5.1).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Starší ľudia</w:t>
      </w:r>
      <w:r w:rsidR="008F2BCA" w:rsidRPr="004E0735">
        <w:rPr>
          <w:rFonts w:ascii="Times New Roman" w:hAnsi="Times New Roman"/>
          <w:color w:val="000000"/>
          <w:u w:val="single"/>
        </w:rPr>
        <w:t xml:space="preserve"> 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Klírens pregabalínu má tendenciu klesať so stúpajúcim vekom. Tento pokles klírensu pregabalínu je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súlade s poklesom klírensu kreatinínu, ktorý je podmienený stúpajúcim vekom. Zníženie dávky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pregabalínu sa môže vyžadovať u pacientov pri vekom podmienenom poškodení renálnych funkcií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(pozri časť 4.2 Tabuľka 1).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Dojčiace matky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Farmakokinetika 150 mg pregabalínu podávaných každých 12 hodín (300 mg denná dávka) bola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vyhodnocovaná u 10 žien počas laktácie, ktoré boli aspoň 12 týždňov po pôrode. Laktácia mala malý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až žiadny vplyv na farmakokinetiku pregabalínu. Pregabalín sa vylučoval do materského mlieka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priemernými koncentráciami v ustálenom stave približne 76 % z plazmatických koncentrácií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matiek. Odhadovaná dávka u dojčaťa z materského mlieka (za predpokladu priemernej konzumácie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mlieka 150 ml/kg/deň) žien užívajúcich 300 mg/deň by bola 0,31 mg/kg/deň alebo 0,62 mg/kg/deň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žien užívajúcich maximálnu dávku 600 mg/deň. Tieto odhadované dávky predstavujú približne 7 %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celkovej dennej dávky u matky v mg/kg.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5.3 </w:t>
      </w:r>
      <w:r w:rsidR="004201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Predklinické údaje o bezpečnosti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obvyklých farmakologických štúdiách bezpečnosti u zvierat bol pregabalín dobre tolerovaný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klinicky relevantných dávkach. V štúdiách toxicity po opakovanom podávaní u potkanov a opíc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pozorovali účinky na CNS vrátane hypoaktivity, hyperaktivity a ataxie. Zvýšená incidencia atrofie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retiny, bežne pozorovaná u starnúcich potkaních albínov, sa zistila po dlhodobej expozícii pregabalínu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v dávkach </w:t>
      </w:r>
      <w:r w:rsidR="00420108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≥ 5-násobku priemernej dávky u človeka pri maximálnej odporúčanej klinickej dávke.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nebol teratogénny u myší, potkanov ani u králikov. Fetálna toxicita u potkanov a králikov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 vyskytla iba pri dávkach dostatočne prevyšujúcich dávku pre človeka.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prenatálnych/postnatálnych štúdiách toxicity pregabalín vyvolával vývojovú toxicitu u potomkov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potkanov v dávkach </w:t>
      </w:r>
      <w:r w:rsidR="00583F3C" w:rsidRPr="004E0735">
        <w:rPr>
          <w:rFonts w:ascii="Times New Roman" w:hAnsi="Times New Roman"/>
          <w:color w:val="000000"/>
        </w:rPr>
        <w:t>&gt;</w:t>
      </w:r>
      <w:r w:rsidRPr="004E0735">
        <w:rPr>
          <w:rFonts w:ascii="Times New Roman" w:hAnsi="Times New Roman"/>
          <w:color w:val="000000"/>
        </w:rPr>
        <w:t xml:space="preserve"> 2-krát </w:t>
      </w:r>
      <w:r w:rsidR="00583F3C" w:rsidRPr="004E0735">
        <w:rPr>
          <w:rFonts w:ascii="Times New Roman" w:hAnsi="Times New Roman"/>
          <w:color w:val="000000"/>
        </w:rPr>
        <w:t>vyšších</w:t>
      </w:r>
      <w:r w:rsidRPr="004E0735">
        <w:rPr>
          <w:rFonts w:ascii="Times New Roman" w:hAnsi="Times New Roman"/>
          <w:color w:val="000000"/>
        </w:rPr>
        <w:t>, než je odporúčaná maximálna dávka pre človeka.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Nežiaduce účinky na fertilitu u samčekov a samičiek potkanov sa pozorovali iba pri expozíciách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dostatočne vyšších, než je terapeutická expozícia. Nežiaduce účinky na samčie reprodukčné orgány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parametre spermií boli reverzibilné a vyskytli sa iba pri expozíciách dostatočne vyšších, než je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terapeutická expozícia, alebo boli spojené so spontánnymi degeneratívnymi procesmi na samčích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reprodukčných orgánoch u potkana. Preto sa týmto účinkom pripisuje malý alebo žiadny klinický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význam.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Na základe výsledkov mnohých </w:t>
      </w:r>
      <w:r w:rsidRPr="004E0735">
        <w:rPr>
          <w:rFonts w:ascii="Times New Roman" w:hAnsi="Times New Roman"/>
          <w:i/>
          <w:iCs/>
          <w:color w:val="000000"/>
        </w:rPr>
        <w:t xml:space="preserve">in vitro </w:t>
      </w:r>
      <w:r w:rsidRPr="004E0735">
        <w:rPr>
          <w:rFonts w:ascii="Times New Roman" w:hAnsi="Times New Roman"/>
          <w:color w:val="000000"/>
        </w:rPr>
        <w:t xml:space="preserve">a </w:t>
      </w:r>
      <w:r w:rsidRPr="004E0735">
        <w:rPr>
          <w:rFonts w:ascii="Times New Roman" w:hAnsi="Times New Roman"/>
          <w:i/>
          <w:iCs/>
          <w:color w:val="000000"/>
        </w:rPr>
        <w:t xml:space="preserve">in vivo </w:t>
      </w:r>
      <w:r w:rsidRPr="004E0735">
        <w:rPr>
          <w:rFonts w:ascii="Times New Roman" w:hAnsi="Times New Roman"/>
          <w:color w:val="000000"/>
        </w:rPr>
        <w:t>skúšok možno prehlásiť, že pregabalín nie je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genotoxický.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Dvojročné štúdie karcinogenicity s pregabalínom boli vykonané na potkanoch a myšiach.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Nepozorovali sa žiadne nádory u potkanov v dávkach až do 24-násobku priemernej dávky u človeka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 maximálnej odporúčanej klinickej dávke 600 mg/deň. U myší sa nezistil zvýšený výskyt nádorov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dávkach podobných priemernej dávke u človeka, ale zvýšený výskyt hemangiosarkómov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pozoroval pri vyšších dávkach. Negenotoxický mechanizmus tvorby pregabalínom indukovaných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nádorov u myší zahrňuje zmeny krvných doštičiek a súvisiacu proliferáciu endoteliálnych buniek.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Tieto zmeny krvných doštičiek neboli prítomné u potkanov alebo u ľudí na základe krátkodobých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limitovaných dlhodobých klinických údajov. Neexistuje dôkaz, ktorý by naznačoval súvisiace riziko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ľudí.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mladých potkanov sa druhy toxicity kvantitatívne nelíšili od tých, ktoré sa pozorovali u dospelých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lastRenderedPageBreak/>
        <w:t>potkanov. Avšak mladé potkany sú oveľa senzitívnejšie. Pri terapeutických dávkach sa dokázali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klinické príznaky CNS </w:t>
      </w:r>
      <w:r w:rsidR="00583F3C" w:rsidRPr="004E0735">
        <w:rPr>
          <w:rFonts w:ascii="Times New Roman" w:hAnsi="Times New Roman"/>
          <w:color w:val="000000"/>
        </w:rPr>
        <w:t xml:space="preserve">- hyperaktivita </w:t>
      </w:r>
      <w:r w:rsidRPr="004E0735">
        <w:rPr>
          <w:rFonts w:ascii="Times New Roman" w:hAnsi="Times New Roman"/>
          <w:color w:val="000000"/>
        </w:rPr>
        <w:t>a bruxizmus a niektoré zmeny v raste (prechodné potlačenie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prírastku telesnej hmotnosti). Účinky na pohlavný cyklus sa pozorovali pri 5-násobku terapeutickej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dávky u človeka. Znížená odpoveď na akustický podnet sa pozorovala u mladých potkanov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1 - 2 týždne po expozícii pri &gt; 2-násobku terapeutickej dávky u človeka. Deväť týždňov po expozícii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 už tento účinok viac nepozoroval.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 </w:t>
      </w:r>
      <w:r w:rsidR="004201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FARMACEUTICKÉ INFORMÁCIE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6.1 </w:t>
      </w:r>
      <w:r w:rsidR="004201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Zoznam pomocných látok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Obsah kapsuly</w:t>
      </w:r>
    </w:p>
    <w:p w:rsidR="00BE0B00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Laktóza, monohydrát</w:t>
      </w:r>
    </w:p>
    <w:p w:rsidR="008F2BCA" w:rsidRPr="004E0735" w:rsidRDefault="007A6E01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škrob, predželatínovaný (kukuričný)</w:t>
      </w:r>
    </w:p>
    <w:p w:rsidR="008F2BCA" w:rsidRPr="004E0735" w:rsidRDefault="007A6E01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mastenec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Obal kapsuly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75 mg</w:t>
      </w:r>
    </w:p>
    <w:p w:rsidR="00BE0B00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Telo kapsuly: ž</w:t>
      </w:r>
      <w:r w:rsidR="00BE0B00" w:rsidRPr="004E0735">
        <w:rPr>
          <w:rFonts w:ascii="Times New Roman" w:hAnsi="Times New Roman"/>
          <w:color w:val="000000"/>
        </w:rPr>
        <w:t>elatína</w:t>
      </w:r>
      <w:r w:rsidRPr="004E0735">
        <w:rPr>
          <w:rFonts w:ascii="Times New Roman" w:hAnsi="Times New Roman"/>
          <w:color w:val="000000"/>
        </w:rPr>
        <w:t xml:space="preserve">, </w:t>
      </w:r>
      <w:r w:rsidR="00BE0B00" w:rsidRPr="004E0735">
        <w:rPr>
          <w:rFonts w:ascii="Times New Roman" w:hAnsi="Times New Roman"/>
          <w:color w:val="000000"/>
        </w:rPr>
        <w:t>oxid titaničitý (E171)</w:t>
      </w:r>
    </w:p>
    <w:p w:rsidR="00E77E1F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Uzáver kapsuly: želatína, oxid titaničitý (E171), červený oxid železitý (E172)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150 mg</w:t>
      </w: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Telo kapsuly a uzáver kapsuly: želatína, oxid titaničitý (E171)</w:t>
      </w: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300 mg</w:t>
      </w: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Telo kapsuly: želatína, oxid titaničitý (E171)</w:t>
      </w: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Uzáver kapsuly: želatína, oxid titaničitý (E171), červený oxid železitý (E172)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6.2 </w:t>
      </w:r>
      <w:r w:rsidR="00E77E1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Inkompatibility</w:t>
      </w:r>
    </w:p>
    <w:p w:rsidR="00E77E1F" w:rsidRPr="004E0735" w:rsidRDefault="00E77E1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Neaplikovateľné.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6.3 </w:t>
      </w:r>
      <w:r w:rsidR="00E77E1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Čas použiteľnosti</w:t>
      </w:r>
    </w:p>
    <w:p w:rsidR="00097A5A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30 mesiacov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6.4 </w:t>
      </w:r>
      <w:r w:rsidR="00E77E1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Špeciálne upozornenia na uchovávanie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Tento liek nevyžaduje žiadne </w:t>
      </w:r>
      <w:r w:rsidR="000C448B" w:rsidRPr="004E0735">
        <w:rPr>
          <w:rFonts w:ascii="Times New Roman" w:hAnsi="Times New Roman"/>
          <w:color w:val="000000"/>
        </w:rPr>
        <w:t>zvláštne</w:t>
      </w:r>
      <w:r w:rsidRPr="004E0735">
        <w:rPr>
          <w:rFonts w:ascii="Times New Roman" w:hAnsi="Times New Roman"/>
          <w:color w:val="000000"/>
        </w:rPr>
        <w:t xml:space="preserve"> podmienky na uchovávanie.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6.5 </w:t>
      </w:r>
      <w:r w:rsidR="00E77E1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Druh obalu a obsah balenia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75 mg</w:t>
      </w:r>
    </w:p>
    <w:p w:rsidR="00BE0B00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ALU/PVC</w:t>
      </w:r>
      <w:r w:rsidR="00BE0B00" w:rsidRPr="004E0735">
        <w:rPr>
          <w:rFonts w:ascii="Times New Roman" w:hAnsi="Times New Roman"/>
          <w:color w:val="000000"/>
        </w:rPr>
        <w:t xml:space="preserve"> blistre obsahujúce </w:t>
      </w:r>
      <w:r w:rsidR="00D758BD" w:rsidRPr="004E0735">
        <w:rPr>
          <w:rFonts w:ascii="Times New Roman" w:hAnsi="Times New Roman"/>
          <w:color w:val="000000"/>
        </w:rPr>
        <w:t>14</w:t>
      </w:r>
      <w:r w:rsidR="008F2BCA" w:rsidRPr="004E0735">
        <w:rPr>
          <w:rFonts w:ascii="Times New Roman" w:hAnsi="Times New Roman"/>
          <w:color w:val="000000"/>
        </w:rPr>
        <w:t>, 14 (vzorkové balenie)</w:t>
      </w:r>
      <w:r w:rsidR="00757CAD" w:rsidRPr="004E0735">
        <w:rPr>
          <w:rFonts w:ascii="Times New Roman" w:hAnsi="Times New Roman"/>
          <w:color w:val="000000"/>
        </w:rPr>
        <w:t xml:space="preserve">, 28, 30, </w:t>
      </w:r>
      <w:r w:rsidR="00D758BD" w:rsidRPr="004E0735">
        <w:rPr>
          <w:rFonts w:ascii="Times New Roman" w:hAnsi="Times New Roman"/>
          <w:color w:val="000000"/>
        </w:rPr>
        <w:t>56</w:t>
      </w:r>
      <w:r w:rsidR="00757CAD" w:rsidRPr="004E0735">
        <w:rPr>
          <w:rFonts w:ascii="Times New Roman" w:hAnsi="Times New Roman"/>
          <w:color w:val="000000"/>
        </w:rPr>
        <w:t>, 60, 70, 100, 200 alebo 210</w:t>
      </w:r>
      <w:r w:rsidR="00BE0B00" w:rsidRPr="004E0735">
        <w:rPr>
          <w:rFonts w:ascii="Times New Roman" w:hAnsi="Times New Roman"/>
          <w:color w:val="000000"/>
        </w:rPr>
        <w:t xml:space="preserve"> tvrdých kapsúl.</w:t>
      </w:r>
    </w:p>
    <w:p w:rsidR="004A5480" w:rsidRPr="004E0735" w:rsidRDefault="004A548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A5480" w:rsidRPr="004E0735" w:rsidRDefault="004A5480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150 mg</w:t>
      </w:r>
    </w:p>
    <w:p w:rsidR="00757CAD" w:rsidRPr="004E0735" w:rsidRDefault="00757CAD" w:rsidP="00757C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ALU/PVC blistre obsahujúce 14, 21, 28, 30, 56, 60, 70, 100, 200 alebo 210 tvrdých kapsúl.</w:t>
      </w:r>
    </w:p>
    <w:p w:rsidR="00D758BD" w:rsidRPr="004E0735" w:rsidRDefault="00D758BD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A5480" w:rsidRPr="004E0735" w:rsidRDefault="004A5480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300 mg</w:t>
      </w:r>
    </w:p>
    <w:p w:rsidR="00757CAD" w:rsidRPr="004E0735" w:rsidRDefault="00757CAD" w:rsidP="00757C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ALU/PVC blistre obsahujúce 14, 21, 28, 30, 56, 60, 70, 100, 200 alebo 210 tvrdých kapsúl.</w:t>
      </w:r>
    </w:p>
    <w:p w:rsidR="004A5480" w:rsidRPr="004E0735" w:rsidRDefault="004A548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Na trh nemusia byť uvedené všetky veľkosti balenia.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bookmarkStart w:id="0" w:name="_GoBack"/>
    </w:p>
    <w:bookmarkEnd w:id="0"/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lastRenderedPageBreak/>
        <w:t xml:space="preserve">6.6 </w:t>
      </w:r>
      <w:r w:rsidR="004A5480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Špeciálne opatrenia na likvidáciu a iné zaobchádzanie s liekom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Žiadne zvláštne požiadavky na likvidáciu.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7.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DRŽITEĽ ROZHODNUTIA O REGISTRÁCII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60839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STADA Arzneimittel AG</w:t>
      </w:r>
    </w:p>
    <w:p w:rsidR="00097A5A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Stadastrasse 2-18</w:t>
      </w:r>
    </w:p>
    <w:p w:rsidR="00097A5A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61118 Bad Vilbel</w:t>
      </w:r>
    </w:p>
    <w:p w:rsidR="00097A5A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Nemecko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8.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REGISTRAČNÉ ČÍSLA</w:t>
      </w:r>
    </w:p>
    <w:p w:rsidR="004A5480" w:rsidRPr="004E0735" w:rsidRDefault="004A548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57BD0" w:rsidRPr="004E0735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257BD0" w:rsidRPr="004E0735">
        <w:rPr>
          <w:rFonts w:ascii="Times New Roman" w:hAnsi="Times New Roman"/>
          <w:color w:val="000000"/>
        </w:rPr>
        <w:t xml:space="preserve"> </w:t>
      </w:r>
      <w:r w:rsidR="00757CAD" w:rsidRPr="004E0735">
        <w:rPr>
          <w:rFonts w:ascii="Times New Roman" w:hAnsi="Times New Roman"/>
          <w:color w:val="000000"/>
        </w:rPr>
        <w:t xml:space="preserve">Arzneimittel </w:t>
      </w:r>
      <w:r w:rsidR="00257BD0" w:rsidRPr="004E0735">
        <w:rPr>
          <w:rFonts w:ascii="Times New Roman" w:hAnsi="Times New Roman"/>
          <w:color w:val="000000"/>
        </w:rPr>
        <w:t xml:space="preserve">75 mg: </w:t>
      </w:r>
      <w:r w:rsidR="0023393B" w:rsidRPr="004E0735">
        <w:rPr>
          <w:rFonts w:ascii="Times New Roman" w:hAnsi="Times New Roman"/>
          <w:color w:val="000000"/>
        </w:rPr>
        <w:t>21</w:t>
      </w:r>
      <w:r w:rsidR="00757CAD" w:rsidRPr="004E0735">
        <w:rPr>
          <w:rFonts w:ascii="Times New Roman" w:hAnsi="Times New Roman"/>
          <w:color w:val="000000"/>
        </w:rPr>
        <w:t>/</w:t>
      </w:r>
      <w:r w:rsidR="00973D48" w:rsidRPr="004E0735">
        <w:rPr>
          <w:rFonts w:ascii="Times New Roman" w:hAnsi="Times New Roman"/>
          <w:color w:val="000000"/>
        </w:rPr>
        <w:t>0357/17-S</w:t>
      </w:r>
    </w:p>
    <w:p w:rsidR="00257BD0" w:rsidRPr="004E0735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257BD0" w:rsidRPr="004E0735">
        <w:rPr>
          <w:rFonts w:ascii="Times New Roman" w:hAnsi="Times New Roman"/>
          <w:color w:val="000000"/>
        </w:rPr>
        <w:t xml:space="preserve"> </w:t>
      </w:r>
      <w:r w:rsidR="00757CAD" w:rsidRPr="004E0735">
        <w:rPr>
          <w:rFonts w:ascii="Times New Roman" w:hAnsi="Times New Roman"/>
          <w:color w:val="000000"/>
        </w:rPr>
        <w:t xml:space="preserve">Arzneimittel </w:t>
      </w:r>
      <w:r w:rsidR="00257BD0" w:rsidRPr="004E0735">
        <w:rPr>
          <w:rFonts w:ascii="Times New Roman" w:hAnsi="Times New Roman"/>
          <w:color w:val="000000"/>
        </w:rPr>
        <w:t>150 mg:</w:t>
      </w:r>
      <w:r w:rsidR="0023393B" w:rsidRPr="004E0735">
        <w:rPr>
          <w:rFonts w:ascii="Times New Roman" w:hAnsi="Times New Roman"/>
          <w:color w:val="000000"/>
        </w:rPr>
        <w:t xml:space="preserve"> </w:t>
      </w:r>
      <w:r w:rsidR="00973D48" w:rsidRPr="004E0735">
        <w:rPr>
          <w:rFonts w:ascii="Times New Roman" w:hAnsi="Times New Roman"/>
          <w:color w:val="000000"/>
        </w:rPr>
        <w:t>21/0358/17-S</w:t>
      </w:r>
    </w:p>
    <w:p w:rsidR="00257BD0" w:rsidRPr="004E0735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257BD0" w:rsidRPr="004E0735">
        <w:rPr>
          <w:rFonts w:ascii="Times New Roman" w:hAnsi="Times New Roman"/>
          <w:color w:val="000000"/>
        </w:rPr>
        <w:t xml:space="preserve"> </w:t>
      </w:r>
      <w:r w:rsidR="00757CAD" w:rsidRPr="004E0735">
        <w:rPr>
          <w:rFonts w:ascii="Times New Roman" w:hAnsi="Times New Roman"/>
          <w:color w:val="000000"/>
        </w:rPr>
        <w:t xml:space="preserve">Arzneimittel </w:t>
      </w:r>
      <w:r w:rsidR="00257BD0" w:rsidRPr="004E0735">
        <w:rPr>
          <w:rFonts w:ascii="Times New Roman" w:hAnsi="Times New Roman"/>
          <w:color w:val="000000"/>
        </w:rPr>
        <w:t>300 mg:</w:t>
      </w:r>
      <w:r w:rsidR="0023393B" w:rsidRPr="004E0735">
        <w:rPr>
          <w:rFonts w:ascii="Times New Roman" w:hAnsi="Times New Roman"/>
          <w:color w:val="000000"/>
        </w:rPr>
        <w:t xml:space="preserve"> </w:t>
      </w:r>
      <w:r w:rsidR="00973D48" w:rsidRPr="004E0735">
        <w:rPr>
          <w:rFonts w:ascii="Times New Roman" w:hAnsi="Times New Roman"/>
          <w:color w:val="000000"/>
        </w:rPr>
        <w:t>21/0359/17-S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9.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DÁTUM PRVEJ REGISTRÁCIE/ PREDĹŽENIA REGISTRÁCIE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57BD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Dátum prvej registrácie: </w:t>
      </w:r>
      <w:r w:rsidR="00973D48" w:rsidRPr="004E0735">
        <w:rPr>
          <w:rFonts w:ascii="Times New Roman" w:hAnsi="Times New Roman"/>
          <w:color w:val="000000"/>
        </w:rPr>
        <w:t>22. novembra 2017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F12408" w:rsidRPr="004E0735" w:rsidRDefault="00F124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23393B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10.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DÁTUM REVÍZIE TEXTU</w:t>
      </w:r>
    </w:p>
    <w:p w:rsidR="00F12408" w:rsidRPr="004E0735" w:rsidRDefault="00F124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23393B" w:rsidRPr="004E0735" w:rsidRDefault="00F2367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Cs/>
          <w:color w:val="000000"/>
        </w:rPr>
        <w:t>09/2018</w:t>
      </w:r>
    </w:p>
    <w:sectPr w:rsidR="0023393B" w:rsidRPr="004E0735" w:rsidSect="004E07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75" w:rsidRDefault="00F23675" w:rsidP="00257BD0">
      <w:pPr>
        <w:spacing w:after="0" w:line="240" w:lineRule="auto"/>
      </w:pPr>
      <w:r>
        <w:separator/>
      </w:r>
    </w:p>
  </w:endnote>
  <w:endnote w:type="continuationSeparator" w:id="0">
    <w:p w:rsidR="00F23675" w:rsidRDefault="00F23675" w:rsidP="00257BD0">
      <w:pPr>
        <w:spacing w:after="0" w:line="240" w:lineRule="auto"/>
      </w:pPr>
      <w:r>
        <w:continuationSeparator/>
      </w:r>
    </w:p>
  </w:endnote>
  <w:endnote w:type="continuationNotice" w:id="1">
    <w:p w:rsidR="00F23675" w:rsidRDefault="00F236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D0" w:rsidRPr="00257BD0" w:rsidRDefault="00257BD0">
    <w:pPr>
      <w:pStyle w:val="Pta"/>
      <w:jc w:val="center"/>
      <w:rPr>
        <w:rFonts w:ascii="Times New Roman" w:hAnsi="Times New Roman"/>
        <w:sz w:val="18"/>
        <w:szCs w:val="18"/>
      </w:rPr>
    </w:pPr>
    <w:r w:rsidRPr="00257BD0">
      <w:rPr>
        <w:rFonts w:ascii="Times New Roman" w:hAnsi="Times New Roman"/>
        <w:sz w:val="18"/>
        <w:szCs w:val="18"/>
      </w:rPr>
      <w:fldChar w:fldCharType="begin"/>
    </w:r>
    <w:r w:rsidRPr="00257BD0">
      <w:rPr>
        <w:rFonts w:ascii="Times New Roman" w:hAnsi="Times New Roman"/>
        <w:sz w:val="18"/>
        <w:szCs w:val="18"/>
      </w:rPr>
      <w:instrText>PAGE   \* MERGEFORMAT</w:instrText>
    </w:r>
    <w:r w:rsidRPr="00257BD0">
      <w:rPr>
        <w:rFonts w:ascii="Times New Roman" w:hAnsi="Times New Roman"/>
        <w:sz w:val="18"/>
        <w:szCs w:val="18"/>
      </w:rPr>
      <w:fldChar w:fldCharType="separate"/>
    </w:r>
    <w:r w:rsidR="004E0735" w:rsidRPr="004E0735">
      <w:rPr>
        <w:rFonts w:ascii="Times New Roman" w:hAnsi="Times New Roman"/>
        <w:noProof/>
        <w:sz w:val="18"/>
        <w:szCs w:val="18"/>
        <w:lang w:val="cs-CZ"/>
      </w:rPr>
      <w:t>15</w:t>
    </w:r>
    <w:r w:rsidRPr="00257BD0">
      <w:rPr>
        <w:rFonts w:ascii="Times New Roman" w:hAnsi="Times New Roman"/>
        <w:sz w:val="18"/>
        <w:szCs w:val="18"/>
      </w:rPr>
      <w:fldChar w:fldCharType="end"/>
    </w:r>
  </w:p>
  <w:p w:rsidR="00257BD0" w:rsidRDefault="00257BD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310" w:rsidRPr="003544A4" w:rsidRDefault="00154310">
    <w:pPr>
      <w:pStyle w:val="Pta"/>
      <w:jc w:val="center"/>
      <w:rPr>
        <w:rFonts w:ascii="Times New Roman" w:hAnsi="Times New Roman"/>
        <w:sz w:val="18"/>
        <w:szCs w:val="18"/>
      </w:rPr>
    </w:pPr>
    <w:r w:rsidRPr="003544A4">
      <w:rPr>
        <w:rFonts w:ascii="Times New Roman" w:hAnsi="Times New Roman"/>
        <w:sz w:val="18"/>
        <w:szCs w:val="18"/>
      </w:rPr>
      <w:fldChar w:fldCharType="begin"/>
    </w:r>
    <w:r w:rsidRPr="003544A4">
      <w:rPr>
        <w:rFonts w:ascii="Times New Roman" w:hAnsi="Times New Roman"/>
        <w:sz w:val="18"/>
        <w:szCs w:val="18"/>
      </w:rPr>
      <w:instrText>PAGE   \* MERGEFORMAT</w:instrText>
    </w:r>
    <w:r w:rsidRPr="003544A4">
      <w:rPr>
        <w:rFonts w:ascii="Times New Roman" w:hAnsi="Times New Roman"/>
        <w:sz w:val="18"/>
        <w:szCs w:val="18"/>
      </w:rPr>
      <w:fldChar w:fldCharType="separate"/>
    </w:r>
    <w:r w:rsidR="00F23675">
      <w:rPr>
        <w:rFonts w:ascii="Times New Roman" w:hAnsi="Times New Roman"/>
        <w:noProof/>
        <w:sz w:val="18"/>
        <w:szCs w:val="18"/>
      </w:rPr>
      <w:t>1</w:t>
    </w:r>
    <w:r w:rsidRPr="003544A4">
      <w:rPr>
        <w:rFonts w:ascii="Times New Roman" w:hAnsi="Times New Roman"/>
        <w:sz w:val="18"/>
        <w:szCs w:val="18"/>
      </w:rPr>
      <w:fldChar w:fldCharType="end"/>
    </w:r>
  </w:p>
  <w:p w:rsidR="00154310" w:rsidRDefault="001543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75" w:rsidRDefault="00F23675" w:rsidP="00257BD0">
      <w:pPr>
        <w:spacing w:after="0" w:line="240" w:lineRule="auto"/>
      </w:pPr>
      <w:r>
        <w:separator/>
      </w:r>
    </w:p>
  </w:footnote>
  <w:footnote w:type="continuationSeparator" w:id="0">
    <w:p w:rsidR="00F23675" w:rsidRDefault="00F23675" w:rsidP="00257BD0">
      <w:pPr>
        <w:spacing w:after="0" w:line="240" w:lineRule="auto"/>
      </w:pPr>
      <w:r>
        <w:continuationSeparator/>
      </w:r>
    </w:p>
  </w:footnote>
  <w:footnote w:type="continuationNotice" w:id="1">
    <w:p w:rsidR="00F23675" w:rsidRDefault="00F236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D0" w:rsidRPr="00F23675" w:rsidRDefault="004B2FC8" w:rsidP="00A55BD0">
    <w:pPr>
      <w:pStyle w:val="Hlavika"/>
      <w:rPr>
        <w:rFonts w:ascii="Times New Roman" w:hAnsi="Times New Roman"/>
        <w:bCs/>
        <w:sz w:val="18"/>
        <w:szCs w:val="18"/>
      </w:rPr>
    </w:pPr>
    <w:r w:rsidRPr="00F23675">
      <w:rPr>
        <w:rFonts w:ascii="Times New Roman" w:hAnsi="Times New Roman"/>
        <w:bCs/>
        <w:sz w:val="18"/>
        <w:szCs w:val="18"/>
      </w:rPr>
      <w:t>Príloha č. 1 k notifikácii o zmene, ev. č.: 2018/0</w:t>
    </w:r>
    <w:r w:rsidR="007A6E01">
      <w:rPr>
        <w:rFonts w:ascii="Times New Roman" w:hAnsi="Times New Roman"/>
        <w:bCs/>
        <w:sz w:val="18"/>
        <w:szCs w:val="18"/>
      </w:rPr>
      <w:t>0531-Z1B</w:t>
    </w:r>
  </w:p>
  <w:p w:rsidR="00A55BD0" w:rsidRDefault="00A55BD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39" w:rsidRPr="00A55BD0" w:rsidRDefault="00040616" w:rsidP="00A60839">
    <w:pPr>
      <w:pStyle w:val="Hlavika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Schválený text k rozhodnutiu o registrácii, ev. č.: 2016/04200-REG, 2016/04201-REG, 2016-04202-REG</w:t>
    </w:r>
  </w:p>
  <w:p w:rsidR="00A55BD0" w:rsidRDefault="00A55B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B00"/>
    <w:rsid w:val="0000565F"/>
    <w:rsid w:val="00040616"/>
    <w:rsid w:val="00063ABA"/>
    <w:rsid w:val="00070658"/>
    <w:rsid w:val="00097A5A"/>
    <w:rsid w:val="000A46DD"/>
    <w:rsid w:val="000C448B"/>
    <w:rsid w:val="000F6349"/>
    <w:rsid w:val="00106EE3"/>
    <w:rsid w:val="00113435"/>
    <w:rsid w:val="001179AC"/>
    <w:rsid w:val="00154310"/>
    <w:rsid w:val="0019505A"/>
    <w:rsid w:val="001F4B0F"/>
    <w:rsid w:val="0023393B"/>
    <w:rsid w:val="00257BD0"/>
    <w:rsid w:val="0028575C"/>
    <w:rsid w:val="002A4F6C"/>
    <w:rsid w:val="002A70D6"/>
    <w:rsid w:val="002E4E6C"/>
    <w:rsid w:val="0035433A"/>
    <w:rsid w:val="003544A4"/>
    <w:rsid w:val="00365196"/>
    <w:rsid w:val="00365A72"/>
    <w:rsid w:val="00375CF4"/>
    <w:rsid w:val="00376FD7"/>
    <w:rsid w:val="003A6513"/>
    <w:rsid w:val="003E61C4"/>
    <w:rsid w:val="00416938"/>
    <w:rsid w:val="00417FD0"/>
    <w:rsid w:val="00420108"/>
    <w:rsid w:val="00425141"/>
    <w:rsid w:val="004A5480"/>
    <w:rsid w:val="004B2FC8"/>
    <w:rsid w:val="004D5F96"/>
    <w:rsid w:val="004E0735"/>
    <w:rsid w:val="0053386C"/>
    <w:rsid w:val="00533FD5"/>
    <w:rsid w:val="0056739B"/>
    <w:rsid w:val="00583F3C"/>
    <w:rsid w:val="00595F58"/>
    <w:rsid w:val="005A4589"/>
    <w:rsid w:val="005B62C5"/>
    <w:rsid w:val="005F2CAE"/>
    <w:rsid w:val="0066348C"/>
    <w:rsid w:val="0067132C"/>
    <w:rsid w:val="006819A3"/>
    <w:rsid w:val="00757CAD"/>
    <w:rsid w:val="007878E4"/>
    <w:rsid w:val="007A6E01"/>
    <w:rsid w:val="008049FD"/>
    <w:rsid w:val="00845A82"/>
    <w:rsid w:val="008500BB"/>
    <w:rsid w:val="00851234"/>
    <w:rsid w:val="008D15FE"/>
    <w:rsid w:val="008E4796"/>
    <w:rsid w:val="008F2BCA"/>
    <w:rsid w:val="008F38DB"/>
    <w:rsid w:val="00903398"/>
    <w:rsid w:val="00903B43"/>
    <w:rsid w:val="009060A9"/>
    <w:rsid w:val="009172D7"/>
    <w:rsid w:val="00921838"/>
    <w:rsid w:val="00963D23"/>
    <w:rsid w:val="00967A12"/>
    <w:rsid w:val="00973D48"/>
    <w:rsid w:val="009E2A4D"/>
    <w:rsid w:val="009F004F"/>
    <w:rsid w:val="00A02018"/>
    <w:rsid w:val="00A03FAB"/>
    <w:rsid w:val="00A24349"/>
    <w:rsid w:val="00A41C98"/>
    <w:rsid w:val="00A55BD0"/>
    <w:rsid w:val="00A60839"/>
    <w:rsid w:val="00A70B80"/>
    <w:rsid w:val="00A97D9D"/>
    <w:rsid w:val="00B56EDA"/>
    <w:rsid w:val="00B84618"/>
    <w:rsid w:val="00B900D0"/>
    <w:rsid w:val="00B9593F"/>
    <w:rsid w:val="00BB13CE"/>
    <w:rsid w:val="00BD0BB2"/>
    <w:rsid w:val="00BD6833"/>
    <w:rsid w:val="00BE0B00"/>
    <w:rsid w:val="00BF6DD1"/>
    <w:rsid w:val="00C93891"/>
    <w:rsid w:val="00CC4095"/>
    <w:rsid w:val="00CC4F53"/>
    <w:rsid w:val="00D33C5F"/>
    <w:rsid w:val="00D758BD"/>
    <w:rsid w:val="00DA07DF"/>
    <w:rsid w:val="00DA27AF"/>
    <w:rsid w:val="00DC110C"/>
    <w:rsid w:val="00DC3926"/>
    <w:rsid w:val="00DC3DB9"/>
    <w:rsid w:val="00DD41F3"/>
    <w:rsid w:val="00E15FF7"/>
    <w:rsid w:val="00E70C3F"/>
    <w:rsid w:val="00E75D85"/>
    <w:rsid w:val="00E77E1F"/>
    <w:rsid w:val="00E92CB7"/>
    <w:rsid w:val="00EA3A12"/>
    <w:rsid w:val="00EC0B22"/>
    <w:rsid w:val="00F12408"/>
    <w:rsid w:val="00F23675"/>
    <w:rsid w:val="00F42DE3"/>
    <w:rsid w:val="00F70849"/>
    <w:rsid w:val="00FB4DD8"/>
    <w:rsid w:val="00FD4273"/>
    <w:rsid w:val="00FD5974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D0"/>
  </w:style>
  <w:style w:type="paragraph" w:styleId="Pta">
    <w:name w:val="footer"/>
    <w:basedOn w:val="Normlny"/>
    <w:link w:val="Pt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D0"/>
  </w:style>
  <w:style w:type="table" w:styleId="Mriekatabuky">
    <w:name w:val="Table Grid"/>
    <w:basedOn w:val="Normlnatabuka"/>
    <w:rsid w:val="00A2434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9593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9218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183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2183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3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21838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1838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E70C3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D0"/>
  </w:style>
  <w:style w:type="paragraph" w:styleId="Pta">
    <w:name w:val="footer"/>
    <w:basedOn w:val="Normlny"/>
    <w:link w:val="Pt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D0"/>
  </w:style>
  <w:style w:type="table" w:styleId="Mriekatabuky">
    <w:name w:val="Table Grid"/>
    <w:basedOn w:val="Normlnatabuka"/>
    <w:rsid w:val="00A2434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9593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9218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183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2183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3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21838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1838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E70C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5634</Words>
  <Characters>32119</Characters>
  <Application>Microsoft Office Word</Application>
  <DocSecurity>0</DocSecurity>
  <Lines>267</Lines>
  <Paragraphs>75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37678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 Slovakia</dc:creator>
  <cp:lastModifiedBy>Natalia </cp:lastModifiedBy>
  <cp:revision>2</cp:revision>
  <cp:lastPrinted>2015-08-18T13:31:00Z</cp:lastPrinted>
  <dcterms:created xsi:type="dcterms:W3CDTF">2018-09-24T13:02:00Z</dcterms:created>
  <dcterms:modified xsi:type="dcterms:W3CDTF">2018-09-24T13:02:00Z</dcterms:modified>
</cp:coreProperties>
</file>