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929F64" w14:textId="77777777" w:rsidR="00FE0D53" w:rsidRPr="005A12AC" w:rsidRDefault="00FE0D53">
      <w:pPr>
        <w:ind w:right="72"/>
        <w:rPr>
          <w:sz w:val="22"/>
          <w:szCs w:val="22"/>
        </w:rPr>
      </w:pPr>
    </w:p>
    <w:p w14:paraId="3DF97B59" w14:textId="77777777" w:rsidR="00FE0D53" w:rsidRPr="00306582" w:rsidRDefault="00FE0D53">
      <w:pPr>
        <w:pStyle w:val="Nadpis1"/>
        <w:rPr>
          <w:szCs w:val="22"/>
        </w:rPr>
      </w:pPr>
      <w:r w:rsidRPr="00306582">
        <w:rPr>
          <w:szCs w:val="22"/>
        </w:rPr>
        <w:t>SÚHRN CHARAKTERISTICKÝCH VLASTNOSTÍ LIEKU</w:t>
      </w:r>
    </w:p>
    <w:p w14:paraId="26FDCBC4" w14:textId="77777777" w:rsidR="00FE0D53" w:rsidRPr="00306582" w:rsidRDefault="00FE0D53">
      <w:pPr>
        <w:ind w:right="72"/>
        <w:jc w:val="center"/>
        <w:rPr>
          <w:b/>
          <w:bCs/>
          <w:sz w:val="22"/>
          <w:szCs w:val="22"/>
        </w:rPr>
      </w:pPr>
    </w:p>
    <w:p w14:paraId="717EEE26" w14:textId="77777777" w:rsidR="00FE0D53" w:rsidRPr="00306582" w:rsidRDefault="00FE0D53">
      <w:pPr>
        <w:ind w:right="72"/>
        <w:jc w:val="center"/>
        <w:rPr>
          <w:b/>
          <w:bCs/>
          <w:sz w:val="22"/>
          <w:szCs w:val="22"/>
        </w:rPr>
      </w:pPr>
    </w:p>
    <w:p w14:paraId="2D8320BE" w14:textId="77777777" w:rsidR="00FE0D53" w:rsidRPr="00306582" w:rsidRDefault="00FE0D53">
      <w:pPr>
        <w:ind w:right="72"/>
        <w:jc w:val="center"/>
        <w:rPr>
          <w:b/>
          <w:bCs/>
          <w:sz w:val="22"/>
          <w:szCs w:val="22"/>
        </w:rPr>
      </w:pPr>
    </w:p>
    <w:p w14:paraId="1A8BD318" w14:textId="77777777" w:rsidR="00FE0D53" w:rsidRPr="00725147" w:rsidRDefault="00FE0D53" w:rsidP="00725147">
      <w:pPr>
        <w:keepNext/>
        <w:ind w:right="74"/>
        <w:rPr>
          <w:sz w:val="22"/>
          <w:szCs w:val="22"/>
        </w:rPr>
      </w:pPr>
      <w:r w:rsidRPr="00306582">
        <w:rPr>
          <w:b/>
          <w:bCs/>
          <w:sz w:val="22"/>
          <w:szCs w:val="22"/>
        </w:rPr>
        <w:t>1.</w:t>
      </w:r>
      <w:r w:rsidRPr="00306582">
        <w:rPr>
          <w:b/>
          <w:bCs/>
          <w:sz w:val="22"/>
          <w:szCs w:val="22"/>
        </w:rPr>
        <w:tab/>
        <w:t>NÁZOV LIEKU</w:t>
      </w:r>
    </w:p>
    <w:p w14:paraId="012E10CC" w14:textId="77777777" w:rsidR="00FE0D53" w:rsidRPr="00306582" w:rsidRDefault="00FE0D53" w:rsidP="00725147">
      <w:pPr>
        <w:keepNext/>
        <w:ind w:right="74"/>
        <w:rPr>
          <w:sz w:val="22"/>
          <w:szCs w:val="22"/>
        </w:rPr>
      </w:pPr>
    </w:p>
    <w:p w14:paraId="5F4703C0" w14:textId="77777777" w:rsidR="00FE0D53" w:rsidRPr="00725147" w:rsidRDefault="00FE0D53">
      <w:pPr>
        <w:ind w:right="72"/>
        <w:rPr>
          <w:sz w:val="22"/>
          <w:szCs w:val="22"/>
        </w:rPr>
      </w:pPr>
      <w:proofErr w:type="spellStart"/>
      <w:r w:rsidRPr="00306582">
        <w:rPr>
          <w:bCs/>
          <w:sz w:val="22"/>
          <w:szCs w:val="22"/>
        </w:rPr>
        <w:t>Zovirax</w:t>
      </w:r>
      <w:proofErr w:type="spellEnd"/>
      <w:r w:rsidRPr="00306582">
        <w:rPr>
          <w:bCs/>
          <w:sz w:val="22"/>
          <w:szCs w:val="22"/>
        </w:rPr>
        <w:t xml:space="preserve"> Duo</w:t>
      </w:r>
    </w:p>
    <w:p w14:paraId="4267CBF2" w14:textId="77777777" w:rsidR="00FE0D53" w:rsidRPr="00725147" w:rsidRDefault="00FE0D53">
      <w:pPr>
        <w:ind w:right="72"/>
        <w:rPr>
          <w:sz w:val="22"/>
          <w:szCs w:val="22"/>
        </w:rPr>
      </w:pPr>
      <w:r w:rsidRPr="00306582">
        <w:rPr>
          <w:sz w:val="22"/>
          <w:szCs w:val="22"/>
        </w:rPr>
        <w:t xml:space="preserve">50 mg/g + 10 mg/g </w:t>
      </w:r>
      <w:proofErr w:type="spellStart"/>
      <w:r w:rsidRPr="00306582">
        <w:rPr>
          <w:sz w:val="22"/>
          <w:szCs w:val="22"/>
        </w:rPr>
        <w:t>dermálny</w:t>
      </w:r>
      <w:proofErr w:type="spellEnd"/>
      <w:r w:rsidRPr="00306582">
        <w:rPr>
          <w:sz w:val="22"/>
          <w:szCs w:val="22"/>
        </w:rPr>
        <w:t xml:space="preserve"> krém</w:t>
      </w:r>
    </w:p>
    <w:p w14:paraId="2307D723" w14:textId="77777777" w:rsidR="00FE0D53" w:rsidRPr="00306582" w:rsidRDefault="00FE0D53">
      <w:pPr>
        <w:ind w:right="72"/>
        <w:rPr>
          <w:sz w:val="22"/>
          <w:szCs w:val="22"/>
        </w:rPr>
      </w:pPr>
    </w:p>
    <w:p w14:paraId="7ED5137B" w14:textId="77777777" w:rsidR="00FE0D53" w:rsidRPr="00306582" w:rsidRDefault="00FE0D53">
      <w:pPr>
        <w:ind w:right="72"/>
        <w:rPr>
          <w:sz w:val="22"/>
          <w:szCs w:val="22"/>
        </w:rPr>
      </w:pPr>
    </w:p>
    <w:p w14:paraId="4F59579C" w14:textId="77777777" w:rsidR="00FE0D53" w:rsidRPr="00306582" w:rsidRDefault="00FE0D53" w:rsidP="00725147">
      <w:pPr>
        <w:keepNext/>
        <w:ind w:right="72"/>
        <w:rPr>
          <w:b/>
          <w:bCs/>
          <w:sz w:val="22"/>
          <w:szCs w:val="22"/>
        </w:rPr>
      </w:pPr>
      <w:r w:rsidRPr="00306582">
        <w:rPr>
          <w:b/>
          <w:bCs/>
          <w:sz w:val="22"/>
          <w:szCs w:val="22"/>
        </w:rPr>
        <w:t>2.</w:t>
      </w:r>
      <w:r w:rsidRPr="00306582">
        <w:rPr>
          <w:b/>
          <w:bCs/>
          <w:sz w:val="22"/>
          <w:szCs w:val="22"/>
        </w:rPr>
        <w:tab/>
        <w:t>KVALITATÍVNE A KVANTITATÍVNE ZLOŽENIE</w:t>
      </w:r>
    </w:p>
    <w:p w14:paraId="3182D450" w14:textId="77777777" w:rsidR="00FE0D53" w:rsidRPr="00306582" w:rsidRDefault="00FE0D53" w:rsidP="00725147">
      <w:pPr>
        <w:keepNext/>
        <w:ind w:right="72"/>
        <w:rPr>
          <w:b/>
          <w:bCs/>
          <w:sz w:val="22"/>
          <w:szCs w:val="22"/>
        </w:rPr>
      </w:pPr>
    </w:p>
    <w:p w14:paraId="0317D656" w14:textId="77777777" w:rsidR="00FE0D53" w:rsidRPr="00306582" w:rsidRDefault="00FE0D53">
      <w:pPr>
        <w:ind w:right="72"/>
        <w:rPr>
          <w:sz w:val="22"/>
          <w:szCs w:val="22"/>
        </w:rPr>
      </w:pPr>
      <w:smartTag w:uri="urn:schemas-microsoft-com:office:smarttags" w:element="metricconverter">
        <w:smartTagPr>
          <w:attr w:name="ProductID" w:val="1 g"/>
        </w:smartTagPr>
        <w:r w:rsidRPr="00306582">
          <w:rPr>
            <w:sz w:val="22"/>
            <w:szCs w:val="22"/>
          </w:rPr>
          <w:t>1 g</w:t>
        </w:r>
      </w:smartTag>
      <w:r w:rsidRPr="00306582">
        <w:rPr>
          <w:sz w:val="22"/>
          <w:szCs w:val="22"/>
        </w:rPr>
        <w:t xml:space="preserve"> </w:t>
      </w:r>
      <w:proofErr w:type="spellStart"/>
      <w:r w:rsidRPr="00306582">
        <w:rPr>
          <w:sz w:val="22"/>
          <w:szCs w:val="22"/>
        </w:rPr>
        <w:t>dermálneho</w:t>
      </w:r>
      <w:proofErr w:type="spellEnd"/>
      <w:r w:rsidRPr="00306582">
        <w:rPr>
          <w:sz w:val="22"/>
          <w:szCs w:val="22"/>
        </w:rPr>
        <w:t xml:space="preserve"> krému obsahuje 50 mg </w:t>
      </w:r>
      <w:proofErr w:type="spellStart"/>
      <w:r w:rsidRPr="00306582">
        <w:rPr>
          <w:sz w:val="22"/>
          <w:szCs w:val="22"/>
        </w:rPr>
        <w:t>acikloviru</w:t>
      </w:r>
      <w:proofErr w:type="spellEnd"/>
      <w:r w:rsidRPr="00306582">
        <w:rPr>
          <w:sz w:val="22"/>
          <w:szCs w:val="22"/>
        </w:rPr>
        <w:t xml:space="preserve"> a 10 mg </w:t>
      </w:r>
      <w:proofErr w:type="spellStart"/>
      <w:r w:rsidRPr="00306582">
        <w:rPr>
          <w:sz w:val="22"/>
          <w:szCs w:val="22"/>
        </w:rPr>
        <w:t>hydrokortizónu</w:t>
      </w:r>
      <w:proofErr w:type="spellEnd"/>
      <w:r w:rsidRPr="00306582">
        <w:rPr>
          <w:sz w:val="22"/>
          <w:szCs w:val="22"/>
        </w:rPr>
        <w:t>.</w:t>
      </w:r>
    </w:p>
    <w:p w14:paraId="4486497B" w14:textId="77777777" w:rsidR="00FE0D53" w:rsidRPr="00306582" w:rsidRDefault="00FE0D53">
      <w:pPr>
        <w:ind w:right="72"/>
        <w:rPr>
          <w:sz w:val="22"/>
          <w:szCs w:val="22"/>
        </w:rPr>
      </w:pPr>
    </w:p>
    <w:p w14:paraId="6EBDBBEA" w14:textId="0FD9674F" w:rsidR="00FE0D53" w:rsidRPr="00725147" w:rsidRDefault="00FE0D53">
      <w:pPr>
        <w:ind w:right="72"/>
        <w:rPr>
          <w:sz w:val="22"/>
          <w:szCs w:val="22"/>
        </w:rPr>
      </w:pPr>
      <w:r w:rsidRPr="00306582">
        <w:rPr>
          <w:sz w:val="22"/>
          <w:szCs w:val="22"/>
          <w:u w:val="single"/>
        </w:rPr>
        <w:t>Pomocné látky so známym účinkom</w:t>
      </w:r>
      <w:r w:rsidRPr="00306582">
        <w:rPr>
          <w:sz w:val="22"/>
          <w:szCs w:val="22"/>
        </w:rPr>
        <w:t xml:space="preserve">: 67,5 mg </w:t>
      </w:r>
      <w:proofErr w:type="spellStart"/>
      <w:r w:rsidRPr="00306582">
        <w:rPr>
          <w:sz w:val="22"/>
          <w:szCs w:val="22"/>
        </w:rPr>
        <w:t>cetylalkoholu</w:t>
      </w:r>
      <w:proofErr w:type="spellEnd"/>
      <w:r w:rsidRPr="00306582">
        <w:rPr>
          <w:bCs/>
          <w:color w:val="000000"/>
          <w:sz w:val="22"/>
          <w:szCs w:val="22"/>
        </w:rPr>
        <w:t xml:space="preserve"> a</w:t>
      </w:r>
      <w:r w:rsidR="00E844D4" w:rsidRPr="00306582">
        <w:rPr>
          <w:bCs/>
          <w:color w:val="000000"/>
          <w:sz w:val="22"/>
          <w:szCs w:val="22"/>
        </w:rPr>
        <w:t> </w:t>
      </w:r>
      <w:proofErr w:type="spellStart"/>
      <w:r w:rsidRPr="00306582">
        <w:rPr>
          <w:bCs/>
          <w:color w:val="000000"/>
          <w:sz w:val="22"/>
          <w:szCs w:val="22"/>
        </w:rPr>
        <w:t>stearylalkoholu</w:t>
      </w:r>
      <w:proofErr w:type="spellEnd"/>
      <w:r w:rsidR="00E844D4" w:rsidRPr="00306582">
        <w:rPr>
          <w:bCs/>
          <w:color w:val="000000"/>
          <w:sz w:val="22"/>
          <w:szCs w:val="22"/>
        </w:rPr>
        <w:t>, 8</w:t>
      </w:r>
      <w:r w:rsidR="00310F5E">
        <w:rPr>
          <w:bCs/>
          <w:color w:val="000000"/>
          <w:sz w:val="22"/>
          <w:szCs w:val="22"/>
        </w:rPr>
        <w:t> </w:t>
      </w:r>
      <w:r w:rsidR="00E844D4" w:rsidRPr="00306582">
        <w:rPr>
          <w:bCs/>
          <w:color w:val="000000"/>
          <w:sz w:val="22"/>
          <w:szCs w:val="22"/>
        </w:rPr>
        <w:t xml:space="preserve">mg </w:t>
      </w:r>
      <w:proofErr w:type="spellStart"/>
      <w:r w:rsidR="00E844D4" w:rsidRPr="00306582">
        <w:rPr>
          <w:bCs/>
          <w:color w:val="000000"/>
          <w:sz w:val="22"/>
          <w:szCs w:val="22"/>
        </w:rPr>
        <w:t>laurylsíranu</w:t>
      </w:r>
      <w:proofErr w:type="spellEnd"/>
      <w:r w:rsidR="00E844D4" w:rsidRPr="00306582">
        <w:rPr>
          <w:bCs/>
          <w:color w:val="000000"/>
          <w:sz w:val="22"/>
          <w:szCs w:val="22"/>
        </w:rPr>
        <w:t xml:space="preserve"> sodného</w:t>
      </w:r>
      <w:r w:rsidRPr="00306582">
        <w:rPr>
          <w:sz w:val="22"/>
          <w:szCs w:val="22"/>
        </w:rPr>
        <w:t xml:space="preserve"> a 200 mg </w:t>
      </w:r>
      <w:proofErr w:type="spellStart"/>
      <w:r w:rsidRPr="00306582">
        <w:rPr>
          <w:sz w:val="22"/>
          <w:szCs w:val="22"/>
        </w:rPr>
        <w:t>propylénglykolu</w:t>
      </w:r>
      <w:proofErr w:type="spellEnd"/>
      <w:r w:rsidRPr="00306582">
        <w:rPr>
          <w:sz w:val="22"/>
          <w:szCs w:val="22"/>
        </w:rPr>
        <w:t xml:space="preserve"> v </w:t>
      </w:r>
      <w:r w:rsidR="009662FA" w:rsidRPr="00306582">
        <w:rPr>
          <w:sz w:val="22"/>
          <w:szCs w:val="22"/>
        </w:rPr>
        <w:t>1 </w:t>
      </w:r>
      <w:r w:rsidRPr="00306582">
        <w:rPr>
          <w:sz w:val="22"/>
          <w:szCs w:val="22"/>
        </w:rPr>
        <w:t xml:space="preserve">grame </w:t>
      </w:r>
      <w:proofErr w:type="spellStart"/>
      <w:r w:rsidRPr="00306582">
        <w:rPr>
          <w:sz w:val="22"/>
          <w:szCs w:val="22"/>
        </w:rPr>
        <w:t>dermálneho</w:t>
      </w:r>
      <w:proofErr w:type="spellEnd"/>
      <w:r w:rsidRPr="00306582">
        <w:rPr>
          <w:sz w:val="22"/>
          <w:szCs w:val="22"/>
        </w:rPr>
        <w:t xml:space="preserve"> krému.</w:t>
      </w:r>
    </w:p>
    <w:p w14:paraId="7FDEF4BE" w14:textId="77777777" w:rsidR="00FE0D53" w:rsidRPr="00306582" w:rsidRDefault="00FE0D53">
      <w:pPr>
        <w:ind w:right="72"/>
        <w:rPr>
          <w:sz w:val="22"/>
          <w:szCs w:val="22"/>
        </w:rPr>
      </w:pPr>
    </w:p>
    <w:p w14:paraId="27601D3A" w14:textId="77777777" w:rsidR="00FE0D53" w:rsidRPr="00306582" w:rsidRDefault="00FE0D53">
      <w:pPr>
        <w:ind w:right="72"/>
        <w:rPr>
          <w:sz w:val="22"/>
          <w:szCs w:val="22"/>
        </w:rPr>
      </w:pPr>
      <w:r w:rsidRPr="00306582">
        <w:rPr>
          <w:sz w:val="22"/>
          <w:szCs w:val="22"/>
        </w:rPr>
        <w:t>Úplný zoznam pomocných látok, pozri časť 6.1.</w:t>
      </w:r>
    </w:p>
    <w:p w14:paraId="2D4E0BD2" w14:textId="77777777" w:rsidR="00FE0D53" w:rsidRPr="00306582" w:rsidRDefault="00FE0D53">
      <w:pPr>
        <w:ind w:right="72"/>
        <w:rPr>
          <w:sz w:val="22"/>
          <w:szCs w:val="22"/>
        </w:rPr>
      </w:pPr>
    </w:p>
    <w:p w14:paraId="26283149" w14:textId="77777777" w:rsidR="00FE0D53" w:rsidRPr="00306582" w:rsidRDefault="00FE0D53">
      <w:pPr>
        <w:ind w:right="72"/>
        <w:rPr>
          <w:sz w:val="22"/>
          <w:szCs w:val="22"/>
        </w:rPr>
      </w:pPr>
    </w:p>
    <w:p w14:paraId="6EF7879F" w14:textId="77777777" w:rsidR="00FE0D53" w:rsidRPr="00306582" w:rsidRDefault="00FE0D53" w:rsidP="00725147">
      <w:pPr>
        <w:keepNext/>
        <w:ind w:right="72"/>
        <w:rPr>
          <w:b/>
          <w:bCs/>
          <w:sz w:val="22"/>
          <w:szCs w:val="22"/>
        </w:rPr>
      </w:pPr>
      <w:r w:rsidRPr="00306582">
        <w:rPr>
          <w:b/>
          <w:bCs/>
          <w:sz w:val="22"/>
          <w:szCs w:val="22"/>
        </w:rPr>
        <w:t>3.</w:t>
      </w:r>
      <w:r w:rsidRPr="00306582">
        <w:rPr>
          <w:b/>
          <w:bCs/>
          <w:sz w:val="22"/>
          <w:szCs w:val="22"/>
        </w:rPr>
        <w:tab/>
        <w:t>LIEKOVÁ FORMA</w:t>
      </w:r>
    </w:p>
    <w:p w14:paraId="291AD141" w14:textId="77777777" w:rsidR="00FE0D53" w:rsidRPr="00306582" w:rsidRDefault="00FE0D53" w:rsidP="00725147">
      <w:pPr>
        <w:keepNext/>
        <w:ind w:right="72"/>
        <w:rPr>
          <w:b/>
          <w:bCs/>
          <w:sz w:val="22"/>
          <w:szCs w:val="22"/>
        </w:rPr>
      </w:pPr>
    </w:p>
    <w:p w14:paraId="04DA7313" w14:textId="77777777" w:rsidR="00FE0D53" w:rsidRPr="00306582" w:rsidRDefault="00FE0D53">
      <w:pPr>
        <w:ind w:right="72"/>
        <w:rPr>
          <w:sz w:val="22"/>
          <w:szCs w:val="22"/>
        </w:rPr>
      </w:pPr>
      <w:proofErr w:type="spellStart"/>
      <w:r w:rsidRPr="00306582">
        <w:rPr>
          <w:sz w:val="22"/>
          <w:szCs w:val="22"/>
        </w:rPr>
        <w:t>Dermálny</w:t>
      </w:r>
      <w:proofErr w:type="spellEnd"/>
      <w:r w:rsidRPr="00306582">
        <w:rPr>
          <w:sz w:val="22"/>
          <w:szCs w:val="22"/>
        </w:rPr>
        <w:t xml:space="preserve"> krém.</w:t>
      </w:r>
    </w:p>
    <w:p w14:paraId="4B7D45D1" w14:textId="77777777" w:rsidR="00FE0D53" w:rsidRPr="00306582" w:rsidRDefault="00FE0D53">
      <w:pPr>
        <w:ind w:right="72"/>
        <w:rPr>
          <w:sz w:val="22"/>
          <w:szCs w:val="22"/>
        </w:rPr>
      </w:pPr>
    </w:p>
    <w:p w14:paraId="1FEC3952" w14:textId="647E4246" w:rsidR="00FE0D53" w:rsidRPr="00306582" w:rsidRDefault="00FE0D53">
      <w:pPr>
        <w:ind w:right="72"/>
        <w:rPr>
          <w:sz w:val="22"/>
          <w:szCs w:val="22"/>
        </w:rPr>
      </w:pPr>
      <w:r w:rsidRPr="00306582">
        <w:rPr>
          <w:sz w:val="22"/>
          <w:szCs w:val="22"/>
        </w:rPr>
        <w:t xml:space="preserve">Biely </w:t>
      </w:r>
      <w:r w:rsidR="009662FA" w:rsidRPr="00306582">
        <w:rPr>
          <w:sz w:val="22"/>
          <w:szCs w:val="22"/>
        </w:rPr>
        <w:t xml:space="preserve">až </w:t>
      </w:r>
      <w:commentRangeStart w:id="0"/>
      <w:r w:rsidR="00306582">
        <w:rPr>
          <w:sz w:val="22"/>
          <w:szCs w:val="22"/>
        </w:rPr>
        <w:t>žltkastý</w:t>
      </w:r>
      <w:r w:rsidR="009662FA" w:rsidRPr="00306582">
        <w:rPr>
          <w:sz w:val="22"/>
          <w:szCs w:val="22"/>
        </w:rPr>
        <w:t xml:space="preserve"> </w:t>
      </w:r>
      <w:commentRangeEnd w:id="0"/>
      <w:r w:rsidRPr="00306582">
        <w:rPr>
          <w:sz w:val="22"/>
          <w:szCs w:val="22"/>
        </w:rPr>
        <w:t>krém.</w:t>
      </w:r>
    </w:p>
    <w:p w14:paraId="445FC2D3" w14:textId="77777777" w:rsidR="00FE0D53" w:rsidRPr="00306582" w:rsidRDefault="00FE0D53">
      <w:pPr>
        <w:ind w:right="72"/>
        <w:rPr>
          <w:sz w:val="22"/>
          <w:szCs w:val="22"/>
        </w:rPr>
      </w:pPr>
    </w:p>
    <w:p w14:paraId="28C1EFCC" w14:textId="77777777" w:rsidR="00FE0D53" w:rsidRPr="00306582" w:rsidRDefault="00FE0D53">
      <w:pPr>
        <w:ind w:right="72"/>
        <w:rPr>
          <w:sz w:val="22"/>
          <w:szCs w:val="22"/>
        </w:rPr>
      </w:pPr>
    </w:p>
    <w:p w14:paraId="3319221A" w14:textId="77777777" w:rsidR="00FE0D53" w:rsidRPr="00306582" w:rsidRDefault="00FE0D53" w:rsidP="00725147">
      <w:pPr>
        <w:keepNext/>
        <w:ind w:right="72"/>
        <w:rPr>
          <w:b/>
          <w:bCs/>
          <w:sz w:val="22"/>
          <w:szCs w:val="22"/>
        </w:rPr>
      </w:pPr>
      <w:r w:rsidRPr="00306582">
        <w:rPr>
          <w:b/>
          <w:bCs/>
          <w:sz w:val="22"/>
          <w:szCs w:val="22"/>
        </w:rPr>
        <w:t>4.</w:t>
      </w:r>
      <w:r w:rsidRPr="00306582">
        <w:rPr>
          <w:b/>
          <w:bCs/>
          <w:sz w:val="22"/>
          <w:szCs w:val="22"/>
        </w:rPr>
        <w:tab/>
        <w:t>KLINICKÉ ÚDAJE</w:t>
      </w:r>
    </w:p>
    <w:p w14:paraId="663E13BD" w14:textId="77777777" w:rsidR="00FE0D53" w:rsidRPr="00306582" w:rsidRDefault="00FE0D53" w:rsidP="00725147">
      <w:pPr>
        <w:keepNext/>
        <w:ind w:right="72"/>
        <w:rPr>
          <w:b/>
          <w:bCs/>
          <w:sz w:val="22"/>
          <w:szCs w:val="22"/>
        </w:rPr>
      </w:pPr>
    </w:p>
    <w:p w14:paraId="768820C2" w14:textId="77777777" w:rsidR="00FE0D53" w:rsidRPr="00306582" w:rsidRDefault="00FE0D53" w:rsidP="00725147">
      <w:pPr>
        <w:keepNext/>
        <w:ind w:right="72"/>
        <w:rPr>
          <w:b/>
          <w:bCs/>
          <w:sz w:val="22"/>
          <w:szCs w:val="22"/>
        </w:rPr>
      </w:pPr>
      <w:r w:rsidRPr="00306582">
        <w:rPr>
          <w:b/>
          <w:bCs/>
          <w:sz w:val="22"/>
          <w:szCs w:val="22"/>
        </w:rPr>
        <w:t>4.1</w:t>
      </w:r>
      <w:r w:rsidRPr="00306582">
        <w:rPr>
          <w:b/>
          <w:bCs/>
          <w:sz w:val="22"/>
          <w:szCs w:val="22"/>
        </w:rPr>
        <w:tab/>
        <w:t>Terapeutické indikácie</w:t>
      </w:r>
    </w:p>
    <w:p w14:paraId="5F5DB048" w14:textId="77777777" w:rsidR="00FE0D53" w:rsidRPr="00306582" w:rsidRDefault="00FE0D53" w:rsidP="00725147">
      <w:pPr>
        <w:keepNext/>
        <w:ind w:right="72"/>
        <w:rPr>
          <w:b/>
          <w:bCs/>
          <w:sz w:val="22"/>
          <w:szCs w:val="22"/>
        </w:rPr>
      </w:pPr>
    </w:p>
    <w:p w14:paraId="28409319" w14:textId="77777777" w:rsidR="00FE0D53" w:rsidRPr="00306582" w:rsidRDefault="00FE0D53">
      <w:pPr>
        <w:ind w:right="72"/>
        <w:rPr>
          <w:sz w:val="22"/>
          <w:szCs w:val="22"/>
        </w:rPr>
      </w:pPr>
      <w:r w:rsidRPr="00306582">
        <w:rPr>
          <w:sz w:val="22"/>
          <w:szCs w:val="22"/>
        </w:rPr>
        <w:t xml:space="preserve">Liečba včasných prejavov a príznakov recidivujúceho herpesu </w:t>
      </w:r>
      <w:proofErr w:type="spellStart"/>
      <w:r w:rsidRPr="00306582">
        <w:rPr>
          <w:sz w:val="22"/>
          <w:szCs w:val="22"/>
        </w:rPr>
        <w:t>labialis</w:t>
      </w:r>
      <w:proofErr w:type="spellEnd"/>
      <w:r w:rsidRPr="00306582">
        <w:rPr>
          <w:sz w:val="22"/>
          <w:szCs w:val="22"/>
        </w:rPr>
        <w:t xml:space="preserve"> (opar) na zníženie progresie epizód oparov do </w:t>
      </w:r>
      <w:proofErr w:type="spellStart"/>
      <w:r w:rsidRPr="00306582">
        <w:rPr>
          <w:sz w:val="22"/>
          <w:szCs w:val="22"/>
        </w:rPr>
        <w:t>ulceróznych</w:t>
      </w:r>
      <w:proofErr w:type="spellEnd"/>
      <w:r w:rsidRPr="00306582">
        <w:rPr>
          <w:sz w:val="22"/>
          <w:szCs w:val="22"/>
        </w:rPr>
        <w:t xml:space="preserve"> lézií u </w:t>
      </w:r>
      <w:proofErr w:type="spellStart"/>
      <w:r w:rsidRPr="00306582">
        <w:rPr>
          <w:sz w:val="22"/>
          <w:szCs w:val="22"/>
        </w:rPr>
        <w:t>imunokompetentných</w:t>
      </w:r>
      <w:proofErr w:type="spellEnd"/>
      <w:r w:rsidRPr="00306582">
        <w:rPr>
          <w:sz w:val="22"/>
          <w:szCs w:val="22"/>
        </w:rPr>
        <w:t xml:space="preserve"> dospelých a dospievajúcich (vo veku 12 rokov a starších).</w:t>
      </w:r>
    </w:p>
    <w:p w14:paraId="5057F0DC" w14:textId="77777777" w:rsidR="00FE0D53" w:rsidRPr="00306582" w:rsidRDefault="00FE0D53">
      <w:pPr>
        <w:ind w:right="72"/>
        <w:rPr>
          <w:sz w:val="22"/>
          <w:szCs w:val="22"/>
        </w:rPr>
      </w:pPr>
    </w:p>
    <w:p w14:paraId="58C00C66" w14:textId="77777777" w:rsidR="00FE0D53" w:rsidRPr="00725147" w:rsidRDefault="00FE0D53" w:rsidP="00725147">
      <w:pPr>
        <w:keepNext/>
        <w:ind w:right="72"/>
        <w:rPr>
          <w:sz w:val="22"/>
          <w:szCs w:val="22"/>
        </w:rPr>
      </w:pPr>
      <w:r w:rsidRPr="00306582">
        <w:rPr>
          <w:b/>
          <w:bCs/>
          <w:sz w:val="22"/>
          <w:szCs w:val="22"/>
        </w:rPr>
        <w:t>4.2</w:t>
      </w:r>
      <w:r w:rsidRPr="00306582">
        <w:rPr>
          <w:b/>
          <w:bCs/>
          <w:sz w:val="22"/>
          <w:szCs w:val="22"/>
        </w:rPr>
        <w:tab/>
        <w:t>Dávkovanie a spôsob podávania</w:t>
      </w:r>
    </w:p>
    <w:p w14:paraId="5AA89525" w14:textId="77777777" w:rsidR="00FE0D53" w:rsidRPr="00306582" w:rsidRDefault="00FE0D53" w:rsidP="00725147">
      <w:pPr>
        <w:keepNext/>
        <w:ind w:right="72"/>
        <w:rPr>
          <w:bCs/>
          <w:sz w:val="22"/>
          <w:szCs w:val="22"/>
        </w:rPr>
      </w:pPr>
    </w:p>
    <w:p w14:paraId="106EA275" w14:textId="5AC16DBD" w:rsidR="00FE0D53" w:rsidRDefault="00FE0D53">
      <w:pPr>
        <w:pStyle w:val="Nadpis2"/>
        <w:rPr>
          <w:i w:val="0"/>
          <w:szCs w:val="22"/>
          <w:u w:val="single"/>
        </w:rPr>
      </w:pPr>
      <w:commentRangeStart w:id="1"/>
      <w:r w:rsidRPr="00306582">
        <w:rPr>
          <w:i w:val="0"/>
          <w:szCs w:val="22"/>
          <w:u w:val="single"/>
        </w:rPr>
        <w:t>Dávkovanie</w:t>
      </w:r>
      <w:commentRangeEnd w:id="1"/>
    </w:p>
    <w:p w14:paraId="7F5B1933" w14:textId="77777777" w:rsidR="009B19E1" w:rsidRPr="00725147" w:rsidRDefault="009B19E1">
      <w:pPr>
        <w:pStyle w:val="Nadpis2"/>
        <w:rPr>
          <w:i w:val="0"/>
          <w:szCs w:val="22"/>
        </w:rPr>
      </w:pPr>
    </w:p>
    <w:p w14:paraId="66ABE752" w14:textId="77777777" w:rsidR="00FE0D53" w:rsidRDefault="00FE0D53" w:rsidP="00725147">
      <w:pPr>
        <w:keepNext/>
        <w:ind w:right="74"/>
        <w:rPr>
          <w:i/>
          <w:iCs/>
          <w:sz w:val="22"/>
          <w:szCs w:val="22"/>
        </w:rPr>
      </w:pPr>
      <w:r w:rsidRPr="00306582">
        <w:rPr>
          <w:i/>
          <w:iCs/>
          <w:sz w:val="22"/>
          <w:szCs w:val="22"/>
        </w:rPr>
        <w:t>Dospelí a dospievajúci (vo veku 12 rokov a starší)</w:t>
      </w:r>
    </w:p>
    <w:p w14:paraId="6BD61A17" w14:textId="77777777" w:rsidR="009B19E1" w:rsidRPr="00725147" w:rsidRDefault="009B19E1" w:rsidP="00725147">
      <w:pPr>
        <w:keepNext/>
        <w:ind w:right="74"/>
        <w:rPr>
          <w:sz w:val="22"/>
          <w:szCs w:val="22"/>
        </w:rPr>
      </w:pPr>
    </w:p>
    <w:p w14:paraId="00E72FA2" w14:textId="13B42E56" w:rsidR="00FE0D53" w:rsidRPr="00725147" w:rsidRDefault="00FE0D53">
      <w:pPr>
        <w:ind w:right="72"/>
        <w:rPr>
          <w:sz w:val="22"/>
          <w:szCs w:val="22"/>
        </w:rPr>
      </w:pPr>
      <w:proofErr w:type="spellStart"/>
      <w:r w:rsidRPr="00306582">
        <w:rPr>
          <w:bCs/>
          <w:sz w:val="22"/>
          <w:szCs w:val="22"/>
        </w:rPr>
        <w:t>Zovirax</w:t>
      </w:r>
      <w:proofErr w:type="spellEnd"/>
      <w:r w:rsidRPr="00306582">
        <w:rPr>
          <w:bCs/>
          <w:sz w:val="22"/>
          <w:szCs w:val="22"/>
        </w:rPr>
        <w:t xml:space="preserve"> Duo</w:t>
      </w:r>
      <w:r w:rsidRPr="00306582">
        <w:rPr>
          <w:b/>
          <w:bCs/>
          <w:sz w:val="22"/>
          <w:szCs w:val="22"/>
        </w:rPr>
        <w:t xml:space="preserve"> </w:t>
      </w:r>
      <w:r w:rsidRPr="00306582">
        <w:rPr>
          <w:sz w:val="22"/>
          <w:szCs w:val="22"/>
        </w:rPr>
        <w:t xml:space="preserve">sa má aplikovať </w:t>
      </w:r>
      <w:r w:rsidR="00AE6154" w:rsidRPr="004B4110">
        <w:rPr>
          <w:sz w:val="22"/>
          <w:szCs w:val="22"/>
        </w:rPr>
        <w:t>5</w:t>
      </w:r>
      <w:r w:rsidR="004B4110">
        <w:rPr>
          <w:sz w:val="22"/>
          <w:szCs w:val="22"/>
        </w:rPr>
        <w:t>-krát</w:t>
      </w:r>
      <w:r w:rsidR="00AE6154" w:rsidRPr="00306582">
        <w:rPr>
          <w:sz w:val="22"/>
          <w:szCs w:val="22"/>
        </w:rPr>
        <w:t xml:space="preserve"> </w:t>
      </w:r>
      <w:r w:rsidRPr="00306582">
        <w:rPr>
          <w:sz w:val="22"/>
          <w:szCs w:val="22"/>
        </w:rPr>
        <w:t>denne počas 5 dní (t. j. približne každé 3 </w:t>
      </w:r>
      <w:r w:rsidR="009662FA" w:rsidRPr="00306582">
        <w:rPr>
          <w:sz w:val="22"/>
          <w:szCs w:val="22"/>
        </w:rPr>
        <w:t>–</w:t>
      </w:r>
      <w:r w:rsidRPr="00306582">
        <w:rPr>
          <w:sz w:val="22"/>
          <w:szCs w:val="22"/>
        </w:rPr>
        <w:t> 4</w:t>
      </w:r>
      <w:r w:rsidR="009662FA" w:rsidRPr="00306582">
        <w:rPr>
          <w:sz w:val="22"/>
          <w:szCs w:val="22"/>
        </w:rPr>
        <w:t> </w:t>
      </w:r>
      <w:r w:rsidRPr="00306582">
        <w:rPr>
          <w:sz w:val="22"/>
          <w:szCs w:val="22"/>
        </w:rPr>
        <w:t>hodiny s vynechaním aplikácie počas noci). Liečba má začať čo najskôr, najlepšie hneď ako sa objavia prvé prejavy alebo príznaky. Zakaždým sa má aplikovať dostatočné množstvo krému tak, aby sa prekrylo postihnuté miesto vrátane vonkajšieho okraja lézií, ak sú prítomné.</w:t>
      </w:r>
    </w:p>
    <w:p w14:paraId="401B1BA4" w14:textId="77777777" w:rsidR="00FE0D53" w:rsidRPr="00306582" w:rsidRDefault="00FE0D53">
      <w:pPr>
        <w:ind w:right="72"/>
        <w:rPr>
          <w:sz w:val="22"/>
          <w:szCs w:val="22"/>
        </w:rPr>
      </w:pPr>
    </w:p>
    <w:p w14:paraId="6B00287C" w14:textId="5E5B033C" w:rsidR="00FE0D53" w:rsidRPr="00306582" w:rsidRDefault="00FE0D53">
      <w:pPr>
        <w:ind w:right="72"/>
        <w:rPr>
          <w:sz w:val="22"/>
          <w:szCs w:val="22"/>
        </w:rPr>
      </w:pPr>
      <w:r w:rsidRPr="00306582">
        <w:rPr>
          <w:sz w:val="22"/>
          <w:szCs w:val="22"/>
        </w:rPr>
        <w:t xml:space="preserve">Liečba má trvať 5 dní. Pacientov treba poučiť, aby </w:t>
      </w:r>
      <w:r w:rsidR="00AF1EFE" w:rsidRPr="00306582">
        <w:rPr>
          <w:sz w:val="22"/>
          <w:szCs w:val="22"/>
        </w:rPr>
        <w:t xml:space="preserve">vyhľadali pomoc lekára </w:t>
      </w:r>
      <w:r w:rsidR="009662FA" w:rsidRPr="00306582">
        <w:rPr>
          <w:sz w:val="22"/>
          <w:szCs w:val="22"/>
        </w:rPr>
        <w:t>v prípade</w:t>
      </w:r>
      <w:r w:rsidRPr="00306582">
        <w:rPr>
          <w:sz w:val="22"/>
          <w:szCs w:val="22"/>
        </w:rPr>
        <w:t xml:space="preserve">, </w:t>
      </w:r>
      <w:r w:rsidR="009662FA" w:rsidRPr="00306582">
        <w:rPr>
          <w:sz w:val="22"/>
          <w:szCs w:val="22"/>
        </w:rPr>
        <w:t>ak sú lézie prítomné aj</w:t>
      </w:r>
      <w:r w:rsidR="00306582">
        <w:rPr>
          <w:sz w:val="22"/>
          <w:szCs w:val="22"/>
        </w:rPr>
        <w:t xml:space="preserve"> po</w:t>
      </w:r>
      <w:r w:rsidR="009662FA" w:rsidRPr="00306582">
        <w:rPr>
          <w:sz w:val="22"/>
          <w:szCs w:val="22"/>
        </w:rPr>
        <w:t xml:space="preserve"> 5 d</w:t>
      </w:r>
      <w:r w:rsidR="00306582">
        <w:rPr>
          <w:sz w:val="22"/>
          <w:szCs w:val="22"/>
        </w:rPr>
        <w:t>ňoch od</w:t>
      </w:r>
      <w:r w:rsidR="009662FA" w:rsidRPr="00306582">
        <w:rPr>
          <w:sz w:val="22"/>
          <w:szCs w:val="22"/>
        </w:rPr>
        <w:t xml:space="preserve"> ukončen</w:t>
      </w:r>
      <w:r w:rsidR="00306582">
        <w:rPr>
          <w:sz w:val="22"/>
          <w:szCs w:val="22"/>
        </w:rPr>
        <w:t>ia</w:t>
      </w:r>
      <w:r w:rsidR="009662FA" w:rsidRPr="00306582">
        <w:rPr>
          <w:sz w:val="22"/>
          <w:szCs w:val="22"/>
        </w:rPr>
        <w:t xml:space="preserve"> liečby.</w:t>
      </w:r>
    </w:p>
    <w:p w14:paraId="001E1469" w14:textId="77777777" w:rsidR="00FE0D53" w:rsidRPr="00306582" w:rsidRDefault="00FE0D53">
      <w:pPr>
        <w:ind w:right="72"/>
        <w:rPr>
          <w:sz w:val="22"/>
          <w:szCs w:val="22"/>
        </w:rPr>
      </w:pPr>
    </w:p>
    <w:p w14:paraId="1D01C142" w14:textId="77777777" w:rsidR="00FE0D53" w:rsidRDefault="00FE0D53">
      <w:pPr>
        <w:pStyle w:val="Nadpis2"/>
        <w:rPr>
          <w:szCs w:val="22"/>
        </w:rPr>
      </w:pPr>
      <w:r w:rsidRPr="00306582">
        <w:rPr>
          <w:szCs w:val="22"/>
        </w:rPr>
        <w:t>Pediatrická populácia</w:t>
      </w:r>
    </w:p>
    <w:p w14:paraId="675FD4E5" w14:textId="77777777" w:rsidR="00DF120F" w:rsidRPr="00725147" w:rsidRDefault="00DF120F">
      <w:pPr>
        <w:pStyle w:val="Nadpis2"/>
        <w:rPr>
          <w:i w:val="0"/>
          <w:szCs w:val="22"/>
        </w:rPr>
      </w:pPr>
    </w:p>
    <w:p w14:paraId="15FFE1C8" w14:textId="77777777" w:rsidR="00FE0D53" w:rsidRPr="00725147" w:rsidRDefault="00FE0D53">
      <w:pPr>
        <w:ind w:right="72"/>
        <w:rPr>
          <w:sz w:val="22"/>
          <w:szCs w:val="22"/>
        </w:rPr>
      </w:pPr>
      <w:r w:rsidRPr="00306582">
        <w:rPr>
          <w:bCs/>
          <w:sz w:val="22"/>
          <w:szCs w:val="22"/>
        </w:rPr>
        <w:t xml:space="preserve">Bezpečnosť a účinnosť </w:t>
      </w:r>
      <w:proofErr w:type="spellStart"/>
      <w:r w:rsidRPr="00306582">
        <w:rPr>
          <w:bCs/>
          <w:sz w:val="22"/>
          <w:szCs w:val="22"/>
        </w:rPr>
        <w:t>Zoviraxu</w:t>
      </w:r>
      <w:proofErr w:type="spellEnd"/>
      <w:r w:rsidRPr="00306582">
        <w:rPr>
          <w:bCs/>
          <w:sz w:val="22"/>
          <w:szCs w:val="22"/>
        </w:rPr>
        <w:t xml:space="preserve"> Duo</w:t>
      </w:r>
      <w:r w:rsidRPr="00306582">
        <w:rPr>
          <w:b/>
          <w:bCs/>
          <w:sz w:val="22"/>
          <w:szCs w:val="22"/>
        </w:rPr>
        <w:t xml:space="preserve"> </w:t>
      </w:r>
      <w:r w:rsidRPr="00306582">
        <w:rPr>
          <w:sz w:val="22"/>
          <w:szCs w:val="22"/>
        </w:rPr>
        <w:t>u detí mladších ako 12 rokov sa doteraz nestanovili.</w:t>
      </w:r>
    </w:p>
    <w:p w14:paraId="148574AD" w14:textId="77777777" w:rsidR="00FE0D53" w:rsidRPr="00306582" w:rsidRDefault="00FE0D53">
      <w:pPr>
        <w:ind w:right="72"/>
        <w:rPr>
          <w:sz w:val="22"/>
          <w:szCs w:val="22"/>
        </w:rPr>
      </w:pPr>
    </w:p>
    <w:p w14:paraId="5ED9BB1B" w14:textId="77777777" w:rsidR="00FE0D53" w:rsidRDefault="00FE0D53" w:rsidP="00725147">
      <w:pPr>
        <w:keepNext/>
        <w:ind w:right="74"/>
        <w:rPr>
          <w:sz w:val="22"/>
          <w:szCs w:val="22"/>
          <w:u w:val="single"/>
        </w:rPr>
      </w:pPr>
      <w:r w:rsidRPr="00306582">
        <w:rPr>
          <w:sz w:val="22"/>
          <w:szCs w:val="22"/>
          <w:u w:val="single"/>
        </w:rPr>
        <w:lastRenderedPageBreak/>
        <w:t>Spôsob podávania</w:t>
      </w:r>
    </w:p>
    <w:p w14:paraId="61EBE5BB" w14:textId="77777777" w:rsidR="00DF120F" w:rsidRPr="00725147" w:rsidRDefault="00DF120F" w:rsidP="00725147">
      <w:pPr>
        <w:keepNext/>
        <w:ind w:right="74"/>
        <w:rPr>
          <w:sz w:val="22"/>
          <w:szCs w:val="22"/>
        </w:rPr>
      </w:pPr>
    </w:p>
    <w:p w14:paraId="708D6047" w14:textId="77777777" w:rsidR="00FE0D53" w:rsidRPr="00306582" w:rsidRDefault="00FE0D53">
      <w:pPr>
        <w:ind w:right="72"/>
        <w:rPr>
          <w:sz w:val="22"/>
          <w:szCs w:val="22"/>
        </w:rPr>
      </w:pPr>
      <w:r w:rsidRPr="00306582">
        <w:rPr>
          <w:sz w:val="22"/>
          <w:szCs w:val="22"/>
        </w:rPr>
        <w:t xml:space="preserve">Len na </w:t>
      </w:r>
      <w:proofErr w:type="spellStart"/>
      <w:r w:rsidRPr="00306582">
        <w:rPr>
          <w:sz w:val="22"/>
          <w:szCs w:val="22"/>
        </w:rPr>
        <w:t>dermálne</w:t>
      </w:r>
      <w:proofErr w:type="spellEnd"/>
      <w:r w:rsidRPr="00306582">
        <w:rPr>
          <w:sz w:val="22"/>
          <w:szCs w:val="22"/>
        </w:rPr>
        <w:t xml:space="preserve"> použitie.</w:t>
      </w:r>
    </w:p>
    <w:p w14:paraId="7AB38112" w14:textId="77777777" w:rsidR="00FE0D53" w:rsidRPr="00306582" w:rsidRDefault="00FE0D53">
      <w:pPr>
        <w:ind w:right="72"/>
        <w:rPr>
          <w:sz w:val="22"/>
          <w:szCs w:val="22"/>
        </w:rPr>
      </w:pPr>
    </w:p>
    <w:p w14:paraId="536B845A" w14:textId="77777777" w:rsidR="00FE0D53" w:rsidRPr="00306582" w:rsidRDefault="00FE0D53">
      <w:pPr>
        <w:ind w:right="72"/>
        <w:rPr>
          <w:sz w:val="22"/>
          <w:szCs w:val="22"/>
        </w:rPr>
      </w:pPr>
      <w:r w:rsidRPr="00306582">
        <w:rPr>
          <w:sz w:val="22"/>
          <w:szCs w:val="22"/>
        </w:rPr>
        <w:t>Pred aplikáciou krému a po nej si pacienti majú umyť ruky. Tiež nemajú lézie vystavovať zbytočnému treniu ani sa ich dotýkať uterákom. Takto sa zabráni zhoršeniu lézií alebo prenosu infekcie.</w:t>
      </w:r>
    </w:p>
    <w:p w14:paraId="5EC1516D" w14:textId="77777777" w:rsidR="00FE0D53" w:rsidRPr="00306582" w:rsidRDefault="00FE0D53">
      <w:pPr>
        <w:ind w:right="72"/>
        <w:rPr>
          <w:sz w:val="22"/>
          <w:szCs w:val="22"/>
        </w:rPr>
      </w:pPr>
    </w:p>
    <w:p w14:paraId="395DAF8B" w14:textId="77777777" w:rsidR="00FE0D53" w:rsidRPr="00306582" w:rsidRDefault="00FE0D53" w:rsidP="00725147">
      <w:pPr>
        <w:keepNext/>
        <w:ind w:right="74"/>
        <w:rPr>
          <w:b/>
          <w:bCs/>
          <w:sz w:val="22"/>
          <w:szCs w:val="22"/>
        </w:rPr>
      </w:pPr>
      <w:r w:rsidRPr="00306582">
        <w:rPr>
          <w:b/>
          <w:bCs/>
          <w:sz w:val="22"/>
          <w:szCs w:val="22"/>
        </w:rPr>
        <w:t>4.3</w:t>
      </w:r>
      <w:r w:rsidRPr="00306582">
        <w:rPr>
          <w:b/>
          <w:bCs/>
          <w:sz w:val="22"/>
          <w:szCs w:val="22"/>
        </w:rPr>
        <w:tab/>
        <w:t>Kontraindikácie</w:t>
      </w:r>
    </w:p>
    <w:p w14:paraId="5A244561" w14:textId="77777777" w:rsidR="00FE0D53" w:rsidRPr="00306582" w:rsidRDefault="00FE0D53" w:rsidP="00725147">
      <w:pPr>
        <w:keepNext/>
        <w:ind w:right="74"/>
        <w:rPr>
          <w:b/>
          <w:bCs/>
          <w:sz w:val="22"/>
          <w:szCs w:val="22"/>
        </w:rPr>
      </w:pPr>
    </w:p>
    <w:p w14:paraId="3C868AEE" w14:textId="34F54604" w:rsidR="00FE0D53" w:rsidRPr="00306582" w:rsidRDefault="00FE0D53">
      <w:pPr>
        <w:ind w:right="72"/>
        <w:rPr>
          <w:bCs/>
          <w:sz w:val="22"/>
          <w:szCs w:val="22"/>
        </w:rPr>
      </w:pPr>
      <w:r w:rsidRPr="00306582">
        <w:rPr>
          <w:bCs/>
          <w:sz w:val="22"/>
          <w:szCs w:val="22"/>
        </w:rPr>
        <w:t xml:space="preserve">Precitlivenosť na liečivá, </w:t>
      </w:r>
      <w:proofErr w:type="spellStart"/>
      <w:r w:rsidRPr="00306582">
        <w:rPr>
          <w:bCs/>
          <w:sz w:val="22"/>
          <w:szCs w:val="22"/>
        </w:rPr>
        <w:t>valaciklovir</w:t>
      </w:r>
      <w:proofErr w:type="spellEnd"/>
      <w:r w:rsidRPr="00306582">
        <w:rPr>
          <w:bCs/>
          <w:sz w:val="22"/>
          <w:szCs w:val="22"/>
        </w:rPr>
        <w:t xml:space="preserve"> alebo na ktorúkoľvek z</w:t>
      </w:r>
      <w:r w:rsidR="009662FA" w:rsidRPr="00306582">
        <w:rPr>
          <w:bCs/>
          <w:sz w:val="22"/>
          <w:szCs w:val="22"/>
        </w:rPr>
        <w:t> </w:t>
      </w:r>
      <w:r w:rsidRPr="00306582">
        <w:rPr>
          <w:bCs/>
          <w:sz w:val="22"/>
          <w:szCs w:val="22"/>
        </w:rPr>
        <w:t>pomocných látok uvedených v</w:t>
      </w:r>
      <w:r w:rsidR="009662FA" w:rsidRPr="00306582">
        <w:rPr>
          <w:bCs/>
          <w:sz w:val="22"/>
          <w:szCs w:val="22"/>
        </w:rPr>
        <w:t> </w:t>
      </w:r>
      <w:r w:rsidRPr="00306582">
        <w:rPr>
          <w:bCs/>
          <w:sz w:val="22"/>
          <w:szCs w:val="22"/>
        </w:rPr>
        <w:t>časti 6.1.</w:t>
      </w:r>
    </w:p>
    <w:p w14:paraId="108CAD7F" w14:textId="77777777" w:rsidR="00FE0D53" w:rsidRPr="00306582" w:rsidRDefault="00FE0D53">
      <w:pPr>
        <w:ind w:right="72"/>
        <w:rPr>
          <w:bCs/>
          <w:sz w:val="22"/>
          <w:szCs w:val="22"/>
        </w:rPr>
      </w:pPr>
    </w:p>
    <w:p w14:paraId="7FE89D3A" w14:textId="49827635" w:rsidR="00FE0D53" w:rsidRPr="00725147" w:rsidRDefault="00FE0D53">
      <w:pPr>
        <w:ind w:right="72"/>
        <w:rPr>
          <w:sz w:val="22"/>
          <w:szCs w:val="22"/>
        </w:rPr>
      </w:pPr>
      <w:r w:rsidRPr="00306582">
        <w:rPr>
          <w:sz w:val="22"/>
          <w:szCs w:val="22"/>
        </w:rPr>
        <w:t>Použitie pri kožn</w:t>
      </w:r>
      <w:bookmarkStart w:id="2" w:name="_GoBack"/>
      <w:r w:rsidRPr="00306582">
        <w:rPr>
          <w:sz w:val="22"/>
          <w:szCs w:val="22"/>
        </w:rPr>
        <w:t>ý</w:t>
      </w:r>
      <w:bookmarkEnd w:id="2"/>
      <w:r w:rsidRPr="00306582">
        <w:rPr>
          <w:sz w:val="22"/>
          <w:szCs w:val="22"/>
        </w:rPr>
        <w:t xml:space="preserve">ch léziách spôsobených iným vírusom ako </w:t>
      </w:r>
      <w:commentRangeStart w:id="3"/>
      <w:r w:rsidR="006510E5" w:rsidRPr="00725147">
        <w:rPr>
          <w:i/>
          <w:sz w:val="22"/>
          <w:szCs w:val="22"/>
        </w:rPr>
        <w:t>H</w:t>
      </w:r>
      <w:r w:rsidRPr="006510E5">
        <w:rPr>
          <w:i/>
          <w:sz w:val="22"/>
          <w:szCs w:val="22"/>
        </w:rPr>
        <w:t xml:space="preserve">erpes </w:t>
      </w:r>
      <w:proofErr w:type="spellStart"/>
      <w:r w:rsidRPr="006510E5">
        <w:rPr>
          <w:i/>
          <w:sz w:val="22"/>
          <w:szCs w:val="22"/>
        </w:rPr>
        <w:t>simplex</w:t>
      </w:r>
      <w:proofErr w:type="spellEnd"/>
      <w:r w:rsidRPr="00306582">
        <w:rPr>
          <w:sz w:val="22"/>
          <w:szCs w:val="22"/>
        </w:rPr>
        <w:t xml:space="preserve"> </w:t>
      </w:r>
      <w:commentRangeEnd w:id="3"/>
      <w:r w:rsidRPr="00306582">
        <w:rPr>
          <w:sz w:val="22"/>
          <w:szCs w:val="22"/>
        </w:rPr>
        <w:t>alebo pri plesňových, bakteriálnych alebo parazitárnych kožných infekciách.</w:t>
      </w:r>
    </w:p>
    <w:p w14:paraId="19E4ADD6" w14:textId="77777777" w:rsidR="00FE0D53" w:rsidRPr="00306582" w:rsidRDefault="00FE0D53">
      <w:pPr>
        <w:ind w:right="72"/>
        <w:rPr>
          <w:sz w:val="22"/>
          <w:szCs w:val="22"/>
        </w:rPr>
      </w:pPr>
    </w:p>
    <w:p w14:paraId="74EDB6A4" w14:textId="77777777" w:rsidR="00FE0D53" w:rsidRPr="00725147" w:rsidRDefault="00FE0D53" w:rsidP="00725147">
      <w:pPr>
        <w:keepNext/>
        <w:ind w:right="74"/>
        <w:rPr>
          <w:sz w:val="22"/>
          <w:szCs w:val="22"/>
        </w:rPr>
      </w:pPr>
      <w:r w:rsidRPr="00306582">
        <w:rPr>
          <w:b/>
          <w:bCs/>
          <w:sz w:val="22"/>
          <w:szCs w:val="22"/>
        </w:rPr>
        <w:t>4.4</w:t>
      </w:r>
      <w:r w:rsidRPr="00306582">
        <w:rPr>
          <w:b/>
          <w:bCs/>
          <w:sz w:val="22"/>
          <w:szCs w:val="22"/>
        </w:rPr>
        <w:tab/>
        <w:t>Osobitné upozornenia a opatrenia pri používaní</w:t>
      </w:r>
    </w:p>
    <w:p w14:paraId="5E84B1DB" w14:textId="77777777" w:rsidR="00FE0D53" w:rsidRPr="00306582" w:rsidRDefault="00FE0D53" w:rsidP="00725147">
      <w:pPr>
        <w:keepNext/>
        <w:ind w:right="74"/>
        <w:rPr>
          <w:bCs/>
          <w:sz w:val="22"/>
          <w:szCs w:val="22"/>
        </w:rPr>
      </w:pPr>
    </w:p>
    <w:p w14:paraId="23A7F733" w14:textId="0B327B47" w:rsidR="00FE0D53" w:rsidRPr="00725147" w:rsidRDefault="00FE0D53">
      <w:pPr>
        <w:ind w:right="72"/>
        <w:rPr>
          <w:sz w:val="22"/>
          <w:szCs w:val="22"/>
        </w:rPr>
      </w:pPr>
      <w:r w:rsidRPr="00306582">
        <w:rPr>
          <w:bCs/>
          <w:sz w:val="22"/>
          <w:szCs w:val="22"/>
        </w:rPr>
        <w:t xml:space="preserve">Len na </w:t>
      </w:r>
      <w:proofErr w:type="spellStart"/>
      <w:r w:rsidRPr="00306582">
        <w:rPr>
          <w:bCs/>
          <w:sz w:val="22"/>
          <w:szCs w:val="22"/>
        </w:rPr>
        <w:t>dermálne</w:t>
      </w:r>
      <w:proofErr w:type="spellEnd"/>
      <w:r w:rsidRPr="00306582">
        <w:rPr>
          <w:bCs/>
          <w:sz w:val="22"/>
          <w:szCs w:val="22"/>
        </w:rPr>
        <w:t xml:space="preserve"> použitie: na aplikáciu na lézie na perách a</w:t>
      </w:r>
      <w:r w:rsidR="0078670E">
        <w:rPr>
          <w:bCs/>
          <w:sz w:val="22"/>
          <w:szCs w:val="22"/>
        </w:rPr>
        <w:t xml:space="preserve"> na </w:t>
      </w:r>
      <w:r w:rsidR="009662FA" w:rsidRPr="00306582">
        <w:rPr>
          <w:bCs/>
          <w:sz w:val="22"/>
          <w:szCs w:val="22"/>
        </w:rPr>
        <w:t xml:space="preserve">pokožke </w:t>
      </w:r>
      <w:r w:rsidR="00AE6154" w:rsidRPr="00306582">
        <w:rPr>
          <w:bCs/>
          <w:sz w:val="22"/>
          <w:szCs w:val="22"/>
        </w:rPr>
        <w:t xml:space="preserve">v okolí </w:t>
      </w:r>
      <w:r w:rsidR="009662FA" w:rsidRPr="00306582">
        <w:rPr>
          <w:bCs/>
          <w:sz w:val="22"/>
          <w:szCs w:val="22"/>
        </w:rPr>
        <w:t>pier</w:t>
      </w:r>
      <w:r w:rsidRPr="00306582">
        <w:rPr>
          <w:bCs/>
          <w:sz w:val="22"/>
          <w:szCs w:val="22"/>
        </w:rPr>
        <w:t>. Neodporúča sa aplikovať na sliznice (</w:t>
      </w:r>
      <w:r w:rsidRPr="00306582">
        <w:rPr>
          <w:sz w:val="22"/>
          <w:szCs w:val="22"/>
        </w:rPr>
        <w:t xml:space="preserve">napr. </w:t>
      </w:r>
      <w:commentRangeStart w:id="4"/>
      <w:r w:rsidRPr="00306582">
        <w:rPr>
          <w:sz w:val="22"/>
          <w:szCs w:val="22"/>
        </w:rPr>
        <w:t>do oka, úst</w:t>
      </w:r>
      <w:r w:rsidR="00D454CA">
        <w:rPr>
          <w:sz w:val="22"/>
          <w:szCs w:val="22"/>
        </w:rPr>
        <w:t xml:space="preserve">, </w:t>
      </w:r>
      <w:r w:rsidRPr="00306582">
        <w:rPr>
          <w:sz w:val="22"/>
          <w:szCs w:val="22"/>
        </w:rPr>
        <w:t xml:space="preserve">nosa </w:t>
      </w:r>
      <w:r w:rsidR="00D454CA">
        <w:rPr>
          <w:sz w:val="22"/>
          <w:szCs w:val="22"/>
        </w:rPr>
        <w:t>alebo</w:t>
      </w:r>
      <w:r w:rsidR="009662FA" w:rsidRPr="00306582">
        <w:rPr>
          <w:sz w:val="22"/>
          <w:szCs w:val="22"/>
        </w:rPr>
        <w:t xml:space="preserve"> </w:t>
      </w:r>
      <w:r w:rsidRPr="00306582">
        <w:rPr>
          <w:sz w:val="22"/>
          <w:szCs w:val="22"/>
        </w:rPr>
        <w:t>na genitálie</w:t>
      </w:r>
      <w:commentRangeEnd w:id="4"/>
      <w:r w:rsidRPr="00306582">
        <w:rPr>
          <w:sz w:val="22"/>
          <w:szCs w:val="22"/>
        </w:rPr>
        <w:t>).</w:t>
      </w:r>
    </w:p>
    <w:p w14:paraId="7DC334CB" w14:textId="77777777" w:rsidR="00FE0D53" w:rsidRPr="00306582" w:rsidRDefault="00FE0D53">
      <w:pPr>
        <w:ind w:right="72"/>
        <w:rPr>
          <w:sz w:val="22"/>
          <w:szCs w:val="22"/>
        </w:rPr>
      </w:pPr>
    </w:p>
    <w:p w14:paraId="44CD44B6" w14:textId="77777777" w:rsidR="00FE0D53" w:rsidRPr="00306582" w:rsidRDefault="00FE0D53">
      <w:pPr>
        <w:ind w:right="72"/>
        <w:rPr>
          <w:bCs/>
          <w:sz w:val="22"/>
          <w:szCs w:val="22"/>
        </w:rPr>
      </w:pPr>
      <w:proofErr w:type="spellStart"/>
      <w:r w:rsidRPr="00306582">
        <w:rPr>
          <w:bCs/>
          <w:sz w:val="22"/>
          <w:szCs w:val="22"/>
        </w:rPr>
        <w:t>Zovirax</w:t>
      </w:r>
      <w:proofErr w:type="spellEnd"/>
      <w:r w:rsidRPr="00306582">
        <w:rPr>
          <w:bCs/>
          <w:sz w:val="22"/>
          <w:szCs w:val="22"/>
        </w:rPr>
        <w:t xml:space="preserve"> Duo sa nemá používať na liečbu genitálneho herpesu.</w:t>
      </w:r>
    </w:p>
    <w:p w14:paraId="11D1C26D" w14:textId="77777777" w:rsidR="00FE0D53" w:rsidRPr="00306582" w:rsidRDefault="00FE0D53">
      <w:pPr>
        <w:ind w:right="72"/>
        <w:rPr>
          <w:bCs/>
          <w:sz w:val="22"/>
          <w:szCs w:val="22"/>
        </w:rPr>
      </w:pPr>
    </w:p>
    <w:p w14:paraId="371C8DF0" w14:textId="77777777" w:rsidR="00FE0D53" w:rsidRPr="00306582" w:rsidRDefault="00FE0D53">
      <w:pPr>
        <w:ind w:right="72"/>
        <w:rPr>
          <w:bCs/>
          <w:sz w:val="22"/>
          <w:szCs w:val="22"/>
        </w:rPr>
      </w:pPr>
      <w:r w:rsidRPr="00306582">
        <w:rPr>
          <w:bCs/>
          <w:sz w:val="22"/>
          <w:szCs w:val="22"/>
        </w:rPr>
        <w:t>Treba zvlášť dbať na to, aby sa zabránilo kontaktu lieku s okom.</w:t>
      </w:r>
    </w:p>
    <w:p w14:paraId="5D7E0ED2" w14:textId="77777777" w:rsidR="00FE0D53" w:rsidRPr="00306582" w:rsidRDefault="00FE0D53">
      <w:pPr>
        <w:ind w:right="72"/>
        <w:rPr>
          <w:bCs/>
          <w:sz w:val="22"/>
          <w:szCs w:val="22"/>
        </w:rPr>
      </w:pPr>
    </w:p>
    <w:p w14:paraId="480B77F0" w14:textId="77777777" w:rsidR="00FE0D53" w:rsidRPr="00725147" w:rsidRDefault="00FE0D53">
      <w:pPr>
        <w:ind w:right="72"/>
        <w:rPr>
          <w:sz w:val="22"/>
          <w:szCs w:val="22"/>
        </w:rPr>
      </w:pPr>
      <w:r w:rsidRPr="00306582">
        <w:rPr>
          <w:bCs/>
          <w:sz w:val="22"/>
          <w:szCs w:val="22"/>
        </w:rPr>
        <w:t xml:space="preserve">U pacientov so závažným recidivujúcim herpesom </w:t>
      </w:r>
      <w:proofErr w:type="spellStart"/>
      <w:r w:rsidRPr="00306582">
        <w:rPr>
          <w:sz w:val="22"/>
          <w:szCs w:val="22"/>
        </w:rPr>
        <w:t>labialis</w:t>
      </w:r>
      <w:proofErr w:type="spellEnd"/>
      <w:r w:rsidRPr="00306582">
        <w:rPr>
          <w:sz w:val="22"/>
          <w:szCs w:val="22"/>
        </w:rPr>
        <w:t xml:space="preserve"> je potrebné vylúčiť prítomnosť iného ochorenia.</w:t>
      </w:r>
    </w:p>
    <w:p w14:paraId="7B05105E" w14:textId="77777777" w:rsidR="00FE0D53" w:rsidRPr="00306582" w:rsidRDefault="00FE0D53">
      <w:pPr>
        <w:ind w:right="72"/>
        <w:rPr>
          <w:sz w:val="22"/>
          <w:szCs w:val="22"/>
        </w:rPr>
      </w:pPr>
    </w:p>
    <w:p w14:paraId="0C51F2B8" w14:textId="77777777" w:rsidR="00FE0D53" w:rsidRPr="00306582" w:rsidRDefault="00FE0D53">
      <w:pPr>
        <w:ind w:right="72"/>
        <w:rPr>
          <w:sz w:val="22"/>
          <w:szCs w:val="22"/>
        </w:rPr>
      </w:pPr>
      <w:r w:rsidRPr="00306582">
        <w:rPr>
          <w:sz w:val="22"/>
          <w:szCs w:val="22"/>
        </w:rPr>
        <w:t>Nepoužívajte tento liek spolu s okluzívnym prostriedkom, napríklad s náplasťou či špeciálnou náplasťou na opary.</w:t>
      </w:r>
    </w:p>
    <w:p w14:paraId="3ED92707" w14:textId="77777777" w:rsidR="00FE0D53" w:rsidRPr="00306582" w:rsidRDefault="00FE0D53">
      <w:pPr>
        <w:ind w:right="72"/>
        <w:rPr>
          <w:sz w:val="22"/>
          <w:szCs w:val="22"/>
        </w:rPr>
      </w:pPr>
    </w:p>
    <w:p w14:paraId="2BBB1B80" w14:textId="42D4145A" w:rsidR="00FE0D53" w:rsidRPr="00306582" w:rsidRDefault="00FE0D53">
      <w:pPr>
        <w:ind w:right="72"/>
        <w:rPr>
          <w:sz w:val="22"/>
          <w:szCs w:val="22"/>
        </w:rPr>
      </w:pPr>
      <w:proofErr w:type="spellStart"/>
      <w:r w:rsidRPr="00306582">
        <w:rPr>
          <w:sz w:val="22"/>
          <w:szCs w:val="22"/>
        </w:rPr>
        <w:t>Zovirax</w:t>
      </w:r>
      <w:proofErr w:type="spellEnd"/>
      <w:r w:rsidRPr="00306582">
        <w:rPr>
          <w:sz w:val="22"/>
          <w:szCs w:val="22"/>
        </w:rPr>
        <w:t xml:space="preserve"> Duo sa neodporúča používať u </w:t>
      </w:r>
      <w:proofErr w:type="spellStart"/>
      <w:r w:rsidRPr="00306582">
        <w:rPr>
          <w:sz w:val="22"/>
          <w:szCs w:val="22"/>
        </w:rPr>
        <w:t>imunokompromitovaných</w:t>
      </w:r>
      <w:proofErr w:type="spellEnd"/>
      <w:r w:rsidRPr="00306582">
        <w:rPr>
          <w:sz w:val="22"/>
          <w:szCs w:val="22"/>
        </w:rPr>
        <w:t xml:space="preserve"> pacientov vzhľadom na možnosť rozvoja </w:t>
      </w:r>
      <w:proofErr w:type="spellStart"/>
      <w:r w:rsidRPr="00306582">
        <w:rPr>
          <w:sz w:val="22"/>
          <w:szCs w:val="22"/>
        </w:rPr>
        <w:t>pseudooportúnnych</w:t>
      </w:r>
      <w:proofErr w:type="spellEnd"/>
      <w:r w:rsidRPr="00306582">
        <w:rPr>
          <w:sz w:val="22"/>
          <w:szCs w:val="22"/>
        </w:rPr>
        <w:t xml:space="preserve"> infekcií či na liečbu rezistentných kmeňov, ktoré vyžadujú systémovú </w:t>
      </w:r>
      <w:proofErr w:type="spellStart"/>
      <w:r w:rsidRPr="00306582">
        <w:rPr>
          <w:sz w:val="22"/>
          <w:szCs w:val="22"/>
        </w:rPr>
        <w:t>antivirotickú</w:t>
      </w:r>
      <w:proofErr w:type="spellEnd"/>
      <w:r w:rsidRPr="00306582">
        <w:rPr>
          <w:sz w:val="22"/>
          <w:szCs w:val="22"/>
        </w:rPr>
        <w:t xml:space="preserve"> liečbu.</w:t>
      </w:r>
      <w:r w:rsidR="00CD2802" w:rsidRPr="00725147">
        <w:rPr>
          <w:sz w:val="22"/>
          <w:szCs w:val="22"/>
        </w:rPr>
        <w:t xml:space="preserve"> </w:t>
      </w:r>
      <w:commentRangeStart w:id="5"/>
      <w:proofErr w:type="spellStart"/>
      <w:r w:rsidR="00740711">
        <w:rPr>
          <w:sz w:val="22"/>
          <w:szCs w:val="22"/>
        </w:rPr>
        <w:t>Imunokompromitovaných</w:t>
      </w:r>
      <w:proofErr w:type="spellEnd"/>
      <w:r w:rsidR="00740711">
        <w:rPr>
          <w:sz w:val="22"/>
          <w:szCs w:val="22"/>
        </w:rPr>
        <w:t xml:space="preserve"> </w:t>
      </w:r>
      <w:commentRangeEnd w:id="5"/>
      <w:r w:rsidR="00740711">
        <w:rPr>
          <w:sz w:val="22"/>
          <w:szCs w:val="22"/>
        </w:rPr>
        <w:t>p</w:t>
      </w:r>
      <w:r w:rsidR="00CD2802" w:rsidRPr="00725147">
        <w:rPr>
          <w:sz w:val="22"/>
          <w:szCs w:val="22"/>
        </w:rPr>
        <w:t>acient</w:t>
      </w:r>
      <w:r w:rsidR="00CD2802" w:rsidRPr="00306582">
        <w:rPr>
          <w:sz w:val="22"/>
          <w:szCs w:val="22"/>
        </w:rPr>
        <w:t>ov</w:t>
      </w:r>
      <w:r w:rsidR="00CD2802" w:rsidRPr="00725147">
        <w:rPr>
          <w:sz w:val="22"/>
          <w:szCs w:val="22"/>
        </w:rPr>
        <w:t xml:space="preserve"> je </w:t>
      </w:r>
      <w:r w:rsidR="00CD2802" w:rsidRPr="00306582">
        <w:rPr>
          <w:sz w:val="22"/>
          <w:szCs w:val="22"/>
        </w:rPr>
        <w:t>potrebné</w:t>
      </w:r>
      <w:r w:rsidR="00CD2802" w:rsidRPr="00725147">
        <w:rPr>
          <w:sz w:val="22"/>
          <w:szCs w:val="22"/>
        </w:rPr>
        <w:t xml:space="preserve"> pouči</w:t>
      </w:r>
      <w:r w:rsidR="00CD2802" w:rsidRPr="00306582">
        <w:rPr>
          <w:sz w:val="22"/>
          <w:szCs w:val="22"/>
        </w:rPr>
        <w:t>ť</w:t>
      </w:r>
      <w:r w:rsidR="00CD2802" w:rsidRPr="00725147">
        <w:rPr>
          <w:sz w:val="22"/>
          <w:szCs w:val="22"/>
        </w:rPr>
        <w:t>, aby p</w:t>
      </w:r>
      <w:r w:rsidR="00CD2802" w:rsidRPr="00306582">
        <w:rPr>
          <w:sz w:val="22"/>
          <w:szCs w:val="22"/>
        </w:rPr>
        <w:t>r</w:t>
      </w:r>
      <w:r w:rsidR="00CD2802" w:rsidRPr="00725147">
        <w:rPr>
          <w:sz w:val="22"/>
          <w:szCs w:val="22"/>
        </w:rPr>
        <w:t xml:space="preserve">i </w:t>
      </w:r>
      <w:r w:rsidR="00CD2802" w:rsidRPr="00306582">
        <w:rPr>
          <w:sz w:val="22"/>
          <w:szCs w:val="22"/>
        </w:rPr>
        <w:t>akejkoľvek</w:t>
      </w:r>
      <w:r w:rsidR="00CD2802" w:rsidRPr="00725147">
        <w:rPr>
          <w:sz w:val="22"/>
          <w:szCs w:val="22"/>
        </w:rPr>
        <w:t xml:space="preserve"> infekc</w:t>
      </w:r>
      <w:r w:rsidR="00CD2802" w:rsidRPr="00306582">
        <w:rPr>
          <w:sz w:val="22"/>
          <w:szCs w:val="22"/>
        </w:rPr>
        <w:t>i</w:t>
      </w:r>
      <w:r w:rsidR="00CD2802" w:rsidRPr="00725147">
        <w:rPr>
          <w:sz w:val="22"/>
          <w:szCs w:val="22"/>
        </w:rPr>
        <w:t xml:space="preserve">i </w:t>
      </w:r>
      <w:r w:rsidR="00CD2802" w:rsidRPr="00306582">
        <w:rPr>
          <w:sz w:val="22"/>
          <w:szCs w:val="22"/>
        </w:rPr>
        <w:t>kontaktovali</w:t>
      </w:r>
      <w:r w:rsidR="00CD2802" w:rsidRPr="00725147">
        <w:rPr>
          <w:sz w:val="22"/>
          <w:szCs w:val="22"/>
        </w:rPr>
        <w:t xml:space="preserve"> </w:t>
      </w:r>
      <w:r w:rsidR="00CD2802" w:rsidRPr="00306582">
        <w:rPr>
          <w:sz w:val="22"/>
          <w:szCs w:val="22"/>
        </w:rPr>
        <w:t>lekára</w:t>
      </w:r>
      <w:r w:rsidR="00CD2802" w:rsidRPr="00725147">
        <w:rPr>
          <w:sz w:val="22"/>
          <w:szCs w:val="22"/>
        </w:rPr>
        <w:t>.</w:t>
      </w:r>
    </w:p>
    <w:p w14:paraId="441ABCD1" w14:textId="77777777" w:rsidR="00FE0D53" w:rsidRPr="00306582" w:rsidRDefault="00FE0D53">
      <w:pPr>
        <w:ind w:right="72"/>
        <w:rPr>
          <w:sz w:val="22"/>
          <w:szCs w:val="22"/>
        </w:rPr>
      </w:pPr>
    </w:p>
    <w:p w14:paraId="50CA640F" w14:textId="77777777" w:rsidR="00FE0D53" w:rsidRPr="00306582" w:rsidRDefault="00FE0D53">
      <w:pPr>
        <w:ind w:right="72"/>
        <w:rPr>
          <w:sz w:val="22"/>
          <w:szCs w:val="22"/>
        </w:rPr>
      </w:pPr>
      <w:r w:rsidRPr="00306582">
        <w:rPr>
          <w:sz w:val="22"/>
          <w:szCs w:val="22"/>
        </w:rPr>
        <w:t>Pacientov trpiacich na opary treba poučiť, aby zabránili prenosu vírusu, najmä ak sú u nich prítomné aktívne lézie (napr. umytím rúk pred aplikáciou a po nej).</w:t>
      </w:r>
    </w:p>
    <w:p w14:paraId="7F6D6DE2" w14:textId="77777777" w:rsidR="00FE0D53" w:rsidRPr="00306582" w:rsidRDefault="00FE0D53">
      <w:pPr>
        <w:ind w:right="72"/>
        <w:rPr>
          <w:sz w:val="22"/>
          <w:szCs w:val="22"/>
        </w:rPr>
      </w:pPr>
    </w:p>
    <w:p w14:paraId="241D8086" w14:textId="77777777" w:rsidR="00FE0D53" w:rsidRPr="00306582" w:rsidRDefault="00FE0D53">
      <w:pPr>
        <w:ind w:right="72"/>
        <w:rPr>
          <w:sz w:val="22"/>
          <w:szCs w:val="22"/>
        </w:rPr>
      </w:pPr>
      <w:r w:rsidRPr="00306582">
        <w:rPr>
          <w:sz w:val="22"/>
          <w:szCs w:val="22"/>
        </w:rPr>
        <w:t>Tento liek sa nemá používať dlhodobo a nepretržite. Nemá sa používať dlhšie ako 5 dní.</w:t>
      </w:r>
    </w:p>
    <w:p w14:paraId="1AD84D41" w14:textId="77777777" w:rsidR="00FE0D53" w:rsidRPr="00306582" w:rsidRDefault="00FE0D53">
      <w:pPr>
        <w:ind w:right="72"/>
        <w:rPr>
          <w:sz w:val="22"/>
          <w:szCs w:val="22"/>
        </w:rPr>
      </w:pPr>
    </w:p>
    <w:p w14:paraId="77186F68" w14:textId="77777777" w:rsidR="00FE0D53" w:rsidRPr="00306582" w:rsidRDefault="00FE0D53">
      <w:pPr>
        <w:ind w:right="72"/>
        <w:rPr>
          <w:sz w:val="22"/>
          <w:szCs w:val="22"/>
        </w:rPr>
      </w:pPr>
      <w:r w:rsidRPr="00306582">
        <w:rPr>
          <w:sz w:val="22"/>
          <w:szCs w:val="22"/>
        </w:rPr>
        <w:t>Liečba pacientov so súbežnou dermatitídou iného pôvodu sa neskúmala.</w:t>
      </w:r>
    </w:p>
    <w:p w14:paraId="7F76DCD7" w14:textId="77777777" w:rsidR="00FE0D53" w:rsidRPr="00306582" w:rsidRDefault="00FE0D53">
      <w:pPr>
        <w:ind w:right="72"/>
        <w:rPr>
          <w:sz w:val="22"/>
          <w:szCs w:val="22"/>
        </w:rPr>
      </w:pPr>
    </w:p>
    <w:p w14:paraId="0E03323F" w14:textId="77777777" w:rsidR="00FE0D53" w:rsidRPr="00725147" w:rsidRDefault="00FE0D53">
      <w:pPr>
        <w:ind w:right="72"/>
        <w:rPr>
          <w:sz w:val="22"/>
          <w:szCs w:val="22"/>
        </w:rPr>
      </w:pPr>
      <w:r w:rsidRPr="00306582">
        <w:rPr>
          <w:sz w:val="22"/>
          <w:szCs w:val="22"/>
        </w:rPr>
        <w:t xml:space="preserve">Tento liek obsahuje </w:t>
      </w:r>
      <w:proofErr w:type="spellStart"/>
      <w:r w:rsidRPr="00306582">
        <w:rPr>
          <w:sz w:val="22"/>
          <w:szCs w:val="22"/>
        </w:rPr>
        <w:t>cetylalkohol</w:t>
      </w:r>
      <w:proofErr w:type="spellEnd"/>
      <w:r w:rsidRPr="00306582">
        <w:rPr>
          <w:bCs/>
          <w:color w:val="000000"/>
          <w:sz w:val="22"/>
          <w:szCs w:val="22"/>
        </w:rPr>
        <w:t xml:space="preserve"> a </w:t>
      </w:r>
      <w:proofErr w:type="spellStart"/>
      <w:r w:rsidRPr="00306582">
        <w:rPr>
          <w:bCs/>
          <w:color w:val="000000"/>
          <w:sz w:val="22"/>
          <w:szCs w:val="22"/>
        </w:rPr>
        <w:t>stearylalkohol</w:t>
      </w:r>
      <w:proofErr w:type="spellEnd"/>
      <w:r w:rsidRPr="00306582">
        <w:rPr>
          <w:bCs/>
          <w:color w:val="000000"/>
          <w:sz w:val="22"/>
          <w:szCs w:val="22"/>
        </w:rPr>
        <w:t xml:space="preserve">, ktoré môžu vyvolať lokálne kožné reakcie (napr. kontaktnú dermatitídu), a </w:t>
      </w:r>
      <w:proofErr w:type="spellStart"/>
      <w:r w:rsidRPr="00306582">
        <w:rPr>
          <w:bCs/>
          <w:color w:val="000000"/>
          <w:sz w:val="22"/>
          <w:szCs w:val="22"/>
        </w:rPr>
        <w:t>propylénglykol</w:t>
      </w:r>
      <w:proofErr w:type="spellEnd"/>
      <w:r w:rsidRPr="00306582">
        <w:rPr>
          <w:bCs/>
          <w:color w:val="000000"/>
          <w:sz w:val="22"/>
          <w:szCs w:val="22"/>
        </w:rPr>
        <w:t>, ktorý môže vyvolať podráždenie pokožky.</w:t>
      </w:r>
    </w:p>
    <w:p w14:paraId="2BAB6465" w14:textId="77777777" w:rsidR="00FE0D53" w:rsidRPr="00306582" w:rsidRDefault="00FE0D53">
      <w:pPr>
        <w:ind w:right="72"/>
        <w:rPr>
          <w:bCs/>
          <w:color w:val="000000"/>
          <w:sz w:val="22"/>
          <w:szCs w:val="22"/>
        </w:rPr>
      </w:pPr>
    </w:p>
    <w:p w14:paraId="6937316F" w14:textId="77777777" w:rsidR="00E844D4" w:rsidRPr="00ED0017" w:rsidRDefault="008509F3">
      <w:pPr>
        <w:ind w:right="72"/>
        <w:rPr>
          <w:noProof/>
          <w:sz w:val="22"/>
          <w:szCs w:val="22"/>
        </w:rPr>
      </w:pPr>
      <w:r w:rsidRPr="00725147">
        <w:rPr>
          <w:noProof/>
          <w:sz w:val="22"/>
          <w:szCs w:val="22"/>
        </w:rPr>
        <w:t xml:space="preserve">Tento liek obsahuje laurylsíran sodný, </w:t>
      </w:r>
      <w:r w:rsidR="00654BCC">
        <w:rPr>
          <w:noProof/>
          <w:sz w:val="22"/>
          <w:szCs w:val="22"/>
        </w:rPr>
        <w:t xml:space="preserve">ktorý </w:t>
      </w:r>
      <w:r w:rsidRPr="00725147">
        <w:rPr>
          <w:noProof/>
          <w:sz w:val="22"/>
          <w:szCs w:val="22"/>
        </w:rPr>
        <w:t xml:space="preserve">môže spôsobiť miestne kožné reakcie (ako napríklad pocit štípania alebo pálenia) alebo môže zvýšiť výskyt kožných reakcií spôsobených inými liekmi, keď sa podáva na to isté miesto. </w:t>
      </w:r>
    </w:p>
    <w:p w14:paraId="057058C1" w14:textId="77777777" w:rsidR="008509F3" w:rsidRPr="00ED0017" w:rsidRDefault="008509F3">
      <w:pPr>
        <w:ind w:right="72"/>
        <w:rPr>
          <w:noProof/>
          <w:sz w:val="22"/>
          <w:szCs w:val="22"/>
        </w:rPr>
      </w:pPr>
    </w:p>
    <w:p w14:paraId="42098708" w14:textId="5A232D76" w:rsidR="008509F3" w:rsidRPr="00ED0017" w:rsidRDefault="00ED0017">
      <w:pPr>
        <w:ind w:right="72"/>
        <w:rPr>
          <w:color w:val="222222"/>
          <w:sz w:val="22"/>
          <w:szCs w:val="22"/>
        </w:rPr>
      </w:pPr>
      <w:commentRangeStart w:id="6"/>
      <w:r w:rsidRPr="00725147">
        <w:rPr>
          <w:bCs/>
          <w:sz w:val="22"/>
          <w:szCs w:val="22"/>
        </w:rPr>
        <w:t xml:space="preserve">Poruchy videnia môžu byť hlásené pri systémovom a lokálnom použití </w:t>
      </w:r>
      <w:proofErr w:type="spellStart"/>
      <w:r w:rsidRPr="00725147">
        <w:rPr>
          <w:bCs/>
          <w:sz w:val="22"/>
          <w:szCs w:val="22"/>
        </w:rPr>
        <w:t>kortikosteroidov</w:t>
      </w:r>
      <w:proofErr w:type="spellEnd"/>
      <w:r w:rsidRPr="00725147">
        <w:rPr>
          <w:bCs/>
          <w:sz w:val="22"/>
          <w:szCs w:val="22"/>
        </w:rPr>
        <w:t>. Ak sa u</w:t>
      </w:r>
      <w:r w:rsidR="00310F5E">
        <w:rPr>
          <w:bCs/>
          <w:sz w:val="22"/>
          <w:szCs w:val="22"/>
        </w:rPr>
        <w:t> </w:t>
      </w:r>
      <w:r w:rsidRPr="00725147">
        <w:rPr>
          <w:bCs/>
          <w:sz w:val="22"/>
          <w:szCs w:val="22"/>
        </w:rPr>
        <w:t>pacienta objavujú symptómy, ako je rozmazané videnie alebo iné poruchy videnia, pacient má byť odporučený k</w:t>
      </w:r>
      <w:r w:rsidR="002C3D9E">
        <w:rPr>
          <w:bCs/>
          <w:sz w:val="22"/>
          <w:szCs w:val="22"/>
        </w:rPr>
        <w:t> </w:t>
      </w:r>
      <w:proofErr w:type="spellStart"/>
      <w:r w:rsidRPr="00725147">
        <w:rPr>
          <w:bCs/>
          <w:sz w:val="22"/>
          <w:szCs w:val="22"/>
        </w:rPr>
        <w:t>oftalmológovi</w:t>
      </w:r>
      <w:proofErr w:type="spellEnd"/>
      <w:r w:rsidRPr="00725147">
        <w:rPr>
          <w:bCs/>
          <w:sz w:val="22"/>
          <w:szCs w:val="22"/>
        </w:rPr>
        <w:t xml:space="preserve"> na posúdenie možných príčin, medzi ktoré môže patriť sivý zákal, </w:t>
      </w:r>
      <w:proofErr w:type="spellStart"/>
      <w:r w:rsidRPr="00725147">
        <w:rPr>
          <w:bCs/>
          <w:sz w:val="22"/>
          <w:szCs w:val="22"/>
        </w:rPr>
        <w:t>glaukóm</w:t>
      </w:r>
      <w:proofErr w:type="spellEnd"/>
      <w:r w:rsidRPr="00725147">
        <w:rPr>
          <w:bCs/>
          <w:sz w:val="22"/>
          <w:szCs w:val="22"/>
        </w:rPr>
        <w:t xml:space="preserve"> alebo zriedkavé ochorenia, ako je napríklad centrálna </w:t>
      </w:r>
      <w:proofErr w:type="spellStart"/>
      <w:r w:rsidRPr="00725147">
        <w:rPr>
          <w:bCs/>
          <w:sz w:val="22"/>
          <w:szCs w:val="22"/>
        </w:rPr>
        <w:t>serózna</w:t>
      </w:r>
      <w:proofErr w:type="spellEnd"/>
      <w:r w:rsidRPr="00725147">
        <w:rPr>
          <w:bCs/>
          <w:sz w:val="22"/>
          <w:szCs w:val="22"/>
        </w:rPr>
        <w:t xml:space="preserve"> </w:t>
      </w:r>
      <w:proofErr w:type="spellStart"/>
      <w:r w:rsidRPr="00725147">
        <w:rPr>
          <w:bCs/>
          <w:sz w:val="22"/>
          <w:szCs w:val="22"/>
        </w:rPr>
        <w:t>chorioretinopatia</w:t>
      </w:r>
      <w:proofErr w:type="spellEnd"/>
      <w:r w:rsidRPr="00725147">
        <w:rPr>
          <w:bCs/>
          <w:sz w:val="22"/>
          <w:szCs w:val="22"/>
        </w:rPr>
        <w:t xml:space="preserve"> (CSCR), ktoré boli hlásené po použití systémových a lokálnych </w:t>
      </w:r>
      <w:proofErr w:type="spellStart"/>
      <w:r w:rsidRPr="00725147">
        <w:rPr>
          <w:bCs/>
          <w:sz w:val="22"/>
          <w:szCs w:val="22"/>
        </w:rPr>
        <w:t>kortikosteroidov</w:t>
      </w:r>
      <w:commentRangeEnd w:id="6"/>
      <w:proofErr w:type="spellEnd"/>
      <w:r w:rsidRPr="00725147">
        <w:rPr>
          <w:bCs/>
          <w:sz w:val="22"/>
          <w:szCs w:val="22"/>
        </w:rPr>
        <w:t>.</w:t>
      </w:r>
    </w:p>
    <w:p w14:paraId="028E0A1D" w14:textId="77777777" w:rsidR="00AE6154" w:rsidRPr="00725147" w:rsidRDefault="00AE6154">
      <w:pPr>
        <w:ind w:right="72"/>
        <w:rPr>
          <w:noProof/>
          <w:sz w:val="22"/>
          <w:szCs w:val="22"/>
        </w:rPr>
      </w:pPr>
    </w:p>
    <w:p w14:paraId="4B5EECBD" w14:textId="77777777" w:rsidR="00FE0D53" w:rsidRPr="00725147" w:rsidRDefault="00FE0D53" w:rsidP="00725147">
      <w:pPr>
        <w:keepNext/>
        <w:ind w:right="74"/>
        <w:rPr>
          <w:b/>
          <w:sz w:val="22"/>
          <w:szCs w:val="22"/>
        </w:rPr>
      </w:pPr>
      <w:r w:rsidRPr="00ED0017">
        <w:rPr>
          <w:b/>
          <w:color w:val="000000"/>
          <w:sz w:val="22"/>
          <w:szCs w:val="22"/>
        </w:rPr>
        <w:lastRenderedPageBreak/>
        <w:t>4.5</w:t>
      </w:r>
      <w:r w:rsidRPr="00ED0017">
        <w:rPr>
          <w:b/>
          <w:color w:val="000000"/>
          <w:sz w:val="22"/>
          <w:szCs w:val="22"/>
        </w:rPr>
        <w:tab/>
        <w:t>Liekové a iné interakcie</w:t>
      </w:r>
    </w:p>
    <w:p w14:paraId="13ACFC6F" w14:textId="77777777" w:rsidR="00FE0D53" w:rsidRPr="00306582" w:rsidRDefault="00FE0D53" w:rsidP="00725147">
      <w:pPr>
        <w:keepNext/>
        <w:ind w:right="74"/>
        <w:rPr>
          <w:b/>
          <w:sz w:val="22"/>
          <w:szCs w:val="22"/>
        </w:rPr>
      </w:pPr>
    </w:p>
    <w:p w14:paraId="6E5CE5C5" w14:textId="77777777" w:rsidR="00FE0D53" w:rsidRPr="00306582" w:rsidRDefault="00FE0D53">
      <w:pPr>
        <w:pStyle w:val="Zkladntext"/>
        <w:rPr>
          <w:szCs w:val="22"/>
        </w:rPr>
      </w:pPr>
      <w:r w:rsidRPr="00306582">
        <w:rPr>
          <w:bCs/>
          <w:szCs w:val="22"/>
        </w:rPr>
        <w:t xml:space="preserve">Neuskutočnili sa žiadne interakčné štúdie so </w:t>
      </w:r>
      <w:proofErr w:type="spellStart"/>
      <w:r w:rsidRPr="00306582">
        <w:rPr>
          <w:bCs/>
          <w:szCs w:val="22"/>
        </w:rPr>
        <w:t>Zoviraxom</w:t>
      </w:r>
      <w:proofErr w:type="spellEnd"/>
      <w:r w:rsidRPr="00306582">
        <w:rPr>
          <w:bCs/>
          <w:szCs w:val="22"/>
        </w:rPr>
        <w:t xml:space="preserve"> Duo.</w:t>
      </w:r>
    </w:p>
    <w:p w14:paraId="7CE7A049" w14:textId="77777777" w:rsidR="00FE0D53" w:rsidRPr="00306582" w:rsidRDefault="00FE0D53">
      <w:pPr>
        <w:ind w:right="72"/>
        <w:rPr>
          <w:sz w:val="22"/>
          <w:szCs w:val="22"/>
        </w:rPr>
      </w:pPr>
    </w:p>
    <w:p w14:paraId="5CFD1C1C" w14:textId="77777777" w:rsidR="00FE0D53" w:rsidRPr="00725147" w:rsidRDefault="00FE0D53" w:rsidP="00725147">
      <w:pPr>
        <w:keepNext/>
        <w:ind w:right="74"/>
        <w:rPr>
          <w:sz w:val="22"/>
          <w:szCs w:val="22"/>
        </w:rPr>
      </w:pPr>
      <w:r w:rsidRPr="00306582">
        <w:rPr>
          <w:b/>
          <w:bCs/>
          <w:sz w:val="22"/>
          <w:szCs w:val="22"/>
        </w:rPr>
        <w:t>4.6</w:t>
      </w:r>
      <w:r w:rsidRPr="00306582">
        <w:rPr>
          <w:b/>
          <w:bCs/>
          <w:sz w:val="22"/>
          <w:szCs w:val="22"/>
        </w:rPr>
        <w:tab/>
      </w:r>
      <w:proofErr w:type="spellStart"/>
      <w:r w:rsidRPr="00306582">
        <w:rPr>
          <w:b/>
          <w:bCs/>
          <w:sz w:val="22"/>
          <w:szCs w:val="22"/>
        </w:rPr>
        <w:t>Fertilita</w:t>
      </w:r>
      <w:proofErr w:type="spellEnd"/>
      <w:r w:rsidRPr="00306582">
        <w:rPr>
          <w:b/>
          <w:bCs/>
          <w:sz w:val="22"/>
          <w:szCs w:val="22"/>
        </w:rPr>
        <w:t>, gravidita a laktácia</w:t>
      </w:r>
    </w:p>
    <w:p w14:paraId="752C474B" w14:textId="77777777" w:rsidR="00FE0D53" w:rsidRPr="00306582" w:rsidRDefault="00FE0D53" w:rsidP="00725147">
      <w:pPr>
        <w:keepNext/>
        <w:ind w:right="74"/>
        <w:rPr>
          <w:bCs/>
          <w:sz w:val="22"/>
          <w:szCs w:val="22"/>
        </w:rPr>
      </w:pPr>
    </w:p>
    <w:p w14:paraId="3EB80261" w14:textId="77777777" w:rsidR="00FE0D53" w:rsidRDefault="00FE0D53">
      <w:pPr>
        <w:keepNext/>
        <w:keepLines/>
        <w:ind w:right="74"/>
        <w:rPr>
          <w:bCs/>
          <w:sz w:val="22"/>
          <w:szCs w:val="22"/>
          <w:u w:val="single"/>
        </w:rPr>
      </w:pPr>
      <w:r w:rsidRPr="00306582">
        <w:rPr>
          <w:bCs/>
          <w:sz w:val="22"/>
          <w:szCs w:val="22"/>
          <w:u w:val="single"/>
        </w:rPr>
        <w:t>Gravidita</w:t>
      </w:r>
    </w:p>
    <w:p w14:paraId="34402013" w14:textId="77777777" w:rsidR="00DF120F" w:rsidRPr="00725147" w:rsidRDefault="00DF120F">
      <w:pPr>
        <w:keepNext/>
        <w:keepLines/>
        <w:ind w:right="74"/>
        <w:rPr>
          <w:sz w:val="22"/>
          <w:szCs w:val="22"/>
        </w:rPr>
      </w:pPr>
    </w:p>
    <w:p w14:paraId="028FB135" w14:textId="1293F783" w:rsidR="00FE0D53" w:rsidRPr="00306582" w:rsidRDefault="00FE0D53">
      <w:pPr>
        <w:keepNext/>
        <w:keepLines/>
        <w:ind w:right="74"/>
        <w:rPr>
          <w:bCs/>
          <w:sz w:val="22"/>
          <w:szCs w:val="22"/>
        </w:rPr>
      </w:pPr>
      <w:proofErr w:type="spellStart"/>
      <w:r w:rsidRPr="00306582">
        <w:rPr>
          <w:bCs/>
          <w:sz w:val="22"/>
          <w:szCs w:val="22"/>
        </w:rPr>
        <w:t>Zovirax</w:t>
      </w:r>
      <w:proofErr w:type="spellEnd"/>
      <w:r w:rsidRPr="00306582">
        <w:rPr>
          <w:bCs/>
          <w:sz w:val="22"/>
          <w:szCs w:val="22"/>
        </w:rPr>
        <w:t xml:space="preserve"> Duo sa môže použiť iba v prípade, keď možné prínosy prevažujú nad prípadnými neznámymi rizikami. Systémová expozícia </w:t>
      </w:r>
      <w:proofErr w:type="spellStart"/>
      <w:r w:rsidRPr="00306582">
        <w:rPr>
          <w:bCs/>
          <w:sz w:val="22"/>
          <w:szCs w:val="22"/>
        </w:rPr>
        <w:t>acikloviru</w:t>
      </w:r>
      <w:proofErr w:type="spellEnd"/>
      <w:r w:rsidRPr="00306582">
        <w:rPr>
          <w:bCs/>
          <w:sz w:val="22"/>
          <w:szCs w:val="22"/>
        </w:rPr>
        <w:t xml:space="preserve"> a </w:t>
      </w:r>
      <w:proofErr w:type="spellStart"/>
      <w:r w:rsidRPr="00306582">
        <w:rPr>
          <w:bCs/>
          <w:sz w:val="22"/>
          <w:szCs w:val="22"/>
        </w:rPr>
        <w:t>hydrokortizónu</w:t>
      </w:r>
      <w:proofErr w:type="spellEnd"/>
      <w:r w:rsidRPr="00306582">
        <w:rPr>
          <w:bCs/>
          <w:sz w:val="22"/>
          <w:szCs w:val="22"/>
        </w:rPr>
        <w:t xml:space="preserve"> </w:t>
      </w:r>
      <w:r w:rsidR="00CD2802" w:rsidRPr="00306582">
        <w:rPr>
          <w:bCs/>
          <w:sz w:val="22"/>
          <w:szCs w:val="22"/>
        </w:rPr>
        <w:t xml:space="preserve">po </w:t>
      </w:r>
      <w:r w:rsidRPr="00306582">
        <w:rPr>
          <w:bCs/>
          <w:sz w:val="22"/>
          <w:szCs w:val="22"/>
        </w:rPr>
        <w:t>topickej aplikácii krému je však veľmi nízka.</w:t>
      </w:r>
    </w:p>
    <w:p w14:paraId="5D8DF51A" w14:textId="77777777" w:rsidR="00FE0D53" w:rsidRPr="00306582" w:rsidRDefault="00FE0D53">
      <w:pPr>
        <w:ind w:right="72"/>
        <w:rPr>
          <w:bCs/>
          <w:sz w:val="22"/>
          <w:szCs w:val="22"/>
        </w:rPr>
      </w:pPr>
    </w:p>
    <w:p w14:paraId="2A00BECA" w14:textId="62A8C32B" w:rsidR="00FE0D53" w:rsidRPr="00306582" w:rsidRDefault="00FE0D53">
      <w:pPr>
        <w:ind w:right="74"/>
        <w:rPr>
          <w:bCs/>
          <w:sz w:val="22"/>
          <w:szCs w:val="22"/>
        </w:rPr>
      </w:pPr>
      <w:r w:rsidRPr="00306582">
        <w:rPr>
          <w:bCs/>
          <w:sz w:val="22"/>
          <w:szCs w:val="22"/>
        </w:rPr>
        <w:t xml:space="preserve">Register gravidít, ktorý bol založený po uvedení </w:t>
      </w:r>
      <w:proofErr w:type="spellStart"/>
      <w:r w:rsidRPr="00306582">
        <w:rPr>
          <w:bCs/>
          <w:sz w:val="22"/>
          <w:szCs w:val="22"/>
        </w:rPr>
        <w:t>acikloviru</w:t>
      </w:r>
      <w:proofErr w:type="spellEnd"/>
      <w:r w:rsidRPr="00306582">
        <w:rPr>
          <w:bCs/>
          <w:sz w:val="22"/>
          <w:szCs w:val="22"/>
        </w:rPr>
        <w:t xml:space="preserve"> na trh, zdokumentoval výsledky gravidity u žien vystavených účinku </w:t>
      </w:r>
      <w:proofErr w:type="spellStart"/>
      <w:r w:rsidRPr="00306582">
        <w:rPr>
          <w:bCs/>
          <w:sz w:val="22"/>
          <w:szCs w:val="22"/>
        </w:rPr>
        <w:t>acikloviru</w:t>
      </w:r>
      <w:proofErr w:type="spellEnd"/>
      <w:r w:rsidRPr="00306582">
        <w:rPr>
          <w:bCs/>
          <w:sz w:val="22"/>
          <w:szCs w:val="22"/>
        </w:rPr>
        <w:t xml:space="preserve"> v akejkoľvek liekovej forme. Údaje z registra nepreukázali zvýšenie počtu vrodených chýb u osôb vystavených účinku </w:t>
      </w:r>
      <w:proofErr w:type="spellStart"/>
      <w:r w:rsidRPr="00306582">
        <w:rPr>
          <w:bCs/>
          <w:sz w:val="22"/>
          <w:szCs w:val="22"/>
        </w:rPr>
        <w:t>acikloviru</w:t>
      </w:r>
      <w:proofErr w:type="spellEnd"/>
      <w:r w:rsidRPr="00306582">
        <w:rPr>
          <w:bCs/>
          <w:sz w:val="22"/>
          <w:szCs w:val="22"/>
        </w:rPr>
        <w:t xml:space="preserve"> v</w:t>
      </w:r>
      <w:r w:rsidR="00CD2802" w:rsidRPr="00306582">
        <w:rPr>
          <w:bCs/>
          <w:sz w:val="22"/>
          <w:szCs w:val="22"/>
        </w:rPr>
        <w:t> </w:t>
      </w:r>
      <w:r w:rsidRPr="00306582">
        <w:rPr>
          <w:bCs/>
          <w:sz w:val="22"/>
          <w:szCs w:val="22"/>
        </w:rPr>
        <w:t>porovnaní s</w:t>
      </w:r>
      <w:r w:rsidR="00CD2802" w:rsidRPr="00306582">
        <w:rPr>
          <w:bCs/>
          <w:sz w:val="22"/>
          <w:szCs w:val="22"/>
        </w:rPr>
        <w:t> </w:t>
      </w:r>
      <w:r w:rsidRPr="00306582">
        <w:rPr>
          <w:bCs/>
          <w:sz w:val="22"/>
          <w:szCs w:val="22"/>
        </w:rPr>
        <w:t>celkovou populáciou.</w:t>
      </w:r>
    </w:p>
    <w:p w14:paraId="79A41BC7" w14:textId="77777777" w:rsidR="00FE0D53" w:rsidRPr="00306582" w:rsidRDefault="00FE0D53">
      <w:pPr>
        <w:ind w:right="74"/>
        <w:rPr>
          <w:bCs/>
          <w:sz w:val="22"/>
          <w:szCs w:val="22"/>
        </w:rPr>
      </w:pPr>
      <w:r w:rsidRPr="00306582">
        <w:rPr>
          <w:bCs/>
          <w:sz w:val="22"/>
          <w:szCs w:val="22"/>
        </w:rPr>
        <w:t xml:space="preserve"> </w:t>
      </w:r>
    </w:p>
    <w:p w14:paraId="27CA9DAD" w14:textId="7F543723" w:rsidR="00FE0D53" w:rsidRPr="00725147" w:rsidRDefault="00FE0D53">
      <w:pPr>
        <w:ind w:right="74"/>
        <w:rPr>
          <w:sz w:val="22"/>
          <w:szCs w:val="22"/>
        </w:rPr>
      </w:pPr>
      <w:r w:rsidRPr="00306582">
        <w:rPr>
          <w:bCs/>
          <w:sz w:val="22"/>
          <w:szCs w:val="22"/>
        </w:rPr>
        <w:t xml:space="preserve">Rozsiahle klinické údaje, ktoré sú k dispozícii pre </w:t>
      </w:r>
      <w:proofErr w:type="spellStart"/>
      <w:r w:rsidRPr="00306582">
        <w:rPr>
          <w:bCs/>
          <w:sz w:val="22"/>
          <w:szCs w:val="22"/>
        </w:rPr>
        <w:t>hydrokortizón</w:t>
      </w:r>
      <w:proofErr w:type="spellEnd"/>
      <w:r w:rsidR="00CD2802" w:rsidRPr="00306582">
        <w:rPr>
          <w:bCs/>
          <w:sz w:val="22"/>
          <w:szCs w:val="22"/>
        </w:rPr>
        <w:t>,</w:t>
      </w:r>
      <w:r w:rsidRPr="00306582">
        <w:rPr>
          <w:bCs/>
          <w:sz w:val="22"/>
          <w:szCs w:val="22"/>
        </w:rPr>
        <w:t xml:space="preserve"> nenaznačujú zvýšené riziko </w:t>
      </w:r>
      <w:proofErr w:type="spellStart"/>
      <w:r w:rsidRPr="00306582">
        <w:rPr>
          <w:bCs/>
          <w:sz w:val="22"/>
          <w:szCs w:val="22"/>
        </w:rPr>
        <w:t>teratogenity</w:t>
      </w:r>
      <w:proofErr w:type="spellEnd"/>
      <w:r w:rsidRPr="00306582">
        <w:rPr>
          <w:bCs/>
          <w:sz w:val="22"/>
          <w:szCs w:val="22"/>
        </w:rPr>
        <w:t xml:space="preserve"> pri klinickom použití topických </w:t>
      </w:r>
      <w:proofErr w:type="spellStart"/>
      <w:r w:rsidRPr="00306582">
        <w:rPr>
          <w:bCs/>
          <w:sz w:val="22"/>
          <w:szCs w:val="22"/>
        </w:rPr>
        <w:t>kortikosteroidov</w:t>
      </w:r>
      <w:proofErr w:type="spellEnd"/>
      <w:r w:rsidRPr="00306582">
        <w:rPr>
          <w:bCs/>
          <w:sz w:val="22"/>
          <w:szCs w:val="22"/>
        </w:rPr>
        <w:t xml:space="preserve">. V štúdiách na zvieratách sa </w:t>
      </w:r>
      <w:r w:rsidR="00CD2802" w:rsidRPr="00306582">
        <w:rPr>
          <w:bCs/>
          <w:sz w:val="22"/>
          <w:szCs w:val="22"/>
        </w:rPr>
        <w:t xml:space="preserve">pri </w:t>
      </w:r>
      <w:r w:rsidRPr="00306582">
        <w:rPr>
          <w:bCs/>
          <w:sz w:val="22"/>
          <w:szCs w:val="22"/>
        </w:rPr>
        <w:t>nízkych expozíciách pozorovali škodlivé účinky z hľadiska vývojovej toxicity.</w:t>
      </w:r>
    </w:p>
    <w:p w14:paraId="230FBD68" w14:textId="77777777" w:rsidR="00FE0D53" w:rsidRPr="00306582" w:rsidRDefault="00FE0D53">
      <w:pPr>
        <w:rPr>
          <w:sz w:val="22"/>
          <w:szCs w:val="22"/>
          <w:u w:val="single"/>
        </w:rPr>
      </w:pPr>
    </w:p>
    <w:p w14:paraId="2DE2042B" w14:textId="77777777" w:rsidR="00FE0D53" w:rsidRDefault="00FE0D53" w:rsidP="00725147">
      <w:pPr>
        <w:keepNext/>
        <w:rPr>
          <w:sz w:val="22"/>
          <w:szCs w:val="22"/>
          <w:u w:val="single"/>
        </w:rPr>
      </w:pPr>
      <w:r w:rsidRPr="00306582">
        <w:rPr>
          <w:sz w:val="22"/>
          <w:szCs w:val="22"/>
          <w:u w:val="single"/>
        </w:rPr>
        <w:t>Dojčenie</w:t>
      </w:r>
    </w:p>
    <w:p w14:paraId="52C6A0BD" w14:textId="77777777" w:rsidR="00DF120F" w:rsidRPr="00725147" w:rsidRDefault="00DF120F" w:rsidP="00725147">
      <w:pPr>
        <w:keepNext/>
        <w:rPr>
          <w:sz w:val="22"/>
          <w:szCs w:val="22"/>
        </w:rPr>
      </w:pPr>
    </w:p>
    <w:p w14:paraId="197F675A" w14:textId="5448E37F" w:rsidR="00FE0D53" w:rsidRPr="00725147" w:rsidRDefault="00FE0D53">
      <w:pPr>
        <w:ind w:right="72"/>
        <w:rPr>
          <w:sz w:val="22"/>
          <w:szCs w:val="22"/>
        </w:rPr>
      </w:pPr>
      <w:proofErr w:type="spellStart"/>
      <w:r w:rsidRPr="00306582">
        <w:rPr>
          <w:sz w:val="22"/>
          <w:szCs w:val="22"/>
        </w:rPr>
        <w:t>Aciklovir</w:t>
      </w:r>
      <w:proofErr w:type="spellEnd"/>
      <w:r w:rsidRPr="00306582">
        <w:rPr>
          <w:sz w:val="22"/>
          <w:szCs w:val="22"/>
        </w:rPr>
        <w:t xml:space="preserve"> a </w:t>
      </w:r>
      <w:proofErr w:type="spellStart"/>
      <w:r w:rsidRPr="00306582">
        <w:rPr>
          <w:sz w:val="22"/>
          <w:szCs w:val="22"/>
        </w:rPr>
        <w:t>hydrokortizón</w:t>
      </w:r>
      <w:proofErr w:type="spellEnd"/>
      <w:r w:rsidRPr="00306582">
        <w:rPr>
          <w:sz w:val="22"/>
          <w:szCs w:val="22"/>
        </w:rPr>
        <w:t xml:space="preserve"> prechádzajú po systémovom podaní do mlieka. Dávka požitá dojčaťom </w:t>
      </w:r>
      <w:r w:rsidR="00CD2802" w:rsidRPr="00306582">
        <w:rPr>
          <w:sz w:val="22"/>
          <w:szCs w:val="22"/>
        </w:rPr>
        <w:t>po</w:t>
      </w:r>
      <w:r w:rsidR="005410B9">
        <w:rPr>
          <w:sz w:val="22"/>
          <w:szCs w:val="22"/>
        </w:rPr>
        <w:t> </w:t>
      </w:r>
      <w:r w:rsidRPr="00306582">
        <w:rPr>
          <w:sz w:val="22"/>
          <w:szCs w:val="22"/>
        </w:rPr>
        <w:t xml:space="preserve">použití </w:t>
      </w:r>
      <w:proofErr w:type="spellStart"/>
      <w:r w:rsidRPr="00306582">
        <w:rPr>
          <w:sz w:val="22"/>
          <w:szCs w:val="22"/>
        </w:rPr>
        <w:t>Zoviraxu</w:t>
      </w:r>
      <w:proofErr w:type="spellEnd"/>
      <w:r w:rsidRPr="00306582">
        <w:rPr>
          <w:sz w:val="22"/>
          <w:szCs w:val="22"/>
        </w:rPr>
        <w:t xml:space="preserve"> Duo matkou by však bola bezvýznamná. </w:t>
      </w:r>
      <w:proofErr w:type="spellStart"/>
      <w:r w:rsidRPr="00306582">
        <w:rPr>
          <w:bCs/>
          <w:sz w:val="22"/>
          <w:szCs w:val="22"/>
        </w:rPr>
        <w:t>Zovirax</w:t>
      </w:r>
      <w:proofErr w:type="spellEnd"/>
      <w:r w:rsidRPr="00306582">
        <w:rPr>
          <w:bCs/>
          <w:sz w:val="22"/>
          <w:szCs w:val="22"/>
        </w:rPr>
        <w:t xml:space="preserve"> Duo</w:t>
      </w:r>
      <w:r w:rsidRPr="00306582">
        <w:rPr>
          <w:b/>
          <w:bCs/>
          <w:sz w:val="22"/>
          <w:szCs w:val="22"/>
        </w:rPr>
        <w:t xml:space="preserve"> </w:t>
      </w:r>
      <w:r w:rsidRPr="00306582">
        <w:rPr>
          <w:sz w:val="22"/>
          <w:szCs w:val="22"/>
        </w:rPr>
        <w:t>sa však nemá používať počas dojčenia, pokiaľ to nie je jednoznačne nevyhnutné.</w:t>
      </w:r>
    </w:p>
    <w:p w14:paraId="47ACB5C5" w14:textId="77777777" w:rsidR="00FE0D53" w:rsidRPr="00306582" w:rsidRDefault="00FE0D53">
      <w:pPr>
        <w:ind w:right="72"/>
        <w:rPr>
          <w:sz w:val="22"/>
          <w:szCs w:val="22"/>
        </w:rPr>
      </w:pPr>
    </w:p>
    <w:p w14:paraId="47C62ABF" w14:textId="77777777" w:rsidR="00FE0D53" w:rsidRDefault="00FE0D53" w:rsidP="00725147">
      <w:pPr>
        <w:keepNext/>
        <w:ind w:right="72"/>
        <w:rPr>
          <w:bCs/>
          <w:sz w:val="22"/>
          <w:szCs w:val="22"/>
          <w:u w:val="single"/>
        </w:rPr>
      </w:pPr>
      <w:proofErr w:type="spellStart"/>
      <w:r w:rsidRPr="00306582">
        <w:rPr>
          <w:bCs/>
          <w:sz w:val="22"/>
          <w:szCs w:val="22"/>
          <w:u w:val="single"/>
        </w:rPr>
        <w:t>Fertilita</w:t>
      </w:r>
      <w:proofErr w:type="spellEnd"/>
    </w:p>
    <w:p w14:paraId="1862B59C" w14:textId="77777777" w:rsidR="00DF120F" w:rsidRPr="00725147" w:rsidRDefault="00DF120F" w:rsidP="00725147">
      <w:pPr>
        <w:keepNext/>
        <w:ind w:right="72"/>
        <w:rPr>
          <w:sz w:val="22"/>
          <w:szCs w:val="22"/>
        </w:rPr>
      </w:pPr>
    </w:p>
    <w:p w14:paraId="6338599D" w14:textId="77777777" w:rsidR="00FE0D53" w:rsidRPr="00725147" w:rsidRDefault="00FE0D53">
      <w:pPr>
        <w:ind w:right="72"/>
        <w:rPr>
          <w:sz w:val="22"/>
          <w:szCs w:val="22"/>
        </w:rPr>
      </w:pPr>
      <w:r w:rsidRPr="00306582">
        <w:rPr>
          <w:bCs/>
          <w:sz w:val="22"/>
          <w:szCs w:val="22"/>
        </w:rPr>
        <w:t xml:space="preserve">Nie sú k dispozícii žiadne údaje, ktoré by umožnili zhodnotiť vplyv </w:t>
      </w:r>
      <w:proofErr w:type="spellStart"/>
      <w:r w:rsidRPr="00306582">
        <w:rPr>
          <w:bCs/>
          <w:sz w:val="22"/>
          <w:szCs w:val="22"/>
        </w:rPr>
        <w:t>Zoviraxu</w:t>
      </w:r>
      <w:proofErr w:type="spellEnd"/>
      <w:r w:rsidRPr="00306582">
        <w:rPr>
          <w:bCs/>
          <w:sz w:val="22"/>
          <w:szCs w:val="22"/>
        </w:rPr>
        <w:t xml:space="preserve"> Duo na </w:t>
      </w:r>
      <w:proofErr w:type="spellStart"/>
      <w:r w:rsidRPr="00306582">
        <w:rPr>
          <w:bCs/>
          <w:sz w:val="22"/>
          <w:szCs w:val="22"/>
        </w:rPr>
        <w:t>fertilitu</w:t>
      </w:r>
      <w:proofErr w:type="spellEnd"/>
      <w:r w:rsidRPr="00306582">
        <w:rPr>
          <w:bCs/>
          <w:sz w:val="22"/>
          <w:szCs w:val="22"/>
        </w:rPr>
        <w:t>.</w:t>
      </w:r>
    </w:p>
    <w:p w14:paraId="03D2B488" w14:textId="77777777" w:rsidR="00FE0D53" w:rsidRPr="00306582" w:rsidRDefault="00FE0D53">
      <w:pPr>
        <w:ind w:right="72"/>
        <w:rPr>
          <w:sz w:val="22"/>
          <w:szCs w:val="22"/>
        </w:rPr>
      </w:pPr>
    </w:p>
    <w:p w14:paraId="45646660" w14:textId="77777777" w:rsidR="00FE0D53" w:rsidRPr="00725147" w:rsidRDefault="00FE0D53" w:rsidP="00725147">
      <w:pPr>
        <w:keepNext/>
        <w:ind w:right="72"/>
        <w:rPr>
          <w:sz w:val="22"/>
          <w:szCs w:val="22"/>
        </w:rPr>
      </w:pPr>
      <w:r w:rsidRPr="00306582">
        <w:rPr>
          <w:b/>
          <w:bCs/>
          <w:sz w:val="22"/>
          <w:szCs w:val="22"/>
        </w:rPr>
        <w:t>4.7</w:t>
      </w:r>
      <w:r w:rsidRPr="00306582">
        <w:rPr>
          <w:b/>
          <w:bCs/>
          <w:sz w:val="22"/>
          <w:szCs w:val="22"/>
        </w:rPr>
        <w:tab/>
        <w:t>Ovplyvnenie schopnosti viesť vozidlá a obsluhovať stroje</w:t>
      </w:r>
    </w:p>
    <w:p w14:paraId="37B847B8" w14:textId="77777777" w:rsidR="00FE0D53" w:rsidRPr="00306582" w:rsidRDefault="00FE0D53" w:rsidP="00725147">
      <w:pPr>
        <w:keepNext/>
        <w:ind w:right="72"/>
        <w:rPr>
          <w:sz w:val="22"/>
          <w:szCs w:val="22"/>
        </w:rPr>
      </w:pPr>
    </w:p>
    <w:p w14:paraId="33A42554" w14:textId="77777777" w:rsidR="00FE0D53" w:rsidRPr="00725147" w:rsidRDefault="00FE0D53">
      <w:pPr>
        <w:ind w:right="72"/>
        <w:rPr>
          <w:sz w:val="22"/>
          <w:szCs w:val="22"/>
        </w:rPr>
      </w:pPr>
      <w:proofErr w:type="spellStart"/>
      <w:r w:rsidRPr="00306582">
        <w:rPr>
          <w:bCs/>
          <w:sz w:val="22"/>
          <w:szCs w:val="22"/>
        </w:rPr>
        <w:t>Zovirax</w:t>
      </w:r>
      <w:proofErr w:type="spellEnd"/>
      <w:r w:rsidRPr="00306582">
        <w:rPr>
          <w:bCs/>
          <w:sz w:val="22"/>
          <w:szCs w:val="22"/>
        </w:rPr>
        <w:t xml:space="preserve"> Duo</w:t>
      </w:r>
      <w:r w:rsidRPr="00306582">
        <w:rPr>
          <w:b/>
          <w:bCs/>
          <w:sz w:val="22"/>
          <w:szCs w:val="22"/>
        </w:rPr>
        <w:t xml:space="preserve"> </w:t>
      </w:r>
      <w:r w:rsidRPr="00306582">
        <w:rPr>
          <w:sz w:val="22"/>
          <w:szCs w:val="22"/>
        </w:rPr>
        <w:t>nemá žiadny alebo má len zanedbateľný vplyv na schopnosť viesť vozidlá a obsluhovať stroje.</w:t>
      </w:r>
    </w:p>
    <w:p w14:paraId="3B38C5EE" w14:textId="77777777" w:rsidR="00FE0D53" w:rsidRPr="00306582" w:rsidRDefault="00FE0D53">
      <w:pPr>
        <w:ind w:right="72"/>
        <w:rPr>
          <w:sz w:val="22"/>
          <w:szCs w:val="22"/>
        </w:rPr>
      </w:pPr>
    </w:p>
    <w:p w14:paraId="0C0E2111" w14:textId="77777777" w:rsidR="00FE0D53" w:rsidRPr="00725147" w:rsidRDefault="00FE0D53" w:rsidP="00725147">
      <w:pPr>
        <w:keepNext/>
        <w:ind w:right="72"/>
        <w:rPr>
          <w:sz w:val="22"/>
          <w:szCs w:val="22"/>
        </w:rPr>
      </w:pPr>
      <w:r w:rsidRPr="00306582">
        <w:rPr>
          <w:b/>
          <w:bCs/>
          <w:sz w:val="22"/>
          <w:szCs w:val="22"/>
        </w:rPr>
        <w:t>4.8</w:t>
      </w:r>
      <w:r w:rsidRPr="00306582">
        <w:rPr>
          <w:b/>
          <w:bCs/>
          <w:sz w:val="22"/>
          <w:szCs w:val="22"/>
        </w:rPr>
        <w:tab/>
        <w:t>Nežiaduce účinky</w:t>
      </w:r>
    </w:p>
    <w:p w14:paraId="15174858" w14:textId="77777777" w:rsidR="00FE0D53" w:rsidRPr="00306582" w:rsidRDefault="00FE0D53" w:rsidP="00725147">
      <w:pPr>
        <w:keepNext/>
        <w:ind w:right="72"/>
        <w:rPr>
          <w:sz w:val="22"/>
          <w:szCs w:val="22"/>
        </w:rPr>
      </w:pPr>
    </w:p>
    <w:p w14:paraId="393F102A" w14:textId="0996F0A9" w:rsidR="00FE0D53" w:rsidRPr="00306582" w:rsidRDefault="00FE0D53">
      <w:pPr>
        <w:ind w:right="72"/>
        <w:rPr>
          <w:sz w:val="22"/>
          <w:szCs w:val="22"/>
        </w:rPr>
      </w:pPr>
      <w:r w:rsidRPr="00306582">
        <w:rPr>
          <w:sz w:val="22"/>
          <w:szCs w:val="22"/>
        </w:rPr>
        <w:t>Nežiaduce udalosti sú uvedené nižšie podľa triedy orgánových systémov a frekvencie výskytu. Frekvencie výskytu sú definované ako: veľmi časté (≥ 1/10), časté (≥ 1/100 až &lt; 1/10), menej časté (≥ 1/1 000 až &lt; 1/100), zriedkavé (≥ 1/10 000 až &lt; 1/1 000</w:t>
      </w:r>
      <w:r w:rsidR="00CD2802" w:rsidRPr="00306582">
        <w:rPr>
          <w:sz w:val="22"/>
          <w:szCs w:val="22"/>
        </w:rPr>
        <w:t xml:space="preserve">), </w:t>
      </w:r>
      <w:r w:rsidRPr="00306582">
        <w:rPr>
          <w:sz w:val="22"/>
          <w:szCs w:val="22"/>
        </w:rPr>
        <w:t>veľmi zriedkavé (&lt; 1/10 000) a neznáme (z</w:t>
      </w:r>
      <w:r w:rsidR="00CD2802" w:rsidRPr="00306582">
        <w:rPr>
          <w:sz w:val="22"/>
          <w:szCs w:val="22"/>
        </w:rPr>
        <w:t> </w:t>
      </w:r>
      <w:r w:rsidRPr="00306582">
        <w:rPr>
          <w:sz w:val="22"/>
          <w:szCs w:val="22"/>
        </w:rPr>
        <w:t>dostupných údajov).</w:t>
      </w:r>
    </w:p>
    <w:p w14:paraId="435BFDF0" w14:textId="77777777" w:rsidR="00FE0D53" w:rsidRPr="00306582" w:rsidRDefault="00FE0D53" w:rsidP="00725147">
      <w:pPr>
        <w:ind w:right="74"/>
        <w:jc w:val="center"/>
        <w:rPr>
          <w:sz w:val="22"/>
          <w:szCs w:val="22"/>
        </w:rPr>
      </w:pPr>
    </w:p>
    <w:tbl>
      <w:tblPr>
        <w:tblW w:w="9210" w:type="dxa"/>
        <w:tblLayout w:type="fixed"/>
        <w:tblCellMar>
          <w:left w:w="10" w:type="dxa"/>
          <w:right w:w="10" w:type="dxa"/>
        </w:tblCellMar>
        <w:tblLook w:val="0000" w:firstRow="0" w:lastRow="0" w:firstColumn="0" w:lastColumn="0" w:noHBand="0" w:noVBand="0"/>
      </w:tblPr>
      <w:tblGrid>
        <w:gridCol w:w="3070"/>
        <w:gridCol w:w="3070"/>
        <w:gridCol w:w="3070"/>
      </w:tblGrid>
      <w:tr w:rsidR="00FE0D53" w:rsidRPr="005A12AC" w14:paraId="33C7BCA7" w14:textId="77777777" w:rsidTr="00BB7A71">
        <w:tc>
          <w:tcPr>
            <w:tcW w:w="30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B29C27E" w14:textId="77777777" w:rsidR="00FE0D53" w:rsidRPr="00725147" w:rsidRDefault="00FE0D53" w:rsidP="00725147">
            <w:pPr>
              <w:keepNext/>
              <w:spacing w:before="120" w:after="120"/>
              <w:ind w:right="74"/>
              <w:jc w:val="center"/>
              <w:rPr>
                <w:b/>
                <w:sz w:val="22"/>
                <w:szCs w:val="22"/>
              </w:rPr>
            </w:pPr>
            <w:r w:rsidRPr="00306582">
              <w:rPr>
                <w:b/>
                <w:sz w:val="22"/>
                <w:szCs w:val="22"/>
              </w:rPr>
              <w:t>Trieda orgánových systémov</w:t>
            </w:r>
          </w:p>
        </w:tc>
        <w:tc>
          <w:tcPr>
            <w:tcW w:w="30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C17419A" w14:textId="77777777" w:rsidR="00FE0D53" w:rsidRPr="00725147" w:rsidRDefault="00FE0D53" w:rsidP="00725147">
            <w:pPr>
              <w:keepNext/>
              <w:spacing w:before="120" w:after="120"/>
              <w:ind w:right="74"/>
              <w:jc w:val="center"/>
              <w:rPr>
                <w:b/>
                <w:sz w:val="22"/>
                <w:szCs w:val="22"/>
              </w:rPr>
            </w:pPr>
            <w:r w:rsidRPr="00306582">
              <w:rPr>
                <w:b/>
                <w:sz w:val="22"/>
                <w:szCs w:val="22"/>
              </w:rPr>
              <w:t>Nežiaduca reakcia/udalosť</w:t>
            </w:r>
          </w:p>
        </w:tc>
        <w:tc>
          <w:tcPr>
            <w:tcW w:w="30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33C8504" w14:textId="77777777" w:rsidR="00FE0D53" w:rsidRPr="00725147" w:rsidRDefault="00FE0D53" w:rsidP="00725147">
            <w:pPr>
              <w:keepNext/>
              <w:spacing w:before="120" w:after="120"/>
              <w:ind w:right="74"/>
              <w:jc w:val="center"/>
              <w:rPr>
                <w:sz w:val="22"/>
                <w:szCs w:val="22"/>
              </w:rPr>
            </w:pPr>
            <w:r w:rsidRPr="00306582">
              <w:rPr>
                <w:b/>
                <w:sz w:val="22"/>
                <w:szCs w:val="22"/>
              </w:rPr>
              <w:t>Frekvencia výskytu</w:t>
            </w:r>
          </w:p>
        </w:tc>
      </w:tr>
      <w:tr w:rsidR="00FE0D53" w:rsidRPr="005A12AC" w14:paraId="592FED70" w14:textId="77777777" w:rsidTr="00BB7A71">
        <w:tc>
          <w:tcPr>
            <w:tcW w:w="3070"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09D101D" w14:textId="77777777" w:rsidR="00FE0D53" w:rsidRPr="00725147" w:rsidRDefault="00FE0D53">
            <w:pPr>
              <w:ind w:right="72"/>
              <w:rPr>
                <w:b/>
                <w:sz w:val="22"/>
                <w:szCs w:val="22"/>
              </w:rPr>
            </w:pPr>
            <w:r w:rsidRPr="00725147">
              <w:rPr>
                <w:b/>
                <w:sz w:val="22"/>
                <w:szCs w:val="22"/>
              </w:rPr>
              <w:t>Poruchy kože a podkožného tkaniva</w:t>
            </w:r>
          </w:p>
        </w:tc>
        <w:tc>
          <w:tcPr>
            <w:tcW w:w="30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47FD9E9" w14:textId="25F91F24" w:rsidR="00FE0D53" w:rsidRPr="00725147" w:rsidRDefault="00CD2802">
            <w:pPr>
              <w:ind w:right="72"/>
              <w:rPr>
                <w:sz w:val="22"/>
                <w:szCs w:val="22"/>
              </w:rPr>
            </w:pPr>
            <w:r w:rsidRPr="00306582">
              <w:rPr>
                <w:sz w:val="22"/>
                <w:szCs w:val="22"/>
              </w:rPr>
              <w:t>s</w:t>
            </w:r>
            <w:r w:rsidR="00FE0D53" w:rsidRPr="00306582">
              <w:rPr>
                <w:sz w:val="22"/>
                <w:szCs w:val="22"/>
              </w:rPr>
              <w:t>uchá alebo olupujúca sa koža</w:t>
            </w:r>
          </w:p>
        </w:tc>
        <w:tc>
          <w:tcPr>
            <w:tcW w:w="30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7D7B461" w14:textId="612C5FC0" w:rsidR="00FE0D53" w:rsidRPr="00725147" w:rsidRDefault="00CD2802">
            <w:pPr>
              <w:ind w:right="72"/>
              <w:rPr>
                <w:sz w:val="22"/>
                <w:szCs w:val="22"/>
              </w:rPr>
            </w:pPr>
            <w:r w:rsidRPr="00306582">
              <w:rPr>
                <w:sz w:val="22"/>
                <w:szCs w:val="22"/>
              </w:rPr>
              <w:t>časté</w:t>
            </w:r>
          </w:p>
        </w:tc>
      </w:tr>
      <w:tr w:rsidR="00FE0D53" w:rsidRPr="005A12AC" w14:paraId="3A220848" w14:textId="77777777" w:rsidTr="00BB7A71">
        <w:tc>
          <w:tcPr>
            <w:tcW w:w="3070"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EB4D9BA" w14:textId="77777777" w:rsidR="00FE0D53" w:rsidRPr="00725147" w:rsidRDefault="00FE0D53">
            <w:pPr>
              <w:ind w:right="72"/>
              <w:rPr>
                <w:b/>
                <w:sz w:val="22"/>
                <w:szCs w:val="22"/>
              </w:rPr>
            </w:pPr>
          </w:p>
        </w:tc>
        <w:tc>
          <w:tcPr>
            <w:tcW w:w="30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B116799" w14:textId="7E622103" w:rsidR="00841A9F" w:rsidRDefault="00CD2802" w:rsidP="00744BC4">
            <w:pPr>
              <w:ind w:right="72"/>
              <w:rPr>
                <w:sz w:val="22"/>
                <w:szCs w:val="22"/>
              </w:rPr>
            </w:pPr>
            <w:r w:rsidRPr="00306582">
              <w:rPr>
                <w:sz w:val="22"/>
                <w:szCs w:val="22"/>
              </w:rPr>
              <w:t xml:space="preserve">prechodné </w:t>
            </w:r>
            <w:r w:rsidR="00FE0D53" w:rsidRPr="00306582">
              <w:rPr>
                <w:sz w:val="22"/>
                <w:szCs w:val="22"/>
              </w:rPr>
              <w:t>pálenie, štípanie alebo pichanie (po aplikácii lieku)</w:t>
            </w:r>
            <w:r w:rsidR="00117F88">
              <w:rPr>
                <w:sz w:val="22"/>
                <w:szCs w:val="22"/>
              </w:rPr>
              <w:t>;</w:t>
            </w:r>
            <w:r w:rsidR="002C3D9E">
              <w:rPr>
                <w:sz w:val="22"/>
                <w:szCs w:val="22"/>
              </w:rPr>
              <w:t xml:space="preserve"> </w:t>
            </w:r>
          </w:p>
          <w:p w14:paraId="379D9EF4" w14:textId="4A532C29" w:rsidR="00FE0D53" w:rsidRPr="00725147" w:rsidRDefault="00DE7E2E" w:rsidP="00744BC4">
            <w:pPr>
              <w:ind w:right="72"/>
              <w:rPr>
                <w:sz w:val="22"/>
                <w:szCs w:val="22"/>
              </w:rPr>
            </w:pPr>
            <w:r w:rsidRPr="00306582">
              <w:rPr>
                <w:sz w:val="22"/>
                <w:szCs w:val="22"/>
              </w:rPr>
              <w:t>s</w:t>
            </w:r>
            <w:r w:rsidR="00FE0D53" w:rsidRPr="00306582">
              <w:rPr>
                <w:sz w:val="22"/>
                <w:szCs w:val="22"/>
              </w:rPr>
              <w:t>vrbenie</w:t>
            </w:r>
          </w:p>
        </w:tc>
        <w:tc>
          <w:tcPr>
            <w:tcW w:w="30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4E7C29E" w14:textId="73D20C1D" w:rsidR="00FE0D53" w:rsidRPr="00725147" w:rsidRDefault="00CD2802">
            <w:pPr>
              <w:ind w:right="72"/>
              <w:rPr>
                <w:sz w:val="22"/>
                <w:szCs w:val="22"/>
              </w:rPr>
            </w:pPr>
            <w:r w:rsidRPr="00306582">
              <w:rPr>
                <w:sz w:val="22"/>
                <w:szCs w:val="22"/>
              </w:rPr>
              <w:t xml:space="preserve">menej </w:t>
            </w:r>
            <w:r w:rsidR="00FE0D53" w:rsidRPr="00306582">
              <w:rPr>
                <w:sz w:val="22"/>
                <w:szCs w:val="22"/>
              </w:rPr>
              <w:t>časté</w:t>
            </w:r>
          </w:p>
        </w:tc>
      </w:tr>
      <w:tr w:rsidR="00FE0D53" w:rsidRPr="005A12AC" w14:paraId="71CA64EE" w14:textId="77777777" w:rsidTr="00BB7A71">
        <w:tc>
          <w:tcPr>
            <w:tcW w:w="3070"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6A486AD" w14:textId="77777777" w:rsidR="00FE0D53" w:rsidRPr="00725147" w:rsidRDefault="00FE0D53">
            <w:pPr>
              <w:ind w:right="72"/>
              <w:rPr>
                <w:b/>
                <w:sz w:val="22"/>
                <w:szCs w:val="22"/>
              </w:rPr>
            </w:pPr>
          </w:p>
        </w:tc>
        <w:tc>
          <w:tcPr>
            <w:tcW w:w="30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0CF707E" w14:textId="5C27B1F7" w:rsidR="00841A9F" w:rsidRDefault="00DE7E2E">
            <w:pPr>
              <w:ind w:right="72"/>
              <w:rPr>
                <w:sz w:val="22"/>
                <w:szCs w:val="22"/>
              </w:rPr>
            </w:pPr>
            <w:proofErr w:type="spellStart"/>
            <w:r w:rsidRPr="00306582">
              <w:rPr>
                <w:sz w:val="22"/>
                <w:szCs w:val="22"/>
              </w:rPr>
              <w:t>erytém</w:t>
            </w:r>
            <w:proofErr w:type="spellEnd"/>
            <w:r w:rsidR="00117F88">
              <w:rPr>
                <w:sz w:val="22"/>
                <w:szCs w:val="22"/>
              </w:rPr>
              <w:t>;</w:t>
            </w:r>
          </w:p>
          <w:p w14:paraId="31C5F12F" w14:textId="5E73A7B8" w:rsidR="00FE0D53" w:rsidRPr="00725147" w:rsidRDefault="00DE7E2E">
            <w:pPr>
              <w:ind w:right="72"/>
              <w:rPr>
                <w:sz w:val="22"/>
                <w:szCs w:val="22"/>
              </w:rPr>
            </w:pPr>
            <w:r w:rsidRPr="00306582">
              <w:rPr>
                <w:sz w:val="22"/>
                <w:szCs w:val="22"/>
              </w:rPr>
              <w:t xml:space="preserve">zmeny </w:t>
            </w:r>
            <w:r w:rsidR="00FE0D53" w:rsidRPr="00306582">
              <w:rPr>
                <w:sz w:val="22"/>
                <w:szCs w:val="22"/>
              </w:rPr>
              <w:t>pigmentácie</w:t>
            </w:r>
            <w:r w:rsidR="00BC0A84">
              <w:rPr>
                <w:sz w:val="22"/>
                <w:szCs w:val="22"/>
              </w:rPr>
              <w:t>;</w:t>
            </w:r>
          </w:p>
          <w:p w14:paraId="11C277B0" w14:textId="69CC594E" w:rsidR="00FE0D53" w:rsidRPr="00725147" w:rsidRDefault="00DE7E2E">
            <w:pPr>
              <w:ind w:right="72"/>
              <w:rPr>
                <w:sz w:val="22"/>
                <w:szCs w:val="22"/>
              </w:rPr>
            </w:pPr>
            <w:r w:rsidRPr="00306582">
              <w:rPr>
                <w:sz w:val="22"/>
                <w:szCs w:val="22"/>
              </w:rPr>
              <w:t>v </w:t>
            </w:r>
            <w:r w:rsidR="00FE0D53" w:rsidRPr="00306582">
              <w:rPr>
                <w:sz w:val="22"/>
                <w:szCs w:val="22"/>
              </w:rPr>
              <w:t xml:space="preserve">štúdiách </w:t>
            </w:r>
            <w:proofErr w:type="spellStart"/>
            <w:r w:rsidR="00FE0D53" w:rsidRPr="00306582">
              <w:rPr>
                <w:sz w:val="22"/>
                <w:szCs w:val="22"/>
              </w:rPr>
              <w:t>dermálnej</w:t>
            </w:r>
            <w:proofErr w:type="spellEnd"/>
            <w:r w:rsidR="00FE0D53" w:rsidRPr="00306582">
              <w:rPr>
                <w:sz w:val="22"/>
                <w:szCs w:val="22"/>
              </w:rPr>
              <w:t xml:space="preserve"> bezpečnosti sa pozorovala kontaktná dermatitída </w:t>
            </w:r>
            <w:r w:rsidR="00FE0D53" w:rsidRPr="00306582">
              <w:rPr>
                <w:sz w:val="22"/>
                <w:szCs w:val="22"/>
              </w:rPr>
              <w:lastRenderedPageBreak/>
              <w:t>po</w:t>
            </w:r>
            <w:r w:rsidR="00BC0A84">
              <w:rPr>
                <w:sz w:val="22"/>
                <w:szCs w:val="22"/>
              </w:rPr>
              <w:t> </w:t>
            </w:r>
            <w:r w:rsidR="00FE0D53" w:rsidRPr="00306582">
              <w:rPr>
                <w:sz w:val="22"/>
                <w:szCs w:val="22"/>
              </w:rPr>
              <w:t>aplikácii pod </w:t>
            </w:r>
            <w:proofErr w:type="spellStart"/>
            <w:r w:rsidR="00FE0D53" w:rsidRPr="00306582">
              <w:rPr>
                <w:sz w:val="22"/>
                <w:szCs w:val="22"/>
              </w:rPr>
              <w:t>oklúziou</w:t>
            </w:r>
            <w:proofErr w:type="spellEnd"/>
            <w:r w:rsidR="003C5217">
              <w:rPr>
                <w:sz w:val="22"/>
                <w:szCs w:val="22"/>
              </w:rPr>
              <w:t xml:space="preserve"> – </w:t>
            </w:r>
            <w:r w:rsidRPr="00306582">
              <w:rPr>
                <w:sz w:val="22"/>
                <w:szCs w:val="22"/>
              </w:rPr>
              <w:t>v </w:t>
            </w:r>
            <w:r w:rsidR="00FE0D53" w:rsidRPr="00306582">
              <w:rPr>
                <w:sz w:val="22"/>
                <w:szCs w:val="22"/>
              </w:rPr>
              <w:t xml:space="preserve">uskutočnených testoch citlivosti bol príčinou reakcie </w:t>
            </w:r>
            <w:proofErr w:type="spellStart"/>
            <w:r w:rsidR="00FE0D53" w:rsidRPr="00306582">
              <w:rPr>
                <w:sz w:val="22"/>
                <w:szCs w:val="22"/>
              </w:rPr>
              <w:t>hydrokortizón</w:t>
            </w:r>
            <w:proofErr w:type="spellEnd"/>
            <w:r w:rsidR="00FE0D53" w:rsidRPr="00306582">
              <w:rPr>
                <w:sz w:val="22"/>
                <w:szCs w:val="22"/>
              </w:rPr>
              <w:t xml:space="preserve"> alebo zložka krémového základu</w:t>
            </w:r>
            <w:r w:rsidR="00841A9F">
              <w:rPr>
                <w:sz w:val="22"/>
                <w:szCs w:val="22"/>
              </w:rPr>
              <w:t>;</w:t>
            </w:r>
          </w:p>
          <w:p w14:paraId="6C7645B8" w14:textId="6E5B6A9C" w:rsidR="00FE0D53" w:rsidRPr="00725147" w:rsidRDefault="00DE7E2E">
            <w:pPr>
              <w:ind w:right="72"/>
              <w:rPr>
                <w:sz w:val="22"/>
                <w:szCs w:val="22"/>
              </w:rPr>
            </w:pPr>
            <w:r w:rsidRPr="00306582">
              <w:rPr>
                <w:sz w:val="22"/>
                <w:szCs w:val="22"/>
              </w:rPr>
              <w:t xml:space="preserve">reakcie </w:t>
            </w:r>
            <w:r w:rsidR="00FE0D53" w:rsidRPr="00306582">
              <w:rPr>
                <w:sz w:val="22"/>
                <w:szCs w:val="22"/>
              </w:rPr>
              <w:t>v mieste aplikácie vrátane prejavov a príznakov zápalu</w:t>
            </w:r>
          </w:p>
        </w:tc>
        <w:tc>
          <w:tcPr>
            <w:tcW w:w="30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05D992F" w14:textId="4415E319" w:rsidR="00FE0D53" w:rsidRPr="00725147" w:rsidRDefault="00CD2802">
            <w:pPr>
              <w:ind w:right="72"/>
              <w:rPr>
                <w:sz w:val="22"/>
                <w:szCs w:val="22"/>
              </w:rPr>
            </w:pPr>
            <w:r w:rsidRPr="00306582">
              <w:rPr>
                <w:sz w:val="22"/>
                <w:szCs w:val="22"/>
              </w:rPr>
              <w:lastRenderedPageBreak/>
              <w:t>z</w:t>
            </w:r>
            <w:r w:rsidR="00FE0D53" w:rsidRPr="00306582">
              <w:rPr>
                <w:sz w:val="22"/>
                <w:szCs w:val="22"/>
              </w:rPr>
              <w:t>riedkavé</w:t>
            </w:r>
          </w:p>
        </w:tc>
      </w:tr>
      <w:tr w:rsidR="00FE0D53" w:rsidRPr="005A12AC" w14:paraId="3C932112" w14:textId="77777777" w:rsidTr="00BB7A71">
        <w:tc>
          <w:tcPr>
            <w:tcW w:w="30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C8EFBE3" w14:textId="77777777" w:rsidR="00FE0D53" w:rsidRPr="00725147" w:rsidRDefault="00FE0D53">
            <w:pPr>
              <w:ind w:right="72"/>
              <w:rPr>
                <w:b/>
                <w:sz w:val="22"/>
                <w:szCs w:val="22"/>
              </w:rPr>
            </w:pPr>
            <w:r w:rsidRPr="00725147">
              <w:rPr>
                <w:b/>
                <w:sz w:val="22"/>
                <w:szCs w:val="22"/>
              </w:rPr>
              <w:lastRenderedPageBreak/>
              <w:t>Poruchy imunitného systému</w:t>
            </w:r>
          </w:p>
        </w:tc>
        <w:tc>
          <w:tcPr>
            <w:tcW w:w="30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462365E" w14:textId="637C0C29" w:rsidR="00FE0D53" w:rsidRPr="00725147" w:rsidRDefault="00CD2802">
            <w:pPr>
              <w:ind w:right="72"/>
              <w:rPr>
                <w:sz w:val="22"/>
                <w:szCs w:val="22"/>
              </w:rPr>
            </w:pPr>
            <w:r w:rsidRPr="00306582">
              <w:rPr>
                <w:sz w:val="22"/>
                <w:szCs w:val="22"/>
              </w:rPr>
              <w:t xml:space="preserve">okamžité </w:t>
            </w:r>
            <w:r w:rsidR="00FE0D53" w:rsidRPr="00306582">
              <w:rPr>
                <w:sz w:val="22"/>
                <w:szCs w:val="22"/>
              </w:rPr>
              <w:t xml:space="preserve">reakcie z precitlivenosti vrátane </w:t>
            </w:r>
            <w:proofErr w:type="spellStart"/>
            <w:r w:rsidR="00FE0D53" w:rsidRPr="00306582">
              <w:rPr>
                <w:sz w:val="22"/>
                <w:szCs w:val="22"/>
              </w:rPr>
              <w:t>angioedému</w:t>
            </w:r>
            <w:proofErr w:type="spellEnd"/>
          </w:p>
        </w:tc>
        <w:tc>
          <w:tcPr>
            <w:tcW w:w="30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6CC7437" w14:textId="28EB6E5E" w:rsidR="00FE0D53" w:rsidRPr="00725147" w:rsidRDefault="00CD2802">
            <w:pPr>
              <w:ind w:right="72"/>
              <w:rPr>
                <w:sz w:val="22"/>
                <w:szCs w:val="22"/>
              </w:rPr>
            </w:pPr>
            <w:r w:rsidRPr="00306582">
              <w:rPr>
                <w:sz w:val="22"/>
                <w:szCs w:val="22"/>
              </w:rPr>
              <w:t xml:space="preserve">veľmi </w:t>
            </w:r>
            <w:r w:rsidR="00FE0D53" w:rsidRPr="00306582">
              <w:rPr>
                <w:sz w:val="22"/>
                <w:szCs w:val="22"/>
              </w:rPr>
              <w:t>zriedkavé</w:t>
            </w:r>
          </w:p>
        </w:tc>
      </w:tr>
      <w:tr w:rsidR="00E844D4" w:rsidRPr="005A12AC" w14:paraId="268D4C6A" w14:textId="77777777" w:rsidTr="00BB7A71">
        <w:tc>
          <w:tcPr>
            <w:tcW w:w="30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3688721" w14:textId="77777777" w:rsidR="00E844D4" w:rsidRPr="00EE297C" w:rsidRDefault="008509F3">
            <w:pPr>
              <w:ind w:right="72"/>
              <w:rPr>
                <w:b/>
                <w:sz w:val="22"/>
                <w:szCs w:val="22"/>
              </w:rPr>
            </w:pPr>
            <w:r w:rsidRPr="00725147">
              <w:rPr>
                <w:rFonts w:eastAsia="Calibri"/>
                <w:b/>
                <w:sz w:val="22"/>
                <w:szCs w:val="22"/>
              </w:rPr>
              <w:t>Poruchy oka</w:t>
            </w:r>
          </w:p>
        </w:tc>
        <w:tc>
          <w:tcPr>
            <w:tcW w:w="30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C14E3CB" w14:textId="6AF5CE15" w:rsidR="00E844D4" w:rsidRPr="00306582" w:rsidDel="00CD2802" w:rsidRDefault="008509F3">
            <w:pPr>
              <w:ind w:right="72"/>
              <w:rPr>
                <w:sz w:val="22"/>
                <w:szCs w:val="22"/>
              </w:rPr>
            </w:pPr>
            <w:r w:rsidRPr="00725147">
              <w:rPr>
                <w:sz w:val="22"/>
                <w:szCs w:val="22"/>
              </w:rPr>
              <w:t>rozmazané videnie</w:t>
            </w:r>
            <w:commentRangeStart w:id="7"/>
            <w:r w:rsidR="00841A9F">
              <w:rPr>
                <w:sz w:val="22"/>
                <w:szCs w:val="22"/>
              </w:rPr>
              <w:t xml:space="preserve"> (pozri tiež časť 4.4)</w:t>
            </w:r>
            <w:commentRangeEnd w:id="7"/>
          </w:p>
        </w:tc>
        <w:tc>
          <w:tcPr>
            <w:tcW w:w="30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8739E51" w14:textId="77777777" w:rsidR="00E844D4" w:rsidRPr="00306582" w:rsidDel="00CD2802" w:rsidRDefault="008509F3">
            <w:pPr>
              <w:ind w:right="72"/>
              <w:rPr>
                <w:sz w:val="22"/>
                <w:szCs w:val="22"/>
              </w:rPr>
            </w:pPr>
            <w:r w:rsidRPr="00725147">
              <w:rPr>
                <w:rFonts w:eastAsia="Calibri"/>
                <w:sz w:val="22"/>
                <w:szCs w:val="22"/>
              </w:rPr>
              <w:t>neznáme</w:t>
            </w:r>
          </w:p>
        </w:tc>
      </w:tr>
    </w:tbl>
    <w:p w14:paraId="15B940D2" w14:textId="77777777" w:rsidR="00FE0D53" w:rsidRPr="00306582" w:rsidRDefault="00FE0D53">
      <w:pPr>
        <w:ind w:right="72"/>
        <w:rPr>
          <w:sz w:val="22"/>
          <w:szCs w:val="22"/>
        </w:rPr>
      </w:pPr>
    </w:p>
    <w:p w14:paraId="7EF8889C" w14:textId="77777777" w:rsidR="00FE0D53" w:rsidRPr="00306582" w:rsidRDefault="00FE0D53" w:rsidP="00725147">
      <w:pPr>
        <w:pStyle w:val="BodyText21"/>
        <w:rPr>
          <w:szCs w:val="22"/>
        </w:rPr>
      </w:pPr>
      <w:r w:rsidRPr="00306582">
        <w:rPr>
          <w:szCs w:val="22"/>
        </w:rPr>
        <w:t>Na základe skúseností s </w:t>
      </w:r>
      <w:proofErr w:type="spellStart"/>
      <w:r w:rsidRPr="00306582">
        <w:rPr>
          <w:szCs w:val="22"/>
        </w:rPr>
        <w:t>aciklovirom</w:t>
      </w:r>
      <w:proofErr w:type="spellEnd"/>
      <w:r w:rsidRPr="00306582">
        <w:rPr>
          <w:szCs w:val="22"/>
        </w:rPr>
        <w:t xml:space="preserve"> v </w:t>
      </w:r>
      <w:proofErr w:type="spellStart"/>
      <w:r w:rsidRPr="00306582">
        <w:rPr>
          <w:szCs w:val="22"/>
        </w:rPr>
        <w:t>monoterapii</w:t>
      </w:r>
      <w:proofErr w:type="spellEnd"/>
      <w:r w:rsidRPr="00306582">
        <w:rPr>
          <w:szCs w:val="22"/>
        </w:rPr>
        <w:t xml:space="preserve">, ktoré sa získali po jeho uvedení na trh, sa ako veľmi zriedkavá nežiaduca reakcia zistili okamžité reakcie z precitlivenosti vrátane </w:t>
      </w:r>
      <w:proofErr w:type="spellStart"/>
      <w:r w:rsidRPr="00306582">
        <w:rPr>
          <w:szCs w:val="22"/>
        </w:rPr>
        <w:t>angioedému</w:t>
      </w:r>
      <w:proofErr w:type="spellEnd"/>
      <w:r w:rsidRPr="00306582">
        <w:rPr>
          <w:szCs w:val="22"/>
        </w:rPr>
        <w:t>.</w:t>
      </w:r>
    </w:p>
    <w:p w14:paraId="1F9DBE16" w14:textId="72EFF5D6" w:rsidR="00FE0D53" w:rsidRPr="00306582" w:rsidRDefault="00FE0D53" w:rsidP="00725147">
      <w:pPr>
        <w:pStyle w:val="BodyText21"/>
        <w:rPr>
          <w:szCs w:val="22"/>
        </w:rPr>
      </w:pPr>
    </w:p>
    <w:p w14:paraId="01921DC0" w14:textId="77777777" w:rsidR="00FE0D53" w:rsidRDefault="00FE0D53" w:rsidP="00725147">
      <w:pPr>
        <w:keepNext/>
        <w:ind w:right="72"/>
        <w:rPr>
          <w:sz w:val="22"/>
          <w:szCs w:val="22"/>
          <w:u w:val="single"/>
        </w:rPr>
      </w:pPr>
      <w:r w:rsidRPr="00306582">
        <w:rPr>
          <w:sz w:val="22"/>
          <w:szCs w:val="22"/>
          <w:u w:val="single"/>
        </w:rPr>
        <w:t>Pediatrická populácia</w:t>
      </w:r>
    </w:p>
    <w:p w14:paraId="5D8BF45D" w14:textId="77777777" w:rsidR="00DF120F" w:rsidRPr="00306582" w:rsidRDefault="00DF120F" w:rsidP="00725147">
      <w:pPr>
        <w:keepNext/>
        <w:ind w:right="72"/>
        <w:rPr>
          <w:sz w:val="22"/>
          <w:szCs w:val="22"/>
          <w:u w:val="single"/>
        </w:rPr>
      </w:pPr>
    </w:p>
    <w:p w14:paraId="40CAA41B" w14:textId="77777777" w:rsidR="00FE0D53" w:rsidRPr="00306582" w:rsidRDefault="00FE0D53">
      <w:pPr>
        <w:pStyle w:val="BodyText21"/>
        <w:rPr>
          <w:szCs w:val="22"/>
        </w:rPr>
      </w:pPr>
      <w:r w:rsidRPr="00306582">
        <w:rPr>
          <w:szCs w:val="22"/>
        </w:rPr>
        <w:t>Bezpečnostný profil u dospievajúcich (vo veku 12 − 17 rokov) bol podobný ako u dospelých.</w:t>
      </w:r>
    </w:p>
    <w:p w14:paraId="39066D6F" w14:textId="77777777" w:rsidR="00FE0D53" w:rsidRPr="00306582" w:rsidRDefault="00FE0D53">
      <w:pPr>
        <w:pStyle w:val="BodyText21"/>
        <w:rPr>
          <w:szCs w:val="22"/>
        </w:rPr>
      </w:pPr>
    </w:p>
    <w:p w14:paraId="46A11C0E" w14:textId="77777777" w:rsidR="00FE0D53" w:rsidRDefault="00FE0D53" w:rsidP="00725147">
      <w:pPr>
        <w:pStyle w:val="NormalWeb1"/>
        <w:keepNext/>
        <w:spacing w:before="0"/>
        <w:jc w:val="both"/>
        <w:rPr>
          <w:sz w:val="22"/>
          <w:szCs w:val="22"/>
          <w:u w:val="single"/>
        </w:rPr>
      </w:pPr>
      <w:r w:rsidRPr="00306582">
        <w:rPr>
          <w:sz w:val="22"/>
          <w:szCs w:val="22"/>
          <w:u w:val="single"/>
        </w:rPr>
        <w:t>Hlásenie podozrení na nežiaduce reakcie</w:t>
      </w:r>
    </w:p>
    <w:p w14:paraId="2DBE3208" w14:textId="77777777" w:rsidR="00DF120F" w:rsidRPr="00725147" w:rsidRDefault="00DF120F" w:rsidP="00725147">
      <w:pPr>
        <w:pStyle w:val="NormalWeb1"/>
        <w:keepNext/>
        <w:spacing w:before="0"/>
        <w:jc w:val="both"/>
        <w:rPr>
          <w:sz w:val="22"/>
          <w:szCs w:val="22"/>
        </w:rPr>
      </w:pPr>
    </w:p>
    <w:p w14:paraId="74923ACA" w14:textId="4105E709" w:rsidR="00FE0D53" w:rsidRPr="00306582" w:rsidRDefault="00FE0D53" w:rsidP="00725147">
      <w:pPr>
        <w:pStyle w:val="NormalWeb1"/>
        <w:spacing w:before="0"/>
        <w:rPr>
          <w:sz w:val="22"/>
          <w:szCs w:val="22"/>
        </w:rPr>
      </w:pPr>
      <w:r w:rsidRPr="00306582">
        <w:rPr>
          <w:sz w:val="22"/>
          <w:szCs w:val="22"/>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AF1EFE" w:rsidRPr="00306582">
        <w:rPr>
          <w:sz w:val="22"/>
          <w:szCs w:val="22"/>
        </w:rPr>
        <w:t xml:space="preserve">na </w:t>
      </w:r>
      <w:r w:rsidRPr="00306582">
        <w:rPr>
          <w:sz w:val="22"/>
          <w:szCs w:val="22"/>
          <w:shd w:val="clear" w:color="auto" w:fill="C0C0C0"/>
        </w:rPr>
        <w:t xml:space="preserve">národné </w:t>
      </w:r>
      <w:r w:rsidR="00AF1EFE" w:rsidRPr="00306582">
        <w:rPr>
          <w:sz w:val="22"/>
          <w:szCs w:val="22"/>
          <w:shd w:val="clear" w:color="auto" w:fill="C0C0C0"/>
        </w:rPr>
        <w:t xml:space="preserve">centrum </w:t>
      </w:r>
      <w:r w:rsidRPr="00306582">
        <w:rPr>
          <w:sz w:val="22"/>
          <w:szCs w:val="22"/>
          <w:shd w:val="clear" w:color="auto" w:fill="C0C0C0"/>
        </w:rPr>
        <w:t>hlásenia uvedené v </w:t>
      </w:r>
      <w:hyperlink r:id="rId7" w:history="1">
        <w:r w:rsidRPr="00306582">
          <w:rPr>
            <w:rStyle w:val="Hypertextovprepojenie"/>
            <w:sz w:val="22"/>
            <w:szCs w:val="22"/>
            <w:shd w:val="clear" w:color="auto" w:fill="C0C0C0"/>
          </w:rPr>
          <w:t>Prílohe V</w:t>
        </w:r>
      </w:hyperlink>
      <w:r w:rsidRPr="00306582">
        <w:rPr>
          <w:sz w:val="22"/>
          <w:szCs w:val="22"/>
        </w:rPr>
        <w:t>.</w:t>
      </w:r>
    </w:p>
    <w:p w14:paraId="28E64814" w14:textId="77777777" w:rsidR="00FE0D53" w:rsidRPr="00306582" w:rsidRDefault="00FE0D53">
      <w:pPr>
        <w:pStyle w:val="BodyText21"/>
        <w:rPr>
          <w:szCs w:val="22"/>
        </w:rPr>
      </w:pPr>
    </w:p>
    <w:p w14:paraId="2567E1F0" w14:textId="77777777" w:rsidR="00FE0D53" w:rsidRPr="00306582" w:rsidRDefault="00FE0D53" w:rsidP="00725147">
      <w:pPr>
        <w:pStyle w:val="BodyText21"/>
        <w:keepNext/>
        <w:rPr>
          <w:b/>
          <w:bCs/>
          <w:szCs w:val="22"/>
        </w:rPr>
      </w:pPr>
      <w:r w:rsidRPr="00306582">
        <w:rPr>
          <w:b/>
          <w:bCs/>
          <w:szCs w:val="22"/>
        </w:rPr>
        <w:t>4.9</w:t>
      </w:r>
      <w:r w:rsidRPr="00306582">
        <w:rPr>
          <w:b/>
          <w:bCs/>
          <w:szCs w:val="22"/>
        </w:rPr>
        <w:tab/>
        <w:t>Predávkovanie</w:t>
      </w:r>
    </w:p>
    <w:p w14:paraId="1D537048" w14:textId="77777777" w:rsidR="00FE0D53" w:rsidRPr="00306582" w:rsidRDefault="00FE0D53" w:rsidP="00725147">
      <w:pPr>
        <w:pStyle w:val="BodyText21"/>
        <w:keepNext/>
        <w:rPr>
          <w:b/>
          <w:bCs/>
          <w:szCs w:val="22"/>
        </w:rPr>
      </w:pPr>
    </w:p>
    <w:p w14:paraId="2507478F" w14:textId="1A7D2E25" w:rsidR="00FE0D53" w:rsidRPr="00306582" w:rsidRDefault="00FE0D53">
      <w:pPr>
        <w:rPr>
          <w:sz w:val="22"/>
          <w:szCs w:val="22"/>
        </w:rPr>
      </w:pPr>
      <w:r w:rsidRPr="00306582">
        <w:rPr>
          <w:sz w:val="22"/>
          <w:szCs w:val="22"/>
        </w:rPr>
        <w:t>Ak by došlo k požitiu celého obsahu 2</w:t>
      </w:r>
      <w:r w:rsidR="00DE7E2E" w:rsidRPr="00306582">
        <w:rPr>
          <w:sz w:val="22"/>
          <w:szCs w:val="22"/>
        </w:rPr>
        <w:t> </w:t>
      </w:r>
      <w:r w:rsidRPr="00306582">
        <w:rPr>
          <w:sz w:val="22"/>
          <w:szCs w:val="22"/>
        </w:rPr>
        <w:t xml:space="preserve">g tuby </w:t>
      </w:r>
      <w:proofErr w:type="spellStart"/>
      <w:r w:rsidRPr="00306582">
        <w:rPr>
          <w:sz w:val="22"/>
          <w:szCs w:val="22"/>
        </w:rPr>
        <w:t>Zoviraxu</w:t>
      </w:r>
      <w:proofErr w:type="spellEnd"/>
      <w:r w:rsidRPr="00306582">
        <w:rPr>
          <w:sz w:val="22"/>
          <w:szCs w:val="22"/>
        </w:rPr>
        <w:t xml:space="preserve"> Duo alebo ak by sa celý tento obsah aplikoval topicky, neočakávajú sa dôsledku minimálnej systémovej expozície žiadne nežiaduce účinky. V prípade podozrenia na predávkovanie má byť liečba symptomatická.</w:t>
      </w:r>
    </w:p>
    <w:p w14:paraId="235104C7" w14:textId="77777777" w:rsidR="00FE0D53" w:rsidRPr="00306582" w:rsidRDefault="00FE0D53">
      <w:pPr>
        <w:pStyle w:val="BodyText21"/>
        <w:rPr>
          <w:szCs w:val="22"/>
        </w:rPr>
      </w:pPr>
    </w:p>
    <w:p w14:paraId="7631193C" w14:textId="77777777" w:rsidR="00FE0D53" w:rsidRPr="00306582" w:rsidRDefault="00FE0D53">
      <w:pPr>
        <w:pStyle w:val="BodyText21"/>
        <w:rPr>
          <w:szCs w:val="22"/>
        </w:rPr>
      </w:pPr>
    </w:p>
    <w:p w14:paraId="54A215EC" w14:textId="77777777" w:rsidR="00FE0D53" w:rsidRPr="00306582" w:rsidRDefault="00FE0D53" w:rsidP="00725147">
      <w:pPr>
        <w:pStyle w:val="BodyText21"/>
        <w:keepNext/>
        <w:rPr>
          <w:b/>
          <w:bCs/>
          <w:szCs w:val="22"/>
        </w:rPr>
      </w:pPr>
      <w:r w:rsidRPr="00306582">
        <w:rPr>
          <w:b/>
          <w:bCs/>
          <w:szCs w:val="22"/>
        </w:rPr>
        <w:t>5.</w:t>
      </w:r>
      <w:r w:rsidRPr="00306582">
        <w:rPr>
          <w:b/>
          <w:bCs/>
          <w:szCs w:val="22"/>
        </w:rPr>
        <w:tab/>
        <w:t>FARMAKOLOGICKÉ VLASTNOSTI</w:t>
      </w:r>
    </w:p>
    <w:p w14:paraId="692FD3C7" w14:textId="77777777" w:rsidR="00FE0D53" w:rsidRPr="00306582" w:rsidRDefault="00FE0D53" w:rsidP="00725147">
      <w:pPr>
        <w:pStyle w:val="BodyText21"/>
        <w:keepNext/>
        <w:rPr>
          <w:b/>
          <w:bCs/>
          <w:szCs w:val="22"/>
        </w:rPr>
      </w:pPr>
    </w:p>
    <w:p w14:paraId="6ADC5959" w14:textId="77777777" w:rsidR="00FE0D53" w:rsidRPr="00306582" w:rsidRDefault="00FE0D53" w:rsidP="00725147">
      <w:pPr>
        <w:pStyle w:val="BodyText21"/>
        <w:keepNext/>
        <w:rPr>
          <w:b/>
          <w:bCs/>
          <w:szCs w:val="22"/>
        </w:rPr>
      </w:pPr>
      <w:r w:rsidRPr="00306582">
        <w:rPr>
          <w:b/>
          <w:bCs/>
          <w:szCs w:val="22"/>
        </w:rPr>
        <w:t>5.1</w:t>
      </w:r>
      <w:r w:rsidRPr="00306582">
        <w:rPr>
          <w:b/>
          <w:bCs/>
          <w:szCs w:val="22"/>
        </w:rPr>
        <w:tab/>
      </w:r>
      <w:proofErr w:type="spellStart"/>
      <w:r w:rsidRPr="00306582">
        <w:rPr>
          <w:b/>
          <w:bCs/>
          <w:szCs w:val="22"/>
        </w:rPr>
        <w:t>Farmakodynamické</w:t>
      </w:r>
      <w:proofErr w:type="spellEnd"/>
      <w:r w:rsidRPr="00306582">
        <w:rPr>
          <w:b/>
          <w:bCs/>
          <w:szCs w:val="22"/>
        </w:rPr>
        <w:t xml:space="preserve"> vlastnosti</w:t>
      </w:r>
    </w:p>
    <w:p w14:paraId="225CA64B" w14:textId="77777777" w:rsidR="00FE0D53" w:rsidRPr="00306582" w:rsidRDefault="00FE0D53" w:rsidP="00725147">
      <w:pPr>
        <w:pStyle w:val="BodyText21"/>
        <w:keepNext/>
        <w:rPr>
          <w:b/>
          <w:bCs/>
          <w:szCs w:val="22"/>
        </w:rPr>
      </w:pPr>
    </w:p>
    <w:p w14:paraId="57644191" w14:textId="77777777" w:rsidR="00FE0D53" w:rsidRPr="00306582" w:rsidRDefault="00FE0D53">
      <w:pPr>
        <w:pStyle w:val="BodyText21"/>
        <w:rPr>
          <w:szCs w:val="22"/>
        </w:rPr>
      </w:pPr>
      <w:proofErr w:type="spellStart"/>
      <w:r w:rsidRPr="00306582">
        <w:rPr>
          <w:szCs w:val="22"/>
        </w:rPr>
        <w:t>Farmakoterapeutická</w:t>
      </w:r>
      <w:proofErr w:type="spellEnd"/>
      <w:r w:rsidRPr="00306582">
        <w:rPr>
          <w:szCs w:val="22"/>
        </w:rPr>
        <w:t xml:space="preserve"> skupina: </w:t>
      </w:r>
      <w:proofErr w:type="spellStart"/>
      <w:r w:rsidRPr="00306582">
        <w:rPr>
          <w:szCs w:val="22"/>
        </w:rPr>
        <w:t>antivirotiká</w:t>
      </w:r>
      <w:proofErr w:type="spellEnd"/>
      <w:r w:rsidRPr="00306582">
        <w:rPr>
          <w:szCs w:val="22"/>
        </w:rPr>
        <w:t>, ATC kód: D06BB53.</w:t>
      </w:r>
    </w:p>
    <w:p w14:paraId="3C344BF7" w14:textId="77777777" w:rsidR="00FE0D53" w:rsidRPr="00306582" w:rsidRDefault="00FE0D53">
      <w:pPr>
        <w:pStyle w:val="BodyText21"/>
        <w:rPr>
          <w:szCs w:val="22"/>
        </w:rPr>
      </w:pPr>
    </w:p>
    <w:p w14:paraId="3D5318F9" w14:textId="77777777" w:rsidR="00FE0D53" w:rsidRPr="00306582" w:rsidRDefault="00FE0D53">
      <w:pPr>
        <w:pStyle w:val="BodyText21"/>
        <w:rPr>
          <w:szCs w:val="22"/>
        </w:rPr>
      </w:pPr>
      <w:proofErr w:type="spellStart"/>
      <w:r w:rsidRPr="00306582">
        <w:rPr>
          <w:bCs/>
          <w:szCs w:val="22"/>
        </w:rPr>
        <w:t>Zovirax</w:t>
      </w:r>
      <w:proofErr w:type="spellEnd"/>
      <w:r w:rsidRPr="00306582">
        <w:rPr>
          <w:bCs/>
          <w:szCs w:val="22"/>
        </w:rPr>
        <w:t xml:space="preserve"> Duo</w:t>
      </w:r>
      <w:r w:rsidRPr="00306582">
        <w:rPr>
          <w:b/>
          <w:bCs/>
          <w:szCs w:val="22"/>
        </w:rPr>
        <w:t xml:space="preserve"> </w:t>
      </w:r>
      <w:r w:rsidRPr="00306582">
        <w:rPr>
          <w:szCs w:val="22"/>
        </w:rPr>
        <w:t xml:space="preserve">je kombináciou </w:t>
      </w:r>
      <w:proofErr w:type="spellStart"/>
      <w:r w:rsidRPr="00306582">
        <w:rPr>
          <w:szCs w:val="22"/>
        </w:rPr>
        <w:t>acikloviru</w:t>
      </w:r>
      <w:proofErr w:type="spellEnd"/>
      <w:r w:rsidRPr="00306582">
        <w:rPr>
          <w:szCs w:val="22"/>
        </w:rPr>
        <w:t xml:space="preserve"> 5 % m/m a </w:t>
      </w:r>
      <w:proofErr w:type="spellStart"/>
      <w:r w:rsidRPr="00306582">
        <w:rPr>
          <w:szCs w:val="22"/>
        </w:rPr>
        <w:t>hydrokortizónu</w:t>
      </w:r>
      <w:proofErr w:type="spellEnd"/>
      <w:r w:rsidRPr="00306582">
        <w:rPr>
          <w:szCs w:val="22"/>
        </w:rPr>
        <w:t xml:space="preserve"> 1 % m/m.</w:t>
      </w:r>
    </w:p>
    <w:p w14:paraId="37F1E4EB" w14:textId="77777777" w:rsidR="00FE0D53" w:rsidRPr="00306582" w:rsidRDefault="00FE0D53">
      <w:pPr>
        <w:pStyle w:val="BodyText21"/>
        <w:rPr>
          <w:szCs w:val="22"/>
        </w:rPr>
      </w:pPr>
    </w:p>
    <w:p w14:paraId="55E7EAC1" w14:textId="77777777" w:rsidR="00FE0D53" w:rsidRDefault="00FE0D53" w:rsidP="00725147">
      <w:pPr>
        <w:pStyle w:val="BodyText21"/>
        <w:keepNext/>
        <w:rPr>
          <w:szCs w:val="22"/>
          <w:u w:val="single"/>
        </w:rPr>
      </w:pPr>
      <w:r w:rsidRPr="00306582">
        <w:rPr>
          <w:szCs w:val="22"/>
          <w:u w:val="single"/>
        </w:rPr>
        <w:t>Mechanizmus účinku</w:t>
      </w:r>
    </w:p>
    <w:p w14:paraId="3D25D0B8" w14:textId="77777777" w:rsidR="00DF120F" w:rsidRPr="00306582" w:rsidRDefault="00DF120F" w:rsidP="00725147">
      <w:pPr>
        <w:pStyle w:val="BodyText21"/>
        <w:keepNext/>
        <w:rPr>
          <w:szCs w:val="22"/>
        </w:rPr>
      </w:pPr>
    </w:p>
    <w:p w14:paraId="165814AA" w14:textId="426939E8" w:rsidR="00FE0D53" w:rsidRPr="00306582" w:rsidRDefault="00FE0D53">
      <w:pPr>
        <w:pStyle w:val="BodyText21"/>
        <w:rPr>
          <w:szCs w:val="22"/>
        </w:rPr>
      </w:pPr>
      <w:proofErr w:type="spellStart"/>
      <w:r w:rsidRPr="00306582">
        <w:rPr>
          <w:szCs w:val="22"/>
        </w:rPr>
        <w:t>Aciklovir</w:t>
      </w:r>
      <w:proofErr w:type="spellEnd"/>
      <w:r w:rsidRPr="00306582">
        <w:rPr>
          <w:szCs w:val="22"/>
        </w:rPr>
        <w:t xml:space="preserve"> je </w:t>
      </w:r>
      <w:proofErr w:type="spellStart"/>
      <w:r w:rsidRPr="00306582">
        <w:rPr>
          <w:szCs w:val="22"/>
        </w:rPr>
        <w:t>antivirotikum</w:t>
      </w:r>
      <w:proofErr w:type="spellEnd"/>
      <w:r w:rsidRPr="00306582">
        <w:rPr>
          <w:szCs w:val="22"/>
        </w:rPr>
        <w:t xml:space="preserve">, ktoré je </w:t>
      </w:r>
      <w:r w:rsidRPr="00306582">
        <w:rPr>
          <w:i/>
          <w:iCs/>
          <w:szCs w:val="22"/>
        </w:rPr>
        <w:t xml:space="preserve">in </w:t>
      </w:r>
      <w:proofErr w:type="spellStart"/>
      <w:r w:rsidRPr="00306582">
        <w:rPr>
          <w:i/>
          <w:iCs/>
          <w:szCs w:val="22"/>
        </w:rPr>
        <w:t>vitro</w:t>
      </w:r>
      <w:proofErr w:type="spellEnd"/>
      <w:r w:rsidRPr="00306582">
        <w:rPr>
          <w:szCs w:val="22"/>
        </w:rPr>
        <w:t xml:space="preserve"> vysoko aktívne proti vírusu </w:t>
      </w:r>
      <w:commentRangeStart w:id="8"/>
      <w:r w:rsidR="00D85A42" w:rsidRPr="00725147">
        <w:rPr>
          <w:i/>
          <w:szCs w:val="22"/>
        </w:rPr>
        <w:t>H</w:t>
      </w:r>
      <w:r w:rsidRPr="00D85A42">
        <w:rPr>
          <w:i/>
          <w:szCs w:val="22"/>
        </w:rPr>
        <w:t xml:space="preserve">erpes </w:t>
      </w:r>
      <w:proofErr w:type="spellStart"/>
      <w:r w:rsidRPr="00D85A42">
        <w:rPr>
          <w:i/>
          <w:szCs w:val="22"/>
        </w:rPr>
        <w:t>simplex</w:t>
      </w:r>
      <w:proofErr w:type="spellEnd"/>
      <w:r w:rsidRPr="00306582">
        <w:rPr>
          <w:szCs w:val="22"/>
        </w:rPr>
        <w:t xml:space="preserve"> </w:t>
      </w:r>
      <w:commentRangeEnd w:id="8"/>
      <w:r w:rsidRPr="00306582">
        <w:rPr>
          <w:szCs w:val="22"/>
        </w:rPr>
        <w:t>1. a 2. typu (</w:t>
      </w:r>
      <w:r w:rsidR="00310F5E">
        <w:rPr>
          <w:szCs w:val="22"/>
        </w:rPr>
        <w:t>H</w:t>
      </w:r>
      <w:r w:rsidRPr="00306582">
        <w:rPr>
          <w:szCs w:val="22"/>
        </w:rPr>
        <w:t xml:space="preserve">erpes </w:t>
      </w:r>
      <w:proofErr w:type="spellStart"/>
      <w:r w:rsidR="00310F5E">
        <w:rPr>
          <w:szCs w:val="22"/>
        </w:rPr>
        <w:t>S</w:t>
      </w:r>
      <w:r w:rsidRPr="00306582">
        <w:rPr>
          <w:szCs w:val="22"/>
        </w:rPr>
        <w:t>implex</w:t>
      </w:r>
      <w:proofErr w:type="spellEnd"/>
      <w:r w:rsidRPr="00306582">
        <w:rPr>
          <w:szCs w:val="22"/>
        </w:rPr>
        <w:t xml:space="preserve"> </w:t>
      </w:r>
      <w:proofErr w:type="spellStart"/>
      <w:r w:rsidR="00310F5E">
        <w:rPr>
          <w:szCs w:val="22"/>
        </w:rPr>
        <w:t>V</w:t>
      </w:r>
      <w:r w:rsidRPr="00306582">
        <w:rPr>
          <w:szCs w:val="22"/>
        </w:rPr>
        <w:t>irus</w:t>
      </w:r>
      <w:proofErr w:type="spellEnd"/>
      <w:r w:rsidRPr="00306582">
        <w:rPr>
          <w:szCs w:val="22"/>
        </w:rPr>
        <w:t xml:space="preserve">, HSV, ďalej len „vírus“). Po vstupe do buniek infikovaných vírusom sa </w:t>
      </w:r>
      <w:proofErr w:type="spellStart"/>
      <w:r w:rsidRPr="00306582">
        <w:rPr>
          <w:szCs w:val="22"/>
        </w:rPr>
        <w:t>aciklovir</w:t>
      </w:r>
      <w:proofErr w:type="spellEnd"/>
      <w:r w:rsidRPr="00306582">
        <w:rPr>
          <w:szCs w:val="22"/>
        </w:rPr>
        <w:t xml:space="preserve"> </w:t>
      </w:r>
      <w:proofErr w:type="spellStart"/>
      <w:r w:rsidRPr="00306582">
        <w:rPr>
          <w:szCs w:val="22"/>
        </w:rPr>
        <w:t>fosforyluje</w:t>
      </w:r>
      <w:proofErr w:type="spellEnd"/>
      <w:r w:rsidRPr="00306582">
        <w:rPr>
          <w:szCs w:val="22"/>
        </w:rPr>
        <w:t xml:space="preserve"> na aktívnu zlúčeninu </w:t>
      </w:r>
      <w:proofErr w:type="spellStart"/>
      <w:r w:rsidRPr="00306582">
        <w:rPr>
          <w:szCs w:val="22"/>
        </w:rPr>
        <w:t>aciklovir-trifosfát</w:t>
      </w:r>
      <w:proofErr w:type="spellEnd"/>
      <w:r w:rsidRPr="00306582">
        <w:rPr>
          <w:szCs w:val="22"/>
        </w:rPr>
        <w:t xml:space="preserve">. Prvý krok tohto procesu závisí od prítomnosti </w:t>
      </w:r>
      <w:proofErr w:type="spellStart"/>
      <w:r w:rsidRPr="00306582">
        <w:rPr>
          <w:szCs w:val="22"/>
        </w:rPr>
        <w:t>tymidínkinázy</w:t>
      </w:r>
      <w:proofErr w:type="spellEnd"/>
      <w:r w:rsidRPr="00306582">
        <w:rPr>
          <w:szCs w:val="22"/>
        </w:rPr>
        <w:t xml:space="preserve"> (enzýmu kódovaného vírusom). </w:t>
      </w:r>
      <w:proofErr w:type="spellStart"/>
      <w:r w:rsidRPr="00306582">
        <w:rPr>
          <w:szCs w:val="22"/>
        </w:rPr>
        <w:t>Aciklovir-trifosfát</w:t>
      </w:r>
      <w:proofErr w:type="spellEnd"/>
      <w:r w:rsidRPr="00306582">
        <w:rPr>
          <w:szCs w:val="22"/>
        </w:rPr>
        <w:t xml:space="preserve"> účinkuje ako inhibítor a substrát vírusovo špecifickej DNA </w:t>
      </w:r>
      <w:proofErr w:type="spellStart"/>
      <w:r w:rsidRPr="00306582">
        <w:rPr>
          <w:szCs w:val="22"/>
        </w:rPr>
        <w:t>polymerázy</w:t>
      </w:r>
      <w:proofErr w:type="spellEnd"/>
      <w:r w:rsidRPr="00306582">
        <w:rPr>
          <w:szCs w:val="22"/>
        </w:rPr>
        <w:t>, čím bráni syntéze vírusovej DNA ale neovplyvňuje normálne bunkové procesy.</w:t>
      </w:r>
    </w:p>
    <w:p w14:paraId="4C1D6B3D" w14:textId="77777777" w:rsidR="00FE0D53" w:rsidRPr="00306582" w:rsidRDefault="00FE0D53">
      <w:pPr>
        <w:ind w:right="72"/>
        <w:rPr>
          <w:sz w:val="22"/>
          <w:szCs w:val="22"/>
        </w:rPr>
      </w:pPr>
    </w:p>
    <w:p w14:paraId="1FA7E6D1" w14:textId="77777777" w:rsidR="00FE0D53" w:rsidRPr="00306582" w:rsidRDefault="00FE0D53">
      <w:pPr>
        <w:ind w:right="72"/>
        <w:rPr>
          <w:sz w:val="22"/>
          <w:szCs w:val="22"/>
        </w:rPr>
      </w:pPr>
      <w:proofErr w:type="spellStart"/>
      <w:r w:rsidRPr="00306582">
        <w:rPr>
          <w:sz w:val="22"/>
          <w:szCs w:val="22"/>
        </w:rPr>
        <w:t>Hydrokortizón</w:t>
      </w:r>
      <w:proofErr w:type="spellEnd"/>
      <w:r w:rsidRPr="00306582">
        <w:rPr>
          <w:sz w:val="22"/>
          <w:szCs w:val="22"/>
        </w:rPr>
        <w:t xml:space="preserve"> je mierne účinný </w:t>
      </w:r>
      <w:proofErr w:type="spellStart"/>
      <w:r w:rsidRPr="00306582">
        <w:rPr>
          <w:sz w:val="22"/>
          <w:szCs w:val="22"/>
        </w:rPr>
        <w:t>kortikosteroid</w:t>
      </w:r>
      <w:proofErr w:type="spellEnd"/>
      <w:r w:rsidRPr="00306582">
        <w:rPr>
          <w:sz w:val="22"/>
          <w:szCs w:val="22"/>
        </w:rPr>
        <w:t xml:space="preserve">, ktorý vykazuje rôzne </w:t>
      </w:r>
      <w:proofErr w:type="spellStart"/>
      <w:r w:rsidRPr="00306582">
        <w:rPr>
          <w:sz w:val="22"/>
          <w:szCs w:val="22"/>
        </w:rPr>
        <w:t>imunomodulačné</w:t>
      </w:r>
      <w:proofErr w:type="spellEnd"/>
      <w:r w:rsidRPr="00306582">
        <w:rPr>
          <w:sz w:val="22"/>
          <w:szCs w:val="22"/>
        </w:rPr>
        <w:t xml:space="preserve"> účinky. Keď sa aplikuje topicky, jeho hlavnou úlohou je potláčať rôzne zápalové kožné ochorenia.</w:t>
      </w:r>
    </w:p>
    <w:p w14:paraId="074EA9BC" w14:textId="77777777" w:rsidR="00FE0D53" w:rsidRPr="00306582" w:rsidRDefault="00FE0D53">
      <w:pPr>
        <w:ind w:right="72"/>
        <w:rPr>
          <w:sz w:val="22"/>
          <w:szCs w:val="22"/>
        </w:rPr>
      </w:pPr>
    </w:p>
    <w:p w14:paraId="6FD2418C" w14:textId="59DF4123" w:rsidR="00FE0D53" w:rsidRPr="00725147" w:rsidRDefault="00FE0D53">
      <w:pPr>
        <w:ind w:right="72"/>
        <w:rPr>
          <w:sz w:val="22"/>
          <w:szCs w:val="22"/>
        </w:rPr>
      </w:pPr>
      <w:proofErr w:type="spellStart"/>
      <w:r w:rsidRPr="00306582">
        <w:rPr>
          <w:bCs/>
          <w:sz w:val="22"/>
          <w:szCs w:val="22"/>
        </w:rPr>
        <w:lastRenderedPageBreak/>
        <w:t>Zovirax</w:t>
      </w:r>
      <w:proofErr w:type="spellEnd"/>
      <w:r w:rsidRPr="00306582">
        <w:rPr>
          <w:bCs/>
          <w:sz w:val="22"/>
          <w:szCs w:val="22"/>
        </w:rPr>
        <w:t xml:space="preserve"> Duo</w:t>
      </w:r>
      <w:r w:rsidRPr="00306582">
        <w:rPr>
          <w:sz w:val="22"/>
          <w:szCs w:val="22"/>
        </w:rPr>
        <w:t xml:space="preserve">, ktorý je kombináciou antivírusovej aktivity </w:t>
      </w:r>
      <w:proofErr w:type="spellStart"/>
      <w:r w:rsidRPr="00306582">
        <w:rPr>
          <w:sz w:val="22"/>
          <w:szCs w:val="22"/>
        </w:rPr>
        <w:t>acikloviru</w:t>
      </w:r>
      <w:proofErr w:type="spellEnd"/>
      <w:r w:rsidRPr="00306582">
        <w:rPr>
          <w:sz w:val="22"/>
          <w:szCs w:val="22"/>
        </w:rPr>
        <w:t xml:space="preserve"> a protizápalového účinku </w:t>
      </w:r>
      <w:proofErr w:type="spellStart"/>
      <w:r w:rsidRPr="00306582">
        <w:rPr>
          <w:sz w:val="22"/>
          <w:szCs w:val="22"/>
        </w:rPr>
        <w:t>hydrokortizónu</w:t>
      </w:r>
      <w:proofErr w:type="spellEnd"/>
      <w:r w:rsidRPr="00306582">
        <w:rPr>
          <w:sz w:val="22"/>
          <w:szCs w:val="22"/>
        </w:rPr>
        <w:t xml:space="preserve">, znižuje progresiu epizód oparov do </w:t>
      </w:r>
      <w:proofErr w:type="spellStart"/>
      <w:r w:rsidRPr="00306582">
        <w:rPr>
          <w:sz w:val="22"/>
          <w:szCs w:val="22"/>
        </w:rPr>
        <w:t>ulceróznych</w:t>
      </w:r>
      <w:proofErr w:type="spellEnd"/>
      <w:r w:rsidRPr="00306582">
        <w:rPr>
          <w:sz w:val="22"/>
          <w:szCs w:val="22"/>
        </w:rPr>
        <w:t xml:space="preserve"> lézií. Presný mechanizmus tohto účinku nie je úplne popísaný, ale predpokladá sa, že sa na ňom podieľa potlačenie vírusu a zmiernenie miestnej zápalovej odpovede v pere, čo vedie k ústupu prejavov a príznakov.</w:t>
      </w:r>
    </w:p>
    <w:p w14:paraId="70299729" w14:textId="77777777" w:rsidR="00FE0D53" w:rsidRPr="00306582" w:rsidRDefault="00FE0D53">
      <w:pPr>
        <w:ind w:right="72"/>
        <w:rPr>
          <w:sz w:val="22"/>
          <w:szCs w:val="22"/>
        </w:rPr>
      </w:pPr>
    </w:p>
    <w:p w14:paraId="0698F11D" w14:textId="64D2BCF8" w:rsidR="00FE0D53" w:rsidRDefault="00FE0D53">
      <w:pPr>
        <w:pStyle w:val="Nadpis4"/>
        <w:rPr>
          <w:b w:val="0"/>
          <w:szCs w:val="22"/>
          <w:u w:val="single"/>
        </w:rPr>
      </w:pPr>
      <w:r w:rsidRPr="00306582">
        <w:rPr>
          <w:b w:val="0"/>
          <w:szCs w:val="22"/>
          <w:u w:val="single"/>
        </w:rPr>
        <w:t>Klinická účinnosť a</w:t>
      </w:r>
      <w:r w:rsidR="00DF120F">
        <w:rPr>
          <w:b w:val="0"/>
          <w:szCs w:val="22"/>
          <w:u w:val="single"/>
        </w:rPr>
        <w:t> </w:t>
      </w:r>
      <w:r w:rsidRPr="00306582">
        <w:rPr>
          <w:b w:val="0"/>
          <w:szCs w:val="22"/>
          <w:u w:val="single"/>
        </w:rPr>
        <w:t>bezpečnosť</w:t>
      </w:r>
    </w:p>
    <w:p w14:paraId="3466AAB2" w14:textId="77777777" w:rsidR="00DF120F" w:rsidRPr="00306582" w:rsidRDefault="00DF120F">
      <w:pPr>
        <w:pStyle w:val="Nadpis4"/>
        <w:rPr>
          <w:szCs w:val="22"/>
        </w:rPr>
      </w:pPr>
    </w:p>
    <w:p w14:paraId="1A80856E" w14:textId="77777777" w:rsidR="00FE0D53" w:rsidRDefault="00FE0D53" w:rsidP="00725147">
      <w:pPr>
        <w:pStyle w:val="Zkladntext"/>
        <w:keepNext/>
        <w:rPr>
          <w:i/>
          <w:szCs w:val="22"/>
        </w:rPr>
      </w:pPr>
      <w:r w:rsidRPr="00306582">
        <w:rPr>
          <w:i/>
          <w:szCs w:val="22"/>
        </w:rPr>
        <w:t>Dospelí</w:t>
      </w:r>
    </w:p>
    <w:p w14:paraId="4F8B8083" w14:textId="77777777" w:rsidR="00DF120F" w:rsidRPr="00DF120F" w:rsidRDefault="00DF120F" w:rsidP="00725147">
      <w:pPr>
        <w:pStyle w:val="Zkladntext"/>
        <w:keepNext/>
        <w:rPr>
          <w:szCs w:val="22"/>
        </w:rPr>
      </w:pPr>
    </w:p>
    <w:p w14:paraId="3A057EB4" w14:textId="1E5A67B2" w:rsidR="00FE0D53" w:rsidRPr="00725147" w:rsidRDefault="00FE0D53">
      <w:pPr>
        <w:ind w:right="72"/>
        <w:rPr>
          <w:sz w:val="22"/>
          <w:szCs w:val="22"/>
        </w:rPr>
      </w:pPr>
      <w:r w:rsidRPr="00306582">
        <w:rPr>
          <w:sz w:val="22"/>
          <w:szCs w:val="22"/>
        </w:rPr>
        <w:t xml:space="preserve">V dvojito zaslepenej </w:t>
      </w:r>
      <w:proofErr w:type="spellStart"/>
      <w:r w:rsidRPr="00306582">
        <w:rPr>
          <w:sz w:val="22"/>
          <w:szCs w:val="22"/>
        </w:rPr>
        <w:t>randomizovanej</w:t>
      </w:r>
      <w:proofErr w:type="spellEnd"/>
      <w:r w:rsidRPr="00306582">
        <w:rPr>
          <w:sz w:val="22"/>
          <w:szCs w:val="22"/>
        </w:rPr>
        <w:t xml:space="preserve"> klinickej štúdii sa 1 443 osôb s recidivujúcim herpesom </w:t>
      </w:r>
      <w:proofErr w:type="spellStart"/>
      <w:r w:rsidRPr="00306582">
        <w:rPr>
          <w:sz w:val="22"/>
          <w:szCs w:val="22"/>
        </w:rPr>
        <w:t>labialis</w:t>
      </w:r>
      <w:proofErr w:type="spellEnd"/>
      <w:r w:rsidRPr="00306582">
        <w:rPr>
          <w:sz w:val="22"/>
          <w:szCs w:val="22"/>
        </w:rPr>
        <w:t xml:space="preserve"> liečilo </w:t>
      </w:r>
      <w:proofErr w:type="spellStart"/>
      <w:r w:rsidRPr="00306582">
        <w:rPr>
          <w:bCs/>
          <w:sz w:val="22"/>
          <w:szCs w:val="22"/>
        </w:rPr>
        <w:t>Zoviraxom</w:t>
      </w:r>
      <w:proofErr w:type="spellEnd"/>
      <w:r w:rsidRPr="00306582">
        <w:rPr>
          <w:bCs/>
          <w:sz w:val="22"/>
          <w:szCs w:val="22"/>
        </w:rPr>
        <w:t xml:space="preserve"> Duo</w:t>
      </w:r>
      <w:r w:rsidRPr="00306582">
        <w:rPr>
          <w:sz w:val="22"/>
          <w:szCs w:val="22"/>
        </w:rPr>
        <w:t>, 5</w:t>
      </w:r>
      <w:r w:rsidR="0018481A">
        <w:rPr>
          <w:sz w:val="22"/>
          <w:szCs w:val="22"/>
        </w:rPr>
        <w:t> </w:t>
      </w:r>
      <w:r w:rsidRPr="00306582">
        <w:rPr>
          <w:sz w:val="22"/>
          <w:szCs w:val="22"/>
        </w:rPr>
        <w:t xml:space="preserve">% </w:t>
      </w:r>
      <w:proofErr w:type="spellStart"/>
      <w:r w:rsidRPr="00306582">
        <w:rPr>
          <w:sz w:val="22"/>
          <w:szCs w:val="22"/>
        </w:rPr>
        <w:t>aciklovirom</w:t>
      </w:r>
      <w:proofErr w:type="spellEnd"/>
      <w:r w:rsidRPr="00306582">
        <w:rPr>
          <w:sz w:val="22"/>
          <w:szCs w:val="22"/>
        </w:rPr>
        <w:t xml:space="preserve"> v krémovom základe alebo samotným krémovým základom. Primárnym ukazovateľom bola prevencia progresie epizód oparu do </w:t>
      </w:r>
      <w:proofErr w:type="spellStart"/>
      <w:r w:rsidRPr="00306582">
        <w:rPr>
          <w:sz w:val="22"/>
          <w:szCs w:val="22"/>
        </w:rPr>
        <w:t>ulceróznych</w:t>
      </w:r>
      <w:proofErr w:type="spellEnd"/>
      <w:r w:rsidRPr="00306582">
        <w:rPr>
          <w:sz w:val="22"/>
          <w:szCs w:val="22"/>
        </w:rPr>
        <w:t xml:space="preserve"> lézií. </w:t>
      </w:r>
      <w:proofErr w:type="spellStart"/>
      <w:r w:rsidRPr="00306582">
        <w:rPr>
          <w:sz w:val="22"/>
          <w:szCs w:val="22"/>
        </w:rPr>
        <w:t>Ulcerózne</w:t>
      </w:r>
      <w:proofErr w:type="spellEnd"/>
      <w:r w:rsidRPr="00306582">
        <w:rPr>
          <w:sz w:val="22"/>
          <w:szCs w:val="22"/>
        </w:rPr>
        <w:t xml:space="preserve"> lézie sa vyvinuli u 58 % osôb liečených </w:t>
      </w:r>
      <w:proofErr w:type="spellStart"/>
      <w:r w:rsidRPr="00306582">
        <w:rPr>
          <w:sz w:val="22"/>
          <w:szCs w:val="22"/>
        </w:rPr>
        <w:t>Zoviraxom</w:t>
      </w:r>
      <w:proofErr w:type="spellEnd"/>
      <w:r w:rsidRPr="00306582">
        <w:rPr>
          <w:sz w:val="22"/>
          <w:szCs w:val="22"/>
        </w:rPr>
        <w:t xml:space="preserve"> Duo v porovnaní so 65 % u osôb liečených 5</w:t>
      </w:r>
      <w:r w:rsidR="009F34EB">
        <w:rPr>
          <w:sz w:val="22"/>
          <w:szCs w:val="22"/>
        </w:rPr>
        <w:t> </w:t>
      </w:r>
      <w:r w:rsidRPr="00306582">
        <w:rPr>
          <w:sz w:val="22"/>
          <w:szCs w:val="22"/>
        </w:rPr>
        <w:t xml:space="preserve">% </w:t>
      </w:r>
      <w:proofErr w:type="spellStart"/>
      <w:r w:rsidRPr="00306582">
        <w:rPr>
          <w:sz w:val="22"/>
          <w:szCs w:val="22"/>
        </w:rPr>
        <w:t>aciklovirom</w:t>
      </w:r>
      <w:proofErr w:type="spellEnd"/>
      <w:r w:rsidRPr="00306582">
        <w:rPr>
          <w:sz w:val="22"/>
          <w:szCs w:val="22"/>
        </w:rPr>
        <w:t xml:space="preserve"> v krémovom základe </w:t>
      </w:r>
      <w:proofErr w:type="spellStart"/>
      <w:r w:rsidRPr="00306582">
        <w:rPr>
          <w:bCs/>
          <w:sz w:val="22"/>
          <w:szCs w:val="22"/>
        </w:rPr>
        <w:t>Zoviraxu</w:t>
      </w:r>
      <w:proofErr w:type="spellEnd"/>
      <w:r w:rsidRPr="00306582">
        <w:rPr>
          <w:bCs/>
          <w:sz w:val="22"/>
          <w:szCs w:val="22"/>
        </w:rPr>
        <w:t xml:space="preserve"> Duo</w:t>
      </w:r>
      <w:r w:rsidRPr="00306582">
        <w:rPr>
          <w:sz w:val="22"/>
          <w:szCs w:val="22"/>
        </w:rPr>
        <w:t xml:space="preserve"> (p = 0,014) a 74 % u osôb liečených samotným krémovým základom (p &lt; 0,0001). U osôb, u ktorých sa vyvinuli </w:t>
      </w:r>
      <w:proofErr w:type="spellStart"/>
      <w:r w:rsidRPr="00306582">
        <w:rPr>
          <w:sz w:val="22"/>
          <w:szCs w:val="22"/>
        </w:rPr>
        <w:t>ulcerózne</w:t>
      </w:r>
      <w:proofErr w:type="spellEnd"/>
      <w:r w:rsidRPr="00306582">
        <w:rPr>
          <w:sz w:val="22"/>
          <w:szCs w:val="22"/>
        </w:rPr>
        <w:t xml:space="preserve"> lézie, bolo priemerné trvanie epizódy 5,7</w:t>
      </w:r>
      <w:r w:rsidR="00DE7E2E" w:rsidRPr="00306582">
        <w:rPr>
          <w:sz w:val="22"/>
          <w:szCs w:val="22"/>
        </w:rPr>
        <w:t> </w:t>
      </w:r>
      <w:r w:rsidRPr="00306582">
        <w:rPr>
          <w:sz w:val="22"/>
          <w:szCs w:val="22"/>
        </w:rPr>
        <w:t xml:space="preserve">dňa pre </w:t>
      </w:r>
      <w:proofErr w:type="spellStart"/>
      <w:r w:rsidRPr="00306582">
        <w:rPr>
          <w:sz w:val="22"/>
          <w:szCs w:val="22"/>
        </w:rPr>
        <w:t>Zovirax</w:t>
      </w:r>
      <w:proofErr w:type="spellEnd"/>
      <w:r w:rsidRPr="00306582">
        <w:rPr>
          <w:sz w:val="22"/>
          <w:szCs w:val="22"/>
        </w:rPr>
        <w:t xml:space="preserve"> Duo; 5,9</w:t>
      </w:r>
      <w:r w:rsidR="00DE7E2E" w:rsidRPr="00306582">
        <w:rPr>
          <w:sz w:val="22"/>
          <w:szCs w:val="22"/>
        </w:rPr>
        <w:t> </w:t>
      </w:r>
      <w:r w:rsidRPr="00306582">
        <w:rPr>
          <w:sz w:val="22"/>
          <w:szCs w:val="22"/>
        </w:rPr>
        <w:t>dňa pre 5</w:t>
      </w:r>
      <w:r w:rsidR="00224732">
        <w:rPr>
          <w:sz w:val="22"/>
          <w:szCs w:val="22"/>
        </w:rPr>
        <w:t> </w:t>
      </w:r>
      <w:r w:rsidRPr="00306582">
        <w:rPr>
          <w:sz w:val="22"/>
          <w:szCs w:val="22"/>
        </w:rPr>
        <w:t>%</w:t>
      </w:r>
      <w:r w:rsidR="009224E5" w:rsidRPr="00306582">
        <w:rPr>
          <w:sz w:val="22"/>
          <w:szCs w:val="22"/>
        </w:rPr>
        <w:t xml:space="preserve"> </w:t>
      </w:r>
      <w:proofErr w:type="spellStart"/>
      <w:r w:rsidRPr="00306582">
        <w:rPr>
          <w:sz w:val="22"/>
          <w:szCs w:val="22"/>
        </w:rPr>
        <w:t>aciklovir</w:t>
      </w:r>
      <w:proofErr w:type="spellEnd"/>
      <w:r w:rsidRPr="00306582">
        <w:rPr>
          <w:sz w:val="22"/>
          <w:szCs w:val="22"/>
        </w:rPr>
        <w:t xml:space="preserve"> v krémovom základe a 6,5</w:t>
      </w:r>
      <w:r w:rsidR="00475EA7" w:rsidRPr="00725147">
        <w:rPr>
          <w:sz w:val="22"/>
          <w:szCs w:val="22"/>
        </w:rPr>
        <w:t> </w:t>
      </w:r>
      <w:r w:rsidRPr="00306582">
        <w:rPr>
          <w:sz w:val="22"/>
          <w:szCs w:val="22"/>
        </w:rPr>
        <w:t xml:space="preserve">dňa pre samotný krémový základ (p = 0,008 pre porovnanie </w:t>
      </w:r>
      <w:proofErr w:type="spellStart"/>
      <w:r w:rsidRPr="00306582">
        <w:rPr>
          <w:sz w:val="22"/>
          <w:szCs w:val="22"/>
        </w:rPr>
        <w:t>Zoviraxu</w:t>
      </w:r>
      <w:proofErr w:type="spellEnd"/>
      <w:r w:rsidRPr="00306582">
        <w:rPr>
          <w:sz w:val="22"/>
          <w:szCs w:val="22"/>
        </w:rPr>
        <w:t xml:space="preserve"> Duo so samotným krémovým základom).</w:t>
      </w:r>
    </w:p>
    <w:p w14:paraId="7FDA8DFD" w14:textId="77777777" w:rsidR="00FE0D53" w:rsidRPr="00306582" w:rsidRDefault="00FE0D53">
      <w:pPr>
        <w:ind w:right="72"/>
        <w:rPr>
          <w:sz w:val="22"/>
          <w:szCs w:val="22"/>
        </w:rPr>
      </w:pPr>
    </w:p>
    <w:p w14:paraId="7E861180" w14:textId="77777777" w:rsidR="00FE0D53" w:rsidRDefault="00FE0D53" w:rsidP="00725147">
      <w:pPr>
        <w:keepNext/>
        <w:ind w:right="72"/>
        <w:rPr>
          <w:i/>
          <w:sz w:val="22"/>
          <w:szCs w:val="22"/>
        </w:rPr>
      </w:pPr>
      <w:r w:rsidRPr="00306582">
        <w:rPr>
          <w:i/>
          <w:sz w:val="22"/>
          <w:szCs w:val="22"/>
        </w:rPr>
        <w:t>Pediatrická populácia</w:t>
      </w:r>
    </w:p>
    <w:p w14:paraId="785A5F98" w14:textId="77777777" w:rsidR="00DF120F" w:rsidRPr="00725147" w:rsidRDefault="00DF120F" w:rsidP="00725147">
      <w:pPr>
        <w:keepNext/>
        <w:ind w:right="72"/>
        <w:rPr>
          <w:sz w:val="22"/>
          <w:szCs w:val="22"/>
        </w:rPr>
      </w:pPr>
    </w:p>
    <w:p w14:paraId="6016D376" w14:textId="3F5AB695" w:rsidR="00FE0D53" w:rsidRPr="00725147" w:rsidRDefault="00FE0D53">
      <w:pPr>
        <w:ind w:right="72"/>
        <w:rPr>
          <w:sz w:val="22"/>
          <w:szCs w:val="22"/>
        </w:rPr>
      </w:pPr>
      <w:r w:rsidRPr="00306582">
        <w:rPr>
          <w:sz w:val="22"/>
          <w:szCs w:val="22"/>
        </w:rPr>
        <w:t xml:space="preserve">Otvorená štúdia bezpečnosti u dospievajúcich s recidivujúcim herpesom </w:t>
      </w:r>
      <w:proofErr w:type="spellStart"/>
      <w:r w:rsidRPr="00306582">
        <w:rPr>
          <w:sz w:val="22"/>
          <w:szCs w:val="22"/>
        </w:rPr>
        <w:t>labialis</w:t>
      </w:r>
      <w:proofErr w:type="spellEnd"/>
      <w:r w:rsidRPr="00306582">
        <w:rPr>
          <w:sz w:val="22"/>
          <w:szCs w:val="22"/>
        </w:rPr>
        <w:t xml:space="preserve"> sa uskutočnila u 254 osôb vo veku 12 – 17</w:t>
      </w:r>
      <w:r w:rsidR="00475EA7" w:rsidRPr="00306582">
        <w:rPr>
          <w:sz w:val="22"/>
          <w:szCs w:val="22"/>
        </w:rPr>
        <w:t> </w:t>
      </w:r>
      <w:r w:rsidRPr="00306582">
        <w:rPr>
          <w:sz w:val="22"/>
          <w:szCs w:val="22"/>
        </w:rPr>
        <w:t>rokov. Dávkovacia schéma bola ro</w:t>
      </w:r>
      <w:r w:rsidR="00DE7E2E" w:rsidRPr="00306582">
        <w:rPr>
          <w:sz w:val="22"/>
          <w:szCs w:val="22"/>
        </w:rPr>
        <w:t>v</w:t>
      </w:r>
      <w:r w:rsidRPr="00306582">
        <w:rPr>
          <w:sz w:val="22"/>
          <w:szCs w:val="22"/>
        </w:rPr>
        <w:t>naká ako u dospelých a sledoval sa výskyt nežiaducich udalostí u týchto osôb. Bezpečnostný profil a profil účinnosti boli podobné ako u dospelých.</w:t>
      </w:r>
    </w:p>
    <w:p w14:paraId="66BB3A6B" w14:textId="77777777" w:rsidR="00FE0D53" w:rsidRPr="00306582" w:rsidRDefault="00FE0D53">
      <w:pPr>
        <w:ind w:right="72"/>
        <w:rPr>
          <w:i/>
          <w:sz w:val="22"/>
          <w:szCs w:val="22"/>
        </w:rPr>
      </w:pPr>
    </w:p>
    <w:p w14:paraId="37BD11EF" w14:textId="77777777" w:rsidR="00FE0D53" w:rsidRDefault="00FE0D53">
      <w:pPr>
        <w:pStyle w:val="Nadpis5"/>
        <w:rPr>
          <w:b w:val="0"/>
          <w:i/>
          <w:szCs w:val="22"/>
        </w:rPr>
      </w:pPr>
      <w:proofErr w:type="spellStart"/>
      <w:r w:rsidRPr="00306582">
        <w:rPr>
          <w:b w:val="0"/>
          <w:i/>
          <w:szCs w:val="22"/>
        </w:rPr>
        <w:t>Imunokompromitovaní</w:t>
      </w:r>
      <w:proofErr w:type="spellEnd"/>
      <w:r w:rsidRPr="00306582">
        <w:rPr>
          <w:b w:val="0"/>
          <w:i/>
          <w:szCs w:val="22"/>
        </w:rPr>
        <w:t xml:space="preserve"> pacienti</w:t>
      </w:r>
    </w:p>
    <w:p w14:paraId="6B65C95A" w14:textId="77777777" w:rsidR="00DF120F" w:rsidRPr="00DF120F" w:rsidRDefault="00DF120F">
      <w:pPr>
        <w:pStyle w:val="Nadpis5"/>
        <w:rPr>
          <w:szCs w:val="22"/>
        </w:rPr>
      </w:pPr>
    </w:p>
    <w:p w14:paraId="4C50624F" w14:textId="675ABDFA" w:rsidR="00FE0D53" w:rsidRPr="00725147" w:rsidRDefault="00FE0D53">
      <w:pPr>
        <w:ind w:right="72"/>
        <w:rPr>
          <w:sz w:val="22"/>
          <w:szCs w:val="22"/>
        </w:rPr>
      </w:pPr>
      <w:r w:rsidRPr="00306582">
        <w:rPr>
          <w:sz w:val="22"/>
          <w:szCs w:val="22"/>
        </w:rPr>
        <w:t>Bezpečnosť sa skúmala v </w:t>
      </w:r>
      <w:proofErr w:type="spellStart"/>
      <w:r w:rsidRPr="00306582">
        <w:rPr>
          <w:sz w:val="22"/>
          <w:szCs w:val="22"/>
        </w:rPr>
        <w:t>randomizovanej</w:t>
      </w:r>
      <w:proofErr w:type="spellEnd"/>
      <w:r w:rsidRPr="00306582">
        <w:rPr>
          <w:sz w:val="22"/>
          <w:szCs w:val="22"/>
        </w:rPr>
        <w:t xml:space="preserve"> dvojito zaslepenej klinickej štúdii u 107 dospelých osôb s miernou až stredne závažnou </w:t>
      </w:r>
      <w:proofErr w:type="spellStart"/>
      <w:r w:rsidRPr="00306582">
        <w:rPr>
          <w:sz w:val="22"/>
          <w:szCs w:val="22"/>
        </w:rPr>
        <w:t>imunosupresiou</w:t>
      </w:r>
      <w:proofErr w:type="spellEnd"/>
      <w:r w:rsidRPr="00306582">
        <w:rPr>
          <w:sz w:val="22"/>
          <w:szCs w:val="22"/>
        </w:rPr>
        <w:t xml:space="preserve"> liečených buď </w:t>
      </w:r>
      <w:proofErr w:type="spellStart"/>
      <w:r w:rsidRPr="00306582">
        <w:rPr>
          <w:bCs/>
          <w:sz w:val="22"/>
          <w:szCs w:val="22"/>
        </w:rPr>
        <w:t>Zoviraxom</w:t>
      </w:r>
      <w:proofErr w:type="spellEnd"/>
      <w:r w:rsidRPr="00306582">
        <w:rPr>
          <w:bCs/>
          <w:sz w:val="22"/>
          <w:szCs w:val="22"/>
        </w:rPr>
        <w:t xml:space="preserve"> Duo</w:t>
      </w:r>
      <w:r w:rsidRPr="00306582">
        <w:rPr>
          <w:b/>
          <w:bCs/>
          <w:sz w:val="22"/>
          <w:szCs w:val="22"/>
        </w:rPr>
        <w:t xml:space="preserve"> </w:t>
      </w:r>
      <w:r w:rsidRPr="00306582">
        <w:rPr>
          <w:sz w:val="22"/>
          <w:szCs w:val="22"/>
        </w:rPr>
        <w:t>alebo 5</w:t>
      </w:r>
      <w:r w:rsidR="0082617E">
        <w:rPr>
          <w:sz w:val="22"/>
          <w:szCs w:val="22"/>
        </w:rPr>
        <w:t> </w:t>
      </w:r>
      <w:r w:rsidRPr="00306582">
        <w:rPr>
          <w:sz w:val="22"/>
          <w:szCs w:val="22"/>
        </w:rPr>
        <w:t xml:space="preserve">% </w:t>
      </w:r>
      <w:proofErr w:type="spellStart"/>
      <w:r w:rsidRPr="00306582">
        <w:rPr>
          <w:sz w:val="22"/>
          <w:szCs w:val="22"/>
        </w:rPr>
        <w:t>aciklovirom</w:t>
      </w:r>
      <w:proofErr w:type="spellEnd"/>
      <w:r w:rsidRPr="00306582">
        <w:rPr>
          <w:sz w:val="22"/>
          <w:szCs w:val="22"/>
        </w:rPr>
        <w:t xml:space="preserve"> krémovom základe. Bezpečnosť liečby a frekvencia výskytu recidív boli počas 1-ročného sledovania po liečbe recidívy infekcie vírusom </w:t>
      </w:r>
      <w:commentRangeStart w:id="9"/>
      <w:r w:rsidR="002438EC" w:rsidRPr="00725147">
        <w:rPr>
          <w:i/>
          <w:sz w:val="22"/>
          <w:szCs w:val="22"/>
        </w:rPr>
        <w:t>H</w:t>
      </w:r>
      <w:r w:rsidRPr="002438EC">
        <w:rPr>
          <w:i/>
          <w:sz w:val="22"/>
          <w:szCs w:val="22"/>
        </w:rPr>
        <w:t xml:space="preserve">erpes </w:t>
      </w:r>
      <w:proofErr w:type="spellStart"/>
      <w:r w:rsidRPr="002438EC">
        <w:rPr>
          <w:i/>
          <w:sz w:val="22"/>
          <w:szCs w:val="22"/>
        </w:rPr>
        <w:t>simplex</w:t>
      </w:r>
      <w:proofErr w:type="spellEnd"/>
      <w:r w:rsidRPr="00306582">
        <w:rPr>
          <w:sz w:val="22"/>
          <w:szCs w:val="22"/>
        </w:rPr>
        <w:t xml:space="preserve"> </w:t>
      </w:r>
      <w:commentRangeEnd w:id="9"/>
      <w:r w:rsidRPr="00306582">
        <w:rPr>
          <w:sz w:val="22"/>
          <w:szCs w:val="22"/>
        </w:rPr>
        <w:t>v oboch skupinách podobné.</w:t>
      </w:r>
    </w:p>
    <w:p w14:paraId="42D84B10" w14:textId="77777777" w:rsidR="00FE0D53" w:rsidRPr="00306582" w:rsidRDefault="00FE0D53">
      <w:pPr>
        <w:ind w:right="72"/>
        <w:rPr>
          <w:sz w:val="22"/>
          <w:szCs w:val="22"/>
        </w:rPr>
      </w:pPr>
    </w:p>
    <w:p w14:paraId="7EC480E5" w14:textId="77777777" w:rsidR="00FE0D53" w:rsidRPr="00306582" w:rsidRDefault="00FE0D53" w:rsidP="00725147">
      <w:pPr>
        <w:keepNext/>
        <w:ind w:right="72"/>
        <w:rPr>
          <w:b/>
          <w:bCs/>
          <w:sz w:val="22"/>
          <w:szCs w:val="22"/>
        </w:rPr>
      </w:pPr>
      <w:r w:rsidRPr="00306582">
        <w:rPr>
          <w:b/>
          <w:bCs/>
          <w:sz w:val="22"/>
          <w:szCs w:val="22"/>
        </w:rPr>
        <w:t>5.2</w:t>
      </w:r>
      <w:r w:rsidRPr="00306582">
        <w:rPr>
          <w:b/>
          <w:bCs/>
          <w:sz w:val="22"/>
          <w:szCs w:val="22"/>
        </w:rPr>
        <w:tab/>
      </w:r>
      <w:proofErr w:type="spellStart"/>
      <w:r w:rsidRPr="00306582">
        <w:rPr>
          <w:b/>
          <w:bCs/>
          <w:sz w:val="22"/>
          <w:szCs w:val="22"/>
        </w:rPr>
        <w:t>Farmakokinetické</w:t>
      </w:r>
      <w:proofErr w:type="spellEnd"/>
      <w:r w:rsidRPr="00306582">
        <w:rPr>
          <w:b/>
          <w:bCs/>
          <w:sz w:val="22"/>
          <w:szCs w:val="22"/>
        </w:rPr>
        <w:t xml:space="preserve"> vlastnosti</w:t>
      </w:r>
    </w:p>
    <w:p w14:paraId="5391DA76" w14:textId="77777777" w:rsidR="00FE0D53" w:rsidRPr="00306582" w:rsidRDefault="00FE0D53" w:rsidP="00725147">
      <w:pPr>
        <w:keepNext/>
        <w:ind w:right="72"/>
        <w:rPr>
          <w:b/>
          <w:bCs/>
          <w:sz w:val="22"/>
          <w:szCs w:val="22"/>
        </w:rPr>
      </w:pPr>
    </w:p>
    <w:p w14:paraId="1D76B1B8" w14:textId="77777777" w:rsidR="00FE0D53" w:rsidRPr="00306582" w:rsidRDefault="00FE0D53">
      <w:pPr>
        <w:pStyle w:val="Zkladntext"/>
        <w:rPr>
          <w:szCs w:val="22"/>
        </w:rPr>
      </w:pPr>
      <w:r w:rsidRPr="00306582">
        <w:rPr>
          <w:szCs w:val="22"/>
        </w:rPr>
        <w:t>So </w:t>
      </w:r>
      <w:proofErr w:type="spellStart"/>
      <w:r w:rsidRPr="00306582">
        <w:rPr>
          <w:bCs/>
          <w:szCs w:val="22"/>
        </w:rPr>
        <w:t>Zoviraxom</w:t>
      </w:r>
      <w:proofErr w:type="spellEnd"/>
      <w:r w:rsidRPr="00306582">
        <w:rPr>
          <w:bCs/>
          <w:szCs w:val="22"/>
        </w:rPr>
        <w:t xml:space="preserve"> Duo</w:t>
      </w:r>
      <w:r w:rsidRPr="00306582">
        <w:rPr>
          <w:szCs w:val="22"/>
        </w:rPr>
        <w:t xml:space="preserve"> sa neuskutočnili žiadne </w:t>
      </w:r>
      <w:proofErr w:type="spellStart"/>
      <w:r w:rsidRPr="00306582">
        <w:rPr>
          <w:szCs w:val="22"/>
        </w:rPr>
        <w:t>farmakokinetické</w:t>
      </w:r>
      <w:proofErr w:type="spellEnd"/>
      <w:r w:rsidRPr="00306582">
        <w:rPr>
          <w:szCs w:val="22"/>
        </w:rPr>
        <w:t xml:space="preserve"> štúdie.</w:t>
      </w:r>
    </w:p>
    <w:p w14:paraId="6D8C92F1" w14:textId="77777777" w:rsidR="00FE0D53" w:rsidRPr="00306582" w:rsidRDefault="00FE0D53">
      <w:pPr>
        <w:pStyle w:val="Zkladntext"/>
        <w:rPr>
          <w:szCs w:val="22"/>
        </w:rPr>
      </w:pPr>
    </w:p>
    <w:p w14:paraId="44EE231C" w14:textId="77777777" w:rsidR="00FE0D53" w:rsidRDefault="00FE0D53" w:rsidP="00725147">
      <w:pPr>
        <w:pStyle w:val="Zkladntext"/>
        <w:keepNext/>
        <w:rPr>
          <w:szCs w:val="22"/>
          <w:u w:val="single"/>
        </w:rPr>
      </w:pPr>
      <w:r w:rsidRPr="00306582">
        <w:rPr>
          <w:szCs w:val="22"/>
          <w:u w:val="single"/>
        </w:rPr>
        <w:t>Absorpcia</w:t>
      </w:r>
    </w:p>
    <w:p w14:paraId="7EC5B0E0" w14:textId="77777777" w:rsidR="006510E5" w:rsidRPr="00306582" w:rsidRDefault="006510E5" w:rsidP="00725147">
      <w:pPr>
        <w:pStyle w:val="Zkladntext"/>
        <w:keepNext/>
        <w:rPr>
          <w:szCs w:val="22"/>
        </w:rPr>
      </w:pPr>
    </w:p>
    <w:p w14:paraId="2FC0C7B1" w14:textId="77777777" w:rsidR="00FE0D53" w:rsidRPr="00306582" w:rsidRDefault="00FE0D53">
      <w:pPr>
        <w:ind w:right="72"/>
        <w:rPr>
          <w:sz w:val="22"/>
          <w:szCs w:val="22"/>
        </w:rPr>
      </w:pPr>
      <w:r w:rsidRPr="00306582">
        <w:rPr>
          <w:sz w:val="22"/>
          <w:szCs w:val="22"/>
        </w:rPr>
        <w:t>Vzhľadom na obmedzenú absorpciu sa po topickej aplikácii krému s </w:t>
      </w:r>
      <w:proofErr w:type="spellStart"/>
      <w:r w:rsidRPr="00306582">
        <w:rPr>
          <w:sz w:val="22"/>
          <w:szCs w:val="22"/>
        </w:rPr>
        <w:t>aciklovirom</w:t>
      </w:r>
      <w:proofErr w:type="spellEnd"/>
      <w:r w:rsidRPr="00306582">
        <w:rPr>
          <w:sz w:val="22"/>
          <w:szCs w:val="22"/>
        </w:rPr>
        <w:t xml:space="preserve"> a </w:t>
      </w:r>
      <w:proofErr w:type="spellStart"/>
      <w:r w:rsidRPr="00306582">
        <w:rPr>
          <w:sz w:val="22"/>
          <w:szCs w:val="22"/>
        </w:rPr>
        <w:t>hydrokortizónom</w:t>
      </w:r>
      <w:proofErr w:type="spellEnd"/>
      <w:r w:rsidRPr="00306582">
        <w:rPr>
          <w:sz w:val="22"/>
          <w:szCs w:val="22"/>
        </w:rPr>
        <w:t xml:space="preserve"> očakáva nízka systémová expozícia </w:t>
      </w:r>
      <w:proofErr w:type="spellStart"/>
      <w:r w:rsidRPr="00306582">
        <w:rPr>
          <w:sz w:val="22"/>
          <w:szCs w:val="22"/>
        </w:rPr>
        <w:t>acikloviru</w:t>
      </w:r>
      <w:proofErr w:type="spellEnd"/>
      <w:r w:rsidRPr="00306582">
        <w:rPr>
          <w:sz w:val="22"/>
          <w:szCs w:val="22"/>
        </w:rPr>
        <w:t>.</w:t>
      </w:r>
    </w:p>
    <w:p w14:paraId="11B99198" w14:textId="77777777" w:rsidR="00FE0D53" w:rsidRPr="00306582" w:rsidRDefault="00FE0D53">
      <w:pPr>
        <w:ind w:right="72"/>
        <w:rPr>
          <w:sz w:val="22"/>
          <w:szCs w:val="22"/>
        </w:rPr>
      </w:pPr>
    </w:p>
    <w:p w14:paraId="17132D5B" w14:textId="77777777" w:rsidR="00FE0D53" w:rsidRPr="00725147" w:rsidRDefault="00FE0D53">
      <w:pPr>
        <w:ind w:right="72"/>
        <w:rPr>
          <w:sz w:val="22"/>
          <w:szCs w:val="22"/>
        </w:rPr>
      </w:pPr>
      <w:proofErr w:type="spellStart"/>
      <w:r w:rsidRPr="00306582">
        <w:rPr>
          <w:sz w:val="22"/>
          <w:szCs w:val="22"/>
        </w:rPr>
        <w:t>Glukokortikoidy</w:t>
      </w:r>
      <w:proofErr w:type="spellEnd"/>
      <w:r w:rsidRPr="00306582">
        <w:rPr>
          <w:sz w:val="22"/>
          <w:szCs w:val="22"/>
        </w:rPr>
        <w:t xml:space="preserve"> majú schopnosť prechádzať cez </w:t>
      </w:r>
      <w:proofErr w:type="spellStart"/>
      <w:r w:rsidRPr="00725147">
        <w:rPr>
          <w:sz w:val="22"/>
          <w:szCs w:val="22"/>
        </w:rPr>
        <w:t>stratum</w:t>
      </w:r>
      <w:proofErr w:type="spellEnd"/>
      <w:r w:rsidRPr="00725147">
        <w:rPr>
          <w:sz w:val="22"/>
          <w:szCs w:val="22"/>
        </w:rPr>
        <w:t xml:space="preserve"> </w:t>
      </w:r>
      <w:proofErr w:type="spellStart"/>
      <w:r w:rsidRPr="00725147">
        <w:rPr>
          <w:sz w:val="22"/>
          <w:szCs w:val="22"/>
        </w:rPr>
        <w:t>corneum</w:t>
      </w:r>
      <w:proofErr w:type="spellEnd"/>
      <w:r w:rsidRPr="00306582">
        <w:rPr>
          <w:sz w:val="22"/>
          <w:szCs w:val="22"/>
        </w:rPr>
        <w:t xml:space="preserve"> epidermy a zasiahnuť hlbšie vrstvy buniek. Zvyčajne sa absorbuje len malé množstvo dávky, a preto sa neočakáva ovplyvnenie hormonálnej rovnováhy. Systémový účinok </w:t>
      </w:r>
      <w:proofErr w:type="spellStart"/>
      <w:r w:rsidRPr="00306582">
        <w:rPr>
          <w:sz w:val="22"/>
          <w:szCs w:val="22"/>
        </w:rPr>
        <w:t>glukokortikoidov</w:t>
      </w:r>
      <w:proofErr w:type="spellEnd"/>
      <w:r w:rsidRPr="00306582">
        <w:rPr>
          <w:sz w:val="22"/>
          <w:szCs w:val="22"/>
        </w:rPr>
        <w:t xml:space="preserve"> sa môže vyskytnúť v prípade zvýšenej absorpcie (napr. ak sa aplikuje na veľké plochy zapálenej kože alebo na kožu, ktorá má poškodenú </w:t>
      </w:r>
      <w:proofErr w:type="spellStart"/>
      <w:r w:rsidRPr="00306582">
        <w:rPr>
          <w:sz w:val="22"/>
          <w:szCs w:val="22"/>
        </w:rPr>
        <w:t>stratum</w:t>
      </w:r>
      <w:proofErr w:type="spellEnd"/>
      <w:r w:rsidRPr="00306582">
        <w:rPr>
          <w:sz w:val="22"/>
          <w:szCs w:val="22"/>
        </w:rPr>
        <w:t xml:space="preserve"> </w:t>
      </w:r>
      <w:proofErr w:type="spellStart"/>
      <w:r w:rsidRPr="00306582">
        <w:rPr>
          <w:sz w:val="22"/>
          <w:szCs w:val="22"/>
        </w:rPr>
        <w:t>corneum</w:t>
      </w:r>
      <w:proofErr w:type="spellEnd"/>
      <w:r w:rsidRPr="00306582">
        <w:rPr>
          <w:sz w:val="22"/>
          <w:szCs w:val="22"/>
        </w:rPr>
        <w:t xml:space="preserve"> epidermy). Okluzívne obväzy zvyšujú absorpciu.</w:t>
      </w:r>
    </w:p>
    <w:p w14:paraId="55BFAF92" w14:textId="77777777" w:rsidR="00FE0D53" w:rsidRPr="00306582" w:rsidRDefault="00FE0D53">
      <w:pPr>
        <w:ind w:right="72"/>
        <w:rPr>
          <w:sz w:val="22"/>
          <w:szCs w:val="22"/>
        </w:rPr>
      </w:pPr>
    </w:p>
    <w:p w14:paraId="35BF5C61" w14:textId="77777777" w:rsidR="00FE0D53" w:rsidRPr="00725147" w:rsidRDefault="00FE0D53" w:rsidP="00725147">
      <w:pPr>
        <w:keepNext/>
        <w:ind w:right="74"/>
        <w:rPr>
          <w:sz w:val="22"/>
          <w:szCs w:val="22"/>
        </w:rPr>
      </w:pPr>
      <w:r w:rsidRPr="00306582">
        <w:rPr>
          <w:b/>
          <w:bCs/>
          <w:sz w:val="22"/>
          <w:szCs w:val="22"/>
        </w:rPr>
        <w:t>5.3</w:t>
      </w:r>
      <w:r w:rsidRPr="00306582">
        <w:rPr>
          <w:b/>
          <w:bCs/>
          <w:sz w:val="22"/>
          <w:szCs w:val="22"/>
        </w:rPr>
        <w:tab/>
        <w:t>Predklinické údaje o bezpečnosti</w:t>
      </w:r>
    </w:p>
    <w:p w14:paraId="0947B96D" w14:textId="77777777" w:rsidR="00FE0D53" w:rsidRPr="00306582" w:rsidRDefault="00FE0D53" w:rsidP="00725147">
      <w:pPr>
        <w:keepNext/>
        <w:ind w:right="74"/>
        <w:rPr>
          <w:sz w:val="22"/>
          <w:szCs w:val="22"/>
        </w:rPr>
      </w:pPr>
    </w:p>
    <w:p w14:paraId="1FA14951" w14:textId="1F36FB16" w:rsidR="00FE0D53" w:rsidRPr="00306582" w:rsidRDefault="00FE0D53">
      <w:pPr>
        <w:ind w:right="72"/>
        <w:rPr>
          <w:sz w:val="22"/>
          <w:szCs w:val="22"/>
        </w:rPr>
      </w:pPr>
      <w:r w:rsidRPr="00306582">
        <w:rPr>
          <w:sz w:val="22"/>
          <w:szCs w:val="22"/>
        </w:rPr>
        <w:t xml:space="preserve">Predklinické údaje získané na základe obvyklých farmakologických štúdií bezpečnosti, toxicity po opakovanom podaní, reprodukčnej toxicity, </w:t>
      </w:r>
      <w:proofErr w:type="spellStart"/>
      <w:r w:rsidRPr="00306582">
        <w:rPr>
          <w:sz w:val="22"/>
          <w:szCs w:val="22"/>
        </w:rPr>
        <w:t>genotoxicity</w:t>
      </w:r>
      <w:proofErr w:type="spellEnd"/>
      <w:r w:rsidRPr="00306582">
        <w:rPr>
          <w:sz w:val="22"/>
          <w:szCs w:val="22"/>
        </w:rPr>
        <w:t xml:space="preserve"> a karcinogénneho potenciálu neodhalili žiadne osobitné riziko pre ľudí.</w:t>
      </w:r>
    </w:p>
    <w:p w14:paraId="09865D2E" w14:textId="77777777" w:rsidR="00FE0D53" w:rsidRPr="00306582" w:rsidRDefault="00FE0D53">
      <w:pPr>
        <w:ind w:right="72"/>
        <w:rPr>
          <w:sz w:val="22"/>
          <w:szCs w:val="22"/>
        </w:rPr>
      </w:pPr>
    </w:p>
    <w:p w14:paraId="02B15C65" w14:textId="77777777" w:rsidR="00FE0D53" w:rsidRPr="00306582" w:rsidRDefault="00FE0D53">
      <w:pPr>
        <w:ind w:right="72"/>
        <w:rPr>
          <w:sz w:val="22"/>
          <w:szCs w:val="22"/>
        </w:rPr>
      </w:pPr>
    </w:p>
    <w:p w14:paraId="69324862" w14:textId="77777777" w:rsidR="00FE0D53" w:rsidRPr="00306582" w:rsidRDefault="00FE0D53" w:rsidP="00725147">
      <w:pPr>
        <w:keepNext/>
        <w:ind w:right="74"/>
        <w:rPr>
          <w:b/>
          <w:bCs/>
          <w:sz w:val="22"/>
          <w:szCs w:val="22"/>
        </w:rPr>
      </w:pPr>
      <w:r w:rsidRPr="00306582">
        <w:rPr>
          <w:b/>
          <w:bCs/>
          <w:sz w:val="22"/>
          <w:szCs w:val="22"/>
        </w:rPr>
        <w:lastRenderedPageBreak/>
        <w:t>6.</w:t>
      </w:r>
      <w:r w:rsidRPr="00306582">
        <w:rPr>
          <w:b/>
          <w:bCs/>
          <w:sz w:val="22"/>
          <w:szCs w:val="22"/>
        </w:rPr>
        <w:tab/>
        <w:t>FARMACEUTICKÉ INFORMÁCIE</w:t>
      </w:r>
    </w:p>
    <w:p w14:paraId="490FD290" w14:textId="77777777" w:rsidR="00FE0D53" w:rsidRPr="00306582" w:rsidRDefault="00FE0D53" w:rsidP="00725147">
      <w:pPr>
        <w:keepNext/>
        <w:ind w:right="74"/>
        <w:rPr>
          <w:b/>
          <w:bCs/>
          <w:sz w:val="22"/>
          <w:szCs w:val="22"/>
        </w:rPr>
      </w:pPr>
    </w:p>
    <w:p w14:paraId="7F0DAB8F" w14:textId="77777777" w:rsidR="00FE0D53" w:rsidRPr="00306582" w:rsidRDefault="00FE0D53" w:rsidP="00725147">
      <w:pPr>
        <w:keepNext/>
        <w:ind w:right="74"/>
        <w:rPr>
          <w:b/>
          <w:bCs/>
          <w:sz w:val="22"/>
          <w:szCs w:val="22"/>
        </w:rPr>
      </w:pPr>
      <w:r w:rsidRPr="00306582">
        <w:rPr>
          <w:b/>
          <w:bCs/>
          <w:sz w:val="22"/>
          <w:szCs w:val="22"/>
        </w:rPr>
        <w:t>6.1</w:t>
      </w:r>
      <w:r w:rsidRPr="00306582">
        <w:rPr>
          <w:b/>
          <w:bCs/>
          <w:sz w:val="22"/>
          <w:szCs w:val="22"/>
        </w:rPr>
        <w:tab/>
        <w:t>Zoznam pomocných látok</w:t>
      </w:r>
    </w:p>
    <w:p w14:paraId="4A7B9791" w14:textId="77777777" w:rsidR="00FE0D53" w:rsidRPr="00306582" w:rsidRDefault="00FE0D53" w:rsidP="00725147">
      <w:pPr>
        <w:keepNext/>
        <w:ind w:right="74"/>
        <w:rPr>
          <w:b/>
          <w:bCs/>
          <w:sz w:val="22"/>
          <w:szCs w:val="22"/>
        </w:rPr>
      </w:pPr>
    </w:p>
    <w:p w14:paraId="02727104" w14:textId="77777777" w:rsidR="00FE0D53" w:rsidRPr="00306582" w:rsidRDefault="00FE0D53">
      <w:pPr>
        <w:rPr>
          <w:bCs/>
          <w:color w:val="000000"/>
          <w:sz w:val="22"/>
          <w:szCs w:val="22"/>
        </w:rPr>
      </w:pPr>
      <w:proofErr w:type="spellStart"/>
      <w:r w:rsidRPr="00306582">
        <w:rPr>
          <w:bCs/>
          <w:color w:val="000000"/>
          <w:sz w:val="22"/>
          <w:szCs w:val="22"/>
        </w:rPr>
        <w:t>cetylalkohol</w:t>
      </w:r>
      <w:proofErr w:type="spellEnd"/>
      <w:r w:rsidRPr="00306582">
        <w:rPr>
          <w:bCs/>
          <w:color w:val="000000"/>
          <w:sz w:val="22"/>
          <w:szCs w:val="22"/>
        </w:rPr>
        <w:t xml:space="preserve"> a </w:t>
      </w:r>
      <w:proofErr w:type="spellStart"/>
      <w:r w:rsidRPr="00306582">
        <w:rPr>
          <w:bCs/>
          <w:color w:val="000000"/>
          <w:sz w:val="22"/>
          <w:szCs w:val="22"/>
        </w:rPr>
        <w:t>stearylalkohol</w:t>
      </w:r>
      <w:proofErr w:type="spellEnd"/>
    </w:p>
    <w:p w14:paraId="7B666A09" w14:textId="77777777" w:rsidR="00FE0D53" w:rsidRPr="00306582" w:rsidRDefault="00FE0D53">
      <w:pPr>
        <w:rPr>
          <w:bCs/>
          <w:color w:val="000000"/>
          <w:sz w:val="22"/>
          <w:szCs w:val="22"/>
        </w:rPr>
      </w:pPr>
      <w:r w:rsidRPr="00306582">
        <w:rPr>
          <w:bCs/>
          <w:color w:val="000000"/>
          <w:sz w:val="22"/>
          <w:szCs w:val="22"/>
        </w:rPr>
        <w:t>tekutý parafín</w:t>
      </w:r>
    </w:p>
    <w:p w14:paraId="22FED555" w14:textId="77777777" w:rsidR="00FE0D53" w:rsidRPr="00306582" w:rsidRDefault="00FE0D53">
      <w:pPr>
        <w:rPr>
          <w:bCs/>
          <w:color w:val="000000"/>
          <w:sz w:val="22"/>
          <w:szCs w:val="22"/>
        </w:rPr>
      </w:pPr>
      <w:proofErr w:type="spellStart"/>
      <w:r w:rsidRPr="00306582">
        <w:rPr>
          <w:bCs/>
          <w:color w:val="000000"/>
          <w:sz w:val="22"/>
          <w:szCs w:val="22"/>
        </w:rPr>
        <w:t>poloxamér</w:t>
      </w:r>
      <w:proofErr w:type="spellEnd"/>
      <w:r w:rsidRPr="00306582">
        <w:rPr>
          <w:bCs/>
          <w:color w:val="000000"/>
          <w:sz w:val="22"/>
          <w:szCs w:val="22"/>
        </w:rPr>
        <w:t xml:space="preserve"> 188</w:t>
      </w:r>
    </w:p>
    <w:p w14:paraId="254AE43D" w14:textId="77777777" w:rsidR="00FE0D53" w:rsidRPr="00306582" w:rsidRDefault="00FE0D53">
      <w:pPr>
        <w:rPr>
          <w:bCs/>
          <w:color w:val="000000"/>
          <w:sz w:val="22"/>
          <w:szCs w:val="22"/>
        </w:rPr>
      </w:pPr>
      <w:proofErr w:type="spellStart"/>
      <w:r w:rsidRPr="00306582">
        <w:rPr>
          <w:bCs/>
          <w:color w:val="000000"/>
          <w:sz w:val="22"/>
          <w:szCs w:val="22"/>
        </w:rPr>
        <w:t>propylénglykol</w:t>
      </w:r>
      <w:proofErr w:type="spellEnd"/>
    </w:p>
    <w:p w14:paraId="4522C124" w14:textId="77777777" w:rsidR="00FE0D53" w:rsidRPr="00306582" w:rsidRDefault="00FE0D53">
      <w:pPr>
        <w:rPr>
          <w:bCs/>
          <w:color w:val="000000"/>
          <w:sz w:val="22"/>
          <w:szCs w:val="22"/>
        </w:rPr>
      </w:pPr>
      <w:proofErr w:type="spellStart"/>
      <w:r w:rsidRPr="00306582">
        <w:rPr>
          <w:bCs/>
          <w:color w:val="000000"/>
          <w:sz w:val="22"/>
          <w:szCs w:val="22"/>
        </w:rPr>
        <w:t>izopropylmyristát</w:t>
      </w:r>
      <w:proofErr w:type="spellEnd"/>
    </w:p>
    <w:p w14:paraId="615858C5" w14:textId="1B4B379D" w:rsidR="00FE0D53" w:rsidRPr="00306582" w:rsidRDefault="00AF1EFE">
      <w:pPr>
        <w:rPr>
          <w:bCs/>
          <w:color w:val="000000"/>
          <w:sz w:val="22"/>
          <w:szCs w:val="22"/>
        </w:rPr>
      </w:pPr>
      <w:proofErr w:type="spellStart"/>
      <w:r w:rsidRPr="00306582">
        <w:rPr>
          <w:bCs/>
          <w:color w:val="000000"/>
          <w:sz w:val="22"/>
          <w:szCs w:val="22"/>
        </w:rPr>
        <w:t>laurylsíran</w:t>
      </w:r>
      <w:proofErr w:type="spellEnd"/>
      <w:r w:rsidRPr="00306582">
        <w:rPr>
          <w:bCs/>
          <w:color w:val="000000"/>
          <w:sz w:val="22"/>
          <w:szCs w:val="22"/>
        </w:rPr>
        <w:t xml:space="preserve"> sodný</w:t>
      </w:r>
    </w:p>
    <w:p w14:paraId="15525D7A" w14:textId="77777777" w:rsidR="00FE0D53" w:rsidRPr="00306582" w:rsidRDefault="00FE0D53">
      <w:pPr>
        <w:rPr>
          <w:bCs/>
          <w:color w:val="000000"/>
          <w:sz w:val="22"/>
          <w:szCs w:val="22"/>
        </w:rPr>
      </w:pPr>
      <w:r w:rsidRPr="00306582">
        <w:rPr>
          <w:bCs/>
          <w:color w:val="000000"/>
          <w:sz w:val="22"/>
          <w:szCs w:val="22"/>
        </w:rPr>
        <w:t>biela vazelína</w:t>
      </w:r>
    </w:p>
    <w:p w14:paraId="13D8D7FB" w14:textId="77777777" w:rsidR="00FE0D53" w:rsidRPr="00306582" w:rsidRDefault="00FE0D53">
      <w:pPr>
        <w:rPr>
          <w:bCs/>
          <w:color w:val="000000"/>
          <w:sz w:val="22"/>
          <w:szCs w:val="22"/>
        </w:rPr>
      </w:pPr>
      <w:proofErr w:type="spellStart"/>
      <w:r w:rsidRPr="00306582">
        <w:rPr>
          <w:bCs/>
          <w:color w:val="000000"/>
          <w:sz w:val="22"/>
          <w:szCs w:val="22"/>
        </w:rPr>
        <w:t>monohydrát</w:t>
      </w:r>
      <w:proofErr w:type="spellEnd"/>
      <w:r w:rsidRPr="00306582">
        <w:rPr>
          <w:bCs/>
          <w:color w:val="000000"/>
          <w:sz w:val="22"/>
          <w:szCs w:val="22"/>
        </w:rPr>
        <w:t xml:space="preserve"> kyseliny citrónovej</w:t>
      </w:r>
    </w:p>
    <w:p w14:paraId="00E276AE" w14:textId="77777777" w:rsidR="00FE0D53" w:rsidRPr="00306582" w:rsidRDefault="00FE0D53">
      <w:pPr>
        <w:rPr>
          <w:bCs/>
          <w:color w:val="000000"/>
          <w:sz w:val="22"/>
          <w:szCs w:val="22"/>
        </w:rPr>
      </w:pPr>
      <w:r w:rsidRPr="00306582">
        <w:rPr>
          <w:bCs/>
          <w:color w:val="000000"/>
          <w:sz w:val="22"/>
          <w:szCs w:val="22"/>
        </w:rPr>
        <w:t>hydroxid sodný (na úpravu pH)</w:t>
      </w:r>
    </w:p>
    <w:p w14:paraId="0AEF910F" w14:textId="77777777" w:rsidR="00FE0D53" w:rsidRPr="00306582" w:rsidRDefault="00FE0D53">
      <w:pPr>
        <w:rPr>
          <w:bCs/>
          <w:color w:val="000000"/>
          <w:sz w:val="22"/>
          <w:szCs w:val="22"/>
        </w:rPr>
      </w:pPr>
      <w:r w:rsidRPr="00306582">
        <w:rPr>
          <w:bCs/>
          <w:color w:val="000000"/>
          <w:sz w:val="22"/>
          <w:szCs w:val="22"/>
        </w:rPr>
        <w:t>kyselina chlorovodíková (na úpravu pH)</w:t>
      </w:r>
    </w:p>
    <w:p w14:paraId="239CA77F" w14:textId="77777777" w:rsidR="00FE0D53" w:rsidRPr="00725147" w:rsidRDefault="00FE0D53">
      <w:pPr>
        <w:rPr>
          <w:sz w:val="22"/>
          <w:szCs w:val="22"/>
        </w:rPr>
      </w:pPr>
      <w:r w:rsidRPr="00306582">
        <w:rPr>
          <w:bCs/>
          <w:color w:val="000000"/>
          <w:sz w:val="22"/>
          <w:szCs w:val="22"/>
        </w:rPr>
        <w:t>čistená voda</w:t>
      </w:r>
    </w:p>
    <w:p w14:paraId="4BD27735" w14:textId="77777777" w:rsidR="00FE0D53" w:rsidRPr="00306582" w:rsidRDefault="00FE0D53">
      <w:pPr>
        <w:ind w:right="72"/>
        <w:rPr>
          <w:sz w:val="22"/>
          <w:szCs w:val="22"/>
        </w:rPr>
      </w:pPr>
    </w:p>
    <w:p w14:paraId="64341A0F" w14:textId="77777777" w:rsidR="00FE0D53" w:rsidRPr="00306582" w:rsidRDefault="00FE0D53" w:rsidP="00725147">
      <w:pPr>
        <w:keepNext/>
        <w:ind w:right="74"/>
        <w:rPr>
          <w:b/>
          <w:bCs/>
          <w:sz w:val="22"/>
          <w:szCs w:val="22"/>
        </w:rPr>
      </w:pPr>
      <w:r w:rsidRPr="00306582">
        <w:rPr>
          <w:b/>
          <w:bCs/>
          <w:sz w:val="22"/>
          <w:szCs w:val="22"/>
        </w:rPr>
        <w:t>6.2</w:t>
      </w:r>
      <w:r w:rsidRPr="00306582">
        <w:rPr>
          <w:b/>
          <w:bCs/>
          <w:sz w:val="22"/>
          <w:szCs w:val="22"/>
        </w:rPr>
        <w:tab/>
        <w:t>Inkompatibility</w:t>
      </w:r>
    </w:p>
    <w:p w14:paraId="3DD8A5E3" w14:textId="77777777" w:rsidR="00FE0D53" w:rsidRPr="00306582" w:rsidRDefault="00FE0D53" w:rsidP="00725147">
      <w:pPr>
        <w:keepNext/>
        <w:ind w:right="74"/>
        <w:rPr>
          <w:b/>
          <w:bCs/>
          <w:sz w:val="22"/>
          <w:szCs w:val="22"/>
        </w:rPr>
      </w:pPr>
    </w:p>
    <w:p w14:paraId="3B60D9A5" w14:textId="77777777" w:rsidR="00FE0D53" w:rsidRPr="00306582" w:rsidRDefault="00FE0D53">
      <w:pPr>
        <w:pStyle w:val="Zkladntext"/>
        <w:rPr>
          <w:szCs w:val="22"/>
        </w:rPr>
      </w:pPr>
      <w:r w:rsidRPr="00306582">
        <w:rPr>
          <w:szCs w:val="22"/>
        </w:rPr>
        <w:t>Neaplikovateľné.</w:t>
      </w:r>
    </w:p>
    <w:p w14:paraId="0D8A632A" w14:textId="77777777" w:rsidR="00FE0D53" w:rsidRPr="00306582" w:rsidRDefault="00FE0D53">
      <w:pPr>
        <w:ind w:right="72"/>
        <w:rPr>
          <w:sz w:val="22"/>
          <w:szCs w:val="22"/>
        </w:rPr>
      </w:pPr>
    </w:p>
    <w:p w14:paraId="110AFC08" w14:textId="77777777" w:rsidR="00FE0D53" w:rsidRPr="00306582" w:rsidRDefault="00FE0D53">
      <w:pPr>
        <w:pStyle w:val="Nadpis4"/>
        <w:rPr>
          <w:szCs w:val="22"/>
        </w:rPr>
      </w:pPr>
      <w:r w:rsidRPr="00306582">
        <w:rPr>
          <w:szCs w:val="22"/>
        </w:rPr>
        <w:t>6.3</w:t>
      </w:r>
      <w:r w:rsidRPr="00306582">
        <w:rPr>
          <w:szCs w:val="22"/>
        </w:rPr>
        <w:tab/>
        <w:t>Čas použiteľnosti</w:t>
      </w:r>
    </w:p>
    <w:p w14:paraId="6D73741A" w14:textId="77777777" w:rsidR="00FE0D53" w:rsidRPr="00306582" w:rsidRDefault="00FE0D53" w:rsidP="00725147">
      <w:pPr>
        <w:keepNext/>
        <w:ind w:right="74"/>
        <w:rPr>
          <w:b/>
          <w:bCs/>
          <w:sz w:val="22"/>
          <w:szCs w:val="22"/>
        </w:rPr>
      </w:pPr>
    </w:p>
    <w:p w14:paraId="013A084E" w14:textId="77777777" w:rsidR="00FE0D53" w:rsidRPr="00306582" w:rsidRDefault="00FE0D53">
      <w:pPr>
        <w:ind w:right="72"/>
        <w:rPr>
          <w:sz w:val="22"/>
          <w:szCs w:val="22"/>
        </w:rPr>
      </w:pPr>
      <w:r w:rsidRPr="00306582">
        <w:rPr>
          <w:sz w:val="22"/>
          <w:szCs w:val="22"/>
        </w:rPr>
        <w:t>2 roky</w:t>
      </w:r>
    </w:p>
    <w:p w14:paraId="2A5D3962" w14:textId="77777777" w:rsidR="00FE0D53" w:rsidRPr="00306582" w:rsidRDefault="00FE0D53">
      <w:pPr>
        <w:ind w:right="72"/>
        <w:rPr>
          <w:sz w:val="22"/>
          <w:szCs w:val="22"/>
        </w:rPr>
      </w:pPr>
    </w:p>
    <w:p w14:paraId="556F1C0C" w14:textId="77777777" w:rsidR="00FE0D53" w:rsidRPr="00306582" w:rsidRDefault="00FE0D53">
      <w:pPr>
        <w:ind w:right="72"/>
        <w:rPr>
          <w:sz w:val="22"/>
          <w:szCs w:val="22"/>
        </w:rPr>
      </w:pPr>
      <w:r w:rsidRPr="00306582">
        <w:rPr>
          <w:sz w:val="22"/>
          <w:szCs w:val="22"/>
        </w:rPr>
        <w:t>Čas použiteľnosti po prvom otvorení: 3 mesiace.</w:t>
      </w:r>
    </w:p>
    <w:p w14:paraId="2293ED96" w14:textId="77777777" w:rsidR="00FE0D53" w:rsidRPr="00306582" w:rsidRDefault="00FE0D53">
      <w:pPr>
        <w:ind w:right="72"/>
        <w:rPr>
          <w:sz w:val="22"/>
          <w:szCs w:val="22"/>
        </w:rPr>
      </w:pPr>
    </w:p>
    <w:p w14:paraId="200E60F8" w14:textId="77777777" w:rsidR="00FE0D53" w:rsidRPr="00306582" w:rsidRDefault="00FE0D53" w:rsidP="00725147">
      <w:pPr>
        <w:keepNext/>
        <w:ind w:right="74"/>
        <w:rPr>
          <w:b/>
          <w:bCs/>
          <w:sz w:val="22"/>
          <w:szCs w:val="22"/>
        </w:rPr>
      </w:pPr>
      <w:r w:rsidRPr="00306582">
        <w:rPr>
          <w:b/>
          <w:bCs/>
          <w:sz w:val="22"/>
          <w:szCs w:val="22"/>
        </w:rPr>
        <w:t>6.4</w:t>
      </w:r>
      <w:r w:rsidRPr="00306582">
        <w:rPr>
          <w:b/>
          <w:bCs/>
          <w:sz w:val="22"/>
          <w:szCs w:val="22"/>
        </w:rPr>
        <w:tab/>
        <w:t>Špeciálne upozornenia na uchovávanie</w:t>
      </w:r>
    </w:p>
    <w:p w14:paraId="62AADCE3" w14:textId="77777777" w:rsidR="00FE0D53" w:rsidRPr="00306582" w:rsidRDefault="00FE0D53" w:rsidP="00725147">
      <w:pPr>
        <w:keepNext/>
        <w:ind w:right="74"/>
        <w:rPr>
          <w:b/>
          <w:bCs/>
          <w:sz w:val="22"/>
          <w:szCs w:val="22"/>
        </w:rPr>
      </w:pPr>
    </w:p>
    <w:p w14:paraId="4FE8E5A7" w14:textId="77777777" w:rsidR="00FE0D53" w:rsidRPr="00306582" w:rsidRDefault="00FE0D53">
      <w:pPr>
        <w:ind w:right="72"/>
        <w:rPr>
          <w:sz w:val="22"/>
          <w:szCs w:val="22"/>
        </w:rPr>
      </w:pPr>
      <w:r w:rsidRPr="00306582">
        <w:rPr>
          <w:sz w:val="22"/>
          <w:szCs w:val="22"/>
        </w:rPr>
        <w:t>Uchovávajte pri teplote do 25 °C. Neuchovávajte v chladničke alebo mrazničke.</w:t>
      </w:r>
    </w:p>
    <w:p w14:paraId="34BF14CE" w14:textId="77777777" w:rsidR="00FE0D53" w:rsidRPr="00306582" w:rsidRDefault="00FE0D53">
      <w:pPr>
        <w:ind w:right="72"/>
        <w:rPr>
          <w:sz w:val="22"/>
          <w:szCs w:val="22"/>
        </w:rPr>
      </w:pPr>
    </w:p>
    <w:p w14:paraId="218DF436" w14:textId="77777777" w:rsidR="00FE0D53" w:rsidRPr="00306582" w:rsidRDefault="00FE0D53" w:rsidP="00725147">
      <w:pPr>
        <w:keepNext/>
        <w:ind w:right="74"/>
        <w:rPr>
          <w:b/>
          <w:bCs/>
          <w:sz w:val="22"/>
          <w:szCs w:val="22"/>
        </w:rPr>
      </w:pPr>
      <w:r w:rsidRPr="00306582">
        <w:rPr>
          <w:b/>
          <w:bCs/>
          <w:sz w:val="22"/>
          <w:szCs w:val="22"/>
        </w:rPr>
        <w:t>6.5</w:t>
      </w:r>
      <w:r w:rsidRPr="00306582">
        <w:rPr>
          <w:b/>
          <w:bCs/>
          <w:sz w:val="22"/>
          <w:szCs w:val="22"/>
        </w:rPr>
        <w:tab/>
        <w:t>Druh obalu a obsah balenia</w:t>
      </w:r>
    </w:p>
    <w:p w14:paraId="5DDE7922" w14:textId="77777777" w:rsidR="00FE0D53" w:rsidRPr="00306582" w:rsidRDefault="00FE0D53" w:rsidP="00725147">
      <w:pPr>
        <w:keepNext/>
        <w:ind w:right="74"/>
        <w:rPr>
          <w:b/>
          <w:bCs/>
          <w:sz w:val="22"/>
          <w:szCs w:val="22"/>
        </w:rPr>
      </w:pPr>
    </w:p>
    <w:p w14:paraId="3AD9EC10" w14:textId="77777777" w:rsidR="00FE0D53" w:rsidRPr="00306582" w:rsidRDefault="00FE0D53">
      <w:pPr>
        <w:pStyle w:val="Zkladntext"/>
        <w:rPr>
          <w:szCs w:val="22"/>
        </w:rPr>
      </w:pPr>
      <w:r w:rsidRPr="00306582">
        <w:rPr>
          <w:szCs w:val="22"/>
        </w:rPr>
        <w:t xml:space="preserve">2 g HDPE tuba s hliníkovou vrstvou a s HDPE uzáverom alebo 2 g hliníková tuba s vnútornou </w:t>
      </w:r>
      <w:proofErr w:type="spellStart"/>
      <w:r w:rsidRPr="00306582">
        <w:rPr>
          <w:szCs w:val="22"/>
        </w:rPr>
        <w:t>epoxyfenolovou</w:t>
      </w:r>
      <w:proofErr w:type="spellEnd"/>
      <w:r w:rsidRPr="00306582">
        <w:rPr>
          <w:szCs w:val="22"/>
        </w:rPr>
        <w:t xml:space="preserve"> lakovanou vrstvou a s HDPE </w:t>
      </w:r>
      <w:proofErr w:type="spellStart"/>
      <w:r w:rsidRPr="00306582">
        <w:rPr>
          <w:szCs w:val="22"/>
        </w:rPr>
        <w:t>skrutkovacím</w:t>
      </w:r>
      <w:proofErr w:type="spellEnd"/>
      <w:r w:rsidRPr="00306582">
        <w:rPr>
          <w:szCs w:val="22"/>
        </w:rPr>
        <w:t xml:space="preserve"> uzáverom.</w:t>
      </w:r>
    </w:p>
    <w:p w14:paraId="5541EC11" w14:textId="77777777" w:rsidR="00FE0D53" w:rsidRPr="00306582" w:rsidRDefault="00FE0D53">
      <w:pPr>
        <w:ind w:right="72"/>
        <w:rPr>
          <w:sz w:val="22"/>
          <w:szCs w:val="22"/>
        </w:rPr>
      </w:pPr>
    </w:p>
    <w:p w14:paraId="5D0A223D" w14:textId="77777777" w:rsidR="00FE0D53" w:rsidRPr="00306582" w:rsidRDefault="00FE0D53" w:rsidP="00725147">
      <w:pPr>
        <w:keepNext/>
        <w:ind w:right="74"/>
        <w:rPr>
          <w:b/>
          <w:bCs/>
          <w:sz w:val="22"/>
          <w:szCs w:val="22"/>
        </w:rPr>
      </w:pPr>
      <w:r w:rsidRPr="00306582">
        <w:rPr>
          <w:b/>
          <w:bCs/>
          <w:sz w:val="22"/>
          <w:szCs w:val="22"/>
        </w:rPr>
        <w:t>6.6</w:t>
      </w:r>
      <w:r w:rsidRPr="00306582">
        <w:rPr>
          <w:b/>
          <w:bCs/>
          <w:sz w:val="22"/>
          <w:szCs w:val="22"/>
        </w:rPr>
        <w:tab/>
        <w:t>Špeciálne opatrenia na likvidáciu a iné zaobchádzanie s liekom</w:t>
      </w:r>
    </w:p>
    <w:p w14:paraId="68D064BC" w14:textId="77777777" w:rsidR="00FE0D53" w:rsidRPr="00306582" w:rsidRDefault="00FE0D53" w:rsidP="00725147">
      <w:pPr>
        <w:keepNext/>
        <w:ind w:right="74"/>
        <w:rPr>
          <w:b/>
          <w:bCs/>
          <w:sz w:val="22"/>
          <w:szCs w:val="22"/>
        </w:rPr>
      </w:pPr>
    </w:p>
    <w:p w14:paraId="1DB573B0" w14:textId="77777777" w:rsidR="00FE0D53" w:rsidRPr="00725147" w:rsidRDefault="00FE0D53">
      <w:pPr>
        <w:ind w:right="72"/>
        <w:rPr>
          <w:sz w:val="22"/>
          <w:szCs w:val="22"/>
        </w:rPr>
      </w:pPr>
      <w:r w:rsidRPr="00725147">
        <w:rPr>
          <w:sz w:val="22"/>
          <w:szCs w:val="22"/>
        </w:rPr>
        <w:t>Všetok nepoužitý liek alebo odpad vzniknutý z lieku sa má zlikvidovať v súlade s národnými požiadavkami.</w:t>
      </w:r>
    </w:p>
    <w:p w14:paraId="5523F649" w14:textId="77777777" w:rsidR="00FE0D53" w:rsidRPr="00306582" w:rsidRDefault="00FE0D53">
      <w:pPr>
        <w:ind w:right="72"/>
        <w:rPr>
          <w:sz w:val="22"/>
          <w:szCs w:val="22"/>
        </w:rPr>
      </w:pPr>
    </w:p>
    <w:p w14:paraId="5FAC3612" w14:textId="77777777" w:rsidR="00FE0D53" w:rsidRPr="00306582" w:rsidRDefault="00FE0D53">
      <w:pPr>
        <w:ind w:right="72"/>
        <w:rPr>
          <w:sz w:val="22"/>
          <w:szCs w:val="22"/>
        </w:rPr>
      </w:pPr>
    </w:p>
    <w:p w14:paraId="6CA32B6D" w14:textId="77777777" w:rsidR="00FE0D53" w:rsidRPr="00306582" w:rsidRDefault="00FE0D53" w:rsidP="00725147">
      <w:pPr>
        <w:keepNext/>
        <w:ind w:right="74"/>
        <w:rPr>
          <w:b/>
          <w:bCs/>
          <w:sz w:val="22"/>
          <w:szCs w:val="22"/>
        </w:rPr>
      </w:pPr>
      <w:r w:rsidRPr="00306582">
        <w:rPr>
          <w:b/>
          <w:bCs/>
          <w:sz w:val="22"/>
          <w:szCs w:val="22"/>
        </w:rPr>
        <w:t>7.</w:t>
      </w:r>
      <w:r w:rsidRPr="00306582">
        <w:rPr>
          <w:b/>
          <w:bCs/>
          <w:sz w:val="22"/>
          <w:szCs w:val="22"/>
        </w:rPr>
        <w:tab/>
        <w:t>DRŽITEĽ ROZHODNUTIA O REGISTRÁCII</w:t>
      </w:r>
    </w:p>
    <w:p w14:paraId="4AC5DB19" w14:textId="77777777" w:rsidR="00FE0D53" w:rsidRPr="00306582" w:rsidRDefault="00FE0D53" w:rsidP="00725147">
      <w:pPr>
        <w:keepNext/>
        <w:ind w:right="74"/>
        <w:rPr>
          <w:b/>
          <w:bCs/>
          <w:sz w:val="22"/>
          <w:szCs w:val="22"/>
        </w:rPr>
      </w:pPr>
    </w:p>
    <w:p w14:paraId="23733A81" w14:textId="77777777" w:rsidR="00FE0D53" w:rsidRPr="00306582" w:rsidRDefault="00FE0D53" w:rsidP="00842755">
      <w:pPr>
        <w:rPr>
          <w:sz w:val="22"/>
          <w:szCs w:val="22"/>
          <w:lang w:val="cs-CZ"/>
        </w:rPr>
      </w:pPr>
      <w:proofErr w:type="spellStart"/>
      <w:r w:rsidRPr="00306582">
        <w:rPr>
          <w:sz w:val="22"/>
          <w:szCs w:val="22"/>
          <w:lang w:val="cs-CZ"/>
        </w:rPr>
        <w:t>GlaxoSmithKline</w:t>
      </w:r>
      <w:proofErr w:type="spellEnd"/>
      <w:r w:rsidRPr="00306582">
        <w:rPr>
          <w:sz w:val="22"/>
          <w:szCs w:val="22"/>
          <w:lang w:val="cs-CZ"/>
        </w:rPr>
        <w:t xml:space="preserve"> </w:t>
      </w:r>
      <w:proofErr w:type="spellStart"/>
      <w:r w:rsidRPr="00306582">
        <w:rPr>
          <w:sz w:val="22"/>
          <w:szCs w:val="22"/>
          <w:lang w:val="cs-CZ"/>
        </w:rPr>
        <w:t>Consumer</w:t>
      </w:r>
      <w:proofErr w:type="spellEnd"/>
      <w:r w:rsidRPr="00306582">
        <w:rPr>
          <w:sz w:val="22"/>
          <w:szCs w:val="22"/>
          <w:lang w:val="cs-CZ"/>
        </w:rPr>
        <w:t xml:space="preserve"> </w:t>
      </w:r>
      <w:proofErr w:type="spellStart"/>
      <w:r w:rsidRPr="00306582">
        <w:rPr>
          <w:sz w:val="22"/>
          <w:szCs w:val="22"/>
          <w:lang w:val="cs-CZ"/>
        </w:rPr>
        <w:t>Healthcare</w:t>
      </w:r>
      <w:proofErr w:type="spellEnd"/>
      <w:r w:rsidRPr="00306582">
        <w:rPr>
          <w:sz w:val="22"/>
          <w:szCs w:val="22"/>
          <w:lang w:val="cs-CZ"/>
        </w:rPr>
        <w:t xml:space="preserve"> Czech Republic s.r.o.</w:t>
      </w:r>
    </w:p>
    <w:p w14:paraId="16983A56" w14:textId="77777777" w:rsidR="00FE0D53" w:rsidRPr="00306582" w:rsidRDefault="00FE0D53" w:rsidP="00842755">
      <w:pPr>
        <w:rPr>
          <w:sz w:val="22"/>
          <w:szCs w:val="22"/>
          <w:lang w:val="cs-CZ"/>
        </w:rPr>
      </w:pPr>
      <w:r w:rsidRPr="00306582">
        <w:rPr>
          <w:sz w:val="22"/>
          <w:szCs w:val="22"/>
          <w:lang w:val="cs-CZ"/>
        </w:rPr>
        <w:t>Hvězdova 1734/2c</w:t>
      </w:r>
    </w:p>
    <w:p w14:paraId="6902B60E" w14:textId="77777777" w:rsidR="00FE0D53" w:rsidRPr="00306582" w:rsidRDefault="00FE0D53" w:rsidP="00842755">
      <w:pPr>
        <w:rPr>
          <w:sz w:val="22"/>
          <w:szCs w:val="22"/>
          <w:lang w:val="cs-CZ"/>
        </w:rPr>
      </w:pPr>
      <w:r w:rsidRPr="00306582">
        <w:rPr>
          <w:sz w:val="22"/>
          <w:szCs w:val="22"/>
          <w:lang w:val="cs-CZ"/>
        </w:rPr>
        <w:t>140 00 Praha 4</w:t>
      </w:r>
    </w:p>
    <w:p w14:paraId="280F157F" w14:textId="77777777" w:rsidR="00FE0D53" w:rsidRPr="00306582" w:rsidRDefault="00FE0D53" w:rsidP="00842755">
      <w:pPr>
        <w:rPr>
          <w:sz w:val="22"/>
          <w:szCs w:val="22"/>
          <w:lang w:val="cs-CZ"/>
        </w:rPr>
      </w:pPr>
      <w:r w:rsidRPr="00306582">
        <w:rPr>
          <w:sz w:val="22"/>
          <w:szCs w:val="22"/>
          <w:lang w:val="cs-CZ"/>
        </w:rPr>
        <w:t xml:space="preserve">Česká republika </w:t>
      </w:r>
    </w:p>
    <w:p w14:paraId="65B87DE1" w14:textId="77777777" w:rsidR="00FE0D53" w:rsidRPr="00306582" w:rsidRDefault="00FE0D53">
      <w:pPr>
        <w:rPr>
          <w:sz w:val="22"/>
          <w:szCs w:val="22"/>
          <w:lang w:val="cs-CZ"/>
        </w:rPr>
      </w:pPr>
    </w:p>
    <w:p w14:paraId="71C20B49" w14:textId="77777777" w:rsidR="00FE0D53" w:rsidRPr="00306582" w:rsidRDefault="00FE0D53">
      <w:pPr>
        <w:rPr>
          <w:bCs/>
          <w:sz w:val="22"/>
          <w:szCs w:val="22"/>
        </w:rPr>
      </w:pPr>
    </w:p>
    <w:p w14:paraId="3C37D499" w14:textId="77777777" w:rsidR="00FE0D53" w:rsidRPr="00306582" w:rsidRDefault="00FE0D53" w:rsidP="00725147">
      <w:pPr>
        <w:keepNext/>
        <w:ind w:right="74"/>
        <w:rPr>
          <w:b/>
          <w:bCs/>
          <w:sz w:val="22"/>
          <w:szCs w:val="22"/>
        </w:rPr>
      </w:pPr>
      <w:r w:rsidRPr="00306582">
        <w:rPr>
          <w:b/>
          <w:bCs/>
          <w:sz w:val="22"/>
          <w:szCs w:val="22"/>
        </w:rPr>
        <w:t>8.</w:t>
      </w:r>
      <w:r w:rsidRPr="00306582">
        <w:rPr>
          <w:b/>
          <w:bCs/>
          <w:sz w:val="22"/>
          <w:szCs w:val="22"/>
        </w:rPr>
        <w:tab/>
        <w:t>REGISTRAČNÉ ČÍSLO</w:t>
      </w:r>
    </w:p>
    <w:p w14:paraId="44E3CCC5" w14:textId="77777777" w:rsidR="00FE0D53" w:rsidRPr="00306582" w:rsidRDefault="00FE0D53" w:rsidP="00725147">
      <w:pPr>
        <w:keepNext/>
        <w:ind w:right="74"/>
        <w:rPr>
          <w:b/>
          <w:bCs/>
          <w:sz w:val="22"/>
          <w:szCs w:val="22"/>
        </w:rPr>
      </w:pPr>
    </w:p>
    <w:p w14:paraId="72337D93" w14:textId="77777777" w:rsidR="00FE0D53" w:rsidRPr="00306582" w:rsidRDefault="00FE0D53">
      <w:pPr>
        <w:ind w:right="72"/>
        <w:rPr>
          <w:sz w:val="22"/>
          <w:szCs w:val="22"/>
        </w:rPr>
      </w:pPr>
      <w:r w:rsidRPr="00306582">
        <w:rPr>
          <w:sz w:val="22"/>
          <w:szCs w:val="22"/>
        </w:rPr>
        <w:t>46/0651/09-S</w:t>
      </w:r>
    </w:p>
    <w:p w14:paraId="3C6572B4" w14:textId="77777777" w:rsidR="00FE0D53" w:rsidRPr="00306582" w:rsidRDefault="00FE0D53">
      <w:pPr>
        <w:ind w:right="72"/>
        <w:rPr>
          <w:sz w:val="22"/>
          <w:szCs w:val="22"/>
        </w:rPr>
      </w:pPr>
    </w:p>
    <w:p w14:paraId="1AEE3870" w14:textId="77777777" w:rsidR="00FE0D53" w:rsidRPr="00306582" w:rsidRDefault="00FE0D53">
      <w:pPr>
        <w:ind w:right="72"/>
        <w:rPr>
          <w:sz w:val="22"/>
          <w:szCs w:val="22"/>
        </w:rPr>
      </w:pPr>
    </w:p>
    <w:p w14:paraId="3FF7DA62" w14:textId="77777777" w:rsidR="00FE0D53" w:rsidRPr="00306582" w:rsidRDefault="00FE0D53" w:rsidP="00725147">
      <w:pPr>
        <w:keepNext/>
        <w:ind w:right="74"/>
        <w:rPr>
          <w:b/>
          <w:bCs/>
          <w:sz w:val="22"/>
          <w:szCs w:val="22"/>
        </w:rPr>
      </w:pPr>
      <w:r w:rsidRPr="00306582">
        <w:rPr>
          <w:b/>
          <w:bCs/>
          <w:sz w:val="22"/>
          <w:szCs w:val="22"/>
        </w:rPr>
        <w:lastRenderedPageBreak/>
        <w:t>9.</w:t>
      </w:r>
      <w:r w:rsidRPr="00306582">
        <w:rPr>
          <w:b/>
          <w:bCs/>
          <w:sz w:val="22"/>
          <w:szCs w:val="22"/>
        </w:rPr>
        <w:tab/>
        <w:t>DÁTUM PRVEJ REGISTRÁCIE/PREDĹŽENIA REGISTRÁCIE</w:t>
      </w:r>
    </w:p>
    <w:p w14:paraId="2281B633" w14:textId="77777777" w:rsidR="00FE0D53" w:rsidRPr="00306582" w:rsidRDefault="00FE0D53" w:rsidP="00725147">
      <w:pPr>
        <w:keepNext/>
        <w:ind w:right="74"/>
        <w:rPr>
          <w:b/>
          <w:bCs/>
          <w:sz w:val="22"/>
          <w:szCs w:val="22"/>
        </w:rPr>
      </w:pPr>
    </w:p>
    <w:p w14:paraId="653778C6" w14:textId="77777777" w:rsidR="00FE0D53" w:rsidRPr="00306582" w:rsidRDefault="00FE0D53">
      <w:pPr>
        <w:ind w:right="72"/>
        <w:rPr>
          <w:sz w:val="22"/>
          <w:szCs w:val="22"/>
        </w:rPr>
      </w:pPr>
      <w:commentRangeStart w:id="10"/>
      <w:r w:rsidRPr="00306582">
        <w:rPr>
          <w:sz w:val="22"/>
          <w:szCs w:val="22"/>
        </w:rPr>
        <w:t>Dátum prvej registrácie: 26. októbra 2009</w:t>
      </w:r>
    </w:p>
    <w:p w14:paraId="406B3E9D" w14:textId="2FA1337D" w:rsidR="00FE0D53" w:rsidRPr="00306582" w:rsidRDefault="00FE0D53">
      <w:pPr>
        <w:ind w:right="72"/>
        <w:rPr>
          <w:sz w:val="22"/>
          <w:szCs w:val="22"/>
        </w:rPr>
      </w:pPr>
      <w:r w:rsidRPr="00306582">
        <w:rPr>
          <w:sz w:val="22"/>
          <w:szCs w:val="22"/>
        </w:rPr>
        <w:t>Dátum posledného predĺženia registrácie: 3. septembra 2015</w:t>
      </w:r>
      <w:commentRangeEnd w:id="10"/>
    </w:p>
    <w:p w14:paraId="6D4DE91F" w14:textId="77777777" w:rsidR="00FE0D53" w:rsidRPr="00306582" w:rsidRDefault="00FE0D53">
      <w:pPr>
        <w:ind w:right="72"/>
        <w:rPr>
          <w:bCs/>
          <w:sz w:val="22"/>
          <w:szCs w:val="22"/>
        </w:rPr>
      </w:pPr>
    </w:p>
    <w:p w14:paraId="60F52D2A" w14:textId="77777777" w:rsidR="00FE0D53" w:rsidRPr="00306582" w:rsidRDefault="00FE0D53">
      <w:pPr>
        <w:ind w:right="72"/>
        <w:rPr>
          <w:bCs/>
          <w:sz w:val="22"/>
          <w:szCs w:val="22"/>
        </w:rPr>
      </w:pPr>
    </w:p>
    <w:p w14:paraId="38D29B78" w14:textId="77777777" w:rsidR="00FE0D53" w:rsidRPr="00306582" w:rsidRDefault="00FE0D53" w:rsidP="00725147">
      <w:pPr>
        <w:keepNext/>
        <w:ind w:right="74"/>
        <w:rPr>
          <w:b/>
          <w:bCs/>
          <w:sz w:val="22"/>
          <w:szCs w:val="22"/>
        </w:rPr>
      </w:pPr>
      <w:r w:rsidRPr="00306582">
        <w:rPr>
          <w:b/>
          <w:bCs/>
          <w:sz w:val="22"/>
          <w:szCs w:val="22"/>
        </w:rPr>
        <w:t>10.</w:t>
      </w:r>
      <w:r w:rsidRPr="00306582">
        <w:rPr>
          <w:b/>
          <w:bCs/>
          <w:sz w:val="22"/>
          <w:szCs w:val="22"/>
        </w:rPr>
        <w:tab/>
        <w:t>DÁTUM REVÍZIE TEXTU</w:t>
      </w:r>
    </w:p>
    <w:p w14:paraId="02A32410" w14:textId="77777777" w:rsidR="00FE0D53" w:rsidRPr="00306582" w:rsidRDefault="00FE0D53" w:rsidP="00725147">
      <w:pPr>
        <w:keepNext/>
        <w:ind w:right="74"/>
        <w:rPr>
          <w:b/>
          <w:bCs/>
          <w:sz w:val="22"/>
          <w:szCs w:val="22"/>
        </w:rPr>
      </w:pPr>
    </w:p>
    <w:p w14:paraId="47AB28A4" w14:textId="03EA6DDF" w:rsidR="00FE0D53" w:rsidRPr="00725147" w:rsidRDefault="00F9422A">
      <w:pPr>
        <w:rPr>
          <w:sz w:val="22"/>
          <w:szCs w:val="22"/>
        </w:rPr>
      </w:pPr>
      <w:commentRangeStart w:id="11"/>
      <w:r>
        <w:rPr>
          <w:bCs/>
          <w:sz w:val="22"/>
          <w:szCs w:val="22"/>
        </w:rPr>
        <w:t>09/</w:t>
      </w:r>
      <w:r w:rsidR="00AF1EFE" w:rsidRPr="00306582">
        <w:rPr>
          <w:bCs/>
          <w:sz w:val="22"/>
          <w:szCs w:val="22"/>
        </w:rPr>
        <w:t>2018</w:t>
      </w:r>
      <w:commentRangeEnd w:id="11"/>
    </w:p>
    <w:sectPr w:rsidR="00FE0D53" w:rsidRPr="00725147" w:rsidSect="00725147">
      <w:headerReference w:type="default" r:id="rId8"/>
      <w:footerReference w:type="default" r:id="rId9"/>
      <w:headerReference w:type="first" r:id="rId10"/>
      <w:footerReference w:type="first" r:id="rId11"/>
      <w:pgSz w:w="11906" w:h="16838"/>
      <w:pgMar w:top="1134" w:right="1418" w:bottom="1134" w:left="1418" w:header="708" w:footer="709" w:gutter="0"/>
      <w:cols w:space="708"/>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409E1AB" w15:done="0"/>
  <w15:commentEx w15:paraId="6A234BA3" w15:done="0"/>
  <w15:commentEx w15:paraId="6719A958" w15:done="0"/>
  <w15:commentEx w15:paraId="5E827BD8" w15:done="0"/>
  <w15:commentEx w15:paraId="4ED5F65E" w15:done="0"/>
  <w15:commentEx w15:paraId="01595961" w15:done="0"/>
  <w15:commentEx w15:paraId="5BC6A0EC" w15:done="0"/>
  <w15:commentEx w15:paraId="6E1870E6" w15:done="0"/>
  <w15:commentEx w15:paraId="3AB013D4" w15:done="0"/>
  <w15:commentEx w15:paraId="0FF571A1" w15:done="0"/>
  <w15:commentEx w15:paraId="23DE8E0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09E1AB" w16cid:durableId="1F4F2E90"/>
  <w16cid:commentId w16cid:paraId="6A234BA3" w16cid:durableId="1F4F2E91"/>
  <w16cid:commentId w16cid:paraId="6719A958" w16cid:durableId="1F4F2E92"/>
  <w16cid:commentId w16cid:paraId="5E827BD8" w16cid:durableId="1F4F2E93"/>
  <w16cid:commentId w16cid:paraId="4ED5F65E" w16cid:durableId="1F4F2E94"/>
  <w16cid:commentId w16cid:paraId="01595961" w16cid:durableId="1F4F2E95"/>
  <w16cid:commentId w16cid:paraId="5BC6A0EC" w16cid:durableId="1F4F2E96"/>
  <w16cid:commentId w16cid:paraId="6E1870E6" w16cid:durableId="1F4F2E97"/>
  <w16cid:commentId w16cid:paraId="3AB013D4" w16cid:durableId="1F4F2E98"/>
  <w16cid:commentId w16cid:paraId="0FF571A1" w16cid:durableId="1F4F2E99"/>
  <w16cid:commentId w16cid:paraId="23DE8E04" w16cid:durableId="1F4F2E9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B5E98A" w14:textId="77777777" w:rsidR="00907868" w:rsidRDefault="00907868" w:rsidP="00BB7A71">
      <w:r>
        <w:separator/>
      </w:r>
    </w:p>
  </w:endnote>
  <w:endnote w:type="continuationSeparator" w:id="0">
    <w:p w14:paraId="4C180011" w14:textId="77777777" w:rsidR="00907868" w:rsidRDefault="00907868" w:rsidP="00BB7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F79E7D" w14:textId="611FC4DE" w:rsidR="00FE0D53" w:rsidRDefault="00FF74E0" w:rsidP="00725147">
    <w:pPr>
      <w:pStyle w:val="Pta"/>
      <w:jc w:val="center"/>
    </w:pPr>
    <w:r>
      <w:rPr>
        <w:noProof/>
      </w:rPr>
      <mc:AlternateContent>
        <mc:Choice Requires="wps">
          <w:drawing>
            <wp:anchor distT="0" distB="0" distL="114300" distR="114300" simplePos="0" relativeHeight="251660288" behindDoc="0" locked="0" layoutInCell="1" allowOverlap="1" wp14:anchorId="6607DEC9" wp14:editId="56FABEC7">
              <wp:simplePos x="0" y="0"/>
              <wp:positionH relativeFrom="page">
                <wp:posOffset>6583680</wp:posOffset>
              </wp:positionH>
              <wp:positionV relativeFrom="paragraph">
                <wp:posOffset>635</wp:posOffset>
              </wp:positionV>
              <wp:extent cx="76200" cy="174625"/>
              <wp:effectExtent l="1905" t="635" r="7620" b="571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75B880" w14:textId="77777777" w:rsidR="00FE0D53" w:rsidRDefault="00FE0D53">
                          <w:pPr>
                            <w:pStyle w:val="Pta"/>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607DEC9" id="_x0000_t202" coordsize="21600,21600" o:spt="202" path="m,l,21600r21600,l21600,xe">
              <v:stroke joinstyle="miter"/>
              <v:path gradientshapeok="t" o:connecttype="rect"/>
            </v:shapetype>
            <v:shape id="Text Box 1" o:spid="_x0000_s1026" type="#_x0000_t202" style="position:absolute;left:0;text-align:left;margin-left:518.4pt;margin-top:.05pt;width:6pt;height:13.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6KAggIAAA4FAAAOAAAAZHJzL2Uyb0RvYy54bWysVG1v2yAQ/j5p/wHxPbUduUls1an6skyT&#10;uhep3Q8gBsdomGNAY3dT//sOHKfp9mWa5g/4gOPhubvnuLgcOkX2wjoJuqLZWUqJ0DVwqXcV/fqw&#10;ma0ocZ5pzhRoUdEn4ejl+u2bi96UYg4tKC4sQRDtyt5UtPXelEni6lZ0zJ2BERo3G7Ad8zi1u4Rb&#10;1iN6p5J5mi6SHiw3FmrhHK7ejpt0HfGbRtT+c9M44YmqKHLzcbRx3IYxWV+wcmeZaWV9oMH+gUXH&#10;pMZLj1C3zDPyaOUfUJ2sLTho/FkNXQJNI2sRY8BosvS3aO5bZkSMBZPjzDFN7v/B1p/2XyyRHGtH&#10;iWYdluhBDJ5cw0CykJ3euBKd7g26+QGXg2eI1Jk7qL85ouGmZXonrqyFvhWMI7t4Mjk5OuK4ALLt&#10;PwLHa9ijhwg0NLYLgJgMguhYpadjZQKVGheXCyw2JTXuZMt8MT8P1BJWTmeNdf69gI4Eo6IW6x6x&#10;2f7O+dF1concQUm+kUrFid1tb5Qle4Ya2cRvPKtMy8bVqBO8zo2u8Wp3iqF0QNIQMMfrxhXkjwTC&#10;XogkCuJnkc3z9HpezDaL1XKWb/LzWbFMV7M0K66LRZoX+e3mOTDI8rKVnAt9J7WYxJnlf1f8Q5uM&#10;soryJH1Fi3NMXQz6lP0hrEOsafgO+X0VZCc99qqSXUVXRydWhpq/0xzDZqVnUo128pp+TBnmYPrH&#10;rESFBFGM8vDDdkCUIJst8CfUigUsJtYdHxg0WrA/KOmxWSvqvj8yKyhRHzTqLXT2ZNjJ2E4G0zUe&#10;rainZDRvfHwBAmENV6jDRkaRvNyMNMMEmy4SPjwQoatP59Hr5Rlb/wIAAP//AwBQSwMEFAAGAAgA&#10;AAAhAKgjvxTaAAAACQEAAA8AAABkcnMvZG93bnJldi54bWxMj8FOwzAQRO9I/IO1SNyoTYrSEOJU&#10;UARXREDq1U22cZR4HcVuG/6ezQmOo7eaeVtsZzeIM06h86ThfqVAINW+6ajV8P31dpeBCNFQYwZP&#10;qOEHA2zL66vC5I2/0Ceeq9gKLqGQGw02xjGXMtQWnQkrPyIxO/rJmchxamUzmQuXu0EmSqXSmY54&#10;wZoRdxbrvjo5DeuPZLMP79XrbtzjY5+Fl/5IVuvbm/n5CUTEOf4dw6LP6lCy08GfqAli4KzWKbvH&#10;hYiFq4eM80FDsklBloX8/0H5CwAA//8DAFBLAQItABQABgAIAAAAIQC2gziS/gAAAOEBAAATAAAA&#10;AAAAAAAAAAAAAAAAAABbQ29udGVudF9UeXBlc10ueG1sUEsBAi0AFAAGAAgAAAAhADj9If/WAAAA&#10;lAEAAAsAAAAAAAAAAAAAAAAALwEAAF9yZWxzLy5yZWxzUEsBAi0AFAAGAAgAAAAhAHsTooCCAgAA&#10;DgUAAA4AAAAAAAAAAAAAAAAALgIAAGRycy9lMm9Eb2MueG1sUEsBAi0AFAAGAAgAAAAhAKgjvxTa&#10;AAAACQEAAA8AAAAAAAAAAAAAAAAA3AQAAGRycy9kb3ducmV2LnhtbFBLBQYAAAAABAAEAPMAAADj&#10;BQAAAAA=&#10;" stroked="f">
              <v:fill opacity="0"/>
              <v:textbox inset="0,0,0,0">
                <w:txbxContent>
                  <w:p w14:paraId="6C75B880" w14:textId="77777777" w:rsidR="00FE0D53" w:rsidRDefault="00FE0D53">
                    <w:pPr>
                      <w:pStyle w:val="Footer"/>
                    </w:pPr>
                  </w:p>
                </w:txbxContent>
              </v:textbox>
              <w10:wrap type="square" side="largest" anchorx="page"/>
            </v:shape>
          </w:pict>
        </mc:Fallback>
      </mc:AlternateContent>
    </w:r>
    <w:r w:rsidR="00FE0D53">
      <w:rPr>
        <w:sz w:val="18"/>
        <w:szCs w:val="18"/>
      </w:rPr>
      <w:fldChar w:fldCharType="begin"/>
    </w:r>
    <w:r w:rsidR="00FE0D53">
      <w:rPr>
        <w:sz w:val="18"/>
        <w:szCs w:val="18"/>
      </w:rPr>
      <w:instrText xml:space="preserve"> PAGE </w:instrText>
    </w:r>
    <w:r w:rsidR="00FE0D53">
      <w:rPr>
        <w:sz w:val="18"/>
        <w:szCs w:val="18"/>
      </w:rPr>
      <w:fldChar w:fldCharType="separate"/>
    </w:r>
    <w:r w:rsidR="00725147">
      <w:rPr>
        <w:noProof/>
        <w:sz w:val="18"/>
        <w:szCs w:val="18"/>
      </w:rPr>
      <w:t>2</w:t>
    </w:r>
    <w:r w:rsidR="00FE0D53">
      <w:rP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ECFF99" w14:textId="5F963E11" w:rsidR="00FE0D53" w:rsidRDefault="00FE0D53" w:rsidP="00725147">
    <w:pPr>
      <w:pStyle w:val="Pta"/>
    </w:pPr>
  </w:p>
  <w:p w14:paraId="731687A4" w14:textId="77777777" w:rsidR="00FE0D53" w:rsidRDefault="00FE0D53">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5DD32C" w14:textId="77777777" w:rsidR="00907868" w:rsidRDefault="00907868" w:rsidP="00BB7A71">
      <w:r w:rsidRPr="00BB7A71">
        <w:rPr>
          <w:color w:val="000000"/>
        </w:rPr>
        <w:separator/>
      </w:r>
    </w:p>
  </w:footnote>
  <w:footnote w:type="continuationSeparator" w:id="0">
    <w:p w14:paraId="44A6E103" w14:textId="77777777" w:rsidR="00907868" w:rsidRDefault="00907868" w:rsidP="00BB7A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883C1E" w14:textId="77777777" w:rsidR="00724FFE" w:rsidRPr="00725147" w:rsidRDefault="00724FFE" w:rsidP="00724FFE">
    <w:pPr>
      <w:pStyle w:val="Hlavika"/>
      <w:rPr>
        <w:sz w:val="18"/>
        <w:szCs w:val="18"/>
      </w:rPr>
    </w:pPr>
    <w:bookmarkStart w:id="12" w:name="_Hlk522601295"/>
    <w:bookmarkStart w:id="13" w:name="_Hlk522601296"/>
    <w:r w:rsidRPr="00725147">
      <w:rPr>
        <w:sz w:val="18"/>
        <w:szCs w:val="18"/>
      </w:rPr>
      <w:t>Schv</w:t>
    </w:r>
    <w:r w:rsidRPr="00725147">
      <w:rPr>
        <w:rFonts w:hint="eastAsia"/>
        <w:sz w:val="18"/>
        <w:szCs w:val="18"/>
      </w:rPr>
      <w:t>á</w:t>
    </w:r>
    <w:r w:rsidRPr="00725147">
      <w:rPr>
        <w:sz w:val="18"/>
        <w:szCs w:val="18"/>
      </w:rPr>
      <w:t>len</w:t>
    </w:r>
    <w:r w:rsidRPr="00725147">
      <w:rPr>
        <w:rFonts w:hint="eastAsia"/>
        <w:sz w:val="18"/>
        <w:szCs w:val="18"/>
      </w:rPr>
      <w:t>ý</w:t>
    </w:r>
    <w:r w:rsidRPr="00725147">
      <w:rPr>
        <w:sz w:val="18"/>
        <w:szCs w:val="18"/>
      </w:rPr>
      <w:t xml:space="preserve"> text k</w:t>
    </w:r>
    <w:r w:rsidRPr="00725147">
      <w:rPr>
        <w:rFonts w:hint="eastAsia"/>
        <w:sz w:val="18"/>
        <w:szCs w:val="18"/>
      </w:rPr>
      <w:t> </w:t>
    </w:r>
    <w:r w:rsidRPr="00725147">
      <w:rPr>
        <w:sz w:val="18"/>
        <w:szCs w:val="18"/>
      </w:rPr>
      <w:t>rozhodnutiu o</w:t>
    </w:r>
    <w:r w:rsidRPr="00725147">
      <w:rPr>
        <w:rFonts w:hint="eastAsia"/>
        <w:sz w:val="18"/>
        <w:szCs w:val="18"/>
      </w:rPr>
      <w:t> </w:t>
    </w:r>
    <w:r w:rsidRPr="00725147">
      <w:rPr>
        <w:sz w:val="18"/>
        <w:szCs w:val="18"/>
      </w:rPr>
      <w:t xml:space="preserve">zmene, ev. </w:t>
    </w:r>
    <w:r w:rsidRPr="00725147">
      <w:rPr>
        <w:rFonts w:hint="eastAsia"/>
        <w:sz w:val="18"/>
        <w:szCs w:val="18"/>
      </w:rPr>
      <w:t>č</w:t>
    </w:r>
    <w:r w:rsidRPr="00725147">
      <w:rPr>
        <w:sz w:val="18"/>
        <w:szCs w:val="18"/>
      </w:rPr>
      <w:t>.:</w:t>
    </w:r>
    <w:r w:rsidR="00137753" w:rsidRPr="00137753">
      <w:rPr>
        <w:sz w:val="18"/>
        <w:szCs w:val="18"/>
      </w:rPr>
      <w:t xml:space="preserve"> </w:t>
    </w:r>
    <w:r w:rsidR="00137753" w:rsidRPr="00725147">
      <w:rPr>
        <w:sz w:val="18"/>
        <w:szCs w:val="18"/>
      </w:rPr>
      <w:t>2017/03081-ZME</w:t>
    </w:r>
  </w:p>
  <w:p w14:paraId="1A771B86" w14:textId="77777777" w:rsidR="00137753" w:rsidRDefault="00137753" w:rsidP="00724FFE">
    <w:pPr>
      <w:pStyle w:val="Hlavika"/>
      <w:rPr>
        <w:sz w:val="18"/>
        <w:szCs w:val="18"/>
      </w:rPr>
    </w:pPr>
    <w:r w:rsidRPr="00725147">
      <w:rPr>
        <w:sz w:val="18"/>
        <w:szCs w:val="18"/>
      </w:rPr>
      <w:t>Pr</w:t>
    </w:r>
    <w:r w:rsidRPr="00725147">
      <w:rPr>
        <w:rFonts w:hint="eastAsia"/>
        <w:sz w:val="18"/>
        <w:szCs w:val="18"/>
      </w:rPr>
      <w:t>í</w:t>
    </w:r>
    <w:r w:rsidRPr="00725147">
      <w:rPr>
        <w:sz w:val="18"/>
        <w:szCs w:val="18"/>
      </w:rPr>
      <w:t xml:space="preserve">loha </w:t>
    </w:r>
    <w:r w:rsidRPr="00725147">
      <w:rPr>
        <w:rFonts w:hint="eastAsia"/>
        <w:sz w:val="18"/>
        <w:szCs w:val="18"/>
      </w:rPr>
      <w:t>č</w:t>
    </w:r>
    <w:r w:rsidRPr="00725147">
      <w:rPr>
        <w:sz w:val="18"/>
        <w:szCs w:val="18"/>
      </w:rPr>
      <w:t>. 1 k</w:t>
    </w:r>
    <w:r w:rsidRPr="00725147">
      <w:rPr>
        <w:rFonts w:hint="eastAsia"/>
        <w:sz w:val="18"/>
        <w:szCs w:val="18"/>
      </w:rPr>
      <w:t> </w:t>
    </w:r>
    <w:r w:rsidRPr="00725147">
      <w:rPr>
        <w:sz w:val="18"/>
        <w:szCs w:val="18"/>
      </w:rPr>
      <w:t>notifik</w:t>
    </w:r>
    <w:r w:rsidRPr="00725147">
      <w:rPr>
        <w:rFonts w:hint="eastAsia"/>
        <w:sz w:val="18"/>
        <w:szCs w:val="18"/>
      </w:rPr>
      <w:t>á</w:t>
    </w:r>
    <w:r w:rsidRPr="00725147">
      <w:rPr>
        <w:sz w:val="18"/>
        <w:szCs w:val="18"/>
      </w:rPr>
      <w:t>cii o</w:t>
    </w:r>
    <w:r w:rsidRPr="00725147">
      <w:rPr>
        <w:rFonts w:hint="eastAsia"/>
        <w:sz w:val="18"/>
        <w:szCs w:val="18"/>
      </w:rPr>
      <w:t> </w:t>
    </w:r>
    <w:r w:rsidRPr="00725147">
      <w:rPr>
        <w:sz w:val="18"/>
        <w:szCs w:val="18"/>
      </w:rPr>
      <w:t xml:space="preserve">zmene, ev. </w:t>
    </w:r>
    <w:r w:rsidRPr="00725147">
      <w:rPr>
        <w:rFonts w:hint="eastAsia"/>
        <w:sz w:val="18"/>
        <w:szCs w:val="18"/>
      </w:rPr>
      <w:t>č</w:t>
    </w:r>
    <w:r w:rsidRPr="00725147">
      <w:rPr>
        <w:sz w:val="18"/>
        <w:szCs w:val="18"/>
      </w:rPr>
      <w:t>.:</w:t>
    </w:r>
    <w:r w:rsidRPr="00137753">
      <w:rPr>
        <w:sz w:val="18"/>
        <w:szCs w:val="18"/>
      </w:rPr>
      <w:t xml:space="preserve"> </w:t>
    </w:r>
    <w:r w:rsidRPr="00725147">
      <w:rPr>
        <w:sz w:val="18"/>
        <w:szCs w:val="18"/>
      </w:rPr>
      <w:t>2017/05920-Z1B</w:t>
    </w:r>
    <w:bookmarkEnd w:id="12"/>
    <w:bookmarkEnd w:id="13"/>
  </w:p>
  <w:p w14:paraId="6667A83D" w14:textId="77777777" w:rsidR="004F4921" w:rsidRDefault="004F4921" w:rsidP="00724FFE">
    <w:pPr>
      <w:pStyle w:val="Hlavika"/>
      <w:rPr>
        <w:sz w:val="18"/>
        <w:szCs w:val="18"/>
      </w:rPr>
    </w:pPr>
  </w:p>
  <w:p w14:paraId="31AE0DB8" w14:textId="77777777" w:rsidR="004F4921" w:rsidRPr="00725147" w:rsidRDefault="004F4921" w:rsidP="00724FFE">
    <w:pPr>
      <w:pStyle w:val="Hlavika"/>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46E5E" w14:textId="45FEEB50" w:rsidR="00FE0D53" w:rsidRDefault="00FE0D53" w:rsidP="00842755">
    <w:pPr>
      <w:pStyle w:val="Hlavika"/>
      <w:rPr>
        <w:sz w:val="18"/>
        <w:szCs w:val="18"/>
      </w:rPr>
    </w:pPr>
  </w:p>
  <w:p w14:paraId="0E0AEE28" w14:textId="77777777" w:rsidR="00FE0D53" w:rsidRDefault="00FE0D53">
    <w:pPr>
      <w:pStyle w:val="Hlavika"/>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uzana Orszaghova">
    <w15:presenceInfo w15:providerId="None" w15:userId="Zuzana Orszaghova"/>
  </w15:person>
  <w15:person w15:author="Marcela Suchanova">
    <w15:presenceInfo w15:providerId="None" w15:userId="Marcela Suchanova"/>
  </w15:person>
  <w15:person w15:author="Andrea Hruba">
    <w15:presenceInfo w15:providerId="None" w15:userId="Andrea Hru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trackRevisions/>
  <w:defaultTabStop w:val="567"/>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A71"/>
    <w:rsid w:val="00037DBC"/>
    <w:rsid w:val="00076CA1"/>
    <w:rsid w:val="000B1593"/>
    <w:rsid w:val="00117F88"/>
    <w:rsid w:val="00137753"/>
    <w:rsid w:val="0018481A"/>
    <w:rsid w:val="001862E8"/>
    <w:rsid w:val="001F6C22"/>
    <w:rsid w:val="00224732"/>
    <w:rsid w:val="002438EC"/>
    <w:rsid w:val="002C3D9E"/>
    <w:rsid w:val="002F4E73"/>
    <w:rsid w:val="00306582"/>
    <w:rsid w:val="00307F12"/>
    <w:rsid w:val="00310F5E"/>
    <w:rsid w:val="00345BA4"/>
    <w:rsid w:val="003C5217"/>
    <w:rsid w:val="003E7DBB"/>
    <w:rsid w:val="00443153"/>
    <w:rsid w:val="00475EA7"/>
    <w:rsid w:val="004B4110"/>
    <w:rsid w:val="004F4921"/>
    <w:rsid w:val="005410B9"/>
    <w:rsid w:val="005A12AC"/>
    <w:rsid w:val="005B3915"/>
    <w:rsid w:val="006268EF"/>
    <w:rsid w:val="006510E5"/>
    <w:rsid w:val="00654BCC"/>
    <w:rsid w:val="006D58D2"/>
    <w:rsid w:val="00724FFE"/>
    <w:rsid w:val="00725147"/>
    <w:rsid w:val="00740711"/>
    <w:rsid w:val="00744BC4"/>
    <w:rsid w:val="0078670E"/>
    <w:rsid w:val="00814045"/>
    <w:rsid w:val="008225B0"/>
    <w:rsid w:val="0082617E"/>
    <w:rsid w:val="00841A9F"/>
    <w:rsid w:val="00842755"/>
    <w:rsid w:val="00846FBA"/>
    <w:rsid w:val="008509F3"/>
    <w:rsid w:val="008C1A54"/>
    <w:rsid w:val="00907868"/>
    <w:rsid w:val="009224E5"/>
    <w:rsid w:val="009662FA"/>
    <w:rsid w:val="009B19E1"/>
    <w:rsid w:val="009C50B7"/>
    <w:rsid w:val="009F34EB"/>
    <w:rsid w:val="00A22A28"/>
    <w:rsid w:val="00A2475B"/>
    <w:rsid w:val="00A82CC6"/>
    <w:rsid w:val="00AE6154"/>
    <w:rsid w:val="00AF1EFE"/>
    <w:rsid w:val="00B15677"/>
    <w:rsid w:val="00B92067"/>
    <w:rsid w:val="00BB6ADE"/>
    <w:rsid w:val="00BB7A71"/>
    <w:rsid w:val="00BC0A84"/>
    <w:rsid w:val="00C002DD"/>
    <w:rsid w:val="00C32218"/>
    <w:rsid w:val="00C372F8"/>
    <w:rsid w:val="00C531EB"/>
    <w:rsid w:val="00C67D65"/>
    <w:rsid w:val="00CD2802"/>
    <w:rsid w:val="00D059C7"/>
    <w:rsid w:val="00D10317"/>
    <w:rsid w:val="00D454CA"/>
    <w:rsid w:val="00D51352"/>
    <w:rsid w:val="00D85A42"/>
    <w:rsid w:val="00DE7E2E"/>
    <w:rsid w:val="00DF120F"/>
    <w:rsid w:val="00E114DF"/>
    <w:rsid w:val="00E62FCF"/>
    <w:rsid w:val="00E844D4"/>
    <w:rsid w:val="00EC23AE"/>
    <w:rsid w:val="00ED0017"/>
    <w:rsid w:val="00EE297C"/>
    <w:rsid w:val="00EF24EB"/>
    <w:rsid w:val="00F9422A"/>
    <w:rsid w:val="00FB7F84"/>
    <w:rsid w:val="00FE0D53"/>
    <w:rsid w:val="00FF1632"/>
    <w:rsid w:val="00FF74E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2E073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sk-SK" w:eastAsia="sk-SK"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lny">
    <w:name w:val="Normal"/>
    <w:qFormat/>
    <w:rsid w:val="00BB7A71"/>
    <w:pPr>
      <w:suppressAutoHyphens/>
      <w:autoSpaceDN w:val="0"/>
      <w:textAlignment w:val="baseline"/>
    </w:pPr>
    <w:rPr>
      <w:kern w:val="3"/>
      <w:sz w:val="24"/>
      <w:szCs w:val="24"/>
    </w:rPr>
  </w:style>
  <w:style w:type="paragraph" w:styleId="Nadpis1">
    <w:name w:val="heading 1"/>
    <w:basedOn w:val="Normlny"/>
    <w:link w:val="Nadpis1Char"/>
    <w:uiPriority w:val="99"/>
    <w:qFormat/>
    <w:rsid w:val="00BB7A71"/>
    <w:pPr>
      <w:keepNext/>
      <w:ind w:right="72"/>
      <w:jc w:val="center"/>
      <w:outlineLvl w:val="0"/>
    </w:pPr>
    <w:rPr>
      <w:b/>
      <w:bCs/>
      <w:sz w:val="22"/>
    </w:rPr>
  </w:style>
  <w:style w:type="paragraph" w:styleId="Nadpis2">
    <w:name w:val="heading 2"/>
    <w:basedOn w:val="Normlny"/>
    <w:link w:val="Nadpis2Char"/>
    <w:uiPriority w:val="99"/>
    <w:qFormat/>
    <w:rsid w:val="00BB7A71"/>
    <w:pPr>
      <w:keepNext/>
      <w:ind w:right="72"/>
      <w:outlineLvl w:val="1"/>
    </w:pPr>
    <w:rPr>
      <w:i/>
      <w:iCs/>
      <w:sz w:val="22"/>
    </w:rPr>
  </w:style>
  <w:style w:type="paragraph" w:styleId="Nadpis3">
    <w:name w:val="heading 3"/>
    <w:basedOn w:val="Normlny"/>
    <w:link w:val="Nadpis3Char"/>
    <w:uiPriority w:val="99"/>
    <w:qFormat/>
    <w:rsid w:val="00BB7A71"/>
    <w:pPr>
      <w:keepNext/>
      <w:ind w:right="72"/>
      <w:outlineLvl w:val="2"/>
    </w:pPr>
    <w:rPr>
      <w:b/>
      <w:bCs/>
      <w:i/>
      <w:iCs/>
      <w:sz w:val="22"/>
    </w:rPr>
  </w:style>
  <w:style w:type="paragraph" w:styleId="Nadpis4">
    <w:name w:val="heading 4"/>
    <w:basedOn w:val="Normlny"/>
    <w:link w:val="Nadpis4Char"/>
    <w:uiPriority w:val="99"/>
    <w:qFormat/>
    <w:rsid w:val="00BB7A71"/>
    <w:pPr>
      <w:keepNext/>
      <w:ind w:right="72"/>
      <w:outlineLvl w:val="3"/>
    </w:pPr>
    <w:rPr>
      <w:b/>
      <w:bCs/>
      <w:sz w:val="22"/>
    </w:rPr>
  </w:style>
  <w:style w:type="paragraph" w:styleId="Nadpis5">
    <w:name w:val="heading 5"/>
    <w:basedOn w:val="Normlny"/>
    <w:link w:val="Nadpis5Char"/>
    <w:uiPriority w:val="99"/>
    <w:qFormat/>
    <w:rsid w:val="00BB7A71"/>
    <w:pPr>
      <w:keepNext/>
      <w:outlineLvl w:val="4"/>
    </w:pPr>
    <w:rPr>
      <w:b/>
      <w:bCs/>
      <w:sz w:val="22"/>
    </w:rPr>
  </w:style>
  <w:style w:type="paragraph" w:styleId="Nadpis6">
    <w:name w:val="heading 6"/>
    <w:basedOn w:val="Normlny"/>
    <w:link w:val="Nadpis6Char"/>
    <w:uiPriority w:val="99"/>
    <w:qFormat/>
    <w:rsid w:val="00BB7A71"/>
    <w:pPr>
      <w:keepNext/>
      <w:ind w:right="72"/>
      <w:outlineLvl w:val="5"/>
    </w:pPr>
    <w:rPr>
      <w:b/>
      <w:bCs/>
      <w:sz w:val="20"/>
    </w:rPr>
  </w:style>
  <w:style w:type="paragraph" w:styleId="Nadpis7">
    <w:name w:val="heading 7"/>
    <w:basedOn w:val="Normlny"/>
    <w:link w:val="Nadpis7Char"/>
    <w:uiPriority w:val="99"/>
    <w:qFormat/>
    <w:rsid w:val="00BB7A71"/>
    <w:pPr>
      <w:keepNext/>
      <w:outlineLvl w:val="6"/>
    </w:pPr>
    <w:rPr>
      <w:b/>
      <w:bCs/>
      <w:sz w:val="20"/>
      <w:szCs w:val="20"/>
    </w:rPr>
  </w:style>
  <w:style w:type="paragraph" w:styleId="Nadpis8">
    <w:name w:val="heading 8"/>
    <w:basedOn w:val="Normlny"/>
    <w:link w:val="Nadpis8Char"/>
    <w:uiPriority w:val="99"/>
    <w:qFormat/>
    <w:rsid w:val="00BB7A71"/>
    <w:pPr>
      <w:keepNext/>
      <w:outlineLvl w:val="7"/>
    </w:pPr>
    <w:rPr>
      <w:b/>
      <w:bCs/>
      <w:sz w:val="1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Pr>
      <w:rFonts w:ascii="Cambria" w:hAnsi="Cambria" w:cs="Times New Roman"/>
      <w:b/>
      <w:bCs/>
      <w:kern w:val="32"/>
      <w:sz w:val="32"/>
      <w:szCs w:val="32"/>
    </w:rPr>
  </w:style>
  <w:style w:type="character" w:customStyle="1" w:styleId="Nadpis2Char">
    <w:name w:val="Nadpis 2 Char"/>
    <w:basedOn w:val="Predvolenpsmoodseku"/>
    <w:link w:val="Nadpis2"/>
    <w:uiPriority w:val="99"/>
    <w:semiHidden/>
    <w:locked/>
    <w:rPr>
      <w:rFonts w:ascii="Cambria" w:hAnsi="Cambria" w:cs="Times New Roman"/>
      <w:b/>
      <w:bCs/>
      <w:i/>
      <w:iCs/>
      <w:kern w:val="3"/>
      <w:sz w:val="28"/>
      <w:szCs w:val="28"/>
    </w:rPr>
  </w:style>
  <w:style w:type="character" w:customStyle="1" w:styleId="Nadpis3Char">
    <w:name w:val="Nadpis 3 Char"/>
    <w:basedOn w:val="Predvolenpsmoodseku"/>
    <w:link w:val="Nadpis3"/>
    <w:uiPriority w:val="99"/>
    <w:semiHidden/>
    <w:locked/>
    <w:rPr>
      <w:rFonts w:ascii="Cambria" w:hAnsi="Cambria" w:cs="Times New Roman"/>
      <w:b/>
      <w:bCs/>
      <w:kern w:val="3"/>
      <w:sz w:val="26"/>
      <w:szCs w:val="26"/>
    </w:rPr>
  </w:style>
  <w:style w:type="character" w:customStyle="1" w:styleId="Nadpis4Char">
    <w:name w:val="Nadpis 4 Char"/>
    <w:basedOn w:val="Predvolenpsmoodseku"/>
    <w:link w:val="Nadpis4"/>
    <w:uiPriority w:val="99"/>
    <w:semiHidden/>
    <w:locked/>
    <w:rPr>
      <w:rFonts w:ascii="Calibri" w:hAnsi="Calibri" w:cs="Times New Roman"/>
      <w:b/>
      <w:bCs/>
      <w:kern w:val="3"/>
      <w:sz w:val="28"/>
      <w:szCs w:val="28"/>
    </w:rPr>
  </w:style>
  <w:style w:type="character" w:customStyle="1" w:styleId="Nadpis5Char">
    <w:name w:val="Nadpis 5 Char"/>
    <w:basedOn w:val="Predvolenpsmoodseku"/>
    <w:link w:val="Nadpis5"/>
    <w:uiPriority w:val="99"/>
    <w:semiHidden/>
    <w:locked/>
    <w:rPr>
      <w:rFonts w:ascii="Calibri" w:hAnsi="Calibri" w:cs="Times New Roman"/>
      <w:b/>
      <w:bCs/>
      <w:i/>
      <w:iCs/>
      <w:kern w:val="3"/>
      <w:sz w:val="26"/>
      <w:szCs w:val="26"/>
    </w:rPr>
  </w:style>
  <w:style w:type="character" w:customStyle="1" w:styleId="Nadpis6Char">
    <w:name w:val="Nadpis 6 Char"/>
    <w:basedOn w:val="Predvolenpsmoodseku"/>
    <w:link w:val="Nadpis6"/>
    <w:uiPriority w:val="99"/>
    <w:semiHidden/>
    <w:locked/>
    <w:rPr>
      <w:rFonts w:ascii="Calibri" w:hAnsi="Calibri" w:cs="Times New Roman"/>
      <w:b/>
      <w:bCs/>
      <w:kern w:val="3"/>
    </w:rPr>
  </w:style>
  <w:style w:type="character" w:customStyle="1" w:styleId="Nadpis7Char">
    <w:name w:val="Nadpis 7 Char"/>
    <w:basedOn w:val="Predvolenpsmoodseku"/>
    <w:link w:val="Nadpis7"/>
    <w:uiPriority w:val="99"/>
    <w:semiHidden/>
    <w:locked/>
    <w:rPr>
      <w:rFonts w:ascii="Calibri" w:hAnsi="Calibri" w:cs="Times New Roman"/>
      <w:kern w:val="3"/>
      <w:sz w:val="24"/>
      <w:szCs w:val="24"/>
    </w:rPr>
  </w:style>
  <w:style w:type="character" w:customStyle="1" w:styleId="Nadpis8Char">
    <w:name w:val="Nadpis 8 Char"/>
    <w:basedOn w:val="Predvolenpsmoodseku"/>
    <w:link w:val="Nadpis8"/>
    <w:uiPriority w:val="99"/>
    <w:semiHidden/>
    <w:locked/>
    <w:rPr>
      <w:rFonts w:ascii="Calibri" w:hAnsi="Calibri" w:cs="Times New Roman"/>
      <w:i/>
      <w:iCs/>
      <w:kern w:val="3"/>
      <w:sz w:val="24"/>
      <w:szCs w:val="24"/>
    </w:rPr>
  </w:style>
  <w:style w:type="character" w:customStyle="1" w:styleId="DefaultParagraphFont1">
    <w:name w:val="Default Paragraph Font1"/>
    <w:uiPriority w:val="99"/>
    <w:rsid w:val="00BB7A71"/>
  </w:style>
  <w:style w:type="character" w:customStyle="1" w:styleId="PageNumber1">
    <w:name w:val="Page Number1"/>
    <w:basedOn w:val="DefaultParagraphFont1"/>
    <w:uiPriority w:val="99"/>
    <w:rsid w:val="00BB7A71"/>
    <w:rPr>
      <w:rFonts w:cs="Times New Roman"/>
    </w:rPr>
  </w:style>
  <w:style w:type="character" w:customStyle="1" w:styleId="HeaderChar">
    <w:name w:val="Header Char"/>
    <w:uiPriority w:val="99"/>
    <w:rsid w:val="00BB7A71"/>
    <w:rPr>
      <w:sz w:val="24"/>
    </w:rPr>
  </w:style>
  <w:style w:type="character" w:customStyle="1" w:styleId="FooterChar">
    <w:name w:val="Footer Char"/>
    <w:uiPriority w:val="99"/>
    <w:rsid w:val="00BB7A71"/>
    <w:rPr>
      <w:sz w:val="24"/>
    </w:rPr>
  </w:style>
  <w:style w:type="character" w:customStyle="1" w:styleId="CommentReference1">
    <w:name w:val="Comment Reference1"/>
    <w:uiPriority w:val="99"/>
    <w:rsid w:val="00BB7A71"/>
    <w:rPr>
      <w:sz w:val="16"/>
    </w:rPr>
  </w:style>
  <w:style w:type="character" w:customStyle="1" w:styleId="ListLabel1">
    <w:name w:val="ListLabel 1"/>
    <w:uiPriority w:val="99"/>
    <w:rsid w:val="00BB7A71"/>
    <w:rPr>
      <w:rFonts w:eastAsia="Times New Roman"/>
    </w:rPr>
  </w:style>
  <w:style w:type="character" w:styleId="Hypertextovprepojenie">
    <w:name w:val="Hyperlink"/>
    <w:basedOn w:val="Predvolenpsmoodseku"/>
    <w:uiPriority w:val="99"/>
    <w:rsid w:val="00BB7A71"/>
    <w:rPr>
      <w:rFonts w:cs="Times New Roman"/>
      <w:color w:val="000080"/>
      <w:u w:val="single"/>
    </w:rPr>
  </w:style>
  <w:style w:type="paragraph" w:customStyle="1" w:styleId="Nadpis">
    <w:name w:val="Nadpis"/>
    <w:basedOn w:val="Normlny"/>
    <w:next w:val="Zkladntext"/>
    <w:uiPriority w:val="99"/>
    <w:rsid w:val="00BB7A71"/>
    <w:pPr>
      <w:keepNext/>
      <w:spacing w:before="240" w:after="120"/>
    </w:pPr>
    <w:rPr>
      <w:rFonts w:ascii="Arial" w:eastAsia="Microsoft YaHei" w:hAnsi="Arial" w:cs="Mangal"/>
      <w:sz w:val="28"/>
      <w:szCs w:val="28"/>
    </w:rPr>
  </w:style>
  <w:style w:type="paragraph" w:styleId="Zkladntext">
    <w:name w:val="Body Text"/>
    <w:basedOn w:val="Normlny"/>
    <w:link w:val="ZkladntextChar"/>
    <w:uiPriority w:val="99"/>
    <w:rsid w:val="00BB7A71"/>
    <w:pPr>
      <w:ind w:right="72"/>
    </w:pPr>
    <w:rPr>
      <w:sz w:val="22"/>
    </w:rPr>
  </w:style>
  <w:style w:type="character" w:customStyle="1" w:styleId="ZkladntextChar">
    <w:name w:val="Základný text Char"/>
    <w:basedOn w:val="Predvolenpsmoodseku"/>
    <w:link w:val="Zkladntext"/>
    <w:uiPriority w:val="99"/>
    <w:semiHidden/>
    <w:locked/>
    <w:rPr>
      <w:rFonts w:cs="Times New Roman"/>
      <w:kern w:val="3"/>
      <w:sz w:val="24"/>
      <w:szCs w:val="24"/>
    </w:rPr>
  </w:style>
  <w:style w:type="paragraph" w:styleId="Zoznam">
    <w:name w:val="List"/>
    <w:basedOn w:val="Zkladntext"/>
    <w:uiPriority w:val="99"/>
    <w:rsid w:val="00BB7A71"/>
    <w:rPr>
      <w:rFonts w:cs="Mangal"/>
    </w:rPr>
  </w:style>
  <w:style w:type="paragraph" w:styleId="Popis">
    <w:name w:val="caption"/>
    <w:basedOn w:val="Normlny"/>
    <w:uiPriority w:val="99"/>
    <w:qFormat/>
    <w:rsid w:val="00BB7A71"/>
    <w:pPr>
      <w:suppressLineNumbers/>
      <w:spacing w:before="120" w:after="120"/>
    </w:pPr>
    <w:rPr>
      <w:rFonts w:cs="Mangal"/>
      <w:i/>
      <w:iCs/>
    </w:rPr>
  </w:style>
  <w:style w:type="paragraph" w:customStyle="1" w:styleId="Index">
    <w:name w:val="Index"/>
    <w:basedOn w:val="Normlny"/>
    <w:uiPriority w:val="99"/>
    <w:rsid w:val="00BB7A71"/>
    <w:pPr>
      <w:suppressLineNumbers/>
    </w:pPr>
    <w:rPr>
      <w:rFonts w:cs="Mangal"/>
    </w:rPr>
  </w:style>
  <w:style w:type="paragraph" w:customStyle="1" w:styleId="BodyText21">
    <w:name w:val="Body Text 21"/>
    <w:basedOn w:val="Normlny"/>
    <w:uiPriority w:val="99"/>
    <w:rsid w:val="00BB7A71"/>
    <w:rPr>
      <w:sz w:val="22"/>
    </w:rPr>
  </w:style>
  <w:style w:type="paragraph" w:customStyle="1" w:styleId="Textbubliny1">
    <w:name w:val="Text bubliny1"/>
    <w:basedOn w:val="Normlny"/>
    <w:uiPriority w:val="99"/>
    <w:rsid w:val="00BB7A71"/>
    <w:rPr>
      <w:rFonts w:ascii="Tahoma" w:hAnsi="Tahoma" w:cs="Tahoma"/>
      <w:sz w:val="16"/>
      <w:szCs w:val="16"/>
    </w:rPr>
  </w:style>
  <w:style w:type="paragraph" w:styleId="Pta">
    <w:name w:val="footer"/>
    <w:basedOn w:val="Normlny"/>
    <w:link w:val="PtaChar"/>
    <w:uiPriority w:val="99"/>
    <w:rsid w:val="00BB7A71"/>
    <w:pPr>
      <w:tabs>
        <w:tab w:val="center" w:pos="4536"/>
        <w:tab w:val="right" w:pos="9072"/>
      </w:tabs>
    </w:pPr>
  </w:style>
  <w:style w:type="character" w:customStyle="1" w:styleId="PtaChar">
    <w:name w:val="Päta Char"/>
    <w:basedOn w:val="Predvolenpsmoodseku"/>
    <w:link w:val="Pta"/>
    <w:uiPriority w:val="99"/>
    <w:locked/>
    <w:rsid w:val="00BB7A71"/>
    <w:rPr>
      <w:rFonts w:cs="Times New Roman"/>
      <w:kern w:val="3"/>
      <w:sz w:val="24"/>
    </w:rPr>
  </w:style>
  <w:style w:type="paragraph" w:styleId="Hlavika">
    <w:name w:val="header"/>
    <w:basedOn w:val="Normlny"/>
    <w:link w:val="HlavikaChar"/>
    <w:uiPriority w:val="99"/>
    <w:rsid w:val="00BB7A71"/>
    <w:pPr>
      <w:tabs>
        <w:tab w:val="center" w:pos="4536"/>
        <w:tab w:val="right" w:pos="9072"/>
      </w:tabs>
    </w:pPr>
  </w:style>
  <w:style w:type="character" w:customStyle="1" w:styleId="HlavikaChar">
    <w:name w:val="Hlavička Char"/>
    <w:basedOn w:val="Predvolenpsmoodseku"/>
    <w:link w:val="Hlavika"/>
    <w:uiPriority w:val="99"/>
    <w:semiHidden/>
    <w:locked/>
    <w:rPr>
      <w:rFonts w:cs="Times New Roman"/>
      <w:kern w:val="3"/>
      <w:sz w:val="24"/>
      <w:szCs w:val="24"/>
    </w:rPr>
  </w:style>
  <w:style w:type="paragraph" w:customStyle="1" w:styleId="BalloonText1">
    <w:name w:val="Balloon Text1"/>
    <w:basedOn w:val="Normlny"/>
    <w:uiPriority w:val="99"/>
    <w:rsid w:val="00BB7A71"/>
    <w:rPr>
      <w:rFonts w:ascii="Tahoma" w:hAnsi="Tahoma" w:cs="Tahoma"/>
      <w:sz w:val="16"/>
      <w:szCs w:val="16"/>
    </w:rPr>
  </w:style>
  <w:style w:type="paragraph" w:customStyle="1" w:styleId="CommentText1">
    <w:name w:val="Comment Text1"/>
    <w:basedOn w:val="Normlny"/>
    <w:uiPriority w:val="99"/>
    <w:rsid w:val="00BB7A71"/>
    <w:rPr>
      <w:sz w:val="20"/>
      <w:szCs w:val="20"/>
    </w:rPr>
  </w:style>
  <w:style w:type="paragraph" w:customStyle="1" w:styleId="CommentSubject1">
    <w:name w:val="Comment Subject1"/>
    <w:basedOn w:val="CommentText1"/>
    <w:uiPriority w:val="99"/>
    <w:rsid w:val="00BB7A71"/>
    <w:rPr>
      <w:b/>
      <w:bCs/>
    </w:rPr>
  </w:style>
  <w:style w:type="paragraph" w:customStyle="1" w:styleId="NormalWeb1">
    <w:name w:val="Normal (Web)1"/>
    <w:basedOn w:val="Normlny"/>
    <w:uiPriority w:val="99"/>
    <w:rsid w:val="00BB7A71"/>
    <w:pPr>
      <w:spacing w:before="180"/>
    </w:pPr>
    <w:rPr>
      <w:lang w:eastAsia="zh-CN"/>
    </w:rPr>
  </w:style>
  <w:style w:type="paragraph" w:customStyle="1" w:styleId="Obsahrmca">
    <w:name w:val="Obsah rámca"/>
    <w:basedOn w:val="Zkladntext"/>
    <w:uiPriority w:val="99"/>
    <w:rsid w:val="00BB7A71"/>
  </w:style>
  <w:style w:type="paragraph" w:styleId="Textbubliny">
    <w:name w:val="Balloon Text"/>
    <w:basedOn w:val="Normlny"/>
    <w:link w:val="TextbublinyChar"/>
    <w:uiPriority w:val="99"/>
    <w:rsid w:val="00BB7A71"/>
    <w:rPr>
      <w:rFonts w:ascii="Tahoma" w:hAnsi="Tahoma"/>
      <w:sz w:val="16"/>
      <w:szCs w:val="16"/>
    </w:rPr>
  </w:style>
  <w:style w:type="character" w:customStyle="1" w:styleId="TextbublinyChar">
    <w:name w:val="Text bubliny Char"/>
    <w:basedOn w:val="Predvolenpsmoodseku"/>
    <w:link w:val="Textbubliny"/>
    <w:uiPriority w:val="99"/>
    <w:locked/>
    <w:rsid w:val="00BB7A71"/>
    <w:rPr>
      <w:rFonts w:ascii="Tahoma" w:hAnsi="Tahoma" w:cs="Times New Roman"/>
      <w:kern w:val="3"/>
      <w:sz w:val="16"/>
      <w:lang w:val="sk-SK" w:eastAsia="sk-SK"/>
    </w:rPr>
  </w:style>
  <w:style w:type="character" w:styleId="Odkaznakomentr">
    <w:name w:val="annotation reference"/>
    <w:basedOn w:val="Predvolenpsmoodseku"/>
    <w:uiPriority w:val="99"/>
    <w:rsid w:val="00BB7A71"/>
    <w:rPr>
      <w:rFonts w:cs="Times New Roman"/>
      <w:sz w:val="16"/>
    </w:rPr>
  </w:style>
  <w:style w:type="paragraph" w:styleId="Textkomentra">
    <w:name w:val="annotation text"/>
    <w:basedOn w:val="Normlny"/>
    <w:link w:val="TextkomentraChar"/>
    <w:uiPriority w:val="99"/>
    <w:rsid w:val="00BB7A71"/>
    <w:rPr>
      <w:sz w:val="20"/>
      <w:szCs w:val="20"/>
    </w:rPr>
  </w:style>
  <w:style w:type="character" w:customStyle="1" w:styleId="TextkomentraChar">
    <w:name w:val="Text komentára Char"/>
    <w:basedOn w:val="Predvolenpsmoodseku"/>
    <w:link w:val="Textkomentra"/>
    <w:uiPriority w:val="99"/>
    <w:locked/>
    <w:rsid w:val="00BB7A71"/>
    <w:rPr>
      <w:rFonts w:cs="Times New Roman"/>
      <w:kern w:val="3"/>
      <w:lang w:val="sk-SK" w:eastAsia="sk-SK"/>
    </w:rPr>
  </w:style>
  <w:style w:type="paragraph" w:styleId="Predmetkomentra">
    <w:name w:val="annotation subject"/>
    <w:basedOn w:val="Textkomentra"/>
    <w:next w:val="Textkomentra"/>
    <w:link w:val="PredmetkomentraChar"/>
    <w:uiPriority w:val="99"/>
    <w:rsid w:val="00BB7A71"/>
    <w:rPr>
      <w:b/>
      <w:bCs/>
    </w:rPr>
  </w:style>
  <w:style w:type="character" w:customStyle="1" w:styleId="PredmetkomentraChar">
    <w:name w:val="Predmet komentára Char"/>
    <w:basedOn w:val="TextkomentraChar"/>
    <w:link w:val="Predmetkomentra"/>
    <w:uiPriority w:val="99"/>
    <w:locked/>
    <w:rsid w:val="00BB7A71"/>
    <w:rPr>
      <w:rFonts w:cs="Times New Roman"/>
      <w:b/>
      <w:kern w:val="3"/>
      <w:lang w:val="sk-SK" w:eastAsia="sk-SK"/>
    </w:rPr>
  </w:style>
  <w:style w:type="paragraph" w:styleId="Revzia">
    <w:name w:val="Revision"/>
    <w:uiPriority w:val="99"/>
    <w:rsid w:val="00BB7A71"/>
    <w:pPr>
      <w:suppressAutoHyphens/>
      <w:autoSpaceDN w:val="0"/>
      <w:textAlignment w:val="baseline"/>
    </w:pPr>
    <w:rPr>
      <w:kern w:val="3"/>
      <w:sz w:val="24"/>
      <w:szCs w:val="24"/>
    </w:rPr>
  </w:style>
  <w:style w:type="character" w:customStyle="1" w:styleId="ref">
    <w:name w:val="ref"/>
    <w:basedOn w:val="Predvolenpsmoodseku"/>
    <w:rsid w:val="003065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sk-SK" w:eastAsia="sk-SK"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lny">
    <w:name w:val="Normal"/>
    <w:qFormat/>
    <w:rsid w:val="00BB7A71"/>
    <w:pPr>
      <w:suppressAutoHyphens/>
      <w:autoSpaceDN w:val="0"/>
      <w:textAlignment w:val="baseline"/>
    </w:pPr>
    <w:rPr>
      <w:kern w:val="3"/>
      <w:sz w:val="24"/>
      <w:szCs w:val="24"/>
    </w:rPr>
  </w:style>
  <w:style w:type="paragraph" w:styleId="Nadpis1">
    <w:name w:val="heading 1"/>
    <w:basedOn w:val="Normlny"/>
    <w:link w:val="Nadpis1Char"/>
    <w:uiPriority w:val="99"/>
    <w:qFormat/>
    <w:rsid w:val="00BB7A71"/>
    <w:pPr>
      <w:keepNext/>
      <w:ind w:right="72"/>
      <w:jc w:val="center"/>
      <w:outlineLvl w:val="0"/>
    </w:pPr>
    <w:rPr>
      <w:b/>
      <w:bCs/>
      <w:sz w:val="22"/>
    </w:rPr>
  </w:style>
  <w:style w:type="paragraph" w:styleId="Nadpis2">
    <w:name w:val="heading 2"/>
    <w:basedOn w:val="Normlny"/>
    <w:link w:val="Nadpis2Char"/>
    <w:uiPriority w:val="99"/>
    <w:qFormat/>
    <w:rsid w:val="00BB7A71"/>
    <w:pPr>
      <w:keepNext/>
      <w:ind w:right="72"/>
      <w:outlineLvl w:val="1"/>
    </w:pPr>
    <w:rPr>
      <w:i/>
      <w:iCs/>
      <w:sz w:val="22"/>
    </w:rPr>
  </w:style>
  <w:style w:type="paragraph" w:styleId="Nadpis3">
    <w:name w:val="heading 3"/>
    <w:basedOn w:val="Normlny"/>
    <w:link w:val="Nadpis3Char"/>
    <w:uiPriority w:val="99"/>
    <w:qFormat/>
    <w:rsid w:val="00BB7A71"/>
    <w:pPr>
      <w:keepNext/>
      <w:ind w:right="72"/>
      <w:outlineLvl w:val="2"/>
    </w:pPr>
    <w:rPr>
      <w:b/>
      <w:bCs/>
      <w:i/>
      <w:iCs/>
      <w:sz w:val="22"/>
    </w:rPr>
  </w:style>
  <w:style w:type="paragraph" w:styleId="Nadpis4">
    <w:name w:val="heading 4"/>
    <w:basedOn w:val="Normlny"/>
    <w:link w:val="Nadpis4Char"/>
    <w:uiPriority w:val="99"/>
    <w:qFormat/>
    <w:rsid w:val="00BB7A71"/>
    <w:pPr>
      <w:keepNext/>
      <w:ind w:right="72"/>
      <w:outlineLvl w:val="3"/>
    </w:pPr>
    <w:rPr>
      <w:b/>
      <w:bCs/>
      <w:sz w:val="22"/>
    </w:rPr>
  </w:style>
  <w:style w:type="paragraph" w:styleId="Nadpis5">
    <w:name w:val="heading 5"/>
    <w:basedOn w:val="Normlny"/>
    <w:link w:val="Nadpis5Char"/>
    <w:uiPriority w:val="99"/>
    <w:qFormat/>
    <w:rsid w:val="00BB7A71"/>
    <w:pPr>
      <w:keepNext/>
      <w:outlineLvl w:val="4"/>
    </w:pPr>
    <w:rPr>
      <w:b/>
      <w:bCs/>
      <w:sz w:val="22"/>
    </w:rPr>
  </w:style>
  <w:style w:type="paragraph" w:styleId="Nadpis6">
    <w:name w:val="heading 6"/>
    <w:basedOn w:val="Normlny"/>
    <w:link w:val="Nadpis6Char"/>
    <w:uiPriority w:val="99"/>
    <w:qFormat/>
    <w:rsid w:val="00BB7A71"/>
    <w:pPr>
      <w:keepNext/>
      <w:ind w:right="72"/>
      <w:outlineLvl w:val="5"/>
    </w:pPr>
    <w:rPr>
      <w:b/>
      <w:bCs/>
      <w:sz w:val="20"/>
    </w:rPr>
  </w:style>
  <w:style w:type="paragraph" w:styleId="Nadpis7">
    <w:name w:val="heading 7"/>
    <w:basedOn w:val="Normlny"/>
    <w:link w:val="Nadpis7Char"/>
    <w:uiPriority w:val="99"/>
    <w:qFormat/>
    <w:rsid w:val="00BB7A71"/>
    <w:pPr>
      <w:keepNext/>
      <w:outlineLvl w:val="6"/>
    </w:pPr>
    <w:rPr>
      <w:b/>
      <w:bCs/>
      <w:sz w:val="20"/>
      <w:szCs w:val="20"/>
    </w:rPr>
  </w:style>
  <w:style w:type="paragraph" w:styleId="Nadpis8">
    <w:name w:val="heading 8"/>
    <w:basedOn w:val="Normlny"/>
    <w:link w:val="Nadpis8Char"/>
    <w:uiPriority w:val="99"/>
    <w:qFormat/>
    <w:rsid w:val="00BB7A71"/>
    <w:pPr>
      <w:keepNext/>
      <w:outlineLvl w:val="7"/>
    </w:pPr>
    <w:rPr>
      <w:b/>
      <w:bCs/>
      <w:sz w:val="1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Pr>
      <w:rFonts w:ascii="Cambria" w:hAnsi="Cambria" w:cs="Times New Roman"/>
      <w:b/>
      <w:bCs/>
      <w:kern w:val="32"/>
      <w:sz w:val="32"/>
      <w:szCs w:val="32"/>
    </w:rPr>
  </w:style>
  <w:style w:type="character" w:customStyle="1" w:styleId="Nadpis2Char">
    <w:name w:val="Nadpis 2 Char"/>
    <w:basedOn w:val="Predvolenpsmoodseku"/>
    <w:link w:val="Nadpis2"/>
    <w:uiPriority w:val="99"/>
    <w:semiHidden/>
    <w:locked/>
    <w:rPr>
      <w:rFonts w:ascii="Cambria" w:hAnsi="Cambria" w:cs="Times New Roman"/>
      <w:b/>
      <w:bCs/>
      <w:i/>
      <w:iCs/>
      <w:kern w:val="3"/>
      <w:sz w:val="28"/>
      <w:szCs w:val="28"/>
    </w:rPr>
  </w:style>
  <w:style w:type="character" w:customStyle="1" w:styleId="Nadpis3Char">
    <w:name w:val="Nadpis 3 Char"/>
    <w:basedOn w:val="Predvolenpsmoodseku"/>
    <w:link w:val="Nadpis3"/>
    <w:uiPriority w:val="99"/>
    <w:semiHidden/>
    <w:locked/>
    <w:rPr>
      <w:rFonts w:ascii="Cambria" w:hAnsi="Cambria" w:cs="Times New Roman"/>
      <w:b/>
      <w:bCs/>
      <w:kern w:val="3"/>
      <w:sz w:val="26"/>
      <w:szCs w:val="26"/>
    </w:rPr>
  </w:style>
  <w:style w:type="character" w:customStyle="1" w:styleId="Nadpis4Char">
    <w:name w:val="Nadpis 4 Char"/>
    <w:basedOn w:val="Predvolenpsmoodseku"/>
    <w:link w:val="Nadpis4"/>
    <w:uiPriority w:val="99"/>
    <w:semiHidden/>
    <w:locked/>
    <w:rPr>
      <w:rFonts w:ascii="Calibri" w:hAnsi="Calibri" w:cs="Times New Roman"/>
      <w:b/>
      <w:bCs/>
      <w:kern w:val="3"/>
      <w:sz w:val="28"/>
      <w:szCs w:val="28"/>
    </w:rPr>
  </w:style>
  <w:style w:type="character" w:customStyle="1" w:styleId="Nadpis5Char">
    <w:name w:val="Nadpis 5 Char"/>
    <w:basedOn w:val="Predvolenpsmoodseku"/>
    <w:link w:val="Nadpis5"/>
    <w:uiPriority w:val="99"/>
    <w:semiHidden/>
    <w:locked/>
    <w:rPr>
      <w:rFonts w:ascii="Calibri" w:hAnsi="Calibri" w:cs="Times New Roman"/>
      <w:b/>
      <w:bCs/>
      <w:i/>
      <w:iCs/>
      <w:kern w:val="3"/>
      <w:sz w:val="26"/>
      <w:szCs w:val="26"/>
    </w:rPr>
  </w:style>
  <w:style w:type="character" w:customStyle="1" w:styleId="Nadpis6Char">
    <w:name w:val="Nadpis 6 Char"/>
    <w:basedOn w:val="Predvolenpsmoodseku"/>
    <w:link w:val="Nadpis6"/>
    <w:uiPriority w:val="99"/>
    <w:semiHidden/>
    <w:locked/>
    <w:rPr>
      <w:rFonts w:ascii="Calibri" w:hAnsi="Calibri" w:cs="Times New Roman"/>
      <w:b/>
      <w:bCs/>
      <w:kern w:val="3"/>
    </w:rPr>
  </w:style>
  <w:style w:type="character" w:customStyle="1" w:styleId="Nadpis7Char">
    <w:name w:val="Nadpis 7 Char"/>
    <w:basedOn w:val="Predvolenpsmoodseku"/>
    <w:link w:val="Nadpis7"/>
    <w:uiPriority w:val="99"/>
    <w:semiHidden/>
    <w:locked/>
    <w:rPr>
      <w:rFonts w:ascii="Calibri" w:hAnsi="Calibri" w:cs="Times New Roman"/>
      <w:kern w:val="3"/>
      <w:sz w:val="24"/>
      <w:szCs w:val="24"/>
    </w:rPr>
  </w:style>
  <w:style w:type="character" w:customStyle="1" w:styleId="Nadpis8Char">
    <w:name w:val="Nadpis 8 Char"/>
    <w:basedOn w:val="Predvolenpsmoodseku"/>
    <w:link w:val="Nadpis8"/>
    <w:uiPriority w:val="99"/>
    <w:semiHidden/>
    <w:locked/>
    <w:rPr>
      <w:rFonts w:ascii="Calibri" w:hAnsi="Calibri" w:cs="Times New Roman"/>
      <w:i/>
      <w:iCs/>
      <w:kern w:val="3"/>
      <w:sz w:val="24"/>
      <w:szCs w:val="24"/>
    </w:rPr>
  </w:style>
  <w:style w:type="character" w:customStyle="1" w:styleId="DefaultParagraphFont1">
    <w:name w:val="Default Paragraph Font1"/>
    <w:uiPriority w:val="99"/>
    <w:rsid w:val="00BB7A71"/>
  </w:style>
  <w:style w:type="character" w:customStyle="1" w:styleId="PageNumber1">
    <w:name w:val="Page Number1"/>
    <w:basedOn w:val="DefaultParagraphFont1"/>
    <w:uiPriority w:val="99"/>
    <w:rsid w:val="00BB7A71"/>
    <w:rPr>
      <w:rFonts w:cs="Times New Roman"/>
    </w:rPr>
  </w:style>
  <w:style w:type="character" w:customStyle="1" w:styleId="HeaderChar">
    <w:name w:val="Header Char"/>
    <w:uiPriority w:val="99"/>
    <w:rsid w:val="00BB7A71"/>
    <w:rPr>
      <w:sz w:val="24"/>
    </w:rPr>
  </w:style>
  <w:style w:type="character" w:customStyle="1" w:styleId="FooterChar">
    <w:name w:val="Footer Char"/>
    <w:uiPriority w:val="99"/>
    <w:rsid w:val="00BB7A71"/>
    <w:rPr>
      <w:sz w:val="24"/>
    </w:rPr>
  </w:style>
  <w:style w:type="character" w:customStyle="1" w:styleId="CommentReference1">
    <w:name w:val="Comment Reference1"/>
    <w:uiPriority w:val="99"/>
    <w:rsid w:val="00BB7A71"/>
    <w:rPr>
      <w:sz w:val="16"/>
    </w:rPr>
  </w:style>
  <w:style w:type="character" w:customStyle="1" w:styleId="ListLabel1">
    <w:name w:val="ListLabel 1"/>
    <w:uiPriority w:val="99"/>
    <w:rsid w:val="00BB7A71"/>
    <w:rPr>
      <w:rFonts w:eastAsia="Times New Roman"/>
    </w:rPr>
  </w:style>
  <w:style w:type="character" w:styleId="Hypertextovprepojenie">
    <w:name w:val="Hyperlink"/>
    <w:basedOn w:val="Predvolenpsmoodseku"/>
    <w:uiPriority w:val="99"/>
    <w:rsid w:val="00BB7A71"/>
    <w:rPr>
      <w:rFonts w:cs="Times New Roman"/>
      <w:color w:val="000080"/>
      <w:u w:val="single"/>
    </w:rPr>
  </w:style>
  <w:style w:type="paragraph" w:customStyle="1" w:styleId="Nadpis">
    <w:name w:val="Nadpis"/>
    <w:basedOn w:val="Normlny"/>
    <w:next w:val="Zkladntext"/>
    <w:uiPriority w:val="99"/>
    <w:rsid w:val="00BB7A71"/>
    <w:pPr>
      <w:keepNext/>
      <w:spacing w:before="240" w:after="120"/>
    </w:pPr>
    <w:rPr>
      <w:rFonts w:ascii="Arial" w:eastAsia="Microsoft YaHei" w:hAnsi="Arial" w:cs="Mangal"/>
      <w:sz w:val="28"/>
      <w:szCs w:val="28"/>
    </w:rPr>
  </w:style>
  <w:style w:type="paragraph" w:styleId="Zkladntext">
    <w:name w:val="Body Text"/>
    <w:basedOn w:val="Normlny"/>
    <w:link w:val="ZkladntextChar"/>
    <w:uiPriority w:val="99"/>
    <w:rsid w:val="00BB7A71"/>
    <w:pPr>
      <w:ind w:right="72"/>
    </w:pPr>
    <w:rPr>
      <w:sz w:val="22"/>
    </w:rPr>
  </w:style>
  <w:style w:type="character" w:customStyle="1" w:styleId="ZkladntextChar">
    <w:name w:val="Základný text Char"/>
    <w:basedOn w:val="Predvolenpsmoodseku"/>
    <w:link w:val="Zkladntext"/>
    <w:uiPriority w:val="99"/>
    <w:semiHidden/>
    <w:locked/>
    <w:rPr>
      <w:rFonts w:cs="Times New Roman"/>
      <w:kern w:val="3"/>
      <w:sz w:val="24"/>
      <w:szCs w:val="24"/>
    </w:rPr>
  </w:style>
  <w:style w:type="paragraph" w:styleId="Zoznam">
    <w:name w:val="List"/>
    <w:basedOn w:val="Zkladntext"/>
    <w:uiPriority w:val="99"/>
    <w:rsid w:val="00BB7A71"/>
    <w:rPr>
      <w:rFonts w:cs="Mangal"/>
    </w:rPr>
  </w:style>
  <w:style w:type="paragraph" w:styleId="Popis">
    <w:name w:val="caption"/>
    <w:basedOn w:val="Normlny"/>
    <w:uiPriority w:val="99"/>
    <w:qFormat/>
    <w:rsid w:val="00BB7A71"/>
    <w:pPr>
      <w:suppressLineNumbers/>
      <w:spacing w:before="120" w:after="120"/>
    </w:pPr>
    <w:rPr>
      <w:rFonts w:cs="Mangal"/>
      <w:i/>
      <w:iCs/>
    </w:rPr>
  </w:style>
  <w:style w:type="paragraph" w:customStyle="1" w:styleId="Index">
    <w:name w:val="Index"/>
    <w:basedOn w:val="Normlny"/>
    <w:uiPriority w:val="99"/>
    <w:rsid w:val="00BB7A71"/>
    <w:pPr>
      <w:suppressLineNumbers/>
    </w:pPr>
    <w:rPr>
      <w:rFonts w:cs="Mangal"/>
    </w:rPr>
  </w:style>
  <w:style w:type="paragraph" w:customStyle="1" w:styleId="BodyText21">
    <w:name w:val="Body Text 21"/>
    <w:basedOn w:val="Normlny"/>
    <w:uiPriority w:val="99"/>
    <w:rsid w:val="00BB7A71"/>
    <w:rPr>
      <w:sz w:val="22"/>
    </w:rPr>
  </w:style>
  <w:style w:type="paragraph" w:customStyle="1" w:styleId="Textbubliny1">
    <w:name w:val="Text bubliny1"/>
    <w:basedOn w:val="Normlny"/>
    <w:uiPriority w:val="99"/>
    <w:rsid w:val="00BB7A71"/>
    <w:rPr>
      <w:rFonts w:ascii="Tahoma" w:hAnsi="Tahoma" w:cs="Tahoma"/>
      <w:sz w:val="16"/>
      <w:szCs w:val="16"/>
    </w:rPr>
  </w:style>
  <w:style w:type="paragraph" w:styleId="Pta">
    <w:name w:val="footer"/>
    <w:basedOn w:val="Normlny"/>
    <w:link w:val="PtaChar"/>
    <w:uiPriority w:val="99"/>
    <w:rsid w:val="00BB7A71"/>
    <w:pPr>
      <w:tabs>
        <w:tab w:val="center" w:pos="4536"/>
        <w:tab w:val="right" w:pos="9072"/>
      </w:tabs>
    </w:pPr>
  </w:style>
  <w:style w:type="character" w:customStyle="1" w:styleId="PtaChar">
    <w:name w:val="Päta Char"/>
    <w:basedOn w:val="Predvolenpsmoodseku"/>
    <w:link w:val="Pta"/>
    <w:uiPriority w:val="99"/>
    <w:locked/>
    <w:rsid w:val="00BB7A71"/>
    <w:rPr>
      <w:rFonts w:cs="Times New Roman"/>
      <w:kern w:val="3"/>
      <w:sz w:val="24"/>
    </w:rPr>
  </w:style>
  <w:style w:type="paragraph" w:styleId="Hlavika">
    <w:name w:val="header"/>
    <w:basedOn w:val="Normlny"/>
    <w:link w:val="HlavikaChar"/>
    <w:uiPriority w:val="99"/>
    <w:rsid w:val="00BB7A71"/>
    <w:pPr>
      <w:tabs>
        <w:tab w:val="center" w:pos="4536"/>
        <w:tab w:val="right" w:pos="9072"/>
      </w:tabs>
    </w:pPr>
  </w:style>
  <w:style w:type="character" w:customStyle="1" w:styleId="HlavikaChar">
    <w:name w:val="Hlavička Char"/>
    <w:basedOn w:val="Predvolenpsmoodseku"/>
    <w:link w:val="Hlavika"/>
    <w:uiPriority w:val="99"/>
    <w:semiHidden/>
    <w:locked/>
    <w:rPr>
      <w:rFonts w:cs="Times New Roman"/>
      <w:kern w:val="3"/>
      <w:sz w:val="24"/>
      <w:szCs w:val="24"/>
    </w:rPr>
  </w:style>
  <w:style w:type="paragraph" w:customStyle="1" w:styleId="BalloonText1">
    <w:name w:val="Balloon Text1"/>
    <w:basedOn w:val="Normlny"/>
    <w:uiPriority w:val="99"/>
    <w:rsid w:val="00BB7A71"/>
    <w:rPr>
      <w:rFonts w:ascii="Tahoma" w:hAnsi="Tahoma" w:cs="Tahoma"/>
      <w:sz w:val="16"/>
      <w:szCs w:val="16"/>
    </w:rPr>
  </w:style>
  <w:style w:type="paragraph" w:customStyle="1" w:styleId="CommentText1">
    <w:name w:val="Comment Text1"/>
    <w:basedOn w:val="Normlny"/>
    <w:uiPriority w:val="99"/>
    <w:rsid w:val="00BB7A71"/>
    <w:rPr>
      <w:sz w:val="20"/>
      <w:szCs w:val="20"/>
    </w:rPr>
  </w:style>
  <w:style w:type="paragraph" w:customStyle="1" w:styleId="CommentSubject1">
    <w:name w:val="Comment Subject1"/>
    <w:basedOn w:val="CommentText1"/>
    <w:uiPriority w:val="99"/>
    <w:rsid w:val="00BB7A71"/>
    <w:rPr>
      <w:b/>
      <w:bCs/>
    </w:rPr>
  </w:style>
  <w:style w:type="paragraph" w:customStyle="1" w:styleId="NormalWeb1">
    <w:name w:val="Normal (Web)1"/>
    <w:basedOn w:val="Normlny"/>
    <w:uiPriority w:val="99"/>
    <w:rsid w:val="00BB7A71"/>
    <w:pPr>
      <w:spacing w:before="180"/>
    </w:pPr>
    <w:rPr>
      <w:lang w:eastAsia="zh-CN"/>
    </w:rPr>
  </w:style>
  <w:style w:type="paragraph" w:customStyle="1" w:styleId="Obsahrmca">
    <w:name w:val="Obsah rámca"/>
    <w:basedOn w:val="Zkladntext"/>
    <w:uiPriority w:val="99"/>
    <w:rsid w:val="00BB7A71"/>
  </w:style>
  <w:style w:type="paragraph" w:styleId="Textbubliny">
    <w:name w:val="Balloon Text"/>
    <w:basedOn w:val="Normlny"/>
    <w:link w:val="TextbublinyChar"/>
    <w:uiPriority w:val="99"/>
    <w:rsid w:val="00BB7A71"/>
    <w:rPr>
      <w:rFonts w:ascii="Tahoma" w:hAnsi="Tahoma"/>
      <w:sz w:val="16"/>
      <w:szCs w:val="16"/>
    </w:rPr>
  </w:style>
  <w:style w:type="character" w:customStyle="1" w:styleId="TextbublinyChar">
    <w:name w:val="Text bubliny Char"/>
    <w:basedOn w:val="Predvolenpsmoodseku"/>
    <w:link w:val="Textbubliny"/>
    <w:uiPriority w:val="99"/>
    <w:locked/>
    <w:rsid w:val="00BB7A71"/>
    <w:rPr>
      <w:rFonts w:ascii="Tahoma" w:hAnsi="Tahoma" w:cs="Times New Roman"/>
      <w:kern w:val="3"/>
      <w:sz w:val="16"/>
      <w:lang w:val="sk-SK" w:eastAsia="sk-SK"/>
    </w:rPr>
  </w:style>
  <w:style w:type="character" w:styleId="Odkaznakomentr">
    <w:name w:val="annotation reference"/>
    <w:basedOn w:val="Predvolenpsmoodseku"/>
    <w:uiPriority w:val="99"/>
    <w:rsid w:val="00BB7A71"/>
    <w:rPr>
      <w:rFonts w:cs="Times New Roman"/>
      <w:sz w:val="16"/>
    </w:rPr>
  </w:style>
  <w:style w:type="paragraph" w:styleId="Textkomentra">
    <w:name w:val="annotation text"/>
    <w:basedOn w:val="Normlny"/>
    <w:link w:val="TextkomentraChar"/>
    <w:uiPriority w:val="99"/>
    <w:rsid w:val="00BB7A71"/>
    <w:rPr>
      <w:sz w:val="20"/>
      <w:szCs w:val="20"/>
    </w:rPr>
  </w:style>
  <w:style w:type="character" w:customStyle="1" w:styleId="TextkomentraChar">
    <w:name w:val="Text komentára Char"/>
    <w:basedOn w:val="Predvolenpsmoodseku"/>
    <w:link w:val="Textkomentra"/>
    <w:uiPriority w:val="99"/>
    <w:locked/>
    <w:rsid w:val="00BB7A71"/>
    <w:rPr>
      <w:rFonts w:cs="Times New Roman"/>
      <w:kern w:val="3"/>
      <w:lang w:val="sk-SK" w:eastAsia="sk-SK"/>
    </w:rPr>
  </w:style>
  <w:style w:type="paragraph" w:styleId="Predmetkomentra">
    <w:name w:val="annotation subject"/>
    <w:basedOn w:val="Textkomentra"/>
    <w:next w:val="Textkomentra"/>
    <w:link w:val="PredmetkomentraChar"/>
    <w:uiPriority w:val="99"/>
    <w:rsid w:val="00BB7A71"/>
    <w:rPr>
      <w:b/>
      <w:bCs/>
    </w:rPr>
  </w:style>
  <w:style w:type="character" w:customStyle="1" w:styleId="PredmetkomentraChar">
    <w:name w:val="Predmet komentára Char"/>
    <w:basedOn w:val="TextkomentraChar"/>
    <w:link w:val="Predmetkomentra"/>
    <w:uiPriority w:val="99"/>
    <w:locked/>
    <w:rsid w:val="00BB7A71"/>
    <w:rPr>
      <w:rFonts w:cs="Times New Roman"/>
      <w:b/>
      <w:kern w:val="3"/>
      <w:lang w:val="sk-SK" w:eastAsia="sk-SK"/>
    </w:rPr>
  </w:style>
  <w:style w:type="paragraph" w:styleId="Revzia">
    <w:name w:val="Revision"/>
    <w:uiPriority w:val="99"/>
    <w:rsid w:val="00BB7A71"/>
    <w:pPr>
      <w:suppressAutoHyphens/>
      <w:autoSpaceDN w:val="0"/>
      <w:textAlignment w:val="baseline"/>
    </w:pPr>
    <w:rPr>
      <w:kern w:val="3"/>
      <w:sz w:val="24"/>
      <w:szCs w:val="24"/>
    </w:rPr>
  </w:style>
  <w:style w:type="character" w:customStyle="1" w:styleId="ref">
    <w:name w:val="ref"/>
    <w:basedOn w:val="Predvolenpsmoodseku"/>
    <w:rsid w:val="003065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fontTable" Target="fontTable.xml"/><Relationship Id="rId2" Type="http://schemas.microsoft.com/office/2007/relationships/stylesWithEffects" Target="stylesWithEffects.xml"/><Relationship Id="rId16" Type="http://schemas.microsoft.com/office/2011/relationships/people" Target="peop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microsoft.com/office/2011/relationships/commentsExtended" Target="commentsExtended.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1870</Words>
  <Characters>10665</Characters>
  <Application>Microsoft Office Word</Application>
  <DocSecurity>0</DocSecurity>
  <Lines>88</Lines>
  <Paragraphs>25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SPC</vt:lpstr>
      <vt:lpstr>SPC</vt:lpstr>
    </vt:vector>
  </TitlesOfParts>
  <Company>GlaxoSmithKline</Company>
  <LinksUpToDate>false</LinksUpToDate>
  <CharactersWithSpaces>12510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SPC</dc:title>
  <dc:creator>Regpharm</dc:creator>
  <cp:lastModifiedBy>Ševčeková Lucia</cp:lastModifiedBy>
  <cp:revision>3</cp:revision>
  <cp:lastPrinted>2016-03-08T12:37:00Z</cp:lastPrinted>
  <dcterms:created xsi:type="dcterms:W3CDTF">2018-09-25T08:54:00Z</dcterms:created>
  <dcterms:modified xsi:type="dcterms:W3CDTF">2018-09-25T08:54:00Z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GlaxoSmithKline</vt:lpwstr>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