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42C5" w14:textId="77777777" w:rsidR="00924AF1" w:rsidRPr="007C2E6D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1224B2B" w14:textId="77777777" w:rsidR="00197539" w:rsidRPr="007C2E6D" w:rsidRDefault="00197539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5BAA9506" w14:textId="77777777" w:rsidR="00924AF1" w:rsidRPr="007C2E6D" w:rsidRDefault="00924AF1" w:rsidP="007C2E6D">
      <w:pPr>
        <w:pStyle w:val="Nzov"/>
        <w:ind w:left="708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7C2E6D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3A23F04E" w14:textId="77777777" w:rsidR="00924AF1" w:rsidRPr="007C2E6D" w:rsidRDefault="00924AF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0FC6B41C" w14:textId="77777777" w:rsidR="00F060A1" w:rsidRPr="00765F63" w:rsidRDefault="00F060A1" w:rsidP="0097587C">
      <w:pPr>
        <w:pStyle w:val="Nzov"/>
        <w:jc w:val="left"/>
        <w:rPr>
          <w:rFonts w:ascii="Times New Roman" w:hAnsi="Times New Roman" w:cs="Times New Roman"/>
          <w:sz w:val="22"/>
          <w:szCs w:val="22"/>
        </w:rPr>
      </w:pPr>
    </w:p>
    <w:p w14:paraId="54F84C7E" w14:textId="77777777" w:rsidR="00924AF1" w:rsidRPr="00765F63" w:rsidRDefault="00924AF1" w:rsidP="0097587C">
      <w:pPr>
        <w:widowControl w:val="0"/>
        <w:rPr>
          <w:b/>
          <w:bCs/>
          <w:sz w:val="22"/>
          <w:szCs w:val="22"/>
        </w:rPr>
      </w:pPr>
      <w:r w:rsidRPr="00765F63">
        <w:rPr>
          <w:b/>
          <w:bCs/>
          <w:sz w:val="22"/>
          <w:szCs w:val="22"/>
        </w:rPr>
        <w:t>1.</w:t>
      </w:r>
      <w:r w:rsidR="003D1878" w:rsidRPr="00765F63">
        <w:rPr>
          <w:b/>
          <w:bCs/>
          <w:sz w:val="22"/>
          <w:szCs w:val="22"/>
        </w:rPr>
        <w:tab/>
      </w:r>
      <w:r w:rsidRPr="00765F63">
        <w:rPr>
          <w:b/>
          <w:bCs/>
          <w:sz w:val="22"/>
          <w:szCs w:val="22"/>
        </w:rPr>
        <w:t>NÁZOV LIEKU</w:t>
      </w:r>
    </w:p>
    <w:p w14:paraId="549B7210" w14:textId="77777777" w:rsidR="003D1878" w:rsidRPr="00126DDD" w:rsidRDefault="003D1878" w:rsidP="007C2E6D">
      <w:pPr>
        <w:widowControl w:val="0"/>
        <w:rPr>
          <w:b/>
          <w:sz w:val="22"/>
          <w:szCs w:val="22"/>
        </w:rPr>
      </w:pPr>
    </w:p>
    <w:p w14:paraId="6A73A60D" w14:textId="77777777" w:rsidR="000E5225" w:rsidRPr="00126DDD" w:rsidRDefault="00924AF1" w:rsidP="00765F63">
      <w:pPr>
        <w:widowControl w:val="0"/>
        <w:rPr>
          <w:sz w:val="22"/>
          <w:szCs w:val="22"/>
        </w:rPr>
      </w:pPr>
      <w:proofErr w:type="spellStart"/>
      <w:r w:rsidRPr="00126DDD">
        <w:rPr>
          <w:sz w:val="22"/>
          <w:szCs w:val="22"/>
        </w:rPr>
        <w:t>Ibalgin</w:t>
      </w:r>
      <w:proofErr w:type="spellEnd"/>
      <w:r w:rsidRPr="00126DDD">
        <w:rPr>
          <w:sz w:val="22"/>
          <w:szCs w:val="22"/>
        </w:rPr>
        <w:t xml:space="preserve"> 200</w:t>
      </w:r>
    </w:p>
    <w:p w14:paraId="71B6438B" w14:textId="77777777" w:rsidR="000E5225" w:rsidRPr="00126DDD" w:rsidRDefault="000E5225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200 mg filmom obalené tablety</w:t>
      </w:r>
    </w:p>
    <w:p w14:paraId="784A313D" w14:textId="77777777" w:rsidR="000E5225" w:rsidRPr="00126DDD" w:rsidRDefault="000E5225" w:rsidP="00126DDD">
      <w:pPr>
        <w:widowControl w:val="0"/>
        <w:rPr>
          <w:sz w:val="22"/>
          <w:szCs w:val="22"/>
        </w:rPr>
      </w:pPr>
    </w:p>
    <w:p w14:paraId="514FFA34" w14:textId="77777777" w:rsidR="00924AF1" w:rsidRPr="00B0634D" w:rsidRDefault="00924AF1" w:rsidP="00126DDD">
      <w:pPr>
        <w:widowControl w:val="0"/>
        <w:rPr>
          <w:sz w:val="22"/>
          <w:szCs w:val="22"/>
        </w:rPr>
      </w:pP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400</w:t>
      </w:r>
    </w:p>
    <w:p w14:paraId="043E7F47" w14:textId="77777777" w:rsidR="000E5225" w:rsidRPr="002D3EDE" w:rsidRDefault="000E5225" w:rsidP="00126DDD">
      <w:pPr>
        <w:widowControl w:val="0"/>
        <w:rPr>
          <w:sz w:val="22"/>
          <w:szCs w:val="22"/>
        </w:rPr>
      </w:pPr>
      <w:r w:rsidRPr="002D3EDE">
        <w:rPr>
          <w:sz w:val="22"/>
          <w:szCs w:val="22"/>
        </w:rPr>
        <w:t>400 mg filmom obalené tablety</w:t>
      </w:r>
    </w:p>
    <w:p w14:paraId="6CA566DC" w14:textId="77777777" w:rsidR="00A73678" w:rsidRPr="00F3370B" w:rsidRDefault="00A73678" w:rsidP="0097587C">
      <w:pPr>
        <w:widowControl w:val="0"/>
        <w:rPr>
          <w:sz w:val="22"/>
          <w:szCs w:val="22"/>
        </w:rPr>
      </w:pPr>
    </w:p>
    <w:p w14:paraId="2067FC3C" w14:textId="77777777" w:rsidR="000E5225" w:rsidRPr="00F3370B" w:rsidRDefault="000E5225" w:rsidP="0097587C">
      <w:pPr>
        <w:widowControl w:val="0"/>
        <w:rPr>
          <w:sz w:val="22"/>
          <w:szCs w:val="22"/>
        </w:rPr>
      </w:pPr>
    </w:p>
    <w:p w14:paraId="50445C71" w14:textId="77777777" w:rsidR="00924AF1" w:rsidRPr="00293D32" w:rsidRDefault="00924AF1" w:rsidP="0097587C">
      <w:pPr>
        <w:widowControl w:val="0"/>
        <w:rPr>
          <w:b/>
          <w:bCs/>
          <w:sz w:val="22"/>
          <w:szCs w:val="22"/>
        </w:rPr>
      </w:pPr>
      <w:r w:rsidRPr="00F3370B">
        <w:rPr>
          <w:b/>
          <w:bCs/>
          <w:sz w:val="22"/>
          <w:szCs w:val="22"/>
        </w:rPr>
        <w:t>2.</w:t>
      </w:r>
      <w:r w:rsidR="003D1878" w:rsidRPr="00F3370B">
        <w:rPr>
          <w:b/>
          <w:bCs/>
          <w:sz w:val="22"/>
          <w:szCs w:val="22"/>
        </w:rPr>
        <w:tab/>
      </w:r>
      <w:r w:rsidRPr="00293D32">
        <w:rPr>
          <w:b/>
          <w:bCs/>
          <w:sz w:val="22"/>
          <w:szCs w:val="22"/>
        </w:rPr>
        <w:t xml:space="preserve">KVALITATÍVNE A KVANTITATÍVNE ZLOŽENIE </w:t>
      </w:r>
    </w:p>
    <w:p w14:paraId="699B424D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044B695B" w14:textId="77777777" w:rsidR="00924AF1" w:rsidRDefault="00943563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Jedna filmom obalená tableta obsahuje 200 alebo 400 mg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="00117A1D" w:rsidRPr="00293D32">
        <w:rPr>
          <w:sz w:val="22"/>
          <w:szCs w:val="22"/>
        </w:rPr>
        <w:t>.</w:t>
      </w:r>
    </w:p>
    <w:p w14:paraId="5C157251" w14:textId="77777777" w:rsidR="000D3148" w:rsidRPr="00293D32" w:rsidRDefault="000D3148" w:rsidP="0097587C">
      <w:pPr>
        <w:widowControl w:val="0"/>
        <w:rPr>
          <w:sz w:val="22"/>
          <w:szCs w:val="22"/>
        </w:rPr>
      </w:pPr>
    </w:p>
    <w:p w14:paraId="3DCF7859" w14:textId="7777777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 200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.30. mg </w:t>
      </w:r>
      <w:proofErr w:type="spellStart"/>
      <w:r>
        <w:t>monohydrátu</w:t>
      </w:r>
      <w:proofErr w:type="spellEnd"/>
      <w:r>
        <w:t xml:space="preserve"> laktózy.</w:t>
      </w:r>
    </w:p>
    <w:p w14:paraId="5B48CFE3" w14:textId="77777777" w:rsidR="000D3148" w:rsidRDefault="000D3148" w:rsidP="000D3148">
      <w:pPr>
        <w:pStyle w:val="EMEAEnBodyText"/>
        <w:autoSpaceDE w:val="0"/>
        <w:autoSpaceDN w:val="0"/>
        <w:spacing w:before="0" w:after="0"/>
        <w:jc w:val="left"/>
      </w:pPr>
      <w:r>
        <w:t xml:space="preserve">Pomocná látka so známym účinkom: Každá filmom obalená tableta so 400 mg </w:t>
      </w:r>
      <w:proofErr w:type="spellStart"/>
      <w:r>
        <w:t>ibuprof</w:t>
      </w:r>
      <w:r w:rsidR="00815717">
        <w:t>é</w:t>
      </w:r>
      <w:r>
        <w:t>nu</w:t>
      </w:r>
      <w:proofErr w:type="spellEnd"/>
      <w:r>
        <w:t xml:space="preserve"> obsahuje 60,00  mg </w:t>
      </w:r>
      <w:proofErr w:type="spellStart"/>
      <w:r>
        <w:t>monohydrátu</w:t>
      </w:r>
      <w:proofErr w:type="spellEnd"/>
      <w:r>
        <w:t xml:space="preserve"> laktózy.</w:t>
      </w:r>
    </w:p>
    <w:p w14:paraId="135C245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50EACE29" w14:textId="77777777" w:rsidR="000D3148" w:rsidRPr="0097587C" w:rsidRDefault="000D3148" w:rsidP="000D3148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Úplný zoznam pomocných látok, pozri časť 6.1.</w:t>
      </w:r>
    </w:p>
    <w:p w14:paraId="5AF3C958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58015A0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3.</w:t>
      </w:r>
      <w:r w:rsidR="003D18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LIEKOVÁ FORMA</w:t>
      </w:r>
    </w:p>
    <w:p w14:paraId="2DCA811B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4CC7A47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Filmom obalená tableta</w:t>
      </w:r>
      <w:r w:rsidR="00C36E73" w:rsidRPr="0097587C">
        <w:rPr>
          <w:sz w:val="22"/>
          <w:szCs w:val="22"/>
        </w:rPr>
        <w:t>.</w:t>
      </w:r>
    </w:p>
    <w:p w14:paraId="21FCC019" w14:textId="77777777" w:rsidR="00924AF1" w:rsidRPr="00765F63" w:rsidRDefault="00E03B3F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Ružové</w:t>
      </w:r>
      <w:r w:rsidR="00924AF1" w:rsidRPr="0097587C">
        <w:rPr>
          <w:sz w:val="22"/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924AF1" w:rsidRPr="0097587C">
          <w:rPr>
            <w:sz w:val="22"/>
            <w:szCs w:val="22"/>
          </w:rPr>
          <w:t>12,2 mm</w:t>
        </w:r>
      </w:smartTag>
      <w:r w:rsidR="00924AF1" w:rsidRPr="0097587C">
        <w:rPr>
          <w:sz w:val="22"/>
          <w:szCs w:val="22"/>
        </w:rPr>
        <w:t xml:space="preserve"> (400 mg) a 9,1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,2 mm"/>
        </w:smartTagPr>
        <w:r w:rsidR="00924AF1" w:rsidRPr="00765F63">
          <w:rPr>
            <w:sz w:val="22"/>
            <w:szCs w:val="22"/>
          </w:rPr>
          <w:t>9,2 mm</w:t>
        </w:r>
      </w:smartTag>
      <w:r w:rsidR="00924AF1" w:rsidRPr="00765F63">
        <w:rPr>
          <w:sz w:val="22"/>
          <w:szCs w:val="22"/>
        </w:rPr>
        <w:t xml:space="preserve"> (200 mg)</w:t>
      </w:r>
      <w:r w:rsidR="00117A1D" w:rsidRPr="00765F63">
        <w:rPr>
          <w:sz w:val="22"/>
          <w:szCs w:val="22"/>
        </w:rPr>
        <w:t>.</w:t>
      </w:r>
    </w:p>
    <w:p w14:paraId="78623D45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6BD57720" w14:textId="77777777" w:rsidR="00A73678" w:rsidRPr="00126DDD" w:rsidRDefault="00A73678" w:rsidP="0097587C">
      <w:pPr>
        <w:widowControl w:val="0"/>
        <w:rPr>
          <w:sz w:val="22"/>
          <w:szCs w:val="22"/>
        </w:rPr>
      </w:pPr>
    </w:p>
    <w:p w14:paraId="7747F896" w14:textId="77777777" w:rsidR="00924AF1" w:rsidRPr="00126DDD" w:rsidRDefault="00924AF1" w:rsidP="0097587C">
      <w:pPr>
        <w:widowControl w:val="0"/>
        <w:rPr>
          <w:b/>
          <w:bCs/>
          <w:sz w:val="22"/>
          <w:szCs w:val="22"/>
        </w:rPr>
      </w:pPr>
      <w:r w:rsidRPr="00126DDD">
        <w:rPr>
          <w:b/>
          <w:bCs/>
          <w:sz w:val="22"/>
          <w:szCs w:val="22"/>
        </w:rPr>
        <w:t>4.</w:t>
      </w:r>
      <w:r w:rsidR="003D1878" w:rsidRPr="00126DDD">
        <w:rPr>
          <w:b/>
          <w:bCs/>
          <w:sz w:val="22"/>
          <w:szCs w:val="22"/>
        </w:rPr>
        <w:tab/>
      </w:r>
      <w:r w:rsidRPr="00126DDD">
        <w:rPr>
          <w:b/>
          <w:bCs/>
          <w:sz w:val="22"/>
          <w:szCs w:val="22"/>
        </w:rPr>
        <w:t>KLINICKÉ ÚDAJE</w:t>
      </w:r>
    </w:p>
    <w:p w14:paraId="1F189D56" w14:textId="77777777" w:rsidR="00924AF1" w:rsidRPr="00B0634D" w:rsidRDefault="00924AF1" w:rsidP="007C2E6D">
      <w:pPr>
        <w:rPr>
          <w:b/>
          <w:sz w:val="22"/>
          <w:szCs w:val="22"/>
        </w:rPr>
      </w:pPr>
    </w:p>
    <w:p w14:paraId="0E58B60D" w14:textId="77777777" w:rsidR="00924AF1" w:rsidRPr="00F3370B" w:rsidRDefault="00924AF1" w:rsidP="00765F63">
      <w:pPr>
        <w:rPr>
          <w:sz w:val="22"/>
          <w:szCs w:val="22"/>
        </w:rPr>
      </w:pPr>
      <w:r w:rsidRPr="002D3EDE">
        <w:rPr>
          <w:b/>
          <w:sz w:val="22"/>
          <w:szCs w:val="22"/>
        </w:rPr>
        <w:t>4.1</w:t>
      </w:r>
      <w:r w:rsidR="003D1878" w:rsidRPr="00F3370B">
        <w:rPr>
          <w:b/>
          <w:sz w:val="22"/>
          <w:szCs w:val="22"/>
        </w:rPr>
        <w:tab/>
      </w:r>
      <w:r w:rsidRPr="00F3370B">
        <w:rPr>
          <w:b/>
          <w:sz w:val="22"/>
          <w:szCs w:val="22"/>
        </w:rPr>
        <w:t>Terapeutické indikácie</w:t>
      </w:r>
    </w:p>
    <w:p w14:paraId="7C4CC0F9" w14:textId="77777777" w:rsidR="003D1878" w:rsidRPr="00F3370B" w:rsidRDefault="003D1878" w:rsidP="00765F63">
      <w:pPr>
        <w:rPr>
          <w:sz w:val="22"/>
          <w:szCs w:val="22"/>
        </w:rPr>
      </w:pPr>
    </w:p>
    <w:p w14:paraId="27940FC3" w14:textId="77777777" w:rsidR="00924AF1" w:rsidRPr="00293D32" w:rsidRDefault="001B2E10" w:rsidP="00126DD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293D32">
        <w:rPr>
          <w:sz w:val="22"/>
          <w:szCs w:val="22"/>
        </w:rPr>
        <w:t xml:space="preserve"> je indikovaný na liečbu zápalových a degeneratívnych ochorení kĺbov, </w:t>
      </w:r>
      <w:proofErr w:type="spellStart"/>
      <w:r w:rsidR="00924AF1" w:rsidRPr="00293D32">
        <w:rPr>
          <w:sz w:val="22"/>
          <w:szCs w:val="22"/>
        </w:rPr>
        <w:t>mimok</w:t>
      </w:r>
      <w:r w:rsidR="00727E81" w:rsidRPr="00293D32">
        <w:rPr>
          <w:sz w:val="22"/>
          <w:szCs w:val="22"/>
        </w:rPr>
        <w:t>ĺ</w:t>
      </w:r>
      <w:r w:rsidR="00924AF1" w:rsidRPr="00293D32">
        <w:rPr>
          <w:sz w:val="22"/>
          <w:szCs w:val="22"/>
        </w:rPr>
        <w:t>bového</w:t>
      </w:r>
      <w:proofErr w:type="spellEnd"/>
      <w:r w:rsidR="00924AF1" w:rsidRPr="00293D32">
        <w:rPr>
          <w:sz w:val="22"/>
          <w:szCs w:val="22"/>
        </w:rPr>
        <w:t xml:space="preserve"> reumatizmu a ochorení chrbtice; užíva sa pri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artritíde, vrátane juvenilnej </w:t>
      </w:r>
      <w:proofErr w:type="spellStart"/>
      <w:r w:rsidR="00924AF1" w:rsidRPr="00293D32">
        <w:rPr>
          <w:sz w:val="22"/>
          <w:szCs w:val="22"/>
        </w:rPr>
        <w:t>reumatoidnej</w:t>
      </w:r>
      <w:proofErr w:type="spellEnd"/>
      <w:r w:rsidR="00924AF1" w:rsidRPr="00293D32">
        <w:rPr>
          <w:sz w:val="22"/>
          <w:szCs w:val="22"/>
        </w:rPr>
        <w:t xml:space="preserve"> artritídy, </w:t>
      </w:r>
      <w:proofErr w:type="spellStart"/>
      <w:r w:rsidR="00924AF1" w:rsidRPr="00293D32">
        <w:rPr>
          <w:sz w:val="22"/>
          <w:szCs w:val="22"/>
        </w:rPr>
        <w:t>osteoartritíde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ankylozujúcej</w:t>
      </w:r>
      <w:proofErr w:type="spellEnd"/>
      <w:r w:rsidR="00924AF1" w:rsidRPr="00293D32">
        <w:rPr>
          <w:sz w:val="22"/>
          <w:szCs w:val="22"/>
        </w:rPr>
        <w:t xml:space="preserve"> </w:t>
      </w:r>
      <w:proofErr w:type="spellStart"/>
      <w:r w:rsidR="00924AF1" w:rsidRPr="00293D32">
        <w:rPr>
          <w:sz w:val="22"/>
          <w:szCs w:val="22"/>
        </w:rPr>
        <w:t>spondylitíde</w:t>
      </w:r>
      <w:proofErr w:type="spellEnd"/>
      <w:r w:rsidR="00924AF1" w:rsidRPr="00293D32">
        <w:rPr>
          <w:sz w:val="22"/>
          <w:szCs w:val="22"/>
        </w:rPr>
        <w:t xml:space="preserve">, </w:t>
      </w:r>
      <w:proofErr w:type="spellStart"/>
      <w:r w:rsidR="00924AF1" w:rsidRPr="00293D32">
        <w:rPr>
          <w:sz w:val="22"/>
          <w:szCs w:val="22"/>
        </w:rPr>
        <w:t>psoriatickej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dnavej</w:t>
      </w:r>
      <w:proofErr w:type="spellEnd"/>
      <w:r w:rsidR="00924AF1" w:rsidRPr="00293D32">
        <w:rPr>
          <w:sz w:val="22"/>
          <w:szCs w:val="22"/>
        </w:rPr>
        <w:t xml:space="preserve"> artritíde, </w:t>
      </w:r>
      <w:proofErr w:type="spellStart"/>
      <w:r w:rsidR="00924AF1" w:rsidRPr="00293D32">
        <w:rPr>
          <w:sz w:val="22"/>
          <w:szCs w:val="22"/>
        </w:rPr>
        <w:t>chondrokalcinóze</w:t>
      </w:r>
      <w:proofErr w:type="spellEnd"/>
      <w:r w:rsidR="00924AF1" w:rsidRPr="00293D32">
        <w:rPr>
          <w:sz w:val="22"/>
          <w:szCs w:val="22"/>
        </w:rPr>
        <w:t xml:space="preserve"> (</w:t>
      </w:r>
      <w:proofErr w:type="spellStart"/>
      <w:r w:rsidR="00924AF1" w:rsidRPr="00293D32">
        <w:rPr>
          <w:sz w:val="22"/>
          <w:szCs w:val="22"/>
        </w:rPr>
        <w:t>pseudodna</w:t>
      </w:r>
      <w:proofErr w:type="spellEnd"/>
      <w:r w:rsidR="00924AF1" w:rsidRPr="00293D32">
        <w:rPr>
          <w:sz w:val="22"/>
          <w:szCs w:val="22"/>
        </w:rPr>
        <w:t xml:space="preserve">), pri </w:t>
      </w:r>
      <w:proofErr w:type="spellStart"/>
      <w:r w:rsidR="00924AF1" w:rsidRPr="00293D32">
        <w:rPr>
          <w:sz w:val="22"/>
          <w:szCs w:val="22"/>
        </w:rPr>
        <w:t>distorzii</w:t>
      </w:r>
      <w:proofErr w:type="spellEnd"/>
      <w:r w:rsidR="00924AF1" w:rsidRPr="00293D32">
        <w:rPr>
          <w:sz w:val="22"/>
          <w:szCs w:val="22"/>
        </w:rPr>
        <w:t xml:space="preserve"> kĺbov a pomliaždení pohybového aparátu. Ako analgetikum-</w:t>
      </w:r>
      <w:proofErr w:type="spellStart"/>
      <w:r w:rsidR="00924AF1" w:rsidRPr="00293D32">
        <w:rPr>
          <w:sz w:val="22"/>
          <w:szCs w:val="22"/>
        </w:rPr>
        <w:t>antipyretikum</w:t>
      </w:r>
      <w:proofErr w:type="spellEnd"/>
      <w:r w:rsidR="00924AF1" w:rsidRPr="00293D32">
        <w:rPr>
          <w:sz w:val="22"/>
          <w:szCs w:val="22"/>
        </w:rPr>
        <w:t xml:space="preserve"> pri horúčkovitých stavoch a chorobách z prechladnutia, ďalej pri bolesti hlavy (vrátane migrény), bolestiach po operácii, bolestiach zubov a bolestivej menštruácii.</w:t>
      </w:r>
    </w:p>
    <w:p w14:paraId="762D76B1" w14:textId="77777777" w:rsidR="006E4BC7" w:rsidRPr="00293D32" w:rsidRDefault="006E4BC7" w:rsidP="00126DDD">
      <w:pPr>
        <w:rPr>
          <w:sz w:val="22"/>
          <w:szCs w:val="22"/>
        </w:rPr>
      </w:pPr>
    </w:p>
    <w:p w14:paraId="492F4FBF" w14:textId="77777777" w:rsidR="002F4FF9" w:rsidRPr="00293D32" w:rsidRDefault="006E4BC7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400 je indikovaný </w:t>
      </w:r>
      <w:r w:rsidR="00943563" w:rsidRPr="00293D32">
        <w:rPr>
          <w:sz w:val="22"/>
          <w:szCs w:val="22"/>
        </w:rPr>
        <w:t>deťom</w:t>
      </w:r>
      <w:r w:rsidR="002F4FF9" w:rsidRPr="00293D32">
        <w:rPr>
          <w:sz w:val="22"/>
          <w:szCs w:val="22"/>
        </w:rPr>
        <w:t xml:space="preserve"> vo veku </w:t>
      </w:r>
      <w:r w:rsidRPr="00293D32">
        <w:rPr>
          <w:sz w:val="22"/>
          <w:szCs w:val="22"/>
        </w:rPr>
        <w:t>o</w:t>
      </w:r>
      <w:r w:rsidR="002F4FF9" w:rsidRPr="00293D32">
        <w:rPr>
          <w:sz w:val="22"/>
          <w:szCs w:val="22"/>
        </w:rPr>
        <w:t>d</w:t>
      </w:r>
      <w:r w:rsidRPr="00293D32">
        <w:rPr>
          <w:sz w:val="22"/>
          <w:szCs w:val="22"/>
        </w:rPr>
        <w:t xml:space="preserve"> 12 rokov vzhľadom na veľkosť jednotlivej dávky.</w:t>
      </w:r>
    </w:p>
    <w:p w14:paraId="37133E82" w14:textId="77777777" w:rsidR="00366CA9" w:rsidRPr="007C2E6D" w:rsidRDefault="00366CA9" w:rsidP="00126DDD">
      <w:pPr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je indikovaný </w:t>
      </w:r>
      <w:r w:rsidR="00943563" w:rsidRPr="0097587C">
        <w:rPr>
          <w:sz w:val="22"/>
          <w:szCs w:val="22"/>
        </w:rPr>
        <w:t>deťom</w:t>
      </w:r>
      <w:r w:rsidRPr="007C2E6D">
        <w:rPr>
          <w:sz w:val="22"/>
          <w:szCs w:val="22"/>
        </w:rPr>
        <w:t xml:space="preserve"> vo veku od 6 rokov.</w:t>
      </w:r>
    </w:p>
    <w:p w14:paraId="7851DF2F" w14:textId="77777777" w:rsidR="00B033A1" w:rsidRPr="00F60143" w:rsidRDefault="00B033A1" w:rsidP="0097587C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 xml:space="preserve">Pre deti mladšie ako 6 rokov je určený liek </w:t>
      </w:r>
      <w:proofErr w:type="spellStart"/>
      <w:r w:rsidRPr="007C2E6D">
        <w:rPr>
          <w:sz w:val="22"/>
          <w:szCs w:val="22"/>
        </w:rPr>
        <w:t>Ibalgin</w:t>
      </w:r>
      <w:proofErr w:type="spellEnd"/>
      <w:r w:rsidR="00C955FE" w:rsidRPr="007C2E6D">
        <w:rPr>
          <w:sz w:val="22"/>
          <w:szCs w:val="22"/>
        </w:rPr>
        <w:t xml:space="preserve"> Baby</w:t>
      </w:r>
      <w:r w:rsidRPr="00F60143">
        <w:rPr>
          <w:sz w:val="22"/>
          <w:szCs w:val="22"/>
        </w:rPr>
        <w:t xml:space="preserve"> vo forme suspenzie.</w:t>
      </w:r>
    </w:p>
    <w:p w14:paraId="77EC05BB" w14:textId="77777777" w:rsidR="00924AF1" w:rsidRPr="00765F63" w:rsidRDefault="00924AF1" w:rsidP="0097587C">
      <w:pPr>
        <w:widowControl w:val="0"/>
        <w:rPr>
          <w:sz w:val="22"/>
          <w:szCs w:val="22"/>
        </w:rPr>
      </w:pPr>
    </w:p>
    <w:p w14:paraId="34A4DA49" w14:textId="77777777" w:rsidR="00924AF1" w:rsidRPr="00765F63" w:rsidRDefault="00924AF1" w:rsidP="0097587C">
      <w:pPr>
        <w:widowControl w:val="0"/>
        <w:rPr>
          <w:b/>
          <w:sz w:val="22"/>
          <w:szCs w:val="22"/>
        </w:rPr>
      </w:pPr>
      <w:r w:rsidRPr="00765F63">
        <w:rPr>
          <w:b/>
          <w:sz w:val="22"/>
          <w:szCs w:val="22"/>
        </w:rPr>
        <w:t>4.2</w:t>
      </w:r>
      <w:r w:rsidR="003D1878" w:rsidRPr="00765F63">
        <w:rPr>
          <w:b/>
          <w:sz w:val="22"/>
          <w:szCs w:val="22"/>
        </w:rPr>
        <w:tab/>
      </w:r>
      <w:r w:rsidRPr="00765F63">
        <w:rPr>
          <w:b/>
          <w:sz w:val="22"/>
          <w:szCs w:val="22"/>
        </w:rPr>
        <w:t>Dávkovanie a spôsob podávania</w:t>
      </w:r>
    </w:p>
    <w:p w14:paraId="3356E608" w14:textId="77777777" w:rsidR="003D1878" w:rsidRPr="00126DDD" w:rsidRDefault="003D1878" w:rsidP="0097587C">
      <w:pPr>
        <w:widowControl w:val="0"/>
        <w:rPr>
          <w:sz w:val="22"/>
          <w:szCs w:val="22"/>
        </w:rPr>
      </w:pPr>
    </w:p>
    <w:p w14:paraId="27C38DA2" w14:textId="77777777" w:rsidR="00117A1D" w:rsidRPr="00126DDD" w:rsidRDefault="00117A1D" w:rsidP="007C2E6D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Dávkovanie</w:t>
      </w:r>
    </w:p>
    <w:p w14:paraId="141D59B2" w14:textId="77777777" w:rsidR="00943563" w:rsidRPr="00126DDD" w:rsidRDefault="00943563" w:rsidP="00765F63">
      <w:pPr>
        <w:widowControl w:val="0"/>
        <w:rPr>
          <w:sz w:val="22"/>
          <w:szCs w:val="22"/>
          <w:u w:val="single"/>
        </w:rPr>
      </w:pPr>
    </w:p>
    <w:p w14:paraId="4506ACF9" w14:textId="77777777" w:rsidR="008C56B9" w:rsidRPr="00126DDD" w:rsidRDefault="008C56B9" w:rsidP="00765F63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Dospelí a dospievajúci od 12 rokov</w:t>
      </w:r>
    </w:p>
    <w:p w14:paraId="2C26A5D9" w14:textId="77777777" w:rsidR="00117A1D" w:rsidRPr="00765F63" w:rsidRDefault="00924AF1" w:rsidP="00765F63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Dávkovanie je v rozsahu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2,4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denne, (zvyčajne 1,2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1,8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g denne) rozdelen</w:t>
      </w:r>
      <w:r w:rsidR="00C36E73" w:rsidRPr="00765F63">
        <w:rPr>
          <w:sz w:val="22"/>
          <w:szCs w:val="22"/>
        </w:rPr>
        <w:t>é</w:t>
      </w:r>
      <w:r w:rsidRPr="00765F63">
        <w:rPr>
          <w:sz w:val="22"/>
          <w:szCs w:val="22"/>
        </w:rPr>
        <w:t xml:space="preserve"> podľa závažnosti ochorenia a reakcie pacienta na liečbu. Dávka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2,4 g</w:t>
        </w:r>
      </w:smartTag>
      <w:r w:rsidRPr="00765F63">
        <w:rPr>
          <w:sz w:val="22"/>
          <w:szCs w:val="22"/>
        </w:rPr>
        <w:t xml:space="preserve"> denne sa nemá prekročiť; u</w:t>
      </w:r>
      <w:r w:rsidRPr="00126DDD">
        <w:rPr>
          <w:sz w:val="22"/>
          <w:szCs w:val="22"/>
        </w:rPr>
        <w:t xml:space="preserve"> niektorých pacientov postačuje udržiavacia dávka 0,6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>1,2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 xml:space="preserve">g. </w:t>
      </w:r>
    </w:p>
    <w:p w14:paraId="61B5440E" w14:textId="77777777" w:rsidR="00924AF1" w:rsidRPr="00126DDD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Pri zápalových formách sa podávajú vyššie dávky; </w:t>
      </w:r>
      <w:proofErr w:type="spellStart"/>
      <w:r w:rsidRPr="00126DDD">
        <w:rPr>
          <w:sz w:val="22"/>
          <w:szCs w:val="22"/>
        </w:rPr>
        <w:t>reumatoidná</w:t>
      </w:r>
      <w:proofErr w:type="spellEnd"/>
      <w:r w:rsidRPr="00126DDD">
        <w:rPr>
          <w:sz w:val="22"/>
          <w:szCs w:val="22"/>
        </w:rPr>
        <w:t xml:space="preserve"> artritída vyžaduje vyššie dávkovanie ako </w:t>
      </w:r>
      <w:proofErr w:type="spellStart"/>
      <w:r w:rsidRPr="00126DDD">
        <w:rPr>
          <w:sz w:val="22"/>
          <w:szCs w:val="22"/>
        </w:rPr>
        <w:t>osteoartritída</w:t>
      </w:r>
      <w:proofErr w:type="spellEnd"/>
      <w:r w:rsidRPr="00126DDD">
        <w:rPr>
          <w:sz w:val="22"/>
          <w:szCs w:val="22"/>
        </w:rPr>
        <w:t>.</w:t>
      </w:r>
    </w:p>
    <w:p w14:paraId="0200BF35" w14:textId="77777777" w:rsidR="00117A1D" w:rsidRPr="00765F63" w:rsidRDefault="00924AF1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lastRenderedPageBreak/>
        <w:t xml:space="preserve">Pri </w:t>
      </w:r>
      <w:proofErr w:type="spellStart"/>
      <w:r w:rsidRPr="00126DDD">
        <w:rPr>
          <w:bCs/>
          <w:color w:val="000000"/>
          <w:sz w:val="22"/>
          <w:szCs w:val="22"/>
        </w:rPr>
        <w:t>dysmenorei</w:t>
      </w:r>
      <w:proofErr w:type="spellEnd"/>
      <w:r w:rsidRPr="00126DDD">
        <w:rPr>
          <w:sz w:val="22"/>
          <w:szCs w:val="22"/>
        </w:rPr>
        <w:t xml:space="preserve"> sa podáva 400 mg perorálne opakovane po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6 hodinách. </w:t>
      </w:r>
    </w:p>
    <w:p w14:paraId="71B3F9DD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>Ako analgetikum</w:t>
      </w:r>
      <w:r w:rsidR="00126DDD">
        <w:rPr>
          <w:sz w:val="22"/>
          <w:szCs w:val="22"/>
        </w:rPr>
        <w:t xml:space="preserve">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</w:t>
      </w:r>
      <w:proofErr w:type="spellStart"/>
      <w:r w:rsidRPr="00765F63">
        <w:rPr>
          <w:sz w:val="22"/>
          <w:szCs w:val="22"/>
        </w:rPr>
        <w:t>antipyretikum</w:t>
      </w:r>
      <w:proofErr w:type="spellEnd"/>
      <w:r w:rsidRPr="00765F63">
        <w:rPr>
          <w:sz w:val="22"/>
          <w:szCs w:val="22"/>
        </w:rPr>
        <w:t xml:space="preserve"> sa podáva 3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4 razy denne v dávkach 200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400</w:t>
      </w:r>
      <w:r w:rsidR="00F060A1" w:rsidRPr="00765F63">
        <w:rPr>
          <w:sz w:val="22"/>
          <w:szCs w:val="22"/>
        </w:rPr>
        <w:t> </w:t>
      </w:r>
      <w:r w:rsidRPr="00765F63">
        <w:rPr>
          <w:sz w:val="22"/>
          <w:szCs w:val="22"/>
        </w:rPr>
        <w:t>mg perorálne.</w:t>
      </w:r>
    </w:p>
    <w:p w14:paraId="20859A89" w14:textId="77777777" w:rsidR="00F444FC" w:rsidRPr="00126DDD" w:rsidRDefault="00F444FC" w:rsidP="00126DDD">
      <w:pPr>
        <w:widowControl w:val="0"/>
        <w:rPr>
          <w:sz w:val="22"/>
          <w:szCs w:val="22"/>
        </w:rPr>
      </w:pPr>
    </w:p>
    <w:p w14:paraId="40863EEE" w14:textId="77777777" w:rsidR="00F444FC" w:rsidRPr="00126DDD" w:rsidRDefault="00F444FC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Ak u dospievajúcich (od</w:t>
      </w:r>
      <w:r w:rsidRPr="00126DDD">
        <w:rPr>
          <w:iCs/>
          <w:sz w:val="22"/>
          <w:szCs w:val="22"/>
        </w:rPr>
        <w:t xml:space="preserve"> </w:t>
      </w:r>
      <w:r w:rsidRPr="00126DDD">
        <w:rPr>
          <w:sz w:val="22"/>
          <w:szCs w:val="22"/>
        </w:rPr>
        <w:t>12 do 18 rokov) je tento liek potrebné podávať viac ako 3 dni alebo sa príznaky ochorenia zhoršujú, je potrebné poradiť sa s lekárom.</w:t>
      </w:r>
    </w:p>
    <w:p w14:paraId="7928FD09" w14:textId="77777777" w:rsidR="00C36E73" w:rsidRPr="00126DDD" w:rsidRDefault="00C36E73" w:rsidP="00126DDD">
      <w:pPr>
        <w:widowControl w:val="0"/>
        <w:rPr>
          <w:sz w:val="22"/>
          <w:szCs w:val="22"/>
        </w:rPr>
      </w:pPr>
    </w:p>
    <w:p w14:paraId="34803489" w14:textId="77777777" w:rsidR="00C36E73" w:rsidRPr="00126DDD" w:rsidRDefault="00C955FE" w:rsidP="00126DDD">
      <w:pPr>
        <w:widowControl w:val="0"/>
        <w:rPr>
          <w:i/>
          <w:sz w:val="22"/>
          <w:szCs w:val="22"/>
        </w:rPr>
      </w:pPr>
      <w:r w:rsidRPr="00126DDD">
        <w:rPr>
          <w:i/>
          <w:sz w:val="22"/>
          <w:szCs w:val="22"/>
        </w:rPr>
        <w:t>Pediatrická populácia</w:t>
      </w:r>
      <w:r w:rsidR="008C56B9" w:rsidRPr="00126DDD">
        <w:rPr>
          <w:i/>
          <w:sz w:val="22"/>
          <w:szCs w:val="22"/>
        </w:rPr>
        <w:t xml:space="preserve"> do 12 rokov</w:t>
      </w:r>
    </w:p>
    <w:p w14:paraId="356C45C2" w14:textId="23201544" w:rsidR="00117A1D" w:rsidRPr="00B0634D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U detí sa používajú filmom obalené tablety </w:t>
      </w:r>
      <w:proofErr w:type="spellStart"/>
      <w:r w:rsidRPr="00B0634D">
        <w:rPr>
          <w:sz w:val="22"/>
          <w:szCs w:val="22"/>
        </w:rPr>
        <w:t>Ibalgin</w:t>
      </w:r>
      <w:proofErr w:type="spellEnd"/>
      <w:r w:rsidRPr="00B0634D">
        <w:rPr>
          <w:sz w:val="22"/>
          <w:szCs w:val="22"/>
        </w:rPr>
        <w:t xml:space="preserve"> 200</w:t>
      </w:r>
      <w:r w:rsidR="00201C76">
        <w:rPr>
          <w:sz w:val="22"/>
          <w:szCs w:val="22"/>
        </w:rPr>
        <w:t xml:space="preserve"> alebo liek s obsahom </w:t>
      </w:r>
      <w:proofErr w:type="spellStart"/>
      <w:r w:rsidR="00201C76">
        <w:rPr>
          <w:sz w:val="22"/>
          <w:szCs w:val="22"/>
        </w:rPr>
        <w:t>ibuprofénu</w:t>
      </w:r>
      <w:proofErr w:type="spellEnd"/>
      <w:r w:rsidR="00201C76">
        <w:rPr>
          <w:sz w:val="22"/>
          <w:szCs w:val="22"/>
        </w:rPr>
        <w:t xml:space="preserve"> v inej liekovej forme</w:t>
      </w:r>
      <w:r w:rsidR="00037E96">
        <w:rPr>
          <w:sz w:val="22"/>
          <w:szCs w:val="22"/>
        </w:rPr>
        <w:t>.</w:t>
      </w:r>
      <w:r w:rsidR="0099327B" w:rsidRPr="0099327B">
        <w:rPr>
          <w:sz w:val="22"/>
          <w:szCs w:val="22"/>
        </w:rPr>
        <w:t xml:space="preserve"> </w:t>
      </w:r>
      <w:r w:rsidR="00815717">
        <w:rPr>
          <w:sz w:val="22"/>
          <w:szCs w:val="22"/>
        </w:rPr>
        <w:t xml:space="preserve"> </w:t>
      </w:r>
    </w:p>
    <w:p w14:paraId="15BD0317" w14:textId="77777777" w:rsidR="00117A1D" w:rsidRPr="007C2E6D" w:rsidRDefault="00924AF1" w:rsidP="00765F63">
      <w:pPr>
        <w:widowControl w:val="0"/>
        <w:rPr>
          <w:sz w:val="22"/>
          <w:szCs w:val="22"/>
        </w:rPr>
      </w:pPr>
      <w:r w:rsidRPr="00EA3312">
        <w:rPr>
          <w:sz w:val="22"/>
          <w:szCs w:val="22"/>
        </w:rPr>
        <w:t>Denná dávka u detí do 12 rokov je 20</w:t>
      </w:r>
      <w:r w:rsidRPr="00765F63">
        <w:rPr>
          <w:sz w:val="22"/>
          <w:szCs w:val="22"/>
        </w:rPr>
        <w:t xml:space="preserve"> </w:t>
      </w:r>
      <w:r w:rsidR="00F060A1" w:rsidRPr="00765F63">
        <w:rPr>
          <w:sz w:val="22"/>
          <w:szCs w:val="22"/>
        </w:rPr>
        <w:t>–</w:t>
      </w:r>
      <w:r w:rsidRPr="00765F63">
        <w:rPr>
          <w:sz w:val="22"/>
          <w:szCs w:val="22"/>
        </w:rPr>
        <w:t xml:space="preserve"> 35</w:t>
      </w:r>
      <w:r w:rsidR="00F060A1" w:rsidRPr="0097587C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mg/kg telesnej hmotnosti rozdelene v niekoľkých čiastkových dávkach, pri juvenilnej </w:t>
      </w:r>
      <w:proofErr w:type="spellStart"/>
      <w:r w:rsidRPr="007C2E6D">
        <w:rPr>
          <w:sz w:val="22"/>
          <w:szCs w:val="22"/>
        </w:rPr>
        <w:t>reumatoidnej</w:t>
      </w:r>
      <w:proofErr w:type="spellEnd"/>
      <w:r w:rsidRPr="007C2E6D">
        <w:rPr>
          <w:sz w:val="22"/>
          <w:szCs w:val="22"/>
        </w:rPr>
        <w:t xml:space="preserve"> artritíde až 40</w:t>
      </w:r>
      <w:r w:rsidR="00126DDD">
        <w:rPr>
          <w:sz w:val="22"/>
          <w:szCs w:val="22"/>
        </w:rPr>
        <w:t xml:space="preserve">  </w:t>
      </w:r>
      <w:r w:rsidR="00126DDD" w:rsidRPr="00765F63">
        <w:rPr>
          <w:sz w:val="22"/>
          <w:szCs w:val="22"/>
        </w:rPr>
        <w:t>–</w:t>
      </w:r>
      <w:r w:rsidR="00126DDD">
        <w:rPr>
          <w:sz w:val="22"/>
          <w:szCs w:val="22"/>
        </w:rPr>
        <w:t xml:space="preserve">  </w:t>
      </w:r>
      <w:r w:rsidRPr="007C2E6D">
        <w:rPr>
          <w:sz w:val="22"/>
          <w:szCs w:val="22"/>
        </w:rPr>
        <w:t xml:space="preserve">50 mg/kg telesnej hmotnosti/deň. </w:t>
      </w:r>
    </w:p>
    <w:p w14:paraId="0F2C3425" w14:textId="77777777" w:rsidR="00924AF1" w:rsidRPr="00765F63" w:rsidRDefault="00924AF1" w:rsidP="00765F63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 xml:space="preserve">U detí s telesnou hmotnosťou do </w:t>
      </w:r>
      <w:smartTag w:uri="urn:schemas-microsoft-com:office:smarttags" w:element="metricconverter">
        <w:smartTagPr>
          <w:attr w:name="ProductID" w:val="36 a"/>
        </w:smartTagPr>
        <w:r w:rsidRPr="00765F63">
          <w:rPr>
            <w:sz w:val="22"/>
            <w:szCs w:val="22"/>
          </w:rPr>
          <w:t>30 kg</w:t>
        </w:r>
      </w:smartTag>
      <w:r w:rsidRPr="00765F63">
        <w:rPr>
          <w:sz w:val="22"/>
          <w:szCs w:val="22"/>
        </w:rPr>
        <w:t xml:space="preserve"> sa neodporúča prekračovať dávku 400 mg denne. Po dosiahnutí uspokojivej odpovedi je vhodná redukcia dávky, ktorá ešte zabezpečí kontrolu aktivity procesu.</w:t>
      </w:r>
    </w:p>
    <w:p w14:paraId="2DD9180E" w14:textId="499A289A" w:rsidR="005D17DB" w:rsidRPr="00126DDD" w:rsidRDefault="005D17DB" w:rsidP="00126DDD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 deti mladšie ako 6 rokov je </w:t>
      </w:r>
      <w:r w:rsidR="00B033A1" w:rsidRPr="00126DDD">
        <w:rPr>
          <w:sz w:val="22"/>
          <w:szCs w:val="22"/>
        </w:rPr>
        <w:t>určený</w:t>
      </w:r>
      <w:r w:rsidRPr="00126DDD">
        <w:rPr>
          <w:sz w:val="22"/>
          <w:szCs w:val="22"/>
        </w:rPr>
        <w:t xml:space="preserve"> liek </w:t>
      </w:r>
      <w:r w:rsidR="002E2526">
        <w:rPr>
          <w:sz w:val="22"/>
          <w:szCs w:val="22"/>
        </w:rPr>
        <w:t xml:space="preserve">s obsahom </w:t>
      </w:r>
      <w:proofErr w:type="spellStart"/>
      <w:r w:rsidR="002E2526">
        <w:rPr>
          <w:sz w:val="22"/>
          <w:szCs w:val="22"/>
        </w:rPr>
        <w:t>ibuprofénu</w:t>
      </w:r>
      <w:proofErr w:type="spellEnd"/>
      <w:r w:rsidR="00C955FE" w:rsidRPr="00126DDD">
        <w:rPr>
          <w:sz w:val="22"/>
          <w:szCs w:val="22"/>
        </w:rPr>
        <w:t xml:space="preserve"> </w:t>
      </w:r>
      <w:r w:rsidRPr="00126DDD">
        <w:rPr>
          <w:sz w:val="22"/>
          <w:szCs w:val="22"/>
        </w:rPr>
        <w:t>vo forme suspenzie.</w:t>
      </w:r>
    </w:p>
    <w:p w14:paraId="7C7C95CB" w14:textId="77777777" w:rsidR="005D17DB" w:rsidRPr="00126DDD" w:rsidRDefault="005D17DB" w:rsidP="00126DDD">
      <w:pPr>
        <w:widowControl w:val="0"/>
        <w:rPr>
          <w:sz w:val="22"/>
          <w:szCs w:val="22"/>
        </w:rPr>
      </w:pPr>
    </w:p>
    <w:p w14:paraId="528B7C3D" w14:textId="77777777" w:rsidR="00924AF1" w:rsidRPr="00EA3312" w:rsidRDefault="00924AF1" w:rsidP="00B0634D">
      <w:pPr>
        <w:widowControl w:val="0"/>
        <w:rPr>
          <w:sz w:val="22"/>
          <w:szCs w:val="22"/>
        </w:rPr>
      </w:pPr>
      <w:r w:rsidRPr="00B0634D">
        <w:rPr>
          <w:sz w:val="22"/>
          <w:szCs w:val="22"/>
        </w:rPr>
        <w:t xml:space="preserve">Pre vydávanie bez lekárskeho predpisu je maximálna denná dávka obmedzená na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1,2 g</w:t>
        </w:r>
      </w:smartTag>
      <w:r w:rsidRPr="00B0634D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EA3312">
        <w:rPr>
          <w:sz w:val="22"/>
          <w:szCs w:val="22"/>
        </w:rPr>
        <w:t>u</w:t>
      </w:r>
      <w:proofErr w:type="spellEnd"/>
      <w:r w:rsidRPr="00EA3312">
        <w:rPr>
          <w:sz w:val="22"/>
          <w:szCs w:val="22"/>
        </w:rPr>
        <w:t>.</w:t>
      </w:r>
    </w:p>
    <w:p w14:paraId="4C2A14CA" w14:textId="77777777" w:rsidR="00F444FC" w:rsidRPr="002D3EDE" w:rsidRDefault="00F444FC" w:rsidP="002D3EDE">
      <w:pPr>
        <w:widowControl w:val="0"/>
        <w:rPr>
          <w:sz w:val="22"/>
          <w:szCs w:val="22"/>
        </w:rPr>
      </w:pPr>
    </w:p>
    <w:p w14:paraId="056C610E" w14:textId="77777777" w:rsidR="00F444FC" w:rsidRPr="00F60143" w:rsidRDefault="00F444FC" w:rsidP="00F3370B">
      <w:pPr>
        <w:widowControl w:val="0"/>
        <w:rPr>
          <w:sz w:val="22"/>
          <w:szCs w:val="22"/>
        </w:rPr>
      </w:pPr>
      <w:r w:rsidRPr="00F3370B">
        <w:rPr>
          <w:sz w:val="22"/>
          <w:szCs w:val="22"/>
        </w:rPr>
        <w:t>Ak u detí (od</w:t>
      </w:r>
      <w:r w:rsidRPr="00293D32">
        <w:rPr>
          <w:iCs/>
          <w:sz w:val="22"/>
          <w:szCs w:val="22"/>
        </w:rPr>
        <w:t xml:space="preserve"> </w:t>
      </w:r>
      <w:r w:rsidR="007C2826" w:rsidRPr="00293D32">
        <w:rPr>
          <w:iCs/>
          <w:sz w:val="22"/>
          <w:szCs w:val="22"/>
        </w:rPr>
        <w:t xml:space="preserve">6 </w:t>
      </w:r>
      <w:r w:rsidR="00517AAD" w:rsidRPr="007C2E6D">
        <w:rPr>
          <w:iCs/>
          <w:sz w:val="22"/>
          <w:szCs w:val="22"/>
        </w:rPr>
        <w:t>rokov</w:t>
      </w:r>
      <w:r w:rsidRPr="007C2E6D">
        <w:rPr>
          <w:sz w:val="22"/>
          <w:szCs w:val="22"/>
        </w:rPr>
        <w:t xml:space="preserve"> do 1</w:t>
      </w:r>
      <w:r w:rsidR="007C2826" w:rsidRPr="007C2E6D">
        <w:rPr>
          <w:sz w:val="22"/>
          <w:szCs w:val="22"/>
        </w:rPr>
        <w:t>2</w:t>
      </w:r>
      <w:r w:rsidRPr="00F60143">
        <w:rPr>
          <w:sz w:val="22"/>
          <w:szCs w:val="22"/>
        </w:rPr>
        <w:t xml:space="preserve"> rokov) je tento liek potrebné podávať viac ako 3 dni alebo sa príznaky ochorenia zhoršujú, je potrebné poradiť sa s lekárom.</w:t>
      </w:r>
    </w:p>
    <w:p w14:paraId="29D3F722" w14:textId="77777777" w:rsidR="0073678A" w:rsidRPr="00765F63" w:rsidRDefault="0073678A" w:rsidP="00F3370B">
      <w:pPr>
        <w:widowControl w:val="0"/>
        <w:rPr>
          <w:sz w:val="22"/>
          <w:szCs w:val="22"/>
        </w:rPr>
      </w:pPr>
    </w:p>
    <w:p w14:paraId="43BC8ACC" w14:textId="77777777" w:rsidR="00566A67" w:rsidRPr="00126DDD" w:rsidRDefault="00566A67" w:rsidP="00293D32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14:paraId="33259DD6" w14:textId="77777777" w:rsidR="00566A67" w:rsidRPr="00126DDD" w:rsidRDefault="00566A67" w:rsidP="00293D32">
      <w:pPr>
        <w:widowControl w:val="0"/>
        <w:rPr>
          <w:sz w:val="22"/>
          <w:szCs w:val="22"/>
        </w:rPr>
      </w:pPr>
    </w:p>
    <w:p w14:paraId="4524D988" w14:textId="77777777" w:rsidR="0073678A" w:rsidRPr="00B0634D" w:rsidRDefault="0073678A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B0634D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31BA187D" w14:textId="77777777" w:rsidR="00DB40F0" w:rsidRPr="002D3EDE" w:rsidRDefault="00DB40F0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4B4A4455" w14:textId="77777777" w:rsidR="0073678A" w:rsidRPr="00F3370B" w:rsidRDefault="0073678A" w:rsidP="00293D32">
      <w:pPr>
        <w:widowControl w:val="0"/>
        <w:rPr>
          <w:noProof/>
          <w:sz w:val="22"/>
          <w:szCs w:val="22"/>
        </w:rPr>
      </w:pPr>
      <w:r w:rsidRPr="00F3370B">
        <w:rPr>
          <w:noProof/>
          <w:sz w:val="22"/>
          <w:szCs w:val="22"/>
        </w:rPr>
        <w:t>Filmom obalené tablety sa prehĺtajú celé, zapíjajú sa dostatočným množstvom tekutiny.</w:t>
      </w:r>
    </w:p>
    <w:p w14:paraId="7B2C514F" w14:textId="77777777" w:rsidR="0073678A" w:rsidRPr="00293D32" w:rsidRDefault="0073678A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Ak sa objavia </w:t>
      </w:r>
      <w:proofErr w:type="spellStart"/>
      <w:r w:rsidRPr="00293D32">
        <w:rPr>
          <w:sz w:val="22"/>
          <w:szCs w:val="22"/>
        </w:rPr>
        <w:t>gastrointestinálne</w:t>
      </w:r>
      <w:proofErr w:type="spellEnd"/>
      <w:r w:rsidRPr="00293D32">
        <w:rPr>
          <w:sz w:val="22"/>
          <w:szCs w:val="22"/>
        </w:rPr>
        <w:t xml:space="preserve"> ťažkosti, odporúča sa podať tablety s malým množstvom potravy či zapiť ich mliekom.</w:t>
      </w:r>
    </w:p>
    <w:p w14:paraId="6E383B22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7E4175DE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4.3</w:t>
      </w:r>
      <w:r w:rsidR="003D18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Kontraindikácie</w:t>
      </w:r>
    </w:p>
    <w:p w14:paraId="3053C2DB" w14:textId="77777777" w:rsidR="003D1878" w:rsidRPr="00293D32" w:rsidRDefault="003D1878" w:rsidP="0097587C">
      <w:pPr>
        <w:widowControl w:val="0"/>
        <w:rPr>
          <w:sz w:val="22"/>
          <w:szCs w:val="22"/>
        </w:rPr>
      </w:pPr>
    </w:p>
    <w:p w14:paraId="1867131E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293D32">
        <w:rPr>
          <w:sz w:val="22"/>
          <w:szCs w:val="22"/>
        </w:rPr>
        <w:t xml:space="preserve">Precitlivenosť na </w:t>
      </w:r>
      <w:r w:rsidR="00DB40F0" w:rsidRPr="00293D32">
        <w:rPr>
          <w:sz w:val="22"/>
          <w:szCs w:val="22"/>
        </w:rPr>
        <w:t>liečivo</w:t>
      </w:r>
      <w:r w:rsidRPr="00293D32">
        <w:rPr>
          <w:sz w:val="22"/>
          <w:szCs w:val="22"/>
        </w:rPr>
        <w:t xml:space="preserve"> alebo </w:t>
      </w:r>
      <w:r w:rsidR="006E4BC7" w:rsidRPr="00293D32">
        <w:rPr>
          <w:sz w:val="22"/>
          <w:szCs w:val="22"/>
        </w:rPr>
        <w:t xml:space="preserve">na </w:t>
      </w:r>
      <w:r w:rsidRPr="00293D32">
        <w:rPr>
          <w:sz w:val="22"/>
          <w:szCs w:val="22"/>
        </w:rPr>
        <w:t>ktorúkoľvek z pomocných látok</w:t>
      </w:r>
      <w:r w:rsidR="006E4BC7" w:rsidRPr="00293D32">
        <w:rPr>
          <w:sz w:val="22"/>
          <w:szCs w:val="22"/>
        </w:rPr>
        <w:t xml:space="preserve"> uvedených v časti 6.1</w:t>
      </w:r>
      <w:r w:rsidRPr="00293D32">
        <w:rPr>
          <w:sz w:val="22"/>
          <w:szCs w:val="22"/>
        </w:rPr>
        <w:t xml:space="preserve">, </w:t>
      </w:r>
      <w:r w:rsidR="006E4BC7" w:rsidRPr="0097587C">
        <w:rPr>
          <w:sz w:val="22"/>
          <w:szCs w:val="22"/>
        </w:rPr>
        <w:t xml:space="preserve">alebo </w:t>
      </w:r>
      <w:r w:rsidRPr="0097587C">
        <w:rPr>
          <w:sz w:val="22"/>
          <w:szCs w:val="22"/>
        </w:rPr>
        <w:t xml:space="preserve">precitlivenosť na kyselinu </w:t>
      </w:r>
      <w:proofErr w:type="spellStart"/>
      <w:r w:rsidRPr="0097587C">
        <w:rPr>
          <w:sz w:val="22"/>
          <w:szCs w:val="22"/>
        </w:rPr>
        <w:t>acetylsalicylovú</w:t>
      </w:r>
      <w:proofErr w:type="spellEnd"/>
      <w:r w:rsidRPr="0097587C">
        <w:rPr>
          <w:sz w:val="22"/>
          <w:szCs w:val="22"/>
        </w:rPr>
        <w:t xml:space="preserve"> a iné </w:t>
      </w:r>
      <w:proofErr w:type="spellStart"/>
      <w:r w:rsidRPr="0097587C">
        <w:rPr>
          <w:sz w:val="22"/>
          <w:szCs w:val="22"/>
        </w:rPr>
        <w:t>nesteroidové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antiflogistiká</w:t>
      </w:r>
      <w:proofErr w:type="spellEnd"/>
      <w:r w:rsidRPr="0097587C">
        <w:rPr>
          <w:sz w:val="22"/>
          <w:szCs w:val="22"/>
        </w:rPr>
        <w:t xml:space="preserve"> prejavujúca sa ako astma, </w:t>
      </w:r>
      <w:proofErr w:type="spellStart"/>
      <w:r w:rsidRPr="0097587C">
        <w:rPr>
          <w:sz w:val="22"/>
          <w:szCs w:val="22"/>
        </w:rPr>
        <w:t>urtikária</w:t>
      </w:r>
      <w:proofErr w:type="spellEnd"/>
      <w:r w:rsidRPr="0097587C">
        <w:rPr>
          <w:sz w:val="22"/>
          <w:szCs w:val="22"/>
        </w:rPr>
        <w:t xml:space="preserve"> a iné alergické reakcie. </w:t>
      </w:r>
    </w:p>
    <w:p w14:paraId="45552B48" w14:textId="77777777" w:rsidR="00643FED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Gastrointestinálne</w:t>
      </w:r>
      <w:proofErr w:type="spellEnd"/>
      <w:r w:rsidRPr="0097587C">
        <w:rPr>
          <w:sz w:val="22"/>
          <w:szCs w:val="22"/>
        </w:rPr>
        <w:t xml:space="preserve"> krvácanie alebo perforácia súvisiaca s liečbou NSAID v anamnéze, aktívny alebo </w:t>
      </w:r>
      <w:proofErr w:type="spellStart"/>
      <w:r w:rsidRPr="0097587C">
        <w:rPr>
          <w:sz w:val="22"/>
          <w:szCs w:val="22"/>
        </w:rPr>
        <w:t>rekurentný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peptický</w:t>
      </w:r>
      <w:proofErr w:type="spellEnd"/>
      <w:r w:rsidRPr="0097587C">
        <w:rPr>
          <w:sz w:val="22"/>
          <w:szCs w:val="22"/>
        </w:rPr>
        <w:t xml:space="preserve"> vred/krvácanie v anamnéze (dva alebo viac prípadov potvrdených vredov alebo krvácanie). </w:t>
      </w:r>
    </w:p>
    <w:p w14:paraId="6F6A4AA3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Závažné </w:t>
      </w:r>
      <w:r w:rsidR="00566A67" w:rsidRPr="0097587C">
        <w:rPr>
          <w:sz w:val="22"/>
          <w:szCs w:val="22"/>
        </w:rPr>
        <w:t xml:space="preserve">srdcové </w:t>
      </w:r>
      <w:r w:rsidRPr="0097587C">
        <w:rPr>
          <w:sz w:val="22"/>
          <w:szCs w:val="22"/>
        </w:rPr>
        <w:t>zlyhanie</w:t>
      </w:r>
      <w:r w:rsidR="00566A67" w:rsidRPr="0097587C">
        <w:rPr>
          <w:sz w:val="22"/>
          <w:szCs w:val="22"/>
        </w:rPr>
        <w:t xml:space="preserve"> (trieda IV NYHA)</w:t>
      </w:r>
      <w:r w:rsidRPr="0097587C">
        <w:rPr>
          <w:sz w:val="22"/>
          <w:szCs w:val="22"/>
        </w:rPr>
        <w:t xml:space="preserve">, poruchy </w:t>
      </w:r>
      <w:proofErr w:type="spellStart"/>
      <w:r w:rsidRPr="0097587C">
        <w:rPr>
          <w:sz w:val="22"/>
          <w:szCs w:val="22"/>
        </w:rPr>
        <w:t>hemokoagulácie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hemopoézy</w:t>
      </w:r>
      <w:proofErr w:type="spellEnd"/>
      <w:r w:rsidRPr="0097587C">
        <w:rPr>
          <w:sz w:val="22"/>
          <w:szCs w:val="22"/>
        </w:rPr>
        <w:t>.</w:t>
      </w:r>
    </w:p>
    <w:p w14:paraId="5BBE351E" w14:textId="77777777" w:rsidR="00924AF1" w:rsidRPr="0097587C" w:rsidRDefault="00924AF1" w:rsidP="0097587C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97587C">
        <w:rPr>
          <w:sz w:val="22"/>
          <w:szCs w:val="22"/>
        </w:rPr>
        <w:t xml:space="preserve">Tretí </w:t>
      </w:r>
      <w:proofErr w:type="spellStart"/>
      <w:r w:rsidRPr="0097587C">
        <w:rPr>
          <w:sz w:val="22"/>
          <w:szCs w:val="22"/>
        </w:rPr>
        <w:t>trimester</w:t>
      </w:r>
      <w:proofErr w:type="spellEnd"/>
      <w:r w:rsidRPr="0097587C">
        <w:rPr>
          <w:sz w:val="22"/>
          <w:szCs w:val="22"/>
        </w:rPr>
        <w:t xml:space="preserve"> gravidity.</w:t>
      </w:r>
    </w:p>
    <w:p w14:paraId="2B089AF0" w14:textId="77777777" w:rsidR="00566A67" w:rsidRPr="0097587C" w:rsidRDefault="00566A67" w:rsidP="007C2E6D">
      <w:pPr>
        <w:widowControl w:val="0"/>
        <w:rPr>
          <w:sz w:val="22"/>
          <w:szCs w:val="22"/>
        </w:rPr>
      </w:pPr>
    </w:p>
    <w:p w14:paraId="042CB744" w14:textId="77777777" w:rsidR="00643FED" w:rsidRPr="0097587C" w:rsidRDefault="00924AF1" w:rsidP="00765F63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nie je určený deťom do 12 rokov vzhľadom na veľkosť jednotlivej dávky. </w:t>
      </w:r>
    </w:p>
    <w:p w14:paraId="427F6985" w14:textId="77777777" w:rsidR="00924AF1" w:rsidRPr="0097587C" w:rsidRDefault="00924AF1" w:rsidP="00126DDD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sa nepodáva deťom mladším ako 6 rokov. Pre deti mladšie ako 6 rokov je určený liek 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</w:t>
      </w:r>
      <w:r w:rsidR="002B5CCD" w:rsidRPr="0097587C">
        <w:rPr>
          <w:sz w:val="22"/>
          <w:szCs w:val="22"/>
        </w:rPr>
        <w:t xml:space="preserve">Baby vo forme </w:t>
      </w:r>
      <w:r w:rsidRPr="0097587C">
        <w:rPr>
          <w:sz w:val="22"/>
          <w:szCs w:val="22"/>
        </w:rPr>
        <w:t>sus</w:t>
      </w:r>
      <w:r w:rsidR="002B5CCD" w:rsidRPr="0097587C">
        <w:rPr>
          <w:sz w:val="22"/>
          <w:szCs w:val="22"/>
        </w:rPr>
        <w:t>penzie</w:t>
      </w:r>
      <w:r w:rsidRPr="0097587C">
        <w:rPr>
          <w:sz w:val="22"/>
          <w:szCs w:val="22"/>
        </w:rPr>
        <w:t>.</w:t>
      </w:r>
    </w:p>
    <w:p w14:paraId="2CFFE78A" w14:textId="77777777" w:rsidR="00924AF1" w:rsidRPr="0097587C" w:rsidRDefault="00924AF1" w:rsidP="00126DDD">
      <w:pPr>
        <w:widowControl w:val="0"/>
        <w:rPr>
          <w:sz w:val="22"/>
          <w:szCs w:val="22"/>
        </w:rPr>
      </w:pPr>
    </w:p>
    <w:p w14:paraId="706252E6" w14:textId="77777777" w:rsidR="00924AF1" w:rsidRPr="0097587C" w:rsidRDefault="00924AF1" w:rsidP="00B0634D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4.4</w:t>
      </w:r>
      <w:r w:rsidRPr="0097587C">
        <w:rPr>
          <w:b/>
          <w:sz w:val="22"/>
          <w:szCs w:val="22"/>
        </w:rPr>
        <w:tab/>
        <w:t>Osobitné upozornenia a opatrenia pri používaní</w:t>
      </w:r>
    </w:p>
    <w:p w14:paraId="0713437C" w14:textId="77777777" w:rsidR="003D1878" w:rsidRPr="0097587C" w:rsidRDefault="003D1878" w:rsidP="002D3EDE">
      <w:pPr>
        <w:pStyle w:val="Zkladntext"/>
        <w:rPr>
          <w:rFonts w:ascii="Times New Roman" w:hAnsi="Times New Roman"/>
          <w:sz w:val="22"/>
          <w:szCs w:val="22"/>
        </w:rPr>
      </w:pPr>
    </w:p>
    <w:p w14:paraId="09109E54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t>Ibalgin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nesmie užívať sú</w:t>
      </w:r>
      <w:r w:rsidR="00DB40F0" w:rsidRPr="0097587C">
        <w:rPr>
          <w:rFonts w:ascii="Times New Roman" w:hAnsi="Times New Roman"/>
          <w:sz w:val="22"/>
          <w:szCs w:val="22"/>
        </w:rPr>
        <w:t>bežne</w:t>
      </w:r>
      <w:r w:rsidRPr="0097587C">
        <w:rPr>
          <w:rFonts w:ascii="Times New Roman" w:hAnsi="Times New Roman"/>
          <w:sz w:val="22"/>
          <w:szCs w:val="22"/>
        </w:rPr>
        <w:t xml:space="preserve"> s inými NSAID vrátane selektívnych inhibítorov cyklooxygenázy-2.</w:t>
      </w:r>
    </w:p>
    <w:p w14:paraId="5D96AB6B" w14:textId="77777777" w:rsidR="00924AF1" w:rsidRPr="0097587C" w:rsidRDefault="00924AF1" w:rsidP="00F3370B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Nežiaduce účinky sa môžu minimalizovať užitím najnižšej účinnej dávky počas </w:t>
      </w:r>
      <w:r w:rsidRPr="0097587C">
        <w:rPr>
          <w:bCs/>
          <w:sz w:val="22"/>
          <w:szCs w:val="22"/>
        </w:rPr>
        <w:t>najkratšieho obdobia, ktoré je potrebné na kontrolu symptómov (pozri GI a kardiovaskulárne riziko nižšie).</w:t>
      </w:r>
    </w:p>
    <w:p w14:paraId="783B1CD5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  <w:u w:val="single"/>
        </w:rPr>
      </w:pPr>
    </w:p>
    <w:p w14:paraId="0ECE05FA" w14:textId="77777777" w:rsidR="003D1878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  <w:u w:val="single"/>
        </w:rPr>
        <w:t>Starší pacienti</w:t>
      </w:r>
      <w:r w:rsidRPr="0097587C">
        <w:rPr>
          <w:rFonts w:ascii="Times New Roman" w:hAnsi="Times New Roman"/>
          <w:sz w:val="22"/>
          <w:szCs w:val="22"/>
        </w:rPr>
        <w:t xml:space="preserve"> </w:t>
      </w:r>
    </w:p>
    <w:p w14:paraId="10C7FF32" w14:textId="77777777" w:rsidR="00924AF1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Starší pacienti </w:t>
      </w:r>
      <w:r w:rsidR="00924AF1" w:rsidRPr="0097587C">
        <w:rPr>
          <w:rFonts w:ascii="Times New Roman" w:hAnsi="Times New Roman"/>
          <w:sz w:val="22"/>
          <w:szCs w:val="22"/>
        </w:rPr>
        <w:t xml:space="preserve">majú zvýšenú frekvenciu nežiaducich účinkov spôsobených NSAID, zvlášť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krvácania a perforácie, ktoré môžu byť aj smrteľné (pozri časť 4.8)</w:t>
      </w:r>
      <w:r w:rsidR="005D17DB" w:rsidRPr="0097587C">
        <w:rPr>
          <w:rFonts w:ascii="Times New Roman" w:hAnsi="Times New Roman"/>
          <w:sz w:val="22"/>
          <w:szCs w:val="22"/>
        </w:rPr>
        <w:t>.</w:t>
      </w:r>
    </w:p>
    <w:p w14:paraId="6395DD8E" w14:textId="77777777" w:rsidR="003D1878" w:rsidRPr="0097587C" w:rsidRDefault="003D1878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076179D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97587C">
        <w:rPr>
          <w:rFonts w:ascii="Times New Roman" w:hAnsi="Times New Roman"/>
          <w:sz w:val="22"/>
          <w:szCs w:val="22"/>
        </w:rPr>
        <w:lastRenderedPageBreak/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 perforácia: GIT krvácanie,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perforácia, ktoré môžu byť smrteľné, sú zaznamenané u všetkých NSAID a môžu vzniknúť kedykoľvek počas liečby, s</w:t>
      </w:r>
      <w:r w:rsidR="003D1878" w:rsidRPr="0097587C">
        <w:rPr>
          <w:rFonts w:ascii="Times New Roman" w:hAnsi="Times New Roman"/>
          <w:sz w:val="22"/>
          <w:szCs w:val="22"/>
        </w:rPr>
        <w:t xml:space="preserve"> predchádzajúcimi varovnými príznakmi, alebo bez nich, </w:t>
      </w:r>
      <w:r w:rsidRPr="0097587C">
        <w:rPr>
          <w:rFonts w:ascii="Times New Roman" w:hAnsi="Times New Roman"/>
          <w:sz w:val="22"/>
          <w:szCs w:val="22"/>
        </w:rPr>
        <w:t xml:space="preserve">alebo bez predchádzajúcej anamnézy závažných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gastrointestinálnych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stavov.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krvácania,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či perforácie sa zvyšuje so stúpajúcou dávkou NSAID, u pacientov s anamnézou vredovej choroby, predovšetkým, pokiaľ bola vredová choroba komplikovaná krvácaním alebo perforáciou (pozri časť 4.3) a u starších pacientov. U týchto pacientov treba začať liečbu s čo najnižšou možnou dávkou. U</w:t>
      </w:r>
      <w:r w:rsidR="00DB40F0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týchto pacientov a tiež u pacientov vyžadujúcich súčasnú liečbu nízkymi dávkami kyseliny </w:t>
      </w:r>
      <w:proofErr w:type="spellStart"/>
      <w:r w:rsidRPr="0097587C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iných látok zvyšujúcich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riziko </w:t>
      </w:r>
      <w:r w:rsidR="003D1878" w:rsidRPr="0097587C">
        <w:rPr>
          <w:rFonts w:ascii="Times New Roman" w:hAnsi="Times New Roman"/>
          <w:sz w:val="22"/>
          <w:szCs w:val="22"/>
        </w:rPr>
        <w:t>sa má</w:t>
      </w:r>
      <w:r w:rsidRPr="0097587C">
        <w:rPr>
          <w:rFonts w:ascii="Times New Roman" w:hAnsi="Times New Roman"/>
          <w:sz w:val="22"/>
          <w:szCs w:val="22"/>
        </w:rPr>
        <w:t xml:space="preserve"> zvážiť podanie </w:t>
      </w:r>
      <w:proofErr w:type="spellStart"/>
      <w:r w:rsidRPr="0097587C">
        <w:rPr>
          <w:rFonts w:ascii="Times New Roman" w:hAnsi="Times New Roman"/>
          <w:sz w:val="22"/>
          <w:szCs w:val="22"/>
        </w:rPr>
        <w:t>protektívnej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liečby (napr. </w:t>
      </w:r>
      <w:proofErr w:type="spellStart"/>
      <w:r w:rsidRPr="0097587C">
        <w:rPr>
          <w:rFonts w:ascii="Times New Roman" w:hAnsi="Times New Roman"/>
          <w:sz w:val="22"/>
          <w:szCs w:val="22"/>
        </w:rPr>
        <w:t>misoprostolom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inhibítormi protónovej pumpy) (pozri časť 4.5).</w:t>
      </w:r>
    </w:p>
    <w:p w14:paraId="418CCEA1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Pacienti s anamnézou GIT toxicity, predovšetkým starší pacienti, </w:t>
      </w:r>
      <w:r w:rsidR="003D1878" w:rsidRPr="0097587C">
        <w:rPr>
          <w:rFonts w:ascii="Times New Roman" w:hAnsi="Times New Roman"/>
          <w:sz w:val="22"/>
          <w:szCs w:val="22"/>
        </w:rPr>
        <w:t>majú</w:t>
      </w:r>
      <w:r w:rsidRPr="0097587C">
        <w:rPr>
          <w:rFonts w:ascii="Times New Roman" w:hAnsi="Times New Roman"/>
          <w:sz w:val="22"/>
          <w:szCs w:val="22"/>
        </w:rPr>
        <w:t xml:space="preserve"> byť poučení, aby hlásili akékoľvek nezvyčajné </w:t>
      </w:r>
      <w:proofErr w:type="spellStart"/>
      <w:r w:rsidRPr="0097587C">
        <w:rPr>
          <w:rFonts w:ascii="Times New Roman" w:hAnsi="Times New Roman"/>
          <w:sz w:val="22"/>
          <w:szCs w:val="22"/>
        </w:rPr>
        <w:t>abdominálne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príznaky (predovšetkým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krvácanie) a to zvlášť v začiatočných štádiách liečby.</w:t>
      </w:r>
    </w:p>
    <w:p w14:paraId="51DFCAEF" w14:textId="3A1485F8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Zvýšená opatrnosť je nevyhnutná u pacientov užívajúcich súčasne lieky zvyšujúce riziko vzniku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krvácani</w:t>
      </w:r>
      <w:r w:rsidR="0099327B">
        <w:rPr>
          <w:rFonts w:ascii="Times New Roman" w:hAnsi="Times New Roman"/>
          <w:sz w:val="22"/>
          <w:szCs w:val="22"/>
        </w:rPr>
        <w:t>a</w:t>
      </w:r>
      <w:r w:rsidRPr="0097587C">
        <w:rPr>
          <w:rFonts w:ascii="Times New Roman" w:hAnsi="Times New Roman"/>
          <w:sz w:val="22"/>
          <w:szCs w:val="22"/>
        </w:rPr>
        <w:t xml:space="preserve">, ako sú perorálne </w:t>
      </w:r>
      <w:proofErr w:type="spellStart"/>
      <w:r w:rsidRPr="0097587C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antikoagulanciá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Pr="0097587C">
        <w:rPr>
          <w:rFonts w:ascii="Times New Roman" w:hAnsi="Times New Roman"/>
          <w:sz w:val="22"/>
          <w:szCs w:val="22"/>
        </w:rPr>
        <w:t>warfarín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selektívne inhibítory </w:t>
      </w:r>
      <w:r w:rsidR="0099327B">
        <w:rPr>
          <w:rFonts w:ascii="Times New Roman" w:hAnsi="Times New Roman"/>
          <w:sz w:val="22"/>
          <w:szCs w:val="22"/>
        </w:rPr>
        <w:t xml:space="preserve"> spätného </w:t>
      </w:r>
      <w:r w:rsidRPr="0097587C">
        <w:rPr>
          <w:rFonts w:ascii="Times New Roman" w:hAnsi="Times New Roman"/>
          <w:sz w:val="22"/>
          <w:szCs w:val="22"/>
        </w:rPr>
        <w:t xml:space="preserve">vychytávanie </w:t>
      </w:r>
      <w:proofErr w:type="spellStart"/>
      <w:r w:rsidRPr="0097587C">
        <w:rPr>
          <w:rFonts w:ascii="Times New Roman" w:hAnsi="Times New Roman"/>
          <w:sz w:val="22"/>
          <w:szCs w:val="22"/>
        </w:rPr>
        <w:t>s</w:t>
      </w:r>
      <w:r w:rsidR="00DB40F0" w:rsidRPr="0097587C">
        <w:rPr>
          <w:rFonts w:ascii="Times New Roman" w:hAnsi="Times New Roman"/>
          <w:sz w:val="22"/>
          <w:szCs w:val="22"/>
        </w:rPr>
        <w:t>é</w:t>
      </w:r>
      <w:r w:rsidRPr="0097587C">
        <w:rPr>
          <w:rFonts w:ascii="Times New Roman" w:hAnsi="Times New Roman"/>
          <w:sz w:val="22"/>
          <w:szCs w:val="22"/>
        </w:rPr>
        <w:t>rotonínu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alebo doštičkové inhibítory ako je kyselina </w:t>
      </w:r>
      <w:proofErr w:type="spellStart"/>
      <w:r w:rsidRPr="0097587C">
        <w:rPr>
          <w:rFonts w:ascii="Times New Roman" w:hAnsi="Times New Roman"/>
          <w:sz w:val="22"/>
          <w:szCs w:val="22"/>
        </w:rPr>
        <w:t>acetylsalicylová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(pozri časť 4.5).</w:t>
      </w:r>
    </w:p>
    <w:p w14:paraId="11790181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sa u pacienta liečeného </w:t>
      </w:r>
      <w:proofErr w:type="spellStart"/>
      <w:r w:rsidRPr="0097587C">
        <w:rPr>
          <w:rFonts w:ascii="Times New Roman" w:hAnsi="Times New Roman"/>
          <w:sz w:val="22"/>
          <w:szCs w:val="22"/>
        </w:rPr>
        <w:t>Ibalginom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objaví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krvácanie alebo </w:t>
      </w:r>
      <w:proofErr w:type="spellStart"/>
      <w:r w:rsidRPr="0097587C">
        <w:rPr>
          <w:rFonts w:ascii="Times New Roman" w:hAnsi="Times New Roman"/>
          <w:sz w:val="22"/>
          <w:szCs w:val="22"/>
        </w:rPr>
        <w:t>ulcerácia</w:t>
      </w:r>
      <w:proofErr w:type="spellEnd"/>
      <w:r w:rsidRPr="0097587C">
        <w:rPr>
          <w:rFonts w:ascii="Times New Roman" w:hAnsi="Times New Roman"/>
          <w:sz w:val="22"/>
          <w:szCs w:val="22"/>
        </w:rPr>
        <w:t>, musí sa liek vysadiť.</w:t>
      </w:r>
    </w:p>
    <w:p w14:paraId="6A3B5AB2" w14:textId="77777777" w:rsidR="00924AF1" w:rsidRPr="0097587C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NSAID </w:t>
      </w:r>
      <w:r w:rsidR="003D1878" w:rsidRPr="0097587C">
        <w:rPr>
          <w:rFonts w:ascii="Times New Roman" w:hAnsi="Times New Roman"/>
          <w:sz w:val="22"/>
          <w:szCs w:val="22"/>
        </w:rPr>
        <w:t>sa majú</w:t>
      </w:r>
      <w:r w:rsidRPr="0097587C">
        <w:rPr>
          <w:rFonts w:ascii="Times New Roman" w:hAnsi="Times New Roman"/>
          <w:sz w:val="22"/>
          <w:szCs w:val="22"/>
        </w:rPr>
        <w:t xml:space="preserve"> podávať opatrne u pacientov s anamnézou </w:t>
      </w:r>
      <w:proofErr w:type="spellStart"/>
      <w:r w:rsidRPr="0097587C">
        <w:rPr>
          <w:rFonts w:ascii="Times New Roman" w:hAnsi="Times New Roman"/>
          <w:sz w:val="22"/>
          <w:szCs w:val="22"/>
        </w:rPr>
        <w:t>gastrointestinálneho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ochorenia (</w:t>
      </w:r>
      <w:proofErr w:type="spellStart"/>
      <w:r w:rsidRPr="0097587C">
        <w:rPr>
          <w:rFonts w:ascii="Times New Roman" w:hAnsi="Times New Roman"/>
          <w:sz w:val="22"/>
          <w:szCs w:val="22"/>
        </w:rPr>
        <w:t>ulcerózna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sz w:val="22"/>
          <w:szCs w:val="22"/>
        </w:rPr>
        <w:t>kolitída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587C">
        <w:rPr>
          <w:rFonts w:ascii="Times New Roman" w:hAnsi="Times New Roman"/>
          <w:sz w:val="22"/>
          <w:szCs w:val="22"/>
        </w:rPr>
        <w:t>Crohnova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choroba), pretože by mohlo dôjsť k </w:t>
      </w:r>
      <w:proofErr w:type="spellStart"/>
      <w:r w:rsidRPr="0097587C">
        <w:rPr>
          <w:rFonts w:ascii="Times New Roman" w:hAnsi="Times New Roman"/>
          <w:sz w:val="22"/>
          <w:szCs w:val="22"/>
        </w:rPr>
        <w:t>exacerbácii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týchto chorôb (pozri časť 4.8).</w:t>
      </w:r>
    </w:p>
    <w:p w14:paraId="02135EA5" w14:textId="77777777" w:rsidR="00924AF1" w:rsidRPr="0097587C" w:rsidRDefault="00924AF1" w:rsidP="0097587C">
      <w:pPr>
        <w:rPr>
          <w:bCs/>
          <w:sz w:val="22"/>
          <w:szCs w:val="22"/>
        </w:rPr>
      </w:pPr>
      <w:r w:rsidRPr="0097587C">
        <w:rPr>
          <w:sz w:val="22"/>
          <w:szCs w:val="22"/>
        </w:rPr>
        <w:t xml:space="preserve">Pred začatím liečby u pacientov s hypertenziou a/alebo zlyhávaním srdca je potrebná opatrnosť (konzultácia s lekárom alebo lekárnikom), pretože v súvislosti s liečbou NSAID boli hlásené </w:t>
      </w:r>
      <w:proofErr w:type="spellStart"/>
      <w:r w:rsidRPr="0097587C">
        <w:rPr>
          <w:sz w:val="22"/>
          <w:szCs w:val="22"/>
        </w:rPr>
        <w:t>retencia</w:t>
      </w:r>
      <w:proofErr w:type="spellEnd"/>
      <w:r w:rsidRPr="0097587C">
        <w:rPr>
          <w:sz w:val="22"/>
          <w:szCs w:val="22"/>
        </w:rPr>
        <w:t xml:space="preserve"> tekutín, hypertenzia a edémy.</w:t>
      </w:r>
    </w:p>
    <w:p w14:paraId="3C229CB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16E2B183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Zvýšená opatrnosť je potrebná pri srdcovej, </w:t>
      </w:r>
      <w:proofErr w:type="spellStart"/>
      <w:r w:rsidRPr="0097587C">
        <w:rPr>
          <w:sz w:val="22"/>
          <w:szCs w:val="22"/>
        </w:rPr>
        <w:t>renálnej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hepatálnej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insuficiencii</w:t>
      </w:r>
      <w:proofErr w:type="spellEnd"/>
      <w:r w:rsidRPr="0097587C">
        <w:rPr>
          <w:sz w:val="22"/>
          <w:szCs w:val="22"/>
        </w:rPr>
        <w:t xml:space="preserve">, u astmatikov, pri systémovom </w:t>
      </w:r>
      <w:proofErr w:type="spellStart"/>
      <w:r w:rsidRPr="0097587C">
        <w:rPr>
          <w:sz w:val="22"/>
          <w:szCs w:val="22"/>
        </w:rPr>
        <w:t>lupus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="003D1878" w:rsidRPr="0097587C">
        <w:rPr>
          <w:sz w:val="22"/>
          <w:szCs w:val="22"/>
        </w:rPr>
        <w:t>erytematosus</w:t>
      </w:r>
      <w:proofErr w:type="spellEnd"/>
      <w:r w:rsidR="003D1878" w:rsidRPr="0097587C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a iných ochoreniach spojivového tkaniva (riziko aseptickej </w:t>
      </w:r>
      <w:proofErr w:type="spellStart"/>
      <w:r w:rsidRPr="0097587C">
        <w:rPr>
          <w:sz w:val="22"/>
          <w:szCs w:val="22"/>
        </w:rPr>
        <w:t>meningitídy</w:t>
      </w:r>
      <w:proofErr w:type="spellEnd"/>
      <w:r w:rsidRPr="0097587C">
        <w:rPr>
          <w:sz w:val="22"/>
          <w:szCs w:val="22"/>
        </w:rPr>
        <w:t>).</w:t>
      </w:r>
    </w:p>
    <w:p w14:paraId="11C0AC55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27A00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U rizikových pacientov, </w:t>
      </w:r>
      <w:proofErr w:type="spellStart"/>
      <w:r w:rsidRPr="0097587C">
        <w:rPr>
          <w:sz w:val="22"/>
          <w:szCs w:val="22"/>
        </w:rPr>
        <w:t>t.j</w:t>
      </w:r>
      <w:proofErr w:type="spellEnd"/>
      <w:r w:rsidRPr="0097587C">
        <w:rPr>
          <w:sz w:val="22"/>
          <w:szCs w:val="22"/>
        </w:rPr>
        <w:t xml:space="preserve">. u pacientov s obmedzením funkcie srdca a obličiek, liečených diuretikami či pri dehydratácii akejkoľvek etiológie sa odporúča kontrola </w:t>
      </w:r>
      <w:proofErr w:type="spellStart"/>
      <w:r w:rsidRPr="0097587C">
        <w:rPr>
          <w:sz w:val="22"/>
          <w:szCs w:val="22"/>
        </w:rPr>
        <w:t>renálnych</w:t>
      </w:r>
      <w:proofErr w:type="spellEnd"/>
      <w:r w:rsidRPr="0097587C">
        <w:rPr>
          <w:sz w:val="22"/>
          <w:szCs w:val="22"/>
        </w:rPr>
        <w:t xml:space="preserve"> funkcií. Ak sa objavia poruchy </w:t>
      </w:r>
      <w:proofErr w:type="spellStart"/>
      <w:r w:rsidRPr="0097587C">
        <w:rPr>
          <w:sz w:val="22"/>
          <w:szCs w:val="22"/>
        </w:rPr>
        <w:t>vízusu</w:t>
      </w:r>
      <w:proofErr w:type="spellEnd"/>
      <w:r w:rsidRPr="0097587C">
        <w:rPr>
          <w:sz w:val="22"/>
          <w:szCs w:val="22"/>
        </w:rPr>
        <w:t xml:space="preserve">, nezreteľné videnie, </w:t>
      </w:r>
      <w:proofErr w:type="spellStart"/>
      <w:r w:rsidRPr="0097587C">
        <w:rPr>
          <w:sz w:val="22"/>
          <w:szCs w:val="22"/>
        </w:rPr>
        <w:t>skotómy</w:t>
      </w:r>
      <w:proofErr w:type="spellEnd"/>
      <w:r w:rsidRPr="0097587C">
        <w:rPr>
          <w:sz w:val="22"/>
          <w:szCs w:val="22"/>
        </w:rPr>
        <w:t xml:space="preserve"> alebo poruchy </w:t>
      </w:r>
      <w:proofErr w:type="spellStart"/>
      <w:r w:rsidRPr="0097587C">
        <w:rPr>
          <w:sz w:val="22"/>
          <w:szCs w:val="22"/>
        </w:rPr>
        <w:t>farbocitu</w:t>
      </w:r>
      <w:proofErr w:type="spellEnd"/>
      <w:r w:rsidRPr="0097587C">
        <w:rPr>
          <w:sz w:val="22"/>
          <w:szCs w:val="22"/>
        </w:rPr>
        <w:t xml:space="preserve">, treba liečbu prerušiť. Pri dlhodobej terapii je vhodná kontrola krvného obrazu a rutinné sledovanie pečeňových funkcií. </w:t>
      </w:r>
    </w:p>
    <w:p w14:paraId="4118043E" w14:textId="77777777" w:rsidR="003D1878" w:rsidRPr="0097587C" w:rsidRDefault="003D1878" w:rsidP="0097587C">
      <w:pPr>
        <w:widowControl w:val="0"/>
        <w:rPr>
          <w:sz w:val="22"/>
          <w:szCs w:val="22"/>
        </w:rPr>
      </w:pPr>
    </w:p>
    <w:p w14:paraId="516799B6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Pri zhoršení pečeňových funkcií v súvislosti s podávaním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je vhodné terapiu vysadiť, potom sa zvyčajne stav normalizuje. U pacientov užívajúcich </w:t>
      </w:r>
      <w:proofErr w:type="spellStart"/>
      <w:r w:rsidRPr="0097587C">
        <w:rPr>
          <w:sz w:val="22"/>
          <w:szCs w:val="22"/>
        </w:rPr>
        <w:t>kumarínové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antikoagulanciá</w:t>
      </w:r>
      <w:proofErr w:type="spellEnd"/>
      <w:r w:rsidRPr="0097587C">
        <w:rPr>
          <w:sz w:val="22"/>
          <w:szCs w:val="22"/>
        </w:rPr>
        <w:t xml:space="preserve"> je vhodná častejšia kontrola </w:t>
      </w:r>
      <w:proofErr w:type="spellStart"/>
      <w:r w:rsidRPr="0097587C">
        <w:rPr>
          <w:sz w:val="22"/>
          <w:szCs w:val="22"/>
        </w:rPr>
        <w:t>hemokoagulačných</w:t>
      </w:r>
      <w:proofErr w:type="spellEnd"/>
      <w:r w:rsidRPr="0097587C">
        <w:rPr>
          <w:sz w:val="22"/>
          <w:szCs w:val="22"/>
        </w:rPr>
        <w:t xml:space="preserve"> parametrov. Takisto je vhodná občasná kontrola glykémie. </w:t>
      </w:r>
    </w:p>
    <w:p w14:paraId="0E80B722" w14:textId="77777777" w:rsidR="003D1878" w:rsidRPr="0097587C" w:rsidRDefault="003D1878" w:rsidP="0097587C">
      <w:pPr>
        <w:rPr>
          <w:bCs/>
          <w:sz w:val="22"/>
          <w:szCs w:val="22"/>
          <w:u w:val="single"/>
        </w:rPr>
      </w:pPr>
    </w:p>
    <w:p w14:paraId="7AFE48EC" w14:textId="77777777" w:rsidR="00924AF1" w:rsidRPr="0097587C" w:rsidRDefault="00924AF1" w:rsidP="0097587C">
      <w:pPr>
        <w:rPr>
          <w:bCs/>
          <w:sz w:val="22"/>
          <w:szCs w:val="22"/>
          <w:u w:val="single"/>
        </w:rPr>
      </w:pPr>
      <w:r w:rsidRPr="0097587C">
        <w:rPr>
          <w:bCs/>
          <w:sz w:val="22"/>
          <w:szCs w:val="22"/>
          <w:u w:val="single"/>
        </w:rPr>
        <w:t xml:space="preserve">Kardiovaskulárne a </w:t>
      </w:r>
      <w:proofErr w:type="spellStart"/>
      <w:r w:rsidRPr="0097587C">
        <w:rPr>
          <w:bCs/>
          <w:sz w:val="22"/>
          <w:szCs w:val="22"/>
          <w:u w:val="single"/>
        </w:rPr>
        <w:t>cerebrovaskulárne</w:t>
      </w:r>
      <w:proofErr w:type="spellEnd"/>
      <w:r w:rsidRPr="0097587C">
        <w:rPr>
          <w:bCs/>
          <w:sz w:val="22"/>
          <w:szCs w:val="22"/>
          <w:u w:val="single"/>
        </w:rPr>
        <w:t xml:space="preserve"> účinky</w:t>
      </w:r>
    </w:p>
    <w:p w14:paraId="08408112" w14:textId="77777777" w:rsidR="00566A67" w:rsidRPr="0097587C" w:rsidRDefault="00566A67" w:rsidP="0097587C">
      <w:pPr>
        <w:rPr>
          <w:sz w:val="22"/>
          <w:szCs w:val="22"/>
        </w:rPr>
      </w:pPr>
      <w:r w:rsidRPr="0097587C">
        <w:rPr>
          <w:sz w:val="22"/>
          <w:szCs w:val="22"/>
        </w:rPr>
        <w:t xml:space="preserve">Klinické štúdie naznačili, že používanie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>, najmä vo vysokých dávkach (2 400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>) môže byť spojené s malým zvýšen</w:t>
      </w:r>
      <w:r w:rsidR="00DB40F0" w:rsidRPr="0097587C">
        <w:rPr>
          <w:sz w:val="22"/>
          <w:szCs w:val="22"/>
        </w:rPr>
        <w:t>ý</w:t>
      </w:r>
      <w:r w:rsidRPr="0097587C">
        <w:rPr>
          <w:sz w:val="22"/>
          <w:szCs w:val="22"/>
        </w:rPr>
        <w:t>m rizik</w:t>
      </w:r>
      <w:r w:rsidR="00DB40F0" w:rsidRPr="0097587C">
        <w:rPr>
          <w:sz w:val="22"/>
          <w:szCs w:val="22"/>
        </w:rPr>
        <w:t>om</w:t>
      </w:r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1B2E10">
        <w:rPr>
          <w:sz w:val="22"/>
          <w:szCs w:val="22"/>
        </w:rPr>
        <w:t>ibuprofén</w:t>
      </w:r>
      <w:r w:rsidR="000B1033" w:rsidRPr="0097587C">
        <w:rPr>
          <w:sz w:val="22"/>
          <w:szCs w:val="22"/>
        </w:rPr>
        <w:t>u</w:t>
      </w:r>
      <w:proofErr w:type="spellEnd"/>
      <w:r w:rsidR="000B1033" w:rsidRPr="0097587C">
        <w:rPr>
          <w:sz w:val="22"/>
          <w:szCs w:val="22"/>
        </w:rPr>
        <w:t xml:space="preserve"> (napr. </w:t>
      </w:r>
      <w:r w:rsidRPr="0097587C">
        <w:rPr>
          <w:sz w:val="22"/>
          <w:szCs w:val="22"/>
        </w:rPr>
        <w:t>1 200 mg</w:t>
      </w:r>
      <w:r w:rsidR="007B7F9D" w:rsidRPr="0097587C">
        <w:rPr>
          <w:sz w:val="22"/>
          <w:szCs w:val="22"/>
        </w:rPr>
        <w:t>/</w:t>
      </w:r>
      <w:r w:rsidRPr="0097587C">
        <w:rPr>
          <w:sz w:val="22"/>
          <w:szCs w:val="22"/>
        </w:rPr>
        <w:t>de</w:t>
      </w:r>
      <w:r w:rsidR="007B7F9D" w:rsidRPr="0097587C">
        <w:rPr>
          <w:sz w:val="22"/>
          <w:szCs w:val="22"/>
        </w:rPr>
        <w:t>ň</w:t>
      </w:r>
      <w:r w:rsidRPr="0097587C">
        <w:rPr>
          <w:sz w:val="22"/>
          <w:szCs w:val="22"/>
        </w:rPr>
        <w:t xml:space="preserve">) boli spojené so zvýšeným rizikom </w:t>
      </w:r>
      <w:proofErr w:type="spellStart"/>
      <w:r w:rsidRPr="0097587C">
        <w:rPr>
          <w:sz w:val="22"/>
          <w:szCs w:val="22"/>
        </w:rPr>
        <w:t>arteriálnych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trombotických</w:t>
      </w:r>
      <w:proofErr w:type="spellEnd"/>
      <w:r w:rsidRPr="0097587C">
        <w:rPr>
          <w:sz w:val="22"/>
          <w:szCs w:val="22"/>
        </w:rPr>
        <w:t xml:space="preserve"> udalostí.</w:t>
      </w:r>
    </w:p>
    <w:p w14:paraId="2DA4426B" w14:textId="77777777" w:rsidR="00DB40F0" w:rsidRPr="0097587C" w:rsidRDefault="00DB40F0" w:rsidP="0097587C">
      <w:pPr>
        <w:rPr>
          <w:bCs/>
          <w:sz w:val="22"/>
          <w:szCs w:val="22"/>
        </w:rPr>
      </w:pPr>
    </w:p>
    <w:p w14:paraId="1194C32A" w14:textId="77777777" w:rsidR="00566A67" w:rsidRPr="00F60143" w:rsidRDefault="00566A67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Pacienti s nekontrolovanou hypertenziou, 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kongestívnym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zlyhaním srdca (triedy II – III NYHA), diagnostikovaným ischemickým ochorením srdca, ochorením periférnych artérií a </w:t>
      </w:r>
      <w:proofErr w:type="spellStart"/>
      <w:r w:rsidRPr="007C2E6D">
        <w:rPr>
          <w:rFonts w:ascii="Times New Roman" w:hAnsi="Times New Roman" w:cs="Times New Roman"/>
          <w:sz w:val="22"/>
          <w:szCs w:val="22"/>
          <w:lang w:val="sk-SK"/>
        </w:rPr>
        <w:t>cerebrovaskulárnym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ochorením majú byť liečení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7C2E6D">
        <w:rPr>
          <w:rFonts w:ascii="Times New Roman" w:hAnsi="Times New Roman" w:cs="Times New Roman"/>
          <w:sz w:val="22"/>
          <w:szCs w:val="22"/>
          <w:lang w:val="sk-SK"/>
        </w:rPr>
        <w:t xml:space="preserve"> len po dôkladnom zvážení a nemajú sa používať vysoké dávky (2 400 mg</w:t>
      </w:r>
      <w:r w:rsidR="007B7F9D" w:rsidRPr="007C2E6D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7C2E6D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F60143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F60143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</w:p>
    <w:p w14:paraId="130FCFE4" w14:textId="77777777" w:rsidR="00DB40F0" w:rsidRPr="00765F63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60A7290E" w14:textId="77777777" w:rsidR="003D1878" w:rsidRPr="00EA3312" w:rsidRDefault="00566A67" w:rsidP="007C2E6D">
      <w:pPr>
        <w:pStyle w:val="Zkladntext"/>
        <w:rPr>
          <w:rFonts w:ascii="Times New Roman" w:hAnsi="Times New Roman"/>
          <w:sz w:val="22"/>
          <w:szCs w:val="22"/>
        </w:rPr>
      </w:pPr>
      <w:r w:rsidRPr="00126DDD">
        <w:rPr>
          <w:rFonts w:ascii="Times New Roman" w:hAnsi="Times New Roman"/>
          <w:sz w:val="22"/>
          <w:szCs w:val="22"/>
        </w:rPr>
        <w:t xml:space="preserve">Pred začatím dlhodobej liečby pacientov s rizikovými faktormi pre vznik kardiovaskulárnych udalostí (napr. hypertenzia, </w:t>
      </w:r>
      <w:proofErr w:type="spellStart"/>
      <w:r w:rsidRPr="00126DDD">
        <w:rPr>
          <w:rFonts w:ascii="Times New Roman" w:hAnsi="Times New Roman"/>
          <w:sz w:val="22"/>
          <w:szCs w:val="22"/>
        </w:rPr>
        <w:t>hyperlipidémia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, diabetes mellitus, fajčenie) je potrebné dôsledné zváženie, najmä v prípade, že sú potrebné vysoké dávky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r w:rsidRPr="00126DDD">
        <w:rPr>
          <w:rFonts w:ascii="Times New Roman" w:hAnsi="Times New Roman"/>
          <w:sz w:val="22"/>
          <w:szCs w:val="22"/>
        </w:rPr>
        <w:t>u</w:t>
      </w:r>
      <w:proofErr w:type="spellEnd"/>
      <w:r w:rsidRPr="00126DDD">
        <w:rPr>
          <w:rFonts w:ascii="Times New Roman" w:hAnsi="Times New Roman"/>
          <w:sz w:val="22"/>
          <w:szCs w:val="22"/>
        </w:rPr>
        <w:t xml:space="preserve"> (2 400 mg</w:t>
      </w:r>
      <w:r w:rsidR="007B7F9D" w:rsidRPr="00126DDD">
        <w:rPr>
          <w:rFonts w:ascii="Times New Roman" w:hAnsi="Times New Roman"/>
          <w:sz w:val="22"/>
          <w:szCs w:val="22"/>
        </w:rPr>
        <w:t>/</w:t>
      </w:r>
      <w:r w:rsidRPr="00126DDD">
        <w:rPr>
          <w:rFonts w:ascii="Times New Roman" w:hAnsi="Times New Roman"/>
          <w:sz w:val="22"/>
          <w:szCs w:val="22"/>
        </w:rPr>
        <w:t>de</w:t>
      </w:r>
      <w:r w:rsidR="007B7F9D" w:rsidRPr="00B0634D">
        <w:rPr>
          <w:rFonts w:ascii="Times New Roman" w:hAnsi="Times New Roman"/>
          <w:sz w:val="22"/>
          <w:szCs w:val="22"/>
        </w:rPr>
        <w:t>ň</w:t>
      </w:r>
      <w:r w:rsidRPr="00B0634D">
        <w:rPr>
          <w:rFonts w:ascii="Times New Roman" w:hAnsi="Times New Roman"/>
          <w:sz w:val="22"/>
          <w:szCs w:val="22"/>
        </w:rPr>
        <w:t>).</w:t>
      </w:r>
    </w:p>
    <w:p w14:paraId="07DEE604" w14:textId="77777777" w:rsidR="00566A67" w:rsidRPr="002D3EDE" w:rsidRDefault="00566A67" w:rsidP="00765F63">
      <w:pPr>
        <w:pStyle w:val="Zkladntext"/>
        <w:rPr>
          <w:rFonts w:ascii="Times New Roman" w:hAnsi="Times New Roman"/>
          <w:sz w:val="22"/>
          <w:szCs w:val="22"/>
        </w:rPr>
      </w:pPr>
    </w:p>
    <w:p w14:paraId="0D2AD876" w14:textId="77777777" w:rsidR="00924AF1" w:rsidRPr="00293D32" w:rsidRDefault="00924AF1" w:rsidP="00765F63">
      <w:pPr>
        <w:pStyle w:val="Zkladntext"/>
        <w:rPr>
          <w:rFonts w:ascii="Times New Roman" w:hAnsi="Times New Roman"/>
          <w:sz w:val="22"/>
          <w:szCs w:val="22"/>
        </w:rPr>
      </w:pPr>
      <w:r w:rsidRPr="00F3370B">
        <w:rPr>
          <w:rFonts w:ascii="Times New Roman" w:hAnsi="Times New Roman"/>
          <w:sz w:val="22"/>
          <w:szCs w:val="22"/>
        </w:rPr>
        <w:t>V súvislosti s liečbou NSAID bol</w:t>
      </w:r>
      <w:r w:rsidRPr="00293D32">
        <w:rPr>
          <w:rFonts w:ascii="Times New Roman" w:hAnsi="Times New Roman"/>
          <w:sz w:val="22"/>
          <w:szCs w:val="22"/>
        </w:rPr>
        <w:t xml:space="preserve">i veľmi zriedkavo hlásené závažné kožné reakcie, niektoré z nich smrteľné, vrátane </w:t>
      </w:r>
      <w:proofErr w:type="spellStart"/>
      <w:r w:rsidRPr="00293D32">
        <w:rPr>
          <w:rFonts w:ascii="Times New Roman" w:hAnsi="Times New Roman"/>
          <w:sz w:val="22"/>
          <w:szCs w:val="22"/>
        </w:rPr>
        <w:t>exfoliatívnej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dermatitídy, </w:t>
      </w:r>
      <w:proofErr w:type="spellStart"/>
      <w:r w:rsidRPr="00293D32">
        <w:rPr>
          <w:rFonts w:ascii="Times New Roman" w:hAnsi="Times New Roman"/>
          <w:sz w:val="22"/>
          <w:szCs w:val="22"/>
        </w:rPr>
        <w:t>Stevens</w:t>
      </w:r>
      <w:r w:rsidR="003D1878" w:rsidRPr="00293D32">
        <w:rPr>
          <w:rFonts w:ascii="Times New Roman" w:hAnsi="Times New Roman"/>
          <w:sz w:val="22"/>
          <w:szCs w:val="22"/>
        </w:rPr>
        <w:t>ovho</w:t>
      </w:r>
      <w:r w:rsidRPr="00293D32">
        <w:rPr>
          <w:rFonts w:ascii="Times New Roman" w:hAnsi="Times New Roman"/>
          <w:sz w:val="22"/>
          <w:szCs w:val="22"/>
        </w:rPr>
        <w:t>-Johnsonovho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syndrómu a toxickej </w:t>
      </w:r>
      <w:proofErr w:type="spellStart"/>
      <w:r w:rsidRPr="00293D32">
        <w:rPr>
          <w:rFonts w:ascii="Times New Roman" w:hAnsi="Times New Roman"/>
          <w:sz w:val="22"/>
          <w:szCs w:val="22"/>
        </w:rPr>
        <w:lastRenderedPageBreak/>
        <w:t>epidermálnej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3D32">
        <w:rPr>
          <w:rFonts w:ascii="Times New Roman" w:hAnsi="Times New Roman"/>
          <w:sz w:val="22"/>
          <w:szCs w:val="22"/>
        </w:rPr>
        <w:t>nekrolýzy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. Zdá sa, že najvyššie riziko vzniku týchto reakcií je na začiatku liečby, väčšina z nich sa objavila počas prvého mesiaca liečby. </w:t>
      </w:r>
      <w:proofErr w:type="spellStart"/>
      <w:r w:rsidRPr="00293D32">
        <w:rPr>
          <w:rFonts w:ascii="Times New Roman" w:hAnsi="Times New Roman"/>
          <w:sz w:val="22"/>
          <w:szCs w:val="22"/>
        </w:rPr>
        <w:t>Ibalgin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</w:t>
      </w:r>
      <w:r w:rsidR="00A73678" w:rsidRPr="00293D32">
        <w:rPr>
          <w:rFonts w:ascii="Times New Roman" w:hAnsi="Times New Roman"/>
          <w:sz w:val="22"/>
          <w:szCs w:val="22"/>
        </w:rPr>
        <w:t xml:space="preserve">má </w:t>
      </w:r>
      <w:r w:rsidRPr="00293D32">
        <w:rPr>
          <w:rFonts w:ascii="Times New Roman" w:hAnsi="Times New Roman"/>
          <w:sz w:val="22"/>
          <w:szCs w:val="22"/>
        </w:rPr>
        <w:t xml:space="preserve">byť vysadený pri prvom objavení vyrážky, </w:t>
      </w:r>
      <w:proofErr w:type="spellStart"/>
      <w:r w:rsidRPr="00293D32">
        <w:rPr>
          <w:rFonts w:ascii="Times New Roman" w:hAnsi="Times New Roman"/>
          <w:sz w:val="22"/>
          <w:szCs w:val="22"/>
        </w:rPr>
        <w:t>mukóznych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lézií a/alebo iných znakov precitlivenosti.</w:t>
      </w:r>
    </w:p>
    <w:p w14:paraId="3FBED267" w14:textId="77777777" w:rsidR="003E14D0" w:rsidRPr="00293D32" w:rsidRDefault="003E14D0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169A815A" w14:textId="77777777" w:rsidR="00924AF1" w:rsidRPr="0097587C" w:rsidRDefault="00924AF1" w:rsidP="00126DDD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Počas liečby nie je vhodné pitie alkoholických nápojov a fajčenie.</w:t>
      </w:r>
    </w:p>
    <w:p w14:paraId="40611B8F" w14:textId="77777777" w:rsidR="00A932E4" w:rsidRPr="0097587C" w:rsidRDefault="00A932E4" w:rsidP="00B0634D">
      <w:pPr>
        <w:widowControl w:val="0"/>
        <w:rPr>
          <w:sz w:val="22"/>
          <w:szCs w:val="22"/>
        </w:rPr>
      </w:pPr>
    </w:p>
    <w:p w14:paraId="686B09D3" w14:textId="77777777" w:rsidR="00A932E4" w:rsidRPr="0097587C" w:rsidRDefault="00A932E4" w:rsidP="00390045">
      <w:pPr>
        <w:keepNext/>
        <w:rPr>
          <w:sz w:val="22"/>
          <w:szCs w:val="22"/>
          <w:u w:val="single"/>
        </w:rPr>
      </w:pPr>
      <w:r w:rsidRPr="0097587C">
        <w:rPr>
          <w:sz w:val="22"/>
          <w:szCs w:val="22"/>
          <w:u w:val="single"/>
        </w:rPr>
        <w:t>Pediatrická populácia</w:t>
      </w:r>
    </w:p>
    <w:p w14:paraId="6D64CB6D" w14:textId="77777777" w:rsidR="00A932E4" w:rsidRDefault="00A932E4" w:rsidP="00390045">
      <w:pPr>
        <w:keepNext/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Existuje riziko poškodenia obličiek u dehydratovaných detí a dospievajúcich.</w:t>
      </w:r>
    </w:p>
    <w:p w14:paraId="4EDD0464" w14:textId="77777777" w:rsidR="0099327B" w:rsidRPr="009109D6" w:rsidRDefault="0099327B" w:rsidP="009109D6">
      <w:pPr>
        <w:keepNext/>
        <w:widowControl w:val="0"/>
        <w:rPr>
          <w:sz w:val="22"/>
        </w:rPr>
      </w:pPr>
    </w:p>
    <w:p w14:paraId="0FFE4A78" w14:textId="53C20E7F" w:rsidR="0099327B" w:rsidRPr="00815717" w:rsidRDefault="0099327B" w:rsidP="0099327B">
      <w:pPr>
        <w:rPr>
          <w:sz w:val="22"/>
          <w:szCs w:val="22"/>
        </w:rPr>
      </w:pPr>
      <w:r w:rsidRPr="00815717">
        <w:rPr>
          <w:sz w:val="22"/>
          <w:szCs w:val="22"/>
        </w:rPr>
        <w:t xml:space="preserve">Pacienti so zriedkavými dedičnými problémami </w:t>
      </w:r>
      <w:proofErr w:type="spellStart"/>
      <w:r w:rsidRPr="00815717">
        <w:rPr>
          <w:sz w:val="22"/>
          <w:szCs w:val="22"/>
        </w:rPr>
        <w:t>galaktózovej</w:t>
      </w:r>
      <w:proofErr w:type="spellEnd"/>
      <w:r w:rsidRPr="00815717">
        <w:rPr>
          <w:sz w:val="22"/>
          <w:szCs w:val="22"/>
        </w:rPr>
        <w:t xml:space="preserve"> intolerancie, </w:t>
      </w:r>
      <w:r w:rsidR="00A70263">
        <w:rPr>
          <w:sz w:val="22"/>
          <w:szCs w:val="22"/>
        </w:rPr>
        <w:t>celkovým</w:t>
      </w:r>
      <w:r w:rsidRPr="00815717">
        <w:rPr>
          <w:sz w:val="22"/>
          <w:szCs w:val="22"/>
        </w:rPr>
        <w:t xml:space="preserve"> deficit</w:t>
      </w:r>
      <w:r w:rsidR="00A70263">
        <w:rPr>
          <w:sz w:val="22"/>
          <w:szCs w:val="22"/>
        </w:rPr>
        <w:t>om</w:t>
      </w:r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laktázy</w:t>
      </w:r>
      <w:proofErr w:type="spellEnd"/>
      <w:r w:rsidRPr="00815717">
        <w:rPr>
          <w:sz w:val="22"/>
          <w:szCs w:val="22"/>
        </w:rPr>
        <w:t xml:space="preserve"> alebo </w:t>
      </w:r>
      <w:proofErr w:type="spellStart"/>
      <w:r w:rsidRPr="00815717">
        <w:rPr>
          <w:sz w:val="22"/>
          <w:szCs w:val="22"/>
        </w:rPr>
        <w:t>glukózo-galaktózov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</w:t>
      </w:r>
      <w:proofErr w:type="spellStart"/>
      <w:r w:rsidRPr="00815717">
        <w:rPr>
          <w:sz w:val="22"/>
          <w:szCs w:val="22"/>
        </w:rPr>
        <w:t>malabsorpci</w:t>
      </w:r>
      <w:r w:rsidR="00A70263">
        <w:rPr>
          <w:sz w:val="22"/>
          <w:szCs w:val="22"/>
        </w:rPr>
        <w:t>ou</w:t>
      </w:r>
      <w:proofErr w:type="spellEnd"/>
      <w:r w:rsidRPr="00815717">
        <w:rPr>
          <w:sz w:val="22"/>
          <w:szCs w:val="22"/>
        </w:rPr>
        <w:t xml:space="preserve"> nesmú užívať tento liek.</w:t>
      </w:r>
    </w:p>
    <w:p w14:paraId="297BA4C7" w14:textId="77777777" w:rsidR="0099327B" w:rsidRDefault="0099327B" w:rsidP="0099327B">
      <w:pPr>
        <w:rPr>
          <w:szCs w:val="22"/>
        </w:rPr>
      </w:pPr>
    </w:p>
    <w:p w14:paraId="076D2F34" w14:textId="77777777" w:rsidR="00924AF1" w:rsidRPr="007C2E6D" w:rsidRDefault="00924AF1" w:rsidP="00F3370B">
      <w:pPr>
        <w:widowControl w:val="0"/>
        <w:rPr>
          <w:b/>
          <w:sz w:val="22"/>
          <w:szCs w:val="22"/>
        </w:rPr>
      </w:pPr>
    </w:p>
    <w:p w14:paraId="02B88741" w14:textId="77777777" w:rsidR="00924AF1" w:rsidRPr="007C2E6D" w:rsidRDefault="00924AF1" w:rsidP="00293D32">
      <w:pPr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4.5</w:t>
      </w:r>
      <w:r w:rsidR="003D18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Liekové a iné interakcie</w:t>
      </w:r>
    </w:p>
    <w:p w14:paraId="7C298647" w14:textId="77777777" w:rsidR="003D1878" w:rsidRPr="00765F63" w:rsidRDefault="003D1878" w:rsidP="00293D32">
      <w:pPr>
        <w:widowControl w:val="0"/>
        <w:rPr>
          <w:sz w:val="22"/>
          <w:szCs w:val="22"/>
        </w:rPr>
      </w:pPr>
    </w:p>
    <w:p w14:paraId="60113E71" w14:textId="77777777" w:rsidR="006516BC" w:rsidRPr="0097587C" w:rsidRDefault="00924AF1" w:rsidP="00293D32">
      <w:pPr>
        <w:widowControl w:val="0"/>
        <w:rPr>
          <w:sz w:val="22"/>
          <w:szCs w:val="22"/>
        </w:rPr>
      </w:pPr>
      <w:r w:rsidRPr="00765F63">
        <w:rPr>
          <w:sz w:val="22"/>
          <w:szCs w:val="22"/>
        </w:rPr>
        <w:t>Pri sú</w:t>
      </w:r>
      <w:r w:rsidR="00DB40F0" w:rsidRPr="00765F63">
        <w:rPr>
          <w:sz w:val="22"/>
          <w:szCs w:val="22"/>
        </w:rPr>
        <w:t>bežnom</w:t>
      </w:r>
      <w:r w:rsidRPr="00126DDD">
        <w:rPr>
          <w:sz w:val="22"/>
          <w:szCs w:val="22"/>
        </w:rPr>
        <w:t xml:space="preserve"> podávaní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(najmä vo vysokých dávkach) s</w:t>
      </w:r>
      <w:r w:rsidR="005F1F4E" w:rsidRPr="00B0634D">
        <w:rPr>
          <w:sz w:val="22"/>
          <w:szCs w:val="22"/>
        </w:rPr>
        <w:t> </w:t>
      </w:r>
      <w:proofErr w:type="spellStart"/>
      <w:r w:rsidRPr="00B0634D">
        <w:rPr>
          <w:sz w:val="22"/>
          <w:szCs w:val="22"/>
        </w:rPr>
        <w:t>antikoagulanciami</w:t>
      </w:r>
      <w:proofErr w:type="spellEnd"/>
      <w:r w:rsidR="005F1F4E" w:rsidRPr="00EA3312">
        <w:rPr>
          <w:sz w:val="22"/>
          <w:szCs w:val="22"/>
        </w:rPr>
        <w:t>,</w:t>
      </w:r>
      <w:r w:rsidRPr="00EA3312">
        <w:rPr>
          <w:sz w:val="22"/>
          <w:szCs w:val="22"/>
        </w:rPr>
        <w:t xml:space="preserve"> ako je </w:t>
      </w:r>
      <w:proofErr w:type="spellStart"/>
      <w:r w:rsidRPr="00EA3312">
        <w:rPr>
          <w:sz w:val="22"/>
          <w:szCs w:val="22"/>
        </w:rPr>
        <w:t>warfarín</w:t>
      </w:r>
      <w:proofErr w:type="spellEnd"/>
      <w:r w:rsidRPr="00EA3312">
        <w:rPr>
          <w:sz w:val="22"/>
          <w:szCs w:val="22"/>
        </w:rPr>
        <w:t xml:space="preserve"> </w:t>
      </w:r>
      <w:r w:rsidRPr="00F3370B">
        <w:rPr>
          <w:sz w:val="22"/>
          <w:szCs w:val="22"/>
        </w:rPr>
        <w:t xml:space="preserve">dochádza k predĺženiu </w:t>
      </w:r>
      <w:proofErr w:type="spellStart"/>
      <w:r w:rsidRPr="00F3370B">
        <w:rPr>
          <w:sz w:val="22"/>
          <w:szCs w:val="22"/>
        </w:rPr>
        <w:t>protrombínového</w:t>
      </w:r>
      <w:proofErr w:type="spellEnd"/>
      <w:r w:rsidRPr="00F3370B">
        <w:rPr>
          <w:sz w:val="22"/>
          <w:szCs w:val="22"/>
        </w:rPr>
        <w:t xml:space="preserve"> času a zvýšenému riziku krvácania. </w:t>
      </w:r>
      <w:proofErr w:type="spellStart"/>
      <w:r w:rsidRPr="00F3370B">
        <w:rPr>
          <w:sz w:val="22"/>
          <w:szCs w:val="22"/>
        </w:rPr>
        <w:t>Fenobarbital</w:t>
      </w:r>
      <w:proofErr w:type="spellEnd"/>
      <w:r w:rsidRPr="00F3370B">
        <w:rPr>
          <w:sz w:val="22"/>
          <w:szCs w:val="22"/>
        </w:rPr>
        <w:t xml:space="preserve"> zrýchľuje </w:t>
      </w:r>
      <w:proofErr w:type="spellStart"/>
      <w:r w:rsidRPr="00F3370B">
        <w:rPr>
          <w:sz w:val="22"/>
          <w:szCs w:val="22"/>
        </w:rPr>
        <w:t>metabolizáciu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;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zvyšuje plazmatické hladiny lítia, </w:t>
      </w:r>
      <w:proofErr w:type="spellStart"/>
      <w:r w:rsidRPr="00293D32">
        <w:rPr>
          <w:sz w:val="22"/>
          <w:szCs w:val="22"/>
        </w:rPr>
        <w:t>digoxínu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fenytoínu</w:t>
      </w:r>
      <w:proofErr w:type="spellEnd"/>
      <w:r w:rsidRPr="00293D32">
        <w:rPr>
          <w:sz w:val="22"/>
          <w:szCs w:val="22"/>
        </w:rPr>
        <w:t xml:space="preserve">, zvyšuje toxicitu </w:t>
      </w:r>
      <w:proofErr w:type="spellStart"/>
      <w:r w:rsidRPr="00293D32">
        <w:rPr>
          <w:sz w:val="22"/>
          <w:szCs w:val="22"/>
        </w:rPr>
        <w:t>metotrexátu</w:t>
      </w:r>
      <w:proofErr w:type="spellEnd"/>
      <w:r w:rsidRPr="00293D32">
        <w:rPr>
          <w:sz w:val="22"/>
          <w:szCs w:val="22"/>
        </w:rPr>
        <w:t xml:space="preserve"> a </w:t>
      </w:r>
      <w:proofErr w:type="spellStart"/>
      <w:r w:rsidRPr="00293D32">
        <w:rPr>
          <w:sz w:val="22"/>
          <w:szCs w:val="22"/>
        </w:rPr>
        <w:t>baklofénu</w:t>
      </w:r>
      <w:proofErr w:type="spellEnd"/>
      <w:r w:rsidRPr="00293D32">
        <w:rPr>
          <w:sz w:val="22"/>
          <w:szCs w:val="22"/>
        </w:rPr>
        <w:t>. Sú</w:t>
      </w:r>
      <w:r w:rsidR="00DB40F0" w:rsidRPr="00293D32">
        <w:rPr>
          <w:sz w:val="22"/>
          <w:szCs w:val="22"/>
        </w:rPr>
        <w:t>bežné</w:t>
      </w:r>
      <w:r w:rsidRPr="00293D32">
        <w:rPr>
          <w:sz w:val="22"/>
          <w:szCs w:val="22"/>
        </w:rPr>
        <w:t xml:space="preserve"> podanie </w:t>
      </w:r>
      <w:proofErr w:type="spellStart"/>
      <w:r w:rsidRPr="00293D32">
        <w:rPr>
          <w:sz w:val="22"/>
          <w:szCs w:val="22"/>
        </w:rPr>
        <w:t>kortikoidov</w:t>
      </w:r>
      <w:proofErr w:type="spellEnd"/>
      <w:r w:rsidRPr="00293D32">
        <w:rPr>
          <w:sz w:val="22"/>
          <w:szCs w:val="22"/>
        </w:rPr>
        <w:t xml:space="preserve"> alebo ďalších </w:t>
      </w:r>
      <w:proofErr w:type="spellStart"/>
      <w:r w:rsidRPr="00293D32">
        <w:rPr>
          <w:sz w:val="22"/>
          <w:szCs w:val="22"/>
        </w:rPr>
        <w:t>nesteroidných</w:t>
      </w:r>
      <w:proofErr w:type="spellEnd"/>
      <w:r w:rsidRPr="00293D32">
        <w:rPr>
          <w:sz w:val="22"/>
          <w:szCs w:val="22"/>
        </w:rPr>
        <w:t xml:space="preserve"> </w:t>
      </w:r>
      <w:proofErr w:type="spellStart"/>
      <w:r w:rsidRPr="00293D32">
        <w:rPr>
          <w:sz w:val="22"/>
          <w:szCs w:val="22"/>
        </w:rPr>
        <w:t>antireumatík</w:t>
      </w:r>
      <w:proofErr w:type="spellEnd"/>
      <w:r w:rsidRPr="00293D32">
        <w:rPr>
          <w:sz w:val="22"/>
          <w:szCs w:val="22"/>
        </w:rPr>
        <w:t xml:space="preserve"> zvyšuje riziko krvácania do GIT a riziko vzniku vredovej choroby, </w:t>
      </w:r>
      <w:proofErr w:type="spellStart"/>
      <w:r w:rsidRPr="00293D32">
        <w:rPr>
          <w:sz w:val="22"/>
          <w:szCs w:val="22"/>
        </w:rPr>
        <w:t>antiagregačné</w:t>
      </w:r>
      <w:proofErr w:type="spellEnd"/>
      <w:r w:rsidRPr="00293D32">
        <w:rPr>
          <w:sz w:val="22"/>
          <w:szCs w:val="22"/>
        </w:rPr>
        <w:t xml:space="preserve"> lieky a</w:t>
      </w:r>
      <w:r w:rsidR="00DB40F0" w:rsidRPr="00293D32">
        <w:rPr>
          <w:sz w:val="22"/>
          <w:szCs w:val="22"/>
        </w:rPr>
        <w:t> </w:t>
      </w:r>
      <w:r w:rsidRPr="00293D32">
        <w:rPr>
          <w:sz w:val="22"/>
          <w:szCs w:val="22"/>
        </w:rPr>
        <w:t xml:space="preserve">SSRI (inhibítory spätného vychytávania </w:t>
      </w:r>
      <w:proofErr w:type="spellStart"/>
      <w:r w:rsidRPr="00293D32">
        <w:rPr>
          <w:sz w:val="22"/>
          <w:szCs w:val="22"/>
        </w:rPr>
        <w:t>s</w:t>
      </w:r>
      <w:r w:rsidR="00DB40F0" w:rsidRPr="00293D32">
        <w:rPr>
          <w:sz w:val="22"/>
          <w:szCs w:val="22"/>
        </w:rPr>
        <w:t>é</w:t>
      </w:r>
      <w:r w:rsidRPr="00293D32">
        <w:rPr>
          <w:sz w:val="22"/>
          <w:szCs w:val="22"/>
        </w:rPr>
        <w:t>rotonínu</w:t>
      </w:r>
      <w:proofErr w:type="spellEnd"/>
      <w:r w:rsidRPr="00293D32">
        <w:rPr>
          <w:sz w:val="22"/>
          <w:szCs w:val="22"/>
        </w:rPr>
        <w:t xml:space="preserve">) zvyšujú riziko </w:t>
      </w:r>
      <w:proofErr w:type="spellStart"/>
      <w:r w:rsidRPr="00293D32">
        <w:rPr>
          <w:sz w:val="22"/>
          <w:szCs w:val="22"/>
        </w:rPr>
        <w:t>gastrointestinálneho</w:t>
      </w:r>
      <w:proofErr w:type="spellEnd"/>
      <w:r w:rsidRPr="00293D32">
        <w:rPr>
          <w:sz w:val="22"/>
          <w:szCs w:val="22"/>
        </w:rPr>
        <w:t xml:space="preserve"> krvácania.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97587C">
        <w:rPr>
          <w:sz w:val="22"/>
          <w:szCs w:val="22"/>
        </w:rPr>
        <w:t xml:space="preserve"> znižuje </w:t>
      </w:r>
      <w:proofErr w:type="spellStart"/>
      <w:r w:rsidRPr="0097587C">
        <w:rPr>
          <w:sz w:val="22"/>
          <w:szCs w:val="22"/>
        </w:rPr>
        <w:t>urikozúrický</w:t>
      </w:r>
      <w:proofErr w:type="spellEnd"/>
      <w:r w:rsidRPr="0097587C">
        <w:rPr>
          <w:sz w:val="22"/>
          <w:szCs w:val="22"/>
        </w:rPr>
        <w:t xml:space="preserve"> účinok </w:t>
      </w:r>
      <w:proofErr w:type="spellStart"/>
      <w:r w:rsidRPr="0097587C">
        <w:rPr>
          <w:sz w:val="22"/>
          <w:szCs w:val="22"/>
        </w:rPr>
        <w:t>probenecidu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sulfínpyrazónu</w:t>
      </w:r>
      <w:proofErr w:type="spellEnd"/>
      <w:r w:rsidRPr="0097587C">
        <w:rPr>
          <w:sz w:val="22"/>
          <w:szCs w:val="22"/>
        </w:rPr>
        <w:t xml:space="preserve">. </w:t>
      </w:r>
    </w:p>
    <w:p w14:paraId="10954E25" w14:textId="77777777" w:rsidR="006516BC" w:rsidRPr="0097587C" w:rsidRDefault="006516BC" w:rsidP="00293D32">
      <w:pPr>
        <w:widowControl w:val="0"/>
        <w:rPr>
          <w:sz w:val="22"/>
          <w:szCs w:val="22"/>
        </w:rPr>
      </w:pPr>
    </w:p>
    <w:p w14:paraId="4AE393CB" w14:textId="77777777" w:rsidR="00924AF1" w:rsidRPr="0097587C" w:rsidRDefault="00924AF1" w:rsidP="00293D32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Môže sa znížiť účinok diuretík a </w:t>
      </w:r>
      <w:proofErr w:type="spellStart"/>
      <w:r w:rsidRPr="0097587C">
        <w:rPr>
          <w:sz w:val="22"/>
          <w:szCs w:val="22"/>
        </w:rPr>
        <w:t>antihypertoník</w:t>
      </w:r>
      <w:proofErr w:type="spellEnd"/>
      <w:r w:rsidRPr="0097587C">
        <w:rPr>
          <w:sz w:val="22"/>
          <w:szCs w:val="22"/>
        </w:rPr>
        <w:t xml:space="preserve"> a </w:t>
      </w:r>
      <w:proofErr w:type="spellStart"/>
      <w:r w:rsidRPr="0097587C">
        <w:rPr>
          <w:sz w:val="22"/>
          <w:szCs w:val="22"/>
        </w:rPr>
        <w:t>mifepristónu</w:t>
      </w:r>
      <w:proofErr w:type="spellEnd"/>
      <w:r w:rsidRPr="0097587C">
        <w:rPr>
          <w:sz w:val="22"/>
          <w:szCs w:val="22"/>
        </w:rPr>
        <w:t>. Sú</w:t>
      </w:r>
      <w:r w:rsidR="00DB40F0" w:rsidRPr="0097587C">
        <w:rPr>
          <w:sz w:val="22"/>
          <w:szCs w:val="22"/>
        </w:rPr>
        <w:t>bežné</w:t>
      </w:r>
      <w:r w:rsidRPr="0097587C">
        <w:rPr>
          <w:sz w:val="22"/>
          <w:szCs w:val="22"/>
        </w:rPr>
        <w:t xml:space="preserve"> podanie </w:t>
      </w:r>
      <w:proofErr w:type="spellStart"/>
      <w:r w:rsidRPr="0097587C">
        <w:rPr>
          <w:sz w:val="22"/>
          <w:szCs w:val="22"/>
        </w:rPr>
        <w:t>káliumšetriacich</w:t>
      </w:r>
      <w:proofErr w:type="spellEnd"/>
      <w:r w:rsidRPr="0097587C">
        <w:rPr>
          <w:sz w:val="22"/>
          <w:szCs w:val="22"/>
        </w:rPr>
        <w:t xml:space="preserve"> diuretík môže viesť k </w:t>
      </w:r>
      <w:proofErr w:type="spellStart"/>
      <w:r w:rsidRPr="0097587C">
        <w:rPr>
          <w:sz w:val="22"/>
          <w:szCs w:val="22"/>
        </w:rPr>
        <w:t>hyperkaliémii</w:t>
      </w:r>
      <w:proofErr w:type="spellEnd"/>
      <w:r w:rsidRPr="0097587C">
        <w:rPr>
          <w:sz w:val="22"/>
          <w:szCs w:val="22"/>
        </w:rPr>
        <w:t xml:space="preserve">. Pri súčasnom podávaní </w:t>
      </w:r>
      <w:proofErr w:type="spellStart"/>
      <w:r w:rsidRPr="0097587C">
        <w:rPr>
          <w:sz w:val="22"/>
          <w:szCs w:val="22"/>
        </w:rPr>
        <w:t>chinolónových</w:t>
      </w:r>
      <w:proofErr w:type="spellEnd"/>
      <w:r w:rsidRPr="0097587C">
        <w:rPr>
          <w:sz w:val="22"/>
          <w:szCs w:val="22"/>
        </w:rPr>
        <w:t xml:space="preserve"> antibiotík a </w:t>
      </w:r>
      <w:proofErr w:type="spellStart"/>
      <w:r w:rsidRPr="0097587C">
        <w:rPr>
          <w:sz w:val="22"/>
          <w:szCs w:val="22"/>
        </w:rPr>
        <w:t>nesteroidných</w:t>
      </w:r>
      <w:proofErr w:type="spellEnd"/>
      <w:r w:rsidRPr="0097587C">
        <w:rPr>
          <w:sz w:val="22"/>
          <w:szCs w:val="22"/>
        </w:rPr>
        <w:t xml:space="preserve"> </w:t>
      </w:r>
      <w:proofErr w:type="spellStart"/>
      <w:r w:rsidRPr="0097587C">
        <w:rPr>
          <w:sz w:val="22"/>
          <w:szCs w:val="22"/>
        </w:rPr>
        <w:t>antireumatík</w:t>
      </w:r>
      <w:proofErr w:type="spellEnd"/>
      <w:r w:rsidRPr="0097587C">
        <w:rPr>
          <w:sz w:val="22"/>
          <w:szCs w:val="22"/>
        </w:rPr>
        <w:t xml:space="preserve"> sa môže zvýšiť riziko vzniku kŕčov. Zásahom </w:t>
      </w:r>
      <w:proofErr w:type="spellStart"/>
      <w:r w:rsidR="001B2E10">
        <w:rPr>
          <w:sz w:val="22"/>
          <w:szCs w:val="22"/>
        </w:rPr>
        <w:t>ibuprofén</w:t>
      </w:r>
      <w:r w:rsidRPr="0097587C">
        <w:rPr>
          <w:sz w:val="22"/>
          <w:szCs w:val="22"/>
        </w:rPr>
        <w:t>u</w:t>
      </w:r>
      <w:proofErr w:type="spellEnd"/>
      <w:r w:rsidRPr="0097587C">
        <w:rPr>
          <w:sz w:val="22"/>
          <w:szCs w:val="22"/>
        </w:rPr>
        <w:t xml:space="preserve"> do syntézy </w:t>
      </w:r>
      <w:proofErr w:type="spellStart"/>
      <w:r w:rsidRPr="0097587C">
        <w:rPr>
          <w:sz w:val="22"/>
          <w:szCs w:val="22"/>
        </w:rPr>
        <w:t>prostaglandínov</w:t>
      </w:r>
      <w:proofErr w:type="spellEnd"/>
      <w:r w:rsidRPr="0097587C">
        <w:rPr>
          <w:sz w:val="22"/>
          <w:szCs w:val="22"/>
        </w:rPr>
        <w:t xml:space="preserve"> v obličkách </w:t>
      </w:r>
      <w:r w:rsidR="00A73678" w:rsidRPr="0097587C">
        <w:rPr>
          <w:sz w:val="22"/>
          <w:szCs w:val="22"/>
        </w:rPr>
        <w:t>sa môže</w:t>
      </w:r>
      <w:r w:rsidRPr="0097587C">
        <w:rPr>
          <w:sz w:val="22"/>
          <w:szCs w:val="22"/>
        </w:rPr>
        <w:t xml:space="preserve"> zvýšiť toxicita </w:t>
      </w:r>
      <w:proofErr w:type="spellStart"/>
      <w:r w:rsidRPr="0097587C">
        <w:rPr>
          <w:sz w:val="22"/>
          <w:szCs w:val="22"/>
        </w:rPr>
        <w:t>cyklosporínu</w:t>
      </w:r>
      <w:proofErr w:type="spellEnd"/>
      <w:r w:rsidRPr="0097587C">
        <w:rPr>
          <w:sz w:val="22"/>
          <w:szCs w:val="22"/>
        </w:rPr>
        <w:t>.</w:t>
      </w:r>
    </w:p>
    <w:p w14:paraId="17A9AEFC" w14:textId="77777777" w:rsidR="00A73678" w:rsidRPr="0097587C" w:rsidRDefault="00A73678" w:rsidP="00293D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AAC406" w14:textId="77777777" w:rsidR="000C2C8B" w:rsidRPr="0097587C" w:rsidRDefault="000C2C8B" w:rsidP="0097587C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97587C">
        <w:rPr>
          <w:i/>
          <w:sz w:val="22"/>
          <w:szCs w:val="22"/>
          <w:u w:val="single"/>
        </w:rPr>
        <w:t xml:space="preserve">Kyselina </w:t>
      </w:r>
      <w:proofErr w:type="spellStart"/>
      <w:r w:rsidRPr="0097587C">
        <w:rPr>
          <w:i/>
          <w:sz w:val="22"/>
          <w:szCs w:val="22"/>
          <w:u w:val="single"/>
        </w:rPr>
        <w:t>acetylsalicylová</w:t>
      </w:r>
      <w:proofErr w:type="spellEnd"/>
    </w:p>
    <w:p w14:paraId="292F0926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="00DB40F0" w:rsidRPr="0097587C">
        <w:rPr>
          <w:rFonts w:ascii="Times New Roman" w:hAnsi="Times New Roman" w:cs="Times New Roman"/>
          <w:sz w:val="22"/>
          <w:szCs w:val="22"/>
          <w:lang w:val="sk-SK"/>
        </w:rPr>
        <w:t>bežné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podávanie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a 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neodporúča z dôvodu možných zvýšených nežiaducich udalostí.</w:t>
      </w:r>
    </w:p>
    <w:p w14:paraId="0C7ED106" w14:textId="77777777" w:rsidR="00DB40F0" w:rsidRPr="0097587C" w:rsidRDefault="00DB40F0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8257AF7" w14:textId="77777777" w:rsidR="000C2C8B" w:rsidRPr="00390045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Experimentálne údaje naznačujú, že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pri súčasnom dávkovaní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kompetitívne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inhibovať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agregáciu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trombocytov. Hoci existujú nejasnosti s ohľadom na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extrapoláciu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môže znížiť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kardioprotektívny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účinok nízkej dávky kyseliny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acetylsalicylovej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. V prípade príležitostného používania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sa žiaden klinicky relevantný účinok nepovažuje za pravdepodobný (pozri časť 5.1).</w:t>
      </w:r>
    </w:p>
    <w:p w14:paraId="50EB40E1" w14:textId="77777777" w:rsidR="00924AF1" w:rsidRPr="00F60143" w:rsidRDefault="00924AF1" w:rsidP="007C2E6D">
      <w:pPr>
        <w:widowControl w:val="0"/>
        <w:rPr>
          <w:sz w:val="22"/>
          <w:szCs w:val="22"/>
        </w:rPr>
      </w:pPr>
    </w:p>
    <w:p w14:paraId="6C24C7FC" w14:textId="77777777" w:rsidR="00924AF1" w:rsidRPr="00126DDD" w:rsidRDefault="00924AF1" w:rsidP="00765F63">
      <w:pPr>
        <w:rPr>
          <w:sz w:val="22"/>
          <w:szCs w:val="22"/>
        </w:rPr>
      </w:pPr>
      <w:r w:rsidRPr="00765F63">
        <w:rPr>
          <w:b/>
          <w:sz w:val="22"/>
          <w:szCs w:val="22"/>
        </w:rPr>
        <w:t>4.6</w:t>
      </w:r>
      <w:r w:rsidR="00A73678" w:rsidRPr="00765F63">
        <w:rPr>
          <w:b/>
          <w:sz w:val="22"/>
          <w:szCs w:val="22"/>
        </w:rPr>
        <w:tab/>
      </w:r>
      <w:proofErr w:type="spellStart"/>
      <w:r w:rsidR="005A4A03" w:rsidRPr="00765F63">
        <w:rPr>
          <w:b/>
          <w:sz w:val="22"/>
          <w:szCs w:val="22"/>
        </w:rPr>
        <w:t>Fertilita</w:t>
      </w:r>
      <w:proofErr w:type="spellEnd"/>
      <w:r w:rsidR="005A4A03" w:rsidRPr="00765F63">
        <w:rPr>
          <w:b/>
          <w:sz w:val="22"/>
          <w:szCs w:val="22"/>
        </w:rPr>
        <w:t>, g</w:t>
      </w:r>
      <w:r w:rsidRPr="00126DDD">
        <w:rPr>
          <w:b/>
          <w:sz w:val="22"/>
          <w:szCs w:val="22"/>
        </w:rPr>
        <w:t>ravidita a laktácia</w:t>
      </w:r>
    </w:p>
    <w:p w14:paraId="5A18FCFD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</w:rPr>
      </w:pPr>
    </w:p>
    <w:p w14:paraId="0BAE6C3A" w14:textId="77777777" w:rsidR="00A73678" w:rsidRPr="00126DDD" w:rsidRDefault="00A73678" w:rsidP="00126DDD">
      <w:pPr>
        <w:pStyle w:val="Zkladntext"/>
        <w:rPr>
          <w:rFonts w:ascii="Times New Roman" w:hAnsi="Times New Roman"/>
          <w:sz w:val="22"/>
          <w:szCs w:val="22"/>
          <w:u w:val="single"/>
        </w:rPr>
      </w:pPr>
      <w:r w:rsidRPr="00126DDD">
        <w:rPr>
          <w:rFonts w:ascii="Times New Roman" w:hAnsi="Times New Roman"/>
          <w:sz w:val="22"/>
          <w:szCs w:val="22"/>
          <w:u w:val="single"/>
        </w:rPr>
        <w:t>Gravidita</w:t>
      </w:r>
    </w:p>
    <w:p w14:paraId="3D7A9947" w14:textId="77777777" w:rsidR="005A4A03" w:rsidRPr="0097587C" w:rsidRDefault="00924AF1" w:rsidP="00B0634D">
      <w:pPr>
        <w:pStyle w:val="Zkladntext"/>
        <w:rPr>
          <w:rFonts w:ascii="Times New Roman" w:hAnsi="Times New Roman"/>
          <w:sz w:val="22"/>
          <w:szCs w:val="22"/>
        </w:rPr>
      </w:pPr>
      <w:r w:rsidRPr="00B0634D">
        <w:rPr>
          <w:rFonts w:ascii="Times New Roman" w:hAnsi="Times New Roman"/>
          <w:sz w:val="22"/>
          <w:szCs w:val="22"/>
        </w:rPr>
        <w:t xml:space="preserve">Inhibícia syntézy </w:t>
      </w:r>
      <w:proofErr w:type="spellStart"/>
      <w:r w:rsidRPr="00B0634D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môže nepriaznivo ovplyvniť graviditu a/alebo vývoj embrya alebo plodu. Údaje z epidemiologických štúdií poukazujú na zvýšené riziko potratu, </w:t>
      </w:r>
      <w:proofErr w:type="spellStart"/>
      <w:r w:rsidRPr="00B0634D">
        <w:rPr>
          <w:rFonts w:ascii="Times New Roman" w:hAnsi="Times New Roman"/>
          <w:sz w:val="22"/>
          <w:szCs w:val="22"/>
        </w:rPr>
        <w:t>malformácií</w:t>
      </w:r>
      <w:proofErr w:type="spellEnd"/>
      <w:r w:rsidRPr="00B0634D">
        <w:rPr>
          <w:rFonts w:ascii="Times New Roman" w:hAnsi="Times New Roman"/>
          <w:sz w:val="22"/>
          <w:szCs w:val="22"/>
        </w:rPr>
        <w:t xml:space="preserve"> srdca a</w:t>
      </w:r>
      <w:r w:rsidR="007C2E6D" w:rsidRPr="00F3370B">
        <w:rPr>
          <w:rFonts w:ascii="Times New Roman" w:hAnsi="Times New Roman"/>
          <w:sz w:val="22"/>
          <w:szCs w:val="22"/>
        </w:rPr>
        <w:t> </w:t>
      </w:r>
      <w:proofErr w:type="spellStart"/>
      <w:r w:rsidRPr="00F3370B">
        <w:rPr>
          <w:rFonts w:ascii="Times New Roman" w:hAnsi="Times New Roman"/>
          <w:sz w:val="22"/>
          <w:szCs w:val="22"/>
        </w:rPr>
        <w:t>gastroschízy</w:t>
      </w:r>
      <w:proofErr w:type="spellEnd"/>
      <w:r w:rsidRPr="00F3370B">
        <w:rPr>
          <w:rFonts w:ascii="Times New Roman" w:hAnsi="Times New Roman"/>
          <w:sz w:val="22"/>
          <w:szCs w:val="22"/>
        </w:rPr>
        <w:t xml:space="preserve"> po užívaní inhibítorov syntézy</w:t>
      </w:r>
      <w:r w:rsidRPr="00293D3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na začiatku gravidity. Absolútne riziko kardiovaskulárnych </w:t>
      </w:r>
      <w:proofErr w:type="spellStart"/>
      <w:r w:rsidRPr="00293D32">
        <w:rPr>
          <w:rFonts w:ascii="Times New Roman" w:hAnsi="Times New Roman"/>
          <w:sz w:val="22"/>
          <w:szCs w:val="22"/>
        </w:rPr>
        <w:t>malformácií</w:t>
      </w:r>
      <w:proofErr w:type="spellEnd"/>
      <w:r w:rsidRPr="00293D32">
        <w:rPr>
          <w:rFonts w:ascii="Times New Roman" w:hAnsi="Times New Roman"/>
          <w:sz w:val="22"/>
          <w:szCs w:val="22"/>
        </w:rPr>
        <w:t xml:space="preserve"> bolo zvýšené z menej než 1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 na približne 1,5</w:t>
      </w:r>
      <w:r w:rsidR="00A73678" w:rsidRPr="00293D32">
        <w:rPr>
          <w:rFonts w:ascii="Times New Roman" w:hAnsi="Times New Roman"/>
          <w:sz w:val="22"/>
          <w:szCs w:val="22"/>
        </w:rPr>
        <w:t> </w:t>
      </w:r>
      <w:r w:rsidRPr="00293D32">
        <w:rPr>
          <w:rFonts w:ascii="Times New Roman" w:hAnsi="Times New Roman"/>
          <w:sz w:val="22"/>
          <w:szCs w:val="22"/>
        </w:rPr>
        <w:t>%. Predpokl</w:t>
      </w:r>
      <w:r w:rsidR="005A4A03" w:rsidRPr="00293D32">
        <w:rPr>
          <w:rFonts w:ascii="Times New Roman" w:hAnsi="Times New Roman"/>
          <w:sz w:val="22"/>
          <w:szCs w:val="22"/>
        </w:rPr>
        <w:t>a</w:t>
      </w:r>
      <w:r w:rsidRPr="00293D32">
        <w:rPr>
          <w:rFonts w:ascii="Times New Roman" w:hAnsi="Times New Roman"/>
          <w:sz w:val="22"/>
          <w:szCs w:val="22"/>
        </w:rPr>
        <w:t>d</w:t>
      </w:r>
      <w:r w:rsidR="005A4A03" w:rsidRPr="00293D32">
        <w:rPr>
          <w:rFonts w:ascii="Times New Roman" w:hAnsi="Times New Roman"/>
          <w:sz w:val="22"/>
          <w:szCs w:val="22"/>
        </w:rPr>
        <w:t>á</w:t>
      </w:r>
      <w:r w:rsidRPr="00293D32">
        <w:rPr>
          <w:rFonts w:ascii="Times New Roman" w:hAnsi="Times New Roman"/>
          <w:sz w:val="22"/>
          <w:szCs w:val="22"/>
        </w:rPr>
        <w:t xml:space="preserve"> sa, že riziko sa zvyšuje s dávkou a dĺžkou liečby. U zvierat ukázalo podávanie inhibítorov syntézy </w:t>
      </w:r>
      <w:proofErr w:type="spellStart"/>
      <w:r w:rsidRPr="00293D32">
        <w:rPr>
          <w:rFonts w:ascii="Times New Roman" w:hAnsi="Times New Roman"/>
          <w:sz w:val="22"/>
          <w:szCs w:val="22"/>
        </w:rPr>
        <w:t>prostagl</w:t>
      </w:r>
      <w:r w:rsidRPr="0097587C">
        <w:rPr>
          <w:rFonts w:ascii="Times New Roman" w:hAnsi="Times New Roman"/>
          <w:sz w:val="22"/>
          <w:szCs w:val="22"/>
        </w:rPr>
        <w:t>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zvýšenie pre- a </w:t>
      </w:r>
      <w:proofErr w:type="spellStart"/>
      <w:r w:rsidRPr="0097587C">
        <w:rPr>
          <w:rFonts w:ascii="Times New Roman" w:hAnsi="Times New Roman"/>
          <w:sz w:val="22"/>
          <w:szCs w:val="22"/>
        </w:rPr>
        <w:t>postimplantačných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strát a embryo-</w:t>
      </w:r>
      <w:proofErr w:type="spellStart"/>
      <w:r w:rsidRPr="0097587C">
        <w:rPr>
          <w:rFonts w:ascii="Times New Roman" w:hAnsi="Times New Roman"/>
          <w:sz w:val="22"/>
          <w:szCs w:val="22"/>
        </w:rPr>
        <w:t>fetálnu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letalitu. Naviac u zvierat, ktoré dostávali v priebehu organogenézy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bola popísaná zvýšená </w:t>
      </w:r>
      <w:proofErr w:type="spellStart"/>
      <w:r w:rsidRPr="0097587C">
        <w:rPr>
          <w:rFonts w:ascii="Times New Roman" w:hAnsi="Times New Roman"/>
          <w:sz w:val="22"/>
          <w:szCs w:val="22"/>
        </w:rPr>
        <w:t>incidencia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rôznych </w:t>
      </w:r>
      <w:proofErr w:type="spellStart"/>
      <w:r w:rsidRPr="0097587C">
        <w:rPr>
          <w:rFonts w:ascii="Times New Roman" w:hAnsi="Times New Roman"/>
          <w:sz w:val="22"/>
          <w:szCs w:val="22"/>
        </w:rPr>
        <w:t>malformácií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, vrátane kardiovaskulárnych. </w:t>
      </w:r>
    </w:p>
    <w:p w14:paraId="23571914" w14:textId="77777777" w:rsidR="00924AF1" w:rsidRPr="0097587C" w:rsidRDefault="00924AF1" w:rsidP="002D3EDE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Pokiaľ to nie je jednoznačne nevyhnutné,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sa nemá podávať počas prvého a 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gravidity. Pokiaľ </w:t>
      </w:r>
      <w:proofErr w:type="spellStart"/>
      <w:r w:rsidR="001B2E10">
        <w:rPr>
          <w:rFonts w:ascii="Times New Roman" w:hAnsi="Times New Roman"/>
          <w:sz w:val="22"/>
          <w:szCs w:val="22"/>
        </w:rPr>
        <w:t>ibuprofén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užíva žena, ktorá sa snaží otehotnieť alebo v priebehu prvého a</w:t>
      </w:r>
      <w:r w:rsidR="007C2E6D" w:rsidRPr="0097587C">
        <w:rPr>
          <w:rFonts w:ascii="Times New Roman" w:hAnsi="Times New Roman"/>
          <w:sz w:val="22"/>
          <w:szCs w:val="22"/>
        </w:rPr>
        <w:t> </w:t>
      </w:r>
      <w:r w:rsidRPr="0097587C">
        <w:rPr>
          <w:rFonts w:ascii="Times New Roman" w:hAnsi="Times New Roman"/>
          <w:sz w:val="22"/>
          <w:szCs w:val="22"/>
        </w:rPr>
        <w:t xml:space="preserve">druhého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gravidity, má užívať nízke dávky a liečba má byť čo najkratšia. </w:t>
      </w:r>
    </w:p>
    <w:p w14:paraId="5F69D766" w14:textId="77777777" w:rsidR="00924AF1" w:rsidRPr="0097587C" w:rsidRDefault="00924AF1" w:rsidP="00F3370B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 xml:space="preserve">Počas tretieho </w:t>
      </w:r>
      <w:proofErr w:type="spellStart"/>
      <w:r w:rsidRPr="0097587C">
        <w:rPr>
          <w:rFonts w:ascii="Times New Roman" w:hAnsi="Times New Roman"/>
          <w:sz w:val="22"/>
          <w:szCs w:val="22"/>
        </w:rPr>
        <w:t>trimestra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gravidity môžu všetky inhibítory syntézy </w:t>
      </w:r>
      <w:proofErr w:type="spellStart"/>
      <w:r w:rsidRPr="0097587C">
        <w:rPr>
          <w:rFonts w:ascii="Times New Roman" w:hAnsi="Times New Roman"/>
          <w:sz w:val="22"/>
          <w:szCs w:val="22"/>
        </w:rPr>
        <w:t>prostaglandínov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vystaviť </w:t>
      </w:r>
    </w:p>
    <w:p w14:paraId="7A795AAA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plod:</w:t>
      </w:r>
    </w:p>
    <w:p w14:paraId="1C981A34" w14:textId="77777777" w:rsidR="005A4A03" w:rsidRPr="007C2E6D" w:rsidRDefault="00924AF1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-</w:t>
      </w:r>
      <w:r w:rsidRPr="0097587C">
        <w:rPr>
          <w:rFonts w:ascii="Times New Roman" w:hAnsi="Times New Roman"/>
          <w:sz w:val="22"/>
          <w:szCs w:val="22"/>
        </w:rPr>
        <w:tab/>
      </w:r>
      <w:proofErr w:type="spellStart"/>
      <w:r w:rsidRPr="0097587C">
        <w:rPr>
          <w:rFonts w:ascii="Times New Roman" w:hAnsi="Times New Roman"/>
          <w:sz w:val="22"/>
          <w:szCs w:val="22"/>
        </w:rPr>
        <w:t>kardiopulmonálnej</w:t>
      </w:r>
      <w:proofErr w:type="spellEnd"/>
      <w:r w:rsidRPr="0097587C">
        <w:rPr>
          <w:rFonts w:ascii="Times New Roman" w:hAnsi="Times New Roman"/>
          <w:sz w:val="22"/>
          <w:szCs w:val="22"/>
        </w:rPr>
        <w:t xml:space="preserve"> toxicite (s predčasným uzáverom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ductus</w:t>
      </w:r>
      <w:proofErr w:type="spellEnd"/>
      <w:r w:rsidRPr="0097587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97587C">
        <w:rPr>
          <w:rFonts w:ascii="Times New Roman" w:hAnsi="Times New Roman"/>
          <w:i/>
          <w:sz w:val="22"/>
          <w:szCs w:val="22"/>
        </w:rPr>
        <w:t>arteriosus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7C2E6D">
        <w:rPr>
          <w:rFonts w:ascii="Times New Roman" w:hAnsi="Times New Roman"/>
          <w:sz w:val="22"/>
          <w:szCs w:val="22"/>
        </w:rPr>
        <w:t>pulmonárnej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</w:t>
      </w:r>
    </w:p>
    <w:p w14:paraId="12320CD8" w14:textId="77777777" w:rsidR="00924AF1" w:rsidRPr="007C2E6D" w:rsidRDefault="007D34D4" w:rsidP="00293D32">
      <w:pPr>
        <w:pStyle w:val="Zkladntext"/>
        <w:ind w:left="720" w:hanging="720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lastRenderedPageBreak/>
        <w:tab/>
      </w:r>
      <w:r w:rsidR="00924AF1" w:rsidRPr="007C2E6D">
        <w:rPr>
          <w:rFonts w:ascii="Times New Roman" w:hAnsi="Times New Roman"/>
          <w:sz w:val="22"/>
          <w:szCs w:val="22"/>
        </w:rPr>
        <w:t>hypertenzie);</w:t>
      </w:r>
    </w:p>
    <w:p w14:paraId="252366AE" w14:textId="77777777" w:rsidR="00924AF1" w:rsidRPr="00F6014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</w:r>
      <w:proofErr w:type="spellStart"/>
      <w:r w:rsidRPr="007C2E6D">
        <w:rPr>
          <w:rFonts w:ascii="Times New Roman" w:hAnsi="Times New Roman"/>
          <w:sz w:val="22"/>
          <w:szCs w:val="22"/>
        </w:rPr>
        <w:t>renálnej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dysfunkcii, ktorá môže </w:t>
      </w:r>
      <w:proofErr w:type="spellStart"/>
      <w:r w:rsidRPr="007C2E6D">
        <w:rPr>
          <w:rFonts w:ascii="Times New Roman" w:hAnsi="Times New Roman"/>
          <w:sz w:val="22"/>
          <w:szCs w:val="22"/>
        </w:rPr>
        <w:t>progredovať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do zlyhania obličiek s</w:t>
      </w:r>
      <w:r w:rsidR="0027568A" w:rsidRPr="00F60143">
        <w:rPr>
          <w:rFonts w:ascii="Times New Roman" w:hAnsi="Times New Roman"/>
          <w:sz w:val="22"/>
          <w:szCs w:val="22"/>
        </w:rPr>
        <w:t> </w:t>
      </w:r>
      <w:proofErr w:type="spellStart"/>
      <w:r w:rsidRPr="00F60143">
        <w:rPr>
          <w:rFonts w:ascii="Times New Roman" w:hAnsi="Times New Roman"/>
          <w:sz w:val="22"/>
          <w:szCs w:val="22"/>
        </w:rPr>
        <w:t>oligohydroamni</w:t>
      </w:r>
      <w:r w:rsidR="007C2E6D" w:rsidRPr="00F60143">
        <w:rPr>
          <w:rFonts w:ascii="Times New Roman" w:hAnsi="Times New Roman"/>
          <w:sz w:val="22"/>
          <w:szCs w:val="22"/>
        </w:rPr>
        <w:t>ó</w:t>
      </w:r>
      <w:r w:rsidRPr="00F60143">
        <w:rPr>
          <w:rFonts w:ascii="Times New Roman" w:hAnsi="Times New Roman"/>
          <w:sz w:val="22"/>
          <w:szCs w:val="22"/>
        </w:rPr>
        <w:t>nom</w:t>
      </w:r>
      <w:proofErr w:type="spellEnd"/>
      <w:r w:rsidR="0027568A" w:rsidRPr="00F60143">
        <w:rPr>
          <w:rFonts w:ascii="Times New Roman" w:hAnsi="Times New Roman"/>
          <w:sz w:val="22"/>
          <w:szCs w:val="22"/>
        </w:rPr>
        <w:t>;</w:t>
      </w:r>
    </w:p>
    <w:p w14:paraId="5A26DB21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</w:p>
    <w:p w14:paraId="1FB16A7D" w14:textId="77777777" w:rsidR="00924AF1" w:rsidRPr="0097587C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97587C">
        <w:rPr>
          <w:rFonts w:ascii="Times New Roman" w:hAnsi="Times New Roman"/>
          <w:sz w:val="22"/>
          <w:szCs w:val="22"/>
        </w:rPr>
        <w:t>matku a plod na konci gravidity:</w:t>
      </w:r>
    </w:p>
    <w:p w14:paraId="744F0DA8" w14:textId="77777777" w:rsidR="00924AF1" w:rsidRPr="007C2E6D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>-</w:t>
      </w:r>
      <w:r w:rsidRPr="007C2E6D">
        <w:rPr>
          <w:rFonts w:ascii="Times New Roman" w:hAnsi="Times New Roman"/>
          <w:sz w:val="22"/>
          <w:szCs w:val="22"/>
        </w:rPr>
        <w:tab/>
        <w:t>možnému predĺženiu času krvácania</w:t>
      </w:r>
      <w:r w:rsidR="005A4A03" w:rsidRPr="007C2E6D">
        <w:rPr>
          <w:rFonts w:ascii="Times New Roman" w:hAnsi="Times New Roman"/>
          <w:sz w:val="22"/>
          <w:szCs w:val="22"/>
        </w:rPr>
        <w:t>;</w:t>
      </w:r>
      <w:r w:rsidRPr="007C2E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2E6D">
        <w:rPr>
          <w:rFonts w:ascii="Times New Roman" w:hAnsi="Times New Roman"/>
          <w:color w:val="FFFFFF"/>
          <w:sz w:val="22"/>
          <w:szCs w:val="22"/>
        </w:rPr>
        <w:t>antiagregačnému</w:t>
      </w:r>
      <w:proofErr w:type="spellEnd"/>
      <w:r w:rsidRPr="007C2E6D">
        <w:rPr>
          <w:rFonts w:ascii="Times New Roman" w:hAnsi="Times New Roman"/>
          <w:color w:val="FFFFFF"/>
          <w:sz w:val="22"/>
          <w:szCs w:val="22"/>
        </w:rPr>
        <w:t xml:space="preserve"> účinku, ktorý sa môže vyskytnúť i po </w:t>
      </w:r>
    </w:p>
    <w:p w14:paraId="17CBD47A" w14:textId="77777777" w:rsidR="00924AF1" w:rsidRPr="00765F63" w:rsidRDefault="00924AF1" w:rsidP="00293D32">
      <w:pPr>
        <w:pStyle w:val="Zkladntext"/>
        <w:rPr>
          <w:rFonts w:ascii="Times New Roman" w:hAnsi="Times New Roman"/>
          <w:sz w:val="22"/>
          <w:szCs w:val="22"/>
        </w:rPr>
      </w:pPr>
      <w:r w:rsidRPr="00765F63">
        <w:rPr>
          <w:rFonts w:ascii="Times New Roman" w:hAnsi="Times New Roman"/>
          <w:sz w:val="22"/>
          <w:szCs w:val="22"/>
        </w:rPr>
        <w:t>-</w:t>
      </w:r>
      <w:r w:rsidRPr="00765F63">
        <w:rPr>
          <w:rFonts w:ascii="Times New Roman" w:hAnsi="Times New Roman"/>
          <w:sz w:val="22"/>
          <w:szCs w:val="22"/>
        </w:rPr>
        <w:tab/>
        <w:t>inhibícii kontrakcií maternice vedúcich k oneskorenému alebo predĺženému pôrodu.</w:t>
      </w:r>
    </w:p>
    <w:p w14:paraId="01A31C46" w14:textId="77777777" w:rsidR="005A4A03" w:rsidRPr="00126DDD" w:rsidRDefault="005A4A03" w:rsidP="0097587C">
      <w:pPr>
        <w:widowControl w:val="0"/>
        <w:rPr>
          <w:sz w:val="22"/>
          <w:szCs w:val="22"/>
        </w:rPr>
      </w:pPr>
    </w:p>
    <w:p w14:paraId="698055A3" w14:textId="77777777" w:rsidR="00924AF1" w:rsidRPr="00B0634D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Preto je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kontraindikovaný počas tretieho </w:t>
      </w:r>
      <w:proofErr w:type="spellStart"/>
      <w:r w:rsidRPr="00B0634D">
        <w:rPr>
          <w:sz w:val="22"/>
          <w:szCs w:val="22"/>
        </w:rPr>
        <w:t>trimestra</w:t>
      </w:r>
      <w:proofErr w:type="spellEnd"/>
      <w:r w:rsidRPr="00B0634D">
        <w:rPr>
          <w:sz w:val="22"/>
          <w:szCs w:val="22"/>
        </w:rPr>
        <w:t xml:space="preserve"> gravidity.</w:t>
      </w:r>
    </w:p>
    <w:p w14:paraId="7B622E7F" w14:textId="77777777" w:rsidR="00A73678" w:rsidRPr="002D3EDE" w:rsidRDefault="00A73678" w:rsidP="0097587C">
      <w:pPr>
        <w:autoSpaceDE w:val="0"/>
        <w:autoSpaceDN w:val="0"/>
        <w:adjustRightInd w:val="0"/>
        <w:rPr>
          <w:sz w:val="22"/>
          <w:szCs w:val="22"/>
        </w:rPr>
      </w:pPr>
    </w:p>
    <w:p w14:paraId="009EB31B" w14:textId="77777777" w:rsidR="00A73678" w:rsidRPr="00F3370B" w:rsidRDefault="000C2C8B" w:rsidP="00390045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F3370B">
        <w:rPr>
          <w:sz w:val="22"/>
          <w:szCs w:val="22"/>
          <w:u w:val="single"/>
        </w:rPr>
        <w:t>Dojčenie</w:t>
      </w:r>
    </w:p>
    <w:p w14:paraId="6349B4C0" w14:textId="77777777" w:rsidR="00924AF1" w:rsidRPr="00293D32" w:rsidRDefault="00924AF1" w:rsidP="00390045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V nedostatočnom počte doteraz dostupných štúdií sa preukázalo, že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do materského mlieka len vo veľmi nízkych koncentráciách. Neodporúča sa, aby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užívali dojčiace matky.</w:t>
      </w:r>
    </w:p>
    <w:p w14:paraId="1DA80E75" w14:textId="77777777" w:rsidR="00924AF1" w:rsidRPr="00293D32" w:rsidRDefault="00924AF1" w:rsidP="0097587C">
      <w:pPr>
        <w:rPr>
          <w:sz w:val="22"/>
          <w:szCs w:val="22"/>
        </w:rPr>
      </w:pPr>
    </w:p>
    <w:p w14:paraId="533F623D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4.7</w:t>
      </w:r>
      <w:r w:rsidR="00A73678" w:rsidRPr="00293D32">
        <w:rPr>
          <w:b/>
          <w:sz w:val="22"/>
          <w:szCs w:val="22"/>
        </w:rPr>
        <w:tab/>
      </w:r>
      <w:r w:rsidRPr="00293D32">
        <w:rPr>
          <w:b/>
          <w:sz w:val="22"/>
          <w:szCs w:val="22"/>
        </w:rPr>
        <w:t>Ovplyvnenie schopnosti viesť vozidlá a obsluhovať stroje</w:t>
      </w:r>
    </w:p>
    <w:p w14:paraId="41A89FCB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D06FC38" w14:textId="77777777" w:rsidR="007C2E6D" w:rsidRPr="0097587C" w:rsidRDefault="007C2E6D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 a </w:t>
      </w: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nemá žiadny alebo má zanedbateľný vplyv na schopnosti viesť vozidlá a obsluhovať stroje.</w:t>
      </w:r>
    </w:p>
    <w:p w14:paraId="1006E982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438C8C3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4.8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Nežiaduce účinky</w:t>
      </w:r>
    </w:p>
    <w:p w14:paraId="417AC4F2" w14:textId="77777777" w:rsidR="00A73678" w:rsidRPr="0097587C" w:rsidRDefault="00A73678" w:rsidP="0097587C">
      <w:pPr>
        <w:pStyle w:val="Zkladntext"/>
        <w:rPr>
          <w:rFonts w:ascii="Times New Roman" w:hAnsi="Times New Roman"/>
          <w:sz w:val="22"/>
          <w:szCs w:val="22"/>
        </w:rPr>
      </w:pPr>
    </w:p>
    <w:p w14:paraId="1DE2452B" w14:textId="77777777" w:rsidR="00924AF1" w:rsidRPr="00765F63" w:rsidRDefault="001B2E10" w:rsidP="0097587C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Ibuprofén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môže spôsobiť nasledujúce nežiaduce účinky (rozdelené do skupín podľa terminológie </w:t>
      </w:r>
      <w:proofErr w:type="spellStart"/>
      <w:r w:rsidR="00924AF1" w:rsidRPr="0097587C">
        <w:rPr>
          <w:rFonts w:ascii="Times New Roman" w:hAnsi="Times New Roman"/>
          <w:sz w:val="22"/>
          <w:szCs w:val="22"/>
        </w:rPr>
        <w:t>MedDRA</w:t>
      </w:r>
      <w:proofErr w:type="spellEnd"/>
      <w:r w:rsidR="00924AF1" w:rsidRPr="0097587C">
        <w:rPr>
          <w:rFonts w:ascii="Times New Roman" w:hAnsi="Times New Roman"/>
          <w:sz w:val="22"/>
          <w:szCs w:val="22"/>
        </w:rPr>
        <w:t xml:space="preserve"> s uvedením frekvencie výskytu: veľmi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1/10); časté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 xml:space="preserve">1/10); menej časté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  <w:lang w:val="it-IT"/>
        </w:rPr>
        <w:t>1/1 000 až &lt;</w:t>
      </w:r>
      <w:r w:rsidR="008032FD" w:rsidRPr="007C2E6D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  <w:lang w:val="it-IT"/>
        </w:rPr>
        <w:t>1/100)</w:t>
      </w:r>
      <w:r w:rsidR="00924AF1" w:rsidRPr="00F60143">
        <w:rPr>
          <w:rFonts w:ascii="Times New Roman" w:hAnsi="Times New Roman"/>
          <w:sz w:val="22"/>
          <w:szCs w:val="22"/>
        </w:rPr>
        <w:t>; zriedkavé (</w:t>
      </w:r>
      <w:r w:rsidR="00924AF1" w:rsidRPr="007C2E6D">
        <w:rPr>
          <w:rFonts w:ascii="Times New Roman" w:hAnsi="Times New Roman"/>
          <w:sz w:val="22"/>
          <w:szCs w:val="22"/>
          <w:lang w:val="pl-PL"/>
        </w:rPr>
        <w:sym w:font="Symbol" w:char="F0B3"/>
      </w:r>
      <w:r w:rsidR="008032FD" w:rsidRPr="007C2E6D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924AF1" w:rsidRPr="007C2E6D">
        <w:rPr>
          <w:rFonts w:ascii="Times New Roman" w:hAnsi="Times New Roman"/>
          <w:sz w:val="22"/>
          <w:szCs w:val="22"/>
        </w:rPr>
        <w:t>1/10 000 až &lt;</w:t>
      </w:r>
      <w:r w:rsidR="008032FD" w:rsidRPr="007C2E6D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1/1 000); veľmi zriedkavé (&lt;</w:t>
      </w:r>
      <w:r w:rsidR="008032FD" w:rsidRPr="00F60143">
        <w:rPr>
          <w:rFonts w:ascii="Times New Roman" w:hAnsi="Times New Roman"/>
          <w:sz w:val="22"/>
          <w:szCs w:val="22"/>
        </w:rPr>
        <w:t xml:space="preserve"> </w:t>
      </w:r>
      <w:r w:rsidR="00924AF1" w:rsidRPr="00F60143">
        <w:rPr>
          <w:rFonts w:ascii="Times New Roman" w:hAnsi="Times New Roman"/>
          <w:sz w:val="22"/>
          <w:szCs w:val="22"/>
        </w:rPr>
        <w:t>1/10 000)</w:t>
      </w:r>
      <w:r w:rsidR="005F58D2" w:rsidRPr="00F60143">
        <w:rPr>
          <w:rFonts w:ascii="Times New Roman" w:hAnsi="Times New Roman"/>
          <w:sz w:val="22"/>
          <w:szCs w:val="22"/>
        </w:rPr>
        <w:t>; neznáme (nie je možné určiť z dostupných údajov)</w:t>
      </w:r>
      <w:r w:rsidR="00924AF1" w:rsidRPr="00765F63">
        <w:rPr>
          <w:rFonts w:ascii="Times New Roman" w:hAnsi="Times New Roman"/>
          <w:sz w:val="22"/>
          <w:szCs w:val="22"/>
        </w:rPr>
        <w:t>.</w:t>
      </w:r>
    </w:p>
    <w:p w14:paraId="0C844084" w14:textId="77777777" w:rsidR="00924AF1" w:rsidRPr="00765F63" w:rsidRDefault="00924AF1" w:rsidP="0097587C">
      <w:pPr>
        <w:pStyle w:val="Zkladntext"/>
        <w:rPr>
          <w:rFonts w:ascii="Times New Roman" w:hAnsi="Times New Roman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1845"/>
        <w:gridCol w:w="4573"/>
      </w:tblGrid>
      <w:tr w:rsidR="00924AF1" w:rsidRPr="0097587C" w14:paraId="4AFD7879" w14:textId="77777777" w:rsidTr="00EC444A">
        <w:trPr>
          <w:cantSplit/>
        </w:trPr>
        <w:tc>
          <w:tcPr>
            <w:tcW w:w="1431" w:type="pct"/>
            <w:vAlign w:val="center"/>
          </w:tcPr>
          <w:p w14:paraId="48ABBCC7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Triedy orgánových systémov podľa databázy </w:t>
            </w:r>
            <w:proofErr w:type="spellStart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MeDRA</w:t>
            </w:r>
            <w:proofErr w:type="spellEnd"/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7F75FA4D" w14:textId="77777777" w:rsidR="00924AF1" w:rsidRPr="007C2E6D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C2E6D">
              <w:rPr>
                <w:b/>
                <w:color w:val="000000"/>
                <w:sz w:val="22"/>
                <w:szCs w:val="22"/>
                <w:lang w:val="sk-SK"/>
              </w:rPr>
              <w:t>Frekvencia výskytu</w:t>
            </w:r>
          </w:p>
        </w:tc>
        <w:tc>
          <w:tcPr>
            <w:tcW w:w="2543" w:type="pct"/>
            <w:vAlign w:val="center"/>
          </w:tcPr>
          <w:p w14:paraId="6C105E45" w14:textId="77777777" w:rsidR="00924AF1" w:rsidRPr="00765F63" w:rsidRDefault="00924AF1" w:rsidP="0097587C">
            <w:pPr>
              <w:pStyle w:val="Zkladntext3"/>
              <w:spacing w:after="0"/>
              <w:rPr>
                <w:b/>
                <w:bCs/>
                <w:sz w:val="22"/>
                <w:szCs w:val="22"/>
                <w:lang w:val="sk-SK"/>
              </w:rPr>
            </w:pPr>
            <w:r w:rsidRPr="00765F63">
              <w:rPr>
                <w:b/>
                <w:color w:val="000000"/>
                <w:sz w:val="22"/>
                <w:szCs w:val="22"/>
                <w:lang w:val="sk-SK"/>
              </w:rPr>
              <w:t>Nežiaduci účinok</w:t>
            </w:r>
          </w:p>
        </w:tc>
      </w:tr>
      <w:tr w:rsidR="00EA3312" w:rsidRPr="0097587C" w14:paraId="74EA8F5B" w14:textId="77777777" w:rsidTr="00EC444A">
        <w:trPr>
          <w:cantSplit/>
          <w:trHeight w:val="690"/>
        </w:trPr>
        <w:tc>
          <w:tcPr>
            <w:tcW w:w="1431" w:type="pct"/>
          </w:tcPr>
          <w:p w14:paraId="79039A16" w14:textId="77777777" w:rsidR="00EA3312" w:rsidRPr="007C2E6D" w:rsidRDefault="00EA3312" w:rsidP="00293D32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krvi a</w:t>
            </w:r>
            <w:r w:rsidR="00F3370B">
              <w:rPr>
                <w:color w:val="000000"/>
                <w:sz w:val="22"/>
                <w:szCs w:val="22"/>
              </w:rPr>
              <w:t> </w:t>
            </w:r>
            <w:r w:rsidRPr="007C2E6D">
              <w:rPr>
                <w:color w:val="000000"/>
                <w:sz w:val="22"/>
                <w:szCs w:val="22"/>
              </w:rPr>
              <w:t xml:space="preserve">lymfatického systému </w:t>
            </w:r>
          </w:p>
        </w:tc>
        <w:tc>
          <w:tcPr>
            <w:tcW w:w="1026" w:type="pct"/>
          </w:tcPr>
          <w:p w14:paraId="1A3B3FEC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6E0FF30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 xml:space="preserve">poruchy </w:t>
            </w:r>
            <w:proofErr w:type="spellStart"/>
            <w:r w:rsidRPr="00765F63">
              <w:rPr>
                <w:sz w:val="22"/>
                <w:szCs w:val="22"/>
              </w:rPr>
              <w:t>krvotvorby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neutropénia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agranulocytóza</w:t>
            </w:r>
            <w:proofErr w:type="spellEnd"/>
            <w:r w:rsidRPr="00765F63">
              <w:rPr>
                <w:sz w:val="22"/>
                <w:szCs w:val="22"/>
              </w:rPr>
              <w:t xml:space="preserve">, aplastická </w:t>
            </w:r>
            <w:proofErr w:type="spellStart"/>
            <w:r w:rsidRPr="00765F63">
              <w:rPr>
                <w:sz w:val="22"/>
                <w:szCs w:val="22"/>
              </w:rPr>
              <w:t>alebo</w:t>
            </w:r>
            <w:proofErr w:type="spellEnd"/>
            <w:r w:rsidRPr="00765F63">
              <w:rPr>
                <w:sz w:val="22"/>
                <w:szCs w:val="22"/>
              </w:rPr>
              <w:t xml:space="preserve"> hemolytická </w:t>
            </w:r>
            <w:proofErr w:type="spellStart"/>
            <w:r w:rsidRPr="00765F63">
              <w:rPr>
                <w:sz w:val="22"/>
                <w:szCs w:val="22"/>
              </w:rPr>
              <w:t>anémia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trombocytopénia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1AA78ECB" w14:textId="77777777" w:rsidTr="00EC444A">
        <w:trPr>
          <w:cantSplit/>
          <w:trHeight w:val="690"/>
        </w:trPr>
        <w:tc>
          <w:tcPr>
            <w:tcW w:w="1431" w:type="pct"/>
          </w:tcPr>
          <w:p w14:paraId="658A8B2B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imunitného</w:t>
            </w:r>
            <w:proofErr w:type="spellEnd"/>
            <w:r w:rsidRPr="007C2E6D">
              <w:rPr>
                <w:sz w:val="22"/>
                <w:szCs w:val="22"/>
              </w:rPr>
              <w:t xml:space="preserve"> systému</w:t>
            </w:r>
          </w:p>
        </w:tc>
        <w:tc>
          <w:tcPr>
            <w:tcW w:w="1026" w:type="pct"/>
          </w:tcPr>
          <w:p w14:paraId="0F09ED3B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0ADEA689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hypersenzitívna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reakcia</w:t>
            </w:r>
            <w:proofErr w:type="spellEnd"/>
            <w:r w:rsidRPr="00765F63">
              <w:rPr>
                <w:sz w:val="22"/>
                <w:szCs w:val="22"/>
              </w:rPr>
              <w:t xml:space="preserve"> (</w:t>
            </w:r>
            <w:proofErr w:type="spellStart"/>
            <w:r w:rsidRPr="00765F63">
              <w:rPr>
                <w:sz w:val="22"/>
                <w:szCs w:val="22"/>
              </w:rPr>
              <w:t>horúčka</w:t>
            </w:r>
            <w:proofErr w:type="spellEnd"/>
            <w:r w:rsidRPr="00765F63">
              <w:rPr>
                <w:sz w:val="22"/>
                <w:szCs w:val="22"/>
              </w:rPr>
              <w:t xml:space="preserve">, vyrážka, </w:t>
            </w:r>
            <w:proofErr w:type="spellStart"/>
            <w:r w:rsidRPr="00765F63">
              <w:rPr>
                <w:sz w:val="22"/>
                <w:szCs w:val="22"/>
              </w:rPr>
              <w:t>hepatotoxicita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6531F596" w14:textId="77777777" w:rsidTr="00EC444A">
        <w:trPr>
          <w:cantSplit/>
          <w:trHeight w:val="566"/>
        </w:trPr>
        <w:tc>
          <w:tcPr>
            <w:tcW w:w="1431" w:type="pct"/>
          </w:tcPr>
          <w:p w14:paraId="291DBDFD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1026" w:type="pct"/>
          </w:tcPr>
          <w:p w14:paraId="750E6E3F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45A850D6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retencia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sodíka</w:t>
            </w:r>
            <w:proofErr w:type="spellEnd"/>
            <w:r w:rsidRPr="00765F63">
              <w:rPr>
                <w:sz w:val="22"/>
                <w:szCs w:val="22"/>
              </w:rPr>
              <w:t xml:space="preserve"> a </w:t>
            </w:r>
            <w:proofErr w:type="spellStart"/>
            <w:r w:rsidRPr="00765F63">
              <w:rPr>
                <w:sz w:val="22"/>
                <w:szCs w:val="22"/>
              </w:rPr>
              <w:t>tekutín</w:t>
            </w:r>
            <w:proofErr w:type="spellEnd"/>
          </w:p>
        </w:tc>
      </w:tr>
      <w:tr w:rsidR="00EA3312" w:rsidRPr="0097587C" w14:paraId="7D3858D2" w14:textId="77777777" w:rsidTr="00EC444A">
        <w:trPr>
          <w:cantSplit/>
          <w:trHeight w:val="435"/>
        </w:trPr>
        <w:tc>
          <w:tcPr>
            <w:tcW w:w="1431" w:type="pct"/>
          </w:tcPr>
          <w:p w14:paraId="48A75F26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Psychické poruchy</w:t>
            </w:r>
          </w:p>
        </w:tc>
        <w:tc>
          <w:tcPr>
            <w:tcW w:w="1026" w:type="pct"/>
          </w:tcPr>
          <w:p w14:paraId="57F9FE9C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2CA97D4A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proofErr w:type="spellStart"/>
            <w:r w:rsidRPr="00765F63">
              <w:rPr>
                <w:sz w:val="22"/>
                <w:szCs w:val="22"/>
              </w:rPr>
              <w:t>nespavosť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depresia</w:t>
            </w:r>
            <w:proofErr w:type="spellEnd"/>
            <w:r w:rsidRPr="00765F63">
              <w:rPr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sz w:val="22"/>
                <w:szCs w:val="22"/>
              </w:rPr>
              <w:t>emočná</w:t>
            </w:r>
            <w:proofErr w:type="spellEnd"/>
            <w:r w:rsidRPr="00765F63">
              <w:rPr>
                <w:sz w:val="22"/>
                <w:szCs w:val="22"/>
              </w:rPr>
              <w:t xml:space="preserve"> labilita</w:t>
            </w:r>
          </w:p>
        </w:tc>
      </w:tr>
      <w:tr w:rsidR="00EA3312" w:rsidRPr="0097587C" w14:paraId="001498F6" w14:textId="77777777" w:rsidTr="00EC444A">
        <w:trPr>
          <w:cantSplit/>
          <w:trHeight w:val="288"/>
        </w:trPr>
        <w:tc>
          <w:tcPr>
            <w:tcW w:w="1431" w:type="pct"/>
            <w:vMerge w:val="restart"/>
          </w:tcPr>
          <w:p w14:paraId="75B4616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  <w:r w:rsidRPr="007C2E6D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026" w:type="pct"/>
          </w:tcPr>
          <w:p w14:paraId="240A9D97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7C2E6D">
              <w:rPr>
                <w:sz w:val="22"/>
                <w:szCs w:val="22"/>
              </w:rPr>
              <w:t>menej</w:t>
            </w:r>
            <w:proofErr w:type="spellEnd"/>
            <w:r w:rsidRPr="007C2E6D">
              <w:rPr>
                <w:sz w:val="22"/>
                <w:szCs w:val="22"/>
              </w:rPr>
              <w:t xml:space="preserve"> časté</w:t>
            </w:r>
          </w:p>
        </w:tc>
        <w:tc>
          <w:tcPr>
            <w:tcW w:w="2543" w:type="pct"/>
          </w:tcPr>
          <w:p w14:paraId="464C8199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765F63">
              <w:rPr>
                <w:sz w:val="22"/>
                <w:szCs w:val="22"/>
              </w:rPr>
              <w:t>závraty, bolesti hlavy</w:t>
            </w:r>
          </w:p>
        </w:tc>
      </w:tr>
      <w:tr w:rsidR="00EA3312" w:rsidRPr="0097587C" w14:paraId="6EC06FE0" w14:textId="77777777" w:rsidTr="00EC444A">
        <w:trPr>
          <w:cantSplit/>
          <w:trHeight w:val="288"/>
        </w:trPr>
        <w:tc>
          <w:tcPr>
            <w:tcW w:w="1431" w:type="pct"/>
            <w:vMerge/>
          </w:tcPr>
          <w:p w14:paraId="313CC8B2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EC1868" w14:textId="77777777" w:rsidR="00EA3312" w:rsidRPr="007C2E6D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370F054" w14:textId="77777777" w:rsidR="00EA3312" w:rsidRPr="00765F63" w:rsidRDefault="00EA3312" w:rsidP="00126DDD">
            <w:pPr>
              <w:pStyle w:val="Zkladntext3"/>
              <w:spacing w:after="0"/>
              <w:rPr>
                <w:sz w:val="22"/>
                <w:szCs w:val="22"/>
              </w:rPr>
            </w:pPr>
            <w:r w:rsidRPr="000B7EE9">
              <w:rPr>
                <w:sz w:val="22"/>
                <w:szCs w:val="22"/>
              </w:rPr>
              <w:t xml:space="preserve">aseptická </w:t>
            </w:r>
            <w:proofErr w:type="spellStart"/>
            <w:r w:rsidRPr="000B7EE9">
              <w:rPr>
                <w:sz w:val="22"/>
                <w:szCs w:val="22"/>
              </w:rPr>
              <w:t>meningitída</w:t>
            </w:r>
            <w:proofErr w:type="spellEnd"/>
            <w:r w:rsidRPr="000B7EE9">
              <w:rPr>
                <w:sz w:val="22"/>
                <w:szCs w:val="22"/>
              </w:rPr>
              <w:t xml:space="preserve"> (zvlášť u </w:t>
            </w:r>
            <w:proofErr w:type="spellStart"/>
            <w:r w:rsidRPr="000B7EE9">
              <w:rPr>
                <w:sz w:val="22"/>
                <w:szCs w:val="22"/>
              </w:rPr>
              <w:t>pacientov</w:t>
            </w:r>
            <w:proofErr w:type="spellEnd"/>
            <w:r w:rsidRPr="000B7EE9">
              <w:rPr>
                <w:sz w:val="22"/>
                <w:szCs w:val="22"/>
              </w:rPr>
              <w:t xml:space="preserve"> so systémovým </w:t>
            </w:r>
            <w:r w:rsidRPr="000B7EE9">
              <w:rPr>
                <w:i/>
                <w:sz w:val="22"/>
                <w:szCs w:val="22"/>
              </w:rPr>
              <w:t xml:space="preserve">lupus </w:t>
            </w:r>
            <w:proofErr w:type="spellStart"/>
            <w:r w:rsidRPr="000B7EE9">
              <w:rPr>
                <w:i/>
                <w:sz w:val="22"/>
                <w:szCs w:val="22"/>
              </w:rPr>
              <w:t>erythematosus</w:t>
            </w:r>
            <w:proofErr w:type="spellEnd"/>
            <w:r w:rsidRPr="000B7EE9">
              <w:rPr>
                <w:sz w:val="22"/>
                <w:szCs w:val="22"/>
              </w:rPr>
              <w:t xml:space="preserve"> a u </w:t>
            </w:r>
            <w:proofErr w:type="spellStart"/>
            <w:r w:rsidRPr="000B7EE9">
              <w:rPr>
                <w:sz w:val="22"/>
                <w:szCs w:val="22"/>
              </w:rPr>
              <w:t>niektorých</w:t>
            </w:r>
            <w:proofErr w:type="spellEnd"/>
            <w:r w:rsidRPr="000B7EE9">
              <w:rPr>
                <w:sz w:val="22"/>
                <w:szCs w:val="22"/>
              </w:rPr>
              <w:t xml:space="preserve"> kolagenóz)</w:t>
            </w:r>
          </w:p>
        </w:tc>
      </w:tr>
      <w:tr w:rsidR="00EA3312" w:rsidRPr="0097587C" w14:paraId="7AC1F023" w14:textId="77777777" w:rsidTr="00EC444A">
        <w:trPr>
          <w:cantSplit/>
          <w:trHeight w:val="644"/>
        </w:trPr>
        <w:tc>
          <w:tcPr>
            <w:tcW w:w="1431" w:type="pct"/>
          </w:tcPr>
          <w:p w14:paraId="6790C867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Poruchy oka</w:t>
            </w:r>
          </w:p>
        </w:tc>
        <w:tc>
          <w:tcPr>
            <w:tcW w:w="1026" w:type="pct"/>
          </w:tcPr>
          <w:p w14:paraId="38650424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165CA210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126DDD">
              <w:rPr>
                <w:sz w:val="22"/>
                <w:szCs w:val="22"/>
              </w:rPr>
              <w:t xml:space="preserve">poruchy vízu, poruchy </w:t>
            </w:r>
            <w:proofErr w:type="spellStart"/>
            <w:r w:rsidRPr="00126DDD">
              <w:rPr>
                <w:sz w:val="22"/>
                <w:szCs w:val="22"/>
              </w:rPr>
              <w:t>percepcie</w:t>
            </w:r>
            <w:proofErr w:type="spellEnd"/>
            <w:r w:rsidRPr="00126DDD">
              <w:rPr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sz w:val="22"/>
                <w:szCs w:val="22"/>
              </w:rPr>
              <w:t>farieb</w:t>
            </w:r>
            <w:proofErr w:type="spellEnd"/>
            <w:r w:rsidRPr="00126DDD">
              <w:rPr>
                <w:sz w:val="22"/>
                <w:szCs w:val="22"/>
              </w:rPr>
              <w:t xml:space="preserve">, toxická </w:t>
            </w:r>
            <w:proofErr w:type="spellStart"/>
            <w:r w:rsidRPr="00126DDD">
              <w:rPr>
                <w:sz w:val="22"/>
                <w:szCs w:val="22"/>
              </w:rPr>
              <w:t>amblyopia</w:t>
            </w:r>
            <w:proofErr w:type="spellEnd"/>
          </w:p>
        </w:tc>
      </w:tr>
      <w:tr w:rsidR="00EA3312" w:rsidRPr="0097587C" w14:paraId="496E3E7C" w14:textId="77777777" w:rsidTr="00EC444A">
        <w:trPr>
          <w:cantSplit/>
          <w:trHeight w:val="427"/>
        </w:trPr>
        <w:tc>
          <w:tcPr>
            <w:tcW w:w="1431" w:type="pct"/>
          </w:tcPr>
          <w:p w14:paraId="7D2674F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Poruchy ucha a labyrintu</w:t>
            </w:r>
          </w:p>
        </w:tc>
        <w:tc>
          <w:tcPr>
            <w:tcW w:w="1026" w:type="pct"/>
          </w:tcPr>
          <w:p w14:paraId="4762D491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543" w:type="pct"/>
          </w:tcPr>
          <w:p w14:paraId="3581A39B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>porucha sluchu</w:t>
            </w:r>
          </w:p>
        </w:tc>
      </w:tr>
      <w:tr w:rsidR="00EA3312" w:rsidRPr="0097587C" w14:paraId="1B2DC570" w14:textId="77777777" w:rsidTr="00EC444A">
        <w:trPr>
          <w:cantSplit/>
          <w:trHeight w:val="288"/>
        </w:trPr>
        <w:tc>
          <w:tcPr>
            <w:tcW w:w="1431" w:type="pct"/>
            <w:vMerge w:val="restart"/>
          </w:tcPr>
          <w:p w14:paraId="255FF856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sz w:val="22"/>
                <w:szCs w:val="22"/>
              </w:rPr>
              <w:t>srdca</w:t>
            </w:r>
            <w:proofErr w:type="spellEnd"/>
            <w:r w:rsidRPr="007C2E6D">
              <w:rPr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sz w:val="22"/>
                <w:szCs w:val="22"/>
              </w:rPr>
              <w:t>srdcovej</w:t>
            </w:r>
            <w:proofErr w:type="spellEnd"/>
            <w:r w:rsidRPr="007C2E6D">
              <w:rPr>
                <w:sz w:val="22"/>
                <w:szCs w:val="22"/>
              </w:rPr>
              <w:t xml:space="preserve"> činnosti</w:t>
            </w:r>
          </w:p>
        </w:tc>
        <w:tc>
          <w:tcPr>
            <w:tcW w:w="1026" w:type="pct"/>
          </w:tcPr>
          <w:p w14:paraId="6DC6B42F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AFB7112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sz w:val="22"/>
                <w:szCs w:val="22"/>
              </w:rPr>
              <w:t>zlyhávanie</w:t>
            </w:r>
            <w:proofErr w:type="spellEnd"/>
            <w:r w:rsidRPr="00765F63">
              <w:rPr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sz w:val="22"/>
                <w:szCs w:val="22"/>
              </w:rPr>
              <w:t>srdca</w:t>
            </w:r>
            <w:proofErr w:type="spellEnd"/>
          </w:p>
        </w:tc>
      </w:tr>
      <w:tr w:rsidR="00EA3312" w:rsidRPr="0097587C" w14:paraId="5A9F8B23" w14:textId="77777777" w:rsidTr="00EC444A">
        <w:trPr>
          <w:cantSplit/>
          <w:trHeight w:val="288"/>
        </w:trPr>
        <w:tc>
          <w:tcPr>
            <w:tcW w:w="1431" w:type="pct"/>
            <w:vMerge/>
          </w:tcPr>
          <w:p w14:paraId="45FC23F1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</w:tcPr>
          <w:p w14:paraId="74FBAE9D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EE9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0B7EE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7666A39C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0B7EE9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EA3312" w:rsidRPr="0097587C" w14:paraId="5B37B80C" w14:textId="77777777" w:rsidTr="00EC444A">
        <w:trPr>
          <w:cantSplit/>
          <w:trHeight w:val="690"/>
        </w:trPr>
        <w:tc>
          <w:tcPr>
            <w:tcW w:w="1431" w:type="pct"/>
          </w:tcPr>
          <w:p w14:paraId="35A9941C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1026" w:type="pct"/>
          </w:tcPr>
          <w:p w14:paraId="45A3BA3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65F63">
              <w:rPr>
                <w:color w:val="000000"/>
                <w:sz w:val="22"/>
                <w:szCs w:val="22"/>
              </w:rPr>
              <w:t>veľmi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65F6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</w:tcPr>
          <w:p w14:paraId="352B5A66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126DDD">
              <w:rPr>
                <w:sz w:val="22"/>
                <w:szCs w:val="22"/>
              </w:rPr>
              <w:t>hypertenzia</w:t>
            </w:r>
            <w:proofErr w:type="spellEnd"/>
          </w:p>
        </w:tc>
      </w:tr>
      <w:tr w:rsidR="00EA3312" w:rsidRPr="0097587C" w14:paraId="1ECD5B98" w14:textId="77777777" w:rsidTr="00EC444A">
        <w:trPr>
          <w:cantSplit/>
          <w:trHeight w:val="630"/>
        </w:trPr>
        <w:tc>
          <w:tcPr>
            <w:tcW w:w="1431" w:type="pct"/>
            <w:tcBorders>
              <w:bottom w:val="single" w:sz="4" w:space="0" w:color="auto"/>
            </w:tcBorders>
          </w:tcPr>
          <w:p w14:paraId="039C78A8" w14:textId="77777777" w:rsidR="00EA3312" w:rsidRPr="007C2E6D" w:rsidRDefault="00EA3312" w:rsidP="007C2E6D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dýchacej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sústavy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hrudníka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a </w:t>
            </w:r>
            <w:proofErr w:type="spellStart"/>
            <w:r w:rsidRPr="007C2E6D">
              <w:rPr>
                <w:color w:val="000000"/>
                <w:sz w:val="22"/>
                <w:szCs w:val="22"/>
              </w:rPr>
              <w:t>mediastína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4CD85C5" w14:textId="77777777" w:rsidR="00EA3312" w:rsidRPr="00765F63" w:rsidRDefault="00EA3312" w:rsidP="00765F63">
            <w:pPr>
              <w:pStyle w:val="Zkladntext3"/>
              <w:spacing w:after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7C2E6D">
              <w:rPr>
                <w:color w:val="000000"/>
                <w:sz w:val="22"/>
                <w:szCs w:val="22"/>
              </w:rPr>
              <w:t>zriedkavé</w:t>
            </w:r>
            <w:proofErr w:type="spellEnd"/>
            <w:r w:rsidRPr="007C2E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7B91AE01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sz w:val="22"/>
                <w:szCs w:val="22"/>
              </w:rPr>
              <w:t>bronchospazmus (</w:t>
            </w:r>
            <w:proofErr w:type="spellStart"/>
            <w:r w:rsidRPr="00765F63">
              <w:rPr>
                <w:sz w:val="22"/>
                <w:szCs w:val="22"/>
              </w:rPr>
              <w:t>hlavne</w:t>
            </w:r>
            <w:proofErr w:type="spellEnd"/>
            <w:r w:rsidRPr="00765F63">
              <w:rPr>
                <w:sz w:val="22"/>
                <w:szCs w:val="22"/>
              </w:rPr>
              <w:t xml:space="preserve"> u </w:t>
            </w:r>
            <w:proofErr w:type="spellStart"/>
            <w:r w:rsidRPr="00765F63">
              <w:rPr>
                <w:sz w:val="22"/>
                <w:szCs w:val="22"/>
              </w:rPr>
              <w:t>astmatikov</w:t>
            </w:r>
            <w:proofErr w:type="spellEnd"/>
            <w:r w:rsidRPr="00765F63">
              <w:rPr>
                <w:sz w:val="22"/>
                <w:szCs w:val="22"/>
              </w:rPr>
              <w:t>)</w:t>
            </w:r>
          </w:p>
        </w:tc>
      </w:tr>
      <w:tr w:rsidR="00EA3312" w:rsidRPr="0097587C" w14:paraId="0948E8C4" w14:textId="77777777" w:rsidTr="00EC444A">
        <w:trPr>
          <w:cantSplit/>
          <w:trHeight w:val="690"/>
        </w:trPr>
        <w:tc>
          <w:tcPr>
            <w:tcW w:w="1431" w:type="pct"/>
            <w:vMerge w:val="restart"/>
            <w:tcBorders>
              <w:bottom w:val="single" w:sz="4" w:space="0" w:color="auto"/>
            </w:tcBorders>
          </w:tcPr>
          <w:p w14:paraId="473F9A2E" w14:textId="77777777" w:rsidR="00EA3312" w:rsidRPr="007C2E6D" w:rsidRDefault="00EA3312" w:rsidP="007C2E6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C2E6D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7C2E6D">
              <w:rPr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7C2E6D">
              <w:rPr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E0AA6E2" w14:textId="77777777" w:rsidR="00EA3312" w:rsidRPr="00765F63" w:rsidRDefault="00EA3312" w:rsidP="00765F63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765F63">
              <w:rPr>
                <w:color w:val="000000"/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9B11394" w14:textId="77777777" w:rsidR="00EA3312" w:rsidRPr="00126DDD" w:rsidRDefault="00EA3312" w:rsidP="00126DDD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126DDD">
              <w:rPr>
                <w:sz w:val="22"/>
                <w:szCs w:val="22"/>
                <w:lang w:val="sk-SK"/>
              </w:rPr>
              <w:t>nauzea, vracanie, pálenie záhy, hnačka, obstipácia, nadúvanie</w:t>
            </w:r>
          </w:p>
        </w:tc>
      </w:tr>
      <w:tr w:rsidR="00EA3312" w:rsidRPr="0097587C" w14:paraId="30BDD99C" w14:textId="77777777" w:rsidTr="00EC444A">
        <w:trPr>
          <w:cantSplit/>
          <w:trHeight w:val="390"/>
        </w:trPr>
        <w:tc>
          <w:tcPr>
            <w:tcW w:w="1431" w:type="pct"/>
            <w:vMerge/>
            <w:tcBorders>
              <w:top w:val="single" w:sz="4" w:space="0" w:color="auto"/>
            </w:tcBorders>
          </w:tcPr>
          <w:p w14:paraId="4D164C11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tcBorders>
              <w:top w:val="single" w:sz="4" w:space="0" w:color="auto"/>
            </w:tcBorders>
            <w:vAlign w:val="center"/>
          </w:tcPr>
          <w:p w14:paraId="6B711019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6B838CC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>bolesti v 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epigastriu</w:t>
            </w:r>
            <w:proofErr w:type="spellEnd"/>
          </w:p>
        </w:tc>
      </w:tr>
      <w:tr w:rsidR="00EA3312" w:rsidRPr="0097587C" w14:paraId="2B64565C" w14:textId="77777777" w:rsidTr="00EC444A">
        <w:trPr>
          <w:cantSplit/>
        </w:trPr>
        <w:tc>
          <w:tcPr>
            <w:tcW w:w="1431" w:type="pct"/>
            <w:vMerge/>
          </w:tcPr>
          <w:p w14:paraId="7E520B9C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2C946CFD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543" w:type="pct"/>
          </w:tcPr>
          <w:p w14:paraId="5525EF90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sz w:val="22"/>
                <w:szCs w:val="22"/>
                <w:lang w:val="sk-SK"/>
              </w:rPr>
              <w:t xml:space="preserve">gastritída, žalúdočný vred,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duodenálny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vred, krvácanie z GIT (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melena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hematemeza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), perforácia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EA3312" w:rsidRPr="0097587C" w14:paraId="179245F7" w14:textId="77777777" w:rsidTr="00EC444A">
        <w:trPr>
          <w:cantSplit/>
        </w:trPr>
        <w:tc>
          <w:tcPr>
            <w:tcW w:w="1431" w:type="pct"/>
            <w:vMerge/>
          </w:tcPr>
          <w:p w14:paraId="4351C23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</w:p>
        </w:tc>
        <w:tc>
          <w:tcPr>
            <w:tcW w:w="1026" w:type="pct"/>
            <w:vAlign w:val="center"/>
          </w:tcPr>
          <w:p w14:paraId="32958E8E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r w:rsidRPr="0097587C">
              <w:rPr>
                <w:color w:val="000000"/>
                <w:sz w:val="22"/>
                <w:szCs w:val="22"/>
                <w:lang w:val="sk-SK"/>
              </w:rPr>
              <w:t xml:space="preserve">veľmi zriedkavé </w:t>
            </w:r>
          </w:p>
        </w:tc>
        <w:tc>
          <w:tcPr>
            <w:tcW w:w="2543" w:type="pct"/>
          </w:tcPr>
          <w:p w14:paraId="2E8AA2BF" w14:textId="77777777" w:rsidR="00EA3312" w:rsidRPr="0097587C" w:rsidRDefault="00EA3312" w:rsidP="0097587C">
            <w:pPr>
              <w:pStyle w:val="Zkladntext3"/>
              <w:spacing w:after="0"/>
              <w:rPr>
                <w:sz w:val="22"/>
                <w:szCs w:val="22"/>
                <w:lang w:val="sk-SK"/>
              </w:rPr>
            </w:pPr>
            <w:proofErr w:type="spellStart"/>
            <w:r w:rsidRPr="0097587C">
              <w:rPr>
                <w:sz w:val="22"/>
                <w:szCs w:val="22"/>
                <w:lang w:val="sk-SK"/>
              </w:rPr>
              <w:t>ulcerózna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choroby,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ulceróznej</w:t>
            </w:r>
            <w:proofErr w:type="spellEnd"/>
            <w:r w:rsidRPr="009758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7587C">
              <w:rPr>
                <w:sz w:val="22"/>
                <w:szCs w:val="22"/>
                <w:lang w:val="sk-SK"/>
              </w:rPr>
              <w:t>kolitídy</w:t>
            </w:r>
            <w:proofErr w:type="spellEnd"/>
          </w:p>
        </w:tc>
      </w:tr>
      <w:tr w:rsidR="00EA3312" w:rsidRPr="0097587C" w14:paraId="1D51AEBD" w14:textId="77777777" w:rsidTr="00EC444A">
        <w:trPr>
          <w:cantSplit/>
          <w:trHeight w:val="575"/>
        </w:trPr>
        <w:tc>
          <w:tcPr>
            <w:tcW w:w="1431" w:type="pct"/>
            <w:tcBorders>
              <w:bottom w:val="single" w:sz="4" w:space="0" w:color="auto"/>
            </w:tcBorders>
          </w:tcPr>
          <w:p w14:paraId="6192E0A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pečene a žlčových ciest 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AC080C4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  <w:tcBorders>
              <w:bottom w:val="single" w:sz="4" w:space="0" w:color="auto"/>
            </w:tcBorders>
          </w:tcPr>
          <w:p w14:paraId="2618B7D8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poruchy pečeňových funkcií (zvyčajne reverzibilné)</w:t>
            </w:r>
          </w:p>
        </w:tc>
      </w:tr>
      <w:tr w:rsidR="00EA3312" w:rsidRPr="0097587C" w14:paraId="329CB148" w14:textId="77777777" w:rsidTr="00EC444A">
        <w:trPr>
          <w:cantSplit/>
          <w:trHeight w:val="676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742" w14:textId="77777777" w:rsidR="002D3EDE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>Poruchy kože a</w:t>
            </w:r>
            <w:r w:rsidR="00F3370B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podkožného tkaniva </w:t>
            </w:r>
          </w:p>
          <w:p w14:paraId="38856D9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7C6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9AF" w14:textId="77777777" w:rsidR="002D3EDE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bulózna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reakcia vrátane </w:t>
            </w:r>
            <w:proofErr w:type="spellStart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>Stevensovho-Johnsonovho</w:t>
            </w:r>
            <w:proofErr w:type="spellEnd"/>
            <w:r w:rsidRPr="00765F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syndrómu a </w:t>
            </w:r>
            <w:r w:rsidRPr="00126DDD">
              <w:rPr>
                <w:rFonts w:ascii="Times New Roman" w:hAnsi="Times New Roman"/>
                <w:sz w:val="22"/>
                <w:szCs w:val="22"/>
              </w:rPr>
              <w:t xml:space="preserve">toxickej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epidermálnej</w:t>
            </w:r>
            <w:proofErr w:type="spellEnd"/>
            <w:r w:rsidRPr="00126D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26DDD">
              <w:rPr>
                <w:rFonts w:ascii="Times New Roman" w:hAnsi="Times New Roman"/>
                <w:sz w:val="22"/>
                <w:szCs w:val="22"/>
              </w:rPr>
              <w:t>nekrolýzy</w:t>
            </w:r>
            <w:proofErr w:type="spellEnd"/>
          </w:p>
          <w:p w14:paraId="30010800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312" w:rsidRPr="0097587C" w14:paraId="19D223C1" w14:textId="77777777" w:rsidTr="00EC444A">
        <w:trPr>
          <w:cantSplit/>
          <w:trHeight w:val="687"/>
        </w:trPr>
        <w:tc>
          <w:tcPr>
            <w:tcW w:w="1431" w:type="pct"/>
            <w:tcBorders>
              <w:top w:val="single" w:sz="4" w:space="0" w:color="auto"/>
            </w:tcBorders>
          </w:tcPr>
          <w:p w14:paraId="4049E35C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Poruchy obličiek a močových ciest 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6DA40FD8" w14:textId="77777777" w:rsidR="00EA3312" w:rsidRPr="00F60143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</w:tc>
        <w:tc>
          <w:tcPr>
            <w:tcW w:w="2543" w:type="pct"/>
            <w:tcBorders>
              <w:top w:val="single" w:sz="4" w:space="0" w:color="auto"/>
            </w:tcBorders>
          </w:tcPr>
          <w:p w14:paraId="4A00BFF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cystitída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hematúria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, poruchy obličkových funkcií vrátane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intersticiálnej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nefritídy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alebo </w:t>
            </w:r>
            <w:proofErr w:type="spellStart"/>
            <w:r w:rsidRPr="00765F63">
              <w:rPr>
                <w:rFonts w:ascii="Times New Roman" w:hAnsi="Times New Roman"/>
                <w:sz w:val="22"/>
                <w:szCs w:val="22"/>
              </w:rPr>
              <w:t>nefrotického</w:t>
            </w:r>
            <w:proofErr w:type="spellEnd"/>
            <w:r w:rsidRPr="00765F63">
              <w:rPr>
                <w:rFonts w:ascii="Times New Roman" w:hAnsi="Times New Roman"/>
                <w:sz w:val="22"/>
                <w:szCs w:val="22"/>
              </w:rPr>
              <w:t xml:space="preserve"> syndrómu</w:t>
            </w:r>
          </w:p>
        </w:tc>
      </w:tr>
      <w:tr w:rsidR="00EA3312" w:rsidRPr="0097587C" w14:paraId="715B8AAF" w14:textId="77777777" w:rsidTr="00EC444A">
        <w:tc>
          <w:tcPr>
            <w:tcW w:w="1431" w:type="pct"/>
          </w:tcPr>
          <w:p w14:paraId="2DB26A99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1026" w:type="pct"/>
          </w:tcPr>
          <w:p w14:paraId="30B02E00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zriedkavé </w:t>
            </w:r>
          </w:p>
        </w:tc>
        <w:tc>
          <w:tcPr>
            <w:tcW w:w="2543" w:type="pct"/>
          </w:tcPr>
          <w:p w14:paraId="71E1753D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edémy</w:t>
            </w:r>
          </w:p>
        </w:tc>
      </w:tr>
      <w:tr w:rsidR="00EA3312" w:rsidRPr="0097587C" w14:paraId="57B5F55A" w14:textId="77777777" w:rsidTr="00EC444A">
        <w:tc>
          <w:tcPr>
            <w:tcW w:w="1431" w:type="pct"/>
          </w:tcPr>
          <w:p w14:paraId="5FE46092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sz w:val="22"/>
                <w:szCs w:val="22"/>
              </w:rPr>
              <w:t>Laboratórne a funkčné vyšetrenia</w:t>
            </w:r>
          </w:p>
        </w:tc>
        <w:tc>
          <w:tcPr>
            <w:tcW w:w="1026" w:type="pct"/>
          </w:tcPr>
          <w:p w14:paraId="5759AAC3" w14:textId="77777777" w:rsidR="00EA3312" w:rsidRPr="007C2E6D" w:rsidRDefault="00EA3312" w:rsidP="007C2E6D">
            <w:pPr>
              <w:pStyle w:val="Zkladn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2E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veľmi zriedkavé   </w:t>
            </w:r>
          </w:p>
        </w:tc>
        <w:tc>
          <w:tcPr>
            <w:tcW w:w="2543" w:type="pct"/>
          </w:tcPr>
          <w:p w14:paraId="25F8DFFF" w14:textId="77777777" w:rsidR="00EA3312" w:rsidRPr="00765F63" w:rsidRDefault="00EA3312" w:rsidP="00765F63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765F63">
              <w:rPr>
                <w:rFonts w:ascii="Times New Roman" w:hAnsi="Times New Roman"/>
                <w:sz w:val="22"/>
                <w:szCs w:val="22"/>
              </w:rPr>
              <w:t>pokles krvného tlaku</w:t>
            </w:r>
          </w:p>
        </w:tc>
      </w:tr>
    </w:tbl>
    <w:p w14:paraId="7A9274FA" w14:textId="77777777" w:rsidR="00CC3154" w:rsidRPr="007C2E6D" w:rsidRDefault="00CC3154" w:rsidP="007C2E6D">
      <w:pPr>
        <w:pStyle w:val="Zkladntext"/>
        <w:rPr>
          <w:rFonts w:ascii="Times New Roman" w:hAnsi="Times New Roman"/>
          <w:sz w:val="22"/>
          <w:szCs w:val="22"/>
        </w:rPr>
      </w:pPr>
    </w:p>
    <w:p w14:paraId="5F9EA19D" w14:textId="77777777" w:rsidR="00924AF1" w:rsidRPr="007C2E6D" w:rsidRDefault="00924AF1" w:rsidP="00765F63">
      <w:pPr>
        <w:pStyle w:val="Zkladntext"/>
        <w:rPr>
          <w:rFonts w:ascii="Times New Roman" w:hAnsi="Times New Roman"/>
          <w:sz w:val="22"/>
          <w:szCs w:val="22"/>
        </w:rPr>
      </w:pPr>
      <w:r w:rsidRPr="007C2E6D">
        <w:rPr>
          <w:rFonts w:ascii="Times New Roman" w:hAnsi="Times New Roman"/>
          <w:sz w:val="22"/>
          <w:szCs w:val="22"/>
        </w:rPr>
        <w:t xml:space="preserve">Medzi nežiaducimi účinkami sú </w:t>
      </w:r>
      <w:proofErr w:type="spellStart"/>
      <w:r w:rsidRPr="007C2E6D">
        <w:rPr>
          <w:rFonts w:ascii="Times New Roman" w:hAnsi="Times New Roman"/>
          <w:sz w:val="22"/>
          <w:szCs w:val="22"/>
        </w:rPr>
        <w:t>gastrointestinálne</w:t>
      </w:r>
      <w:proofErr w:type="spellEnd"/>
      <w:r w:rsidRPr="007C2E6D">
        <w:rPr>
          <w:rFonts w:ascii="Times New Roman" w:hAnsi="Times New Roman"/>
          <w:sz w:val="22"/>
          <w:szCs w:val="22"/>
        </w:rPr>
        <w:t xml:space="preserve"> nežiaduce účinky najčastejšie. Môže sa vyskytnúť žalúdočný vred, perforácia alebo GI krvácanie, ktoré môžu byť fatálne.</w:t>
      </w:r>
    </w:p>
    <w:p w14:paraId="63AAFB8B" w14:textId="77777777" w:rsidR="00924AF1" w:rsidRPr="007C2E6D" w:rsidRDefault="00924AF1" w:rsidP="0097587C">
      <w:pPr>
        <w:rPr>
          <w:b/>
          <w:sz w:val="22"/>
          <w:szCs w:val="22"/>
        </w:rPr>
      </w:pPr>
      <w:r w:rsidRPr="007C2E6D">
        <w:rPr>
          <w:bCs/>
          <w:sz w:val="22"/>
          <w:szCs w:val="22"/>
        </w:rPr>
        <w:t>V súvislosti s terapiou NSAID boli hlásené edémy, hypertenzia a zlyhávanie srdca.</w:t>
      </w:r>
    </w:p>
    <w:p w14:paraId="3180F8D6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BD6EE74" w14:textId="77777777" w:rsidR="000C2C8B" w:rsidRPr="0097587C" w:rsidRDefault="000C2C8B" w:rsidP="0097587C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Klinické štúdie naznačili, že používanie </w:t>
      </w:r>
      <w:proofErr w:type="spellStart"/>
      <w:r w:rsidR="001B2E10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>, najmä vo vysokých dávkach (2 400 mg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/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de</w:t>
      </w:r>
      <w:r w:rsidR="007B7F9D" w:rsidRPr="0097587C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) môže byť spojené s malým zvýšen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>m rizik</w:t>
      </w:r>
      <w:r w:rsidR="00457603" w:rsidRPr="0097587C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arteriálnych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97587C">
        <w:rPr>
          <w:rFonts w:ascii="Times New Roman" w:hAnsi="Times New Roman" w:cs="Times New Roman"/>
          <w:sz w:val="22"/>
          <w:szCs w:val="22"/>
          <w:lang w:val="sk-SK"/>
        </w:rPr>
        <w:t>trombotických</w:t>
      </w:r>
      <w:proofErr w:type="spellEnd"/>
      <w:r w:rsidRPr="0097587C">
        <w:rPr>
          <w:rFonts w:ascii="Times New Roman" w:hAnsi="Times New Roman" w:cs="Times New Roman"/>
          <w:sz w:val="22"/>
          <w:szCs w:val="22"/>
          <w:lang w:val="sk-SK"/>
        </w:rPr>
        <w:t xml:space="preserve"> udalostí (napríklad infarkt myokardu alebo mozgová príhoda) (pozri časť 4.4).</w:t>
      </w:r>
    </w:p>
    <w:p w14:paraId="3F86A145" w14:textId="77777777" w:rsidR="00CC3154" w:rsidRPr="007C2E6D" w:rsidRDefault="00CC3154" w:rsidP="0097587C">
      <w:pPr>
        <w:widowControl w:val="0"/>
        <w:rPr>
          <w:sz w:val="22"/>
          <w:szCs w:val="22"/>
        </w:rPr>
      </w:pPr>
    </w:p>
    <w:p w14:paraId="2AE5B8B2" w14:textId="77777777" w:rsidR="00CC3154" w:rsidRPr="007C2E6D" w:rsidRDefault="00CC3154" w:rsidP="007C2E6D">
      <w:pPr>
        <w:suppressLineNumbers/>
        <w:adjustRightInd w:val="0"/>
        <w:rPr>
          <w:sz w:val="22"/>
          <w:szCs w:val="22"/>
          <w:u w:val="single"/>
        </w:rPr>
      </w:pPr>
      <w:r w:rsidRPr="007C2E6D">
        <w:rPr>
          <w:sz w:val="22"/>
          <w:szCs w:val="22"/>
          <w:u w:val="single"/>
        </w:rPr>
        <w:t>Hlásenie podozrení na nežiaduce reakcie</w:t>
      </w:r>
    </w:p>
    <w:p w14:paraId="49EB5C54" w14:textId="77777777" w:rsidR="00CC3154" w:rsidRPr="007C2E6D" w:rsidRDefault="00CC3154" w:rsidP="00765F63">
      <w:pPr>
        <w:rPr>
          <w:sz w:val="22"/>
          <w:szCs w:val="22"/>
        </w:rPr>
      </w:pPr>
      <w:r w:rsidRPr="00765F63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</w:t>
      </w:r>
      <w:r w:rsidRPr="00126DDD">
        <w:rPr>
          <w:sz w:val="22"/>
          <w:szCs w:val="22"/>
        </w:rPr>
        <w:t xml:space="preserve">ežiaduce reakcie prostredníctvom </w:t>
      </w:r>
      <w:r w:rsidRPr="00126DDD">
        <w:rPr>
          <w:sz w:val="22"/>
          <w:szCs w:val="22"/>
          <w:highlight w:val="lightGray"/>
        </w:rPr>
        <w:t>národ</w:t>
      </w:r>
      <w:r w:rsidR="00390045">
        <w:rPr>
          <w:sz w:val="22"/>
          <w:szCs w:val="22"/>
          <w:highlight w:val="lightGray"/>
        </w:rPr>
        <w:t xml:space="preserve">ného systému hlásenia uvedené </w:t>
      </w:r>
      <w:r w:rsidRPr="00126DDD">
        <w:rPr>
          <w:sz w:val="22"/>
          <w:szCs w:val="22"/>
          <w:highlight w:val="lightGray"/>
        </w:rPr>
        <w:t>v </w:t>
      </w:r>
      <w:hyperlink r:id="rId7" w:history="1">
        <w:r w:rsidRPr="007C2E6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C2E6D">
        <w:rPr>
          <w:sz w:val="22"/>
          <w:szCs w:val="22"/>
          <w:highlight w:val="lightGray"/>
        </w:rPr>
        <w:t>.</w:t>
      </w:r>
    </w:p>
    <w:p w14:paraId="6541F049" w14:textId="77777777" w:rsidR="00924AF1" w:rsidRPr="007C2E6D" w:rsidRDefault="00924AF1" w:rsidP="00126DDD">
      <w:pPr>
        <w:widowControl w:val="0"/>
        <w:rPr>
          <w:sz w:val="22"/>
          <w:szCs w:val="22"/>
        </w:rPr>
      </w:pPr>
    </w:p>
    <w:p w14:paraId="2DABFE55" w14:textId="77777777" w:rsidR="00924AF1" w:rsidRPr="007C2E6D" w:rsidRDefault="00924AF1" w:rsidP="00126DDD">
      <w:pPr>
        <w:widowControl w:val="0"/>
        <w:rPr>
          <w:b/>
          <w:sz w:val="22"/>
          <w:szCs w:val="22"/>
        </w:rPr>
      </w:pPr>
      <w:r w:rsidRPr="007C2E6D">
        <w:rPr>
          <w:b/>
          <w:sz w:val="22"/>
          <w:szCs w:val="22"/>
        </w:rPr>
        <w:t>4.9</w:t>
      </w:r>
      <w:r w:rsidR="00A73678" w:rsidRPr="007C2E6D">
        <w:rPr>
          <w:b/>
          <w:sz w:val="22"/>
          <w:szCs w:val="22"/>
        </w:rPr>
        <w:tab/>
      </w:r>
      <w:r w:rsidRPr="007C2E6D">
        <w:rPr>
          <w:b/>
          <w:sz w:val="22"/>
          <w:szCs w:val="22"/>
        </w:rPr>
        <w:t>Predávkovanie</w:t>
      </w:r>
    </w:p>
    <w:p w14:paraId="3A48C63D" w14:textId="77777777" w:rsidR="00A73678" w:rsidRPr="00765F63" w:rsidRDefault="00A73678" w:rsidP="00B0634D">
      <w:pPr>
        <w:widowControl w:val="0"/>
        <w:rPr>
          <w:sz w:val="22"/>
          <w:szCs w:val="22"/>
        </w:rPr>
      </w:pPr>
    </w:p>
    <w:p w14:paraId="14E9F751" w14:textId="77777777" w:rsidR="00924AF1" w:rsidRPr="007C2E6D" w:rsidRDefault="001B2E10" w:rsidP="002D3EDE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dávke do 100 mg/kg telesnej hmotnosti je netoxický, v dávke nad 400 mg/kg telesnej hmotnosti môže spôsobiť závažnú intoxikáciu: môžu vzniknúť poruchy CNS </w:t>
      </w:r>
      <w:r w:rsidR="007D34D4" w:rsidRPr="00126DDD">
        <w:rPr>
          <w:sz w:val="22"/>
          <w:szCs w:val="22"/>
        </w:rPr>
        <w:t>–</w:t>
      </w:r>
      <w:r w:rsidR="00924AF1" w:rsidRPr="00126DDD">
        <w:rPr>
          <w:sz w:val="22"/>
          <w:szCs w:val="22"/>
        </w:rPr>
        <w:t xml:space="preserve"> bolesti hlavy, závraty, </w:t>
      </w:r>
      <w:proofErr w:type="spellStart"/>
      <w:r w:rsidR="00924AF1" w:rsidRPr="00126DDD">
        <w:rPr>
          <w:sz w:val="22"/>
          <w:szCs w:val="22"/>
        </w:rPr>
        <w:t>nystagmus</w:t>
      </w:r>
      <w:proofErr w:type="spellEnd"/>
      <w:r w:rsidR="00924AF1" w:rsidRPr="00126DDD">
        <w:rPr>
          <w:sz w:val="22"/>
          <w:szCs w:val="22"/>
        </w:rPr>
        <w:t>, kŕče, ktoré sa môžu vystupňovať až do bezvedomia. Ďalej sa môžu objaviť bolesti brucha, nevoľno</w:t>
      </w:r>
      <w:r w:rsidR="00924AF1" w:rsidRPr="00B0634D">
        <w:rPr>
          <w:sz w:val="22"/>
          <w:szCs w:val="22"/>
        </w:rPr>
        <w:t xml:space="preserve">sť, vracanie. V závažných prípadoch môže dôjsť k hypotenzii, </w:t>
      </w:r>
      <w:proofErr w:type="spellStart"/>
      <w:r w:rsidR="00924AF1" w:rsidRPr="00B0634D">
        <w:rPr>
          <w:sz w:val="22"/>
          <w:szCs w:val="22"/>
        </w:rPr>
        <w:t>acidóze</w:t>
      </w:r>
      <w:proofErr w:type="spellEnd"/>
      <w:r w:rsidR="00924AF1" w:rsidRPr="00B0634D">
        <w:rPr>
          <w:sz w:val="22"/>
          <w:szCs w:val="22"/>
        </w:rPr>
        <w:t>, zastaveniu dychu a</w:t>
      </w:r>
      <w:r w:rsidR="007C2E6D">
        <w:rPr>
          <w:sz w:val="22"/>
          <w:szCs w:val="22"/>
        </w:rPr>
        <w:t> </w:t>
      </w:r>
      <w:proofErr w:type="spellStart"/>
      <w:r w:rsidR="00924AF1" w:rsidRPr="007C2E6D">
        <w:rPr>
          <w:sz w:val="22"/>
          <w:szCs w:val="22"/>
        </w:rPr>
        <w:t>cyanóze</w:t>
      </w:r>
      <w:proofErr w:type="spellEnd"/>
      <w:r w:rsidR="00924AF1" w:rsidRPr="007C2E6D">
        <w:rPr>
          <w:sz w:val="22"/>
          <w:szCs w:val="22"/>
        </w:rPr>
        <w:t>.</w:t>
      </w:r>
    </w:p>
    <w:p w14:paraId="6EC19A24" w14:textId="77777777" w:rsidR="00924AF1" w:rsidRPr="00126DDD" w:rsidRDefault="00924AF1" w:rsidP="00F3370B">
      <w:pPr>
        <w:widowControl w:val="0"/>
        <w:rPr>
          <w:sz w:val="22"/>
          <w:szCs w:val="22"/>
        </w:rPr>
      </w:pPr>
      <w:r w:rsidRPr="007C2E6D">
        <w:rPr>
          <w:sz w:val="22"/>
          <w:szCs w:val="22"/>
        </w:rPr>
        <w:t>Terapia akútneho predávkovania: čo najskôr uskutočniť výplach žalúdka s podaním aktívneho uhlia a</w:t>
      </w:r>
      <w:r w:rsidR="007C2E6D">
        <w:rPr>
          <w:sz w:val="22"/>
          <w:szCs w:val="22"/>
        </w:rPr>
        <w:t> </w:t>
      </w:r>
      <w:r w:rsidRPr="007C2E6D">
        <w:rPr>
          <w:sz w:val="22"/>
          <w:szCs w:val="22"/>
        </w:rPr>
        <w:t xml:space="preserve">preháňadlá či vyvolať dáviaci reflex. Terapia je podporná a symptomatická </w:t>
      </w:r>
      <w:r w:rsidR="007C2E6D" w:rsidRPr="00217475">
        <w:rPr>
          <w:sz w:val="22"/>
          <w:szCs w:val="22"/>
        </w:rPr>
        <w:t>–</w:t>
      </w:r>
      <w:r w:rsidRPr="007C2E6D">
        <w:rPr>
          <w:sz w:val="22"/>
          <w:szCs w:val="22"/>
        </w:rPr>
        <w:t xml:space="preserve"> kontrola a úprava bilancie tekutín a elektrolytov, udržiavanie respiračných a kardiovaskulárnych funkcií</w:t>
      </w:r>
      <w:r w:rsidRPr="00765F63">
        <w:rPr>
          <w:sz w:val="22"/>
          <w:szCs w:val="22"/>
        </w:rPr>
        <w:t xml:space="preserve">, pri kŕčoch je možné podať </w:t>
      </w:r>
      <w:proofErr w:type="spellStart"/>
      <w:r w:rsidRPr="00765F63">
        <w:rPr>
          <w:sz w:val="22"/>
          <w:szCs w:val="22"/>
        </w:rPr>
        <w:t>diazepam</w:t>
      </w:r>
      <w:proofErr w:type="spellEnd"/>
      <w:r w:rsidRPr="00765F63">
        <w:rPr>
          <w:sz w:val="22"/>
          <w:szCs w:val="22"/>
        </w:rPr>
        <w:t xml:space="preserve">, pri hypotenzii </w:t>
      </w:r>
      <w:proofErr w:type="spellStart"/>
      <w:r w:rsidRPr="00765F63">
        <w:rPr>
          <w:sz w:val="22"/>
          <w:szCs w:val="22"/>
        </w:rPr>
        <w:t>plazmaexpandéry</w:t>
      </w:r>
      <w:proofErr w:type="spellEnd"/>
      <w:r w:rsidRPr="00765F63">
        <w:rPr>
          <w:sz w:val="22"/>
          <w:szCs w:val="22"/>
        </w:rPr>
        <w:t xml:space="preserve">, prípadne </w:t>
      </w:r>
      <w:proofErr w:type="spellStart"/>
      <w:r w:rsidRPr="00765F63">
        <w:rPr>
          <w:sz w:val="22"/>
          <w:szCs w:val="22"/>
        </w:rPr>
        <w:t>dopamín</w:t>
      </w:r>
      <w:proofErr w:type="spellEnd"/>
      <w:r w:rsidRPr="00765F63">
        <w:rPr>
          <w:sz w:val="22"/>
          <w:szCs w:val="22"/>
        </w:rPr>
        <w:t xml:space="preserve"> či </w:t>
      </w:r>
      <w:proofErr w:type="spellStart"/>
      <w:r w:rsidRPr="00765F63">
        <w:rPr>
          <w:sz w:val="22"/>
          <w:szCs w:val="22"/>
        </w:rPr>
        <w:t>norepinefrín</w:t>
      </w:r>
      <w:proofErr w:type="spellEnd"/>
      <w:r w:rsidRPr="00765F63">
        <w:rPr>
          <w:sz w:val="22"/>
          <w:szCs w:val="22"/>
        </w:rPr>
        <w:t xml:space="preserve">. Forsírovaná </w:t>
      </w:r>
      <w:proofErr w:type="spellStart"/>
      <w:r w:rsidRPr="00765F63">
        <w:rPr>
          <w:sz w:val="22"/>
          <w:szCs w:val="22"/>
        </w:rPr>
        <w:t>diuréza</w:t>
      </w:r>
      <w:proofErr w:type="spellEnd"/>
      <w:r w:rsidRPr="00765F63">
        <w:rPr>
          <w:sz w:val="22"/>
          <w:szCs w:val="22"/>
        </w:rPr>
        <w:t xml:space="preserve"> a hemodia</w:t>
      </w:r>
      <w:r w:rsidRPr="00126DDD">
        <w:rPr>
          <w:sz w:val="22"/>
          <w:szCs w:val="22"/>
        </w:rPr>
        <w:t xml:space="preserve">lýza sa ukázali neúčinné, o </w:t>
      </w:r>
      <w:proofErr w:type="spellStart"/>
      <w:r w:rsidRPr="00126DDD">
        <w:rPr>
          <w:sz w:val="22"/>
          <w:szCs w:val="22"/>
        </w:rPr>
        <w:t>hemoperfúzii</w:t>
      </w:r>
      <w:proofErr w:type="spellEnd"/>
      <w:r w:rsidRPr="00126DDD">
        <w:rPr>
          <w:sz w:val="22"/>
          <w:szCs w:val="22"/>
        </w:rPr>
        <w:t xml:space="preserve"> nie sú údaje.</w:t>
      </w:r>
    </w:p>
    <w:p w14:paraId="14434E5E" w14:textId="77777777" w:rsidR="00924AF1" w:rsidRPr="00126DDD" w:rsidRDefault="00924AF1" w:rsidP="00293D32">
      <w:pPr>
        <w:widowControl w:val="0"/>
        <w:rPr>
          <w:b/>
          <w:bCs/>
          <w:sz w:val="22"/>
          <w:szCs w:val="22"/>
        </w:rPr>
      </w:pPr>
    </w:p>
    <w:p w14:paraId="75222637" w14:textId="77777777" w:rsidR="00A73678" w:rsidRPr="00B0634D" w:rsidRDefault="00A73678" w:rsidP="00293D32">
      <w:pPr>
        <w:widowControl w:val="0"/>
        <w:rPr>
          <w:b/>
          <w:bCs/>
          <w:sz w:val="22"/>
          <w:szCs w:val="22"/>
        </w:rPr>
      </w:pPr>
    </w:p>
    <w:p w14:paraId="3A21036B" w14:textId="77777777" w:rsidR="00924AF1" w:rsidRPr="002D3EDE" w:rsidRDefault="00924AF1" w:rsidP="00293D32">
      <w:pPr>
        <w:widowControl w:val="0"/>
        <w:rPr>
          <w:b/>
          <w:bCs/>
          <w:sz w:val="22"/>
          <w:szCs w:val="22"/>
        </w:rPr>
      </w:pPr>
      <w:r w:rsidRPr="00B0634D">
        <w:rPr>
          <w:b/>
          <w:bCs/>
          <w:sz w:val="22"/>
          <w:szCs w:val="22"/>
        </w:rPr>
        <w:t>5.</w:t>
      </w:r>
      <w:r w:rsidR="00A73678" w:rsidRPr="002D3EDE">
        <w:rPr>
          <w:b/>
          <w:bCs/>
          <w:sz w:val="22"/>
          <w:szCs w:val="22"/>
        </w:rPr>
        <w:tab/>
      </w:r>
      <w:r w:rsidRPr="002D3EDE">
        <w:rPr>
          <w:b/>
          <w:bCs/>
          <w:sz w:val="22"/>
          <w:szCs w:val="22"/>
        </w:rPr>
        <w:t>FARMAKOLOGICKÉ VLASTNOSTI</w:t>
      </w:r>
    </w:p>
    <w:p w14:paraId="1F8CE808" w14:textId="77777777" w:rsidR="00A73678" w:rsidRPr="00F3370B" w:rsidRDefault="00A73678" w:rsidP="00293D32">
      <w:pPr>
        <w:widowControl w:val="0"/>
        <w:rPr>
          <w:b/>
          <w:sz w:val="22"/>
          <w:szCs w:val="22"/>
        </w:rPr>
      </w:pPr>
    </w:p>
    <w:p w14:paraId="7BAE2B4E" w14:textId="77777777" w:rsidR="00924AF1" w:rsidRPr="00293D32" w:rsidRDefault="00924AF1" w:rsidP="00293D32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5.1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Farmakodynamické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3C05C93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5AC5C60" w14:textId="77777777" w:rsidR="00924AF1" w:rsidRPr="00F4186E" w:rsidRDefault="00217B82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lastRenderedPageBreak/>
        <w:t>Farmaceutická skupina</w:t>
      </w:r>
      <w:r w:rsidR="00924AF1" w:rsidRPr="00293D32">
        <w:rPr>
          <w:sz w:val="22"/>
          <w:szCs w:val="22"/>
        </w:rPr>
        <w:t xml:space="preserve">: </w:t>
      </w:r>
      <w:proofErr w:type="spellStart"/>
      <w:r w:rsidR="00603AF8" w:rsidRPr="00293D32">
        <w:rPr>
          <w:sz w:val="22"/>
          <w:szCs w:val="22"/>
        </w:rPr>
        <w:t>a</w:t>
      </w:r>
      <w:r w:rsidR="00924AF1" w:rsidRPr="0097587C">
        <w:rPr>
          <w:sz w:val="22"/>
          <w:szCs w:val="22"/>
        </w:rPr>
        <w:t>ntiflogistik</w:t>
      </w:r>
      <w:r w:rsidR="00F4186E">
        <w:rPr>
          <w:sz w:val="22"/>
          <w:szCs w:val="22"/>
        </w:rPr>
        <w:t>á</w:t>
      </w:r>
      <w:proofErr w:type="spellEnd"/>
      <w:r w:rsidR="00F4186E">
        <w:rPr>
          <w:sz w:val="22"/>
          <w:szCs w:val="22"/>
        </w:rPr>
        <w:t xml:space="preserve"> a </w:t>
      </w:r>
      <w:proofErr w:type="spellStart"/>
      <w:r w:rsidR="00924AF1" w:rsidRPr="00F4186E">
        <w:rPr>
          <w:sz w:val="22"/>
          <w:szCs w:val="22"/>
        </w:rPr>
        <w:t>antireumatik</w:t>
      </w:r>
      <w:r w:rsidR="00F4186E">
        <w:rPr>
          <w:sz w:val="22"/>
          <w:szCs w:val="22"/>
        </w:rPr>
        <w:t>á</w:t>
      </w:r>
      <w:proofErr w:type="spellEnd"/>
      <w:r w:rsidR="007D34D4" w:rsidRPr="00F4186E">
        <w:rPr>
          <w:sz w:val="22"/>
          <w:szCs w:val="22"/>
        </w:rPr>
        <w:t xml:space="preserve">, </w:t>
      </w:r>
      <w:r w:rsidR="00F4186E">
        <w:rPr>
          <w:sz w:val="22"/>
          <w:szCs w:val="22"/>
        </w:rPr>
        <w:t xml:space="preserve">deriváty kyseliny </w:t>
      </w:r>
      <w:proofErr w:type="spellStart"/>
      <w:r w:rsidR="00F4186E">
        <w:rPr>
          <w:sz w:val="22"/>
          <w:szCs w:val="22"/>
        </w:rPr>
        <w:t>propiónovej</w:t>
      </w:r>
      <w:proofErr w:type="spellEnd"/>
      <w:r w:rsidR="00F4186E">
        <w:rPr>
          <w:sz w:val="22"/>
          <w:szCs w:val="22"/>
        </w:rPr>
        <w:t xml:space="preserve">, </w:t>
      </w:r>
      <w:r w:rsidR="00924AF1" w:rsidRPr="00F4186E">
        <w:rPr>
          <w:sz w:val="22"/>
          <w:szCs w:val="22"/>
        </w:rPr>
        <w:t xml:space="preserve">ATC kód: M01AE01 </w:t>
      </w:r>
    </w:p>
    <w:p w14:paraId="2060BB13" w14:textId="77777777" w:rsidR="00A73678" w:rsidRPr="00765F63" w:rsidRDefault="00A73678" w:rsidP="0097587C">
      <w:pPr>
        <w:widowControl w:val="0"/>
        <w:rPr>
          <w:sz w:val="22"/>
          <w:szCs w:val="22"/>
        </w:rPr>
      </w:pPr>
    </w:p>
    <w:p w14:paraId="39F58678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, derivát kyseliny </w:t>
      </w:r>
      <w:proofErr w:type="spellStart"/>
      <w:r w:rsidR="00924AF1" w:rsidRPr="00126DDD">
        <w:rPr>
          <w:sz w:val="22"/>
          <w:szCs w:val="22"/>
        </w:rPr>
        <w:t>propiónovej</w:t>
      </w:r>
      <w:proofErr w:type="spellEnd"/>
      <w:r w:rsidR="00924AF1" w:rsidRPr="00126DDD">
        <w:rPr>
          <w:sz w:val="22"/>
          <w:szCs w:val="22"/>
        </w:rPr>
        <w:t xml:space="preserve">, je </w:t>
      </w:r>
      <w:proofErr w:type="spellStart"/>
      <w:r w:rsidR="00924AF1" w:rsidRPr="00126DDD">
        <w:rPr>
          <w:sz w:val="22"/>
          <w:szCs w:val="22"/>
        </w:rPr>
        <w:t>nesteroidové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antireumatikum</w:t>
      </w:r>
      <w:proofErr w:type="spellEnd"/>
      <w:r w:rsidR="00924AF1" w:rsidRPr="00126DDD">
        <w:rPr>
          <w:sz w:val="22"/>
          <w:szCs w:val="22"/>
        </w:rPr>
        <w:t xml:space="preserve"> s dobrým analgetickým, protizápalovým a </w:t>
      </w:r>
      <w:proofErr w:type="spellStart"/>
      <w:r w:rsidR="00924AF1" w:rsidRPr="00126DDD">
        <w:rPr>
          <w:sz w:val="22"/>
          <w:szCs w:val="22"/>
        </w:rPr>
        <w:t>antipyretickým</w:t>
      </w:r>
      <w:proofErr w:type="spellEnd"/>
      <w:r w:rsidR="00924AF1" w:rsidRPr="00126DDD">
        <w:rPr>
          <w:sz w:val="22"/>
          <w:szCs w:val="22"/>
        </w:rPr>
        <w:t xml:space="preserve"> účinkom. V nižších dávkach pôsobí analgeticky, vo vyšších protizápalovo. Protizápalový účinok je daný inhibíciou </w:t>
      </w:r>
      <w:proofErr w:type="spellStart"/>
      <w:r w:rsidR="00924AF1" w:rsidRPr="00126DDD">
        <w:rPr>
          <w:sz w:val="22"/>
          <w:szCs w:val="22"/>
        </w:rPr>
        <w:t>cyklooxygenázy</w:t>
      </w:r>
      <w:proofErr w:type="spellEnd"/>
      <w:r w:rsidR="00924AF1" w:rsidRPr="00126DDD">
        <w:rPr>
          <w:sz w:val="22"/>
          <w:szCs w:val="22"/>
        </w:rPr>
        <w:t xml:space="preserve"> s nasledovnou inhibíciou </w:t>
      </w:r>
      <w:proofErr w:type="spellStart"/>
      <w:r w:rsidR="00924AF1" w:rsidRPr="00126DDD">
        <w:rPr>
          <w:sz w:val="22"/>
          <w:szCs w:val="22"/>
        </w:rPr>
        <w:t>biosyntézy</w:t>
      </w:r>
      <w:proofErr w:type="spellEnd"/>
      <w:r w:rsidR="00924AF1" w:rsidRPr="00126DDD">
        <w:rPr>
          <w:sz w:val="22"/>
          <w:szCs w:val="22"/>
        </w:rPr>
        <w:t xml:space="preserve"> </w:t>
      </w:r>
      <w:proofErr w:type="spellStart"/>
      <w:r w:rsidR="00924AF1" w:rsidRPr="00126DDD">
        <w:rPr>
          <w:sz w:val="22"/>
          <w:szCs w:val="22"/>
        </w:rPr>
        <w:t>prostaglandínov</w:t>
      </w:r>
      <w:proofErr w:type="spellEnd"/>
      <w:r w:rsidR="00924AF1" w:rsidRPr="00126DDD">
        <w:rPr>
          <w:sz w:val="22"/>
          <w:szCs w:val="22"/>
        </w:rPr>
        <w:t xml:space="preserve">. Zápal sa zmierňuje znížením uvoľňovania </w:t>
      </w:r>
      <w:proofErr w:type="spellStart"/>
      <w:r w:rsidR="00924AF1" w:rsidRPr="00126DDD">
        <w:rPr>
          <w:sz w:val="22"/>
          <w:szCs w:val="22"/>
        </w:rPr>
        <w:t>mediá</w:t>
      </w:r>
      <w:r w:rsidR="00924AF1" w:rsidRPr="00B0634D">
        <w:rPr>
          <w:sz w:val="22"/>
          <w:szCs w:val="22"/>
        </w:rPr>
        <w:t>torov</w:t>
      </w:r>
      <w:proofErr w:type="spellEnd"/>
      <w:r w:rsidR="00924AF1" w:rsidRPr="00B0634D">
        <w:rPr>
          <w:sz w:val="22"/>
          <w:szCs w:val="22"/>
        </w:rPr>
        <w:t xml:space="preserve"> zápalu z</w:t>
      </w:r>
      <w:r w:rsidR="00F4186E">
        <w:rPr>
          <w:sz w:val="22"/>
          <w:szCs w:val="22"/>
        </w:rPr>
        <w:t> </w:t>
      </w:r>
      <w:proofErr w:type="spellStart"/>
      <w:r w:rsidR="00924AF1" w:rsidRPr="00F4186E">
        <w:rPr>
          <w:sz w:val="22"/>
          <w:szCs w:val="22"/>
        </w:rPr>
        <w:t>granulocytov</w:t>
      </w:r>
      <w:proofErr w:type="spellEnd"/>
      <w:r w:rsidR="00924AF1" w:rsidRPr="00F4186E">
        <w:rPr>
          <w:sz w:val="22"/>
          <w:szCs w:val="22"/>
        </w:rPr>
        <w:t xml:space="preserve">, </w:t>
      </w:r>
      <w:proofErr w:type="spellStart"/>
      <w:r w:rsidR="00924AF1" w:rsidRPr="00F4186E">
        <w:rPr>
          <w:sz w:val="22"/>
          <w:szCs w:val="22"/>
        </w:rPr>
        <w:t>bazofilov</w:t>
      </w:r>
      <w:proofErr w:type="spellEnd"/>
      <w:r w:rsidR="00924AF1" w:rsidRPr="00F4186E">
        <w:rPr>
          <w:sz w:val="22"/>
          <w:szCs w:val="22"/>
        </w:rPr>
        <w:t xml:space="preserve"> a žírnych buniek.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F4186E">
        <w:rPr>
          <w:sz w:val="22"/>
          <w:szCs w:val="22"/>
        </w:rPr>
        <w:t xml:space="preserve"> znižuje citlivosť ciev voči </w:t>
      </w:r>
      <w:proofErr w:type="spellStart"/>
      <w:r w:rsidR="00924AF1" w:rsidRPr="00F4186E">
        <w:rPr>
          <w:sz w:val="22"/>
          <w:szCs w:val="22"/>
        </w:rPr>
        <w:t>bradykinínu</w:t>
      </w:r>
      <w:proofErr w:type="spellEnd"/>
      <w:r w:rsidR="00924AF1" w:rsidRPr="00F4186E">
        <w:rPr>
          <w:sz w:val="22"/>
          <w:szCs w:val="22"/>
        </w:rPr>
        <w:t xml:space="preserve"> a</w:t>
      </w:r>
      <w:r w:rsidR="00F4186E">
        <w:rPr>
          <w:sz w:val="22"/>
          <w:szCs w:val="22"/>
        </w:rPr>
        <w:t> </w:t>
      </w:r>
      <w:r w:rsidR="00924AF1" w:rsidRPr="00F4186E">
        <w:rPr>
          <w:sz w:val="22"/>
          <w:szCs w:val="22"/>
        </w:rPr>
        <w:t xml:space="preserve">histamínu, ovplyvňuje produkciu </w:t>
      </w:r>
      <w:proofErr w:type="spellStart"/>
      <w:r w:rsidR="00924AF1" w:rsidRPr="00F4186E">
        <w:rPr>
          <w:sz w:val="22"/>
          <w:szCs w:val="22"/>
        </w:rPr>
        <w:t>lymfokínov</w:t>
      </w:r>
      <w:proofErr w:type="spellEnd"/>
      <w:r w:rsidR="00924AF1" w:rsidRPr="00F4186E">
        <w:rPr>
          <w:sz w:val="22"/>
          <w:szCs w:val="22"/>
        </w:rPr>
        <w:t xml:space="preserve"> v T-</w:t>
      </w:r>
      <w:proofErr w:type="spellStart"/>
      <w:r w:rsidR="00924AF1" w:rsidRPr="00F4186E">
        <w:rPr>
          <w:sz w:val="22"/>
          <w:szCs w:val="22"/>
        </w:rPr>
        <w:t>lymfocytoch</w:t>
      </w:r>
      <w:proofErr w:type="spellEnd"/>
      <w:r w:rsidR="00924AF1" w:rsidRPr="00F4186E">
        <w:rPr>
          <w:sz w:val="22"/>
          <w:szCs w:val="22"/>
        </w:rPr>
        <w:t xml:space="preserve"> a potláča </w:t>
      </w:r>
      <w:proofErr w:type="spellStart"/>
      <w:r w:rsidR="00924AF1" w:rsidRPr="00F4186E">
        <w:rPr>
          <w:sz w:val="22"/>
          <w:szCs w:val="22"/>
        </w:rPr>
        <w:t>vazodilatáciu</w:t>
      </w:r>
      <w:proofErr w:type="spellEnd"/>
      <w:r w:rsidR="00924AF1" w:rsidRPr="00F4186E">
        <w:rPr>
          <w:sz w:val="22"/>
          <w:szCs w:val="22"/>
        </w:rPr>
        <w:t xml:space="preserve">. Tlmí aj </w:t>
      </w:r>
      <w:proofErr w:type="spellStart"/>
      <w:r w:rsidR="00924AF1" w:rsidRPr="00F4186E">
        <w:rPr>
          <w:sz w:val="22"/>
          <w:szCs w:val="22"/>
        </w:rPr>
        <w:t>agregáciu</w:t>
      </w:r>
      <w:proofErr w:type="spellEnd"/>
      <w:r w:rsidR="00924AF1" w:rsidRPr="00F4186E">
        <w:rPr>
          <w:sz w:val="22"/>
          <w:szCs w:val="22"/>
        </w:rPr>
        <w:t xml:space="preserve"> krvných doštičiek. Vyznačuje sa dobrou </w:t>
      </w:r>
      <w:proofErr w:type="spellStart"/>
      <w:r w:rsidR="00924AF1" w:rsidRPr="00F4186E">
        <w:rPr>
          <w:sz w:val="22"/>
          <w:szCs w:val="22"/>
        </w:rPr>
        <w:t>gastrointestinálnou</w:t>
      </w:r>
      <w:proofErr w:type="spellEnd"/>
      <w:r w:rsidR="00924AF1" w:rsidRPr="00F4186E">
        <w:rPr>
          <w:sz w:val="22"/>
          <w:szCs w:val="22"/>
        </w:rPr>
        <w:t xml:space="preserve"> znášanlivosťou.</w:t>
      </w:r>
    </w:p>
    <w:p w14:paraId="1B3476C6" w14:textId="77777777" w:rsidR="00765F63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 xml:space="preserve">Analgetický účinok nastupuje po polhodine, maximálny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sa dosiahne po </w:t>
      </w:r>
    </w:p>
    <w:p w14:paraId="46BD40DA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2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4 hodinách. </w:t>
      </w:r>
      <w:proofErr w:type="spellStart"/>
      <w:r w:rsidRPr="00F4186E">
        <w:rPr>
          <w:sz w:val="22"/>
          <w:szCs w:val="22"/>
        </w:rPr>
        <w:t>Antipyretický</w:t>
      </w:r>
      <w:proofErr w:type="spellEnd"/>
      <w:r w:rsidRPr="00F4186E">
        <w:rPr>
          <w:sz w:val="22"/>
          <w:szCs w:val="22"/>
        </w:rPr>
        <w:t xml:space="preserve"> účinok trvá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8 aj viac hodín, analgetický 4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 hodín.</w:t>
      </w:r>
    </w:p>
    <w:p w14:paraId="656DCA81" w14:textId="77777777" w:rsidR="000C2C8B" w:rsidRPr="00765F63" w:rsidRDefault="000C2C8B" w:rsidP="0097587C">
      <w:pPr>
        <w:widowControl w:val="0"/>
        <w:rPr>
          <w:sz w:val="22"/>
          <w:szCs w:val="22"/>
        </w:rPr>
      </w:pPr>
    </w:p>
    <w:p w14:paraId="3FFE9280" w14:textId="77777777" w:rsidR="00924AF1" w:rsidRPr="00F3370B" w:rsidRDefault="00924AF1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26DDD">
        <w:rPr>
          <w:color w:val="000000"/>
          <w:sz w:val="22"/>
          <w:szCs w:val="22"/>
        </w:rPr>
        <w:t xml:space="preserve">Experimentálne údaje naznačujú, že </w:t>
      </w:r>
      <w:proofErr w:type="spellStart"/>
      <w:r w:rsidR="001B2E10">
        <w:rPr>
          <w:color w:val="000000"/>
          <w:sz w:val="22"/>
          <w:szCs w:val="22"/>
        </w:rPr>
        <w:t>ibuprofén</w:t>
      </w:r>
      <w:proofErr w:type="spellEnd"/>
      <w:r w:rsidRPr="00126DDD">
        <w:rPr>
          <w:color w:val="000000"/>
          <w:sz w:val="22"/>
          <w:szCs w:val="22"/>
        </w:rPr>
        <w:t xml:space="preserve"> môže </w:t>
      </w:r>
      <w:r w:rsidR="000C2C8B" w:rsidRPr="00126DDD">
        <w:rPr>
          <w:sz w:val="22"/>
          <w:szCs w:val="22"/>
        </w:rPr>
        <w:t xml:space="preserve">pri súčasnom dávkovaní </w:t>
      </w:r>
      <w:proofErr w:type="spellStart"/>
      <w:r w:rsidR="000C2C8B" w:rsidRPr="00126DDD">
        <w:rPr>
          <w:sz w:val="22"/>
          <w:szCs w:val="22"/>
        </w:rPr>
        <w:t>kompetitívne</w:t>
      </w:r>
      <w:proofErr w:type="spellEnd"/>
      <w:r w:rsidR="000C2C8B" w:rsidRPr="00126DDD">
        <w:rPr>
          <w:sz w:val="22"/>
          <w:szCs w:val="22"/>
        </w:rPr>
        <w:t xml:space="preserve"> </w:t>
      </w:r>
      <w:proofErr w:type="spellStart"/>
      <w:r w:rsidRPr="00126DDD">
        <w:rPr>
          <w:color w:val="000000"/>
          <w:sz w:val="22"/>
          <w:szCs w:val="22"/>
        </w:rPr>
        <w:t>inhibovať</w:t>
      </w:r>
      <w:proofErr w:type="spellEnd"/>
      <w:r w:rsidRPr="00126DDD">
        <w:rPr>
          <w:color w:val="000000"/>
          <w:sz w:val="22"/>
          <w:szCs w:val="22"/>
        </w:rPr>
        <w:t xml:space="preserve"> účinok nízkej dávky kyseliny </w:t>
      </w:r>
      <w:proofErr w:type="spellStart"/>
      <w:r w:rsidRPr="00126DDD">
        <w:rPr>
          <w:color w:val="000000"/>
          <w:sz w:val="22"/>
          <w:szCs w:val="22"/>
        </w:rPr>
        <w:t>acetylsalicylovej</w:t>
      </w:r>
      <w:proofErr w:type="spellEnd"/>
      <w:r w:rsidRPr="00126DDD">
        <w:rPr>
          <w:color w:val="000000"/>
          <w:sz w:val="22"/>
          <w:szCs w:val="22"/>
        </w:rPr>
        <w:t xml:space="preserve"> na </w:t>
      </w:r>
      <w:proofErr w:type="spellStart"/>
      <w:r w:rsidRPr="00126DDD">
        <w:rPr>
          <w:color w:val="000000"/>
          <w:sz w:val="22"/>
          <w:szCs w:val="22"/>
        </w:rPr>
        <w:t>agregáciu</w:t>
      </w:r>
      <w:proofErr w:type="spellEnd"/>
      <w:r w:rsidRPr="00126DDD">
        <w:rPr>
          <w:color w:val="000000"/>
          <w:sz w:val="22"/>
          <w:szCs w:val="22"/>
        </w:rPr>
        <w:t xml:space="preserve"> </w:t>
      </w:r>
      <w:r w:rsidR="000C2C8B" w:rsidRPr="00126DDD">
        <w:rPr>
          <w:sz w:val="22"/>
          <w:szCs w:val="22"/>
        </w:rPr>
        <w:t>trombocytov</w:t>
      </w:r>
      <w:r w:rsidRPr="00F3370B">
        <w:rPr>
          <w:color w:val="000000"/>
          <w:sz w:val="22"/>
          <w:szCs w:val="22"/>
        </w:rPr>
        <w:t xml:space="preserve">. </w:t>
      </w:r>
    </w:p>
    <w:p w14:paraId="244717F6" w14:textId="77777777" w:rsidR="00924AF1" w:rsidRPr="00F4186E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3370B">
        <w:rPr>
          <w:sz w:val="22"/>
          <w:szCs w:val="22"/>
        </w:rPr>
        <w:t xml:space="preserve">Niektoré </w:t>
      </w:r>
      <w:proofErr w:type="spellStart"/>
      <w:r w:rsidRPr="00F3370B">
        <w:rPr>
          <w:sz w:val="22"/>
          <w:szCs w:val="22"/>
        </w:rPr>
        <w:t>farmakodynamické</w:t>
      </w:r>
      <w:proofErr w:type="spellEnd"/>
      <w:r w:rsidRPr="00F3370B">
        <w:rPr>
          <w:sz w:val="22"/>
          <w:szCs w:val="22"/>
        </w:rPr>
        <w:t xml:space="preserve"> štúdie preukázali, že pri jednej dávke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400 mg užitého v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 xml:space="preserve">priebehu 8 hodín pred alebo v priebehu 30 minút po užití dávky kyseliny </w:t>
      </w:r>
      <w:proofErr w:type="spellStart"/>
      <w:r w:rsidRPr="00F4186E">
        <w:rPr>
          <w:sz w:val="22"/>
          <w:szCs w:val="22"/>
        </w:rPr>
        <w:t>acetylsalicylovej</w:t>
      </w:r>
      <w:proofErr w:type="spellEnd"/>
      <w:r w:rsidRPr="00F4186E">
        <w:rPr>
          <w:sz w:val="22"/>
          <w:szCs w:val="22"/>
        </w:rPr>
        <w:t xml:space="preserve"> s</w:t>
      </w:r>
      <w:r w:rsid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okamžitým uvoľňovaním (81 mg)</w:t>
      </w:r>
      <w:r w:rsidR="00924AF1" w:rsidRPr="00F4186E">
        <w:rPr>
          <w:color w:val="000000"/>
          <w:sz w:val="22"/>
          <w:szCs w:val="22"/>
        </w:rPr>
        <w:t xml:space="preserve"> došlo k zníženému účinku </w:t>
      </w:r>
      <w:r w:rsidR="00F4186E">
        <w:rPr>
          <w:color w:val="000000"/>
          <w:sz w:val="22"/>
          <w:szCs w:val="22"/>
        </w:rPr>
        <w:t xml:space="preserve">kyseliny </w:t>
      </w:r>
      <w:proofErr w:type="spellStart"/>
      <w:r w:rsidR="00F4186E">
        <w:rPr>
          <w:color w:val="000000"/>
          <w:sz w:val="22"/>
          <w:szCs w:val="22"/>
        </w:rPr>
        <w:t>acetylsalicylovej</w:t>
      </w:r>
      <w:proofErr w:type="spellEnd"/>
      <w:r w:rsidR="00F4186E">
        <w:rPr>
          <w:color w:val="000000"/>
          <w:sz w:val="22"/>
          <w:szCs w:val="22"/>
        </w:rPr>
        <w:t xml:space="preserve"> </w:t>
      </w:r>
      <w:r w:rsidR="00924AF1" w:rsidRPr="00F4186E">
        <w:rPr>
          <w:color w:val="000000"/>
          <w:sz w:val="22"/>
          <w:szCs w:val="22"/>
        </w:rPr>
        <w:t xml:space="preserve">na tvorbu </w:t>
      </w:r>
      <w:proofErr w:type="spellStart"/>
      <w:r w:rsidR="00924AF1" w:rsidRPr="00F4186E">
        <w:rPr>
          <w:color w:val="000000"/>
          <w:sz w:val="22"/>
          <w:szCs w:val="22"/>
        </w:rPr>
        <w:t>tromboxanu</w:t>
      </w:r>
      <w:proofErr w:type="spellEnd"/>
      <w:r w:rsidR="00924AF1" w:rsidRPr="00F4186E">
        <w:rPr>
          <w:color w:val="000000"/>
          <w:sz w:val="22"/>
          <w:szCs w:val="22"/>
        </w:rPr>
        <w:t xml:space="preserve"> alebo </w:t>
      </w:r>
      <w:proofErr w:type="spellStart"/>
      <w:r w:rsidR="00924AF1" w:rsidRPr="00F4186E">
        <w:rPr>
          <w:color w:val="000000"/>
          <w:sz w:val="22"/>
          <w:szCs w:val="22"/>
        </w:rPr>
        <w:t>agregáci</w:t>
      </w:r>
      <w:r w:rsidRPr="00F4186E">
        <w:rPr>
          <w:color w:val="000000"/>
          <w:sz w:val="22"/>
          <w:szCs w:val="22"/>
        </w:rPr>
        <w:t>u</w:t>
      </w:r>
      <w:proofErr w:type="spellEnd"/>
      <w:r w:rsidR="00924AF1" w:rsidRPr="00F4186E">
        <w:rPr>
          <w:color w:val="000000"/>
          <w:sz w:val="22"/>
          <w:szCs w:val="22"/>
        </w:rPr>
        <w:t xml:space="preserve"> trombocytov. </w:t>
      </w:r>
    </w:p>
    <w:p w14:paraId="566EFB94" w14:textId="77777777" w:rsidR="000C2C8B" w:rsidRPr="00126DDD" w:rsidRDefault="000C2C8B" w:rsidP="00975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5F63">
        <w:rPr>
          <w:sz w:val="22"/>
          <w:szCs w:val="22"/>
        </w:rPr>
        <w:t xml:space="preserve">Hoci existujú nejasnosti s ohľadom na </w:t>
      </w:r>
      <w:proofErr w:type="spellStart"/>
      <w:r w:rsidRPr="00765F63">
        <w:rPr>
          <w:sz w:val="22"/>
          <w:szCs w:val="22"/>
        </w:rPr>
        <w:t>extrapoláciu</w:t>
      </w:r>
      <w:proofErr w:type="spellEnd"/>
      <w:r w:rsidRPr="00765F63">
        <w:rPr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1B2E10">
        <w:rPr>
          <w:sz w:val="22"/>
          <w:szCs w:val="22"/>
        </w:rPr>
        <w:t>ibuprofén</w:t>
      </w:r>
      <w:r w:rsidRPr="00765F63">
        <w:rPr>
          <w:sz w:val="22"/>
          <w:szCs w:val="22"/>
        </w:rPr>
        <w:t>u</w:t>
      </w:r>
      <w:proofErr w:type="spellEnd"/>
      <w:r w:rsidRPr="00765F63">
        <w:rPr>
          <w:sz w:val="22"/>
          <w:szCs w:val="22"/>
        </w:rPr>
        <w:t xml:space="preserve"> môže znížiť </w:t>
      </w:r>
      <w:proofErr w:type="spellStart"/>
      <w:r w:rsidRPr="00765F63">
        <w:rPr>
          <w:sz w:val="22"/>
          <w:szCs w:val="22"/>
        </w:rPr>
        <w:t>kardioprotektívny</w:t>
      </w:r>
      <w:proofErr w:type="spellEnd"/>
      <w:r w:rsidRPr="00765F63">
        <w:rPr>
          <w:sz w:val="22"/>
          <w:szCs w:val="22"/>
        </w:rPr>
        <w:t xml:space="preserve"> účinok nízkej dávky kyseliny </w:t>
      </w:r>
      <w:proofErr w:type="spellStart"/>
      <w:r w:rsidRPr="00765F63">
        <w:rPr>
          <w:sz w:val="22"/>
          <w:szCs w:val="22"/>
        </w:rPr>
        <w:t>acetylsalicylovej</w:t>
      </w:r>
      <w:proofErr w:type="spellEnd"/>
      <w:r w:rsidRPr="00765F63">
        <w:rPr>
          <w:sz w:val="22"/>
          <w:szCs w:val="22"/>
        </w:rPr>
        <w:t>. V prípade príležitostného použí</w:t>
      </w:r>
      <w:r w:rsidRPr="00126DDD">
        <w:rPr>
          <w:sz w:val="22"/>
          <w:szCs w:val="22"/>
        </w:rPr>
        <w:t xml:space="preserve">vania </w:t>
      </w:r>
      <w:proofErr w:type="spellStart"/>
      <w:r w:rsidR="001B2E10">
        <w:rPr>
          <w:sz w:val="22"/>
          <w:szCs w:val="22"/>
        </w:rPr>
        <w:t>ibuprofén</w:t>
      </w:r>
      <w:r w:rsidRPr="00126DDD">
        <w:rPr>
          <w:sz w:val="22"/>
          <w:szCs w:val="22"/>
        </w:rPr>
        <w:t>u</w:t>
      </w:r>
      <w:proofErr w:type="spellEnd"/>
      <w:r w:rsidRPr="00126DDD">
        <w:rPr>
          <w:sz w:val="22"/>
          <w:szCs w:val="22"/>
        </w:rPr>
        <w:t xml:space="preserve"> sa žiaden klinicky relevantný účinok nepovažuje za pravdepodobný (pozri časť 4.5).</w:t>
      </w:r>
    </w:p>
    <w:p w14:paraId="7AB633FB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3AF50E82" w14:textId="77777777" w:rsidR="00924AF1" w:rsidRPr="00293D32" w:rsidRDefault="00924AF1" w:rsidP="0097587C">
      <w:pPr>
        <w:widowControl w:val="0"/>
        <w:rPr>
          <w:b/>
          <w:sz w:val="22"/>
          <w:szCs w:val="22"/>
        </w:rPr>
      </w:pPr>
      <w:r w:rsidRPr="00293D32">
        <w:rPr>
          <w:b/>
          <w:sz w:val="22"/>
          <w:szCs w:val="22"/>
        </w:rPr>
        <w:t>5.2</w:t>
      </w:r>
      <w:r w:rsidR="00A73678" w:rsidRPr="00293D32">
        <w:rPr>
          <w:b/>
          <w:sz w:val="22"/>
          <w:szCs w:val="22"/>
        </w:rPr>
        <w:tab/>
      </w:r>
      <w:proofErr w:type="spellStart"/>
      <w:r w:rsidRPr="00293D32">
        <w:rPr>
          <w:b/>
          <w:sz w:val="22"/>
          <w:szCs w:val="22"/>
        </w:rPr>
        <w:t>Farmakokinetické</w:t>
      </w:r>
      <w:proofErr w:type="spellEnd"/>
      <w:r w:rsidRPr="00293D32">
        <w:rPr>
          <w:b/>
          <w:sz w:val="22"/>
          <w:szCs w:val="22"/>
        </w:rPr>
        <w:t xml:space="preserve"> vlastnosti</w:t>
      </w:r>
    </w:p>
    <w:p w14:paraId="663A6179" w14:textId="77777777" w:rsidR="00A73678" w:rsidRPr="00293D32" w:rsidRDefault="00A73678" w:rsidP="0097587C">
      <w:pPr>
        <w:widowControl w:val="0"/>
        <w:rPr>
          <w:sz w:val="22"/>
          <w:szCs w:val="22"/>
        </w:rPr>
      </w:pPr>
    </w:p>
    <w:p w14:paraId="68BA4D66" w14:textId="77777777" w:rsidR="00924AF1" w:rsidRPr="007C2E6D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>Po perorálnom podaní sa rýchlo a dobre vstrebáva, pri podaní nalačno dosahuje vrchol plazmatickej koncentrácie už po 45 minútach, pri podaní s jedlom cca po 1</w:t>
      </w:r>
      <w:r w:rsidR="00765F63">
        <w:rPr>
          <w:sz w:val="22"/>
          <w:szCs w:val="22"/>
        </w:rPr>
        <w:t xml:space="preserve"> </w:t>
      </w:r>
      <w:r w:rsidR="00765F63" w:rsidRPr="00765F63">
        <w:rPr>
          <w:sz w:val="22"/>
          <w:szCs w:val="22"/>
        </w:rPr>
        <w:t>–</w:t>
      </w:r>
      <w:r w:rsidR="00765F63">
        <w:rPr>
          <w:sz w:val="22"/>
          <w:szCs w:val="22"/>
        </w:rPr>
        <w:t xml:space="preserve"> </w:t>
      </w:r>
      <w:r w:rsidRPr="00765F63">
        <w:rPr>
          <w:sz w:val="22"/>
          <w:szCs w:val="22"/>
        </w:rPr>
        <w:t xml:space="preserve">3 hodinách. Po </w:t>
      </w:r>
      <w:proofErr w:type="spellStart"/>
      <w:r w:rsidRPr="00765F63">
        <w:rPr>
          <w:sz w:val="22"/>
          <w:szCs w:val="22"/>
        </w:rPr>
        <w:t>rektálnej</w:t>
      </w:r>
      <w:proofErr w:type="spellEnd"/>
      <w:r w:rsidRPr="00765F63">
        <w:rPr>
          <w:sz w:val="22"/>
          <w:szCs w:val="22"/>
        </w:rPr>
        <w:t xml:space="preserve"> aplikácii sa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vstrebáva pomalšie, maximálna koncentrácia v sére sa dosiahne 2 hodiny po aplikácii.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126DDD">
        <w:rPr>
          <w:sz w:val="22"/>
          <w:szCs w:val="22"/>
        </w:rPr>
        <w:t xml:space="preserve"> sa viaže na plazmatické pro</w:t>
      </w:r>
      <w:r w:rsidRPr="00B0634D">
        <w:rPr>
          <w:sz w:val="22"/>
          <w:szCs w:val="22"/>
        </w:rPr>
        <w:t xml:space="preserve">teíny, ale väzba je reverzibilná. Pomerne rýchlo sa metabolizuje v pečeni a vylučuje močom, najmä vo forme </w:t>
      </w:r>
      <w:proofErr w:type="spellStart"/>
      <w:r w:rsidRPr="00B0634D">
        <w:rPr>
          <w:sz w:val="22"/>
          <w:szCs w:val="22"/>
        </w:rPr>
        <w:t>metabolitov</w:t>
      </w:r>
      <w:proofErr w:type="spellEnd"/>
      <w:r w:rsidRPr="00B0634D">
        <w:rPr>
          <w:sz w:val="22"/>
          <w:szCs w:val="22"/>
        </w:rPr>
        <w:t xml:space="preserve"> a ich </w:t>
      </w:r>
      <w:proofErr w:type="spellStart"/>
      <w:r w:rsidRPr="00B0634D">
        <w:rPr>
          <w:sz w:val="22"/>
          <w:szCs w:val="22"/>
        </w:rPr>
        <w:t>konjugátov</w:t>
      </w:r>
      <w:proofErr w:type="spellEnd"/>
      <w:r w:rsidRPr="00B0634D">
        <w:rPr>
          <w:sz w:val="22"/>
          <w:szCs w:val="22"/>
        </w:rPr>
        <w:t>, menšia časť sa vylučuje žlčou do stolice. Biologický polčas je asi 2 hodiny. Ak sa zníži vylučovanie, môže dôjsť</w:t>
      </w:r>
      <w:r w:rsidRPr="002D3EDE">
        <w:rPr>
          <w:sz w:val="22"/>
          <w:szCs w:val="22"/>
        </w:rPr>
        <w:t xml:space="preserve"> ku kumulácii lieku v organizme. Exkrécia </w:t>
      </w:r>
      <w:proofErr w:type="spellStart"/>
      <w:r w:rsidR="001B2E10">
        <w:rPr>
          <w:sz w:val="22"/>
          <w:szCs w:val="22"/>
        </w:rPr>
        <w:t>ibuprofén</w:t>
      </w:r>
      <w:r w:rsidRPr="00F3370B">
        <w:rPr>
          <w:sz w:val="22"/>
          <w:szCs w:val="22"/>
        </w:rPr>
        <w:t>u</w:t>
      </w:r>
      <w:proofErr w:type="spellEnd"/>
      <w:r w:rsidRPr="00F3370B">
        <w:rPr>
          <w:sz w:val="22"/>
          <w:szCs w:val="22"/>
        </w:rPr>
        <w:t xml:space="preserve"> sa ukončí 24 hodín po podaní poslednej dávky. Biologická dostupnosť sa minimálne </w:t>
      </w:r>
      <w:proofErr w:type="spellStart"/>
      <w:r w:rsidRPr="00F3370B">
        <w:rPr>
          <w:sz w:val="22"/>
          <w:szCs w:val="22"/>
        </w:rPr>
        <w:t>alteruj</w:t>
      </w:r>
      <w:r w:rsidRPr="00293D32">
        <w:rPr>
          <w:sz w:val="22"/>
          <w:szCs w:val="22"/>
        </w:rPr>
        <w:t>e</w:t>
      </w:r>
      <w:proofErr w:type="spellEnd"/>
      <w:r w:rsidRPr="00293D32">
        <w:rPr>
          <w:sz w:val="22"/>
          <w:szCs w:val="22"/>
        </w:rPr>
        <w:t xml:space="preserve"> prítomnosťou stravy.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293D32">
        <w:rPr>
          <w:sz w:val="22"/>
          <w:szCs w:val="22"/>
        </w:rPr>
        <w:t xml:space="preserve"> prestupuje cez placentárnu bariéru, vylučuje sa do materského mlieka v množstve menšom ako 1 </w:t>
      </w:r>
      <w:r w:rsidR="00434079" w:rsidRPr="007C2E6D">
        <w:rPr>
          <w:sz w:val="22"/>
          <w:szCs w:val="22"/>
        </w:rPr>
        <w:sym w:font="Symbol" w:char="F06D"/>
      </w:r>
      <w:r w:rsidRPr="007C2E6D">
        <w:rPr>
          <w:sz w:val="22"/>
          <w:szCs w:val="22"/>
        </w:rPr>
        <w:t>g/ml.</w:t>
      </w:r>
    </w:p>
    <w:p w14:paraId="4E383837" w14:textId="77777777" w:rsidR="00924AF1" w:rsidRPr="007C2E6D" w:rsidRDefault="00924AF1" w:rsidP="0097587C">
      <w:pPr>
        <w:widowControl w:val="0"/>
        <w:rPr>
          <w:sz w:val="22"/>
          <w:szCs w:val="22"/>
        </w:rPr>
      </w:pPr>
    </w:p>
    <w:p w14:paraId="5DD180FA" w14:textId="77777777" w:rsidR="00924AF1" w:rsidRPr="00F4186E" w:rsidRDefault="00924AF1" w:rsidP="0097587C">
      <w:pPr>
        <w:rPr>
          <w:sz w:val="22"/>
          <w:szCs w:val="22"/>
        </w:rPr>
      </w:pPr>
      <w:r w:rsidRPr="007C2E6D">
        <w:rPr>
          <w:b/>
          <w:sz w:val="22"/>
          <w:szCs w:val="22"/>
        </w:rPr>
        <w:t>5.3</w:t>
      </w:r>
      <w:r w:rsidR="00A73678" w:rsidRPr="007C2E6D">
        <w:rPr>
          <w:b/>
          <w:sz w:val="22"/>
          <w:szCs w:val="22"/>
        </w:rPr>
        <w:tab/>
      </w:r>
      <w:r w:rsidRPr="00F4186E">
        <w:rPr>
          <w:b/>
          <w:sz w:val="22"/>
          <w:szCs w:val="22"/>
        </w:rPr>
        <w:t>Predklinické údaje o bezpečnosti</w:t>
      </w:r>
    </w:p>
    <w:p w14:paraId="494DDF58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4B7E1BB8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Akútna toxicita</w:t>
      </w:r>
    </w:p>
    <w:p w14:paraId="3FFA3923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myši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 xml:space="preserve">. 800 mg/kg telesnej hmotnosti a 320 mg/kg </w:t>
      </w:r>
      <w:proofErr w:type="spellStart"/>
      <w:r w:rsidRPr="00F4186E">
        <w:rPr>
          <w:sz w:val="22"/>
          <w:szCs w:val="22"/>
        </w:rPr>
        <w:t>intraperitoneálne</w:t>
      </w:r>
      <w:proofErr w:type="spellEnd"/>
      <w:r w:rsidRPr="00F4186E">
        <w:rPr>
          <w:sz w:val="22"/>
          <w:szCs w:val="22"/>
        </w:rPr>
        <w:t>.</w:t>
      </w:r>
    </w:p>
    <w:p w14:paraId="7D6EBEA4" w14:textId="77777777" w:rsidR="00924AF1" w:rsidRPr="00F4186E" w:rsidRDefault="00924AF1" w:rsidP="0097587C">
      <w:pPr>
        <w:widowControl w:val="0"/>
        <w:rPr>
          <w:sz w:val="22"/>
          <w:szCs w:val="22"/>
        </w:rPr>
      </w:pPr>
      <w:r w:rsidRPr="00F4186E">
        <w:rPr>
          <w:sz w:val="22"/>
          <w:szCs w:val="22"/>
        </w:rPr>
        <w:t>LD</w:t>
      </w:r>
      <w:r w:rsidRPr="0097587C">
        <w:rPr>
          <w:position w:val="-6"/>
          <w:sz w:val="22"/>
          <w:szCs w:val="22"/>
          <w:vertAlign w:val="subscript"/>
        </w:rPr>
        <w:t>50</w:t>
      </w:r>
      <w:r w:rsidRPr="00F4186E">
        <w:rPr>
          <w:position w:val="-6"/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u potkana </w:t>
      </w:r>
      <w:proofErr w:type="spellStart"/>
      <w:r w:rsidRPr="00F4186E">
        <w:rPr>
          <w:sz w:val="22"/>
          <w:szCs w:val="22"/>
        </w:rPr>
        <w:t>p.o</w:t>
      </w:r>
      <w:proofErr w:type="spellEnd"/>
      <w:r w:rsidRPr="00F4186E">
        <w:rPr>
          <w:sz w:val="22"/>
          <w:szCs w:val="22"/>
        </w:rPr>
        <w:t>.</w:t>
      </w:r>
      <w:r w:rsid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>600 mg/kg telesnej hmotnosti a</w:t>
      </w:r>
      <w:r w:rsidR="00217B82" w:rsidRPr="00F4186E">
        <w:rPr>
          <w:sz w:val="22"/>
          <w:szCs w:val="22"/>
        </w:rPr>
        <w:t> </w:t>
      </w:r>
      <w:r w:rsidRPr="00F4186E">
        <w:rPr>
          <w:sz w:val="22"/>
          <w:szCs w:val="22"/>
        </w:rPr>
        <w:t>1</w:t>
      </w:r>
      <w:r w:rsidR="00217B82" w:rsidRPr="00F4186E">
        <w:rPr>
          <w:sz w:val="22"/>
          <w:szCs w:val="22"/>
        </w:rPr>
        <w:t xml:space="preserve"> </w:t>
      </w:r>
      <w:r w:rsidRPr="00F4186E">
        <w:rPr>
          <w:sz w:val="22"/>
          <w:szCs w:val="22"/>
        </w:rPr>
        <w:t xml:space="preserve">300 mg/kg </w:t>
      </w:r>
      <w:proofErr w:type="spellStart"/>
      <w:r w:rsidRPr="00F4186E">
        <w:rPr>
          <w:sz w:val="22"/>
          <w:szCs w:val="22"/>
        </w:rPr>
        <w:t>subkutánne</w:t>
      </w:r>
      <w:proofErr w:type="spellEnd"/>
      <w:r w:rsidRPr="00F4186E">
        <w:rPr>
          <w:sz w:val="22"/>
          <w:szCs w:val="22"/>
        </w:rPr>
        <w:t xml:space="preserve">. U všetkých uhynutých zvierat (hlodavcov) bola </w:t>
      </w:r>
      <w:proofErr w:type="spellStart"/>
      <w:r w:rsidRPr="00F4186E">
        <w:rPr>
          <w:sz w:val="22"/>
          <w:szCs w:val="22"/>
        </w:rPr>
        <w:t>manifestne</w:t>
      </w:r>
      <w:proofErr w:type="spellEnd"/>
      <w:r w:rsidRPr="00F4186E">
        <w:rPr>
          <w:sz w:val="22"/>
          <w:szCs w:val="22"/>
        </w:rPr>
        <w:t xml:space="preserve"> vyjadrená depresia CNS a nájdené </w:t>
      </w:r>
      <w:proofErr w:type="spellStart"/>
      <w:r w:rsidRPr="00F4186E">
        <w:rPr>
          <w:sz w:val="22"/>
          <w:szCs w:val="22"/>
        </w:rPr>
        <w:t>ulcerogénne</w:t>
      </w:r>
      <w:proofErr w:type="spellEnd"/>
      <w:r w:rsidRPr="00F4186E">
        <w:rPr>
          <w:sz w:val="22"/>
          <w:szCs w:val="22"/>
        </w:rPr>
        <w:t xml:space="preserve"> zmeny </w:t>
      </w:r>
      <w:proofErr w:type="spellStart"/>
      <w:r w:rsidRPr="00F4186E">
        <w:rPr>
          <w:sz w:val="22"/>
          <w:szCs w:val="22"/>
        </w:rPr>
        <w:t>gastrointestinálneho</w:t>
      </w:r>
      <w:proofErr w:type="spellEnd"/>
      <w:r w:rsidRPr="00F4186E">
        <w:rPr>
          <w:sz w:val="22"/>
          <w:szCs w:val="22"/>
        </w:rPr>
        <w:t xml:space="preserve"> traktu.</w:t>
      </w:r>
    </w:p>
    <w:p w14:paraId="1C948BFF" w14:textId="77777777" w:rsidR="00924AF1" w:rsidRPr="00F4186E" w:rsidRDefault="001B2E10" w:rsidP="0097587C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Ibuprofén</w:t>
      </w:r>
      <w:proofErr w:type="spellEnd"/>
      <w:r w:rsidR="00924AF1" w:rsidRPr="00765F63">
        <w:rPr>
          <w:sz w:val="22"/>
          <w:szCs w:val="22"/>
        </w:rPr>
        <w:t xml:space="preserve"> sa ďalej podával psom v dávke 125 mg/kg telesnej hmotnosti a vyššie, toxické účinky sa prejavili eróziami žalúdka a </w:t>
      </w:r>
      <w:proofErr w:type="spellStart"/>
      <w:r w:rsidR="00924AF1" w:rsidRPr="00765F63">
        <w:rPr>
          <w:sz w:val="22"/>
          <w:szCs w:val="22"/>
        </w:rPr>
        <w:t>albuminúriou</w:t>
      </w:r>
      <w:proofErr w:type="spellEnd"/>
      <w:r w:rsidR="00924AF1" w:rsidRPr="00765F63">
        <w:rPr>
          <w:sz w:val="22"/>
          <w:szCs w:val="22"/>
        </w:rPr>
        <w:t xml:space="preserve">. V dávke </w:t>
      </w:r>
      <w:smartTag w:uri="urn:schemas-microsoft-com:office:smarttags" w:element="metricconverter">
        <w:smartTagPr>
          <w:attr w:name="ProductID" w:val="36 a"/>
        </w:smartTagPr>
        <w:r w:rsidR="00924AF1" w:rsidRPr="00765F63">
          <w:rPr>
            <w:sz w:val="22"/>
            <w:szCs w:val="22"/>
          </w:rPr>
          <w:t>20 a</w:t>
        </w:r>
      </w:smartTag>
      <w:r w:rsidR="00924AF1" w:rsidRPr="00765F63">
        <w:rPr>
          <w:sz w:val="22"/>
          <w:szCs w:val="22"/>
        </w:rPr>
        <w:t xml:space="preserve"> 50 mg/kg sa nep</w:t>
      </w:r>
      <w:r w:rsidR="00924AF1" w:rsidRPr="00126DDD">
        <w:rPr>
          <w:sz w:val="22"/>
          <w:szCs w:val="22"/>
        </w:rPr>
        <w:t xml:space="preserve">reukázali žiadne toxické zmeny. Výsledky ukazujú, že </w:t>
      </w:r>
      <w:proofErr w:type="spellStart"/>
      <w:r>
        <w:rPr>
          <w:sz w:val="22"/>
          <w:szCs w:val="22"/>
        </w:rPr>
        <w:t>ibuprofén</w:t>
      </w:r>
      <w:proofErr w:type="spellEnd"/>
      <w:r w:rsidR="00924AF1" w:rsidRPr="00126DDD">
        <w:rPr>
          <w:sz w:val="22"/>
          <w:szCs w:val="22"/>
        </w:rPr>
        <w:t xml:space="preserve"> v letálnych dávkach spôsobil postihnutie CNS u hlodavcov, zatiaľ čo </w:t>
      </w:r>
      <w:proofErr w:type="spellStart"/>
      <w:r w:rsidR="00924AF1" w:rsidRPr="00126DDD">
        <w:rPr>
          <w:sz w:val="22"/>
          <w:szCs w:val="22"/>
        </w:rPr>
        <w:t>ulcerogénny</w:t>
      </w:r>
      <w:proofErr w:type="spellEnd"/>
      <w:r w:rsidR="00924AF1" w:rsidRPr="00126DDD">
        <w:rPr>
          <w:sz w:val="22"/>
          <w:szCs w:val="22"/>
        </w:rPr>
        <w:t xml:space="preserve"> účinok sa pozoroval v oboch skupinách zvierat (aj </w:t>
      </w:r>
      <w:proofErr w:type="spellStart"/>
      <w:r w:rsidR="00924AF1" w:rsidRPr="00126DDD">
        <w:rPr>
          <w:sz w:val="22"/>
          <w:szCs w:val="22"/>
        </w:rPr>
        <w:t>nehlodavcov</w:t>
      </w:r>
      <w:proofErr w:type="spellEnd"/>
      <w:r w:rsidR="00924AF1" w:rsidRPr="00126DDD">
        <w:rPr>
          <w:sz w:val="22"/>
          <w:szCs w:val="22"/>
        </w:rPr>
        <w:t xml:space="preserve">). </w:t>
      </w:r>
      <w:proofErr w:type="spellStart"/>
      <w:r w:rsidR="00924AF1" w:rsidRPr="00126DDD">
        <w:rPr>
          <w:sz w:val="22"/>
          <w:szCs w:val="22"/>
        </w:rPr>
        <w:t>Ulcerogénne</w:t>
      </w:r>
      <w:proofErr w:type="spellEnd"/>
      <w:r w:rsidR="00924AF1" w:rsidRPr="00126DDD">
        <w:rPr>
          <w:sz w:val="22"/>
          <w:szCs w:val="22"/>
        </w:rPr>
        <w:t xml:space="preserve"> účinky sú výsledkom syst</w:t>
      </w:r>
      <w:r w:rsidR="00924AF1" w:rsidRPr="00B0634D">
        <w:rPr>
          <w:sz w:val="22"/>
          <w:szCs w:val="22"/>
        </w:rPr>
        <w:t xml:space="preserve">émového aj lokálneho pôsobenia </w:t>
      </w:r>
      <w:proofErr w:type="spellStart"/>
      <w:r>
        <w:rPr>
          <w:sz w:val="22"/>
          <w:szCs w:val="22"/>
        </w:rPr>
        <w:t>ibuprofén</w:t>
      </w:r>
      <w:r w:rsidR="00924AF1" w:rsidRPr="00B0634D">
        <w:rPr>
          <w:sz w:val="22"/>
          <w:szCs w:val="22"/>
        </w:rPr>
        <w:t>u</w:t>
      </w:r>
      <w:proofErr w:type="spellEnd"/>
      <w:r w:rsidR="00924AF1" w:rsidRPr="00B0634D">
        <w:rPr>
          <w:sz w:val="22"/>
          <w:szCs w:val="22"/>
        </w:rPr>
        <w:t xml:space="preserve"> -</w:t>
      </w:r>
      <w:r w:rsidR="00924AF1" w:rsidRPr="00F4186E">
        <w:rPr>
          <w:sz w:val="22"/>
          <w:szCs w:val="22"/>
        </w:rPr>
        <w:t xml:space="preserve"> </w:t>
      </w:r>
      <w:proofErr w:type="spellStart"/>
      <w:r w:rsidR="00924AF1" w:rsidRPr="00F4186E">
        <w:rPr>
          <w:sz w:val="22"/>
          <w:szCs w:val="22"/>
        </w:rPr>
        <w:t>gastrointestinálne</w:t>
      </w:r>
      <w:proofErr w:type="spellEnd"/>
      <w:r w:rsidR="00924AF1" w:rsidRPr="00F4186E">
        <w:rPr>
          <w:sz w:val="22"/>
          <w:szCs w:val="22"/>
        </w:rPr>
        <w:t xml:space="preserve"> lézie sa pozorovali po </w:t>
      </w:r>
      <w:proofErr w:type="spellStart"/>
      <w:r w:rsidR="00924AF1" w:rsidRPr="00F4186E">
        <w:rPr>
          <w:sz w:val="22"/>
          <w:szCs w:val="22"/>
        </w:rPr>
        <w:t>parenterálnej</w:t>
      </w:r>
      <w:proofErr w:type="spellEnd"/>
      <w:r w:rsidR="00924AF1" w:rsidRPr="00F4186E">
        <w:rPr>
          <w:sz w:val="22"/>
          <w:szCs w:val="22"/>
        </w:rPr>
        <w:t xml:space="preserve"> aj perorálnej aplikácii.</w:t>
      </w:r>
    </w:p>
    <w:p w14:paraId="09CB7734" w14:textId="77777777" w:rsidR="00A73678" w:rsidRPr="00765F63" w:rsidRDefault="00A73678" w:rsidP="0097587C">
      <w:pPr>
        <w:widowControl w:val="0"/>
        <w:rPr>
          <w:sz w:val="22"/>
          <w:szCs w:val="22"/>
          <w:u w:val="single"/>
        </w:rPr>
      </w:pPr>
    </w:p>
    <w:p w14:paraId="5DA8B6E4" w14:textId="77777777" w:rsidR="00924AF1" w:rsidRPr="00126DDD" w:rsidRDefault="00924AF1" w:rsidP="0097587C">
      <w:pPr>
        <w:widowControl w:val="0"/>
        <w:rPr>
          <w:sz w:val="22"/>
          <w:szCs w:val="22"/>
          <w:u w:val="single"/>
        </w:rPr>
      </w:pPr>
      <w:r w:rsidRPr="00126DDD">
        <w:rPr>
          <w:sz w:val="22"/>
          <w:szCs w:val="22"/>
          <w:u w:val="single"/>
        </w:rPr>
        <w:t>Chronická toxicita</w:t>
      </w:r>
    </w:p>
    <w:p w14:paraId="2C7D4117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126DDD">
        <w:rPr>
          <w:sz w:val="22"/>
          <w:szCs w:val="22"/>
        </w:rPr>
        <w:t xml:space="preserve">Desiatim potkanom sa podával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B0634D">
        <w:rPr>
          <w:sz w:val="22"/>
          <w:szCs w:val="22"/>
        </w:rPr>
        <w:t xml:space="preserve"> v dávke 180 mg/kg (5 zvierat) a 60 mg/kg telesnej hmotnosti počas </w:t>
      </w:r>
      <w:smartTag w:uri="urn:schemas-microsoft-com:office:smarttags" w:element="metricconverter">
        <w:smartTagPr>
          <w:attr w:name="ProductID" w:val="36 a"/>
        </w:smartTagPr>
        <w:r w:rsidRPr="00B0634D">
          <w:rPr>
            <w:sz w:val="22"/>
            <w:szCs w:val="22"/>
          </w:rPr>
          <w:t>26 a</w:t>
        </w:r>
      </w:smartTag>
      <w:r w:rsidRPr="00B0634D">
        <w:rPr>
          <w:sz w:val="22"/>
          <w:szCs w:val="22"/>
        </w:rPr>
        <w:t xml:space="preserve"> 13 týždňov. 1 samček uhynul v dôsledku </w:t>
      </w:r>
      <w:proofErr w:type="spellStart"/>
      <w:r w:rsidRPr="00B0634D">
        <w:rPr>
          <w:sz w:val="22"/>
          <w:szCs w:val="22"/>
        </w:rPr>
        <w:t>intestinálnej</w:t>
      </w:r>
      <w:proofErr w:type="spellEnd"/>
      <w:r w:rsidRPr="00B0634D">
        <w:rPr>
          <w:sz w:val="22"/>
          <w:szCs w:val="22"/>
        </w:rPr>
        <w:t xml:space="preserve"> lézie. Na konci terapie sa u samcov aj u samíc zistila anémia. </w:t>
      </w:r>
      <w:proofErr w:type="spellStart"/>
      <w:r w:rsidR="001B2E10">
        <w:rPr>
          <w:sz w:val="22"/>
          <w:szCs w:val="22"/>
        </w:rPr>
        <w:t>Ibuprofén</w:t>
      </w:r>
      <w:proofErr w:type="spellEnd"/>
      <w:r w:rsidRPr="00F3370B">
        <w:rPr>
          <w:sz w:val="22"/>
          <w:szCs w:val="22"/>
        </w:rPr>
        <w:t xml:space="preserve"> takisto </w:t>
      </w:r>
      <w:proofErr w:type="spellStart"/>
      <w:r w:rsidRPr="00F3370B">
        <w:rPr>
          <w:sz w:val="22"/>
          <w:szCs w:val="22"/>
        </w:rPr>
        <w:t>alteroval</w:t>
      </w:r>
      <w:proofErr w:type="spellEnd"/>
      <w:r w:rsidRPr="00F3370B">
        <w:rPr>
          <w:sz w:val="22"/>
          <w:szCs w:val="22"/>
        </w:rPr>
        <w:t xml:space="preserve"> pomer hmotnosť orgánu/celková telesná hmotnosť - pri pečeni, obličkách, </w:t>
      </w:r>
      <w:proofErr w:type="spellStart"/>
      <w:r w:rsidRPr="00F3370B">
        <w:rPr>
          <w:sz w:val="22"/>
          <w:szCs w:val="22"/>
        </w:rPr>
        <w:t>gonádach</w:t>
      </w:r>
      <w:proofErr w:type="spellEnd"/>
      <w:r w:rsidRPr="00F3370B">
        <w:rPr>
          <w:sz w:val="22"/>
          <w:szCs w:val="22"/>
        </w:rPr>
        <w:t xml:space="preserve"> a pri druhotných pohlavných orgánoch. Histologicky sa </w:t>
      </w:r>
      <w:r w:rsidRPr="00F3370B">
        <w:rPr>
          <w:sz w:val="22"/>
          <w:szCs w:val="22"/>
        </w:rPr>
        <w:lastRenderedPageBreak/>
        <w:t xml:space="preserve">nezistili signifikantné zmeny s výnimkou 1 samca a 3 samíc, kde sa našli </w:t>
      </w:r>
      <w:proofErr w:type="spellStart"/>
      <w:r w:rsidRPr="00F3370B">
        <w:rPr>
          <w:sz w:val="22"/>
          <w:szCs w:val="22"/>
        </w:rPr>
        <w:t>intestinálne</w:t>
      </w:r>
      <w:proofErr w:type="spellEnd"/>
      <w:r w:rsidRPr="00F3370B">
        <w:rPr>
          <w:sz w:val="22"/>
          <w:szCs w:val="22"/>
        </w:rPr>
        <w:t xml:space="preserve"> </w:t>
      </w:r>
      <w:proofErr w:type="spellStart"/>
      <w:r w:rsidRPr="00F3370B">
        <w:rPr>
          <w:sz w:val="22"/>
          <w:szCs w:val="22"/>
        </w:rPr>
        <w:t>ulcerácie</w:t>
      </w:r>
      <w:proofErr w:type="spellEnd"/>
      <w:r w:rsidRPr="00F3370B">
        <w:rPr>
          <w:sz w:val="22"/>
          <w:szCs w:val="22"/>
        </w:rPr>
        <w:t>. Zväčšenie pečen</w:t>
      </w:r>
      <w:r w:rsidRPr="00293D32">
        <w:rPr>
          <w:sz w:val="22"/>
          <w:szCs w:val="22"/>
        </w:rPr>
        <w:t xml:space="preserve">e a obličiek pravdepodobne súvisí s metabolizmom a exkréciou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>.</w:t>
      </w:r>
    </w:p>
    <w:p w14:paraId="5C36D749" w14:textId="77777777" w:rsidR="00924AF1" w:rsidRPr="00293D32" w:rsidRDefault="00924AF1" w:rsidP="0097587C">
      <w:pPr>
        <w:widowControl w:val="0"/>
        <w:rPr>
          <w:sz w:val="22"/>
          <w:szCs w:val="22"/>
        </w:rPr>
      </w:pPr>
      <w:r w:rsidRPr="00293D32">
        <w:rPr>
          <w:sz w:val="22"/>
          <w:szCs w:val="22"/>
        </w:rPr>
        <w:t xml:space="preserve">Po podaní </w:t>
      </w:r>
      <w:proofErr w:type="spellStart"/>
      <w:r w:rsidR="001B2E10">
        <w:rPr>
          <w:sz w:val="22"/>
          <w:szCs w:val="22"/>
        </w:rPr>
        <w:t>ibuprofén</w:t>
      </w:r>
      <w:r w:rsidRPr="00293D32">
        <w:rPr>
          <w:sz w:val="22"/>
          <w:szCs w:val="22"/>
        </w:rPr>
        <w:t>u</w:t>
      </w:r>
      <w:proofErr w:type="spellEnd"/>
      <w:r w:rsidRPr="00293D32">
        <w:rPr>
          <w:sz w:val="22"/>
          <w:szCs w:val="22"/>
        </w:rPr>
        <w:t xml:space="preserve"> psom v dávke 16 mg/kg telesnej hmotnosti </w:t>
      </w:r>
      <w:r w:rsidR="00217B82" w:rsidRPr="00293D32">
        <w:rPr>
          <w:sz w:val="22"/>
          <w:szCs w:val="22"/>
        </w:rPr>
        <w:t>n</w:t>
      </w:r>
      <w:r w:rsidRPr="00293D32">
        <w:rPr>
          <w:sz w:val="22"/>
          <w:szCs w:val="22"/>
        </w:rPr>
        <w:t xml:space="preserve">a deň počas 30-tich dní sa nenašli klinické príznaky toxicity, pri pitve sa však zistili erózie a </w:t>
      </w:r>
      <w:proofErr w:type="spellStart"/>
      <w:r w:rsidRPr="00293D32">
        <w:rPr>
          <w:sz w:val="22"/>
          <w:szCs w:val="22"/>
        </w:rPr>
        <w:t>ulcerácie</w:t>
      </w:r>
      <w:proofErr w:type="spellEnd"/>
      <w:r w:rsidRPr="00293D32">
        <w:rPr>
          <w:sz w:val="22"/>
          <w:szCs w:val="22"/>
        </w:rPr>
        <w:t xml:space="preserve"> žalúdka a zápaly čriev. Podobné lézie sa našli v dávke 8 mg/kg/deň, ale nie v dávke 4 mg/kg/deň.</w:t>
      </w:r>
    </w:p>
    <w:p w14:paraId="3EEDF3BF" w14:textId="77777777" w:rsidR="00924AF1" w:rsidRPr="00293D32" w:rsidRDefault="00924AF1" w:rsidP="0097587C">
      <w:pPr>
        <w:widowControl w:val="0"/>
        <w:rPr>
          <w:sz w:val="22"/>
          <w:szCs w:val="22"/>
        </w:rPr>
      </w:pPr>
    </w:p>
    <w:p w14:paraId="49ACB343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165F91F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6.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FARMACEUTICKÉ </w:t>
      </w:r>
      <w:r w:rsidR="000C2C8B" w:rsidRPr="0097587C">
        <w:rPr>
          <w:b/>
          <w:bCs/>
          <w:sz w:val="22"/>
          <w:szCs w:val="22"/>
        </w:rPr>
        <w:t>INFORMÁCIE</w:t>
      </w:r>
    </w:p>
    <w:p w14:paraId="4012BD54" w14:textId="77777777" w:rsidR="00A73678" w:rsidRPr="0097587C" w:rsidRDefault="00A73678" w:rsidP="00390045">
      <w:pPr>
        <w:keepNext/>
        <w:widowControl w:val="0"/>
        <w:rPr>
          <w:b/>
          <w:sz w:val="22"/>
          <w:szCs w:val="22"/>
        </w:rPr>
      </w:pPr>
    </w:p>
    <w:p w14:paraId="29F619A8" w14:textId="77777777" w:rsidR="00924AF1" w:rsidRPr="0097587C" w:rsidRDefault="00924AF1" w:rsidP="00390045">
      <w:pPr>
        <w:keepNext/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6.1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 xml:space="preserve">Zoznam pomocných látok </w:t>
      </w:r>
    </w:p>
    <w:p w14:paraId="614314AD" w14:textId="77777777" w:rsidR="0099327B" w:rsidRDefault="0099327B" w:rsidP="009109D6">
      <w:pPr>
        <w:widowControl w:val="0"/>
        <w:rPr>
          <w:sz w:val="22"/>
          <w:szCs w:val="22"/>
        </w:rPr>
      </w:pPr>
    </w:p>
    <w:p w14:paraId="657D1819" w14:textId="77777777" w:rsidR="0099327B" w:rsidRDefault="0099327B" w:rsidP="0099327B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</w:t>
      </w:r>
    </w:p>
    <w:p w14:paraId="0B125C77" w14:textId="77777777" w:rsidR="0099327B" w:rsidRPr="00C06B14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mikrokryštalická celulóza</w:t>
      </w:r>
    </w:p>
    <w:p w14:paraId="5A71EB7D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kukuričný škrob </w:t>
      </w:r>
    </w:p>
    <w:p w14:paraId="5F640555" w14:textId="2E74FA3D" w:rsidR="0099327B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>
        <w:rPr>
          <w:sz w:val="22"/>
          <w:szCs w:val="22"/>
        </w:rPr>
        <w:t>kroskarmelózy</w:t>
      </w:r>
      <w:proofErr w:type="spellEnd"/>
    </w:p>
    <w:p w14:paraId="1B2D6F70" w14:textId="108D542B" w:rsidR="0099327B" w:rsidRDefault="0099327B" w:rsidP="0099327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magnézium </w:t>
      </w:r>
      <w:proofErr w:type="spellStart"/>
      <w:r>
        <w:rPr>
          <w:sz w:val="22"/>
          <w:szCs w:val="22"/>
        </w:rPr>
        <w:t>stearát</w:t>
      </w:r>
      <w:proofErr w:type="spellEnd"/>
    </w:p>
    <w:p w14:paraId="3918E232" w14:textId="77777777" w:rsidR="0052590B" w:rsidRPr="0097587C" w:rsidRDefault="0099327B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hydratovaný </w:t>
      </w:r>
      <w:r w:rsidRPr="0097587C">
        <w:rPr>
          <w:sz w:val="22"/>
          <w:szCs w:val="22"/>
        </w:rPr>
        <w:t xml:space="preserve"> </w:t>
      </w:r>
      <w:r w:rsidR="00A62FA9" w:rsidRPr="0097587C">
        <w:rPr>
          <w:sz w:val="22"/>
          <w:szCs w:val="22"/>
        </w:rPr>
        <w:t>oxid kremičitý</w:t>
      </w:r>
    </w:p>
    <w:p w14:paraId="0AAA6F16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hypromelóza</w:t>
      </w:r>
      <w:proofErr w:type="spellEnd"/>
    </w:p>
    <w:p w14:paraId="47744714" w14:textId="77777777" w:rsidR="0052590B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makrogol</w:t>
      </w:r>
      <w:proofErr w:type="spellEnd"/>
    </w:p>
    <w:p w14:paraId="52D7AAEC" w14:textId="77777777" w:rsidR="0099327B" w:rsidRPr="0097587C" w:rsidRDefault="0099327B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mastenec</w:t>
      </w:r>
    </w:p>
    <w:p w14:paraId="36C505B6" w14:textId="77777777" w:rsidR="0052590B" w:rsidRPr="0097587C" w:rsidRDefault="00A62FA9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oxid </w:t>
      </w:r>
      <w:proofErr w:type="spellStart"/>
      <w:r w:rsidRPr="0097587C">
        <w:rPr>
          <w:sz w:val="22"/>
          <w:szCs w:val="22"/>
        </w:rPr>
        <w:t>titaničitý</w:t>
      </w:r>
      <w:proofErr w:type="spellEnd"/>
      <w:r w:rsidRPr="0097587C">
        <w:rPr>
          <w:sz w:val="22"/>
          <w:szCs w:val="22"/>
        </w:rPr>
        <w:t xml:space="preserve"> E171</w:t>
      </w:r>
    </w:p>
    <w:p w14:paraId="3F78F920" w14:textId="77777777" w:rsidR="0052590B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erytrozín</w:t>
      </w:r>
      <w:proofErr w:type="spellEnd"/>
      <w:r w:rsidRPr="0097587C">
        <w:rPr>
          <w:sz w:val="22"/>
          <w:szCs w:val="22"/>
        </w:rPr>
        <w:t xml:space="preserve"> E127</w:t>
      </w:r>
    </w:p>
    <w:p w14:paraId="1EFA0A95" w14:textId="77777777" w:rsidR="00924AF1" w:rsidRPr="0097587C" w:rsidRDefault="00A62FA9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simetikónová</w:t>
      </w:r>
      <w:proofErr w:type="spellEnd"/>
      <w:r w:rsidRPr="0097587C">
        <w:rPr>
          <w:sz w:val="22"/>
          <w:szCs w:val="22"/>
        </w:rPr>
        <w:t xml:space="preserve"> emulzia SE4</w:t>
      </w:r>
    </w:p>
    <w:p w14:paraId="7974B451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D367E7E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6.2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Inkompatibility</w:t>
      </w:r>
    </w:p>
    <w:p w14:paraId="7E9F4D02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05A507E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Neaplikovateľné.</w:t>
      </w:r>
    </w:p>
    <w:p w14:paraId="63CEDAE5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1B07D54" w14:textId="77777777" w:rsidR="00924AF1" w:rsidRPr="0097587C" w:rsidRDefault="00924AF1" w:rsidP="0097587C">
      <w:pPr>
        <w:widowControl w:val="0"/>
        <w:rPr>
          <w:b/>
          <w:sz w:val="22"/>
          <w:szCs w:val="22"/>
        </w:rPr>
      </w:pPr>
      <w:r w:rsidRPr="0097587C">
        <w:rPr>
          <w:b/>
          <w:sz w:val="22"/>
          <w:szCs w:val="22"/>
        </w:rPr>
        <w:t>6.3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Čas použiteľnosti</w:t>
      </w:r>
    </w:p>
    <w:p w14:paraId="3AC4B5D7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2780C7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3 roky</w:t>
      </w:r>
    </w:p>
    <w:p w14:paraId="12605427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14891245" w14:textId="77777777" w:rsidR="00924AF1" w:rsidRPr="0097587C" w:rsidRDefault="00924AF1" w:rsidP="0097587C">
      <w:pPr>
        <w:rPr>
          <w:sz w:val="22"/>
          <w:szCs w:val="22"/>
        </w:rPr>
      </w:pPr>
      <w:r w:rsidRPr="0097587C">
        <w:rPr>
          <w:b/>
          <w:sz w:val="22"/>
          <w:szCs w:val="22"/>
        </w:rPr>
        <w:t>6.4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sz w:val="22"/>
          <w:szCs w:val="22"/>
        </w:rPr>
        <w:t>Špeciálne upozornenia na uchovávanie</w:t>
      </w:r>
    </w:p>
    <w:p w14:paraId="698E9A16" w14:textId="77777777" w:rsidR="00A73678" w:rsidRPr="0097587C" w:rsidRDefault="00A73678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1EBA209A" w14:textId="77777777" w:rsidR="00924AF1" w:rsidRPr="00F60143" w:rsidRDefault="002F7256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97587C">
        <w:rPr>
          <w:rFonts w:ascii="Times New Roman" w:hAnsi="Times New Roman"/>
          <w:bCs/>
          <w:sz w:val="22"/>
          <w:szCs w:val="22"/>
        </w:rPr>
        <w:t>Uchovávajte p</w:t>
      </w:r>
      <w:r w:rsidR="00924AF1" w:rsidRPr="0097587C">
        <w:rPr>
          <w:rFonts w:ascii="Times New Roman" w:hAnsi="Times New Roman"/>
          <w:bCs/>
          <w:sz w:val="22"/>
          <w:szCs w:val="22"/>
        </w:rPr>
        <w:t>ri teplote do 25</w:t>
      </w:r>
      <w:r w:rsidR="007D34D4" w:rsidRPr="0097587C">
        <w:rPr>
          <w:rFonts w:ascii="Times New Roman" w:hAnsi="Times New Roman"/>
          <w:bCs/>
          <w:sz w:val="22"/>
          <w:szCs w:val="22"/>
        </w:rPr>
        <w:t xml:space="preserve"> </w:t>
      </w:r>
      <w:r w:rsidR="00F4186E">
        <w:rPr>
          <w:rFonts w:ascii="Times New Roman" w:hAnsi="Times New Roman"/>
          <w:bCs/>
          <w:sz w:val="22"/>
          <w:szCs w:val="22"/>
        </w:rPr>
        <w:t>º</w:t>
      </w:r>
      <w:r w:rsidR="00924AF1" w:rsidRPr="00F4186E">
        <w:rPr>
          <w:rFonts w:ascii="Times New Roman" w:hAnsi="Times New Roman"/>
          <w:bCs/>
          <w:sz w:val="22"/>
          <w:szCs w:val="22"/>
        </w:rPr>
        <w:t>C v pôvodnom vnútornom obale, vnútorný obal uchováva</w:t>
      </w:r>
      <w:r w:rsidRPr="00F4186E">
        <w:rPr>
          <w:rFonts w:ascii="Times New Roman" w:hAnsi="Times New Roman"/>
          <w:bCs/>
          <w:sz w:val="22"/>
          <w:szCs w:val="22"/>
        </w:rPr>
        <w:t>jte</w:t>
      </w:r>
      <w:r w:rsidR="00924AF1" w:rsidRPr="00F60143">
        <w:rPr>
          <w:rFonts w:ascii="Times New Roman" w:hAnsi="Times New Roman"/>
          <w:bCs/>
          <w:sz w:val="22"/>
          <w:szCs w:val="22"/>
        </w:rPr>
        <w:t xml:space="preserve"> v</w:t>
      </w:r>
      <w:r w:rsidRPr="00F60143">
        <w:rPr>
          <w:rFonts w:ascii="Times New Roman" w:hAnsi="Times New Roman"/>
          <w:bCs/>
          <w:sz w:val="22"/>
          <w:szCs w:val="22"/>
        </w:rPr>
        <w:t> </w:t>
      </w:r>
      <w:r w:rsidR="00924AF1" w:rsidRPr="00F60143">
        <w:rPr>
          <w:rFonts w:ascii="Times New Roman" w:hAnsi="Times New Roman"/>
          <w:bCs/>
          <w:sz w:val="22"/>
          <w:szCs w:val="22"/>
        </w:rPr>
        <w:t>škatuľke.</w:t>
      </w:r>
    </w:p>
    <w:p w14:paraId="658168EB" w14:textId="77777777" w:rsidR="00912DC7" w:rsidRPr="00765F63" w:rsidRDefault="00912DC7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</w:p>
    <w:p w14:paraId="30A2E952" w14:textId="77777777" w:rsidR="00FA020B" w:rsidRPr="00126DDD" w:rsidRDefault="00FA020B" w:rsidP="0097587C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126DDD">
        <w:rPr>
          <w:rFonts w:ascii="Times New Roman" w:hAnsi="Times New Roman"/>
          <w:bCs/>
          <w:sz w:val="22"/>
          <w:szCs w:val="22"/>
        </w:rPr>
        <w:t>Uchovávajte mimo dohľadu a dosahu detí.</w:t>
      </w:r>
    </w:p>
    <w:p w14:paraId="74DDC27B" w14:textId="77777777" w:rsidR="00924AF1" w:rsidRPr="00126DDD" w:rsidRDefault="00924AF1" w:rsidP="0097587C">
      <w:pPr>
        <w:widowControl w:val="0"/>
        <w:rPr>
          <w:sz w:val="22"/>
          <w:szCs w:val="22"/>
        </w:rPr>
      </w:pPr>
    </w:p>
    <w:p w14:paraId="7A7AE4C3" w14:textId="77777777" w:rsidR="00924AF1" w:rsidRPr="00B0634D" w:rsidRDefault="00924AF1" w:rsidP="0097587C">
      <w:pPr>
        <w:rPr>
          <w:sz w:val="22"/>
          <w:szCs w:val="22"/>
        </w:rPr>
      </w:pPr>
      <w:r w:rsidRPr="00B0634D">
        <w:rPr>
          <w:b/>
          <w:sz w:val="22"/>
          <w:szCs w:val="22"/>
        </w:rPr>
        <w:t>6.5</w:t>
      </w:r>
      <w:r w:rsidR="00A73678" w:rsidRPr="00B0634D">
        <w:rPr>
          <w:b/>
          <w:sz w:val="22"/>
          <w:szCs w:val="22"/>
        </w:rPr>
        <w:tab/>
      </w:r>
      <w:r w:rsidRPr="00B0634D">
        <w:rPr>
          <w:b/>
          <w:sz w:val="22"/>
          <w:szCs w:val="22"/>
        </w:rPr>
        <w:t>Druh obalu a obsah balenia</w:t>
      </w:r>
      <w:r w:rsidRPr="00B0634D">
        <w:rPr>
          <w:b/>
          <w:color w:val="0000FF"/>
          <w:sz w:val="22"/>
          <w:szCs w:val="22"/>
        </w:rPr>
        <w:t xml:space="preserve"> </w:t>
      </w:r>
    </w:p>
    <w:p w14:paraId="57A70540" w14:textId="77777777" w:rsidR="00A73678" w:rsidRPr="002D3EDE" w:rsidRDefault="00A73678" w:rsidP="0097587C">
      <w:pPr>
        <w:widowControl w:val="0"/>
        <w:rPr>
          <w:sz w:val="22"/>
          <w:szCs w:val="22"/>
          <w:u w:val="single"/>
        </w:rPr>
      </w:pPr>
    </w:p>
    <w:p w14:paraId="3D813E31" w14:textId="77777777" w:rsidR="00924AF1" w:rsidRPr="00F3370B" w:rsidRDefault="00924AF1" w:rsidP="0097587C">
      <w:pPr>
        <w:widowControl w:val="0"/>
        <w:rPr>
          <w:sz w:val="22"/>
          <w:szCs w:val="22"/>
        </w:rPr>
      </w:pPr>
      <w:r w:rsidRPr="00F3370B">
        <w:rPr>
          <w:sz w:val="22"/>
          <w:szCs w:val="22"/>
          <w:u w:val="single"/>
        </w:rPr>
        <w:t>Druh obalu</w:t>
      </w:r>
      <w:r w:rsidRPr="00F3370B">
        <w:rPr>
          <w:sz w:val="22"/>
          <w:szCs w:val="22"/>
        </w:rPr>
        <w:t xml:space="preserve">: </w:t>
      </w:r>
    </w:p>
    <w:p w14:paraId="223BC4C1" w14:textId="77777777" w:rsidR="00924AF1" w:rsidRPr="00293D32" w:rsidRDefault="00924AF1" w:rsidP="0097587C">
      <w:pPr>
        <w:widowControl w:val="0"/>
        <w:rPr>
          <w:sz w:val="22"/>
          <w:szCs w:val="22"/>
        </w:rPr>
      </w:pPr>
      <w:proofErr w:type="spellStart"/>
      <w:r w:rsidRPr="00293D32">
        <w:rPr>
          <w:sz w:val="22"/>
          <w:szCs w:val="22"/>
        </w:rPr>
        <w:t>Ibalgin</w:t>
      </w:r>
      <w:proofErr w:type="spellEnd"/>
      <w:r w:rsidRPr="00293D32">
        <w:rPr>
          <w:sz w:val="22"/>
          <w:szCs w:val="22"/>
        </w:rPr>
        <w:t xml:space="preserve"> 200 (10, 12, 24</w:t>
      </w:r>
      <w:r w:rsidR="00087002" w:rsidRPr="00293D32">
        <w:rPr>
          <w:sz w:val="22"/>
          <w:szCs w:val="22"/>
        </w:rPr>
        <w:t xml:space="preserve"> a </w:t>
      </w:r>
      <w:r w:rsidRPr="00293D32">
        <w:rPr>
          <w:sz w:val="22"/>
          <w:szCs w:val="22"/>
        </w:rPr>
        <w:t>30</w:t>
      </w:r>
      <w:r w:rsidR="00087002" w:rsidRPr="00293D32">
        <w:rPr>
          <w:sz w:val="22"/>
          <w:szCs w:val="22"/>
        </w:rPr>
        <w:t xml:space="preserve"> </w:t>
      </w:r>
      <w:r w:rsidRPr="00293D32">
        <w:rPr>
          <w:sz w:val="22"/>
          <w:szCs w:val="22"/>
        </w:rPr>
        <w:t xml:space="preserve">filmom obalených tabliet): </w:t>
      </w:r>
      <w:proofErr w:type="spellStart"/>
      <w:r w:rsidRPr="00293D32">
        <w:rPr>
          <w:sz w:val="22"/>
          <w:szCs w:val="22"/>
        </w:rPr>
        <w:t>blister</w:t>
      </w:r>
      <w:proofErr w:type="spellEnd"/>
      <w:r w:rsidRPr="00293D32">
        <w:rPr>
          <w:sz w:val="22"/>
          <w:szCs w:val="22"/>
        </w:rPr>
        <w:t xml:space="preserve"> (PVC/Al), písomná informácia pre používateľ</w:t>
      </w:r>
      <w:r w:rsidR="00DE6671" w:rsidRPr="00293D32">
        <w:rPr>
          <w:sz w:val="22"/>
          <w:szCs w:val="22"/>
        </w:rPr>
        <w:t>a</w:t>
      </w:r>
      <w:r w:rsidRPr="00293D32">
        <w:rPr>
          <w:sz w:val="22"/>
          <w:szCs w:val="22"/>
        </w:rPr>
        <w:t>, papierová škatuľka.</w:t>
      </w:r>
    </w:p>
    <w:p w14:paraId="69F7E99E" w14:textId="77777777" w:rsidR="006D25E8" w:rsidRPr="00293D32" w:rsidRDefault="006D25E8" w:rsidP="0097587C">
      <w:pPr>
        <w:widowControl w:val="0"/>
        <w:rPr>
          <w:i/>
          <w:sz w:val="22"/>
          <w:szCs w:val="22"/>
        </w:rPr>
      </w:pPr>
    </w:p>
    <w:p w14:paraId="66CA3381" w14:textId="18E2B683" w:rsidR="00087002" w:rsidRPr="0097587C" w:rsidRDefault="00087002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(10, 12, 24, 30</w:t>
      </w:r>
      <w:r w:rsidR="006917DB" w:rsidRPr="0097587C">
        <w:rPr>
          <w:sz w:val="22"/>
          <w:szCs w:val="22"/>
        </w:rPr>
        <w:t>, </w:t>
      </w:r>
      <w:r w:rsidRPr="0097587C">
        <w:rPr>
          <w:sz w:val="22"/>
          <w:szCs w:val="22"/>
        </w:rPr>
        <w:t>36</w:t>
      </w:r>
      <w:r w:rsidR="0099327B">
        <w:rPr>
          <w:sz w:val="22"/>
          <w:szCs w:val="22"/>
        </w:rPr>
        <w:t>,  </w:t>
      </w:r>
      <w:r w:rsidR="006917DB" w:rsidRPr="0097587C">
        <w:rPr>
          <w:sz w:val="22"/>
          <w:szCs w:val="22"/>
        </w:rPr>
        <w:t>48</w:t>
      </w:r>
      <w:r w:rsidR="0099327B">
        <w:rPr>
          <w:sz w:val="22"/>
          <w:szCs w:val="22"/>
        </w:rPr>
        <w:t xml:space="preserve">, 100 </w:t>
      </w:r>
      <w:r w:rsidRPr="0097587C">
        <w:rPr>
          <w:sz w:val="22"/>
          <w:szCs w:val="22"/>
        </w:rPr>
        <w:t xml:space="preserve"> </w:t>
      </w:r>
      <w:r w:rsidR="00EC5EF7">
        <w:rPr>
          <w:sz w:val="22"/>
          <w:szCs w:val="22"/>
        </w:rPr>
        <w:t xml:space="preserve"> </w:t>
      </w:r>
      <w:r w:rsidRPr="0097587C">
        <w:rPr>
          <w:sz w:val="22"/>
          <w:szCs w:val="22"/>
        </w:rPr>
        <w:t xml:space="preserve">filmom obalených tabliet): </w:t>
      </w:r>
      <w:proofErr w:type="spellStart"/>
      <w:r w:rsidRPr="0097587C">
        <w:rPr>
          <w:sz w:val="22"/>
          <w:szCs w:val="22"/>
        </w:rPr>
        <w:t>blister</w:t>
      </w:r>
      <w:proofErr w:type="spellEnd"/>
      <w:r w:rsidRPr="0097587C">
        <w:rPr>
          <w:sz w:val="22"/>
          <w:szCs w:val="22"/>
        </w:rPr>
        <w:t xml:space="preserve"> (PVC/Al),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7626C549" w14:textId="77777777" w:rsidR="006D25E8" w:rsidRPr="0097587C" w:rsidRDefault="006D25E8" w:rsidP="0097587C">
      <w:pPr>
        <w:widowControl w:val="0"/>
        <w:rPr>
          <w:sz w:val="22"/>
          <w:szCs w:val="22"/>
        </w:rPr>
      </w:pPr>
    </w:p>
    <w:p w14:paraId="486B712A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 (100 filmom obalených tabliet):</w:t>
      </w:r>
      <w:r w:rsidRPr="0097587C">
        <w:rPr>
          <w:i/>
          <w:sz w:val="22"/>
          <w:szCs w:val="22"/>
        </w:rPr>
        <w:t xml:space="preserve"> </w:t>
      </w:r>
      <w:r w:rsidRPr="0097587C">
        <w:rPr>
          <w:sz w:val="22"/>
          <w:szCs w:val="22"/>
        </w:rPr>
        <w:t>PE fľaša so závitovým PE uzáverom, písomná informácia pre používateľ</w:t>
      </w:r>
      <w:r w:rsidR="00DE6671" w:rsidRPr="0097587C">
        <w:rPr>
          <w:sz w:val="22"/>
          <w:szCs w:val="22"/>
        </w:rPr>
        <w:t>a</w:t>
      </w:r>
      <w:r w:rsidRPr="0097587C">
        <w:rPr>
          <w:sz w:val="22"/>
          <w:szCs w:val="22"/>
        </w:rPr>
        <w:t>, papierová škatuľka.</w:t>
      </w:r>
    </w:p>
    <w:p w14:paraId="5CE1249C" w14:textId="77777777" w:rsidR="00A73678" w:rsidRPr="0097587C" w:rsidRDefault="00A73678" w:rsidP="0097587C">
      <w:pPr>
        <w:widowControl w:val="0"/>
        <w:rPr>
          <w:sz w:val="22"/>
          <w:szCs w:val="22"/>
          <w:u w:val="single"/>
        </w:rPr>
      </w:pPr>
    </w:p>
    <w:p w14:paraId="44465208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  <w:u w:val="single"/>
        </w:rPr>
        <w:t>Veľkosti balenia</w:t>
      </w:r>
      <w:r w:rsidRPr="0097587C">
        <w:rPr>
          <w:sz w:val="22"/>
          <w:szCs w:val="22"/>
        </w:rPr>
        <w:t>:</w:t>
      </w:r>
    </w:p>
    <w:p w14:paraId="58C5E32F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 10, 12, </w:t>
      </w:r>
      <w:smartTag w:uri="urn:schemas-microsoft-com:office:smarttags" w:element="metricconverter">
        <w:smartTagPr>
          <w:attr w:name="ProductID" w:val="48 a"/>
        </w:smartTagPr>
        <w:r w:rsidRPr="0097587C">
          <w:rPr>
            <w:sz w:val="22"/>
            <w:szCs w:val="22"/>
          </w:rPr>
          <w:t>24 a</w:t>
        </w:r>
      </w:smartTag>
      <w:r w:rsidRPr="0097587C">
        <w:rPr>
          <w:sz w:val="22"/>
          <w:szCs w:val="22"/>
        </w:rPr>
        <w:t xml:space="preserve"> 30 filmom obalených tabliet </w:t>
      </w:r>
    </w:p>
    <w:p w14:paraId="3AA95997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 10, 12, 24, 30</w:t>
      </w:r>
      <w:r w:rsidR="00727E81" w:rsidRPr="0097587C">
        <w:rPr>
          <w:sz w:val="22"/>
          <w:szCs w:val="22"/>
        </w:rPr>
        <w:t>, 36</w:t>
      </w:r>
      <w:r w:rsidR="003C2220" w:rsidRPr="0097587C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48 a"/>
        </w:smartTagPr>
        <w:r w:rsidR="003C2220" w:rsidRPr="0097587C">
          <w:rPr>
            <w:sz w:val="22"/>
            <w:szCs w:val="22"/>
          </w:rPr>
          <w:t>48</w:t>
        </w:r>
        <w:r w:rsidRPr="0097587C">
          <w:rPr>
            <w:sz w:val="22"/>
            <w:szCs w:val="22"/>
          </w:rPr>
          <w:t xml:space="preserve"> a</w:t>
        </w:r>
      </w:smartTag>
      <w:r w:rsidRPr="0097587C">
        <w:rPr>
          <w:sz w:val="22"/>
          <w:szCs w:val="22"/>
        </w:rPr>
        <w:t xml:space="preserve"> 100 filmom obalených tabliet</w:t>
      </w:r>
    </w:p>
    <w:p w14:paraId="0DDED5B1" w14:textId="77777777" w:rsidR="00FA020B" w:rsidRPr="0097587C" w:rsidRDefault="00FA020B" w:rsidP="0097587C">
      <w:pPr>
        <w:widowControl w:val="0"/>
        <w:rPr>
          <w:sz w:val="22"/>
          <w:szCs w:val="22"/>
        </w:rPr>
      </w:pPr>
    </w:p>
    <w:p w14:paraId="38B8A6FE" w14:textId="77777777" w:rsidR="00FA020B" w:rsidRPr="0097587C" w:rsidRDefault="00FA020B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Na trh nemusia byť uvedené všetky veľkosti balenia.</w:t>
      </w:r>
    </w:p>
    <w:p w14:paraId="1EEB20E3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3D596A4C" w14:textId="77777777" w:rsidR="00924AF1" w:rsidRPr="0097587C" w:rsidRDefault="00924AF1" w:rsidP="0097587C">
      <w:pPr>
        <w:rPr>
          <w:b/>
          <w:bCs/>
          <w:noProof/>
          <w:sz w:val="22"/>
          <w:szCs w:val="22"/>
        </w:rPr>
      </w:pPr>
      <w:r w:rsidRPr="0097587C">
        <w:rPr>
          <w:b/>
          <w:sz w:val="22"/>
          <w:szCs w:val="22"/>
        </w:rPr>
        <w:t>6.6</w:t>
      </w:r>
      <w:r w:rsidR="00A73678" w:rsidRPr="0097587C">
        <w:rPr>
          <w:b/>
          <w:sz w:val="22"/>
          <w:szCs w:val="22"/>
        </w:rPr>
        <w:tab/>
      </w:r>
      <w:r w:rsidRPr="0097587C">
        <w:rPr>
          <w:b/>
          <w:bCs/>
          <w:noProof/>
          <w:sz w:val="22"/>
          <w:szCs w:val="22"/>
        </w:rPr>
        <w:t>Špeciálne opatrenia na likvidáciu</w:t>
      </w:r>
      <w:r w:rsidRPr="0097587C">
        <w:rPr>
          <w:b/>
          <w:sz w:val="22"/>
          <w:szCs w:val="22"/>
        </w:rPr>
        <w:t xml:space="preserve"> </w:t>
      </w:r>
    </w:p>
    <w:p w14:paraId="2A4FCA8A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5219DD4F" w14:textId="77777777" w:rsidR="00924AF1" w:rsidRPr="0097587C" w:rsidRDefault="00924AF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>Žiadne zvláštne požiadavky.</w:t>
      </w:r>
    </w:p>
    <w:p w14:paraId="454BFCFC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0F352E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06536333" w14:textId="77777777" w:rsidR="00924AF1" w:rsidRPr="0097587C" w:rsidRDefault="00924AF1" w:rsidP="00390045">
      <w:pPr>
        <w:keepNext/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7.</w:t>
      </w:r>
      <w:r w:rsidR="006C0CE6" w:rsidRPr="0097587C">
        <w:rPr>
          <w:b/>
          <w:bCs/>
          <w:sz w:val="22"/>
          <w:szCs w:val="22"/>
        </w:rPr>
        <w:tab/>
      </w:r>
      <w:r w:rsidR="00656D47" w:rsidRPr="0097587C">
        <w:rPr>
          <w:b/>
          <w:bCs/>
          <w:sz w:val="22"/>
          <w:szCs w:val="22"/>
        </w:rPr>
        <w:t xml:space="preserve"> </w:t>
      </w:r>
      <w:r w:rsidRPr="0097587C">
        <w:rPr>
          <w:b/>
          <w:bCs/>
          <w:sz w:val="22"/>
          <w:szCs w:val="22"/>
        </w:rPr>
        <w:t>DRŽITEĽ ROZHODNUTIA O REGISTRÁCII</w:t>
      </w:r>
    </w:p>
    <w:p w14:paraId="4811549F" w14:textId="77777777" w:rsidR="00A73678" w:rsidRPr="0097587C" w:rsidRDefault="00A73678" w:rsidP="00390045">
      <w:pPr>
        <w:keepNext/>
        <w:widowControl w:val="0"/>
        <w:rPr>
          <w:sz w:val="22"/>
          <w:szCs w:val="22"/>
        </w:rPr>
      </w:pPr>
    </w:p>
    <w:p w14:paraId="5BE84156" w14:textId="77777777" w:rsidR="00854C18" w:rsidRDefault="00854C18" w:rsidP="00390045">
      <w:pPr>
        <w:keepNext/>
        <w:rPr>
          <w:sz w:val="22"/>
          <w:szCs w:val="22"/>
          <w:lang w:eastAsia="cs-CZ"/>
        </w:rPr>
      </w:pPr>
      <w:proofErr w:type="spellStart"/>
      <w:r w:rsidRPr="00E96FA3">
        <w:rPr>
          <w:sz w:val="22"/>
          <w:szCs w:val="22"/>
          <w:lang w:eastAsia="cs-CZ"/>
        </w:rPr>
        <w:t>sanofi-aventis</w:t>
      </w:r>
      <w:proofErr w:type="spellEnd"/>
      <w:r w:rsidRPr="00E96FA3">
        <w:rPr>
          <w:sz w:val="22"/>
          <w:szCs w:val="22"/>
          <w:lang w:eastAsia="cs-CZ"/>
        </w:rPr>
        <w:t xml:space="preserve"> Slovakia s.r.o.</w:t>
      </w:r>
    </w:p>
    <w:p w14:paraId="781F5775" w14:textId="77777777" w:rsidR="00854C18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 xml:space="preserve">Einsteinova 24, 851 01 </w:t>
      </w:r>
    </w:p>
    <w:p w14:paraId="656B0DD3" w14:textId="77777777" w:rsidR="00854C18" w:rsidRPr="00E96FA3" w:rsidRDefault="00854C18" w:rsidP="00854C18">
      <w:pPr>
        <w:rPr>
          <w:sz w:val="22"/>
          <w:szCs w:val="22"/>
          <w:lang w:eastAsia="cs-CZ"/>
        </w:rPr>
      </w:pPr>
      <w:r w:rsidRPr="00E96FA3">
        <w:rPr>
          <w:sz w:val="22"/>
          <w:szCs w:val="22"/>
          <w:lang w:eastAsia="cs-CZ"/>
        </w:rPr>
        <w:t>Bratislava, Slovenská republika</w:t>
      </w:r>
      <w:r w:rsidRPr="00E96FA3" w:rsidDel="00EC50DD">
        <w:rPr>
          <w:sz w:val="22"/>
          <w:szCs w:val="22"/>
          <w:lang w:eastAsia="cs-CZ"/>
        </w:rPr>
        <w:t xml:space="preserve"> </w:t>
      </w:r>
    </w:p>
    <w:p w14:paraId="56FE4E43" w14:textId="77777777" w:rsidR="006516BC" w:rsidRDefault="006516BC" w:rsidP="0097587C">
      <w:pPr>
        <w:widowControl w:val="0"/>
        <w:rPr>
          <w:sz w:val="22"/>
          <w:szCs w:val="22"/>
        </w:rPr>
      </w:pPr>
    </w:p>
    <w:p w14:paraId="750D4EC8" w14:textId="77777777" w:rsidR="00390045" w:rsidRPr="0097587C" w:rsidRDefault="00390045" w:rsidP="0097587C">
      <w:pPr>
        <w:widowControl w:val="0"/>
        <w:rPr>
          <w:sz w:val="22"/>
          <w:szCs w:val="22"/>
        </w:rPr>
      </w:pPr>
    </w:p>
    <w:p w14:paraId="1A9444D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8.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REGISTRAČNÉ ČÍSLA</w:t>
      </w:r>
    </w:p>
    <w:p w14:paraId="4520F100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1BCA5622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29/0140/</w:t>
      </w:r>
      <w:r w:rsidRPr="0097587C">
        <w:rPr>
          <w:color w:val="000000"/>
          <w:sz w:val="22"/>
          <w:szCs w:val="22"/>
        </w:rPr>
        <w:t>89-</w:t>
      </w:r>
      <w:r w:rsidRPr="0097587C">
        <w:rPr>
          <w:sz w:val="22"/>
          <w:szCs w:val="22"/>
        </w:rPr>
        <w:t>CS</w:t>
      </w:r>
    </w:p>
    <w:p w14:paraId="3C57149E" w14:textId="77777777" w:rsidR="00924AF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</w:t>
      </w:r>
      <w:r w:rsidR="007C0A04" w:rsidRPr="0097587C">
        <w:rPr>
          <w:sz w:val="22"/>
          <w:szCs w:val="22"/>
        </w:rPr>
        <w:t>:</w:t>
      </w:r>
      <w:r w:rsidR="007C0A04" w:rsidRPr="0097587C">
        <w:rPr>
          <w:sz w:val="22"/>
          <w:szCs w:val="22"/>
        </w:rPr>
        <w:tab/>
      </w:r>
      <w:r w:rsidRPr="0097587C">
        <w:rPr>
          <w:sz w:val="22"/>
          <w:szCs w:val="22"/>
        </w:rPr>
        <w:t>29/0154/88-CS</w:t>
      </w:r>
    </w:p>
    <w:p w14:paraId="73BEC910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79345894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8372A03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9.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 xml:space="preserve">DÁTUM </w:t>
      </w:r>
      <w:r w:rsidR="00DE6671" w:rsidRPr="0097587C">
        <w:rPr>
          <w:b/>
          <w:bCs/>
          <w:sz w:val="22"/>
          <w:szCs w:val="22"/>
        </w:rPr>
        <w:t xml:space="preserve">PRVEJ </w:t>
      </w:r>
      <w:r w:rsidRPr="0097587C">
        <w:rPr>
          <w:b/>
          <w:bCs/>
          <w:sz w:val="22"/>
          <w:szCs w:val="22"/>
        </w:rPr>
        <w:t>REGISTRÁCIE/PREDĹŽENIA REGISTRÁCIE</w:t>
      </w:r>
    </w:p>
    <w:p w14:paraId="2753A5DC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4F0EAA8F" w14:textId="77777777" w:rsidR="00DE6671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200:</w:t>
      </w:r>
    </w:p>
    <w:p w14:paraId="00B20E4A" w14:textId="77777777" w:rsidR="00924AF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5.</w:t>
      </w:r>
      <w:r w:rsidR="00575ED9" w:rsidRPr="0097587C">
        <w:rPr>
          <w:sz w:val="22"/>
          <w:szCs w:val="22"/>
        </w:rPr>
        <w:t xml:space="preserve"> apríla </w:t>
      </w:r>
      <w:r w:rsidR="00924AF1" w:rsidRPr="0097587C">
        <w:rPr>
          <w:sz w:val="22"/>
          <w:szCs w:val="22"/>
        </w:rPr>
        <w:t>1989</w:t>
      </w:r>
    </w:p>
    <w:p w14:paraId="49DAD44B" w14:textId="77777777" w:rsidR="00DE6671" w:rsidRPr="0097587C" w:rsidRDefault="00DE6671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</w:t>
      </w:r>
      <w:r w:rsidR="00BD0BF2" w:rsidRPr="0097587C">
        <w:rPr>
          <w:sz w:val="22"/>
          <w:szCs w:val="22"/>
        </w:rPr>
        <w:t xml:space="preserve">predĺženia registrácie: </w:t>
      </w:r>
      <w:r w:rsidR="00575ED9" w:rsidRPr="0097587C">
        <w:rPr>
          <w:sz w:val="22"/>
          <w:szCs w:val="22"/>
        </w:rPr>
        <w:t>24. mája 2004</w:t>
      </w:r>
    </w:p>
    <w:p w14:paraId="6B0F2FEA" w14:textId="77777777" w:rsidR="00BD0BF2" w:rsidRPr="0097587C" w:rsidRDefault="00BD0BF2" w:rsidP="0097587C">
      <w:pPr>
        <w:widowControl w:val="0"/>
        <w:rPr>
          <w:sz w:val="22"/>
          <w:szCs w:val="22"/>
        </w:rPr>
      </w:pPr>
    </w:p>
    <w:p w14:paraId="40AE142D" w14:textId="77777777" w:rsidR="00BD0BF2" w:rsidRPr="0097587C" w:rsidRDefault="00924AF1" w:rsidP="0097587C">
      <w:pPr>
        <w:widowControl w:val="0"/>
        <w:rPr>
          <w:sz w:val="22"/>
          <w:szCs w:val="22"/>
        </w:rPr>
      </w:pPr>
      <w:proofErr w:type="spellStart"/>
      <w:r w:rsidRPr="0097587C">
        <w:rPr>
          <w:sz w:val="22"/>
          <w:szCs w:val="22"/>
        </w:rPr>
        <w:t>Ibalgin</w:t>
      </w:r>
      <w:proofErr w:type="spellEnd"/>
      <w:r w:rsidRPr="0097587C">
        <w:rPr>
          <w:sz w:val="22"/>
          <w:szCs w:val="22"/>
        </w:rPr>
        <w:t xml:space="preserve"> 400:</w:t>
      </w:r>
    </w:p>
    <w:p w14:paraId="7148D909" w14:textId="77777777" w:rsidR="00924AF1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prvej registrácie: </w:t>
      </w:r>
      <w:r w:rsidR="00924AF1" w:rsidRPr="0097587C">
        <w:rPr>
          <w:sz w:val="22"/>
          <w:szCs w:val="22"/>
        </w:rPr>
        <w:t>24.</w:t>
      </w:r>
      <w:r w:rsidR="00575ED9" w:rsidRPr="0097587C">
        <w:rPr>
          <w:sz w:val="22"/>
          <w:szCs w:val="22"/>
        </w:rPr>
        <w:t xml:space="preserve"> augusta</w:t>
      </w:r>
      <w:r w:rsidR="000B7C8D" w:rsidRPr="0097587C">
        <w:rPr>
          <w:sz w:val="22"/>
          <w:szCs w:val="22"/>
        </w:rPr>
        <w:t xml:space="preserve"> </w:t>
      </w:r>
      <w:r w:rsidR="00924AF1" w:rsidRPr="0097587C">
        <w:rPr>
          <w:sz w:val="22"/>
          <w:szCs w:val="22"/>
        </w:rPr>
        <w:t>1988</w:t>
      </w:r>
    </w:p>
    <w:p w14:paraId="12BB348B" w14:textId="77777777" w:rsidR="00BD0BF2" w:rsidRPr="0097587C" w:rsidRDefault="00BD0BF2" w:rsidP="0097587C">
      <w:pPr>
        <w:widowControl w:val="0"/>
        <w:rPr>
          <w:sz w:val="22"/>
          <w:szCs w:val="22"/>
        </w:rPr>
      </w:pPr>
      <w:r w:rsidRPr="0097587C">
        <w:rPr>
          <w:sz w:val="22"/>
          <w:szCs w:val="22"/>
        </w:rPr>
        <w:t xml:space="preserve">Dátum posledného predĺženia registrácie: </w:t>
      </w:r>
      <w:r w:rsidR="00575ED9" w:rsidRPr="0097587C">
        <w:rPr>
          <w:sz w:val="22"/>
          <w:szCs w:val="22"/>
        </w:rPr>
        <w:t>24. mája 2004</w:t>
      </w:r>
    </w:p>
    <w:p w14:paraId="32DB7F28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29A9E006" w14:textId="77777777" w:rsidR="00A73678" w:rsidRPr="0097587C" w:rsidRDefault="00A73678" w:rsidP="0097587C">
      <w:pPr>
        <w:widowControl w:val="0"/>
        <w:rPr>
          <w:sz w:val="22"/>
          <w:szCs w:val="22"/>
        </w:rPr>
      </w:pPr>
    </w:p>
    <w:p w14:paraId="75040C62" w14:textId="77777777" w:rsidR="00924AF1" w:rsidRPr="0097587C" w:rsidRDefault="00924AF1" w:rsidP="0097587C">
      <w:pPr>
        <w:widowControl w:val="0"/>
        <w:rPr>
          <w:b/>
          <w:bCs/>
          <w:sz w:val="22"/>
          <w:szCs w:val="22"/>
        </w:rPr>
      </w:pPr>
      <w:r w:rsidRPr="0097587C">
        <w:rPr>
          <w:b/>
          <w:bCs/>
          <w:sz w:val="22"/>
          <w:szCs w:val="22"/>
        </w:rPr>
        <w:t>10.</w:t>
      </w:r>
      <w:r w:rsidR="00A73678" w:rsidRPr="0097587C">
        <w:rPr>
          <w:b/>
          <w:bCs/>
          <w:sz w:val="22"/>
          <w:szCs w:val="22"/>
        </w:rPr>
        <w:tab/>
      </w:r>
      <w:r w:rsidRPr="0097587C">
        <w:rPr>
          <w:b/>
          <w:bCs/>
          <w:sz w:val="22"/>
          <w:szCs w:val="22"/>
        </w:rPr>
        <w:t>DÁTUM REVÍZIE TEXTU</w:t>
      </w:r>
    </w:p>
    <w:p w14:paraId="375C135F" w14:textId="77777777" w:rsidR="00924AF1" w:rsidRPr="0097587C" w:rsidRDefault="00924AF1" w:rsidP="0097587C">
      <w:pPr>
        <w:widowControl w:val="0"/>
        <w:rPr>
          <w:sz w:val="22"/>
          <w:szCs w:val="22"/>
        </w:rPr>
      </w:pPr>
    </w:p>
    <w:p w14:paraId="62600272" w14:textId="4C807E9B" w:rsidR="00A73678" w:rsidRPr="00624CAE" w:rsidRDefault="00EC5EF7" w:rsidP="009758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09/2018</w:t>
      </w:r>
    </w:p>
    <w:sectPr w:rsidR="00A73678" w:rsidRPr="00624CAE" w:rsidSect="0039004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57874" w14:textId="77777777" w:rsidR="00390B05" w:rsidRDefault="00390B05">
      <w:r>
        <w:separator/>
      </w:r>
    </w:p>
  </w:endnote>
  <w:endnote w:type="continuationSeparator" w:id="0">
    <w:p w14:paraId="0F79924B" w14:textId="77777777" w:rsidR="00390B05" w:rsidRDefault="00390B05">
      <w:r>
        <w:continuationSeparator/>
      </w:r>
    </w:p>
  </w:endnote>
  <w:endnote w:type="continuationNotice" w:id="1">
    <w:p w14:paraId="584A9F43" w14:textId="77777777" w:rsidR="00390B05" w:rsidRDefault="00390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5EF7" w14:textId="77777777" w:rsidR="008F2A4B" w:rsidRDefault="008F2A4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50F08A" w14:textId="77777777" w:rsidR="008F2A4B" w:rsidRDefault="008F2A4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41447" w14:textId="77777777" w:rsidR="008F2A4B" w:rsidRPr="0097587C" w:rsidRDefault="008F2A4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7587C">
      <w:rPr>
        <w:rStyle w:val="slostrany"/>
        <w:sz w:val="18"/>
        <w:szCs w:val="18"/>
      </w:rPr>
      <w:fldChar w:fldCharType="begin"/>
    </w:r>
    <w:r w:rsidRPr="0097587C">
      <w:rPr>
        <w:rStyle w:val="slostrany"/>
        <w:sz w:val="18"/>
        <w:szCs w:val="18"/>
      </w:rPr>
      <w:instrText xml:space="preserve">PAGE  </w:instrText>
    </w:r>
    <w:r w:rsidRPr="0097587C">
      <w:rPr>
        <w:rStyle w:val="slostrany"/>
        <w:sz w:val="18"/>
        <w:szCs w:val="18"/>
      </w:rPr>
      <w:fldChar w:fldCharType="separate"/>
    </w:r>
    <w:r w:rsidR="00EC444A">
      <w:rPr>
        <w:rStyle w:val="slostrany"/>
        <w:noProof/>
        <w:sz w:val="18"/>
        <w:szCs w:val="18"/>
      </w:rPr>
      <w:t>9</w:t>
    </w:r>
    <w:r w:rsidRPr="0097587C">
      <w:rPr>
        <w:rStyle w:val="slostrany"/>
        <w:sz w:val="18"/>
        <w:szCs w:val="18"/>
      </w:rPr>
      <w:fldChar w:fldCharType="end"/>
    </w:r>
  </w:p>
  <w:p w14:paraId="2C2AC9F3" w14:textId="77777777" w:rsidR="008F2A4B" w:rsidRPr="00727E81" w:rsidRDefault="008F2A4B" w:rsidP="003C2220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18F0" w14:textId="77777777" w:rsidR="00DB40F0" w:rsidRPr="0097587C" w:rsidRDefault="00DB40F0">
    <w:pPr>
      <w:pStyle w:val="Pta"/>
      <w:jc w:val="center"/>
      <w:rPr>
        <w:sz w:val="18"/>
        <w:szCs w:val="18"/>
      </w:rPr>
    </w:pPr>
    <w:r w:rsidRPr="0097587C">
      <w:rPr>
        <w:sz w:val="18"/>
        <w:szCs w:val="18"/>
      </w:rPr>
      <w:fldChar w:fldCharType="begin"/>
    </w:r>
    <w:r w:rsidRPr="0097587C">
      <w:rPr>
        <w:sz w:val="18"/>
        <w:szCs w:val="18"/>
      </w:rPr>
      <w:instrText>PAGE   \* MERGEFORMAT</w:instrText>
    </w:r>
    <w:r w:rsidRPr="0097587C">
      <w:rPr>
        <w:sz w:val="18"/>
        <w:szCs w:val="18"/>
      </w:rPr>
      <w:fldChar w:fldCharType="separate"/>
    </w:r>
    <w:r w:rsidR="00390045">
      <w:rPr>
        <w:noProof/>
        <w:sz w:val="18"/>
        <w:szCs w:val="18"/>
      </w:rPr>
      <w:t>1</w:t>
    </w:r>
    <w:r w:rsidRPr="0097587C">
      <w:rPr>
        <w:sz w:val="18"/>
        <w:szCs w:val="18"/>
      </w:rPr>
      <w:fldChar w:fldCharType="end"/>
    </w:r>
  </w:p>
  <w:p w14:paraId="38E65A46" w14:textId="77777777" w:rsidR="00DB40F0" w:rsidRDefault="00DB40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80556" w14:textId="77777777" w:rsidR="00390B05" w:rsidRDefault="00390B05">
      <w:r>
        <w:separator/>
      </w:r>
    </w:p>
  </w:footnote>
  <w:footnote w:type="continuationSeparator" w:id="0">
    <w:p w14:paraId="0F5B09E4" w14:textId="77777777" w:rsidR="00390B05" w:rsidRDefault="00390B05">
      <w:r>
        <w:continuationSeparator/>
      </w:r>
    </w:p>
  </w:footnote>
  <w:footnote w:type="continuationNotice" w:id="1">
    <w:p w14:paraId="6A1B658D" w14:textId="77777777" w:rsidR="00390B05" w:rsidRDefault="00390B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AE93" w14:textId="40AD2562" w:rsidR="00DC3E52" w:rsidRDefault="00854C18" w:rsidP="00854C18">
    <w:pPr>
      <w:ind w:left="567" w:hanging="567"/>
      <w:outlineLvl w:val="0"/>
      <w:rPr>
        <w:noProof/>
        <w:sz w:val="18"/>
        <w:szCs w:val="18"/>
      </w:rPr>
    </w:pPr>
    <w:r w:rsidRPr="00854C18">
      <w:rPr>
        <w:noProof/>
        <w:sz w:val="18"/>
        <w:szCs w:val="18"/>
      </w:rPr>
      <w:t>Schválený text k rozhodnutiu o</w:t>
    </w:r>
    <w:r w:rsidR="00DC3E52">
      <w:rPr>
        <w:noProof/>
        <w:sz w:val="18"/>
        <w:szCs w:val="18"/>
      </w:rPr>
      <w:t> zmene</w:t>
    </w:r>
    <w:r w:rsidRPr="00854C18">
      <w:rPr>
        <w:noProof/>
        <w:sz w:val="18"/>
        <w:szCs w:val="18"/>
      </w:rPr>
      <w:t>, ev.č.</w:t>
    </w:r>
    <w:r w:rsidR="00390045">
      <w:rPr>
        <w:noProof/>
        <w:sz w:val="18"/>
        <w:szCs w:val="18"/>
      </w:rPr>
      <w:t xml:space="preserve">: </w:t>
    </w:r>
    <w:r w:rsidR="002E2526">
      <w:rPr>
        <w:noProof/>
        <w:sz w:val="18"/>
        <w:szCs w:val="18"/>
      </w:rPr>
      <w:t>2018/02269-ZME</w:t>
    </w:r>
  </w:p>
  <w:p w14:paraId="04180B1B" w14:textId="42E28546" w:rsidR="00390045" w:rsidRPr="00854C18" w:rsidRDefault="00390045" w:rsidP="00854C18">
    <w:pPr>
      <w:ind w:left="567" w:hanging="567"/>
      <w:outlineLvl w:val="0"/>
      <w:rPr>
        <w:noProof/>
        <w:sz w:val="18"/>
        <w:szCs w:val="18"/>
      </w:rPr>
    </w:pPr>
    <w:r w:rsidRPr="00854C18">
      <w:rPr>
        <w:noProof/>
        <w:sz w:val="18"/>
        <w:szCs w:val="18"/>
      </w:rPr>
      <w:t>Schválený text k rozhodnutiu o </w:t>
    </w:r>
    <w:r w:rsidR="00DC3E52">
      <w:rPr>
        <w:noProof/>
        <w:sz w:val="18"/>
        <w:szCs w:val="18"/>
      </w:rPr>
      <w:t>zmene</w:t>
    </w:r>
    <w:r w:rsidRPr="00854C18">
      <w:rPr>
        <w:noProof/>
        <w:sz w:val="18"/>
        <w:szCs w:val="18"/>
      </w:rPr>
      <w:t>, ev.č.</w:t>
    </w:r>
    <w:r>
      <w:rPr>
        <w:noProof/>
        <w:sz w:val="18"/>
        <w:szCs w:val="18"/>
      </w:rPr>
      <w:t xml:space="preserve">: </w:t>
    </w:r>
    <w:r w:rsidR="002E2526">
      <w:rPr>
        <w:noProof/>
        <w:sz w:val="18"/>
        <w:szCs w:val="18"/>
      </w:rPr>
      <w:t>2018/01820-ZME</w:t>
    </w:r>
  </w:p>
  <w:p w14:paraId="296ECC26" w14:textId="77777777" w:rsidR="00854C18" w:rsidRDefault="00854C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55B2D"/>
    <w:multiLevelType w:val="hybridMultilevel"/>
    <w:tmpl w:val="39D0632A"/>
    <w:lvl w:ilvl="0" w:tplc="85C67A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F8"/>
    <w:rsid w:val="00007194"/>
    <w:rsid w:val="00024638"/>
    <w:rsid w:val="000307B6"/>
    <w:rsid w:val="00031B59"/>
    <w:rsid w:val="000330A4"/>
    <w:rsid w:val="00035255"/>
    <w:rsid w:val="00037E96"/>
    <w:rsid w:val="00040CB5"/>
    <w:rsid w:val="00060F5C"/>
    <w:rsid w:val="0006355D"/>
    <w:rsid w:val="00080F75"/>
    <w:rsid w:val="000869EF"/>
    <w:rsid w:val="00087002"/>
    <w:rsid w:val="000A2351"/>
    <w:rsid w:val="000A289D"/>
    <w:rsid w:val="000A2ABB"/>
    <w:rsid w:val="000A5617"/>
    <w:rsid w:val="000B1033"/>
    <w:rsid w:val="000B7C8D"/>
    <w:rsid w:val="000C1321"/>
    <w:rsid w:val="000C2C8B"/>
    <w:rsid w:val="000D3148"/>
    <w:rsid w:val="000E5225"/>
    <w:rsid w:val="000E5926"/>
    <w:rsid w:val="0010556B"/>
    <w:rsid w:val="00117A1D"/>
    <w:rsid w:val="00126DDD"/>
    <w:rsid w:val="001345B3"/>
    <w:rsid w:val="00162490"/>
    <w:rsid w:val="00173DF3"/>
    <w:rsid w:val="00176CFE"/>
    <w:rsid w:val="00186D3A"/>
    <w:rsid w:val="00192227"/>
    <w:rsid w:val="00197539"/>
    <w:rsid w:val="001A0EA2"/>
    <w:rsid w:val="001B2CED"/>
    <w:rsid w:val="001B2E10"/>
    <w:rsid w:val="001B355B"/>
    <w:rsid w:val="001B4FA8"/>
    <w:rsid w:val="001B757C"/>
    <w:rsid w:val="001D1618"/>
    <w:rsid w:val="001D5FA6"/>
    <w:rsid w:val="001D7B97"/>
    <w:rsid w:val="001E5A38"/>
    <w:rsid w:val="001F5EFA"/>
    <w:rsid w:val="00201C76"/>
    <w:rsid w:val="00214511"/>
    <w:rsid w:val="002155CB"/>
    <w:rsid w:val="00217B82"/>
    <w:rsid w:val="00235045"/>
    <w:rsid w:val="00250FF7"/>
    <w:rsid w:val="002551CB"/>
    <w:rsid w:val="00264634"/>
    <w:rsid w:val="0027568A"/>
    <w:rsid w:val="00281828"/>
    <w:rsid w:val="00281E85"/>
    <w:rsid w:val="00293D32"/>
    <w:rsid w:val="00295893"/>
    <w:rsid w:val="002B53E4"/>
    <w:rsid w:val="002B5CCD"/>
    <w:rsid w:val="002D06F7"/>
    <w:rsid w:val="002D3EDE"/>
    <w:rsid w:val="002E2526"/>
    <w:rsid w:val="002E5177"/>
    <w:rsid w:val="002F4FF9"/>
    <w:rsid w:val="002F5884"/>
    <w:rsid w:val="002F66F5"/>
    <w:rsid w:val="002F7256"/>
    <w:rsid w:val="003017EB"/>
    <w:rsid w:val="00310278"/>
    <w:rsid w:val="00315722"/>
    <w:rsid w:val="0031784C"/>
    <w:rsid w:val="00344574"/>
    <w:rsid w:val="00346017"/>
    <w:rsid w:val="00354F29"/>
    <w:rsid w:val="00366CA9"/>
    <w:rsid w:val="0036738F"/>
    <w:rsid w:val="00375ED2"/>
    <w:rsid w:val="003777A1"/>
    <w:rsid w:val="00382641"/>
    <w:rsid w:val="00384713"/>
    <w:rsid w:val="00390045"/>
    <w:rsid w:val="00390B05"/>
    <w:rsid w:val="00394D75"/>
    <w:rsid w:val="003961CF"/>
    <w:rsid w:val="003B0B03"/>
    <w:rsid w:val="003C2220"/>
    <w:rsid w:val="003C44BA"/>
    <w:rsid w:val="003D028F"/>
    <w:rsid w:val="003D1878"/>
    <w:rsid w:val="003E14D0"/>
    <w:rsid w:val="003F4553"/>
    <w:rsid w:val="00407786"/>
    <w:rsid w:val="00415513"/>
    <w:rsid w:val="004209D3"/>
    <w:rsid w:val="00434079"/>
    <w:rsid w:val="0045545D"/>
    <w:rsid w:val="00456AAB"/>
    <w:rsid w:val="00457603"/>
    <w:rsid w:val="004608E8"/>
    <w:rsid w:val="00466384"/>
    <w:rsid w:val="004674F9"/>
    <w:rsid w:val="00485C73"/>
    <w:rsid w:val="00486665"/>
    <w:rsid w:val="004C342B"/>
    <w:rsid w:val="004C5EFE"/>
    <w:rsid w:val="004D278F"/>
    <w:rsid w:val="004D49DC"/>
    <w:rsid w:val="004E558B"/>
    <w:rsid w:val="004F4C05"/>
    <w:rsid w:val="00505054"/>
    <w:rsid w:val="00511635"/>
    <w:rsid w:val="00513150"/>
    <w:rsid w:val="0051561F"/>
    <w:rsid w:val="00517AAD"/>
    <w:rsid w:val="0052590B"/>
    <w:rsid w:val="00531B39"/>
    <w:rsid w:val="00542C4D"/>
    <w:rsid w:val="00545A34"/>
    <w:rsid w:val="00557807"/>
    <w:rsid w:val="00560006"/>
    <w:rsid w:val="0056466C"/>
    <w:rsid w:val="00566A67"/>
    <w:rsid w:val="00575ED9"/>
    <w:rsid w:val="00585BB9"/>
    <w:rsid w:val="00585CDC"/>
    <w:rsid w:val="00586B0F"/>
    <w:rsid w:val="005A4A03"/>
    <w:rsid w:val="005B014E"/>
    <w:rsid w:val="005B5AB4"/>
    <w:rsid w:val="005B7641"/>
    <w:rsid w:val="005D17DB"/>
    <w:rsid w:val="005F1F4E"/>
    <w:rsid w:val="005F58D2"/>
    <w:rsid w:val="00603AF8"/>
    <w:rsid w:val="00622242"/>
    <w:rsid w:val="00623B04"/>
    <w:rsid w:val="00624CAE"/>
    <w:rsid w:val="00624DFF"/>
    <w:rsid w:val="00626F7B"/>
    <w:rsid w:val="00642245"/>
    <w:rsid w:val="00643FED"/>
    <w:rsid w:val="006516BC"/>
    <w:rsid w:val="00653747"/>
    <w:rsid w:val="00656D47"/>
    <w:rsid w:val="006613E1"/>
    <w:rsid w:val="00662D2B"/>
    <w:rsid w:val="00664EB2"/>
    <w:rsid w:val="006653C3"/>
    <w:rsid w:val="00677535"/>
    <w:rsid w:val="00683668"/>
    <w:rsid w:val="006917DB"/>
    <w:rsid w:val="006A08DA"/>
    <w:rsid w:val="006A1FE1"/>
    <w:rsid w:val="006B6093"/>
    <w:rsid w:val="006B6CCB"/>
    <w:rsid w:val="006B70E7"/>
    <w:rsid w:val="006C0CE6"/>
    <w:rsid w:val="006D184D"/>
    <w:rsid w:val="006D25E8"/>
    <w:rsid w:val="006E4BC7"/>
    <w:rsid w:val="006E6AF7"/>
    <w:rsid w:val="006F4BB8"/>
    <w:rsid w:val="00714A0D"/>
    <w:rsid w:val="00727E81"/>
    <w:rsid w:val="0073678A"/>
    <w:rsid w:val="00742ABB"/>
    <w:rsid w:val="007452EC"/>
    <w:rsid w:val="00750D43"/>
    <w:rsid w:val="0075712C"/>
    <w:rsid w:val="00765F63"/>
    <w:rsid w:val="007A7AA5"/>
    <w:rsid w:val="007B3653"/>
    <w:rsid w:val="007B539A"/>
    <w:rsid w:val="007B7F9D"/>
    <w:rsid w:val="007C0A04"/>
    <w:rsid w:val="007C2826"/>
    <w:rsid w:val="007C2E6D"/>
    <w:rsid w:val="007C6290"/>
    <w:rsid w:val="007D1415"/>
    <w:rsid w:val="007D34D4"/>
    <w:rsid w:val="007D6695"/>
    <w:rsid w:val="007E3CA9"/>
    <w:rsid w:val="008032FD"/>
    <w:rsid w:val="00815717"/>
    <w:rsid w:val="00824814"/>
    <w:rsid w:val="0083392E"/>
    <w:rsid w:val="008339C7"/>
    <w:rsid w:val="008339FE"/>
    <w:rsid w:val="0085181E"/>
    <w:rsid w:val="00854C18"/>
    <w:rsid w:val="008553E9"/>
    <w:rsid w:val="00867149"/>
    <w:rsid w:val="00880FB9"/>
    <w:rsid w:val="00881437"/>
    <w:rsid w:val="0088475D"/>
    <w:rsid w:val="00886234"/>
    <w:rsid w:val="008C43A1"/>
    <w:rsid w:val="008C56B9"/>
    <w:rsid w:val="008C7898"/>
    <w:rsid w:val="008F2A4B"/>
    <w:rsid w:val="008F4D41"/>
    <w:rsid w:val="0091035B"/>
    <w:rsid w:val="009109D6"/>
    <w:rsid w:val="00911CD9"/>
    <w:rsid w:val="00912DC7"/>
    <w:rsid w:val="0091603C"/>
    <w:rsid w:val="00924AF1"/>
    <w:rsid w:val="00943563"/>
    <w:rsid w:val="0095337D"/>
    <w:rsid w:val="00954C15"/>
    <w:rsid w:val="009579F2"/>
    <w:rsid w:val="0096067F"/>
    <w:rsid w:val="0097587C"/>
    <w:rsid w:val="00976E44"/>
    <w:rsid w:val="0099327B"/>
    <w:rsid w:val="009B5A04"/>
    <w:rsid w:val="009B6FCF"/>
    <w:rsid w:val="009C209B"/>
    <w:rsid w:val="009E21D9"/>
    <w:rsid w:val="009E295D"/>
    <w:rsid w:val="009E5EF4"/>
    <w:rsid w:val="009E7EB1"/>
    <w:rsid w:val="009F4785"/>
    <w:rsid w:val="00A05280"/>
    <w:rsid w:val="00A05820"/>
    <w:rsid w:val="00A11745"/>
    <w:rsid w:val="00A13D01"/>
    <w:rsid w:val="00A42E3E"/>
    <w:rsid w:val="00A46A9F"/>
    <w:rsid w:val="00A55F2C"/>
    <w:rsid w:val="00A613A8"/>
    <w:rsid w:val="00A62FA9"/>
    <w:rsid w:val="00A70263"/>
    <w:rsid w:val="00A7312C"/>
    <w:rsid w:val="00A73678"/>
    <w:rsid w:val="00A74897"/>
    <w:rsid w:val="00A929CC"/>
    <w:rsid w:val="00A932E4"/>
    <w:rsid w:val="00AA17AF"/>
    <w:rsid w:val="00AA2B26"/>
    <w:rsid w:val="00AA73A4"/>
    <w:rsid w:val="00AB16AB"/>
    <w:rsid w:val="00AB29B6"/>
    <w:rsid w:val="00AB5802"/>
    <w:rsid w:val="00AC20F4"/>
    <w:rsid w:val="00AD197A"/>
    <w:rsid w:val="00AE2B6C"/>
    <w:rsid w:val="00AF5F08"/>
    <w:rsid w:val="00B033A1"/>
    <w:rsid w:val="00B04BDD"/>
    <w:rsid w:val="00B0634D"/>
    <w:rsid w:val="00B2064C"/>
    <w:rsid w:val="00B37057"/>
    <w:rsid w:val="00B459BC"/>
    <w:rsid w:val="00B4668B"/>
    <w:rsid w:val="00B526DB"/>
    <w:rsid w:val="00B539AA"/>
    <w:rsid w:val="00B56D98"/>
    <w:rsid w:val="00B85105"/>
    <w:rsid w:val="00B911F8"/>
    <w:rsid w:val="00B96240"/>
    <w:rsid w:val="00BA58AD"/>
    <w:rsid w:val="00BB16C9"/>
    <w:rsid w:val="00BB6D23"/>
    <w:rsid w:val="00BB7E2D"/>
    <w:rsid w:val="00BC3BB9"/>
    <w:rsid w:val="00BD022C"/>
    <w:rsid w:val="00BD0BF2"/>
    <w:rsid w:val="00BD7024"/>
    <w:rsid w:val="00BE0B01"/>
    <w:rsid w:val="00BE1E7C"/>
    <w:rsid w:val="00BE24A5"/>
    <w:rsid w:val="00C0090B"/>
    <w:rsid w:val="00C00F24"/>
    <w:rsid w:val="00C04D32"/>
    <w:rsid w:val="00C0612E"/>
    <w:rsid w:val="00C13EC0"/>
    <w:rsid w:val="00C207DC"/>
    <w:rsid w:val="00C323FF"/>
    <w:rsid w:val="00C36E73"/>
    <w:rsid w:val="00C44C48"/>
    <w:rsid w:val="00C57ABF"/>
    <w:rsid w:val="00C60850"/>
    <w:rsid w:val="00C86FCD"/>
    <w:rsid w:val="00C94B11"/>
    <w:rsid w:val="00C955FE"/>
    <w:rsid w:val="00C96919"/>
    <w:rsid w:val="00CB06BE"/>
    <w:rsid w:val="00CC0291"/>
    <w:rsid w:val="00CC3154"/>
    <w:rsid w:val="00CC6890"/>
    <w:rsid w:val="00CE0B41"/>
    <w:rsid w:val="00CE5A9D"/>
    <w:rsid w:val="00CF2EE3"/>
    <w:rsid w:val="00D144C0"/>
    <w:rsid w:val="00D20DB5"/>
    <w:rsid w:val="00D21294"/>
    <w:rsid w:val="00D24BA4"/>
    <w:rsid w:val="00D31606"/>
    <w:rsid w:val="00D411AB"/>
    <w:rsid w:val="00D543EB"/>
    <w:rsid w:val="00D75D09"/>
    <w:rsid w:val="00D83E41"/>
    <w:rsid w:val="00DB03DC"/>
    <w:rsid w:val="00DB40F0"/>
    <w:rsid w:val="00DB5017"/>
    <w:rsid w:val="00DC3E52"/>
    <w:rsid w:val="00DC79E6"/>
    <w:rsid w:val="00DE2745"/>
    <w:rsid w:val="00DE2FFC"/>
    <w:rsid w:val="00DE3F53"/>
    <w:rsid w:val="00DE6671"/>
    <w:rsid w:val="00E0152B"/>
    <w:rsid w:val="00E027AB"/>
    <w:rsid w:val="00E03B3F"/>
    <w:rsid w:val="00E0715F"/>
    <w:rsid w:val="00E204F6"/>
    <w:rsid w:val="00E24174"/>
    <w:rsid w:val="00E42DF0"/>
    <w:rsid w:val="00E552E5"/>
    <w:rsid w:val="00E60800"/>
    <w:rsid w:val="00E711E4"/>
    <w:rsid w:val="00E86EC9"/>
    <w:rsid w:val="00E97A16"/>
    <w:rsid w:val="00EA3312"/>
    <w:rsid w:val="00EC25E9"/>
    <w:rsid w:val="00EC444A"/>
    <w:rsid w:val="00EC5EF7"/>
    <w:rsid w:val="00ED10A2"/>
    <w:rsid w:val="00ED1D4B"/>
    <w:rsid w:val="00ED2EA1"/>
    <w:rsid w:val="00ED77A3"/>
    <w:rsid w:val="00EE2E4A"/>
    <w:rsid w:val="00EF02BC"/>
    <w:rsid w:val="00EF7977"/>
    <w:rsid w:val="00F00396"/>
    <w:rsid w:val="00F060A1"/>
    <w:rsid w:val="00F15AB2"/>
    <w:rsid w:val="00F23CE6"/>
    <w:rsid w:val="00F2478F"/>
    <w:rsid w:val="00F26BFD"/>
    <w:rsid w:val="00F3370B"/>
    <w:rsid w:val="00F37F01"/>
    <w:rsid w:val="00F4186E"/>
    <w:rsid w:val="00F4261F"/>
    <w:rsid w:val="00F444FC"/>
    <w:rsid w:val="00F509D4"/>
    <w:rsid w:val="00F545E5"/>
    <w:rsid w:val="00F60143"/>
    <w:rsid w:val="00F90809"/>
    <w:rsid w:val="00FA020B"/>
    <w:rsid w:val="00FA4E8B"/>
    <w:rsid w:val="00FA6052"/>
    <w:rsid w:val="00FC272D"/>
    <w:rsid w:val="00FC5696"/>
    <w:rsid w:val="00FC6D15"/>
    <w:rsid w:val="00FD7D33"/>
    <w:rsid w:val="00FE4FEA"/>
    <w:rsid w:val="00FF2CCF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A0D8AC1-E48A-4AD3-B210-BEB61D2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9E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C79E6"/>
    <w:pPr>
      <w:widowControl w:val="0"/>
      <w:jc w:val="center"/>
    </w:pPr>
    <w:rPr>
      <w:rFonts w:ascii="Arial" w:hAnsi="Arial" w:cs="Arial"/>
      <w:b/>
      <w:bCs/>
      <w:sz w:val="20"/>
    </w:rPr>
  </w:style>
  <w:style w:type="character" w:customStyle="1" w:styleId="NzovChar">
    <w:name w:val="Názov Char"/>
    <w:link w:val="Nzov"/>
    <w:locked/>
    <w:rsid w:val="00CE5A9D"/>
    <w:rPr>
      <w:rFonts w:ascii="Cambria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rsid w:val="00DC79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CE5A9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DC79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E5A9D"/>
    <w:rPr>
      <w:rFonts w:cs="Times New Roman"/>
      <w:sz w:val="24"/>
      <w:szCs w:val="24"/>
    </w:rPr>
  </w:style>
  <w:style w:type="character" w:styleId="slostrany">
    <w:name w:val="page number"/>
    <w:rsid w:val="00DC79E6"/>
    <w:rPr>
      <w:rFonts w:cs="Times New Roman"/>
    </w:rPr>
  </w:style>
  <w:style w:type="paragraph" w:styleId="Zkladntext">
    <w:name w:val="Body Text"/>
    <w:basedOn w:val="Normlny"/>
    <w:link w:val="ZkladntextChar"/>
    <w:rsid w:val="00DC79E6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link w:val="Zkladntext"/>
    <w:semiHidden/>
    <w:locked/>
    <w:rsid w:val="00CE5A9D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FC6D15"/>
    <w:pPr>
      <w:spacing w:after="120" w:line="480" w:lineRule="auto"/>
    </w:pPr>
  </w:style>
  <w:style w:type="character" w:customStyle="1" w:styleId="Zkladntext2Char">
    <w:name w:val="Základný text 2 Char"/>
    <w:link w:val="Zkladntext2"/>
    <w:semiHidden/>
    <w:locked/>
    <w:rsid w:val="00CE5A9D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531B39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ý text 3 Char"/>
    <w:link w:val="Zkladntext3"/>
    <w:semiHidden/>
    <w:locked/>
    <w:rsid w:val="00CE5A9D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semiHidden/>
    <w:rsid w:val="006F4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F4BB8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D669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D6695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D6695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rFonts w:cs="Times New Roman"/>
      <w:b/>
      <w:bCs/>
      <w:sz w:val="20"/>
      <w:szCs w:val="20"/>
    </w:rPr>
  </w:style>
  <w:style w:type="character" w:styleId="Hypertextovprepojenie">
    <w:name w:val="Hyperlink"/>
    <w:rsid w:val="00CC315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qFormat/>
    <w:rsid w:val="00566A67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66A6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EMEAEnBodyText">
    <w:name w:val="EMEA En Body Text"/>
    <w:basedOn w:val="Normlny"/>
    <w:rsid w:val="000D3148"/>
    <w:pPr>
      <w:spacing w:before="120" w:after="12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200+400</vt:lpstr>
    </vt:vector>
  </TitlesOfParts>
  <Company>sanofi-aventis</Company>
  <LinksUpToDate>false</LinksUpToDate>
  <CharactersWithSpaces>23592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200+400</dc:title>
  <dc:subject>SmPC</dc:subject>
  <dc:creator>Hranaiová</dc:creator>
  <cp:lastModifiedBy>Dočolomanská, Petra</cp:lastModifiedBy>
  <cp:revision>2</cp:revision>
  <cp:lastPrinted>2018-05-25T09:20:00Z</cp:lastPrinted>
  <dcterms:created xsi:type="dcterms:W3CDTF">2018-09-21T17:45:00Z</dcterms:created>
  <dcterms:modified xsi:type="dcterms:W3CDTF">2018-09-27T08:33:00Z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978402876</vt:i4>
  </property>
  <property fmtid="{D5CDD505-2E9C-101B-9397-08002B2CF9AE}" pid="4" name="_EmailSubject">
    <vt:lpwstr>[EXTERNAL] RE:  RE:  Zhodnotenie odpovedí na pripomienky IBALGIN 2017/02269-ZME? 2017/01820-ZME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  <property fmtid="{D5CDD505-2E9C-101B-9397-08002B2CF9AE}" pid="8" name="_PreviousAdHocReviewCycleID">
    <vt:i4>-1372344352</vt:i4>
  </property>
</Properties>
</file>