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09F52" w14:textId="77777777" w:rsidR="00184723" w:rsidRDefault="00184723" w:rsidP="000E4718">
      <w:pPr>
        <w:pStyle w:val="Bezriadkovania1"/>
        <w:jc w:val="center"/>
        <w:rPr>
          <w:rFonts w:ascii="Times New Roman" w:hAnsi="Times New Roman"/>
          <w:sz w:val="18"/>
          <w:szCs w:val="18"/>
          <w:lang w:val="sk-SK"/>
        </w:rPr>
      </w:pPr>
    </w:p>
    <w:p w14:paraId="4C67F816" w14:textId="649F19BA" w:rsidR="003B7D86" w:rsidRPr="00645EDC" w:rsidRDefault="003B7D86" w:rsidP="000E4718">
      <w:pPr>
        <w:pStyle w:val="Bezriadkovania1"/>
        <w:jc w:val="center"/>
        <w:rPr>
          <w:rStyle w:val="FontStyle34"/>
          <w:sz w:val="22"/>
          <w:szCs w:val="22"/>
          <w:lang w:val="sk-SK" w:eastAsia="es-ES_tradnl"/>
        </w:rPr>
      </w:pPr>
      <w:r w:rsidRPr="00645EDC">
        <w:rPr>
          <w:rStyle w:val="FontStyle34"/>
          <w:sz w:val="22"/>
          <w:szCs w:val="22"/>
          <w:lang w:val="sk-SK" w:eastAsia="es-ES_tradnl"/>
        </w:rPr>
        <w:t>SÚHRN CHARAKTERISTICKÝCH VLASTNOSTÍ LIEKU</w:t>
      </w:r>
    </w:p>
    <w:p w14:paraId="4BA53B35" w14:textId="77777777" w:rsidR="003B7D86" w:rsidRPr="00645EDC" w:rsidRDefault="003B7D86" w:rsidP="003B7D86">
      <w:pPr>
        <w:pStyle w:val="Bezriadkovania1"/>
        <w:rPr>
          <w:rFonts w:ascii="Times New Roman" w:hAnsi="Times New Roman"/>
          <w:b/>
          <w:lang w:val="sk-SK"/>
        </w:rPr>
      </w:pPr>
    </w:p>
    <w:p w14:paraId="1CDD4A94" w14:textId="77777777" w:rsidR="003B7D86" w:rsidRPr="00645EDC" w:rsidRDefault="003B7D86" w:rsidP="003B7D86">
      <w:pPr>
        <w:pStyle w:val="Bezriadkovania1"/>
        <w:rPr>
          <w:rFonts w:ascii="Times New Roman" w:hAnsi="Times New Roman"/>
          <w:lang w:val="sk-SK"/>
        </w:rPr>
      </w:pPr>
    </w:p>
    <w:p w14:paraId="7082DFF0" w14:textId="77777777" w:rsidR="003B7D86" w:rsidRPr="00645EDC" w:rsidRDefault="003B7D86" w:rsidP="003B7D86">
      <w:pPr>
        <w:pStyle w:val="Bezriadkovania1"/>
        <w:numPr>
          <w:ilvl w:val="0"/>
          <w:numId w:val="1"/>
        </w:numPr>
        <w:tabs>
          <w:tab w:val="left" w:pos="540"/>
        </w:tabs>
        <w:ind w:left="0" w:firstLine="0"/>
        <w:rPr>
          <w:rFonts w:ascii="Times New Roman" w:hAnsi="Times New Roman"/>
          <w:b/>
          <w:lang w:val="sk-SK"/>
        </w:rPr>
      </w:pPr>
      <w:r w:rsidRPr="000E4718">
        <w:rPr>
          <w:rFonts w:ascii="Times New Roman" w:hAnsi="Times New Roman"/>
          <w:b/>
          <w:lang w:val="sk-SK"/>
        </w:rPr>
        <w:t>NÁZOV LIEKU</w:t>
      </w:r>
    </w:p>
    <w:p w14:paraId="67D5E1A9" w14:textId="77777777" w:rsidR="003B7D86" w:rsidRPr="00645EDC" w:rsidRDefault="003B7D86" w:rsidP="003B7D86">
      <w:pPr>
        <w:pStyle w:val="Bezriadkovania1"/>
        <w:tabs>
          <w:tab w:val="left" w:pos="540"/>
        </w:tabs>
        <w:rPr>
          <w:rFonts w:ascii="Times New Roman" w:hAnsi="Times New Roman"/>
          <w:b/>
          <w:lang w:val="sk-SK"/>
        </w:rPr>
      </w:pPr>
    </w:p>
    <w:p w14:paraId="133F0AC1" w14:textId="77777777" w:rsidR="003B7D86" w:rsidRPr="00645EDC" w:rsidRDefault="004C3DC1" w:rsidP="003B7D86">
      <w:pPr>
        <w:pStyle w:val="Style7"/>
        <w:widowControl/>
        <w:spacing w:line="240" w:lineRule="auto"/>
        <w:jc w:val="left"/>
        <w:rPr>
          <w:sz w:val="22"/>
          <w:szCs w:val="22"/>
          <w:lang w:val="sk-SK"/>
        </w:rPr>
      </w:pPr>
      <w:r w:rsidRPr="00645EDC">
        <w:rPr>
          <w:sz w:val="22"/>
          <w:szCs w:val="22"/>
          <w:lang w:val="sk-SK"/>
        </w:rPr>
        <w:t xml:space="preserve">Licobondrat </w:t>
      </w:r>
      <w:r w:rsidR="003B7D86" w:rsidRPr="00645EDC">
        <w:rPr>
          <w:sz w:val="22"/>
          <w:szCs w:val="22"/>
          <w:lang w:val="sk-SK"/>
        </w:rPr>
        <w:t>150 mg</w:t>
      </w:r>
    </w:p>
    <w:p w14:paraId="748C5957" w14:textId="77777777" w:rsidR="003B7D86" w:rsidRPr="00645EDC" w:rsidRDefault="003B7D86" w:rsidP="003B7D86">
      <w:pPr>
        <w:pStyle w:val="Style7"/>
        <w:widowControl/>
        <w:spacing w:line="240" w:lineRule="auto"/>
        <w:jc w:val="left"/>
        <w:rPr>
          <w:rStyle w:val="FontStyle33"/>
          <w:sz w:val="22"/>
          <w:szCs w:val="22"/>
          <w:lang w:val="sk-SK" w:eastAsia="de-DE"/>
        </w:rPr>
      </w:pPr>
      <w:r w:rsidRPr="00645EDC">
        <w:rPr>
          <w:rStyle w:val="FontStyle33"/>
          <w:sz w:val="22"/>
          <w:szCs w:val="22"/>
          <w:lang w:val="sk-SK" w:eastAsia="de-DE"/>
        </w:rPr>
        <w:t>filmom obalené tablety</w:t>
      </w:r>
    </w:p>
    <w:p w14:paraId="474C4688" w14:textId="77777777" w:rsidR="003B7D86" w:rsidRPr="00645EDC" w:rsidRDefault="003B7D86" w:rsidP="003B7D86">
      <w:pPr>
        <w:pStyle w:val="Bezriadkovania1"/>
        <w:tabs>
          <w:tab w:val="left" w:pos="540"/>
        </w:tabs>
        <w:rPr>
          <w:rFonts w:ascii="Times New Roman" w:hAnsi="Times New Roman"/>
          <w:lang w:val="sk-SK"/>
        </w:rPr>
      </w:pPr>
    </w:p>
    <w:p w14:paraId="543AA6D9" w14:textId="77777777" w:rsidR="003B7D86" w:rsidRPr="00645EDC" w:rsidRDefault="003B7D86" w:rsidP="003B7D86">
      <w:pPr>
        <w:pStyle w:val="Bezriadkovania1"/>
        <w:tabs>
          <w:tab w:val="left" w:pos="540"/>
        </w:tabs>
        <w:rPr>
          <w:rFonts w:ascii="Times New Roman" w:hAnsi="Times New Roman"/>
          <w:lang w:val="sk-SK"/>
        </w:rPr>
      </w:pPr>
    </w:p>
    <w:p w14:paraId="691FABB2" w14:textId="77777777" w:rsidR="003B7D86" w:rsidRPr="00645EDC" w:rsidRDefault="003B7D86" w:rsidP="003B7D86">
      <w:pPr>
        <w:pStyle w:val="Bezriadkovania1"/>
        <w:numPr>
          <w:ilvl w:val="0"/>
          <w:numId w:val="1"/>
        </w:numPr>
        <w:tabs>
          <w:tab w:val="left" w:pos="540"/>
        </w:tabs>
        <w:ind w:left="0" w:firstLine="0"/>
        <w:rPr>
          <w:rFonts w:ascii="Times New Roman" w:hAnsi="Times New Roman"/>
          <w:b/>
          <w:lang w:val="sk-SK"/>
        </w:rPr>
      </w:pPr>
      <w:r w:rsidRPr="000E4718">
        <w:rPr>
          <w:rFonts w:ascii="Times New Roman" w:hAnsi="Times New Roman"/>
          <w:b/>
          <w:lang w:val="sk-SK"/>
        </w:rPr>
        <w:t>KVALITATÍVNE A KVANTITATÍVNE ZLOŽENIE</w:t>
      </w:r>
    </w:p>
    <w:p w14:paraId="7F0AB5D5" w14:textId="77777777" w:rsidR="003B7D86" w:rsidRPr="00645EDC" w:rsidRDefault="003B7D86" w:rsidP="003B7D86">
      <w:pPr>
        <w:pStyle w:val="Bezriadkovania1"/>
        <w:tabs>
          <w:tab w:val="left" w:pos="540"/>
        </w:tabs>
        <w:rPr>
          <w:rFonts w:ascii="Times New Roman" w:hAnsi="Times New Roman"/>
          <w:b/>
          <w:lang w:val="sk-SK"/>
        </w:rPr>
      </w:pPr>
    </w:p>
    <w:p w14:paraId="58EEBB57" w14:textId="77777777" w:rsidR="003B7D86" w:rsidRPr="00645EDC" w:rsidRDefault="003B7D86" w:rsidP="003B7D86">
      <w:pPr>
        <w:pStyle w:val="Style7"/>
        <w:widowControl/>
        <w:spacing w:line="240" w:lineRule="auto"/>
        <w:jc w:val="left"/>
        <w:rPr>
          <w:rStyle w:val="FontStyle33"/>
          <w:sz w:val="22"/>
          <w:szCs w:val="22"/>
          <w:lang w:val="sk-SK" w:eastAsia="es-ES_tradnl"/>
        </w:rPr>
      </w:pPr>
      <w:r w:rsidRPr="00645EDC">
        <w:rPr>
          <w:rStyle w:val="FontStyle33"/>
          <w:sz w:val="22"/>
          <w:szCs w:val="22"/>
          <w:lang w:val="sk-SK" w:eastAsia="es-ES_tradnl"/>
        </w:rPr>
        <w:t>Každá filmom obalená tableta</w:t>
      </w:r>
      <w:r w:rsidRPr="00645EDC">
        <w:rPr>
          <w:sz w:val="22"/>
          <w:szCs w:val="22"/>
          <w:lang w:val="sk-SK"/>
        </w:rPr>
        <w:t xml:space="preserve"> obsahuje 150 mg kyseliny ibandrónovej </w:t>
      </w:r>
      <w:r w:rsidRPr="00645EDC">
        <w:rPr>
          <w:rStyle w:val="FontStyle33"/>
          <w:sz w:val="22"/>
          <w:szCs w:val="22"/>
          <w:lang w:val="sk-SK" w:eastAsia="es-ES_tradnl"/>
        </w:rPr>
        <w:t>(ako monohydrát sodnej soli kyseliny ibandrónovej).</w:t>
      </w:r>
    </w:p>
    <w:p w14:paraId="5995E853" w14:textId="77777777" w:rsidR="008B2167" w:rsidRPr="00645EDC" w:rsidRDefault="008B2167" w:rsidP="003B7D86">
      <w:pPr>
        <w:pStyle w:val="Style7"/>
        <w:widowControl/>
        <w:spacing w:line="240" w:lineRule="auto"/>
        <w:jc w:val="left"/>
        <w:rPr>
          <w:rStyle w:val="FontStyle33"/>
          <w:sz w:val="22"/>
          <w:szCs w:val="22"/>
          <w:lang w:val="sk-SK" w:eastAsia="es-ES_tradnl"/>
        </w:rPr>
      </w:pPr>
    </w:p>
    <w:p w14:paraId="66FE8B52" w14:textId="77777777" w:rsidR="003B7D86" w:rsidRPr="00645EDC" w:rsidRDefault="003B7D86" w:rsidP="003B7D86">
      <w:pPr>
        <w:autoSpaceDE w:val="0"/>
        <w:autoSpaceDN w:val="0"/>
        <w:spacing w:after="0" w:line="240" w:lineRule="auto"/>
        <w:rPr>
          <w:rFonts w:ascii="Times New Roman" w:hAnsi="Times New Roman"/>
          <w:u w:val="single"/>
          <w:lang w:val="sk-SK"/>
        </w:rPr>
      </w:pPr>
      <w:r w:rsidRPr="000E4718">
        <w:rPr>
          <w:rFonts w:ascii="Times New Roman" w:hAnsi="Times New Roman"/>
          <w:u w:val="single"/>
          <w:lang w:val="sk-SK"/>
        </w:rPr>
        <w:t>Pomocné látky</w:t>
      </w:r>
      <w:r w:rsidR="008D6D86" w:rsidRPr="00645EDC">
        <w:rPr>
          <w:rFonts w:ascii="Times New Roman" w:hAnsi="Times New Roman"/>
          <w:u w:val="single"/>
          <w:lang w:val="sk-SK"/>
        </w:rPr>
        <w:t xml:space="preserve"> so známym účinkom</w:t>
      </w:r>
      <w:r w:rsidRPr="00645EDC">
        <w:rPr>
          <w:rFonts w:ascii="Times New Roman" w:hAnsi="Times New Roman"/>
          <w:u w:val="single"/>
          <w:lang w:val="sk-SK"/>
        </w:rPr>
        <w:t>:</w:t>
      </w:r>
    </w:p>
    <w:p w14:paraId="4E33BA74" w14:textId="77777777" w:rsidR="003B7D86" w:rsidRPr="00645EDC" w:rsidRDefault="003B7D86" w:rsidP="003B7D86">
      <w:pPr>
        <w:pStyle w:val="Style7"/>
        <w:widowControl/>
        <w:spacing w:line="240" w:lineRule="auto"/>
        <w:rPr>
          <w:sz w:val="22"/>
          <w:szCs w:val="22"/>
          <w:lang w:val="sk-SK"/>
        </w:rPr>
      </w:pPr>
      <w:r w:rsidRPr="00645EDC">
        <w:rPr>
          <w:iCs/>
          <w:sz w:val="22"/>
          <w:szCs w:val="22"/>
          <w:lang w:val="sk-SK"/>
        </w:rPr>
        <w:t xml:space="preserve">Každá </w:t>
      </w:r>
      <w:r w:rsidRPr="00645EDC">
        <w:rPr>
          <w:rStyle w:val="FontStyle33"/>
          <w:sz w:val="22"/>
          <w:szCs w:val="22"/>
          <w:lang w:val="sk-SK" w:eastAsia="es-ES_tradnl"/>
        </w:rPr>
        <w:t xml:space="preserve">filmom obalená tableta </w:t>
      </w:r>
      <w:r w:rsidRPr="00645EDC">
        <w:rPr>
          <w:iCs/>
          <w:sz w:val="22"/>
          <w:szCs w:val="22"/>
          <w:lang w:val="sk-SK"/>
        </w:rPr>
        <w:t xml:space="preserve">obsahuje </w:t>
      </w:r>
      <w:r w:rsidRPr="00645EDC">
        <w:rPr>
          <w:sz w:val="22"/>
          <w:szCs w:val="22"/>
          <w:lang w:val="sk-SK"/>
        </w:rPr>
        <w:t>88,60 mg monohydrátu laktózy.</w:t>
      </w:r>
    </w:p>
    <w:p w14:paraId="3184E309" w14:textId="77777777" w:rsidR="008B2167" w:rsidRPr="00645EDC" w:rsidRDefault="008B2167" w:rsidP="003B7D86">
      <w:pPr>
        <w:pStyle w:val="Style7"/>
        <w:widowControl/>
        <w:spacing w:line="240" w:lineRule="auto"/>
        <w:rPr>
          <w:rStyle w:val="FontStyle33"/>
          <w:sz w:val="22"/>
          <w:szCs w:val="22"/>
          <w:lang w:val="sk-SK" w:eastAsia="es-ES_tradnl"/>
        </w:rPr>
      </w:pPr>
    </w:p>
    <w:p w14:paraId="5206A384" w14:textId="77777777" w:rsidR="003B7D86" w:rsidRPr="00645EDC" w:rsidRDefault="003B7D86" w:rsidP="003B7D86">
      <w:pPr>
        <w:pStyle w:val="Style7"/>
        <w:widowControl/>
        <w:spacing w:line="240" w:lineRule="auto"/>
        <w:rPr>
          <w:rStyle w:val="FontStyle33"/>
          <w:sz w:val="22"/>
          <w:szCs w:val="22"/>
          <w:lang w:val="sk-SK" w:eastAsia="es-ES_tradnl"/>
        </w:rPr>
      </w:pPr>
      <w:r w:rsidRPr="00645EDC">
        <w:rPr>
          <w:rStyle w:val="FontStyle33"/>
          <w:sz w:val="22"/>
          <w:szCs w:val="22"/>
          <w:lang w:val="sk-SK" w:eastAsia="es-ES_tradnl"/>
        </w:rPr>
        <w:t>Úplný zoznam pomocných látok, pozri časť 6.1.</w:t>
      </w:r>
    </w:p>
    <w:p w14:paraId="63BBD139" w14:textId="77777777" w:rsidR="003B7D86" w:rsidRPr="00645EDC" w:rsidRDefault="003B7D86" w:rsidP="003B7D86">
      <w:pPr>
        <w:pStyle w:val="Bezriadkovania1"/>
        <w:tabs>
          <w:tab w:val="left" w:pos="540"/>
        </w:tabs>
        <w:rPr>
          <w:rFonts w:ascii="Times New Roman" w:hAnsi="Times New Roman"/>
          <w:lang w:val="sk-SK"/>
        </w:rPr>
      </w:pPr>
    </w:p>
    <w:p w14:paraId="3756627B" w14:textId="77777777" w:rsidR="003B7D86" w:rsidRPr="00645EDC" w:rsidRDefault="003B7D86" w:rsidP="003B7D86">
      <w:pPr>
        <w:pStyle w:val="Bezriadkovania1"/>
        <w:tabs>
          <w:tab w:val="left" w:pos="540"/>
        </w:tabs>
        <w:rPr>
          <w:rFonts w:ascii="Times New Roman" w:hAnsi="Times New Roman"/>
          <w:lang w:val="sk-SK"/>
        </w:rPr>
      </w:pPr>
    </w:p>
    <w:p w14:paraId="080CDC4F" w14:textId="77777777" w:rsidR="003B7D86" w:rsidRPr="00645EDC" w:rsidRDefault="003B7D86" w:rsidP="003B7D86">
      <w:pPr>
        <w:pStyle w:val="Bezriadkovania1"/>
        <w:numPr>
          <w:ilvl w:val="0"/>
          <w:numId w:val="1"/>
        </w:numPr>
        <w:tabs>
          <w:tab w:val="left" w:pos="540"/>
        </w:tabs>
        <w:ind w:left="0" w:firstLine="0"/>
        <w:rPr>
          <w:rFonts w:ascii="Times New Roman" w:hAnsi="Times New Roman"/>
          <w:b/>
          <w:lang w:val="sk-SK"/>
        </w:rPr>
      </w:pPr>
      <w:r w:rsidRPr="00645EDC">
        <w:rPr>
          <w:rFonts w:ascii="Times New Roman" w:hAnsi="Times New Roman"/>
          <w:b/>
          <w:lang w:val="sk-SK"/>
        </w:rPr>
        <w:t>LI</w:t>
      </w:r>
      <w:r w:rsidRPr="000E4718">
        <w:rPr>
          <w:rFonts w:ascii="Times New Roman" w:hAnsi="Times New Roman"/>
          <w:b/>
          <w:lang w:val="sk-SK"/>
        </w:rPr>
        <w:t>EKOVÁ FORMA</w:t>
      </w:r>
    </w:p>
    <w:p w14:paraId="706C6B15" w14:textId="77777777" w:rsidR="003B7D86" w:rsidRPr="00645EDC" w:rsidRDefault="003B7D86" w:rsidP="003B7D86">
      <w:pPr>
        <w:pStyle w:val="Bezriadkovania1"/>
        <w:tabs>
          <w:tab w:val="left" w:pos="540"/>
        </w:tabs>
        <w:rPr>
          <w:rFonts w:ascii="Times New Roman" w:hAnsi="Times New Roman"/>
          <w:lang w:val="sk-SK"/>
        </w:rPr>
      </w:pPr>
    </w:p>
    <w:p w14:paraId="0A55012A" w14:textId="77777777" w:rsidR="003B7D86" w:rsidRPr="00645EDC" w:rsidRDefault="003B7D86" w:rsidP="003B7D86">
      <w:pPr>
        <w:pStyle w:val="Style7"/>
        <w:widowControl/>
        <w:spacing w:line="240" w:lineRule="auto"/>
        <w:jc w:val="left"/>
        <w:rPr>
          <w:rStyle w:val="FontStyle33"/>
          <w:sz w:val="22"/>
          <w:szCs w:val="22"/>
          <w:lang w:val="sk-SK" w:eastAsia="es-ES_tradnl"/>
        </w:rPr>
      </w:pPr>
      <w:r w:rsidRPr="00645EDC">
        <w:rPr>
          <w:rStyle w:val="FontStyle33"/>
          <w:sz w:val="22"/>
          <w:szCs w:val="22"/>
          <w:lang w:val="sk-SK" w:eastAsia="es-ES_tradnl"/>
        </w:rPr>
        <w:t>Filmom obalená tableta</w:t>
      </w:r>
    </w:p>
    <w:p w14:paraId="7A1A5789" w14:textId="77777777" w:rsidR="003B7D86" w:rsidRPr="00645EDC" w:rsidRDefault="003B7D86" w:rsidP="003B7D86">
      <w:pPr>
        <w:pStyle w:val="Style7"/>
        <w:widowControl/>
        <w:spacing w:line="240" w:lineRule="auto"/>
        <w:rPr>
          <w:rStyle w:val="FontStyle33"/>
          <w:sz w:val="22"/>
          <w:szCs w:val="22"/>
          <w:lang w:val="sk-SK" w:eastAsia="es-ES_tradnl"/>
        </w:rPr>
      </w:pPr>
      <w:r w:rsidRPr="00645EDC">
        <w:rPr>
          <w:rStyle w:val="FontStyle33"/>
          <w:sz w:val="22"/>
          <w:szCs w:val="22"/>
          <w:lang w:val="sk-SK" w:eastAsia="es-ES_tradnl"/>
        </w:rPr>
        <w:t>Biele filmom obalené tablety podlhovastého tvaru, na jednej strane označené „LC“.</w:t>
      </w:r>
    </w:p>
    <w:p w14:paraId="5F9D1436" w14:textId="77777777" w:rsidR="003B7D86" w:rsidRPr="00645EDC" w:rsidRDefault="003B7D86" w:rsidP="003B7D86">
      <w:pPr>
        <w:pStyle w:val="Bezriadkovania1"/>
        <w:tabs>
          <w:tab w:val="left" w:pos="540"/>
        </w:tabs>
        <w:rPr>
          <w:rFonts w:ascii="Times New Roman" w:hAnsi="Times New Roman"/>
          <w:lang w:val="sk-SK"/>
        </w:rPr>
      </w:pPr>
    </w:p>
    <w:p w14:paraId="281D35C2" w14:textId="77777777" w:rsidR="003B7D86" w:rsidRPr="00645EDC" w:rsidRDefault="003B7D86" w:rsidP="003B7D86">
      <w:pPr>
        <w:pStyle w:val="Bezriadkovania1"/>
        <w:tabs>
          <w:tab w:val="left" w:pos="540"/>
        </w:tabs>
        <w:rPr>
          <w:rFonts w:ascii="Times New Roman" w:hAnsi="Times New Roman"/>
          <w:lang w:val="sk-SK"/>
        </w:rPr>
      </w:pPr>
    </w:p>
    <w:p w14:paraId="03A41AAA" w14:textId="77777777" w:rsidR="003B7D86" w:rsidRPr="00645EDC" w:rsidRDefault="003B7D86" w:rsidP="003B7D86">
      <w:pPr>
        <w:pStyle w:val="Bezriadkovania1"/>
        <w:numPr>
          <w:ilvl w:val="0"/>
          <w:numId w:val="1"/>
        </w:numPr>
        <w:tabs>
          <w:tab w:val="left" w:pos="540"/>
        </w:tabs>
        <w:ind w:left="0" w:firstLine="0"/>
        <w:rPr>
          <w:rFonts w:ascii="Times New Roman" w:hAnsi="Times New Roman"/>
          <w:b/>
          <w:lang w:val="sk-SK"/>
        </w:rPr>
      </w:pPr>
      <w:r w:rsidRPr="00645EDC">
        <w:rPr>
          <w:rFonts w:ascii="Times New Roman" w:hAnsi="Times New Roman"/>
          <w:b/>
          <w:lang w:val="sk-SK"/>
        </w:rPr>
        <w:t xml:space="preserve">KLINICKÉ </w:t>
      </w:r>
      <w:r w:rsidRPr="000E4718">
        <w:rPr>
          <w:rFonts w:ascii="Times New Roman" w:hAnsi="Times New Roman"/>
          <w:b/>
          <w:caps/>
          <w:lang w:val="sk-SK"/>
        </w:rPr>
        <w:t>ÚDAJE</w:t>
      </w:r>
    </w:p>
    <w:p w14:paraId="499F8E4D" w14:textId="77777777" w:rsidR="003B7D86" w:rsidRPr="00645EDC" w:rsidRDefault="003B7D86" w:rsidP="003B7D86">
      <w:pPr>
        <w:pStyle w:val="Bezriadkovania1"/>
        <w:tabs>
          <w:tab w:val="left" w:pos="540"/>
        </w:tabs>
        <w:rPr>
          <w:rFonts w:ascii="Times New Roman" w:hAnsi="Times New Roman"/>
          <w:b/>
          <w:lang w:val="sk-SK"/>
        </w:rPr>
      </w:pPr>
    </w:p>
    <w:p w14:paraId="0922EFB3" w14:textId="77777777" w:rsidR="003B7D86" w:rsidRPr="00645EDC" w:rsidRDefault="003B7D86" w:rsidP="003B7D86">
      <w:pPr>
        <w:pStyle w:val="Bezriadkovania1"/>
        <w:numPr>
          <w:ilvl w:val="1"/>
          <w:numId w:val="1"/>
        </w:numPr>
        <w:tabs>
          <w:tab w:val="left" w:pos="540"/>
        </w:tabs>
        <w:ind w:left="0" w:firstLine="0"/>
        <w:rPr>
          <w:rFonts w:ascii="Times New Roman" w:hAnsi="Times New Roman"/>
          <w:b/>
          <w:lang w:val="sk-SK"/>
        </w:rPr>
      </w:pPr>
      <w:r w:rsidRPr="00645EDC">
        <w:rPr>
          <w:rFonts w:ascii="Times New Roman" w:hAnsi="Times New Roman"/>
          <w:b/>
          <w:lang w:val="sk-SK"/>
        </w:rPr>
        <w:t>T</w:t>
      </w:r>
      <w:r w:rsidRPr="000E4718">
        <w:rPr>
          <w:rFonts w:ascii="Times New Roman" w:hAnsi="Times New Roman"/>
          <w:b/>
          <w:lang w:val="sk-SK"/>
        </w:rPr>
        <w:t>erapeutické indikácie</w:t>
      </w:r>
    </w:p>
    <w:p w14:paraId="1C5263B2" w14:textId="77777777" w:rsidR="003B7D86" w:rsidRPr="00645EDC" w:rsidRDefault="003B7D86" w:rsidP="003B7D86">
      <w:pPr>
        <w:pStyle w:val="Bezriadkovania1"/>
        <w:tabs>
          <w:tab w:val="left" w:pos="540"/>
        </w:tabs>
        <w:rPr>
          <w:rFonts w:ascii="Times New Roman" w:hAnsi="Times New Roman"/>
          <w:lang w:val="sk-SK"/>
        </w:rPr>
      </w:pPr>
    </w:p>
    <w:p w14:paraId="1FC769F3" w14:textId="77777777"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Liečba osteoporózy u žien po menopauze so zvýšeným rizikom fraktúr (pozri časť 5.1). Preukázalo sa zníženie rizika vertebrálnych fraktúr, účinnosť u fraktúr femorálneho krčku nebola stanovená.</w:t>
      </w:r>
    </w:p>
    <w:p w14:paraId="4038514A" w14:textId="77777777" w:rsidR="003B7D86" w:rsidRPr="00645EDC" w:rsidRDefault="003B7D86" w:rsidP="003B7D86">
      <w:pPr>
        <w:pStyle w:val="Bezriadkovania1"/>
        <w:tabs>
          <w:tab w:val="left" w:pos="540"/>
        </w:tabs>
        <w:rPr>
          <w:rFonts w:ascii="Times New Roman" w:hAnsi="Times New Roman"/>
          <w:lang w:val="sk-SK"/>
        </w:rPr>
      </w:pPr>
    </w:p>
    <w:p w14:paraId="4B935EB2" w14:textId="77777777" w:rsidR="003B7D86" w:rsidRPr="00645EDC" w:rsidRDefault="003B7D86" w:rsidP="003B7D86">
      <w:pPr>
        <w:pStyle w:val="Bezriadkovania1"/>
        <w:numPr>
          <w:ilvl w:val="1"/>
          <w:numId w:val="1"/>
        </w:numPr>
        <w:tabs>
          <w:tab w:val="left" w:pos="540"/>
        </w:tabs>
        <w:ind w:left="0" w:firstLine="0"/>
        <w:rPr>
          <w:rFonts w:ascii="Times New Roman" w:hAnsi="Times New Roman"/>
          <w:b/>
          <w:lang w:val="sk-SK"/>
        </w:rPr>
      </w:pPr>
      <w:r w:rsidRPr="00645EDC">
        <w:rPr>
          <w:rFonts w:ascii="Times New Roman" w:hAnsi="Times New Roman"/>
          <w:b/>
          <w:lang w:val="sk-SK"/>
        </w:rPr>
        <w:t>D</w:t>
      </w:r>
      <w:r w:rsidRPr="000E4718">
        <w:rPr>
          <w:rFonts w:ascii="Times New Roman" w:hAnsi="Times New Roman"/>
          <w:b/>
          <w:lang w:val="sk-SK"/>
        </w:rPr>
        <w:t>ávkovanie a spôsob podávania</w:t>
      </w:r>
    </w:p>
    <w:p w14:paraId="6FA4B232" w14:textId="77777777" w:rsidR="003B7D86" w:rsidRPr="00645EDC" w:rsidRDefault="003B7D86" w:rsidP="003B7D86">
      <w:pPr>
        <w:pStyle w:val="Bezriadkovania1"/>
        <w:tabs>
          <w:tab w:val="left" w:pos="540"/>
        </w:tabs>
        <w:rPr>
          <w:rFonts w:ascii="Times New Roman" w:hAnsi="Times New Roman"/>
          <w:b/>
          <w:lang w:val="sk-SK"/>
        </w:rPr>
      </w:pPr>
    </w:p>
    <w:p w14:paraId="1C5518B5" w14:textId="77777777" w:rsidR="003B7D86" w:rsidRPr="00645EDC" w:rsidRDefault="003B7D86" w:rsidP="003B7D86">
      <w:pPr>
        <w:pStyle w:val="Style7"/>
        <w:widowControl/>
        <w:spacing w:line="240" w:lineRule="auto"/>
        <w:jc w:val="left"/>
        <w:rPr>
          <w:rStyle w:val="FontStyle33"/>
          <w:sz w:val="22"/>
          <w:szCs w:val="22"/>
          <w:lang w:val="sk-SK" w:eastAsia="es-ES_tradnl"/>
        </w:rPr>
      </w:pPr>
      <w:r w:rsidRPr="00645EDC">
        <w:rPr>
          <w:rStyle w:val="FontStyle33"/>
          <w:sz w:val="22"/>
          <w:szCs w:val="22"/>
          <w:u w:val="single"/>
          <w:lang w:val="sk-SK" w:eastAsia="es-ES_tradnl"/>
        </w:rPr>
        <w:t>Dávkovanie</w:t>
      </w:r>
      <w:r w:rsidRPr="00645EDC">
        <w:rPr>
          <w:rStyle w:val="FontStyle33"/>
          <w:sz w:val="22"/>
          <w:szCs w:val="22"/>
          <w:lang w:val="sk-SK" w:eastAsia="es-ES_tradnl"/>
        </w:rPr>
        <w:t>:</w:t>
      </w:r>
    </w:p>
    <w:p w14:paraId="07A1AB01" w14:textId="77777777" w:rsidR="003B7D86" w:rsidRPr="00645EDC" w:rsidRDefault="003B7D86" w:rsidP="003B7D86">
      <w:pPr>
        <w:pStyle w:val="Style7"/>
        <w:widowControl/>
        <w:spacing w:line="240" w:lineRule="auto"/>
        <w:rPr>
          <w:rStyle w:val="FontStyle33"/>
          <w:sz w:val="22"/>
          <w:szCs w:val="22"/>
          <w:lang w:val="sk-SK" w:eastAsia="es-ES_tradnl"/>
        </w:rPr>
      </w:pPr>
      <w:r w:rsidRPr="00645EDC">
        <w:rPr>
          <w:rStyle w:val="FontStyle33"/>
          <w:sz w:val="22"/>
          <w:szCs w:val="22"/>
          <w:lang w:val="sk-SK" w:eastAsia="es-ES_tradnl"/>
        </w:rPr>
        <w:t>Odporúčaná dávka je jedna 150 mg filmom obalená tableta raz mesačne. Tableta sa má, pokiaľ možno užívať v rovnaký deň každý mesiac.</w:t>
      </w:r>
    </w:p>
    <w:p w14:paraId="6029F145" w14:textId="77777777" w:rsidR="008D6D86" w:rsidRPr="00645EDC" w:rsidRDefault="008D6D86" w:rsidP="003B7D86">
      <w:pPr>
        <w:pStyle w:val="Style9"/>
        <w:widowControl/>
        <w:spacing w:line="240" w:lineRule="auto"/>
        <w:rPr>
          <w:sz w:val="22"/>
          <w:szCs w:val="22"/>
          <w:lang w:val="sk-SK"/>
        </w:rPr>
      </w:pPr>
    </w:p>
    <w:p w14:paraId="4419CED7" w14:textId="19FCF32C" w:rsidR="003B7D86" w:rsidRPr="00645EDC" w:rsidRDefault="004C3DC1" w:rsidP="003B7D86">
      <w:pPr>
        <w:pStyle w:val="Style9"/>
        <w:widowControl/>
        <w:spacing w:line="240" w:lineRule="auto"/>
        <w:rPr>
          <w:rStyle w:val="FontStyle33"/>
          <w:sz w:val="22"/>
          <w:szCs w:val="22"/>
          <w:lang w:val="sk-SK" w:eastAsia="es-ES_tradnl"/>
        </w:rPr>
      </w:pPr>
      <w:r w:rsidRPr="00645EDC">
        <w:rPr>
          <w:sz w:val="22"/>
          <w:szCs w:val="22"/>
          <w:lang w:val="sk-SK"/>
        </w:rPr>
        <w:t>Licobondrat</w:t>
      </w:r>
      <w:r w:rsidR="003B7D86" w:rsidRPr="00645EDC">
        <w:rPr>
          <w:rStyle w:val="FontStyle33"/>
          <w:sz w:val="22"/>
          <w:szCs w:val="22"/>
          <w:lang w:val="sk-SK" w:eastAsia="es-ES_tradnl"/>
        </w:rPr>
        <w:t xml:space="preserve"> 150 mg sa má užívať </w:t>
      </w:r>
      <w:r w:rsidR="008B2167" w:rsidRPr="00645EDC">
        <w:rPr>
          <w:rStyle w:val="FontStyle33"/>
          <w:sz w:val="22"/>
          <w:szCs w:val="22"/>
          <w:lang w:val="sk-SK" w:eastAsia="es-ES_tradnl"/>
        </w:rPr>
        <w:t>po nočnom hladovaní</w:t>
      </w:r>
      <w:r w:rsidR="003B7D86" w:rsidRPr="00645EDC">
        <w:rPr>
          <w:rStyle w:val="FontStyle33"/>
          <w:sz w:val="22"/>
          <w:szCs w:val="22"/>
          <w:lang w:val="sk-SK" w:eastAsia="es-ES_tradnl"/>
        </w:rPr>
        <w:t xml:space="preserve"> (najmenej 6 hodín) a 1 hodinu pred prvým jedlom alebo nápojom toho dňa (okrem vody) (pozri časť 4.5) alebo akýmkoľvek ďalším perorálnym liekom alebo výživovým doplnkom (vrátane vápnika).</w:t>
      </w:r>
    </w:p>
    <w:p w14:paraId="2D20E1BA" w14:textId="77777777" w:rsidR="003B7D86" w:rsidRPr="00645EDC" w:rsidRDefault="003B7D86" w:rsidP="003B7D86">
      <w:pPr>
        <w:pStyle w:val="Style10"/>
        <w:widowControl/>
        <w:spacing w:line="240" w:lineRule="auto"/>
        <w:rPr>
          <w:sz w:val="22"/>
          <w:szCs w:val="22"/>
          <w:lang w:val="sk-SK"/>
        </w:rPr>
      </w:pPr>
    </w:p>
    <w:p w14:paraId="61806B51" w14:textId="18099CE1" w:rsidR="003B7D86" w:rsidRPr="00645EDC" w:rsidRDefault="003B7D86" w:rsidP="003B7D86">
      <w:pPr>
        <w:pStyle w:val="Style10"/>
        <w:widowControl/>
        <w:tabs>
          <w:tab w:val="left" w:pos="216"/>
        </w:tabs>
        <w:spacing w:line="240" w:lineRule="auto"/>
        <w:rPr>
          <w:rStyle w:val="FontStyle33"/>
          <w:sz w:val="22"/>
          <w:szCs w:val="22"/>
          <w:lang w:val="sk-SK" w:eastAsia="es-ES_tradnl"/>
        </w:rPr>
      </w:pPr>
      <w:r w:rsidRPr="00645EDC">
        <w:rPr>
          <w:rStyle w:val="FontStyle33"/>
          <w:sz w:val="22"/>
          <w:szCs w:val="22"/>
          <w:lang w:val="sk-SK" w:eastAsia="es-ES_tradnl"/>
        </w:rPr>
        <w:t>V</w:t>
      </w:r>
      <w:r w:rsidRPr="00645EDC">
        <w:rPr>
          <w:rStyle w:val="FontStyle33"/>
          <w:sz w:val="22"/>
          <w:szCs w:val="22"/>
          <w:lang w:val="sk-SK" w:eastAsia="es-ES_tradnl"/>
        </w:rPr>
        <w:tab/>
        <w:t>prípade vynechania dávky sa majú pacienti poučiť o tom, aby zabudnutú 150 mg tabletu</w:t>
      </w:r>
      <w:r w:rsidR="008B2167" w:rsidRPr="00645EDC">
        <w:rPr>
          <w:rStyle w:val="FontStyle33"/>
          <w:sz w:val="22"/>
          <w:szCs w:val="22"/>
          <w:lang w:val="sk-SK" w:eastAsia="es-ES_tradnl"/>
        </w:rPr>
        <w:t xml:space="preserve"> Licobondratu</w:t>
      </w:r>
      <w:r w:rsidRPr="00645EDC">
        <w:rPr>
          <w:rStyle w:val="FontStyle33"/>
          <w:sz w:val="22"/>
          <w:szCs w:val="22"/>
          <w:lang w:val="sk-SK" w:eastAsia="es-ES_tradnl"/>
        </w:rPr>
        <w:t xml:space="preserve"> užili hneď ráno po tom, ako si to uvedomia, pokiaľ neostáva do ďalšej plánovanej dávky</w:t>
      </w:r>
      <w:r w:rsidR="00FF636F" w:rsidRPr="00645EDC">
        <w:rPr>
          <w:rStyle w:val="FontStyle33"/>
          <w:sz w:val="22"/>
          <w:szCs w:val="22"/>
          <w:lang w:val="sk-SK" w:eastAsia="es-ES_tradnl"/>
        </w:rPr>
        <w:t xml:space="preserve"> </w:t>
      </w:r>
      <w:r w:rsidR="00B539D4" w:rsidRPr="00645EDC">
        <w:rPr>
          <w:rStyle w:val="FontStyle33"/>
          <w:sz w:val="22"/>
          <w:szCs w:val="22"/>
          <w:lang w:val="sk-SK" w:eastAsia="es-ES_tradnl"/>
        </w:rPr>
        <w:t>7 dní alebo</w:t>
      </w:r>
      <w:r w:rsidRPr="00645EDC">
        <w:rPr>
          <w:rStyle w:val="FontStyle33"/>
          <w:sz w:val="22"/>
          <w:szCs w:val="22"/>
          <w:lang w:val="sk-SK" w:eastAsia="es-ES_tradnl"/>
        </w:rPr>
        <w:t xml:space="preserve"> menej ako 7 dní. Pacienti sa majú potom vrátiť k užívaniu ich dávky jedenkrát mesačne podľa </w:t>
      </w:r>
      <w:r w:rsidR="00B539D4" w:rsidRPr="00645EDC">
        <w:rPr>
          <w:rStyle w:val="FontStyle33"/>
          <w:sz w:val="22"/>
          <w:szCs w:val="22"/>
          <w:lang w:val="sk-SK" w:eastAsia="es-ES_tradnl"/>
        </w:rPr>
        <w:t>svojho pôvodne nastaveného dátumu</w:t>
      </w:r>
      <w:r w:rsidRPr="00645EDC">
        <w:rPr>
          <w:rStyle w:val="FontStyle33"/>
          <w:sz w:val="22"/>
          <w:szCs w:val="22"/>
          <w:lang w:val="sk-SK" w:eastAsia="es-ES_tradnl"/>
        </w:rPr>
        <w:t>.</w:t>
      </w:r>
    </w:p>
    <w:p w14:paraId="16A1FEF6" w14:textId="43D41890"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 xml:space="preserve">Ak ostáva do ďalšej plánovanej dávky </w:t>
      </w:r>
      <w:r w:rsidR="00B539D4" w:rsidRPr="00645EDC">
        <w:rPr>
          <w:rStyle w:val="FontStyle33"/>
          <w:sz w:val="22"/>
          <w:szCs w:val="22"/>
          <w:lang w:val="sk-SK" w:eastAsia="es-ES_tradnl"/>
        </w:rPr>
        <w:t xml:space="preserve">7 dní alebo </w:t>
      </w:r>
      <w:r w:rsidRPr="00645EDC">
        <w:rPr>
          <w:rStyle w:val="FontStyle33"/>
          <w:sz w:val="22"/>
          <w:szCs w:val="22"/>
          <w:lang w:val="sk-SK" w:eastAsia="es-ES_tradnl"/>
        </w:rPr>
        <w:t xml:space="preserve">menej ako 7 dní, pacienti majú počkať do ďalšej dávky a potom pokračovať v užívaní jedenkrát mesačne podľa pôvodnej schémy. </w:t>
      </w:r>
    </w:p>
    <w:p w14:paraId="5FBED27F" w14:textId="77777777"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Pacienti nemajú užiť dve tablety v ten istý týždeň.</w:t>
      </w:r>
    </w:p>
    <w:p w14:paraId="369E35A4" w14:textId="77777777" w:rsidR="003B7D86" w:rsidRPr="00645EDC" w:rsidRDefault="003B7D86" w:rsidP="003B7D86">
      <w:pPr>
        <w:pStyle w:val="Style9"/>
        <w:widowControl/>
        <w:spacing w:line="240" w:lineRule="auto"/>
        <w:rPr>
          <w:sz w:val="22"/>
          <w:szCs w:val="22"/>
          <w:lang w:val="sk-SK"/>
        </w:rPr>
      </w:pPr>
    </w:p>
    <w:p w14:paraId="6E7CB6CE" w14:textId="77777777"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 xml:space="preserve">Pacienti majú užívať vápnik a/alebo vitamín D vo forme výživového doplnku, ak je ich príjem zo stravy nedostatočný (pozri časť </w:t>
      </w:r>
      <w:smartTag w:uri="urn:schemas-microsoft-com:office:smarttags" w:element="metricconverter">
        <w:smartTagPr>
          <w:attr w:name="ProductID" w:val="4.4 a"/>
        </w:smartTagPr>
        <w:r w:rsidRPr="00645EDC">
          <w:rPr>
            <w:rStyle w:val="FontStyle33"/>
            <w:sz w:val="22"/>
            <w:szCs w:val="22"/>
            <w:lang w:val="sk-SK" w:eastAsia="es-ES_tradnl"/>
          </w:rPr>
          <w:t>4.4 a</w:t>
        </w:r>
      </w:smartTag>
      <w:r w:rsidRPr="00645EDC">
        <w:rPr>
          <w:rStyle w:val="FontStyle33"/>
          <w:sz w:val="22"/>
          <w:szCs w:val="22"/>
          <w:lang w:val="sk-SK" w:eastAsia="es-ES_tradnl"/>
        </w:rPr>
        <w:t xml:space="preserve"> časť 4.5).</w:t>
      </w:r>
    </w:p>
    <w:p w14:paraId="417E020F" w14:textId="77777777" w:rsidR="003B7D86" w:rsidRPr="00645EDC" w:rsidRDefault="003B7D86" w:rsidP="003B7D86">
      <w:pPr>
        <w:pStyle w:val="Style7"/>
        <w:widowControl/>
        <w:spacing w:line="240" w:lineRule="auto"/>
        <w:jc w:val="left"/>
        <w:rPr>
          <w:sz w:val="22"/>
          <w:szCs w:val="22"/>
          <w:lang w:val="sk-SK"/>
        </w:rPr>
      </w:pPr>
    </w:p>
    <w:p w14:paraId="1A21D1CB" w14:textId="4BC97923" w:rsidR="00E11C27" w:rsidRPr="00645EDC" w:rsidRDefault="00E11C27" w:rsidP="003B7D86">
      <w:pPr>
        <w:pStyle w:val="Style7"/>
        <w:widowControl/>
        <w:spacing w:line="240" w:lineRule="auto"/>
        <w:jc w:val="left"/>
        <w:rPr>
          <w:sz w:val="22"/>
          <w:szCs w:val="22"/>
          <w:lang w:val="sk-SK"/>
        </w:rPr>
      </w:pPr>
      <w:r w:rsidRPr="00645EDC">
        <w:rPr>
          <w:sz w:val="22"/>
          <w:szCs w:val="22"/>
          <w:lang w:val="sk-SK"/>
        </w:rPr>
        <w:lastRenderedPageBreak/>
        <w:t xml:space="preserve">Optimálne trvanie liečby osteoporózy bisfosfonátmi </w:t>
      </w:r>
      <w:r w:rsidR="00F56C42">
        <w:rPr>
          <w:sz w:val="22"/>
          <w:szCs w:val="22"/>
          <w:lang w:val="sk-SK"/>
        </w:rPr>
        <w:t>nebolo stanovené</w:t>
      </w:r>
      <w:r w:rsidRPr="00645EDC">
        <w:rPr>
          <w:sz w:val="22"/>
          <w:szCs w:val="22"/>
          <w:lang w:val="sk-SK"/>
        </w:rPr>
        <w:t xml:space="preserve">. Potreba pokračovania v liečbe sa má pravidelne znova </w:t>
      </w:r>
      <w:r w:rsidR="00F56C42">
        <w:rPr>
          <w:sz w:val="22"/>
          <w:szCs w:val="22"/>
          <w:lang w:val="sk-SK"/>
        </w:rPr>
        <w:t>pre</w:t>
      </w:r>
      <w:r w:rsidRPr="00645EDC">
        <w:rPr>
          <w:sz w:val="22"/>
          <w:szCs w:val="22"/>
          <w:lang w:val="sk-SK"/>
        </w:rPr>
        <w:t xml:space="preserve">hodnotiť na základe prínosov a potenciálnych rizík Licobondratu </w:t>
      </w:r>
      <w:r w:rsidR="0063161A" w:rsidRPr="00645EDC">
        <w:rPr>
          <w:sz w:val="22"/>
          <w:szCs w:val="22"/>
          <w:lang w:val="sk-SK"/>
        </w:rPr>
        <w:t xml:space="preserve">150 mg </w:t>
      </w:r>
      <w:r w:rsidRPr="00645EDC">
        <w:rPr>
          <w:sz w:val="22"/>
          <w:szCs w:val="22"/>
          <w:lang w:val="sk-SK"/>
        </w:rPr>
        <w:t xml:space="preserve">pre každého pacienta </w:t>
      </w:r>
      <w:r w:rsidR="00F56C42">
        <w:rPr>
          <w:sz w:val="22"/>
          <w:szCs w:val="22"/>
          <w:lang w:val="sk-SK"/>
        </w:rPr>
        <w:t>idividuálne</w:t>
      </w:r>
      <w:r w:rsidRPr="00645EDC">
        <w:rPr>
          <w:sz w:val="22"/>
          <w:szCs w:val="22"/>
          <w:lang w:val="sk-SK"/>
        </w:rPr>
        <w:t>, najmä po 5 alebo viacerých rokoch používania.</w:t>
      </w:r>
    </w:p>
    <w:p w14:paraId="1E7A1225" w14:textId="77777777" w:rsidR="003B7D86" w:rsidRPr="00645EDC" w:rsidRDefault="003B7D86" w:rsidP="003B7D86">
      <w:pPr>
        <w:pStyle w:val="Bezriadkovania1"/>
        <w:tabs>
          <w:tab w:val="left" w:pos="540"/>
        </w:tabs>
        <w:rPr>
          <w:rFonts w:ascii="Times New Roman" w:hAnsi="Times New Roman"/>
          <w:lang w:val="sk-SK"/>
        </w:rPr>
      </w:pPr>
    </w:p>
    <w:p w14:paraId="4C16CE29" w14:textId="77777777" w:rsidR="003B7D86" w:rsidRPr="00645EDC" w:rsidRDefault="003B7D86" w:rsidP="003B7D86">
      <w:pPr>
        <w:pStyle w:val="Style7"/>
        <w:widowControl/>
        <w:spacing w:line="240" w:lineRule="auto"/>
        <w:jc w:val="left"/>
        <w:rPr>
          <w:rStyle w:val="FontStyle33"/>
          <w:i/>
          <w:sz w:val="22"/>
          <w:szCs w:val="22"/>
          <w:u w:val="single"/>
          <w:lang w:val="sk-SK" w:eastAsia="es-ES_tradnl"/>
        </w:rPr>
      </w:pPr>
      <w:r w:rsidRPr="00645EDC">
        <w:rPr>
          <w:rStyle w:val="FontStyle33"/>
          <w:i/>
          <w:sz w:val="22"/>
          <w:szCs w:val="22"/>
          <w:u w:val="single"/>
          <w:lang w:val="sk-SK" w:eastAsia="es-ES_tradnl"/>
        </w:rPr>
        <w:t>Osobitné skupiny pacientov</w:t>
      </w:r>
    </w:p>
    <w:p w14:paraId="21EFE7FE" w14:textId="77777777" w:rsidR="003B7D86" w:rsidRPr="00645EDC" w:rsidRDefault="003B7D86" w:rsidP="003B7D86">
      <w:pPr>
        <w:pStyle w:val="Style7"/>
        <w:widowControl/>
        <w:spacing w:line="240" w:lineRule="auto"/>
        <w:jc w:val="left"/>
        <w:rPr>
          <w:rStyle w:val="FontStyle33"/>
          <w:i/>
          <w:sz w:val="22"/>
          <w:szCs w:val="22"/>
          <w:u w:val="single"/>
          <w:lang w:val="sk-SK" w:eastAsia="es-ES_tradnl"/>
        </w:rPr>
      </w:pPr>
    </w:p>
    <w:p w14:paraId="0BA3C0BC" w14:textId="0B3916D9" w:rsidR="003B7D86" w:rsidRPr="00645EDC" w:rsidRDefault="003B7D86" w:rsidP="003B7D86">
      <w:pPr>
        <w:pStyle w:val="Style8"/>
        <w:widowControl/>
        <w:rPr>
          <w:rStyle w:val="FontStyle30"/>
          <w:sz w:val="22"/>
          <w:szCs w:val="22"/>
          <w:lang w:val="sk-SK" w:eastAsia="es-ES_tradnl"/>
        </w:rPr>
      </w:pPr>
      <w:r w:rsidRPr="00645EDC">
        <w:rPr>
          <w:rStyle w:val="FontStyle30"/>
          <w:sz w:val="22"/>
          <w:szCs w:val="22"/>
          <w:lang w:val="sk-SK" w:eastAsia="es-ES_tradnl"/>
        </w:rPr>
        <w:t>Pacienti s po</w:t>
      </w:r>
      <w:r w:rsidR="00F56C42">
        <w:rPr>
          <w:rStyle w:val="FontStyle30"/>
          <w:sz w:val="22"/>
          <w:szCs w:val="22"/>
          <w:lang w:val="sk-SK" w:eastAsia="es-ES_tradnl"/>
        </w:rPr>
        <w:t>ruchou</w:t>
      </w:r>
      <w:r w:rsidRPr="00645EDC">
        <w:rPr>
          <w:rStyle w:val="FontStyle30"/>
          <w:sz w:val="22"/>
          <w:szCs w:val="22"/>
          <w:lang w:val="sk-SK" w:eastAsia="es-ES_tradnl"/>
        </w:rPr>
        <w:t xml:space="preserve"> funkcie obličiek</w:t>
      </w:r>
    </w:p>
    <w:p w14:paraId="549FC762" w14:textId="77777777" w:rsidR="003B7D86" w:rsidRPr="00645EDC" w:rsidRDefault="003B7D86" w:rsidP="003B7D86">
      <w:pPr>
        <w:pStyle w:val="Style10"/>
        <w:widowControl/>
        <w:tabs>
          <w:tab w:val="left" w:pos="216"/>
        </w:tabs>
        <w:spacing w:line="240" w:lineRule="auto"/>
        <w:rPr>
          <w:rStyle w:val="FontStyle33"/>
          <w:sz w:val="22"/>
          <w:szCs w:val="22"/>
          <w:lang w:val="sk-SK" w:eastAsia="es-ES_tradnl"/>
        </w:rPr>
      </w:pPr>
      <w:r w:rsidRPr="00645EDC">
        <w:rPr>
          <w:rStyle w:val="FontStyle33"/>
          <w:sz w:val="22"/>
          <w:szCs w:val="22"/>
          <w:lang w:val="sk-SK" w:eastAsia="es-ES_tradnl"/>
        </w:rPr>
        <w:t>V</w:t>
      </w:r>
      <w:r w:rsidRPr="00645EDC">
        <w:rPr>
          <w:rStyle w:val="FontStyle33"/>
          <w:sz w:val="22"/>
          <w:szCs w:val="22"/>
          <w:lang w:val="sk-SK" w:eastAsia="es-ES_tradnl"/>
        </w:rPr>
        <w:tab/>
        <w:t xml:space="preserve">dôsledku obmedzených klinických skúseností sa </w:t>
      </w:r>
      <w:r w:rsidR="004C3DC1" w:rsidRPr="00645EDC">
        <w:rPr>
          <w:sz w:val="22"/>
          <w:szCs w:val="22"/>
          <w:lang w:val="sk-SK"/>
        </w:rPr>
        <w:t>Licobondrat</w:t>
      </w:r>
      <w:r w:rsidRPr="00645EDC">
        <w:rPr>
          <w:rStyle w:val="FontStyle33"/>
          <w:sz w:val="22"/>
          <w:szCs w:val="22"/>
          <w:lang w:val="sk-SK" w:eastAsia="es-ES_tradnl"/>
        </w:rPr>
        <w:t xml:space="preserve"> 150 mg neodporúča pacientom s klírensom kreatinínu nižším ako 30 ml/min (pozri časť </w:t>
      </w:r>
      <w:smartTag w:uri="urn:schemas-microsoft-com:office:smarttags" w:element="metricconverter">
        <w:smartTagPr>
          <w:attr w:name="ProductID" w:val="4.4 a"/>
        </w:smartTagPr>
        <w:r w:rsidRPr="00645EDC">
          <w:rPr>
            <w:rStyle w:val="FontStyle33"/>
            <w:sz w:val="22"/>
            <w:szCs w:val="22"/>
            <w:lang w:val="sk-SK" w:eastAsia="es-ES_tradnl"/>
          </w:rPr>
          <w:t>4.4 a</w:t>
        </w:r>
      </w:smartTag>
      <w:r w:rsidRPr="00645EDC">
        <w:rPr>
          <w:rStyle w:val="FontStyle33"/>
          <w:sz w:val="22"/>
          <w:szCs w:val="22"/>
          <w:lang w:val="sk-SK" w:eastAsia="es-ES_tradnl"/>
        </w:rPr>
        <w:t xml:space="preserve"> časť 5.2).</w:t>
      </w:r>
    </w:p>
    <w:p w14:paraId="10B0D604" w14:textId="5BCD28EE" w:rsidR="00E11C27" w:rsidRPr="00645EDC" w:rsidRDefault="00E11C27" w:rsidP="00E11C27">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U pacientov s miernym alebo stredne závažn</w:t>
      </w:r>
      <w:r w:rsidR="002E58F6">
        <w:rPr>
          <w:rStyle w:val="FontStyle33"/>
          <w:sz w:val="22"/>
          <w:szCs w:val="22"/>
          <w:lang w:val="sk-SK" w:eastAsia="es-ES_tradnl"/>
        </w:rPr>
        <w:t>ou</w:t>
      </w:r>
      <w:r w:rsidRPr="00645EDC">
        <w:rPr>
          <w:rStyle w:val="FontStyle33"/>
          <w:sz w:val="22"/>
          <w:szCs w:val="22"/>
          <w:lang w:val="sk-SK" w:eastAsia="es-ES_tradnl"/>
        </w:rPr>
        <w:t xml:space="preserve"> po</w:t>
      </w:r>
      <w:r w:rsidR="002E58F6">
        <w:rPr>
          <w:rStyle w:val="FontStyle33"/>
          <w:sz w:val="22"/>
          <w:szCs w:val="22"/>
          <w:lang w:val="sk-SK" w:eastAsia="es-ES_tradnl"/>
        </w:rPr>
        <w:t>ruchou</w:t>
      </w:r>
      <w:r w:rsidRPr="00645EDC">
        <w:rPr>
          <w:rStyle w:val="FontStyle33"/>
          <w:sz w:val="22"/>
          <w:szCs w:val="22"/>
          <w:lang w:val="sk-SK" w:eastAsia="es-ES_tradnl"/>
        </w:rPr>
        <w:t xml:space="preserve"> funkcie obličiek, u ktorých je klírens kreatinínu zhodný alebo vyšší ako 30 ml/min, nie je potrebné upraviť dávku.</w:t>
      </w:r>
    </w:p>
    <w:p w14:paraId="6B0F2201" w14:textId="77777777" w:rsidR="003B7D86" w:rsidRPr="00645EDC" w:rsidRDefault="003B7D86" w:rsidP="003B7D86">
      <w:pPr>
        <w:pStyle w:val="Style8"/>
        <w:widowControl/>
        <w:rPr>
          <w:rStyle w:val="FontStyle30"/>
          <w:sz w:val="22"/>
          <w:szCs w:val="22"/>
          <w:lang w:val="sk-SK" w:eastAsia="en-US"/>
        </w:rPr>
      </w:pPr>
    </w:p>
    <w:p w14:paraId="3E98764D" w14:textId="11AF51D0" w:rsidR="003B7D86" w:rsidRPr="00645EDC" w:rsidRDefault="003B7D86" w:rsidP="003B7D86">
      <w:pPr>
        <w:pStyle w:val="Style8"/>
        <w:widowControl/>
        <w:rPr>
          <w:rStyle w:val="FontStyle30"/>
          <w:sz w:val="22"/>
          <w:szCs w:val="22"/>
          <w:lang w:val="sk-SK" w:eastAsia="en-US"/>
        </w:rPr>
      </w:pPr>
      <w:r w:rsidRPr="00645EDC">
        <w:rPr>
          <w:rStyle w:val="FontStyle30"/>
          <w:sz w:val="22"/>
          <w:szCs w:val="22"/>
          <w:lang w:val="sk-SK" w:eastAsia="en-US"/>
        </w:rPr>
        <w:t>Pacienti s po</w:t>
      </w:r>
      <w:r w:rsidR="00F56C42">
        <w:rPr>
          <w:rStyle w:val="FontStyle30"/>
          <w:sz w:val="22"/>
          <w:szCs w:val="22"/>
          <w:lang w:val="sk-SK" w:eastAsia="en-US"/>
        </w:rPr>
        <w:t>ruchou</w:t>
      </w:r>
      <w:r w:rsidRPr="00645EDC">
        <w:rPr>
          <w:rStyle w:val="FontStyle30"/>
          <w:sz w:val="22"/>
          <w:szCs w:val="22"/>
          <w:lang w:val="sk-SK" w:eastAsia="en-US"/>
        </w:rPr>
        <w:t xml:space="preserve"> funkcie pečene</w:t>
      </w:r>
    </w:p>
    <w:p w14:paraId="79FF3E36" w14:textId="77777777" w:rsidR="003B7D86" w:rsidRPr="00645EDC" w:rsidRDefault="003B7D86" w:rsidP="003B7D86">
      <w:pPr>
        <w:pStyle w:val="Style9"/>
        <w:widowControl/>
        <w:spacing w:line="240" w:lineRule="auto"/>
        <w:rPr>
          <w:rStyle w:val="FontStyle33"/>
          <w:sz w:val="22"/>
          <w:szCs w:val="22"/>
          <w:lang w:val="sk-SK" w:eastAsia="de-DE"/>
        </w:rPr>
      </w:pPr>
      <w:r w:rsidRPr="00645EDC">
        <w:rPr>
          <w:rStyle w:val="FontStyle33"/>
          <w:sz w:val="22"/>
          <w:szCs w:val="22"/>
          <w:lang w:val="sk-SK" w:eastAsia="de-DE"/>
        </w:rPr>
        <w:t>Nie je potrebné upraviť dávku (pozri časť 5.2).</w:t>
      </w:r>
    </w:p>
    <w:p w14:paraId="5002A071" w14:textId="77777777" w:rsidR="003B7D86" w:rsidRPr="00645EDC" w:rsidRDefault="003B7D86" w:rsidP="003B7D86">
      <w:pPr>
        <w:pStyle w:val="Style8"/>
        <w:widowControl/>
        <w:rPr>
          <w:sz w:val="22"/>
          <w:szCs w:val="22"/>
          <w:lang w:val="sk-SK"/>
        </w:rPr>
      </w:pPr>
    </w:p>
    <w:p w14:paraId="0FD1EE96" w14:textId="77777777" w:rsidR="003B7D86" w:rsidRPr="00645EDC" w:rsidRDefault="003B7D86" w:rsidP="003B7D86">
      <w:pPr>
        <w:pStyle w:val="Style8"/>
        <w:widowControl/>
        <w:rPr>
          <w:rStyle w:val="FontStyle30"/>
          <w:sz w:val="22"/>
          <w:szCs w:val="22"/>
          <w:lang w:val="sk-SK" w:eastAsia="en-US"/>
        </w:rPr>
      </w:pPr>
      <w:r w:rsidRPr="00645EDC">
        <w:rPr>
          <w:rStyle w:val="FontStyle30"/>
          <w:sz w:val="22"/>
          <w:szCs w:val="22"/>
          <w:lang w:val="sk-SK" w:eastAsia="en-US"/>
        </w:rPr>
        <w:t>Starší pacienti</w:t>
      </w:r>
      <w:r w:rsidR="00E11C27" w:rsidRPr="00645EDC">
        <w:rPr>
          <w:rStyle w:val="FontStyle30"/>
          <w:sz w:val="22"/>
          <w:szCs w:val="22"/>
          <w:lang w:val="sk-SK" w:eastAsia="en-US"/>
        </w:rPr>
        <w:t xml:space="preserve"> (&gt; 65 rokov)</w:t>
      </w:r>
    </w:p>
    <w:p w14:paraId="03BABAAD" w14:textId="77777777" w:rsidR="003B7D86" w:rsidRPr="00645EDC" w:rsidRDefault="003B7D86" w:rsidP="003B7D86">
      <w:pPr>
        <w:pStyle w:val="Style9"/>
        <w:widowControl/>
        <w:spacing w:line="240" w:lineRule="auto"/>
        <w:rPr>
          <w:rStyle w:val="FontStyle33"/>
          <w:sz w:val="22"/>
          <w:szCs w:val="22"/>
          <w:lang w:val="sk-SK" w:eastAsia="en-US"/>
        </w:rPr>
      </w:pPr>
      <w:r w:rsidRPr="00645EDC">
        <w:rPr>
          <w:rStyle w:val="FontStyle33"/>
          <w:sz w:val="22"/>
          <w:szCs w:val="22"/>
          <w:lang w:val="sk-SK" w:eastAsia="en-US"/>
        </w:rPr>
        <w:t>Nie je potrebné upraviť dávku (pozri časť 5.2).</w:t>
      </w:r>
    </w:p>
    <w:p w14:paraId="2D982B95" w14:textId="77777777" w:rsidR="003B7D86" w:rsidRPr="00645EDC" w:rsidRDefault="003B7D86" w:rsidP="003B7D86">
      <w:pPr>
        <w:pStyle w:val="Style8"/>
        <w:widowControl/>
        <w:rPr>
          <w:sz w:val="22"/>
          <w:szCs w:val="22"/>
          <w:lang w:val="sk-SK"/>
        </w:rPr>
      </w:pPr>
    </w:p>
    <w:p w14:paraId="41CCB777" w14:textId="4D274B53" w:rsidR="003B7D86" w:rsidRPr="00645EDC" w:rsidRDefault="00F15BC3" w:rsidP="003B7D86">
      <w:pPr>
        <w:pStyle w:val="Style8"/>
        <w:widowControl/>
        <w:rPr>
          <w:rStyle w:val="FontStyle30"/>
          <w:sz w:val="22"/>
          <w:szCs w:val="22"/>
          <w:lang w:val="sk-SK" w:eastAsia="en-US"/>
        </w:rPr>
      </w:pPr>
      <w:r w:rsidRPr="00645EDC">
        <w:rPr>
          <w:rStyle w:val="FontStyle30"/>
          <w:sz w:val="22"/>
          <w:szCs w:val="22"/>
          <w:lang w:val="sk-SK" w:eastAsia="en-US"/>
        </w:rPr>
        <w:t>Pediatrická populácia</w:t>
      </w:r>
    </w:p>
    <w:p w14:paraId="570BDCF9" w14:textId="6787B316" w:rsidR="003B7D86" w:rsidRPr="00645EDC" w:rsidRDefault="00E11C27" w:rsidP="006931C1">
      <w:pPr>
        <w:pStyle w:val="Style9"/>
        <w:widowControl/>
        <w:spacing w:line="240" w:lineRule="auto"/>
        <w:ind w:right="-2"/>
        <w:rPr>
          <w:sz w:val="22"/>
          <w:szCs w:val="22"/>
          <w:lang w:val="sk-SK"/>
        </w:rPr>
      </w:pPr>
      <w:r w:rsidRPr="00645EDC">
        <w:rPr>
          <w:rStyle w:val="FontStyle33"/>
          <w:sz w:val="22"/>
          <w:szCs w:val="22"/>
          <w:lang w:val="sk-SK" w:eastAsia="en-US"/>
        </w:rPr>
        <w:t>Použitie Licobondratu 150 mg sa netýka detí mladších ako 18 rokov a Licobondrat 150 mg sa v tejto populácii neskúmal</w:t>
      </w:r>
      <w:r w:rsidR="00563AAB" w:rsidRPr="00645EDC">
        <w:rPr>
          <w:rStyle w:val="FontStyle33"/>
          <w:sz w:val="22"/>
          <w:szCs w:val="22"/>
          <w:lang w:val="sk-SK" w:eastAsia="en-US"/>
        </w:rPr>
        <w:t xml:space="preserve"> (pozri časť 5.1 a časť 5.2)</w:t>
      </w:r>
    </w:p>
    <w:p w14:paraId="4A777CC8" w14:textId="77777777" w:rsidR="00005320" w:rsidRPr="00645EDC" w:rsidRDefault="00005320" w:rsidP="003B7D86">
      <w:pPr>
        <w:pStyle w:val="Style9"/>
        <w:widowControl/>
        <w:spacing w:line="240" w:lineRule="auto"/>
        <w:ind w:right="197"/>
        <w:rPr>
          <w:rStyle w:val="FontStyle33"/>
          <w:sz w:val="22"/>
          <w:szCs w:val="22"/>
          <w:u w:val="single"/>
          <w:lang w:val="sk-SK" w:eastAsia="de-DE"/>
        </w:rPr>
      </w:pPr>
    </w:p>
    <w:p w14:paraId="7D29123F" w14:textId="77777777" w:rsidR="003B7D86" w:rsidRPr="00645EDC" w:rsidRDefault="003B7D86" w:rsidP="003B7D86">
      <w:pPr>
        <w:pStyle w:val="Style9"/>
        <w:widowControl/>
        <w:spacing w:line="240" w:lineRule="auto"/>
        <w:ind w:right="197"/>
        <w:rPr>
          <w:rStyle w:val="FontStyle33"/>
          <w:sz w:val="22"/>
          <w:szCs w:val="22"/>
          <w:lang w:val="sk-SK" w:eastAsia="de-DE"/>
        </w:rPr>
      </w:pPr>
      <w:r w:rsidRPr="00645EDC">
        <w:rPr>
          <w:rStyle w:val="FontStyle33"/>
          <w:sz w:val="22"/>
          <w:szCs w:val="22"/>
          <w:u w:val="single"/>
          <w:lang w:val="sk-SK" w:eastAsia="de-DE"/>
        </w:rPr>
        <w:t>Spôsob podávania</w:t>
      </w:r>
      <w:r w:rsidRPr="00645EDC">
        <w:rPr>
          <w:rStyle w:val="FontStyle33"/>
          <w:sz w:val="22"/>
          <w:szCs w:val="22"/>
          <w:lang w:val="sk-SK" w:eastAsia="de-DE"/>
        </w:rPr>
        <w:t xml:space="preserve">: </w:t>
      </w:r>
    </w:p>
    <w:p w14:paraId="2BADFA44" w14:textId="77777777" w:rsidR="003B7D86" w:rsidRPr="00645EDC" w:rsidRDefault="003B7D86" w:rsidP="003B7D86">
      <w:pPr>
        <w:pStyle w:val="Style9"/>
        <w:widowControl/>
        <w:spacing w:line="240" w:lineRule="auto"/>
        <w:ind w:right="197"/>
        <w:rPr>
          <w:rStyle w:val="FontStyle33"/>
          <w:sz w:val="22"/>
          <w:szCs w:val="22"/>
          <w:lang w:val="sk-SK" w:eastAsia="de-DE"/>
        </w:rPr>
      </w:pPr>
      <w:r w:rsidRPr="00645EDC">
        <w:rPr>
          <w:rStyle w:val="FontStyle33"/>
          <w:sz w:val="22"/>
          <w:szCs w:val="22"/>
          <w:lang w:val="sk-SK" w:eastAsia="de-DE"/>
        </w:rPr>
        <w:t>Na perorálne použitie.</w:t>
      </w:r>
    </w:p>
    <w:p w14:paraId="4C66D473" w14:textId="77777777" w:rsidR="00563AAB" w:rsidRPr="00645EDC" w:rsidRDefault="00563AAB" w:rsidP="003B7D86">
      <w:pPr>
        <w:pStyle w:val="Style9"/>
        <w:widowControl/>
        <w:spacing w:line="240" w:lineRule="auto"/>
        <w:ind w:right="197"/>
        <w:rPr>
          <w:rStyle w:val="FontStyle33"/>
          <w:sz w:val="22"/>
          <w:szCs w:val="22"/>
          <w:lang w:val="sk-SK" w:eastAsia="de-DE"/>
        </w:rPr>
      </w:pPr>
    </w:p>
    <w:p w14:paraId="543BFF81" w14:textId="0DE24885" w:rsidR="00F56C42" w:rsidRDefault="003B7D86" w:rsidP="00D7430B">
      <w:pPr>
        <w:pStyle w:val="Style9"/>
        <w:widowControl/>
        <w:numPr>
          <w:ilvl w:val="0"/>
          <w:numId w:val="3"/>
        </w:numPr>
        <w:spacing w:line="240" w:lineRule="auto"/>
        <w:ind w:left="851" w:hanging="491"/>
        <w:rPr>
          <w:rStyle w:val="FontStyle33"/>
          <w:sz w:val="22"/>
          <w:szCs w:val="22"/>
          <w:lang w:val="sk-SK" w:eastAsia="en-US"/>
        </w:rPr>
      </w:pPr>
      <w:r w:rsidRPr="00645EDC">
        <w:rPr>
          <w:rStyle w:val="FontStyle33"/>
          <w:sz w:val="22"/>
          <w:szCs w:val="22"/>
          <w:lang w:val="sk-SK" w:eastAsia="en-US"/>
        </w:rPr>
        <w:t xml:space="preserve">Tablety sa majú prehltnúť celé a zapiť pohárom vody (180 až 240 ml), pacient pritom musí sedieť alebo stáť vo vzpriamenej polohe. </w:t>
      </w:r>
      <w:r w:rsidR="00563AAB" w:rsidRPr="00645EDC">
        <w:rPr>
          <w:rStyle w:val="FontStyle33"/>
          <w:sz w:val="22"/>
          <w:szCs w:val="22"/>
          <w:lang w:val="sk-SK" w:eastAsia="en-US"/>
        </w:rPr>
        <w:t>Nemá sa použiť voda s vysokou koncentráciou vápnika. Ak existuje obava vzhľadom na možné vysoké hladiny vápnika vo vode z vodovodu (tvrdá voda), odporúča sa použiť vodu vo fľaši s nízkym obsahom minerálov.</w:t>
      </w:r>
    </w:p>
    <w:p w14:paraId="7CB3B060" w14:textId="7D2E31DC" w:rsidR="00D7430B" w:rsidRPr="00645EDC" w:rsidRDefault="003B7D86" w:rsidP="000E4718">
      <w:pPr>
        <w:pStyle w:val="Style9"/>
        <w:widowControl/>
        <w:numPr>
          <w:ilvl w:val="0"/>
          <w:numId w:val="3"/>
        </w:numPr>
        <w:spacing w:line="240" w:lineRule="auto"/>
        <w:ind w:left="851" w:hanging="491"/>
        <w:rPr>
          <w:rStyle w:val="FontStyle33"/>
          <w:sz w:val="22"/>
          <w:szCs w:val="22"/>
          <w:lang w:val="sk-SK" w:eastAsia="en-US"/>
        </w:rPr>
      </w:pPr>
      <w:r w:rsidRPr="00645EDC">
        <w:rPr>
          <w:rStyle w:val="FontStyle33"/>
          <w:sz w:val="22"/>
          <w:szCs w:val="22"/>
          <w:lang w:val="sk-SK" w:eastAsia="en-US"/>
        </w:rPr>
        <w:t xml:space="preserve">Pacienti si nemajú ľahnúť </w:t>
      </w:r>
      <w:r w:rsidR="00563AAB" w:rsidRPr="00645EDC">
        <w:rPr>
          <w:rStyle w:val="FontStyle33"/>
          <w:sz w:val="22"/>
          <w:szCs w:val="22"/>
          <w:lang w:val="sk-SK" w:eastAsia="en-US"/>
        </w:rPr>
        <w:t xml:space="preserve">1 </w:t>
      </w:r>
      <w:r w:rsidRPr="00645EDC">
        <w:rPr>
          <w:rStyle w:val="FontStyle33"/>
          <w:sz w:val="22"/>
          <w:szCs w:val="22"/>
          <w:lang w:val="sk-SK" w:eastAsia="en-US"/>
        </w:rPr>
        <w:t xml:space="preserve">hodinu po užití </w:t>
      </w:r>
      <w:r w:rsidR="004C3DC1" w:rsidRPr="00645EDC">
        <w:rPr>
          <w:sz w:val="22"/>
          <w:szCs w:val="22"/>
          <w:lang w:val="sk-SK"/>
        </w:rPr>
        <w:t>Licobondrat</w:t>
      </w:r>
      <w:r w:rsidRPr="00645EDC">
        <w:rPr>
          <w:sz w:val="22"/>
          <w:szCs w:val="22"/>
          <w:lang w:val="sk-SK"/>
        </w:rPr>
        <w:t xml:space="preserve">u </w:t>
      </w:r>
      <w:r w:rsidR="00F15BC3" w:rsidRPr="00645EDC">
        <w:rPr>
          <w:sz w:val="22"/>
          <w:szCs w:val="22"/>
          <w:lang w:val="sk-SK"/>
        </w:rPr>
        <w:t> 150 </w:t>
      </w:r>
      <w:r w:rsidRPr="00645EDC">
        <w:rPr>
          <w:sz w:val="22"/>
          <w:szCs w:val="22"/>
          <w:lang w:val="sk-SK"/>
        </w:rPr>
        <w:t>mg.</w:t>
      </w:r>
    </w:p>
    <w:p w14:paraId="4B57B4D5" w14:textId="4164DE98" w:rsidR="00D7430B" w:rsidRDefault="00D7430B" w:rsidP="000E4718">
      <w:pPr>
        <w:pStyle w:val="Style9"/>
        <w:widowControl/>
        <w:spacing w:line="240" w:lineRule="auto"/>
        <w:ind w:left="851"/>
        <w:rPr>
          <w:rStyle w:val="FontStyle33"/>
          <w:sz w:val="22"/>
          <w:szCs w:val="22"/>
          <w:lang w:val="sk-SK" w:eastAsia="en-US"/>
        </w:rPr>
      </w:pPr>
      <w:r>
        <w:rPr>
          <w:rStyle w:val="FontStyle33"/>
          <w:sz w:val="22"/>
          <w:szCs w:val="22"/>
          <w:lang w:val="sk-SK" w:eastAsia="en-US"/>
        </w:rPr>
        <w:t>V</w:t>
      </w:r>
      <w:r w:rsidR="003B7D86" w:rsidRPr="00D7430B">
        <w:rPr>
          <w:rStyle w:val="FontStyle33"/>
          <w:sz w:val="22"/>
          <w:szCs w:val="22"/>
          <w:lang w:val="sk-SK" w:eastAsia="en-US"/>
        </w:rPr>
        <w:t xml:space="preserve">oda je jediný nápoj, </w:t>
      </w:r>
      <w:r w:rsidR="00563AAB" w:rsidRPr="00D7430B">
        <w:rPr>
          <w:rStyle w:val="FontStyle33"/>
          <w:sz w:val="22"/>
          <w:szCs w:val="22"/>
          <w:lang w:val="sk-SK" w:eastAsia="en-US"/>
        </w:rPr>
        <w:t xml:space="preserve">s </w:t>
      </w:r>
      <w:r w:rsidR="003B7D86" w:rsidRPr="00D7430B">
        <w:rPr>
          <w:rStyle w:val="FontStyle33"/>
          <w:sz w:val="22"/>
          <w:szCs w:val="22"/>
          <w:lang w:val="sk-SK" w:eastAsia="en-US"/>
        </w:rPr>
        <w:t>ktorý</w:t>
      </w:r>
      <w:r w:rsidR="00563AAB" w:rsidRPr="00D7430B">
        <w:rPr>
          <w:rStyle w:val="FontStyle33"/>
          <w:sz w:val="22"/>
          <w:szCs w:val="22"/>
          <w:lang w:val="sk-SK" w:eastAsia="en-US"/>
        </w:rPr>
        <w:t>m</w:t>
      </w:r>
      <w:r w:rsidR="003B7D86" w:rsidRPr="00D7430B">
        <w:rPr>
          <w:rStyle w:val="FontStyle33"/>
          <w:sz w:val="22"/>
          <w:szCs w:val="22"/>
          <w:lang w:val="sk-SK" w:eastAsia="en-US"/>
        </w:rPr>
        <w:t xml:space="preserve"> sa môže užívať </w:t>
      </w:r>
      <w:r w:rsidR="004C3DC1" w:rsidRPr="00D7430B">
        <w:rPr>
          <w:sz w:val="22"/>
          <w:szCs w:val="22"/>
          <w:lang w:val="sk-SK"/>
        </w:rPr>
        <w:t>Licobondrat</w:t>
      </w:r>
      <w:r w:rsidR="003B7D86" w:rsidRPr="00D7430B">
        <w:rPr>
          <w:sz w:val="22"/>
          <w:szCs w:val="22"/>
          <w:lang w:val="sk-SK"/>
        </w:rPr>
        <w:t xml:space="preserve"> 150 mg</w:t>
      </w:r>
      <w:r w:rsidR="003B7D86" w:rsidRPr="00D7430B">
        <w:rPr>
          <w:rStyle w:val="FontStyle33"/>
          <w:sz w:val="22"/>
          <w:szCs w:val="22"/>
          <w:lang w:val="sk-SK" w:eastAsia="en-US"/>
        </w:rPr>
        <w:t>..</w:t>
      </w:r>
    </w:p>
    <w:p w14:paraId="16DB4C6B" w14:textId="55BC499B" w:rsidR="003B7D86" w:rsidRPr="00D7430B" w:rsidRDefault="003B7D86" w:rsidP="000E4718">
      <w:pPr>
        <w:pStyle w:val="Style9"/>
        <w:widowControl/>
        <w:numPr>
          <w:ilvl w:val="0"/>
          <w:numId w:val="8"/>
        </w:numPr>
        <w:spacing w:line="240" w:lineRule="auto"/>
        <w:ind w:left="851" w:hanging="425"/>
        <w:rPr>
          <w:rStyle w:val="FontStyle33"/>
          <w:sz w:val="22"/>
          <w:szCs w:val="22"/>
          <w:lang w:val="sk-SK" w:eastAsia="en-US"/>
        </w:rPr>
      </w:pPr>
      <w:r w:rsidRPr="00D7430B">
        <w:rPr>
          <w:rStyle w:val="FontStyle33"/>
          <w:sz w:val="22"/>
          <w:szCs w:val="22"/>
          <w:lang w:val="sk-SK" w:eastAsia="en-US"/>
        </w:rPr>
        <w:t>Pacienti nemajú tablety žuť alebo cmúľať, pretože je možné riziko orofaryngeálnej ulcerácie.</w:t>
      </w:r>
    </w:p>
    <w:p w14:paraId="760F6D53" w14:textId="77777777" w:rsidR="003B7D86" w:rsidRPr="00645EDC" w:rsidRDefault="003B7D86" w:rsidP="003B7D86">
      <w:pPr>
        <w:pStyle w:val="Bezriadkovania1"/>
        <w:tabs>
          <w:tab w:val="left" w:pos="540"/>
        </w:tabs>
        <w:rPr>
          <w:rFonts w:ascii="Times New Roman" w:hAnsi="Times New Roman"/>
          <w:lang w:val="sk-SK"/>
        </w:rPr>
      </w:pPr>
    </w:p>
    <w:p w14:paraId="48E2074B" w14:textId="77777777" w:rsidR="003B7D86" w:rsidRPr="00645EDC" w:rsidRDefault="003B7D86" w:rsidP="003B7D86">
      <w:pPr>
        <w:pStyle w:val="Bezriadkovania1"/>
        <w:numPr>
          <w:ilvl w:val="1"/>
          <w:numId w:val="1"/>
        </w:numPr>
        <w:tabs>
          <w:tab w:val="left" w:pos="540"/>
        </w:tabs>
        <w:ind w:left="0" w:firstLine="0"/>
        <w:rPr>
          <w:rFonts w:ascii="Times New Roman" w:hAnsi="Times New Roman"/>
          <w:b/>
          <w:lang w:val="sk-SK"/>
        </w:rPr>
      </w:pPr>
      <w:r w:rsidRPr="00645EDC">
        <w:rPr>
          <w:rFonts w:ascii="Times New Roman" w:hAnsi="Times New Roman"/>
          <w:b/>
          <w:lang w:val="sk-SK"/>
        </w:rPr>
        <w:t xml:space="preserve">Kontraindikácie </w:t>
      </w:r>
    </w:p>
    <w:p w14:paraId="223EAD54" w14:textId="77777777" w:rsidR="003B7D86" w:rsidRPr="00645EDC" w:rsidRDefault="003B7D86" w:rsidP="003B7D86">
      <w:pPr>
        <w:pStyle w:val="Bezriadkovania1"/>
        <w:tabs>
          <w:tab w:val="left" w:pos="540"/>
        </w:tabs>
        <w:rPr>
          <w:rFonts w:ascii="Times New Roman" w:hAnsi="Times New Roman"/>
          <w:b/>
          <w:lang w:val="sk-SK"/>
        </w:rPr>
      </w:pPr>
    </w:p>
    <w:p w14:paraId="598C2444" w14:textId="77777777" w:rsidR="00563AAB" w:rsidRPr="00645EDC" w:rsidRDefault="00563AAB" w:rsidP="00563AAB">
      <w:pPr>
        <w:pStyle w:val="Style11"/>
        <w:widowControl/>
        <w:numPr>
          <w:ilvl w:val="0"/>
          <w:numId w:val="2"/>
        </w:numPr>
        <w:tabs>
          <w:tab w:val="left" w:pos="557"/>
        </w:tabs>
        <w:spacing w:line="240" w:lineRule="auto"/>
        <w:ind w:left="567" w:hanging="567"/>
        <w:rPr>
          <w:rStyle w:val="FontStyle33"/>
          <w:sz w:val="22"/>
          <w:szCs w:val="22"/>
          <w:lang w:val="sk-SK" w:eastAsia="de-DE"/>
        </w:rPr>
      </w:pPr>
      <w:r w:rsidRPr="00645EDC">
        <w:rPr>
          <w:rStyle w:val="FontStyle33"/>
          <w:sz w:val="22"/>
          <w:szCs w:val="22"/>
          <w:lang w:val="sk-SK" w:eastAsia="de-DE"/>
        </w:rPr>
        <w:t>Precitlivenosť na kyselinu ibandrónovú alebo na ktorúkoľvek z pomocných látok uvedených v časti 6.1.</w:t>
      </w:r>
    </w:p>
    <w:p w14:paraId="705819BE" w14:textId="77777777" w:rsidR="00563AAB" w:rsidRPr="00645EDC" w:rsidRDefault="00563AAB" w:rsidP="003B7D86">
      <w:pPr>
        <w:pStyle w:val="Style11"/>
        <w:widowControl/>
        <w:numPr>
          <w:ilvl w:val="0"/>
          <w:numId w:val="2"/>
        </w:numPr>
        <w:tabs>
          <w:tab w:val="left" w:pos="557"/>
        </w:tabs>
        <w:spacing w:line="240" w:lineRule="auto"/>
        <w:ind w:left="557"/>
        <w:rPr>
          <w:rStyle w:val="FontStyle33"/>
          <w:sz w:val="22"/>
          <w:szCs w:val="22"/>
          <w:lang w:val="sk-SK" w:eastAsia="de-DE"/>
        </w:rPr>
      </w:pPr>
      <w:r w:rsidRPr="000E4718">
        <w:rPr>
          <w:rStyle w:val="FontStyle33"/>
          <w:sz w:val="22"/>
          <w:szCs w:val="22"/>
          <w:lang w:val="sk-SK" w:eastAsia="es-ES_tradnl"/>
        </w:rPr>
        <w:t xml:space="preserve">Hypokalciémia </w:t>
      </w:r>
    </w:p>
    <w:p w14:paraId="7EE09471" w14:textId="77777777" w:rsidR="003B7D86" w:rsidRPr="00645EDC" w:rsidRDefault="003B7D86" w:rsidP="003B7D86">
      <w:pPr>
        <w:pStyle w:val="Style11"/>
        <w:widowControl/>
        <w:numPr>
          <w:ilvl w:val="0"/>
          <w:numId w:val="2"/>
        </w:numPr>
        <w:tabs>
          <w:tab w:val="left" w:pos="557"/>
        </w:tabs>
        <w:spacing w:line="240" w:lineRule="auto"/>
        <w:ind w:left="557"/>
        <w:rPr>
          <w:rStyle w:val="FontStyle33"/>
          <w:sz w:val="22"/>
          <w:szCs w:val="22"/>
          <w:lang w:val="sk-SK" w:eastAsia="de-DE"/>
        </w:rPr>
      </w:pPr>
      <w:r w:rsidRPr="00645EDC">
        <w:rPr>
          <w:rStyle w:val="FontStyle33"/>
          <w:sz w:val="22"/>
          <w:szCs w:val="22"/>
          <w:lang w:val="sk-SK" w:eastAsia="en-US"/>
        </w:rPr>
        <w:t>Abnormality funkcie pažeráka, ktoré spomaľujú jeho vyprázdňovanie, ako striktúra alebo achalázia.</w:t>
      </w:r>
    </w:p>
    <w:p w14:paraId="08ABAE29" w14:textId="77777777" w:rsidR="003B7D86" w:rsidRPr="00645EDC" w:rsidRDefault="003B7D86" w:rsidP="003B7D86">
      <w:pPr>
        <w:pStyle w:val="Style11"/>
        <w:widowControl/>
        <w:numPr>
          <w:ilvl w:val="0"/>
          <w:numId w:val="2"/>
        </w:numPr>
        <w:tabs>
          <w:tab w:val="left" w:pos="557"/>
        </w:tabs>
        <w:spacing w:line="240" w:lineRule="auto"/>
        <w:ind w:firstLine="0"/>
        <w:rPr>
          <w:rStyle w:val="FontStyle33"/>
          <w:sz w:val="22"/>
          <w:szCs w:val="22"/>
          <w:lang w:val="sk-SK" w:eastAsia="de-DE"/>
        </w:rPr>
      </w:pPr>
      <w:r w:rsidRPr="00645EDC">
        <w:rPr>
          <w:rStyle w:val="FontStyle33"/>
          <w:sz w:val="22"/>
          <w:szCs w:val="22"/>
          <w:lang w:val="sk-SK" w:eastAsia="es-ES_tradnl"/>
        </w:rPr>
        <w:t>Neschopnosť stáť alebo vzpriamene sedieť najmenej 60 minút.</w:t>
      </w:r>
    </w:p>
    <w:p w14:paraId="1E99B5EA" w14:textId="77777777" w:rsidR="003B7D86" w:rsidRPr="00645EDC" w:rsidRDefault="003B7D86" w:rsidP="003B7D86">
      <w:pPr>
        <w:pStyle w:val="Bezriadkovania1"/>
        <w:tabs>
          <w:tab w:val="left" w:pos="540"/>
        </w:tabs>
        <w:rPr>
          <w:rFonts w:ascii="Times New Roman" w:hAnsi="Times New Roman"/>
          <w:lang w:val="sk-SK"/>
        </w:rPr>
      </w:pPr>
    </w:p>
    <w:p w14:paraId="09E49200" w14:textId="77777777" w:rsidR="003B7D86" w:rsidRPr="00645EDC" w:rsidRDefault="003B7D86" w:rsidP="003B7D86">
      <w:pPr>
        <w:pStyle w:val="Bezriadkovania1"/>
        <w:numPr>
          <w:ilvl w:val="1"/>
          <w:numId w:val="1"/>
        </w:numPr>
        <w:tabs>
          <w:tab w:val="left" w:pos="540"/>
        </w:tabs>
        <w:ind w:left="0" w:firstLine="0"/>
        <w:rPr>
          <w:rFonts w:ascii="Times New Roman" w:hAnsi="Times New Roman"/>
          <w:b/>
          <w:lang w:val="sk-SK"/>
        </w:rPr>
      </w:pPr>
      <w:r w:rsidRPr="000E4718">
        <w:rPr>
          <w:rFonts w:ascii="Times New Roman" w:hAnsi="Times New Roman"/>
          <w:b/>
          <w:lang w:val="sk-SK"/>
        </w:rPr>
        <w:t>Osobitné upozornenia a opatrenia pri používaní</w:t>
      </w:r>
    </w:p>
    <w:p w14:paraId="20C1C220" w14:textId="77777777" w:rsidR="003B7D86" w:rsidRPr="00645EDC" w:rsidRDefault="003B7D86" w:rsidP="003B7D86">
      <w:pPr>
        <w:pStyle w:val="Bezriadkovania1"/>
        <w:tabs>
          <w:tab w:val="left" w:pos="540"/>
        </w:tabs>
        <w:rPr>
          <w:rFonts w:ascii="Times New Roman" w:hAnsi="Times New Roman"/>
          <w:i/>
          <w:iCs/>
          <w:lang w:val="sk-SK"/>
        </w:rPr>
      </w:pPr>
    </w:p>
    <w:p w14:paraId="4440FAF9" w14:textId="77777777" w:rsidR="00563AAB" w:rsidRPr="00645EDC" w:rsidRDefault="00563AAB" w:rsidP="00563AAB">
      <w:pPr>
        <w:pStyle w:val="Style8"/>
        <w:widowControl/>
        <w:rPr>
          <w:rStyle w:val="FontStyle30"/>
          <w:sz w:val="22"/>
          <w:szCs w:val="22"/>
          <w:lang w:val="sk-SK" w:eastAsia="es-ES_tradnl"/>
        </w:rPr>
      </w:pPr>
      <w:r w:rsidRPr="00645EDC">
        <w:rPr>
          <w:rStyle w:val="FontStyle30"/>
          <w:sz w:val="22"/>
          <w:szCs w:val="22"/>
          <w:lang w:val="sk-SK" w:eastAsia="es-ES_tradnl"/>
        </w:rPr>
        <w:t>Hypokalciémia</w:t>
      </w:r>
    </w:p>
    <w:p w14:paraId="0BE908E3" w14:textId="77777777" w:rsidR="00563AAB" w:rsidRPr="00645EDC" w:rsidRDefault="00563AAB" w:rsidP="00563AAB">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 xml:space="preserve">Pred začatím liečby </w:t>
      </w:r>
      <w:r w:rsidRPr="00645EDC">
        <w:rPr>
          <w:sz w:val="22"/>
          <w:szCs w:val="22"/>
          <w:lang w:val="sk-SK"/>
        </w:rPr>
        <w:t>Licobondratom 150 mg</w:t>
      </w:r>
      <w:r w:rsidRPr="00645EDC">
        <w:rPr>
          <w:rStyle w:val="FontStyle33"/>
          <w:sz w:val="22"/>
          <w:szCs w:val="22"/>
          <w:lang w:val="sk-SK" w:eastAsia="es-ES_tradnl"/>
        </w:rPr>
        <w:t xml:space="preserve"> sa musí upraviť prítomná hypokalciémia. Účinne treba liečiť aj ďalšie poruchy kostí a minerálneho metabolizmu. U všetkých pacientov je dôležitý adekvátny príjem vápnika a vitamínu D.</w:t>
      </w:r>
    </w:p>
    <w:p w14:paraId="0606AB8F" w14:textId="77777777" w:rsidR="00563AAB" w:rsidRPr="00645EDC" w:rsidRDefault="00563AAB" w:rsidP="00563AAB">
      <w:pPr>
        <w:pStyle w:val="Style9"/>
        <w:widowControl/>
        <w:spacing w:line="240" w:lineRule="auto"/>
        <w:rPr>
          <w:rStyle w:val="FontStyle33"/>
          <w:sz w:val="22"/>
          <w:szCs w:val="22"/>
          <w:lang w:val="sk-SK" w:eastAsia="es-ES_tradnl"/>
        </w:rPr>
      </w:pPr>
    </w:p>
    <w:p w14:paraId="48F03E2D" w14:textId="41ABA1D3" w:rsidR="003B7D86" w:rsidRPr="00645EDC" w:rsidRDefault="00563AAB" w:rsidP="003B7D86">
      <w:pPr>
        <w:pStyle w:val="Style8"/>
        <w:widowControl/>
        <w:rPr>
          <w:rStyle w:val="FontStyle30"/>
          <w:sz w:val="22"/>
          <w:szCs w:val="22"/>
          <w:lang w:val="sk-SK" w:eastAsia="es-ES_tradnl"/>
        </w:rPr>
      </w:pPr>
      <w:r w:rsidRPr="00645EDC">
        <w:rPr>
          <w:rStyle w:val="FontStyle30"/>
          <w:sz w:val="22"/>
          <w:szCs w:val="22"/>
          <w:lang w:val="sk-SK" w:eastAsia="es-ES_tradnl"/>
        </w:rPr>
        <w:t xml:space="preserve">Podráždenie </w:t>
      </w:r>
      <w:r w:rsidR="003B7D86" w:rsidRPr="00645EDC">
        <w:rPr>
          <w:rStyle w:val="FontStyle30"/>
          <w:sz w:val="22"/>
          <w:szCs w:val="22"/>
          <w:lang w:val="sk-SK" w:eastAsia="es-ES_tradnl"/>
        </w:rPr>
        <w:t>gastrointestinálneho traktu</w:t>
      </w:r>
    </w:p>
    <w:p w14:paraId="438E2B26" w14:textId="77777777"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 xml:space="preserve">Perorálne podávané bisfosfonáty môžu vyvolávať miestne podráždenie slizníc horného gastrointestinálneho traktu. Vzhľadom na tieto možné dráždivé účinky a na možnosť zhoršenia primárneho ochorenia treba postupovať opatrne, keď sa </w:t>
      </w:r>
      <w:r w:rsidR="004C3DC1" w:rsidRPr="00645EDC">
        <w:rPr>
          <w:sz w:val="22"/>
          <w:szCs w:val="22"/>
          <w:lang w:val="sk-SK"/>
        </w:rPr>
        <w:t>Licobondrat</w:t>
      </w:r>
      <w:r w:rsidRPr="00645EDC">
        <w:rPr>
          <w:sz w:val="22"/>
          <w:szCs w:val="22"/>
          <w:lang w:val="sk-SK"/>
        </w:rPr>
        <w:t xml:space="preserve"> 150 mg</w:t>
      </w:r>
      <w:r w:rsidRPr="00645EDC">
        <w:rPr>
          <w:rStyle w:val="FontStyle33"/>
          <w:sz w:val="22"/>
          <w:szCs w:val="22"/>
          <w:lang w:val="sk-SK" w:eastAsia="es-ES_tradnl"/>
        </w:rPr>
        <w:t xml:space="preserve"> podáva pacientom s </w:t>
      </w:r>
      <w:r w:rsidRPr="00645EDC">
        <w:rPr>
          <w:rStyle w:val="FontStyle33"/>
          <w:sz w:val="22"/>
          <w:szCs w:val="22"/>
          <w:lang w:val="sk-SK" w:eastAsia="es-ES_tradnl"/>
        </w:rPr>
        <w:lastRenderedPageBreak/>
        <w:t>aktívnym ochorením horného gastrointestinálneho traktu (napr. známy Barrettov pažerák, dysfágia, iné ochorenia pažeráka, gastritída, duodenitída alebo vredy).</w:t>
      </w:r>
    </w:p>
    <w:p w14:paraId="401A32BC" w14:textId="79736BE8"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 xml:space="preserve">U pacientov liečených perorálnymi bisfosfonátmi boli hlásené nežiaduce </w:t>
      </w:r>
      <w:r w:rsidR="00242421" w:rsidRPr="00645EDC">
        <w:rPr>
          <w:rStyle w:val="FontStyle33"/>
          <w:sz w:val="22"/>
          <w:szCs w:val="22"/>
          <w:lang w:val="sk-SK" w:eastAsia="es-ES_tradnl"/>
        </w:rPr>
        <w:t xml:space="preserve">reakcie </w:t>
      </w:r>
      <w:r w:rsidRPr="00645EDC">
        <w:rPr>
          <w:rStyle w:val="FontStyle33"/>
          <w:sz w:val="22"/>
          <w:szCs w:val="22"/>
          <w:lang w:val="sk-SK" w:eastAsia="es-ES_tradnl"/>
        </w:rPr>
        <w:t xml:space="preserve">ako ezofagitída, vredy a erózie pažeráka, ktoré boli v niektorých prípadoch závažné a vyžiadali si hospitalizáciu; zriedkavo boli spojené s krvácaním alebo po nich došlo k striktúre či perforácii pažeráka. Riziko závažných ezofágových nežiaducich udalostí sa zdá vyššie u pacientov, ktorí nedodržiavajú pokyny o dávkovaní a/alebo ktorí naďalej užívajú perorálne bisfosfonáty po tom, ako sa u nich rozvinuli príznaky poukazujúce na podráždenie pažeráka. Pacienti majú venovať zvýšenú pozornosť pokynom o dávkovaní a majú ich dodržiavať (pozri časť 4.2). </w:t>
      </w:r>
    </w:p>
    <w:p w14:paraId="48193FA5" w14:textId="77777777"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 xml:space="preserve">Lekári si majú všímať akékoľvek prejavy alebo príznaky signalizujúce možnú reakciu pažeráka a pacientov treba upozorniť, aby prestali užívať </w:t>
      </w:r>
      <w:r w:rsidR="004C3DC1" w:rsidRPr="00645EDC">
        <w:rPr>
          <w:sz w:val="22"/>
          <w:szCs w:val="22"/>
          <w:lang w:val="sk-SK"/>
        </w:rPr>
        <w:t>Licobondrat</w:t>
      </w:r>
      <w:r w:rsidRPr="00645EDC">
        <w:rPr>
          <w:rStyle w:val="FontStyle33"/>
          <w:sz w:val="22"/>
          <w:szCs w:val="22"/>
          <w:lang w:val="sk-SK" w:eastAsia="es-ES_tradnl"/>
        </w:rPr>
        <w:t xml:space="preserve"> 150 mg a vyhľadali lekársku pomoc, ak sa u nich rozvinie dysfágia, odynofágia, bolesť za hrudnou kosťou alebo sa objaví pálenie záhy, prípadne sa pálenie záhy zhorší.</w:t>
      </w:r>
    </w:p>
    <w:p w14:paraId="0BAB859F" w14:textId="789A2484"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 xml:space="preserve">Zatiaľ čo sa v kontrolovaných klinických skúšaniach nepozorovalo zvýšené riziko, jestvujú hlásenia po uvedení lieku na trh o žalúdočných a dvanástnikových </w:t>
      </w:r>
      <w:r w:rsidR="00242421" w:rsidRPr="00645EDC">
        <w:rPr>
          <w:rStyle w:val="FontStyle33"/>
          <w:sz w:val="22"/>
          <w:szCs w:val="22"/>
          <w:lang w:val="sk-SK" w:eastAsia="es-ES_tradnl"/>
        </w:rPr>
        <w:t xml:space="preserve">vredoch </w:t>
      </w:r>
      <w:r w:rsidRPr="00645EDC">
        <w:rPr>
          <w:rStyle w:val="FontStyle33"/>
          <w:sz w:val="22"/>
          <w:szCs w:val="22"/>
          <w:lang w:val="sk-SK" w:eastAsia="es-ES_tradnl"/>
        </w:rPr>
        <w:t>pri perorálnom užívaní bisfosfonátov, z ktorých niektoré boli závažné a spojené s komplikáciami.</w:t>
      </w:r>
    </w:p>
    <w:p w14:paraId="4E31CEB9" w14:textId="77777777" w:rsidR="003B7D86" w:rsidRPr="00645EDC" w:rsidRDefault="003B7D86" w:rsidP="003B7D86">
      <w:pPr>
        <w:pStyle w:val="Style9"/>
        <w:widowControl/>
        <w:spacing w:line="240" w:lineRule="auto"/>
        <w:rPr>
          <w:sz w:val="22"/>
          <w:szCs w:val="22"/>
          <w:lang w:val="sk-SK"/>
        </w:rPr>
      </w:pPr>
    </w:p>
    <w:p w14:paraId="67D45E41" w14:textId="77777777"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Keďže nesteroidové protizápalové lieky (NSAID) a bisfosfonáty sa spájajú s podráždením gastrointestinálneho traktu, je potrebná opatrnosť pri ich súbežnom užívaní.</w:t>
      </w:r>
    </w:p>
    <w:p w14:paraId="5930D5A7" w14:textId="77777777" w:rsidR="003B7D86" w:rsidRPr="00645EDC" w:rsidRDefault="003B7D86" w:rsidP="003B7D86">
      <w:pPr>
        <w:pStyle w:val="Style9"/>
        <w:widowControl/>
        <w:spacing w:line="240" w:lineRule="auto"/>
        <w:rPr>
          <w:rStyle w:val="FontStyle33"/>
          <w:sz w:val="22"/>
          <w:szCs w:val="22"/>
          <w:lang w:val="sk-SK" w:eastAsia="es-ES_tradnl"/>
        </w:rPr>
      </w:pPr>
    </w:p>
    <w:p w14:paraId="382DB216" w14:textId="77777777" w:rsidR="003B7D86" w:rsidRPr="00645EDC" w:rsidRDefault="003B7D86" w:rsidP="003B7D86">
      <w:pPr>
        <w:pStyle w:val="Style8"/>
        <w:widowControl/>
        <w:rPr>
          <w:rStyle w:val="FontStyle30"/>
          <w:sz w:val="22"/>
          <w:szCs w:val="22"/>
          <w:lang w:val="sk-SK" w:eastAsia="es-ES_tradnl"/>
        </w:rPr>
      </w:pPr>
      <w:r w:rsidRPr="00645EDC">
        <w:rPr>
          <w:rStyle w:val="FontStyle30"/>
          <w:sz w:val="22"/>
          <w:szCs w:val="22"/>
          <w:lang w:val="sk-SK" w:eastAsia="es-ES_tradnl"/>
        </w:rPr>
        <w:t>Osteonekróza čeľuste</w:t>
      </w:r>
    </w:p>
    <w:p w14:paraId="1073A397" w14:textId="0E4C4FE0" w:rsidR="00BD70AB" w:rsidRPr="00645EDC" w:rsidRDefault="00BD70AB" w:rsidP="00BD70AB">
      <w:pPr>
        <w:pStyle w:val="Style9"/>
        <w:spacing w:line="240" w:lineRule="auto"/>
        <w:rPr>
          <w:rStyle w:val="FontStyle33"/>
          <w:sz w:val="22"/>
          <w:szCs w:val="22"/>
          <w:lang w:val="sk-SK" w:eastAsia="es-ES_tradnl"/>
        </w:rPr>
      </w:pPr>
      <w:r w:rsidRPr="00645EDC">
        <w:rPr>
          <w:rStyle w:val="FontStyle33"/>
          <w:sz w:val="22"/>
          <w:szCs w:val="22"/>
          <w:lang w:val="sk-SK" w:eastAsia="es-ES_tradnl"/>
        </w:rPr>
        <w:t xml:space="preserve">Osteonekróza čeľuste sa veľmi zriedkavo zaznamenala po uvedení lieku na trh u pacientov, ktorí dostávali Licobondrat 150 mg na liečbu </w:t>
      </w:r>
      <w:r w:rsidRPr="005443C7">
        <w:rPr>
          <w:rStyle w:val="FontStyle33"/>
          <w:sz w:val="22"/>
          <w:szCs w:val="22"/>
          <w:lang w:val="sk-SK" w:eastAsia="es-ES_tradnl"/>
        </w:rPr>
        <w:t>osteoporózy (pozri</w:t>
      </w:r>
      <w:r w:rsidRPr="00645EDC">
        <w:rPr>
          <w:rStyle w:val="FontStyle33"/>
          <w:sz w:val="22"/>
          <w:szCs w:val="22"/>
          <w:lang w:val="sk-SK" w:eastAsia="es-ES_tradnl"/>
        </w:rPr>
        <w:t xml:space="preserve"> časť 4.8). </w:t>
      </w:r>
    </w:p>
    <w:p w14:paraId="3F578D34" w14:textId="77777777" w:rsidR="00BD70AB" w:rsidRPr="00645EDC" w:rsidRDefault="00BD70AB" w:rsidP="00BD70AB">
      <w:pPr>
        <w:pStyle w:val="Style9"/>
        <w:spacing w:line="240" w:lineRule="auto"/>
        <w:rPr>
          <w:rStyle w:val="FontStyle33"/>
          <w:sz w:val="22"/>
          <w:szCs w:val="22"/>
          <w:lang w:val="sk-SK" w:eastAsia="es-ES_tradnl"/>
        </w:rPr>
      </w:pPr>
      <w:r w:rsidRPr="00645EDC">
        <w:rPr>
          <w:rStyle w:val="FontStyle33"/>
          <w:sz w:val="22"/>
          <w:szCs w:val="22"/>
          <w:lang w:val="sk-SK" w:eastAsia="es-ES_tradnl"/>
        </w:rPr>
        <w:t xml:space="preserve"> </w:t>
      </w:r>
    </w:p>
    <w:p w14:paraId="1CD0EA52" w14:textId="77777777" w:rsidR="00BD70AB" w:rsidRPr="00645EDC" w:rsidRDefault="00BD70AB" w:rsidP="00BD70AB">
      <w:pPr>
        <w:pStyle w:val="Style9"/>
        <w:spacing w:line="240" w:lineRule="auto"/>
        <w:rPr>
          <w:rStyle w:val="FontStyle33"/>
          <w:sz w:val="22"/>
          <w:szCs w:val="22"/>
          <w:lang w:val="sk-SK" w:eastAsia="es-ES_tradnl"/>
        </w:rPr>
      </w:pPr>
      <w:r w:rsidRPr="00645EDC">
        <w:rPr>
          <w:rStyle w:val="FontStyle33"/>
          <w:sz w:val="22"/>
          <w:szCs w:val="22"/>
          <w:lang w:val="sk-SK" w:eastAsia="es-ES_tradnl"/>
        </w:rPr>
        <w:t xml:space="preserve">Začiatok liečby alebo nového cyklu liečby sa má odložiť u pacientov s nezahojenými otvorenými léziami mäkkého tkaniva v ústach. </w:t>
      </w:r>
    </w:p>
    <w:p w14:paraId="15BA0AE2" w14:textId="77777777" w:rsidR="00BD70AB" w:rsidRPr="00645EDC" w:rsidRDefault="00BD70AB" w:rsidP="00BD70AB">
      <w:pPr>
        <w:pStyle w:val="Style9"/>
        <w:spacing w:line="240" w:lineRule="auto"/>
        <w:rPr>
          <w:rStyle w:val="FontStyle33"/>
          <w:sz w:val="22"/>
          <w:szCs w:val="22"/>
          <w:lang w:val="sk-SK" w:eastAsia="es-ES_tradnl"/>
        </w:rPr>
      </w:pPr>
      <w:r w:rsidRPr="00645EDC">
        <w:rPr>
          <w:rStyle w:val="FontStyle33"/>
          <w:sz w:val="22"/>
          <w:szCs w:val="22"/>
          <w:lang w:val="sk-SK" w:eastAsia="es-ES_tradnl"/>
        </w:rPr>
        <w:t xml:space="preserve"> </w:t>
      </w:r>
    </w:p>
    <w:p w14:paraId="1D403155" w14:textId="4A369ED1" w:rsidR="00BD70AB" w:rsidRPr="00645EDC" w:rsidRDefault="00D92DFF" w:rsidP="00BD70AB">
      <w:pPr>
        <w:pStyle w:val="Style9"/>
        <w:spacing w:line="240" w:lineRule="auto"/>
        <w:rPr>
          <w:rStyle w:val="FontStyle33"/>
          <w:sz w:val="22"/>
          <w:szCs w:val="22"/>
          <w:lang w:val="sk-SK" w:eastAsia="es-ES_tradnl"/>
        </w:rPr>
      </w:pPr>
      <w:r>
        <w:rPr>
          <w:rStyle w:val="FontStyle33"/>
          <w:sz w:val="22"/>
          <w:szCs w:val="22"/>
          <w:lang w:val="sk-SK" w:eastAsia="es-ES_tradnl"/>
        </w:rPr>
        <w:t xml:space="preserve">U pacientov s viacerými rizikovými faktormi </w:t>
      </w:r>
      <w:r w:rsidRPr="00645EDC">
        <w:rPr>
          <w:rStyle w:val="FontStyle33"/>
          <w:sz w:val="22"/>
          <w:szCs w:val="22"/>
          <w:lang w:val="sk-SK" w:eastAsia="es-ES_tradnl"/>
        </w:rPr>
        <w:t xml:space="preserve">sa pred liečbou Licobondratom 150 mg odporúča </w:t>
      </w:r>
      <w:r>
        <w:rPr>
          <w:rStyle w:val="FontStyle33"/>
          <w:sz w:val="22"/>
          <w:szCs w:val="22"/>
          <w:lang w:val="sk-SK" w:eastAsia="es-ES_tradnl"/>
        </w:rPr>
        <w:t>p</w:t>
      </w:r>
      <w:r w:rsidR="00BD70AB" w:rsidRPr="00645EDC">
        <w:rPr>
          <w:rStyle w:val="FontStyle33"/>
          <w:sz w:val="22"/>
          <w:szCs w:val="22"/>
          <w:lang w:val="sk-SK" w:eastAsia="es-ES_tradnl"/>
        </w:rPr>
        <w:t>rehliadka chrupu s preventívnymi stomatologickým</w:t>
      </w:r>
      <w:r>
        <w:rPr>
          <w:rStyle w:val="FontStyle33"/>
          <w:sz w:val="22"/>
          <w:szCs w:val="22"/>
          <w:lang w:val="sk-SK" w:eastAsia="es-ES_tradnl"/>
        </w:rPr>
        <w:t xml:space="preserve"> vyšetrením</w:t>
      </w:r>
      <w:r w:rsidR="00BD70AB" w:rsidRPr="00645EDC">
        <w:rPr>
          <w:rStyle w:val="FontStyle33"/>
          <w:sz w:val="22"/>
          <w:szCs w:val="22"/>
          <w:lang w:val="sk-SK" w:eastAsia="es-ES_tradnl"/>
        </w:rPr>
        <w:t xml:space="preserve"> a stanovenie individuálneho pomeru prínosu a</w:t>
      </w:r>
      <w:r>
        <w:rPr>
          <w:rStyle w:val="FontStyle33"/>
          <w:sz w:val="22"/>
          <w:szCs w:val="22"/>
          <w:lang w:val="sk-SK" w:eastAsia="es-ES_tradnl"/>
        </w:rPr>
        <w:t> </w:t>
      </w:r>
      <w:r w:rsidR="00BD70AB" w:rsidRPr="00645EDC">
        <w:rPr>
          <w:rStyle w:val="FontStyle33"/>
          <w:sz w:val="22"/>
          <w:szCs w:val="22"/>
          <w:lang w:val="sk-SK" w:eastAsia="es-ES_tradnl"/>
        </w:rPr>
        <w:t>rizika</w:t>
      </w:r>
      <w:r>
        <w:rPr>
          <w:rStyle w:val="FontStyle33"/>
          <w:sz w:val="22"/>
          <w:szCs w:val="22"/>
          <w:lang w:val="sk-SK" w:eastAsia="es-ES_tradnl"/>
        </w:rPr>
        <w:t>.</w:t>
      </w:r>
    </w:p>
    <w:p w14:paraId="2C25B975" w14:textId="6959DEF2" w:rsidR="00BD70AB" w:rsidRPr="00645EDC" w:rsidRDefault="00BD70AB" w:rsidP="00BD70AB">
      <w:pPr>
        <w:pStyle w:val="Style9"/>
        <w:spacing w:line="240" w:lineRule="auto"/>
        <w:rPr>
          <w:rStyle w:val="FontStyle33"/>
          <w:sz w:val="22"/>
          <w:szCs w:val="22"/>
          <w:lang w:val="sk-SK" w:eastAsia="es-ES_tradnl"/>
        </w:rPr>
      </w:pPr>
      <w:r w:rsidRPr="00645EDC">
        <w:rPr>
          <w:rStyle w:val="FontStyle33"/>
          <w:sz w:val="22"/>
          <w:szCs w:val="22"/>
          <w:lang w:val="sk-SK" w:eastAsia="es-ES_tradnl"/>
        </w:rPr>
        <w:t xml:space="preserve"> </w:t>
      </w:r>
    </w:p>
    <w:p w14:paraId="37CAD61D" w14:textId="77777777" w:rsidR="00224672" w:rsidRPr="00645EDC" w:rsidRDefault="00BD70AB" w:rsidP="00BD70AB">
      <w:pPr>
        <w:pStyle w:val="Style9"/>
        <w:spacing w:line="240" w:lineRule="auto"/>
        <w:rPr>
          <w:rStyle w:val="FontStyle33"/>
          <w:sz w:val="22"/>
          <w:szCs w:val="22"/>
          <w:lang w:val="sk-SK" w:eastAsia="es-ES_tradnl"/>
        </w:rPr>
      </w:pPr>
      <w:r w:rsidRPr="00645EDC">
        <w:rPr>
          <w:rStyle w:val="FontStyle33"/>
          <w:sz w:val="22"/>
          <w:szCs w:val="22"/>
          <w:lang w:val="sk-SK" w:eastAsia="es-ES_tradnl"/>
        </w:rPr>
        <w:t xml:space="preserve">Pri hodnotení rizika osteonekrózy čeľuste u pacienta sa majú vziať do úvahy nasledujúce rizikové faktory: </w:t>
      </w:r>
    </w:p>
    <w:p w14:paraId="31F0139F" w14:textId="2DD8D8FC" w:rsidR="00224672" w:rsidRPr="00645EDC" w:rsidRDefault="00BD70AB" w:rsidP="00D92DFF">
      <w:pPr>
        <w:pStyle w:val="Style9"/>
        <w:spacing w:line="240" w:lineRule="auto"/>
        <w:ind w:left="142" w:hanging="142"/>
        <w:rPr>
          <w:rStyle w:val="FontStyle33"/>
          <w:sz w:val="22"/>
          <w:szCs w:val="22"/>
          <w:lang w:val="sk-SK" w:eastAsia="es-ES_tradnl"/>
        </w:rPr>
      </w:pPr>
      <w:r w:rsidRPr="00645EDC">
        <w:rPr>
          <w:rStyle w:val="FontStyle33"/>
          <w:sz w:val="22"/>
          <w:szCs w:val="22"/>
          <w:lang w:val="sk-SK" w:eastAsia="es-ES_tradnl"/>
        </w:rPr>
        <w:t xml:space="preserve">– </w:t>
      </w:r>
      <w:r w:rsidR="00224672" w:rsidRPr="00645EDC">
        <w:rPr>
          <w:rStyle w:val="FontStyle33"/>
          <w:sz w:val="22"/>
          <w:szCs w:val="22"/>
          <w:lang w:val="sk-SK" w:eastAsia="es-ES_tradnl"/>
        </w:rPr>
        <w:t>Ú</w:t>
      </w:r>
      <w:r w:rsidRPr="00645EDC">
        <w:rPr>
          <w:rStyle w:val="FontStyle33"/>
          <w:sz w:val="22"/>
          <w:szCs w:val="22"/>
          <w:lang w:val="sk-SK" w:eastAsia="es-ES_tradnl"/>
        </w:rPr>
        <w:t xml:space="preserve">činnosť lieku, ktorý inhibuje resorpciu </w:t>
      </w:r>
      <w:r w:rsidR="00D92DFF">
        <w:rPr>
          <w:rStyle w:val="FontStyle33"/>
          <w:sz w:val="22"/>
          <w:szCs w:val="22"/>
          <w:lang w:val="sk-SK" w:eastAsia="es-ES_tradnl"/>
        </w:rPr>
        <w:t xml:space="preserve">v </w:t>
      </w:r>
      <w:r w:rsidRPr="00645EDC">
        <w:rPr>
          <w:rStyle w:val="FontStyle33"/>
          <w:sz w:val="22"/>
          <w:szCs w:val="22"/>
          <w:lang w:val="sk-SK" w:eastAsia="es-ES_tradnl"/>
        </w:rPr>
        <w:t>kost</w:t>
      </w:r>
      <w:r w:rsidR="00D92DFF">
        <w:rPr>
          <w:rStyle w:val="FontStyle33"/>
          <w:sz w:val="22"/>
          <w:szCs w:val="22"/>
          <w:lang w:val="sk-SK" w:eastAsia="es-ES_tradnl"/>
        </w:rPr>
        <w:t>i</w:t>
      </w:r>
      <w:r w:rsidRPr="00645EDC">
        <w:rPr>
          <w:rStyle w:val="FontStyle33"/>
          <w:sz w:val="22"/>
          <w:szCs w:val="22"/>
          <w:lang w:val="sk-SK" w:eastAsia="es-ES_tradnl"/>
        </w:rPr>
        <w:t xml:space="preserve"> (vyššie riziko pri </w:t>
      </w:r>
      <w:r w:rsidR="00D92DFF">
        <w:rPr>
          <w:rStyle w:val="FontStyle33"/>
          <w:sz w:val="22"/>
          <w:szCs w:val="22"/>
          <w:lang w:val="sk-SK" w:eastAsia="es-ES_tradnl"/>
        </w:rPr>
        <w:t>vysoko</w:t>
      </w:r>
      <w:r w:rsidRPr="00645EDC">
        <w:rPr>
          <w:rStyle w:val="FontStyle33"/>
          <w:sz w:val="22"/>
          <w:szCs w:val="22"/>
          <w:lang w:val="sk-SK" w:eastAsia="es-ES_tradnl"/>
        </w:rPr>
        <w:t xml:space="preserve"> účinných</w:t>
      </w:r>
      <w:r w:rsidR="00D92DFF">
        <w:rPr>
          <w:rStyle w:val="FontStyle33"/>
          <w:sz w:val="22"/>
          <w:szCs w:val="22"/>
          <w:lang w:val="sk-SK" w:eastAsia="es-ES_tradnl"/>
        </w:rPr>
        <w:t xml:space="preserve"> zlúčeninách)</w:t>
      </w:r>
      <w:r w:rsidRPr="00645EDC">
        <w:rPr>
          <w:rStyle w:val="FontStyle33"/>
          <w:sz w:val="22"/>
          <w:szCs w:val="22"/>
          <w:lang w:val="sk-SK" w:eastAsia="es-ES_tradnl"/>
        </w:rPr>
        <w:t>, cesta podania (vyššie riziko pri</w:t>
      </w:r>
      <w:r w:rsidR="00F65FBE">
        <w:rPr>
          <w:rStyle w:val="FontStyle33"/>
          <w:sz w:val="22"/>
          <w:szCs w:val="22"/>
          <w:lang w:val="sk-SK" w:eastAsia="es-ES_tradnl"/>
        </w:rPr>
        <w:t xml:space="preserve"> podaní</w:t>
      </w:r>
      <w:r w:rsidRPr="00645EDC">
        <w:rPr>
          <w:rStyle w:val="FontStyle33"/>
          <w:sz w:val="22"/>
          <w:szCs w:val="22"/>
          <w:lang w:val="sk-SK" w:eastAsia="es-ES_tradnl"/>
        </w:rPr>
        <w:t xml:space="preserve"> parentáln</w:t>
      </w:r>
      <w:r w:rsidR="00F65FBE">
        <w:rPr>
          <w:rStyle w:val="FontStyle33"/>
          <w:sz w:val="22"/>
          <w:szCs w:val="22"/>
          <w:lang w:val="sk-SK" w:eastAsia="es-ES_tradnl"/>
        </w:rPr>
        <w:t>ou cestou</w:t>
      </w:r>
      <w:r w:rsidRPr="00645EDC">
        <w:rPr>
          <w:rStyle w:val="FontStyle33"/>
          <w:sz w:val="22"/>
          <w:szCs w:val="22"/>
          <w:lang w:val="sk-SK" w:eastAsia="es-ES_tradnl"/>
        </w:rPr>
        <w:t xml:space="preserve">) a kumulatívna dávka liečby resorpcie kostí, </w:t>
      </w:r>
    </w:p>
    <w:p w14:paraId="0A34A36A" w14:textId="4AE9B2B3" w:rsidR="00224672" w:rsidRPr="00645EDC" w:rsidRDefault="00BD70AB" w:rsidP="00BD70AB">
      <w:pPr>
        <w:pStyle w:val="Style9"/>
        <w:spacing w:line="240" w:lineRule="auto"/>
        <w:rPr>
          <w:rStyle w:val="FontStyle33"/>
          <w:sz w:val="22"/>
          <w:szCs w:val="22"/>
          <w:lang w:val="sk-SK" w:eastAsia="es-ES_tradnl"/>
        </w:rPr>
      </w:pPr>
      <w:r w:rsidRPr="00645EDC">
        <w:rPr>
          <w:rStyle w:val="FontStyle33"/>
          <w:sz w:val="22"/>
          <w:szCs w:val="22"/>
          <w:lang w:val="sk-SK" w:eastAsia="es-ES_tradnl"/>
        </w:rPr>
        <w:t xml:space="preserve">– </w:t>
      </w:r>
      <w:r w:rsidR="00224672" w:rsidRPr="00645EDC">
        <w:rPr>
          <w:rStyle w:val="FontStyle33"/>
          <w:sz w:val="22"/>
          <w:szCs w:val="22"/>
          <w:lang w:val="sk-SK" w:eastAsia="es-ES_tradnl"/>
        </w:rPr>
        <w:t>R</w:t>
      </w:r>
      <w:r w:rsidRPr="00645EDC">
        <w:rPr>
          <w:rStyle w:val="FontStyle33"/>
          <w:sz w:val="22"/>
          <w:szCs w:val="22"/>
          <w:lang w:val="sk-SK" w:eastAsia="es-ES_tradnl"/>
        </w:rPr>
        <w:t xml:space="preserve">akovina, sprievodné choroby (napr. anémia, koagulopatie, infekcia), fajčenie, </w:t>
      </w:r>
    </w:p>
    <w:p w14:paraId="492C6F7A" w14:textId="77777777" w:rsidR="00224672" w:rsidRPr="00645EDC" w:rsidRDefault="00BD70AB" w:rsidP="00D92DFF">
      <w:pPr>
        <w:pStyle w:val="Style9"/>
        <w:spacing w:line="240" w:lineRule="auto"/>
        <w:ind w:left="142" w:hanging="142"/>
        <w:rPr>
          <w:rStyle w:val="FontStyle33"/>
          <w:sz w:val="22"/>
          <w:szCs w:val="22"/>
          <w:lang w:val="sk-SK" w:eastAsia="es-ES_tradnl"/>
        </w:rPr>
      </w:pPr>
      <w:r w:rsidRPr="00645EDC">
        <w:rPr>
          <w:rStyle w:val="FontStyle33"/>
          <w:sz w:val="22"/>
          <w:szCs w:val="22"/>
          <w:lang w:val="sk-SK" w:eastAsia="es-ES_tradnl"/>
        </w:rPr>
        <w:t xml:space="preserve">– </w:t>
      </w:r>
      <w:r w:rsidR="00224672" w:rsidRPr="00645EDC">
        <w:rPr>
          <w:rStyle w:val="FontStyle33"/>
          <w:sz w:val="22"/>
          <w:szCs w:val="22"/>
          <w:lang w:val="sk-SK" w:eastAsia="es-ES_tradnl"/>
        </w:rPr>
        <w:t>S</w:t>
      </w:r>
      <w:r w:rsidRPr="00645EDC">
        <w:rPr>
          <w:rStyle w:val="FontStyle33"/>
          <w:sz w:val="22"/>
          <w:szCs w:val="22"/>
          <w:lang w:val="sk-SK" w:eastAsia="es-ES_tradnl"/>
        </w:rPr>
        <w:t xml:space="preserve">úbežná liečba: kortikosteroidy, chemoterapia, inhibítory angiogenézy, rádioterapia v oblasti hlavy a krku. </w:t>
      </w:r>
    </w:p>
    <w:p w14:paraId="4248D0DB" w14:textId="6291C87C" w:rsidR="00BD70AB" w:rsidRPr="00645EDC" w:rsidRDefault="00224672" w:rsidP="00D92DFF">
      <w:pPr>
        <w:pStyle w:val="Style9"/>
        <w:spacing w:line="240" w:lineRule="auto"/>
        <w:ind w:left="142" w:hanging="142"/>
        <w:rPr>
          <w:rStyle w:val="FontStyle33"/>
          <w:sz w:val="22"/>
          <w:szCs w:val="22"/>
          <w:lang w:val="sk-SK" w:eastAsia="es-ES_tradnl"/>
        </w:rPr>
      </w:pPr>
      <w:r w:rsidRPr="00645EDC">
        <w:rPr>
          <w:rStyle w:val="FontStyle33"/>
          <w:sz w:val="22"/>
          <w:szCs w:val="22"/>
          <w:lang w:val="sk-SK" w:eastAsia="es-ES_tradnl"/>
        </w:rPr>
        <w:t xml:space="preserve">– </w:t>
      </w:r>
      <w:r w:rsidR="00BD70AB" w:rsidRPr="00645EDC">
        <w:rPr>
          <w:rStyle w:val="FontStyle33"/>
          <w:sz w:val="22"/>
          <w:szCs w:val="22"/>
          <w:lang w:val="sk-SK" w:eastAsia="es-ES_tradnl"/>
        </w:rPr>
        <w:t xml:space="preserve">Nedostatočná hygiena ústnej dutiny, ochorenie periodontu, zle priliehajúce zubné náhrady, ochorenie zubov v anamnéze, invazívne dentálne zákroky, napr. extrakcie zubov. </w:t>
      </w:r>
    </w:p>
    <w:p w14:paraId="7E812691" w14:textId="77777777" w:rsidR="00BD70AB" w:rsidRPr="00645EDC" w:rsidRDefault="00BD70AB" w:rsidP="00BD70AB">
      <w:pPr>
        <w:pStyle w:val="Style9"/>
        <w:spacing w:line="240" w:lineRule="auto"/>
        <w:rPr>
          <w:rStyle w:val="FontStyle33"/>
          <w:sz w:val="22"/>
          <w:szCs w:val="22"/>
          <w:lang w:val="sk-SK" w:eastAsia="es-ES_tradnl"/>
        </w:rPr>
      </w:pPr>
      <w:r w:rsidRPr="00645EDC">
        <w:rPr>
          <w:rStyle w:val="FontStyle33"/>
          <w:sz w:val="22"/>
          <w:szCs w:val="22"/>
          <w:lang w:val="sk-SK" w:eastAsia="es-ES_tradnl"/>
        </w:rPr>
        <w:t xml:space="preserve"> </w:t>
      </w:r>
    </w:p>
    <w:p w14:paraId="3BB17925" w14:textId="73090B31" w:rsidR="00BD70AB" w:rsidRPr="00645EDC" w:rsidRDefault="00BD70AB" w:rsidP="00BD70AB">
      <w:pPr>
        <w:pStyle w:val="Style9"/>
        <w:spacing w:line="240" w:lineRule="auto"/>
        <w:rPr>
          <w:rStyle w:val="FontStyle33"/>
          <w:sz w:val="22"/>
          <w:szCs w:val="22"/>
          <w:lang w:val="sk-SK" w:eastAsia="es-ES_tradnl"/>
        </w:rPr>
      </w:pPr>
      <w:r w:rsidRPr="00645EDC">
        <w:rPr>
          <w:rStyle w:val="FontStyle33"/>
          <w:sz w:val="22"/>
          <w:szCs w:val="22"/>
          <w:lang w:val="sk-SK" w:eastAsia="es-ES_tradnl"/>
        </w:rPr>
        <w:t xml:space="preserve">Všetkým pacientom sa má odporučiť, aby počas liečby </w:t>
      </w:r>
      <w:r w:rsidR="004A030C" w:rsidRPr="00645EDC">
        <w:rPr>
          <w:rStyle w:val="FontStyle33"/>
          <w:sz w:val="22"/>
          <w:szCs w:val="22"/>
          <w:lang w:val="sk-SK" w:eastAsia="es-ES_tradnl"/>
        </w:rPr>
        <w:t xml:space="preserve">Licobondratom 150 mg </w:t>
      </w:r>
      <w:r w:rsidRPr="00645EDC">
        <w:rPr>
          <w:rStyle w:val="FontStyle33"/>
          <w:sz w:val="22"/>
          <w:szCs w:val="22"/>
          <w:lang w:val="sk-SK" w:eastAsia="es-ES_tradnl"/>
        </w:rPr>
        <w:t xml:space="preserve">udržiavali náležitú hygienu ústnej dutiny, chodili na bežné prehliadky chrupu a okamžite hlásili akékoľvek orálne symptómy, napr. uvoľnenie zuba, bolesť alebo opuch, nehojace sa bolestivé miesta alebo výtok. Invazívne dentálne zákroky sa počas liečby majú vykonávať opatrne a je potrebné sa im vyhnúť krátko pred podaním </w:t>
      </w:r>
      <w:r w:rsidR="004A030C" w:rsidRPr="00645EDC">
        <w:rPr>
          <w:rStyle w:val="FontStyle33"/>
          <w:sz w:val="22"/>
          <w:szCs w:val="22"/>
          <w:lang w:val="sk-SK" w:eastAsia="es-ES_tradnl"/>
        </w:rPr>
        <w:t xml:space="preserve">Licobondratu 150 mg </w:t>
      </w:r>
      <w:r w:rsidRPr="00645EDC">
        <w:rPr>
          <w:rStyle w:val="FontStyle33"/>
          <w:sz w:val="22"/>
          <w:szCs w:val="22"/>
          <w:lang w:val="sk-SK" w:eastAsia="es-ES_tradnl"/>
        </w:rPr>
        <w:t xml:space="preserve">alebo po ňom. </w:t>
      </w:r>
    </w:p>
    <w:p w14:paraId="22814CA5" w14:textId="77777777" w:rsidR="00BD70AB" w:rsidRPr="00645EDC" w:rsidRDefault="00BD70AB" w:rsidP="00BD70AB">
      <w:pPr>
        <w:pStyle w:val="Style9"/>
        <w:spacing w:line="240" w:lineRule="auto"/>
        <w:rPr>
          <w:rStyle w:val="FontStyle33"/>
          <w:sz w:val="22"/>
          <w:szCs w:val="22"/>
          <w:lang w:val="sk-SK" w:eastAsia="es-ES_tradnl"/>
        </w:rPr>
      </w:pPr>
      <w:r w:rsidRPr="00645EDC">
        <w:rPr>
          <w:rStyle w:val="FontStyle33"/>
          <w:sz w:val="22"/>
          <w:szCs w:val="22"/>
          <w:lang w:val="sk-SK" w:eastAsia="es-ES_tradnl"/>
        </w:rPr>
        <w:t xml:space="preserve"> </w:t>
      </w:r>
    </w:p>
    <w:p w14:paraId="5566255D" w14:textId="3CFF5A3A" w:rsidR="00BD70AB" w:rsidRPr="00645EDC" w:rsidRDefault="00BD70AB" w:rsidP="00BD70AB">
      <w:pPr>
        <w:pStyle w:val="Style9"/>
        <w:spacing w:line="240" w:lineRule="auto"/>
        <w:rPr>
          <w:rStyle w:val="FontStyle33"/>
          <w:sz w:val="22"/>
          <w:szCs w:val="22"/>
          <w:lang w:val="sk-SK" w:eastAsia="es-ES_tradnl"/>
        </w:rPr>
      </w:pPr>
      <w:r w:rsidRPr="00645EDC">
        <w:rPr>
          <w:rStyle w:val="FontStyle33"/>
          <w:sz w:val="22"/>
          <w:szCs w:val="22"/>
          <w:lang w:val="sk-SK" w:eastAsia="es-ES_tradnl"/>
        </w:rPr>
        <w:t>Plán liečby pacientov, u ktorých sa vyvinie osteonekróza čeľuste, majú zostaviť v úzkej spolupráci ošetrujúci lekár a zubný lekár alebo stomatochirurg, ktorý je odborníkom na osteonekrózu čeľuste. Má sa zvážiť dočasné prerušenie l</w:t>
      </w:r>
      <w:r w:rsidR="00F65FBE">
        <w:rPr>
          <w:rStyle w:val="FontStyle33"/>
          <w:sz w:val="22"/>
          <w:szCs w:val="22"/>
          <w:lang w:val="sk-SK" w:eastAsia="es-ES_tradnl"/>
        </w:rPr>
        <w:t>i</w:t>
      </w:r>
      <w:r w:rsidRPr="00645EDC">
        <w:rPr>
          <w:rStyle w:val="FontStyle33"/>
          <w:sz w:val="22"/>
          <w:szCs w:val="22"/>
          <w:lang w:val="sk-SK" w:eastAsia="es-ES_tradnl"/>
        </w:rPr>
        <w:t xml:space="preserve">ečby kyselinou ibandrónovou až do vymiznutia ochorenia a oslabenia faktorov prispievajúcich k riziku, </w:t>
      </w:r>
      <w:r w:rsidR="00F65FBE">
        <w:rPr>
          <w:rStyle w:val="FontStyle33"/>
          <w:sz w:val="22"/>
          <w:szCs w:val="22"/>
          <w:lang w:val="sk-SK" w:eastAsia="es-ES_tradnl"/>
        </w:rPr>
        <w:t>ak</w:t>
      </w:r>
      <w:r w:rsidRPr="00645EDC">
        <w:rPr>
          <w:rStyle w:val="FontStyle33"/>
          <w:sz w:val="22"/>
          <w:szCs w:val="22"/>
          <w:lang w:val="sk-SK" w:eastAsia="es-ES_tradnl"/>
        </w:rPr>
        <w:t xml:space="preserve"> je to možné. </w:t>
      </w:r>
    </w:p>
    <w:p w14:paraId="534D641C" w14:textId="77777777" w:rsidR="002811A3" w:rsidRPr="00645EDC" w:rsidRDefault="002811A3" w:rsidP="003B7D86">
      <w:pPr>
        <w:pStyle w:val="Style9"/>
        <w:widowControl/>
        <w:spacing w:line="240" w:lineRule="auto"/>
        <w:rPr>
          <w:rStyle w:val="FontStyle33"/>
          <w:sz w:val="22"/>
          <w:szCs w:val="22"/>
          <w:lang w:val="sk-SK" w:eastAsia="es-ES_tradnl"/>
        </w:rPr>
      </w:pPr>
    </w:p>
    <w:p w14:paraId="5B067943" w14:textId="77777777" w:rsidR="002811A3" w:rsidRPr="00645EDC" w:rsidRDefault="002811A3" w:rsidP="002811A3">
      <w:pPr>
        <w:pStyle w:val="Style9"/>
        <w:spacing w:line="240" w:lineRule="auto"/>
        <w:rPr>
          <w:rStyle w:val="FontStyle33"/>
          <w:i/>
          <w:sz w:val="22"/>
          <w:szCs w:val="22"/>
          <w:lang w:val="sk-SK" w:eastAsia="es-ES_tradnl"/>
        </w:rPr>
      </w:pPr>
      <w:r w:rsidRPr="00645EDC">
        <w:rPr>
          <w:rStyle w:val="FontStyle33"/>
          <w:i/>
          <w:sz w:val="22"/>
          <w:szCs w:val="22"/>
          <w:lang w:val="sk-SK" w:eastAsia="es-ES_tradnl"/>
        </w:rPr>
        <w:t>Osteonekróza vonkajšieho zvukovodu</w:t>
      </w:r>
    </w:p>
    <w:p w14:paraId="2266D92E" w14:textId="355833AB" w:rsidR="002811A3" w:rsidRPr="00645EDC" w:rsidRDefault="00F15BC3" w:rsidP="002811A3">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lastRenderedPageBreak/>
        <w:t>Pri používaní bisfosfonátov</w:t>
      </w:r>
      <w:r w:rsidR="00B54478" w:rsidRPr="00645EDC">
        <w:rPr>
          <w:rStyle w:val="FontStyle33"/>
          <w:sz w:val="22"/>
          <w:szCs w:val="22"/>
          <w:lang w:val="sk-SK" w:eastAsia="es-ES_tradnl"/>
        </w:rPr>
        <w:t xml:space="preserve"> bola hlásená o</w:t>
      </w:r>
      <w:r w:rsidR="002811A3" w:rsidRPr="00645EDC">
        <w:rPr>
          <w:rStyle w:val="FontStyle33"/>
          <w:sz w:val="22"/>
          <w:szCs w:val="22"/>
          <w:lang w:val="sk-SK" w:eastAsia="es-ES_tradnl"/>
        </w:rPr>
        <w:t xml:space="preserve">steonekróza vonkajšieho zvukovodu, najmä v </w:t>
      </w:r>
      <w:r w:rsidRPr="00645EDC">
        <w:rPr>
          <w:rStyle w:val="FontStyle33"/>
          <w:sz w:val="22"/>
          <w:szCs w:val="22"/>
          <w:lang w:val="sk-SK" w:eastAsia="es-ES_tradnl"/>
        </w:rPr>
        <w:t>súvislosti</w:t>
      </w:r>
      <w:r w:rsidR="002811A3" w:rsidRPr="00645EDC">
        <w:rPr>
          <w:rStyle w:val="FontStyle33"/>
          <w:sz w:val="22"/>
          <w:szCs w:val="22"/>
          <w:lang w:val="sk-SK" w:eastAsia="es-ES_tradnl"/>
        </w:rPr>
        <w:t xml:space="preserve"> s dlhodobou </w:t>
      </w:r>
      <w:r w:rsidRPr="00645EDC">
        <w:rPr>
          <w:rStyle w:val="FontStyle33"/>
          <w:sz w:val="22"/>
          <w:szCs w:val="22"/>
          <w:lang w:val="sk-SK" w:eastAsia="es-ES_tradnl"/>
        </w:rPr>
        <w:t>liečbou</w:t>
      </w:r>
      <w:r w:rsidR="002811A3" w:rsidRPr="00645EDC">
        <w:rPr>
          <w:rStyle w:val="FontStyle33"/>
          <w:sz w:val="22"/>
          <w:szCs w:val="22"/>
          <w:lang w:val="sk-SK" w:eastAsia="es-ES_tradnl"/>
        </w:rPr>
        <w:t xml:space="preserve">. </w:t>
      </w:r>
      <w:r w:rsidRPr="00645EDC">
        <w:rPr>
          <w:rStyle w:val="FontStyle33"/>
          <w:sz w:val="22"/>
          <w:szCs w:val="22"/>
          <w:lang w:val="sk-SK" w:eastAsia="es-ES_tradnl"/>
        </w:rPr>
        <w:t>K</w:t>
      </w:r>
      <w:r w:rsidR="00B54478" w:rsidRPr="00645EDC">
        <w:rPr>
          <w:rStyle w:val="FontStyle33"/>
          <w:sz w:val="22"/>
          <w:szCs w:val="22"/>
          <w:lang w:val="sk-SK" w:eastAsia="es-ES_tradnl"/>
        </w:rPr>
        <w:t xml:space="preserve"> m</w:t>
      </w:r>
      <w:r w:rsidR="002811A3" w:rsidRPr="00645EDC">
        <w:rPr>
          <w:rStyle w:val="FontStyle33"/>
          <w:sz w:val="22"/>
          <w:szCs w:val="22"/>
          <w:lang w:val="sk-SK" w:eastAsia="es-ES_tradnl"/>
        </w:rPr>
        <w:t>ožn</w:t>
      </w:r>
      <w:r w:rsidRPr="00645EDC">
        <w:rPr>
          <w:rStyle w:val="FontStyle33"/>
          <w:sz w:val="22"/>
          <w:szCs w:val="22"/>
          <w:lang w:val="sk-SK" w:eastAsia="es-ES_tradnl"/>
        </w:rPr>
        <w:t>ým</w:t>
      </w:r>
      <w:r w:rsidR="002811A3" w:rsidRPr="00645EDC">
        <w:rPr>
          <w:rStyle w:val="FontStyle33"/>
          <w:sz w:val="22"/>
          <w:szCs w:val="22"/>
          <w:lang w:val="sk-SK" w:eastAsia="es-ES_tradnl"/>
        </w:rPr>
        <w:t xml:space="preserve"> rizikov</w:t>
      </w:r>
      <w:r w:rsidRPr="00645EDC">
        <w:rPr>
          <w:rStyle w:val="FontStyle33"/>
          <w:sz w:val="22"/>
          <w:szCs w:val="22"/>
          <w:lang w:val="sk-SK" w:eastAsia="es-ES_tradnl"/>
        </w:rPr>
        <w:t>ým</w:t>
      </w:r>
      <w:r w:rsidR="002811A3" w:rsidRPr="00645EDC">
        <w:rPr>
          <w:rStyle w:val="FontStyle33"/>
          <w:sz w:val="22"/>
          <w:szCs w:val="22"/>
          <w:lang w:val="sk-SK" w:eastAsia="es-ES_tradnl"/>
        </w:rPr>
        <w:t xml:space="preserve"> faktor</w:t>
      </w:r>
      <w:r w:rsidRPr="00645EDC">
        <w:rPr>
          <w:rStyle w:val="FontStyle33"/>
          <w:sz w:val="22"/>
          <w:szCs w:val="22"/>
          <w:lang w:val="sk-SK" w:eastAsia="es-ES_tradnl"/>
        </w:rPr>
        <w:t>om</w:t>
      </w:r>
      <w:r w:rsidR="002811A3" w:rsidRPr="00645EDC">
        <w:rPr>
          <w:rStyle w:val="FontStyle33"/>
          <w:sz w:val="22"/>
          <w:szCs w:val="22"/>
          <w:lang w:val="sk-SK" w:eastAsia="es-ES_tradnl"/>
        </w:rPr>
        <w:t xml:space="preserve"> osteonekróz</w:t>
      </w:r>
      <w:r w:rsidRPr="00645EDC">
        <w:rPr>
          <w:rStyle w:val="FontStyle33"/>
          <w:sz w:val="22"/>
          <w:szCs w:val="22"/>
          <w:lang w:val="sk-SK" w:eastAsia="es-ES_tradnl"/>
        </w:rPr>
        <w:t>y</w:t>
      </w:r>
      <w:r w:rsidR="002811A3" w:rsidRPr="00645EDC">
        <w:rPr>
          <w:rStyle w:val="FontStyle33"/>
          <w:sz w:val="22"/>
          <w:szCs w:val="22"/>
          <w:lang w:val="sk-SK" w:eastAsia="es-ES_tradnl"/>
        </w:rPr>
        <w:t xml:space="preserve"> vonkajšieho zvuk</w:t>
      </w:r>
      <w:r w:rsidR="00B54478" w:rsidRPr="00645EDC">
        <w:rPr>
          <w:rStyle w:val="FontStyle33"/>
          <w:sz w:val="22"/>
          <w:szCs w:val="22"/>
          <w:lang w:val="sk-SK" w:eastAsia="es-ES_tradnl"/>
        </w:rPr>
        <w:t>ovodu patrí</w:t>
      </w:r>
      <w:r w:rsidR="002811A3" w:rsidRPr="00645EDC">
        <w:rPr>
          <w:rStyle w:val="FontStyle33"/>
          <w:sz w:val="22"/>
          <w:szCs w:val="22"/>
          <w:lang w:val="sk-SK" w:eastAsia="es-ES_tradnl"/>
        </w:rPr>
        <w:t xml:space="preserve"> použitie steroidov a chemoterapie a/alebo lokálne rizikové faktory, ako </w:t>
      </w:r>
      <w:r w:rsidR="0061122F" w:rsidRPr="00645EDC">
        <w:rPr>
          <w:rStyle w:val="FontStyle33"/>
          <w:sz w:val="22"/>
          <w:szCs w:val="22"/>
          <w:lang w:val="sk-SK" w:eastAsia="es-ES_tradnl"/>
        </w:rPr>
        <w:t>je</w:t>
      </w:r>
      <w:r w:rsidR="002811A3" w:rsidRPr="00645EDC">
        <w:rPr>
          <w:rStyle w:val="FontStyle33"/>
          <w:sz w:val="22"/>
          <w:szCs w:val="22"/>
          <w:lang w:val="sk-SK" w:eastAsia="es-ES_tradnl"/>
        </w:rPr>
        <w:t xml:space="preserve"> infekci</w:t>
      </w:r>
      <w:r w:rsidR="0061122F" w:rsidRPr="00645EDC">
        <w:rPr>
          <w:rStyle w:val="FontStyle33"/>
          <w:sz w:val="22"/>
          <w:szCs w:val="22"/>
          <w:lang w:val="sk-SK" w:eastAsia="es-ES_tradnl"/>
        </w:rPr>
        <w:t>a</w:t>
      </w:r>
      <w:r w:rsidR="002811A3" w:rsidRPr="00645EDC">
        <w:rPr>
          <w:rStyle w:val="FontStyle33"/>
          <w:sz w:val="22"/>
          <w:szCs w:val="22"/>
          <w:lang w:val="sk-SK" w:eastAsia="es-ES_tradnl"/>
        </w:rPr>
        <w:t xml:space="preserve"> alebo trauma. Možnosť </w:t>
      </w:r>
      <w:r w:rsidR="00B54478" w:rsidRPr="00645EDC">
        <w:rPr>
          <w:rStyle w:val="FontStyle33"/>
          <w:sz w:val="22"/>
          <w:szCs w:val="22"/>
          <w:lang w:val="sk-SK" w:eastAsia="es-ES_tradnl"/>
        </w:rPr>
        <w:t xml:space="preserve">vzniku </w:t>
      </w:r>
      <w:r w:rsidR="002811A3" w:rsidRPr="00645EDC">
        <w:rPr>
          <w:rStyle w:val="FontStyle33"/>
          <w:sz w:val="22"/>
          <w:szCs w:val="22"/>
          <w:lang w:val="sk-SK" w:eastAsia="es-ES_tradnl"/>
        </w:rPr>
        <w:t xml:space="preserve">osteonekrózy vonkajšieho zvukovodu </w:t>
      </w:r>
      <w:r w:rsidR="0061122F" w:rsidRPr="00645EDC">
        <w:rPr>
          <w:rStyle w:val="FontStyle33"/>
          <w:sz w:val="22"/>
          <w:szCs w:val="22"/>
          <w:lang w:val="sk-SK" w:eastAsia="es-ES_tradnl"/>
        </w:rPr>
        <w:t>treba</w:t>
      </w:r>
      <w:r w:rsidR="002811A3" w:rsidRPr="00645EDC">
        <w:rPr>
          <w:rStyle w:val="FontStyle33"/>
          <w:sz w:val="22"/>
          <w:szCs w:val="22"/>
          <w:lang w:val="sk-SK" w:eastAsia="es-ES_tradnl"/>
        </w:rPr>
        <w:t xml:space="preserve"> zvážiť u pacientov </w:t>
      </w:r>
      <w:r w:rsidR="0061122F" w:rsidRPr="00645EDC">
        <w:rPr>
          <w:rStyle w:val="FontStyle33"/>
          <w:sz w:val="22"/>
          <w:szCs w:val="22"/>
          <w:lang w:val="sk-SK" w:eastAsia="es-ES_tradnl"/>
        </w:rPr>
        <w:t>užívajúcich</w:t>
      </w:r>
      <w:r w:rsidR="002811A3" w:rsidRPr="00645EDC">
        <w:rPr>
          <w:rStyle w:val="FontStyle33"/>
          <w:sz w:val="22"/>
          <w:szCs w:val="22"/>
          <w:lang w:val="sk-SK" w:eastAsia="es-ES_tradnl"/>
        </w:rPr>
        <w:t xml:space="preserve"> bisfosfonát</w:t>
      </w:r>
      <w:r w:rsidR="0061122F" w:rsidRPr="00645EDC">
        <w:rPr>
          <w:rStyle w:val="FontStyle33"/>
          <w:sz w:val="22"/>
          <w:szCs w:val="22"/>
          <w:lang w:val="sk-SK" w:eastAsia="es-ES_tradnl"/>
        </w:rPr>
        <w:t>y</w:t>
      </w:r>
      <w:r w:rsidR="002811A3" w:rsidRPr="00645EDC">
        <w:rPr>
          <w:rStyle w:val="FontStyle33"/>
          <w:sz w:val="22"/>
          <w:szCs w:val="22"/>
          <w:lang w:val="sk-SK" w:eastAsia="es-ES_tradnl"/>
        </w:rPr>
        <w:t xml:space="preserve">, ktorí </w:t>
      </w:r>
      <w:r w:rsidR="00B54478" w:rsidRPr="00645EDC">
        <w:rPr>
          <w:rStyle w:val="FontStyle33"/>
          <w:sz w:val="22"/>
          <w:szCs w:val="22"/>
          <w:lang w:val="sk-SK" w:eastAsia="es-ES_tradnl"/>
        </w:rPr>
        <w:t>majú</w:t>
      </w:r>
      <w:r w:rsidR="002811A3" w:rsidRPr="00645EDC">
        <w:rPr>
          <w:rStyle w:val="FontStyle33"/>
          <w:sz w:val="22"/>
          <w:szCs w:val="22"/>
          <w:lang w:val="sk-SK" w:eastAsia="es-ES_tradnl"/>
        </w:rPr>
        <w:t xml:space="preserve"> </w:t>
      </w:r>
      <w:r w:rsidR="0061122F" w:rsidRPr="00645EDC">
        <w:rPr>
          <w:rStyle w:val="FontStyle33"/>
          <w:sz w:val="22"/>
          <w:szCs w:val="22"/>
          <w:lang w:val="sk-SK" w:eastAsia="es-ES_tradnl"/>
        </w:rPr>
        <w:t xml:space="preserve">ušné </w:t>
      </w:r>
      <w:r w:rsidR="002811A3" w:rsidRPr="00645EDC">
        <w:rPr>
          <w:rStyle w:val="FontStyle33"/>
          <w:sz w:val="22"/>
          <w:szCs w:val="22"/>
          <w:lang w:val="sk-SK" w:eastAsia="es-ES_tradnl"/>
        </w:rPr>
        <w:t>symptóm</w:t>
      </w:r>
      <w:r w:rsidR="00B54478" w:rsidRPr="00645EDC">
        <w:rPr>
          <w:rStyle w:val="FontStyle33"/>
          <w:sz w:val="22"/>
          <w:szCs w:val="22"/>
          <w:lang w:val="sk-SK" w:eastAsia="es-ES_tradnl"/>
        </w:rPr>
        <w:t>y</w:t>
      </w:r>
      <w:r w:rsidR="002811A3" w:rsidRPr="00645EDC">
        <w:rPr>
          <w:rStyle w:val="FontStyle33"/>
          <w:sz w:val="22"/>
          <w:szCs w:val="22"/>
          <w:lang w:val="sk-SK" w:eastAsia="es-ES_tradnl"/>
        </w:rPr>
        <w:t xml:space="preserve"> vrátane chronických infekcií</w:t>
      </w:r>
      <w:r w:rsidR="00B54478" w:rsidRPr="00645EDC">
        <w:rPr>
          <w:rStyle w:val="FontStyle33"/>
          <w:sz w:val="22"/>
          <w:szCs w:val="22"/>
          <w:lang w:val="sk-SK" w:eastAsia="es-ES_tradnl"/>
        </w:rPr>
        <w:t xml:space="preserve"> ucha</w:t>
      </w:r>
      <w:r w:rsidR="002811A3" w:rsidRPr="00645EDC">
        <w:rPr>
          <w:rStyle w:val="FontStyle33"/>
          <w:sz w:val="22"/>
          <w:szCs w:val="22"/>
          <w:lang w:val="sk-SK" w:eastAsia="es-ES_tradnl"/>
        </w:rPr>
        <w:t>.</w:t>
      </w:r>
    </w:p>
    <w:p w14:paraId="6260D775" w14:textId="77777777" w:rsidR="00005320" w:rsidRPr="00645EDC" w:rsidRDefault="00005320" w:rsidP="00B54478">
      <w:pPr>
        <w:pStyle w:val="Style9"/>
        <w:widowControl/>
        <w:spacing w:line="240" w:lineRule="auto"/>
        <w:rPr>
          <w:rStyle w:val="FontStyle33"/>
          <w:sz w:val="22"/>
          <w:szCs w:val="22"/>
          <w:lang w:val="sk-SK" w:eastAsia="es-ES_tradnl"/>
        </w:rPr>
      </w:pPr>
    </w:p>
    <w:p w14:paraId="363E07FE" w14:textId="77777777" w:rsidR="008F51D2" w:rsidRPr="000E4718" w:rsidRDefault="008F51D2" w:rsidP="00B54478">
      <w:pPr>
        <w:pStyle w:val="Style9"/>
        <w:widowControl/>
        <w:spacing w:line="240" w:lineRule="auto"/>
        <w:rPr>
          <w:rStyle w:val="FontStyle33"/>
          <w:i/>
          <w:sz w:val="22"/>
          <w:szCs w:val="22"/>
          <w:lang w:val="sk-SK" w:eastAsia="es-ES_tradnl"/>
        </w:rPr>
      </w:pPr>
      <w:r w:rsidRPr="000E4718">
        <w:rPr>
          <w:rStyle w:val="FontStyle33"/>
          <w:i/>
          <w:sz w:val="22"/>
          <w:szCs w:val="22"/>
          <w:lang w:val="sk-SK" w:eastAsia="es-ES_tradnl"/>
        </w:rPr>
        <w:t>Atypické zlomeniny femuru</w:t>
      </w:r>
    </w:p>
    <w:p w14:paraId="04C56981" w14:textId="77777777" w:rsidR="008F51D2" w:rsidRPr="00645EDC" w:rsidRDefault="008F51D2" w:rsidP="00B54478">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 xml:space="preserve">Pri liečbe bisfosfonátmi boli hlásené atypické subtrochanterické a diafyzálne femorálne zlomeniny, najmä u pacientov, ktorí dostávali dlhodobú </w:t>
      </w:r>
      <w:r w:rsidR="005047A0" w:rsidRPr="00645EDC">
        <w:rPr>
          <w:rStyle w:val="FontStyle33"/>
          <w:sz w:val="22"/>
          <w:szCs w:val="22"/>
          <w:lang w:val="sk-SK" w:eastAsia="es-ES_tradnl"/>
        </w:rPr>
        <w:t xml:space="preserve">liečbu osteoporózy. Tieto priečne alebo krátke šikmé zlomeniny sa môžu vyskytnúť kdekoľvek pozdĺž stehennej kosti od miesta tesne pod malým trochanterom </w:t>
      </w:r>
      <w:r w:rsidR="00251355" w:rsidRPr="00645EDC">
        <w:rPr>
          <w:rStyle w:val="FontStyle33"/>
          <w:sz w:val="22"/>
          <w:szCs w:val="22"/>
          <w:lang w:val="sk-SK" w:eastAsia="es-ES_tradnl"/>
        </w:rPr>
        <w:t>až do miesta tesne nad suprakondylickú časť. Tieto fraktúry sa vyskytujú po žiadnej alebo minimálnej traume a niektorí pacienti pociťujú bolesť v oblasti stehna alebo slabín</w:t>
      </w:r>
      <w:r w:rsidR="0083423D" w:rsidRPr="00645EDC">
        <w:rPr>
          <w:rStyle w:val="FontStyle33"/>
          <w:sz w:val="22"/>
          <w:szCs w:val="22"/>
          <w:lang w:val="sk-SK" w:eastAsia="es-ES_tradnl"/>
        </w:rPr>
        <w:t>, pri zobrazovacom vyšetrení často spojenú s črtami stresových fraktúr týždne až mesiace pred vznikom úplnej stehennej zlomeniny. Fraktúry sú často obojstranné</w:t>
      </w:r>
      <w:r w:rsidR="008F68AB" w:rsidRPr="00645EDC">
        <w:rPr>
          <w:rStyle w:val="FontStyle33"/>
          <w:sz w:val="22"/>
          <w:szCs w:val="22"/>
          <w:lang w:val="sk-SK" w:eastAsia="es-ES_tradnl"/>
        </w:rPr>
        <w:t xml:space="preserve">, preto sa má u pacientov užívajúcich bisfosfonáty, ktorí </w:t>
      </w:r>
      <w:r w:rsidR="0014098E" w:rsidRPr="00645EDC">
        <w:rPr>
          <w:rStyle w:val="FontStyle33"/>
          <w:sz w:val="22"/>
          <w:szCs w:val="22"/>
          <w:lang w:val="sk-SK" w:eastAsia="es-ES_tradnl"/>
        </w:rPr>
        <w:t>utrpeli zlomeninu tela stehennej kosti,</w:t>
      </w:r>
      <w:r w:rsidR="008F68AB" w:rsidRPr="00645EDC">
        <w:rPr>
          <w:rStyle w:val="FontStyle33"/>
          <w:sz w:val="22"/>
          <w:szCs w:val="22"/>
          <w:lang w:val="sk-SK" w:eastAsia="es-ES_tradnl"/>
        </w:rPr>
        <w:t xml:space="preserve"> vyšetriť</w:t>
      </w:r>
      <w:r w:rsidR="0014098E" w:rsidRPr="00645EDC">
        <w:rPr>
          <w:rStyle w:val="FontStyle33"/>
          <w:sz w:val="22"/>
          <w:szCs w:val="22"/>
          <w:lang w:val="sk-SK" w:eastAsia="es-ES_tradnl"/>
        </w:rPr>
        <w:t xml:space="preserve"> kontralaterálna stehenná kosť. Bolo tiež hlásené zlé hojenie týchto fraktúr. U pacientov, u ktorých existuje podozrenie na atypickú zlomeninu femuru, sa má zvážiť prerušenie liečby bisfosfonátmi až do vyšetrenia pacienta na základe individuálneho posúdenia prínosu a rizika. </w:t>
      </w:r>
    </w:p>
    <w:p w14:paraId="246D1F41" w14:textId="77777777" w:rsidR="008F51D2" w:rsidRPr="00645EDC" w:rsidRDefault="008F51D2" w:rsidP="00B54478">
      <w:pPr>
        <w:pStyle w:val="Style9"/>
        <w:widowControl/>
        <w:spacing w:line="240" w:lineRule="auto"/>
        <w:rPr>
          <w:rStyle w:val="FontStyle33"/>
          <w:sz w:val="22"/>
          <w:szCs w:val="22"/>
          <w:lang w:val="sk-SK" w:eastAsia="es-ES_tradnl"/>
        </w:rPr>
      </w:pPr>
    </w:p>
    <w:p w14:paraId="0954CC98" w14:textId="49BC8AF7" w:rsidR="00242421" w:rsidRPr="00645EDC" w:rsidRDefault="00242421" w:rsidP="00242421">
      <w:pPr>
        <w:pStyle w:val="Style8"/>
        <w:widowControl/>
        <w:rPr>
          <w:rStyle w:val="FontStyle30"/>
          <w:sz w:val="22"/>
          <w:szCs w:val="22"/>
          <w:lang w:val="sk-SK" w:eastAsia="es-ES_tradnl"/>
        </w:rPr>
      </w:pPr>
      <w:r w:rsidRPr="00645EDC">
        <w:rPr>
          <w:rStyle w:val="FontStyle30"/>
          <w:sz w:val="22"/>
          <w:szCs w:val="22"/>
          <w:lang w:val="sk-SK" w:eastAsia="es-ES_tradnl"/>
        </w:rPr>
        <w:t>Po</w:t>
      </w:r>
      <w:r w:rsidR="00F65FBE">
        <w:rPr>
          <w:rStyle w:val="FontStyle30"/>
          <w:sz w:val="22"/>
          <w:szCs w:val="22"/>
          <w:lang w:val="sk-SK" w:eastAsia="es-ES_tradnl"/>
        </w:rPr>
        <w:t>rucha</w:t>
      </w:r>
      <w:r w:rsidRPr="00645EDC">
        <w:rPr>
          <w:rStyle w:val="FontStyle30"/>
          <w:sz w:val="22"/>
          <w:szCs w:val="22"/>
          <w:lang w:val="sk-SK" w:eastAsia="es-ES_tradnl"/>
        </w:rPr>
        <w:t xml:space="preserve"> funkcie obličiek</w:t>
      </w:r>
      <w:r w:rsidR="00F65FBE">
        <w:rPr>
          <w:rStyle w:val="FontStyle30"/>
          <w:sz w:val="22"/>
          <w:szCs w:val="22"/>
          <w:lang w:val="sk-SK" w:eastAsia="es-ES_tradnl"/>
        </w:rPr>
        <w:t xml:space="preserve"> </w:t>
      </w:r>
    </w:p>
    <w:p w14:paraId="15399DBE" w14:textId="77777777" w:rsidR="00242421" w:rsidRPr="00645EDC" w:rsidRDefault="00242421" w:rsidP="00242421">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 xml:space="preserve">Vzhľadom na obmedzené klinické skúsenosti sa </w:t>
      </w:r>
      <w:r w:rsidRPr="00645EDC">
        <w:rPr>
          <w:sz w:val="22"/>
          <w:szCs w:val="22"/>
          <w:lang w:val="sk-SK"/>
        </w:rPr>
        <w:t>Licobondrat 150 mg</w:t>
      </w:r>
      <w:r w:rsidRPr="00645EDC">
        <w:rPr>
          <w:rStyle w:val="FontStyle33"/>
          <w:sz w:val="22"/>
          <w:szCs w:val="22"/>
          <w:lang w:val="sk-SK" w:eastAsia="es-ES_tradnl"/>
        </w:rPr>
        <w:t xml:space="preserve"> neodporúča pacientom s klírensom kreatinínu nižším ako 30 ml/min (pozri časť 5.2).</w:t>
      </w:r>
    </w:p>
    <w:p w14:paraId="5E65302E" w14:textId="77777777" w:rsidR="00242421" w:rsidRPr="00645EDC" w:rsidRDefault="00242421" w:rsidP="003B7D86">
      <w:pPr>
        <w:pStyle w:val="Style8"/>
        <w:widowControl/>
        <w:rPr>
          <w:sz w:val="22"/>
          <w:szCs w:val="22"/>
          <w:lang w:val="sk-SK"/>
        </w:rPr>
      </w:pPr>
    </w:p>
    <w:p w14:paraId="6AF62A5A" w14:textId="77777777" w:rsidR="00240B1C" w:rsidRPr="00645EDC" w:rsidRDefault="003B7D86" w:rsidP="008650E2">
      <w:pPr>
        <w:pStyle w:val="Style8"/>
        <w:widowControl/>
        <w:tabs>
          <w:tab w:val="left" w:pos="5475"/>
        </w:tabs>
        <w:rPr>
          <w:rStyle w:val="FontStyle30"/>
          <w:sz w:val="22"/>
          <w:szCs w:val="22"/>
          <w:lang w:val="sk-SK" w:eastAsia="es-ES_tradnl"/>
        </w:rPr>
      </w:pPr>
      <w:r w:rsidRPr="00645EDC">
        <w:rPr>
          <w:rStyle w:val="FontStyle30"/>
          <w:sz w:val="22"/>
          <w:szCs w:val="22"/>
          <w:lang w:val="sk-SK" w:eastAsia="es-ES_tradnl"/>
        </w:rPr>
        <w:t>Intolerancia galaktózy</w:t>
      </w:r>
    </w:p>
    <w:p w14:paraId="6E4908DA" w14:textId="6DCAAECC" w:rsidR="003B7D86" w:rsidRPr="00645EDC" w:rsidRDefault="00240B1C" w:rsidP="000E4718">
      <w:pPr>
        <w:pStyle w:val="Style8"/>
        <w:widowControl/>
        <w:tabs>
          <w:tab w:val="left" w:pos="5475"/>
        </w:tabs>
        <w:rPr>
          <w:rStyle w:val="FontStyle33"/>
          <w:sz w:val="22"/>
          <w:szCs w:val="22"/>
          <w:lang w:val="sk-SK" w:eastAsia="es-ES_tradnl"/>
        </w:rPr>
      </w:pPr>
      <w:r w:rsidRPr="00645EDC">
        <w:rPr>
          <w:rStyle w:val="FontStyle30"/>
          <w:i w:val="0"/>
          <w:sz w:val="22"/>
          <w:szCs w:val="22"/>
          <w:lang w:val="sk-SK" w:eastAsia="es-ES_tradnl"/>
        </w:rPr>
        <w:t>Tento liek obsahuje laktózu.</w:t>
      </w:r>
      <w:r w:rsidR="00F65FBE">
        <w:rPr>
          <w:rStyle w:val="FontStyle30"/>
          <w:i w:val="0"/>
          <w:sz w:val="22"/>
          <w:szCs w:val="22"/>
          <w:lang w:val="sk-SK" w:eastAsia="es-ES_tradnl"/>
        </w:rPr>
        <w:t xml:space="preserve"> </w:t>
      </w:r>
      <w:r w:rsidR="003B7D86" w:rsidRPr="00645EDC">
        <w:rPr>
          <w:rStyle w:val="FontStyle33"/>
          <w:sz w:val="22"/>
          <w:szCs w:val="22"/>
          <w:lang w:val="sk-SK" w:eastAsia="es-ES_tradnl"/>
        </w:rPr>
        <w:t xml:space="preserve">Pacienti so zriedkavými dedičnými problémami </w:t>
      </w:r>
      <w:r w:rsidR="003B7D86" w:rsidRPr="000E4718">
        <w:t>galaktózovej intolerancie, lapónskeho deficitu laktázy alebo glukózo-galaktózovej malabsorpcie nesmú užívať tento liek.</w:t>
      </w:r>
    </w:p>
    <w:p w14:paraId="02E580BF" w14:textId="77777777" w:rsidR="003B7D86" w:rsidRPr="00645EDC" w:rsidRDefault="003B7D86" w:rsidP="003B7D86">
      <w:pPr>
        <w:pStyle w:val="Style9"/>
        <w:widowControl/>
        <w:spacing w:line="240" w:lineRule="auto"/>
        <w:rPr>
          <w:rStyle w:val="FontStyle33"/>
          <w:sz w:val="22"/>
          <w:szCs w:val="22"/>
          <w:lang w:val="sk-SK" w:eastAsia="es-ES_tradnl"/>
        </w:rPr>
      </w:pPr>
    </w:p>
    <w:p w14:paraId="3988CD78" w14:textId="77777777" w:rsidR="003B7D86" w:rsidRPr="00645EDC" w:rsidRDefault="003B7D86" w:rsidP="003B7D86">
      <w:pPr>
        <w:pStyle w:val="Bezriadkovania1"/>
        <w:numPr>
          <w:ilvl w:val="1"/>
          <w:numId w:val="1"/>
        </w:numPr>
        <w:tabs>
          <w:tab w:val="left" w:pos="540"/>
        </w:tabs>
        <w:ind w:left="0" w:firstLine="0"/>
        <w:rPr>
          <w:rFonts w:ascii="Times New Roman" w:hAnsi="Times New Roman"/>
          <w:b/>
          <w:lang w:val="sk-SK"/>
        </w:rPr>
      </w:pPr>
      <w:r w:rsidRPr="000E4718">
        <w:rPr>
          <w:rFonts w:ascii="Times New Roman" w:hAnsi="Times New Roman"/>
          <w:b/>
          <w:lang w:val="sk-SK"/>
        </w:rPr>
        <w:t>Liekové a iné interakcie</w:t>
      </w:r>
    </w:p>
    <w:p w14:paraId="503F4345" w14:textId="77777777" w:rsidR="003B7D86" w:rsidRPr="00645EDC" w:rsidRDefault="003B7D86" w:rsidP="003B7D86">
      <w:pPr>
        <w:pStyle w:val="Bezriadkovania1"/>
        <w:tabs>
          <w:tab w:val="left" w:pos="540"/>
        </w:tabs>
        <w:rPr>
          <w:rFonts w:ascii="Times New Roman" w:hAnsi="Times New Roman"/>
          <w:lang w:val="sk-SK"/>
        </w:rPr>
      </w:pPr>
    </w:p>
    <w:p w14:paraId="26049445" w14:textId="77777777" w:rsidR="00616167" w:rsidRPr="00645EDC" w:rsidRDefault="00616167" w:rsidP="003B7D86">
      <w:pPr>
        <w:pStyle w:val="Bezriadkovania1"/>
        <w:tabs>
          <w:tab w:val="left" w:pos="540"/>
        </w:tabs>
        <w:rPr>
          <w:rFonts w:ascii="Times New Roman" w:hAnsi="Times New Roman"/>
          <w:i/>
          <w:u w:val="single"/>
          <w:lang w:val="sk-SK"/>
        </w:rPr>
      </w:pPr>
      <w:r w:rsidRPr="00645EDC">
        <w:rPr>
          <w:rFonts w:ascii="Times New Roman" w:hAnsi="Times New Roman"/>
          <w:i/>
          <w:u w:val="single"/>
          <w:lang w:val="sk-SK"/>
        </w:rPr>
        <w:t>Interakcie lieku s jedlom</w:t>
      </w:r>
    </w:p>
    <w:p w14:paraId="18B8EB9E" w14:textId="1DD80A40"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Perorálna biologická dostupnosť kyseliny ibandrónovej je vo všeobecnosti znížená v prítomnosti jedla. Obzvlášť produkty obsahujúce vápnik</w:t>
      </w:r>
      <w:r w:rsidR="000346E4" w:rsidRPr="00645EDC">
        <w:rPr>
          <w:rStyle w:val="FontStyle33"/>
          <w:sz w:val="22"/>
          <w:szCs w:val="22"/>
          <w:lang w:val="sk-SK" w:eastAsia="es-ES_tradnl"/>
        </w:rPr>
        <w:t>, vrátane mlieka</w:t>
      </w:r>
      <w:r w:rsidRPr="00645EDC">
        <w:rPr>
          <w:rStyle w:val="FontStyle33"/>
          <w:sz w:val="22"/>
          <w:szCs w:val="22"/>
          <w:lang w:val="sk-SK" w:eastAsia="es-ES_tradnl"/>
        </w:rPr>
        <w:t xml:space="preserve"> a iné multivalentné katióny (napríklad hliník, horčík, železo) pravdepodobne narúšajú absorpciu </w:t>
      </w:r>
      <w:r w:rsidR="004C3DC1" w:rsidRPr="00645EDC">
        <w:rPr>
          <w:sz w:val="22"/>
          <w:szCs w:val="22"/>
          <w:lang w:val="sk-SK"/>
        </w:rPr>
        <w:t>Licobondrat</w:t>
      </w:r>
      <w:r w:rsidRPr="00645EDC">
        <w:rPr>
          <w:sz w:val="22"/>
          <w:szCs w:val="22"/>
          <w:lang w:val="sk-SK"/>
        </w:rPr>
        <w:t>u 150 mg</w:t>
      </w:r>
      <w:r w:rsidRPr="00645EDC">
        <w:rPr>
          <w:rStyle w:val="FontStyle33"/>
          <w:sz w:val="22"/>
          <w:szCs w:val="22"/>
          <w:lang w:val="sk-SK" w:eastAsia="es-ES_tradnl"/>
        </w:rPr>
        <w:t xml:space="preserve">, čo je v súlade s výsledkami štúdií vykonanými na zvieratách. Preto pacienti, predtým ako užijú </w:t>
      </w:r>
      <w:r w:rsidR="004C3DC1" w:rsidRPr="00645EDC">
        <w:rPr>
          <w:sz w:val="22"/>
          <w:szCs w:val="22"/>
          <w:lang w:val="sk-SK"/>
        </w:rPr>
        <w:t>Licobondrat</w:t>
      </w:r>
      <w:r w:rsidRPr="00645EDC">
        <w:rPr>
          <w:rStyle w:val="FontStyle33"/>
          <w:sz w:val="22"/>
          <w:szCs w:val="22"/>
          <w:lang w:val="sk-SK" w:eastAsia="es-ES_tradnl"/>
        </w:rPr>
        <w:t xml:space="preserve"> 150 mg </w:t>
      </w:r>
      <w:r w:rsidR="00616167" w:rsidRPr="00645EDC">
        <w:rPr>
          <w:rStyle w:val="FontStyle33"/>
          <w:sz w:val="22"/>
          <w:szCs w:val="22"/>
          <w:lang w:val="sk-SK" w:eastAsia="es-ES_tradnl"/>
        </w:rPr>
        <w:t xml:space="preserve">nemajú cez noc </w:t>
      </w:r>
      <w:r w:rsidRPr="00645EDC">
        <w:rPr>
          <w:rStyle w:val="FontStyle33"/>
          <w:sz w:val="22"/>
          <w:szCs w:val="22"/>
          <w:lang w:val="sk-SK" w:eastAsia="es-ES_tradnl"/>
        </w:rPr>
        <w:t xml:space="preserve">nič jesť (najmenej 6 hodín) a po užití </w:t>
      </w:r>
      <w:r w:rsidR="004C3DC1" w:rsidRPr="00645EDC">
        <w:rPr>
          <w:sz w:val="22"/>
          <w:szCs w:val="22"/>
          <w:lang w:val="sk-SK"/>
        </w:rPr>
        <w:t>Licobondrat</w:t>
      </w:r>
      <w:r w:rsidRPr="00645EDC">
        <w:rPr>
          <w:sz w:val="22"/>
          <w:szCs w:val="22"/>
          <w:lang w:val="sk-SK"/>
        </w:rPr>
        <w:t>u 150 mg</w:t>
      </w:r>
      <w:r w:rsidRPr="00645EDC">
        <w:rPr>
          <w:rStyle w:val="FontStyle33"/>
          <w:sz w:val="22"/>
          <w:szCs w:val="22"/>
          <w:lang w:val="sk-SK" w:eastAsia="es-ES_tradnl"/>
        </w:rPr>
        <w:t xml:space="preserve"> nemajú jesť aspoň 1 hodinu (pozri časť 4.2).</w:t>
      </w:r>
    </w:p>
    <w:p w14:paraId="0933C9FE" w14:textId="77777777" w:rsidR="00616167" w:rsidRPr="00645EDC" w:rsidRDefault="00616167" w:rsidP="003B7D86">
      <w:pPr>
        <w:pStyle w:val="Style9"/>
        <w:widowControl/>
        <w:spacing w:line="240" w:lineRule="auto"/>
        <w:rPr>
          <w:sz w:val="22"/>
          <w:szCs w:val="22"/>
          <w:lang w:val="sk-SK"/>
        </w:rPr>
      </w:pPr>
    </w:p>
    <w:p w14:paraId="22D8D497" w14:textId="77777777" w:rsidR="003B7D86" w:rsidRPr="00645EDC" w:rsidRDefault="00616167" w:rsidP="003B7D86">
      <w:pPr>
        <w:pStyle w:val="Style9"/>
        <w:widowControl/>
        <w:spacing w:line="240" w:lineRule="auto"/>
        <w:rPr>
          <w:i/>
          <w:sz w:val="22"/>
          <w:szCs w:val="22"/>
          <w:u w:val="single"/>
          <w:lang w:val="sk-SK"/>
        </w:rPr>
      </w:pPr>
      <w:r w:rsidRPr="00645EDC">
        <w:rPr>
          <w:i/>
          <w:sz w:val="22"/>
          <w:szCs w:val="22"/>
          <w:u w:val="single"/>
          <w:lang w:val="sk-SK"/>
        </w:rPr>
        <w:t>Interakcie s inými liekmi</w:t>
      </w:r>
    </w:p>
    <w:p w14:paraId="73606AFC" w14:textId="77777777" w:rsidR="00616167" w:rsidRPr="00645EDC" w:rsidRDefault="00616167" w:rsidP="00616167">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 xml:space="preserve">Metabolické interakcie sa nepovažujú za pravdepodobné, pretože kyselina ibandrónová neinhibuje hlavné pečeňové izoenzýmy P450 u ľudí a dokázalo sa, že neindukuje pečeňový systém cytochrómu P450 u potkanov (pozri časť 5.2). Kyselina ibandrónová sa vylučuje len renálnou exkréciou a nepodlieha žiadnej biotransformácii. </w:t>
      </w:r>
    </w:p>
    <w:p w14:paraId="54F54659" w14:textId="77777777" w:rsidR="00616167" w:rsidRPr="00645EDC" w:rsidRDefault="00616167" w:rsidP="00616167">
      <w:pPr>
        <w:pStyle w:val="Style9"/>
        <w:widowControl/>
        <w:spacing w:line="240" w:lineRule="auto"/>
        <w:rPr>
          <w:rStyle w:val="FontStyle33"/>
          <w:sz w:val="22"/>
          <w:szCs w:val="22"/>
          <w:lang w:val="sk-SK" w:eastAsia="es-ES_tradnl"/>
        </w:rPr>
      </w:pPr>
    </w:p>
    <w:p w14:paraId="6098A776" w14:textId="77777777" w:rsidR="00616167" w:rsidRPr="00645EDC" w:rsidRDefault="00616167" w:rsidP="00616167">
      <w:pPr>
        <w:pStyle w:val="Style9"/>
        <w:widowControl/>
        <w:spacing w:line="240" w:lineRule="auto"/>
        <w:rPr>
          <w:rStyle w:val="FontStyle33"/>
          <w:sz w:val="22"/>
          <w:szCs w:val="22"/>
          <w:u w:val="single"/>
          <w:lang w:val="sk-SK" w:eastAsia="es-ES_tradnl"/>
        </w:rPr>
      </w:pPr>
      <w:r w:rsidRPr="00645EDC">
        <w:rPr>
          <w:rStyle w:val="FontStyle33"/>
          <w:sz w:val="22"/>
          <w:szCs w:val="22"/>
          <w:u w:val="single"/>
          <w:lang w:val="sk-SK" w:eastAsia="es-ES_tradnl"/>
        </w:rPr>
        <w:t>Výživové doplnky obsahujúce vápnik, antacidá a niektoré perorálne lieky obsahujúce multivalentné katióny</w:t>
      </w:r>
    </w:p>
    <w:p w14:paraId="5B5D3F9E" w14:textId="040DE9F5" w:rsidR="003B7D86" w:rsidRPr="00645EDC" w:rsidRDefault="003B7D86" w:rsidP="003B7D86">
      <w:pPr>
        <w:pStyle w:val="Style9"/>
        <w:widowControl/>
        <w:spacing w:line="240" w:lineRule="auto"/>
        <w:rPr>
          <w:sz w:val="22"/>
          <w:szCs w:val="22"/>
          <w:lang w:val="sk-SK"/>
        </w:rPr>
      </w:pPr>
      <w:r w:rsidRPr="00645EDC">
        <w:rPr>
          <w:rStyle w:val="FontStyle33"/>
          <w:sz w:val="22"/>
          <w:szCs w:val="22"/>
          <w:lang w:val="sk-SK" w:eastAsia="es-ES_tradnl"/>
        </w:rPr>
        <w:t xml:space="preserve">Výživové doplnky obsahujúce vápnik, antacidá a niektoré perorálne lieky obsahujúce multivalentné katióny (napríklad hliník, horčík, železo) pravdepodobne narúšajú absorpciu </w:t>
      </w:r>
      <w:r w:rsidR="004C3DC1" w:rsidRPr="00645EDC">
        <w:rPr>
          <w:sz w:val="22"/>
          <w:szCs w:val="22"/>
          <w:lang w:val="sk-SK"/>
        </w:rPr>
        <w:t>Licobondrat</w:t>
      </w:r>
      <w:r w:rsidRPr="00645EDC">
        <w:rPr>
          <w:sz w:val="22"/>
          <w:szCs w:val="22"/>
          <w:lang w:val="sk-SK"/>
        </w:rPr>
        <w:t>u 150 mg</w:t>
      </w:r>
      <w:r w:rsidRPr="00645EDC">
        <w:rPr>
          <w:rStyle w:val="FontStyle33"/>
          <w:sz w:val="22"/>
          <w:szCs w:val="22"/>
          <w:lang w:val="sk-SK" w:eastAsia="es-ES_tradnl"/>
        </w:rPr>
        <w:t xml:space="preserve">. Preto pacienti nemajú užívať ďalšie perorálne lieky najmenej 6 hodín pred užitím </w:t>
      </w:r>
      <w:r w:rsidR="004C3DC1" w:rsidRPr="00645EDC">
        <w:rPr>
          <w:sz w:val="22"/>
          <w:szCs w:val="22"/>
          <w:lang w:val="sk-SK"/>
        </w:rPr>
        <w:t>Licobondrat</w:t>
      </w:r>
      <w:r w:rsidRPr="00645EDC">
        <w:rPr>
          <w:sz w:val="22"/>
          <w:szCs w:val="22"/>
          <w:lang w:val="sk-SK"/>
        </w:rPr>
        <w:t xml:space="preserve">u </w:t>
      </w:r>
      <w:r w:rsidR="00616167" w:rsidRPr="00645EDC">
        <w:rPr>
          <w:sz w:val="22"/>
          <w:szCs w:val="22"/>
          <w:lang w:val="sk-SK"/>
        </w:rPr>
        <w:t> 150 </w:t>
      </w:r>
      <w:r w:rsidRPr="00645EDC">
        <w:rPr>
          <w:sz w:val="22"/>
          <w:szCs w:val="22"/>
          <w:lang w:val="sk-SK"/>
        </w:rPr>
        <w:t>mg</w:t>
      </w:r>
      <w:r w:rsidRPr="00645EDC">
        <w:rPr>
          <w:rStyle w:val="FontStyle33"/>
          <w:sz w:val="22"/>
          <w:szCs w:val="22"/>
          <w:lang w:val="sk-SK" w:eastAsia="es-ES_tradnl"/>
        </w:rPr>
        <w:t xml:space="preserve"> a aspoň jednu hodinu po užití</w:t>
      </w:r>
      <w:r w:rsidR="00616167" w:rsidRPr="00645EDC">
        <w:rPr>
          <w:rStyle w:val="FontStyle33"/>
          <w:sz w:val="22"/>
          <w:szCs w:val="22"/>
          <w:lang w:val="sk-SK" w:eastAsia="es-ES_tradnl"/>
        </w:rPr>
        <w:t xml:space="preserve"> Licobondratu 150 mg</w:t>
      </w:r>
      <w:r w:rsidRPr="00645EDC">
        <w:rPr>
          <w:sz w:val="22"/>
          <w:szCs w:val="22"/>
          <w:lang w:val="sk-SK"/>
        </w:rPr>
        <w:t>.</w:t>
      </w:r>
    </w:p>
    <w:p w14:paraId="15F97661" w14:textId="77777777" w:rsidR="003B7D86" w:rsidRPr="00645EDC" w:rsidRDefault="003B7D86" w:rsidP="003B7D86">
      <w:pPr>
        <w:pStyle w:val="Style9"/>
        <w:widowControl/>
        <w:spacing w:line="240" w:lineRule="auto"/>
        <w:rPr>
          <w:sz w:val="22"/>
          <w:szCs w:val="22"/>
          <w:u w:val="single"/>
          <w:lang w:val="sk-SK"/>
        </w:rPr>
      </w:pPr>
    </w:p>
    <w:p w14:paraId="1E3F1C37" w14:textId="77777777" w:rsidR="00616167" w:rsidRPr="00645EDC" w:rsidRDefault="00616167" w:rsidP="003B7D86">
      <w:pPr>
        <w:pStyle w:val="Style9"/>
        <w:widowControl/>
        <w:spacing w:line="240" w:lineRule="auto"/>
        <w:rPr>
          <w:sz w:val="22"/>
          <w:szCs w:val="22"/>
          <w:u w:val="single"/>
          <w:lang w:val="sk-SK"/>
        </w:rPr>
      </w:pPr>
      <w:r w:rsidRPr="00645EDC">
        <w:rPr>
          <w:sz w:val="22"/>
          <w:szCs w:val="22"/>
          <w:u w:val="single"/>
          <w:lang w:val="sk-SK"/>
        </w:rPr>
        <w:t>Kyselina acetylsalicylová a NSAID</w:t>
      </w:r>
    </w:p>
    <w:p w14:paraId="10EB1DAC" w14:textId="77777777" w:rsidR="00F519E9" w:rsidRPr="000E4718" w:rsidRDefault="00F519E9" w:rsidP="000E4718">
      <w:pPr>
        <w:pStyle w:val="Style9"/>
        <w:widowControl/>
        <w:spacing w:line="240" w:lineRule="auto"/>
        <w:rPr>
          <w:rStyle w:val="FontStyle33"/>
          <w:sz w:val="22"/>
          <w:szCs w:val="22"/>
          <w:lang w:val="sk-SK" w:eastAsia="es-ES_tradnl"/>
        </w:rPr>
      </w:pPr>
      <w:r w:rsidRPr="000E4718">
        <w:rPr>
          <w:rStyle w:val="FontStyle33"/>
          <w:sz w:val="22"/>
          <w:szCs w:val="22"/>
          <w:lang w:val="sk-SK" w:eastAsia="es-ES_tradnl"/>
        </w:rPr>
        <w:lastRenderedPageBreak/>
        <w:t>Keďže kyselina acetylsalicylová, nesteroidné protizápalové lieky (NSAID) a bisfosfonáty sa spájajú s podráždením gastrointestinálneho traktu, je potrebná opatrnosť pri ich súbežnom užívaní (pozri časť 4.4).</w:t>
      </w:r>
    </w:p>
    <w:p w14:paraId="762A2D90" w14:textId="1ABA1C01" w:rsidR="003B7D86" w:rsidRPr="00645EDC" w:rsidRDefault="003B7D86" w:rsidP="003B7D86">
      <w:pPr>
        <w:pStyle w:val="Style9"/>
        <w:widowControl/>
        <w:spacing w:line="240" w:lineRule="auto"/>
        <w:rPr>
          <w:rStyle w:val="FontStyle33"/>
          <w:sz w:val="22"/>
          <w:szCs w:val="22"/>
          <w:lang w:val="sk-SK" w:eastAsia="es-ES_tradnl"/>
        </w:rPr>
      </w:pPr>
    </w:p>
    <w:p w14:paraId="4B22E75F" w14:textId="77777777" w:rsidR="003B7D86" w:rsidRPr="00645EDC" w:rsidRDefault="003B7D86" w:rsidP="003B7D86">
      <w:pPr>
        <w:pStyle w:val="Style9"/>
        <w:widowControl/>
        <w:spacing w:line="240" w:lineRule="auto"/>
        <w:rPr>
          <w:rStyle w:val="FontStyle33"/>
          <w:sz w:val="22"/>
          <w:szCs w:val="22"/>
          <w:lang w:val="sk-SK" w:eastAsia="es-ES_tradnl"/>
        </w:rPr>
      </w:pPr>
    </w:p>
    <w:p w14:paraId="1512FD4F" w14:textId="77777777" w:rsidR="006A13A7" w:rsidRPr="00645EDC" w:rsidRDefault="006A13A7" w:rsidP="003B7D86">
      <w:pPr>
        <w:pStyle w:val="Style9"/>
        <w:widowControl/>
        <w:spacing w:line="240" w:lineRule="auto"/>
        <w:rPr>
          <w:rStyle w:val="FontStyle33"/>
          <w:sz w:val="22"/>
          <w:szCs w:val="22"/>
          <w:u w:val="single"/>
          <w:lang w:val="sk-SK" w:eastAsia="es-ES_tradnl"/>
        </w:rPr>
      </w:pPr>
      <w:r w:rsidRPr="00645EDC">
        <w:rPr>
          <w:rStyle w:val="FontStyle33"/>
          <w:sz w:val="22"/>
          <w:szCs w:val="22"/>
          <w:u w:val="single"/>
          <w:lang w:val="sk-SK" w:eastAsia="es-ES_tradnl"/>
        </w:rPr>
        <w:t>H2-blokátory a inhibítory protónovej pumpy</w:t>
      </w:r>
    </w:p>
    <w:p w14:paraId="148C725B" w14:textId="1D69BFD3" w:rsidR="003B7D86" w:rsidRPr="00645EDC" w:rsidRDefault="003B7D86" w:rsidP="003B7D86">
      <w:pPr>
        <w:pStyle w:val="Style9"/>
        <w:widowControl/>
        <w:spacing w:line="240" w:lineRule="auto"/>
        <w:rPr>
          <w:rStyle w:val="FontStyle33"/>
          <w:sz w:val="22"/>
          <w:szCs w:val="22"/>
          <w:lang w:val="sk-SK" w:eastAsia="de-DE"/>
        </w:rPr>
      </w:pPr>
      <w:r w:rsidRPr="00645EDC">
        <w:rPr>
          <w:rStyle w:val="FontStyle33"/>
          <w:sz w:val="22"/>
          <w:szCs w:val="22"/>
          <w:lang w:val="sk-SK" w:eastAsia="de-DE"/>
        </w:rPr>
        <w:t>Z viac ako 1500 pacientok zaradených do štúdie BM 16549 porovnávajúcej mesačný a denný dávkovací režim kyseliny ibandrónovej, 14 % a 18 % pacientok užívalo blokátory histamínových (</w:t>
      </w:r>
      <w:r w:rsidRPr="000E4718">
        <w:rPr>
          <w:szCs w:val="22"/>
          <w:lang w:val="sk-SK"/>
        </w:rPr>
        <w:t>H</w:t>
      </w:r>
      <w:r w:rsidRPr="000E4718">
        <w:rPr>
          <w:szCs w:val="22"/>
          <w:vertAlign w:val="subscript"/>
          <w:lang w:val="sk-SK"/>
        </w:rPr>
        <w:t>2</w:t>
      </w:r>
      <w:r w:rsidRPr="00645EDC">
        <w:rPr>
          <w:rStyle w:val="FontStyle33"/>
          <w:sz w:val="22"/>
          <w:szCs w:val="22"/>
          <w:lang w:val="sk-SK" w:eastAsia="de-DE"/>
        </w:rPr>
        <w:t xml:space="preserve">) receptorov alebo inhibítory protónovej pumpy po </w:t>
      </w:r>
      <w:r w:rsidR="006A13A7" w:rsidRPr="00645EDC">
        <w:rPr>
          <w:rStyle w:val="FontStyle33"/>
          <w:sz w:val="22"/>
          <w:szCs w:val="22"/>
          <w:lang w:val="sk-SK" w:eastAsia="de-DE"/>
        </w:rPr>
        <w:t xml:space="preserve">jednom </w:t>
      </w:r>
      <w:r w:rsidRPr="00645EDC">
        <w:rPr>
          <w:rStyle w:val="FontStyle33"/>
          <w:sz w:val="22"/>
          <w:szCs w:val="22"/>
          <w:lang w:val="sk-SK" w:eastAsia="de-DE"/>
        </w:rPr>
        <w:t xml:space="preserve">a dvoch </w:t>
      </w:r>
      <w:r w:rsidR="006A13A7" w:rsidRPr="00645EDC">
        <w:rPr>
          <w:rStyle w:val="FontStyle33"/>
          <w:sz w:val="22"/>
          <w:szCs w:val="22"/>
          <w:lang w:val="sk-SK" w:eastAsia="de-DE"/>
        </w:rPr>
        <w:t>rokoch v uvedenom poradí</w:t>
      </w:r>
      <w:r w:rsidRPr="00645EDC">
        <w:rPr>
          <w:rStyle w:val="FontStyle33"/>
          <w:sz w:val="22"/>
          <w:szCs w:val="22"/>
          <w:lang w:val="sk-SK" w:eastAsia="de-DE"/>
        </w:rPr>
        <w:t xml:space="preserve">. Spomedzi týchto pacientok bol výskyt nežiaducich </w:t>
      </w:r>
      <w:r w:rsidR="006A13A7" w:rsidRPr="00645EDC">
        <w:rPr>
          <w:rStyle w:val="FontStyle33"/>
          <w:sz w:val="22"/>
          <w:szCs w:val="22"/>
          <w:lang w:val="sk-SK" w:eastAsia="de-DE"/>
        </w:rPr>
        <w:t xml:space="preserve">udalostí </w:t>
      </w:r>
      <w:r w:rsidRPr="00645EDC">
        <w:rPr>
          <w:rStyle w:val="FontStyle33"/>
          <w:sz w:val="22"/>
          <w:szCs w:val="22"/>
          <w:lang w:val="sk-SK" w:eastAsia="de-DE"/>
        </w:rPr>
        <w:t xml:space="preserve">v hornej časti gastrointestinálneho traktu podobný u pacientok liečených kyselinou ibandrónovou </w:t>
      </w:r>
      <w:r w:rsidR="006A13A7" w:rsidRPr="00645EDC">
        <w:rPr>
          <w:rStyle w:val="FontStyle33"/>
          <w:sz w:val="22"/>
          <w:szCs w:val="22"/>
          <w:lang w:val="sk-SK" w:eastAsia="de-DE"/>
        </w:rPr>
        <w:t> 150 </w:t>
      </w:r>
      <w:r w:rsidRPr="00645EDC">
        <w:rPr>
          <w:rStyle w:val="FontStyle33"/>
          <w:sz w:val="22"/>
          <w:szCs w:val="22"/>
          <w:lang w:val="sk-SK" w:eastAsia="de-DE"/>
        </w:rPr>
        <w:t xml:space="preserve">mg </w:t>
      </w:r>
      <w:r w:rsidR="006A13A7" w:rsidRPr="00645EDC">
        <w:rPr>
          <w:rStyle w:val="FontStyle33"/>
          <w:sz w:val="22"/>
          <w:szCs w:val="22"/>
          <w:lang w:val="sk-SK" w:eastAsia="de-DE"/>
        </w:rPr>
        <w:t xml:space="preserve">raz </w:t>
      </w:r>
      <w:r w:rsidRPr="00645EDC">
        <w:rPr>
          <w:rStyle w:val="FontStyle33"/>
          <w:sz w:val="22"/>
          <w:szCs w:val="22"/>
          <w:lang w:val="sk-SK" w:eastAsia="de-DE"/>
        </w:rPr>
        <w:t>mesačne a</w:t>
      </w:r>
      <w:r w:rsidR="00F519E9" w:rsidRPr="00645EDC">
        <w:rPr>
          <w:rStyle w:val="FontStyle33"/>
          <w:sz w:val="22"/>
          <w:szCs w:val="22"/>
          <w:lang w:val="sk-SK" w:eastAsia="de-DE"/>
        </w:rPr>
        <w:t> Licobondratom 150 mg</w:t>
      </w:r>
      <w:r w:rsidRPr="00645EDC">
        <w:rPr>
          <w:rStyle w:val="FontStyle33"/>
          <w:sz w:val="22"/>
          <w:szCs w:val="22"/>
          <w:lang w:val="sk-SK" w:eastAsia="de-DE"/>
        </w:rPr>
        <w:t xml:space="preserve"> 2,</w:t>
      </w:r>
      <w:r w:rsidR="006A13A7" w:rsidRPr="00645EDC">
        <w:rPr>
          <w:rStyle w:val="FontStyle33"/>
          <w:sz w:val="22"/>
          <w:szCs w:val="22"/>
          <w:lang w:val="sk-SK" w:eastAsia="de-DE"/>
        </w:rPr>
        <w:t>5 </w:t>
      </w:r>
      <w:r w:rsidRPr="00645EDC">
        <w:rPr>
          <w:rStyle w:val="FontStyle33"/>
          <w:sz w:val="22"/>
          <w:szCs w:val="22"/>
          <w:lang w:val="sk-SK" w:eastAsia="de-DE"/>
        </w:rPr>
        <w:t>mg denne.</w:t>
      </w:r>
    </w:p>
    <w:p w14:paraId="6B0BB871" w14:textId="77777777" w:rsidR="003B7D86" w:rsidRPr="00645EDC" w:rsidRDefault="003B7D86" w:rsidP="003B7D86">
      <w:pPr>
        <w:pStyle w:val="Style9"/>
        <w:widowControl/>
        <w:spacing w:line="240" w:lineRule="auto"/>
        <w:rPr>
          <w:sz w:val="22"/>
          <w:szCs w:val="22"/>
          <w:lang w:val="sk-SK"/>
        </w:rPr>
      </w:pPr>
    </w:p>
    <w:p w14:paraId="3BAFA769" w14:textId="16C72B7A"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 xml:space="preserve">U zdravých mužov-dobrovoľníkov a žien po menopauze intravenózne podanie ranitidínu spôsobilo zvýšenie biologickej dostupnosti kyseliny ibandrónovej o približne 20 %, pravdepodobne následkom zníženej kyslosti žalúdka. Ale pretože je tento nárast v rámci normálnej variability biologickej dostupnosti kyseliny ibandrónovej, nie je potrebná úprava dávky, keď sa podáva </w:t>
      </w:r>
      <w:r w:rsidR="004C3DC1" w:rsidRPr="00645EDC">
        <w:rPr>
          <w:sz w:val="22"/>
          <w:szCs w:val="22"/>
          <w:lang w:val="sk-SK"/>
        </w:rPr>
        <w:t>Licobondrat</w:t>
      </w:r>
      <w:r w:rsidRPr="00645EDC">
        <w:rPr>
          <w:sz w:val="22"/>
          <w:szCs w:val="22"/>
          <w:lang w:val="sk-SK"/>
        </w:rPr>
        <w:t xml:space="preserve"> </w:t>
      </w:r>
      <w:r w:rsidR="006A13A7" w:rsidRPr="00645EDC">
        <w:rPr>
          <w:sz w:val="22"/>
          <w:szCs w:val="22"/>
          <w:lang w:val="sk-SK"/>
        </w:rPr>
        <w:t> 150 </w:t>
      </w:r>
      <w:r w:rsidRPr="00645EDC">
        <w:rPr>
          <w:sz w:val="22"/>
          <w:szCs w:val="22"/>
          <w:lang w:val="sk-SK"/>
        </w:rPr>
        <w:t xml:space="preserve">mg </w:t>
      </w:r>
      <w:r w:rsidRPr="00645EDC">
        <w:rPr>
          <w:rStyle w:val="FontStyle33"/>
          <w:sz w:val="22"/>
          <w:szCs w:val="22"/>
          <w:lang w:val="sk-SK" w:eastAsia="es-ES_tradnl"/>
        </w:rPr>
        <w:t xml:space="preserve">s </w:t>
      </w:r>
      <w:r w:rsidRPr="000E4718">
        <w:rPr>
          <w:szCs w:val="22"/>
          <w:lang w:val="sk-SK"/>
        </w:rPr>
        <w:t>H</w:t>
      </w:r>
      <w:r w:rsidRPr="000E4718">
        <w:rPr>
          <w:szCs w:val="22"/>
          <w:vertAlign w:val="subscript"/>
          <w:lang w:val="sk-SK"/>
        </w:rPr>
        <w:t>2</w:t>
      </w:r>
      <w:r w:rsidRPr="00645EDC">
        <w:rPr>
          <w:rStyle w:val="FontStyle33"/>
          <w:sz w:val="22"/>
          <w:szCs w:val="22"/>
          <w:lang w:val="sk-SK" w:eastAsia="es-ES_tradnl"/>
        </w:rPr>
        <w:t xml:space="preserve">-antagonistami alebo inými </w:t>
      </w:r>
      <w:r w:rsidR="006A13A7" w:rsidRPr="00645EDC">
        <w:rPr>
          <w:rStyle w:val="FontStyle33"/>
          <w:sz w:val="22"/>
          <w:szCs w:val="22"/>
          <w:lang w:val="sk-SK" w:eastAsia="es-ES_tradnl"/>
        </w:rPr>
        <w:t xml:space="preserve">účinnými </w:t>
      </w:r>
      <w:r w:rsidRPr="00645EDC">
        <w:rPr>
          <w:rStyle w:val="FontStyle33"/>
          <w:sz w:val="22"/>
          <w:szCs w:val="22"/>
          <w:lang w:val="sk-SK" w:eastAsia="es-ES_tradnl"/>
        </w:rPr>
        <w:t>látkami, ktoré zvyšujú pH žalúdka.</w:t>
      </w:r>
    </w:p>
    <w:p w14:paraId="0015C3AF" w14:textId="77777777" w:rsidR="003B7D86" w:rsidRPr="00645EDC" w:rsidRDefault="003B7D86" w:rsidP="003B7D86">
      <w:pPr>
        <w:pStyle w:val="Style9"/>
        <w:widowControl/>
        <w:spacing w:line="240" w:lineRule="auto"/>
        <w:rPr>
          <w:rStyle w:val="FontStyle33"/>
          <w:sz w:val="22"/>
          <w:szCs w:val="22"/>
          <w:lang w:val="sk-SK" w:eastAsia="es-ES_tradnl"/>
        </w:rPr>
      </w:pPr>
    </w:p>
    <w:p w14:paraId="5E00D1C3" w14:textId="77777777" w:rsidR="003B7D86" w:rsidRPr="00645EDC" w:rsidRDefault="003B7D86" w:rsidP="003B7D86">
      <w:pPr>
        <w:pStyle w:val="Bezriadkovania1"/>
        <w:numPr>
          <w:ilvl w:val="1"/>
          <w:numId w:val="1"/>
        </w:numPr>
        <w:tabs>
          <w:tab w:val="left" w:pos="540"/>
        </w:tabs>
        <w:ind w:left="0" w:firstLine="0"/>
        <w:rPr>
          <w:rFonts w:ascii="Times New Roman" w:hAnsi="Times New Roman"/>
          <w:b/>
          <w:lang w:val="sk-SK"/>
        </w:rPr>
      </w:pPr>
      <w:r w:rsidRPr="000E4718">
        <w:rPr>
          <w:rFonts w:ascii="Times New Roman" w:hAnsi="Times New Roman"/>
          <w:b/>
          <w:lang w:val="sk-SK"/>
        </w:rPr>
        <w:t>Fertilita, gravidita a laktácia</w:t>
      </w:r>
    </w:p>
    <w:p w14:paraId="607C00BA" w14:textId="77777777" w:rsidR="003B7D86" w:rsidRPr="00645EDC" w:rsidRDefault="003B7D86" w:rsidP="003B7D86">
      <w:pPr>
        <w:pStyle w:val="Bezriadkovania1"/>
        <w:tabs>
          <w:tab w:val="left" w:pos="540"/>
        </w:tabs>
        <w:rPr>
          <w:rFonts w:ascii="Times New Roman" w:hAnsi="Times New Roman"/>
          <w:b/>
          <w:lang w:val="sk-SK"/>
        </w:rPr>
      </w:pPr>
    </w:p>
    <w:p w14:paraId="1034D3B6" w14:textId="77777777" w:rsidR="003B7D86" w:rsidRPr="00645EDC" w:rsidRDefault="003B7D86" w:rsidP="003B7D86">
      <w:pPr>
        <w:pStyle w:val="Style9"/>
        <w:widowControl/>
        <w:spacing w:line="240" w:lineRule="auto"/>
        <w:rPr>
          <w:rStyle w:val="FontStyle33"/>
          <w:sz w:val="22"/>
          <w:szCs w:val="22"/>
          <w:u w:val="single"/>
          <w:lang w:val="sk-SK" w:eastAsia="de-DE"/>
        </w:rPr>
      </w:pPr>
      <w:r w:rsidRPr="00645EDC">
        <w:rPr>
          <w:rStyle w:val="FontStyle33"/>
          <w:sz w:val="22"/>
          <w:szCs w:val="22"/>
          <w:u w:val="single"/>
          <w:lang w:val="sk-SK" w:eastAsia="de-DE"/>
        </w:rPr>
        <w:t>Gravidita</w:t>
      </w:r>
    </w:p>
    <w:p w14:paraId="0429CBC3" w14:textId="78C7D65F" w:rsidR="00F519E9" w:rsidRPr="00645EDC" w:rsidRDefault="00F15CA4" w:rsidP="003B7D86">
      <w:pPr>
        <w:pStyle w:val="Style9"/>
        <w:widowControl/>
        <w:spacing w:line="240" w:lineRule="auto"/>
        <w:rPr>
          <w:rStyle w:val="FontStyle33"/>
          <w:sz w:val="22"/>
          <w:szCs w:val="22"/>
          <w:lang w:val="sk-SK" w:eastAsia="de-DE"/>
        </w:rPr>
      </w:pPr>
      <w:r w:rsidRPr="00645EDC">
        <w:rPr>
          <w:rStyle w:val="FontStyle33"/>
          <w:sz w:val="22"/>
          <w:szCs w:val="22"/>
          <w:lang w:val="sk-SK" w:eastAsia="de-DE"/>
        </w:rPr>
        <w:t>Licobondrat 150 mg je určený len pre použitie u žien po menopauze a nesmie sa používať u žien vo fertilnom veku.</w:t>
      </w:r>
    </w:p>
    <w:p w14:paraId="55AAB56C" w14:textId="77777777" w:rsidR="003B7D86" w:rsidRPr="00645EDC" w:rsidRDefault="003B7D86" w:rsidP="003B7D86">
      <w:pPr>
        <w:pStyle w:val="Style9"/>
        <w:widowControl/>
        <w:spacing w:line="240" w:lineRule="auto"/>
        <w:rPr>
          <w:rStyle w:val="FontStyle33"/>
          <w:sz w:val="22"/>
          <w:szCs w:val="22"/>
          <w:lang w:val="sk-SK" w:eastAsia="de-DE"/>
        </w:rPr>
      </w:pPr>
      <w:r w:rsidRPr="00645EDC">
        <w:rPr>
          <w:rStyle w:val="FontStyle33"/>
          <w:sz w:val="22"/>
          <w:szCs w:val="22"/>
          <w:lang w:val="sk-SK" w:eastAsia="de-DE"/>
        </w:rPr>
        <w:t>Nie sú dostupné žiadne adekvátne údaje o používaní kyseliny ibandrónovej u gravidných žien. Štúdie vykonané na potkanoch dokázali určitú reprodukčnú toxicitu (pozri časť 5.3). Potenciálne riziko pre ľudí nie je známe.</w:t>
      </w:r>
    </w:p>
    <w:p w14:paraId="10FED4F1" w14:textId="77777777" w:rsidR="003B7D86" w:rsidRPr="00645EDC" w:rsidRDefault="004C3DC1" w:rsidP="003B7D86">
      <w:pPr>
        <w:pStyle w:val="Style9"/>
        <w:widowControl/>
        <w:spacing w:line="240" w:lineRule="auto"/>
        <w:rPr>
          <w:rStyle w:val="FontStyle33"/>
          <w:sz w:val="22"/>
          <w:szCs w:val="22"/>
          <w:lang w:val="sk-SK" w:eastAsia="es-ES_tradnl"/>
        </w:rPr>
      </w:pPr>
      <w:r w:rsidRPr="00645EDC">
        <w:rPr>
          <w:sz w:val="22"/>
          <w:szCs w:val="22"/>
          <w:lang w:val="sk-SK"/>
        </w:rPr>
        <w:t>Licobondrat</w:t>
      </w:r>
      <w:r w:rsidR="003B7D86" w:rsidRPr="00645EDC">
        <w:rPr>
          <w:sz w:val="22"/>
          <w:szCs w:val="22"/>
          <w:lang w:val="sk-SK"/>
        </w:rPr>
        <w:t xml:space="preserve"> 150 mg </w:t>
      </w:r>
      <w:r w:rsidR="003B7D86" w:rsidRPr="00645EDC">
        <w:rPr>
          <w:rStyle w:val="FontStyle33"/>
          <w:sz w:val="22"/>
          <w:szCs w:val="22"/>
          <w:lang w:val="sk-SK" w:eastAsia="es-ES_tradnl"/>
        </w:rPr>
        <w:t>sa nemá užívať počas gravidity.</w:t>
      </w:r>
    </w:p>
    <w:p w14:paraId="1B3BD9D3" w14:textId="77777777" w:rsidR="003B7D86" w:rsidRPr="00645EDC" w:rsidRDefault="003B7D86" w:rsidP="003B7D86">
      <w:pPr>
        <w:pStyle w:val="Style9"/>
        <w:widowControl/>
        <w:spacing w:line="240" w:lineRule="auto"/>
        <w:rPr>
          <w:rStyle w:val="FontStyle33"/>
          <w:sz w:val="22"/>
          <w:szCs w:val="22"/>
          <w:lang w:val="sk-SK" w:eastAsia="es-ES_tradnl"/>
        </w:rPr>
      </w:pPr>
    </w:p>
    <w:p w14:paraId="622036F0" w14:textId="18CEDC00" w:rsidR="003B7D86" w:rsidRPr="00645EDC" w:rsidRDefault="000346E4" w:rsidP="003B7D86">
      <w:pPr>
        <w:pStyle w:val="Style9"/>
        <w:widowControl/>
        <w:spacing w:line="240" w:lineRule="auto"/>
        <w:rPr>
          <w:rStyle w:val="FontStyle33"/>
          <w:sz w:val="22"/>
          <w:szCs w:val="22"/>
          <w:u w:val="single"/>
          <w:lang w:val="sk-SK" w:eastAsia="de-DE"/>
        </w:rPr>
      </w:pPr>
      <w:r w:rsidRPr="00645EDC">
        <w:rPr>
          <w:rStyle w:val="FontStyle33"/>
          <w:sz w:val="22"/>
          <w:szCs w:val="22"/>
          <w:u w:val="single"/>
          <w:lang w:val="sk-SK" w:eastAsia="es-ES_tradnl"/>
        </w:rPr>
        <w:t>Dojčenie</w:t>
      </w:r>
    </w:p>
    <w:p w14:paraId="08E87360" w14:textId="2810BDE6"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 xml:space="preserve">Nie je známe, či sa kyselina ibandrónová vylučuje do </w:t>
      </w:r>
      <w:r w:rsidR="00150920" w:rsidRPr="00645EDC">
        <w:rPr>
          <w:rStyle w:val="FontStyle33"/>
          <w:sz w:val="22"/>
          <w:szCs w:val="22"/>
          <w:lang w:val="sk-SK" w:eastAsia="es-ES_tradnl"/>
        </w:rPr>
        <w:t xml:space="preserve">ľudského  </w:t>
      </w:r>
      <w:r w:rsidRPr="00645EDC">
        <w:rPr>
          <w:rStyle w:val="FontStyle33"/>
          <w:sz w:val="22"/>
          <w:szCs w:val="22"/>
          <w:lang w:val="sk-SK" w:eastAsia="es-ES_tradnl"/>
        </w:rPr>
        <w:t xml:space="preserve">mlieka. Štúdie vykonané u dojčiacich potkanov dokázali prítomnosť nízkych hladín kyseliny ibandrónovej v mlieku po intravenóznom podaní. </w:t>
      </w:r>
    </w:p>
    <w:p w14:paraId="589EE9B6" w14:textId="53817790" w:rsidR="003B7D86" w:rsidRPr="00645EDC" w:rsidRDefault="004C3DC1" w:rsidP="003B7D86">
      <w:pPr>
        <w:pStyle w:val="Style9"/>
        <w:widowControl/>
        <w:spacing w:line="240" w:lineRule="auto"/>
        <w:rPr>
          <w:rStyle w:val="FontStyle33"/>
          <w:sz w:val="22"/>
          <w:szCs w:val="22"/>
          <w:lang w:val="sk-SK" w:eastAsia="es-ES_tradnl"/>
        </w:rPr>
      </w:pPr>
      <w:r w:rsidRPr="00645EDC">
        <w:rPr>
          <w:sz w:val="22"/>
          <w:szCs w:val="22"/>
          <w:lang w:val="sk-SK"/>
        </w:rPr>
        <w:t>Licobondrat</w:t>
      </w:r>
      <w:r w:rsidR="003B7D86" w:rsidRPr="00645EDC">
        <w:rPr>
          <w:rStyle w:val="FontStyle33"/>
          <w:sz w:val="22"/>
          <w:szCs w:val="22"/>
          <w:lang w:val="sk-SK" w:eastAsia="es-ES_tradnl"/>
        </w:rPr>
        <w:t xml:space="preserve"> </w:t>
      </w:r>
      <w:r w:rsidR="006A13A7" w:rsidRPr="00645EDC">
        <w:rPr>
          <w:rStyle w:val="FontStyle33"/>
          <w:sz w:val="22"/>
          <w:szCs w:val="22"/>
          <w:lang w:val="sk-SK" w:eastAsia="es-ES_tradnl"/>
        </w:rPr>
        <w:t> 150 </w:t>
      </w:r>
      <w:r w:rsidR="003B7D86" w:rsidRPr="00645EDC">
        <w:rPr>
          <w:rStyle w:val="FontStyle33"/>
          <w:sz w:val="22"/>
          <w:szCs w:val="22"/>
          <w:lang w:val="sk-SK" w:eastAsia="es-ES_tradnl"/>
        </w:rPr>
        <w:t xml:space="preserve">mg sa nemá užívať počas </w:t>
      </w:r>
      <w:r w:rsidR="006A13A7" w:rsidRPr="00645EDC">
        <w:rPr>
          <w:rStyle w:val="FontStyle33"/>
          <w:sz w:val="22"/>
          <w:szCs w:val="22"/>
          <w:lang w:val="sk-SK" w:eastAsia="es-ES_tradnl"/>
        </w:rPr>
        <w:t>dojčenia</w:t>
      </w:r>
      <w:r w:rsidR="003B7D86" w:rsidRPr="00645EDC">
        <w:rPr>
          <w:rStyle w:val="FontStyle33"/>
          <w:sz w:val="22"/>
          <w:szCs w:val="22"/>
          <w:lang w:val="sk-SK" w:eastAsia="es-ES_tradnl"/>
        </w:rPr>
        <w:t>.</w:t>
      </w:r>
    </w:p>
    <w:p w14:paraId="6378E207" w14:textId="77777777" w:rsidR="003B7D86" w:rsidRPr="00645EDC" w:rsidRDefault="003B7D86" w:rsidP="003B7D86">
      <w:pPr>
        <w:pStyle w:val="Bezriadkovania1"/>
        <w:tabs>
          <w:tab w:val="left" w:pos="540"/>
        </w:tabs>
        <w:rPr>
          <w:rFonts w:ascii="Times New Roman" w:hAnsi="Times New Roman"/>
          <w:lang w:val="sk-SK"/>
        </w:rPr>
      </w:pPr>
    </w:p>
    <w:p w14:paraId="2F840A80" w14:textId="77777777" w:rsidR="000346E4" w:rsidRPr="002E58F6" w:rsidRDefault="000346E4" w:rsidP="003B7D86">
      <w:pPr>
        <w:pStyle w:val="Bezriadkovania1"/>
        <w:tabs>
          <w:tab w:val="left" w:pos="540"/>
        </w:tabs>
        <w:rPr>
          <w:rFonts w:ascii="Times New Roman" w:hAnsi="Times New Roman"/>
          <w:u w:val="single"/>
          <w:lang w:val="sk-SK"/>
        </w:rPr>
      </w:pPr>
      <w:r w:rsidRPr="002E58F6">
        <w:rPr>
          <w:rFonts w:ascii="Times New Roman" w:hAnsi="Times New Roman"/>
          <w:u w:val="single"/>
          <w:lang w:val="sk-SK"/>
        </w:rPr>
        <w:t>Fertilita</w:t>
      </w:r>
    </w:p>
    <w:p w14:paraId="77938FD0" w14:textId="77777777" w:rsidR="000346E4" w:rsidRPr="00645EDC" w:rsidRDefault="006A13A7" w:rsidP="003B7D86">
      <w:pPr>
        <w:pStyle w:val="Bezriadkovania1"/>
        <w:tabs>
          <w:tab w:val="left" w:pos="540"/>
        </w:tabs>
        <w:rPr>
          <w:rFonts w:ascii="Times New Roman" w:hAnsi="Times New Roman"/>
          <w:lang w:val="sk-SK"/>
        </w:rPr>
      </w:pPr>
      <w:r w:rsidRPr="00645EDC">
        <w:rPr>
          <w:rFonts w:ascii="Times New Roman" w:hAnsi="Times New Roman"/>
          <w:lang w:val="sk-SK"/>
        </w:rPr>
        <w:t xml:space="preserve">Nie sú údaje o účinkoch kyseliny ibandrónovej </w:t>
      </w:r>
      <w:r w:rsidR="00150920" w:rsidRPr="00645EDC">
        <w:rPr>
          <w:rFonts w:ascii="Times New Roman" w:hAnsi="Times New Roman"/>
          <w:lang w:val="sk-SK"/>
        </w:rPr>
        <w:t>u ľudí</w:t>
      </w:r>
      <w:r w:rsidRPr="00645EDC">
        <w:rPr>
          <w:rFonts w:ascii="Times New Roman" w:hAnsi="Times New Roman"/>
          <w:lang w:val="sk-SK"/>
        </w:rPr>
        <w:t>.</w:t>
      </w:r>
      <w:r w:rsidR="00295028" w:rsidRPr="00645EDC">
        <w:rPr>
          <w:rFonts w:ascii="Times New Roman" w:hAnsi="Times New Roman"/>
          <w:lang w:val="sk-SK"/>
        </w:rPr>
        <w:t xml:space="preserve"> </w:t>
      </w:r>
      <w:r w:rsidR="00150920" w:rsidRPr="00645EDC">
        <w:rPr>
          <w:rFonts w:ascii="Times New Roman" w:hAnsi="Times New Roman"/>
          <w:lang w:val="sk-SK"/>
        </w:rPr>
        <w:t>V reprodukčných štúdiách u potkanov perorálne podávaná kyselina ibandrónová znížila fertilitu. V štúdiách u potkanov pri intravenóznom podaní, kyselina ibandrónová znížila fertilitu</w:t>
      </w:r>
      <w:r w:rsidR="000013D9" w:rsidRPr="00645EDC">
        <w:rPr>
          <w:rFonts w:ascii="Times New Roman" w:hAnsi="Times New Roman"/>
          <w:lang w:val="sk-SK"/>
        </w:rPr>
        <w:t xml:space="preserve"> pri vysokých denných dávkach (pozri časť 5.3).</w:t>
      </w:r>
    </w:p>
    <w:p w14:paraId="73010B0E" w14:textId="77777777" w:rsidR="006A13A7" w:rsidRPr="00645EDC" w:rsidRDefault="006A13A7" w:rsidP="003B7D86">
      <w:pPr>
        <w:pStyle w:val="Bezriadkovania1"/>
        <w:tabs>
          <w:tab w:val="left" w:pos="540"/>
        </w:tabs>
        <w:rPr>
          <w:rFonts w:ascii="Times New Roman" w:hAnsi="Times New Roman"/>
          <w:lang w:val="sk-SK"/>
        </w:rPr>
      </w:pPr>
    </w:p>
    <w:p w14:paraId="0A1218E4" w14:textId="77777777" w:rsidR="003B7D86" w:rsidRPr="00645EDC" w:rsidRDefault="003B7D86" w:rsidP="003B7D86">
      <w:pPr>
        <w:pStyle w:val="Bezriadkovania1"/>
        <w:numPr>
          <w:ilvl w:val="1"/>
          <w:numId w:val="1"/>
        </w:numPr>
        <w:tabs>
          <w:tab w:val="left" w:pos="540"/>
        </w:tabs>
        <w:ind w:left="0" w:firstLine="0"/>
        <w:rPr>
          <w:rFonts w:ascii="Times New Roman" w:hAnsi="Times New Roman"/>
          <w:b/>
          <w:lang w:val="sk-SK"/>
        </w:rPr>
      </w:pPr>
      <w:r w:rsidRPr="000E4718">
        <w:rPr>
          <w:rFonts w:ascii="Times New Roman" w:hAnsi="Times New Roman"/>
          <w:b/>
          <w:lang w:val="sk-SK"/>
        </w:rPr>
        <w:t>Ovplyvnenie schopnosti viesť vozidlá a obsluhovať stroje</w:t>
      </w:r>
    </w:p>
    <w:p w14:paraId="73519F98" w14:textId="77777777" w:rsidR="003B7D86" w:rsidRPr="00645EDC" w:rsidRDefault="003B7D86" w:rsidP="003B7D86">
      <w:pPr>
        <w:pStyle w:val="Bezriadkovania1"/>
        <w:tabs>
          <w:tab w:val="left" w:pos="540"/>
        </w:tabs>
        <w:rPr>
          <w:rFonts w:ascii="Times New Roman" w:hAnsi="Times New Roman"/>
          <w:b/>
          <w:lang w:val="sk-SK"/>
        </w:rPr>
      </w:pPr>
    </w:p>
    <w:p w14:paraId="312870B6" w14:textId="77777777" w:rsidR="003B7D86" w:rsidRPr="00645EDC" w:rsidRDefault="000013D9" w:rsidP="003B7D86">
      <w:pPr>
        <w:pStyle w:val="Bezriadkovania1"/>
        <w:tabs>
          <w:tab w:val="left" w:pos="540"/>
        </w:tabs>
        <w:rPr>
          <w:rFonts w:ascii="Times New Roman" w:hAnsi="Times New Roman"/>
          <w:lang w:val="sk-SK"/>
        </w:rPr>
      </w:pPr>
      <w:r w:rsidRPr="00645EDC">
        <w:rPr>
          <w:rFonts w:ascii="Times New Roman" w:hAnsi="Times New Roman"/>
          <w:lang w:val="sk-SK"/>
        </w:rPr>
        <w:t>Na základe farmakodynamického a farmakokinetického profilu a hlasených nežiaducich reakcií sa neočakáva žiadny alebo sa očakáva zanedbateľný vplyv Licobondratu 150 mg na schopnosť viesť vozidlá a obsluhovať stroje.</w:t>
      </w:r>
    </w:p>
    <w:p w14:paraId="7778B401" w14:textId="77777777" w:rsidR="000013D9" w:rsidRPr="00645EDC" w:rsidRDefault="000013D9" w:rsidP="003B7D86">
      <w:pPr>
        <w:pStyle w:val="Bezriadkovania1"/>
        <w:tabs>
          <w:tab w:val="left" w:pos="540"/>
        </w:tabs>
        <w:rPr>
          <w:rFonts w:ascii="Times New Roman" w:hAnsi="Times New Roman"/>
          <w:lang w:val="sk-SK"/>
        </w:rPr>
      </w:pPr>
    </w:p>
    <w:p w14:paraId="02412FE2" w14:textId="3FE2CD91" w:rsidR="00E735FC" w:rsidRDefault="003B7D86" w:rsidP="000E4718">
      <w:pPr>
        <w:pStyle w:val="Bezriadkovania1"/>
        <w:numPr>
          <w:ilvl w:val="1"/>
          <w:numId w:val="1"/>
        </w:numPr>
        <w:tabs>
          <w:tab w:val="left" w:pos="540"/>
        </w:tabs>
        <w:ind w:left="0" w:firstLine="0"/>
        <w:rPr>
          <w:rFonts w:ascii="Times New Roman" w:hAnsi="Times New Roman"/>
          <w:b/>
          <w:lang w:val="sk-SK"/>
        </w:rPr>
      </w:pPr>
      <w:r w:rsidRPr="00645EDC">
        <w:rPr>
          <w:rFonts w:ascii="Times New Roman" w:hAnsi="Times New Roman"/>
          <w:b/>
          <w:lang w:val="sk-SK"/>
        </w:rPr>
        <w:t>Nežiaduce účinky</w:t>
      </w:r>
    </w:p>
    <w:p w14:paraId="7AF514EE" w14:textId="77777777" w:rsidR="00E735FC" w:rsidRPr="00E735FC" w:rsidRDefault="00E735FC" w:rsidP="000E4718">
      <w:pPr>
        <w:pStyle w:val="Bezriadkovania1"/>
        <w:tabs>
          <w:tab w:val="left" w:pos="540"/>
        </w:tabs>
        <w:rPr>
          <w:rFonts w:ascii="Times New Roman" w:hAnsi="Times New Roman"/>
          <w:b/>
          <w:lang w:val="sk-SK"/>
        </w:rPr>
      </w:pPr>
    </w:p>
    <w:p w14:paraId="196A6C19" w14:textId="7CF0BC05" w:rsidR="003B7D86" w:rsidRPr="00645EDC" w:rsidRDefault="00F15CA4" w:rsidP="003B7D86">
      <w:pPr>
        <w:pStyle w:val="Bezriadkovania1"/>
        <w:tabs>
          <w:tab w:val="left" w:pos="540"/>
        </w:tabs>
        <w:rPr>
          <w:rFonts w:ascii="Times New Roman" w:hAnsi="Times New Roman"/>
          <w:u w:val="single"/>
          <w:lang w:val="sk-SK"/>
        </w:rPr>
      </w:pPr>
      <w:r w:rsidRPr="00645EDC">
        <w:rPr>
          <w:rFonts w:ascii="Times New Roman" w:hAnsi="Times New Roman"/>
          <w:u w:val="single"/>
          <w:lang w:val="sk-SK"/>
        </w:rPr>
        <w:t>Sú</w:t>
      </w:r>
      <w:r w:rsidR="000013D9" w:rsidRPr="00645EDC">
        <w:rPr>
          <w:rFonts w:ascii="Times New Roman" w:hAnsi="Times New Roman"/>
          <w:u w:val="single"/>
          <w:lang w:val="sk-SK"/>
        </w:rPr>
        <w:t>hrn bezpečnostného profilu</w:t>
      </w:r>
    </w:p>
    <w:p w14:paraId="0CEAC3BA" w14:textId="3A69F8C3" w:rsidR="00483CB5" w:rsidRPr="00645EDC" w:rsidRDefault="00483CB5" w:rsidP="00483CB5">
      <w:pPr>
        <w:pStyle w:val="Bezriadkovania1"/>
        <w:tabs>
          <w:tab w:val="left" w:pos="540"/>
        </w:tabs>
        <w:rPr>
          <w:rFonts w:ascii="Times New Roman" w:hAnsi="Times New Roman"/>
          <w:lang w:val="sk-SK"/>
        </w:rPr>
      </w:pPr>
      <w:r w:rsidRPr="00645EDC">
        <w:rPr>
          <w:rFonts w:ascii="Times New Roman" w:hAnsi="Times New Roman"/>
          <w:lang w:val="sk-SK"/>
        </w:rPr>
        <w:t>Najzávažnejšie hlásené nežiaduce reakcie sú anafylaktická reakcia/šok, atypické zlomeniny stehennej kosti, osteonekróza čeľuste, gastrointestinálne podráždenie, očný zápal (pozri odsek „</w:t>
      </w:r>
      <w:r w:rsidR="00180132">
        <w:rPr>
          <w:rFonts w:ascii="Times New Roman" w:hAnsi="Times New Roman"/>
          <w:lang w:val="sk-SK"/>
        </w:rPr>
        <w:t>O</w:t>
      </w:r>
      <w:r w:rsidRPr="00645EDC">
        <w:rPr>
          <w:rFonts w:ascii="Times New Roman" w:hAnsi="Times New Roman"/>
          <w:lang w:val="sk-SK"/>
        </w:rPr>
        <w:t>pis vybraných nežiaducich účinkov“ a časť 4.4).</w:t>
      </w:r>
    </w:p>
    <w:p w14:paraId="72A2F79F" w14:textId="77777777" w:rsidR="00483CB5" w:rsidRPr="00645EDC" w:rsidRDefault="00483CB5" w:rsidP="00483CB5">
      <w:pPr>
        <w:pStyle w:val="Bezriadkovania1"/>
        <w:tabs>
          <w:tab w:val="left" w:pos="540"/>
        </w:tabs>
        <w:rPr>
          <w:rFonts w:ascii="Times New Roman" w:hAnsi="Times New Roman"/>
          <w:lang w:val="sk-SK"/>
        </w:rPr>
      </w:pPr>
      <w:r w:rsidRPr="00645EDC">
        <w:rPr>
          <w:rFonts w:ascii="Times New Roman" w:hAnsi="Times New Roman"/>
          <w:lang w:val="sk-SK"/>
        </w:rPr>
        <w:t>Najčastejšie hlásené nežiaduce reakcie sú artralgia a príznaky podobné chrípke.</w:t>
      </w:r>
    </w:p>
    <w:p w14:paraId="0A3C0B2B" w14:textId="77777777" w:rsidR="00483CB5" w:rsidRPr="00645EDC" w:rsidRDefault="00483CB5" w:rsidP="00483CB5">
      <w:pPr>
        <w:pStyle w:val="Bezriadkovania1"/>
        <w:tabs>
          <w:tab w:val="left" w:pos="540"/>
        </w:tabs>
        <w:rPr>
          <w:rFonts w:ascii="Times New Roman" w:hAnsi="Times New Roman"/>
          <w:lang w:val="sk-SK"/>
        </w:rPr>
      </w:pPr>
      <w:r w:rsidRPr="00645EDC">
        <w:rPr>
          <w:rFonts w:ascii="Times New Roman" w:hAnsi="Times New Roman"/>
          <w:lang w:val="sk-SK"/>
        </w:rPr>
        <w:lastRenderedPageBreak/>
        <w:t>Tieto príznaky sú zvyčajne v spojitosti s podaním prvej dávky, majú spravidla krátke trvanie miernej až strednej intenzity a obvykle vymiznú počas pokračujúcej liečby bez ďalších opatrení (pozri odsek „Ochorenie podobné chrípke“).</w:t>
      </w:r>
    </w:p>
    <w:p w14:paraId="7CB125D7" w14:textId="77777777" w:rsidR="000013D9" w:rsidRPr="00645EDC" w:rsidRDefault="000013D9" w:rsidP="003B7D86">
      <w:pPr>
        <w:pStyle w:val="Bezriadkovania1"/>
        <w:tabs>
          <w:tab w:val="left" w:pos="540"/>
        </w:tabs>
        <w:rPr>
          <w:rFonts w:ascii="Times New Roman" w:hAnsi="Times New Roman"/>
          <w:b/>
          <w:lang w:val="sk-SK"/>
        </w:rPr>
      </w:pPr>
    </w:p>
    <w:p w14:paraId="3305A4D0" w14:textId="77777777" w:rsidR="000013D9" w:rsidRPr="00645EDC" w:rsidRDefault="00450FA3" w:rsidP="003B7D86">
      <w:pPr>
        <w:pStyle w:val="Bezriadkovania1"/>
        <w:tabs>
          <w:tab w:val="left" w:pos="540"/>
        </w:tabs>
        <w:rPr>
          <w:rFonts w:ascii="Times New Roman" w:hAnsi="Times New Roman"/>
          <w:u w:val="single"/>
          <w:lang w:val="sk-SK"/>
        </w:rPr>
      </w:pPr>
      <w:r w:rsidRPr="00645EDC">
        <w:rPr>
          <w:rFonts w:ascii="Times New Roman" w:hAnsi="Times New Roman"/>
          <w:u w:val="single"/>
          <w:lang w:val="sk-SK"/>
        </w:rPr>
        <w:t>Tabuľkový zoznam nežiaducich reakcií</w:t>
      </w:r>
    </w:p>
    <w:p w14:paraId="3E11E700" w14:textId="49B7ED68" w:rsidR="00450FA3" w:rsidRPr="00645EDC" w:rsidRDefault="00450FA3" w:rsidP="00005320">
      <w:pPr>
        <w:pStyle w:val="Bezriadkovania1"/>
        <w:tabs>
          <w:tab w:val="left" w:pos="540"/>
        </w:tabs>
        <w:rPr>
          <w:rStyle w:val="FontStyle33"/>
          <w:sz w:val="22"/>
          <w:szCs w:val="22"/>
          <w:lang w:val="sk-SK" w:eastAsia="es-ES_tradnl"/>
        </w:rPr>
      </w:pPr>
      <w:r w:rsidRPr="000E4718">
        <w:rPr>
          <w:rFonts w:ascii="Times New Roman" w:hAnsi="Times New Roman"/>
          <w:lang w:val="sk-SK"/>
        </w:rPr>
        <w:t xml:space="preserve">V tabuľke 1 je uvedený prehľad nežiaducich reakcií. </w:t>
      </w:r>
      <w:r w:rsidR="003B7D86" w:rsidRPr="00645EDC">
        <w:rPr>
          <w:rStyle w:val="FontStyle33"/>
          <w:sz w:val="22"/>
          <w:szCs w:val="22"/>
          <w:lang w:val="sk-SK" w:eastAsia="es-ES_tradnl"/>
        </w:rPr>
        <w:t>Bezpečnosť perorálnej liečby kyselinou ibandrónovou 2,</w:t>
      </w:r>
      <w:r w:rsidRPr="00645EDC">
        <w:rPr>
          <w:rStyle w:val="FontStyle33"/>
          <w:sz w:val="22"/>
          <w:szCs w:val="22"/>
          <w:lang w:val="sk-SK" w:eastAsia="es-ES_tradnl"/>
        </w:rPr>
        <w:t>5 </w:t>
      </w:r>
      <w:r w:rsidR="003B7D86" w:rsidRPr="00645EDC">
        <w:rPr>
          <w:rStyle w:val="FontStyle33"/>
          <w:sz w:val="22"/>
          <w:szCs w:val="22"/>
          <w:lang w:val="sk-SK" w:eastAsia="es-ES_tradnl"/>
        </w:rPr>
        <w:t>mg denne bola hodnotená u</w:t>
      </w:r>
      <w:r w:rsidRPr="00645EDC">
        <w:rPr>
          <w:rStyle w:val="FontStyle33"/>
          <w:sz w:val="22"/>
          <w:szCs w:val="22"/>
          <w:lang w:val="sk-SK" w:eastAsia="de-DE"/>
        </w:rPr>
        <w:t xml:space="preserve"> 1 </w:t>
      </w:r>
      <w:r w:rsidR="003B7D86" w:rsidRPr="00645EDC">
        <w:rPr>
          <w:rStyle w:val="FontStyle33"/>
          <w:sz w:val="22"/>
          <w:szCs w:val="22"/>
          <w:lang w:val="sk-SK" w:eastAsia="de-DE"/>
        </w:rPr>
        <w:t xml:space="preserve">251 pacientok v 4 klinických štúdiách s použitím placeba ako kontroly, z ktorých veľká väčšina </w:t>
      </w:r>
      <w:r w:rsidRPr="00645EDC">
        <w:rPr>
          <w:rStyle w:val="FontStyle33"/>
          <w:sz w:val="22"/>
          <w:szCs w:val="22"/>
          <w:lang w:val="sk-SK" w:eastAsia="de-DE"/>
        </w:rPr>
        <w:t xml:space="preserve">pacientok </w:t>
      </w:r>
      <w:r w:rsidR="003B7D86" w:rsidRPr="00645EDC">
        <w:rPr>
          <w:rStyle w:val="FontStyle33"/>
          <w:sz w:val="22"/>
          <w:szCs w:val="22"/>
          <w:lang w:val="sk-SK" w:eastAsia="de-DE"/>
        </w:rPr>
        <w:t>sa</w:t>
      </w:r>
      <w:r w:rsidRPr="00645EDC">
        <w:rPr>
          <w:rStyle w:val="FontStyle33"/>
          <w:sz w:val="22"/>
          <w:szCs w:val="22"/>
          <w:lang w:val="sk-SK" w:eastAsia="de-DE"/>
        </w:rPr>
        <w:t xml:space="preserve"> </w:t>
      </w:r>
      <w:r w:rsidR="003B7D86" w:rsidRPr="00645EDC">
        <w:rPr>
          <w:rStyle w:val="FontStyle33"/>
          <w:sz w:val="22"/>
          <w:szCs w:val="22"/>
          <w:lang w:val="sk-SK" w:eastAsia="es-ES_tradnl"/>
        </w:rPr>
        <w:t xml:space="preserve">zúčastnila pivotnej trojročnej štúdie zameranej na zlomeniny (MF 4411). </w:t>
      </w:r>
    </w:p>
    <w:p w14:paraId="4FD7B3E8" w14:textId="77777777" w:rsidR="00450FA3" w:rsidRPr="00645EDC" w:rsidRDefault="00450FA3" w:rsidP="00005320">
      <w:pPr>
        <w:pStyle w:val="Bezriadkovania1"/>
        <w:tabs>
          <w:tab w:val="left" w:pos="540"/>
        </w:tabs>
        <w:rPr>
          <w:rStyle w:val="FontStyle33"/>
          <w:sz w:val="22"/>
          <w:szCs w:val="22"/>
          <w:lang w:val="sk-SK" w:eastAsia="es-ES_tradnl"/>
        </w:rPr>
      </w:pPr>
    </w:p>
    <w:p w14:paraId="211D9B02" w14:textId="635C383D"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 xml:space="preserve">V dvojročnej štúdii u žien po menopauze s osteoporózou (BM 16549) celková bezpečnosť </w:t>
      </w:r>
      <w:r w:rsidR="00450FA3" w:rsidRPr="00645EDC">
        <w:rPr>
          <w:rStyle w:val="FontStyle33"/>
          <w:sz w:val="22"/>
          <w:szCs w:val="22"/>
          <w:lang w:val="sk-SK" w:eastAsia="es-ES_tradnl"/>
        </w:rPr>
        <w:t>Licobondratu  150 </w:t>
      </w:r>
      <w:r w:rsidRPr="00645EDC">
        <w:rPr>
          <w:rStyle w:val="FontStyle33"/>
          <w:sz w:val="22"/>
          <w:szCs w:val="22"/>
          <w:lang w:val="sk-SK" w:eastAsia="es-ES_tradnl"/>
        </w:rPr>
        <w:t xml:space="preserve">mg raz mesačne a kyseliny ibandrónovej 2,5 </w:t>
      </w:r>
      <w:r w:rsidR="00450FA3" w:rsidRPr="00645EDC">
        <w:rPr>
          <w:rStyle w:val="FontStyle33"/>
          <w:sz w:val="22"/>
          <w:szCs w:val="22"/>
          <w:lang w:val="sk-SK" w:eastAsia="es-ES_tradnl"/>
        </w:rPr>
        <w:t>mg </w:t>
      </w:r>
      <w:r w:rsidRPr="00645EDC">
        <w:rPr>
          <w:rStyle w:val="FontStyle33"/>
          <w:sz w:val="22"/>
          <w:szCs w:val="22"/>
          <w:lang w:val="sk-SK" w:eastAsia="es-ES_tradnl"/>
        </w:rPr>
        <w:t xml:space="preserve">raz denne bola podobná. Celkový pomer pacientok, u ktorých sa objavili nežiaduce reakcie, bol 22,7 % a 25,0 % pre </w:t>
      </w:r>
      <w:r w:rsidR="00450FA3" w:rsidRPr="00645EDC">
        <w:rPr>
          <w:rStyle w:val="FontStyle33"/>
          <w:sz w:val="22"/>
          <w:szCs w:val="22"/>
          <w:lang w:val="sk-SK" w:eastAsia="es-ES_tradnl"/>
        </w:rPr>
        <w:t>Licobondrat</w:t>
      </w:r>
      <w:r w:rsidRPr="00645EDC">
        <w:rPr>
          <w:rStyle w:val="FontStyle33"/>
          <w:sz w:val="22"/>
          <w:szCs w:val="22"/>
          <w:lang w:val="sk-SK" w:eastAsia="es-ES_tradnl"/>
        </w:rPr>
        <w:t xml:space="preserve"> </w:t>
      </w:r>
      <w:r w:rsidR="00450FA3" w:rsidRPr="00645EDC">
        <w:rPr>
          <w:rStyle w:val="FontStyle33"/>
          <w:sz w:val="22"/>
          <w:szCs w:val="22"/>
          <w:lang w:val="sk-SK" w:eastAsia="es-ES_tradnl"/>
        </w:rPr>
        <w:t> 150 </w:t>
      </w:r>
      <w:r w:rsidRPr="00645EDC">
        <w:rPr>
          <w:rStyle w:val="FontStyle33"/>
          <w:sz w:val="22"/>
          <w:szCs w:val="22"/>
          <w:lang w:val="sk-SK" w:eastAsia="es-ES_tradnl"/>
        </w:rPr>
        <w:t>mg raz mesačne po jednom a dvoch rokoch</w:t>
      </w:r>
      <w:r w:rsidR="00450FA3" w:rsidRPr="00645EDC">
        <w:rPr>
          <w:rStyle w:val="FontStyle33"/>
          <w:sz w:val="22"/>
          <w:szCs w:val="22"/>
          <w:lang w:val="sk-SK" w:eastAsia="es-ES_tradnl"/>
        </w:rPr>
        <w:t xml:space="preserve"> v uvedenom poradí</w:t>
      </w:r>
      <w:r w:rsidRPr="00645EDC">
        <w:rPr>
          <w:rStyle w:val="FontStyle33"/>
          <w:sz w:val="22"/>
          <w:szCs w:val="22"/>
          <w:lang w:val="sk-SK" w:eastAsia="es-ES_tradnl"/>
        </w:rPr>
        <w:t xml:space="preserve">. </w:t>
      </w:r>
      <w:r w:rsidR="00450FA3" w:rsidRPr="00645EDC">
        <w:rPr>
          <w:rStyle w:val="FontStyle33"/>
          <w:sz w:val="22"/>
          <w:szCs w:val="22"/>
          <w:lang w:val="sk-SK" w:eastAsia="es-ES_tradnl"/>
        </w:rPr>
        <w:t xml:space="preserve"> </w:t>
      </w:r>
      <w:r w:rsidRPr="00645EDC">
        <w:rPr>
          <w:rStyle w:val="FontStyle33"/>
          <w:sz w:val="22"/>
          <w:szCs w:val="22"/>
          <w:lang w:val="sk-SK" w:eastAsia="es-ES_tradnl"/>
        </w:rPr>
        <w:t>Väčšina prípadov neviedla k ukončeniu liečby.</w:t>
      </w:r>
    </w:p>
    <w:p w14:paraId="37354E56" w14:textId="77777777" w:rsidR="003B7D86" w:rsidRPr="00645EDC" w:rsidRDefault="003B7D86" w:rsidP="003B7D86">
      <w:pPr>
        <w:pStyle w:val="Bezriadkovania1"/>
        <w:tabs>
          <w:tab w:val="left" w:pos="540"/>
        </w:tabs>
        <w:rPr>
          <w:rFonts w:ascii="Times New Roman" w:hAnsi="Times New Roman"/>
          <w:lang w:val="sk-SK"/>
        </w:rPr>
      </w:pPr>
    </w:p>
    <w:p w14:paraId="14CB9637" w14:textId="25CD97F8" w:rsidR="00450FA3" w:rsidRPr="00645EDC" w:rsidRDefault="00450FA3" w:rsidP="003B7D86">
      <w:pPr>
        <w:pStyle w:val="Bezriadkovania1"/>
        <w:tabs>
          <w:tab w:val="left" w:pos="540"/>
        </w:tabs>
        <w:rPr>
          <w:rFonts w:ascii="Times New Roman" w:hAnsi="Times New Roman"/>
          <w:lang w:val="sk-SK"/>
        </w:rPr>
      </w:pPr>
      <w:r w:rsidRPr="00645EDC">
        <w:rPr>
          <w:rFonts w:ascii="Times New Roman" w:hAnsi="Times New Roman"/>
          <w:lang w:val="sk-SK"/>
        </w:rPr>
        <w:t>Nežiaduce reakcie sú uvedené podľa tried orgánových systémov MedDRA a kategórií frekvencie. Kategórie frekvencie sú definované pomocou nasledujúcej konvencie: veľmi časté (&lt;1/10), časté (&gt; 1/100 až &lt; 1/10), menej časté (&gt; 1/1 000 až &lt; 1/100 ), zriedkavé (</w:t>
      </w:r>
      <w:r w:rsidR="00C1508C" w:rsidRPr="00645EDC">
        <w:rPr>
          <w:rFonts w:ascii="Times New Roman" w:hAnsi="Times New Roman"/>
          <w:lang w:val="sk-SK"/>
        </w:rPr>
        <w:t>&gt; 1/10 000 až &lt; 1/1 000</w:t>
      </w:r>
      <w:r w:rsidRPr="00645EDC">
        <w:rPr>
          <w:rFonts w:ascii="Times New Roman" w:hAnsi="Times New Roman"/>
          <w:lang w:val="sk-SK"/>
        </w:rPr>
        <w:t>), veľmi zriedkavé (</w:t>
      </w:r>
      <w:r w:rsidR="00C1508C" w:rsidRPr="00645EDC">
        <w:rPr>
          <w:rFonts w:ascii="Times New Roman" w:hAnsi="Times New Roman"/>
          <w:lang w:val="sk-SK"/>
        </w:rPr>
        <w:t>&lt; 1/10 000</w:t>
      </w:r>
      <w:r w:rsidRPr="00645EDC">
        <w:rPr>
          <w:rFonts w:ascii="Times New Roman" w:hAnsi="Times New Roman"/>
          <w:lang w:val="sk-SK"/>
        </w:rPr>
        <w:t>), neznáme (z dostupných údajov). V</w:t>
      </w:r>
      <w:r w:rsidR="004018DE" w:rsidRPr="00645EDC">
        <w:rPr>
          <w:rFonts w:ascii="Times New Roman" w:hAnsi="Times New Roman"/>
          <w:lang w:val="sk-SK"/>
        </w:rPr>
        <w:t xml:space="preserve"> </w:t>
      </w:r>
      <w:r w:rsidRPr="00645EDC">
        <w:rPr>
          <w:rFonts w:ascii="Times New Roman" w:hAnsi="Times New Roman"/>
          <w:lang w:val="sk-SK"/>
        </w:rPr>
        <w:t>rámci každej skupiny frekvencie sú nežiaduce reakcie uvedené v poradí klesajúcej závažnosti.</w:t>
      </w:r>
    </w:p>
    <w:p w14:paraId="7F640F04" w14:textId="77777777" w:rsidR="004018DE" w:rsidRPr="00645EDC" w:rsidRDefault="004018DE" w:rsidP="003B7D86">
      <w:pPr>
        <w:pStyle w:val="Bezriadkovania1"/>
        <w:tabs>
          <w:tab w:val="left" w:pos="540"/>
        </w:tabs>
        <w:rPr>
          <w:rFonts w:ascii="Times New Roman" w:hAnsi="Times New Roman"/>
          <w:lang w:val="sk-SK"/>
        </w:rPr>
      </w:pPr>
    </w:p>
    <w:p w14:paraId="0991D93B" w14:textId="3B475B57" w:rsidR="004018DE" w:rsidRPr="00645EDC" w:rsidRDefault="004018DE" w:rsidP="004018DE">
      <w:pPr>
        <w:pStyle w:val="Bezriadkovania1"/>
        <w:tabs>
          <w:tab w:val="left" w:pos="540"/>
        </w:tabs>
        <w:rPr>
          <w:rStyle w:val="FontStyle33"/>
          <w:sz w:val="22"/>
          <w:szCs w:val="22"/>
          <w:lang w:val="sk-SK" w:eastAsia="en-US"/>
        </w:rPr>
      </w:pPr>
      <w:r w:rsidRPr="000E4718">
        <w:rPr>
          <w:rFonts w:ascii="Times New Roman" w:hAnsi="Times New Roman"/>
          <w:lang w:val="sk-SK"/>
        </w:rPr>
        <w:t>Tabuľka 1.</w:t>
      </w:r>
      <w:r w:rsidRPr="00645EDC">
        <w:rPr>
          <w:rStyle w:val="FontStyle33"/>
          <w:sz w:val="22"/>
          <w:szCs w:val="22"/>
          <w:lang w:val="sk-SK" w:eastAsia="en-US"/>
        </w:rPr>
        <w:t xml:space="preserve">: Nežiaduce reakcie vyskytujúce sa u žien po menopauze, ktoré užívali </w:t>
      </w:r>
      <w:r w:rsidRPr="00645EDC">
        <w:rPr>
          <w:rFonts w:ascii="Times New Roman" w:hAnsi="Times New Roman"/>
          <w:lang w:val="sk-SK"/>
        </w:rPr>
        <w:t>Licobondrat</w:t>
      </w:r>
      <w:r w:rsidRPr="00645EDC">
        <w:rPr>
          <w:rStyle w:val="FontStyle33"/>
          <w:sz w:val="22"/>
          <w:szCs w:val="22"/>
          <w:lang w:val="sk-SK" w:eastAsia="en-US"/>
        </w:rPr>
        <w:t>  150 mg raz mesačne alebo kyselinu ibandrónovú 2,5 mg denne vo fáze III štúdií BM16549 a MF4411 a skúsenosti po uvedení lieku na trh.</w:t>
      </w:r>
    </w:p>
    <w:p w14:paraId="3CA10D8E" w14:textId="77777777" w:rsidR="004018DE" w:rsidRPr="00645EDC" w:rsidRDefault="004018DE" w:rsidP="003B7D86">
      <w:pPr>
        <w:pStyle w:val="Bezriadkovania1"/>
        <w:tabs>
          <w:tab w:val="left" w:pos="540"/>
        </w:tabs>
        <w:rPr>
          <w:rFonts w:ascii="Times New Roman" w:hAnsi="Times New Roman"/>
          <w:lang w:val="sk-SK"/>
        </w:rPr>
      </w:pPr>
    </w:p>
    <w:tbl>
      <w:tblPr>
        <w:tblW w:w="907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18"/>
        <w:gridCol w:w="1701"/>
        <w:gridCol w:w="1984"/>
        <w:gridCol w:w="2268"/>
        <w:gridCol w:w="1701"/>
      </w:tblGrid>
      <w:tr w:rsidR="00C1508C" w:rsidRPr="00645EDC" w14:paraId="0990E0E4" w14:textId="77777777" w:rsidTr="00005320">
        <w:tc>
          <w:tcPr>
            <w:tcW w:w="1418" w:type="dxa"/>
          </w:tcPr>
          <w:p w14:paraId="614E88A1" w14:textId="77777777" w:rsidR="00C1508C" w:rsidRPr="00645EDC" w:rsidRDefault="00C1508C" w:rsidP="003B7D86">
            <w:pPr>
              <w:pStyle w:val="Style26"/>
              <w:widowControl/>
              <w:spacing w:line="240" w:lineRule="auto"/>
              <w:ind w:firstLine="5"/>
              <w:rPr>
                <w:rStyle w:val="FontStyle34"/>
                <w:sz w:val="22"/>
                <w:szCs w:val="22"/>
                <w:lang w:val="sk-SK" w:eastAsia="en-US"/>
              </w:rPr>
            </w:pPr>
            <w:r w:rsidRPr="00645EDC">
              <w:rPr>
                <w:rStyle w:val="FontStyle34"/>
                <w:sz w:val="22"/>
                <w:szCs w:val="22"/>
                <w:lang w:val="sk-SK" w:eastAsia="en-US"/>
              </w:rPr>
              <w:t>Trieda orgánových systémov</w:t>
            </w:r>
          </w:p>
        </w:tc>
        <w:tc>
          <w:tcPr>
            <w:tcW w:w="1701" w:type="dxa"/>
          </w:tcPr>
          <w:p w14:paraId="1CDC81BA" w14:textId="77777777" w:rsidR="00C1508C" w:rsidRPr="00645EDC" w:rsidRDefault="00C1508C" w:rsidP="00005320">
            <w:pPr>
              <w:pStyle w:val="Style26"/>
              <w:widowControl/>
              <w:spacing w:line="240" w:lineRule="auto"/>
              <w:ind w:right="-4"/>
              <w:rPr>
                <w:rStyle w:val="FontStyle34"/>
                <w:sz w:val="22"/>
                <w:szCs w:val="22"/>
                <w:lang w:val="sk-SK" w:eastAsia="en-US"/>
              </w:rPr>
            </w:pPr>
            <w:r w:rsidRPr="00645EDC">
              <w:rPr>
                <w:rStyle w:val="FontStyle34"/>
                <w:sz w:val="22"/>
                <w:szCs w:val="22"/>
                <w:lang w:val="sk-SK" w:eastAsia="en-US"/>
              </w:rPr>
              <w:t>Časté</w:t>
            </w:r>
          </w:p>
        </w:tc>
        <w:tc>
          <w:tcPr>
            <w:tcW w:w="1984" w:type="dxa"/>
          </w:tcPr>
          <w:p w14:paraId="52696C00" w14:textId="77777777" w:rsidR="00C1508C" w:rsidRPr="00645EDC" w:rsidRDefault="00C1508C" w:rsidP="003B7D86">
            <w:pPr>
              <w:pStyle w:val="Style26"/>
              <w:widowControl/>
              <w:spacing w:line="240" w:lineRule="auto"/>
              <w:rPr>
                <w:rStyle w:val="FontStyle34"/>
                <w:sz w:val="22"/>
                <w:szCs w:val="22"/>
                <w:lang w:val="sk-SK" w:eastAsia="en-US"/>
              </w:rPr>
            </w:pPr>
            <w:r w:rsidRPr="00645EDC">
              <w:rPr>
                <w:rStyle w:val="FontStyle34"/>
                <w:sz w:val="22"/>
                <w:szCs w:val="22"/>
                <w:lang w:val="sk-SK" w:eastAsia="en-US"/>
              </w:rPr>
              <w:t>Menej časté</w:t>
            </w:r>
          </w:p>
        </w:tc>
        <w:tc>
          <w:tcPr>
            <w:tcW w:w="2268" w:type="dxa"/>
          </w:tcPr>
          <w:p w14:paraId="31611504" w14:textId="78FA7D97" w:rsidR="00C1508C" w:rsidRPr="00645EDC" w:rsidRDefault="00C1508C" w:rsidP="003B7D86">
            <w:pPr>
              <w:pStyle w:val="Style26"/>
              <w:widowControl/>
              <w:spacing w:line="240" w:lineRule="auto"/>
              <w:rPr>
                <w:rStyle w:val="FontStyle34"/>
                <w:sz w:val="22"/>
                <w:szCs w:val="22"/>
                <w:lang w:val="sk-SK" w:eastAsia="en-US"/>
              </w:rPr>
            </w:pPr>
            <w:r w:rsidRPr="00645EDC">
              <w:rPr>
                <w:rStyle w:val="FontStyle34"/>
                <w:sz w:val="22"/>
                <w:szCs w:val="22"/>
                <w:lang w:val="sk-SK" w:eastAsia="en-US"/>
              </w:rPr>
              <w:t>Zriedkavé</w:t>
            </w:r>
          </w:p>
        </w:tc>
        <w:tc>
          <w:tcPr>
            <w:tcW w:w="1701" w:type="dxa"/>
          </w:tcPr>
          <w:p w14:paraId="74700C32" w14:textId="3CB112AD" w:rsidR="00C1508C" w:rsidRPr="00645EDC" w:rsidRDefault="00C1508C" w:rsidP="003B7D86">
            <w:pPr>
              <w:pStyle w:val="Style26"/>
              <w:widowControl/>
              <w:spacing w:line="240" w:lineRule="auto"/>
              <w:rPr>
                <w:rStyle w:val="FontStyle34"/>
                <w:sz w:val="22"/>
                <w:szCs w:val="22"/>
                <w:lang w:val="sk-SK" w:eastAsia="en-US"/>
              </w:rPr>
            </w:pPr>
            <w:r w:rsidRPr="00645EDC">
              <w:rPr>
                <w:rStyle w:val="FontStyle34"/>
                <w:sz w:val="22"/>
                <w:szCs w:val="22"/>
                <w:lang w:val="sk-SK" w:eastAsia="en-US"/>
              </w:rPr>
              <w:t>Veľmi zriedkavé</w:t>
            </w:r>
          </w:p>
        </w:tc>
      </w:tr>
      <w:tr w:rsidR="00C1508C" w:rsidRPr="00645EDC" w14:paraId="0C148EAE" w14:textId="77777777" w:rsidTr="00005320">
        <w:tc>
          <w:tcPr>
            <w:tcW w:w="1418" w:type="dxa"/>
          </w:tcPr>
          <w:p w14:paraId="16102EB9" w14:textId="77777777" w:rsidR="00C1508C" w:rsidRPr="00645EDC" w:rsidRDefault="00C1508C" w:rsidP="003B7D86">
            <w:pPr>
              <w:pStyle w:val="Style20"/>
              <w:widowControl/>
              <w:spacing w:line="240" w:lineRule="auto"/>
              <w:rPr>
                <w:rStyle w:val="FontStyle33"/>
                <w:sz w:val="22"/>
                <w:szCs w:val="22"/>
                <w:lang w:val="sk-SK" w:eastAsia="en-US"/>
              </w:rPr>
            </w:pPr>
            <w:r w:rsidRPr="00645EDC">
              <w:rPr>
                <w:rStyle w:val="FontStyle33"/>
                <w:sz w:val="22"/>
                <w:szCs w:val="22"/>
                <w:lang w:val="sk-SK" w:eastAsia="en-US"/>
              </w:rPr>
              <w:t>Poruchy imunitného systému</w:t>
            </w:r>
          </w:p>
        </w:tc>
        <w:tc>
          <w:tcPr>
            <w:tcW w:w="1701" w:type="dxa"/>
          </w:tcPr>
          <w:p w14:paraId="05DD22E9" w14:textId="77777777" w:rsidR="00C1508C" w:rsidRPr="00645EDC" w:rsidRDefault="00C1508C" w:rsidP="00005320">
            <w:pPr>
              <w:pStyle w:val="Style20"/>
              <w:widowControl/>
              <w:spacing w:line="240" w:lineRule="auto"/>
              <w:ind w:right="-4"/>
              <w:rPr>
                <w:rStyle w:val="FontStyle33"/>
                <w:sz w:val="22"/>
                <w:szCs w:val="22"/>
                <w:lang w:val="sk-SK" w:eastAsia="en-US"/>
              </w:rPr>
            </w:pPr>
          </w:p>
        </w:tc>
        <w:tc>
          <w:tcPr>
            <w:tcW w:w="1984" w:type="dxa"/>
          </w:tcPr>
          <w:p w14:paraId="0F9104DD" w14:textId="7CA40065" w:rsidR="00C1508C" w:rsidRPr="00645EDC" w:rsidRDefault="002769BD" w:rsidP="002769BD">
            <w:pPr>
              <w:pStyle w:val="Style20"/>
              <w:widowControl/>
              <w:spacing w:line="240" w:lineRule="auto"/>
              <w:rPr>
                <w:rStyle w:val="FontStyle33"/>
                <w:sz w:val="22"/>
                <w:szCs w:val="22"/>
                <w:lang w:val="sk-SK" w:eastAsia="en-US"/>
              </w:rPr>
            </w:pPr>
            <w:r w:rsidRPr="00645EDC">
              <w:rPr>
                <w:rStyle w:val="FontStyle33"/>
                <w:sz w:val="22"/>
                <w:szCs w:val="22"/>
                <w:lang w:val="sk-SK" w:eastAsia="en-US"/>
              </w:rPr>
              <w:t>Exacerbácia astmy</w:t>
            </w:r>
          </w:p>
        </w:tc>
        <w:tc>
          <w:tcPr>
            <w:tcW w:w="2268" w:type="dxa"/>
          </w:tcPr>
          <w:p w14:paraId="497438F3" w14:textId="70264465" w:rsidR="00C1508C" w:rsidRPr="00645EDC" w:rsidRDefault="00C1508C" w:rsidP="002A400D">
            <w:pPr>
              <w:pStyle w:val="Style20"/>
              <w:widowControl/>
              <w:spacing w:line="240" w:lineRule="auto"/>
              <w:rPr>
                <w:rStyle w:val="FontStyle33"/>
                <w:sz w:val="22"/>
                <w:szCs w:val="22"/>
                <w:lang w:val="sk-SK" w:eastAsia="en-US"/>
              </w:rPr>
            </w:pPr>
            <w:r w:rsidRPr="00645EDC">
              <w:rPr>
                <w:rStyle w:val="FontStyle33"/>
                <w:sz w:val="22"/>
                <w:szCs w:val="22"/>
                <w:lang w:val="sk-SK" w:eastAsia="en-US"/>
              </w:rPr>
              <w:t xml:space="preserve">Reakcia z precitlivenosti </w:t>
            </w:r>
          </w:p>
        </w:tc>
        <w:tc>
          <w:tcPr>
            <w:tcW w:w="1701" w:type="dxa"/>
          </w:tcPr>
          <w:p w14:paraId="0AB991A1" w14:textId="37322BB1" w:rsidR="00C1508C" w:rsidRPr="00645EDC" w:rsidRDefault="00C1508C" w:rsidP="003B7D86">
            <w:pPr>
              <w:pStyle w:val="Style20"/>
              <w:widowControl/>
              <w:spacing w:line="240" w:lineRule="auto"/>
              <w:rPr>
                <w:rStyle w:val="FontStyle33"/>
                <w:sz w:val="22"/>
                <w:szCs w:val="22"/>
                <w:lang w:val="sk-SK" w:eastAsia="en-US"/>
              </w:rPr>
            </w:pPr>
            <w:r w:rsidRPr="00645EDC">
              <w:rPr>
                <w:rStyle w:val="FontStyle33"/>
                <w:sz w:val="22"/>
                <w:szCs w:val="22"/>
                <w:lang w:val="sk-SK" w:eastAsia="en-US"/>
              </w:rPr>
              <w:t xml:space="preserve">Anafylaktická reakcia/šok </w:t>
            </w:r>
            <w:r w:rsidRPr="000E4718">
              <w:rPr>
                <w:sz w:val="20"/>
                <w:szCs w:val="20"/>
                <w:lang w:val="sk-SK"/>
              </w:rPr>
              <w:t>*†</w:t>
            </w:r>
          </w:p>
        </w:tc>
      </w:tr>
      <w:tr w:rsidR="00C1508C" w:rsidRPr="00645EDC" w14:paraId="7D078CC3" w14:textId="77777777" w:rsidTr="00C1508C">
        <w:trPr>
          <w:trHeight w:val="759"/>
        </w:trPr>
        <w:tc>
          <w:tcPr>
            <w:tcW w:w="1418" w:type="dxa"/>
            <w:vAlign w:val="center"/>
          </w:tcPr>
          <w:p w14:paraId="0BB25DBD" w14:textId="77777777" w:rsidR="00C1508C" w:rsidRPr="00645EDC" w:rsidRDefault="00C1508C" w:rsidP="003B7D86">
            <w:pPr>
              <w:pStyle w:val="Style20"/>
              <w:widowControl/>
              <w:spacing w:line="240" w:lineRule="auto"/>
              <w:rPr>
                <w:rStyle w:val="FontStyle33"/>
                <w:sz w:val="22"/>
                <w:szCs w:val="22"/>
                <w:lang w:val="sk-SK" w:eastAsia="en-US"/>
              </w:rPr>
            </w:pPr>
            <w:r w:rsidRPr="00645EDC">
              <w:rPr>
                <w:rStyle w:val="FontStyle33"/>
                <w:sz w:val="22"/>
                <w:szCs w:val="22"/>
                <w:lang w:val="sk-SK" w:eastAsia="en-US"/>
              </w:rPr>
              <w:t>Poruchy nervového systému</w:t>
            </w:r>
          </w:p>
        </w:tc>
        <w:tc>
          <w:tcPr>
            <w:tcW w:w="1701" w:type="dxa"/>
          </w:tcPr>
          <w:p w14:paraId="54C2DBCC" w14:textId="77777777" w:rsidR="00C1508C" w:rsidRPr="00645EDC" w:rsidRDefault="00C1508C" w:rsidP="00005320">
            <w:pPr>
              <w:pStyle w:val="Style20"/>
              <w:widowControl/>
              <w:spacing w:line="240" w:lineRule="auto"/>
              <w:ind w:right="-4"/>
              <w:rPr>
                <w:rStyle w:val="FontStyle33"/>
                <w:sz w:val="22"/>
                <w:szCs w:val="22"/>
                <w:lang w:val="sk-SK" w:eastAsia="en-US"/>
              </w:rPr>
            </w:pPr>
            <w:r w:rsidRPr="00645EDC">
              <w:rPr>
                <w:rStyle w:val="FontStyle33"/>
                <w:sz w:val="22"/>
                <w:szCs w:val="22"/>
                <w:lang w:val="sk-SK" w:eastAsia="en-US"/>
              </w:rPr>
              <w:t>Bolesť hlavy</w:t>
            </w:r>
          </w:p>
        </w:tc>
        <w:tc>
          <w:tcPr>
            <w:tcW w:w="1984" w:type="dxa"/>
          </w:tcPr>
          <w:p w14:paraId="52770D88" w14:textId="77777777" w:rsidR="00C1508C" w:rsidRPr="00645EDC" w:rsidRDefault="00C1508C" w:rsidP="003B7D86">
            <w:pPr>
              <w:pStyle w:val="Style20"/>
              <w:widowControl/>
              <w:spacing w:line="240" w:lineRule="auto"/>
              <w:rPr>
                <w:rStyle w:val="FontStyle33"/>
                <w:sz w:val="22"/>
                <w:szCs w:val="22"/>
                <w:lang w:val="sk-SK" w:eastAsia="en-US"/>
              </w:rPr>
            </w:pPr>
            <w:r w:rsidRPr="00645EDC">
              <w:rPr>
                <w:rStyle w:val="FontStyle33"/>
                <w:sz w:val="22"/>
                <w:szCs w:val="22"/>
                <w:lang w:val="sk-SK" w:eastAsia="en-US"/>
              </w:rPr>
              <w:t>Závrat</w:t>
            </w:r>
          </w:p>
        </w:tc>
        <w:tc>
          <w:tcPr>
            <w:tcW w:w="2268" w:type="dxa"/>
          </w:tcPr>
          <w:p w14:paraId="3B08918D" w14:textId="00CBABB2" w:rsidR="00C1508C" w:rsidRPr="00645EDC" w:rsidRDefault="00C1508C" w:rsidP="003B7D86">
            <w:pPr>
              <w:pStyle w:val="Style20"/>
              <w:spacing w:line="240" w:lineRule="auto"/>
              <w:rPr>
                <w:rStyle w:val="FontStyle33"/>
                <w:sz w:val="22"/>
                <w:szCs w:val="22"/>
                <w:lang w:val="sk-SK" w:eastAsia="en-US"/>
              </w:rPr>
            </w:pPr>
          </w:p>
        </w:tc>
        <w:tc>
          <w:tcPr>
            <w:tcW w:w="1701" w:type="dxa"/>
          </w:tcPr>
          <w:p w14:paraId="52C4ACA2" w14:textId="20867ED8" w:rsidR="00C1508C" w:rsidRPr="00645EDC" w:rsidRDefault="00C1508C" w:rsidP="003B7D86">
            <w:pPr>
              <w:pStyle w:val="Style20"/>
              <w:widowControl/>
              <w:spacing w:line="240" w:lineRule="auto"/>
              <w:rPr>
                <w:rStyle w:val="FontStyle33"/>
                <w:sz w:val="22"/>
                <w:szCs w:val="22"/>
                <w:lang w:val="sk-SK" w:eastAsia="en-US"/>
              </w:rPr>
            </w:pPr>
          </w:p>
          <w:p w14:paraId="5E1F9798" w14:textId="62BCDA44" w:rsidR="00C1508C" w:rsidRPr="00645EDC" w:rsidRDefault="00C1508C" w:rsidP="003B7D86">
            <w:pPr>
              <w:pStyle w:val="Style20"/>
              <w:spacing w:line="240" w:lineRule="auto"/>
              <w:rPr>
                <w:rStyle w:val="FontStyle33"/>
                <w:sz w:val="22"/>
                <w:szCs w:val="22"/>
                <w:lang w:val="sk-SK" w:eastAsia="en-US"/>
              </w:rPr>
            </w:pPr>
          </w:p>
        </w:tc>
      </w:tr>
      <w:tr w:rsidR="00C1508C" w:rsidRPr="00645EDC" w14:paraId="61EEEA33" w14:textId="77777777" w:rsidTr="00C1508C">
        <w:tc>
          <w:tcPr>
            <w:tcW w:w="1418" w:type="dxa"/>
            <w:vAlign w:val="center"/>
          </w:tcPr>
          <w:p w14:paraId="72AA4A48" w14:textId="77777777" w:rsidR="00C1508C" w:rsidRPr="00645EDC" w:rsidRDefault="00C1508C" w:rsidP="00747A9C">
            <w:pPr>
              <w:pStyle w:val="Style20"/>
              <w:widowControl/>
              <w:spacing w:line="240" w:lineRule="auto"/>
              <w:rPr>
                <w:rStyle w:val="FontStyle33"/>
                <w:sz w:val="22"/>
                <w:szCs w:val="22"/>
                <w:lang w:val="sk-SK" w:eastAsia="en-US"/>
              </w:rPr>
            </w:pPr>
            <w:r w:rsidRPr="00645EDC">
              <w:rPr>
                <w:rStyle w:val="FontStyle33"/>
                <w:sz w:val="22"/>
                <w:szCs w:val="22"/>
                <w:lang w:val="sk-SK" w:eastAsia="en-US"/>
              </w:rPr>
              <w:t>Poruchy oka</w:t>
            </w:r>
          </w:p>
        </w:tc>
        <w:tc>
          <w:tcPr>
            <w:tcW w:w="1701" w:type="dxa"/>
          </w:tcPr>
          <w:p w14:paraId="09F0AF22" w14:textId="77777777" w:rsidR="00C1508C" w:rsidRPr="00645EDC" w:rsidRDefault="00C1508C" w:rsidP="00C1508C">
            <w:pPr>
              <w:pStyle w:val="Style20"/>
              <w:widowControl/>
              <w:spacing w:line="240" w:lineRule="auto"/>
              <w:ind w:right="-4"/>
              <w:rPr>
                <w:rStyle w:val="FontStyle33"/>
                <w:sz w:val="22"/>
                <w:szCs w:val="22"/>
                <w:lang w:val="sk-SK" w:eastAsia="en-US"/>
              </w:rPr>
            </w:pPr>
          </w:p>
        </w:tc>
        <w:tc>
          <w:tcPr>
            <w:tcW w:w="1984" w:type="dxa"/>
          </w:tcPr>
          <w:p w14:paraId="717B724E" w14:textId="77777777" w:rsidR="00C1508C" w:rsidRPr="00645EDC" w:rsidRDefault="00C1508C" w:rsidP="00747A9C">
            <w:pPr>
              <w:pStyle w:val="Style20"/>
              <w:widowControl/>
              <w:spacing w:line="240" w:lineRule="auto"/>
              <w:rPr>
                <w:rStyle w:val="FontStyle33"/>
                <w:sz w:val="22"/>
                <w:szCs w:val="22"/>
                <w:lang w:val="sk-SK" w:eastAsia="en-US"/>
              </w:rPr>
            </w:pPr>
          </w:p>
        </w:tc>
        <w:tc>
          <w:tcPr>
            <w:tcW w:w="2268" w:type="dxa"/>
          </w:tcPr>
          <w:p w14:paraId="27DD1B11" w14:textId="44C8C500" w:rsidR="00C1508C" w:rsidRPr="00645EDC" w:rsidRDefault="00C1508C" w:rsidP="00747A9C">
            <w:pPr>
              <w:pStyle w:val="Style20"/>
              <w:widowControl/>
              <w:spacing w:line="240" w:lineRule="auto"/>
              <w:rPr>
                <w:rStyle w:val="FontStyle33"/>
                <w:sz w:val="22"/>
                <w:szCs w:val="22"/>
                <w:lang w:val="sk-SK" w:eastAsia="en-US"/>
              </w:rPr>
            </w:pPr>
            <w:r w:rsidRPr="000E4718">
              <w:rPr>
                <w:sz w:val="22"/>
                <w:szCs w:val="22"/>
                <w:lang w:val="sk-SK"/>
              </w:rPr>
              <w:t xml:space="preserve"> zápal</w:t>
            </w:r>
            <w:r w:rsidR="00180132">
              <w:rPr>
                <w:sz w:val="22"/>
                <w:szCs w:val="22"/>
                <w:lang w:val="sk-SK"/>
              </w:rPr>
              <w:t xml:space="preserve"> oka </w:t>
            </w:r>
            <w:r w:rsidRPr="000E4718">
              <w:rPr>
                <w:sz w:val="22"/>
                <w:szCs w:val="22"/>
                <w:lang w:val="sk-SK"/>
              </w:rPr>
              <w:t>*†</w:t>
            </w:r>
          </w:p>
        </w:tc>
        <w:tc>
          <w:tcPr>
            <w:tcW w:w="1701" w:type="dxa"/>
          </w:tcPr>
          <w:p w14:paraId="6864110C" w14:textId="77777777" w:rsidR="00C1508C" w:rsidRPr="00645EDC" w:rsidRDefault="00C1508C" w:rsidP="00747A9C">
            <w:pPr>
              <w:pStyle w:val="Style20"/>
              <w:widowControl/>
              <w:spacing w:line="240" w:lineRule="auto"/>
              <w:ind w:left="5" w:hanging="5"/>
              <w:rPr>
                <w:rStyle w:val="FontStyle33"/>
                <w:sz w:val="22"/>
                <w:szCs w:val="22"/>
                <w:lang w:val="sk-SK" w:eastAsia="en-US"/>
              </w:rPr>
            </w:pPr>
          </w:p>
        </w:tc>
      </w:tr>
      <w:tr w:rsidR="00C1508C" w:rsidRPr="00645EDC" w14:paraId="7CA4371F" w14:textId="77777777" w:rsidTr="00005320">
        <w:trPr>
          <w:trHeight w:val="2417"/>
        </w:trPr>
        <w:tc>
          <w:tcPr>
            <w:tcW w:w="1418" w:type="dxa"/>
            <w:vAlign w:val="center"/>
          </w:tcPr>
          <w:p w14:paraId="259B9580" w14:textId="77777777" w:rsidR="00C1508C" w:rsidRPr="00645EDC" w:rsidRDefault="00C1508C" w:rsidP="00747A9C">
            <w:pPr>
              <w:pStyle w:val="Style20"/>
              <w:widowControl/>
              <w:spacing w:line="240" w:lineRule="auto"/>
              <w:rPr>
                <w:rStyle w:val="FontStyle33"/>
                <w:sz w:val="22"/>
                <w:szCs w:val="22"/>
                <w:lang w:val="sk-SK" w:eastAsia="en-US"/>
              </w:rPr>
            </w:pPr>
            <w:r w:rsidRPr="00645EDC">
              <w:rPr>
                <w:rStyle w:val="FontStyle33"/>
                <w:sz w:val="22"/>
                <w:szCs w:val="22"/>
                <w:lang w:val="sk-SK" w:eastAsia="en-US"/>
              </w:rPr>
              <w:t>Poruchy</w:t>
            </w:r>
          </w:p>
          <w:p w14:paraId="5CC30359" w14:textId="77777777" w:rsidR="00C1508C" w:rsidRPr="00645EDC" w:rsidRDefault="00C1508C" w:rsidP="00747A9C">
            <w:pPr>
              <w:pStyle w:val="Style20"/>
              <w:widowControl/>
              <w:spacing w:line="240" w:lineRule="auto"/>
              <w:ind w:left="10" w:hanging="10"/>
              <w:rPr>
                <w:rStyle w:val="FontStyle33"/>
                <w:sz w:val="22"/>
                <w:szCs w:val="22"/>
                <w:lang w:val="sk-SK" w:eastAsia="en-US"/>
              </w:rPr>
            </w:pPr>
            <w:r w:rsidRPr="00645EDC">
              <w:rPr>
                <w:rStyle w:val="FontStyle33"/>
                <w:sz w:val="22"/>
                <w:szCs w:val="22"/>
                <w:lang w:val="sk-SK" w:eastAsia="en-US"/>
              </w:rPr>
              <w:t>gastrointestinálneho traktu</w:t>
            </w:r>
            <w:r w:rsidRPr="000E4718">
              <w:rPr>
                <w:sz w:val="22"/>
                <w:szCs w:val="22"/>
                <w:lang w:val="sk-SK"/>
              </w:rPr>
              <w:t>*</w:t>
            </w:r>
          </w:p>
        </w:tc>
        <w:tc>
          <w:tcPr>
            <w:tcW w:w="1701" w:type="dxa"/>
          </w:tcPr>
          <w:p w14:paraId="1A9F052D" w14:textId="77777777" w:rsidR="00180132" w:rsidRDefault="00C1508C" w:rsidP="00005320">
            <w:pPr>
              <w:pStyle w:val="Style20"/>
              <w:widowControl/>
              <w:spacing w:line="240" w:lineRule="auto"/>
              <w:ind w:right="-4"/>
              <w:rPr>
                <w:rStyle w:val="FontStyle33"/>
                <w:sz w:val="22"/>
                <w:szCs w:val="22"/>
                <w:lang w:val="sk-SK" w:eastAsia="en-US"/>
              </w:rPr>
            </w:pPr>
            <w:r w:rsidRPr="00645EDC">
              <w:rPr>
                <w:rStyle w:val="FontStyle33"/>
                <w:sz w:val="22"/>
                <w:szCs w:val="22"/>
                <w:lang w:val="sk-SK" w:eastAsia="en-US"/>
              </w:rPr>
              <w:t>Ezofagitída, gastritída, gastroezofageálna refluxná choroba, dyspepsia, hnačka, abdominálna bolesť,</w:t>
            </w:r>
          </w:p>
          <w:p w14:paraId="406461D9" w14:textId="653A77A6" w:rsidR="00C1508C" w:rsidRPr="00645EDC" w:rsidRDefault="00C1508C" w:rsidP="00005320">
            <w:pPr>
              <w:pStyle w:val="Style20"/>
              <w:widowControl/>
              <w:spacing w:line="240" w:lineRule="auto"/>
              <w:ind w:right="-4"/>
              <w:rPr>
                <w:rStyle w:val="FontStyle33"/>
                <w:sz w:val="22"/>
                <w:szCs w:val="22"/>
                <w:lang w:val="sk-SK" w:eastAsia="en-US"/>
              </w:rPr>
            </w:pPr>
            <w:r w:rsidRPr="00645EDC">
              <w:rPr>
                <w:rStyle w:val="FontStyle33"/>
                <w:sz w:val="22"/>
                <w:szCs w:val="22"/>
                <w:lang w:val="sk-SK" w:eastAsia="en-US"/>
              </w:rPr>
              <w:t>nauzea</w:t>
            </w:r>
          </w:p>
        </w:tc>
        <w:tc>
          <w:tcPr>
            <w:tcW w:w="1984" w:type="dxa"/>
          </w:tcPr>
          <w:p w14:paraId="293F2F2E" w14:textId="77777777" w:rsidR="00180132" w:rsidRDefault="00C1508C" w:rsidP="00747A9C">
            <w:pPr>
              <w:pStyle w:val="Style20"/>
              <w:widowControl/>
              <w:spacing w:line="240" w:lineRule="auto"/>
              <w:rPr>
                <w:rStyle w:val="FontStyle33"/>
                <w:sz w:val="22"/>
                <w:szCs w:val="22"/>
                <w:lang w:val="sk-SK" w:eastAsia="en-US"/>
              </w:rPr>
            </w:pPr>
            <w:r w:rsidRPr="00645EDC">
              <w:rPr>
                <w:rStyle w:val="FontStyle33"/>
                <w:sz w:val="22"/>
                <w:szCs w:val="22"/>
                <w:lang w:val="sk-SK" w:eastAsia="en-US"/>
              </w:rPr>
              <w:t xml:space="preserve">Ezofagitída vrátane ezofageálnych vredov alebo striktúr a dysfágia, </w:t>
            </w:r>
          </w:p>
          <w:p w14:paraId="76611BF5" w14:textId="77777777" w:rsidR="00180132" w:rsidRDefault="00C1508C" w:rsidP="00747A9C">
            <w:pPr>
              <w:pStyle w:val="Style20"/>
              <w:widowControl/>
              <w:spacing w:line="240" w:lineRule="auto"/>
              <w:rPr>
                <w:rStyle w:val="FontStyle33"/>
                <w:sz w:val="22"/>
                <w:szCs w:val="22"/>
                <w:lang w:val="sk-SK" w:eastAsia="en-US"/>
              </w:rPr>
            </w:pPr>
            <w:r w:rsidRPr="00645EDC">
              <w:rPr>
                <w:rStyle w:val="FontStyle33"/>
                <w:sz w:val="22"/>
                <w:szCs w:val="22"/>
                <w:lang w:val="sk-SK" w:eastAsia="en-US"/>
              </w:rPr>
              <w:t xml:space="preserve">vracanie, </w:t>
            </w:r>
          </w:p>
          <w:p w14:paraId="660A869D" w14:textId="067A6B63" w:rsidR="00C1508C" w:rsidRPr="00645EDC" w:rsidRDefault="00C1508C" w:rsidP="00747A9C">
            <w:pPr>
              <w:pStyle w:val="Style20"/>
              <w:widowControl/>
              <w:spacing w:line="240" w:lineRule="auto"/>
              <w:rPr>
                <w:rStyle w:val="FontStyle33"/>
                <w:sz w:val="22"/>
                <w:szCs w:val="22"/>
                <w:lang w:val="sk-SK" w:eastAsia="en-US"/>
              </w:rPr>
            </w:pPr>
            <w:r w:rsidRPr="00645EDC">
              <w:rPr>
                <w:rStyle w:val="FontStyle33"/>
                <w:sz w:val="22"/>
                <w:szCs w:val="22"/>
                <w:lang w:val="sk-SK" w:eastAsia="en-US"/>
              </w:rPr>
              <w:t>plynatosť</w:t>
            </w:r>
          </w:p>
        </w:tc>
        <w:tc>
          <w:tcPr>
            <w:tcW w:w="2268" w:type="dxa"/>
          </w:tcPr>
          <w:p w14:paraId="3F2087A5" w14:textId="23B76D69" w:rsidR="00C1508C" w:rsidRPr="00645EDC" w:rsidRDefault="00C1508C" w:rsidP="00747A9C">
            <w:pPr>
              <w:pStyle w:val="Style20"/>
              <w:spacing w:line="240" w:lineRule="auto"/>
              <w:rPr>
                <w:rStyle w:val="FontStyle33"/>
                <w:sz w:val="22"/>
                <w:szCs w:val="22"/>
                <w:lang w:val="sk-SK" w:eastAsia="en-US"/>
              </w:rPr>
            </w:pPr>
            <w:r w:rsidRPr="00645EDC">
              <w:rPr>
                <w:rStyle w:val="FontStyle33"/>
                <w:sz w:val="22"/>
                <w:szCs w:val="22"/>
                <w:lang w:val="sk-SK" w:eastAsia="en-US"/>
              </w:rPr>
              <w:t>Duodenitída</w:t>
            </w:r>
          </w:p>
          <w:p w14:paraId="5E009CFB" w14:textId="4EED155C" w:rsidR="00C1508C" w:rsidRPr="00645EDC" w:rsidRDefault="00C1508C" w:rsidP="00747A9C">
            <w:pPr>
              <w:pStyle w:val="Style20"/>
              <w:spacing w:line="240" w:lineRule="auto"/>
              <w:rPr>
                <w:rStyle w:val="FontStyle33"/>
                <w:sz w:val="22"/>
                <w:szCs w:val="22"/>
                <w:lang w:val="sk-SK" w:eastAsia="en-US"/>
              </w:rPr>
            </w:pPr>
          </w:p>
        </w:tc>
        <w:tc>
          <w:tcPr>
            <w:tcW w:w="1701" w:type="dxa"/>
          </w:tcPr>
          <w:p w14:paraId="5893336E" w14:textId="11B10621" w:rsidR="00C1508C" w:rsidRPr="00645EDC" w:rsidRDefault="00C1508C" w:rsidP="00747A9C">
            <w:pPr>
              <w:pStyle w:val="Style20"/>
              <w:widowControl/>
              <w:spacing w:line="240" w:lineRule="auto"/>
              <w:ind w:left="5" w:hanging="5"/>
              <w:rPr>
                <w:rStyle w:val="FontStyle33"/>
                <w:sz w:val="22"/>
                <w:szCs w:val="22"/>
                <w:lang w:val="sk-SK" w:eastAsia="en-US"/>
              </w:rPr>
            </w:pPr>
          </w:p>
          <w:p w14:paraId="2228F288" w14:textId="1E949FBF" w:rsidR="00C1508C" w:rsidRPr="00645EDC" w:rsidRDefault="00C1508C" w:rsidP="00747A9C">
            <w:pPr>
              <w:pStyle w:val="Style20"/>
              <w:spacing w:line="240" w:lineRule="auto"/>
              <w:ind w:firstLine="5"/>
              <w:rPr>
                <w:rStyle w:val="FontStyle33"/>
                <w:sz w:val="22"/>
                <w:szCs w:val="22"/>
                <w:lang w:val="sk-SK" w:eastAsia="en-US"/>
              </w:rPr>
            </w:pPr>
          </w:p>
          <w:p w14:paraId="17ED10A5" w14:textId="46C134F5" w:rsidR="00C1508C" w:rsidRPr="00645EDC" w:rsidRDefault="00C1508C" w:rsidP="00747A9C">
            <w:pPr>
              <w:pStyle w:val="Style20"/>
              <w:spacing w:line="240" w:lineRule="auto"/>
              <w:rPr>
                <w:rStyle w:val="FontStyle33"/>
                <w:sz w:val="22"/>
                <w:szCs w:val="22"/>
                <w:lang w:val="sk-SK" w:eastAsia="en-US"/>
              </w:rPr>
            </w:pPr>
          </w:p>
        </w:tc>
      </w:tr>
      <w:tr w:rsidR="003B3AB7" w:rsidRPr="00645EDC" w14:paraId="67A11BD5" w14:textId="77777777" w:rsidTr="003B3AB7">
        <w:trPr>
          <w:trHeight w:val="769"/>
        </w:trPr>
        <w:tc>
          <w:tcPr>
            <w:tcW w:w="1418" w:type="dxa"/>
            <w:vAlign w:val="center"/>
          </w:tcPr>
          <w:p w14:paraId="42E38E68" w14:textId="77777777" w:rsidR="003B3AB7" w:rsidRPr="00645EDC" w:rsidRDefault="003B3AB7" w:rsidP="00747A9C">
            <w:pPr>
              <w:pStyle w:val="Style20"/>
              <w:widowControl/>
              <w:spacing w:line="240" w:lineRule="auto"/>
              <w:rPr>
                <w:rStyle w:val="FontStyle33"/>
                <w:sz w:val="22"/>
                <w:szCs w:val="22"/>
                <w:lang w:val="sk-SK" w:eastAsia="en-US"/>
              </w:rPr>
            </w:pPr>
            <w:r w:rsidRPr="00645EDC">
              <w:rPr>
                <w:rStyle w:val="FontStyle33"/>
                <w:sz w:val="22"/>
                <w:szCs w:val="22"/>
                <w:lang w:val="sk-SK" w:eastAsia="en-US"/>
              </w:rPr>
              <w:t>Poruchy kože</w:t>
            </w:r>
          </w:p>
          <w:p w14:paraId="2EDB0639" w14:textId="77777777" w:rsidR="003B3AB7" w:rsidRPr="00645EDC" w:rsidRDefault="003B3AB7" w:rsidP="00747A9C">
            <w:pPr>
              <w:pStyle w:val="Style20"/>
              <w:widowControl/>
              <w:spacing w:line="240" w:lineRule="auto"/>
              <w:rPr>
                <w:rStyle w:val="FontStyle33"/>
                <w:sz w:val="22"/>
                <w:szCs w:val="22"/>
                <w:lang w:val="sk-SK" w:eastAsia="en-US"/>
              </w:rPr>
            </w:pPr>
            <w:r w:rsidRPr="00645EDC">
              <w:rPr>
                <w:rStyle w:val="FontStyle33"/>
                <w:sz w:val="22"/>
                <w:szCs w:val="22"/>
                <w:lang w:val="sk-SK" w:eastAsia="en-US"/>
              </w:rPr>
              <w:t>a podkožného tkaniva</w:t>
            </w:r>
          </w:p>
        </w:tc>
        <w:tc>
          <w:tcPr>
            <w:tcW w:w="1701" w:type="dxa"/>
          </w:tcPr>
          <w:p w14:paraId="238A7567" w14:textId="77777777" w:rsidR="003B3AB7" w:rsidRPr="00645EDC" w:rsidRDefault="003B3AB7" w:rsidP="00005320">
            <w:pPr>
              <w:pStyle w:val="Style20"/>
              <w:widowControl/>
              <w:spacing w:line="240" w:lineRule="auto"/>
              <w:ind w:right="-4"/>
              <w:rPr>
                <w:rStyle w:val="FontStyle33"/>
                <w:sz w:val="22"/>
                <w:szCs w:val="22"/>
                <w:lang w:val="sk-SK" w:eastAsia="en-US"/>
              </w:rPr>
            </w:pPr>
            <w:r w:rsidRPr="00645EDC">
              <w:rPr>
                <w:rStyle w:val="FontStyle33"/>
                <w:sz w:val="22"/>
                <w:szCs w:val="22"/>
                <w:lang w:val="sk-SK" w:eastAsia="en-US"/>
              </w:rPr>
              <w:t>Vyrážka</w:t>
            </w:r>
          </w:p>
        </w:tc>
        <w:tc>
          <w:tcPr>
            <w:tcW w:w="1984" w:type="dxa"/>
          </w:tcPr>
          <w:p w14:paraId="11C6A8D8" w14:textId="77777777" w:rsidR="003B3AB7" w:rsidRPr="00645EDC" w:rsidRDefault="003B3AB7" w:rsidP="00747A9C">
            <w:pPr>
              <w:pStyle w:val="Style20"/>
              <w:widowControl/>
              <w:spacing w:line="240" w:lineRule="auto"/>
              <w:rPr>
                <w:rStyle w:val="FontStyle33"/>
                <w:sz w:val="22"/>
                <w:szCs w:val="22"/>
                <w:lang w:val="sk-SK" w:eastAsia="en-US"/>
              </w:rPr>
            </w:pPr>
          </w:p>
        </w:tc>
        <w:tc>
          <w:tcPr>
            <w:tcW w:w="2268" w:type="dxa"/>
          </w:tcPr>
          <w:p w14:paraId="21765F4D" w14:textId="0F0D15AA" w:rsidR="00180132" w:rsidRDefault="003B3AB7" w:rsidP="00747A9C">
            <w:pPr>
              <w:pStyle w:val="Style20"/>
              <w:spacing w:line="240" w:lineRule="auto"/>
              <w:rPr>
                <w:rStyle w:val="FontStyle33"/>
                <w:sz w:val="22"/>
                <w:szCs w:val="22"/>
                <w:lang w:val="sk-SK" w:eastAsia="en-US"/>
              </w:rPr>
            </w:pPr>
            <w:r w:rsidRPr="00645EDC">
              <w:rPr>
                <w:rStyle w:val="FontStyle33"/>
                <w:sz w:val="22"/>
                <w:szCs w:val="22"/>
                <w:lang w:val="sk-SK" w:eastAsia="en-US"/>
              </w:rPr>
              <w:t xml:space="preserve">Angioedém, </w:t>
            </w:r>
          </w:p>
          <w:p w14:paraId="1AA883F0" w14:textId="77777777" w:rsidR="00180132" w:rsidRDefault="003B3AB7" w:rsidP="00747A9C">
            <w:pPr>
              <w:pStyle w:val="Style20"/>
              <w:spacing w:line="240" w:lineRule="auto"/>
              <w:rPr>
                <w:rStyle w:val="FontStyle33"/>
                <w:sz w:val="22"/>
                <w:szCs w:val="22"/>
                <w:lang w:val="sk-SK" w:eastAsia="en-US"/>
              </w:rPr>
            </w:pPr>
            <w:r w:rsidRPr="00645EDC">
              <w:rPr>
                <w:rStyle w:val="FontStyle33"/>
                <w:sz w:val="22"/>
                <w:szCs w:val="22"/>
                <w:lang w:val="sk-SK" w:eastAsia="en-US"/>
              </w:rPr>
              <w:t xml:space="preserve">edém tváre, </w:t>
            </w:r>
          </w:p>
          <w:p w14:paraId="20CD9976" w14:textId="4DDA5512" w:rsidR="003B3AB7" w:rsidRPr="00645EDC" w:rsidRDefault="003B3AB7" w:rsidP="00747A9C">
            <w:pPr>
              <w:pStyle w:val="Style20"/>
              <w:spacing w:line="240" w:lineRule="auto"/>
              <w:rPr>
                <w:rStyle w:val="FontStyle33"/>
                <w:sz w:val="22"/>
                <w:szCs w:val="22"/>
                <w:lang w:val="sk-SK" w:eastAsia="en-US"/>
              </w:rPr>
            </w:pPr>
            <w:r w:rsidRPr="00645EDC">
              <w:rPr>
                <w:rStyle w:val="FontStyle33"/>
                <w:sz w:val="22"/>
                <w:szCs w:val="22"/>
                <w:lang w:val="sk-SK" w:eastAsia="en-US"/>
              </w:rPr>
              <w:t>urtikária</w:t>
            </w:r>
          </w:p>
        </w:tc>
        <w:tc>
          <w:tcPr>
            <w:tcW w:w="1701" w:type="dxa"/>
          </w:tcPr>
          <w:p w14:paraId="2C08C603" w14:textId="0404E5FD" w:rsidR="003B3AB7" w:rsidRPr="00645EDC" w:rsidRDefault="00A00FA2" w:rsidP="00747A9C">
            <w:pPr>
              <w:pStyle w:val="Style20"/>
              <w:spacing w:line="240" w:lineRule="auto"/>
              <w:rPr>
                <w:rStyle w:val="FontStyle33"/>
                <w:sz w:val="22"/>
                <w:szCs w:val="22"/>
                <w:lang w:val="sk-SK" w:eastAsia="en-US"/>
              </w:rPr>
            </w:pPr>
            <w:r w:rsidRPr="00645EDC">
              <w:rPr>
                <w:rStyle w:val="FontStyle33"/>
                <w:sz w:val="22"/>
                <w:szCs w:val="22"/>
                <w:lang w:val="sk-SK" w:eastAsia="en-US"/>
              </w:rPr>
              <w:t>Stevensov-Johnsonov syndróm†, multiformný erytém†, bulózna dermatitída†</w:t>
            </w:r>
          </w:p>
        </w:tc>
      </w:tr>
      <w:tr w:rsidR="003B3AB7" w:rsidRPr="00645EDC" w14:paraId="629587E5" w14:textId="77777777" w:rsidTr="003B3AB7">
        <w:trPr>
          <w:trHeight w:val="1771"/>
        </w:trPr>
        <w:tc>
          <w:tcPr>
            <w:tcW w:w="1418" w:type="dxa"/>
            <w:vAlign w:val="center"/>
          </w:tcPr>
          <w:p w14:paraId="2AB5A3CE" w14:textId="77777777" w:rsidR="003B3AB7" w:rsidRPr="00645EDC" w:rsidRDefault="003B3AB7" w:rsidP="00747A9C">
            <w:pPr>
              <w:pStyle w:val="Style20"/>
              <w:widowControl/>
              <w:spacing w:line="240" w:lineRule="auto"/>
              <w:rPr>
                <w:rStyle w:val="FontStyle33"/>
                <w:sz w:val="22"/>
                <w:szCs w:val="22"/>
                <w:lang w:val="sk-SK" w:eastAsia="en-US"/>
              </w:rPr>
            </w:pPr>
            <w:r w:rsidRPr="00645EDC">
              <w:rPr>
                <w:rStyle w:val="FontStyle33"/>
                <w:sz w:val="22"/>
                <w:szCs w:val="22"/>
                <w:lang w:val="sk-SK" w:eastAsia="en-US"/>
              </w:rPr>
              <w:lastRenderedPageBreak/>
              <w:t>Poruchy kostrovej a svalovej sústavy a spojivového tkaniva</w:t>
            </w:r>
          </w:p>
        </w:tc>
        <w:tc>
          <w:tcPr>
            <w:tcW w:w="1701" w:type="dxa"/>
          </w:tcPr>
          <w:p w14:paraId="4EB3690F" w14:textId="77777777" w:rsidR="00180132" w:rsidRDefault="003B3AB7" w:rsidP="00005320">
            <w:pPr>
              <w:pStyle w:val="Style20"/>
              <w:widowControl/>
              <w:spacing w:line="240" w:lineRule="auto"/>
              <w:ind w:right="-4"/>
              <w:rPr>
                <w:rStyle w:val="FontStyle33"/>
                <w:sz w:val="22"/>
                <w:szCs w:val="22"/>
                <w:lang w:val="sk-SK" w:eastAsia="en-US"/>
              </w:rPr>
            </w:pPr>
            <w:r w:rsidRPr="00645EDC">
              <w:rPr>
                <w:rStyle w:val="FontStyle33"/>
                <w:sz w:val="22"/>
                <w:szCs w:val="22"/>
                <w:lang w:val="sk-SK" w:eastAsia="en-US"/>
              </w:rPr>
              <w:t xml:space="preserve">Artralgia, myalgia, muskuloskeletálna bolesť, </w:t>
            </w:r>
          </w:p>
          <w:p w14:paraId="1559DF1E" w14:textId="53D2481A" w:rsidR="003B3AB7" w:rsidRPr="00645EDC" w:rsidRDefault="003B3AB7" w:rsidP="00005320">
            <w:pPr>
              <w:pStyle w:val="Style20"/>
              <w:widowControl/>
              <w:spacing w:line="240" w:lineRule="auto"/>
              <w:ind w:right="-4"/>
              <w:rPr>
                <w:rStyle w:val="FontStyle33"/>
                <w:sz w:val="22"/>
                <w:szCs w:val="22"/>
                <w:lang w:val="sk-SK" w:eastAsia="en-US"/>
              </w:rPr>
            </w:pPr>
            <w:r w:rsidRPr="00645EDC">
              <w:rPr>
                <w:rStyle w:val="FontStyle33"/>
                <w:sz w:val="22"/>
                <w:szCs w:val="22"/>
                <w:lang w:val="sk-SK" w:eastAsia="en-US"/>
              </w:rPr>
              <w:t>svalové kŕče, muskuloskeletálna stuhnutosť</w:t>
            </w:r>
          </w:p>
        </w:tc>
        <w:tc>
          <w:tcPr>
            <w:tcW w:w="1984" w:type="dxa"/>
          </w:tcPr>
          <w:p w14:paraId="33D14E1A" w14:textId="77777777" w:rsidR="003B3AB7" w:rsidRPr="00645EDC" w:rsidRDefault="003B3AB7" w:rsidP="00747A9C">
            <w:pPr>
              <w:pStyle w:val="Style20"/>
              <w:widowControl/>
              <w:spacing w:line="240" w:lineRule="auto"/>
              <w:rPr>
                <w:rStyle w:val="FontStyle33"/>
                <w:sz w:val="22"/>
                <w:szCs w:val="22"/>
                <w:lang w:val="sk-SK" w:eastAsia="en-US"/>
              </w:rPr>
            </w:pPr>
            <w:r w:rsidRPr="00645EDC">
              <w:rPr>
                <w:rStyle w:val="FontStyle33"/>
                <w:sz w:val="22"/>
                <w:szCs w:val="22"/>
                <w:lang w:val="sk-SK" w:eastAsia="en-US"/>
              </w:rPr>
              <w:t>Bolesť chrbta</w:t>
            </w:r>
          </w:p>
        </w:tc>
        <w:tc>
          <w:tcPr>
            <w:tcW w:w="2268" w:type="dxa"/>
          </w:tcPr>
          <w:p w14:paraId="52E3D52B" w14:textId="33598E20" w:rsidR="003B3AB7" w:rsidRPr="00645EDC" w:rsidRDefault="003B3AB7" w:rsidP="00747A9C">
            <w:pPr>
              <w:pStyle w:val="Style20"/>
              <w:spacing w:line="240" w:lineRule="auto"/>
              <w:rPr>
                <w:rStyle w:val="FontStyle33"/>
                <w:sz w:val="22"/>
                <w:szCs w:val="22"/>
                <w:lang w:val="sk-SK" w:eastAsia="en-US"/>
              </w:rPr>
            </w:pPr>
            <w:r w:rsidRPr="00645EDC">
              <w:rPr>
                <w:rStyle w:val="FontStyle33"/>
                <w:sz w:val="22"/>
                <w:szCs w:val="22"/>
                <w:lang w:val="sk-SK" w:eastAsia="en-US"/>
              </w:rPr>
              <w:t xml:space="preserve">Atypické subtrochanterické a diafyzálne femorálne fraktúry </w:t>
            </w:r>
            <w:r w:rsidRPr="000E4718">
              <w:rPr>
                <w:sz w:val="22"/>
                <w:szCs w:val="22"/>
                <w:lang w:val="sk-SK"/>
              </w:rPr>
              <w:t>†</w:t>
            </w:r>
          </w:p>
        </w:tc>
        <w:tc>
          <w:tcPr>
            <w:tcW w:w="1701" w:type="dxa"/>
          </w:tcPr>
          <w:p w14:paraId="0975A977" w14:textId="521EE80E" w:rsidR="003B3AB7" w:rsidRPr="000E4718" w:rsidRDefault="003B3AB7" w:rsidP="003B3AB7">
            <w:pPr>
              <w:pStyle w:val="Style20"/>
              <w:widowControl/>
              <w:spacing w:line="240" w:lineRule="auto"/>
              <w:rPr>
                <w:sz w:val="22"/>
                <w:szCs w:val="22"/>
                <w:lang w:val="sk-SK"/>
              </w:rPr>
            </w:pPr>
            <w:r w:rsidRPr="00645EDC">
              <w:rPr>
                <w:rStyle w:val="FontStyle33"/>
                <w:sz w:val="22"/>
                <w:szCs w:val="22"/>
                <w:lang w:val="sk-SK" w:eastAsia="en-US"/>
              </w:rPr>
              <w:t>Osteonekróza čeľuste</w:t>
            </w:r>
            <w:r w:rsidRPr="000E4718">
              <w:rPr>
                <w:sz w:val="22"/>
                <w:szCs w:val="22"/>
                <w:lang w:val="sk-SK"/>
              </w:rPr>
              <w:t>*</w:t>
            </w:r>
            <w:r w:rsidR="00E17544" w:rsidRPr="00645EDC">
              <w:rPr>
                <w:rStyle w:val="FontStyle33"/>
                <w:sz w:val="22"/>
                <w:szCs w:val="22"/>
                <w:lang w:val="sk-SK" w:eastAsia="en-US"/>
              </w:rPr>
              <w:t>†</w:t>
            </w:r>
          </w:p>
          <w:p w14:paraId="257D496C" w14:textId="4C855B40" w:rsidR="00A00FA2" w:rsidRPr="00645EDC" w:rsidRDefault="00A00FA2" w:rsidP="003B3AB7">
            <w:pPr>
              <w:pStyle w:val="Style20"/>
              <w:widowControl/>
              <w:spacing w:line="240" w:lineRule="auto"/>
              <w:rPr>
                <w:rStyle w:val="FontStyle33"/>
                <w:sz w:val="22"/>
                <w:szCs w:val="22"/>
                <w:lang w:val="sk-SK" w:eastAsia="en-US"/>
              </w:rPr>
            </w:pPr>
            <w:r w:rsidRPr="000E4718">
              <w:rPr>
                <w:rStyle w:val="FontStyle33"/>
                <w:sz w:val="22"/>
                <w:szCs w:val="22"/>
                <w:lang w:val="sk-SK" w:eastAsia="en-US"/>
              </w:rPr>
              <w:t>osteonekróza vonkajšieho zvukovodu (nežiaduca reakcia triedy bisfosfonátov)</w:t>
            </w:r>
            <w:r w:rsidR="00E17544" w:rsidRPr="00645EDC">
              <w:rPr>
                <w:rStyle w:val="FontStyle33"/>
                <w:sz w:val="22"/>
                <w:szCs w:val="22"/>
                <w:lang w:val="sk-SK" w:eastAsia="en-US"/>
              </w:rPr>
              <w:t>†</w:t>
            </w:r>
          </w:p>
          <w:p w14:paraId="01F301B7" w14:textId="33BCFCBF" w:rsidR="003B3AB7" w:rsidRPr="00645EDC" w:rsidRDefault="003B3AB7" w:rsidP="00005320">
            <w:pPr>
              <w:pStyle w:val="Style20"/>
              <w:spacing w:line="240" w:lineRule="auto"/>
              <w:rPr>
                <w:rStyle w:val="FontStyle33"/>
                <w:sz w:val="22"/>
                <w:szCs w:val="22"/>
                <w:lang w:val="sk-SK" w:eastAsia="en-US"/>
              </w:rPr>
            </w:pPr>
          </w:p>
        </w:tc>
      </w:tr>
      <w:tr w:rsidR="003B3AB7" w:rsidRPr="00645EDC" w14:paraId="22580EDD" w14:textId="77777777" w:rsidTr="003B3AB7">
        <w:trPr>
          <w:trHeight w:val="1012"/>
        </w:trPr>
        <w:tc>
          <w:tcPr>
            <w:tcW w:w="1418" w:type="dxa"/>
            <w:vAlign w:val="center"/>
          </w:tcPr>
          <w:p w14:paraId="1D8B41CD" w14:textId="77777777" w:rsidR="003B3AB7" w:rsidRPr="00645EDC" w:rsidRDefault="003B3AB7" w:rsidP="00747A9C">
            <w:pPr>
              <w:pStyle w:val="Style20"/>
              <w:widowControl/>
              <w:spacing w:line="240" w:lineRule="auto"/>
              <w:ind w:firstLine="5"/>
              <w:rPr>
                <w:rStyle w:val="FontStyle33"/>
                <w:sz w:val="22"/>
                <w:szCs w:val="22"/>
                <w:lang w:val="sk-SK" w:eastAsia="en-US"/>
              </w:rPr>
            </w:pPr>
            <w:r w:rsidRPr="00645EDC">
              <w:rPr>
                <w:rStyle w:val="FontStyle33"/>
                <w:sz w:val="22"/>
                <w:szCs w:val="22"/>
                <w:lang w:val="sk-SK" w:eastAsia="en-US"/>
              </w:rPr>
              <w:t>Celkové poruchy a reakcie v mieste podania</w:t>
            </w:r>
          </w:p>
        </w:tc>
        <w:tc>
          <w:tcPr>
            <w:tcW w:w="1701" w:type="dxa"/>
          </w:tcPr>
          <w:p w14:paraId="02680548" w14:textId="77777777" w:rsidR="003B3AB7" w:rsidRPr="00645EDC" w:rsidRDefault="003B3AB7" w:rsidP="00005320">
            <w:pPr>
              <w:pStyle w:val="Style20"/>
              <w:widowControl/>
              <w:spacing w:line="240" w:lineRule="auto"/>
              <w:ind w:right="-4"/>
              <w:rPr>
                <w:rStyle w:val="FontStyle33"/>
                <w:sz w:val="22"/>
                <w:szCs w:val="22"/>
                <w:lang w:val="sk-SK" w:eastAsia="en-US"/>
              </w:rPr>
            </w:pPr>
            <w:r w:rsidRPr="00645EDC">
              <w:rPr>
                <w:rStyle w:val="FontStyle33"/>
                <w:sz w:val="22"/>
                <w:szCs w:val="22"/>
                <w:lang w:val="sk-SK" w:eastAsia="en-US"/>
              </w:rPr>
              <w:t>Chrípke podobné ochorenie*</w:t>
            </w:r>
          </w:p>
        </w:tc>
        <w:tc>
          <w:tcPr>
            <w:tcW w:w="1984" w:type="dxa"/>
          </w:tcPr>
          <w:p w14:paraId="6B9F4A49" w14:textId="77777777" w:rsidR="003B3AB7" w:rsidRPr="00645EDC" w:rsidRDefault="003B3AB7" w:rsidP="00747A9C">
            <w:pPr>
              <w:pStyle w:val="Style20"/>
              <w:widowControl/>
              <w:spacing w:line="240" w:lineRule="auto"/>
              <w:rPr>
                <w:rStyle w:val="FontStyle33"/>
                <w:sz w:val="22"/>
                <w:szCs w:val="22"/>
                <w:lang w:val="sk-SK" w:eastAsia="en-US"/>
              </w:rPr>
            </w:pPr>
            <w:r w:rsidRPr="00645EDC">
              <w:rPr>
                <w:rStyle w:val="FontStyle33"/>
                <w:sz w:val="22"/>
                <w:szCs w:val="22"/>
                <w:lang w:val="sk-SK" w:eastAsia="en-US"/>
              </w:rPr>
              <w:t>Únava</w:t>
            </w:r>
          </w:p>
        </w:tc>
        <w:tc>
          <w:tcPr>
            <w:tcW w:w="2268" w:type="dxa"/>
          </w:tcPr>
          <w:p w14:paraId="58F1B607" w14:textId="7438EE38" w:rsidR="003B3AB7" w:rsidRPr="00645EDC" w:rsidRDefault="003B3AB7" w:rsidP="00747A9C">
            <w:pPr>
              <w:pStyle w:val="Style20"/>
              <w:widowControl/>
              <w:spacing w:line="240" w:lineRule="auto"/>
              <w:rPr>
                <w:rStyle w:val="FontStyle33"/>
                <w:sz w:val="22"/>
                <w:szCs w:val="22"/>
                <w:lang w:val="sk-SK" w:eastAsia="en-US"/>
              </w:rPr>
            </w:pPr>
          </w:p>
          <w:p w14:paraId="4BE0FD7D" w14:textId="4717DB72" w:rsidR="003B3AB7" w:rsidRPr="00645EDC" w:rsidRDefault="003B3AB7" w:rsidP="00747A9C">
            <w:pPr>
              <w:pStyle w:val="Style20"/>
              <w:spacing w:line="240" w:lineRule="auto"/>
              <w:rPr>
                <w:rStyle w:val="FontStyle33"/>
                <w:sz w:val="22"/>
                <w:szCs w:val="22"/>
                <w:lang w:val="sk-SK" w:eastAsia="en-US"/>
              </w:rPr>
            </w:pPr>
          </w:p>
        </w:tc>
        <w:tc>
          <w:tcPr>
            <w:tcW w:w="1701" w:type="dxa"/>
          </w:tcPr>
          <w:p w14:paraId="1169812D" w14:textId="794A7D0D" w:rsidR="003B3AB7" w:rsidRPr="00645EDC" w:rsidRDefault="003B3AB7" w:rsidP="00747A9C">
            <w:pPr>
              <w:pStyle w:val="Style20"/>
              <w:widowControl/>
              <w:spacing w:line="240" w:lineRule="auto"/>
              <w:ind w:firstLine="14"/>
              <w:rPr>
                <w:rStyle w:val="FontStyle33"/>
                <w:sz w:val="22"/>
                <w:szCs w:val="22"/>
                <w:lang w:val="sk-SK" w:eastAsia="en-US"/>
              </w:rPr>
            </w:pPr>
          </w:p>
          <w:p w14:paraId="178D49E2" w14:textId="39AC575B" w:rsidR="003B3AB7" w:rsidRPr="00645EDC" w:rsidRDefault="003B3AB7" w:rsidP="00747A9C">
            <w:pPr>
              <w:pStyle w:val="Style20"/>
              <w:spacing w:line="240" w:lineRule="auto"/>
              <w:rPr>
                <w:rStyle w:val="FontStyle33"/>
                <w:sz w:val="22"/>
                <w:szCs w:val="22"/>
                <w:lang w:val="sk-SK" w:eastAsia="en-US"/>
              </w:rPr>
            </w:pPr>
          </w:p>
        </w:tc>
      </w:tr>
    </w:tbl>
    <w:p w14:paraId="273EEAC3" w14:textId="77777777" w:rsidR="00B54478" w:rsidRPr="00645EDC" w:rsidRDefault="003B3AB7" w:rsidP="003B7D86">
      <w:pPr>
        <w:pStyle w:val="Style17"/>
        <w:widowControl/>
        <w:spacing w:line="240" w:lineRule="auto"/>
        <w:jc w:val="both"/>
        <w:rPr>
          <w:rStyle w:val="FontStyle33"/>
          <w:sz w:val="22"/>
          <w:szCs w:val="22"/>
          <w:lang w:val="sk-SK" w:eastAsia="en-US"/>
        </w:rPr>
      </w:pPr>
      <w:r w:rsidRPr="00645EDC">
        <w:rPr>
          <w:rStyle w:val="FontStyle33"/>
          <w:sz w:val="22"/>
          <w:szCs w:val="22"/>
          <w:lang w:val="sk-SK" w:eastAsia="en-US"/>
        </w:rPr>
        <w:t>*ďalšie informácie pozri nižšie</w:t>
      </w:r>
    </w:p>
    <w:p w14:paraId="33C0F057" w14:textId="77777777" w:rsidR="003B3AB7" w:rsidRPr="00645EDC" w:rsidRDefault="003B3AB7" w:rsidP="003B7D86">
      <w:pPr>
        <w:pStyle w:val="Style17"/>
        <w:widowControl/>
        <w:spacing w:line="240" w:lineRule="auto"/>
        <w:jc w:val="both"/>
        <w:rPr>
          <w:sz w:val="22"/>
          <w:szCs w:val="22"/>
          <w:lang w:val="sk-SK"/>
        </w:rPr>
      </w:pPr>
      <w:r w:rsidRPr="00645EDC">
        <w:rPr>
          <w:sz w:val="22"/>
          <w:szCs w:val="22"/>
          <w:lang w:val="sk-SK"/>
        </w:rPr>
        <w:t>† identifikované zo skúseností po uvedení lieku na trh</w:t>
      </w:r>
    </w:p>
    <w:p w14:paraId="0BD1079C" w14:textId="77777777" w:rsidR="003B3AB7" w:rsidRDefault="003B3AB7" w:rsidP="003B7D86">
      <w:pPr>
        <w:pStyle w:val="Style17"/>
        <w:widowControl/>
        <w:spacing w:line="240" w:lineRule="auto"/>
        <w:jc w:val="both"/>
        <w:rPr>
          <w:rStyle w:val="FontStyle29"/>
          <w:sz w:val="22"/>
          <w:szCs w:val="22"/>
          <w:lang w:val="sk-SK" w:eastAsia="en-US"/>
        </w:rPr>
      </w:pPr>
    </w:p>
    <w:p w14:paraId="52144A62" w14:textId="77777777" w:rsidR="00180132" w:rsidRPr="00645EDC" w:rsidRDefault="00180132" w:rsidP="003B7D86">
      <w:pPr>
        <w:pStyle w:val="Style17"/>
        <w:widowControl/>
        <w:spacing w:line="240" w:lineRule="auto"/>
        <w:jc w:val="both"/>
        <w:rPr>
          <w:rStyle w:val="FontStyle29"/>
          <w:sz w:val="22"/>
          <w:szCs w:val="22"/>
          <w:lang w:val="sk-SK" w:eastAsia="en-US"/>
        </w:rPr>
      </w:pPr>
    </w:p>
    <w:p w14:paraId="24D60057" w14:textId="77777777" w:rsidR="003B7D86" w:rsidRPr="000E4718" w:rsidRDefault="003B3AB7" w:rsidP="003B7D86">
      <w:pPr>
        <w:pStyle w:val="Style17"/>
        <w:widowControl/>
        <w:spacing w:line="240" w:lineRule="auto"/>
        <w:rPr>
          <w:rStyle w:val="FontStyle29"/>
          <w:sz w:val="22"/>
          <w:szCs w:val="22"/>
          <w:u w:val="single"/>
          <w:lang w:val="sk-SK" w:eastAsia="en-US"/>
        </w:rPr>
      </w:pPr>
      <w:r w:rsidRPr="000E4718">
        <w:rPr>
          <w:rStyle w:val="FontStyle29"/>
          <w:sz w:val="22"/>
          <w:szCs w:val="22"/>
          <w:u w:val="single"/>
          <w:lang w:val="sk-SK" w:eastAsia="en-US"/>
        </w:rPr>
        <w:t>Opis vybraných nežiaducich reakcií</w:t>
      </w:r>
    </w:p>
    <w:p w14:paraId="40D7CC38" w14:textId="77777777" w:rsidR="003B3AB7" w:rsidRPr="00645EDC" w:rsidRDefault="003B3AB7" w:rsidP="003B7D86">
      <w:pPr>
        <w:pStyle w:val="Style17"/>
        <w:widowControl/>
        <w:spacing w:line="240" w:lineRule="auto"/>
        <w:rPr>
          <w:rStyle w:val="FontStyle29"/>
          <w:sz w:val="22"/>
          <w:szCs w:val="22"/>
          <w:lang w:val="sk-SK" w:eastAsia="en-US"/>
        </w:rPr>
      </w:pPr>
    </w:p>
    <w:p w14:paraId="31C2462E" w14:textId="77777777" w:rsidR="003B3AB7" w:rsidRPr="00645EDC" w:rsidRDefault="003B3AB7" w:rsidP="003B7D86">
      <w:pPr>
        <w:pStyle w:val="Style17"/>
        <w:widowControl/>
        <w:spacing w:line="240" w:lineRule="auto"/>
        <w:rPr>
          <w:rStyle w:val="FontStyle29"/>
          <w:i/>
          <w:sz w:val="22"/>
          <w:szCs w:val="22"/>
          <w:u w:val="single"/>
          <w:lang w:val="sk-SK" w:eastAsia="en-US"/>
        </w:rPr>
      </w:pPr>
      <w:r w:rsidRPr="00645EDC">
        <w:rPr>
          <w:rStyle w:val="FontStyle29"/>
          <w:i/>
          <w:sz w:val="22"/>
          <w:szCs w:val="22"/>
          <w:u w:val="single"/>
          <w:lang w:val="sk-SK" w:eastAsia="en-US"/>
        </w:rPr>
        <w:t>Gastrointestinálne nežiaduce reakcie</w:t>
      </w:r>
    </w:p>
    <w:p w14:paraId="050B1148" w14:textId="445F26D9" w:rsidR="003B7D86" w:rsidRPr="00645EDC" w:rsidRDefault="003B7D86" w:rsidP="003B7D86">
      <w:pPr>
        <w:pStyle w:val="Style9"/>
        <w:widowControl/>
        <w:spacing w:line="240" w:lineRule="auto"/>
        <w:rPr>
          <w:rStyle w:val="FontStyle33"/>
          <w:sz w:val="22"/>
          <w:szCs w:val="22"/>
          <w:lang w:val="sk-SK" w:eastAsia="en-US"/>
        </w:rPr>
      </w:pPr>
      <w:r w:rsidRPr="00645EDC">
        <w:rPr>
          <w:rStyle w:val="FontStyle33"/>
          <w:sz w:val="22"/>
          <w:szCs w:val="22"/>
          <w:lang w:val="sk-SK" w:eastAsia="en-US"/>
        </w:rPr>
        <w:t xml:space="preserve">Do štúdie zameranej na liečbu jedenkrát mesačne boli zahrnutí pacienti s gastrointestinálnym ochorením v anamnéze, vrátane pacientov s peptickým vredom bez nedávneho krvácania alebo hospitalizácie, a pacientov s dyspepsiou alebo refluxom, ktoré boli regulované liekmi. U týchto pacientov sa nepozoroval rozdiel vo výskyte nežiaducich </w:t>
      </w:r>
      <w:r w:rsidR="003B3AB7" w:rsidRPr="00645EDC">
        <w:rPr>
          <w:rStyle w:val="FontStyle33"/>
          <w:sz w:val="22"/>
          <w:szCs w:val="22"/>
          <w:lang w:val="sk-SK" w:eastAsia="en-US"/>
        </w:rPr>
        <w:t xml:space="preserve">udalostí </w:t>
      </w:r>
      <w:r w:rsidRPr="00645EDC">
        <w:rPr>
          <w:rStyle w:val="FontStyle33"/>
          <w:sz w:val="22"/>
          <w:szCs w:val="22"/>
          <w:lang w:val="sk-SK" w:eastAsia="en-US"/>
        </w:rPr>
        <w:t>v hornej časti gastrointestinálneho traktu pri režime 150 mg raz mesačne oproti režimu 2,5 mg raz denne.</w:t>
      </w:r>
    </w:p>
    <w:p w14:paraId="14A29DF9" w14:textId="77777777" w:rsidR="003B7D86" w:rsidRPr="00645EDC" w:rsidRDefault="003B7D86" w:rsidP="003B7D86">
      <w:pPr>
        <w:pStyle w:val="Style7"/>
        <w:widowControl/>
        <w:spacing w:line="240" w:lineRule="auto"/>
        <w:jc w:val="left"/>
        <w:rPr>
          <w:sz w:val="22"/>
          <w:szCs w:val="22"/>
          <w:lang w:val="sk-SK"/>
        </w:rPr>
      </w:pPr>
    </w:p>
    <w:p w14:paraId="3D931061" w14:textId="77777777" w:rsidR="003B3AB7" w:rsidRPr="00645EDC" w:rsidRDefault="003B3AB7" w:rsidP="003B7D86">
      <w:pPr>
        <w:pStyle w:val="Style7"/>
        <w:widowControl/>
        <w:spacing w:line="240" w:lineRule="auto"/>
        <w:jc w:val="left"/>
        <w:rPr>
          <w:i/>
          <w:sz w:val="22"/>
          <w:szCs w:val="22"/>
          <w:u w:val="single"/>
          <w:lang w:val="sk-SK"/>
        </w:rPr>
      </w:pPr>
      <w:r w:rsidRPr="00645EDC">
        <w:rPr>
          <w:i/>
          <w:sz w:val="22"/>
          <w:szCs w:val="22"/>
          <w:u w:val="single"/>
          <w:lang w:val="sk-SK"/>
        </w:rPr>
        <w:t>Ochorenie podobné chrípke</w:t>
      </w:r>
    </w:p>
    <w:p w14:paraId="4DE8388C" w14:textId="77777777" w:rsidR="003B3AB7" w:rsidRPr="00645EDC" w:rsidRDefault="003B3AB7" w:rsidP="003B7D86">
      <w:pPr>
        <w:pStyle w:val="Style7"/>
        <w:widowControl/>
        <w:spacing w:line="240" w:lineRule="auto"/>
        <w:jc w:val="left"/>
        <w:rPr>
          <w:sz w:val="22"/>
          <w:szCs w:val="22"/>
          <w:lang w:val="sk-SK"/>
        </w:rPr>
      </w:pPr>
      <w:r w:rsidRPr="00645EDC">
        <w:rPr>
          <w:sz w:val="22"/>
          <w:szCs w:val="22"/>
          <w:lang w:val="sk-SK"/>
        </w:rPr>
        <w:t>Ochorenie podobné chrípke zahŕňa udalosti hlásené ako reakcia akútnej fázy alebo symptómy vrátane myalgie, artralgie, horúčky, triašky, únavy, nauzey, straty chuti do jedla alebo bolesti kostí.</w:t>
      </w:r>
    </w:p>
    <w:p w14:paraId="60CE2E7F" w14:textId="77777777" w:rsidR="003B3AB7" w:rsidRPr="00645EDC" w:rsidRDefault="003B3AB7" w:rsidP="003B7D86">
      <w:pPr>
        <w:pStyle w:val="Style7"/>
        <w:widowControl/>
        <w:spacing w:line="240" w:lineRule="auto"/>
        <w:jc w:val="left"/>
        <w:rPr>
          <w:sz w:val="22"/>
          <w:szCs w:val="22"/>
          <w:lang w:val="sk-SK"/>
        </w:rPr>
      </w:pPr>
    </w:p>
    <w:p w14:paraId="57D077F6" w14:textId="227B537C" w:rsidR="003B7D86" w:rsidRPr="00645EDC" w:rsidRDefault="003B3AB7" w:rsidP="003B7D86">
      <w:pPr>
        <w:pStyle w:val="Style7"/>
        <w:widowControl/>
        <w:spacing w:line="240" w:lineRule="auto"/>
        <w:jc w:val="left"/>
        <w:rPr>
          <w:rStyle w:val="FontStyle33"/>
          <w:sz w:val="22"/>
          <w:szCs w:val="22"/>
          <w:u w:val="single"/>
          <w:lang w:val="sk-SK" w:eastAsia="en-US"/>
        </w:rPr>
      </w:pPr>
      <w:r w:rsidRPr="00645EDC">
        <w:rPr>
          <w:rStyle w:val="FontStyle33"/>
          <w:i/>
          <w:sz w:val="22"/>
          <w:szCs w:val="22"/>
          <w:u w:val="single"/>
          <w:lang w:val="sk-SK" w:eastAsia="en-US"/>
        </w:rPr>
        <w:t>Osteonekróza čeľuste</w:t>
      </w:r>
    </w:p>
    <w:p w14:paraId="36CE83B2" w14:textId="401FA0F3" w:rsidR="00E17544" w:rsidRPr="00645EDC" w:rsidRDefault="00E17544" w:rsidP="003B7D86">
      <w:pPr>
        <w:pStyle w:val="Style7"/>
        <w:widowControl/>
        <w:spacing w:line="240" w:lineRule="auto"/>
        <w:rPr>
          <w:rStyle w:val="FontStyle33"/>
          <w:sz w:val="22"/>
          <w:szCs w:val="22"/>
          <w:lang w:val="sk-SK" w:eastAsia="en-US"/>
        </w:rPr>
      </w:pPr>
      <w:r w:rsidRPr="00645EDC">
        <w:rPr>
          <w:rStyle w:val="FontStyle33"/>
          <w:sz w:val="22"/>
          <w:szCs w:val="22"/>
          <w:lang w:val="sk-SK" w:eastAsia="en-US"/>
        </w:rPr>
        <w:t>Prevažne u pacientov s rakovinou, ktorí dostávali lieky inhibujúce resorpciu kostí, vrátane kyseliny ibandrónovej, sa zaznamenali prípady osteonekrózy čeľuste (pozri časť 4.4). Prípady osteonekrózy čeľuste boli hlásené pri používaní kyseliny ibandrónovej po jej uvedení na trh.</w:t>
      </w:r>
    </w:p>
    <w:p w14:paraId="034F107A" w14:textId="77777777" w:rsidR="003B7D86" w:rsidRPr="00645EDC" w:rsidRDefault="003B7D86" w:rsidP="003B7D86">
      <w:pPr>
        <w:pStyle w:val="Bezriadkovania1"/>
        <w:tabs>
          <w:tab w:val="left" w:pos="540"/>
        </w:tabs>
        <w:rPr>
          <w:rFonts w:ascii="Times New Roman" w:hAnsi="Times New Roman"/>
          <w:lang w:val="sk-SK"/>
        </w:rPr>
      </w:pPr>
    </w:p>
    <w:p w14:paraId="0B37D996" w14:textId="11E581A8" w:rsidR="00093F99" w:rsidRPr="00645EDC" w:rsidRDefault="004B0D1A" w:rsidP="003B7D86">
      <w:pPr>
        <w:pStyle w:val="Bezriadkovania1"/>
        <w:tabs>
          <w:tab w:val="left" w:pos="540"/>
        </w:tabs>
        <w:rPr>
          <w:rFonts w:ascii="Times New Roman" w:hAnsi="Times New Roman"/>
          <w:i/>
          <w:u w:val="single"/>
          <w:lang w:val="sk-SK"/>
        </w:rPr>
      </w:pPr>
      <w:r w:rsidRPr="00645EDC">
        <w:rPr>
          <w:rFonts w:ascii="Times New Roman" w:hAnsi="Times New Roman"/>
          <w:i/>
          <w:u w:val="single"/>
          <w:lang w:val="sk-SK"/>
        </w:rPr>
        <w:t>Zápal oka</w:t>
      </w:r>
    </w:p>
    <w:p w14:paraId="78A30AFC" w14:textId="77777777" w:rsidR="00093F99" w:rsidRPr="00645EDC" w:rsidRDefault="00093F99" w:rsidP="003B7D86">
      <w:pPr>
        <w:pStyle w:val="Bezriadkovania1"/>
        <w:tabs>
          <w:tab w:val="left" w:pos="540"/>
        </w:tabs>
        <w:rPr>
          <w:rFonts w:ascii="Times New Roman" w:hAnsi="Times New Roman"/>
          <w:lang w:val="sk-SK"/>
        </w:rPr>
      </w:pPr>
      <w:r w:rsidRPr="00645EDC">
        <w:rPr>
          <w:rFonts w:ascii="Times New Roman" w:hAnsi="Times New Roman"/>
          <w:lang w:val="sk-SK"/>
        </w:rPr>
        <w:t>Udalosti očného zápalu ako uveitída, episkleritída a skleritída boli hlásené pri kyseline ibandrónovej. V niektorých prípadoch tieto udalosti nevymizli, až kým sa podávanie kyseliny ibandrónovej neprerušilo.</w:t>
      </w:r>
    </w:p>
    <w:p w14:paraId="21E95EEC" w14:textId="77777777" w:rsidR="00093F99" w:rsidRPr="00645EDC" w:rsidRDefault="00093F99" w:rsidP="003B7D86">
      <w:pPr>
        <w:pStyle w:val="Bezriadkovania1"/>
        <w:tabs>
          <w:tab w:val="left" w:pos="540"/>
        </w:tabs>
        <w:rPr>
          <w:rFonts w:ascii="Times New Roman" w:hAnsi="Times New Roman"/>
          <w:lang w:val="sk-SK"/>
        </w:rPr>
      </w:pPr>
    </w:p>
    <w:p w14:paraId="10EB5855" w14:textId="77777777" w:rsidR="00093F99" w:rsidRPr="00645EDC" w:rsidRDefault="00093F99" w:rsidP="003B7D86">
      <w:pPr>
        <w:pStyle w:val="Bezriadkovania1"/>
        <w:tabs>
          <w:tab w:val="left" w:pos="540"/>
        </w:tabs>
        <w:rPr>
          <w:rFonts w:ascii="Times New Roman" w:hAnsi="Times New Roman"/>
          <w:i/>
          <w:lang w:val="sk-SK"/>
        </w:rPr>
      </w:pPr>
      <w:r w:rsidRPr="00645EDC">
        <w:rPr>
          <w:rFonts w:ascii="Times New Roman" w:hAnsi="Times New Roman"/>
          <w:i/>
          <w:lang w:val="sk-SK"/>
        </w:rPr>
        <w:t>Anafylaktická reakcia/šok</w:t>
      </w:r>
    </w:p>
    <w:p w14:paraId="2FA86B21" w14:textId="77777777" w:rsidR="00093F99" w:rsidRPr="00645EDC" w:rsidRDefault="00093F99" w:rsidP="003B7D86">
      <w:pPr>
        <w:pStyle w:val="Bezriadkovania1"/>
        <w:tabs>
          <w:tab w:val="left" w:pos="540"/>
        </w:tabs>
        <w:rPr>
          <w:rFonts w:ascii="Times New Roman" w:hAnsi="Times New Roman"/>
          <w:lang w:val="sk-SK"/>
        </w:rPr>
      </w:pPr>
      <w:r w:rsidRPr="00645EDC">
        <w:rPr>
          <w:rFonts w:ascii="Times New Roman" w:hAnsi="Times New Roman"/>
          <w:lang w:val="sk-SK"/>
        </w:rPr>
        <w:t>U pacientov liečených kyselinou ibandrónovou intravenózne boli hlásené prípady anafylaktickej reakcie/šoku, vrátane fatálnych prípadov.</w:t>
      </w:r>
    </w:p>
    <w:p w14:paraId="6B2297F1" w14:textId="77777777" w:rsidR="00093F99" w:rsidRPr="00645EDC" w:rsidRDefault="00093F99" w:rsidP="003B7D86">
      <w:pPr>
        <w:pStyle w:val="Bezriadkovania1"/>
        <w:tabs>
          <w:tab w:val="left" w:pos="540"/>
        </w:tabs>
        <w:rPr>
          <w:rFonts w:ascii="Times New Roman" w:hAnsi="Times New Roman"/>
          <w:lang w:val="sk-SK"/>
        </w:rPr>
      </w:pPr>
    </w:p>
    <w:p w14:paraId="292BF948" w14:textId="77777777" w:rsidR="00130FB6" w:rsidRPr="00645EDC" w:rsidRDefault="00130FB6" w:rsidP="00130FB6">
      <w:pPr>
        <w:pStyle w:val="Style7"/>
        <w:widowControl/>
        <w:spacing w:line="240" w:lineRule="auto"/>
        <w:rPr>
          <w:rStyle w:val="FontStyle33"/>
          <w:sz w:val="22"/>
          <w:szCs w:val="22"/>
          <w:u w:val="single"/>
          <w:lang w:val="sk-SK" w:eastAsia="en-US"/>
        </w:rPr>
      </w:pPr>
      <w:r w:rsidRPr="00645EDC">
        <w:rPr>
          <w:rStyle w:val="FontStyle33"/>
          <w:sz w:val="22"/>
          <w:szCs w:val="22"/>
          <w:u w:val="single"/>
          <w:lang w:val="sk-SK" w:eastAsia="en-US"/>
        </w:rPr>
        <w:t>Hlásenie podozrení na nežiaduce reakcie</w:t>
      </w:r>
    </w:p>
    <w:p w14:paraId="1706F508" w14:textId="77777777" w:rsidR="00130FB6" w:rsidRPr="00645EDC" w:rsidRDefault="00130FB6" w:rsidP="00130FB6">
      <w:pPr>
        <w:pStyle w:val="Style7"/>
        <w:widowControl/>
        <w:spacing w:line="240" w:lineRule="auto"/>
        <w:rPr>
          <w:rStyle w:val="FontStyle33"/>
          <w:sz w:val="22"/>
          <w:szCs w:val="22"/>
          <w:lang w:val="sk-SK" w:eastAsia="en-US"/>
        </w:rPr>
      </w:pPr>
      <w:r w:rsidRPr="00645EDC">
        <w:rPr>
          <w:rStyle w:val="FontStyle33"/>
          <w:sz w:val="22"/>
          <w:szCs w:val="22"/>
          <w:lang w:val="sk-SK" w:eastAsia="en-US"/>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Pr="00645EDC">
        <w:rPr>
          <w:rStyle w:val="FontStyle33"/>
          <w:sz w:val="22"/>
          <w:szCs w:val="22"/>
          <w:highlight w:val="lightGray"/>
          <w:lang w:val="sk-SK" w:eastAsia="en-US"/>
        </w:rPr>
        <w:t>na národné centrum hlásenia uvedené v </w:t>
      </w:r>
      <w:hyperlink r:id="rId7" w:history="1">
        <w:r w:rsidRPr="00645EDC">
          <w:rPr>
            <w:rStyle w:val="FontStyle33"/>
            <w:sz w:val="22"/>
            <w:szCs w:val="22"/>
            <w:highlight w:val="lightGray"/>
            <w:lang w:val="sk-SK" w:eastAsia="en-US"/>
          </w:rPr>
          <w:t>Prílohe V</w:t>
        </w:r>
      </w:hyperlink>
      <w:r w:rsidRPr="00645EDC">
        <w:rPr>
          <w:rStyle w:val="FontStyle33"/>
          <w:sz w:val="22"/>
          <w:szCs w:val="22"/>
          <w:lang w:val="sk-SK" w:eastAsia="en-US"/>
        </w:rPr>
        <w:t>.</w:t>
      </w:r>
    </w:p>
    <w:p w14:paraId="00F2FE64" w14:textId="77777777" w:rsidR="00130FB6" w:rsidRPr="00645EDC" w:rsidRDefault="00130FB6" w:rsidP="003B7D86">
      <w:pPr>
        <w:pStyle w:val="Bezriadkovania1"/>
        <w:tabs>
          <w:tab w:val="left" w:pos="540"/>
        </w:tabs>
        <w:rPr>
          <w:rFonts w:ascii="Times New Roman" w:hAnsi="Times New Roman"/>
          <w:lang w:val="sk-SK"/>
        </w:rPr>
      </w:pPr>
    </w:p>
    <w:p w14:paraId="0515E493" w14:textId="77777777" w:rsidR="003B7D86" w:rsidRPr="00645EDC" w:rsidRDefault="003B7D86" w:rsidP="003B7D86">
      <w:pPr>
        <w:pStyle w:val="Bezriadkovania1"/>
        <w:numPr>
          <w:ilvl w:val="1"/>
          <w:numId w:val="1"/>
        </w:numPr>
        <w:tabs>
          <w:tab w:val="left" w:pos="540"/>
        </w:tabs>
        <w:ind w:left="0" w:firstLine="0"/>
        <w:rPr>
          <w:rFonts w:ascii="Times New Roman" w:hAnsi="Times New Roman"/>
          <w:b/>
          <w:bCs/>
          <w:lang w:val="sk-SK"/>
        </w:rPr>
      </w:pPr>
      <w:r w:rsidRPr="00645EDC">
        <w:rPr>
          <w:rFonts w:ascii="Times New Roman" w:hAnsi="Times New Roman"/>
          <w:b/>
          <w:bCs/>
          <w:lang w:val="sk-SK"/>
        </w:rPr>
        <w:t>Predávkovanie</w:t>
      </w:r>
    </w:p>
    <w:p w14:paraId="33EE8F41" w14:textId="77777777" w:rsidR="003B7D86" w:rsidRPr="00645EDC" w:rsidRDefault="003B7D86" w:rsidP="003B7D86">
      <w:pPr>
        <w:pStyle w:val="Bezriadkovania1"/>
        <w:tabs>
          <w:tab w:val="left" w:pos="540"/>
        </w:tabs>
        <w:rPr>
          <w:rFonts w:ascii="Times New Roman" w:hAnsi="Times New Roman"/>
          <w:lang w:val="sk-SK"/>
        </w:rPr>
      </w:pPr>
    </w:p>
    <w:p w14:paraId="61FA8A42" w14:textId="5DE33C3B"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 xml:space="preserve">Nie je dostupná žiadna </w:t>
      </w:r>
      <w:r w:rsidR="00093F99" w:rsidRPr="00645EDC">
        <w:rPr>
          <w:rStyle w:val="FontStyle33"/>
          <w:sz w:val="22"/>
          <w:szCs w:val="22"/>
          <w:lang w:val="sk-SK" w:eastAsia="es-ES_tradnl"/>
        </w:rPr>
        <w:t xml:space="preserve">špecifická </w:t>
      </w:r>
      <w:r w:rsidRPr="00645EDC">
        <w:rPr>
          <w:rStyle w:val="FontStyle33"/>
          <w:sz w:val="22"/>
          <w:szCs w:val="22"/>
          <w:lang w:val="sk-SK" w:eastAsia="es-ES_tradnl"/>
        </w:rPr>
        <w:t xml:space="preserve">informácia o </w:t>
      </w:r>
      <w:r w:rsidR="00093F99" w:rsidRPr="00645EDC">
        <w:rPr>
          <w:rStyle w:val="FontStyle33"/>
          <w:sz w:val="22"/>
          <w:szCs w:val="22"/>
          <w:lang w:val="sk-SK" w:eastAsia="es-ES_tradnl"/>
        </w:rPr>
        <w:t xml:space="preserve">liečbe pri </w:t>
      </w:r>
      <w:r w:rsidRPr="00645EDC">
        <w:rPr>
          <w:rStyle w:val="FontStyle33"/>
          <w:sz w:val="22"/>
          <w:szCs w:val="22"/>
          <w:lang w:val="sk-SK" w:eastAsia="es-ES_tradnl"/>
        </w:rPr>
        <w:t xml:space="preserve">predávkovaní </w:t>
      </w:r>
      <w:r w:rsidR="004C3DC1" w:rsidRPr="00645EDC">
        <w:rPr>
          <w:sz w:val="22"/>
          <w:szCs w:val="22"/>
          <w:lang w:val="sk-SK"/>
        </w:rPr>
        <w:t>Licobondrat</w:t>
      </w:r>
      <w:r w:rsidRPr="00645EDC">
        <w:rPr>
          <w:sz w:val="22"/>
          <w:szCs w:val="22"/>
          <w:lang w:val="sk-SK"/>
        </w:rPr>
        <w:t xml:space="preserve">om </w:t>
      </w:r>
      <w:r w:rsidR="00093F99" w:rsidRPr="00645EDC">
        <w:rPr>
          <w:sz w:val="22"/>
          <w:szCs w:val="22"/>
          <w:lang w:val="sk-SK"/>
        </w:rPr>
        <w:t> 150 </w:t>
      </w:r>
      <w:r w:rsidRPr="00645EDC">
        <w:rPr>
          <w:sz w:val="22"/>
          <w:szCs w:val="22"/>
          <w:lang w:val="sk-SK"/>
        </w:rPr>
        <w:t xml:space="preserve">mg. </w:t>
      </w:r>
      <w:r w:rsidRPr="00645EDC">
        <w:rPr>
          <w:rStyle w:val="FontStyle33"/>
          <w:sz w:val="22"/>
          <w:szCs w:val="22"/>
          <w:lang w:val="sk-SK" w:eastAsia="es-ES_tradnl"/>
        </w:rPr>
        <w:t xml:space="preserve">Avšak na základe poznatkov o tejto triede zlúčenín perorálne predávkovanie môže mať za následok nežiaduce účinky v hornej časti gastrointestinálneho traktu (napríklad </w:t>
      </w:r>
      <w:r w:rsidR="00093F99" w:rsidRPr="00645EDC">
        <w:rPr>
          <w:rStyle w:val="FontStyle33"/>
          <w:sz w:val="22"/>
          <w:szCs w:val="22"/>
          <w:lang w:val="sk-SK" w:eastAsia="es-ES_tradnl"/>
        </w:rPr>
        <w:t>žalúdočné ťažkosti</w:t>
      </w:r>
      <w:r w:rsidRPr="00645EDC">
        <w:rPr>
          <w:rStyle w:val="FontStyle33"/>
          <w:sz w:val="22"/>
          <w:szCs w:val="22"/>
          <w:lang w:val="sk-SK" w:eastAsia="es-ES_tradnl"/>
        </w:rPr>
        <w:t xml:space="preserve">, dyspepsia, </w:t>
      </w:r>
      <w:r w:rsidRPr="00645EDC">
        <w:rPr>
          <w:rStyle w:val="FontStyle33"/>
          <w:sz w:val="22"/>
          <w:szCs w:val="22"/>
          <w:lang w:val="sk-SK" w:eastAsia="es-ES_tradnl"/>
        </w:rPr>
        <w:lastRenderedPageBreak/>
        <w:t xml:space="preserve">ezofagitída, gastritída alebo vred) alebo hypokalciémiu. Na naviazanie </w:t>
      </w:r>
      <w:r w:rsidR="004C3DC1" w:rsidRPr="00645EDC">
        <w:rPr>
          <w:sz w:val="22"/>
          <w:szCs w:val="22"/>
          <w:lang w:val="sk-SK"/>
        </w:rPr>
        <w:t>Licobondrat</w:t>
      </w:r>
      <w:r w:rsidR="00312ECF" w:rsidRPr="00645EDC">
        <w:rPr>
          <w:sz w:val="22"/>
          <w:szCs w:val="22"/>
          <w:lang w:val="sk-SK"/>
        </w:rPr>
        <w:t>u</w:t>
      </w:r>
      <w:r w:rsidRPr="00645EDC">
        <w:rPr>
          <w:rStyle w:val="FontStyle33"/>
          <w:sz w:val="22"/>
          <w:szCs w:val="22"/>
          <w:lang w:val="sk-SK" w:eastAsia="es-ES_tradnl"/>
        </w:rPr>
        <w:t xml:space="preserve"> </w:t>
      </w:r>
      <w:r w:rsidR="00093F99" w:rsidRPr="00645EDC">
        <w:rPr>
          <w:rStyle w:val="FontStyle33"/>
          <w:sz w:val="22"/>
          <w:szCs w:val="22"/>
          <w:lang w:val="sk-SK" w:eastAsia="es-ES_tradnl"/>
        </w:rPr>
        <w:t> 150 </w:t>
      </w:r>
      <w:r w:rsidRPr="00645EDC">
        <w:rPr>
          <w:rStyle w:val="FontStyle33"/>
          <w:sz w:val="22"/>
          <w:szCs w:val="22"/>
          <w:lang w:val="sk-SK" w:eastAsia="es-ES_tradnl"/>
        </w:rPr>
        <w:t xml:space="preserve">mg sa </w:t>
      </w:r>
      <w:r w:rsidR="00093F99" w:rsidRPr="00645EDC">
        <w:rPr>
          <w:rStyle w:val="FontStyle33"/>
          <w:sz w:val="22"/>
          <w:szCs w:val="22"/>
          <w:lang w:val="sk-SK" w:eastAsia="es-ES_tradnl"/>
        </w:rPr>
        <w:t xml:space="preserve">má </w:t>
      </w:r>
      <w:r w:rsidRPr="00645EDC">
        <w:rPr>
          <w:rStyle w:val="FontStyle33"/>
          <w:sz w:val="22"/>
          <w:szCs w:val="22"/>
          <w:lang w:val="sk-SK" w:eastAsia="es-ES_tradnl"/>
        </w:rPr>
        <w:t xml:space="preserve">podať mlieko alebo antacidá a všetky nežiaduce účinky sa </w:t>
      </w:r>
      <w:r w:rsidR="00093F99" w:rsidRPr="00645EDC">
        <w:rPr>
          <w:rStyle w:val="FontStyle33"/>
          <w:sz w:val="22"/>
          <w:szCs w:val="22"/>
          <w:lang w:val="sk-SK" w:eastAsia="es-ES_tradnl"/>
        </w:rPr>
        <w:t xml:space="preserve">majú </w:t>
      </w:r>
      <w:r w:rsidRPr="00645EDC">
        <w:rPr>
          <w:rStyle w:val="FontStyle33"/>
          <w:sz w:val="22"/>
          <w:szCs w:val="22"/>
          <w:lang w:val="sk-SK" w:eastAsia="es-ES_tradnl"/>
        </w:rPr>
        <w:t>liečiť symptomaticky. Pre riziko podráždenia pažeráka sa nemá vyvolávať vracanie a pacient má ostať v úplne vzpriamenej polohe.</w:t>
      </w:r>
    </w:p>
    <w:p w14:paraId="6396F821" w14:textId="77777777" w:rsidR="003B7D86" w:rsidRPr="00645EDC" w:rsidRDefault="003B7D86" w:rsidP="003B7D86">
      <w:pPr>
        <w:pStyle w:val="Bezriadkovania1"/>
        <w:tabs>
          <w:tab w:val="left" w:pos="540"/>
        </w:tabs>
        <w:rPr>
          <w:rFonts w:ascii="Times New Roman" w:hAnsi="Times New Roman"/>
          <w:lang w:val="sk-SK"/>
        </w:rPr>
      </w:pPr>
    </w:p>
    <w:p w14:paraId="31B9EC98" w14:textId="77777777" w:rsidR="003B7D86" w:rsidRPr="00645EDC" w:rsidRDefault="003B7D86" w:rsidP="003B7D86">
      <w:pPr>
        <w:pStyle w:val="Bezriadkovania1"/>
        <w:tabs>
          <w:tab w:val="left" w:pos="540"/>
        </w:tabs>
        <w:rPr>
          <w:rFonts w:ascii="Times New Roman" w:hAnsi="Times New Roman"/>
          <w:lang w:val="sk-SK"/>
        </w:rPr>
      </w:pPr>
    </w:p>
    <w:p w14:paraId="44B65E8E" w14:textId="77777777" w:rsidR="003B7D86" w:rsidRPr="00645EDC" w:rsidRDefault="003B7D86" w:rsidP="003B7D86">
      <w:pPr>
        <w:pStyle w:val="Bezriadkovania1"/>
        <w:numPr>
          <w:ilvl w:val="0"/>
          <w:numId w:val="1"/>
        </w:numPr>
        <w:tabs>
          <w:tab w:val="left" w:pos="540"/>
        </w:tabs>
        <w:ind w:left="0" w:firstLine="0"/>
        <w:rPr>
          <w:rFonts w:ascii="Times New Roman" w:hAnsi="Times New Roman"/>
          <w:b/>
          <w:bCs/>
          <w:lang w:val="sk-SK"/>
        </w:rPr>
      </w:pPr>
      <w:r w:rsidRPr="00645EDC">
        <w:rPr>
          <w:rFonts w:ascii="Times New Roman" w:hAnsi="Times New Roman"/>
          <w:b/>
          <w:bCs/>
          <w:lang w:val="sk-SK"/>
        </w:rPr>
        <w:t>FARMAKOLOGICKÉ VLASTNOSTI</w:t>
      </w:r>
    </w:p>
    <w:p w14:paraId="23565789" w14:textId="77777777" w:rsidR="003B7D86" w:rsidRPr="00645EDC" w:rsidRDefault="003B7D86" w:rsidP="003B7D86">
      <w:pPr>
        <w:pStyle w:val="Bezriadkovania1"/>
        <w:tabs>
          <w:tab w:val="left" w:pos="540"/>
        </w:tabs>
        <w:rPr>
          <w:rFonts w:ascii="Times New Roman" w:hAnsi="Times New Roman"/>
          <w:lang w:val="sk-SK"/>
        </w:rPr>
      </w:pPr>
    </w:p>
    <w:p w14:paraId="4268F677" w14:textId="77777777" w:rsidR="003B7D86" w:rsidRPr="00645EDC" w:rsidRDefault="003B7D86" w:rsidP="003B7D86">
      <w:pPr>
        <w:pStyle w:val="Bezriadkovania1"/>
        <w:numPr>
          <w:ilvl w:val="1"/>
          <w:numId w:val="1"/>
        </w:numPr>
        <w:tabs>
          <w:tab w:val="left" w:pos="540"/>
        </w:tabs>
        <w:ind w:left="0" w:firstLine="0"/>
        <w:rPr>
          <w:rFonts w:ascii="Times New Roman" w:hAnsi="Times New Roman"/>
          <w:b/>
          <w:bCs/>
          <w:lang w:val="sk-SK"/>
        </w:rPr>
      </w:pPr>
      <w:r w:rsidRPr="00645EDC">
        <w:rPr>
          <w:rFonts w:ascii="Times New Roman" w:hAnsi="Times New Roman"/>
          <w:b/>
          <w:bCs/>
          <w:lang w:val="sk-SK"/>
        </w:rPr>
        <w:t>Farmakodynamické vlastnosti</w:t>
      </w:r>
    </w:p>
    <w:p w14:paraId="4FC408F3" w14:textId="77777777" w:rsidR="003B7D86" w:rsidRPr="00645EDC" w:rsidRDefault="003B7D86" w:rsidP="003B7D86">
      <w:pPr>
        <w:pStyle w:val="Bezriadkovania1"/>
        <w:tabs>
          <w:tab w:val="left" w:pos="540"/>
        </w:tabs>
        <w:rPr>
          <w:rFonts w:ascii="Times New Roman" w:hAnsi="Times New Roman"/>
          <w:lang w:val="sk-SK"/>
        </w:rPr>
      </w:pPr>
    </w:p>
    <w:p w14:paraId="2E982453" w14:textId="5662BCF3" w:rsidR="003B7D86" w:rsidRPr="00645EDC" w:rsidRDefault="003B7D86" w:rsidP="003B7D86">
      <w:pPr>
        <w:pStyle w:val="Bezriadkovania1"/>
        <w:tabs>
          <w:tab w:val="left" w:pos="540"/>
        </w:tabs>
        <w:rPr>
          <w:rFonts w:ascii="Times New Roman" w:hAnsi="Times New Roman"/>
          <w:lang w:val="sk-SK"/>
        </w:rPr>
      </w:pPr>
      <w:r w:rsidRPr="00645EDC">
        <w:rPr>
          <w:rFonts w:ascii="Times New Roman" w:hAnsi="Times New Roman"/>
          <w:lang w:val="sk-SK"/>
        </w:rPr>
        <w:t xml:space="preserve">Farmakoterapeutická skupina: </w:t>
      </w:r>
      <w:r w:rsidR="002A400D" w:rsidRPr="00645EDC">
        <w:rPr>
          <w:rFonts w:ascii="Times New Roman" w:hAnsi="Times New Roman"/>
          <w:lang w:val="sk-SK"/>
        </w:rPr>
        <w:t>Liečivá na liečbu ochorení kostí</w:t>
      </w:r>
      <w:r w:rsidR="00ED37D8" w:rsidRPr="00645EDC">
        <w:rPr>
          <w:rFonts w:ascii="Times New Roman" w:hAnsi="Times New Roman"/>
          <w:lang w:val="sk-SK"/>
        </w:rPr>
        <w:t>, b</w:t>
      </w:r>
      <w:r w:rsidRPr="00645EDC">
        <w:rPr>
          <w:rFonts w:ascii="Times New Roman" w:hAnsi="Times New Roman"/>
          <w:lang w:val="sk-SK"/>
        </w:rPr>
        <w:t xml:space="preserve">isfosfonáty, kód ATC: M05BA06 </w:t>
      </w:r>
    </w:p>
    <w:p w14:paraId="1DB65A06" w14:textId="77777777" w:rsidR="003B7D86" w:rsidRPr="00645EDC" w:rsidRDefault="003B7D86" w:rsidP="003B7D86">
      <w:pPr>
        <w:pStyle w:val="Bezriadkovania1"/>
        <w:tabs>
          <w:tab w:val="left" w:pos="540"/>
        </w:tabs>
        <w:rPr>
          <w:rFonts w:ascii="Times New Roman" w:hAnsi="Times New Roman"/>
          <w:lang w:val="sk-SK"/>
        </w:rPr>
      </w:pPr>
    </w:p>
    <w:p w14:paraId="77A851CC" w14:textId="77777777" w:rsidR="003B7D86" w:rsidRPr="00645EDC" w:rsidRDefault="003B7D86" w:rsidP="003B7D86">
      <w:pPr>
        <w:pStyle w:val="Style8"/>
        <w:widowControl/>
        <w:rPr>
          <w:rStyle w:val="FontStyle30"/>
          <w:sz w:val="22"/>
          <w:szCs w:val="22"/>
          <w:lang w:val="sk-SK" w:eastAsia="es-ES_tradnl"/>
        </w:rPr>
      </w:pPr>
      <w:r w:rsidRPr="00645EDC">
        <w:rPr>
          <w:rStyle w:val="FontStyle30"/>
          <w:sz w:val="22"/>
          <w:szCs w:val="22"/>
          <w:lang w:val="sk-SK" w:eastAsia="es-ES_tradnl"/>
        </w:rPr>
        <w:t>Mechanizmus účinku</w:t>
      </w:r>
    </w:p>
    <w:p w14:paraId="0F56F31A" w14:textId="77777777"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Kyselina ibandrónová je vysoko účinný bisfosfonát patriaci k skupine bisfosfonátov obsahujúcich dusík, ktoré pôsobia selektívne na kostné tkanivo a špecificky inhibujú aktivitu osteoklastov bez priameho vplyvu na tvorbu kostí. Neinterferuje so zhlukovaním osteoklastov. Kyselina ibandrónová vedie k progresívnym čistým prírastkom kostnej hmoty a k zníženiu výskytu zlomenín v dôsledku redukcie zvýšenej premeny kostí u žien po menopauze, až po dosiahnutie hladín pred menopauzou.</w:t>
      </w:r>
    </w:p>
    <w:p w14:paraId="15B8E6D1" w14:textId="77777777" w:rsidR="003B7D86" w:rsidRPr="00645EDC" w:rsidRDefault="003B7D86" w:rsidP="003B7D86">
      <w:pPr>
        <w:pStyle w:val="Bezriadkovania1"/>
        <w:tabs>
          <w:tab w:val="left" w:pos="540"/>
        </w:tabs>
        <w:rPr>
          <w:rFonts w:ascii="Times New Roman" w:hAnsi="Times New Roman"/>
          <w:lang w:val="sk-SK"/>
        </w:rPr>
      </w:pPr>
    </w:p>
    <w:p w14:paraId="717BA681" w14:textId="77777777" w:rsidR="003B7D86" w:rsidRPr="00645EDC" w:rsidRDefault="003B7D86" w:rsidP="003B7D86">
      <w:pPr>
        <w:pStyle w:val="Style8"/>
        <w:widowControl/>
        <w:rPr>
          <w:rStyle w:val="FontStyle30"/>
          <w:sz w:val="22"/>
          <w:szCs w:val="22"/>
          <w:lang w:val="sk-SK" w:eastAsia="es-ES_tradnl"/>
        </w:rPr>
      </w:pPr>
      <w:r w:rsidRPr="00645EDC">
        <w:rPr>
          <w:rStyle w:val="FontStyle30"/>
          <w:sz w:val="22"/>
          <w:szCs w:val="22"/>
          <w:lang w:val="sk-SK" w:eastAsia="es-ES_tradnl"/>
        </w:rPr>
        <w:t>Farmakodynamické účinky</w:t>
      </w:r>
    </w:p>
    <w:p w14:paraId="2FAFA71D" w14:textId="6AA9A471"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 xml:space="preserve">Farmakodynamickým účinkom kyseliny ibandrónovej je inhibícia kostnej rezorbcie. Kyselina ibandrónová </w:t>
      </w:r>
      <w:r w:rsidRPr="00645EDC">
        <w:rPr>
          <w:rStyle w:val="FontStyle30"/>
          <w:sz w:val="22"/>
          <w:szCs w:val="22"/>
          <w:lang w:val="sk-SK" w:eastAsia="es-ES_tradnl"/>
        </w:rPr>
        <w:t xml:space="preserve">in vivo </w:t>
      </w:r>
      <w:r w:rsidRPr="00645EDC">
        <w:rPr>
          <w:rStyle w:val="FontStyle33"/>
          <w:sz w:val="22"/>
          <w:szCs w:val="22"/>
          <w:lang w:val="sk-SK" w:eastAsia="es-ES_tradnl"/>
        </w:rPr>
        <w:t>bráni experimentálne indukovanej deštrukcii kostí spôsobenej zastavením funkcie gonád, vplyvom retinoidov, nádorov alebo nádorových extraktov. U mladých (rýchlo rastúcich) potkanov je tiež inhibovaná endogénna kostná re</w:t>
      </w:r>
      <w:r w:rsidR="006E51C6" w:rsidRPr="00645EDC">
        <w:rPr>
          <w:rStyle w:val="FontStyle33"/>
          <w:sz w:val="22"/>
          <w:szCs w:val="22"/>
          <w:lang w:val="sk-SK" w:eastAsia="es-ES_tradnl"/>
        </w:rPr>
        <w:t>s</w:t>
      </w:r>
      <w:r w:rsidRPr="00645EDC">
        <w:rPr>
          <w:rStyle w:val="FontStyle33"/>
          <w:sz w:val="22"/>
          <w:szCs w:val="22"/>
          <w:lang w:val="sk-SK" w:eastAsia="es-ES_tradnl"/>
        </w:rPr>
        <w:t>or</w:t>
      </w:r>
      <w:r w:rsidR="006E51C6" w:rsidRPr="00645EDC">
        <w:rPr>
          <w:rStyle w:val="FontStyle33"/>
          <w:sz w:val="22"/>
          <w:szCs w:val="22"/>
          <w:lang w:val="sk-SK" w:eastAsia="es-ES_tradnl"/>
        </w:rPr>
        <w:t>p</w:t>
      </w:r>
      <w:r w:rsidRPr="00645EDC">
        <w:rPr>
          <w:rStyle w:val="FontStyle33"/>
          <w:sz w:val="22"/>
          <w:szCs w:val="22"/>
          <w:lang w:val="sk-SK" w:eastAsia="es-ES_tradnl"/>
        </w:rPr>
        <w:t>cia, čo vedie k nárastu normálnej kostnej hmoty v porovnaní so zvieratami, ktoré nepodstúpili liečbu.</w:t>
      </w:r>
    </w:p>
    <w:p w14:paraId="00AACDF1" w14:textId="3DC7BC88"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 xml:space="preserve">Živočíšne modely potvrdzujú, že kyselina ibandrónová je vysoko účinný inhibítor aktivity osteoklastov. U rastúcich potkanov nebol žiadny </w:t>
      </w:r>
      <w:r w:rsidR="008B50B0" w:rsidRPr="00645EDC">
        <w:rPr>
          <w:rStyle w:val="FontStyle33"/>
          <w:sz w:val="22"/>
          <w:szCs w:val="22"/>
          <w:lang w:val="sk-SK" w:eastAsia="es-ES_tradnl"/>
        </w:rPr>
        <w:t xml:space="preserve">dôkaz </w:t>
      </w:r>
      <w:r w:rsidRPr="00645EDC">
        <w:rPr>
          <w:rStyle w:val="FontStyle33"/>
          <w:sz w:val="22"/>
          <w:szCs w:val="22"/>
          <w:lang w:val="sk-SK" w:eastAsia="es-ES_tradnl"/>
        </w:rPr>
        <w:t xml:space="preserve">poruchy mineralizácie kostí ani pri dávkach vyšších ako </w:t>
      </w:r>
      <w:r w:rsidR="008B50B0" w:rsidRPr="00645EDC">
        <w:rPr>
          <w:rStyle w:val="FontStyle33"/>
          <w:sz w:val="22"/>
          <w:szCs w:val="22"/>
          <w:lang w:val="sk-SK" w:eastAsia="es-ES_tradnl"/>
        </w:rPr>
        <w:t>5 </w:t>
      </w:r>
      <w:r w:rsidRPr="00645EDC">
        <w:rPr>
          <w:rStyle w:val="FontStyle33"/>
          <w:sz w:val="22"/>
          <w:szCs w:val="22"/>
          <w:lang w:val="sk-SK" w:eastAsia="es-ES_tradnl"/>
        </w:rPr>
        <w:t>000-násobok dávky potrebnej na liečbu osteoporózy.</w:t>
      </w:r>
    </w:p>
    <w:p w14:paraId="33AB5830" w14:textId="2641D1F7"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 xml:space="preserve">Tak denné, ako aj prerušované (s predĺženým intervalom bez dávky) </w:t>
      </w:r>
      <w:r w:rsidR="008B50B0" w:rsidRPr="00645EDC">
        <w:rPr>
          <w:rStyle w:val="FontStyle33"/>
          <w:sz w:val="22"/>
          <w:szCs w:val="22"/>
          <w:lang w:val="sk-SK" w:eastAsia="es-ES_tradnl"/>
        </w:rPr>
        <w:t xml:space="preserve">dlhodobé </w:t>
      </w:r>
      <w:r w:rsidRPr="00645EDC">
        <w:rPr>
          <w:rStyle w:val="FontStyle33"/>
          <w:sz w:val="22"/>
          <w:szCs w:val="22"/>
          <w:lang w:val="sk-SK" w:eastAsia="es-ES_tradnl"/>
        </w:rPr>
        <w:t xml:space="preserve">podávanie lieku u potkanov, psov a opíc bolo spojené s tvorbou novej kosti normálnej kvality, pričom sa udržala alebo zvýšila mechanická pevnosť kosti dokonca aj pri dávkach v toxickom rozsahu. U ľudí bola účinnosť denného a prerušovaného podávania </w:t>
      </w:r>
      <w:r w:rsidR="008B50B0" w:rsidRPr="00645EDC">
        <w:rPr>
          <w:rStyle w:val="FontStyle33"/>
          <w:sz w:val="22"/>
          <w:szCs w:val="22"/>
          <w:lang w:val="sk-SK" w:eastAsia="es-ES_tradnl"/>
        </w:rPr>
        <w:t>(</w:t>
      </w:r>
      <w:r w:rsidRPr="00645EDC">
        <w:rPr>
          <w:rStyle w:val="FontStyle33"/>
          <w:sz w:val="22"/>
          <w:szCs w:val="22"/>
          <w:lang w:val="sk-SK" w:eastAsia="es-ES_tradnl"/>
        </w:rPr>
        <w:t>s intervalom bez dávky 9-10 tý</w:t>
      </w:r>
      <w:r w:rsidR="008B50B0" w:rsidRPr="00645EDC">
        <w:rPr>
          <w:rStyle w:val="FontStyle33"/>
          <w:sz w:val="22"/>
          <w:szCs w:val="22"/>
          <w:lang w:val="sk-SK" w:eastAsia="es-ES_tradnl"/>
        </w:rPr>
        <w:t>ž</w:t>
      </w:r>
      <w:r w:rsidRPr="00645EDC">
        <w:rPr>
          <w:rStyle w:val="FontStyle33"/>
          <w:sz w:val="22"/>
          <w:szCs w:val="22"/>
          <w:lang w:val="sk-SK" w:eastAsia="es-ES_tradnl"/>
        </w:rPr>
        <w:t>dňov</w:t>
      </w:r>
      <w:r w:rsidR="008B50B0" w:rsidRPr="00645EDC">
        <w:rPr>
          <w:rStyle w:val="FontStyle33"/>
          <w:sz w:val="22"/>
          <w:szCs w:val="22"/>
          <w:lang w:val="sk-SK" w:eastAsia="es-ES_tradnl"/>
        </w:rPr>
        <w:t>)</w:t>
      </w:r>
      <w:r w:rsidRPr="00645EDC">
        <w:rPr>
          <w:rStyle w:val="FontStyle33"/>
          <w:sz w:val="22"/>
          <w:szCs w:val="22"/>
          <w:lang w:val="sk-SK" w:eastAsia="es-ES_tradnl"/>
        </w:rPr>
        <w:t xml:space="preserve"> kyseliny ibandrónovej potvrdená v </w:t>
      </w:r>
      <w:r w:rsidR="008B50B0" w:rsidRPr="00645EDC">
        <w:rPr>
          <w:rStyle w:val="FontStyle33"/>
          <w:sz w:val="22"/>
          <w:szCs w:val="22"/>
          <w:lang w:val="sk-SK" w:eastAsia="es-ES_tradnl"/>
        </w:rPr>
        <w:t xml:space="preserve">klinickom skúšaní </w:t>
      </w:r>
      <w:r w:rsidRPr="00645EDC">
        <w:rPr>
          <w:rStyle w:val="FontStyle33"/>
          <w:sz w:val="22"/>
          <w:szCs w:val="22"/>
          <w:lang w:val="sk-SK" w:eastAsia="es-ES_tradnl"/>
        </w:rPr>
        <w:t>(MF 4411), v ktor</w:t>
      </w:r>
      <w:r w:rsidR="008B50B0" w:rsidRPr="00645EDC">
        <w:rPr>
          <w:rStyle w:val="FontStyle33"/>
          <w:sz w:val="22"/>
          <w:szCs w:val="22"/>
          <w:lang w:val="sk-SK" w:eastAsia="es-ES_tradnl"/>
        </w:rPr>
        <w:t>om</w:t>
      </w:r>
      <w:r w:rsidRPr="00645EDC">
        <w:rPr>
          <w:rStyle w:val="FontStyle33"/>
          <w:sz w:val="22"/>
          <w:szCs w:val="22"/>
          <w:lang w:val="sk-SK" w:eastAsia="es-ES_tradnl"/>
        </w:rPr>
        <w:t xml:space="preserve"> kyselina ibandrónová preukázala účinnosť </w:t>
      </w:r>
      <w:r w:rsidR="008B50B0" w:rsidRPr="00645EDC">
        <w:rPr>
          <w:rStyle w:val="FontStyle33"/>
          <w:sz w:val="22"/>
          <w:szCs w:val="22"/>
          <w:lang w:val="sk-SK" w:eastAsia="es-ES_tradnl"/>
        </w:rPr>
        <w:t>proti zlomeninám</w:t>
      </w:r>
      <w:r w:rsidRPr="00645EDC">
        <w:rPr>
          <w:rStyle w:val="FontStyle33"/>
          <w:sz w:val="22"/>
          <w:szCs w:val="22"/>
          <w:lang w:val="sk-SK" w:eastAsia="es-ES_tradnl"/>
        </w:rPr>
        <w:t>.</w:t>
      </w:r>
    </w:p>
    <w:p w14:paraId="4F6307C6" w14:textId="77777777" w:rsidR="003B7D86" w:rsidRPr="00645EDC" w:rsidRDefault="003B7D86" w:rsidP="003B7D86">
      <w:pPr>
        <w:pStyle w:val="Style9"/>
        <w:widowControl/>
        <w:spacing w:line="240" w:lineRule="auto"/>
        <w:rPr>
          <w:rStyle w:val="FontStyle33"/>
          <w:sz w:val="22"/>
          <w:szCs w:val="22"/>
          <w:lang w:val="sk-SK" w:eastAsia="es-ES_tradnl"/>
        </w:rPr>
      </w:pPr>
    </w:p>
    <w:p w14:paraId="252E1035" w14:textId="4620C314"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 xml:space="preserve">Na zvieracích modeloch spôsobila kyselina ibandrónová biochemické zmeny naznačujúce inhibíciu kostnej rezorbcie v závislosti od dávky vrátane supresie urinárnych biochemických markerov degradácie kostného kolagénu (napríklad deoxypyridinolínu a priečne viazaných </w:t>
      </w:r>
      <w:r w:rsidR="008B50B0" w:rsidRPr="00645EDC">
        <w:rPr>
          <w:rStyle w:val="FontStyle33"/>
          <w:sz w:val="22"/>
          <w:szCs w:val="22"/>
          <w:lang w:val="sk-SK" w:eastAsia="es-ES_tradnl"/>
        </w:rPr>
        <w:t>N-</w:t>
      </w:r>
      <w:r w:rsidRPr="00645EDC">
        <w:rPr>
          <w:rStyle w:val="FontStyle33"/>
          <w:sz w:val="22"/>
          <w:szCs w:val="22"/>
          <w:lang w:val="sk-SK" w:eastAsia="es-ES_tradnl"/>
        </w:rPr>
        <w:t>telopeptidov kolagénu typu I (NTX)).</w:t>
      </w:r>
    </w:p>
    <w:p w14:paraId="7330982B" w14:textId="77777777" w:rsidR="003B7D86" w:rsidRPr="00645EDC" w:rsidRDefault="003B7D86" w:rsidP="003B7D86">
      <w:pPr>
        <w:pStyle w:val="Style9"/>
        <w:widowControl/>
        <w:spacing w:line="240" w:lineRule="auto"/>
        <w:rPr>
          <w:sz w:val="22"/>
          <w:szCs w:val="22"/>
          <w:lang w:val="sk-SK"/>
        </w:rPr>
      </w:pPr>
    </w:p>
    <w:p w14:paraId="2A4A9E70" w14:textId="71E8A1A4"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 xml:space="preserve">Vo fáze 1 bioekvivalenčnej štúdie vykonanej u 72 žien po menopauze dostávajúcich 150 mg perorálne každých 28 dní, celkovo 4 dávky, inhibícia sérového CTX nasledujúca po prvej dávke bola pozorovaná už do 24 hodín po dávke (medián inhibície 28 %), s mediánom maximálnej inhibície (69 %) pozorovaným 6 dní neskôr. Po tretej a štvrtej dávke bol medián maximálnej inhibície 6 dní po dávke 74 % s redukciou na medián inhibície 56 % pozorovaný 28 dní po štvrtej dávke. Ak sa </w:t>
      </w:r>
      <w:r w:rsidR="0079246E" w:rsidRPr="00645EDC">
        <w:rPr>
          <w:rStyle w:val="FontStyle33"/>
          <w:sz w:val="22"/>
          <w:szCs w:val="22"/>
          <w:lang w:val="sk-SK" w:eastAsia="es-ES_tradnl"/>
        </w:rPr>
        <w:t xml:space="preserve">už </w:t>
      </w:r>
      <w:r w:rsidRPr="00645EDC">
        <w:rPr>
          <w:rStyle w:val="FontStyle33"/>
          <w:sz w:val="22"/>
          <w:szCs w:val="22"/>
          <w:lang w:val="sk-SK" w:eastAsia="es-ES_tradnl"/>
        </w:rPr>
        <w:t>ďalšia dávka nepodá, dochádza k strate supresie biochemických markerov kostnej resorpcie.</w:t>
      </w:r>
    </w:p>
    <w:p w14:paraId="0BACE90F" w14:textId="77777777" w:rsidR="003B7D86" w:rsidRPr="00645EDC" w:rsidRDefault="003B7D86" w:rsidP="003B7D86">
      <w:pPr>
        <w:pStyle w:val="Style8"/>
        <w:widowControl/>
        <w:rPr>
          <w:rStyle w:val="FontStyle30"/>
          <w:sz w:val="22"/>
          <w:szCs w:val="22"/>
          <w:lang w:val="sk-SK" w:eastAsia="de-DE"/>
        </w:rPr>
      </w:pPr>
    </w:p>
    <w:p w14:paraId="0375AB09" w14:textId="77777777" w:rsidR="003B7D86" w:rsidRPr="00645EDC" w:rsidRDefault="003B7D86" w:rsidP="003B7D86">
      <w:pPr>
        <w:pStyle w:val="Style8"/>
        <w:widowControl/>
        <w:rPr>
          <w:rStyle w:val="FontStyle30"/>
          <w:sz w:val="22"/>
          <w:szCs w:val="22"/>
          <w:lang w:val="sk-SK" w:eastAsia="de-DE"/>
        </w:rPr>
      </w:pPr>
      <w:r w:rsidRPr="00645EDC">
        <w:rPr>
          <w:rStyle w:val="FontStyle30"/>
          <w:sz w:val="22"/>
          <w:szCs w:val="22"/>
          <w:lang w:val="sk-SK" w:eastAsia="de-DE"/>
        </w:rPr>
        <w:t>Klinická účinnosť</w:t>
      </w:r>
    </w:p>
    <w:p w14:paraId="542F2FCA" w14:textId="47092CDD" w:rsidR="003B7D86" w:rsidRPr="00645EDC" w:rsidRDefault="003B7D86" w:rsidP="003B7D86">
      <w:pPr>
        <w:pStyle w:val="Style9"/>
        <w:widowControl/>
        <w:spacing w:line="240" w:lineRule="auto"/>
        <w:jc w:val="both"/>
        <w:rPr>
          <w:rStyle w:val="FontStyle33"/>
          <w:sz w:val="22"/>
          <w:szCs w:val="22"/>
          <w:lang w:val="sk-SK" w:eastAsia="de-DE"/>
        </w:rPr>
      </w:pPr>
      <w:r w:rsidRPr="00645EDC">
        <w:rPr>
          <w:rStyle w:val="FontStyle33"/>
          <w:sz w:val="22"/>
          <w:szCs w:val="22"/>
          <w:lang w:val="sk-SK" w:eastAsia="de-DE"/>
        </w:rPr>
        <w:t>Nezávislé rizikové faktory, napríklad nízka BMD, vek, pr</w:t>
      </w:r>
      <w:r w:rsidR="0061556D" w:rsidRPr="00645EDC">
        <w:rPr>
          <w:rStyle w:val="FontStyle33"/>
          <w:sz w:val="22"/>
          <w:szCs w:val="22"/>
          <w:lang w:val="sk-SK" w:eastAsia="de-DE"/>
        </w:rPr>
        <w:t>í</w:t>
      </w:r>
      <w:r w:rsidRPr="00645EDC">
        <w:rPr>
          <w:rStyle w:val="FontStyle33"/>
          <w:sz w:val="22"/>
          <w:szCs w:val="22"/>
          <w:lang w:val="sk-SK" w:eastAsia="de-DE"/>
        </w:rPr>
        <w:t xml:space="preserve">tomnosť prekonaných fraktúr, fraktúry v rodinnej anamnéze, </w:t>
      </w:r>
      <w:r w:rsidR="00FA26F0" w:rsidRPr="00645EDC">
        <w:rPr>
          <w:rStyle w:val="FontStyle33"/>
          <w:sz w:val="22"/>
          <w:szCs w:val="22"/>
          <w:lang w:val="sk-SK" w:eastAsia="de-DE"/>
        </w:rPr>
        <w:t>vysoký kostný obrat</w:t>
      </w:r>
      <w:r w:rsidRPr="00645EDC">
        <w:rPr>
          <w:rStyle w:val="FontStyle33"/>
          <w:sz w:val="22"/>
          <w:szCs w:val="22"/>
          <w:lang w:val="sk-SK" w:eastAsia="de-DE"/>
        </w:rPr>
        <w:t xml:space="preserve"> a nízky index telesnej hmotnosti sa majú brať do úvahy, aby sa zistilo, či má žena zvýšené riziko osteoporotických fraktúr.</w:t>
      </w:r>
    </w:p>
    <w:p w14:paraId="31494914" w14:textId="77777777" w:rsidR="003B7D86" w:rsidRPr="00645EDC" w:rsidRDefault="003B7D86" w:rsidP="003B7D86">
      <w:pPr>
        <w:pStyle w:val="Style9"/>
        <w:widowControl/>
        <w:spacing w:line="240" w:lineRule="auto"/>
        <w:rPr>
          <w:sz w:val="22"/>
          <w:szCs w:val="22"/>
          <w:lang w:val="sk-SK"/>
        </w:rPr>
      </w:pPr>
    </w:p>
    <w:p w14:paraId="63853EEF" w14:textId="460AFD6A" w:rsidR="003B7D86" w:rsidRPr="00645EDC" w:rsidRDefault="006E51C6" w:rsidP="003B7D86">
      <w:pPr>
        <w:pStyle w:val="Style9"/>
        <w:widowControl/>
        <w:spacing w:line="240" w:lineRule="auto"/>
        <w:rPr>
          <w:rStyle w:val="FontStyle33"/>
          <w:b/>
          <w:bCs/>
          <w:sz w:val="22"/>
          <w:szCs w:val="22"/>
          <w:u w:val="single"/>
          <w:lang w:val="sk-SK" w:eastAsia="de-DE"/>
        </w:rPr>
      </w:pPr>
      <w:r w:rsidRPr="00645EDC">
        <w:rPr>
          <w:b/>
          <w:bCs/>
          <w:sz w:val="22"/>
          <w:szCs w:val="22"/>
          <w:u w:val="single"/>
          <w:lang w:val="sk-SK"/>
        </w:rPr>
        <w:t>Licobondrat</w:t>
      </w:r>
      <w:r w:rsidR="003B7D86" w:rsidRPr="00645EDC">
        <w:rPr>
          <w:rStyle w:val="FontStyle33"/>
          <w:b/>
          <w:bCs/>
          <w:sz w:val="22"/>
          <w:szCs w:val="22"/>
          <w:u w:val="single"/>
          <w:lang w:val="sk-SK" w:eastAsia="de-DE"/>
        </w:rPr>
        <w:t xml:space="preserve"> 150 mg raz mesačne</w:t>
      </w:r>
    </w:p>
    <w:p w14:paraId="09CC3949" w14:textId="77777777" w:rsidR="003B7D86" w:rsidRPr="00645EDC" w:rsidRDefault="003B7D86" w:rsidP="003B7D86">
      <w:pPr>
        <w:pStyle w:val="Style9"/>
        <w:widowControl/>
        <w:spacing w:line="240" w:lineRule="auto"/>
        <w:rPr>
          <w:sz w:val="22"/>
          <w:szCs w:val="22"/>
          <w:lang w:val="sk-SK"/>
        </w:rPr>
      </w:pPr>
    </w:p>
    <w:p w14:paraId="7ABE4C8E" w14:textId="531FF6E0" w:rsidR="003B7D86" w:rsidRPr="00645EDC" w:rsidRDefault="003B7D86" w:rsidP="003B7D86">
      <w:pPr>
        <w:pStyle w:val="Style9"/>
        <w:widowControl/>
        <w:spacing w:line="240" w:lineRule="auto"/>
        <w:rPr>
          <w:rStyle w:val="FontStyle33"/>
          <w:sz w:val="22"/>
          <w:szCs w:val="22"/>
          <w:u w:val="single"/>
          <w:lang w:val="sk-SK" w:eastAsia="de-DE"/>
        </w:rPr>
      </w:pPr>
      <w:r w:rsidRPr="00645EDC">
        <w:rPr>
          <w:rStyle w:val="FontStyle33"/>
          <w:sz w:val="22"/>
          <w:szCs w:val="22"/>
          <w:u w:val="single"/>
          <w:lang w:val="sk-SK" w:eastAsia="de-DE"/>
        </w:rPr>
        <w:t>Hustota kostných minerálov (BMD</w:t>
      </w:r>
      <w:r w:rsidR="00FA26F0" w:rsidRPr="00645EDC">
        <w:rPr>
          <w:rStyle w:val="FontStyle33"/>
          <w:sz w:val="22"/>
          <w:szCs w:val="22"/>
          <w:u w:val="single"/>
          <w:lang w:val="sk-SK" w:eastAsia="de-DE"/>
        </w:rPr>
        <w:t>, bone mineral density</w:t>
      </w:r>
      <w:r w:rsidRPr="00645EDC">
        <w:rPr>
          <w:rStyle w:val="FontStyle33"/>
          <w:sz w:val="22"/>
          <w:szCs w:val="22"/>
          <w:u w:val="single"/>
          <w:lang w:val="sk-SK" w:eastAsia="de-DE"/>
        </w:rPr>
        <w:t>)</w:t>
      </w:r>
    </w:p>
    <w:p w14:paraId="718BD5C6" w14:textId="1273D95F" w:rsidR="003B7D86" w:rsidRPr="00645EDC" w:rsidRDefault="003B7D86" w:rsidP="003B7D86">
      <w:pPr>
        <w:pStyle w:val="Style9"/>
        <w:widowControl/>
        <w:spacing w:line="240" w:lineRule="auto"/>
        <w:rPr>
          <w:rStyle w:val="FontStyle33"/>
          <w:sz w:val="22"/>
          <w:szCs w:val="22"/>
          <w:lang w:val="sk-SK" w:eastAsia="de-DE"/>
        </w:rPr>
      </w:pPr>
      <w:r w:rsidRPr="00645EDC">
        <w:rPr>
          <w:rStyle w:val="FontStyle33"/>
          <w:sz w:val="22"/>
          <w:szCs w:val="22"/>
          <w:lang w:val="sk-SK" w:eastAsia="de-DE"/>
        </w:rPr>
        <w:lastRenderedPageBreak/>
        <w:t xml:space="preserve">V dvojročnej, dvojito zaslepenej, multicentrickej štúdii (BM 16549) u žien po menopauze s osteoporózou (T skóre BMD v driekovej chrbtici nižšie ako - 2,5 SD vo východiskovom bode) sa </w:t>
      </w:r>
      <w:r w:rsidR="008B50B0" w:rsidRPr="00645EDC">
        <w:rPr>
          <w:rStyle w:val="FontStyle33"/>
          <w:sz w:val="22"/>
          <w:szCs w:val="22"/>
          <w:lang w:val="sk-SK" w:eastAsia="de-DE"/>
        </w:rPr>
        <w:t>Licobondrat</w:t>
      </w:r>
      <w:r w:rsidRPr="00645EDC">
        <w:rPr>
          <w:rStyle w:val="FontStyle33"/>
          <w:sz w:val="22"/>
          <w:szCs w:val="22"/>
          <w:lang w:val="sk-SK" w:eastAsia="de-DE"/>
        </w:rPr>
        <w:t xml:space="preserve"> 150 mg </w:t>
      </w:r>
      <w:r w:rsidR="00FA26F0" w:rsidRPr="00645EDC">
        <w:rPr>
          <w:rStyle w:val="FontStyle33"/>
          <w:sz w:val="22"/>
          <w:szCs w:val="22"/>
          <w:lang w:val="sk-SK" w:eastAsia="de-DE"/>
        </w:rPr>
        <w:t xml:space="preserve">podávaný </w:t>
      </w:r>
      <w:r w:rsidRPr="00645EDC">
        <w:rPr>
          <w:rStyle w:val="FontStyle33"/>
          <w:sz w:val="22"/>
          <w:szCs w:val="22"/>
          <w:lang w:val="sk-SK" w:eastAsia="de-DE"/>
        </w:rPr>
        <w:t>raz mesačne ukázal byť vo zvýšení BMD aspoň tak účinn</w:t>
      </w:r>
      <w:r w:rsidR="00FA26F0" w:rsidRPr="00645EDC">
        <w:rPr>
          <w:rStyle w:val="FontStyle33"/>
          <w:sz w:val="22"/>
          <w:szCs w:val="22"/>
          <w:lang w:val="sk-SK" w:eastAsia="de-DE"/>
        </w:rPr>
        <w:t>ý</w:t>
      </w:r>
      <w:r w:rsidRPr="00645EDC">
        <w:rPr>
          <w:rStyle w:val="FontStyle33"/>
          <w:sz w:val="22"/>
          <w:szCs w:val="22"/>
          <w:lang w:val="sk-SK" w:eastAsia="de-DE"/>
        </w:rPr>
        <w:t xml:space="preserve"> ako kyselina ibandrónová 2,5 mg</w:t>
      </w:r>
      <w:r w:rsidR="00FA26F0" w:rsidRPr="00645EDC">
        <w:rPr>
          <w:rStyle w:val="FontStyle33"/>
          <w:sz w:val="22"/>
          <w:szCs w:val="22"/>
          <w:lang w:val="sk-SK" w:eastAsia="de-DE"/>
        </w:rPr>
        <w:t xml:space="preserve"> podávaná</w:t>
      </w:r>
      <w:r w:rsidRPr="00645EDC">
        <w:rPr>
          <w:rStyle w:val="FontStyle33"/>
          <w:sz w:val="22"/>
          <w:szCs w:val="22"/>
          <w:lang w:val="sk-SK" w:eastAsia="de-DE"/>
        </w:rPr>
        <w:t xml:space="preserve"> raz denne. Bolo to dokázané na základe primárnej analýzy jednoročných výsledkov, aj na základe potvrdzujúcej analýzy dvojročných konečných výsledkov (tabuľka 2).</w:t>
      </w:r>
    </w:p>
    <w:p w14:paraId="1C95063E" w14:textId="77777777" w:rsidR="003B7D86" w:rsidRPr="00645EDC" w:rsidRDefault="003B7D86" w:rsidP="003B7D86">
      <w:pPr>
        <w:pStyle w:val="Style9"/>
        <w:widowControl/>
        <w:spacing w:line="240" w:lineRule="auto"/>
        <w:rPr>
          <w:sz w:val="22"/>
          <w:szCs w:val="22"/>
          <w:lang w:val="sk-SK"/>
        </w:rPr>
      </w:pPr>
    </w:p>
    <w:p w14:paraId="1C1D2F00" w14:textId="77777777" w:rsidR="003B7D86" w:rsidRPr="00645EDC" w:rsidRDefault="003B7D86" w:rsidP="003B7D86">
      <w:pPr>
        <w:pStyle w:val="Style9"/>
        <w:widowControl/>
        <w:spacing w:line="240" w:lineRule="auto"/>
        <w:rPr>
          <w:rStyle w:val="FontStyle33"/>
          <w:sz w:val="22"/>
          <w:szCs w:val="22"/>
          <w:lang w:val="sk-SK" w:eastAsia="de-DE"/>
        </w:rPr>
      </w:pPr>
      <w:r w:rsidRPr="00645EDC">
        <w:rPr>
          <w:rStyle w:val="FontStyle33"/>
          <w:sz w:val="22"/>
          <w:szCs w:val="22"/>
          <w:lang w:val="sk-SK" w:eastAsia="de-DE"/>
        </w:rPr>
        <w:t>Tabuľka 2: Priemerná relatívna zmena BMD driekovej chrbtice, bedrovej oblasti, femorálneho krčka a trochantera v porovnaní s východiskovou hodnotou po jednoročnej liečbe (primárna analýza) a dvojročnej liečbe (populácia podľa protokolu) v štúdii BM 16549.</w:t>
      </w:r>
    </w:p>
    <w:p w14:paraId="26A0C880" w14:textId="77777777" w:rsidR="003B7D86" w:rsidRPr="00645EDC" w:rsidRDefault="003B7D86" w:rsidP="003B7D86">
      <w:pPr>
        <w:pStyle w:val="Bezriadkovania1"/>
        <w:tabs>
          <w:tab w:val="left" w:pos="540"/>
        </w:tabs>
        <w:rPr>
          <w:rFonts w:ascii="Times New Roman" w:hAnsi="Times New Roman"/>
          <w:lang w:val="sk-SK"/>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89"/>
        <w:gridCol w:w="1976"/>
        <w:gridCol w:w="1491"/>
        <w:gridCol w:w="2042"/>
        <w:gridCol w:w="1592"/>
      </w:tblGrid>
      <w:tr w:rsidR="003B7D86" w:rsidRPr="00645EDC" w14:paraId="08A830E1" w14:textId="77777777" w:rsidTr="003B7D86">
        <w:tc>
          <w:tcPr>
            <w:tcW w:w="1944" w:type="dxa"/>
          </w:tcPr>
          <w:p w14:paraId="0138A481" w14:textId="77777777" w:rsidR="003B7D86" w:rsidRPr="00645EDC" w:rsidRDefault="003B7D86" w:rsidP="003B7D86">
            <w:pPr>
              <w:pStyle w:val="Style9"/>
              <w:widowControl/>
              <w:spacing w:line="240" w:lineRule="auto"/>
              <w:rPr>
                <w:rStyle w:val="FontStyle33"/>
                <w:sz w:val="22"/>
                <w:szCs w:val="22"/>
                <w:lang w:val="sk-SK" w:eastAsia="de-DE"/>
              </w:rPr>
            </w:pPr>
          </w:p>
        </w:tc>
        <w:tc>
          <w:tcPr>
            <w:tcW w:w="3585" w:type="dxa"/>
            <w:gridSpan w:val="2"/>
          </w:tcPr>
          <w:p w14:paraId="750B9FB5" w14:textId="0166CE95" w:rsidR="003B7D86" w:rsidRPr="00645EDC" w:rsidRDefault="003B7D86" w:rsidP="003B7D86">
            <w:pPr>
              <w:pStyle w:val="Style9"/>
              <w:widowControl/>
              <w:spacing w:line="240" w:lineRule="auto"/>
              <w:rPr>
                <w:rStyle w:val="FontStyle33"/>
                <w:sz w:val="22"/>
                <w:szCs w:val="22"/>
                <w:lang w:val="sk-SK" w:eastAsia="de-DE"/>
              </w:rPr>
            </w:pPr>
            <w:r w:rsidRPr="00645EDC">
              <w:rPr>
                <w:rStyle w:val="FontStyle33"/>
                <w:sz w:val="22"/>
                <w:szCs w:val="22"/>
                <w:lang w:val="sk-SK" w:eastAsia="de-DE"/>
              </w:rPr>
              <w:t xml:space="preserve">Údaje z </w:t>
            </w:r>
            <w:r w:rsidR="00F369AC" w:rsidRPr="00645EDC">
              <w:rPr>
                <w:rStyle w:val="FontStyle33"/>
                <w:sz w:val="22"/>
                <w:szCs w:val="22"/>
                <w:lang w:val="sk-SK" w:eastAsia="de-DE"/>
              </w:rPr>
              <w:t xml:space="preserve">jedného roku </w:t>
            </w:r>
            <w:r w:rsidRPr="00645EDC">
              <w:rPr>
                <w:rStyle w:val="FontStyle33"/>
                <w:sz w:val="22"/>
                <w:szCs w:val="22"/>
                <w:lang w:val="sk-SK" w:eastAsia="de-DE"/>
              </w:rPr>
              <w:t xml:space="preserve">štúdie BM 16549     </w:t>
            </w:r>
          </w:p>
        </w:tc>
        <w:tc>
          <w:tcPr>
            <w:tcW w:w="3769" w:type="dxa"/>
            <w:gridSpan w:val="2"/>
          </w:tcPr>
          <w:p w14:paraId="59FAE175" w14:textId="600FDF07" w:rsidR="003B7D86" w:rsidRPr="00645EDC" w:rsidRDefault="003B7D86" w:rsidP="003B7D86">
            <w:pPr>
              <w:pStyle w:val="Style9"/>
              <w:widowControl/>
              <w:spacing w:line="240" w:lineRule="auto"/>
              <w:rPr>
                <w:rStyle w:val="FontStyle33"/>
                <w:sz w:val="22"/>
                <w:szCs w:val="22"/>
                <w:lang w:val="sk-SK" w:eastAsia="de-DE"/>
              </w:rPr>
            </w:pPr>
            <w:r w:rsidRPr="00645EDC">
              <w:rPr>
                <w:rStyle w:val="FontStyle33"/>
                <w:sz w:val="22"/>
                <w:szCs w:val="22"/>
                <w:lang w:val="sk-SK" w:eastAsia="de-DE"/>
              </w:rPr>
              <w:t xml:space="preserve">Údaje z </w:t>
            </w:r>
            <w:r w:rsidR="00F369AC" w:rsidRPr="00645EDC">
              <w:rPr>
                <w:rStyle w:val="FontStyle33"/>
                <w:sz w:val="22"/>
                <w:szCs w:val="22"/>
                <w:lang w:val="sk-SK" w:eastAsia="de-DE"/>
              </w:rPr>
              <w:t xml:space="preserve">dvoch rokov </w:t>
            </w:r>
            <w:r w:rsidRPr="00645EDC">
              <w:rPr>
                <w:rStyle w:val="FontStyle33"/>
                <w:sz w:val="22"/>
                <w:szCs w:val="22"/>
                <w:lang w:val="sk-SK" w:eastAsia="de-DE"/>
              </w:rPr>
              <w:t xml:space="preserve">štúdie BM 16549                           </w:t>
            </w:r>
          </w:p>
        </w:tc>
      </w:tr>
      <w:tr w:rsidR="003B7D86" w:rsidRPr="00645EDC" w14:paraId="51BAF7A1" w14:textId="77777777" w:rsidTr="003B7D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1944" w:type="dxa"/>
            <w:tcBorders>
              <w:top w:val="single" w:sz="6" w:space="0" w:color="auto"/>
              <w:left w:val="single" w:sz="6" w:space="0" w:color="auto"/>
              <w:bottom w:val="single" w:sz="6" w:space="0" w:color="auto"/>
              <w:right w:val="single" w:sz="6" w:space="0" w:color="auto"/>
            </w:tcBorders>
          </w:tcPr>
          <w:p w14:paraId="3767E661" w14:textId="77777777" w:rsidR="003B7D86" w:rsidRPr="00645EDC" w:rsidRDefault="003B7D86" w:rsidP="003B7D86">
            <w:pPr>
              <w:pStyle w:val="Style20"/>
              <w:widowControl/>
              <w:spacing w:line="240" w:lineRule="auto"/>
              <w:rPr>
                <w:rStyle w:val="FontStyle33"/>
                <w:sz w:val="22"/>
                <w:szCs w:val="22"/>
                <w:lang w:val="sk-SK" w:eastAsia="de-DE"/>
              </w:rPr>
            </w:pPr>
            <w:r w:rsidRPr="00645EDC">
              <w:rPr>
                <w:rStyle w:val="FontStyle33"/>
                <w:sz w:val="22"/>
                <w:szCs w:val="22"/>
                <w:lang w:val="sk-SK" w:eastAsia="de-DE"/>
              </w:rPr>
              <w:t>Priemerné relatívne zmeny oproti</w:t>
            </w:r>
          </w:p>
          <w:p w14:paraId="27FDEB62" w14:textId="77777777" w:rsidR="003B7D86" w:rsidRPr="00645EDC" w:rsidRDefault="003B7D86" w:rsidP="003B7D86">
            <w:pPr>
              <w:pStyle w:val="Style20"/>
              <w:widowControl/>
              <w:spacing w:line="240" w:lineRule="auto"/>
              <w:ind w:left="5" w:hanging="5"/>
              <w:rPr>
                <w:rStyle w:val="FontStyle33"/>
                <w:sz w:val="22"/>
                <w:szCs w:val="22"/>
                <w:lang w:val="sk-SK" w:eastAsia="de-DE"/>
              </w:rPr>
            </w:pPr>
            <w:r w:rsidRPr="00645EDC">
              <w:rPr>
                <w:rStyle w:val="FontStyle33"/>
                <w:sz w:val="22"/>
                <w:szCs w:val="22"/>
                <w:lang w:val="sk-SK" w:eastAsia="de-DE"/>
              </w:rPr>
              <w:t>východiskovej hodnote % [95 % IS]</w:t>
            </w:r>
          </w:p>
        </w:tc>
        <w:tc>
          <w:tcPr>
            <w:tcW w:w="2059" w:type="dxa"/>
            <w:tcBorders>
              <w:top w:val="single" w:sz="6" w:space="0" w:color="auto"/>
              <w:left w:val="single" w:sz="6" w:space="0" w:color="auto"/>
              <w:bottom w:val="single" w:sz="6" w:space="0" w:color="auto"/>
              <w:right w:val="single" w:sz="6" w:space="0" w:color="auto"/>
            </w:tcBorders>
          </w:tcPr>
          <w:p w14:paraId="533BE7C4" w14:textId="77777777" w:rsidR="003B7D86" w:rsidRPr="00645EDC" w:rsidRDefault="003B7D86" w:rsidP="003B7D86">
            <w:pPr>
              <w:pStyle w:val="Style20"/>
              <w:widowControl/>
              <w:spacing w:line="240" w:lineRule="auto"/>
              <w:rPr>
                <w:rStyle w:val="FontStyle33"/>
                <w:sz w:val="22"/>
                <w:szCs w:val="22"/>
                <w:lang w:val="sk-SK" w:eastAsia="de-DE"/>
              </w:rPr>
            </w:pPr>
            <w:r w:rsidRPr="00645EDC">
              <w:rPr>
                <w:rStyle w:val="FontStyle33"/>
                <w:sz w:val="22"/>
                <w:szCs w:val="22"/>
                <w:lang w:val="sk-SK" w:eastAsia="de-DE"/>
              </w:rPr>
              <w:t>Kyselina ibandrónová 2,5 mg raz denne (N=318)</w:t>
            </w:r>
          </w:p>
        </w:tc>
        <w:tc>
          <w:tcPr>
            <w:tcW w:w="1526" w:type="dxa"/>
            <w:tcBorders>
              <w:top w:val="single" w:sz="6" w:space="0" w:color="auto"/>
              <w:left w:val="single" w:sz="6" w:space="0" w:color="auto"/>
              <w:bottom w:val="single" w:sz="6" w:space="0" w:color="auto"/>
              <w:right w:val="single" w:sz="6" w:space="0" w:color="auto"/>
            </w:tcBorders>
          </w:tcPr>
          <w:p w14:paraId="3C3729E3" w14:textId="5BEBF286" w:rsidR="003B7D86" w:rsidRPr="00645EDC" w:rsidRDefault="008B50B0" w:rsidP="003B7D86">
            <w:pPr>
              <w:pStyle w:val="Style20"/>
              <w:widowControl/>
              <w:spacing w:line="240" w:lineRule="auto"/>
              <w:ind w:left="5" w:hanging="5"/>
              <w:rPr>
                <w:rStyle w:val="FontStyle33"/>
                <w:sz w:val="22"/>
                <w:szCs w:val="22"/>
                <w:lang w:val="sk-SK" w:eastAsia="de-DE"/>
              </w:rPr>
            </w:pPr>
            <w:r w:rsidRPr="00645EDC">
              <w:rPr>
                <w:rStyle w:val="FontStyle33"/>
                <w:sz w:val="22"/>
                <w:szCs w:val="22"/>
                <w:lang w:val="sk-SK" w:eastAsia="de-DE"/>
              </w:rPr>
              <w:t xml:space="preserve">Licobondrat </w:t>
            </w:r>
            <w:r w:rsidR="003B7D86" w:rsidRPr="00645EDC">
              <w:rPr>
                <w:rStyle w:val="FontStyle33"/>
                <w:sz w:val="22"/>
                <w:szCs w:val="22"/>
                <w:lang w:val="sk-SK" w:eastAsia="de-DE"/>
              </w:rPr>
              <w:t>150 mg raz mesačne (N=320)</w:t>
            </w:r>
          </w:p>
        </w:tc>
        <w:tc>
          <w:tcPr>
            <w:tcW w:w="2132" w:type="dxa"/>
            <w:tcBorders>
              <w:top w:val="single" w:sz="6" w:space="0" w:color="auto"/>
              <w:left w:val="single" w:sz="6" w:space="0" w:color="auto"/>
              <w:bottom w:val="single" w:sz="6" w:space="0" w:color="auto"/>
              <w:right w:val="single" w:sz="6" w:space="0" w:color="auto"/>
            </w:tcBorders>
          </w:tcPr>
          <w:p w14:paraId="2B4EC195" w14:textId="77777777" w:rsidR="003B7D86" w:rsidRPr="00645EDC" w:rsidRDefault="003B7D86" w:rsidP="003B7D86">
            <w:pPr>
              <w:pStyle w:val="Style20"/>
              <w:widowControl/>
              <w:spacing w:line="240" w:lineRule="auto"/>
              <w:rPr>
                <w:rStyle w:val="FontStyle33"/>
                <w:sz w:val="22"/>
                <w:szCs w:val="22"/>
                <w:lang w:val="sk-SK" w:eastAsia="de-DE"/>
              </w:rPr>
            </w:pPr>
            <w:r w:rsidRPr="00645EDC">
              <w:rPr>
                <w:rStyle w:val="FontStyle33"/>
                <w:sz w:val="22"/>
                <w:szCs w:val="22"/>
                <w:lang w:val="sk-SK" w:eastAsia="de-DE"/>
              </w:rPr>
              <w:t>Kyselina ibandrónová 2,5 mg raz denne (N=294)</w:t>
            </w:r>
          </w:p>
        </w:tc>
        <w:tc>
          <w:tcPr>
            <w:tcW w:w="1637" w:type="dxa"/>
            <w:tcBorders>
              <w:top w:val="single" w:sz="6" w:space="0" w:color="auto"/>
              <w:left w:val="single" w:sz="6" w:space="0" w:color="auto"/>
              <w:bottom w:val="single" w:sz="6" w:space="0" w:color="auto"/>
              <w:right w:val="single" w:sz="6" w:space="0" w:color="auto"/>
            </w:tcBorders>
          </w:tcPr>
          <w:p w14:paraId="07653BFC" w14:textId="05C3E1F7" w:rsidR="003B7D86" w:rsidRPr="00645EDC" w:rsidRDefault="008B50B0" w:rsidP="003B7D86">
            <w:pPr>
              <w:pStyle w:val="Style20"/>
              <w:widowControl/>
              <w:spacing w:line="240" w:lineRule="auto"/>
              <w:ind w:left="5" w:hanging="5"/>
              <w:rPr>
                <w:rStyle w:val="FontStyle33"/>
                <w:sz w:val="22"/>
                <w:szCs w:val="22"/>
                <w:lang w:val="sk-SK" w:eastAsia="de-DE"/>
              </w:rPr>
            </w:pPr>
            <w:r w:rsidRPr="00645EDC">
              <w:rPr>
                <w:rStyle w:val="FontStyle33"/>
                <w:sz w:val="22"/>
                <w:szCs w:val="22"/>
                <w:lang w:val="sk-SK" w:eastAsia="de-DE"/>
              </w:rPr>
              <w:t>Licobondrat</w:t>
            </w:r>
            <w:r w:rsidR="003B7D86" w:rsidRPr="00645EDC">
              <w:rPr>
                <w:rStyle w:val="FontStyle33"/>
                <w:sz w:val="22"/>
                <w:szCs w:val="22"/>
                <w:lang w:val="sk-SK" w:eastAsia="de-DE"/>
              </w:rPr>
              <w:t xml:space="preserve"> 150 mg raz mesačne (N=291)</w:t>
            </w:r>
          </w:p>
        </w:tc>
      </w:tr>
      <w:tr w:rsidR="003B7D86" w:rsidRPr="00645EDC" w14:paraId="35692D2C" w14:textId="77777777" w:rsidTr="003B7D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1944" w:type="dxa"/>
            <w:tcBorders>
              <w:top w:val="single" w:sz="6" w:space="0" w:color="auto"/>
              <w:left w:val="single" w:sz="6" w:space="0" w:color="auto"/>
              <w:bottom w:val="single" w:sz="6" w:space="0" w:color="auto"/>
              <w:right w:val="single" w:sz="6" w:space="0" w:color="auto"/>
            </w:tcBorders>
          </w:tcPr>
          <w:p w14:paraId="0CBAC777" w14:textId="77777777" w:rsidR="003B7D86" w:rsidRPr="00645EDC" w:rsidRDefault="003B7D86" w:rsidP="003B7D86">
            <w:pPr>
              <w:pStyle w:val="Style20"/>
              <w:widowControl/>
              <w:spacing w:line="240" w:lineRule="auto"/>
              <w:ind w:firstLine="5"/>
              <w:rPr>
                <w:rStyle w:val="FontStyle33"/>
                <w:sz w:val="22"/>
                <w:szCs w:val="22"/>
                <w:lang w:val="sk-SK" w:eastAsia="de-DE"/>
              </w:rPr>
            </w:pPr>
            <w:r w:rsidRPr="00645EDC">
              <w:rPr>
                <w:rStyle w:val="FontStyle33"/>
                <w:sz w:val="22"/>
                <w:szCs w:val="22"/>
                <w:lang w:val="sk-SK" w:eastAsia="de-DE"/>
              </w:rPr>
              <w:t>BMD driekovej chrbtice L2-L4</w:t>
            </w:r>
          </w:p>
        </w:tc>
        <w:tc>
          <w:tcPr>
            <w:tcW w:w="2059" w:type="dxa"/>
            <w:tcBorders>
              <w:top w:val="single" w:sz="6" w:space="0" w:color="auto"/>
              <w:left w:val="single" w:sz="6" w:space="0" w:color="auto"/>
              <w:bottom w:val="single" w:sz="6" w:space="0" w:color="auto"/>
              <w:right w:val="single" w:sz="6" w:space="0" w:color="auto"/>
            </w:tcBorders>
          </w:tcPr>
          <w:p w14:paraId="7482C9E3" w14:textId="77777777" w:rsidR="003B7D86" w:rsidRPr="00645EDC" w:rsidRDefault="003B7D86" w:rsidP="003B7D86">
            <w:pPr>
              <w:pStyle w:val="Style20"/>
              <w:widowControl/>
              <w:spacing w:line="240" w:lineRule="auto"/>
              <w:rPr>
                <w:rStyle w:val="FontStyle33"/>
                <w:sz w:val="22"/>
                <w:szCs w:val="22"/>
                <w:lang w:val="sk-SK" w:eastAsia="de-DE"/>
              </w:rPr>
            </w:pPr>
            <w:r w:rsidRPr="00645EDC">
              <w:rPr>
                <w:rStyle w:val="FontStyle33"/>
                <w:sz w:val="22"/>
                <w:szCs w:val="22"/>
                <w:lang w:val="sk-SK" w:eastAsia="de-DE"/>
              </w:rPr>
              <w:t>3,9 [3,4; 4,3]</w:t>
            </w:r>
          </w:p>
        </w:tc>
        <w:tc>
          <w:tcPr>
            <w:tcW w:w="1526" w:type="dxa"/>
            <w:tcBorders>
              <w:top w:val="single" w:sz="6" w:space="0" w:color="auto"/>
              <w:left w:val="single" w:sz="6" w:space="0" w:color="auto"/>
              <w:bottom w:val="single" w:sz="6" w:space="0" w:color="auto"/>
              <w:right w:val="single" w:sz="6" w:space="0" w:color="auto"/>
            </w:tcBorders>
          </w:tcPr>
          <w:p w14:paraId="5888095E" w14:textId="77777777" w:rsidR="003B7D86" w:rsidRPr="00645EDC" w:rsidRDefault="003B7D86" w:rsidP="003B7D86">
            <w:pPr>
              <w:pStyle w:val="Style20"/>
              <w:widowControl/>
              <w:spacing w:line="240" w:lineRule="auto"/>
              <w:rPr>
                <w:rStyle w:val="FontStyle33"/>
                <w:sz w:val="22"/>
                <w:szCs w:val="22"/>
                <w:lang w:val="sk-SK" w:eastAsia="de-DE"/>
              </w:rPr>
            </w:pPr>
            <w:r w:rsidRPr="00645EDC">
              <w:rPr>
                <w:rStyle w:val="FontStyle33"/>
                <w:sz w:val="22"/>
                <w:szCs w:val="22"/>
                <w:lang w:val="sk-SK" w:eastAsia="de-DE"/>
              </w:rPr>
              <w:t>4,9 [4,4; 5,3]</w:t>
            </w:r>
          </w:p>
        </w:tc>
        <w:tc>
          <w:tcPr>
            <w:tcW w:w="2132" w:type="dxa"/>
            <w:tcBorders>
              <w:top w:val="single" w:sz="6" w:space="0" w:color="auto"/>
              <w:left w:val="single" w:sz="6" w:space="0" w:color="auto"/>
              <w:bottom w:val="single" w:sz="6" w:space="0" w:color="auto"/>
              <w:right w:val="single" w:sz="6" w:space="0" w:color="auto"/>
            </w:tcBorders>
          </w:tcPr>
          <w:p w14:paraId="75DC3762" w14:textId="77777777" w:rsidR="003B7D86" w:rsidRPr="00645EDC" w:rsidRDefault="003B7D86" w:rsidP="003B7D86">
            <w:pPr>
              <w:pStyle w:val="Style20"/>
              <w:widowControl/>
              <w:spacing w:line="240" w:lineRule="auto"/>
              <w:rPr>
                <w:rStyle w:val="FontStyle33"/>
                <w:sz w:val="22"/>
                <w:szCs w:val="22"/>
                <w:lang w:val="sk-SK" w:eastAsia="de-DE"/>
              </w:rPr>
            </w:pPr>
            <w:r w:rsidRPr="00645EDC">
              <w:rPr>
                <w:rStyle w:val="FontStyle33"/>
                <w:sz w:val="22"/>
                <w:szCs w:val="22"/>
                <w:lang w:val="sk-SK" w:eastAsia="de-DE"/>
              </w:rPr>
              <w:t>5,0 [4,4; 5,5]</w:t>
            </w:r>
          </w:p>
        </w:tc>
        <w:tc>
          <w:tcPr>
            <w:tcW w:w="1637" w:type="dxa"/>
            <w:tcBorders>
              <w:top w:val="single" w:sz="6" w:space="0" w:color="auto"/>
              <w:left w:val="single" w:sz="6" w:space="0" w:color="auto"/>
              <w:bottom w:val="single" w:sz="6" w:space="0" w:color="auto"/>
              <w:right w:val="single" w:sz="6" w:space="0" w:color="auto"/>
            </w:tcBorders>
          </w:tcPr>
          <w:p w14:paraId="1C459B72" w14:textId="77777777" w:rsidR="003B7D86" w:rsidRPr="00645EDC" w:rsidRDefault="003B7D86" w:rsidP="003B7D86">
            <w:pPr>
              <w:pStyle w:val="Style20"/>
              <w:widowControl/>
              <w:spacing w:line="240" w:lineRule="auto"/>
              <w:rPr>
                <w:rStyle w:val="FontStyle33"/>
                <w:sz w:val="22"/>
                <w:szCs w:val="22"/>
                <w:lang w:val="sk-SK" w:eastAsia="de-DE"/>
              </w:rPr>
            </w:pPr>
            <w:r w:rsidRPr="00645EDC">
              <w:rPr>
                <w:rStyle w:val="FontStyle33"/>
                <w:sz w:val="22"/>
                <w:szCs w:val="22"/>
                <w:lang w:val="sk-SK" w:eastAsia="de-DE"/>
              </w:rPr>
              <w:t>6,6 [6,0; 7,1]</w:t>
            </w:r>
          </w:p>
        </w:tc>
      </w:tr>
      <w:tr w:rsidR="003B7D86" w:rsidRPr="00645EDC" w14:paraId="6AF8C960" w14:textId="77777777" w:rsidTr="003B7D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1944" w:type="dxa"/>
            <w:tcBorders>
              <w:top w:val="single" w:sz="6" w:space="0" w:color="auto"/>
              <w:left w:val="single" w:sz="6" w:space="0" w:color="auto"/>
              <w:bottom w:val="single" w:sz="6" w:space="0" w:color="auto"/>
              <w:right w:val="single" w:sz="6" w:space="0" w:color="auto"/>
            </w:tcBorders>
          </w:tcPr>
          <w:p w14:paraId="1EF6B2C6" w14:textId="77777777" w:rsidR="003B7D86" w:rsidRPr="00645EDC" w:rsidRDefault="003B7D86" w:rsidP="003B7D86">
            <w:pPr>
              <w:pStyle w:val="Style20"/>
              <w:widowControl/>
              <w:spacing w:line="240" w:lineRule="auto"/>
              <w:ind w:firstLine="5"/>
              <w:rPr>
                <w:rStyle w:val="FontStyle33"/>
                <w:sz w:val="22"/>
                <w:szCs w:val="22"/>
                <w:lang w:val="sk-SK" w:eastAsia="de-DE"/>
              </w:rPr>
            </w:pPr>
            <w:r w:rsidRPr="00645EDC">
              <w:rPr>
                <w:rStyle w:val="FontStyle33"/>
                <w:sz w:val="22"/>
                <w:szCs w:val="22"/>
                <w:lang w:val="sk-SK" w:eastAsia="de-DE"/>
              </w:rPr>
              <w:t>BMD bedrovej oblasti</w:t>
            </w:r>
          </w:p>
        </w:tc>
        <w:tc>
          <w:tcPr>
            <w:tcW w:w="2059" w:type="dxa"/>
            <w:tcBorders>
              <w:top w:val="single" w:sz="6" w:space="0" w:color="auto"/>
              <w:left w:val="single" w:sz="6" w:space="0" w:color="auto"/>
              <w:bottom w:val="single" w:sz="6" w:space="0" w:color="auto"/>
              <w:right w:val="single" w:sz="6" w:space="0" w:color="auto"/>
            </w:tcBorders>
          </w:tcPr>
          <w:p w14:paraId="79351BD6" w14:textId="77777777" w:rsidR="003B7D86" w:rsidRPr="00645EDC" w:rsidRDefault="003B7D86" w:rsidP="003B7D86">
            <w:pPr>
              <w:pStyle w:val="Style20"/>
              <w:widowControl/>
              <w:spacing w:line="240" w:lineRule="auto"/>
              <w:rPr>
                <w:rStyle w:val="FontStyle33"/>
                <w:sz w:val="22"/>
                <w:szCs w:val="22"/>
                <w:lang w:val="sk-SK" w:eastAsia="de-DE"/>
              </w:rPr>
            </w:pPr>
            <w:r w:rsidRPr="00645EDC">
              <w:rPr>
                <w:rStyle w:val="FontStyle33"/>
                <w:sz w:val="22"/>
                <w:szCs w:val="22"/>
                <w:lang w:val="sk-SK" w:eastAsia="de-DE"/>
              </w:rPr>
              <w:t>2,0 [1,7; 2,3]</w:t>
            </w:r>
          </w:p>
        </w:tc>
        <w:tc>
          <w:tcPr>
            <w:tcW w:w="1526" w:type="dxa"/>
            <w:tcBorders>
              <w:top w:val="single" w:sz="6" w:space="0" w:color="auto"/>
              <w:left w:val="single" w:sz="6" w:space="0" w:color="auto"/>
              <w:bottom w:val="single" w:sz="6" w:space="0" w:color="auto"/>
              <w:right w:val="single" w:sz="6" w:space="0" w:color="auto"/>
            </w:tcBorders>
          </w:tcPr>
          <w:p w14:paraId="0579CCA5" w14:textId="77777777" w:rsidR="003B7D86" w:rsidRPr="00645EDC" w:rsidRDefault="003B7D86" w:rsidP="003B7D86">
            <w:pPr>
              <w:pStyle w:val="Style20"/>
              <w:widowControl/>
              <w:spacing w:line="240" w:lineRule="auto"/>
              <w:rPr>
                <w:rStyle w:val="FontStyle33"/>
                <w:sz w:val="22"/>
                <w:szCs w:val="22"/>
                <w:lang w:val="sk-SK" w:eastAsia="de-DE"/>
              </w:rPr>
            </w:pPr>
            <w:r w:rsidRPr="00645EDC">
              <w:rPr>
                <w:rStyle w:val="FontStyle33"/>
                <w:sz w:val="22"/>
                <w:szCs w:val="22"/>
                <w:lang w:val="sk-SK" w:eastAsia="de-DE"/>
              </w:rPr>
              <w:t>3,1 [2,8; 3,4]</w:t>
            </w:r>
          </w:p>
        </w:tc>
        <w:tc>
          <w:tcPr>
            <w:tcW w:w="2132" w:type="dxa"/>
            <w:tcBorders>
              <w:top w:val="single" w:sz="6" w:space="0" w:color="auto"/>
              <w:left w:val="single" w:sz="6" w:space="0" w:color="auto"/>
              <w:bottom w:val="single" w:sz="6" w:space="0" w:color="auto"/>
              <w:right w:val="single" w:sz="6" w:space="0" w:color="auto"/>
            </w:tcBorders>
          </w:tcPr>
          <w:p w14:paraId="2CAC78A2" w14:textId="77777777" w:rsidR="003B7D86" w:rsidRPr="00645EDC" w:rsidRDefault="003B7D86" w:rsidP="003B7D86">
            <w:pPr>
              <w:pStyle w:val="Style20"/>
              <w:widowControl/>
              <w:spacing w:line="240" w:lineRule="auto"/>
              <w:rPr>
                <w:rStyle w:val="FontStyle33"/>
                <w:sz w:val="22"/>
                <w:szCs w:val="22"/>
                <w:lang w:val="sk-SK" w:eastAsia="de-DE"/>
              </w:rPr>
            </w:pPr>
            <w:r w:rsidRPr="00645EDC">
              <w:rPr>
                <w:rStyle w:val="FontStyle33"/>
                <w:sz w:val="22"/>
                <w:szCs w:val="22"/>
                <w:lang w:val="sk-SK" w:eastAsia="de-DE"/>
              </w:rPr>
              <w:t>2,5 [2,1; 2,9]</w:t>
            </w:r>
          </w:p>
        </w:tc>
        <w:tc>
          <w:tcPr>
            <w:tcW w:w="1637" w:type="dxa"/>
            <w:tcBorders>
              <w:top w:val="single" w:sz="6" w:space="0" w:color="auto"/>
              <w:left w:val="single" w:sz="6" w:space="0" w:color="auto"/>
              <w:bottom w:val="single" w:sz="6" w:space="0" w:color="auto"/>
              <w:right w:val="single" w:sz="6" w:space="0" w:color="auto"/>
            </w:tcBorders>
          </w:tcPr>
          <w:p w14:paraId="6F9CBC82" w14:textId="77777777" w:rsidR="003B7D86" w:rsidRPr="00645EDC" w:rsidRDefault="003B7D86" w:rsidP="003B7D86">
            <w:pPr>
              <w:pStyle w:val="Style20"/>
              <w:widowControl/>
              <w:spacing w:line="240" w:lineRule="auto"/>
              <w:rPr>
                <w:rStyle w:val="FontStyle33"/>
                <w:sz w:val="22"/>
                <w:szCs w:val="22"/>
                <w:lang w:val="sk-SK" w:eastAsia="de-DE"/>
              </w:rPr>
            </w:pPr>
            <w:r w:rsidRPr="00645EDC">
              <w:rPr>
                <w:rStyle w:val="FontStyle33"/>
                <w:sz w:val="22"/>
                <w:szCs w:val="22"/>
                <w:lang w:val="sk-SK" w:eastAsia="de-DE"/>
              </w:rPr>
              <w:t>4,2 [3,8; 4,5]</w:t>
            </w:r>
          </w:p>
        </w:tc>
      </w:tr>
      <w:tr w:rsidR="003B7D86" w:rsidRPr="00645EDC" w14:paraId="53708047" w14:textId="77777777" w:rsidTr="003B7D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1944" w:type="dxa"/>
            <w:tcBorders>
              <w:top w:val="single" w:sz="6" w:space="0" w:color="auto"/>
              <w:left w:val="single" w:sz="6" w:space="0" w:color="auto"/>
              <w:bottom w:val="single" w:sz="6" w:space="0" w:color="auto"/>
              <w:right w:val="single" w:sz="6" w:space="0" w:color="auto"/>
            </w:tcBorders>
          </w:tcPr>
          <w:p w14:paraId="65525558" w14:textId="77777777" w:rsidR="003B7D86" w:rsidRPr="00645EDC" w:rsidRDefault="003B7D86" w:rsidP="003B7D86">
            <w:pPr>
              <w:pStyle w:val="Style20"/>
              <w:widowControl/>
              <w:spacing w:line="240" w:lineRule="auto"/>
              <w:ind w:firstLine="5"/>
              <w:rPr>
                <w:rStyle w:val="FontStyle33"/>
                <w:sz w:val="22"/>
                <w:szCs w:val="22"/>
                <w:lang w:val="sk-SK" w:eastAsia="de-DE"/>
              </w:rPr>
            </w:pPr>
            <w:r w:rsidRPr="00645EDC">
              <w:rPr>
                <w:rStyle w:val="FontStyle33"/>
                <w:sz w:val="22"/>
                <w:szCs w:val="22"/>
                <w:lang w:val="sk-SK" w:eastAsia="de-DE"/>
              </w:rPr>
              <w:t>BMD femorálneho krčku</w:t>
            </w:r>
          </w:p>
        </w:tc>
        <w:tc>
          <w:tcPr>
            <w:tcW w:w="2059" w:type="dxa"/>
            <w:tcBorders>
              <w:top w:val="single" w:sz="6" w:space="0" w:color="auto"/>
              <w:left w:val="single" w:sz="6" w:space="0" w:color="auto"/>
              <w:bottom w:val="single" w:sz="6" w:space="0" w:color="auto"/>
              <w:right w:val="single" w:sz="6" w:space="0" w:color="auto"/>
            </w:tcBorders>
          </w:tcPr>
          <w:p w14:paraId="22A0F959" w14:textId="77777777" w:rsidR="003B7D86" w:rsidRPr="00645EDC" w:rsidRDefault="003B7D86" w:rsidP="003B7D86">
            <w:pPr>
              <w:pStyle w:val="Style20"/>
              <w:widowControl/>
              <w:spacing w:line="240" w:lineRule="auto"/>
              <w:rPr>
                <w:rStyle w:val="FontStyle33"/>
                <w:sz w:val="22"/>
                <w:szCs w:val="22"/>
                <w:lang w:val="sk-SK" w:eastAsia="de-DE"/>
              </w:rPr>
            </w:pPr>
            <w:r w:rsidRPr="00645EDC">
              <w:rPr>
                <w:rStyle w:val="FontStyle33"/>
                <w:sz w:val="22"/>
                <w:szCs w:val="22"/>
                <w:lang w:val="sk-SK" w:eastAsia="de-DE"/>
              </w:rPr>
              <w:t>1,7 [1,3; 2,1]</w:t>
            </w:r>
          </w:p>
        </w:tc>
        <w:tc>
          <w:tcPr>
            <w:tcW w:w="1526" w:type="dxa"/>
            <w:tcBorders>
              <w:top w:val="single" w:sz="6" w:space="0" w:color="auto"/>
              <w:left w:val="single" w:sz="6" w:space="0" w:color="auto"/>
              <w:bottom w:val="single" w:sz="6" w:space="0" w:color="auto"/>
              <w:right w:val="single" w:sz="6" w:space="0" w:color="auto"/>
            </w:tcBorders>
          </w:tcPr>
          <w:p w14:paraId="148A7FC9" w14:textId="77777777" w:rsidR="003B7D86" w:rsidRPr="00645EDC" w:rsidRDefault="003B7D86" w:rsidP="003B7D86">
            <w:pPr>
              <w:pStyle w:val="Style20"/>
              <w:widowControl/>
              <w:spacing w:line="240" w:lineRule="auto"/>
              <w:rPr>
                <w:rStyle w:val="FontStyle33"/>
                <w:sz w:val="22"/>
                <w:szCs w:val="22"/>
                <w:lang w:val="sk-SK" w:eastAsia="de-DE"/>
              </w:rPr>
            </w:pPr>
            <w:r w:rsidRPr="00645EDC">
              <w:rPr>
                <w:rStyle w:val="FontStyle33"/>
                <w:sz w:val="22"/>
                <w:szCs w:val="22"/>
                <w:lang w:val="sk-SK" w:eastAsia="de-DE"/>
              </w:rPr>
              <w:t>2,2 [1,9; 2,6]</w:t>
            </w:r>
          </w:p>
        </w:tc>
        <w:tc>
          <w:tcPr>
            <w:tcW w:w="2132" w:type="dxa"/>
            <w:tcBorders>
              <w:top w:val="single" w:sz="6" w:space="0" w:color="auto"/>
              <w:left w:val="single" w:sz="6" w:space="0" w:color="auto"/>
              <w:bottom w:val="single" w:sz="6" w:space="0" w:color="auto"/>
              <w:right w:val="single" w:sz="6" w:space="0" w:color="auto"/>
            </w:tcBorders>
          </w:tcPr>
          <w:p w14:paraId="2054FB31" w14:textId="77777777" w:rsidR="003B7D86" w:rsidRPr="00645EDC" w:rsidRDefault="003B7D86" w:rsidP="003B7D86">
            <w:pPr>
              <w:pStyle w:val="Style20"/>
              <w:widowControl/>
              <w:spacing w:line="240" w:lineRule="auto"/>
              <w:rPr>
                <w:rStyle w:val="FontStyle33"/>
                <w:sz w:val="22"/>
                <w:szCs w:val="22"/>
                <w:lang w:val="sk-SK" w:eastAsia="de-DE"/>
              </w:rPr>
            </w:pPr>
            <w:r w:rsidRPr="00645EDC">
              <w:rPr>
                <w:rStyle w:val="FontStyle33"/>
                <w:sz w:val="22"/>
                <w:szCs w:val="22"/>
                <w:lang w:val="sk-SK" w:eastAsia="de-DE"/>
              </w:rPr>
              <w:t>1,9 [1,4; 2,4]</w:t>
            </w:r>
          </w:p>
        </w:tc>
        <w:tc>
          <w:tcPr>
            <w:tcW w:w="1637" w:type="dxa"/>
            <w:tcBorders>
              <w:top w:val="single" w:sz="6" w:space="0" w:color="auto"/>
              <w:left w:val="single" w:sz="6" w:space="0" w:color="auto"/>
              <w:bottom w:val="single" w:sz="6" w:space="0" w:color="auto"/>
              <w:right w:val="single" w:sz="6" w:space="0" w:color="auto"/>
            </w:tcBorders>
          </w:tcPr>
          <w:p w14:paraId="773550FA" w14:textId="77777777" w:rsidR="003B7D86" w:rsidRPr="00645EDC" w:rsidRDefault="003B7D86" w:rsidP="003B7D86">
            <w:pPr>
              <w:pStyle w:val="Style20"/>
              <w:widowControl/>
              <w:spacing w:line="240" w:lineRule="auto"/>
              <w:rPr>
                <w:rStyle w:val="FontStyle33"/>
                <w:sz w:val="22"/>
                <w:szCs w:val="22"/>
                <w:lang w:val="sk-SK" w:eastAsia="de-DE"/>
              </w:rPr>
            </w:pPr>
            <w:r w:rsidRPr="00645EDC">
              <w:rPr>
                <w:rStyle w:val="FontStyle33"/>
                <w:sz w:val="22"/>
                <w:szCs w:val="22"/>
                <w:lang w:val="sk-SK" w:eastAsia="de-DE"/>
              </w:rPr>
              <w:t>3,1 [2,7; 3,6]</w:t>
            </w:r>
          </w:p>
        </w:tc>
      </w:tr>
      <w:tr w:rsidR="003B7D86" w:rsidRPr="00645EDC" w14:paraId="30BDCCD7" w14:textId="77777777" w:rsidTr="003B7D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1944" w:type="dxa"/>
            <w:tcBorders>
              <w:top w:val="single" w:sz="6" w:space="0" w:color="auto"/>
              <w:left w:val="single" w:sz="6" w:space="0" w:color="auto"/>
              <w:bottom w:val="single" w:sz="6" w:space="0" w:color="auto"/>
              <w:right w:val="single" w:sz="6" w:space="0" w:color="auto"/>
            </w:tcBorders>
          </w:tcPr>
          <w:p w14:paraId="1DF60E91" w14:textId="77777777" w:rsidR="003B7D86" w:rsidRPr="00645EDC" w:rsidRDefault="003B7D86" w:rsidP="003B7D86">
            <w:pPr>
              <w:pStyle w:val="Style20"/>
              <w:widowControl/>
              <w:spacing w:line="240" w:lineRule="auto"/>
              <w:rPr>
                <w:rStyle w:val="FontStyle33"/>
                <w:sz w:val="22"/>
                <w:szCs w:val="22"/>
                <w:lang w:val="sk-SK" w:eastAsia="de-DE"/>
              </w:rPr>
            </w:pPr>
            <w:r w:rsidRPr="00645EDC">
              <w:rPr>
                <w:rStyle w:val="FontStyle33"/>
                <w:sz w:val="22"/>
                <w:szCs w:val="22"/>
                <w:lang w:val="sk-SK" w:eastAsia="de-DE"/>
              </w:rPr>
              <w:t>BMD trochantera</w:t>
            </w:r>
          </w:p>
        </w:tc>
        <w:tc>
          <w:tcPr>
            <w:tcW w:w="2059" w:type="dxa"/>
            <w:tcBorders>
              <w:top w:val="single" w:sz="6" w:space="0" w:color="auto"/>
              <w:left w:val="single" w:sz="6" w:space="0" w:color="auto"/>
              <w:bottom w:val="single" w:sz="6" w:space="0" w:color="auto"/>
              <w:right w:val="single" w:sz="6" w:space="0" w:color="auto"/>
            </w:tcBorders>
          </w:tcPr>
          <w:p w14:paraId="0399A44D" w14:textId="77777777" w:rsidR="003B7D86" w:rsidRPr="00645EDC" w:rsidRDefault="003B7D86" w:rsidP="003B7D86">
            <w:pPr>
              <w:pStyle w:val="Style20"/>
              <w:widowControl/>
              <w:spacing w:line="240" w:lineRule="auto"/>
              <w:rPr>
                <w:rStyle w:val="FontStyle33"/>
                <w:sz w:val="22"/>
                <w:szCs w:val="22"/>
                <w:lang w:val="sk-SK" w:eastAsia="de-DE"/>
              </w:rPr>
            </w:pPr>
            <w:r w:rsidRPr="00645EDC">
              <w:rPr>
                <w:rStyle w:val="FontStyle33"/>
                <w:sz w:val="22"/>
                <w:szCs w:val="22"/>
                <w:lang w:val="sk-SK" w:eastAsia="de-DE"/>
              </w:rPr>
              <w:t>3,2 [2,8; 3,7]</w:t>
            </w:r>
          </w:p>
        </w:tc>
        <w:tc>
          <w:tcPr>
            <w:tcW w:w="1526" w:type="dxa"/>
            <w:tcBorders>
              <w:top w:val="single" w:sz="6" w:space="0" w:color="auto"/>
              <w:left w:val="single" w:sz="6" w:space="0" w:color="auto"/>
              <w:bottom w:val="single" w:sz="6" w:space="0" w:color="auto"/>
              <w:right w:val="single" w:sz="6" w:space="0" w:color="auto"/>
            </w:tcBorders>
          </w:tcPr>
          <w:p w14:paraId="3840C65C" w14:textId="77777777" w:rsidR="003B7D86" w:rsidRPr="00645EDC" w:rsidRDefault="003B7D86" w:rsidP="003B7D86">
            <w:pPr>
              <w:pStyle w:val="Style20"/>
              <w:widowControl/>
              <w:spacing w:line="240" w:lineRule="auto"/>
              <w:rPr>
                <w:rStyle w:val="FontStyle33"/>
                <w:sz w:val="22"/>
                <w:szCs w:val="22"/>
                <w:lang w:val="sk-SK" w:eastAsia="de-DE"/>
              </w:rPr>
            </w:pPr>
            <w:r w:rsidRPr="00645EDC">
              <w:rPr>
                <w:rStyle w:val="FontStyle33"/>
                <w:sz w:val="22"/>
                <w:szCs w:val="22"/>
                <w:lang w:val="sk-SK" w:eastAsia="de-DE"/>
              </w:rPr>
              <w:t>4,6 [4,2; 5,1]</w:t>
            </w:r>
          </w:p>
        </w:tc>
        <w:tc>
          <w:tcPr>
            <w:tcW w:w="2132" w:type="dxa"/>
            <w:tcBorders>
              <w:top w:val="single" w:sz="6" w:space="0" w:color="auto"/>
              <w:left w:val="single" w:sz="6" w:space="0" w:color="auto"/>
              <w:bottom w:val="single" w:sz="6" w:space="0" w:color="auto"/>
              <w:right w:val="single" w:sz="6" w:space="0" w:color="auto"/>
            </w:tcBorders>
          </w:tcPr>
          <w:p w14:paraId="28068D97" w14:textId="77777777" w:rsidR="003B7D86" w:rsidRPr="00645EDC" w:rsidRDefault="003B7D86" w:rsidP="003B7D86">
            <w:pPr>
              <w:pStyle w:val="Style20"/>
              <w:widowControl/>
              <w:spacing w:line="240" w:lineRule="auto"/>
              <w:rPr>
                <w:rStyle w:val="FontStyle33"/>
                <w:sz w:val="22"/>
                <w:szCs w:val="22"/>
                <w:lang w:val="sk-SK" w:eastAsia="de-DE"/>
              </w:rPr>
            </w:pPr>
            <w:r w:rsidRPr="00645EDC">
              <w:rPr>
                <w:rStyle w:val="FontStyle33"/>
                <w:sz w:val="22"/>
                <w:szCs w:val="22"/>
                <w:lang w:val="sk-SK" w:eastAsia="de-DE"/>
              </w:rPr>
              <w:t>4,0 [3,5; 4,5]</w:t>
            </w:r>
          </w:p>
        </w:tc>
        <w:tc>
          <w:tcPr>
            <w:tcW w:w="1637" w:type="dxa"/>
            <w:tcBorders>
              <w:top w:val="single" w:sz="6" w:space="0" w:color="auto"/>
              <w:left w:val="single" w:sz="6" w:space="0" w:color="auto"/>
              <w:bottom w:val="single" w:sz="6" w:space="0" w:color="auto"/>
              <w:right w:val="single" w:sz="6" w:space="0" w:color="auto"/>
            </w:tcBorders>
          </w:tcPr>
          <w:p w14:paraId="1E72AF5A" w14:textId="77777777" w:rsidR="003B7D86" w:rsidRPr="00645EDC" w:rsidRDefault="003B7D86" w:rsidP="003B7D86">
            <w:pPr>
              <w:pStyle w:val="Style20"/>
              <w:widowControl/>
              <w:spacing w:line="240" w:lineRule="auto"/>
              <w:rPr>
                <w:rStyle w:val="FontStyle33"/>
                <w:sz w:val="22"/>
                <w:szCs w:val="22"/>
                <w:lang w:val="sk-SK" w:eastAsia="de-DE"/>
              </w:rPr>
            </w:pPr>
            <w:r w:rsidRPr="00645EDC">
              <w:rPr>
                <w:rStyle w:val="FontStyle33"/>
                <w:sz w:val="22"/>
                <w:szCs w:val="22"/>
                <w:lang w:val="sk-SK" w:eastAsia="de-DE"/>
              </w:rPr>
              <w:t>6,2 [5,7; 6,7]</w:t>
            </w:r>
          </w:p>
        </w:tc>
      </w:tr>
    </w:tbl>
    <w:p w14:paraId="7C680FF8" w14:textId="77777777" w:rsidR="003B7D86" w:rsidRPr="00645EDC" w:rsidRDefault="003B7D86" w:rsidP="003B7D86">
      <w:pPr>
        <w:pStyle w:val="Style9"/>
        <w:widowControl/>
        <w:spacing w:line="240" w:lineRule="auto"/>
        <w:jc w:val="both"/>
        <w:rPr>
          <w:sz w:val="22"/>
          <w:szCs w:val="22"/>
          <w:lang w:val="sk-SK"/>
        </w:rPr>
      </w:pPr>
    </w:p>
    <w:p w14:paraId="3F39A251" w14:textId="77777777" w:rsidR="003B7D86" w:rsidRPr="00645EDC" w:rsidRDefault="003B7D86" w:rsidP="003B7D86">
      <w:pPr>
        <w:pStyle w:val="Bezriadkovania1"/>
        <w:tabs>
          <w:tab w:val="left" w:pos="540"/>
        </w:tabs>
        <w:rPr>
          <w:rFonts w:ascii="Times New Roman" w:hAnsi="Times New Roman"/>
          <w:lang w:val="sk-SK"/>
        </w:rPr>
      </w:pPr>
    </w:p>
    <w:p w14:paraId="2114D5C5" w14:textId="5E56DC86" w:rsidR="003B7D86" w:rsidRPr="00645EDC" w:rsidRDefault="003B7D86" w:rsidP="003B7D86">
      <w:pPr>
        <w:pStyle w:val="Style9"/>
        <w:widowControl/>
        <w:spacing w:line="240" w:lineRule="auto"/>
        <w:jc w:val="both"/>
        <w:rPr>
          <w:rStyle w:val="FontStyle33"/>
          <w:sz w:val="22"/>
          <w:szCs w:val="22"/>
          <w:lang w:val="sk-SK" w:eastAsia="de-DE"/>
        </w:rPr>
      </w:pPr>
      <w:r w:rsidRPr="00645EDC">
        <w:rPr>
          <w:rStyle w:val="FontStyle33"/>
          <w:sz w:val="22"/>
          <w:szCs w:val="22"/>
          <w:lang w:val="sk-SK" w:eastAsia="de-DE"/>
        </w:rPr>
        <w:t xml:space="preserve">Okrem toho sa overilo, že </w:t>
      </w:r>
      <w:r w:rsidR="00235F16" w:rsidRPr="00645EDC">
        <w:rPr>
          <w:rStyle w:val="FontStyle33"/>
          <w:sz w:val="22"/>
          <w:szCs w:val="22"/>
          <w:lang w:val="sk-SK" w:eastAsia="de-DE"/>
        </w:rPr>
        <w:t>Licobondrat</w:t>
      </w:r>
      <w:r w:rsidRPr="00645EDC">
        <w:rPr>
          <w:rStyle w:val="FontStyle33"/>
          <w:sz w:val="22"/>
          <w:szCs w:val="22"/>
          <w:lang w:val="sk-SK" w:eastAsia="de-DE"/>
        </w:rPr>
        <w:t xml:space="preserve"> 150 mg raz mesačne je účinnejš</w:t>
      </w:r>
      <w:r w:rsidR="00235F16" w:rsidRPr="00645EDC">
        <w:rPr>
          <w:rStyle w:val="FontStyle33"/>
          <w:sz w:val="22"/>
          <w:szCs w:val="22"/>
          <w:lang w:val="sk-SK" w:eastAsia="de-DE"/>
        </w:rPr>
        <w:t>í</w:t>
      </w:r>
      <w:r w:rsidRPr="00645EDC">
        <w:rPr>
          <w:rStyle w:val="FontStyle33"/>
          <w:sz w:val="22"/>
          <w:szCs w:val="22"/>
          <w:lang w:val="sk-SK" w:eastAsia="de-DE"/>
        </w:rPr>
        <w:t xml:space="preserve"> na zvýšenie BMD driekovej chrbtice ako kyselina ibandrónová 2,5 mg</w:t>
      </w:r>
      <w:r w:rsidR="004D608A" w:rsidRPr="00645EDC">
        <w:rPr>
          <w:rStyle w:val="FontStyle33"/>
          <w:sz w:val="22"/>
          <w:szCs w:val="22"/>
          <w:lang w:val="sk-SK" w:eastAsia="de-DE"/>
        </w:rPr>
        <w:t xml:space="preserve"> denne</w:t>
      </w:r>
      <w:r w:rsidRPr="00645EDC">
        <w:rPr>
          <w:rStyle w:val="FontStyle33"/>
          <w:sz w:val="22"/>
          <w:szCs w:val="22"/>
          <w:lang w:val="sk-SK" w:eastAsia="de-DE"/>
        </w:rPr>
        <w:t xml:space="preserve"> v prospektívne plánovanej analýze po jednom roku, p = </w:t>
      </w:r>
      <w:smartTag w:uri="urn:schemas-microsoft-com:office:smarttags" w:element="metricconverter">
        <w:smartTagPr>
          <w:attr w:name="ProductID" w:val="0,002 a"/>
        </w:smartTagPr>
        <w:r w:rsidRPr="00645EDC">
          <w:rPr>
            <w:rStyle w:val="FontStyle33"/>
            <w:sz w:val="22"/>
            <w:szCs w:val="22"/>
            <w:lang w:val="sk-SK" w:eastAsia="de-DE"/>
          </w:rPr>
          <w:t>0,002 a</w:t>
        </w:r>
      </w:smartTag>
      <w:r w:rsidRPr="00645EDC">
        <w:rPr>
          <w:rStyle w:val="FontStyle33"/>
          <w:sz w:val="22"/>
          <w:szCs w:val="22"/>
          <w:lang w:val="sk-SK" w:eastAsia="de-DE"/>
        </w:rPr>
        <w:t xml:space="preserve"> po dvoch rokoch, p &lt; 0,001.</w:t>
      </w:r>
    </w:p>
    <w:p w14:paraId="37599FF6" w14:textId="77777777" w:rsidR="003B7D86" w:rsidRPr="00645EDC" w:rsidRDefault="003B7D86" w:rsidP="003B7D86">
      <w:pPr>
        <w:pStyle w:val="Style9"/>
        <w:widowControl/>
        <w:spacing w:line="240" w:lineRule="auto"/>
        <w:rPr>
          <w:sz w:val="22"/>
          <w:szCs w:val="22"/>
          <w:lang w:val="sk-SK"/>
        </w:rPr>
      </w:pPr>
    </w:p>
    <w:p w14:paraId="045A7F75" w14:textId="3D8C5CA5" w:rsidR="003B7D86" w:rsidRPr="00645EDC" w:rsidRDefault="003B7D86" w:rsidP="003B7D86">
      <w:pPr>
        <w:pStyle w:val="Style9"/>
        <w:widowControl/>
        <w:spacing w:line="240" w:lineRule="auto"/>
        <w:rPr>
          <w:rStyle w:val="FontStyle33"/>
          <w:sz w:val="22"/>
          <w:szCs w:val="22"/>
          <w:lang w:val="sk-SK" w:eastAsia="de-DE"/>
        </w:rPr>
      </w:pPr>
      <w:r w:rsidRPr="00645EDC">
        <w:rPr>
          <w:rStyle w:val="FontStyle33"/>
          <w:sz w:val="22"/>
          <w:szCs w:val="22"/>
          <w:lang w:val="sk-SK" w:eastAsia="de-DE"/>
        </w:rPr>
        <w:t xml:space="preserve">Po jednom roku (primárna analýza) u 91,3 % (p = 0,005) pacientov, ktorí dostávali </w:t>
      </w:r>
      <w:r w:rsidR="004D608A" w:rsidRPr="00645EDC">
        <w:rPr>
          <w:rStyle w:val="FontStyle33"/>
          <w:sz w:val="22"/>
          <w:szCs w:val="22"/>
          <w:lang w:val="sk-SK" w:eastAsia="de-DE"/>
        </w:rPr>
        <w:t xml:space="preserve">Licobondrat </w:t>
      </w:r>
      <w:r w:rsidRPr="00645EDC">
        <w:rPr>
          <w:rStyle w:val="FontStyle33"/>
          <w:sz w:val="22"/>
          <w:szCs w:val="22"/>
          <w:lang w:val="sk-SK" w:eastAsia="de-DE"/>
        </w:rPr>
        <w:t xml:space="preserve">150 mg raz mesačne, bola BMD driekovej chrbtice vyššia alebo rovná východiskovej hodnote (BMD respondenti) v porovnaní s 84,0 % pacientov, ktorí dostávali kyselinu ibandrónovú 2,5 mg denne. Po dvoch rokoch respondenti tvorili 93,5 % (p = 0,004) a 86,4 % pacientov, ktorí dostávali </w:t>
      </w:r>
      <w:r w:rsidR="004D608A" w:rsidRPr="00645EDC">
        <w:rPr>
          <w:rStyle w:val="FontStyle33"/>
          <w:sz w:val="22"/>
          <w:szCs w:val="22"/>
          <w:lang w:val="sk-SK" w:eastAsia="de-DE"/>
        </w:rPr>
        <w:t>Licobondrat</w:t>
      </w:r>
      <w:r w:rsidRPr="00645EDC">
        <w:rPr>
          <w:rStyle w:val="FontStyle33"/>
          <w:sz w:val="22"/>
          <w:szCs w:val="22"/>
          <w:lang w:val="sk-SK" w:eastAsia="de-DE"/>
        </w:rPr>
        <w:t xml:space="preserve"> 150 mg raz mesačne alebo kyselinu ibandrónovú 2,5 mg denne</w:t>
      </w:r>
      <w:r w:rsidR="004D608A" w:rsidRPr="00645EDC">
        <w:rPr>
          <w:rStyle w:val="FontStyle33"/>
          <w:sz w:val="22"/>
          <w:szCs w:val="22"/>
          <w:lang w:val="sk-SK" w:eastAsia="de-DE"/>
        </w:rPr>
        <w:t>, v uvedenom poradí</w:t>
      </w:r>
      <w:r w:rsidRPr="00645EDC">
        <w:rPr>
          <w:rStyle w:val="FontStyle33"/>
          <w:sz w:val="22"/>
          <w:szCs w:val="22"/>
          <w:lang w:val="sk-SK" w:eastAsia="de-DE"/>
        </w:rPr>
        <w:t>.</w:t>
      </w:r>
    </w:p>
    <w:p w14:paraId="1ED84BE0" w14:textId="77777777" w:rsidR="003B7D86" w:rsidRPr="00645EDC" w:rsidRDefault="003B7D86" w:rsidP="003B7D86">
      <w:pPr>
        <w:pStyle w:val="Style9"/>
        <w:widowControl/>
        <w:spacing w:line="240" w:lineRule="auto"/>
        <w:rPr>
          <w:sz w:val="22"/>
          <w:szCs w:val="22"/>
          <w:lang w:val="sk-SK"/>
        </w:rPr>
      </w:pPr>
    </w:p>
    <w:p w14:paraId="6AE395D5" w14:textId="440917A1" w:rsidR="003B7D86" w:rsidRPr="00645EDC" w:rsidRDefault="004D608A" w:rsidP="003B7D86">
      <w:pPr>
        <w:pStyle w:val="Style9"/>
        <w:widowControl/>
        <w:spacing w:line="240" w:lineRule="auto"/>
        <w:rPr>
          <w:rStyle w:val="FontStyle33"/>
          <w:sz w:val="22"/>
          <w:szCs w:val="22"/>
          <w:lang w:val="sk-SK" w:eastAsia="de-DE"/>
        </w:rPr>
      </w:pPr>
      <w:r w:rsidRPr="00645EDC">
        <w:rPr>
          <w:rStyle w:val="FontStyle33"/>
          <w:sz w:val="22"/>
          <w:szCs w:val="22"/>
          <w:lang w:val="sk-SK" w:eastAsia="de-DE"/>
        </w:rPr>
        <w:t xml:space="preserve">Pre </w:t>
      </w:r>
      <w:r w:rsidR="003B7D86" w:rsidRPr="00645EDC">
        <w:rPr>
          <w:rStyle w:val="FontStyle33"/>
          <w:sz w:val="22"/>
          <w:szCs w:val="22"/>
          <w:lang w:val="sk-SK" w:eastAsia="de-DE"/>
        </w:rPr>
        <w:t xml:space="preserve">BMD bedrovej oblasti, 90,0 % (p &lt; 0,001) pacientov, ktorí dostávali </w:t>
      </w:r>
      <w:r w:rsidRPr="00645EDC">
        <w:rPr>
          <w:rStyle w:val="FontStyle33"/>
          <w:sz w:val="22"/>
          <w:szCs w:val="22"/>
          <w:lang w:val="sk-SK" w:eastAsia="de-DE"/>
        </w:rPr>
        <w:t>Licobondrat</w:t>
      </w:r>
      <w:r w:rsidR="003B7D86" w:rsidRPr="00645EDC">
        <w:rPr>
          <w:rStyle w:val="FontStyle33"/>
          <w:sz w:val="22"/>
          <w:szCs w:val="22"/>
          <w:lang w:val="sk-SK" w:eastAsia="de-DE"/>
        </w:rPr>
        <w:t xml:space="preserve"> 150 mg raz mesačne a 76,7 % pacientov, ktorí dostávali kyselinu ibandrónovú 2,5 mg denne, mali po roku BMD bedrovej oblasti vyššiu alebo rovnú východiskovej hodnote. Po dvoch rokoch 93,4 % (p &lt; 0,001) pacientov, ktorí dostávali </w:t>
      </w:r>
      <w:r w:rsidRPr="00645EDC">
        <w:rPr>
          <w:rStyle w:val="FontStyle33"/>
          <w:sz w:val="22"/>
          <w:szCs w:val="22"/>
          <w:lang w:val="sk-SK" w:eastAsia="de-DE"/>
        </w:rPr>
        <w:t>Licobondrat</w:t>
      </w:r>
      <w:r w:rsidR="003B7D86" w:rsidRPr="00645EDC">
        <w:rPr>
          <w:rStyle w:val="FontStyle33"/>
          <w:sz w:val="22"/>
          <w:szCs w:val="22"/>
          <w:lang w:val="sk-SK" w:eastAsia="de-DE"/>
        </w:rPr>
        <w:t xml:space="preserve"> 150 mg raz mesačne a 78,4 % pacientov, ktorí dostávali kyselinu ibandrónovú 2,5 mg denne, mali BMD bedrovej oblasti vyššiu alebo rovnú východiskovej hodnote.</w:t>
      </w:r>
    </w:p>
    <w:p w14:paraId="37F7F4D4" w14:textId="77777777" w:rsidR="003B7D86" w:rsidRPr="00645EDC" w:rsidRDefault="003B7D86" w:rsidP="003B7D86">
      <w:pPr>
        <w:pStyle w:val="Style9"/>
        <w:widowControl/>
        <w:spacing w:line="240" w:lineRule="auto"/>
        <w:rPr>
          <w:sz w:val="22"/>
          <w:szCs w:val="22"/>
          <w:lang w:val="sk-SK"/>
        </w:rPr>
      </w:pPr>
    </w:p>
    <w:p w14:paraId="3E784AF3" w14:textId="3BF3A985" w:rsidR="003B7D86" w:rsidRPr="00645EDC" w:rsidRDefault="003B7D86" w:rsidP="003B7D86">
      <w:pPr>
        <w:pStyle w:val="Style9"/>
        <w:widowControl/>
        <w:spacing w:line="240" w:lineRule="auto"/>
        <w:rPr>
          <w:rStyle w:val="FontStyle33"/>
          <w:sz w:val="22"/>
          <w:szCs w:val="22"/>
          <w:lang w:val="sk-SK" w:eastAsia="de-DE"/>
        </w:rPr>
      </w:pPr>
      <w:r w:rsidRPr="00645EDC">
        <w:rPr>
          <w:rStyle w:val="FontStyle33"/>
          <w:sz w:val="22"/>
          <w:szCs w:val="22"/>
          <w:lang w:val="sk-SK" w:eastAsia="de-DE"/>
        </w:rPr>
        <w:t xml:space="preserve">Ak sa hodnotí prísnejšie kritérium, ktoré kombinuje BMD driekovej chrbtice a bedrovej oblasti, po jednom roku </w:t>
      </w:r>
      <w:r w:rsidR="004D608A" w:rsidRPr="00645EDC">
        <w:rPr>
          <w:rStyle w:val="FontStyle33"/>
          <w:sz w:val="22"/>
          <w:szCs w:val="22"/>
          <w:lang w:val="sk-SK" w:eastAsia="de-DE"/>
        </w:rPr>
        <w:t>boli respondenti</w:t>
      </w:r>
      <w:r w:rsidRPr="00645EDC">
        <w:rPr>
          <w:rStyle w:val="FontStyle33"/>
          <w:sz w:val="22"/>
          <w:szCs w:val="22"/>
          <w:lang w:val="sk-SK" w:eastAsia="de-DE"/>
        </w:rPr>
        <w:t xml:space="preserve"> 83,9 % (p &lt; 0,001) a 65,7 % pacientov, ktorí dostávali </w:t>
      </w:r>
      <w:r w:rsidR="004D608A" w:rsidRPr="00645EDC">
        <w:rPr>
          <w:rStyle w:val="FontStyle33"/>
          <w:sz w:val="22"/>
          <w:szCs w:val="22"/>
          <w:lang w:val="sk-SK" w:eastAsia="de-DE"/>
        </w:rPr>
        <w:t>Licobondrat</w:t>
      </w:r>
      <w:r w:rsidRPr="00645EDC">
        <w:rPr>
          <w:rStyle w:val="FontStyle33"/>
          <w:sz w:val="22"/>
          <w:szCs w:val="22"/>
          <w:lang w:val="sk-SK" w:eastAsia="de-DE"/>
        </w:rPr>
        <w:t xml:space="preserve"> 150 mg raz mesačne alebo kyselinu ibandrónovú 2,5 mg denne</w:t>
      </w:r>
      <w:r w:rsidR="00B311FA" w:rsidRPr="00645EDC">
        <w:rPr>
          <w:rStyle w:val="FontStyle33"/>
          <w:sz w:val="22"/>
          <w:szCs w:val="22"/>
          <w:lang w:val="sk-SK" w:eastAsia="de-DE"/>
        </w:rPr>
        <w:t>, v uvedenom poradí</w:t>
      </w:r>
      <w:r w:rsidRPr="00645EDC">
        <w:rPr>
          <w:rStyle w:val="FontStyle33"/>
          <w:sz w:val="22"/>
          <w:szCs w:val="22"/>
          <w:lang w:val="sk-SK" w:eastAsia="de-DE"/>
        </w:rPr>
        <w:t>. Po dvoch rokoch splnilo toto kritérium 87,1 % (p &lt; 0,001) a 70,5 % pacientov v ramenách so 150 mg raz mesačne a 2,5 mg denne</w:t>
      </w:r>
      <w:r w:rsidR="00B311FA" w:rsidRPr="00645EDC">
        <w:rPr>
          <w:rStyle w:val="FontStyle33"/>
          <w:sz w:val="22"/>
          <w:szCs w:val="22"/>
          <w:lang w:val="sk-SK" w:eastAsia="de-DE"/>
        </w:rPr>
        <w:t>, v uvedenom poradí</w:t>
      </w:r>
      <w:r w:rsidRPr="00645EDC">
        <w:rPr>
          <w:rStyle w:val="FontStyle33"/>
          <w:sz w:val="22"/>
          <w:szCs w:val="22"/>
          <w:lang w:val="sk-SK" w:eastAsia="de-DE"/>
        </w:rPr>
        <w:t>.</w:t>
      </w:r>
    </w:p>
    <w:p w14:paraId="27E00F44" w14:textId="77777777" w:rsidR="003B7D86" w:rsidRPr="00645EDC" w:rsidRDefault="003B7D86" w:rsidP="003B7D86">
      <w:pPr>
        <w:pStyle w:val="Style9"/>
        <w:widowControl/>
        <w:spacing w:line="240" w:lineRule="auto"/>
        <w:rPr>
          <w:sz w:val="22"/>
          <w:szCs w:val="22"/>
          <w:lang w:val="sk-SK"/>
        </w:rPr>
      </w:pPr>
    </w:p>
    <w:p w14:paraId="59B66603" w14:textId="77777777" w:rsidR="003B7D86" w:rsidRPr="00645EDC" w:rsidRDefault="003B7D86" w:rsidP="003B7D86">
      <w:pPr>
        <w:pStyle w:val="Style9"/>
        <w:widowControl/>
        <w:spacing w:line="240" w:lineRule="auto"/>
        <w:rPr>
          <w:rStyle w:val="FontStyle33"/>
          <w:sz w:val="22"/>
          <w:szCs w:val="22"/>
          <w:u w:val="single"/>
          <w:lang w:val="sk-SK" w:eastAsia="de-DE"/>
        </w:rPr>
      </w:pPr>
      <w:r w:rsidRPr="00645EDC">
        <w:rPr>
          <w:rStyle w:val="FontStyle33"/>
          <w:sz w:val="22"/>
          <w:szCs w:val="22"/>
          <w:u w:val="single"/>
          <w:lang w:val="sk-SK" w:eastAsia="de-DE"/>
        </w:rPr>
        <w:t>Biochemické markery kostného obratu</w:t>
      </w:r>
    </w:p>
    <w:p w14:paraId="457477C7" w14:textId="663B4D28" w:rsidR="003B7D86" w:rsidRPr="00645EDC" w:rsidRDefault="003B7D86" w:rsidP="003B7D86">
      <w:pPr>
        <w:pStyle w:val="Style7"/>
        <w:widowControl/>
        <w:spacing w:line="240" w:lineRule="auto"/>
        <w:rPr>
          <w:rStyle w:val="FontStyle33"/>
          <w:sz w:val="22"/>
          <w:szCs w:val="22"/>
          <w:lang w:val="sk-SK" w:eastAsia="es-ES_tradnl"/>
        </w:rPr>
      </w:pPr>
      <w:r w:rsidRPr="00645EDC">
        <w:rPr>
          <w:rStyle w:val="FontStyle33"/>
          <w:sz w:val="22"/>
          <w:szCs w:val="22"/>
          <w:lang w:val="sk-SK" w:eastAsia="de-DE"/>
        </w:rPr>
        <w:t xml:space="preserve">Klinicky významné redukcie sérových hladín CTX sa pozorovali vo všetkých sledovaných časoch, t. j. 3., 6., </w:t>
      </w:r>
      <w:smartTag w:uri="urn:schemas-microsoft-com:office:smarttags" w:element="metricconverter">
        <w:smartTagPr>
          <w:attr w:name="ProductID" w:val="12. a"/>
        </w:smartTagPr>
        <w:r w:rsidRPr="00645EDC">
          <w:rPr>
            <w:rStyle w:val="FontStyle33"/>
            <w:sz w:val="22"/>
            <w:szCs w:val="22"/>
            <w:lang w:val="sk-SK" w:eastAsia="de-DE"/>
          </w:rPr>
          <w:t>12. a</w:t>
        </w:r>
      </w:smartTag>
      <w:r w:rsidRPr="00645EDC">
        <w:rPr>
          <w:rStyle w:val="FontStyle33"/>
          <w:sz w:val="22"/>
          <w:szCs w:val="22"/>
          <w:lang w:val="sk-SK" w:eastAsia="de-DE"/>
        </w:rPr>
        <w:t xml:space="preserve"> 24. mesiac. Po jednom roku (primárna analýza) bol medián relatívnej zmeny oproti</w:t>
      </w:r>
      <w:r w:rsidRPr="00645EDC">
        <w:rPr>
          <w:rStyle w:val="FontStyle33"/>
          <w:sz w:val="22"/>
          <w:szCs w:val="22"/>
          <w:lang w:val="sk-SK" w:eastAsia="es-ES_tradnl"/>
        </w:rPr>
        <w:t xml:space="preserve"> východiskovej hodnote - 76 % pre </w:t>
      </w:r>
      <w:r w:rsidR="00B311FA" w:rsidRPr="00645EDC">
        <w:rPr>
          <w:rStyle w:val="FontStyle33"/>
          <w:sz w:val="22"/>
          <w:szCs w:val="22"/>
          <w:lang w:val="sk-SK" w:eastAsia="de-DE"/>
        </w:rPr>
        <w:t>Licobondrat</w:t>
      </w:r>
      <w:r w:rsidRPr="00645EDC">
        <w:rPr>
          <w:rStyle w:val="FontStyle33"/>
          <w:sz w:val="22"/>
          <w:szCs w:val="22"/>
          <w:lang w:val="sk-SK" w:eastAsia="es-ES_tradnl"/>
        </w:rPr>
        <w:t xml:space="preserve"> 150 mg raz mesačne a - 67 % pre kyselinu ibandrónovú </w:t>
      </w:r>
      <w:r w:rsidRPr="00645EDC">
        <w:rPr>
          <w:rStyle w:val="FontStyle33"/>
          <w:sz w:val="22"/>
          <w:szCs w:val="22"/>
          <w:lang w:val="sk-SK" w:eastAsia="es-ES_tradnl"/>
        </w:rPr>
        <w:lastRenderedPageBreak/>
        <w:t xml:space="preserve">2,5 mg denne. Po dvoch rokoch bol medián relatívnej zmeny - 68 % v skupine, ktorá dostávala 150 mg raz mesačne </w:t>
      </w:r>
      <w:r w:rsidR="00B311FA" w:rsidRPr="00645EDC">
        <w:rPr>
          <w:rStyle w:val="FontStyle33"/>
          <w:sz w:val="22"/>
          <w:szCs w:val="22"/>
          <w:lang w:val="sk-SK" w:eastAsia="es-ES_tradnl"/>
        </w:rPr>
        <w:t>a - 62 % v skupine, ktorá dostávala</w:t>
      </w:r>
      <w:r w:rsidRPr="00645EDC">
        <w:rPr>
          <w:rStyle w:val="FontStyle33"/>
          <w:sz w:val="22"/>
          <w:szCs w:val="22"/>
          <w:lang w:val="sk-SK" w:eastAsia="es-ES_tradnl"/>
        </w:rPr>
        <w:t xml:space="preserve"> 2,5 mg denne.</w:t>
      </w:r>
    </w:p>
    <w:p w14:paraId="2023DC58" w14:textId="77777777" w:rsidR="003B7D86" w:rsidRPr="00645EDC" w:rsidRDefault="003B7D86" w:rsidP="003B7D86">
      <w:pPr>
        <w:pStyle w:val="Style9"/>
        <w:widowControl/>
        <w:spacing w:line="240" w:lineRule="auto"/>
        <w:rPr>
          <w:sz w:val="22"/>
          <w:szCs w:val="22"/>
          <w:lang w:val="sk-SK"/>
        </w:rPr>
      </w:pPr>
    </w:p>
    <w:p w14:paraId="1AC8E7A6" w14:textId="6CBC1AC0"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 xml:space="preserve">Po jednom roku liečby odpovedalo </w:t>
      </w:r>
      <w:r w:rsidR="00395D04" w:rsidRPr="00645EDC">
        <w:rPr>
          <w:rStyle w:val="FontStyle33"/>
          <w:sz w:val="22"/>
          <w:szCs w:val="22"/>
          <w:lang w:val="sk-SK" w:eastAsia="es-ES_tradnl"/>
        </w:rPr>
        <w:t xml:space="preserve">(definované ako zníženie o </w:t>
      </w:r>
      <w:r w:rsidR="00395D04" w:rsidRPr="00645EDC">
        <w:rPr>
          <w:color w:val="000000"/>
          <w:sz w:val="22"/>
          <w:szCs w:val="22"/>
          <w:lang w:val="sk-SK"/>
        </w:rPr>
        <w:t>≥</w:t>
      </w:r>
      <w:r w:rsidR="00395D04" w:rsidRPr="00645EDC">
        <w:rPr>
          <w:rStyle w:val="FontStyle33"/>
          <w:sz w:val="22"/>
          <w:szCs w:val="22"/>
          <w:lang w:val="sk-SK" w:eastAsia="es-ES_tradnl"/>
        </w:rPr>
        <w:t xml:space="preserve">50 % v porovnaní so vstupnou hodnotou) </w:t>
      </w:r>
      <w:r w:rsidRPr="00645EDC">
        <w:rPr>
          <w:rStyle w:val="FontStyle33"/>
          <w:sz w:val="22"/>
          <w:szCs w:val="22"/>
          <w:lang w:val="sk-SK" w:eastAsia="es-ES_tradnl"/>
        </w:rPr>
        <w:t xml:space="preserve">na liečbu 83,5 % (p= 0,006) pacientok užívajúcich </w:t>
      </w:r>
      <w:r w:rsidR="00D36158" w:rsidRPr="00645EDC">
        <w:rPr>
          <w:rStyle w:val="FontStyle33"/>
          <w:sz w:val="22"/>
          <w:szCs w:val="22"/>
          <w:lang w:val="sk-SK" w:eastAsia="de-DE"/>
        </w:rPr>
        <w:t>Licobondrat</w:t>
      </w:r>
      <w:r w:rsidRPr="00645EDC">
        <w:rPr>
          <w:rStyle w:val="FontStyle33"/>
          <w:sz w:val="22"/>
          <w:szCs w:val="22"/>
          <w:lang w:val="sk-SK" w:eastAsia="es-ES_tradnl"/>
        </w:rPr>
        <w:t xml:space="preserve"> 150 mg raz mesačne a 73,9 % pacientok užívajúcich kyselinu ibandrónovú 2,5 mg raz denne. Po dvoch rokoch bola odpoveď na liečbu v skupine liečenej 150 mg mesačne u 78,7 % (p=0,002) pacientok a v skupine liečenej 2,5 mg denne u 65,6 % pacientok.</w:t>
      </w:r>
    </w:p>
    <w:p w14:paraId="286B9051" w14:textId="77777777" w:rsidR="003B7D86" w:rsidRPr="00645EDC" w:rsidRDefault="003B7D86" w:rsidP="003B7D86">
      <w:pPr>
        <w:pStyle w:val="Style9"/>
        <w:widowControl/>
        <w:spacing w:line="240" w:lineRule="auto"/>
        <w:rPr>
          <w:sz w:val="22"/>
          <w:szCs w:val="22"/>
          <w:lang w:val="sk-SK"/>
        </w:rPr>
      </w:pPr>
    </w:p>
    <w:p w14:paraId="418C3211" w14:textId="51F9F7E7"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 xml:space="preserve">Na základe výsledkov štúdie BM 16549 sa očakáva, že </w:t>
      </w:r>
      <w:r w:rsidR="00395D04" w:rsidRPr="00645EDC">
        <w:rPr>
          <w:rStyle w:val="FontStyle33"/>
          <w:sz w:val="22"/>
          <w:szCs w:val="22"/>
          <w:lang w:val="sk-SK" w:eastAsia="es-ES_tradnl"/>
        </w:rPr>
        <w:t>Licobondrat</w:t>
      </w:r>
      <w:r w:rsidRPr="00645EDC">
        <w:rPr>
          <w:rStyle w:val="FontStyle33"/>
          <w:sz w:val="22"/>
          <w:szCs w:val="22"/>
          <w:lang w:val="sk-SK" w:eastAsia="es-ES_tradnl"/>
        </w:rPr>
        <w:t xml:space="preserve"> 150 mg raz mesačne bude aspoň tak </w:t>
      </w:r>
      <w:r w:rsidR="00395D04" w:rsidRPr="00645EDC">
        <w:rPr>
          <w:rStyle w:val="FontStyle33"/>
          <w:sz w:val="22"/>
          <w:szCs w:val="22"/>
          <w:lang w:val="sk-SK" w:eastAsia="es-ES_tradnl"/>
        </w:rPr>
        <w:t xml:space="preserve">účinný </w:t>
      </w:r>
      <w:r w:rsidRPr="00645EDC">
        <w:rPr>
          <w:rStyle w:val="FontStyle33"/>
          <w:sz w:val="22"/>
          <w:szCs w:val="22"/>
          <w:lang w:val="sk-SK" w:eastAsia="es-ES_tradnl"/>
        </w:rPr>
        <w:t>v prevencii zlomenín ako kyselina ibandrónová 2,5 mg raz denne.</w:t>
      </w:r>
    </w:p>
    <w:p w14:paraId="3A698A52" w14:textId="77777777" w:rsidR="003B7D86" w:rsidRPr="00645EDC" w:rsidRDefault="003B7D86" w:rsidP="003B7D86">
      <w:pPr>
        <w:pStyle w:val="Style9"/>
        <w:widowControl/>
        <w:spacing w:line="240" w:lineRule="auto"/>
        <w:rPr>
          <w:sz w:val="22"/>
          <w:szCs w:val="22"/>
          <w:lang w:val="sk-SK"/>
        </w:rPr>
      </w:pPr>
    </w:p>
    <w:p w14:paraId="7DEC44F3" w14:textId="77777777" w:rsidR="003B7D86" w:rsidRPr="00645EDC" w:rsidRDefault="003B7D86" w:rsidP="003B7D86">
      <w:pPr>
        <w:pStyle w:val="Style9"/>
        <w:widowControl/>
        <w:spacing w:line="240" w:lineRule="auto"/>
        <w:rPr>
          <w:rStyle w:val="FontStyle33"/>
          <w:b/>
          <w:bCs/>
          <w:sz w:val="22"/>
          <w:szCs w:val="22"/>
          <w:u w:val="single"/>
          <w:lang w:val="sk-SK" w:eastAsia="es-ES_tradnl"/>
        </w:rPr>
      </w:pPr>
      <w:r w:rsidRPr="00645EDC">
        <w:rPr>
          <w:rStyle w:val="FontStyle33"/>
          <w:b/>
          <w:bCs/>
          <w:sz w:val="22"/>
          <w:szCs w:val="22"/>
          <w:u w:val="single"/>
          <w:lang w:val="sk-SK" w:eastAsia="es-ES_tradnl"/>
        </w:rPr>
        <w:t>Kyselina ibandrónová 2,5 mg raz denne</w:t>
      </w:r>
    </w:p>
    <w:p w14:paraId="6C1E2452" w14:textId="77777777" w:rsidR="003B7D86" w:rsidRPr="00645EDC" w:rsidRDefault="003B7D86" w:rsidP="003B7D86">
      <w:pPr>
        <w:pStyle w:val="Style9"/>
        <w:widowControl/>
        <w:spacing w:line="240" w:lineRule="auto"/>
        <w:rPr>
          <w:sz w:val="22"/>
          <w:szCs w:val="22"/>
          <w:lang w:val="sk-SK"/>
        </w:rPr>
      </w:pPr>
    </w:p>
    <w:p w14:paraId="5B645C57" w14:textId="5C741AE9"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V úvodnej trojročnej randomizovanej, dvojito zaslepenej, placebom kontrolovanej štúdii zameranej na zlomeniny (MF 4411) sa dokázal štatisticky významný, s liečbou súvisiaci pokles výskytu nových rádiografických morfometrických a klinických vertebrálnych fraktúr (tabuľka 3). V tejto štúdii bola kyselina ibandrónová vyhodnocovaná pri denných perorálnych dávkach 2,5 mg a prerušovaných 20 mg dávkach slúžiacich ako výskumný režim. Kyselina ibandrónová sa užívala 60 minút pred prvým jedlom alebo nápojom dňa (obdobie pôstu po podaní dávky). Štúdia skúmala ženy vo veku 55 až 80 rokov, ktoré boli najmenej 5 rokov po menopauze</w:t>
      </w:r>
      <w:r w:rsidR="00F90CC9" w:rsidRPr="00645EDC">
        <w:rPr>
          <w:rStyle w:val="FontStyle33"/>
          <w:sz w:val="22"/>
          <w:szCs w:val="22"/>
          <w:lang w:val="sk-SK" w:eastAsia="es-ES_tradnl"/>
        </w:rPr>
        <w:t xml:space="preserve"> a</w:t>
      </w:r>
      <w:r w:rsidRPr="00645EDC">
        <w:rPr>
          <w:rStyle w:val="FontStyle33"/>
          <w:sz w:val="22"/>
          <w:szCs w:val="22"/>
          <w:lang w:val="sk-SK" w:eastAsia="es-ES_tradnl"/>
        </w:rPr>
        <w:t xml:space="preserve"> ktor</w:t>
      </w:r>
      <w:r w:rsidR="00F90CC9" w:rsidRPr="00645EDC">
        <w:rPr>
          <w:rStyle w:val="FontStyle33"/>
          <w:sz w:val="22"/>
          <w:szCs w:val="22"/>
          <w:lang w:val="sk-SK" w:eastAsia="es-ES_tradnl"/>
        </w:rPr>
        <w:t>é</w:t>
      </w:r>
      <w:r w:rsidRPr="00645EDC">
        <w:rPr>
          <w:rStyle w:val="FontStyle33"/>
          <w:sz w:val="22"/>
          <w:szCs w:val="22"/>
          <w:lang w:val="sk-SK" w:eastAsia="es-ES_tradnl"/>
        </w:rPr>
        <w:t xml:space="preserve"> </w:t>
      </w:r>
      <w:r w:rsidR="00F90CC9" w:rsidRPr="00645EDC">
        <w:rPr>
          <w:rStyle w:val="FontStyle33"/>
          <w:sz w:val="22"/>
          <w:szCs w:val="22"/>
          <w:lang w:val="sk-SK" w:eastAsia="es-ES_tradnl"/>
        </w:rPr>
        <w:t>mali</w:t>
      </w:r>
      <w:r w:rsidRPr="00645EDC">
        <w:rPr>
          <w:rStyle w:val="FontStyle33"/>
          <w:sz w:val="22"/>
          <w:szCs w:val="22"/>
          <w:lang w:val="sk-SK" w:eastAsia="es-ES_tradnl"/>
        </w:rPr>
        <w:t xml:space="preserve"> BMD v driekovej chrbtici SD od 2 do 5</w:t>
      </w:r>
      <w:r w:rsidR="00F90CC9" w:rsidRPr="00645EDC">
        <w:rPr>
          <w:rStyle w:val="FontStyle33"/>
          <w:sz w:val="22"/>
          <w:szCs w:val="22"/>
          <w:lang w:val="sk-SK" w:eastAsia="es-ES_tradnl"/>
        </w:rPr>
        <w:t xml:space="preserve"> pod priemerom</w:t>
      </w:r>
      <w:r w:rsidRPr="00645EDC">
        <w:rPr>
          <w:rStyle w:val="FontStyle33"/>
          <w:sz w:val="22"/>
          <w:szCs w:val="22"/>
          <w:lang w:val="sk-SK" w:eastAsia="es-ES_tradnl"/>
        </w:rPr>
        <w:t xml:space="preserve"> </w:t>
      </w:r>
      <w:r w:rsidR="00F90CC9" w:rsidRPr="00645EDC">
        <w:rPr>
          <w:rStyle w:val="FontStyle33"/>
          <w:sz w:val="22"/>
          <w:szCs w:val="22"/>
          <w:lang w:val="sk-SK" w:eastAsia="es-ES_tradnl"/>
        </w:rPr>
        <w:t xml:space="preserve">(T-skóre) </w:t>
      </w:r>
      <w:r w:rsidRPr="00645EDC">
        <w:rPr>
          <w:rStyle w:val="FontStyle33"/>
          <w:sz w:val="22"/>
          <w:szCs w:val="22"/>
          <w:lang w:val="sk-SK" w:eastAsia="es-ES_tradnl"/>
        </w:rPr>
        <w:t xml:space="preserve">pred menopauzou najmenej v jednom stavci [L1-L4] a ktoré mali obvykle jednu až štyri zlomeniny stavcov. Všetky pacientky dostávali denne 500 mg vápnika a 400 IU vitamínu D. Účinnosť bola vyhodnotená u </w:t>
      </w:r>
      <w:r w:rsidR="00A53DD0" w:rsidRPr="00645EDC">
        <w:rPr>
          <w:rStyle w:val="FontStyle33"/>
          <w:sz w:val="22"/>
          <w:szCs w:val="22"/>
          <w:lang w:val="sk-SK" w:eastAsia="es-ES_tradnl"/>
        </w:rPr>
        <w:t>2 </w:t>
      </w:r>
      <w:r w:rsidRPr="00645EDC">
        <w:rPr>
          <w:rStyle w:val="FontStyle33"/>
          <w:sz w:val="22"/>
          <w:szCs w:val="22"/>
          <w:lang w:val="sk-SK" w:eastAsia="es-ES_tradnl"/>
        </w:rPr>
        <w:t xml:space="preserve">928 pacientok. Pri dennom podávaní kyseliny ibandrónovej 2,5 mg sa prejavilo štatisticky významné </w:t>
      </w:r>
      <w:r w:rsidR="00A53DD0" w:rsidRPr="00645EDC">
        <w:rPr>
          <w:rStyle w:val="FontStyle33"/>
          <w:sz w:val="22"/>
          <w:szCs w:val="22"/>
          <w:lang w:val="sk-SK" w:eastAsia="es-ES_tradnl"/>
        </w:rPr>
        <w:t xml:space="preserve">a lekársky relevantné </w:t>
      </w:r>
      <w:r w:rsidRPr="00645EDC">
        <w:rPr>
          <w:rStyle w:val="FontStyle33"/>
          <w:sz w:val="22"/>
          <w:szCs w:val="22"/>
          <w:lang w:val="sk-SK" w:eastAsia="es-ES_tradnl"/>
        </w:rPr>
        <w:t xml:space="preserve">zníženie výskytu nových vertebrálnych fraktúr. Tento režim počas troch rokov trvania štúdie znížil výskyt nových rádiografických vertebrálnych fraktúr o 62 % (p = 0,0001). Zníženie relatívneho rizika o 61 % sa pozorovalo po 2 rokoch (p = 0,0006). Po 1 roku liečby sa nedosiahol žiadny štatisticky významný rozdiel (p = 0,056). Účinok </w:t>
      </w:r>
      <w:r w:rsidR="002D23FD" w:rsidRPr="00645EDC">
        <w:rPr>
          <w:rStyle w:val="FontStyle33"/>
          <w:sz w:val="22"/>
          <w:szCs w:val="22"/>
          <w:lang w:val="sk-SK" w:eastAsia="es-ES_tradnl"/>
        </w:rPr>
        <w:t>proti</w:t>
      </w:r>
      <w:r w:rsidRPr="00645EDC">
        <w:rPr>
          <w:rStyle w:val="FontStyle33"/>
          <w:sz w:val="22"/>
          <w:szCs w:val="22"/>
          <w:lang w:val="sk-SK" w:eastAsia="es-ES_tradnl"/>
        </w:rPr>
        <w:t xml:space="preserve"> zlomen</w:t>
      </w:r>
      <w:r w:rsidR="002D23FD" w:rsidRPr="00645EDC">
        <w:rPr>
          <w:rStyle w:val="FontStyle33"/>
          <w:sz w:val="22"/>
          <w:szCs w:val="22"/>
          <w:lang w:val="sk-SK" w:eastAsia="es-ES_tradnl"/>
        </w:rPr>
        <w:t>i</w:t>
      </w:r>
      <w:r w:rsidRPr="00645EDC">
        <w:rPr>
          <w:rStyle w:val="FontStyle33"/>
          <w:sz w:val="22"/>
          <w:szCs w:val="22"/>
          <w:lang w:val="sk-SK" w:eastAsia="es-ES_tradnl"/>
        </w:rPr>
        <w:t>n</w:t>
      </w:r>
      <w:r w:rsidR="002D23FD" w:rsidRPr="00645EDC">
        <w:rPr>
          <w:rStyle w:val="FontStyle33"/>
          <w:sz w:val="22"/>
          <w:szCs w:val="22"/>
          <w:lang w:val="sk-SK" w:eastAsia="es-ES_tradnl"/>
        </w:rPr>
        <w:t>ám</w:t>
      </w:r>
      <w:r w:rsidRPr="00645EDC">
        <w:rPr>
          <w:rStyle w:val="FontStyle33"/>
          <w:sz w:val="22"/>
          <w:szCs w:val="22"/>
          <w:lang w:val="sk-SK" w:eastAsia="es-ES_tradnl"/>
        </w:rPr>
        <w:t xml:space="preserve"> sa udržiaval počas trvania štúdie. Nepozoroval sa žiadny náznak ubúdania účinku vplyvom času.</w:t>
      </w:r>
    </w:p>
    <w:p w14:paraId="34376DDE" w14:textId="77777777"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Tiež sa významne znížil výskyt klinických vertebrálnych fraktúr o 49 % (p = 0,011). Silný vplyv na vertebrálne fraktúry tiež odzrkadľovala štatisticky významná redukcia úbytku telesnej výšky v porovnaní s placebom (p &lt; 0,0001).</w:t>
      </w:r>
    </w:p>
    <w:p w14:paraId="4D7EA594" w14:textId="77777777" w:rsidR="003B7D86" w:rsidRPr="00645EDC" w:rsidRDefault="003B7D86" w:rsidP="003B7D86">
      <w:pPr>
        <w:pStyle w:val="Style9"/>
        <w:widowControl/>
        <w:spacing w:line="240" w:lineRule="auto"/>
        <w:rPr>
          <w:sz w:val="22"/>
          <w:szCs w:val="22"/>
          <w:lang w:val="sk-SK"/>
        </w:rPr>
      </w:pPr>
    </w:p>
    <w:p w14:paraId="0EA306FF" w14:textId="77777777"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Tabuľka 3: Výsledky trojročnej štúdie MF 4411 (%, 95 % IS) zameranej na fraktúry</w:t>
      </w:r>
    </w:p>
    <w:p w14:paraId="1F500B27" w14:textId="77777777" w:rsidR="003B7D86" w:rsidRPr="00645EDC" w:rsidRDefault="003B7D86" w:rsidP="003B7D86">
      <w:pPr>
        <w:pStyle w:val="Style9"/>
        <w:widowControl/>
        <w:spacing w:line="240" w:lineRule="auto"/>
        <w:rPr>
          <w:rStyle w:val="FontStyle33"/>
          <w:sz w:val="22"/>
          <w:szCs w:val="22"/>
          <w:lang w:val="sk-SK" w:eastAsia="es-ES_tradnl"/>
        </w:rPr>
      </w:pPr>
    </w:p>
    <w:tbl>
      <w:tblPr>
        <w:tblW w:w="0" w:type="auto"/>
        <w:tblInd w:w="40" w:type="dxa"/>
        <w:tblLayout w:type="fixed"/>
        <w:tblCellMar>
          <w:left w:w="40" w:type="dxa"/>
          <w:right w:w="40" w:type="dxa"/>
        </w:tblCellMar>
        <w:tblLook w:val="0000" w:firstRow="0" w:lastRow="0" w:firstColumn="0" w:lastColumn="0" w:noHBand="0" w:noVBand="0"/>
      </w:tblPr>
      <w:tblGrid>
        <w:gridCol w:w="3547"/>
        <w:gridCol w:w="2554"/>
        <w:gridCol w:w="2880"/>
      </w:tblGrid>
      <w:tr w:rsidR="003B7D86" w:rsidRPr="00645EDC" w14:paraId="7FD25D09" w14:textId="77777777" w:rsidTr="003B7D86">
        <w:tc>
          <w:tcPr>
            <w:tcW w:w="3547" w:type="dxa"/>
            <w:tcBorders>
              <w:top w:val="single" w:sz="6" w:space="0" w:color="auto"/>
              <w:left w:val="single" w:sz="6" w:space="0" w:color="auto"/>
              <w:bottom w:val="single" w:sz="6" w:space="0" w:color="auto"/>
              <w:right w:val="single" w:sz="6" w:space="0" w:color="auto"/>
            </w:tcBorders>
          </w:tcPr>
          <w:p w14:paraId="5CC89894" w14:textId="77777777" w:rsidR="003B7D86" w:rsidRPr="00645EDC" w:rsidRDefault="003B7D86" w:rsidP="003B7D86">
            <w:pPr>
              <w:pStyle w:val="Style14"/>
              <w:widowControl/>
              <w:rPr>
                <w:sz w:val="22"/>
                <w:szCs w:val="22"/>
                <w:lang w:val="sk-SK"/>
              </w:rPr>
            </w:pPr>
          </w:p>
        </w:tc>
        <w:tc>
          <w:tcPr>
            <w:tcW w:w="2554" w:type="dxa"/>
            <w:tcBorders>
              <w:top w:val="single" w:sz="6" w:space="0" w:color="auto"/>
              <w:left w:val="single" w:sz="6" w:space="0" w:color="auto"/>
              <w:bottom w:val="single" w:sz="6" w:space="0" w:color="auto"/>
              <w:right w:val="single" w:sz="6" w:space="0" w:color="auto"/>
            </w:tcBorders>
          </w:tcPr>
          <w:p w14:paraId="16925590" w14:textId="77777777" w:rsidR="003B7D86" w:rsidRPr="00645EDC" w:rsidRDefault="003B7D86" w:rsidP="003B7D86">
            <w:pPr>
              <w:pStyle w:val="Style20"/>
              <w:widowControl/>
              <w:spacing w:line="240" w:lineRule="auto"/>
              <w:ind w:left="5" w:right="1469" w:hanging="5"/>
              <w:rPr>
                <w:rStyle w:val="FontStyle33"/>
                <w:sz w:val="22"/>
                <w:szCs w:val="22"/>
                <w:lang w:val="sk-SK" w:eastAsia="es-ES_tradnl"/>
              </w:rPr>
            </w:pPr>
            <w:r w:rsidRPr="00645EDC">
              <w:rPr>
                <w:rStyle w:val="FontStyle33"/>
                <w:sz w:val="22"/>
                <w:szCs w:val="22"/>
                <w:lang w:val="sk-SK" w:eastAsia="es-ES_tradnl"/>
              </w:rPr>
              <w:t xml:space="preserve">Placebo </w:t>
            </w:r>
          </w:p>
          <w:p w14:paraId="06E92917" w14:textId="77777777" w:rsidR="003B7D86" w:rsidRPr="00645EDC" w:rsidRDefault="003B7D86" w:rsidP="003B7D86">
            <w:pPr>
              <w:pStyle w:val="Style20"/>
              <w:widowControl/>
              <w:spacing w:line="240" w:lineRule="auto"/>
              <w:ind w:left="5" w:right="1469" w:hanging="5"/>
              <w:rPr>
                <w:rStyle w:val="FontStyle33"/>
                <w:sz w:val="22"/>
                <w:szCs w:val="22"/>
                <w:lang w:val="sk-SK" w:eastAsia="es-ES_tradnl"/>
              </w:rPr>
            </w:pPr>
            <w:r w:rsidRPr="00645EDC">
              <w:rPr>
                <w:rStyle w:val="FontStyle33"/>
                <w:sz w:val="22"/>
                <w:szCs w:val="22"/>
                <w:lang w:val="sk-SK" w:eastAsia="es-ES_tradnl"/>
              </w:rPr>
              <w:t>(N = 974)</w:t>
            </w:r>
          </w:p>
        </w:tc>
        <w:tc>
          <w:tcPr>
            <w:tcW w:w="2880" w:type="dxa"/>
            <w:tcBorders>
              <w:top w:val="single" w:sz="6" w:space="0" w:color="auto"/>
              <w:left w:val="single" w:sz="6" w:space="0" w:color="auto"/>
              <w:bottom w:val="single" w:sz="6" w:space="0" w:color="auto"/>
              <w:right w:val="single" w:sz="6" w:space="0" w:color="auto"/>
            </w:tcBorders>
          </w:tcPr>
          <w:p w14:paraId="39DA1E8A" w14:textId="77777777" w:rsidR="003B7D86" w:rsidRPr="00645EDC" w:rsidRDefault="003B7D86" w:rsidP="003B7D86">
            <w:pPr>
              <w:pStyle w:val="Style20"/>
              <w:widowControl/>
              <w:spacing w:line="240" w:lineRule="auto"/>
              <w:ind w:left="10" w:hanging="10"/>
              <w:rPr>
                <w:rStyle w:val="FontStyle33"/>
                <w:sz w:val="22"/>
                <w:szCs w:val="22"/>
                <w:lang w:val="sk-SK" w:eastAsia="es-ES_tradnl"/>
              </w:rPr>
            </w:pPr>
            <w:r w:rsidRPr="00645EDC">
              <w:rPr>
                <w:rStyle w:val="FontStyle33"/>
                <w:sz w:val="22"/>
                <w:szCs w:val="22"/>
                <w:lang w:val="sk-SK" w:eastAsia="es-ES_tradnl"/>
              </w:rPr>
              <w:t>kyselina ibandrónová 2,5 mg raz denne (N = 977)</w:t>
            </w:r>
          </w:p>
        </w:tc>
      </w:tr>
      <w:tr w:rsidR="003B7D86" w:rsidRPr="00645EDC" w14:paraId="5F012497" w14:textId="77777777" w:rsidTr="003B7D86">
        <w:tc>
          <w:tcPr>
            <w:tcW w:w="3547" w:type="dxa"/>
            <w:tcBorders>
              <w:top w:val="single" w:sz="6" w:space="0" w:color="auto"/>
              <w:left w:val="single" w:sz="6" w:space="0" w:color="auto"/>
              <w:bottom w:val="single" w:sz="6" w:space="0" w:color="auto"/>
              <w:right w:val="single" w:sz="6" w:space="0" w:color="auto"/>
            </w:tcBorders>
          </w:tcPr>
          <w:p w14:paraId="4448185B" w14:textId="77777777" w:rsidR="003B7D86" w:rsidRPr="00645EDC" w:rsidRDefault="003B7D86" w:rsidP="003B7D86">
            <w:pPr>
              <w:pStyle w:val="Style20"/>
              <w:widowControl/>
              <w:spacing w:line="240" w:lineRule="auto"/>
              <w:rPr>
                <w:rStyle w:val="FontStyle33"/>
                <w:sz w:val="22"/>
                <w:szCs w:val="22"/>
                <w:lang w:val="sk-SK" w:eastAsia="es-ES_tradnl"/>
              </w:rPr>
            </w:pPr>
            <w:r w:rsidRPr="00645EDC">
              <w:rPr>
                <w:rStyle w:val="FontStyle33"/>
                <w:sz w:val="22"/>
                <w:szCs w:val="22"/>
                <w:lang w:val="sk-SK" w:eastAsia="es-ES_tradnl"/>
              </w:rPr>
              <w:t>Zníženie relatívneho rizika výskytu nových morfometrických vertebrálnych fraktúr</w:t>
            </w:r>
          </w:p>
        </w:tc>
        <w:tc>
          <w:tcPr>
            <w:tcW w:w="2554" w:type="dxa"/>
            <w:tcBorders>
              <w:top w:val="single" w:sz="6" w:space="0" w:color="auto"/>
              <w:left w:val="single" w:sz="6" w:space="0" w:color="auto"/>
              <w:bottom w:val="single" w:sz="6" w:space="0" w:color="auto"/>
              <w:right w:val="single" w:sz="6" w:space="0" w:color="auto"/>
            </w:tcBorders>
          </w:tcPr>
          <w:p w14:paraId="1CDB3F17" w14:textId="77777777" w:rsidR="003B7D86" w:rsidRPr="00645EDC" w:rsidRDefault="003B7D86" w:rsidP="003B7D86">
            <w:pPr>
              <w:pStyle w:val="Style14"/>
              <w:widowControl/>
              <w:rPr>
                <w:sz w:val="22"/>
                <w:szCs w:val="22"/>
                <w:lang w:val="sk-SK"/>
              </w:rPr>
            </w:pPr>
          </w:p>
        </w:tc>
        <w:tc>
          <w:tcPr>
            <w:tcW w:w="2880" w:type="dxa"/>
            <w:tcBorders>
              <w:top w:val="single" w:sz="6" w:space="0" w:color="auto"/>
              <w:left w:val="single" w:sz="6" w:space="0" w:color="auto"/>
              <w:bottom w:val="single" w:sz="6" w:space="0" w:color="auto"/>
              <w:right w:val="single" w:sz="6" w:space="0" w:color="auto"/>
            </w:tcBorders>
          </w:tcPr>
          <w:p w14:paraId="22101BA4" w14:textId="6D3945FE" w:rsidR="003B7D86" w:rsidRPr="00645EDC" w:rsidRDefault="003B7D86">
            <w:pPr>
              <w:pStyle w:val="Style20"/>
              <w:widowControl/>
              <w:spacing w:line="240" w:lineRule="auto"/>
              <w:rPr>
                <w:rStyle w:val="FontStyle33"/>
                <w:sz w:val="22"/>
                <w:szCs w:val="22"/>
                <w:lang w:val="sk-SK" w:eastAsia="es-ES_tradnl"/>
              </w:rPr>
            </w:pPr>
            <w:r w:rsidRPr="00645EDC">
              <w:rPr>
                <w:rStyle w:val="FontStyle33"/>
                <w:sz w:val="22"/>
                <w:szCs w:val="22"/>
                <w:lang w:val="sk-SK" w:eastAsia="es-ES_tradnl"/>
              </w:rPr>
              <w:t>62 % (40,9</w:t>
            </w:r>
            <w:r w:rsidR="002D23FD" w:rsidRPr="00645EDC">
              <w:rPr>
                <w:rStyle w:val="FontStyle33"/>
                <w:sz w:val="22"/>
                <w:szCs w:val="22"/>
                <w:lang w:val="sk-SK" w:eastAsia="es-ES_tradnl"/>
              </w:rPr>
              <w:t xml:space="preserve">; </w:t>
            </w:r>
            <w:r w:rsidRPr="00645EDC">
              <w:rPr>
                <w:rStyle w:val="FontStyle33"/>
                <w:sz w:val="22"/>
                <w:szCs w:val="22"/>
                <w:lang w:val="sk-SK" w:eastAsia="es-ES_tradnl"/>
              </w:rPr>
              <w:t>75,1)</w:t>
            </w:r>
          </w:p>
        </w:tc>
      </w:tr>
      <w:tr w:rsidR="003B7D86" w:rsidRPr="00645EDC" w14:paraId="3EBA27B7" w14:textId="77777777" w:rsidTr="003B7D86">
        <w:tc>
          <w:tcPr>
            <w:tcW w:w="3547" w:type="dxa"/>
            <w:tcBorders>
              <w:top w:val="single" w:sz="6" w:space="0" w:color="auto"/>
              <w:left w:val="single" w:sz="6" w:space="0" w:color="auto"/>
              <w:bottom w:val="single" w:sz="6" w:space="0" w:color="auto"/>
              <w:right w:val="single" w:sz="6" w:space="0" w:color="auto"/>
            </w:tcBorders>
          </w:tcPr>
          <w:p w14:paraId="49E58FAB" w14:textId="77777777" w:rsidR="003B7D86" w:rsidRPr="00645EDC" w:rsidRDefault="003B7D86" w:rsidP="003B7D86">
            <w:pPr>
              <w:pStyle w:val="Style20"/>
              <w:widowControl/>
              <w:spacing w:line="240" w:lineRule="auto"/>
              <w:rPr>
                <w:rStyle w:val="FontStyle33"/>
                <w:sz w:val="22"/>
                <w:szCs w:val="22"/>
                <w:lang w:val="sk-SK" w:eastAsia="es-ES_tradnl"/>
              </w:rPr>
            </w:pPr>
            <w:r w:rsidRPr="00645EDC">
              <w:rPr>
                <w:rStyle w:val="FontStyle33"/>
                <w:sz w:val="22"/>
                <w:szCs w:val="22"/>
                <w:lang w:val="sk-SK" w:eastAsia="es-ES_tradnl"/>
              </w:rPr>
              <w:t>Výskyt nových morfometrických vertebrálnych fraktúr</w:t>
            </w:r>
          </w:p>
        </w:tc>
        <w:tc>
          <w:tcPr>
            <w:tcW w:w="2554" w:type="dxa"/>
            <w:tcBorders>
              <w:top w:val="single" w:sz="6" w:space="0" w:color="auto"/>
              <w:left w:val="single" w:sz="6" w:space="0" w:color="auto"/>
              <w:bottom w:val="single" w:sz="6" w:space="0" w:color="auto"/>
              <w:right w:val="single" w:sz="6" w:space="0" w:color="auto"/>
            </w:tcBorders>
          </w:tcPr>
          <w:p w14:paraId="06C572A9" w14:textId="493F09F3" w:rsidR="003B7D86" w:rsidRPr="00645EDC" w:rsidRDefault="003B7D86">
            <w:pPr>
              <w:pStyle w:val="Style20"/>
              <w:widowControl/>
              <w:spacing w:line="240" w:lineRule="auto"/>
              <w:rPr>
                <w:rStyle w:val="FontStyle33"/>
                <w:sz w:val="22"/>
                <w:szCs w:val="22"/>
                <w:lang w:val="sk-SK" w:eastAsia="es-ES_tradnl"/>
              </w:rPr>
            </w:pPr>
            <w:r w:rsidRPr="00645EDC">
              <w:rPr>
                <w:rStyle w:val="FontStyle33"/>
                <w:sz w:val="22"/>
                <w:szCs w:val="22"/>
                <w:lang w:val="sk-SK" w:eastAsia="es-ES_tradnl"/>
              </w:rPr>
              <w:t>9,56 % (7,5</w:t>
            </w:r>
            <w:r w:rsidR="002D23FD" w:rsidRPr="00645EDC">
              <w:rPr>
                <w:rStyle w:val="FontStyle33"/>
                <w:sz w:val="22"/>
                <w:szCs w:val="22"/>
                <w:lang w:val="sk-SK" w:eastAsia="es-ES_tradnl"/>
              </w:rPr>
              <w:t xml:space="preserve">; </w:t>
            </w:r>
            <w:r w:rsidRPr="00645EDC">
              <w:rPr>
                <w:rStyle w:val="FontStyle33"/>
                <w:sz w:val="22"/>
                <w:szCs w:val="22"/>
                <w:lang w:val="sk-SK" w:eastAsia="es-ES_tradnl"/>
              </w:rPr>
              <w:t>11,7)</w:t>
            </w:r>
          </w:p>
        </w:tc>
        <w:tc>
          <w:tcPr>
            <w:tcW w:w="2880" w:type="dxa"/>
            <w:tcBorders>
              <w:top w:val="single" w:sz="6" w:space="0" w:color="auto"/>
              <w:left w:val="single" w:sz="6" w:space="0" w:color="auto"/>
              <w:bottom w:val="single" w:sz="6" w:space="0" w:color="auto"/>
              <w:right w:val="single" w:sz="6" w:space="0" w:color="auto"/>
            </w:tcBorders>
          </w:tcPr>
          <w:p w14:paraId="5FCC6135" w14:textId="126D7FAE" w:rsidR="003B7D86" w:rsidRPr="00645EDC" w:rsidRDefault="003B7D86">
            <w:pPr>
              <w:pStyle w:val="Style20"/>
              <w:widowControl/>
              <w:spacing w:line="240" w:lineRule="auto"/>
              <w:rPr>
                <w:rStyle w:val="FontStyle33"/>
                <w:sz w:val="22"/>
                <w:szCs w:val="22"/>
                <w:lang w:val="sk-SK" w:eastAsia="es-ES_tradnl"/>
              </w:rPr>
            </w:pPr>
            <w:r w:rsidRPr="00645EDC">
              <w:rPr>
                <w:rStyle w:val="FontStyle33"/>
                <w:sz w:val="22"/>
                <w:szCs w:val="22"/>
                <w:lang w:val="sk-SK" w:eastAsia="es-ES_tradnl"/>
              </w:rPr>
              <w:t>4,68 % (3,2</w:t>
            </w:r>
            <w:r w:rsidR="002D23FD" w:rsidRPr="00645EDC">
              <w:rPr>
                <w:rStyle w:val="FontStyle33"/>
                <w:sz w:val="22"/>
                <w:szCs w:val="22"/>
                <w:lang w:val="sk-SK" w:eastAsia="es-ES_tradnl"/>
              </w:rPr>
              <w:t xml:space="preserve">; </w:t>
            </w:r>
            <w:r w:rsidRPr="00645EDC">
              <w:rPr>
                <w:rStyle w:val="FontStyle33"/>
                <w:sz w:val="22"/>
                <w:szCs w:val="22"/>
                <w:lang w:val="sk-SK" w:eastAsia="es-ES_tradnl"/>
              </w:rPr>
              <w:t>6,2)</w:t>
            </w:r>
          </w:p>
        </w:tc>
      </w:tr>
      <w:tr w:rsidR="003B7D86" w:rsidRPr="00645EDC" w14:paraId="7E695DBD" w14:textId="77777777" w:rsidTr="003B7D86">
        <w:tc>
          <w:tcPr>
            <w:tcW w:w="3547" w:type="dxa"/>
            <w:tcBorders>
              <w:top w:val="single" w:sz="6" w:space="0" w:color="auto"/>
              <w:left w:val="single" w:sz="6" w:space="0" w:color="auto"/>
              <w:bottom w:val="single" w:sz="6" w:space="0" w:color="auto"/>
              <w:right w:val="single" w:sz="6" w:space="0" w:color="auto"/>
            </w:tcBorders>
          </w:tcPr>
          <w:p w14:paraId="06925BD2" w14:textId="77777777" w:rsidR="003B7D86" w:rsidRPr="00645EDC" w:rsidRDefault="003B7D86" w:rsidP="003B7D86">
            <w:pPr>
              <w:pStyle w:val="Style20"/>
              <w:widowControl/>
              <w:spacing w:line="240" w:lineRule="auto"/>
              <w:rPr>
                <w:rStyle w:val="FontStyle33"/>
                <w:sz w:val="22"/>
                <w:szCs w:val="22"/>
                <w:lang w:val="sk-SK" w:eastAsia="es-ES_tradnl"/>
              </w:rPr>
            </w:pPr>
            <w:r w:rsidRPr="00645EDC">
              <w:rPr>
                <w:rStyle w:val="FontStyle33"/>
                <w:sz w:val="22"/>
                <w:szCs w:val="22"/>
                <w:lang w:val="sk-SK" w:eastAsia="es-ES_tradnl"/>
              </w:rPr>
              <w:t>Zníženie relatívneho rizika klinickej vertebrálnej fraktúry</w:t>
            </w:r>
          </w:p>
        </w:tc>
        <w:tc>
          <w:tcPr>
            <w:tcW w:w="2554" w:type="dxa"/>
            <w:tcBorders>
              <w:top w:val="single" w:sz="6" w:space="0" w:color="auto"/>
              <w:left w:val="single" w:sz="6" w:space="0" w:color="auto"/>
              <w:bottom w:val="single" w:sz="6" w:space="0" w:color="auto"/>
              <w:right w:val="single" w:sz="6" w:space="0" w:color="auto"/>
            </w:tcBorders>
          </w:tcPr>
          <w:p w14:paraId="37D92D94" w14:textId="77777777" w:rsidR="003B7D86" w:rsidRPr="00645EDC" w:rsidRDefault="003B7D86" w:rsidP="003B7D86">
            <w:pPr>
              <w:pStyle w:val="Style14"/>
              <w:widowControl/>
              <w:rPr>
                <w:sz w:val="22"/>
                <w:szCs w:val="22"/>
                <w:lang w:val="sk-SK"/>
              </w:rPr>
            </w:pPr>
          </w:p>
        </w:tc>
        <w:tc>
          <w:tcPr>
            <w:tcW w:w="2880" w:type="dxa"/>
            <w:tcBorders>
              <w:top w:val="single" w:sz="6" w:space="0" w:color="auto"/>
              <w:left w:val="single" w:sz="6" w:space="0" w:color="auto"/>
              <w:bottom w:val="single" w:sz="6" w:space="0" w:color="auto"/>
              <w:right w:val="single" w:sz="6" w:space="0" w:color="auto"/>
            </w:tcBorders>
          </w:tcPr>
          <w:p w14:paraId="21B659A3" w14:textId="77777777" w:rsidR="003B7D86" w:rsidRPr="00645EDC" w:rsidRDefault="003B7D86" w:rsidP="003B7D86">
            <w:pPr>
              <w:pStyle w:val="Style20"/>
              <w:widowControl/>
              <w:spacing w:line="240" w:lineRule="auto"/>
              <w:rPr>
                <w:rStyle w:val="FontStyle33"/>
                <w:sz w:val="22"/>
                <w:szCs w:val="22"/>
                <w:lang w:val="sk-SK" w:eastAsia="es-ES_tradnl"/>
              </w:rPr>
            </w:pPr>
            <w:r w:rsidRPr="00645EDC">
              <w:rPr>
                <w:rStyle w:val="FontStyle33"/>
                <w:sz w:val="22"/>
                <w:szCs w:val="22"/>
                <w:lang w:val="sk-SK" w:eastAsia="es-ES_tradnl"/>
              </w:rPr>
              <w:t>49 %</w:t>
            </w:r>
          </w:p>
          <w:p w14:paraId="6B999801" w14:textId="77777777" w:rsidR="003B7D86" w:rsidRPr="00645EDC" w:rsidRDefault="003B7D86" w:rsidP="003B7D86">
            <w:pPr>
              <w:pStyle w:val="Style20"/>
              <w:widowControl/>
              <w:spacing w:line="240" w:lineRule="auto"/>
              <w:rPr>
                <w:rStyle w:val="FontStyle33"/>
                <w:sz w:val="22"/>
                <w:szCs w:val="22"/>
                <w:lang w:val="sk-SK" w:eastAsia="es-ES_tradnl"/>
              </w:rPr>
            </w:pPr>
            <w:r w:rsidRPr="00645EDC">
              <w:rPr>
                <w:rStyle w:val="FontStyle33"/>
                <w:sz w:val="22"/>
                <w:szCs w:val="22"/>
                <w:lang w:val="sk-SK" w:eastAsia="es-ES_tradnl"/>
              </w:rPr>
              <w:t>(14,03, 69,49)</w:t>
            </w:r>
          </w:p>
        </w:tc>
      </w:tr>
      <w:tr w:rsidR="003B7D86" w:rsidRPr="00645EDC" w14:paraId="0B04AA14" w14:textId="77777777" w:rsidTr="003B7D86">
        <w:tc>
          <w:tcPr>
            <w:tcW w:w="3547" w:type="dxa"/>
            <w:tcBorders>
              <w:top w:val="single" w:sz="6" w:space="0" w:color="auto"/>
              <w:left w:val="single" w:sz="6" w:space="0" w:color="auto"/>
              <w:bottom w:val="single" w:sz="6" w:space="0" w:color="auto"/>
              <w:right w:val="single" w:sz="6" w:space="0" w:color="auto"/>
            </w:tcBorders>
          </w:tcPr>
          <w:p w14:paraId="2B3E13C6" w14:textId="77777777" w:rsidR="003B7D86" w:rsidRPr="00645EDC" w:rsidRDefault="003B7D86" w:rsidP="003B7D86">
            <w:pPr>
              <w:pStyle w:val="Style20"/>
              <w:widowControl/>
              <w:spacing w:line="240" w:lineRule="auto"/>
              <w:rPr>
                <w:rStyle w:val="FontStyle33"/>
                <w:sz w:val="22"/>
                <w:szCs w:val="22"/>
                <w:lang w:val="sk-SK" w:eastAsia="es-ES_tradnl"/>
              </w:rPr>
            </w:pPr>
            <w:r w:rsidRPr="00645EDC">
              <w:rPr>
                <w:rStyle w:val="FontStyle33"/>
                <w:sz w:val="22"/>
                <w:szCs w:val="22"/>
                <w:lang w:val="sk-SK" w:eastAsia="es-ES_tradnl"/>
              </w:rPr>
              <w:t>Výskyt klinickej vertebrálnej fraktúry</w:t>
            </w:r>
          </w:p>
        </w:tc>
        <w:tc>
          <w:tcPr>
            <w:tcW w:w="2554" w:type="dxa"/>
            <w:tcBorders>
              <w:top w:val="single" w:sz="6" w:space="0" w:color="auto"/>
              <w:left w:val="single" w:sz="6" w:space="0" w:color="auto"/>
              <w:bottom w:val="single" w:sz="6" w:space="0" w:color="auto"/>
              <w:right w:val="single" w:sz="6" w:space="0" w:color="auto"/>
            </w:tcBorders>
          </w:tcPr>
          <w:p w14:paraId="07894D01" w14:textId="77777777" w:rsidR="003B7D86" w:rsidRPr="00645EDC" w:rsidRDefault="003B7D86" w:rsidP="003B7D86">
            <w:pPr>
              <w:pStyle w:val="Style20"/>
              <w:widowControl/>
              <w:spacing w:line="240" w:lineRule="auto"/>
              <w:ind w:right="1258"/>
              <w:rPr>
                <w:rStyle w:val="FontStyle33"/>
                <w:sz w:val="22"/>
                <w:szCs w:val="22"/>
                <w:lang w:val="sk-SK" w:eastAsia="es-ES_tradnl"/>
              </w:rPr>
            </w:pPr>
            <w:r w:rsidRPr="00645EDC">
              <w:rPr>
                <w:rStyle w:val="FontStyle33"/>
                <w:sz w:val="22"/>
                <w:szCs w:val="22"/>
                <w:lang w:val="sk-SK" w:eastAsia="es-ES_tradnl"/>
              </w:rPr>
              <w:t xml:space="preserve">5,33 % </w:t>
            </w:r>
          </w:p>
          <w:p w14:paraId="395BCA13" w14:textId="0DC7E5DE" w:rsidR="003B7D86" w:rsidRPr="00645EDC" w:rsidRDefault="003B7D86">
            <w:pPr>
              <w:pStyle w:val="Style20"/>
              <w:widowControl/>
              <w:spacing w:line="240" w:lineRule="auto"/>
              <w:ind w:right="1258"/>
              <w:rPr>
                <w:rStyle w:val="FontStyle33"/>
                <w:sz w:val="22"/>
                <w:szCs w:val="22"/>
                <w:lang w:val="sk-SK" w:eastAsia="es-ES_tradnl"/>
              </w:rPr>
            </w:pPr>
            <w:r w:rsidRPr="00645EDC">
              <w:rPr>
                <w:rStyle w:val="FontStyle33"/>
                <w:sz w:val="22"/>
                <w:szCs w:val="22"/>
                <w:lang w:val="sk-SK" w:eastAsia="es-ES_tradnl"/>
              </w:rPr>
              <w:t>(3,73</w:t>
            </w:r>
            <w:r w:rsidR="002D23FD" w:rsidRPr="00645EDC">
              <w:rPr>
                <w:rStyle w:val="FontStyle33"/>
                <w:sz w:val="22"/>
                <w:szCs w:val="22"/>
                <w:lang w:val="sk-SK" w:eastAsia="es-ES_tradnl"/>
              </w:rPr>
              <w:t xml:space="preserve">; </w:t>
            </w:r>
            <w:r w:rsidRPr="00645EDC">
              <w:rPr>
                <w:rStyle w:val="FontStyle33"/>
                <w:sz w:val="22"/>
                <w:szCs w:val="22"/>
                <w:lang w:val="sk-SK" w:eastAsia="es-ES_tradnl"/>
              </w:rPr>
              <w:t>6,92)</w:t>
            </w:r>
          </w:p>
        </w:tc>
        <w:tc>
          <w:tcPr>
            <w:tcW w:w="2880" w:type="dxa"/>
            <w:tcBorders>
              <w:top w:val="single" w:sz="6" w:space="0" w:color="auto"/>
              <w:left w:val="single" w:sz="6" w:space="0" w:color="auto"/>
              <w:bottom w:val="single" w:sz="6" w:space="0" w:color="auto"/>
              <w:right w:val="single" w:sz="6" w:space="0" w:color="auto"/>
            </w:tcBorders>
          </w:tcPr>
          <w:p w14:paraId="116402E9" w14:textId="77777777" w:rsidR="003B7D86" w:rsidRPr="00645EDC" w:rsidRDefault="003B7D86" w:rsidP="003B7D86">
            <w:pPr>
              <w:pStyle w:val="Style20"/>
              <w:widowControl/>
              <w:spacing w:line="240" w:lineRule="auto"/>
              <w:ind w:left="5" w:right="1584" w:hanging="5"/>
              <w:rPr>
                <w:rStyle w:val="FontStyle33"/>
                <w:sz w:val="22"/>
                <w:szCs w:val="22"/>
                <w:lang w:val="sk-SK" w:eastAsia="es-ES_tradnl"/>
              </w:rPr>
            </w:pPr>
            <w:r w:rsidRPr="00645EDC">
              <w:rPr>
                <w:rStyle w:val="FontStyle33"/>
                <w:sz w:val="22"/>
                <w:szCs w:val="22"/>
                <w:lang w:val="sk-SK" w:eastAsia="es-ES_tradnl"/>
              </w:rPr>
              <w:t xml:space="preserve">2,75 % </w:t>
            </w:r>
          </w:p>
          <w:p w14:paraId="44D06D7A" w14:textId="48CA3D34" w:rsidR="003B7D86" w:rsidRPr="00645EDC" w:rsidRDefault="003B7D86">
            <w:pPr>
              <w:pStyle w:val="Style20"/>
              <w:widowControl/>
              <w:spacing w:line="240" w:lineRule="auto"/>
              <w:ind w:left="5" w:right="1584" w:hanging="5"/>
              <w:rPr>
                <w:rStyle w:val="FontStyle33"/>
                <w:sz w:val="22"/>
                <w:szCs w:val="22"/>
                <w:lang w:val="sk-SK" w:eastAsia="es-ES_tradnl"/>
              </w:rPr>
            </w:pPr>
            <w:r w:rsidRPr="00645EDC">
              <w:rPr>
                <w:rStyle w:val="FontStyle33"/>
                <w:sz w:val="22"/>
                <w:szCs w:val="22"/>
                <w:lang w:val="sk-SK" w:eastAsia="es-ES_tradnl"/>
              </w:rPr>
              <w:t>(1,61</w:t>
            </w:r>
            <w:r w:rsidR="002D23FD" w:rsidRPr="00645EDC">
              <w:rPr>
                <w:rStyle w:val="FontStyle33"/>
                <w:sz w:val="22"/>
                <w:szCs w:val="22"/>
                <w:lang w:val="sk-SK" w:eastAsia="es-ES_tradnl"/>
              </w:rPr>
              <w:t xml:space="preserve">; </w:t>
            </w:r>
            <w:r w:rsidRPr="00645EDC">
              <w:rPr>
                <w:rStyle w:val="FontStyle33"/>
                <w:sz w:val="22"/>
                <w:szCs w:val="22"/>
                <w:lang w:val="sk-SK" w:eastAsia="es-ES_tradnl"/>
              </w:rPr>
              <w:t>3,89)</w:t>
            </w:r>
          </w:p>
        </w:tc>
      </w:tr>
      <w:tr w:rsidR="003B7D86" w:rsidRPr="00645EDC" w14:paraId="70DECA09" w14:textId="77777777" w:rsidTr="003B7D86">
        <w:tc>
          <w:tcPr>
            <w:tcW w:w="3547" w:type="dxa"/>
            <w:tcBorders>
              <w:top w:val="single" w:sz="6" w:space="0" w:color="auto"/>
              <w:left w:val="single" w:sz="6" w:space="0" w:color="auto"/>
              <w:bottom w:val="single" w:sz="6" w:space="0" w:color="auto"/>
              <w:right w:val="single" w:sz="6" w:space="0" w:color="auto"/>
            </w:tcBorders>
          </w:tcPr>
          <w:p w14:paraId="4CFD830D" w14:textId="77777777" w:rsidR="003B7D86" w:rsidRPr="00645EDC" w:rsidRDefault="003B7D86" w:rsidP="003B7D86">
            <w:pPr>
              <w:pStyle w:val="Style20"/>
              <w:widowControl/>
              <w:spacing w:line="240" w:lineRule="auto"/>
              <w:ind w:firstLine="5"/>
              <w:rPr>
                <w:rStyle w:val="FontStyle33"/>
                <w:sz w:val="22"/>
                <w:szCs w:val="22"/>
                <w:lang w:val="sk-SK" w:eastAsia="es-ES_tradnl"/>
              </w:rPr>
            </w:pPr>
            <w:r w:rsidRPr="00645EDC">
              <w:rPr>
                <w:rStyle w:val="FontStyle33"/>
                <w:sz w:val="22"/>
                <w:szCs w:val="22"/>
                <w:lang w:val="sk-SK" w:eastAsia="es-ES_tradnl"/>
              </w:rPr>
              <w:t>BMD - priemerná zmena vzhľadom na východiskový stav driekovej chrbtice v 3. roku</w:t>
            </w:r>
          </w:p>
        </w:tc>
        <w:tc>
          <w:tcPr>
            <w:tcW w:w="2554" w:type="dxa"/>
            <w:tcBorders>
              <w:top w:val="single" w:sz="6" w:space="0" w:color="auto"/>
              <w:left w:val="single" w:sz="6" w:space="0" w:color="auto"/>
              <w:bottom w:val="single" w:sz="6" w:space="0" w:color="auto"/>
              <w:right w:val="single" w:sz="6" w:space="0" w:color="auto"/>
            </w:tcBorders>
          </w:tcPr>
          <w:p w14:paraId="349975FF" w14:textId="119ADFA4" w:rsidR="003B7D86" w:rsidRPr="00645EDC" w:rsidRDefault="003B7D86">
            <w:pPr>
              <w:pStyle w:val="Style20"/>
              <w:widowControl/>
              <w:spacing w:line="240" w:lineRule="auto"/>
              <w:rPr>
                <w:rStyle w:val="FontStyle33"/>
                <w:sz w:val="22"/>
                <w:szCs w:val="22"/>
                <w:lang w:val="sk-SK" w:eastAsia="es-ES_tradnl"/>
              </w:rPr>
            </w:pPr>
            <w:r w:rsidRPr="00645EDC">
              <w:rPr>
                <w:rStyle w:val="FontStyle33"/>
                <w:sz w:val="22"/>
                <w:szCs w:val="22"/>
                <w:lang w:val="sk-SK" w:eastAsia="es-ES_tradnl"/>
              </w:rPr>
              <w:t>1,26 % (0,8</w:t>
            </w:r>
            <w:r w:rsidR="002D23FD" w:rsidRPr="00645EDC">
              <w:rPr>
                <w:rStyle w:val="FontStyle33"/>
                <w:sz w:val="22"/>
                <w:szCs w:val="22"/>
                <w:lang w:val="sk-SK" w:eastAsia="es-ES_tradnl"/>
              </w:rPr>
              <w:t>;</w:t>
            </w:r>
            <w:r w:rsidRPr="00645EDC">
              <w:rPr>
                <w:rStyle w:val="FontStyle33"/>
                <w:sz w:val="22"/>
                <w:szCs w:val="22"/>
                <w:lang w:val="sk-SK" w:eastAsia="es-ES_tradnl"/>
              </w:rPr>
              <w:t xml:space="preserve"> 1,7)</w:t>
            </w:r>
          </w:p>
        </w:tc>
        <w:tc>
          <w:tcPr>
            <w:tcW w:w="2880" w:type="dxa"/>
            <w:tcBorders>
              <w:top w:val="single" w:sz="6" w:space="0" w:color="auto"/>
              <w:left w:val="single" w:sz="6" w:space="0" w:color="auto"/>
              <w:bottom w:val="single" w:sz="6" w:space="0" w:color="auto"/>
              <w:right w:val="single" w:sz="6" w:space="0" w:color="auto"/>
            </w:tcBorders>
          </w:tcPr>
          <w:p w14:paraId="7E507D2B" w14:textId="7D8251B1" w:rsidR="003B7D86" w:rsidRPr="00645EDC" w:rsidRDefault="003B7D86">
            <w:pPr>
              <w:pStyle w:val="Style20"/>
              <w:widowControl/>
              <w:spacing w:line="240" w:lineRule="auto"/>
              <w:rPr>
                <w:rStyle w:val="FontStyle33"/>
                <w:sz w:val="22"/>
                <w:szCs w:val="22"/>
                <w:lang w:val="sk-SK" w:eastAsia="es-ES_tradnl"/>
              </w:rPr>
            </w:pPr>
            <w:r w:rsidRPr="00645EDC">
              <w:rPr>
                <w:rStyle w:val="FontStyle33"/>
                <w:sz w:val="22"/>
                <w:szCs w:val="22"/>
                <w:lang w:val="sk-SK" w:eastAsia="es-ES_tradnl"/>
              </w:rPr>
              <w:t>6,54 % (6,1</w:t>
            </w:r>
            <w:r w:rsidR="002D23FD" w:rsidRPr="00645EDC">
              <w:rPr>
                <w:rStyle w:val="FontStyle33"/>
                <w:sz w:val="22"/>
                <w:szCs w:val="22"/>
                <w:lang w:val="sk-SK" w:eastAsia="es-ES_tradnl"/>
              </w:rPr>
              <w:t>;</w:t>
            </w:r>
            <w:r w:rsidRPr="00645EDC">
              <w:rPr>
                <w:rStyle w:val="FontStyle33"/>
                <w:sz w:val="22"/>
                <w:szCs w:val="22"/>
                <w:lang w:val="sk-SK" w:eastAsia="es-ES_tradnl"/>
              </w:rPr>
              <w:t xml:space="preserve"> 7,0)</w:t>
            </w:r>
          </w:p>
        </w:tc>
      </w:tr>
      <w:tr w:rsidR="003B7D86" w:rsidRPr="00645EDC" w14:paraId="033C1AF4" w14:textId="77777777" w:rsidTr="003B7D86">
        <w:tc>
          <w:tcPr>
            <w:tcW w:w="3547" w:type="dxa"/>
            <w:tcBorders>
              <w:top w:val="single" w:sz="6" w:space="0" w:color="auto"/>
              <w:left w:val="single" w:sz="6" w:space="0" w:color="auto"/>
              <w:bottom w:val="single" w:sz="6" w:space="0" w:color="auto"/>
              <w:right w:val="single" w:sz="6" w:space="0" w:color="auto"/>
            </w:tcBorders>
          </w:tcPr>
          <w:p w14:paraId="2DF9BF5F" w14:textId="77777777" w:rsidR="003B7D86" w:rsidRPr="00645EDC" w:rsidRDefault="003B7D86" w:rsidP="003B7D86">
            <w:pPr>
              <w:pStyle w:val="Style20"/>
              <w:widowControl/>
              <w:spacing w:line="240" w:lineRule="auto"/>
              <w:ind w:firstLine="5"/>
              <w:rPr>
                <w:rStyle w:val="FontStyle33"/>
                <w:sz w:val="22"/>
                <w:szCs w:val="22"/>
                <w:lang w:val="sk-SK" w:eastAsia="es-ES_tradnl"/>
              </w:rPr>
            </w:pPr>
            <w:r w:rsidRPr="00645EDC">
              <w:rPr>
                <w:rStyle w:val="FontStyle33"/>
                <w:sz w:val="22"/>
                <w:szCs w:val="22"/>
                <w:lang w:val="sk-SK" w:eastAsia="es-ES_tradnl"/>
              </w:rPr>
              <w:t>BMD - priemerná zmena vzhľadom na východiskový stav bedrovej oblasti v 3. roku</w:t>
            </w:r>
          </w:p>
        </w:tc>
        <w:tc>
          <w:tcPr>
            <w:tcW w:w="2554" w:type="dxa"/>
            <w:tcBorders>
              <w:top w:val="single" w:sz="6" w:space="0" w:color="auto"/>
              <w:left w:val="single" w:sz="6" w:space="0" w:color="auto"/>
              <w:bottom w:val="single" w:sz="6" w:space="0" w:color="auto"/>
              <w:right w:val="single" w:sz="6" w:space="0" w:color="auto"/>
            </w:tcBorders>
          </w:tcPr>
          <w:p w14:paraId="612F5BFA" w14:textId="77777777" w:rsidR="003B7D86" w:rsidRPr="00645EDC" w:rsidRDefault="003B7D86" w:rsidP="003B7D86">
            <w:pPr>
              <w:pStyle w:val="Style20"/>
              <w:widowControl/>
              <w:spacing w:line="240" w:lineRule="auto"/>
              <w:ind w:right="1382"/>
              <w:rPr>
                <w:rStyle w:val="FontStyle33"/>
                <w:sz w:val="22"/>
                <w:szCs w:val="22"/>
                <w:lang w:val="sk-SK" w:eastAsia="es-ES_tradnl"/>
              </w:rPr>
            </w:pPr>
            <w:r w:rsidRPr="00645EDC">
              <w:rPr>
                <w:rStyle w:val="FontStyle33"/>
                <w:sz w:val="22"/>
                <w:szCs w:val="22"/>
                <w:lang w:val="sk-SK" w:eastAsia="es-ES_tradnl"/>
              </w:rPr>
              <w:t xml:space="preserve">-0,69 % </w:t>
            </w:r>
          </w:p>
          <w:p w14:paraId="70E8760F" w14:textId="0B84FF92" w:rsidR="003B7D86" w:rsidRPr="00645EDC" w:rsidRDefault="003B7D86">
            <w:pPr>
              <w:pStyle w:val="Style20"/>
              <w:widowControl/>
              <w:spacing w:line="240" w:lineRule="auto"/>
              <w:ind w:right="1382"/>
              <w:rPr>
                <w:rStyle w:val="FontStyle33"/>
                <w:sz w:val="22"/>
                <w:szCs w:val="22"/>
                <w:lang w:val="sk-SK" w:eastAsia="es-ES_tradnl"/>
              </w:rPr>
            </w:pPr>
            <w:r w:rsidRPr="00645EDC">
              <w:rPr>
                <w:rStyle w:val="FontStyle33"/>
                <w:sz w:val="22"/>
                <w:szCs w:val="22"/>
                <w:lang w:val="sk-SK" w:eastAsia="es-ES_tradnl"/>
              </w:rPr>
              <w:t>(-1,0</w:t>
            </w:r>
            <w:r w:rsidR="002D23FD" w:rsidRPr="00645EDC">
              <w:rPr>
                <w:rStyle w:val="FontStyle33"/>
                <w:sz w:val="22"/>
                <w:szCs w:val="22"/>
                <w:lang w:val="sk-SK" w:eastAsia="es-ES_tradnl"/>
              </w:rPr>
              <w:t>;</w:t>
            </w:r>
            <w:r w:rsidRPr="00645EDC">
              <w:rPr>
                <w:rStyle w:val="FontStyle33"/>
                <w:sz w:val="22"/>
                <w:szCs w:val="22"/>
                <w:lang w:val="sk-SK" w:eastAsia="es-ES_tradnl"/>
              </w:rPr>
              <w:t xml:space="preserve"> -0,4)</w:t>
            </w:r>
          </w:p>
        </w:tc>
        <w:tc>
          <w:tcPr>
            <w:tcW w:w="2880" w:type="dxa"/>
            <w:tcBorders>
              <w:top w:val="single" w:sz="6" w:space="0" w:color="auto"/>
              <w:left w:val="single" w:sz="6" w:space="0" w:color="auto"/>
              <w:bottom w:val="single" w:sz="6" w:space="0" w:color="auto"/>
              <w:right w:val="single" w:sz="6" w:space="0" w:color="auto"/>
            </w:tcBorders>
          </w:tcPr>
          <w:p w14:paraId="21062166" w14:textId="084D38B8" w:rsidR="003B7D86" w:rsidRPr="00645EDC" w:rsidRDefault="003B7D86">
            <w:pPr>
              <w:pStyle w:val="Style20"/>
              <w:widowControl/>
              <w:spacing w:line="240" w:lineRule="auto"/>
              <w:ind w:right="1805"/>
              <w:rPr>
                <w:rStyle w:val="FontStyle33"/>
                <w:sz w:val="22"/>
                <w:szCs w:val="22"/>
                <w:lang w:val="sk-SK" w:eastAsia="es-ES_tradnl"/>
              </w:rPr>
            </w:pPr>
            <w:r w:rsidRPr="00645EDC">
              <w:rPr>
                <w:rStyle w:val="FontStyle33"/>
                <w:sz w:val="22"/>
                <w:szCs w:val="22"/>
                <w:lang w:val="sk-SK" w:eastAsia="es-ES_tradnl"/>
              </w:rPr>
              <w:t>3,36 % (3,0</w:t>
            </w:r>
            <w:r w:rsidR="002D23FD" w:rsidRPr="00645EDC">
              <w:rPr>
                <w:rStyle w:val="FontStyle33"/>
                <w:sz w:val="22"/>
                <w:szCs w:val="22"/>
                <w:lang w:val="sk-SK" w:eastAsia="es-ES_tradnl"/>
              </w:rPr>
              <w:t>;</w:t>
            </w:r>
            <w:r w:rsidRPr="00645EDC">
              <w:rPr>
                <w:rStyle w:val="FontStyle33"/>
                <w:sz w:val="22"/>
                <w:szCs w:val="22"/>
                <w:lang w:val="sk-SK" w:eastAsia="es-ES_tradnl"/>
              </w:rPr>
              <w:t xml:space="preserve"> 3,7)</w:t>
            </w:r>
          </w:p>
        </w:tc>
      </w:tr>
    </w:tbl>
    <w:p w14:paraId="33E2AE66" w14:textId="77777777" w:rsidR="003B7D86" w:rsidRPr="00645EDC" w:rsidRDefault="003B7D86" w:rsidP="003B7D86">
      <w:pPr>
        <w:pStyle w:val="Style9"/>
        <w:widowControl/>
        <w:spacing w:line="240" w:lineRule="auto"/>
        <w:rPr>
          <w:rStyle w:val="FontStyle33"/>
          <w:sz w:val="22"/>
          <w:szCs w:val="22"/>
          <w:lang w:val="sk-SK" w:eastAsia="es-ES_tradnl"/>
        </w:rPr>
      </w:pPr>
    </w:p>
    <w:p w14:paraId="1A495BE5" w14:textId="799F746B"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lastRenderedPageBreak/>
        <w:t xml:space="preserve">Účinok liečby kyselinou ibandrónovou bol ďalej stanovený na základe analýzy podskupiny pacientok, ktoré mali vo východiskovom bode T-skóre BMD driekovej chrbtice nižšie ako -2,5. Zníženie rizika vertebrálnych fraktúr bolo </w:t>
      </w:r>
      <w:r w:rsidR="00B43CCE" w:rsidRPr="00645EDC">
        <w:rPr>
          <w:rStyle w:val="FontStyle33"/>
          <w:sz w:val="22"/>
          <w:szCs w:val="22"/>
          <w:lang w:val="sk-SK" w:eastAsia="es-ES_tradnl"/>
        </w:rPr>
        <w:t> vo veľkej</w:t>
      </w:r>
      <w:r w:rsidRPr="00645EDC">
        <w:rPr>
          <w:rStyle w:val="FontStyle33"/>
          <w:sz w:val="22"/>
          <w:szCs w:val="22"/>
          <w:lang w:val="sk-SK" w:eastAsia="es-ES_tradnl"/>
        </w:rPr>
        <w:t xml:space="preserve"> zhode </w:t>
      </w:r>
      <w:r w:rsidR="00B43CCE" w:rsidRPr="00645EDC">
        <w:rPr>
          <w:rStyle w:val="FontStyle33"/>
          <w:sz w:val="22"/>
          <w:szCs w:val="22"/>
          <w:lang w:val="sk-SK" w:eastAsia="es-ES_tradnl"/>
        </w:rPr>
        <w:t>s tým, ktoré</w:t>
      </w:r>
      <w:r w:rsidRPr="00645EDC">
        <w:rPr>
          <w:rStyle w:val="FontStyle33"/>
          <w:sz w:val="22"/>
          <w:szCs w:val="22"/>
          <w:lang w:val="sk-SK" w:eastAsia="es-ES_tradnl"/>
        </w:rPr>
        <w:t xml:space="preserve"> bolo pozorované v celkovej populácii.</w:t>
      </w:r>
    </w:p>
    <w:p w14:paraId="0B572CB2" w14:textId="77777777" w:rsidR="003B7D86" w:rsidRPr="00645EDC" w:rsidRDefault="003B7D86" w:rsidP="003B7D86">
      <w:pPr>
        <w:pStyle w:val="Bezriadkovania1"/>
        <w:tabs>
          <w:tab w:val="left" w:pos="540"/>
        </w:tabs>
        <w:rPr>
          <w:rFonts w:ascii="Times New Roman" w:hAnsi="Times New Roman"/>
          <w:lang w:val="sk-SK"/>
        </w:rPr>
      </w:pPr>
    </w:p>
    <w:p w14:paraId="2A5A6D9A" w14:textId="07B978CA"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 xml:space="preserve">Tabuľka 4: Výsledky trojročnej štúdie MF 4411 (%, 95 % IS) zameranej na fraktúry u </w:t>
      </w:r>
      <w:r w:rsidR="00B43CCE" w:rsidRPr="00645EDC">
        <w:rPr>
          <w:rStyle w:val="FontStyle33"/>
          <w:sz w:val="22"/>
          <w:szCs w:val="22"/>
          <w:lang w:val="sk-SK" w:eastAsia="es-ES_tradnl"/>
        </w:rPr>
        <w:t>pacientok</w:t>
      </w:r>
      <w:r w:rsidRPr="00645EDC">
        <w:rPr>
          <w:rStyle w:val="FontStyle33"/>
          <w:sz w:val="22"/>
          <w:szCs w:val="22"/>
          <w:lang w:val="sk-SK" w:eastAsia="es-ES_tradnl"/>
        </w:rPr>
        <w:t xml:space="preserve">, ktoré mali vo východiskovom bode T-skóre BMD driekovej chrbtice nižšie </w:t>
      </w:r>
      <w:r w:rsidR="00B43CCE" w:rsidRPr="00645EDC">
        <w:rPr>
          <w:rStyle w:val="FontStyle33"/>
          <w:sz w:val="22"/>
          <w:szCs w:val="22"/>
          <w:lang w:val="sk-SK" w:eastAsia="es-ES_tradnl"/>
        </w:rPr>
        <w:t>ako </w:t>
      </w:r>
      <w:r w:rsidRPr="00645EDC">
        <w:rPr>
          <w:rStyle w:val="FontStyle33"/>
          <w:sz w:val="22"/>
          <w:szCs w:val="22"/>
          <w:lang w:val="sk-SK" w:eastAsia="es-ES_tradnl"/>
        </w:rPr>
        <w:t>-</w:t>
      </w:r>
      <w:r w:rsidR="00B43CCE" w:rsidRPr="00645EDC">
        <w:rPr>
          <w:rStyle w:val="FontStyle33"/>
          <w:sz w:val="22"/>
          <w:szCs w:val="22"/>
          <w:lang w:val="sk-SK" w:eastAsia="es-ES_tradnl"/>
        </w:rPr>
        <w:t> </w:t>
      </w:r>
      <w:r w:rsidRPr="00645EDC">
        <w:rPr>
          <w:rStyle w:val="FontStyle33"/>
          <w:sz w:val="22"/>
          <w:szCs w:val="22"/>
          <w:lang w:val="sk-SK" w:eastAsia="es-ES_tradnl"/>
        </w:rPr>
        <w:t>2,5</w:t>
      </w:r>
    </w:p>
    <w:p w14:paraId="6A2B649D" w14:textId="77777777" w:rsidR="003B7D86" w:rsidRPr="00645EDC" w:rsidRDefault="003B7D86" w:rsidP="003B7D86">
      <w:pPr>
        <w:pStyle w:val="Bezriadkovania1"/>
        <w:tabs>
          <w:tab w:val="left" w:pos="540"/>
        </w:tabs>
        <w:rPr>
          <w:rFonts w:ascii="Times New Roman" w:hAnsi="Times New Roman"/>
          <w:lang w:val="sk-SK"/>
        </w:rPr>
      </w:pPr>
    </w:p>
    <w:tbl>
      <w:tblPr>
        <w:tblW w:w="0" w:type="auto"/>
        <w:tblInd w:w="40" w:type="dxa"/>
        <w:tblLayout w:type="fixed"/>
        <w:tblCellMar>
          <w:left w:w="40" w:type="dxa"/>
          <w:right w:w="40" w:type="dxa"/>
        </w:tblCellMar>
        <w:tblLook w:val="0000" w:firstRow="0" w:lastRow="0" w:firstColumn="0" w:lastColumn="0" w:noHBand="0" w:noVBand="0"/>
      </w:tblPr>
      <w:tblGrid>
        <w:gridCol w:w="3547"/>
        <w:gridCol w:w="2554"/>
        <w:gridCol w:w="2880"/>
      </w:tblGrid>
      <w:tr w:rsidR="003B7D86" w:rsidRPr="00645EDC" w14:paraId="4E1A2BC0" w14:textId="77777777" w:rsidTr="003B7D86">
        <w:tc>
          <w:tcPr>
            <w:tcW w:w="3547" w:type="dxa"/>
            <w:tcBorders>
              <w:top w:val="single" w:sz="6" w:space="0" w:color="auto"/>
              <w:left w:val="single" w:sz="6" w:space="0" w:color="auto"/>
              <w:bottom w:val="single" w:sz="6" w:space="0" w:color="auto"/>
              <w:right w:val="single" w:sz="6" w:space="0" w:color="auto"/>
            </w:tcBorders>
          </w:tcPr>
          <w:p w14:paraId="1DBFD9AB" w14:textId="77777777" w:rsidR="003B7D86" w:rsidRPr="00645EDC" w:rsidRDefault="003B7D86" w:rsidP="003B7D86">
            <w:pPr>
              <w:pStyle w:val="Style14"/>
              <w:widowControl/>
              <w:rPr>
                <w:sz w:val="22"/>
                <w:szCs w:val="22"/>
                <w:lang w:val="sk-SK"/>
              </w:rPr>
            </w:pPr>
          </w:p>
        </w:tc>
        <w:tc>
          <w:tcPr>
            <w:tcW w:w="2554" w:type="dxa"/>
            <w:tcBorders>
              <w:top w:val="single" w:sz="6" w:space="0" w:color="auto"/>
              <w:left w:val="single" w:sz="6" w:space="0" w:color="auto"/>
              <w:bottom w:val="single" w:sz="6" w:space="0" w:color="auto"/>
              <w:right w:val="single" w:sz="6" w:space="0" w:color="auto"/>
            </w:tcBorders>
          </w:tcPr>
          <w:p w14:paraId="640E278C" w14:textId="77777777" w:rsidR="003B7D86" w:rsidRPr="00645EDC" w:rsidRDefault="003B7D86" w:rsidP="003B7D86">
            <w:pPr>
              <w:pStyle w:val="Style20"/>
              <w:widowControl/>
              <w:spacing w:line="240" w:lineRule="auto"/>
              <w:ind w:left="10" w:right="1469" w:hanging="10"/>
              <w:rPr>
                <w:rStyle w:val="FontStyle33"/>
                <w:sz w:val="22"/>
                <w:szCs w:val="22"/>
                <w:lang w:val="sk-SK" w:eastAsia="es-ES_tradnl"/>
              </w:rPr>
            </w:pPr>
            <w:r w:rsidRPr="00645EDC">
              <w:rPr>
                <w:rStyle w:val="FontStyle33"/>
                <w:sz w:val="22"/>
                <w:szCs w:val="22"/>
                <w:lang w:val="sk-SK" w:eastAsia="es-ES_tradnl"/>
              </w:rPr>
              <w:t xml:space="preserve">Placebo </w:t>
            </w:r>
          </w:p>
          <w:p w14:paraId="0E100911" w14:textId="77777777" w:rsidR="003B7D86" w:rsidRPr="00645EDC" w:rsidRDefault="003B7D86" w:rsidP="003B7D86">
            <w:pPr>
              <w:pStyle w:val="Style20"/>
              <w:widowControl/>
              <w:spacing w:line="240" w:lineRule="auto"/>
              <w:ind w:left="10" w:right="1469" w:hanging="10"/>
              <w:rPr>
                <w:rStyle w:val="FontStyle33"/>
                <w:sz w:val="22"/>
                <w:szCs w:val="22"/>
                <w:lang w:val="sk-SK" w:eastAsia="es-ES_tradnl"/>
              </w:rPr>
            </w:pPr>
            <w:r w:rsidRPr="00645EDC">
              <w:rPr>
                <w:rStyle w:val="FontStyle33"/>
                <w:sz w:val="22"/>
                <w:szCs w:val="22"/>
                <w:lang w:val="sk-SK" w:eastAsia="es-ES_tradnl"/>
              </w:rPr>
              <w:t>(N = 587)</w:t>
            </w:r>
          </w:p>
        </w:tc>
        <w:tc>
          <w:tcPr>
            <w:tcW w:w="2880" w:type="dxa"/>
            <w:tcBorders>
              <w:top w:val="single" w:sz="6" w:space="0" w:color="auto"/>
              <w:left w:val="single" w:sz="6" w:space="0" w:color="auto"/>
              <w:bottom w:val="single" w:sz="6" w:space="0" w:color="auto"/>
              <w:right w:val="single" w:sz="6" w:space="0" w:color="auto"/>
            </w:tcBorders>
          </w:tcPr>
          <w:p w14:paraId="18389789" w14:textId="77777777" w:rsidR="003B7D86" w:rsidRPr="00645EDC" w:rsidRDefault="003B7D86" w:rsidP="003B7D86">
            <w:pPr>
              <w:pStyle w:val="Style20"/>
              <w:widowControl/>
              <w:spacing w:line="240" w:lineRule="auto"/>
              <w:ind w:left="10" w:hanging="10"/>
              <w:rPr>
                <w:rStyle w:val="FontStyle33"/>
                <w:sz w:val="22"/>
                <w:szCs w:val="22"/>
                <w:lang w:val="sk-SK" w:eastAsia="es-ES_tradnl"/>
              </w:rPr>
            </w:pPr>
            <w:r w:rsidRPr="00645EDC">
              <w:rPr>
                <w:rStyle w:val="FontStyle33"/>
                <w:sz w:val="22"/>
                <w:szCs w:val="22"/>
                <w:lang w:val="sk-SK" w:eastAsia="es-ES_tradnl"/>
              </w:rPr>
              <w:t>kyselina ibandrónová 2,5 mg raz denne (N = 575)</w:t>
            </w:r>
          </w:p>
        </w:tc>
      </w:tr>
      <w:tr w:rsidR="003B7D86" w:rsidRPr="00645EDC" w14:paraId="20454409" w14:textId="77777777" w:rsidTr="003B7D86">
        <w:tc>
          <w:tcPr>
            <w:tcW w:w="3547" w:type="dxa"/>
            <w:tcBorders>
              <w:top w:val="single" w:sz="6" w:space="0" w:color="auto"/>
              <w:left w:val="single" w:sz="6" w:space="0" w:color="auto"/>
              <w:bottom w:val="single" w:sz="6" w:space="0" w:color="auto"/>
              <w:right w:val="single" w:sz="6" w:space="0" w:color="auto"/>
            </w:tcBorders>
          </w:tcPr>
          <w:p w14:paraId="5D0D3B71" w14:textId="77777777" w:rsidR="003B7D86" w:rsidRPr="00645EDC" w:rsidRDefault="003B7D86" w:rsidP="003B7D86">
            <w:pPr>
              <w:pStyle w:val="Style20"/>
              <w:widowControl/>
              <w:spacing w:line="240" w:lineRule="auto"/>
              <w:rPr>
                <w:rStyle w:val="FontStyle33"/>
                <w:sz w:val="22"/>
                <w:szCs w:val="22"/>
                <w:lang w:val="sk-SK" w:eastAsia="es-ES_tradnl"/>
              </w:rPr>
            </w:pPr>
            <w:r w:rsidRPr="00645EDC">
              <w:rPr>
                <w:rStyle w:val="FontStyle33"/>
                <w:sz w:val="22"/>
                <w:szCs w:val="22"/>
                <w:lang w:val="sk-SK" w:eastAsia="es-ES_tradnl"/>
              </w:rPr>
              <w:t>Zníženie relatívneho rizika výskytu nových morfometrických vertebrálnych fraktúr</w:t>
            </w:r>
          </w:p>
        </w:tc>
        <w:tc>
          <w:tcPr>
            <w:tcW w:w="2554" w:type="dxa"/>
            <w:tcBorders>
              <w:top w:val="single" w:sz="6" w:space="0" w:color="auto"/>
              <w:left w:val="single" w:sz="6" w:space="0" w:color="auto"/>
              <w:bottom w:val="single" w:sz="6" w:space="0" w:color="auto"/>
              <w:right w:val="single" w:sz="6" w:space="0" w:color="auto"/>
            </w:tcBorders>
          </w:tcPr>
          <w:p w14:paraId="5FAE3DF5" w14:textId="77777777" w:rsidR="003B7D86" w:rsidRPr="00645EDC" w:rsidRDefault="003B7D86" w:rsidP="003B7D86">
            <w:pPr>
              <w:pStyle w:val="Style14"/>
              <w:widowControl/>
              <w:rPr>
                <w:sz w:val="22"/>
                <w:szCs w:val="22"/>
                <w:lang w:val="sk-SK"/>
              </w:rPr>
            </w:pPr>
          </w:p>
        </w:tc>
        <w:tc>
          <w:tcPr>
            <w:tcW w:w="2880" w:type="dxa"/>
            <w:tcBorders>
              <w:top w:val="single" w:sz="6" w:space="0" w:color="auto"/>
              <w:left w:val="single" w:sz="6" w:space="0" w:color="auto"/>
              <w:bottom w:val="single" w:sz="6" w:space="0" w:color="auto"/>
              <w:right w:val="single" w:sz="6" w:space="0" w:color="auto"/>
            </w:tcBorders>
          </w:tcPr>
          <w:p w14:paraId="3A8BCD06" w14:textId="715B968D" w:rsidR="003B7D86" w:rsidRPr="00645EDC" w:rsidRDefault="003B7D86">
            <w:pPr>
              <w:pStyle w:val="Style20"/>
              <w:widowControl/>
              <w:spacing w:line="240" w:lineRule="auto"/>
              <w:rPr>
                <w:rStyle w:val="FontStyle33"/>
                <w:sz w:val="22"/>
                <w:szCs w:val="22"/>
                <w:lang w:val="sk-SK" w:eastAsia="es-ES_tradnl"/>
              </w:rPr>
            </w:pPr>
            <w:r w:rsidRPr="00645EDC">
              <w:rPr>
                <w:rStyle w:val="FontStyle33"/>
                <w:sz w:val="22"/>
                <w:szCs w:val="22"/>
                <w:lang w:val="sk-SK" w:eastAsia="es-ES_tradnl"/>
              </w:rPr>
              <w:t>59 % (34,5</w:t>
            </w:r>
            <w:r w:rsidR="002D23FD" w:rsidRPr="00645EDC">
              <w:rPr>
                <w:rStyle w:val="FontStyle33"/>
                <w:sz w:val="22"/>
                <w:szCs w:val="22"/>
                <w:lang w:val="sk-SK" w:eastAsia="es-ES_tradnl"/>
              </w:rPr>
              <w:t>;</w:t>
            </w:r>
            <w:r w:rsidRPr="00645EDC">
              <w:rPr>
                <w:rStyle w:val="FontStyle33"/>
                <w:sz w:val="22"/>
                <w:szCs w:val="22"/>
                <w:lang w:val="sk-SK" w:eastAsia="es-ES_tradnl"/>
              </w:rPr>
              <w:t xml:space="preserve"> 74,3)</w:t>
            </w:r>
          </w:p>
        </w:tc>
      </w:tr>
      <w:tr w:rsidR="003B7D86" w:rsidRPr="00645EDC" w14:paraId="3C448A06" w14:textId="77777777" w:rsidTr="003B7D86">
        <w:tc>
          <w:tcPr>
            <w:tcW w:w="3547" w:type="dxa"/>
            <w:tcBorders>
              <w:top w:val="single" w:sz="6" w:space="0" w:color="auto"/>
              <w:left w:val="single" w:sz="6" w:space="0" w:color="auto"/>
              <w:bottom w:val="single" w:sz="6" w:space="0" w:color="auto"/>
              <w:right w:val="single" w:sz="6" w:space="0" w:color="auto"/>
            </w:tcBorders>
          </w:tcPr>
          <w:p w14:paraId="1C4FD37B" w14:textId="77777777" w:rsidR="003B7D86" w:rsidRPr="00645EDC" w:rsidRDefault="003B7D86" w:rsidP="003B7D86">
            <w:pPr>
              <w:pStyle w:val="Style20"/>
              <w:widowControl/>
              <w:spacing w:line="240" w:lineRule="auto"/>
              <w:rPr>
                <w:rStyle w:val="FontStyle33"/>
                <w:sz w:val="22"/>
                <w:szCs w:val="22"/>
                <w:lang w:val="sk-SK" w:eastAsia="es-ES_tradnl"/>
              </w:rPr>
            </w:pPr>
            <w:r w:rsidRPr="00645EDC">
              <w:rPr>
                <w:rStyle w:val="FontStyle33"/>
                <w:sz w:val="22"/>
                <w:szCs w:val="22"/>
                <w:lang w:val="sk-SK" w:eastAsia="es-ES_tradnl"/>
              </w:rPr>
              <w:t>Výskyt nových morfometrických vertebrálnych fraktúr</w:t>
            </w:r>
          </w:p>
        </w:tc>
        <w:tc>
          <w:tcPr>
            <w:tcW w:w="2554" w:type="dxa"/>
            <w:tcBorders>
              <w:top w:val="single" w:sz="6" w:space="0" w:color="auto"/>
              <w:left w:val="single" w:sz="6" w:space="0" w:color="auto"/>
              <w:bottom w:val="single" w:sz="6" w:space="0" w:color="auto"/>
              <w:right w:val="single" w:sz="6" w:space="0" w:color="auto"/>
            </w:tcBorders>
          </w:tcPr>
          <w:p w14:paraId="3D70D0BA" w14:textId="61AB8FC3" w:rsidR="003B7D86" w:rsidRPr="00645EDC" w:rsidRDefault="003B7D86">
            <w:pPr>
              <w:pStyle w:val="Style20"/>
              <w:widowControl/>
              <w:spacing w:line="240" w:lineRule="auto"/>
              <w:rPr>
                <w:rStyle w:val="FontStyle33"/>
                <w:sz w:val="22"/>
                <w:szCs w:val="22"/>
                <w:lang w:val="sk-SK" w:eastAsia="es-ES_tradnl"/>
              </w:rPr>
            </w:pPr>
            <w:r w:rsidRPr="00645EDC">
              <w:rPr>
                <w:rStyle w:val="FontStyle33"/>
                <w:sz w:val="22"/>
                <w:szCs w:val="22"/>
                <w:lang w:val="sk-SK" w:eastAsia="es-ES_tradnl"/>
              </w:rPr>
              <w:t>12,54 % (9,53</w:t>
            </w:r>
            <w:r w:rsidR="002D23FD" w:rsidRPr="00645EDC">
              <w:rPr>
                <w:rStyle w:val="FontStyle33"/>
                <w:sz w:val="22"/>
                <w:szCs w:val="22"/>
                <w:lang w:val="sk-SK" w:eastAsia="es-ES_tradnl"/>
              </w:rPr>
              <w:t>;</w:t>
            </w:r>
            <w:r w:rsidRPr="00645EDC">
              <w:rPr>
                <w:rStyle w:val="FontStyle33"/>
                <w:sz w:val="22"/>
                <w:szCs w:val="22"/>
                <w:lang w:val="sk-SK" w:eastAsia="es-ES_tradnl"/>
              </w:rPr>
              <w:t xml:space="preserve"> 15,55)</w:t>
            </w:r>
          </w:p>
        </w:tc>
        <w:tc>
          <w:tcPr>
            <w:tcW w:w="2880" w:type="dxa"/>
            <w:tcBorders>
              <w:top w:val="single" w:sz="6" w:space="0" w:color="auto"/>
              <w:left w:val="single" w:sz="6" w:space="0" w:color="auto"/>
              <w:bottom w:val="single" w:sz="6" w:space="0" w:color="auto"/>
              <w:right w:val="single" w:sz="6" w:space="0" w:color="auto"/>
            </w:tcBorders>
          </w:tcPr>
          <w:p w14:paraId="2C044E82" w14:textId="0DB72574" w:rsidR="003B7D86" w:rsidRPr="00645EDC" w:rsidRDefault="003B7D86">
            <w:pPr>
              <w:pStyle w:val="Style20"/>
              <w:widowControl/>
              <w:spacing w:line="240" w:lineRule="auto"/>
              <w:rPr>
                <w:rStyle w:val="FontStyle33"/>
                <w:sz w:val="22"/>
                <w:szCs w:val="22"/>
                <w:lang w:val="sk-SK" w:eastAsia="es-ES_tradnl"/>
              </w:rPr>
            </w:pPr>
            <w:r w:rsidRPr="00645EDC">
              <w:rPr>
                <w:rStyle w:val="FontStyle33"/>
                <w:sz w:val="22"/>
                <w:szCs w:val="22"/>
                <w:lang w:val="sk-SK" w:eastAsia="es-ES_tradnl"/>
              </w:rPr>
              <w:t>5,36 % (3,31</w:t>
            </w:r>
            <w:r w:rsidR="002D23FD" w:rsidRPr="00645EDC">
              <w:rPr>
                <w:rStyle w:val="FontStyle33"/>
                <w:sz w:val="22"/>
                <w:szCs w:val="22"/>
                <w:lang w:val="sk-SK" w:eastAsia="es-ES_tradnl"/>
              </w:rPr>
              <w:t>;</w:t>
            </w:r>
            <w:r w:rsidRPr="00645EDC">
              <w:rPr>
                <w:rStyle w:val="FontStyle33"/>
                <w:sz w:val="22"/>
                <w:szCs w:val="22"/>
                <w:lang w:val="sk-SK" w:eastAsia="es-ES_tradnl"/>
              </w:rPr>
              <w:t xml:space="preserve"> 7,41)</w:t>
            </w:r>
          </w:p>
        </w:tc>
      </w:tr>
      <w:tr w:rsidR="003B7D86" w:rsidRPr="00645EDC" w14:paraId="0CC4CCDA" w14:textId="77777777" w:rsidTr="003B7D86">
        <w:tc>
          <w:tcPr>
            <w:tcW w:w="3547" w:type="dxa"/>
            <w:tcBorders>
              <w:top w:val="single" w:sz="6" w:space="0" w:color="auto"/>
              <w:left w:val="single" w:sz="6" w:space="0" w:color="auto"/>
              <w:bottom w:val="single" w:sz="6" w:space="0" w:color="auto"/>
              <w:right w:val="single" w:sz="6" w:space="0" w:color="auto"/>
            </w:tcBorders>
          </w:tcPr>
          <w:p w14:paraId="2C6FD5E2" w14:textId="77777777" w:rsidR="003B7D86" w:rsidRPr="00645EDC" w:rsidRDefault="003B7D86" w:rsidP="003B7D86">
            <w:pPr>
              <w:pStyle w:val="Style20"/>
              <w:widowControl/>
              <w:spacing w:line="240" w:lineRule="auto"/>
              <w:rPr>
                <w:rStyle w:val="FontStyle33"/>
                <w:sz w:val="22"/>
                <w:szCs w:val="22"/>
                <w:lang w:val="sk-SK" w:eastAsia="es-ES_tradnl"/>
              </w:rPr>
            </w:pPr>
            <w:r w:rsidRPr="00645EDC">
              <w:rPr>
                <w:rStyle w:val="FontStyle33"/>
                <w:sz w:val="22"/>
                <w:szCs w:val="22"/>
                <w:lang w:val="sk-SK" w:eastAsia="es-ES_tradnl"/>
              </w:rPr>
              <w:t>Zníženie relatívneho rizika klinickej vertebrálnej fraktúry</w:t>
            </w:r>
          </w:p>
        </w:tc>
        <w:tc>
          <w:tcPr>
            <w:tcW w:w="2554" w:type="dxa"/>
            <w:tcBorders>
              <w:top w:val="single" w:sz="6" w:space="0" w:color="auto"/>
              <w:left w:val="single" w:sz="6" w:space="0" w:color="auto"/>
              <w:bottom w:val="single" w:sz="6" w:space="0" w:color="auto"/>
              <w:right w:val="single" w:sz="6" w:space="0" w:color="auto"/>
            </w:tcBorders>
          </w:tcPr>
          <w:p w14:paraId="596D0070" w14:textId="77777777" w:rsidR="003B7D86" w:rsidRPr="00645EDC" w:rsidRDefault="003B7D86" w:rsidP="003B7D86">
            <w:pPr>
              <w:pStyle w:val="Style14"/>
              <w:widowControl/>
              <w:rPr>
                <w:sz w:val="22"/>
                <w:szCs w:val="22"/>
                <w:lang w:val="sk-SK"/>
              </w:rPr>
            </w:pPr>
          </w:p>
        </w:tc>
        <w:tc>
          <w:tcPr>
            <w:tcW w:w="2880" w:type="dxa"/>
            <w:tcBorders>
              <w:top w:val="single" w:sz="6" w:space="0" w:color="auto"/>
              <w:left w:val="single" w:sz="6" w:space="0" w:color="auto"/>
              <w:bottom w:val="single" w:sz="6" w:space="0" w:color="auto"/>
              <w:right w:val="single" w:sz="6" w:space="0" w:color="auto"/>
            </w:tcBorders>
          </w:tcPr>
          <w:p w14:paraId="45B6B183" w14:textId="46247F0C" w:rsidR="003B7D86" w:rsidRPr="00645EDC" w:rsidRDefault="003B7D86">
            <w:pPr>
              <w:pStyle w:val="Style20"/>
              <w:widowControl/>
              <w:spacing w:line="240" w:lineRule="auto"/>
              <w:rPr>
                <w:rStyle w:val="FontStyle33"/>
                <w:sz w:val="22"/>
                <w:szCs w:val="22"/>
                <w:lang w:val="sk-SK" w:eastAsia="es-ES_tradnl"/>
              </w:rPr>
            </w:pPr>
            <w:r w:rsidRPr="00645EDC">
              <w:rPr>
                <w:rStyle w:val="FontStyle33"/>
                <w:sz w:val="22"/>
                <w:szCs w:val="22"/>
                <w:lang w:val="sk-SK" w:eastAsia="es-ES_tradnl"/>
              </w:rPr>
              <w:t>50 % (9,49</w:t>
            </w:r>
            <w:r w:rsidR="002D23FD" w:rsidRPr="00645EDC">
              <w:rPr>
                <w:rStyle w:val="FontStyle33"/>
                <w:sz w:val="22"/>
                <w:szCs w:val="22"/>
                <w:lang w:val="sk-SK" w:eastAsia="es-ES_tradnl"/>
              </w:rPr>
              <w:t>;</w:t>
            </w:r>
            <w:r w:rsidRPr="00645EDC">
              <w:rPr>
                <w:rStyle w:val="FontStyle33"/>
                <w:sz w:val="22"/>
                <w:szCs w:val="22"/>
                <w:lang w:val="sk-SK" w:eastAsia="es-ES_tradnl"/>
              </w:rPr>
              <w:t xml:space="preserve"> 71,91)</w:t>
            </w:r>
          </w:p>
        </w:tc>
      </w:tr>
      <w:tr w:rsidR="003B7D86" w:rsidRPr="00645EDC" w14:paraId="5571D546" w14:textId="77777777" w:rsidTr="003B7D86">
        <w:tc>
          <w:tcPr>
            <w:tcW w:w="3547" w:type="dxa"/>
            <w:tcBorders>
              <w:top w:val="single" w:sz="6" w:space="0" w:color="auto"/>
              <w:left w:val="single" w:sz="6" w:space="0" w:color="auto"/>
              <w:bottom w:val="single" w:sz="6" w:space="0" w:color="auto"/>
              <w:right w:val="single" w:sz="6" w:space="0" w:color="auto"/>
            </w:tcBorders>
          </w:tcPr>
          <w:p w14:paraId="74F38E00" w14:textId="77777777" w:rsidR="003B7D86" w:rsidRPr="00645EDC" w:rsidRDefault="003B7D86" w:rsidP="003B7D86">
            <w:pPr>
              <w:pStyle w:val="Style20"/>
              <w:widowControl/>
              <w:spacing w:line="240" w:lineRule="auto"/>
              <w:rPr>
                <w:rStyle w:val="FontStyle33"/>
                <w:sz w:val="22"/>
                <w:szCs w:val="22"/>
                <w:lang w:val="sk-SK" w:eastAsia="es-ES_tradnl"/>
              </w:rPr>
            </w:pPr>
            <w:r w:rsidRPr="00645EDC">
              <w:rPr>
                <w:rStyle w:val="FontStyle33"/>
                <w:sz w:val="22"/>
                <w:szCs w:val="22"/>
                <w:lang w:val="sk-SK" w:eastAsia="es-ES_tradnl"/>
              </w:rPr>
              <w:t>Výskyt klinickej vertebrálnej fraktúry</w:t>
            </w:r>
          </w:p>
        </w:tc>
        <w:tc>
          <w:tcPr>
            <w:tcW w:w="2554" w:type="dxa"/>
            <w:tcBorders>
              <w:top w:val="single" w:sz="6" w:space="0" w:color="auto"/>
              <w:left w:val="single" w:sz="6" w:space="0" w:color="auto"/>
              <w:bottom w:val="single" w:sz="6" w:space="0" w:color="auto"/>
              <w:right w:val="single" w:sz="6" w:space="0" w:color="auto"/>
            </w:tcBorders>
          </w:tcPr>
          <w:p w14:paraId="3E9B88CA" w14:textId="012ADA23" w:rsidR="003B7D86" w:rsidRPr="00645EDC" w:rsidRDefault="003B7D86">
            <w:pPr>
              <w:pStyle w:val="Style20"/>
              <w:widowControl/>
              <w:spacing w:line="240" w:lineRule="auto"/>
              <w:rPr>
                <w:rStyle w:val="FontStyle33"/>
                <w:sz w:val="22"/>
                <w:szCs w:val="22"/>
                <w:lang w:val="sk-SK" w:eastAsia="es-ES_tradnl"/>
              </w:rPr>
            </w:pPr>
            <w:r w:rsidRPr="00645EDC">
              <w:rPr>
                <w:rStyle w:val="FontStyle33"/>
                <w:sz w:val="22"/>
                <w:szCs w:val="22"/>
                <w:lang w:val="sk-SK" w:eastAsia="es-ES_tradnl"/>
              </w:rPr>
              <w:t>6,97 % (4,67</w:t>
            </w:r>
            <w:r w:rsidR="002D23FD" w:rsidRPr="00645EDC">
              <w:rPr>
                <w:rStyle w:val="FontStyle33"/>
                <w:sz w:val="22"/>
                <w:szCs w:val="22"/>
                <w:lang w:val="sk-SK" w:eastAsia="es-ES_tradnl"/>
              </w:rPr>
              <w:t>;</w:t>
            </w:r>
            <w:r w:rsidRPr="00645EDC">
              <w:rPr>
                <w:rStyle w:val="FontStyle33"/>
                <w:sz w:val="22"/>
                <w:szCs w:val="22"/>
                <w:lang w:val="sk-SK" w:eastAsia="es-ES_tradnl"/>
              </w:rPr>
              <w:t xml:space="preserve"> 9,27)</w:t>
            </w:r>
          </w:p>
        </w:tc>
        <w:tc>
          <w:tcPr>
            <w:tcW w:w="2880" w:type="dxa"/>
            <w:tcBorders>
              <w:top w:val="single" w:sz="6" w:space="0" w:color="auto"/>
              <w:left w:val="single" w:sz="6" w:space="0" w:color="auto"/>
              <w:bottom w:val="single" w:sz="6" w:space="0" w:color="auto"/>
              <w:right w:val="single" w:sz="6" w:space="0" w:color="auto"/>
            </w:tcBorders>
          </w:tcPr>
          <w:p w14:paraId="6FDB91B6" w14:textId="63FF1DF8" w:rsidR="003B7D86" w:rsidRPr="00645EDC" w:rsidRDefault="003B7D86">
            <w:pPr>
              <w:pStyle w:val="Style20"/>
              <w:widowControl/>
              <w:spacing w:line="240" w:lineRule="auto"/>
              <w:rPr>
                <w:rStyle w:val="FontStyle33"/>
                <w:sz w:val="22"/>
                <w:szCs w:val="22"/>
                <w:lang w:val="sk-SK" w:eastAsia="es-ES_tradnl"/>
              </w:rPr>
            </w:pPr>
            <w:r w:rsidRPr="00645EDC">
              <w:rPr>
                <w:rStyle w:val="FontStyle33"/>
                <w:sz w:val="22"/>
                <w:szCs w:val="22"/>
                <w:lang w:val="sk-SK" w:eastAsia="es-ES_tradnl"/>
              </w:rPr>
              <w:t>3,57 % (1,89</w:t>
            </w:r>
            <w:r w:rsidR="002D23FD" w:rsidRPr="00645EDC">
              <w:rPr>
                <w:rStyle w:val="FontStyle33"/>
                <w:sz w:val="22"/>
                <w:szCs w:val="22"/>
                <w:lang w:val="sk-SK" w:eastAsia="es-ES_tradnl"/>
              </w:rPr>
              <w:t>;</w:t>
            </w:r>
            <w:r w:rsidRPr="00645EDC">
              <w:rPr>
                <w:rStyle w:val="FontStyle33"/>
                <w:sz w:val="22"/>
                <w:szCs w:val="22"/>
                <w:lang w:val="sk-SK" w:eastAsia="es-ES_tradnl"/>
              </w:rPr>
              <w:t xml:space="preserve"> 5,24)</w:t>
            </w:r>
          </w:p>
        </w:tc>
      </w:tr>
      <w:tr w:rsidR="003B7D86" w:rsidRPr="00645EDC" w14:paraId="23293829" w14:textId="77777777" w:rsidTr="003B7D86">
        <w:tc>
          <w:tcPr>
            <w:tcW w:w="3547" w:type="dxa"/>
            <w:tcBorders>
              <w:top w:val="single" w:sz="6" w:space="0" w:color="auto"/>
              <w:left w:val="single" w:sz="6" w:space="0" w:color="auto"/>
              <w:bottom w:val="single" w:sz="6" w:space="0" w:color="auto"/>
              <w:right w:val="single" w:sz="6" w:space="0" w:color="auto"/>
            </w:tcBorders>
          </w:tcPr>
          <w:p w14:paraId="0B0FB679" w14:textId="77777777" w:rsidR="003B7D86" w:rsidRPr="00645EDC" w:rsidRDefault="003B7D86" w:rsidP="003B7D86">
            <w:pPr>
              <w:pStyle w:val="Style20"/>
              <w:widowControl/>
              <w:spacing w:line="240" w:lineRule="auto"/>
              <w:ind w:firstLine="5"/>
              <w:rPr>
                <w:rStyle w:val="FontStyle33"/>
                <w:sz w:val="22"/>
                <w:szCs w:val="22"/>
                <w:lang w:val="sk-SK" w:eastAsia="es-ES_tradnl"/>
              </w:rPr>
            </w:pPr>
            <w:r w:rsidRPr="00645EDC">
              <w:rPr>
                <w:rStyle w:val="FontStyle33"/>
                <w:sz w:val="22"/>
                <w:szCs w:val="22"/>
                <w:lang w:val="sk-SK" w:eastAsia="es-ES_tradnl"/>
              </w:rPr>
              <w:t>BMD - priemerná zmena vzhľadom na východiskový stav driekovej chrbtice v 3. roku</w:t>
            </w:r>
          </w:p>
        </w:tc>
        <w:tc>
          <w:tcPr>
            <w:tcW w:w="2554" w:type="dxa"/>
            <w:tcBorders>
              <w:top w:val="single" w:sz="6" w:space="0" w:color="auto"/>
              <w:left w:val="single" w:sz="6" w:space="0" w:color="auto"/>
              <w:bottom w:val="single" w:sz="6" w:space="0" w:color="auto"/>
              <w:right w:val="single" w:sz="6" w:space="0" w:color="auto"/>
            </w:tcBorders>
          </w:tcPr>
          <w:p w14:paraId="74D803D7" w14:textId="4D2DA835" w:rsidR="003B7D86" w:rsidRPr="00645EDC" w:rsidRDefault="003B7D86">
            <w:pPr>
              <w:pStyle w:val="Style20"/>
              <w:widowControl/>
              <w:spacing w:line="240" w:lineRule="auto"/>
              <w:rPr>
                <w:rStyle w:val="FontStyle33"/>
                <w:sz w:val="22"/>
                <w:szCs w:val="22"/>
                <w:lang w:val="sk-SK" w:eastAsia="es-ES_tradnl"/>
              </w:rPr>
            </w:pPr>
            <w:r w:rsidRPr="00645EDC">
              <w:rPr>
                <w:rStyle w:val="FontStyle33"/>
                <w:sz w:val="22"/>
                <w:szCs w:val="22"/>
                <w:lang w:val="sk-SK" w:eastAsia="es-ES_tradnl"/>
              </w:rPr>
              <w:t>1,13 % (0,6</w:t>
            </w:r>
            <w:r w:rsidR="002D23FD" w:rsidRPr="00645EDC">
              <w:rPr>
                <w:rStyle w:val="FontStyle33"/>
                <w:sz w:val="22"/>
                <w:szCs w:val="22"/>
                <w:lang w:val="sk-SK" w:eastAsia="es-ES_tradnl"/>
              </w:rPr>
              <w:t>;</w:t>
            </w:r>
            <w:r w:rsidRPr="00645EDC">
              <w:rPr>
                <w:rStyle w:val="FontStyle33"/>
                <w:sz w:val="22"/>
                <w:szCs w:val="22"/>
                <w:lang w:val="sk-SK" w:eastAsia="es-ES_tradnl"/>
              </w:rPr>
              <w:t xml:space="preserve"> 1,7)</w:t>
            </w:r>
          </w:p>
        </w:tc>
        <w:tc>
          <w:tcPr>
            <w:tcW w:w="2880" w:type="dxa"/>
            <w:tcBorders>
              <w:top w:val="single" w:sz="6" w:space="0" w:color="auto"/>
              <w:left w:val="single" w:sz="6" w:space="0" w:color="auto"/>
              <w:bottom w:val="single" w:sz="6" w:space="0" w:color="auto"/>
              <w:right w:val="single" w:sz="6" w:space="0" w:color="auto"/>
            </w:tcBorders>
          </w:tcPr>
          <w:p w14:paraId="1E183EAD" w14:textId="6B9ADAE2" w:rsidR="003B7D86" w:rsidRPr="00645EDC" w:rsidRDefault="003B7D86">
            <w:pPr>
              <w:pStyle w:val="Style20"/>
              <w:widowControl/>
              <w:spacing w:line="240" w:lineRule="auto"/>
              <w:rPr>
                <w:rStyle w:val="FontStyle33"/>
                <w:sz w:val="22"/>
                <w:szCs w:val="22"/>
                <w:lang w:val="sk-SK" w:eastAsia="es-ES_tradnl"/>
              </w:rPr>
            </w:pPr>
            <w:r w:rsidRPr="00645EDC">
              <w:rPr>
                <w:rStyle w:val="FontStyle33"/>
                <w:sz w:val="22"/>
                <w:szCs w:val="22"/>
                <w:lang w:val="sk-SK" w:eastAsia="es-ES_tradnl"/>
              </w:rPr>
              <w:t>7,01 % (6,5</w:t>
            </w:r>
            <w:r w:rsidR="002D23FD" w:rsidRPr="00645EDC">
              <w:rPr>
                <w:rStyle w:val="FontStyle33"/>
                <w:sz w:val="22"/>
                <w:szCs w:val="22"/>
                <w:lang w:val="sk-SK" w:eastAsia="es-ES_tradnl"/>
              </w:rPr>
              <w:t>;</w:t>
            </w:r>
            <w:r w:rsidRPr="00645EDC">
              <w:rPr>
                <w:rStyle w:val="FontStyle33"/>
                <w:sz w:val="22"/>
                <w:szCs w:val="22"/>
                <w:lang w:val="sk-SK" w:eastAsia="es-ES_tradnl"/>
              </w:rPr>
              <w:t xml:space="preserve"> 7,6)</w:t>
            </w:r>
          </w:p>
        </w:tc>
      </w:tr>
      <w:tr w:rsidR="003B7D86" w:rsidRPr="00645EDC" w14:paraId="48C31727" w14:textId="77777777" w:rsidTr="003B7D86">
        <w:tc>
          <w:tcPr>
            <w:tcW w:w="3547" w:type="dxa"/>
            <w:tcBorders>
              <w:top w:val="single" w:sz="6" w:space="0" w:color="auto"/>
              <w:left w:val="single" w:sz="6" w:space="0" w:color="auto"/>
              <w:bottom w:val="single" w:sz="6" w:space="0" w:color="auto"/>
              <w:right w:val="single" w:sz="6" w:space="0" w:color="auto"/>
            </w:tcBorders>
          </w:tcPr>
          <w:p w14:paraId="7F5C310B" w14:textId="77777777" w:rsidR="003B7D86" w:rsidRPr="00645EDC" w:rsidRDefault="003B7D86" w:rsidP="003B7D86">
            <w:pPr>
              <w:pStyle w:val="Style20"/>
              <w:widowControl/>
              <w:spacing w:line="240" w:lineRule="auto"/>
              <w:ind w:firstLine="5"/>
              <w:rPr>
                <w:rStyle w:val="FontStyle33"/>
                <w:sz w:val="22"/>
                <w:szCs w:val="22"/>
                <w:lang w:val="sk-SK" w:eastAsia="es-ES_tradnl"/>
              </w:rPr>
            </w:pPr>
            <w:r w:rsidRPr="00645EDC">
              <w:rPr>
                <w:rStyle w:val="FontStyle33"/>
                <w:sz w:val="22"/>
                <w:szCs w:val="22"/>
                <w:lang w:val="sk-SK" w:eastAsia="es-ES_tradnl"/>
              </w:rPr>
              <w:t>BMD - priemerná zmena vzhľadom na východiskový stav bedrovej oblasti v 3. roku</w:t>
            </w:r>
          </w:p>
        </w:tc>
        <w:tc>
          <w:tcPr>
            <w:tcW w:w="2554" w:type="dxa"/>
            <w:tcBorders>
              <w:top w:val="single" w:sz="6" w:space="0" w:color="auto"/>
              <w:left w:val="single" w:sz="6" w:space="0" w:color="auto"/>
              <w:bottom w:val="single" w:sz="6" w:space="0" w:color="auto"/>
              <w:right w:val="single" w:sz="6" w:space="0" w:color="auto"/>
            </w:tcBorders>
          </w:tcPr>
          <w:p w14:paraId="0ED25D06" w14:textId="2ECC03F1" w:rsidR="003B7D86" w:rsidRPr="00645EDC" w:rsidRDefault="003B7D86">
            <w:pPr>
              <w:pStyle w:val="Style20"/>
              <w:widowControl/>
              <w:spacing w:line="240" w:lineRule="auto"/>
              <w:rPr>
                <w:rStyle w:val="FontStyle33"/>
                <w:sz w:val="22"/>
                <w:szCs w:val="22"/>
                <w:lang w:val="sk-SK" w:eastAsia="es-ES_tradnl"/>
              </w:rPr>
            </w:pPr>
            <w:r w:rsidRPr="00645EDC">
              <w:rPr>
                <w:rStyle w:val="FontStyle33"/>
                <w:sz w:val="22"/>
                <w:szCs w:val="22"/>
                <w:lang w:val="sk-SK" w:eastAsia="es-ES_tradnl"/>
              </w:rPr>
              <w:t>-0,70 % (-1,1</w:t>
            </w:r>
            <w:r w:rsidR="002D23FD" w:rsidRPr="00645EDC">
              <w:rPr>
                <w:rStyle w:val="FontStyle33"/>
                <w:sz w:val="22"/>
                <w:szCs w:val="22"/>
                <w:lang w:val="sk-SK" w:eastAsia="es-ES_tradnl"/>
              </w:rPr>
              <w:t>;</w:t>
            </w:r>
            <w:r w:rsidRPr="00645EDC">
              <w:rPr>
                <w:rStyle w:val="FontStyle33"/>
                <w:sz w:val="22"/>
                <w:szCs w:val="22"/>
                <w:lang w:val="sk-SK" w:eastAsia="es-ES_tradnl"/>
              </w:rPr>
              <w:t xml:space="preserve"> -0,2)</w:t>
            </w:r>
          </w:p>
        </w:tc>
        <w:tc>
          <w:tcPr>
            <w:tcW w:w="2880" w:type="dxa"/>
            <w:tcBorders>
              <w:top w:val="single" w:sz="6" w:space="0" w:color="auto"/>
              <w:left w:val="single" w:sz="6" w:space="0" w:color="auto"/>
              <w:bottom w:val="single" w:sz="6" w:space="0" w:color="auto"/>
              <w:right w:val="single" w:sz="6" w:space="0" w:color="auto"/>
            </w:tcBorders>
          </w:tcPr>
          <w:p w14:paraId="3747638E" w14:textId="63C0077F" w:rsidR="003B7D86" w:rsidRPr="00645EDC" w:rsidRDefault="003B7D86">
            <w:pPr>
              <w:pStyle w:val="Style20"/>
              <w:widowControl/>
              <w:spacing w:line="240" w:lineRule="auto"/>
              <w:rPr>
                <w:rStyle w:val="FontStyle33"/>
                <w:sz w:val="22"/>
                <w:szCs w:val="22"/>
                <w:lang w:val="sk-SK" w:eastAsia="es-ES_tradnl"/>
              </w:rPr>
            </w:pPr>
            <w:r w:rsidRPr="00645EDC">
              <w:rPr>
                <w:rStyle w:val="FontStyle33"/>
                <w:sz w:val="22"/>
                <w:szCs w:val="22"/>
                <w:lang w:val="sk-SK" w:eastAsia="es-ES_tradnl"/>
              </w:rPr>
              <w:t>3,59 % (3,1</w:t>
            </w:r>
            <w:r w:rsidR="002D23FD" w:rsidRPr="00645EDC">
              <w:rPr>
                <w:rStyle w:val="FontStyle33"/>
                <w:sz w:val="22"/>
                <w:szCs w:val="22"/>
                <w:lang w:val="sk-SK" w:eastAsia="es-ES_tradnl"/>
              </w:rPr>
              <w:t>;</w:t>
            </w:r>
            <w:r w:rsidRPr="00645EDC">
              <w:rPr>
                <w:rStyle w:val="FontStyle33"/>
                <w:sz w:val="22"/>
                <w:szCs w:val="22"/>
                <w:lang w:val="sk-SK" w:eastAsia="es-ES_tradnl"/>
              </w:rPr>
              <w:t xml:space="preserve"> 4,1)</w:t>
            </w:r>
          </w:p>
        </w:tc>
      </w:tr>
    </w:tbl>
    <w:p w14:paraId="7F5C0177" w14:textId="77777777" w:rsidR="003B7D86" w:rsidRPr="00645EDC" w:rsidRDefault="003B7D86" w:rsidP="003B7D86">
      <w:pPr>
        <w:pStyle w:val="Bezriadkovania1"/>
        <w:tabs>
          <w:tab w:val="left" w:pos="540"/>
        </w:tabs>
        <w:rPr>
          <w:rFonts w:ascii="Times New Roman" w:hAnsi="Times New Roman"/>
          <w:lang w:val="sk-SK"/>
        </w:rPr>
      </w:pPr>
    </w:p>
    <w:p w14:paraId="07B12B51" w14:textId="77777777" w:rsidR="003B7D86" w:rsidRPr="00645EDC" w:rsidRDefault="003B7D86" w:rsidP="003B7D86">
      <w:pPr>
        <w:pStyle w:val="Bezriadkovania1"/>
        <w:tabs>
          <w:tab w:val="left" w:pos="540"/>
        </w:tabs>
        <w:rPr>
          <w:rFonts w:ascii="Times New Roman" w:hAnsi="Times New Roman"/>
          <w:lang w:val="sk-SK"/>
        </w:rPr>
      </w:pPr>
    </w:p>
    <w:p w14:paraId="32D78A48" w14:textId="529CE464"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 xml:space="preserve">V celej populácii pacientov v štúdii MF4411 sa nezaznamenalo zníženie výskytu nevertebrálnych fraktúr, avšak </w:t>
      </w:r>
      <w:r w:rsidR="00B43CCE" w:rsidRPr="00645EDC">
        <w:rPr>
          <w:rStyle w:val="FontStyle33"/>
          <w:sz w:val="22"/>
          <w:szCs w:val="22"/>
          <w:lang w:val="sk-SK" w:eastAsia="es-ES_tradnl"/>
        </w:rPr>
        <w:t>denné podávanie</w:t>
      </w:r>
      <w:r w:rsidRPr="00645EDC">
        <w:rPr>
          <w:rStyle w:val="FontStyle33"/>
          <w:sz w:val="22"/>
          <w:szCs w:val="22"/>
          <w:lang w:val="sk-SK" w:eastAsia="es-ES_tradnl"/>
        </w:rPr>
        <w:t xml:space="preserve"> </w:t>
      </w:r>
      <w:r w:rsidR="00B43CCE" w:rsidRPr="00645EDC">
        <w:rPr>
          <w:rStyle w:val="FontStyle33"/>
          <w:sz w:val="22"/>
          <w:szCs w:val="22"/>
          <w:lang w:val="sk-SK" w:eastAsia="es-ES_tradnl"/>
        </w:rPr>
        <w:t xml:space="preserve">kyseliny ibandrónovej </w:t>
      </w:r>
      <w:r w:rsidRPr="00645EDC">
        <w:rPr>
          <w:rStyle w:val="FontStyle33"/>
          <w:sz w:val="22"/>
          <w:szCs w:val="22"/>
          <w:lang w:val="sk-SK" w:eastAsia="es-ES_tradnl"/>
        </w:rPr>
        <w:t xml:space="preserve">sa </w:t>
      </w:r>
      <w:r w:rsidR="00B43CCE" w:rsidRPr="00645EDC">
        <w:rPr>
          <w:rStyle w:val="FontStyle33"/>
          <w:sz w:val="22"/>
          <w:szCs w:val="22"/>
          <w:lang w:val="sk-SK" w:eastAsia="es-ES_tradnl"/>
        </w:rPr>
        <w:t xml:space="preserve">zdalo byť účinné </w:t>
      </w:r>
      <w:r w:rsidRPr="00645EDC">
        <w:rPr>
          <w:rStyle w:val="FontStyle33"/>
          <w:sz w:val="22"/>
          <w:szCs w:val="22"/>
          <w:lang w:val="sk-SK" w:eastAsia="es-ES_tradnl"/>
        </w:rPr>
        <w:t>u vysoko rizikovej podskupiny (s hodnotami T-skóre BMD stehnového krčku &lt; -3,0), kde sa zaznamenalo zníženie rizika nevertebrálnych fraktúr o 69%.</w:t>
      </w:r>
    </w:p>
    <w:p w14:paraId="11E0CD6B" w14:textId="77777777" w:rsidR="003B7D86" w:rsidRPr="00645EDC" w:rsidRDefault="003B7D86" w:rsidP="003B7D86">
      <w:pPr>
        <w:pStyle w:val="Style9"/>
        <w:widowControl/>
        <w:spacing w:line="240" w:lineRule="auto"/>
        <w:rPr>
          <w:sz w:val="22"/>
          <w:szCs w:val="22"/>
          <w:lang w:val="sk-SK"/>
        </w:rPr>
      </w:pPr>
    </w:p>
    <w:p w14:paraId="78352C81" w14:textId="77777777"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Denná liečba v dávke 2,5 mg mala za následok progresívny nárast BMD na vertebrálnych i nevertebrálnych miestach kostry.</w:t>
      </w:r>
    </w:p>
    <w:p w14:paraId="2AF93844" w14:textId="77777777" w:rsidR="003B7D86" w:rsidRPr="00645EDC" w:rsidRDefault="003B7D86" w:rsidP="003B7D86">
      <w:pPr>
        <w:pStyle w:val="Style9"/>
        <w:widowControl/>
        <w:spacing w:line="240" w:lineRule="auto"/>
        <w:rPr>
          <w:sz w:val="22"/>
          <w:szCs w:val="22"/>
          <w:lang w:val="sk-SK"/>
        </w:rPr>
      </w:pPr>
    </w:p>
    <w:p w14:paraId="35F055A8" w14:textId="77777777"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Nárast BMD driekovej chrbtice počas troch rokov v porovnaní s placebom bol 5,3 % a 6,5 %</w:t>
      </w:r>
    </w:p>
    <w:p w14:paraId="6012D669" w14:textId="77777777"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v porovnaní s východiskovým stavom. Nárast v bedrovej oblasti, v mieste stehnového krčku</w:t>
      </w:r>
    </w:p>
    <w:p w14:paraId="4DB865D1" w14:textId="77777777" w:rsidR="003B7D86" w:rsidRPr="00645EDC" w:rsidRDefault="003B7D86" w:rsidP="003B7D86">
      <w:pPr>
        <w:pStyle w:val="Style9"/>
        <w:widowControl/>
        <w:spacing w:line="240" w:lineRule="auto"/>
        <w:jc w:val="both"/>
        <w:rPr>
          <w:rStyle w:val="FontStyle33"/>
          <w:sz w:val="22"/>
          <w:szCs w:val="22"/>
          <w:lang w:val="sk-SK" w:eastAsia="es-ES_tradnl"/>
        </w:rPr>
      </w:pPr>
      <w:r w:rsidRPr="00645EDC">
        <w:rPr>
          <w:rStyle w:val="FontStyle33"/>
          <w:sz w:val="22"/>
          <w:szCs w:val="22"/>
          <w:lang w:val="sk-SK" w:eastAsia="es-ES_tradnl"/>
        </w:rPr>
        <w:t>v porovnaní s východiskovým bodom bol 2,8 %, v celej bedrovej oblasti 3,4 % a 5,5 % v trochanteri.</w:t>
      </w:r>
    </w:p>
    <w:p w14:paraId="760A4FC7" w14:textId="332A2163" w:rsidR="003B7D86" w:rsidRPr="00645EDC" w:rsidRDefault="003B7D86" w:rsidP="00005320">
      <w:pPr>
        <w:pStyle w:val="Style9"/>
        <w:widowControl/>
        <w:spacing w:line="240" w:lineRule="auto"/>
        <w:jc w:val="both"/>
        <w:rPr>
          <w:rStyle w:val="FontStyle33"/>
          <w:sz w:val="22"/>
          <w:szCs w:val="22"/>
          <w:lang w:val="sk-SK" w:eastAsia="es-ES_tradnl"/>
        </w:rPr>
      </w:pPr>
      <w:r w:rsidRPr="00645EDC">
        <w:rPr>
          <w:rStyle w:val="FontStyle33"/>
          <w:sz w:val="22"/>
          <w:szCs w:val="22"/>
          <w:lang w:val="sk-SK" w:eastAsia="es-ES_tradnl"/>
        </w:rPr>
        <w:t xml:space="preserve">Biochemické markery kostného </w:t>
      </w:r>
      <w:r w:rsidR="005B6D67" w:rsidRPr="00645EDC">
        <w:rPr>
          <w:rStyle w:val="FontStyle33"/>
          <w:sz w:val="22"/>
          <w:szCs w:val="22"/>
          <w:lang w:val="sk-SK" w:eastAsia="es-ES_tradnl"/>
        </w:rPr>
        <w:t xml:space="preserve">obratu </w:t>
      </w:r>
      <w:r w:rsidRPr="00645EDC">
        <w:rPr>
          <w:rStyle w:val="FontStyle33"/>
          <w:sz w:val="22"/>
          <w:szCs w:val="22"/>
          <w:lang w:val="sk-SK" w:eastAsia="es-ES_tradnl"/>
        </w:rPr>
        <w:t>(napríklad urinárny CTX a sérový osteokalcín) dokázali</w:t>
      </w:r>
      <w:r w:rsidR="005B6D67" w:rsidRPr="00645EDC">
        <w:rPr>
          <w:rStyle w:val="FontStyle33"/>
          <w:sz w:val="22"/>
          <w:szCs w:val="22"/>
          <w:lang w:val="sk-SK" w:eastAsia="es-ES_tradnl"/>
        </w:rPr>
        <w:t xml:space="preserve"> </w:t>
      </w:r>
      <w:r w:rsidRPr="00645EDC">
        <w:rPr>
          <w:rStyle w:val="FontStyle33"/>
          <w:sz w:val="22"/>
          <w:szCs w:val="22"/>
          <w:lang w:val="sk-SK" w:eastAsia="es-ES_tradnl"/>
        </w:rPr>
        <w:t>očakávan</w:t>
      </w:r>
      <w:r w:rsidR="005B6D67" w:rsidRPr="00645EDC">
        <w:rPr>
          <w:rStyle w:val="FontStyle33"/>
          <w:sz w:val="22"/>
          <w:szCs w:val="22"/>
          <w:lang w:val="sk-SK" w:eastAsia="es-ES_tradnl"/>
        </w:rPr>
        <w:t>ý model</w:t>
      </w:r>
      <w:r w:rsidRPr="00645EDC">
        <w:rPr>
          <w:rStyle w:val="FontStyle33"/>
          <w:sz w:val="22"/>
          <w:szCs w:val="22"/>
          <w:lang w:val="sk-SK" w:eastAsia="es-ES_tradnl"/>
        </w:rPr>
        <w:t xml:space="preserve"> </w:t>
      </w:r>
      <w:r w:rsidR="005B6D67" w:rsidRPr="00645EDC">
        <w:rPr>
          <w:rStyle w:val="FontStyle33"/>
          <w:sz w:val="22"/>
          <w:szCs w:val="22"/>
          <w:lang w:val="sk-SK" w:eastAsia="es-ES_tradnl"/>
        </w:rPr>
        <w:t xml:space="preserve">supresie </w:t>
      </w:r>
      <w:r w:rsidRPr="00645EDC">
        <w:rPr>
          <w:rStyle w:val="FontStyle33"/>
          <w:sz w:val="22"/>
          <w:szCs w:val="22"/>
          <w:lang w:val="sk-SK" w:eastAsia="es-ES_tradnl"/>
        </w:rPr>
        <w:t>až po hladiny pred menopauzou a</w:t>
      </w:r>
      <w:r w:rsidR="005B6D67" w:rsidRPr="00645EDC">
        <w:rPr>
          <w:rStyle w:val="FontStyle33"/>
          <w:sz w:val="22"/>
          <w:szCs w:val="22"/>
          <w:lang w:val="sk-SK" w:eastAsia="es-ES_tradnl"/>
        </w:rPr>
        <w:t xml:space="preserve"> dosiahli maximálnu supresiu </w:t>
      </w:r>
      <w:r w:rsidRPr="00645EDC">
        <w:rPr>
          <w:rStyle w:val="FontStyle33"/>
          <w:sz w:val="22"/>
          <w:szCs w:val="22"/>
          <w:lang w:val="sk-SK" w:eastAsia="es-ES_tradnl"/>
        </w:rPr>
        <w:t>v období</w:t>
      </w:r>
      <w:r w:rsidR="005B6D67" w:rsidRPr="00645EDC">
        <w:rPr>
          <w:rStyle w:val="FontStyle33"/>
          <w:sz w:val="22"/>
          <w:szCs w:val="22"/>
          <w:lang w:val="sk-SK" w:eastAsia="es-ES_tradnl"/>
        </w:rPr>
        <w:t xml:space="preserve"> </w:t>
      </w:r>
      <w:r w:rsidRPr="00645EDC">
        <w:rPr>
          <w:rStyle w:val="FontStyle33"/>
          <w:sz w:val="22"/>
          <w:szCs w:val="22"/>
          <w:lang w:val="sk-SK" w:eastAsia="es-ES_tradnl"/>
        </w:rPr>
        <w:t>3 až 6 mesiacov.</w:t>
      </w:r>
    </w:p>
    <w:p w14:paraId="04A37D42" w14:textId="724C930B"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Klinicky významná 50 %-ná redukcia biochemických markerov kostnej re</w:t>
      </w:r>
      <w:r w:rsidR="005B6D67" w:rsidRPr="00645EDC">
        <w:rPr>
          <w:rStyle w:val="FontStyle33"/>
          <w:sz w:val="22"/>
          <w:szCs w:val="22"/>
          <w:lang w:val="sk-SK" w:eastAsia="es-ES_tradnl"/>
        </w:rPr>
        <w:t>s</w:t>
      </w:r>
      <w:r w:rsidRPr="00645EDC">
        <w:rPr>
          <w:rStyle w:val="FontStyle33"/>
          <w:sz w:val="22"/>
          <w:szCs w:val="22"/>
          <w:lang w:val="sk-SK" w:eastAsia="es-ES_tradnl"/>
        </w:rPr>
        <w:t>or</w:t>
      </w:r>
      <w:r w:rsidR="005B6D67" w:rsidRPr="00645EDC">
        <w:rPr>
          <w:rStyle w:val="FontStyle33"/>
          <w:sz w:val="22"/>
          <w:szCs w:val="22"/>
          <w:lang w:val="sk-SK" w:eastAsia="es-ES_tradnl"/>
        </w:rPr>
        <w:t>p</w:t>
      </w:r>
      <w:r w:rsidRPr="00645EDC">
        <w:rPr>
          <w:rStyle w:val="FontStyle33"/>
          <w:sz w:val="22"/>
          <w:szCs w:val="22"/>
          <w:lang w:val="sk-SK" w:eastAsia="es-ES_tradnl"/>
        </w:rPr>
        <w:t xml:space="preserve">cie bola pozorovaná skoro, už jeden mesiac po začiatku liečby kyselinou ibandrónovou 2,5 mg. </w:t>
      </w:r>
    </w:p>
    <w:p w14:paraId="0F08F91D" w14:textId="0FB12F47"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Po skončení liečby sa pozoruje návrat k patologickým ukazovateľom zvýšenej kostnej re</w:t>
      </w:r>
      <w:r w:rsidR="005B6D67" w:rsidRPr="00645EDC">
        <w:rPr>
          <w:rStyle w:val="FontStyle33"/>
          <w:sz w:val="22"/>
          <w:szCs w:val="22"/>
          <w:lang w:val="sk-SK" w:eastAsia="es-ES_tradnl"/>
        </w:rPr>
        <w:t>s</w:t>
      </w:r>
      <w:r w:rsidRPr="00645EDC">
        <w:rPr>
          <w:rStyle w:val="FontStyle33"/>
          <w:sz w:val="22"/>
          <w:szCs w:val="22"/>
          <w:lang w:val="sk-SK" w:eastAsia="es-ES_tradnl"/>
        </w:rPr>
        <w:t>or</w:t>
      </w:r>
      <w:r w:rsidR="005B6D67" w:rsidRPr="00645EDC">
        <w:rPr>
          <w:rStyle w:val="FontStyle33"/>
          <w:sz w:val="22"/>
          <w:szCs w:val="22"/>
          <w:lang w:val="sk-SK" w:eastAsia="es-ES_tradnl"/>
        </w:rPr>
        <w:t>p</w:t>
      </w:r>
      <w:r w:rsidRPr="00645EDC">
        <w:rPr>
          <w:rStyle w:val="FontStyle33"/>
          <w:sz w:val="22"/>
          <w:szCs w:val="22"/>
          <w:lang w:val="sk-SK" w:eastAsia="es-ES_tradnl"/>
        </w:rPr>
        <w:t xml:space="preserve">cie </w:t>
      </w:r>
      <w:r w:rsidR="005B6D67" w:rsidRPr="00645EDC">
        <w:rPr>
          <w:rStyle w:val="FontStyle33"/>
          <w:sz w:val="22"/>
          <w:szCs w:val="22"/>
          <w:lang w:val="sk-SK" w:eastAsia="es-ES_tradnl"/>
        </w:rPr>
        <w:t xml:space="preserve">pred liečbou </w:t>
      </w:r>
      <w:r w:rsidRPr="00645EDC">
        <w:rPr>
          <w:rStyle w:val="FontStyle33"/>
          <w:sz w:val="22"/>
          <w:szCs w:val="22"/>
          <w:lang w:val="sk-SK" w:eastAsia="es-ES_tradnl"/>
        </w:rPr>
        <w:t>súvisiacim s postmenopauzálnou osteoporózou.</w:t>
      </w:r>
    </w:p>
    <w:p w14:paraId="6649807C" w14:textId="77777777"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Histologická analýza kostných biopsií po dvoch a troch rokoch liečby žien po menopauze dokázala kosti normálnej kvality, kde nebol žiadny náznak poruchy mineralizácie.</w:t>
      </w:r>
    </w:p>
    <w:p w14:paraId="2CD302AB" w14:textId="77777777" w:rsidR="003B7D86" w:rsidRPr="00645EDC" w:rsidRDefault="003B7D86" w:rsidP="003B7D86">
      <w:pPr>
        <w:pStyle w:val="Bezriadkovania1"/>
        <w:tabs>
          <w:tab w:val="left" w:pos="540"/>
        </w:tabs>
        <w:rPr>
          <w:rFonts w:ascii="Times New Roman" w:hAnsi="Times New Roman"/>
          <w:lang w:val="sk-SK"/>
        </w:rPr>
      </w:pPr>
    </w:p>
    <w:p w14:paraId="32656050" w14:textId="24F7A613" w:rsidR="005B6D67" w:rsidRPr="00645EDC" w:rsidRDefault="005B6D67" w:rsidP="003B7D86">
      <w:pPr>
        <w:pStyle w:val="Bezriadkovania1"/>
        <w:tabs>
          <w:tab w:val="left" w:pos="540"/>
        </w:tabs>
        <w:rPr>
          <w:rFonts w:ascii="Times New Roman" w:hAnsi="Times New Roman"/>
          <w:i/>
          <w:lang w:val="sk-SK"/>
        </w:rPr>
      </w:pPr>
      <w:r w:rsidRPr="00645EDC">
        <w:rPr>
          <w:rFonts w:ascii="Times New Roman" w:hAnsi="Times New Roman"/>
          <w:i/>
          <w:lang w:val="sk-SK"/>
        </w:rPr>
        <w:t xml:space="preserve">Pediatrická populácia (pozri časť 4.2 a časť </w:t>
      </w:r>
      <w:r w:rsidR="00BC2FE8" w:rsidRPr="00645EDC">
        <w:rPr>
          <w:rFonts w:ascii="Times New Roman" w:hAnsi="Times New Roman"/>
          <w:i/>
          <w:lang w:val="sk-SK"/>
        </w:rPr>
        <w:t>5.2</w:t>
      </w:r>
      <w:r w:rsidRPr="00645EDC">
        <w:rPr>
          <w:rFonts w:ascii="Times New Roman" w:hAnsi="Times New Roman"/>
          <w:i/>
          <w:lang w:val="sk-SK"/>
        </w:rPr>
        <w:t>)</w:t>
      </w:r>
    </w:p>
    <w:p w14:paraId="2AD62610" w14:textId="2DE60880" w:rsidR="005B6D67" w:rsidRPr="00645EDC" w:rsidRDefault="005B6D67" w:rsidP="003B7D86">
      <w:pPr>
        <w:pStyle w:val="Bezriadkovania1"/>
        <w:tabs>
          <w:tab w:val="left" w:pos="540"/>
        </w:tabs>
        <w:rPr>
          <w:rFonts w:ascii="Times New Roman" w:hAnsi="Times New Roman"/>
          <w:lang w:val="sk-SK"/>
        </w:rPr>
      </w:pPr>
      <w:r w:rsidRPr="00645EDC">
        <w:rPr>
          <w:rFonts w:ascii="Times New Roman" w:hAnsi="Times New Roman"/>
          <w:lang w:val="sk-SK"/>
        </w:rPr>
        <w:t xml:space="preserve">Licobondrat 150 mg sa neskúmal v pediatrickej populácii, preto nie sú k dispozícii žiadne údaje o  </w:t>
      </w:r>
      <w:r w:rsidR="00C332BB" w:rsidRPr="00645EDC">
        <w:rPr>
          <w:rFonts w:ascii="Times New Roman" w:hAnsi="Times New Roman"/>
          <w:lang w:val="sk-SK"/>
        </w:rPr>
        <w:t xml:space="preserve">účinnosti </w:t>
      </w:r>
      <w:r w:rsidRPr="00645EDC">
        <w:rPr>
          <w:rFonts w:ascii="Times New Roman" w:hAnsi="Times New Roman"/>
          <w:lang w:val="sk-SK"/>
        </w:rPr>
        <w:t>a</w:t>
      </w:r>
      <w:r w:rsidR="00C332BB" w:rsidRPr="00645EDC">
        <w:rPr>
          <w:rFonts w:ascii="Times New Roman" w:hAnsi="Times New Roman"/>
          <w:lang w:val="sk-SK"/>
        </w:rPr>
        <w:t>lebo</w:t>
      </w:r>
      <w:r w:rsidRPr="00645EDC">
        <w:rPr>
          <w:rFonts w:ascii="Times New Roman" w:hAnsi="Times New Roman"/>
          <w:lang w:val="sk-SK"/>
        </w:rPr>
        <w:t> </w:t>
      </w:r>
      <w:r w:rsidR="00C332BB" w:rsidRPr="00645EDC">
        <w:rPr>
          <w:rFonts w:ascii="Times New Roman" w:hAnsi="Times New Roman"/>
          <w:lang w:val="sk-SK"/>
        </w:rPr>
        <w:t xml:space="preserve">bezpečnosti </w:t>
      </w:r>
      <w:r w:rsidRPr="00645EDC">
        <w:rPr>
          <w:rFonts w:ascii="Times New Roman" w:hAnsi="Times New Roman"/>
          <w:lang w:val="sk-SK"/>
        </w:rPr>
        <w:t>pre túto populáciu pacientov.</w:t>
      </w:r>
    </w:p>
    <w:p w14:paraId="762CB76C" w14:textId="77777777" w:rsidR="005B6D67" w:rsidRPr="00645EDC" w:rsidRDefault="005B6D67" w:rsidP="003B7D86">
      <w:pPr>
        <w:pStyle w:val="Bezriadkovania1"/>
        <w:tabs>
          <w:tab w:val="left" w:pos="540"/>
        </w:tabs>
        <w:rPr>
          <w:rFonts w:ascii="Times New Roman" w:hAnsi="Times New Roman"/>
          <w:lang w:val="sk-SK"/>
        </w:rPr>
      </w:pPr>
    </w:p>
    <w:p w14:paraId="361A29FF" w14:textId="77777777" w:rsidR="003B7D86" w:rsidRPr="00645EDC" w:rsidRDefault="003B7D86" w:rsidP="003B7D86">
      <w:pPr>
        <w:pStyle w:val="Bezriadkovania1"/>
        <w:numPr>
          <w:ilvl w:val="1"/>
          <w:numId w:val="1"/>
        </w:numPr>
        <w:tabs>
          <w:tab w:val="left" w:pos="540"/>
        </w:tabs>
        <w:ind w:left="0" w:firstLine="0"/>
        <w:rPr>
          <w:rFonts w:ascii="Times New Roman" w:hAnsi="Times New Roman"/>
          <w:b/>
          <w:bCs/>
          <w:lang w:val="sk-SK"/>
        </w:rPr>
      </w:pPr>
      <w:r w:rsidRPr="00645EDC">
        <w:rPr>
          <w:rFonts w:ascii="Times New Roman" w:hAnsi="Times New Roman"/>
          <w:b/>
          <w:bCs/>
          <w:lang w:val="sk-SK"/>
        </w:rPr>
        <w:t>Farmakokinetické vlastnosti</w:t>
      </w:r>
    </w:p>
    <w:p w14:paraId="24C9E73E" w14:textId="77777777" w:rsidR="003B7D86" w:rsidRPr="00645EDC" w:rsidRDefault="003B7D86" w:rsidP="003B7D86">
      <w:pPr>
        <w:pStyle w:val="Bezriadkovania1"/>
        <w:tabs>
          <w:tab w:val="left" w:pos="540"/>
        </w:tabs>
        <w:rPr>
          <w:rFonts w:ascii="Times New Roman" w:hAnsi="Times New Roman"/>
          <w:lang w:val="sk-SK"/>
        </w:rPr>
      </w:pPr>
    </w:p>
    <w:p w14:paraId="70B8F390" w14:textId="1B6F70DD"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 xml:space="preserve">Primárne farmakologické účinky kyseliny ibandrónovej na kosť nesúvisia priamo s </w:t>
      </w:r>
      <w:r w:rsidR="00C332BB" w:rsidRPr="00645EDC">
        <w:rPr>
          <w:rStyle w:val="FontStyle33"/>
          <w:sz w:val="22"/>
          <w:szCs w:val="22"/>
          <w:lang w:val="sk-SK" w:eastAsia="es-ES_tradnl"/>
        </w:rPr>
        <w:t xml:space="preserve">reálnymi </w:t>
      </w:r>
      <w:r w:rsidRPr="00645EDC">
        <w:rPr>
          <w:rStyle w:val="FontStyle33"/>
          <w:sz w:val="22"/>
          <w:szCs w:val="22"/>
          <w:lang w:val="sk-SK" w:eastAsia="es-ES_tradnl"/>
        </w:rPr>
        <w:t>koncentráciami v plazme, ako dokázali rôzne štúdie na zvieratách a ľuďoch.</w:t>
      </w:r>
    </w:p>
    <w:p w14:paraId="0264C471" w14:textId="77777777" w:rsidR="003B7D86" w:rsidRPr="00645EDC" w:rsidRDefault="003B7D86" w:rsidP="003B7D86">
      <w:pPr>
        <w:pStyle w:val="Style8"/>
        <w:widowControl/>
        <w:rPr>
          <w:sz w:val="22"/>
          <w:szCs w:val="22"/>
          <w:lang w:val="sk-SK"/>
        </w:rPr>
      </w:pPr>
    </w:p>
    <w:p w14:paraId="6ED0D088" w14:textId="77777777" w:rsidR="003B7D86" w:rsidRPr="00645EDC" w:rsidRDefault="003B7D86" w:rsidP="003B7D86">
      <w:pPr>
        <w:pStyle w:val="Style8"/>
        <w:widowControl/>
        <w:rPr>
          <w:rStyle w:val="FontStyle30"/>
          <w:sz w:val="22"/>
          <w:szCs w:val="22"/>
          <w:lang w:val="sk-SK" w:eastAsia="es-ES_tradnl"/>
        </w:rPr>
      </w:pPr>
      <w:r w:rsidRPr="00645EDC">
        <w:rPr>
          <w:rStyle w:val="FontStyle30"/>
          <w:sz w:val="22"/>
          <w:szCs w:val="22"/>
          <w:lang w:val="sk-SK" w:eastAsia="es-ES_tradnl"/>
        </w:rPr>
        <w:t>Absorpcia</w:t>
      </w:r>
    </w:p>
    <w:p w14:paraId="5BDCD510" w14:textId="389902A7"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 xml:space="preserve">Absorpcia kyseliny ibandrónovej v hornej časti gastrointestinálneho traktu je po perorálnom podaní rýchla a plazmatické koncentrácie sa pri perorálnom príjme zvyšujú úmerne dávke až do 50 mg, s väčšími ako dávke úmernými zvýšeniami pozorovanými nad touto dávkou. Maximálne </w:t>
      </w:r>
      <w:r w:rsidR="00C332BB" w:rsidRPr="00645EDC">
        <w:rPr>
          <w:rStyle w:val="FontStyle33"/>
          <w:sz w:val="22"/>
          <w:szCs w:val="22"/>
          <w:lang w:val="sk-SK" w:eastAsia="es-ES_tradnl"/>
        </w:rPr>
        <w:t xml:space="preserve">pozorované </w:t>
      </w:r>
      <w:r w:rsidRPr="00645EDC">
        <w:rPr>
          <w:rStyle w:val="FontStyle33"/>
          <w:sz w:val="22"/>
          <w:szCs w:val="22"/>
          <w:lang w:val="sk-SK" w:eastAsia="es-ES_tradnl"/>
        </w:rPr>
        <w:t xml:space="preserve">plazmatické koncentrácie sa dosiahli od 0,5 do 2 hodín (priemerne 1 </w:t>
      </w:r>
      <w:r w:rsidR="00C332BB" w:rsidRPr="00645EDC">
        <w:rPr>
          <w:rStyle w:val="FontStyle33"/>
          <w:sz w:val="22"/>
          <w:szCs w:val="22"/>
          <w:lang w:val="sk-SK" w:eastAsia="es-ES_tradnl"/>
        </w:rPr>
        <w:t>hodina</w:t>
      </w:r>
      <w:r w:rsidRPr="00645EDC">
        <w:rPr>
          <w:rStyle w:val="FontStyle33"/>
          <w:sz w:val="22"/>
          <w:szCs w:val="22"/>
          <w:lang w:val="sk-SK" w:eastAsia="es-ES_tradnl"/>
        </w:rPr>
        <w:t xml:space="preserve">) pri užívaní lieku nalačno a absolútna biologická dostupnosť bola približne 0,6 %. Rozsah absorpcie je narušený, keď sa liek užíva spolu s jedlom alebo nápojmi (okrem vody). Biologická dostupnosť sa znížila asi o 90 %, keď bola kyselina ibandrónová podávaná so štandardnými raňajkami v porovnaní s biologickou dostupnosťou u </w:t>
      </w:r>
      <w:r w:rsidR="00C332BB" w:rsidRPr="00645EDC">
        <w:rPr>
          <w:rStyle w:val="FontStyle33"/>
          <w:sz w:val="22"/>
          <w:szCs w:val="22"/>
          <w:lang w:val="sk-SK" w:eastAsia="es-ES_tradnl"/>
        </w:rPr>
        <w:t>jedincov</w:t>
      </w:r>
      <w:r w:rsidRPr="00645EDC">
        <w:rPr>
          <w:rStyle w:val="FontStyle33"/>
          <w:sz w:val="22"/>
          <w:szCs w:val="22"/>
          <w:lang w:val="sk-SK" w:eastAsia="es-ES_tradnl"/>
        </w:rPr>
        <w:t>, ktorí liek užívali nalačno. Biologická dostupnosť sa významne nezníži, ak sa kyselina ibandrónová užíva 60 minút pred prvým jedlom dňa. Biologická dostupnosť a prírastky BMD sa znížia, keď sa jedlo alebo nápoj prijme skôr ako za 60 minút po podaní kyseliny ibandrónovej.</w:t>
      </w:r>
    </w:p>
    <w:p w14:paraId="41E6A7B2" w14:textId="77777777" w:rsidR="003B7D86" w:rsidRPr="00645EDC" w:rsidRDefault="003B7D86" w:rsidP="003B7D86">
      <w:pPr>
        <w:pStyle w:val="Style8"/>
        <w:widowControl/>
        <w:rPr>
          <w:sz w:val="22"/>
          <w:szCs w:val="22"/>
          <w:lang w:val="sk-SK"/>
        </w:rPr>
      </w:pPr>
    </w:p>
    <w:p w14:paraId="48BC2C2F" w14:textId="77777777" w:rsidR="003B7D86" w:rsidRPr="00645EDC" w:rsidRDefault="003B7D86" w:rsidP="003B7D86">
      <w:pPr>
        <w:pStyle w:val="Style8"/>
        <w:widowControl/>
        <w:rPr>
          <w:rStyle w:val="FontStyle30"/>
          <w:sz w:val="22"/>
          <w:szCs w:val="22"/>
          <w:lang w:val="sk-SK" w:eastAsia="es-ES_tradnl"/>
        </w:rPr>
      </w:pPr>
      <w:r w:rsidRPr="00645EDC">
        <w:rPr>
          <w:rStyle w:val="FontStyle30"/>
          <w:sz w:val="22"/>
          <w:szCs w:val="22"/>
          <w:lang w:val="sk-SK" w:eastAsia="es-ES_tradnl"/>
        </w:rPr>
        <w:t>Distribúcia</w:t>
      </w:r>
    </w:p>
    <w:p w14:paraId="75F7DCB7" w14:textId="61078693"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 xml:space="preserve">Kyselina ibandrónová sa po počiatočnej systémovej expozícii rýchlo viaže na kosť alebo sa vylúči do moču. U ľudí je </w:t>
      </w:r>
      <w:r w:rsidR="00C332BB" w:rsidRPr="00645EDC">
        <w:rPr>
          <w:rStyle w:val="FontStyle33"/>
          <w:sz w:val="22"/>
          <w:szCs w:val="22"/>
          <w:lang w:val="sk-SK" w:eastAsia="es-ES_tradnl"/>
        </w:rPr>
        <w:t xml:space="preserve">zjavný </w:t>
      </w:r>
      <w:r w:rsidRPr="00645EDC">
        <w:rPr>
          <w:rStyle w:val="FontStyle33"/>
          <w:sz w:val="22"/>
          <w:szCs w:val="22"/>
          <w:lang w:val="sk-SK" w:eastAsia="es-ES_tradnl"/>
        </w:rPr>
        <w:t xml:space="preserve">terminálny distribučný objem najmenej </w:t>
      </w:r>
      <w:smartTag w:uri="urn:schemas-microsoft-com:office:smarttags" w:element="metricconverter">
        <w:smartTagPr>
          <w:attr w:name="ProductID" w:val="90 l"/>
        </w:smartTagPr>
        <w:r w:rsidRPr="00645EDC">
          <w:rPr>
            <w:rStyle w:val="FontStyle33"/>
            <w:sz w:val="22"/>
            <w:szCs w:val="22"/>
            <w:lang w:val="sk-SK" w:eastAsia="es-ES_tradnl"/>
          </w:rPr>
          <w:t>90 l</w:t>
        </w:r>
      </w:smartTag>
      <w:r w:rsidRPr="00645EDC">
        <w:rPr>
          <w:rStyle w:val="FontStyle33"/>
          <w:sz w:val="22"/>
          <w:szCs w:val="22"/>
          <w:lang w:val="sk-SK" w:eastAsia="es-ES_tradnl"/>
        </w:rPr>
        <w:t xml:space="preserve"> a množstvo dávky, ktoré sa dostane do kosti, sa odhaduje na 40 až 50 % cirkulujúcej dávky. Väzba na proteíny v ľudskej plazme je približne 85 až 87 % (stanovená </w:t>
      </w:r>
      <w:r w:rsidRPr="00645EDC">
        <w:rPr>
          <w:rStyle w:val="FontStyle30"/>
          <w:sz w:val="22"/>
          <w:szCs w:val="22"/>
          <w:lang w:val="sk-SK" w:eastAsia="es-ES_tradnl"/>
        </w:rPr>
        <w:t xml:space="preserve">in vitro </w:t>
      </w:r>
      <w:r w:rsidRPr="00645EDC">
        <w:rPr>
          <w:rStyle w:val="FontStyle33"/>
          <w:sz w:val="22"/>
          <w:szCs w:val="22"/>
          <w:lang w:val="sk-SK" w:eastAsia="es-ES_tradnl"/>
        </w:rPr>
        <w:t>pri terapeutických koncentráciách lieku), a preto existuje len malý potenciál interakcie s inými liekmi v dôsledku vytesnenia.</w:t>
      </w:r>
    </w:p>
    <w:p w14:paraId="40DB49EC" w14:textId="77777777" w:rsidR="003B7D86" w:rsidRPr="00645EDC" w:rsidRDefault="003B7D86" w:rsidP="003B7D86">
      <w:pPr>
        <w:pStyle w:val="Style8"/>
        <w:widowControl/>
        <w:rPr>
          <w:sz w:val="22"/>
          <w:szCs w:val="22"/>
          <w:lang w:val="sk-SK"/>
        </w:rPr>
      </w:pPr>
    </w:p>
    <w:p w14:paraId="37AFBCE0" w14:textId="78C2A14C" w:rsidR="003B7D86" w:rsidRPr="00645EDC" w:rsidRDefault="00C332BB" w:rsidP="003B7D86">
      <w:pPr>
        <w:pStyle w:val="Style8"/>
        <w:widowControl/>
        <w:rPr>
          <w:rStyle w:val="FontStyle30"/>
          <w:sz w:val="22"/>
          <w:szCs w:val="22"/>
          <w:lang w:val="sk-SK" w:eastAsia="es-ES_tradnl"/>
        </w:rPr>
      </w:pPr>
      <w:r w:rsidRPr="00645EDC">
        <w:rPr>
          <w:rStyle w:val="FontStyle30"/>
          <w:sz w:val="22"/>
          <w:szCs w:val="22"/>
          <w:lang w:val="sk-SK" w:eastAsia="es-ES_tradnl"/>
        </w:rPr>
        <w:t>Biotransformácia</w:t>
      </w:r>
    </w:p>
    <w:p w14:paraId="6BEDA48E" w14:textId="77777777"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Neexistuje žiadny dôkaz, že kyselina ibandrónová je u zvierat alebo u ľudí metabolizovaná.</w:t>
      </w:r>
    </w:p>
    <w:p w14:paraId="16CECADB" w14:textId="77777777" w:rsidR="003B7D86" w:rsidRPr="00645EDC" w:rsidRDefault="003B7D86" w:rsidP="003B7D86">
      <w:pPr>
        <w:pStyle w:val="Style8"/>
        <w:widowControl/>
        <w:rPr>
          <w:sz w:val="22"/>
          <w:szCs w:val="22"/>
          <w:lang w:val="sk-SK"/>
        </w:rPr>
      </w:pPr>
    </w:p>
    <w:p w14:paraId="1649035C" w14:textId="77777777" w:rsidR="003B7D86" w:rsidRPr="00645EDC" w:rsidRDefault="003B7D86" w:rsidP="003B7D86">
      <w:pPr>
        <w:pStyle w:val="Style8"/>
        <w:widowControl/>
        <w:rPr>
          <w:rStyle w:val="FontStyle30"/>
          <w:sz w:val="22"/>
          <w:szCs w:val="22"/>
          <w:lang w:val="sk-SK" w:eastAsia="es-ES_tradnl"/>
        </w:rPr>
      </w:pPr>
      <w:r w:rsidRPr="00645EDC">
        <w:rPr>
          <w:rStyle w:val="FontStyle30"/>
          <w:sz w:val="22"/>
          <w:szCs w:val="22"/>
          <w:lang w:val="sk-SK" w:eastAsia="es-ES_tradnl"/>
        </w:rPr>
        <w:t>Eliminácia</w:t>
      </w:r>
    </w:p>
    <w:p w14:paraId="0A12A50F" w14:textId="5DB2D007"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Absorbovaná frakcia kyseliny ibandrónovej je odstránená z obehu prostredníctvom kostnej absorpcie (odhaduje sa, že je to 40 až 50 % u žien po menopauze) a zvyšok je eliminovaný v nezmenenom stave obličkami. Neabsorbovaná frakcia kyseliny ibandrónovej sa vylučuje v nezmenenom stave stolicou.</w:t>
      </w:r>
    </w:p>
    <w:p w14:paraId="0852F29D" w14:textId="77777777" w:rsidR="003B7D86" w:rsidRPr="00645EDC" w:rsidRDefault="003B7D86" w:rsidP="003B7D86">
      <w:pPr>
        <w:pStyle w:val="Style9"/>
        <w:widowControl/>
        <w:spacing w:line="240" w:lineRule="auto"/>
        <w:rPr>
          <w:sz w:val="22"/>
          <w:szCs w:val="22"/>
          <w:lang w:val="sk-SK"/>
        </w:rPr>
      </w:pPr>
    </w:p>
    <w:p w14:paraId="7132336B" w14:textId="44D6D88C"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 xml:space="preserve">Rozsah pozorovaných zrejmých polčasov je široký, zrejmý terminálny polčas sa vo všeobecnosti pohybuje v rozsahu 10 - 72 hodín. Keďže vypočítané hodnoty sú z veľkej časti závislé od dĺžky štúdie, použitej dávky a citlivosti testu, skutočný terminálny polčas je pravdepodobne podstatne dlhší, rovnako ako u ostatných bisfosfonátov. Skoré plazmatické hladiny rýchlo klesajú dosahujúc 10 % maximálnych hodnôt </w:t>
      </w:r>
      <w:r w:rsidR="00DC61F1" w:rsidRPr="00645EDC">
        <w:rPr>
          <w:rStyle w:val="FontStyle33"/>
          <w:sz w:val="22"/>
          <w:szCs w:val="22"/>
          <w:lang w:val="sk-SK" w:eastAsia="es-ES_tradnl"/>
        </w:rPr>
        <w:t xml:space="preserve">v rozmedzí </w:t>
      </w:r>
      <w:r w:rsidRPr="00645EDC">
        <w:rPr>
          <w:rStyle w:val="FontStyle33"/>
          <w:sz w:val="22"/>
          <w:szCs w:val="22"/>
          <w:lang w:val="sk-SK" w:eastAsia="es-ES_tradnl"/>
        </w:rPr>
        <w:t xml:space="preserve">3 </w:t>
      </w:r>
      <w:r w:rsidR="00DC61F1" w:rsidRPr="00645EDC">
        <w:rPr>
          <w:rStyle w:val="FontStyle33"/>
          <w:sz w:val="22"/>
          <w:szCs w:val="22"/>
          <w:lang w:val="sk-SK" w:eastAsia="es-ES_tradnl"/>
        </w:rPr>
        <w:t xml:space="preserve">hodín po intravenóznom </w:t>
      </w:r>
      <w:r w:rsidRPr="00645EDC">
        <w:rPr>
          <w:rStyle w:val="FontStyle33"/>
          <w:sz w:val="22"/>
          <w:szCs w:val="22"/>
          <w:lang w:val="sk-SK" w:eastAsia="es-ES_tradnl"/>
        </w:rPr>
        <w:t xml:space="preserve">a 8 </w:t>
      </w:r>
      <w:r w:rsidR="00DC61F1" w:rsidRPr="00645EDC">
        <w:rPr>
          <w:rStyle w:val="FontStyle33"/>
          <w:sz w:val="22"/>
          <w:szCs w:val="22"/>
          <w:lang w:val="sk-SK" w:eastAsia="es-ES_tradnl"/>
        </w:rPr>
        <w:t xml:space="preserve">hodín po </w:t>
      </w:r>
      <w:r w:rsidRPr="00645EDC">
        <w:rPr>
          <w:rStyle w:val="FontStyle33"/>
          <w:sz w:val="22"/>
          <w:szCs w:val="22"/>
          <w:lang w:val="sk-SK" w:eastAsia="es-ES_tradnl"/>
        </w:rPr>
        <w:t xml:space="preserve">perorálnom podaní. </w:t>
      </w:r>
    </w:p>
    <w:p w14:paraId="2DEB8D87" w14:textId="013E5C23"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 xml:space="preserve">Celkový klírens kyseliny ibandrónovej je nízky s priemernými hodnotami v rozsahu 84 </w:t>
      </w:r>
      <w:r w:rsidR="00DC61F1" w:rsidRPr="00645EDC">
        <w:rPr>
          <w:rStyle w:val="FontStyle33"/>
          <w:sz w:val="22"/>
          <w:szCs w:val="22"/>
          <w:lang w:val="sk-SK" w:eastAsia="es-ES_tradnl"/>
        </w:rPr>
        <w:t xml:space="preserve">až </w:t>
      </w:r>
      <w:r w:rsidRPr="00645EDC">
        <w:rPr>
          <w:rStyle w:val="FontStyle33"/>
          <w:sz w:val="22"/>
          <w:szCs w:val="22"/>
          <w:lang w:val="sk-SK" w:eastAsia="es-ES_tradnl"/>
        </w:rPr>
        <w:t>160 ml/min. Renálny klírens (približne 60 ml/min u zdravých žien po menopauze) predstavuje 50 - 60 % celkového klírensu a súvisí s klírensom kreatinínu. Rozdiel medzi zdanlivým celkovým a renálnym klírensom sa považuje za odraz príjmu kosťou.</w:t>
      </w:r>
    </w:p>
    <w:p w14:paraId="40A13F0C" w14:textId="77777777" w:rsidR="003B7D86" w:rsidRPr="00645EDC" w:rsidRDefault="003B7D86" w:rsidP="003B7D86">
      <w:pPr>
        <w:pStyle w:val="Style9"/>
        <w:widowControl/>
        <w:spacing w:line="240" w:lineRule="auto"/>
        <w:rPr>
          <w:sz w:val="22"/>
          <w:szCs w:val="22"/>
          <w:lang w:val="sk-SK"/>
        </w:rPr>
      </w:pPr>
    </w:p>
    <w:p w14:paraId="396BE5EF" w14:textId="5DDAF790" w:rsidR="00DC61F1" w:rsidRPr="00645EDC" w:rsidRDefault="00DC61F1" w:rsidP="003B7D86">
      <w:pPr>
        <w:pStyle w:val="Style9"/>
        <w:widowControl/>
        <w:spacing w:line="240" w:lineRule="auto"/>
        <w:rPr>
          <w:sz w:val="22"/>
          <w:szCs w:val="22"/>
          <w:lang w:val="sk-SK"/>
        </w:rPr>
      </w:pPr>
      <w:r w:rsidRPr="00645EDC">
        <w:rPr>
          <w:sz w:val="22"/>
          <w:szCs w:val="22"/>
          <w:lang w:val="sk-SK"/>
        </w:rPr>
        <w:t>Zdá sa, že sekrečná dráha nezahŕňa známe kyslé alebo bázické transportné systémy zahrnuté v exkrécii iných liečiv. Navyše, kyselina ibandrónová neinhinbuje hlavné ľudské pečeňové izoenzýmy P450 a neindukuje pečeňový systém cytochrómu P450 u potkanov.</w:t>
      </w:r>
    </w:p>
    <w:p w14:paraId="7B60CD80" w14:textId="77777777" w:rsidR="00DC61F1" w:rsidRPr="00645EDC" w:rsidRDefault="00DC61F1" w:rsidP="003B7D86">
      <w:pPr>
        <w:pStyle w:val="Style9"/>
        <w:widowControl/>
        <w:spacing w:line="240" w:lineRule="auto"/>
        <w:rPr>
          <w:sz w:val="22"/>
          <w:szCs w:val="22"/>
          <w:lang w:val="sk-SK"/>
        </w:rPr>
      </w:pPr>
    </w:p>
    <w:p w14:paraId="04FC8262" w14:textId="77777777" w:rsidR="003B7D86" w:rsidRPr="00645EDC" w:rsidRDefault="003B7D86" w:rsidP="003B7D86">
      <w:pPr>
        <w:pStyle w:val="Style9"/>
        <w:widowControl/>
        <w:spacing w:line="240" w:lineRule="auto"/>
        <w:rPr>
          <w:rStyle w:val="FontStyle33"/>
          <w:sz w:val="22"/>
          <w:szCs w:val="22"/>
          <w:u w:val="single"/>
          <w:lang w:val="sk-SK" w:eastAsia="es-ES_tradnl"/>
        </w:rPr>
      </w:pPr>
      <w:r w:rsidRPr="00645EDC">
        <w:rPr>
          <w:rStyle w:val="FontStyle33"/>
          <w:sz w:val="22"/>
          <w:szCs w:val="22"/>
          <w:u w:val="single"/>
          <w:lang w:val="sk-SK" w:eastAsia="es-ES_tradnl"/>
        </w:rPr>
        <w:t>Farmakokinetika v osobitných klinických situáciách</w:t>
      </w:r>
    </w:p>
    <w:p w14:paraId="6622A6F7" w14:textId="77777777" w:rsidR="003B7D86" w:rsidRPr="00645EDC" w:rsidRDefault="003B7D86" w:rsidP="003B7D86">
      <w:pPr>
        <w:pStyle w:val="Style8"/>
        <w:widowControl/>
        <w:rPr>
          <w:sz w:val="22"/>
          <w:szCs w:val="22"/>
          <w:lang w:val="sk-SK"/>
        </w:rPr>
      </w:pPr>
    </w:p>
    <w:p w14:paraId="5A6C48DD" w14:textId="77777777" w:rsidR="003B7D86" w:rsidRPr="00645EDC" w:rsidRDefault="003B7D86" w:rsidP="003B7D86">
      <w:pPr>
        <w:pStyle w:val="Style8"/>
        <w:widowControl/>
        <w:rPr>
          <w:rStyle w:val="FontStyle30"/>
          <w:sz w:val="22"/>
          <w:szCs w:val="22"/>
          <w:lang w:val="sk-SK" w:eastAsia="es-ES_tradnl"/>
        </w:rPr>
      </w:pPr>
      <w:r w:rsidRPr="00645EDC">
        <w:rPr>
          <w:rStyle w:val="FontStyle30"/>
          <w:sz w:val="22"/>
          <w:szCs w:val="22"/>
          <w:lang w:val="sk-SK" w:eastAsia="es-ES_tradnl"/>
        </w:rPr>
        <w:t>Pohlavie</w:t>
      </w:r>
    </w:p>
    <w:p w14:paraId="07343F26" w14:textId="77777777" w:rsidR="003B7D86" w:rsidRPr="00645EDC" w:rsidRDefault="003B7D86" w:rsidP="003B7D86">
      <w:pPr>
        <w:pStyle w:val="Style24"/>
        <w:widowControl/>
        <w:spacing w:line="240" w:lineRule="auto"/>
        <w:jc w:val="left"/>
        <w:rPr>
          <w:rStyle w:val="FontStyle33"/>
          <w:sz w:val="22"/>
          <w:szCs w:val="22"/>
          <w:lang w:val="sk-SK" w:eastAsia="es-ES_tradnl"/>
        </w:rPr>
      </w:pPr>
      <w:r w:rsidRPr="00645EDC">
        <w:rPr>
          <w:rStyle w:val="FontStyle33"/>
          <w:sz w:val="22"/>
          <w:szCs w:val="22"/>
          <w:lang w:val="sk-SK" w:eastAsia="es-ES_tradnl"/>
        </w:rPr>
        <w:t xml:space="preserve">Biologická dostupnosť a farmakokinetika kyseliny ibandrónovej je u mužov a žien podobná. </w:t>
      </w:r>
    </w:p>
    <w:p w14:paraId="34584986" w14:textId="77777777" w:rsidR="00DC61F1" w:rsidRPr="00645EDC" w:rsidRDefault="00DC61F1" w:rsidP="003B7D86">
      <w:pPr>
        <w:pStyle w:val="Style24"/>
        <w:widowControl/>
        <w:spacing w:line="240" w:lineRule="auto"/>
        <w:jc w:val="left"/>
        <w:rPr>
          <w:rStyle w:val="FontStyle30"/>
          <w:sz w:val="22"/>
          <w:szCs w:val="22"/>
          <w:lang w:val="sk-SK" w:eastAsia="es-ES_tradnl"/>
        </w:rPr>
      </w:pPr>
    </w:p>
    <w:p w14:paraId="7A6747C1" w14:textId="77777777" w:rsidR="003B7D86" w:rsidRPr="00645EDC" w:rsidRDefault="003B7D86" w:rsidP="003B7D86">
      <w:pPr>
        <w:pStyle w:val="Style24"/>
        <w:widowControl/>
        <w:spacing w:line="240" w:lineRule="auto"/>
        <w:jc w:val="left"/>
        <w:rPr>
          <w:rStyle w:val="FontStyle30"/>
          <w:sz w:val="22"/>
          <w:szCs w:val="22"/>
          <w:lang w:val="sk-SK" w:eastAsia="es-ES_tradnl"/>
        </w:rPr>
      </w:pPr>
      <w:r w:rsidRPr="00645EDC">
        <w:rPr>
          <w:rStyle w:val="FontStyle30"/>
          <w:sz w:val="22"/>
          <w:szCs w:val="22"/>
          <w:lang w:val="sk-SK" w:eastAsia="es-ES_tradnl"/>
        </w:rPr>
        <w:t>Rasa</w:t>
      </w:r>
    </w:p>
    <w:p w14:paraId="6738A4BB" w14:textId="64A807F1"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 xml:space="preserve">Neexistuje žiadny dôkaz klinicky významných </w:t>
      </w:r>
      <w:r w:rsidR="0008135A" w:rsidRPr="00645EDC">
        <w:rPr>
          <w:rStyle w:val="FontStyle33"/>
          <w:sz w:val="22"/>
          <w:szCs w:val="22"/>
          <w:lang w:val="sk-SK" w:eastAsia="es-ES_tradnl"/>
        </w:rPr>
        <w:t>vnútro</w:t>
      </w:r>
      <w:r w:rsidRPr="00645EDC">
        <w:rPr>
          <w:rStyle w:val="FontStyle33"/>
          <w:sz w:val="22"/>
          <w:szCs w:val="22"/>
          <w:lang w:val="sk-SK" w:eastAsia="es-ES_tradnl"/>
        </w:rPr>
        <w:t>etnických rozdielov medzi Aziatmi a belochmi</w:t>
      </w:r>
    </w:p>
    <w:p w14:paraId="46EE9375" w14:textId="03658AB9" w:rsidR="003B7D86" w:rsidRPr="00645EDC" w:rsidRDefault="0008135A"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 xml:space="preserve">pri dispozícii </w:t>
      </w:r>
      <w:r w:rsidR="003B7D86" w:rsidRPr="00645EDC">
        <w:rPr>
          <w:rStyle w:val="FontStyle33"/>
          <w:sz w:val="22"/>
          <w:szCs w:val="22"/>
          <w:lang w:val="sk-SK" w:eastAsia="es-ES_tradnl"/>
        </w:rPr>
        <w:t>kyseliny ibandrónovej. Je dostupných len málo údajov o pacientoch s</w:t>
      </w:r>
      <w:r w:rsidRPr="00645EDC">
        <w:rPr>
          <w:rStyle w:val="FontStyle33"/>
          <w:sz w:val="22"/>
          <w:szCs w:val="22"/>
          <w:lang w:val="sk-SK" w:eastAsia="es-ES_tradnl"/>
        </w:rPr>
        <w:t> </w:t>
      </w:r>
      <w:r w:rsidR="003B7D86" w:rsidRPr="00645EDC">
        <w:rPr>
          <w:rStyle w:val="FontStyle33"/>
          <w:sz w:val="22"/>
          <w:szCs w:val="22"/>
          <w:lang w:val="sk-SK" w:eastAsia="es-ES_tradnl"/>
        </w:rPr>
        <w:t>africkým</w:t>
      </w:r>
      <w:r w:rsidRPr="00645EDC">
        <w:rPr>
          <w:rStyle w:val="FontStyle33"/>
          <w:sz w:val="22"/>
          <w:szCs w:val="22"/>
          <w:lang w:val="sk-SK" w:eastAsia="es-ES_tradnl"/>
        </w:rPr>
        <w:t xml:space="preserve"> </w:t>
      </w:r>
      <w:r w:rsidR="003B7D86" w:rsidRPr="00645EDC">
        <w:rPr>
          <w:rStyle w:val="FontStyle33"/>
          <w:sz w:val="22"/>
          <w:szCs w:val="22"/>
          <w:lang w:val="sk-SK" w:eastAsia="es-ES_tradnl"/>
        </w:rPr>
        <w:t>pôvodom.</w:t>
      </w:r>
    </w:p>
    <w:p w14:paraId="499BCFCA" w14:textId="77777777" w:rsidR="003B7D86" w:rsidRPr="00645EDC" w:rsidRDefault="003B7D86" w:rsidP="003B7D86">
      <w:pPr>
        <w:pStyle w:val="Style8"/>
        <w:widowControl/>
        <w:rPr>
          <w:sz w:val="22"/>
          <w:szCs w:val="22"/>
          <w:lang w:val="sk-SK"/>
        </w:rPr>
      </w:pPr>
    </w:p>
    <w:p w14:paraId="797F5285" w14:textId="2A316676" w:rsidR="003B7D86" w:rsidRPr="00645EDC" w:rsidRDefault="003B7D86" w:rsidP="003B7D86">
      <w:pPr>
        <w:pStyle w:val="Style8"/>
        <w:widowControl/>
        <w:rPr>
          <w:rStyle w:val="FontStyle30"/>
          <w:sz w:val="22"/>
          <w:szCs w:val="22"/>
          <w:lang w:val="sk-SK" w:eastAsia="es-ES_tradnl"/>
        </w:rPr>
      </w:pPr>
      <w:r w:rsidRPr="00645EDC">
        <w:rPr>
          <w:rStyle w:val="FontStyle30"/>
          <w:sz w:val="22"/>
          <w:szCs w:val="22"/>
          <w:lang w:val="sk-SK" w:eastAsia="es-ES_tradnl"/>
        </w:rPr>
        <w:t>Pacienti s po</w:t>
      </w:r>
      <w:r w:rsidR="002E58F6">
        <w:rPr>
          <w:rStyle w:val="FontStyle30"/>
          <w:sz w:val="22"/>
          <w:szCs w:val="22"/>
          <w:lang w:val="sk-SK" w:eastAsia="es-ES_tradnl"/>
        </w:rPr>
        <w:t>ruchou</w:t>
      </w:r>
      <w:r w:rsidRPr="00645EDC">
        <w:rPr>
          <w:rStyle w:val="FontStyle30"/>
          <w:sz w:val="22"/>
          <w:szCs w:val="22"/>
          <w:lang w:val="sk-SK" w:eastAsia="es-ES_tradnl"/>
        </w:rPr>
        <w:t xml:space="preserve"> funkcie obličiek</w:t>
      </w:r>
    </w:p>
    <w:p w14:paraId="248DA5DD" w14:textId="0508FC07"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 xml:space="preserve">Renálny klírens kyseliny ibandrónovej u pacientov s rôznymi stupňami </w:t>
      </w:r>
      <w:r w:rsidR="0008135A" w:rsidRPr="00645EDC">
        <w:rPr>
          <w:rStyle w:val="FontStyle33"/>
          <w:sz w:val="22"/>
          <w:szCs w:val="22"/>
          <w:lang w:val="sk-SK" w:eastAsia="es-ES_tradnl"/>
        </w:rPr>
        <w:t>po</w:t>
      </w:r>
      <w:r w:rsidR="002E58F6">
        <w:rPr>
          <w:rStyle w:val="FontStyle33"/>
          <w:sz w:val="22"/>
          <w:szCs w:val="22"/>
          <w:lang w:val="sk-SK" w:eastAsia="es-ES_tradnl"/>
        </w:rPr>
        <w:t>ruchy</w:t>
      </w:r>
      <w:r w:rsidR="0008135A" w:rsidRPr="00645EDC">
        <w:rPr>
          <w:rStyle w:val="FontStyle33"/>
          <w:sz w:val="22"/>
          <w:szCs w:val="22"/>
          <w:lang w:val="sk-SK" w:eastAsia="es-ES_tradnl"/>
        </w:rPr>
        <w:t xml:space="preserve"> funkcie obličiek </w:t>
      </w:r>
      <w:r w:rsidRPr="00645EDC">
        <w:rPr>
          <w:rStyle w:val="FontStyle33"/>
          <w:sz w:val="22"/>
          <w:szCs w:val="22"/>
          <w:lang w:val="sk-SK" w:eastAsia="es-ES_tradnl"/>
        </w:rPr>
        <w:t>je lineárne úmerný klírensu kreatinínu.</w:t>
      </w:r>
    </w:p>
    <w:p w14:paraId="6920D857" w14:textId="48475781"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lastRenderedPageBreak/>
        <w:t>U pacientov s miernym alebo stredne závažn</w:t>
      </w:r>
      <w:r w:rsidR="002E58F6">
        <w:rPr>
          <w:rStyle w:val="FontStyle33"/>
          <w:sz w:val="22"/>
          <w:szCs w:val="22"/>
          <w:lang w:val="sk-SK" w:eastAsia="es-ES_tradnl"/>
        </w:rPr>
        <w:t>ou</w:t>
      </w:r>
      <w:r w:rsidRPr="00645EDC">
        <w:rPr>
          <w:rStyle w:val="FontStyle33"/>
          <w:sz w:val="22"/>
          <w:szCs w:val="22"/>
          <w:lang w:val="sk-SK" w:eastAsia="es-ES_tradnl"/>
        </w:rPr>
        <w:t xml:space="preserve"> po</w:t>
      </w:r>
      <w:r w:rsidR="002E58F6">
        <w:rPr>
          <w:rStyle w:val="FontStyle33"/>
          <w:sz w:val="22"/>
          <w:szCs w:val="22"/>
          <w:lang w:val="sk-SK" w:eastAsia="es-ES_tradnl"/>
        </w:rPr>
        <w:t>ruchou</w:t>
      </w:r>
      <w:r w:rsidRPr="00645EDC">
        <w:rPr>
          <w:rStyle w:val="FontStyle33"/>
          <w:sz w:val="22"/>
          <w:szCs w:val="22"/>
          <w:lang w:val="sk-SK" w:eastAsia="es-ES_tradnl"/>
        </w:rPr>
        <w:t xml:space="preserve"> funkcie obličiek (CLcr rovný alebo väčší ako 30 ml/min) nie je potrebné upraviť dávku, čo dokazuje štúdia BM 16549, v ktorej väčšina pacientov </w:t>
      </w:r>
      <w:r w:rsidR="0008135A" w:rsidRPr="00645EDC">
        <w:rPr>
          <w:rStyle w:val="FontStyle33"/>
          <w:sz w:val="22"/>
          <w:szCs w:val="22"/>
          <w:lang w:val="sk-SK" w:eastAsia="es-ES_tradnl"/>
        </w:rPr>
        <w:t xml:space="preserve">mala </w:t>
      </w:r>
      <w:r w:rsidRPr="00645EDC">
        <w:rPr>
          <w:rStyle w:val="FontStyle33"/>
          <w:sz w:val="22"/>
          <w:szCs w:val="22"/>
          <w:lang w:val="sk-SK" w:eastAsia="es-ES_tradnl"/>
        </w:rPr>
        <w:t>mierne až stredne závažn</w:t>
      </w:r>
      <w:r w:rsidR="002E58F6">
        <w:rPr>
          <w:rStyle w:val="FontStyle33"/>
          <w:sz w:val="22"/>
          <w:szCs w:val="22"/>
          <w:lang w:val="sk-SK" w:eastAsia="es-ES_tradnl"/>
        </w:rPr>
        <w:t>á</w:t>
      </w:r>
      <w:r w:rsidRPr="00645EDC">
        <w:rPr>
          <w:rStyle w:val="FontStyle33"/>
          <w:sz w:val="22"/>
          <w:szCs w:val="22"/>
          <w:lang w:val="sk-SK" w:eastAsia="es-ES_tradnl"/>
        </w:rPr>
        <w:t xml:space="preserve"> po</w:t>
      </w:r>
      <w:r w:rsidR="002E58F6">
        <w:rPr>
          <w:rStyle w:val="FontStyle33"/>
          <w:sz w:val="22"/>
          <w:szCs w:val="22"/>
          <w:lang w:val="sk-SK" w:eastAsia="es-ES_tradnl"/>
        </w:rPr>
        <w:t>rucha</w:t>
      </w:r>
      <w:r w:rsidRPr="00645EDC">
        <w:rPr>
          <w:rStyle w:val="FontStyle33"/>
          <w:sz w:val="22"/>
          <w:szCs w:val="22"/>
          <w:lang w:val="sk-SK" w:eastAsia="es-ES_tradnl"/>
        </w:rPr>
        <w:t xml:space="preserve"> funkcie obličiek.</w:t>
      </w:r>
    </w:p>
    <w:p w14:paraId="2C185F44" w14:textId="7A462277" w:rsidR="003B7D86" w:rsidRPr="00645EDC" w:rsidRDefault="0008135A"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 xml:space="preserve">Jedinci </w:t>
      </w:r>
      <w:r w:rsidR="003B7D86" w:rsidRPr="00645EDC">
        <w:rPr>
          <w:rStyle w:val="FontStyle33"/>
          <w:sz w:val="22"/>
          <w:szCs w:val="22"/>
          <w:lang w:val="sk-SK" w:eastAsia="es-ES_tradnl"/>
        </w:rPr>
        <w:t>so závažn</w:t>
      </w:r>
      <w:r w:rsidR="002E58F6">
        <w:rPr>
          <w:rStyle w:val="FontStyle33"/>
          <w:sz w:val="22"/>
          <w:szCs w:val="22"/>
          <w:lang w:val="sk-SK" w:eastAsia="es-ES_tradnl"/>
        </w:rPr>
        <w:t>ou</w:t>
      </w:r>
      <w:r w:rsidR="003B7D86" w:rsidRPr="00645EDC">
        <w:rPr>
          <w:rStyle w:val="FontStyle33"/>
          <w:sz w:val="22"/>
          <w:szCs w:val="22"/>
          <w:lang w:val="sk-SK" w:eastAsia="es-ES_tradnl"/>
        </w:rPr>
        <w:t xml:space="preserve"> po</w:t>
      </w:r>
      <w:r w:rsidR="002E58F6">
        <w:rPr>
          <w:rStyle w:val="FontStyle33"/>
          <w:sz w:val="22"/>
          <w:szCs w:val="22"/>
          <w:lang w:val="sk-SK" w:eastAsia="es-ES_tradnl"/>
        </w:rPr>
        <w:t>ruchou</w:t>
      </w:r>
      <w:r w:rsidR="003B7D86" w:rsidRPr="00645EDC">
        <w:rPr>
          <w:rStyle w:val="FontStyle33"/>
          <w:sz w:val="22"/>
          <w:szCs w:val="22"/>
          <w:lang w:val="sk-SK" w:eastAsia="es-ES_tradnl"/>
        </w:rPr>
        <w:t xml:space="preserve"> funkcie obličiek (CLcr menší ako 30 ml/min), ktorí denne dostávali perorálnu dávku 10 mg kyseliny ibandrónovej počas 21 dní, mali 2 až 3-krát vyššie plazmatické koncentrácie ako </w:t>
      </w:r>
      <w:r w:rsidRPr="00645EDC">
        <w:rPr>
          <w:rStyle w:val="FontStyle33"/>
          <w:sz w:val="22"/>
          <w:szCs w:val="22"/>
          <w:lang w:val="sk-SK" w:eastAsia="es-ES_tradnl"/>
        </w:rPr>
        <w:t xml:space="preserve">jedinci </w:t>
      </w:r>
      <w:r w:rsidR="003B7D86" w:rsidRPr="00645EDC">
        <w:rPr>
          <w:rStyle w:val="FontStyle33"/>
          <w:sz w:val="22"/>
          <w:szCs w:val="22"/>
          <w:lang w:val="sk-SK" w:eastAsia="es-ES_tradnl"/>
        </w:rPr>
        <w:t xml:space="preserve">s normálnou funkciou obličiek a celkový klírens kyseliny ibandrónovej u nich bol 44 ml/min. Po intravenóznom podaní 0,5 mg lieku </w:t>
      </w:r>
      <w:r w:rsidRPr="00645EDC">
        <w:rPr>
          <w:rStyle w:val="FontStyle33"/>
          <w:sz w:val="22"/>
          <w:szCs w:val="22"/>
          <w:lang w:val="sk-SK" w:eastAsia="es-ES_tradnl"/>
        </w:rPr>
        <w:t xml:space="preserve">jedincom </w:t>
      </w:r>
      <w:r w:rsidR="003B7D86" w:rsidRPr="00645EDC">
        <w:rPr>
          <w:rStyle w:val="FontStyle33"/>
          <w:sz w:val="22"/>
          <w:szCs w:val="22"/>
          <w:lang w:val="sk-SK" w:eastAsia="es-ES_tradnl"/>
        </w:rPr>
        <w:t>so závažným stupňom po</w:t>
      </w:r>
      <w:r w:rsidR="002E58F6">
        <w:rPr>
          <w:rStyle w:val="FontStyle33"/>
          <w:sz w:val="22"/>
          <w:szCs w:val="22"/>
          <w:lang w:val="sk-SK" w:eastAsia="es-ES_tradnl"/>
        </w:rPr>
        <w:t>ruchy</w:t>
      </w:r>
      <w:r w:rsidR="003B7D86" w:rsidRPr="00645EDC">
        <w:rPr>
          <w:rStyle w:val="FontStyle33"/>
          <w:sz w:val="22"/>
          <w:szCs w:val="22"/>
          <w:lang w:val="sk-SK" w:eastAsia="es-ES_tradnl"/>
        </w:rPr>
        <w:t xml:space="preserve"> funkcie obličiek poklesol celkový, renálny a nerenálny klírens o 67 %, 77 % a 50 %</w:t>
      </w:r>
      <w:r w:rsidRPr="00645EDC">
        <w:rPr>
          <w:rStyle w:val="FontStyle33"/>
          <w:sz w:val="22"/>
          <w:szCs w:val="22"/>
          <w:lang w:val="sk-SK" w:eastAsia="es-ES_tradnl"/>
        </w:rPr>
        <w:t>, v uvedenom poradí</w:t>
      </w:r>
      <w:r w:rsidR="003B7D86" w:rsidRPr="00645EDC">
        <w:rPr>
          <w:rStyle w:val="FontStyle33"/>
          <w:sz w:val="22"/>
          <w:szCs w:val="22"/>
          <w:lang w:val="sk-SK" w:eastAsia="es-ES_tradnl"/>
        </w:rPr>
        <w:t xml:space="preserve">. Avšak nepozorovalo sa žiadne zníženie znášanlivosti spojené so zvýšením expozície. Vzhľadom na obmedzené klinické skúsenosti sa </w:t>
      </w:r>
      <w:r w:rsidR="004C3DC1" w:rsidRPr="00645EDC">
        <w:rPr>
          <w:rStyle w:val="FontStyle33"/>
          <w:sz w:val="22"/>
          <w:szCs w:val="22"/>
          <w:lang w:val="sk-SK" w:eastAsia="es-ES_tradnl"/>
        </w:rPr>
        <w:t>Licobondrat</w:t>
      </w:r>
      <w:r w:rsidR="003B7D86" w:rsidRPr="00645EDC">
        <w:rPr>
          <w:rStyle w:val="FontStyle33"/>
          <w:sz w:val="22"/>
          <w:szCs w:val="22"/>
          <w:lang w:val="sk-SK" w:eastAsia="es-ES_tradnl"/>
        </w:rPr>
        <w:t xml:space="preserve"> 150 mg neodporúča pacientom so závažn</w:t>
      </w:r>
      <w:r w:rsidR="002E58F6">
        <w:rPr>
          <w:rStyle w:val="FontStyle33"/>
          <w:sz w:val="22"/>
          <w:szCs w:val="22"/>
          <w:lang w:val="sk-SK" w:eastAsia="es-ES_tradnl"/>
        </w:rPr>
        <w:t>ou</w:t>
      </w:r>
      <w:r w:rsidR="003B7D86" w:rsidRPr="00645EDC">
        <w:rPr>
          <w:rStyle w:val="FontStyle33"/>
          <w:sz w:val="22"/>
          <w:szCs w:val="22"/>
          <w:lang w:val="sk-SK" w:eastAsia="es-ES_tradnl"/>
        </w:rPr>
        <w:t xml:space="preserve"> po</w:t>
      </w:r>
      <w:r w:rsidR="002E58F6">
        <w:rPr>
          <w:rStyle w:val="FontStyle33"/>
          <w:sz w:val="22"/>
          <w:szCs w:val="22"/>
          <w:lang w:val="sk-SK" w:eastAsia="es-ES_tradnl"/>
        </w:rPr>
        <w:t>ruchou</w:t>
      </w:r>
      <w:r w:rsidR="003B7D86" w:rsidRPr="00645EDC">
        <w:rPr>
          <w:rStyle w:val="FontStyle33"/>
          <w:sz w:val="22"/>
          <w:szCs w:val="22"/>
          <w:lang w:val="sk-SK" w:eastAsia="es-ES_tradnl"/>
        </w:rPr>
        <w:t xml:space="preserve"> funkcie obličiek (pozri časť </w:t>
      </w:r>
      <w:smartTag w:uri="urn:schemas-microsoft-com:office:smarttags" w:element="metricconverter">
        <w:smartTagPr>
          <w:attr w:name="ProductID" w:val="4.2 a"/>
        </w:smartTagPr>
        <w:r w:rsidR="003B7D86" w:rsidRPr="00645EDC">
          <w:rPr>
            <w:rStyle w:val="FontStyle33"/>
            <w:sz w:val="22"/>
            <w:szCs w:val="22"/>
            <w:lang w:val="sk-SK" w:eastAsia="es-ES_tradnl"/>
          </w:rPr>
          <w:t>4.2 a</w:t>
        </w:r>
      </w:smartTag>
      <w:r w:rsidR="003B7D86" w:rsidRPr="00645EDC">
        <w:rPr>
          <w:rStyle w:val="FontStyle33"/>
          <w:sz w:val="22"/>
          <w:szCs w:val="22"/>
          <w:lang w:val="sk-SK" w:eastAsia="es-ES_tradnl"/>
        </w:rPr>
        <w:t xml:space="preserve"> časť 4.4). Farmakokinetika kyseliny ibandrónovej nebola stanovená u pacientov s renálnym ochorením v konečnej fáze, ktoré bolo kontrolované inak ako hemodialýzou. Farmakokinetika kyseliny ibandrónovej u týchto pacientov nie je známa, a preto sa kyselina ibandrónová </w:t>
      </w:r>
      <w:r w:rsidRPr="00645EDC">
        <w:rPr>
          <w:rStyle w:val="FontStyle33"/>
          <w:sz w:val="22"/>
          <w:szCs w:val="22"/>
          <w:lang w:val="sk-SK" w:eastAsia="es-ES_tradnl"/>
        </w:rPr>
        <w:t xml:space="preserve">nemá </w:t>
      </w:r>
      <w:r w:rsidR="003B7D86" w:rsidRPr="00645EDC">
        <w:rPr>
          <w:rStyle w:val="FontStyle33"/>
          <w:sz w:val="22"/>
          <w:szCs w:val="22"/>
          <w:lang w:val="sk-SK" w:eastAsia="es-ES_tradnl"/>
        </w:rPr>
        <w:t>používať za týchto okolností.</w:t>
      </w:r>
    </w:p>
    <w:p w14:paraId="3E0B8F7E" w14:textId="77777777" w:rsidR="003B7D86" w:rsidRPr="00645EDC" w:rsidRDefault="003B7D86" w:rsidP="003B7D86">
      <w:pPr>
        <w:pStyle w:val="Style8"/>
        <w:widowControl/>
        <w:rPr>
          <w:sz w:val="22"/>
          <w:szCs w:val="22"/>
          <w:lang w:val="sk-SK"/>
        </w:rPr>
      </w:pPr>
    </w:p>
    <w:p w14:paraId="5C8C9BCE" w14:textId="6425531A" w:rsidR="003B7D86" w:rsidRPr="00645EDC" w:rsidRDefault="003B7D86" w:rsidP="003B7D86">
      <w:pPr>
        <w:pStyle w:val="Style8"/>
        <w:widowControl/>
        <w:rPr>
          <w:rStyle w:val="FontStyle30"/>
          <w:sz w:val="22"/>
          <w:szCs w:val="22"/>
          <w:lang w:val="sk-SK" w:eastAsia="en-US"/>
        </w:rPr>
      </w:pPr>
      <w:r w:rsidRPr="00645EDC">
        <w:rPr>
          <w:rStyle w:val="FontStyle30"/>
          <w:sz w:val="22"/>
          <w:szCs w:val="22"/>
          <w:lang w:val="sk-SK" w:eastAsia="en-US"/>
        </w:rPr>
        <w:t>Pacienti s po</w:t>
      </w:r>
      <w:r w:rsidR="002E58F6">
        <w:rPr>
          <w:rStyle w:val="FontStyle30"/>
          <w:sz w:val="22"/>
          <w:szCs w:val="22"/>
          <w:lang w:val="sk-SK" w:eastAsia="en-US"/>
        </w:rPr>
        <w:t>ruchou</w:t>
      </w:r>
      <w:r w:rsidRPr="00645EDC">
        <w:rPr>
          <w:rStyle w:val="FontStyle30"/>
          <w:sz w:val="22"/>
          <w:szCs w:val="22"/>
          <w:lang w:val="sk-SK" w:eastAsia="en-US"/>
        </w:rPr>
        <w:t xml:space="preserve"> funkcie pečene</w:t>
      </w:r>
      <w:r w:rsidR="00E53C05" w:rsidRPr="00645EDC">
        <w:rPr>
          <w:rStyle w:val="FontStyle30"/>
          <w:sz w:val="22"/>
          <w:szCs w:val="22"/>
          <w:lang w:val="sk-SK" w:eastAsia="en-US"/>
        </w:rPr>
        <w:t xml:space="preserve"> (pozri časť 4.2)</w:t>
      </w:r>
    </w:p>
    <w:p w14:paraId="19420F2C" w14:textId="09C3DD68" w:rsidR="003B7D86" w:rsidRPr="00645EDC" w:rsidRDefault="003B7D86" w:rsidP="003B7D86">
      <w:pPr>
        <w:pStyle w:val="Style9"/>
        <w:widowControl/>
        <w:spacing w:line="240" w:lineRule="auto"/>
        <w:rPr>
          <w:rStyle w:val="FontStyle33"/>
          <w:sz w:val="22"/>
          <w:szCs w:val="22"/>
          <w:lang w:val="sk-SK" w:eastAsia="en-US"/>
        </w:rPr>
      </w:pPr>
      <w:r w:rsidRPr="00645EDC">
        <w:rPr>
          <w:rStyle w:val="FontStyle33"/>
          <w:sz w:val="22"/>
          <w:szCs w:val="22"/>
          <w:lang w:val="sk-SK" w:eastAsia="en-US"/>
        </w:rPr>
        <w:t>Nie sú známe žiadne farmakokinetické údaje o kyseline ibandrónovej u pacientov s po</w:t>
      </w:r>
      <w:r w:rsidR="002E58F6">
        <w:rPr>
          <w:rStyle w:val="FontStyle33"/>
          <w:sz w:val="22"/>
          <w:szCs w:val="22"/>
          <w:lang w:val="sk-SK" w:eastAsia="en-US"/>
        </w:rPr>
        <w:t>ruchou</w:t>
      </w:r>
      <w:r w:rsidRPr="00645EDC">
        <w:rPr>
          <w:rStyle w:val="FontStyle33"/>
          <w:sz w:val="22"/>
          <w:szCs w:val="22"/>
          <w:lang w:val="sk-SK" w:eastAsia="en-US"/>
        </w:rPr>
        <w:t xml:space="preserve"> funkcie pečene. Pečeň nemá žiadnu významnú úlohu pri klírense kyseliny ibandrónovej, ktorá nie je metabolizovaná, ale je uvoľnená renálnou exkréciou a </w:t>
      </w:r>
      <w:r w:rsidR="002871FB" w:rsidRPr="00645EDC">
        <w:rPr>
          <w:rStyle w:val="FontStyle33"/>
          <w:sz w:val="22"/>
          <w:szCs w:val="22"/>
          <w:lang w:val="sk-SK" w:eastAsia="en-US"/>
        </w:rPr>
        <w:t xml:space="preserve">prijímom </w:t>
      </w:r>
      <w:r w:rsidRPr="00645EDC">
        <w:rPr>
          <w:rStyle w:val="FontStyle33"/>
          <w:sz w:val="22"/>
          <w:szCs w:val="22"/>
          <w:lang w:val="sk-SK" w:eastAsia="en-US"/>
        </w:rPr>
        <w:t>kosťami. Preto u pacientov s po</w:t>
      </w:r>
      <w:r w:rsidR="002E58F6">
        <w:rPr>
          <w:rStyle w:val="FontStyle33"/>
          <w:sz w:val="22"/>
          <w:szCs w:val="22"/>
          <w:lang w:val="sk-SK" w:eastAsia="en-US"/>
        </w:rPr>
        <w:t>ruchou</w:t>
      </w:r>
      <w:r w:rsidRPr="00645EDC">
        <w:rPr>
          <w:rStyle w:val="FontStyle33"/>
          <w:sz w:val="22"/>
          <w:szCs w:val="22"/>
          <w:lang w:val="sk-SK" w:eastAsia="en-US"/>
        </w:rPr>
        <w:t xml:space="preserve"> funkcie pečene nie je potrebné upraviť dávku.</w:t>
      </w:r>
    </w:p>
    <w:p w14:paraId="164CBC97" w14:textId="77777777" w:rsidR="003B7D86" w:rsidRPr="00645EDC" w:rsidRDefault="003B7D86" w:rsidP="003B7D86">
      <w:pPr>
        <w:pStyle w:val="Style8"/>
        <w:widowControl/>
        <w:rPr>
          <w:sz w:val="22"/>
          <w:szCs w:val="22"/>
          <w:lang w:val="sk-SK"/>
        </w:rPr>
      </w:pPr>
    </w:p>
    <w:p w14:paraId="18EBA9C6" w14:textId="77777777" w:rsidR="003B7D86" w:rsidRPr="00645EDC" w:rsidRDefault="003B7D86" w:rsidP="003B7D86">
      <w:pPr>
        <w:pStyle w:val="Style8"/>
        <w:widowControl/>
        <w:rPr>
          <w:rStyle w:val="FontStyle30"/>
          <w:sz w:val="22"/>
          <w:szCs w:val="22"/>
          <w:lang w:val="sk-SK" w:eastAsia="es-ES_tradnl"/>
        </w:rPr>
      </w:pPr>
      <w:r w:rsidRPr="00645EDC">
        <w:rPr>
          <w:rStyle w:val="FontStyle30"/>
          <w:sz w:val="22"/>
          <w:szCs w:val="22"/>
          <w:lang w:val="sk-SK" w:eastAsia="es-ES_tradnl"/>
        </w:rPr>
        <w:t>Starší pacienti</w:t>
      </w:r>
      <w:r w:rsidR="00E53C05" w:rsidRPr="00645EDC">
        <w:rPr>
          <w:rStyle w:val="FontStyle30"/>
          <w:sz w:val="22"/>
          <w:szCs w:val="22"/>
          <w:lang w:val="sk-SK" w:eastAsia="es-ES_tradnl"/>
        </w:rPr>
        <w:t xml:space="preserve"> </w:t>
      </w:r>
      <w:r w:rsidR="00E53C05" w:rsidRPr="00645EDC">
        <w:rPr>
          <w:rStyle w:val="FontStyle30"/>
          <w:sz w:val="22"/>
          <w:szCs w:val="22"/>
          <w:lang w:val="sk-SK" w:eastAsia="en-US"/>
        </w:rPr>
        <w:t>(pozri časť 4.2)</w:t>
      </w:r>
    </w:p>
    <w:p w14:paraId="23DCDE42" w14:textId="7515EABB" w:rsidR="003B7D86" w:rsidRPr="00645EDC" w:rsidRDefault="003B7D86" w:rsidP="003B7D86">
      <w:pPr>
        <w:pStyle w:val="Style9"/>
        <w:widowControl/>
        <w:spacing w:line="240" w:lineRule="auto"/>
        <w:rPr>
          <w:rStyle w:val="FontStyle33"/>
          <w:sz w:val="22"/>
          <w:szCs w:val="22"/>
          <w:lang w:val="sk-SK" w:eastAsia="en-US"/>
        </w:rPr>
      </w:pPr>
      <w:r w:rsidRPr="00645EDC">
        <w:rPr>
          <w:rStyle w:val="FontStyle33"/>
          <w:sz w:val="22"/>
          <w:szCs w:val="22"/>
          <w:lang w:val="sk-SK" w:eastAsia="en-US"/>
        </w:rPr>
        <w:t>Na základe viacnásobnej analýzy sa nezistilo, že by vek bol nezávislým faktorom akéhokoľvek zo študovaných farmakokinetických parametrov. Jediný faktor, ktorý treba brať do úvahy je ten, že s vekom sa zhoršuje funkcia obličiek (pozri časť po</w:t>
      </w:r>
      <w:r w:rsidR="002E58F6">
        <w:rPr>
          <w:rStyle w:val="FontStyle33"/>
          <w:sz w:val="22"/>
          <w:szCs w:val="22"/>
          <w:lang w:val="sk-SK" w:eastAsia="en-US"/>
        </w:rPr>
        <w:t>rucha</w:t>
      </w:r>
      <w:r w:rsidRPr="00645EDC">
        <w:rPr>
          <w:rStyle w:val="FontStyle33"/>
          <w:sz w:val="22"/>
          <w:szCs w:val="22"/>
          <w:lang w:val="sk-SK" w:eastAsia="en-US"/>
        </w:rPr>
        <w:t xml:space="preserve"> funkcie obličiek).</w:t>
      </w:r>
    </w:p>
    <w:p w14:paraId="6B474ED5" w14:textId="77777777" w:rsidR="003B7D86" w:rsidRPr="00645EDC" w:rsidRDefault="003B7D86" w:rsidP="003B7D86">
      <w:pPr>
        <w:pStyle w:val="Style8"/>
        <w:widowControl/>
        <w:rPr>
          <w:sz w:val="22"/>
          <w:szCs w:val="22"/>
          <w:lang w:val="sk-SK"/>
        </w:rPr>
      </w:pPr>
    </w:p>
    <w:p w14:paraId="29A83ED0" w14:textId="4BAADAAD" w:rsidR="003B7D86" w:rsidRPr="00645EDC" w:rsidRDefault="00E53C05" w:rsidP="003B7D86">
      <w:pPr>
        <w:pStyle w:val="Style8"/>
        <w:widowControl/>
        <w:rPr>
          <w:rStyle w:val="FontStyle30"/>
          <w:sz w:val="22"/>
          <w:szCs w:val="22"/>
          <w:lang w:val="sk-SK" w:eastAsia="en-US"/>
        </w:rPr>
      </w:pPr>
      <w:r w:rsidRPr="00645EDC">
        <w:rPr>
          <w:rStyle w:val="FontStyle30"/>
          <w:sz w:val="22"/>
          <w:szCs w:val="22"/>
          <w:lang w:val="sk-SK" w:eastAsia="en-US"/>
        </w:rPr>
        <w:t>Pediatrická populácia (pozri časti 4.</w:t>
      </w:r>
      <w:r w:rsidR="00BC2FE8" w:rsidRPr="00645EDC">
        <w:rPr>
          <w:rStyle w:val="FontStyle30"/>
          <w:sz w:val="22"/>
          <w:szCs w:val="22"/>
          <w:lang w:val="sk-SK" w:eastAsia="en-US"/>
        </w:rPr>
        <w:t>2</w:t>
      </w:r>
      <w:r w:rsidRPr="00645EDC">
        <w:rPr>
          <w:rStyle w:val="FontStyle30"/>
          <w:sz w:val="22"/>
          <w:szCs w:val="22"/>
          <w:lang w:val="sk-SK" w:eastAsia="en-US"/>
        </w:rPr>
        <w:t xml:space="preserve"> a 5.1)</w:t>
      </w:r>
    </w:p>
    <w:p w14:paraId="367E67BD" w14:textId="77777777" w:rsidR="003B7D86" w:rsidRPr="00645EDC" w:rsidRDefault="003B7D86" w:rsidP="003B7D86">
      <w:pPr>
        <w:pStyle w:val="Style24"/>
        <w:widowControl/>
        <w:spacing w:line="240" w:lineRule="auto"/>
        <w:ind w:right="197"/>
        <w:jc w:val="left"/>
        <w:rPr>
          <w:rStyle w:val="FontStyle33"/>
          <w:sz w:val="22"/>
          <w:szCs w:val="22"/>
          <w:lang w:val="sk-SK" w:eastAsia="es-ES_tradnl"/>
        </w:rPr>
      </w:pPr>
      <w:r w:rsidRPr="00645EDC">
        <w:rPr>
          <w:rStyle w:val="FontStyle33"/>
          <w:sz w:val="22"/>
          <w:szCs w:val="22"/>
          <w:lang w:val="sk-SK" w:eastAsia="es-ES_tradnl"/>
        </w:rPr>
        <w:t xml:space="preserve">Neexistujú žiadne údaje o užívaní </w:t>
      </w:r>
      <w:r w:rsidR="004C3DC1" w:rsidRPr="00645EDC">
        <w:rPr>
          <w:rStyle w:val="FontStyle33"/>
          <w:sz w:val="22"/>
          <w:szCs w:val="22"/>
          <w:lang w:val="sk-SK" w:eastAsia="es-ES_tradnl"/>
        </w:rPr>
        <w:t>Licobondrat</w:t>
      </w:r>
      <w:r w:rsidRPr="00645EDC">
        <w:rPr>
          <w:rStyle w:val="FontStyle33"/>
          <w:sz w:val="22"/>
          <w:szCs w:val="22"/>
          <w:lang w:val="sk-SK" w:eastAsia="es-ES_tradnl"/>
        </w:rPr>
        <w:t>u 150 mg pacientmi tejto vekovej skupiny.</w:t>
      </w:r>
    </w:p>
    <w:p w14:paraId="2A5E7DA7" w14:textId="77777777" w:rsidR="003B7D86" w:rsidRPr="00645EDC" w:rsidRDefault="003B7D86" w:rsidP="003B7D86">
      <w:pPr>
        <w:pStyle w:val="Style24"/>
        <w:widowControl/>
        <w:spacing w:line="240" w:lineRule="auto"/>
        <w:ind w:right="2112"/>
        <w:jc w:val="left"/>
        <w:rPr>
          <w:rStyle w:val="FontStyle34"/>
          <w:sz w:val="22"/>
          <w:szCs w:val="22"/>
          <w:lang w:val="sk-SK" w:eastAsia="es-ES_tradnl"/>
        </w:rPr>
      </w:pPr>
    </w:p>
    <w:p w14:paraId="060727CB" w14:textId="77777777" w:rsidR="003B7D86" w:rsidRPr="00645EDC" w:rsidRDefault="003B7D86" w:rsidP="003B7D86">
      <w:pPr>
        <w:pStyle w:val="Style24"/>
        <w:widowControl/>
        <w:spacing w:line="240" w:lineRule="auto"/>
        <w:ind w:right="2112"/>
        <w:jc w:val="left"/>
        <w:rPr>
          <w:rStyle w:val="FontStyle34"/>
          <w:sz w:val="22"/>
          <w:szCs w:val="22"/>
          <w:lang w:val="sk-SK" w:eastAsia="es-ES_tradnl"/>
        </w:rPr>
      </w:pPr>
      <w:r w:rsidRPr="00645EDC">
        <w:rPr>
          <w:rStyle w:val="FontStyle34"/>
          <w:sz w:val="22"/>
          <w:szCs w:val="22"/>
          <w:lang w:val="sk-SK" w:eastAsia="es-ES_tradnl"/>
        </w:rPr>
        <w:t>5.3    Predklinické údaje o bezpečnosti</w:t>
      </w:r>
    </w:p>
    <w:p w14:paraId="5B8E4C18" w14:textId="77777777" w:rsidR="003B7D86" w:rsidRPr="00645EDC" w:rsidRDefault="003B7D86" w:rsidP="003B7D86">
      <w:pPr>
        <w:pStyle w:val="Style9"/>
        <w:widowControl/>
        <w:spacing w:line="240" w:lineRule="auto"/>
        <w:rPr>
          <w:rStyle w:val="FontStyle33"/>
          <w:sz w:val="22"/>
          <w:szCs w:val="22"/>
          <w:lang w:val="sk-SK" w:eastAsia="es-ES_tradnl"/>
        </w:rPr>
      </w:pPr>
    </w:p>
    <w:p w14:paraId="7D0A1B24" w14:textId="7195BDF0"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 xml:space="preserve">Toxické účinky, t. j. </w:t>
      </w:r>
      <w:r w:rsidR="002871FB" w:rsidRPr="00645EDC">
        <w:rPr>
          <w:rStyle w:val="FontStyle33"/>
          <w:sz w:val="22"/>
          <w:szCs w:val="22"/>
          <w:lang w:val="sk-SK" w:eastAsia="es-ES_tradnl"/>
        </w:rPr>
        <w:t xml:space="preserve">prejavy </w:t>
      </w:r>
      <w:r w:rsidRPr="00645EDC">
        <w:rPr>
          <w:rStyle w:val="FontStyle33"/>
          <w:sz w:val="22"/>
          <w:szCs w:val="22"/>
          <w:lang w:val="sk-SK" w:eastAsia="es-ES_tradnl"/>
        </w:rPr>
        <w:t>renálneho poškodenia</w:t>
      </w:r>
      <w:r w:rsidR="002871FB" w:rsidRPr="00645EDC">
        <w:rPr>
          <w:rStyle w:val="FontStyle33"/>
          <w:sz w:val="22"/>
          <w:szCs w:val="22"/>
          <w:lang w:val="sk-SK" w:eastAsia="es-ES_tradnl"/>
        </w:rPr>
        <w:t>,</w:t>
      </w:r>
      <w:r w:rsidRPr="00645EDC">
        <w:rPr>
          <w:rStyle w:val="FontStyle33"/>
          <w:sz w:val="22"/>
          <w:szCs w:val="22"/>
          <w:lang w:val="sk-SK" w:eastAsia="es-ES_tradnl"/>
        </w:rPr>
        <w:t xml:space="preserve"> sa pozorovali u psov len pri expozíciách považovaných za dostatočné v nadbytku maximálnej expozície u ľudí, čo naznačuje malý význam pre klinické použitie.</w:t>
      </w:r>
    </w:p>
    <w:p w14:paraId="07C03FE6" w14:textId="77777777" w:rsidR="003B7D86" w:rsidRPr="00645EDC" w:rsidRDefault="003B7D86" w:rsidP="003B7D86">
      <w:pPr>
        <w:pStyle w:val="Style8"/>
        <w:widowControl/>
        <w:rPr>
          <w:sz w:val="22"/>
          <w:szCs w:val="22"/>
          <w:lang w:val="sk-SK"/>
        </w:rPr>
      </w:pPr>
    </w:p>
    <w:p w14:paraId="75600BEE" w14:textId="77777777" w:rsidR="003B7D86" w:rsidRPr="00645EDC" w:rsidRDefault="003B7D86" w:rsidP="003B7D86">
      <w:pPr>
        <w:pStyle w:val="Style8"/>
        <w:widowControl/>
        <w:rPr>
          <w:rStyle w:val="FontStyle30"/>
          <w:sz w:val="22"/>
          <w:szCs w:val="22"/>
          <w:lang w:val="sk-SK" w:eastAsia="es-ES_tradnl"/>
        </w:rPr>
      </w:pPr>
      <w:r w:rsidRPr="00645EDC">
        <w:rPr>
          <w:rStyle w:val="FontStyle30"/>
          <w:sz w:val="22"/>
          <w:szCs w:val="22"/>
          <w:lang w:val="sk-SK" w:eastAsia="es-ES_tradnl"/>
        </w:rPr>
        <w:t>Mutagenita/Karcinogenita:</w:t>
      </w:r>
    </w:p>
    <w:p w14:paraId="00B69E34" w14:textId="77777777" w:rsidR="003B7D86" w:rsidRPr="00645EDC" w:rsidRDefault="003B7D86" w:rsidP="003B7D86">
      <w:pPr>
        <w:pStyle w:val="Style7"/>
        <w:widowControl/>
        <w:spacing w:line="240" w:lineRule="auto"/>
        <w:rPr>
          <w:rStyle w:val="FontStyle33"/>
          <w:sz w:val="22"/>
          <w:szCs w:val="22"/>
          <w:lang w:val="sk-SK" w:eastAsia="es-ES_tradnl"/>
        </w:rPr>
      </w:pPr>
      <w:r w:rsidRPr="00645EDC">
        <w:rPr>
          <w:rStyle w:val="FontStyle33"/>
          <w:sz w:val="22"/>
          <w:szCs w:val="22"/>
          <w:lang w:val="sk-SK" w:eastAsia="es-ES_tradnl"/>
        </w:rPr>
        <w:t>Nepozoroval sa žiadny náznak karcinogénneho potenciálu. Testy na genotoxicitu nedokázali genetickú aktivitu kyseliny ibandrónovej.</w:t>
      </w:r>
    </w:p>
    <w:p w14:paraId="78DFE45D" w14:textId="77777777" w:rsidR="003B7D86" w:rsidRPr="00645EDC" w:rsidRDefault="003B7D86" w:rsidP="003B7D86">
      <w:pPr>
        <w:pStyle w:val="Style8"/>
        <w:widowControl/>
        <w:rPr>
          <w:sz w:val="22"/>
          <w:szCs w:val="22"/>
          <w:lang w:val="sk-SK"/>
        </w:rPr>
      </w:pPr>
    </w:p>
    <w:p w14:paraId="4048BBD2" w14:textId="77777777" w:rsidR="003B7D86" w:rsidRPr="00645EDC" w:rsidRDefault="003B7D86" w:rsidP="003B7D86">
      <w:pPr>
        <w:pStyle w:val="Style8"/>
        <w:widowControl/>
        <w:rPr>
          <w:rStyle w:val="FontStyle30"/>
          <w:sz w:val="22"/>
          <w:szCs w:val="22"/>
          <w:lang w:val="sk-SK" w:eastAsia="es-ES_tradnl"/>
        </w:rPr>
      </w:pPr>
      <w:r w:rsidRPr="00645EDC">
        <w:rPr>
          <w:rStyle w:val="FontStyle30"/>
          <w:sz w:val="22"/>
          <w:szCs w:val="22"/>
          <w:lang w:val="sk-SK" w:eastAsia="es-ES_tradnl"/>
        </w:rPr>
        <w:t>Reprodukčná toxicita:</w:t>
      </w:r>
    </w:p>
    <w:p w14:paraId="415A4C38" w14:textId="24CEBAD9" w:rsidR="003B7D86" w:rsidRPr="00645EDC" w:rsidRDefault="003B7D8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U potkanov a králikov, ktorí dostávali perorálne kyselinu ibandrónovú, sa nedokázal jej priamy toxický alebo teratogénny vplyv na plod a u potkanov sa nepozorovali žiadne nežiaduce účinky na vývin potomstva F</w:t>
      </w:r>
      <w:r w:rsidRPr="00645EDC">
        <w:rPr>
          <w:rStyle w:val="FontStyle33"/>
          <w:sz w:val="22"/>
          <w:szCs w:val="22"/>
          <w:vertAlign w:val="subscript"/>
          <w:lang w:val="sk-SK" w:eastAsia="es-ES_tradnl"/>
        </w:rPr>
        <w:t>1</w:t>
      </w:r>
      <w:r w:rsidRPr="00645EDC">
        <w:rPr>
          <w:rStyle w:val="FontStyle33"/>
          <w:sz w:val="22"/>
          <w:szCs w:val="22"/>
          <w:lang w:val="sk-SK" w:eastAsia="es-ES_tradnl"/>
        </w:rPr>
        <w:t xml:space="preserve"> pri extrapolovanej expozícii, ktorá bola najmenej 35-krát väčšia ako expozícia u ľudí. </w:t>
      </w:r>
      <w:r w:rsidR="002871FB" w:rsidRPr="00645EDC">
        <w:rPr>
          <w:rStyle w:val="FontStyle33"/>
          <w:sz w:val="22"/>
          <w:szCs w:val="22"/>
          <w:lang w:val="sk-SK" w:eastAsia="es-ES_tradnl"/>
        </w:rPr>
        <w:t>V reprodukčných štúdiách u potkanov pri perorálnej ceste podávania, účinky na fertilitu pozostávali zo zvýšených preimplantačných strát pri dávkach 1 mg/kg/deň a</w:t>
      </w:r>
      <w:r w:rsidR="001932B3" w:rsidRPr="00645EDC">
        <w:rPr>
          <w:rStyle w:val="FontStyle33"/>
          <w:sz w:val="22"/>
          <w:szCs w:val="22"/>
          <w:lang w:val="sk-SK" w:eastAsia="es-ES_tradnl"/>
        </w:rPr>
        <w:t> </w:t>
      </w:r>
      <w:r w:rsidR="002871FB" w:rsidRPr="00645EDC">
        <w:rPr>
          <w:rStyle w:val="FontStyle33"/>
          <w:sz w:val="22"/>
          <w:szCs w:val="22"/>
          <w:lang w:val="sk-SK" w:eastAsia="es-ES_tradnl"/>
        </w:rPr>
        <w:t>vyšších</w:t>
      </w:r>
      <w:r w:rsidR="001932B3" w:rsidRPr="00645EDC">
        <w:rPr>
          <w:rStyle w:val="FontStyle33"/>
          <w:sz w:val="22"/>
          <w:szCs w:val="22"/>
          <w:lang w:val="sk-SK" w:eastAsia="es-ES_tradnl"/>
        </w:rPr>
        <w:t xml:space="preserve">. V reprodukčných štúdiách u potkanov pri intravenóznej ceste podávania, kyselina ibandrónová znížila počet spermií pri dávkach 0,3 a 1 mg/kg/deň a znížila fertilitu u samcov pri dávke 1 mg/kg/deň a u samíc pri dávke 1,2 mg/kg/deň. </w:t>
      </w:r>
      <w:r w:rsidRPr="00645EDC">
        <w:rPr>
          <w:rStyle w:val="FontStyle33"/>
          <w:sz w:val="22"/>
          <w:szCs w:val="22"/>
          <w:lang w:val="sk-SK" w:eastAsia="es-ES_tradnl"/>
        </w:rPr>
        <w:t>Nežiaduce účinky kyseliny ibandrónovej v štúdiách o reprodukčnej toxicite u potkanov boli také</w:t>
      </w:r>
      <w:r w:rsidR="001932B3" w:rsidRPr="00645EDC">
        <w:rPr>
          <w:rStyle w:val="FontStyle33"/>
          <w:sz w:val="22"/>
          <w:szCs w:val="22"/>
          <w:lang w:val="sk-SK" w:eastAsia="es-ES_tradnl"/>
        </w:rPr>
        <w:t>,</w:t>
      </w:r>
      <w:r w:rsidRPr="00645EDC">
        <w:rPr>
          <w:rStyle w:val="FontStyle33"/>
          <w:sz w:val="22"/>
          <w:szCs w:val="22"/>
          <w:lang w:val="sk-SK" w:eastAsia="es-ES_tradnl"/>
        </w:rPr>
        <w:t xml:space="preserve"> aké sa pozorujú v prípade bisfosfonátov</w:t>
      </w:r>
      <w:r w:rsidR="001932B3" w:rsidRPr="00645EDC">
        <w:rPr>
          <w:rStyle w:val="FontStyle33"/>
          <w:sz w:val="22"/>
          <w:szCs w:val="22"/>
          <w:lang w:val="sk-SK" w:eastAsia="es-ES_tradnl"/>
        </w:rPr>
        <w:t xml:space="preserve"> ako skupiny</w:t>
      </w:r>
      <w:r w:rsidRPr="00645EDC">
        <w:rPr>
          <w:rStyle w:val="FontStyle33"/>
          <w:sz w:val="22"/>
          <w:szCs w:val="22"/>
          <w:lang w:val="sk-SK" w:eastAsia="es-ES_tradnl"/>
        </w:rPr>
        <w:t>. Zahŕňajú znížený počet implantačn</w:t>
      </w:r>
      <w:r w:rsidR="001932B3" w:rsidRPr="00645EDC">
        <w:rPr>
          <w:rStyle w:val="FontStyle33"/>
          <w:sz w:val="22"/>
          <w:szCs w:val="22"/>
          <w:lang w:val="sk-SK" w:eastAsia="es-ES_tradnl"/>
        </w:rPr>
        <w:t>ý</w:t>
      </w:r>
      <w:r w:rsidRPr="00645EDC">
        <w:rPr>
          <w:rStyle w:val="FontStyle33"/>
          <w:sz w:val="22"/>
          <w:szCs w:val="22"/>
          <w:lang w:val="sk-SK" w:eastAsia="es-ES_tradnl"/>
        </w:rPr>
        <w:t>ch miest, narušenie prirodzeného pôrodu (dystokia) a nárast viscerálnych odchýlok (renal pelvis ureter syndrome).</w:t>
      </w:r>
    </w:p>
    <w:p w14:paraId="402ACD85" w14:textId="77777777" w:rsidR="003B7D86" w:rsidRPr="00645EDC" w:rsidRDefault="003B7D86" w:rsidP="003B7D86">
      <w:pPr>
        <w:pStyle w:val="Style1"/>
        <w:widowControl/>
        <w:jc w:val="left"/>
        <w:rPr>
          <w:sz w:val="22"/>
          <w:szCs w:val="22"/>
          <w:lang w:val="sk-SK"/>
        </w:rPr>
      </w:pPr>
    </w:p>
    <w:p w14:paraId="451B449A" w14:textId="77777777" w:rsidR="003B7D86" w:rsidRPr="00645EDC" w:rsidRDefault="003B7D86" w:rsidP="003B7D86">
      <w:pPr>
        <w:pStyle w:val="Bezriadkovania1"/>
        <w:tabs>
          <w:tab w:val="left" w:pos="540"/>
        </w:tabs>
        <w:rPr>
          <w:rFonts w:ascii="Times New Roman" w:hAnsi="Times New Roman"/>
          <w:lang w:val="sk-SK"/>
        </w:rPr>
      </w:pPr>
    </w:p>
    <w:p w14:paraId="4223A741" w14:textId="77777777" w:rsidR="003B7D86" w:rsidRPr="00645EDC" w:rsidRDefault="003B7D86" w:rsidP="003B7D86">
      <w:pPr>
        <w:pStyle w:val="Bezriadkovania1"/>
        <w:numPr>
          <w:ilvl w:val="0"/>
          <w:numId w:val="1"/>
        </w:numPr>
        <w:tabs>
          <w:tab w:val="left" w:pos="540"/>
        </w:tabs>
        <w:ind w:left="0" w:firstLine="0"/>
        <w:rPr>
          <w:rFonts w:ascii="Times New Roman" w:hAnsi="Times New Roman"/>
          <w:b/>
          <w:bCs/>
          <w:lang w:val="sk-SK"/>
        </w:rPr>
      </w:pPr>
      <w:r w:rsidRPr="00645EDC">
        <w:rPr>
          <w:rFonts w:ascii="Times New Roman" w:hAnsi="Times New Roman"/>
          <w:b/>
          <w:bCs/>
          <w:lang w:val="sk-SK"/>
        </w:rPr>
        <w:t xml:space="preserve">FARMACEUTICKÉ </w:t>
      </w:r>
      <w:r w:rsidRPr="000E4718">
        <w:rPr>
          <w:rFonts w:ascii="Times New Roman" w:hAnsi="Times New Roman"/>
          <w:b/>
          <w:lang w:val="sk-SK"/>
        </w:rPr>
        <w:t>INFORMÁCIE</w:t>
      </w:r>
    </w:p>
    <w:p w14:paraId="6CD44440" w14:textId="77777777" w:rsidR="003B7D86" w:rsidRPr="00645EDC" w:rsidRDefault="003B7D86" w:rsidP="003B7D86">
      <w:pPr>
        <w:pStyle w:val="Bezriadkovania1"/>
        <w:tabs>
          <w:tab w:val="left" w:pos="540"/>
        </w:tabs>
        <w:rPr>
          <w:rFonts w:ascii="Times New Roman" w:hAnsi="Times New Roman"/>
          <w:lang w:val="sk-SK"/>
        </w:rPr>
      </w:pPr>
    </w:p>
    <w:p w14:paraId="264B2AB6" w14:textId="77777777" w:rsidR="003B7D86" w:rsidRPr="00645EDC" w:rsidRDefault="003B7D86" w:rsidP="003B7D86">
      <w:pPr>
        <w:pStyle w:val="Bezriadkovania1"/>
        <w:numPr>
          <w:ilvl w:val="1"/>
          <w:numId w:val="1"/>
        </w:numPr>
        <w:tabs>
          <w:tab w:val="left" w:pos="540"/>
        </w:tabs>
        <w:ind w:left="0" w:firstLine="0"/>
        <w:rPr>
          <w:rFonts w:ascii="Times New Roman" w:hAnsi="Times New Roman"/>
          <w:b/>
          <w:lang w:val="sk-SK"/>
        </w:rPr>
      </w:pPr>
      <w:r w:rsidRPr="000E4718">
        <w:rPr>
          <w:rFonts w:ascii="Times New Roman" w:hAnsi="Times New Roman"/>
          <w:b/>
          <w:lang w:val="sk-SK"/>
        </w:rPr>
        <w:lastRenderedPageBreak/>
        <w:t>Zoznam pomocných látok</w:t>
      </w:r>
    </w:p>
    <w:p w14:paraId="2CB24B7B" w14:textId="77777777" w:rsidR="003B7D86" w:rsidRPr="00645EDC" w:rsidRDefault="003B7D86" w:rsidP="003B7D86">
      <w:pPr>
        <w:pStyle w:val="Bezriadkovania1"/>
        <w:tabs>
          <w:tab w:val="left" w:pos="540"/>
        </w:tabs>
        <w:rPr>
          <w:rFonts w:ascii="Times New Roman" w:hAnsi="Times New Roman"/>
          <w:lang w:val="sk-SK"/>
        </w:rPr>
      </w:pPr>
    </w:p>
    <w:p w14:paraId="4F066C79" w14:textId="77777777" w:rsidR="00130FB6" w:rsidRPr="00645EDC" w:rsidRDefault="003B7D86" w:rsidP="00130FB6">
      <w:pPr>
        <w:pStyle w:val="Style9"/>
        <w:widowControl/>
        <w:spacing w:line="240" w:lineRule="auto"/>
        <w:ind w:right="6235"/>
        <w:rPr>
          <w:rStyle w:val="FontStyle30"/>
          <w:sz w:val="22"/>
          <w:szCs w:val="22"/>
          <w:lang w:val="sk-SK" w:eastAsia="es-ES_tradnl"/>
        </w:rPr>
      </w:pPr>
      <w:r w:rsidRPr="00645EDC">
        <w:rPr>
          <w:rStyle w:val="FontStyle30"/>
          <w:sz w:val="22"/>
          <w:szCs w:val="22"/>
          <w:lang w:val="sk-SK" w:eastAsia="es-ES_tradnl"/>
        </w:rPr>
        <w:t xml:space="preserve">Jadro tablety </w:t>
      </w:r>
    </w:p>
    <w:p w14:paraId="447C400A" w14:textId="29E2DC4B" w:rsidR="003B7D86" w:rsidRPr="00645EDC" w:rsidRDefault="00130FB6" w:rsidP="00130FB6">
      <w:pPr>
        <w:pStyle w:val="Style9"/>
        <w:widowControl/>
        <w:spacing w:line="240" w:lineRule="auto"/>
        <w:ind w:right="6235"/>
        <w:rPr>
          <w:rStyle w:val="FontStyle33"/>
          <w:sz w:val="22"/>
          <w:szCs w:val="22"/>
          <w:lang w:val="sk-SK" w:eastAsia="es-ES_tradnl"/>
        </w:rPr>
      </w:pPr>
      <w:r w:rsidRPr="00645EDC">
        <w:rPr>
          <w:rStyle w:val="FontStyle33"/>
          <w:sz w:val="22"/>
          <w:szCs w:val="22"/>
          <w:lang w:val="sk-SK" w:eastAsia="es-ES_tradnl"/>
        </w:rPr>
        <w:t>m</w:t>
      </w:r>
      <w:r w:rsidR="003B7D86" w:rsidRPr="00645EDC">
        <w:rPr>
          <w:rStyle w:val="FontStyle33"/>
          <w:sz w:val="22"/>
          <w:szCs w:val="22"/>
          <w:lang w:val="sk-SK" w:eastAsia="es-ES_tradnl"/>
        </w:rPr>
        <w:t xml:space="preserve">onohydrát laktózy </w:t>
      </w:r>
    </w:p>
    <w:p w14:paraId="6DB1908E" w14:textId="7F29EB54" w:rsidR="003B7D86" w:rsidRPr="00645EDC" w:rsidRDefault="00130FB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m</w:t>
      </w:r>
      <w:r w:rsidR="003B7D86" w:rsidRPr="00645EDC">
        <w:rPr>
          <w:rStyle w:val="FontStyle33"/>
          <w:sz w:val="22"/>
          <w:szCs w:val="22"/>
          <w:lang w:val="sk-SK" w:eastAsia="es-ES_tradnl"/>
        </w:rPr>
        <w:t>ikrokryštalická celulóza</w:t>
      </w:r>
    </w:p>
    <w:p w14:paraId="50037805" w14:textId="0635FDAA" w:rsidR="003B7D86" w:rsidRPr="00645EDC" w:rsidRDefault="00130FB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de-DE"/>
        </w:rPr>
        <w:t>s</w:t>
      </w:r>
      <w:r w:rsidR="003B7D86" w:rsidRPr="00645EDC">
        <w:rPr>
          <w:rStyle w:val="FontStyle33"/>
          <w:sz w:val="22"/>
          <w:szCs w:val="22"/>
          <w:lang w:val="sk-SK" w:eastAsia="de-DE"/>
        </w:rPr>
        <w:t xml:space="preserve">odná soľ kroskarmelózy </w:t>
      </w:r>
    </w:p>
    <w:p w14:paraId="302028F7" w14:textId="605117E1" w:rsidR="003B7D86" w:rsidRPr="00645EDC" w:rsidRDefault="00130FB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de-DE"/>
        </w:rPr>
        <w:t>m</w:t>
      </w:r>
      <w:r w:rsidR="003B7D86" w:rsidRPr="00645EDC">
        <w:rPr>
          <w:rStyle w:val="FontStyle33"/>
          <w:sz w:val="22"/>
          <w:szCs w:val="22"/>
          <w:lang w:val="sk-SK" w:eastAsia="de-DE"/>
        </w:rPr>
        <w:t>agnéziumstearát</w:t>
      </w:r>
    </w:p>
    <w:p w14:paraId="5CD05AB4" w14:textId="220E0AA0" w:rsidR="003B7D86" w:rsidRPr="00645EDC" w:rsidRDefault="00130FB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k</w:t>
      </w:r>
      <w:r w:rsidR="003B7D86" w:rsidRPr="00645EDC">
        <w:rPr>
          <w:rStyle w:val="FontStyle33"/>
          <w:sz w:val="22"/>
          <w:szCs w:val="22"/>
          <w:lang w:val="sk-SK" w:eastAsia="es-ES_tradnl"/>
        </w:rPr>
        <w:t>oloidný oxid kremičitý bezvodý</w:t>
      </w:r>
    </w:p>
    <w:p w14:paraId="40349677" w14:textId="77777777" w:rsidR="003B7D86" w:rsidRPr="00645EDC" w:rsidRDefault="003B7D86" w:rsidP="003B7D86">
      <w:pPr>
        <w:pStyle w:val="Style9"/>
        <w:widowControl/>
        <w:spacing w:line="240" w:lineRule="auto"/>
        <w:ind w:right="7181"/>
        <w:rPr>
          <w:sz w:val="22"/>
          <w:szCs w:val="22"/>
          <w:lang w:val="sk-SK"/>
        </w:rPr>
      </w:pPr>
    </w:p>
    <w:p w14:paraId="3C7D1C5C" w14:textId="77777777" w:rsidR="003B7D86" w:rsidRPr="00645EDC" w:rsidRDefault="003B7D86" w:rsidP="003B7D86">
      <w:pPr>
        <w:pStyle w:val="Style9"/>
        <w:widowControl/>
        <w:spacing w:line="240" w:lineRule="auto"/>
        <w:ind w:right="197"/>
        <w:rPr>
          <w:rStyle w:val="FontStyle30"/>
          <w:sz w:val="22"/>
          <w:szCs w:val="22"/>
          <w:lang w:val="sk-SK" w:eastAsia="es-ES_tradnl"/>
        </w:rPr>
      </w:pPr>
      <w:r w:rsidRPr="00645EDC">
        <w:rPr>
          <w:rStyle w:val="FontStyle30"/>
          <w:sz w:val="22"/>
          <w:szCs w:val="22"/>
          <w:lang w:val="sk-SK" w:eastAsia="es-ES_tradnl"/>
        </w:rPr>
        <w:t xml:space="preserve">Obal tablety </w:t>
      </w:r>
    </w:p>
    <w:p w14:paraId="26B5DA0D" w14:textId="0FBA6795" w:rsidR="003B7D86" w:rsidRPr="00645EDC" w:rsidRDefault="00130FB6" w:rsidP="003B7D86">
      <w:pPr>
        <w:pStyle w:val="Style9"/>
        <w:widowControl/>
        <w:spacing w:line="240" w:lineRule="auto"/>
        <w:ind w:right="197"/>
        <w:rPr>
          <w:rStyle w:val="FontStyle33"/>
          <w:sz w:val="22"/>
          <w:szCs w:val="22"/>
          <w:lang w:val="sk-SK" w:eastAsia="es-ES_tradnl"/>
        </w:rPr>
      </w:pPr>
      <w:r w:rsidRPr="00645EDC">
        <w:rPr>
          <w:rStyle w:val="FontStyle34"/>
          <w:b w:val="0"/>
          <w:bCs w:val="0"/>
          <w:sz w:val="22"/>
          <w:szCs w:val="22"/>
          <w:lang w:val="sk-SK" w:eastAsia="de-DE"/>
        </w:rPr>
        <w:t>h</w:t>
      </w:r>
      <w:r w:rsidR="003B7D86" w:rsidRPr="00645EDC">
        <w:rPr>
          <w:rStyle w:val="FontStyle33"/>
          <w:sz w:val="22"/>
          <w:szCs w:val="22"/>
          <w:lang w:val="sk-SK" w:eastAsia="de-DE"/>
        </w:rPr>
        <w:t>ydroxypropylcelulóza</w:t>
      </w:r>
      <w:r w:rsidR="003B7D86" w:rsidRPr="00645EDC">
        <w:rPr>
          <w:rStyle w:val="FontStyle33"/>
          <w:sz w:val="22"/>
          <w:szCs w:val="22"/>
          <w:lang w:val="sk-SK" w:eastAsia="es-ES_tradnl"/>
        </w:rPr>
        <w:t xml:space="preserve"> </w:t>
      </w:r>
    </w:p>
    <w:p w14:paraId="297AFC64" w14:textId="7D246F3B" w:rsidR="003B7D86" w:rsidRPr="00645EDC" w:rsidRDefault="00130FB6" w:rsidP="003B7D86">
      <w:pPr>
        <w:pStyle w:val="Style9"/>
        <w:widowControl/>
        <w:spacing w:line="240" w:lineRule="auto"/>
        <w:ind w:right="6730"/>
        <w:rPr>
          <w:rStyle w:val="FontStyle33"/>
          <w:sz w:val="22"/>
          <w:szCs w:val="22"/>
          <w:lang w:val="sk-SK" w:eastAsia="es-ES_tradnl"/>
        </w:rPr>
      </w:pPr>
      <w:r w:rsidRPr="00645EDC">
        <w:rPr>
          <w:rStyle w:val="FontStyle33"/>
          <w:sz w:val="22"/>
          <w:szCs w:val="22"/>
          <w:lang w:val="sk-SK" w:eastAsia="es-ES_tradnl"/>
        </w:rPr>
        <w:t>o</w:t>
      </w:r>
      <w:r w:rsidR="003B7D86" w:rsidRPr="00645EDC">
        <w:rPr>
          <w:rStyle w:val="FontStyle33"/>
          <w:sz w:val="22"/>
          <w:szCs w:val="22"/>
          <w:lang w:val="sk-SK" w:eastAsia="es-ES_tradnl"/>
        </w:rPr>
        <w:t xml:space="preserve">xid titaničitý (E171) </w:t>
      </w:r>
    </w:p>
    <w:p w14:paraId="6E314FBB" w14:textId="79CC1BCC" w:rsidR="003B7D86" w:rsidRPr="00645EDC" w:rsidRDefault="00130FB6" w:rsidP="003B7D86">
      <w:pPr>
        <w:pStyle w:val="Style9"/>
        <w:widowControl/>
        <w:spacing w:line="240" w:lineRule="auto"/>
        <w:rPr>
          <w:rStyle w:val="FontStyle33"/>
          <w:sz w:val="22"/>
          <w:szCs w:val="22"/>
          <w:lang w:val="sk-SK" w:eastAsia="es-ES_tradnl"/>
        </w:rPr>
      </w:pPr>
      <w:r w:rsidRPr="00645EDC">
        <w:rPr>
          <w:rStyle w:val="FontStyle33"/>
          <w:sz w:val="22"/>
          <w:szCs w:val="22"/>
          <w:lang w:val="sk-SK" w:eastAsia="es-ES_tradnl"/>
        </w:rPr>
        <w:t>m</w:t>
      </w:r>
      <w:r w:rsidR="003B7D86" w:rsidRPr="00645EDC">
        <w:rPr>
          <w:rStyle w:val="FontStyle33"/>
          <w:sz w:val="22"/>
          <w:szCs w:val="22"/>
          <w:lang w:val="sk-SK" w:eastAsia="es-ES_tradnl"/>
        </w:rPr>
        <w:t>akrogol 6 000</w:t>
      </w:r>
    </w:p>
    <w:p w14:paraId="74CCBD1B" w14:textId="77777777" w:rsidR="003B7D86" w:rsidRPr="00645EDC" w:rsidRDefault="003B7D86" w:rsidP="003B7D86">
      <w:pPr>
        <w:pStyle w:val="Bezriadkovania1"/>
        <w:tabs>
          <w:tab w:val="left" w:pos="540"/>
        </w:tabs>
        <w:rPr>
          <w:rFonts w:ascii="Times New Roman" w:hAnsi="Times New Roman"/>
          <w:lang w:val="sk-SK"/>
        </w:rPr>
      </w:pPr>
    </w:p>
    <w:p w14:paraId="6D7F9E88" w14:textId="77777777" w:rsidR="003B7D86" w:rsidRPr="00645EDC" w:rsidRDefault="003B7D86" w:rsidP="003B7D86">
      <w:pPr>
        <w:pStyle w:val="Bezriadkovania1"/>
        <w:numPr>
          <w:ilvl w:val="1"/>
          <w:numId w:val="1"/>
        </w:numPr>
        <w:tabs>
          <w:tab w:val="left" w:pos="540"/>
        </w:tabs>
        <w:ind w:left="0" w:firstLine="0"/>
        <w:rPr>
          <w:rFonts w:ascii="Times New Roman" w:hAnsi="Times New Roman"/>
          <w:b/>
          <w:bCs/>
          <w:lang w:val="sk-SK"/>
        </w:rPr>
      </w:pPr>
      <w:r w:rsidRPr="000E4718">
        <w:rPr>
          <w:rFonts w:ascii="Times New Roman" w:hAnsi="Times New Roman"/>
          <w:b/>
          <w:lang w:val="sk-SK"/>
        </w:rPr>
        <w:t>Inkompatibility</w:t>
      </w:r>
    </w:p>
    <w:p w14:paraId="53F1ACA2" w14:textId="77777777" w:rsidR="003B7D86" w:rsidRPr="00645EDC" w:rsidRDefault="003B7D86" w:rsidP="003B7D86">
      <w:pPr>
        <w:pStyle w:val="Bezriadkovania1"/>
        <w:tabs>
          <w:tab w:val="left" w:pos="540"/>
        </w:tabs>
        <w:rPr>
          <w:rFonts w:ascii="Times New Roman" w:hAnsi="Times New Roman"/>
          <w:lang w:val="sk-SK"/>
        </w:rPr>
      </w:pPr>
    </w:p>
    <w:p w14:paraId="7978ABF9" w14:textId="77777777" w:rsidR="003B7D86" w:rsidRPr="00645EDC" w:rsidRDefault="003B7D86" w:rsidP="003B7D86">
      <w:pPr>
        <w:pStyle w:val="Style7"/>
        <w:widowControl/>
        <w:spacing w:line="240" w:lineRule="auto"/>
        <w:jc w:val="left"/>
        <w:rPr>
          <w:rStyle w:val="FontStyle33"/>
          <w:sz w:val="22"/>
          <w:szCs w:val="22"/>
          <w:lang w:val="sk-SK" w:eastAsia="en-US"/>
        </w:rPr>
      </w:pPr>
      <w:r w:rsidRPr="00645EDC">
        <w:rPr>
          <w:rStyle w:val="FontStyle33"/>
          <w:sz w:val="22"/>
          <w:szCs w:val="22"/>
          <w:lang w:val="sk-SK" w:eastAsia="en-US"/>
        </w:rPr>
        <w:t>Neaplikovateľné.</w:t>
      </w:r>
    </w:p>
    <w:p w14:paraId="256A6998" w14:textId="77777777" w:rsidR="003B7D86" w:rsidRPr="00645EDC" w:rsidRDefault="003B7D86" w:rsidP="003B7D86">
      <w:pPr>
        <w:pStyle w:val="Bezriadkovania1"/>
        <w:tabs>
          <w:tab w:val="left" w:pos="540"/>
        </w:tabs>
        <w:rPr>
          <w:rFonts w:ascii="Times New Roman" w:hAnsi="Times New Roman"/>
          <w:lang w:val="sk-SK"/>
        </w:rPr>
      </w:pPr>
    </w:p>
    <w:p w14:paraId="7E61A2B0" w14:textId="77777777" w:rsidR="003B7D86" w:rsidRPr="00645EDC" w:rsidRDefault="003B7D86" w:rsidP="003B7D86">
      <w:pPr>
        <w:pStyle w:val="Bezriadkovania1"/>
        <w:numPr>
          <w:ilvl w:val="1"/>
          <w:numId w:val="1"/>
        </w:numPr>
        <w:tabs>
          <w:tab w:val="left" w:pos="540"/>
        </w:tabs>
        <w:ind w:left="0" w:firstLine="0"/>
        <w:rPr>
          <w:rFonts w:ascii="Times New Roman" w:hAnsi="Times New Roman"/>
          <w:b/>
          <w:bCs/>
          <w:lang w:val="sk-SK"/>
        </w:rPr>
      </w:pPr>
      <w:r w:rsidRPr="000E4718">
        <w:rPr>
          <w:rFonts w:ascii="Times New Roman" w:hAnsi="Times New Roman"/>
          <w:b/>
          <w:lang w:val="sk-SK"/>
        </w:rPr>
        <w:t>Čas použiteľnosti</w:t>
      </w:r>
    </w:p>
    <w:p w14:paraId="02AB3C2B" w14:textId="77777777" w:rsidR="003B7D86" w:rsidRPr="00645EDC" w:rsidRDefault="003B7D86" w:rsidP="003B7D86">
      <w:pPr>
        <w:pStyle w:val="Bezriadkovania1"/>
        <w:tabs>
          <w:tab w:val="left" w:pos="540"/>
        </w:tabs>
        <w:rPr>
          <w:rFonts w:ascii="Times New Roman" w:hAnsi="Times New Roman"/>
          <w:lang w:val="sk-SK"/>
        </w:rPr>
      </w:pPr>
    </w:p>
    <w:p w14:paraId="7E2FE568" w14:textId="1DAAD8A0" w:rsidR="003B7D86" w:rsidRPr="00645EDC" w:rsidRDefault="00BB6D96" w:rsidP="003B7D86">
      <w:pPr>
        <w:pStyle w:val="Bezriadkovania1"/>
        <w:tabs>
          <w:tab w:val="left" w:pos="540"/>
        </w:tabs>
        <w:rPr>
          <w:rFonts w:ascii="Times New Roman" w:hAnsi="Times New Roman"/>
          <w:lang w:val="sk-SK"/>
        </w:rPr>
      </w:pPr>
      <w:r>
        <w:rPr>
          <w:rFonts w:ascii="Times New Roman" w:hAnsi="Times New Roman"/>
          <w:lang w:val="sk-SK"/>
        </w:rPr>
        <w:t>3</w:t>
      </w:r>
      <w:r w:rsidR="003B7D86" w:rsidRPr="00645EDC">
        <w:rPr>
          <w:rFonts w:ascii="Times New Roman" w:hAnsi="Times New Roman"/>
          <w:lang w:val="sk-SK"/>
        </w:rPr>
        <w:t xml:space="preserve"> roky</w:t>
      </w:r>
    </w:p>
    <w:p w14:paraId="0E80B1EF" w14:textId="77777777" w:rsidR="003B7D86" w:rsidRPr="00645EDC" w:rsidRDefault="003B7D86" w:rsidP="003B7D86">
      <w:pPr>
        <w:pStyle w:val="Bezriadkovania1"/>
        <w:tabs>
          <w:tab w:val="left" w:pos="540"/>
        </w:tabs>
        <w:rPr>
          <w:rFonts w:ascii="Times New Roman" w:hAnsi="Times New Roman"/>
          <w:lang w:val="sk-SK"/>
        </w:rPr>
      </w:pPr>
      <w:bookmarkStart w:id="0" w:name="_GoBack"/>
      <w:bookmarkEnd w:id="0"/>
    </w:p>
    <w:p w14:paraId="7A36DEA2" w14:textId="77777777" w:rsidR="003B7D86" w:rsidRPr="00645EDC" w:rsidRDefault="003B7D86" w:rsidP="003B7D86">
      <w:pPr>
        <w:pStyle w:val="Bezriadkovania1"/>
        <w:numPr>
          <w:ilvl w:val="1"/>
          <w:numId w:val="1"/>
        </w:numPr>
        <w:tabs>
          <w:tab w:val="left" w:pos="540"/>
        </w:tabs>
        <w:ind w:left="0" w:firstLine="0"/>
        <w:rPr>
          <w:rFonts w:ascii="Times New Roman" w:hAnsi="Times New Roman"/>
          <w:b/>
          <w:lang w:val="sk-SK"/>
        </w:rPr>
      </w:pPr>
      <w:r w:rsidRPr="000E4718">
        <w:rPr>
          <w:rFonts w:ascii="Times New Roman" w:hAnsi="Times New Roman"/>
          <w:b/>
          <w:lang w:val="sk-SK"/>
        </w:rPr>
        <w:t>Špeciálne upozornenia na uchovávanie</w:t>
      </w:r>
    </w:p>
    <w:p w14:paraId="2607F1A0" w14:textId="77777777" w:rsidR="003B7D86" w:rsidRPr="00645EDC" w:rsidRDefault="003B7D86" w:rsidP="003B7D86">
      <w:pPr>
        <w:pStyle w:val="Bezriadkovania1"/>
        <w:tabs>
          <w:tab w:val="left" w:pos="540"/>
        </w:tabs>
        <w:rPr>
          <w:rFonts w:ascii="Times New Roman" w:hAnsi="Times New Roman"/>
          <w:lang w:val="sk-SK"/>
        </w:rPr>
      </w:pPr>
    </w:p>
    <w:p w14:paraId="19CD5BDF" w14:textId="77777777" w:rsidR="003B7D86" w:rsidRPr="00645EDC" w:rsidRDefault="003B7D86" w:rsidP="003B7D86">
      <w:pPr>
        <w:pStyle w:val="Style7"/>
        <w:widowControl/>
        <w:spacing w:line="240" w:lineRule="auto"/>
        <w:jc w:val="left"/>
        <w:rPr>
          <w:rStyle w:val="FontStyle33"/>
          <w:sz w:val="22"/>
          <w:szCs w:val="22"/>
          <w:lang w:val="sk-SK" w:eastAsia="en-US"/>
        </w:rPr>
      </w:pPr>
      <w:r w:rsidRPr="00645EDC">
        <w:rPr>
          <w:rStyle w:val="FontStyle33"/>
          <w:sz w:val="22"/>
          <w:szCs w:val="22"/>
          <w:lang w:val="sk-SK" w:eastAsia="en-US"/>
        </w:rPr>
        <w:t>Tento liek nevyžaduje žiadne zvláštne podmienky na uchovávanie.</w:t>
      </w:r>
    </w:p>
    <w:p w14:paraId="764A3E32" w14:textId="77777777" w:rsidR="003B7D86" w:rsidRPr="00645EDC" w:rsidRDefault="003B7D86" w:rsidP="003B7D86">
      <w:pPr>
        <w:pStyle w:val="Bezriadkovania1"/>
        <w:tabs>
          <w:tab w:val="left" w:pos="540"/>
        </w:tabs>
        <w:rPr>
          <w:rFonts w:ascii="Times New Roman" w:hAnsi="Times New Roman"/>
          <w:lang w:val="sk-SK"/>
        </w:rPr>
      </w:pPr>
    </w:p>
    <w:p w14:paraId="1940E93F" w14:textId="77777777" w:rsidR="003B7D86" w:rsidRPr="00645EDC" w:rsidRDefault="003B7D86" w:rsidP="003B7D86">
      <w:pPr>
        <w:pStyle w:val="Bezriadkovania1"/>
        <w:numPr>
          <w:ilvl w:val="1"/>
          <w:numId w:val="1"/>
        </w:numPr>
        <w:tabs>
          <w:tab w:val="left" w:pos="540"/>
        </w:tabs>
        <w:ind w:left="0" w:firstLine="0"/>
        <w:rPr>
          <w:rFonts w:ascii="Times New Roman" w:hAnsi="Times New Roman"/>
          <w:b/>
          <w:bCs/>
          <w:lang w:val="sk-SK"/>
        </w:rPr>
      </w:pPr>
      <w:r w:rsidRPr="00645EDC">
        <w:rPr>
          <w:rFonts w:ascii="Times New Roman" w:hAnsi="Times New Roman"/>
          <w:b/>
          <w:bCs/>
          <w:lang w:val="sk-SK"/>
        </w:rPr>
        <w:t>Druh a obsah balenia</w:t>
      </w:r>
    </w:p>
    <w:p w14:paraId="6A40CAB5" w14:textId="77777777" w:rsidR="003B7D86" w:rsidRPr="00645EDC" w:rsidRDefault="003B7D86" w:rsidP="003B7D86">
      <w:pPr>
        <w:pStyle w:val="Bezriadkovania1"/>
        <w:tabs>
          <w:tab w:val="left" w:pos="540"/>
        </w:tabs>
        <w:rPr>
          <w:rFonts w:ascii="Times New Roman" w:hAnsi="Times New Roman"/>
          <w:lang w:val="sk-SK"/>
        </w:rPr>
      </w:pPr>
    </w:p>
    <w:p w14:paraId="52AD8421" w14:textId="77777777" w:rsidR="003B7D86" w:rsidRPr="00645EDC" w:rsidRDefault="004C3DC1" w:rsidP="003B7D86">
      <w:pPr>
        <w:pStyle w:val="Style7"/>
        <w:widowControl/>
        <w:spacing w:line="240" w:lineRule="auto"/>
        <w:rPr>
          <w:rStyle w:val="FontStyle33"/>
          <w:sz w:val="22"/>
          <w:szCs w:val="22"/>
          <w:lang w:val="sk-SK" w:eastAsia="en-US"/>
        </w:rPr>
      </w:pPr>
      <w:r w:rsidRPr="00645EDC">
        <w:rPr>
          <w:sz w:val="22"/>
          <w:szCs w:val="22"/>
          <w:lang w:val="sk-SK"/>
        </w:rPr>
        <w:t>Licobondrat</w:t>
      </w:r>
      <w:r w:rsidR="003B7D86" w:rsidRPr="00645EDC">
        <w:rPr>
          <w:sz w:val="22"/>
          <w:szCs w:val="22"/>
          <w:lang w:val="sk-SK"/>
        </w:rPr>
        <w:t xml:space="preserve"> </w:t>
      </w:r>
      <w:r w:rsidR="003B7D86" w:rsidRPr="00645EDC">
        <w:rPr>
          <w:rStyle w:val="FontStyle33"/>
          <w:sz w:val="22"/>
          <w:szCs w:val="22"/>
          <w:lang w:val="sk-SK" w:eastAsia="en-US"/>
        </w:rPr>
        <w:t>150 mg filmom obalené tablety sa dodáva v blistroch (hliník/hliník) obsahujúcich 1 alebo 3 tablety.</w:t>
      </w:r>
    </w:p>
    <w:p w14:paraId="65B2C1EC" w14:textId="77777777" w:rsidR="003B7D86" w:rsidRPr="00645EDC" w:rsidRDefault="003B7D86" w:rsidP="003B7D86">
      <w:pPr>
        <w:pStyle w:val="Style7"/>
        <w:widowControl/>
        <w:spacing w:line="240" w:lineRule="auto"/>
        <w:jc w:val="left"/>
        <w:rPr>
          <w:rStyle w:val="FontStyle33"/>
          <w:sz w:val="22"/>
          <w:szCs w:val="22"/>
          <w:lang w:val="sk-SK" w:eastAsia="de-DE"/>
        </w:rPr>
      </w:pPr>
    </w:p>
    <w:p w14:paraId="15C67612" w14:textId="77777777" w:rsidR="003B7D86" w:rsidRPr="00645EDC" w:rsidRDefault="00143753" w:rsidP="003B7D86">
      <w:pPr>
        <w:pStyle w:val="Style7"/>
        <w:widowControl/>
        <w:spacing w:line="240" w:lineRule="auto"/>
        <w:jc w:val="left"/>
        <w:rPr>
          <w:rStyle w:val="FontStyle33"/>
          <w:sz w:val="22"/>
          <w:szCs w:val="22"/>
          <w:lang w:val="sk-SK" w:eastAsia="de-DE"/>
        </w:rPr>
      </w:pPr>
      <w:r w:rsidRPr="00645EDC">
        <w:rPr>
          <w:rStyle w:val="FontStyle33"/>
          <w:sz w:val="22"/>
          <w:szCs w:val="22"/>
          <w:lang w:val="sk-SK" w:eastAsia="de-DE"/>
        </w:rPr>
        <w:t>Na trh nemusia byť uvedené všetky veľkosti balenia.</w:t>
      </w:r>
    </w:p>
    <w:p w14:paraId="79AC4343" w14:textId="77777777" w:rsidR="003B7D86" w:rsidRPr="00645EDC" w:rsidRDefault="003B7D86" w:rsidP="003B7D86">
      <w:pPr>
        <w:pStyle w:val="Style6"/>
        <w:widowControl/>
        <w:tabs>
          <w:tab w:val="left" w:pos="571"/>
        </w:tabs>
        <w:rPr>
          <w:rStyle w:val="FontStyle34"/>
          <w:sz w:val="22"/>
          <w:szCs w:val="22"/>
          <w:lang w:val="sk-SK" w:eastAsia="de-DE"/>
        </w:rPr>
      </w:pPr>
    </w:p>
    <w:p w14:paraId="609D606B" w14:textId="77777777" w:rsidR="003B7D86" w:rsidRPr="00645EDC" w:rsidRDefault="003B7D86" w:rsidP="003B7D86">
      <w:pPr>
        <w:pStyle w:val="Bezriadkovania1"/>
        <w:numPr>
          <w:ilvl w:val="1"/>
          <w:numId w:val="1"/>
        </w:numPr>
        <w:tabs>
          <w:tab w:val="left" w:pos="540"/>
          <w:tab w:val="left" w:pos="567"/>
        </w:tabs>
        <w:ind w:left="0" w:firstLine="0"/>
        <w:rPr>
          <w:rFonts w:ascii="Times New Roman" w:hAnsi="Times New Roman"/>
          <w:b/>
          <w:bCs/>
          <w:lang w:val="sk-SK"/>
        </w:rPr>
      </w:pPr>
      <w:r w:rsidRPr="000E4718">
        <w:rPr>
          <w:rFonts w:ascii="Times New Roman" w:hAnsi="Times New Roman"/>
          <w:b/>
          <w:bCs/>
          <w:lang w:val="sk-SK"/>
        </w:rPr>
        <w:t>Špeciálne opatrenia na likvidáciu</w:t>
      </w:r>
    </w:p>
    <w:p w14:paraId="1088C51C" w14:textId="77777777" w:rsidR="003B7D86" w:rsidRPr="00645EDC" w:rsidRDefault="003B7D86" w:rsidP="003B7D86">
      <w:pPr>
        <w:pStyle w:val="Bezriadkovania1"/>
        <w:tabs>
          <w:tab w:val="left" w:pos="540"/>
        </w:tabs>
        <w:rPr>
          <w:rFonts w:ascii="Times New Roman" w:hAnsi="Times New Roman"/>
          <w:lang w:val="sk-SK"/>
        </w:rPr>
      </w:pPr>
    </w:p>
    <w:p w14:paraId="658D0846" w14:textId="66C65772" w:rsidR="00E53C05" w:rsidRPr="00645EDC" w:rsidRDefault="00E53C05" w:rsidP="003B7D86">
      <w:pPr>
        <w:pStyle w:val="Style7"/>
        <w:widowControl/>
        <w:spacing w:line="240" w:lineRule="auto"/>
        <w:jc w:val="left"/>
        <w:rPr>
          <w:rStyle w:val="FontStyle33"/>
          <w:sz w:val="22"/>
          <w:szCs w:val="22"/>
          <w:lang w:val="sk-SK" w:eastAsia="en-US"/>
        </w:rPr>
      </w:pPr>
      <w:r w:rsidRPr="00645EDC">
        <w:rPr>
          <w:rStyle w:val="FontStyle33"/>
          <w:sz w:val="22"/>
          <w:szCs w:val="22"/>
          <w:lang w:val="sk-SK" w:eastAsia="en-US"/>
        </w:rPr>
        <w:t xml:space="preserve">Všetok nepoužitý liek a odpad vzniknutý z lieku sa má zlikvidovať v súlade s národnými požiadavkami. </w:t>
      </w:r>
      <w:r w:rsidR="001932B3" w:rsidRPr="00645EDC">
        <w:rPr>
          <w:rStyle w:val="FontStyle33"/>
          <w:sz w:val="22"/>
          <w:szCs w:val="22"/>
          <w:lang w:val="sk-SK" w:eastAsia="en-US"/>
        </w:rPr>
        <w:t>Vypúšťanie liekov do prostredia sa má zminimalizovať.</w:t>
      </w:r>
    </w:p>
    <w:p w14:paraId="6E833FA4" w14:textId="77777777" w:rsidR="003B7D86" w:rsidRPr="00645EDC" w:rsidRDefault="003B7D86" w:rsidP="003B7D86">
      <w:pPr>
        <w:pStyle w:val="Bezriadkovania1"/>
        <w:tabs>
          <w:tab w:val="left" w:pos="540"/>
        </w:tabs>
        <w:rPr>
          <w:rFonts w:ascii="Times New Roman" w:hAnsi="Times New Roman"/>
          <w:lang w:val="sk-SK"/>
        </w:rPr>
      </w:pPr>
    </w:p>
    <w:p w14:paraId="3C2D6B18" w14:textId="77777777" w:rsidR="003B7D86" w:rsidRPr="00645EDC" w:rsidRDefault="003B7D86" w:rsidP="003B7D86">
      <w:pPr>
        <w:pStyle w:val="Bezriadkovania1"/>
        <w:tabs>
          <w:tab w:val="left" w:pos="540"/>
        </w:tabs>
        <w:rPr>
          <w:rFonts w:ascii="Times New Roman" w:hAnsi="Times New Roman"/>
          <w:lang w:val="sk-SK"/>
        </w:rPr>
      </w:pPr>
    </w:p>
    <w:p w14:paraId="35723C94" w14:textId="77777777" w:rsidR="003B7D86" w:rsidRPr="00645EDC" w:rsidRDefault="003B7D86" w:rsidP="003B7D86">
      <w:pPr>
        <w:pStyle w:val="Bezriadkovania1"/>
        <w:numPr>
          <w:ilvl w:val="0"/>
          <w:numId w:val="1"/>
        </w:numPr>
        <w:tabs>
          <w:tab w:val="left" w:pos="540"/>
        </w:tabs>
        <w:ind w:left="540" w:hanging="540"/>
        <w:rPr>
          <w:rFonts w:ascii="Times New Roman" w:hAnsi="Times New Roman"/>
          <w:b/>
          <w:bCs/>
          <w:lang w:val="sk-SK"/>
        </w:rPr>
      </w:pPr>
      <w:r w:rsidRPr="000E4718">
        <w:rPr>
          <w:rFonts w:ascii="Times New Roman" w:hAnsi="Times New Roman"/>
          <w:b/>
          <w:lang w:val="sk-SK"/>
        </w:rPr>
        <w:t>DRŽITEĽ ROZHODNUTIA O REGISTRÁCII</w:t>
      </w:r>
    </w:p>
    <w:p w14:paraId="7A8AD0D4" w14:textId="77777777" w:rsidR="003B7D86" w:rsidRPr="00645EDC" w:rsidRDefault="003B7D86" w:rsidP="003B7D86">
      <w:pPr>
        <w:pStyle w:val="Bezriadkovania1"/>
        <w:tabs>
          <w:tab w:val="left" w:pos="540"/>
        </w:tabs>
        <w:rPr>
          <w:rFonts w:ascii="Times New Roman" w:hAnsi="Times New Roman"/>
          <w:b/>
          <w:bCs/>
          <w:lang w:val="sk-SK"/>
        </w:rPr>
      </w:pPr>
    </w:p>
    <w:p w14:paraId="3A7A57C4" w14:textId="77777777" w:rsidR="00130FB6" w:rsidRPr="00645EDC" w:rsidRDefault="00130FB6" w:rsidP="00130FB6">
      <w:pPr>
        <w:pStyle w:val="Bezriadkovania1"/>
        <w:rPr>
          <w:rFonts w:ascii="Times New Roman" w:hAnsi="Times New Roman"/>
          <w:lang w:val="sk-SK"/>
        </w:rPr>
      </w:pPr>
      <w:r w:rsidRPr="00645EDC">
        <w:rPr>
          <w:rFonts w:ascii="Times New Roman" w:hAnsi="Times New Roman"/>
          <w:lang w:val="sk-SK"/>
        </w:rPr>
        <w:t xml:space="preserve">Adamed Czech Republic s.r.o. </w:t>
      </w:r>
    </w:p>
    <w:p w14:paraId="0285D2B3" w14:textId="77777777" w:rsidR="00130FB6" w:rsidRPr="00645EDC" w:rsidRDefault="00130FB6" w:rsidP="00130FB6">
      <w:pPr>
        <w:pStyle w:val="Bezriadkovania1"/>
        <w:rPr>
          <w:rFonts w:ascii="Times New Roman" w:hAnsi="Times New Roman"/>
          <w:lang w:val="sk-SK"/>
        </w:rPr>
      </w:pPr>
      <w:r w:rsidRPr="00645EDC">
        <w:rPr>
          <w:rFonts w:ascii="Times New Roman" w:hAnsi="Times New Roman"/>
          <w:lang w:val="sk-SK"/>
        </w:rPr>
        <w:t>Thámova 137/16</w:t>
      </w:r>
    </w:p>
    <w:p w14:paraId="62F0BDFE" w14:textId="77777777" w:rsidR="00130FB6" w:rsidRPr="00645EDC" w:rsidRDefault="00130FB6" w:rsidP="00130FB6">
      <w:pPr>
        <w:pStyle w:val="Bezriadkovania1"/>
        <w:rPr>
          <w:rFonts w:ascii="Times New Roman" w:hAnsi="Times New Roman"/>
          <w:lang w:val="sk-SK"/>
        </w:rPr>
      </w:pPr>
      <w:r w:rsidRPr="00645EDC">
        <w:rPr>
          <w:rFonts w:ascii="Times New Roman" w:hAnsi="Times New Roman"/>
          <w:lang w:val="sk-SK"/>
        </w:rPr>
        <w:t>186 00 Praha 8 - Karlín</w:t>
      </w:r>
    </w:p>
    <w:p w14:paraId="48B5B67B" w14:textId="77777777" w:rsidR="00130FB6" w:rsidRPr="00645EDC" w:rsidDel="00B009DD" w:rsidRDefault="00130FB6" w:rsidP="00130FB6">
      <w:pPr>
        <w:pStyle w:val="Bezriadkovania1"/>
        <w:rPr>
          <w:rFonts w:ascii="Times New Roman" w:hAnsi="Times New Roman"/>
          <w:lang w:val="sk-SK"/>
        </w:rPr>
      </w:pPr>
      <w:r w:rsidRPr="00645EDC">
        <w:rPr>
          <w:rFonts w:ascii="Times New Roman" w:hAnsi="Times New Roman"/>
          <w:lang w:val="sk-SK"/>
        </w:rPr>
        <w:t>Česká republika</w:t>
      </w:r>
    </w:p>
    <w:p w14:paraId="4FA214F9" w14:textId="0150E758" w:rsidR="003B7D86" w:rsidRPr="00645EDC" w:rsidRDefault="003B7D86" w:rsidP="00B009DD">
      <w:pPr>
        <w:pStyle w:val="Bezriadkovania1"/>
        <w:rPr>
          <w:rFonts w:ascii="Times New Roman" w:hAnsi="Times New Roman"/>
          <w:bCs/>
          <w:lang w:val="sk-SK"/>
        </w:rPr>
      </w:pPr>
    </w:p>
    <w:p w14:paraId="180B7B43" w14:textId="77777777" w:rsidR="003B7D86" w:rsidRPr="00645EDC" w:rsidRDefault="003B7D86" w:rsidP="003B7D86">
      <w:pPr>
        <w:pStyle w:val="Bezriadkovania1"/>
        <w:tabs>
          <w:tab w:val="left" w:pos="540"/>
        </w:tabs>
        <w:rPr>
          <w:rFonts w:ascii="Times New Roman" w:hAnsi="Times New Roman"/>
          <w:bCs/>
          <w:lang w:val="sk-SK"/>
        </w:rPr>
      </w:pPr>
    </w:p>
    <w:p w14:paraId="0B8474E9" w14:textId="77777777" w:rsidR="003B7D86" w:rsidRPr="00645EDC" w:rsidRDefault="003B7D86" w:rsidP="003B7D86">
      <w:pPr>
        <w:pStyle w:val="Bezriadkovania1"/>
        <w:numPr>
          <w:ilvl w:val="0"/>
          <w:numId w:val="1"/>
        </w:numPr>
        <w:tabs>
          <w:tab w:val="left" w:pos="540"/>
        </w:tabs>
        <w:ind w:left="0" w:firstLine="0"/>
        <w:rPr>
          <w:rFonts w:ascii="Times New Roman" w:hAnsi="Times New Roman"/>
          <w:b/>
          <w:bCs/>
          <w:lang w:val="sk-SK"/>
        </w:rPr>
      </w:pPr>
      <w:r w:rsidRPr="000E4718">
        <w:rPr>
          <w:rFonts w:ascii="Times New Roman" w:hAnsi="Times New Roman"/>
          <w:b/>
          <w:lang w:val="sk-SK"/>
        </w:rPr>
        <w:t>REGISTRAČNÉ ČÍSLO</w:t>
      </w:r>
      <w:r w:rsidRPr="000E4718">
        <w:rPr>
          <w:rFonts w:ascii="Times New Roman" w:hAnsi="Times New Roman"/>
          <w:lang w:val="sk-SK"/>
        </w:rPr>
        <w:t xml:space="preserve"> </w:t>
      </w:r>
      <w:r w:rsidRPr="000E4718">
        <w:rPr>
          <w:rFonts w:ascii="Times New Roman" w:hAnsi="Times New Roman"/>
          <w:b/>
          <w:lang w:val="sk-SK"/>
        </w:rPr>
        <w:t xml:space="preserve"> </w:t>
      </w:r>
    </w:p>
    <w:p w14:paraId="7385D1A1" w14:textId="77777777" w:rsidR="00312ECF" w:rsidRPr="00645EDC" w:rsidRDefault="00312ECF" w:rsidP="003B7D86">
      <w:pPr>
        <w:pStyle w:val="Bezriadkovania1"/>
        <w:tabs>
          <w:tab w:val="left" w:pos="540"/>
        </w:tabs>
        <w:rPr>
          <w:rFonts w:ascii="Times New Roman" w:hAnsi="Times New Roman"/>
          <w:lang w:val="sk-SK"/>
        </w:rPr>
      </w:pPr>
    </w:p>
    <w:p w14:paraId="6FC7F629" w14:textId="64D6F860" w:rsidR="003B7D86" w:rsidRPr="00645EDC" w:rsidRDefault="00743732" w:rsidP="003B7D86">
      <w:pPr>
        <w:pStyle w:val="Bezriadkovania1"/>
        <w:tabs>
          <w:tab w:val="left" w:pos="540"/>
        </w:tabs>
        <w:rPr>
          <w:rFonts w:ascii="Times New Roman" w:hAnsi="Times New Roman"/>
          <w:lang w:val="sk-SK"/>
        </w:rPr>
      </w:pPr>
      <w:r w:rsidRPr="00645EDC">
        <w:rPr>
          <w:rFonts w:ascii="Times New Roman" w:hAnsi="Times New Roman"/>
          <w:lang w:val="sk-SK"/>
        </w:rPr>
        <w:t>Reg.</w:t>
      </w:r>
      <w:r w:rsidR="006107AD" w:rsidRPr="00645EDC">
        <w:rPr>
          <w:rFonts w:ascii="Times New Roman" w:hAnsi="Times New Roman"/>
          <w:lang w:val="sk-SK"/>
        </w:rPr>
        <w:t xml:space="preserve"> </w:t>
      </w:r>
      <w:r w:rsidRPr="00645EDC">
        <w:rPr>
          <w:rFonts w:ascii="Times New Roman" w:hAnsi="Times New Roman"/>
          <w:lang w:val="sk-SK"/>
        </w:rPr>
        <w:t xml:space="preserve">č.: </w:t>
      </w:r>
      <w:r w:rsidR="003B7D86" w:rsidRPr="00645EDC">
        <w:rPr>
          <w:rFonts w:ascii="Times New Roman" w:hAnsi="Times New Roman"/>
          <w:lang w:val="sk-SK"/>
        </w:rPr>
        <w:t>87/07</w:t>
      </w:r>
      <w:r w:rsidR="00312ECF" w:rsidRPr="00645EDC">
        <w:rPr>
          <w:rFonts w:ascii="Times New Roman" w:hAnsi="Times New Roman"/>
          <w:lang w:val="sk-SK"/>
        </w:rPr>
        <w:t>42</w:t>
      </w:r>
      <w:r w:rsidR="003B7D86" w:rsidRPr="00645EDC">
        <w:rPr>
          <w:rFonts w:ascii="Times New Roman" w:hAnsi="Times New Roman"/>
          <w:lang w:val="sk-SK"/>
        </w:rPr>
        <w:t>/10-S</w:t>
      </w:r>
    </w:p>
    <w:p w14:paraId="653B79A7" w14:textId="77777777" w:rsidR="003B7D86" w:rsidRPr="00645EDC" w:rsidRDefault="003B7D86" w:rsidP="003B7D86">
      <w:pPr>
        <w:pStyle w:val="Bezriadkovania1"/>
        <w:tabs>
          <w:tab w:val="left" w:pos="540"/>
        </w:tabs>
        <w:rPr>
          <w:rFonts w:ascii="Times New Roman" w:hAnsi="Times New Roman"/>
          <w:lang w:val="sk-SK"/>
        </w:rPr>
      </w:pPr>
    </w:p>
    <w:p w14:paraId="35B6F820" w14:textId="77777777" w:rsidR="00F15BC3" w:rsidRPr="00645EDC" w:rsidRDefault="00F15BC3" w:rsidP="003B7D86">
      <w:pPr>
        <w:pStyle w:val="Bezriadkovania1"/>
        <w:tabs>
          <w:tab w:val="left" w:pos="540"/>
        </w:tabs>
        <w:rPr>
          <w:rFonts w:ascii="Times New Roman" w:hAnsi="Times New Roman"/>
          <w:lang w:val="sk-SK"/>
        </w:rPr>
      </w:pPr>
    </w:p>
    <w:p w14:paraId="4759B226" w14:textId="77777777" w:rsidR="003B7D86" w:rsidRPr="00645EDC" w:rsidRDefault="003B7D86" w:rsidP="003B7D86">
      <w:pPr>
        <w:pStyle w:val="Bezriadkovania1"/>
        <w:numPr>
          <w:ilvl w:val="0"/>
          <w:numId w:val="1"/>
        </w:numPr>
        <w:tabs>
          <w:tab w:val="left" w:pos="540"/>
        </w:tabs>
        <w:ind w:left="540" w:hanging="540"/>
        <w:rPr>
          <w:rFonts w:ascii="Times New Roman" w:hAnsi="Times New Roman"/>
          <w:b/>
          <w:bCs/>
          <w:lang w:val="sk-SK"/>
        </w:rPr>
      </w:pPr>
      <w:r w:rsidRPr="000E4718">
        <w:rPr>
          <w:rFonts w:ascii="Times New Roman" w:hAnsi="Times New Roman"/>
          <w:b/>
          <w:lang w:val="sk-SK"/>
        </w:rPr>
        <w:t>DÁTUM PRVEJ REGISTRÁCIE/ PREDĹŽENIA REGISTRÁCIE</w:t>
      </w:r>
    </w:p>
    <w:p w14:paraId="5714436E" w14:textId="77777777" w:rsidR="003B7D86" w:rsidRPr="00645EDC" w:rsidRDefault="003B7D86" w:rsidP="003B7D86">
      <w:pPr>
        <w:pStyle w:val="Bezriadkovania1"/>
        <w:tabs>
          <w:tab w:val="left" w:pos="540"/>
        </w:tabs>
        <w:rPr>
          <w:rFonts w:ascii="Times New Roman" w:hAnsi="Times New Roman"/>
          <w:lang w:val="sk-SK"/>
        </w:rPr>
      </w:pPr>
    </w:p>
    <w:p w14:paraId="3F6BB4D1" w14:textId="25F081B3" w:rsidR="00743732" w:rsidRPr="00645EDC" w:rsidRDefault="00743732" w:rsidP="003B7D86">
      <w:pPr>
        <w:pStyle w:val="Bezriadkovania1"/>
        <w:tabs>
          <w:tab w:val="left" w:pos="540"/>
        </w:tabs>
        <w:rPr>
          <w:rFonts w:ascii="Times New Roman" w:hAnsi="Times New Roman"/>
          <w:lang w:val="sk-SK"/>
        </w:rPr>
      </w:pPr>
      <w:r w:rsidRPr="00645EDC">
        <w:rPr>
          <w:rFonts w:ascii="Times New Roman" w:hAnsi="Times New Roman"/>
          <w:lang w:val="sk-SK"/>
        </w:rPr>
        <w:t>Dátum prvej registrácie: 18.</w:t>
      </w:r>
      <w:r w:rsidR="00F15BC3" w:rsidRPr="00645EDC">
        <w:rPr>
          <w:rFonts w:ascii="Times New Roman" w:hAnsi="Times New Roman"/>
          <w:lang w:val="sk-SK"/>
        </w:rPr>
        <w:t xml:space="preserve"> októbra </w:t>
      </w:r>
      <w:r w:rsidRPr="00645EDC">
        <w:rPr>
          <w:rFonts w:ascii="Times New Roman" w:hAnsi="Times New Roman"/>
          <w:lang w:val="sk-SK"/>
        </w:rPr>
        <w:t>2010</w:t>
      </w:r>
    </w:p>
    <w:p w14:paraId="2204984F" w14:textId="5039C57C" w:rsidR="00F15BC3" w:rsidRPr="00645EDC" w:rsidRDefault="00F15BC3" w:rsidP="003B7D86">
      <w:pPr>
        <w:pStyle w:val="Bezriadkovania1"/>
        <w:tabs>
          <w:tab w:val="left" w:pos="540"/>
        </w:tabs>
        <w:rPr>
          <w:rFonts w:ascii="Times New Roman" w:hAnsi="Times New Roman"/>
          <w:lang w:val="sk-SK"/>
        </w:rPr>
      </w:pPr>
      <w:r w:rsidRPr="00645EDC">
        <w:rPr>
          <w:rFonts w:ascii="Times New Roman" w:hAnsi="Times New Roman"/>
          <w:lang w:val="sk-SK"/>
        </w:rPr>
        <w:lastRenderedPageBreak/>
        <w:t xml:space="preserve">Dátum posledného predĺženia registrácie: </w:t>
      </w:r>
      <w:r w:rsidR="003C1C87" w:rsidRPr="00645EDC">
        <w:rPr>
          <w:rFonts w:ascii="Times New Roman" w:hAnsi="Times New Roman"/>
          <w:lang w:val="sk-SK"/>
        </w:rPr>
        <w:t>17. januára 2017</w:t>
      </w:r>
    </w:p>
    <w:p w14:paraId="2553D522" w14:textId="77777777" w:rsidR="003B7D86" w:rsidRPr="00645EDC" w:rsidRDefault="003B7D86" w:rsidP="003B7D86">
      <w:pPr>
        <w:pStyle w:val="Bezriadkovania1"/>
        <w:tabs>
          <w:tab w:val="left" w:pos="540"/>
        </w:tabs>
        <w:rPr>
          <w:rFonts w:ascii="Times New Roman" w:hAnsi="Times New Roman"/>
          <w:lang w:val="sk-SK"/>
        </w:rPr>
      </w:pPr>
    </w:p>
    <w:p w14:paraId="1C24494D" w14:textId="77777777" w:rsidR="00F15BC3" w:rsidRPr="00645EDC" w:rsidRDefault="00F15BC3" w:rsidP="003B7D86">
      <w:pPr>
        <w:pStyle w:val="Bezriadkovania1"/>
        <w:tabs>
          <w:tab w:val="left" w:pos="540"/>
        </w:tabs>
        <w:rPr>
          <w:rFonts w:ascii="Times New Roman" w:hAnsi="Times New Roman"/>
          <w:lang w:val="sk-SK"/>
        </w:rPr>
      </w:pPr>
    </w:p>
    <w:p w14:paraId="371CE18B" w14:textId="77777777" w:rsidR="003B7D86" w:rsidRPr="00645EDC" w:rsidRDefault="003B7D86" w:rsidP="003B7D86">
      <w:pPr>
        <w:pStyle w:val="Bezriadkovania1"/>
        <w:numPr>
          <w:ilvl w:val="0"/>
          <w:numId w:val="1"/>
        </w:numPr>
        <w:tabs>
          <w:tab w:val="left" w:pos="540"/>
        </w:tabs>
        <w:ind w:left="540" w:hanging="540"/>
        <w:rPr>
          <w:rFonts w:ascii="Times New Roman" w:hAnsi="Times New Roman"/>
          <w:b/>
          <w:bCs/>
          <w:lang w:val="sk-SK"/>
        </w:rPr>
      </w:pPr>
      <w:r w:rsidRPr="000E4718">
        <w:rPr>
          <w:rFonts w:ascii="Times New Roman" w:hAnsi="Times New Roman"/>
          <w:b/>
          <w:lang w:val="sk-SK"/>
        </w:rPr>
        <w:t>DÁTUM REVÍZIE TEXTU</w:t>
      </w:r>
    </w:p>
    <w:p w14:paraId="6A0571C7" w14:textId="77777777" w:rsidR="003B7D86" w:rsidRPr="00645EDC" w:rsidRDefault="003B7D86" w:rsidP="003B7D86">
      <w:pPr>
        <w:spacing w:after="0" w:line="240" w:lineRule="auto"/>
        <w:rPr>
          <w:rFonts w:ascii="Times New Roman" w:hAnsi="Times New Roman"/>
          <w:lang w:val="sk-SK"/>
        </w:rPr>
      </w:pPr>
    </w:p>
    <w:p w14:paraId="6325E3FE" w14:textId="0118F015" w:rsidR="00130C5F" w:rsidRPr="000E4718" w:rsidRDefault="00F2523D">
      <w:pPr>
        <w:rPr>
          <w:lang w:val="sk-SK"/>
        </w:rPr>
      </w:pPr>
      <w:r>
        <w:rPr>
          <w:rFonts w:ascii="Times New Roman" w:hAnsi="Times New Roman"/>
          <w:lang w:val="sk-SK"/>
        </w:rPr>
        <w:t>09</w:t>
      </w:r>
      <w:r w:rsidR="00184723">
        <w:rPr>
          <w:rFonts w:ascii="Times New Roman" w:hAnsi="Times New Roman"/>
          <w:lang w:val="sk-SK"/>
        </w:rPr>
        <w:t>/</w:t>
      </w:r>
      <w:r w:rsidR="00FF636F" w:rsidRPr="00645EDC">
        <w:rPr>
          <w:rFonts w:ascii="Times New Roman" w:hAnsi="Times New Roman"/>
          <w:lang w:val="sk-SK"/>
        </w:rPr>
        <w:t xml:space="preserve"> 201</w:t>
      </w:r>
      <w:r w:rsidR="00BB6D96">
        <w:rPr>
          <w:rFonts w:ascii="Times New Roman" w:hAnsi="Times New Roman"/>
          <w:lang w:val="sk-SK"/>
        </w:rPr>
        <w:t>8</w:t>
      </w:r>
    </w:p>
    <w:sectPr w:rsidR="00130C5F" w:rsidRPr="000E4718" w:rsidSect="00B63C1D">
      <w:headerReference w:type="default" r:id="rId8"/>
      <w:footerReference w:type="even" r:id="rId9"/>
      <w:footerReference w:type="default" r:id="rId10"/>
      <w:headerReference w:type="first" r:id="rId11"/>
      <w:footerReference w:type="first" r:id="rId12"/>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6BA6B" w14:textId="77777777" w:rsidR="00832583" w:rsidRDefault="00832583">
      <w:r>
        <w:separator/>
      </w:r>
    </w:p>
  </w:endnote>
  <w:endnote w:type="continuationSeparator" w:id="0">
    <w:p w14:paraId="790805FC" w14:textId="77777777" w:rsidR="00832583" w:rsidRDefault="00832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ACC75" w14:textId="77777777" w:rsidR="00F56C42" w:rsidRDefault="00F56C42" w:rsidP="003B7D86">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B825EE0" w14:textId="77777777" w:rsidR="00F56C42" w:rsidRDefault="00F56C42">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0044524"/>
      <w:docPartObj>
        <w:docPartGallery w:val="Page Numbers (Bottom of Page)"/>
        <w:docPartUnique/>
      </w:docPartObj>
    </w:sdtPr>
    <w:sdtEndPr>
      <w:rPr>
        <w:rFonts w:ascii="Times New Roman" w:hAnsi="Times New Roman"/>
        <w:sz w:val="18"/>
        <w:szCs w:val="18"/>
      </w:rPr>
    </w:sdtEndPr>
    <w:sdtContent>
      <w:p w14:paraId="7A797F2B" w14:textId="72DC40F1" w:rsidR="00184723" w:rsidRPr="000E4718" w:rsidRDefault="00184723">
        <w:pPr>
          <w:pStyle w:val="Pta"/>
          <w:jc w:val="center"/>
          <w:rPr>
            <w:rFonts w:ascii="Times New Roman" w:hAnsi="Times New Roman"/>
            <w:sz w:val="18"/>
            <w:szCs w:val="18"/>
          </w:rPr>
        </w:pPr>
        <w:r w:rsidRPr="000E4718">
          <w:rPr>
            <w:rFonts w:ascii="Times New Roman" w:hAnsi="Times New Roman"/>
            <w:sz w:val="18"/>
            <w:szCs w:val="18"/>
          </w:rPr>
          <w:fldChar w:fldCharType="begin"/>
        </w:r>
        <w:r w:rsidRPr="000E4718">
          <w:rPr>
            <w:rFonts w:ascii="Times New Roman" w:hAnsi="Times New Roman"/>
            <w:sz w:val="18"/>
            <w:szCs w:val="18"/>
          </w:rPr>
          <w:instrText>PAGE   \* MERGEFORMAT</w:instrText>
        </w:r>
        <w:r w:rsidRPr="000E4718">
          <w:rPr>
            <w:rFonts w:ascii="Times New Roman" w:hAnsi="Times New Roman"/>
            <w:sz w:val="18"/>
            <w:szCs w:val="18"/>
          </w:rPr>
          <w:fldChar w:fldCharType="separate"/>
        </w:r>
        <w:r w:rsidR="00B63C1D" w:rsidRPr="00B63C1D">
          <w:rPr>
            <w:rFonts w:ascii="Times New Roman" w:hAnsi="Times New Roman"/>
            <w:noProof/>
            <w:sz w:val="18"/>
            <w:szCs w:val="18"/>
            <w:lang w:val="sk-SK"/>
          </w:rPr>
          <w:t>15</w:t>
        </w:r>
        <w:r w:rsidRPr="000E4718">
          <w:rPr>
            <w:rFonts w:ascii="Times New Roman" w:hAnsi="Times New Roman"/>
            <w:sz w:val="18"/>
            <w:szCs w:val="18"/>
          </w:rPr>
          <w:fldChar w:fldCharType="end"/>
        </w:r>
      </w:p>
    </w:sdtContent>
  </w:sdt>
  <w:p w14:paraId="5BC2DE28" w14:textId="77777777" w:rsidR="00F56C42" w:rsidRDefault="00F56C42">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4484467"/>
      <w:docPartObj>
        <w:docPartGallery w:val="Page Numbers (Bottom of Page)"/>
        <w:docPartUnique/>
      </w:docPartObj>
    </w:sdtPr>
    <w:sdtEndPr>
      <w:rPr>
        <w:rFonts w:ascii="Times New Roman" w:hAnsi="Times New Roman"/>
        <w:sz w:val="18"/>
        <w:szCs w:val="18"/>
      </w:rPr>
    </w:sdtEndPr>
    <w:sdtContent>
      <w:p w14:paraId="79E549B6" w14:textId="6504463A" w:rsidR="002E58F6" w:rsidRPr="002E58F6" w:rsidRDefault="002E58F6">
        <w:pPr>
          <w:pStyle w:val="Pta"/>
          <w:jc w:val="center"/>
          <w:rPr>
            <w:rFonts w:ascii="Times New Roman" w:hAnsi="Times New Roman"/>
            <w:sz w:val="18"/>
            <w:szCs w:val="18"/>
          </w:rPr>
        </w:pPr>
        <w:r w:rsidRPr="002E58F6">
          <w:rPr>
            <w:rFonts w:ascii="Times New Roman" w:hAnsi="Times New Roman"/>
            <w:sz w:val="18"/>
            <w:szCs w:val="18"/>
          </w:rPr>
          <w:fldChar w:fldCharType="begin"/>
        </w:r>
        <w:r w:rsidRPr="002E58F6">
          <w:rPr>
            <w:rFonts w:ascii="Times New Roman" w:hAnsi="Times New Roman"/>
            <w:sz w:val="18"/>
            <w:szCs w:val="18"/>
          </w:rPr>
          <w:instrText>PAGE   \* MERGEFORMAT</w:instrText>
        </w:r>
        <w:r w:rsidRPr="002E58F6">
          <w:rPr>
            <w:rFonts w:ascii="Times New Roman" w:hAnsi="Times New Roman"/>
            <w:sz w:val="18"/>
            <w:szCs w:val="18"/>
          </w:rPr>
          <w:fldChar w:fldCharType="separate"/>
        </w:r>
        <w:r w:rsidR="00BB6D96" w:rsidRPr="00BB6D96">
          <w:rPr>
            <w:rFonts w:ascii="Times New Roman" w:hAnsi="Times New Roman"/>
            <w:noProof/>
            <w:sz w:val="18"/>
            <w:szCs w:val="18"/>
            <w:lang w:val="sk-SK"/>
          </w:rPr>
          <w:t>1</w:t>
        </w:r>
        <w:r w:rsidRPr="002E58F6">
          <w:rPr>
            <w:rFonts w:ascii="Times New Roman" w:hAnsi="Times New Roman"/>
            <w:sz w:val="18"/>
            <w:szCs w:val="18"/>
          </w:rPr>
          <w:fldChar w:fldCharType="end"/>
        </w:r>
      </w:p>
    </w:sdtContent>
  </w:sdt>
  <w:p w14:paraId="79E01094" w14:textId="77777777" w:rsidR="002E58F6" w:rsidRDefault="002E58F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3B95D" w14:textId="77777777" w:rsidR="00832583" w:rsidRDefault="00832583">
      <w:r>
        <w:separator/>
      </w:r>
    </w:p>
  </w:footnote>
  <w:footnote w:type="continuationSeparator" w:id="0">
    <w:p w14:paraId="5D0AA3F5" w14:textId="77777777" w:rsidR="00832583" w:rsidRDefault="008325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C405D" w14:textId="01DCA805" w:rsidR="00BB6D96" w:rsidRDefault="00BB6D96" w:rsidP="00BB6D96">
    <w:pPr>
      <w:pStyle w:val="Hlavika"/>
    </w:pPr>
    <w:r w:rsidRPr="00645EDC">
      <w:rPr>
        <w:rFonts w:ascii="Times New Roman" w:hAnsi="Times New Roman"/>
        <w:sz w:val="18"/>
        <w:szCs w:val="18"/>
        <w:lang w:val="sk-SK"/>
      </w:rPr>
      <w:t>Príloha č. 1 k notifikácii o zmene, ev. č.:</w:t>
    </w:r>
    <w:r w:rsidR="00F2523D">
      <w:rPr>
        <w:rFonts w:ascii="Times New Roman" w:hAnsi="Times New Roman"/>
        <w:sz w:val="18"/>
        <w:szCs w:val="18"/>
        <w:lang w:val="sk-SK"/>
      </w:rPr>
      <w:t xml:space="preserve"> </w:t>
    </w:r>
    <w:r w:rsidR="00F2523D" w:rsidRPr="00F2523D">
      <w:rPr>
        <w:rFonts w:ascii="Times New Roman" w:hAnsi="Times New Roman"/>
        <w:sz w:val="18"/>
        <w:szCs w:val="18"/>
        <w:lang w:val="sk-SK"/>
      </w:rPr>
      <w:t>2018/03868-Z1B</w:t>
    </w:r>
  </w:p>
  <w:p w14:paraId="79354D1F" w14:textId="77777777" w:rsidR="00BB6D96" w:rsidRDefault="00BB6D96">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C7087" w14:textId="66A68291" w:rsidR="00184723" w:rsidRDefault="0018472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B0ACC6E"/>
    <w:lvl w:ilvl="0">
      <w:numFmt w:val="bullet"/>
      <w:lvlText w:val="*"/>
      <w:lvlJc w:val="left"/>
    </w:lvl>
  </w:abstractNum>
  <w:abstractNum w:abstractNumId="1" w15:restartNumberingAfterBreak="0">
    <w:nsid w:val="400A777C"/>
    <w:multiLevelType w:val="multilevel"/>
    <w:tmpl w:val="1EF4BC8C"/>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 w15:restartNumberingAfterBreak="0">
    <w:nsid w:val="4C076A60"/>
    <w:multiLevelType w:val="hybridMultilevel"/>
    <w:tmpl w:val="60B69F86"/>
    <w:lvl w:ilvl="0" w:tplc="6B0ACC6E">
      <w:start w:val="65535"/>
      <w:numFmt w:val="bullet"/>
      <w:lvlText w:val="-"/>
      <w:lvlJc w:val="left"/>
      <w:pPr>
        <w:ind w:left="780" w:hanging="360"/>
      </w:pPr>
      <w:rPr>
        <w:rFonts w:ascii="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3" w15:restartNumberingAfterBreak="0">
    <w:nsid w:val="50E110C4"/>
    <w:multiLevelType w:val="hybridMultilevel"/>
    <w:tmpl w:val="9EF6E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6472BC4"/>
    <w:multiLevelType w:val="hybridMultilevel"/>
    <w:tmpl w:val="62D03E70"/>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 w15:restartNumberingAfterBreak="0">
    <w:nsid w:val="5B6F788F"/>
    <w:multiLevelType w:val="hybridMultilevel"/>
    <w:tmpl w:val="9C004A10"/>
    <w:lvl w:ilvl="0" w:tplc="6B0ACC6E">
      <w:start w:val="65535"/>
      <w:numFmt w:val="bullet"/>
      <w:lvlText w:val="-"/>
      <w:lvlJc w:val="left"/>
      <w:pPr>
        <w:ind w:left="1440" w:hanging="360"/>
      </w:pPr>
      <w:rPr>
        <w:rFonts w:ascii="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698C5C41"/>
    <w:multiLevelType w:val="hybridMultilevel"/>
    <w:tmpl w:val="F590319A"/>
    <w:lvl w:ilvl="0" w:tplc="6B0ACC6E">
      <w:start w:val="65535"/>
      <w:numFmt w:val="bullet"/>
      <w:lvlText w:val="-"/>
      <w:lvlJc w:val="left"/>
      <w:pPr>
        <w:ind w:left="1440" w:hanging="360"/>
      </w:pPr>
      <w:rPr>
        <w:rFonts w:ascii="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71286E9C"/>
    <w:multiLevelType w:val="hybridMultilevel"/>
    <w:tmpl w:val="26FC1B60"/>
    <w:lvl w:ilvl="0" w:tplc="6B0ACC6E">
      <w:start w:val="65535"/>
      <w:numFmt w:val="bullet"/>
      <w:lvlText w:val="-"/>
      <w:lvlJc w:val="left"/>
      <w:pPr>
        <w:ind w:left="891" w:hanging="360"/>
      </w:pPr>
      <w:rPr>
        <w:rFonts w:ascii="Times New Roman" w:hAnsi="Times New Roman" w:cs="Times New Roman" w:hint="default"/>
      </w:rPr>
    </w:lvl>
    <w:lvl w:ilvl="1" w:tplc="041B0003" w:tentative="1">
      <w:start w:val="1"/>
      <w:numFmt w:val="bullet"/>
      <w:lvlText w:val="o"/>
      <w:lvlJc w:val="left"/>
      <w:pPr>
        <w:ind w:left="1611" w:hanging="360"/>
      </w:pPr>
      <w:rPr>
        <w:rFonts w:ascii="Courier New" w:hAnsi="Courier New" w:cs="Courier New" w:hint="default"/>
      </w:rPr>
    </w:lvl>
    <w:lvl w:ilvl="2" w:tplc="041B0005" w:tentative="1">
      <w:start w:val="1"/>
      <w:numFmt w:val="bullet"/>
      <w:lvlText w:val=""/>
      <w:lvlJc w:val="left"/>
      <w:pPr>
        <w:ind w:left="2331" w:hanging="360"/>
      </w:pPr>
      <w:rPr>
        <w:rFonts w:ascii="Wingdings" w:hAnsi="Wingdings" w:hint="default"/>
      </w:rPr>
    </w:lvl>
    <w:lvl w:ilvl="3" w:tplc="041B0001" w:tentative="1">
      <w:start w:val="1"/>
      <w:numFmt w:val="bullet"/>
      <w:lvlText w:val=""/>
      <w:lvlJc w:val="left"/>
      <w:pPr>
        <w:ind w:left="3051" w:hanging="360"/>
      </w:pPr>
      <w:rPr>
        <w:rFonts w:ascii="Symbol" w:hAnsi="Symbol" w:hint="default"/>
      </w:rPr>
    </w:lvl>
    <w:lvl w:ilvl="4" w:tplc="041B0003" w:tentative="1">
      <w:start w:val="1"/>
      <w:numFmt w:val="bullet"/>
      <w:lvlText w:val="o"/>
      <w:lvlJc w:val="left"/>
      <w:pPr>
        <w:ind w:left="3771" w:hanging="360"/>
      </w:pPr>
      <w:rPr>
        <w:rFonts w:ascii="Courier New" w:hAnsi="Courier New" w:cs="Courier New" w:hint="default"/>
      </w:rPr>
    </w:lvl>
    <w:lvl w:ilvl="5" w:tplc="041B0005" w:tentative="1">
      <w:start w:val="1"/>
      <w:numFmt w:val="bullet"/>
      <w:lvlText w:val=""/>
      <w:lvlJc w:val="left"/>
      <w:pPr>
        <w:ind w:left="4491" w:hanging="360"/>
      </w:pPr>
      <w:rPr>
        <w:rFonts w:ascii="Wingdings" w:hAnsi="Wingdings" w:hint="default"/>
      </w:rPr>
    </w:lvl>
    <w:lvl w:ilvl="6" w:tplc="041B0001" w:tentative="1">
      <w:start w:val="1"/>
      <w:numFmt w:val="bullet"/>
      <w:lvlText w:val=""/>
      <w:lvlJc w:val="left"/>
      <w:pPr>
        <w:ind w:left="5211" w:hanging="360"/>
      </w:pPr>
      <w:rPr>
        <w:rFonts w:ascii="Symbol" w:hAnsi="Symbol" w:hint="default"/>
      </w:rPr>
    </w:lvl>
    <w:lvl w:ilvl="7" w:tplc="041B0003" w:tentative="1">
      <w:start w:val="1"/>
      <w:numFmt w:val="bullet"/>
      <w:lvlText w:val="o"/>
      <w:lvlJc w:val="left"/>
      <w:pPr>
        <w:ind w:left="5931" w:hanging="360"/>
      </w:pPr>
      <w:rPr>
        <w:rFonts w:ascii="Courier New" w:hAnsi="Courier New" w:cs="Courier New" w:hint="default"/>
      </w:rPr>
    </w:lvl>
    <w:lvl w:ilvl="8" w:tplc="041B0005" w:tentative="1">
      <w:start w:val="1"/>
      <w:numFmt w:val="bullet"/>
      <w:lvlText w:val=""/>
      <w:lvlJc w:val="left"/>
      <w:pPr>
        <w:ind w:left="6651" w:hanging="360"/>
      </w:pPr>
      <w:rPr>
        <w:rFonts w:ascii="Wingdings" w:hAnsi="Wingdings" w:hint="default"/>
      </w:rPr>
    </w:lvl>
  </w:abstractNum>
  <w:abstractNum w:abstractNumId="8" w15:restartNumberingAfterBreak="0">
    <w:nsid w:val="7D963003"/>
    <w:multiLevelType w:val="hybridMultilevel"/>
    <w:tmpl w:val="F8E897FA"/>
    <w:lvl w:ilvl="0" w:tplc="041B0001">
      <w:start w:val="1"/>
      <w:numFmt w:val="bullet"/>
      <w:lvlText w:val=""/>
      <w:lvlJc w:val="left"/>
      <w:pPr>
        <w:ind w:left="1070" w:hanging="360"/>
      </w:pPr>
      <w:rPr>
        <w:rFonts w:ascii="Symbol" w:hAnsi="Symbol" w:hint="default"/>
      </w:rPr>
    </w:lvl>
    <w:lvl w:ilvl="1" w:tplc="041B0003" w:tentative="1">
      <w:start w:val="1"/>
      <w:numFmt w:val="bullet"/>
      <w:lvlText w:val="o"/>
      <w:lvlJc w:val="left"/>
      <w:pPr>
        <w:ind w:left="1790" w:hanging="360"/>
      </w:pPr>
      <w:rPr>
        <w:rFonts w:ascii="Courier New" w:hAnsi="Courier New" w:cs="Courier New" w:hint="default"/>
      </w:rPr>
    </w:lvl>
    <w:lvl w:ilvl="2" w:tplc="041B0005" w:tentative="1">
      <w:start w:val="1"/>
      <w:numFmt w:val="bullet"/>
      <w:lvlText w:val=""/>
      <w:lvlJc w:val="left"/>
      <w:pPr>
        <w:ind w:left="2510" w:hanging="360"/>
      </w:pPr>
      <w:rPr>
        <w:rFonts w:ascii="Wingdings" w:hAnsi="Wingdings" w:hint="default"/>
      </w:rPr>
    </w:lvl>
    <w:lvl w:ilvl="3" w:tplc="041B0001" w:tentative="1">
      <w:start w:val="1"/>
      <w:numFmt w:val="bullet"/>
      <w:lvlText w:val=""/>
      <w:lvlJc w:val="left"/>
      <w:pPr>
        <w:ind w:left="3230" w:hanging="360"/>
      </w:pPr>
      <w:rPr>
        <w:rFonts w:ascii="Symbol" w:hAnsi="Symbol" w:hint="default"/>
      </w:rPr>
    </w:lvl>
    <w:lvl w:ilvl="4" w:tplc="041B0003" w:tentative="1">
      <w:start w:val="1"/>
      <w:numFmt w:val="bullet"/>
      <w:lvlText w:val="o"/>
      <w:lvlJc w:val="left"/>
      <w:pPr>
        <w:ind w:left="3950" w:hanging="360"/>
      </w:pPr>
      <w:rPr>
        <w:rFonts w:ascii="Courier New" w:hAnsi="Courier New" w:cs="Courier New" w:hint="default"/>
      </w:rPr>
    </w:lvl>
    <w:lvl w:ilvl="5" w:tplc="041B0005" w:tentative="1">
      <w:start w:val="1"/>
      <w:numFmt w:val="bullet"/>
      <w:lvlText w:val=""/>
      <w:lvlJc w:val="left"/>
      <w:pPr>
        <w:ind w:left="4670" w:hanging="360"/>
      </w:pPr>
      <w:rPr>
        <w:rFonts w:ascii="Wingdings" w:hAnsi="Wingdings" w:hint="default"/>
      </w:rPr>
    </w:lvl>
    <w:lvl w:ilvl="6" w:tplc="041B0001" w:tentative="1">
      <w:start w:val="1"/>
      <w:numFmt w:val="bullet"/>
      <w:lvlText w:val=""/>
      <w:lvlJc w:val="left"/>
      <w:pPr>
        <w:ind w:left="5390" w:hanging="360"/>
      </w:pPr>
      <w:rPr>
        <w:rFonts w:ascii="Symbol" w:hAnsi="Symbol" w:hint="default"/>
      </w:rPr>
    </w:lvl>
    <w:lvl w:ilvl="7" w:tplc="041B0003" w:tentative="1">
      <w:start w:val="1"/>
      <w:numFmt w:val="bullet"/>
      <w:lvlText w:val="o"/>
      <w:lvlJc w:val="left"/>
      <w:pPr>
        <w:ind w:left="6110" w:hanging="360"/>
      </w:pPr>
      <w:rPr>
        <w:rFonts w:ascii="Courier New" w:hAnsi="Courier New" w:cs="Courier New" w:hint="default"/>
      </w:rPr>
    </w:lvl>
    <w:lvl w:ilvl="8" w:tplc="041B0005" w:tentative="1">
      <w:start w:val="1"/>
      <w:numFmt w:val="bullet"/>
      <w:lvlText w:val=""/>
      <w:lvlJc w:val="left"/>
      <w:pPr>
        <w:ind w:left="6830" w:hanging="360"/>
      </w:pPr>
      <w:rPr>
        <w:rFonts w:ascii="Wingdings" w:hAnsi="Wingdings" w:hint="default"/>
      </w:rPr>
    </w:lvl>
  </w:abstractNum>
  <w:num w:numId="1">
    <w:abstractNumId w:val="1"/>
  </w:num>
  <w:num w:numId="2">
    <w:abstractNumId w:val="0"/>
    <w:lvlOverride w:ilvl="0">
      <w:lvl w:ilvl="0">
        <w:start w:val="65535"/>
        <w:numFmt w:val="bullet"/>
        <w:lvlText w:val="-"/>
        <w:legacy w:legacy="1" w:legacySpace="0" w:legacyIndent="557"/>
        <w:lvlJc w:val="left"/>
        <w:rPr>
          <w:rFonts w:ascii="Times New Roman" w:hAnsi="Times New Roman" w:cs="Times New Roman" w:hint="default"/>
        </w:rPr>
      </w:lvl>
    </w:lvlOverride>
  </w:num>
  <w:num w:numId="3">
    <w:abstractNumId w:val="3"/>
  </w:num>
  <w:num w:numId="4">
    <w:abstractNumId w:val="2"/>
  </w:num>
  <w:num w:numId="5">
    <w:abstractNumId w:val="5"/>
  </w:num>
  <w:num w:numId="6">
    <w:abstractNumId w:val="6"/>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D86"/>
    <w:rsid w:val="000013D9"/>
    <w:rsid w:val="00005320"/>
    <w:rsid w:val="00011790"/>
    <w:rsid w:val="0001720C"/>
    <w:rsid w:val="00023983"/>
    <w:rsid w:val="00027635"/>
    <w:rsid w:val="000346E4"/>
    <w:rsid w:val="00034ACA"/>
    <w:rsid w:val="00044049"/>
    <w:rsid w:val="000441EA"/>
    <w:rsid w:val="000526E3"/>
    <w:rsid w:val="00053F90"/>
    <w:rsid w:val="000567CE"/>
    <w:rsid w:val="0006085F"/>
    <w:rsid w:val="000649FB"/>
    <w:rsid w:val="000650BE"/>
    <w:rsid w:val="00066DF2"/>
    <w:rsid w:val="0007301B"/>
    <w:rsid w:val="0007778B"/>
    <w:rsid w:val="0008135A"/>
    <w:rsid w:val="00081C42"/>
    <w:rsid w:val="000846DF"/>
    <w:rsid w:val="00091435"/>
    <w:rsid w:val="000931A0"/>
    <w:rsid w:val="00093F99"/>
    <w:rsid w:val="00095CA5"/>
    <w:rsid w:val="000A48FF"/>
    <w:rsid w:val="000A7FE2"/>
    <w:rsid w:val="000C70C3"/>
    <w:rsid w:val="000D3CA9"/>
    <w:rsid w:val="000D3F25"/>
    <w:rsid w:val="000D425D"/>
    <w:rsid w:val="000E019B"/>
    <w:rsid w:val="000E3B7C"/>
    <w:rsid w:val="000E415F"/>
    <w:rsid w:val="000E4718"/>
    <w:rsid w:val="000E7C26"/>
    <w:rsid w:val="00101996"/>
    <w:rsid w:val="00102FDF"/>
    <w:rsid w:val="00107B03"/>
    <w:rsid w:val="001174D2"/>
    <w:rsid w:val="001272A7"/>
    <w:rsid w:val="001272BF"/>
    <w:rsid w:val="00130C5F"/>
    <w:rsid w:val="00130FB6"/>
    <w:rsid w:val="0013217B"/>
    <w:rsid w:val="001332F7"/>
    <w:rsid w:val="00133635"/>
    <w:rsid w:val="00135D5D"/>
    <w:rsid w:val="0014098E"/>
    <w:rsid w:val="00143753"/>
    <w:rsid w:val="00144E82"/>
    <w:rsid w:val="00150920"/>
    <w:rsid w:val="00150C23"/>
    <w:rsid w:val="0015129A"/>
    <w:rsid w:val="00154F41"/>
    <w:rsid w:val="00156646"/>
    <w:rsid w:val="001568C0"/>
    <w:rsid w:val="00165282"/>
    <w:rsid w:val="00165316"/>
    <w:rsid w:val="001733EC"/>
    <w:rsid w:val="00177F89"/>
    <w:rsid w:val="00180132"/>
    <w:rsid w:val="00183A3D"/>
    <w:rsid w:val="00183E7F"/>
    <w:rsid w:val="00184723"/>
    <w:rsid w:val="001932B3"/>
    <w:rsid w:val="001938B5"/>
    <w:rsid w:val="00195C52"/>
    <w:rsid w:val="00197EB1"/>
    <w:rsid w:val="001A10D1"/>
    <w:rsid w:val="001A200F"/>
    <w:rsid w:val="001B58D6"/>
    <w:rsid w:val="001C3BB8"/>
    <w:rsid w:val="001C7BEC"/>
    <w:rsid w:val="001D1A96"/>
    <w:rsid w:val="001D6B12"/>
    <w:rsid w:val="001E4345"/>
    <w:rsid w:val="001E6E3D"/>
    <w:rsid w:val="001E763D"/>
    <w:rsid w:val="001E7BA0"/>
    <w:rsid w:val="001F3D76"/>
    <w:rsid w:val="001F4F80"/>
    <w:rsid w:val="0020207C"/>
    <w:rsid w:val="00207D0E"/>
    <w:rsid w:val="00207F0C"/>
    <w:rsid w:val="00213F33"/>
    <w:rsid w:val="00214D0C"/>
    <w:rsid w:val="00217AC8"/>
    <w:rsid w:val="00220CEB"/>
    <w:rsid w:val="002224AB"/>
    <w:rsid w:val="00222BE4"/>
    <w:rsid w:val="00224672"/>
    <w:rsid w:val="0022489A"/>
    <w:rsid w:val="00232C36"/>
    <w:rsid w:val="00234CC5"/>
    <w:rsid w:val="002358E3"/>
    <w:rsid w:val="00235F16"/>
    <w:rsid w:val="00240B1C"/>
    <w:rsid w:val="00242421"/>
    <w:rsid w:val="00247FE2"/>
    <w:rsid w:val="00251355"/>
    <w:rsid w:val="002517D9"/>
    <w:rsid w:val="00251D30"/>
    <w:rsid w:val="0025356A"/>
    <w:rsid w:val="002669AE"/>
    <w:rsid w:val="00267A39"/>
    <w:rsid w:val="002769BD"/>
    <w:rsid w:val="002811A3"/>
    <w:rsid w:val="00285B13"/>
    <w:rsid w:val="002871FB"/>
    <w:rsid w:val="00295028"/>
    <w:rsid w:val="00296F45"/>
    <w:rsid w:val="002A2345"/>
    <w:rsid w:val="002A3FFF"/>
    <w:rsid w:val="002A400D"/>
    <w:rsid w:val="002A5F4C"/>
    <w:rsid w:val="002A654A"/>
    <w:rsid w:val="002B17B9"/>
    <w:rsid w:val="002C3783"/>
    <w:rsid w:val="002C39D9"/>
    <w:rsid w:val="002C46DB"/>
    <w:rsid w:val="002C4DCE"/>
    <w:rsid w:val="002C5F28"/>
    <w:rsid w:val="002C7C0D"/>
    <w:rsid w:val="002D18FC"/>
    <w:rsid w:val="002D23FD"/>
    <w:rsid w:val="002E05C4"/>
    <w:rsid w:val="002E2855"/>
    <w:rsid w:val="002E3986"/>
    <w:rsid w:val="002E58F6"/>
    <w:rsid w:val="002E6F9B"/>
    <w:rsid w:val="002E78F9"/>
    <w:rsid w:val="002F1685"/>
    <w:rsid w:val="002F202B"/>
    <w:rsid w:val="002F58B4"/>
    <w:rsid w:val="0030256B"/>
    <w:rsid w:val="003063DA"/>
    <w:rsid w:val="00307B2F"/>
    <w:rsid w:val="003117A7"/>
    <w:rsid w:val="00312ECF"/>
    <w:rsid w:val="0031301F"/>
    <w:rsid w:val="00322263"/>
    <w:rsid w:val="003238D8"/>
    <w:rsid w:val="003246A4"/>
    <w:rsid w:val="00327AFD"/>
    <w:rsid w:val="00327B50"/>
    <w:rsid w:val="0033019C"/>
    <w:rsid w:val="00332340"/>
    <w:rsid w:val="00345502"/>
    <w:rsid w:val="00346632"/>
    <w:rsid w:val="003518C1"/>
    <w:rsid w:val="003554CB"/>
    <w:rsid w:val="00356490"/>
    <w:rsid w:val="00366C8D"/>
    <w:rsid w:val="00380C9B"/>
    <w:rsid w:val="0038794F"/>
    <w:rsid w:val="00387C97"/>
    <w:rsid w:val="00394A5E"/>
    <w:rsid w:val="00395D04"/>
    <w:rsid w:val="003968BE"/>
    <w:rsid w:val="0039787D"/>
    <w:rsid w:val="003B138E"/>
    <w:rsid w:val="003B3AB7"/>
    <w:rsid w:val="003B3CE2"/>
    <w:rsid w:val="003B3E28"/>
    <w:rsid w:val="003B7D86"/>
    <w:rsid w:val="003C0741"/>
    <w:rsid w:val="003C0F5F"/>
    <w:rsid w:val="003C1C87"/>
    <w:rsid w:val="003C2035"/>
    <w:rsid w:val="003C72FB"/>
    <w:rsid w:val="003D16AF"/>
    <w:rsid w:val="003D4E2F"/>
    <w:rsid w:val="003E0B29"/>
    <w:rsid w:val="003E1926"/>
    <w:rsid w:val="003E4AEF"/>
    <w:rsid w:val="003F1C9C"/>
    <w:rsid w:val="003F3988"/>
    <w:rsid w:val="003F4595"/>
    <w:rsid w:val="004018DE"/>
    <w:rsid w:val="00411906"/>
    <w:rsid w:val="00411945"/>
    <w:rsid w:val="00420081"/>
    <w:rsid w:val="004232D6"/>
    <w:rsid w:val="00424030"/>
    <w:rsid w:val="00424572"/>
    <w:rsid w:val="00425D46"/>
    <w:rsid w:val="004336BE"/>
    <w:rsid w:val="00437890"/>
    <w:rsid w:val="004411D6"/>
    <w:rsid w:val="00450FA3"/>
    <w:rsid w:val="00452C36"/>
    <w:rsid w:val="00454E0D"/>
    <w:rsid w:val="00460893"/>
    <w:rsid w:val="004715F8"/>
    <w:rsid w:val="00474095"/>
    <w:rsid w:val="0047549E"/>
    <w:rsid w:val="00477B90"/>
    <w:rsid w:val="00483CB5"/>
    <w:rsid w:val="004874D8"/>
    <w:rsid w:val="004A030C"/>
    <w:rsid w:val="004A5D76"/>
    <w:rsid w:val="004A6262"/>
    <w:rsid w:val="004B055E"/>
    <w:rsid w:val="004B0D1A"/>
    <w:rsid w:val="004B1611"/>
    <w:rsid w:val="004B25ED"/>
    <w:rsid w:val="004C009E"/>
    <w:rsid w:val="004C3DC1"/>
    <w:rsid w:val="004C7C06"/>
    <w:rsid w:val="004D02E0"/>
    <w:rsid w:val="004D0F44"/>
    <w:rsid w:val="004D0F47"/>
    <w:rsid w:val="004D3820"/>
    <w:rsid w:val="004D5631"/>
    <w:rsid w:val="004D608A"/>
    <w:rsid w:val="004E2D44"/>
    <w:rsid w:val="004F1F7B"/>
    <w:rsid w:val="005047A0"/>
    <w:rsid w:val="0050570E"/>
    <w:rsid w:val="00511ADA"/>
    <w:rsid w:val="00511D38"/>
    <w:rsid w:val="00514A07"/>
    <w:rsid w:val="0051555B"/>
    <w:rsid w:val="00521824"/>
    <w:rsid w:val="00532451"/>
    <w:rsid w:val="00536253"/>
    <w:rsid w:val="005370FF"/>
    <w:rsid w:val="00542522"/>
    <w:rsid w:val="00542B20"/>
    <w:rsid w:val="005443C7"/>
    <w:rsid w:val="005448F2"/>
    <w:rsid w:val="00547F14"/>
    <w:rsid w:val="00551666"/>
    <w:rsid w:val="0055595B"/>
    <w:rsid w:val="00563AAB"/>
    <w:rsid w:val="00571BDC"/>
    <w:rsid w:val="0057776D"/>
    <w:rsid w:val="00584A22"/>
    <w:rsid w:val="005861E0"/>
    <w:rsid w:val="00586E33"/>
    <w:rsid w:val="00591156"/>
    <w:rsid w:val="00597024"/>
    <w:rsid w:val="005971C5"/>
    <w:rsid w:val="005A2584"/>
    <w:rsid w:val="005A2C4C"/>
    <w:rsid w:val="005A52FF"/>
    <w:rsid w:val="005A7D11"/>
    <w:rsid w:val="005B147E"/>
    <w:rsid w:val="005B4BD2"/>
    <w:rsid w:val="005B62E9"/>
    <w:rsid w:val="005B6CEC"/>
    <w:rsid w:val="005B6D67"/>
    <w:rsid w:val="005C1184"/>
    <w:rsid w:val="005D091D"/>
    <w:rsid w:val="005D2B05"/>
    <w:rsid w:val="005E042E"/>
    <w:rsid w:val="005E2A49"/>
    <w:rsid w:val="005E3B7E"/>
    <w:rsid w:val="005F5EFC"/>
    <w:rsid w:val="005F6357"/>
    <w:rsid w:val="00603F58"/>
    <w:rsid w:val="00606323"/>
    <w:rsid w:val="006067C1"/>
    <w:rsid w:val="006107AD"/>
    <w:rsid w:val="0061087B"/>
    <w:rsid w:val="0061122F"/>
    <w:rsid w:val="00611721"/>
    <w:rsid w:val="0061556D"/>
    <w:rsid w:val="00616167"/>
    <w:rsid w:val="006227A6"/>
    <w:rsid w:val="00627F64"/>
    <w:rsid w:val="006315AB"/>
    <w:rsid w:val="0063161A"/>
    <w:rsid w:val="00632450"/>
    <w:rsid w:val="0063347F"/>
    <w:rsid w:val="006338C8"/>
    <w:rsid w:val="00645EDC"/>
    <w:rsid w:val="00650635"/>
    <w:rsid w:val="00650D45"/>
    <w:rsid w:val="00654BF9"/>
    <w:rsid w:val="00657864"/>
    <w:rsid w:val="00660E44"/>
    <w:rsid w:val="006627CB"/>
    <w:rsid w:val="00673F69"/>
    <w:rsid w:val="00686D00"/>
    <w:rsid w:val="006901AB"/>
    <w:rsid w:val="006931C1"/>
    <w:rsid w:val="00697C9B"/>
    <w:rsid w:val="006A13A7"/>
    <w:rsid w:val="006A161B"/>
    <w:rsid w:val="006A55FE"/>
    <w:rsid w:val="006A77B7"/>
    <w:rsid w:val="006B2F1C"/>
    <w:rsid w:val="006B6A5A"/>
    <w:rsid w:val="006C4A32"/>
    <w:rsid w:val="006E0D3A"/>
    <w:rsid w:val="006E24A2"/>
    <w:rsid w:val="006E51C6"/>
    <w:rsid w:val="006F3854"/>
    <w:rsid w:val="006F6474"/>
    <w:rsid w:val="006F6D17"/>
    <w:rsid w:val="006F71CE"/>
    <w:rsid w:val="00707CFA"/>
    <w:rsid w:val="00726B60"/>
    <w:rsid w:val="00734069"/>
    <w:rsid w:val="00735052"/>
    <w:rsid w:val="00736402"/>
    <w:rsid w:val="00743732"/>
    <w:rsid w:val="00747A9C"/>
    <w:rsid w:val="00756213"/>
    <w:rsid w:val="00766740"/>
    <w:rsid w:val="00767131"/>
    <w:rsid w:val="007763EF"/>
    <w:rsid w:val="00783F2C"/>
    <w:rsid w:val="0079246E"/>
    <w:rsid w:val="007A251F"/>
    <w:rsid w:val="007A6CE9"/>
    <w:rsid w:val="007A7394"/>
    <w:rsid w:val="007B1CED"/>
    <w:rsid w:val="007D0109"/>
    <w:rsid w:val="007D515A"/>
    <w:rsid w:val="007D535C"/>
    <w:rsid w:val="007D53A4"/>
    <w:rsid w:val="007D6515"/>
    <w:rsid w:val="007E4747"/>
    <w:rsid w:val="007E76C4"/>
    <w:rsid w:val="007F0F6C"/>
    <w:rsid w:val="007F574C"/>
    <w:rsid w:val="007F633F"/>
    <w:rsid w:val="00807375"/>
    <w:rsid w:val="008105FB"/>
    <w:rsid w:val="00810B31"/>
    <w:rsid w:val="00812EF3"/>
    <w:rsid w:val="00813864"/>
    <w:rsid w:val="0082146C"/>
    <w:rsid w:val="00823B4D"/>
    <w:rsid w:val="00830AB5"/>
    <w:rsid w:val="00832583"/>
    <w:rsid w:val="0083423D"/>
    <w:rsid w:val="00841796"/>
    <w:rsid w:val="00843F40"/>
    <w:rsid w:val="00845889"/>
    <w:rsid w:val="008473B1"/>
    <w:rsid w:val="00850B9F"/>
    <w:rsid w:val="008558DF"/>
    <w:rsid w:val="00863A8D"/>
    <w:rsid w:val="008650E2"/>
    <w:rsid w:val="008726C5"/>
    <w:rsid w:val="00873850"/>
    <w:rsid w:val="008762AC"/>
    <w:rsid w:val="00877CDD"/>
    <w:rsid w:val="00877E71"/>
    <w:rsid w:val="00883A36"/>
    <w:rsid w:val="00885197"/>
    <w:rsid w:val="008A28FF"/>
    <w:rsid w:val="008A4D3F"/>
    <w:rsid w:val="008A7E55"/>
    <w:rsid w:val="008B04D1"/>
    <w:rsid w:val="008B2167"/>
    <w:rsid w:val="008B28CA"/>
    <w:rsid w:val="008B2F2E"/>
    <w:rsid w:val="008B50B0"/>
    <w:rsid w:val="008B5488"/>
    <w:rsid w:val="008B6F7C"/>
    <w:rsid w:val="008C21E8"/>
    <w:rsid w:val="008C5390"/>
    <w:rsid w:val="008D1AA9"/>
    <w:rsid w:val="008D6D86"/>
    <w:rsid w:val="008D72C4"/>
    <w:rsid w:val="008E42AA"/>
    <w:rsid w:val="008F51D2"/>
    <w:rsid w:val="008F6772"/>
    <w:rsid w:val="008F68AB"/>
    <w:rsid w:val="0090094A"/>
    <w:rsid w:val="0090450C"/>
    <w:rsid w:val="00912B3C"/>
    <w:rsid w:val="00925668"/>
    <w:rsid w:val="0092580B"/>
    <w:rsid w:val="00930A97"/>
    <w:rsid w:val="00935D88"/>
    <w:rsid w:val="00940228"/>
    <w:rsid w:val="009407A2"/>
    <w:rsid w:val="009536EC"/>
    <w:rsid w:val="00954E18"/>
    <w:rsid w:val="00962CE1"/>
    <w:rsid w:val="00970FAD"/>
    <w:rsid w:val="0097717D"/>
    <w:rsid w:val="00993D07"/>
    <w:rsid w:val="00996D7E"/>
    <w:rsid w:val="009A2A22"/>
    <w:rsid w:val="009A6F0F"/>
    <w:rsid w:val="009B10EF"/>
    <w:rsid w:val="009B6E28"/>
    <w:rsid w:val="009C3910"/>
    <w:rsid w:val="009D0FCC"/>
    <w:rsid w:val="009D1E17"/>
    <w:rsid w:val="009D2FF2"/>
    <w:rsid w:val="009D76A9"/>
    <w:rsid w:val="009E17B9"/>
    <w:rsid w:val="009E2375"/>
    <w:rsid w:val="00A00EB1"/>
    <w:rsid w:val="00A00FA2"/>
    <w:rsid w:val="00A01F64"/>
    <w:rsid w:val="00A04C25"/>
    <w:rsid w:val="00A13D3C"/>
    <w:rsid w:val="00A14F53"/>
    <w:rsid w:val="00A2121D"/>
    <w:rsid w:val="00A3054D"/>
    <w:rsid w:val="00A31747"/>
    <w:rsid w:val="00A35BE3"/>
    <w:rsid w:val="00A37B84"/>
    <w:rsid w:val="00A41A11"/>
    <w:rsid w:val="00A53982"/>
    <w:rsid w:val="00A53DD0"/>
    <w:rsid w:val="00A554B8"/>
    <w:rsid w:val="00A57D18"/>
    <w:rsid w:val="00A67BAC"/>
    <w:rsid w:val="00A74599"/>
    <w:rsid w:val="00A7694E"/>
    <w:rsid w:val="00A77084"/>
    <w:rsid w:val="00A8068B"/>
    <w:rsid w:val="00A84145"/>
    <w:rsid w:val="00A8425D"/>
    <w:rsid w:val="00A8612C"/>
    <w:rsid w:val="00A879B6"/>
    <w:rsid w:val="00A94376"/>
    <w:rsid w:val="00A94C35"/>
    <w:rsid w:val="00A97394"/>
    <w:rsid w:val="00AA4AD0"/>
    <w:rsid w:val="00AA5072"/>
    <w:rsid w:val="00AA59A7"/>
    <w:rsid w:val="00AC44BA"/>
    <w:rsid w:val="00AE22AF"/>
    <w:rsid w:val="00AF5DC3"/>
    <w:rsid w:val="00B009DD"/>
    <w:rsid w:val="00B035A0"/>
    <w:rsid w:val="00B04B50"/>
    <w:rsid w:val="00B10B2D"/>
    <w:rsid w:val="00B10C9D"/>
    <w:rsid w:val="00B14863"/>
    <w:rsid w:val="00B24195"/>
    <w:rsid w:val="00B24341"/>
    <w:rsid w:val="00B311FA"/>
    <w:rsid w:val="00B331BB"/>
    <w:rsid w:val="00B35862"/>
    <w:rsid w:val="00B43B3E"/>
    <w:rsid w:val="00B43CCE"/>
    <w:rsid w:val="00B539D4"/>
    <w:rsid w:val="00B54478"/>
    <w:rsid w:val="00B55E7A"/>
    <w:rsid w:val="00B56133"/>
    <w:rsid w:val="00B63C1D"/>
    <w:rsid w:val="00B66E31"/>
    <w:rsid w:val="00B71D5C"/>
    <w:rsid w:val="00B7221F"/>
    <w:rsid w:val="00B75467"/>
    <w:rsid w:val="00B76CAD"/>
    <w:rsid w:val="00B77F41"/>
    <w:rsid w:val="00B863DD"/>
    <w:rsid w:val="00B878EA"/>
    <w:rsid w:val="00B97088"/>
    <w:rsid w:val="00B97F70"/>
    <w:rsid w:val="00BA567F"/>
    <w:rsid w:val="00BA591D"/>
    <w:rsid w:val="00BB0B76"/>
    <w:rsid w:val="00BB1159"/>
    <w:rsid w:val="00BB6D96"/>
    <w:rsid w:val="00BC2FE8"/>
    <w:rsid w:val="00BC3766"/>
    <w:rsid w:val="00BD1423"/>
    <w:rsid w:val="00BD1FA1"/>
    <w:rsid w:val="00BD2276"/>
    <w:rsid w:val="00BD42B5"/>
    <w:rsid w:val="00BD5ED3"/>
    <w:rsid w:val="00BD70AB"/>
    <w:rsid w:val="00BE221E"/>
    <w:rsid w:val="00BE3B27"/>
    <w:rsid w:val="00BF3BD9"/>
    <w:rsid w:val="00C04829"/>
    <w:rsid w:val="00C0523D"/>
    <w:rsid w:val="00C0526D"/>
    <w:rsid w:val="00C141ED"/>
    <w:rsid w:val="00C1508C"/>
    <w:rsid w:val="00C23930"/>
    <w:rsid w:val="00C242DC"/>
    <w:rsid w:val="00C26034"/>
    <w:rsid w:val="00C332BB"/>
    <w:rsid w:val="00C3385D"/>
    <w:rsid w:val="00C3446D"/>
    <w:rsid w:val="00C424B0"/>
    <w:rsid w:val="00C46156"/>
    <w:rsid w:val="00C533D1"/>
    <w:rsid w:val="00C54099"/>
    <w:rsid w:val="00C807D0"/>
    <w:rsid w:val="00C979EE"/>
    <w:rsid w:val="00CA10A0"/>
    <w:rsid w:val="00CA56B7"/>
    <w:rsid w:val="00CA6493"/>
    <w:rsid w:val="00CB09EE"/>
    <w:rsid w:val="00CB1560"/>
    <w:rsid w:val="00CB3D41"/>
    <w:rsid w:val="00CB3D60"/>
    <w:rsid w:val="00CC0091"/>
    <w:rsid w:val="00CC353F"/>
    <w:rsid w:val="00CC6A76"/>
    <w:rsid w:val="00CC6CEE"/>
    <w:rsid w:val="00CD1FCD"/>
    <w:rsid w:val="00CD5DEF"/>
    <w:rsid w:val="00CE548A"/>
    <w:rsid w:val="00CF08AE"/>
    <w:rsid w:val="00CF26BD"/>
    <w:rsid w:val="00D00542"/>
    <w:rsid w:val="00D10921"/>
    <w:rsid w:val="00D13EB7"/>
    <w:rsid w:val="00D203F0"/>
    <w:rsid w:val="00D20979"/>
    <w:rsid w:val="00D242C2"/>
    <w:rsid w:val="00D25998"/>
    <w:rsid w:val="00D271BA"/>
    <w:rsid w:val="00D322F1"/>
    <w:rsid w:val="00D36158"/>
    <w:rsid w:val="00D3658A"/>
    <w:rsid w:val="00D40928"/>
    <w:rsid w:val="00D40E23"/>
    <w:rsid w:val="00D41A18"/>
    <w:rsid w:val="00D51DDF"/>
    <w:rsid w:val="00D669EE"/>
    <w:rsid w:val="00D7430B"/>
    <w:rsid w:val="00D76D35"/>
    <w:rsid w:val="00D81BD7"/>
    <w:rsid w:val="00D83177"/>
    <w:rsid w:val="00D92DFF"/>
    <w:rsid w:val="00D96FD5"/>
    <w:rsid w:val="00DA171E"/>
    <w:rsid w:val="00DA2C20"/>
    <w:rsid w:val="00DA5711"/>
    <w:rsid w:val="00DB37F6"/>
    <w:rsid w:val="00DC2A87"/>
    <w:rsid w:val="00DC523E"/>
    <w:rsid w:val="00DC61F1"/>
    <w:rsid w:val="00DD106B"/>
    <w:rsid w:val="00DD6B43"/>
    <w:rsid w:val="00DF7B2C"/>
    <w:rsid w:val="00E0196B"/>
    <w:rsid w:val="00E01DD2"/>
    <w:rsid w:val="00E01E01"/>
    <w:rsid w:val="00E027BC"/>
    <w:rsid w:val="00E100C1"/>
    <w:rsid w:val="00E11C27"/>
    <w:rsid w:val="00E12547"/>
    <w:rsid w:val="00E12B7C"/>
    <w:rsid w:val="00E16E89"/>
    <w:rsid w:val="00E17544"/>
    <w:rsid w:val="00E32433"/>
    <w:rsid w:val="00E34A5B"/>
    <w:rsid w:val="00E365C8"/>
    <w:rsid w:val="00E40120"/>
    <w:rsid w:val="00E434AD"/>
    <w:rsid w:val="00E503C4"/>
    <w:rsid w:val="00E530B9"/>
    <w:rsid w:val="00E53C05"/>
    <w:rsid w:val="00E54426"/>
    <w:rsid w:val="00E54E87"/>
    <w:rsid w:val="00E5679E"/>
    <w:rsid w:val="00E60491"/>
    <w:rsid w:val="00E659DA"/>
    <w:rsid w:val="00E66B48"/>
    <w:rsid w:val="00E701D7"/>
    <w:rsid w:val="00E70A7F"/>
    <w:rsid w:val="00E735FC"/>
    <w:rsid w:val="00E739BE"/>
    <w:rsid w:val="00E81ACB"/>
    <w:rsid w:val="00E835D4"/>
    <w:rsid w:val="00E838FD"/>
    <w:rsid w:val="00E856CB"/>
    <w:rsid w:val="00E92802"/>
    <w:rsid w:val="00E92E42"/>
    <w:rsid w:val="00E93E58"/>
    <w:rsid w:val="00EA5141"/>
    <w:rsid w:val="00EB1568"/>
    <w:rsid w:val="00EB2801"/>
    <w:rsid w:val="00EB280E"/>
    <w:rsid w:val="00EB5853"/>
    <w:rsid w:val="00EB5976"/>
    <w:rsid w:val="00EB7E33"/>
    <w:rsid w:val="00EC15BD"/>
    <w:rsid w:val="00EC21D9"/>
    <w:rsid w:val="00EC42DF"/>
    <w:rsid w:val="00EC7A6D"/>
    <w:rsid w:val="00ED06D1"/>
    <w:rsid w:val="00ED1D88"/>
    <w:rsid w:val="00ED2FFB"/>
    <w:rsid w:val="00ED37D8"/>
    <w:rsid w:val="00ED4E72"/>
    <w:rsid w:val="00EE0234"/>
    <w:rsid w:val="00EE06CD"/>
    <w:rsid w:val="00EE5786"/>
    <w:rsid w:val="00EF7476"/>
    <w:rsid w:val="00F03D02"/>
    <w:rsid w:val="00F04663"/>
    <w:rsid w:val="00F05E92"/>
    <w:rsid w:val="00F137B5"/>
    <w:rsid w:val="00F15BC3"/>
    <w:rsid w:val="00F15CA4"/>
    <w:rsid w:val="00F22FB8"/>
    <w:rsid w:val="00F2523D"/>
    <w:rsid w:val="00F25FC1"/>
    <w:rsid w:val="00F35194"/>
    <w:rsid w:val="00F35ED1"/>
    <w:rsid w:val="00F369AC"/>
    <w:rsid w:val="00F43081"/>
    <w:rsid w:val="00F4447C"/>
    <w:rsid w:val="00F46F6B"/>
    <w:rsid w:val="00F50A1D"/>
    <w:rsid w:val="00F519E9"/>
    <w:rsid w:val="00F5597F"/>
    <w:rsid w:val="00F56C42"/>
    <w:rsid w:val="00F62081"/>
    <w:rsid w:val="00F65FBE"/>
    <w:rsid w:val="00F724FF"/>
    <w:rsid w:val="00F731CD"/>
    <w:rsid w:val="00F76C18"/>
    <w:rsid w:val="00F853D0"/>
    <w:rsid w:val="00F86EF9"/>
    <w:rsid w:val="00F87229"/>
    <w:rsid w:val="00F90CC9"/>
    <w:rsid w:val="00F95624"/>
    <w:rsid w:val="00FA26F0"/>
    <w:rsid w:val="00FA6539"/>
    <w:rsid w:val="00FB0FCC"/>
    <w:rsid w:val="00FB2C1C"/>
    <w:rsid w:val="00FB2D25"/>
    <w:rsid w:val="00FB61BD"/>
    <w:rsid w:val="00FC2A16"/>
    <w:rsid w:val="00FD6533"/>
    <w:rsid w:val="00FE3AD3"/>
    <w:rsid w:val="00FE7BC6"/>
    <w:rsid w:val="00FF111F"/>
    <w:rsid w:val="00FF2DC2"/>
    <w:rsid w:val="00FF636F"/>
    <w:rsid w:val="00FF75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EE9FEEC"/>
  <w15:docId w15:val="{D535370D-B736-4621-9243-C3C4322B6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B7D86"/>
    <w:pPr>
      <w:spacing w:after="200" w:line="276" w:lineRule="auto"/>
    </w:pPr>
    <w:rPr>
      <w:rFonts w:ascii="Calibri" w:hAnsi="Calibri"/>
      <w:sz w:val="22"/>
      <w:szCs w:val="22"/>
      <w:lang w:val="pl-PL" w:eastAsia="pl-P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Bezriadkovania1">
    <w:name w:val="Bez riadkovania1"/>
    <w:rsid w:val="003B7D86"/>
    <w:rPr>
      <w:rFonts w:ascii="Calibri" w:hAnsi="Calibri"/>
      <w:sz w:val="22"/>
      <w:szCs w:val="22"/>
      <w:lang w:val="pl-PL" w:eastAsia="pl-PL"/>
    </w:rPr>
  </w:style>
  <w:style w:type="paragraph" w:styleId="Pta">
    <w:name w:val="footer"/>
    <w:basedOn w:val="Normlny"/>
    <w:link w:val="PtaChar"/>
    <w:uiPriority w:val="99"/>
    <w:rsid w:val="003B7D86"/>
    <w:pPr>
      <w:tabs>
        <w:tab w:val="center" w:pos="4320"/>
        <w:tab w:val="right" w:pos="8640"/>
      </w:tabs>
    </w:pPr>
  </w:style>
  <w:style w:type="character" w:styleId="slostrany">
    <w:name w:val="page number"/>
    <w:basedOn w:val="Predvolenpsmoodseku"/>
    <w:rsid w:val="003B7D86"/>
  </w:style>
  <w:style w:type="character" w:customStyle="1" w:styleId="FontStyle34">
    <w:name w:val="Font Style34"/>
    <w:rsid w:val="003B7D86"/>
    <w:rPr>
      <w:rFonts w:ascii="Times New Roman" w:hAnsi="Times New Roman" w:cs="Times New Roman"/>
      <w:b/>
      <w:bCs/>
      <w:sz w:val="20"/>
      <w:szCs w:val="20"/>
    </w:rPr>
  </w:style>
  <w:style w:type="paragraph" w:customStyle="1" w:styleId="Style7">
    <w:name w:val="Style7"/>
    <w:basedOn w:val="Normlny"/>
    <w:rsid w:val="003B7D86"/>
    <w:pPr>
      <w:widowControl w:val="0"/>
      <w:autoSpaceDE w:val="0"/>
      <w:autoSpaceDN w:val="0"/>
      <w:adjustRightInd w:val="0"/>
      <w:spacing w:after="0" w:line="254" w:lineRule="exact"/>
      <w:jc w:val="both"/>
    </w:pPr>
    <w:rPr>
      <w:rFonts w:ascii="Times New Roman" w:hAnsi="Times New Roman"/>
      <w:sz w:val="24"/>
      <w:szCs w:val="24"/>
      <w:lang w:val="es-ES" w:eastAsia="es-ES"/>
    </w:rPr>
  </w:style>
  <w:style w:type="character" w:customStyle="1" w:styleId="FontStyle33">
    <w:name w:val="Font Style33"/>
    <w:rsid w:val="003B7D86"/>
    <w:rPr>
      <w:rFonts w:ascii="Times New Roman" w:hAnsi="Times New Roman" w:cs="Times New Roman"/>
      <w:sz w:val="20"/>
      <w:szCs w:val="20"/>
    </w:rPr>
  </w:style>
  <w:style w:type="paragraph" w:customStyle="1" w:styleId="Style6">
    <w:name w:val="Style6"/>
    <w:basedOn w:val="Normlny"/>
    <w:rsid w:val="003B7D86"/>
    <w:pPr>
      <w:widowControl w:val="0"/>
      <w:autoSpaceDE w:val="0"/>
      <w:autoSpaceDN w:val="0"/>
      <w:adjustRightInd w:val="0"/>
      <w:spacing w:after="0" w:line="240" w:lineRule="auto"/>
    </w:pPr>
    <w:rPr>
      <w:rFonts w:ascii="Times New Roman" w:hAnsi="Times New Roman"/>
      <w:sz w:val="24"/>
      <w:szCs w:val="24"/>
      <w:lang w:val="es-ES" w:eastAsia="es-ES"/>
    </w:rPr>
  </w:style>
  <w:style w:type="paragraph" w:customStyle="1" w:styleId="Style9">
    <w:name w:val="Style9"/>
    <w:basedOn w:val="Normlny"/>
    <w:rsid w:val="003B7D86"/>
    <w:pPr>
      <w:widowControl w:val="0"/>
      <w:autoSpaceDE w:val="0"/>
      <w:autoSpaceDN w:val="0"/>
      <w:adjustRightInd w:val="0"/>
      <w:spacing w:after="0" w:line="254" w:lineRule="exact"/>
    </w:pPr>
    <w:rPr>
      <w:rFonts w:ascii="Times New Roman" w:hAnsi="Times New Roman"/>
      <w:sz w:val="24"/>
      <w:szCs w:val="24"/>
      <w:lang w:val="es-ES" w:eastAsia="es-ES"/>
    </w:rPr>
  </w:style>
  <w:style w:type="paragraph" w:customStyle="1" w:styleId="Style10">
    <w:name w:val="Style10"/>
    <w:basedOn w:val="Normlny"/>
    <w:rsid w:val="003B7D86"/>
    <w:pPr>
      <w:widowControl w:val="0"/>
      <w:autoSpaceDE w:val="0"/>
      <w:autoSpaceDN w:val="0"/>
      <w:adjustRightInd w:val="0"/>
      <w:spacing w:after="0" w:line="257" w:lineRule="exact"/>
    </w:pPr>
    <w:rPr>
      <w:rFonts w:ascii="Times New Roman" w:hAnsi="Times New Roman"/>
      <w:sz w:val="24"/>
      <w:szCs w:val="24"/>
      <w:lang w:val="es-ES" w:eastAsia="es-ES"/>
    </w:rPr>
  </w:style>
  <w:style w:type="paragraph" w:customStyle="1" w:styleId="Style8">
    <w:name w:val="Style8"/>
    <w:basedOn w:val="Normlny"/>
    <w:rsid w:val="003B7D86"/>
    <w:pPr>
      <w:widowControl w:val="0"/>
      <w:autoSpaceDE w:val="0"/>
      <w:autoSpaceDN w:val="0"/>
      <w:adjustRightInd w:val="0"/>
      <w:spacing w:after="0" w:line="240" w:lineRule="auto"/>
    </w:pPr>
    <w:rPr>
      <w:rFonts w:ascii="Times New Roman" w:hAnsi="Times New Roman"/>
      <w:sz w:val="24"/>
      <w:szCs w:val="24"/>
      <w:lang w:val="es-ES" w:eastAsia="es-ES"/>
    </w:rPr>
  </w:style>
  <w:style w:type="character" w:customStyle="1" w:styleId="FontStyle30">
    <w:name w:val="Font Style30"/>
    <w:rsid w:val="003B7D86"/>
    <w:rPr>
      <w:rFonts w:ascii="Times New Roman" w:hAnsi="Times New Roman" w:cs="Times New Roman"/>
      <w:i/>
      <w:iCs/>
      <w:sz w:val="20"/>
      <w:szCs w:val="20"/>
    </w:rPr>
  </w:style>
  <w:style w:type="paragraph" w:customStyle="1" w:styleId="Style11">
    <w:name w:val="Style11"/>
    <w:basedOn w:val="Normlny"/>
    <w:rsid w:val="003B7D86"/>
    <w:pPr>
      <w:widowControl w:val="0"/>
      <w:autoSpaceDE w:val="0"/>
      <w:autoSpaceDN w:val="0"/>
      <w:adjustRightInd w:val="0"/>
      <w:spacing w:after="0" w:line="250" w:lineRule="exact"/>
      <w:ind w:hanging="557"/>
    </w:pPr>
    <w:rPr>
      <w:rFonts w:ascii="Times New Roman" w:hAnsi="Times New Roman"/>
      <w:sz w:val="24"/>
      <w:szCs w:val="24"/>
      <w:lang w:val="es-ES" w:eastAsia="es-ES"/>
    </w:rPr>
  </w:style>
  <w:style w:type="paragraph" w:customStyle="1" w:styleId="Style13">
    <w:name w:val="Style13"/>
    <w:basedOn w:val="Normlny"/>
    <w:rsid w:val="003B7D86"/>
    <w:pPr>
      <w:widowControl w:val="0"/>
      <w:autoSpaceDE w:val="0"/>
      <w:autoSpaceDN w:val="0"/>
      <w:adjustRightInd w:val="0"/>
      <w:spacing w:after="0" w:line="504" w:lineRule="exact"/>
    </w:pPr>
    <w:rPr>
      <w:rFonts w:ascii="Times New Roman" w:hAnsi="Times New Roman"/>
      <w:sz w:val="24"/>
      <w:szCs w:val="24"/>
      <w:lang w:val="es-ES" w:eastAsia="es-ES"/>
    </w:rPr>
  </w:style>
  <w:style w:type="paragraph" w:customStyle="1" w:styleId="Style14">
    <w:name w:val="Style14"/>
    <w:basedOn w:val="Normlny"/>
    <w:rsid w:val="003B7D86"/>
    <w:pPr>
      <w:widowControl w:val="0"/>
      <w:autoSpaceDE w:val="0"/>
      <w:autoSpaceDN w:val="0"/>
      <w:adjustRightInd w:val="0"/>
      <w:spacing w:after="0" w:line="240" w:lineRule="auto"/>
    </w:pPr>
    <w:rPr>
      <w:rFonts w:ascii="Times New Roman" w:hAnsi="Times New Roman"/>
      <w:sz w:val="24"/>
      <w:szCs w:val="24"/>
      <w:lang w:val="es-ES" w:eastAsia="es-ES"/>
    </w:rPr>
  </w:style>
  <w:style w:type="paragraph" w:customStyle="1" w:styleId="Style17">
    <w:name w:val="Style17"/>
    <w:basedOn w:val="Normlny"/>
    <w:rsid w:val="003B7D86"/>
    <w:pPr>
      <w:widowControl w:val="0"/>
      <w:autoSpaceDE w:val="0"/>
      <w:autoSpaceDN w:val="0"/>
      <w:adjustRightInd w:val="0"/>
      <w:spacing w:after="0" w:line="232" w:lineRule="exact"/>
    </w:pPr>
    <w:rPr>
      <w:rFonts w:ascii="Times New Roman" w:hAnsi="Times New Roman"/>
      <w:sz w:val="24"/>
      <w:szCs w:val="24"/>
      <w:lang w:val="es-ES" w:eastAsia="es-ES"/>
    </w:rPr>
  </w:style>
  <w:style w:type="paragraph" w:customStyle="1" w:styleId="Style20">
    <w:name w:val="Style20"/>
    <w:basedOn w:val="Normlny"/>
    <w:rsid w:val="003B7D86"/>
    <w:pPr>
      <w:widowControl w:val="0"/>
      <w:autoSpaceDE w:val="0"/>
      <w:autoSpaceDN w:val="0"/>
      <w:adjustRightInd w:val="0"/>
      <w:spacing w:after="0" w:line="250" w:lineRule="exact"/>
    </w:pPr>
    <w:rPr>
      <w:rFonts w:ascii="Times New Roman" w:hAnsi="Times New Roman"/>
      <w:sz w:val="24"/>
      <w:szCs w:val="24"/>
      <w:lang w:val="es-ES" w:eastAsia="es-ES"/>
    </w:rPr>
  </w:style>
  <w:style w:type="paragraph" w:customStyle="1" w:styleId="Style26">
    <w:name w:val="Style26"/>
    <w:basedOn w:val="Normlny"/>
    <w:rsid w:val="003B7D86"/>
    <w:pPr>
      <w:widowControl w:val="0"/>
      <w:autoSpaceDE w:val="0"/>
      <w:autoSpaceDN w:val="0"/>
      <w:adjustRightInd w:val="0"/>
      <w:spacing w:after="0" w:line="259" w:lineRule="exact"/>
    </w:pPr>
    <w:rPr>
      <w:rFonts w:ascii="Times New Roman" w:hAnsi="Times New Roman"/>
      <w:sz w:val="24"/>
      <w:szCs w:val="24"/>
      <w:lang w:val="es-ES" w:eastAsia="es-ES"/>
    </w:rPr>
  </w:style>
  <w:style w:type="character" w:customStyle="1" w:styleId="FontStyle29">
    <w:name w:val="Font Style29"/>
    <w:rsid w:val="003B7D86"/>
    <w:rPr>
      <w:rFonts w:ascii="Times New Roman" w:hAnsi="Times New Roman" w:cs="Times New Roman"/>
      <w:sz w:val="20"/>
      <w:szCs w:val="20"/>
    </w:rPr>
  </w:style>
  <w:style w:type="paragraph" w:customStyle="1" w:styleId="Style1">
    <w:name w:val="Style1"/>
    <w:basedOn w:val="Normlny"/>
    <w:rsid w:val="003B7D86"/>
    <w:pPr>
      <w:widowControl w:val="0"/>
      <w:autoSpaceDE w:val="0"/>
      <w:autoSpaceDN w:val="0"/>
      <w:adjustRightInd w:val="0"/>
      <w:spacing w:after="0" w:line="240" w:lineRule="auto"/>
      <w:jc w:val="both"/>
    </w:pPr>
    <w:rPr>
      <w:rFonts w:ascii="Times New Roman" w:hAnsi="Times New Roman"/>
      <w:sz w:val="24"/>
      <w:szCs w:val="24"/>
      <w:lang w:val="es-ES" w:eastAsia="es-ES"/>
    </w:rPr>
  </w:style>
  <w:style w:type="paragraph" w:customStyle="1" w:styleId="Style24">
    <w:name w:val="Style24"/>
    <w:basedOn w:val="Normlny"/>
    <w:rsid w:val="003B7D86"/>
    <w:pPr>
      <w:widowControl w:val="0"/>
      <w:autoSpaceDE w:val="0"/>
      <w:autoSpaceDN w:val="0"/>
      <w:adjustRightInd w:val="0"/>
      <w:spacing w:after="0" w:line="509" w:lineRule="exact"/>
      <w:jc w:val="both"/>
    </w:pPr>
    <w:rPr>
      <w:rFonts w:ascii="Times New Roman" w:hAnsi="Times New Roman"/>
      <w:sz w:val="24"/>
      <w:szCs w:val="24"/>
      <w:lang w:val="es-ES" w:eastAsia="es-ES"/>
    </w:rPr>
  </w:style>
  <w:style w:type="character" w:styleId="Odkaznakomentr">
    <w:name w:val="annotation reference"/>
    <w:semiHidden/>
    <w:rsid w:val="003B7D86"/>
    <w:rPr>
      <w:sz w:val="16"/>
      <w:szCs w:val="16"/>
    </w:rPr>
  </w:style>
  <w:style w:type="paragraph" w:styleId="Textkomentra">
    <w:name w:val="annotation text"/>
    <w:basedOn w:val="Normlny"/>
    <w:link w:val="TextkomentraChar"/>
    <w:semiHidden/>
    <w:rsid w:val="003B7D86"/>
    <w:rPr>
      <w:sz w:val="20"/>
      <w:szCs w:val="20"/>
    </w:rPr>
  </w:style>
  <w:style w:type="paragraph" w:styleId="Zkladntext">
    <w:name w:val="Body Text"/>
    <w:basedOn w:val="Normlny"/>
    <w:rsid w:val="003B7D86"/>
    <w:pPr>
      <w:spacing w:after="0" w:line="240" w:lineRule="auto"/>
    </w:pPr>
    <w:rPr>
      <w:rFonts w:ascii="Times New Roman" w:hAnsi="Times New Roman"/>
      <w:szCs w:val="24"/>
      <w:lang w:val="sk-SK" w:eastAsia="sk-SK"/>
    </w:rPr>
  </w:style>
  <w:style w:type="paragraph" w:styleId="Textbubliny">
    <w:name w:val="Balloon Text"/>
    <w:basedOn w:val="Normlny"/>
    <w:semiHidden/>
    <w:rsid w:val="003B7D86"/>
    <w:rPr>
      <w:rFonts w:ascii="Tahoma" w:hAnsi="Tahoma" w:cs="Tahoma"/>
      <w:sz w:val="16"/>
      <w:szCs w:val="16"/>
    </w:rPr>
  </w:style>
  <w:style w:type="paragraph" w:customStyle="1" w:styleId="Default">
    <w:name w:val="Default"/>
    <w:rsid w:val="00B54478"/>
    <w:pPr>
      <w:autoSpaceDE w:val="0"/>
      <w:autoSpaceDN w:val="0"/>
      <w:adjustRightInd w:val="0"/>
    </w:pPr>
    <w:rPr>
      <w:rFonts w:eastAsia="Calibri"/>
      <w:color w:val="000000"/>
      <w:sz w:val="24"/>
      <w:szCs w:val="24"/>
      <w:lang w:val="cs-CZ" w:eastAsia="en-US"/>
    </w:rPr>
  </w:style>
  <w:style w:type="character" w:styleId="Hypertextovprepojenie">
    <w:name w:val="Hyperlink"/>
    <w:uiPriority w:val="99"/>
    <w:unhideWhenUsed/>
    <w:rsid w:val="00130FB6"/>
    <w:rPr>
      <w:color w:val="0563C1"/>
      <w:u w:val="single"/>
    </w:rPr>
  </w:style>
  <w:style w:type="paragraph" w:styleId="Predmetkomentra">
    <w:name w:val="annotation subject"/>
    <w:basedOn w:val="Textkomentra"/>
    <w:next w:val="Textkomentra"/>
    <w:link w:val="PredmetkomentraChar"/>
    <w:rsid w:val="008D6D86"/>
    <w:rPr>
      <w:b/>
      <w:bCs/>
    </w:rPr>
  </w:style>
  <w:style w:type="character" w:customStyle="1" w:styleId="TextkomentraChar">
    <w:name w:val="Text komentára Char"/>
    <w:link w:val="Textkomentra"/>
    <w:semiHidden/>
    <w:rsid w:val="008D6D86"/>
    <w:rPr>
      <w:rFonts w:ascii="Calibri" w:hAnsi="Calibri"/>
      <w:lang w:val="pl-PL" w:eastAsia="pl-PL"/>
    </w:rPr>
  </w:style>
  <w:style w:type="character" w:customStyle="1" w:styleId="PredmetkomentraChar">
    <w:name w:val="Predmet komentára Char"/>
    <w:link w:val="Predmetkomentra"/>
    <w:rsid w:val="008D6D86"/>
    <w:rPr>
      <w:rFonts w:ascii="Calibri" w:hAnsi="Calibri"/>
      <w:b/>
      <w:bCs/>
      <w:lang w:val="pl-PL" w:eastAsia="pl-PL"/>
    </w:rPr>
  </w:style>
  <w:style w:type="paragraph" w:styleId="Hlavika">
    <w:name w:val="header"/>
    <w:basedOn w:val="Normlny"/>
    <w:link w:val="HlavikaChar"/>
    <w:unhideWhenUsed/>
    <w:rsid w:val="00D7430B"/>
    <w:pPr>
      <w:tabs>
        <w:tab w:val="center" w:pos="4536"/>
        <w:tab w:val="right" w:pos="9072"/>
      </w:tabs>
      <w:spacing w:after="0" w:line="240" w:lineRule="auto"/>
    </w:pPr>
  </w:style>
  <w:style w:type="character" w:customStyle="1" w:styleId="HlavikaChar">
    <w:name w:val="Hlavička Char"/>
    <w:basedOn w:val="Predvolenpsmoodseku"/>
    <w:link w:val="Hlavika"/>
    <w:rsid w:val="00D7430B"/>
    <w:rPr>
      <w:rFonts w:ascii="Calibri" w:hAnsi="Calibri"/>
      <w:sz w:val="22"/>
      <w:szCs w:val="22"/>
      <w:lang w:val="pl-PL" w:eastAsia="pl-PL"/>
    </w:rPr>
  </w:style>
  <w:style w:type="character" w:customStyle="1" w:styleId="PtaChar">
    <w:name w:val="Päta Char"/>
    <w:basedOn w:val="Predvolenpsmoodseku"/>
    <w:link w:val="Pta"/>
    <w:uiPriority w:val="99"/>
    <w:rsid w:val="00184723"/>
    <w:rPr>
      <w:rFonts w:ascii="Calibri" w:hAnsi="Calibri"/>
      <w:sz w:val="22"/>
      <w:szCs w:val="22"/>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87798">
      <w:bodyDiv w:val="1"/>
      <w:marLeft w:val="0"/>
      <w:marRight w:val="0"/>
      <w:marTop w:val="0"/>
      <w:marBottom w:val="0"/>
      <w:divBdr>
        <w:top w:val="none" w:sz="0" w:space="0" w:color="auto"/>
        <w:left w:val="none" w:sz="0" w:space="0" w:color="auto"/>
        <w:bottom w:val="none" w:sz="0" w:space="0" w:color="auto"/>
        <w:right w:val="none" w:sz="0" w:space="0" w:color="auto"/>
      </w:divBdr>
    </w:div>
    <w:div w:id="34151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5964</Words>
  <Characters>34000</Characters>
  <Application>Microsoft Office Word</Application>
  <DocSecurity>0</DocSecurity>
  <Lines>283</Lines>
  <Paragraphs>79</Paragraphs>
  <ScaleCrop>false</ScaleCrop>
  <HeadingPairs>
    <vt:vector size="2" baseType="variant">
      <vt:variant>
        <vt:lpstr>Názov</vt:lpstr>
      </vt:variant>
      <vt:variant>
        <vt:i4>1</vt:i4>
      </vt:variant>
    </vt:vector>
  </HeadingPairs>
  <TitlesOfParts>
    <vt:vector size="1" baseType="lpstr">
      <vt:lpstr>Príloha č</vt:lpstr>
    </vt:vector>
  </TitlesOfParts>
  <Company>Home</Company>
  <LinksUpToDate>false</LinksUpToDate>
  <CharactersWithSpaces>39885</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4718670</vt:i4>
      </vt:variant>
      <vt:variant>
        <vt:i4>3</vt:i4>
      </vt:variant>
      <vt:variant>
        <vt:i4>0</vt:i4>
      </vt:variant>
      <vt:variant>
        <vt:i4>5</vt:i4>
      </vt:variant>
      <vt:variant>
        <vt:lpwstr>https://portal.sukl.sk/eVarSym?act=AppLogin&amp;guid=f1c5a0af-678d-456c-9a7a-63976723b8a8</vt:lpwstr>
      </vt:variant>
      <vt:variant>
        <vt:lpwstr/>
      </vt:variant>
      <vt:variant>
        <vt:i4>2031689</vt:i4>
      </vt:variant>
      <vt:variant>
        <vt:i4>0</vt:i4>
      </vt:variant>
      <vt:variant>
        <vt:i4>0</vt:i4>
      </vt:variant>
      <vt:variant>
        <vt:i4>5</vt:i4>
      </vt:variant>
      <vt:variant>
        <vt:lpwstr>https://portal.sukl.sk/eVarSym?act=AppLogin&amp;guid=7a73f1ec-665e-4eb8-be59-9e96510ed501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Lidka Kovačiková</dc:creator>
  <cp:lastModifiedBy>Molnárová, Zuzana</cp:lastModifiedBy>
  <cp:revision>2</cp:revision>
  <cp:lastPrinted>2018-09-27T09:29:00Z</cp:lastPrinted>
  <dcterms:created xsi:type="dcterms:W3CDTF">2018-09-27T09:30:00Z</dcterms:created>
  <dcterms:modified xsi:type="dcterms:W3CDTF">2018-09-27T09:30:00Z</dcterms:modified>
</cp:coreProperties>
</file>